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44214636" w:displacedByCustomXml="next"/>
    <w:bookmarkEnd w:id="0" w:displacedByCustomXml="next"/>
    <w:bookmarkStart w:id="1" w:name="_Hlk143087610" w:displacedByCustomXml="next"/>
    <w:bookmarkEnd w:id="1" w:displacedByCustomXml="next"/>
    <w:bookmarkStart w:id="2" w:name="_Toc19289751" w:displacedByCustomXml="next"/>
    <w:bookmarkEnd w:id="2" w:displacedByCustomXml="next"/>
    <w:bookmarkStart w:id="3" w:name="_Toc146522718" w:displacedByCustomXml="next"/>
    <w:bookmarkStart w:id="4" w:name="_Toc144802580" w:displacedByCustomXml="next"/>
    <w:bookmarkStart w:id="5" w:name="_Toc144825159" w:displacedByCustomXml="next"/>
    <w:bookmarkStart w:id="6" w:name="_Toc144944417" w:displacedByCustomXml="next"/>
    <w:bookmarkStart w:id="7" w:name="_Toc144992820" w:displacedByCustomXml="next"/>
    <w:sdt>
      <w:sdtPr>
        <w:rPr>
          <w:rFonts w:asciiTheme="minorHAnsi" w:eastAsiaTheme="minorHAnsi" w:hAnsiTheme="minorHAnsi" w:cstheme="minorBidi"/>
          <w:color w:val="auto"/>
          <w:spacing w:val="0"/>
          <w:kern w:val="0"/>
          <w:sz w:val="22"/>
          <w:szCs w:val="22"/>
        </w:rPr>
        <w:id w:val="-2088995269"/>
        <w:docPartObj>
          <w:docPartGallery w:val="Cover Pages"/>
          <w:docPartUnique/>
        </w:docPartObj>
      </w:sdtPr>
      <w:sdtEndPr/>
      <w:sdtContent>
        <w:p w14:paraId="5E057D38" w14:textId="0C1F8296" w:rsidR="0068286F" w:rsidRPr="005F3920" w:rsidRDefault="0073612C" w:rsidP="0088084C">
          <w:pPr>
            <w:pStyle w:val="Title"/>
            <w:tabs>
              <w:tab w:val="left" w:pos="6797"/>
              <w:tab w:val="left" w:pos="7569"/>
            </w:tabs>
            <w:rPr>
              <w:color w:val="FFFFFF"/>
            </w:rPr>
          </w:pPr>
          <w:r>
            <w:rPr>
              <w:noProof/>
              <w:color w:val="002060"/>
            </w:rPr>
            <mc:AlternateContent>
              <mc:Choice Requires="wps">
                <w:drawing>
                  <wp:anchor distT="0" distB="0" distL="114300" distR="114300" simplePos="0" relativeHeight="251658240" behindDoc="1" locked="0" layoutInCell="1" allowOverlap="1" wp14:anchorId="152C6A66" wp14:editId="5886C349">
                    <wp:simplePos x="0" y="0"/>
                    <wp:positionH relativeFrom="page">
                      <wp:posOffset>-200025</wp:posOffset>
                    </wp:positionH>
                    <wp:positionV relativeFrom="paragraph">
                      <wp:posOffset>-829310</wp:posOffset>
                    </wp:positionV>
                    <wp:extent cx="7943850" cy="10677525"/>
                    <wp:effectExtent l="0" t="0" r="19050" b="2857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43850" cy="10677525"/>
                            </a:xfrm>
                            <a:prstGeom prst="rect">
                              <a:avLst/>
                            </a:prstGeom>
                            <a:gradFill>
                              <a:gsLst>
                                <a:gs pos="0">
                                  <a:schemeClr val="tx1">
                                    <a:lumMod val="75000"/>
                                  </a:schemeClr>
                                </a:gs>
                                <a:gs pos="95000">
                                  <a:schemeClr val="bg1">
                                    <a:lumMod val="60000"/>
                                    <a:lumOff val="40000"/>
                                  </a:schemeClr>
                                </a:gs>
                                <a:gs pos="79000">
                                  <a:srgbClr val="00B0F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22405" id="Rectangle 8" o:spid="_x0000_s1026" alt="&quot;&quot;" style="position:absolute;margin-left:-15.75pt;margin-top:-65.3pt;width:625.5pt;height:84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20wIAAFEGAAAOAAAAZHJzL2Uyb0RvYy54bWysVW1v2jAQ/j5p/8Hy9zWBQSmooWKdmCZ1&#10;bbV26mfjOC+S4/NsQ2C/fmc7CaxFmjTtSzjbd8/dPffC9c2+kWQnjK1BZXR0kVIiFIe8VmVGfzyv&#10;P1xRYh1TOZOgREYPwtKb5ft3161eiDFUIHNhCIIou2h1Rivn9CJJLK9Ew+wFaKHwsQDTMIdHUya5&#10;YS2iNzIZp+ll0oLJtQEurMXbz/GRLgN+UQjuHorCCkdkRjE2F74mfDf+myyv2aI0TFc178Jg/xBF&#10;w2qFTgeoz8wxsjX1G6im5gYsFO6CQ5NAUdRchBwwm1H6KpunimkRckFyrB5osv8Plt/vnvSjQRpa&#10;bRcWRZ/FvjCN/8X4yD6QdRjIEntHOF7O5pOPV1PklOPbKL2czabjqeczOdprY90XAQ3xQkYNliOw&#10;xHZ31kXVXqUjL1/XUgbZokoUiAbMOA2WoTHErTRkx7Ckbj8K13LbfIM83s2maRoKi4EM6iGs0p4C&#10;zoOevxm0IsCmfAt6iZhdt6Av7KmoOumv/+JrNvfmwZcpN0P4afopXfex+ugQpuwTl7UizI/RNHhB&#10;pi1nUuTIdkcz9m3HV3KsXpDcQQrvTarvoiB1jvUan+OPcS6Ui+naiuUipuWZ6cMayAnRBUCPXGCd&#10;BuwOwA/tsTY9dqxzp+9NRZjLwfhsYf80HiyCZ1BuMG5qBeZcZhKz6jxHfQz/hBovbiA/PBpiIG4F&#10;q/m6xj69Y9Y9MoNrACnH1eYe8FNIaDMKnURJBebXuXuvj9OJr5S0uFYyan9umRGUyK8Ku3g+mkz8&#10;HgqHyXQ2xoM5fdmcvqhtcwvY5iOsveZB9PpO9mJhoHnBDbjyXvGJKY6+M8qd6Q+3Lq473KFcrFZB&#10;DXePZu5OPWnuwT2rfg6f9y/M6G5YHQ76PfQriC1ezWzU9ZYKVlsHRR0G+shrxzfurdjWccf6xXh6&#10;DlrHf4LlbwAAAP//AwBQSwMEFAAGAAgAAAAhAACIDXPjAAAADgEAAA8AAABkcnMvZG93bnJldi54&#10;bWxMj09Lw0AQxe+C32EZwVu7+UOKjdkUKVZEkGItnrfZMQnNzsbspo3f3ump3t7Me7z5TbGabCdO&#10;OPjWkYJ4HoFAqpxpqVaw/9zMHkD4oMnozhEq+EUPq/L2ptC5cWf6wNMu1IJLyOdaQRNCn0vpqwat&#10;9nPXI7H37QarA49DLc2gz1xuO5lE0UJa3RJfaHSP6war4260Cl4oed/36/jHmq/t89trOm62R1Tq&#10;/m56egQRcArXMFzwGR1KZjq4kYwXnYJZGmccZRGn0QLEJZLES94dWGVZtARZFvL/G+UfAAAA//8D&#10;AFBLAQItABQABgAIAAAAIQC2gziS/gAAAOEBAAATAAAAAAAAAAAAAAAAAAAAAABbQ29udGVudF9U&#10;eXBlc10ueG1sUEsBAi0AFAAGAAgAAAAhADj9If/WAAAAlAEAAAsAAAAAAAAAAAAAAAAALwEAAF9y&#10;ZWxzLy5yZWxzUEsBAi0AFAAGAAgAAAAhAP6Wo7bTAgAAUQYAAA4AAAAAAAAAAAAAAAAALgIAAGRy&#10;cy9lMm9Eb2MueG1sUEsBAi0AFAAGAAgAAAAhAACIDXPjAAAADgEAAA8AAAAAAAAAAAAAAAAALQUA&#10;AGRycy9kb3ducmV2LnhtbFBLBQYAAAAABAAEAPMAAAA9BgAAAAA=&#10;" fillcolor="#00266c [2413]" strokecolor="#4e4e4e [1604]" strokeweight="1pt">
                    <v:fill color2="#a185e7 [1948]" colors="0 #00276d;51773f #00b0f0;62259f #a185e8" focus="100%" type="gradient"/>
                    <w10:wrap anchorx="page"/>
                  </v:rect>
                </w:pict>
              </mc:Fallback>
            </mc:AlternateContent>
          </w:r>
          <w:r w:rsidR="002F289C" w:rsidRPr="00F370DB">
            <w:rPr>
              <w:noProof/>
              <w:vertAlign w:val="subscript"/>
              <w:lang w:eastAsia="en-AU"/>
            </w:rPr>
            <w:drawing>
              <wp:anchor distT="0" distB="0" distL="114300" distR="114300" simplePos="0" relativeHeight="251658289" behindDoc="1" locked="0" layoutInCell="1" allowOverlap="1" wp14:anchorId="10AE092B" wp14:editId="5EBAEFC5">
                <wp:simplePos x="0" y="0"/>
                <wp:positionH relativeFrom="margin">
                  <wp:align>center</wp:align>
                </wp:positionH>
                <wp:positionV relativeFrom="paragraph">
                  <wp:posOffset>-429260</wp:posOffset>
                </wp:positionV>
                <wp:extent cx="4600665" cy="895350"/>
                <wp:effectExtent l="0" t="0" r="952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600665" cy="895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xmlns:a16="http://schemas.microsoft.com/office/drawing/2014/main" xmlns:adec="http://schemas.microsoft.com/office/drawing/2017/decorative"/>
                          </a:ext>
                        </a:extLst>
                      </pic:spPr>
                    </pic:pic>
                  </a:graphicData>
                </a:graphic>
                <wp14:sizeRelH relativeFrom="margin">
                  <wp14:pctWidth>0</wp14:pctWidth>
                </wp14:sizeRelH>
                <wp14:sizeRelV relativeFrom="margin">
                  <wp14:pctHeight>0</wp14:pctHeight>
                </wp14:sizeRelV>
              </wp:anchor>
            </w:drawing>
          </w:r>
          <w:bookmarkStart w:id="8" w:name="_Toc1874290661"/>
          <w:r w:rsidR="003A53EA" w:rsidRPr="00DC1525">
            <w:rPr>
              <w:color w:val="000000"/>
            </w:rPr>
            <w:t xml:space="preserve">Barriers to </w:t>
          </w:r>
          <w:r w:rsidR="00CB019D" w:rsidRPr="00DC1525">
            <w:rPr>
              <w:color w:val="000000"/>
            </w:rPr>
            <w:t>collaboration</w:t>
          </w:r>
          <w:r w:rsidR="003A53EA" w:rsidRPr="00DC1525">
            <w:rPr>
              <w:color w:val="000000"/>
            </w:rPr>
            <w:t xml:space="preserve"> and commercialisation</w:t>
          </w:r>
          <w:bookmarkEnd w:id="8"/>
          <w:bookmarkEnd w:id="7"/>
          <w:bookmarkEnd w:id="6"/>
          <w:bookmarkEnd w:id="5"/>
          <w:bookmarkEnd w:id="4"/>
          <w:bookmarkEnd w:id="3"/>
        </w:p>
        <w:p w14:paraId="3B9D477D" w14:textId="0B4F12BA" w:rsidR="00697567" w:rsidRPr="005F3920" w:rsidRDefault="00697567" w:rsidP="00A540AE">
          <w:pPr>
            <w:pStyle w:val="Subtitle"/>
            <w:rPr>
              <w:color w:val="FFFFFF"/>
            </w:rPr>
          </w:pPr>
        </w:p>
        <w:p w14:paraId="36F6847B" w14:textId="19503324" w:rsidR="00641A0B" w:rsidRPr="00DC1525" w:rsidRDefault="002F289C" w:rsidP="00264E35">
          <w:pPr>
            <w:pStyle w:val="Authoranddate"/>
            <w:tabs>
              <w:tab w:val="right" w:pos="9026"/>
            </w:tabs>
            <w:rPr>
              <w:b/>
              <w:bCs/>
              <w:color w:val="FFFFFF"/>
            </w:rPr>
          </w:pPr>
          <w:r>
            <w:rPr>
              <w:noProof/>
              <w:lang w:eastAsia="en-AU"/>
            </w:rPr>
            <w:drawing>
              <wp:anchor distT="0" distB="0" distL="114300" distR="114300" simplePos="0" relativeHeight="251658241" behindDoc="1" locked="0" layoutInCell="1" allowOverlap="1" wp14:anchorId="7BFF3977" wp14:editId="02ABC5A6">
                <wp:simplePos x="0" y="0"/>
                <wp:positionH relativeFrom="page">
                  <wp:posOffset>-1438275</wp:posOffset>
                </wp:positionH>
                <wp:positionV relativeFrom="paragraph">
                  <wp:posOffset>307340</wp:posOffset>
                </wp:positionV>
                <wp:extent cx="10775022" cy="5748572"/>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5136"/>
                        <a:stretch/>
                      </pic:blipFill>
                      <pic:spPr bwMode="auto">
                        <a:xfrm>
                          <a:off x="0" y="0"/>
                          <a:ext cx="10775022" cy="57485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1A0B" w:rsidRPr="00DC1525">
            <w:rPr>
              <w:b/>
              <w:bCs/>
              <w:color w:val="000000"/>
            </w:rPr>
            <w:t>Industry Innovation and Science Australia</w:t>
          </w:r>
        </w:p>
        <w:p w14:paraId="4C8D99B2" w14:textId="77777777" w:rsidR="009B7D3F" w:rsidRDefault="009B7D3F" w:rsidP="00EF4654">
          <w:pPr>
            <w:tabs>
              <w:tab w:val="left" w:pos="5593"/>
            </w:tabs>
            <w:sectPr w:rsidR="009B7D3F" w:rsidSect="00DC23E3">
              <w:headerReference w:type="default" r:id="rId10"/>
              <w:footerReference w:type="default" r:id="rId11"/>
              <w:headerReference w:type="first" r:id="rId12"/>
              <w:footerReference w:type="first" r:id="rId13"/>
              <w:pgSz w:w="11906" w:h="16838"/>
              <w:pgMar w:top="1276" w:right="1440" w:bottom="1440" w:left="1440" w:header="851" w:footer="708" w:gutter="0"/>
              <w:cols w:space="708"/>
              <w:titlePg/>
              <w:docGrid w:linePitch="360"/>
            </w:sectPr>
          </w:pPr>
        </w:p>
        <w:p w14:paraId="7253873F" w14:textId="2F773300" w:rsidR="002A17BB" w:rsidRPr="00F060A8" w:rsidRDefault="002A17BB" w:rsidP="002A17BB">
          <w:pPr>
            <w:rPr>
              <w:rFonts w:asciiTheme="majorHAnsi" w:eastAsiaTheme="majorEastAsia" w:hAnsiTheme="majorHAnsi" w:cstheme="majorBidi"/>
              <w:color w:val="003491" w:themeColor="text1"/>
              <w:sz w:val="48"/>
              <w:szCs w:val="32"/>
            </w:rPr>
          </w:pPr>
          <w:bookmarkStart w:id="9" w:name="_Toc19023739"/>
          <w:bookmarkStart w:id="10" w:name="_Toc19289752"/>
          <w:r w:rsidRPr="00F060A8">
            <w:rPr>
              <w:rFonts w:asciiTheme="majorHAnsi" w:eastAsiaTheme="majorEastAsia" w:hAnsiTheme="majorHAnsi" w:cstheme="majorBidi"/>
              <w:color w:val="003491" w:themeColor="text1"/>
              <w:sz w:val="48"/>
              <w:szCs w:val="32"/>
            </w:rPr>
            <w:lastRenderedPageBreak/>
            <w:t xml:space="preserve">Table of </w:t>
          </w:r>
          <w:r w:rsidR="00F45E95" w:rsidRPr="00F060A8">
            <w:rPr>
              <w:rFonts w:asciiTheme="majorHAnsi" w:eastAsiaTheme="majorEastAsia" w:hAnsiTheme="majorHAnsi" w:cstheme="majorBidi"/>
              <w:color w:val="003491" w:themeColor="text1"/>
              <w:sz w:val="48"/>
              <w:szCs w:val="32"/>
            </w:rPr>
            <w:t>contents</w:t>
          </w:r>
        </w:p>
        <w:p w14:paraId="6919B80C" w14:textId="20A1552E" w:rsidR="00FF1BBF" w:rsidRDefault="00FF1BBF">
          <w:pPr>
            <w:pStyle w:val="TOC2"/>
            <w:rPr>
              <w:rFonts w:eastAsiaTheme="minorEastAsia"/>
              <w:noProof/>
              <w:lang w:eastAsia="en-AU"/>
            </w:rPr>
          </w:pPr>
          <w:r>
            <w:rPr>
              <w:rFonts w:eastAsia="Meiryo"/>
              <w:b/>
              <w:bCs/>
              <w:noProof/>
            </w:rPr>
            <w:fldChar w:fldCharType="begin"/>
          </w:r>
          <w:r>
            <w:rPr>
              <w:rFonts w:eastAsia="Meiryo"/>
              <w:b/>
              <w:bCs/>
              <w:noProof/>
            </w:rPr>
            <w:instrText xml:space="preserve"> TOC \o "2-3" \h \z \t "Heading 1,1" </w:instrText>
          </w:r>
          <w:r>
            <w:rPr>
              <w:rFonts w:eastAsia="Meiryo"/>
              <w:b/>
              <w:bCs/>
              <w:noProof/>
            </w:rPr>
            <w:fldChar w:fldCharType="separate"/>
          </w:r>
          <w:hyperlink w:anchor="_Toc152165411" w:history="1">
            <w:r w:rsidRPr="00771D4F">
              <w:rPr>
                <w:rStyle w:val="Hyperlink"/>
                <w:noProof/>
              </w:rPr>
              <w:t>Chair’s foreword</w:t>
            </w:r>
            <w:r>
              <w:rPr>
                <w:noProof/>
                <w:webHidden/>
              </w:rPr>
              <w:tab/>
            </w:r>
            <w:r>
              <w:rPr>
                <w:noProof/>
                <w:webHidden/>
              </w:rPr>
              <w:fldChar w:fldCharType="begin"/>
            </w:r>
            <w:r>
              <w:rPr>
                <w:noProof/>
                <w:webHidden/>
              </w:rPr>
              <w:instrText xml:space="preserve"> PAGEREF _Toc152165411 \h </w:instrText>
            </w:r>
            <w:r>
              <w:rPr>
                <w:noProof/>
                <w:webHidden/>
              </w:rPr>
            </w:r>
            <w:r>
              <w:rPr>
                <w:noProof/>
                <w:webHidden/>
              </w:rPr>
              <w:fldChar w:fldCharType="separate"/>
            </w:r>
            <w:r w:rsidR="00F6694F">
              <w:rPr>
                <w:noProof/>
                <w:webHidden/>
              </w:rPr>
              <w:t>1</w:t>
            </w:r>
            <w:r>
              <w:rPr>
                <w:noProof/>
                <w:webHidden/>
              </w:rPr>
              <w:fldChar w:fldCharType="end"/>
            </w:r>
          </w:hyperlink>
        </w:p>
        <w:p w14:paraId="1AB69295" w14:textId="0C6EE87D" w:rsidR="00FF1BBF" w:rsidRDefault="009B1D68">
          <w:pPr>
            <w:pStyle w:val="TOC2"/>
            <w:rPr>
              <w:rFonts w:eastAsiaTheme="minorEastAsia"/>
              <w:noProof/>
              <w:lang w:eastAsia="en-AU"/>
            </w:rPr>
          </w:pPr>
          <w:hyperlink w:anchor="_Toc152165412" w:history="1">
            <w:r w:rsidR="00FF1BBF" w:rsidRPr="00771D4F">
              <w:rPr>
                <w:rStyle w:val="Hyperlink"/>
                <w:noProof/>
              </w:rPr>
              <w:t>Executive summary</w:t>
            </w:r>
            <w:r w:rsidR="00FF1BBF">
              <w:rPr>
                <w:noProof/>
                <w:webHidden/>
              </w:rPr>
              <w:tab/>
            </w:r>
            <w:r w:rsidR="00FF1BBF">
              <w:rPr>
                <w:noProof/>
                <w:webHidden/>
              </w:rPr>
              <w:fldChar w:fldCharType="begin"/>
            </w:r>
            <w:r w:rsidR="00FF1BBF">
              <w:rPr>
                <w:noProof/>
                <w:webHidden/>
              </w:rPr>
              <w:instrText xml:space="preserve"> PAGEREF _Toc152165412 \h </w:instrText>
            </w:r>
            <w:r w:rsidR="00FF1BBF">
              <w:rPr>
                <w:noProof/>
                <w:webHidden/>
              </w:rPr>
            </w:r>
            <w:r w:rsidR="00FF1BBF">
              <w:rPr>
                <w:noProof/>
                <w:webHidden/>
              </w:rPr>
              <w:fldChar w:fldCharType="separate"/>
            </w:r>
            <w:r w:rsidR="00F6694F">
              <w:rPr>
                <w:noProof/>
                <w:webHidden/>
              </w:rPr>
              <w:t>2</w:t>
            </w:r>
            <w:r w:rsidR="00FF1BBF">
              <w:rPr>
                <w:noProof/>
                <w:webHidden/>
              </w:rPr>
              <w:fldChar w:fldCharType="end"/>
            </w:r>
          </w:hyperlink>
        </w:p>
        <w:p w14:paraId="69221905" w14:textId="5DE7E183" w:rsidR="00FF1BBF" w:rsidRDefault="009B1D68">
          <w:pPr>
            <w:pStyle w:val="TOC3"/>
            <w:tabs>
              <w:tab w:val="right" w:leader="dot" w:pos="9016"/>
            </w:tabs>
            <w:rPr>
              <w:rFonts w:eastAsiaTheme="minorEastAsia"/>
              <w:noProof/>
              <w:lang w:eastAsia="en-AU"/>
            </w:rPr>
          </w:pPr>
          <w:hyperlink w:anchor="_Toc152165413" w:history="1">
            <w:r w:rsidR="00FF1BBF" w:rsidRPr="00771D4F">
              <w:rPr>
                <w:rStyle w:val="Hyperlink"/>
                <w:noProof/>
              </w:rPr>
              <w:t>Focusing on innovation and commercialisation outcomes</w:t>
            </w:r>
            <w:r w:rsidR="00FF1BBF">
              <w:rPr>
                <w:noProof/>
                <w:webHidden/>
              </w:rPr>
              <w:tab/>
            </w:r>
            <w:r w:rsidR="00FF1BBF">
              <w:rPr>
                <w:noProof/>
                <w:webHidden/>
              </w:rPr>
              <w:fldChar w:fldCharType="begin"/>
            </w:r>
            <w:r w:rsidR="00FF1BBF">
              <w:rPr>
                <w:noProof/>
                <w:webHidden/>
              </w:rPr>
              <w:instrText xml:space="preserve"> PAGEREF _Toc152165413 \h </w:instrText>
            </w:r>
            <w:r w:rsidR="00FF1BBF">
              <w:rPr>
                <w:noProof/>
                <w:webHidden/>
              </w:rPr>
            </w:r>
            <w:r w:rsidR="00FF1BBF">
              <w:rPr>
                <w:noProof/>
                <w:webHidden/>
              </w:rPr>
              <w:fldChar w:fldCharType="separate"/>
            </w:r>
            <w:r w:rsidR="00F6694F">
              <w:rPr>
                <w:noProof/>
                <w:webHidden/>
              </w:rPr>
              <w:t>2</w:t>
            </w:r>
            <w:r w:rsidR="00FF1BBF">
              <w:rPr>
                <w:noProof/>
                <w:webHidden/>
              </w:rPr>
              <w:fldChar w:fldCharType="end"/>
            </w:r>
          </w:hyperlink>
        </w:p>
        <w:p w14:paraId="5C26CC2D" w14:textId="1655433C" w:rsidR="00FF1BBF" w:rsidRDefault="009B1D68">
          <w:pPr>
            <w:pStyle w:val="TOC3"/>
            <w:tabs>
              <w:tab w:val="right" w:leader="dot" w:pos="9016"/>
            </w:tabs>
            <w:rPr>
              <w:rFonts w:eastAsiaTheme="minorEastAsia"/>
              <w:noProof/>
              <w:lang w:eastAsia="en-AU"/>
            </w:rPr>
          </w:pPr>
          <w:hyperlink w:anchor="_Toc152165414" w:history="1">
            <w:r w:rsidR="00FF1BBF" w:rsidRPr="00771D4F">
              <w:rPr>
                <w:rStyle w:val="Hyperlink"/>
                <w:noProof/>
              </w:rPr>
              <w:t>Our current state</w:t>
            </w:r>
            <w:r w:rsidR="00FF1BBF">
              <w:rPr>
                <w:noProof/>
                <w:webHidden/>
              </w:rPr>
              <w:tab/>
            </w:r>
            <w:r w:rsidR="00FF1BBF">
              <w:rPr>
                <w:noProof/>
                <w:webHidden/>
              </w:rPr>
              <w:fldChar w:fldCharType="begin"/>
            </w:r>
            <w:r w:rsidR="00FF1BBF">
              <w:rPr>
                <w:noProof/>
                <w:webHidden/>
              </w:rPr>
              <w:instrText xml:space="preserve"> PAGEREF _Toc152165414 \h </w:instrText>
            </w:r>
            <w:r w:rsidR="00FF1BBF">
              <w:rPr>
                <w:noProof/>
                <w:webHidden/>
              </w:rPr>
            </w:r>
            <w:r w:rsidR="00FF1BBF">
              <w:rPr>
                <w:noProof/>
                <w:webHidden/>
              </w:rPr>
              <w:fldChar w:fldCharType="separate"/>
            </w:r>
            <w:r w:rsidR="00F6694F">
              <w:rPr>
                <w:noProof/>
                <w:webHidden/>
              </w:rPr>
              <w:t>3</w:t>
            </w:r>
            <w:r w:rsidR="00FF1BBF">
              <w:rPr>
                <w:noProof/>
                <w:webHidden/>
              </w:rPr>
              <w:fldChar w:fldCharType="end"/>
            </w:r>
          </w:hyperlink>
        </w:p>
        <w:p w14:paraId="5773C1BF" w14:textId="25089BB0" w:rsidR="00FF1BBF" w:rsidRDefault="009B1D68">
          <w:pPr>
            <w:pStyle w:val="TOC3"/>
            <w:tabs>
              <w:tab w:val="right" w:leader="dot" w:pos="9016"/>
            </w:tabs>
            <w:rPr>
              <w:rFonts w:eastAsiaTheme="minorEastAsia"/>
              <w:noProof/>
              <w:lang w:eastAsia="en-AU"/>
            </w:rPr>
          </w:pPr>
          <w:hyperlink w:anchor="_Toc152165415" w:history="1">
            <w:r w:rsidR="00FF1BBF" w:rsidRPr="00771D4F">
              <w:rPr>
                <w:rStyle w:val="Hyperlink"/>
                <w:noProof/>
              </w:rPr>
              <w:t>Our approach to analysing barriers</w:t>
            </w:r>
            <w:r w:rsidR="00FF1BBF">
              <w:rPr>
                <w:noProof/>
                <w:webHidden/>
              </w:rPr>
              <w:tab/>
            </w:r>
            <w:r w:rsidR="00FF1BBF">
              <w:rPr>
                <w:noProof/>
                <w:webHidden/>
              </w:rPr>
              <w:fldChar w:fldCharType="begin"/>
            </w:r>
            <w:r w:rsidR="00FF1BBF">
              <w:rPr>
                <w:noProof/>
                <w:webHidden/>
              </w:rPr>
              <w:instrText xml:space="preserve"> PAGEREF _Toc152165415 \h </w:instrText>
            </w:r>
            <w:r w:rsidR="00FF1BBF">
              <w:rPr>
                <w:noProof/>
                <w:webHidden/>
              </w:rPr>
            </w:r>
            <w:r w:rsidR="00FF1BBF">
              <w:rPr>
                <w:noProof/>
                <w:webHidden/>
              </w:rPr>
              <w:fldChar w:fldCharType="separate"/>
            </w:r>
            <w:r w:rsidR="00F6694F">
              <w:rPr>
                <w:noProof/>
                <w:webHidden/>
              </w:rPr>
              <w:t>5</w:t>
            </w:r>
            <w:r w:rsidR="00FF1BBF">
              <w:rPr>
                <w:noProof/>
                <w:webHidden/>
              </w:rPr>
              <w:fldChar w:fldCharType="end"/>
            </w:r>
          </w:hyperlink>
        </w:p>
        <w:p w14:paraId="0EDCAFB4" w14:textId="598D7FF4" w:rsidR="00FF1BBF" w:rsidRDefault="009B1D68">
          <w:pPr>
            <w:pStyle w:val="TOC3"/>
            <w:tabs>
              <w:tab w:val="right" w:leader="dot" w:pos="9016"/>
            </w:tabs>
            <w:rPr>
              <w:rFonts w:eastAsiaTheme="minorEastAsia"/>
              <w:noProof/>
              <w:lang w:eastAsia="en-AU"/>
            </w:rPr>
          </w:pPr>
          <w:hyperlink w:anchor="_Toc152165416" w:history="1">
            <w:r w:rsidR="00FF1BBF" w:rsidRPr="00771D4F">
              <w:rPr>
                <w:rStyle w:val="Hyperlink"/>
                <w:noProof/>
              </w:rPr>
              <w:t>Key findings and recommendations</w:t>
            </w:r>
            <w:r w:rsidR="00FF1BBF">
              <w:rPr>
                <w:noProof/>
                <w:webHidden/>
              </w:rPr>
              <w:tab/>
            </w:r>
            <w:r w:rsidR="00FF1BBF">
              <w:rPr>
                <w:noProof/>
                <w:webHidden/>
              </w:rPr>
              <w:fldChar w:fldCharType="begin"/>
            </w:r>
            <w:r w:rsidR="00FF1BBF">
              <w:rPr>
                <w:noProof/>
                <w:webHidden/>
              </w:rPr>
              <w:instrText xml:space="preserve"> PAGEREF _Toc152165416 \h </w:instrText>
            </w:r>
            <w:r w:rsidR="00FF1BBF">
              <w:rPr>
                <w:noProof/>
                <w:webHidden/>
              </w:rPr>
            </w:r>
            <w:r w:rsidR="00FF1BBF">
              <w:rPr>
                <w:noProof/>
                <w:webHidden/>
              </w:rPr>
              <w:fldChar w:fldCharType="separate"/>
            </w:r>
            <w:r w:rsidR="00F6694F">
              <w:rPr>
                <w:noProof/>
                <w:webHidden/>
              </w:rPr>
              <w:t>7</w:t>
            </w:r>
            <w:r w:rsidR="00FF1BBF">
              <w:rPr>
                <w:noProof/>
                <w:webHidden/>
              </w:rPr>
              <w:fldChar w:fldCharType="end"/>
            </w:r>
          </w:hyperlink>
        </w:p>
        <w:p w14:paraId="434D54C5" w14:textId="5AA76DF9" w:rsidR="00FF1BBF" w:rsidRDefault="009B1D68">
          <w:pPr>
            <w:pStyle w:val="TOC2"/>
            <w:rPr>
              <w:rFonts w:eastAsiaTheme="minorEastAsia"/>
              <w:noProof/>
              <w:lang w:eastAsia="en-AU"/>
            </w:rPr>
          </w:pPr>
          <w:hyperlink w:anchor="_Toc152165417" w:history="1">
            <w:r w:rsidR="00FF1BBF" w:rsidRPr="00771D4F">
              <w:rPr>
                <w:rStyle w:val="Hyperlink"/>
                <w:noProof/>
              </w:rPr>
              <w:t>Section 1: Market dynamics and innovation</w:t>
            </w:r>
            <w:r w:rsidR="00FF1BBF">
              <w:rPr>
                <w:noProof/>
                <w:webHidden/>
              </w:rPr>
              <w:tab/>
            </w:r>
            <w:r w:rsidR="00FF1BBF">
              <w:rPr>
                <w:noProof/>
                <w:webHidden/>
              </w:rPr>
              <w:fldChar w:fldCharType="begin"/>
            </w:r>
            <w:r w:rsidR="00FF1BBF">
              <w:rPr>
                <w:noProof/>
                <w:webHidden/>
              </w:rPr>
              <w:instrText xml:space="preserve"> PAGEREF _Toc152165417 \h </w:instrText>
            </w:r>
            <w:r w:rsidR="00FF1BBF">
              <w:rPr>
                <w:noProof/>
                <w:webHidden/>
              </w:rPr>
            </w:r>
            <w:r w:rsidR="00FF1BBF">
              <w:rPr>
                <w:noProof/>
                <w:webHidden/>
              </w:rPr>
              <w:fldChar w:fldCharType="separate"/>
            </w:r>
            <w:r w:rsidR="00F6694F">
              <w:rPr>
                <w:noProof/>
                <w:webHidden/>
              </w:rPr>
              <w:t>13</w:t>
            </w:r>
            <w:r w:rsidR="00FF1BBF">
              <w:rPr>
                <w:noProof/>
                <w:webHidden/>
              </w:rPr>
              <w:fldChar w:fldCharType="end"/>
            </w:r>
          </w:hyperlink>
        </w:p>
        <w:p w14:paraId="08B9F53E" w14:textId="0D8EA8D9" w:rsidR="00FF1BBF" w:rsidRDefault="009B1D68">
          <w:pPr>
            <w:pStyle w:val="TOC3"/>
            <w:tabs>
              <w:tab w:val="right" w:leader="dot" w:pos="9016"/>
            </w:tabs>
            <w:rPr>
              <w:rFonts w:eastAsiaTheme="minorEastAsia"/>
              <w:noProof/>
              <w:lang w:eastAsia="en-AU"/>
            </w:rPr>
          </w:pPr>
          <w:hyperlink w:anchor="_Toc152165418" w:history="1">
            <w:r w:rsidR="00FF1BBF" w:rsidRPr="00771D4F">
              <w:rPr>
                <w:rStyle w:val="Hyperlink"/>
                <w:noProof/>
              </w:rPr>
              <w:t>Impact of market dynamics on business strategy, risk appetite and pursuit of new-to-market innovation</w:t>
            </w:r>
            <w:r w:rsidR="00FF1BBF">
              <w:rPr>
                <w:noProof/>
                <w:webHidden/>
              </w:rPr>
              <w:tab/>
            </w:r>
            <w:r w:rsidR="00FF1BBF">
              <w:rPr>
                <w:noProof/>
                <w:webHidden/>
              </w:rPr>
              <w:fldChar w:fldCharType="begin"/>
            </w:r>
            <w:r w:rsidR="00FF1BBF">
              <w:rPr>
                <w:noProof/>
                <w:webHidden/>
              </w:rPr>
              <w:instrText xml:space="preserve"> PAGEREF _Toc152165418 \h </w:instrText>
            </w:r>
            <w:r w:rsidR="00FF1BBF">
              <w:rPr>
                <w:noProof/>
                <w:webHidden/>
              </w:rPr>
            </w:r>
            <w:r w:rsidR="00FF1BBF">
              <w:rPr>
                <w:noProof/>
                <w:webHidden/>
              </w:rPr>
              <w:fldChar w:fldCharType="separate"/>
            </w:r>
            <w:r w:rsidR="00F6694F">
              <w:rPr>
                <w:noProof/>
                <w:webHidden/>
              </w:rPr>
              <w:t>16</w:t>
            </w:r>
            <w:r w:rsidR="00FF1BBF">
              <w:rPr>
                <w:noProof/>
                <w:webHidden/>
              </w:rPr>
              <w:fldChar w:fldCharType="end"/>
            </w:r>
          </w:hyperlink>
        </w:p>
        <w:p w14:paraId="6101FFAC" w14:textId="031043A6" w:rsidR="00FF1BBF" w:rsidRDefault="009B1D68">
          <w:pPr>
            <w:pStyle w:val="TOC3"/>
            <w:tabs>
              <w:tab w:val="right" w:leader="dot" w:pos="9016"/>
            </w:tabs>
            <w:rPr>
              <w:rFonts w:eastAsiaTheme="minorEastAsia"/>
              <w:noProof/>
              <w:lang w:eastAsia="en-AU"/>
            </w:rPr>
          </w:pPr>
          <w:hyperlink w:anchor="_Toc152165419" w:history="1">
            <w:r w:rsidR="00FF1BBF" w:rsidRPr="00771D4F">
              <w:rPr>
                <w:rStyle w:val="Hyperlink"/>
                <w:noProof/>
              </w:rPr>
              <w:t>Risk-taking in pioneering enterprises for global markets</w:t>
            </w:r>
            <w:r w:rsidR="00FF1BBF">
              <w:rPr>
                <w:noProof/>
                <w:webHidden/>
              </w:rPr>
              <w:tab/>
            </w:r>
            <w:r w:rsidR="00FF1BBF">
              <w:rPr>
                <w:noProof/>
                <w:webHidden/>
              </w:rPr>
              <w:fldChar w:fldCharType="begin"/>
            </w:r>
            <w:r w:rsidR="00FF1BBF">
              <w:rPr>
                <w:noProof/>
                <w:webHidden/>
              </w:rPr>
              <w:instrText xml:space="preserve"> PAGEREF _Toc152165419 \h </w:instrText>
            </w:r>
            <w:r w:rsidR="00FF1BBF">
              <w:rPr>
                <w:noProof/>
                <w:webHidden/>
              </w:rPr>
            </w:r>
            <w:r w:rsidR="00FF1BBF">
              <w:rPr>
                <w:noProof/>
                <w:webHidden/>
              </w:rPr>
              <w:fldChar w:fldCharType="separate"/>
            </w:r>
            <w:r w:rsidR="00F6694F">
              <w:rPr>
                <w:noProof/>
                <w:webHidden/>
              </w:rPr>
              <w:t>19</w:t>
            </w:r>
            <w:r w:rsidR="00FF1BBF">
              <w:rPr>
                <w:noProof/>
                <w:webHidden/>
              </w:rPr>
              <w:fldChar w:fldCharType="end"/>
            </w:r>
          </w:hyperlink>
        </w:p>
        <w:p w14:paraId="24BA5383" w14:textId="6EE22EBB" w:rsidR="00FF1BBF" w:rsidRDefault="009B1D68">
          <w:pPr>
            <w:pStyle w:val="TOC3"/>
            <w:tabs>
              <w:tab w:val="right" w:leader="dot" w:pos="9016"/>
            </w:tabs>
            <w:rPr>
              <w:rFonts w:eastAsiaTheme="minorEastAsia"/>
              <w:noProof/>
              <w:lang w:eastAsia="en-AU"/>
            </w:rPr>
          </w:pPr>
          <w:hyperlink w:anchor="_Toc152165420" w:history="1">
            <w:r w:rsidR="00FF1BBF" w:rsidRPr="00771D4F">
              <w:rPr>
                <w:rStyle w:val="Hyperlink"/>
                <w:noProof/>
              </w:rPr>
              <w:t>Recommendations and policy considerations</w:t>
            </w:r>
            <w:r w:rsidR="00FF1BBF">
              <w:rPr>
                <w:noProof/>
                <w:webHidden/>
              </w:rPr>
              <w:tab/>
            </w:r>
            <w:r w:rsidR="00FF1BBF">
              <w:rPr>
                <w:noProof/>
                <w:webHidden/>
              </w:rPr>
              <w:fldChar w:fldCharType="begin"/>
            </w:r>
            <w:r w:rsidR="00FF1BBF">
              <w:rPr>
                <w:noProof/>
                <w:webHidden/>
              </w:rPr>
              <w:instrText xml:space="preserve"> PAGEREF _Toc152165420 \h </w:instrText>
            </w:r>
            <w:r w:rsidR="00FF1BBF">
              <w:rPr>
                <w:noProof/>
                <w:webHidden/>
              </w:rPr>
            </w:r>
            <w:r w:rsidR="00FF1BBF">
              <w:rPr>
                <w:noProof/>
                <w:webHidden/>
              </w:rPr>
              <w:fldChar w:fldCharType="separate"/>
            </w:r>
            <w:r w:rsidR="00F6694F">
              <w:rPr>
                <w:noProof/>
                <w:webHidden/>
              </w:rPr>
              <w:t>23</w:t>
            </w:r>
            <w:r w:rsidR="00FF1BBF">
              <w:rPr>
                <w:noProof/>
                <w:webHidden/>
              </w:rPr>
              <w:fldChar w:fldCharType="end"/>
            </w:r>
          </w:hyperlink>
        </w:p>
        <w:p w14:paraId="1B227CE4" w14:textId="68983404" w:rsidR="00FF1BBF" w:rsidRDefault="009B1D68">
          <w:pPr>
            <w:pStyle w:val="TOC2"/>
            <w:rPr>
              <w:rFonts w:eastAsiaTheme="minorEastAsia"/>
              <w:noProof/>
              <w:lang w:eastAsia="en-AU"/>
            </w:rPr>
          </w:pPr>
          <w:hyperlink w:anchor="_Toc152165421" w:history="1">
            <w:r w:rsidR="00FF1BBF" w:rsidRPr="00771D4F">
              <w:rPr>
                <w:rStyle w:val="Hyperlink"/>
                <w:noProof/>
              </w:rPr>
              <w:t>Section 2: Business composition, absorptive capacity and capability</w:t>
            </w:r>
            <w:r w:rsidR="00FF1BBF">
              <w:rPr>
                <w:noProof/>
                <w:webHidden/>
              </w:rPr>
              <w:tab/>
            </w:r>
            <w:r w:rsidR="00FF1BBF">
              <w:rPr>
                <w:noProof/>
                <w:webHidden/>
              </w:rPr>
              <w:fldChar w:fldCharType="begin"/>
            </w:r>
            <w:r w:rsidR="00FF1BBF">
              <w:rPr>
                <w:noProof/>
                <w:webHidden/>
              </w:rPr>
              <w:instrText xml:space="preserve"> PAGEREF _Toc152165421 \h </w:instrText>
            </w:r>
            <w:r w:rsidR="00FF1BBF">
              <w:rPr>
                <w:noProof/>
                <w:webHidden/>
              </w:rPr>
            </w:r>
            <w:r w:rsidR="00FF1BBF">
              <w:rPr>
                <w:noProof/>
                <w:webHidden/>
              </w:rPr>
              <w:fldChar w:fldCharType="separate"/>
            </w:r>
            <w:r w:rsidR="00F6694F">
              <w:rPr>
                <w:noProof/>
                <w:webHidden/>
              </w:rPr>
              <w:t>24</w:t>
            </w:r>
            <w:r w:rsidR="00FF1BBF">
              <w:rPr>
                <w:noProof/>
                <w:webHidden/>
              </w:rPr>
              <w:fldChar w:fldCharType="end"/>
            </w:r>
          </w:hyperlink>
        </w:p>
        <w:p w14:paraId="151E086E" w14:textId="3A758CF3" w:rsidR="00FF1BBF" w:rsidRDefault="009B1D68">
          <w:pPr>
            <w:pStyle w:val="TOC3"/>
            <w:tabs>
              <w:tab w:val="right" w:leader="dot" w:pos="9016"/>
            </w:tabs>
            <w:rPr>
              <w:rFonts w:eastAsiaTheme="minorEastAsia"/>
              <w:noProof/>
              <w:lang w:eastAsia="en-AU"/>
            </w:rPr>
          </w:pPr>
          <w:hyperlink w:anchor="_Toc152165422" w:history="1">
            <w:r w:rsidR="00FF1BBF" w:rsidRPr="00771D4F">
              <w:rPr>
                <w:rStyle w:val="Hyperlink"/>
                <w:noProof/>
              </w:rPr>
              <w:t>Australia’s industry base has a shrinking band of medium-sized businesses.</w:t>
            </w:r>
            <w:r w:rsidR="00FF1BBF">
              <w:rPr>
                <w:noProof/>
                <w:webHidden/>
              </w:rPr>
              <w:tab/>
            </w:r>
            <w:r w:rsidR="00FF1BBF">
              <w:rPr>
                <w:noProof/>
                <w:webHidden/>
              </w:rPr>
              <w:fldChar w:fldCharType="begin"/>
            </w:r>
            <w:r w:rsidR="00FF1BBF">
              <w:rPr>
                <w:noProof/>
                <w:webHidden/>
              </w:rPr>
              <w:instrText xml:space="preserve"> PAGEREF _Toc152165422 \h </w:instrText>
            </w:r>
            <w:r w:rsidR="00FF1BBF">
              <w:rPr>
                <w:noProof/>
                <w:webHidden/>
              </w:rPr>
            </w:r>
            <w:r w:rsidR="00FF1BBF">
              <w:rPr>
                <w:noProof/>
                <w:webHidden/>
              </w:rPr>
              <w:fldChar w:fldCharType="separate"/>
            </w:r>
            <w:r w:rsidR="00F6694F">
              <w:rPr>
                <w:noProof/>
                <w:webHidden/>
              </w:rPr>
              <w:t>26</w:t>
            </w:r>
            <w:r w:rsidR="00FF1BBF">
              <w:rPr>
                <w:noProof/>
                <w:webHidden/>
              </w:rPr>
              <w:fldChar w:fldCharType="end"/>
            </w:r>
          </w:hyperlink>
        </w:p>
        <w:p w14:paraId="3C361005" w14:textId="6E48B57B" w:rsidR="00FF1BBF" w:rsidRDefault="009B1D68">
          <w:pPr>
            <w:pStyle w:val="TOC3"/>
            <w:tabs>
              <w:tab w:val="right" w:leader="dot" w:pos="9016"/>
            </w:tabs>
            <w:rPr>
              <w:rFonts w:eastAsiaTheme="minorEastAsia"/>
              <w:noProof/>
              <w:lang w:eastAsia="en-AU"/>
            </w:rPr>
          </w:pPr>
          <w:hyperlink w:anchor="_Toc152165423" w:history="1">
            <w:r w:rsidR="00FF1BBF" w:rsidRPr="00771D4F">
              <w:rPr>
                <w:rStyle w:val="Hyperlink"/>
                <w:noProof/>
              </w:rPr>
              <w:t>Australia has a scale-up problem.</w:t>
            </w:r>
            <w:r w:rsidR="00FF1BBF">
              <w:rPr>
                <w:noProof/>
                <w:webHidden/>
              </w:rPr>
              <w:tab/>
            </w:r>
            <w:r w:rsidR="00FF1BBF">
              <w:rPr>
                <w:noProof/>
                <w:webHidden/>
              </w:rPr>
              <w:fldChar w:fldCharType="begin"/>
            </w:r>
            <w:r w:rsidR="00FF1BBF">
              <w:rPr>
                <w:noProof/>
                <w:webHidden/>
              </w:rPr>
              <w:instrText xml:space="preserve"> PAGEREF _Toc152165423 \h </w:instrText>
            </w:r>
            <w:r w:rsidR="00FF1BBF">
              <w:rPr>
                <w:noProof/>
                <w:webHidden/>
              </w:rPr>
            </w:r>
            <w:r w:rsidR="00FF1BBF">
              <w:rPr>
                <w:noProof/>
                <w:webHidden/>
              </w:rPr>
              <w:fldChar w:fldCharType="separate"/>
            </w:r>
            <w:r w:rsidR="00F6694F">
              <w:rPr>
                <w:noProof/>
                <w:webHidden/>
              </w:rPr>
              <w:t>27</w:t>
            </w:r>
            <w:r w:rsidR="00FF1BBF">
              <w:rPr>
                <w:noProof/>
                <w:webHidden/>
              </w:rPr>
              <w:fldChar w:fldCharType="end"/>
            </w:r>
          </w:hyperlink>
        </w:p>
        <w:p w14:paraId="0111622B" w14:textId="6C3F03E1" w:rsidR="00FF1BBF" w:rsidRDefault="009B1D68">
          <w:pPr>
            <w:pStyle w:val="TOC2"/>
            <w:rPr>
              <w:rFonts w:eastAsiaTheme="minorEastAsia"/>
              <w:noProof/>
              <w:lang w:eastAsia="en-AU"/>
            </w:rPr>
          </w:pPr>
          <w:hyperlink w:anchor="_Toc152165424" w:history="1">
            <w:r w:rsidR="00FF1BBF" w:rsidRPr="00771D4F">
              <w:rPr>
                <w:rStyle w:val="Hyperlink"/>
                <w:noProof/>
              </w:rPr>
              <w:t>Recommendations and policy considerations</w:t>
            </w:r>
            <w:r w:rsidR="00FF1BBF">
              <w:rPr>
                <w:noProof/>
                <w:webHidden/>
              </w:rPr>
              <w:tab/>
            </w:r>
            <w:r w:rsidR="00FF1BBF">
              <w:rPr>
                <w:noProof/>
                <w:webHidden/>
              </w:rPr>
              <w:fldChar w:fldCharType="begin"/>
            </w:r>
            <w:r w:rsidR="00FF1BBF">
              <w:rPr>
                <w:noProof/>
                <w:webHidden/>
              </w:rPr>
              <w:instrText xml:space="preserve"> PAGEREF _Toc152165424 \h </w:instrText>
            </w:r>
            <w:r w:rsidR="00FF1BBF">
              <w:rPr>
                <w:noProof/>
                <w:webHidden/>
              </w:rPr>
            </w:r>
            <w:r w:rsidR="00FF1BBF">
              <w:rPr>
                <w:noProof/>
                <w:webHidden/>
              </w:rPr>
              <w:fldChar w:fldCharType="separate"/>
            </w:r>
            <w:r w:rsidR="00F6694F">
              <w:rPr>
                <w:noProof/>
                <w:webHidden/>
              </w:rPr>
              <w:t>33</w:t>
            </w:r>
            <w:r w:rsidR="00FF1BBF">
              <w:rPr>
                <w:noProof/>
                <w:webHidden/>
              </w:rPr>
              <w:fldChar w:fldCharType="end"/>
            </w:r>
          </w:hyperlink>
        </w:p>
        <w:p w14:paraId="12EFB0A4" w14:textId="4884BA43" w:rsidR="00FF1BBF" w:rsidRDefault="009B1D68">
          <w:pPr>
            <w:pStyle w:val="TOC3"/>
            <w:tabs>
              <w:tab w:val="right" w:leader="dot" w:pos="9016"/>
            </w:tabs>
            <w:rPr>
              <w:rFonts w:eastAsiaTheme="minorEastAsia"/>
              <w:noProof/>
              <w:lang w:eastAsia="en-AU"/>
            </w:rPr>
          </w:pPr>
          <w:hyperlink w:anchor="_Toc152165425" w:history="1">
            <w:r w:rsidR="00FF1BBF" w:rsidRPr="00771D4F">
              <w:rPr>
                <w:rStyle w:val="Hyperlink"/>
                <w:noProof/>
              </w:rPr>
              <w:t>Build absorptive capacity and capability for industry transformation.</w:t>
            </w:r>
            <w:r w:rsidR="00FF1BBF">
              <w:rPr>
                <w:noProof/>
                <w:webHidden/>
              </w:rPr>
              <w:tab/>
            </w:r>
            <w:r w:rsidR="00FF1BBF">
              <w:rPr>
                <w:noProof/>
                <w:webHidden/>
              </w:rPr>
              <w:fldChar w:fldCharType="begin"/>
            </w:r>
            <w:r w:rsidR="00FF1BBF">
              <w:rPr>
                <w:noProof/>
                <w:webHidden/>
              </w:rPr>
              <w:instrText xml:space="preserve"> PAGEREF _Toc152165425 \h </w:instrText>
            </w:r>
            <w:r w:rsidR="00FF1BBF">
              <w:rPr>
                <w:noProof/>
                <w:webHidden/>
              </w:rPr>
            </w:r>
            <w:r w:rsidR="00FF1BBF">
              <w:rPr>
                <w:noProof/>
                <w:webHidden/>
              </w:rPr>
              <w:fldChar w:fldCharType="separate"/>
            </w:r>
            <w:r w:rsidR="00F6694F">
              <w:rPr>
                <w:noProof/>
                <w:webHidden/>
              </w:rPr>
              <w:t>33</w:t>
            </w:r>
            <w:r w:rsidR="00FF1BBF">
              <w:rPr>
                <w:noProof/>
                <w:webHidden/>
              </w:rPr>
              <w:fldChar w:fldCharType="end"/>
            </w:r>
          </w:hyperlink>
        </w:p>
        <w:p w14:paraId="10582CB8" w14:textId="17ECF841" w:rsidR="00FF1BBF" w:rsidRDefault="009B1D68">
          <w:pPr>
            <w:pStyle w:val="TOC2"/>
            <w:rPr>
              <w:rFonts w:eastAsiaTheme="minorEastAsia"/>
              <w:noProof/>
              <w:lang w:eastAsia="en-AU"/>
            </w:rPr>
          </w:pPr>
          <w:hyperlink w:anchor="_Toc152165426" w:history="1">
            <w:r w:rsidR="00FF1BBF" w:rsidRPr="00771D4F">
              <w:rPr>
                <w:rStyle w:val="Hyperlink"/>
                <w:noProof/>
              </w:rPr>
              <w:t>Section 3: Efficiencies of innovation process</w:t>
            </w:r>
            <w:r w:rsidR="00FF1BBF">
              <w:rPr>
                <w:noProof/>
                <w:webHidden/>
              </w:rPr>
              <w:tab/>
            </w:r>
            <w:r w:rsidR="00FF1BBF">
              <w:rPr>
                <w:noProof/>
                <w:webHidden/>
              </w:rPr>
              <w:fldChar w:fldCharType="begin"/>
            </w:r>
            <w:r w:rsidR="00FF1BBF">
              <w:rPr>
                <w:noProof/>
                <w:webHidden/>
              </w:rPr>
              <w:instrText xml:space="preserve"> PAGEREF _Toc152165426 \h </w:instrText>
            </w:r>
            <w:r w:rsidR="00FF1BBF">
              <w:rPr>
                <w:noProof/>
                <w:webHidden/>
              </w:rPr>
            </w:r>
            <w:r w:rsidR="00FF1BBF">
              <w:rPr>
                <w:noProof/>
                <w:webHidden/>
              </w:rPr>
              <w:fldChar w:fldCharType="separate"/>
            </w:r>
            <w:r w:rsidR="00F6694F">
              <w:rPr>
                <w:noProof/>
                <w:webHidden/>
              </w:rPr>
              <w:t>34</w:t>
            </w:r>
            <w:r w:rsidR="00FF1BBF">
              <w:rPr>
                <w:noProof/>
                <w:webHidden/>
              </w:rPr>
              <w:fldChar w:fldCharType="end"/>
            </w:r>
          </w:hyperlink>
        </w:p>
        <w:p w14:paraId="21B8431C" w14:textId="0CFE53B1" w:rsidR="00FF1BBF" w:rsidRDefault="009B1D68">
          <w:pPr>
            <w:pStyle w:val="TOC3"/>
            <w:tabs>
              <w:tab w:val="right" w:leader="dot" w:pos="9016"/>
            </w:tabs>
            <w:rPr>
              <w:rFonts w:eastAsiaTheme="minorEastAsia"/>
              <w:noProof/>
              <w:lang w:eastAsia="en-AU"/>
            </w:rPr>
          </w:pPr>
          <w:hyperlink w:anchor="_Toc152165427" w:history="1">
            <w:r w:rsidR="00FF1BBF" w:rsidRPr="00771D4F">
              <w:rPr>
                <w:rStyle w:val="Hyperlink"/>
                <w:noProof/>
              </w:rPr>
              <w:t>Intellectual property</w:t>
            </w:r>
            <w:r w:rsidR="00FF1BBF">
              <w:rPr>
                <w:noProof/>
                <w:webHidden/>
              </w:rPr>
              <w:tab/>
            </w:r>
            <w:r w:rsidR="00FF1BBF">
              <w:rPr>
                <w:noProof/>
                <w:webHidden/>
              </w:rPr>
              <w:fldChar w:fldCharType="begin"/>
            </w:r>
            <w:r w:rsidR="00FF1BBF">
              <w:rPr>
                <w:noProof/>
                <w:webHidden/>
              </w:rPr>
              <w:instrText xml:space="preserve"> PAGEREF _Toc152165427 \h </w:instrText>
            </w:r>
            <w:r w:rsidR="00FF1BBF">
              <w:rPr>
                <w:noProof/>
                <w:webHidden/>
              </w:rPr>
            </w:r>
            <w:r w:rsidR="00FF1BBF">
              <w:rPr>
                <w:noProof/>
                <w:webHidden/>
              </w:rPr>
              <w:fldChar w:fldCharType="separate"/>
            </w:r>
            <w:r w:rsidR="00F6694F">
              <w:rPr>
                <w:noProof/>
                <w:webHidden/>
              </w:rPr>
              <w:t>34</w:t>
            </w:r>
            <w:r w:rsidR="00FF1BBF">
              <w:rPr>
                <w:noProof/>
                <w:webHidden/>
              </w:rPr>
              <w:fldChar w:fldCharType="end"/>
            </w:r>
          </w:hyperlink>
        </w:p>
        <w:p w14:paraId="34F3441B" w14:textId="305D7261" w:rsidR="00FF1BBF" w:rsidRDefault="009B1D68">
          <w:pPr>
            <w:pStyle w:val="TOC3"/>
            <w:tabs>
              <w:tab w:val="right" w:leader="dot" w:pos="9016"/>
            </w:tabs>
            <w:rPr>
              <w:rFonts w:eastAsiaTheme="minorEastAsia"/>
              <w:noProof/>
              <w:lang w:eastAsia="en-AU"/>
            </w:rPr>
          </w:pPr>
          <w:hyperlink w:anchor="_Toc152165428" w:history="1">
            <w:r w:rsidR="00FF1BBF" w:rsidRPr="00771D4F">
              <w:rPr>
                <w:rStyle w:val="Hyperlink"/>
                <w:noProof/>
              </w:rPr>
              <w:t>Work practices</w:t>
            </w:r>
            <w:r w:rsidR="00FF1BBF">
              <w:rPr>
                <w:noProof/>
                <w:webHidden/>
              </w:rPr>
              <w:tab/>
            </w:r>
            <w:r w:rsidR="00FF1BBF">
              <w:rPr>
                <w:noProof/>
                <w:webHidden/>
              </w:rPr>
              <w:fldChar w:fldCharType="begin"/>
            </w:r>
            <w:r w:rsidR="00FF1BBF">
              <w:rPr>
                <w:noProof/>
                <w:webHidden/>
              </w:rPr>
              <w:instrText xml:space="preserve"> PAGEREF _Toc152165428 \h </w:instrText>
            </w:r>
            <w:r w:rsidR="00FF1BBF">
              <w:rPr>
                <w:noProof/>
                <w:webHidden/>
              </w:rPr>
            </w:r>
            <w:r w:rsidR="00FF1BBF">
              <w:rPr>
                <w:noProof/>
                <w:webHidden/>
              </w:rPr>
              <w:fldChar w:fldCharType="separate"/>
            </w:r>
            <w:r w:rsidR="00F6694F">
              <w:rPr>
                <w:noProof/>
                <w:webHidden/>
              </w:rPr>
              <w:t>35</w:t>
            </w:r>
            <w:r w:rsidR="00FF1BBF">
              <w:rPr>
                <w:noProof/>
                <w:webHidden/>
              </w:rPr>
              <w:fldChar w:fldCharType="end"/>
            </w:r>
          </w:hyperlink>
        </w:p>
        <w:p w14:paraId="7388811B" w14:textId="05AB3311" w:rsidR="00FF1BBF" w:rsidRDefault="009B1D68">
          <w:pPr>
            <w:pStyle w:val="TOC3"/>
            <w:tabs>
              <w:tab w:val="right" w:leader="dot" w:pos="9016"/>
            </w:tabs>
            <w:rPr>
              <w:rFonts w:eastAsiaTheme="minorEastAsia"/>
              <w:noProof/>
              <w:lang w:eastAsia="en-AU"/>
            </w:rPr>
          </w:pPr>
          <w:hyperlink w:anchor="_Toc152165429" w:history="1">
            <w:r w:rsidR="00FF1BBF" w:rsidRPr="00771D4F">
              <w:rPr>
                <w:rStyle w:val="Hyperlink"/>
                <w:noProof/>
              </w:rPr>
              <w:t>Lack of competition in the brokerage and delivery of effective industry-research partnerships beyond research collaboration</w:t>
            </w:r>
            <w:r w:rsidR="00FF1BBF">
              <w:rPr>
                <w:noProof/>
                <w:webHidden/>
              </w:rPr>
              <w:tab/>
            </w:r>
            <w:r w:rsidR="00FF1BBF">
              <w:rPr>
                <w:noProof/>
                <w:webHidden/>
              </w:rPr>
              <w:fldChar w:fldCharType="begin"/>
            </w:r>
            <w:r w:rsidR="00FF1BBF">
              <w:rPr>
                <w:noProof/>
                <w:webHidden/>
              </w:rPr>
              <w:instrText xml:space="preserve"> PAGEREF _Toc152165429 \h </w:instrText>
            </w:r>
            <w:r w:rsidR="00FF1BBF">
              <w:rPr>
                <w:noProof/>
                <w:webHidden/>
              </w:rPr>
            </w:r>
            <w:r w:rsidR="00FF1BBF">
              <w:rPr>
                <w:noProof/>
                <w:webHidden/>
              </w:rPr>
              <w:fldChar w:fldCharType="separate"/>
            </w:r>
            <w:r w:rsidR="00F6694F">
              <w:rPr>
                <w:noProof/>
                <w:webHidden/>
              </w:rPr>
              <w:t>36</w:t>
            </w:r>
            <w:r w:rsidR="00FF1BBF">
              <w:rPr>
                <w:noProof/>
                <w:webHidden/>
              </w:rPr>
              <w:fldChar w:fldCharType="end"/>
            </w:r>
          </w:hyperlink>
        </w:p>
        <w:p w14:paraId="56CDE154" w14:textId="18F63C84" w:rsidR="00FF1BBF" w:rsidRDefault="009B1D68">
          <w:pPr>
            <w:pStyle w:val="TOC3"/>
            <w:tabs>
              <w:tab w:val="right" w:leader="dot" w:pos="9016"/>
            </w:tabs>
            <w:rPr>
              <w:rFonts w:eastAsiaTheme="minorEastAsia"/>
              <w:noProof/>
              <w:lang w:eastAsia="en-AU"/>
            </w:rPr>
          </w:pPr>
          <w:hyperlink w:anchor="_Toc152165430" w:history="1">
            <w:r w:rsidR="00FF1BBF" w:rsidRPr="00771D4F">
              <w:rPr>
                <w:rStyle w:val="Hyperlink"/>
                <w:noProof/>
              </w:rPr>
              <w:t>Measuring the things that matter</w:t>
            </w:r>
            <w:r w:rsidR="00FF1BBF">
              <w:rPr>
                <w:noProof/>
                <w:webHidden/>
              </w:rPr>
              <w:tab/>
            </w:r>
            <w:r w:rsidR="00FF1BBF">
              <w:rPr>
                <w:noProof/>
                <w:webHidden/>
              </w:rPr>
              <w:fldChar w:fldCharType="begin"/>
            </w:r>
            <w:r w:rsidR="00FF1BBF">
              <w:rPr>
                <w:noProof/>
                <w:webHidden/>
              </w:rPr>
              <w:instrText xml:space="preserve"> PAGEREF _Toc152165430 \h </w:instrText>
            </w:r>
            <w:r w:rsidR="00FF1BBF">
              <w:rPr>
                <w:noProof/>
                <w:webHidden/>
              </w:rPr>
            </w:r>
            <w:r w:rsidR="00FF1BBF">
              <w:rPr>
                <w:noProof/>
                <w:webHidden/>
              </w:rPr>
              <w:fldChar w:fldCharType="separate"/>
            </w:r>
            <w:r w:rsidR="00F6694F">
              <w:rPr>
                <w:noProof/>
                <w:webHidden/>
              </w:rPr>
              <w:t>38</w:t>
            </w:r>
            <w:r w:rsidR="00FF1BBF">
              <w:rPr>
                <w:noProof/>
                <w:webHidden/>
              </w:rPr>
              <w:fldChar w:fldCharType="end"/>
            </w:r>
          </w:hyperlink>
        </w:p>
        <w:p w14:paraId="334A4722" w14:textId="6ECA6445" w:rsidR="00FF1BBF" w:rsidRDefault="009B1D68">
          <w:pPr>
            <w:pStyle w:val="TOC3"/>
            <w:tabs>
              <w:tab w:val="right" w:leader="dot" w:pos="9016"/>
            </w:tabs>
            <w:rPr>
              <w:rFonts w:eastAsiaTheme="minorEastAsia"/>
              <w:noProof/>
              <w:lang w:eastAsia="en-AU"/>
            </w:rPr>
          </w:pPr>
          <w:hyperlink w:anchor="_Toc152165431" w:history="1">
            <w:r w:rsidR="00FF1BBF" w:rsidRPr="00771D4F">
              <w:rPr>
                <w:rStyle w:val="Hyperlink"/>
                <w:noProof/>
              </w:rPr>
              <w:t>Recommendations and policy considerations</w:t>
            </w:r>
            <w:r w:rsidR="00FF1BBF">
              <w:rPr>
                <w:noProof/>
                <w:webHidden/>
              </w:rPr>
              <w:tab/>
            </w:r>
            <w:r w:rsidR="00FF1BBF">
              <w:rPr>
                <w:noProof/>
                <w:webHidden/>
              </w:rPr>
              <w:fldChar w:fldCharType="begin"/>
            </w:r>
            <w:r w:rsidR="00FF1BBF">
              <w:rPr>
                <w:noProof/>
                <w:webHidden/>
              </w:rPr>
              <w:instrText xml:space="preserve"> PAGEREF _Toc152165431 \h </w:instrText>
            </w:r>
            <w:r w:rsidR="00FF1BBF">
              <w:rPr>
                <w:noProof/>
                <w:webHidden/>
              </w:rPr>
            </w:r>
            <w:r w:rsidR="00FF1BBF">
              <w:rPr>
                <w:noProof/>
                <w:webHidden/>
              </w:rPr>
              <w:fldChar w:fldCharType="separate"/>
            </w:r>
            <w:r w:rsidR="00F6694F">
              <w:rPr>
                <w:noProof/>
                <w:webHidden/>
              </w:rPr>
              <w:t>39</w:t>
            </w:r>
            <w:r w:rsidR="00FF1BBF">
              <w:rPr>
                <w:noProof/>
                <w:webHidden/>
              </w:rPr>
              <w:fldChar w:fldCharType="end"/>
            </w:r>
          </w:hyperlink>
        </w:p>
        <w:p w14:paraId="4397A13E" w14:textId="6C3E5E92" w:rsidR="00FF1BBF" w:rsidRDefault="009B1D68">
          <w:pPr>
            <w:pStyle w:val="TOC2"/>
            <w:rPr>
              <w:rFonts w:eastAsiaTheme="minorEastAsia"/>
              <w:noProof/>
              <w:lang w:eastAsia="en-AU"/>
            </w:rPr>
          </w:pPr>
          <w:hyperlink w:anchor="_Toc152165432" w:history="1">
            <w:r w:rsidR="00FF1BBF" w:rsidRPr="00771D4F">
              <w:rPr>
                <w:rStyle w:val="Hyperlink"/>
                <w:noProof/>
              </w:rPr>
              <w:t>Appendix</w:t>
            </w:r>
            <w:r w:rsidR="00FF1BBF">
              <w:rPr>
                <w:noProof/>
                <w:webHidden/>
              </w:rPr>
              <w:tab/>
            </w:r>
            <w:r w:rsidR="00FF1BBF">
              <w:rPr>
                <w:noProof/>
                <w:webHidden/>
              </w:rPr>
              <w:fldChar w:fldCharType="begin"/>
            </w:r>
            <w:r w:rsidR="00FF1BBF">
              <w:rPr>
                <w:noProof/>
                <w:webHidden/>
              </w:rPr>
              <w:instrText xml:space="preserve"> PAGEREF _Toc152165432 \h </w:instrText>
            </w:r>
            <w:r w:rsidR="00FF1BBF">
              <w:rPr>
                <w:noProof/>
                <w:webHidden/>
              </w:rPr>
            </w:r>
            <w:r w:rsidR="00FF1BBF">
              <w:rPr>
                <w:noProof/>
                <w:webHidden/>
              </w:rPr>
              <w:fldChar w:fldCharType="separate"/>
            </w:r>
            <w:r w:rsidR="00F6694F">
              <w:rPr>
                <w:noProof/>
                <w:webHidden/>
              </w:rPr>
              <w:t>41</w:t>
            </w:r>
            <w:r w:rsidR="00FF1BBF">
              <w:rPr>
                <w:noProof/>
                <w:webHidden/>
              </w:rPr>
              <w:fldChar w:fldCharType="end"/>
            </w:r>
          </w:hyperlink>
        </w:p>
        <w:p w14:paraId="2B11A2B6" w14:textId="4EF5C24D" w:rsidR="00FF1BBF" w:rsidRDefault="009B1D68">
          <w:pPr>
            <w:pStyle w:val="TOC3"/>
            <w:tabs>
              <w:tab w:val="right" w:leader="dot" w:pos="9016"/>
            </w:tabs>
            <w:rPr>
              <w:rFonts w:eastAsiaTheme="minorEastAsia"/>
              <w:noProof/>
              <w:lang w:eastAsia="en-AU"/>
            </w:rPr>
          </w:pPr>
          <w:hyperlink w:anchor="_Toc152165433" w:history="1">
            <w:r w:rsidR="00FF1BBF" w:rsidRPr="00771D4F">
              <w:rPr>
                <w:rStyle w:val="Hyperlink"/>
                <w:noProof/>
              </w:rPr>
              <w:t>Appendix 1: Methodology</w:t>
            </w:r>
            <w:r w:rsidR="00FF1BBF">
              <w:rPr>
                <w:noProof/>
                <w:webHidden/>
              </w:rPr>
              <w:tab/>
            </w:r>
            <w:r w:rsidR="00FF1BBF">
              <w:rPr>
                <w:noProof/>
                <w:webHidden/>
              </w:rPr>
              <w:fldChar w:fldCharType="begin"/>
            </w:r>
            <w:r w:rsidR="00FF1BBF">
              <w:rPr>
                <w:noProof/>
                <w:webHidden/>
              </w:rPr>
              <w:instrText xml:space="preserve"> PAGEREF _Toc152165433 \h </w:instrText>
            </w:r>
            <w:r w:rsidR="00FF1BBF">
              <w:rPr>
                <w:noProof/>
                <w:webHidden/>
              </w:rPr>
            </w:r>
            <w:r w:rsidR="00FF1BBF">
              <w:rPr>
                <w:noProof/>
                <w:webHidden/>
              </w:rPr>
              <w:fldChar w:fldCharType="separate"/>
            </w:r>
            <w:r w:rsidR="00F6694F">
              <w:rPr>
                <w:noProof/>
                <w:webHidden/>
              </w:rPr>
              <w:t>41</w:t>
            </w:r>
            <w:r w:rsidR="00FF1BBF">
              <w:rPr>
                <w:noProof/>
                <w:webHidden/>
              </w:rPr>
              <w:fldChar w:fldCharType="end"/>
            </w:r>
          </w:hyperlink>
        </w:p>
        <w:p w14:paraId="5E9BFC21" w14:textId="3FD7DB80" w:rsidR="00FF1BBF" w:rsidRDefault="009B1D68">
          <w:pPr>
            <w:pStyle w:val="TOC3"/>
            <w:tabs>
              <w:tab w:val="right" w:leader="dot" w:pos="9016"/>
            </w:tabs>
            <w:rPr>
              <w:rFonts w:eastAsiaTheme="minorEastAsia"/>
              <w:noProof/>
              <w:lang w:eastAsia="en-AU"/>
            </w:rPr>
          </w:pPr>
          <w:hyperlink w:anchor="_Toc152165434" w:history="1">
            <w:r w:rsidR="00FF1BBF" w:rsidRPr="00771D4F">
              <w:rPr>
                <w:rStyle w:val="Hyperlink"/>
                <w:noProof/>
              </w:rPr>
              <w:t>Appendix 2: Glossary of terms</w:t>
            </w:r>
            <w:r w:rsidR="00FF1BBF">
              <w:rPr>
                <w:noProof/>
                <w:webHidden/>
              </w:rPr>
              <w:tab/>
            </w:r>
            <w:r w:rsidR="00FF1BBF">
              <w:rPr>
                <w:noProof/>
                <w:webHidden/>
              </w:rPr>
              <w:fldChar w:fldCharType="begin"/>
            </w:r>
            <w:r w:rsidR="00FF1BBF">
              <w:rPr>
                <w:noProof/>
                <w:webHidden/>
              </w:rPr>
              <w:instrText xml:space="preserve"> PAGEREF _Toc152165434 \h </w:instrText>
            </w:r>
            <w:r w:rsidR="00FF1BBF">
              <w:rPr>
                <w:noProof/>
                <w:webHidden/>
              </w:rPr>
            </w:r>
            <w:r w:rsidR="00FF1BBF">
              <w:rPr>
                <w:noProof/>
                <w:webHidden/>
              </w:rPr>
              <w:fldChar w:fldCharType="separate"/>
            </w:r>
            <w:r w:rsidR="00F6694F">
              <w:rPr>
                <w:noProof/>
                <w:webHidden/>
              </w:rPr>
              <w:t>43</w:t>
            </w:r>
            <w:r w:rsidR="00FF1BBF">
              <w:rPr>
                <w:noProof/>
                <w:webHidden/>
              </w:rPr>
              <w:fldChar w:fldCharType="end"/>
            </w:r>
          </w:hyperlink>
        </w:p>
        <w:p w14:paraId="212459ED" w14:textId="1981117F" w:rsidR="00FF1BBF" w:rsidRDefault="009B1D68">
          <w:pPr>
            <w:pStyle w:val="TOC3"/>
            <w:tabs>
              <w:tab w:val="right" w:leader="dot" w:pos="9016"/>
            </w:tabs>
            <w:rPr>
              <w:rFonts w:eastAsiaTheme="minorEastAsia"/>
              <w:noProof/>
              <w:lang w:eastAsia="en-AU"/>
            </w:rPr>
          </w:pPr>
          <w:hyperlink w:anchor="_Toc152165435" w:history="1">
            <w:r w:rsidR="00FF1BBF" w:rsidRPr="00771D4F">
              <w:rPr>
                <w:rStyle w:val="Hyperlink"/>
                <w:noProof/>
              </w:rPr>
              <w:t>Appendix 3. Revealed Comparative Advantage – top 20 competitive subsectors, 2021</w:t>
            </w:r>
            <w:r w:rsidR="00FF1BBF">
              <w:rPr>
                <w:noProof/>
                <w:webHidden/>
              </w:rPr>
              <w:tab/>
            </w:r>
            <w:r w:rsidR="00FF1BBF">
              <w:rPr>
                <w:noProof/>
                <w:webHidden/>
              </w:rPr>
              <w:fldChar w:fldCharType="begin"/>
            </w:r>
            <w:r w:rsidR="00FF1BBF">
              <w:rPr>
                <w:noProof/>
                <w:webHidden/>
              </w:rPr>
              <w:instrText xml:space="preserve"> PAGEREF _Toc152165435 \h </w:instrText>
            </w:r>
            <w:r w:rsidR="00FF1BBF">
              <w:rPr>
                <w:noProof/>
                <w:webHidden/>
              </w:rPr>
            </w:r>
            <w:r w:rsidR="00FF1BBF">
              <w:rPr>
                <w:noProof/>
                <w:webHidden/>
              </w:rPr>
              <w:fldChar w:fldCharType="separate"/>
            </w:r>
            <w:r w:rsidR="00F6694F">
              <w:rPr>
                <w:noProof/>
                <w:webHidden/>
              </w:rPr>
              <w:t>45</w:t>
            </w:r>
            <w:r w:rsidR="00FF1BBF">
              <w:rPr>
                <w:noProof/>
                <w:webHidden/>
              </w:rPr>
              <w:fldChar w:fldCharType="end"/>
            </w:r>
          </w:hyperlink>
        </w:p>
        <w:p w14:paraId="0A9AAE12" w14:textId="2A64BFCE" w:rsidR="00FF1BBF" w:rsidRDefault="009B1D68">
          <w:pPr>
            <w:pStyle w:val="TOC3"/>
            <w:tabs>
              <w:tab w:val="right" w:leader="dot" w:pos="9016"/>
            </w:tabs>
            <w:rPr>
              <w:rFonts w:eastAsiaTheme="minorEastAsia"/>
              <w:noProof/>
              <w:lang w:eastAsia="en-AU"/>
            </w:rPr>
          </w:pPr>
          <w:hyperlink w:anchor="_Toc152165436" w:history="1">
            <w:r w:rsidR="00FF1BBF" w:rsidRPr="00771D4F">
              <w:rPr>
                <w:rStyle w:val="Hyperlink"/>
                <w:noProof/>
              </w:rPr>
              <w:t>Appendix 4: Industry collaboration with research and higher education institutes</w:t>
            </w:r>
            <w:r w:rsidR="00FF1BBF">
              <w:rPr>
                <w:noProof/>
                <w:webHidden/>
              </w:rPr>
              <w:tab/>
            </w:r>
            <w:r w:rsidR="00FF1BBF">
              <w:rPr>
                <w:noProof/>
                <w:webHidden/>
              </w:rPr>
              <w:fldChar w:fldCharType="begin"/>
            </w:r>
            <w:r w:rsidR="00FF1BBF">
              <w:rPr>
                <w:noProof/>
                <w:webHidden/>
              </w:rPr>
              <w:instrText xml:space="preserve"> PAGEREF _Toc152165436 \h </w:instrText>
            </w:r>
            <w:r w:rsidR="00FF1BBF">
              <w:rPr>
                <w:noProof/>
                <w:webHidden/>
              </w:rPr>
            </w:r>
            <w:r w:rsidR="00FF1BBF">
              <w:rPr>
                <w:noProof/>
                <w:webHidden/>
              </w:rPr>
              <w:fldChar w:fldCharType="separate"/>
            </w:r>
            <w:r w:rsidR="00F6694F">
              <w:rPr>
                <w:noProof/>
                <w:webHidden/>
              </w:rPr>
              <w:t>47</w:t>
            </w:r>
            <w:r w:rsidR="00FF1BBF">
              <w:rPr>
                <w:noProof/>
                <w:webHidden/>
              </w:rPr>
              <w:fldChar w:fldCharType="end"/>
            </w:r>
          </w:hyperlink>
        </w:p>
        <w:p w14:paraId="6B149B43" w14:textId="672D98FC" w:rsidR="00FF1BBF" w:rsidRDefault="009B1D68">
          <w:pPr>
            <w:pStyle w:val="TOC3"/>
            <w:tabs>
              <w:tab w:val="right" w:leader="dot" w:pos="9016"/>
            </w:tabs>
            <w:rPr>
              <w:rFonts w:eastAsiaTheme="minorEastAsia"/>
              <w:noProof/>
              <w:lang w:eastAsia="en-AU"/>
            </w:rPr>
          </w:pPr>
          <w:hyperlink w:anchor="_Toc152165437" w:history="1">
            <w:r w:rsidR="00FF1BBF" w:rsidRPr="00771D4F">
              <w:rPr>
                <w:rStyle w:val="Hyperlink"/>
                <w:noProof/>
              </w:rPr>
              <w:t>Appendix 5: Composition of Government Expenditure on R&amp;D</w:t>
            </w:r>
            <w:r w:rsidR="00FF1BBF" w:rsidRPr="00771D4F">
              <w:rPr>
                <w:rStyle w:val="Hyperlink"/>
                <w:rFonts w:eastAsia="Times New Roman"/>
                <w:noProof/>
              </w:rPr>
              <w:t xml:space="preserve"> </w:t>
            </w:r>
            <w:r w:rsidR="00FF1BBF" w:rsidRPr="00771D4F">
              <w:rPr>
                <w:rStyle w:val="Hyperlink"/>
                <w:noProof/>
              </w:rPr>
              <w:t xml:space="preserve">by socio-economic objective </w:t>
            </w:r>
            <w:r w:rsidR="00F918A9">
              <w:rPr>
                <w:rStyle w:val="Hyperlink"/>
                <w:noProof/>
              </w:rPr>
              <w:br/>
            </w:r>
            <w:r w:rsidR="00FF1BBF" w:rsidRPr="00771D4F">
              <w:rPr>
                <w:rStyle w:val="Hyperlink"/>
                <w:noProof/>
              </w:rPr>
              <w:t>and distribution of research and development (R&amp;D) refundable tax offset in some National Reconstruction Fund (NRF) priority areas</w:t>
            </w:r>
            <w:r w:rsidR="00FF1BBF">
              <w:rPr>
                <w:noProof/>
                <w:webHidden/>
              </w:rPr>
              <w:tab/>
            </w:r>
            <w:r w:rsidR="00FF1BBF">
              <w:rPr>
                <w:noProof/>
                <w:webHidden/>
              </w:rPr>
              <w:fldChar w:fldCharType="begin"/>
            </w:r>
            <w:r w:rsidR="00FF1BBF">
              <w:rPr>
                <w:noProof/>
                <w:webHidden/>
              </w:rPr>
              <w:instrText xml:space="preserve"> PAGEREF _Toc152165437 \h </w:instrText>
            </w:r>
            <w:r w:rsidR="00FF1BBF">
              <w:rPr>
                <w:noProof/>
                <w:webHidden/>
              </w:rPr>
            </w:r>
            <w:r w:rsidR="00FF1BBF">
              <w:rPr>
                <w:noProof/>
                <w:webHidden/>
              </w:rPr>
              <w:fldChar w:fldCharType="separate"/>
            </w:r>
            <w:r w:rsidR="00F6694F">
              <w:rPr>
                <w:noProof/>
                <w:webHidden/>
              </w:rPr>
              <w:t>49</w:t>
            </w:r>
            <w:r w:rsidR="00FF1BBF">
              <w:rPr>
                <w:noProof/>
                <w:webHidden/>
              </w:rPr>
              <w:fldChar w:fldCharType="end"/>
            </w:r>
          </w:hyperlink>
        </w:p>
        <w:p w14:paraId="1095586C" w14:textId="54734E91" w:rsidR="00FF1BBF" w:rsidRDefault="009B1D68">
          <w:pPr>
            <w:pStyle w:val="TOC3"/>
            <w:tabs>
              <w:tab w:val="right" w:leader="dot" w:pos="9016"/>
            </w:tabs>
            <w:rPr>
              <w:rFonts w:eastAsiaTheme="minorEastAsia"/>
              <w:noProof/>
              <w:lang w:eastAsia="en-AU"/>
            </w:rPr>
          </w:pPr>
          <w:hyperlink w:anchor="_Toc152165438" w:history="1">
            <w:r w:rsidR="00FF1BBF" w:rsidRPr="00771D4F">
              <w:rPr>
                <w:rStyle w:val="Hyperlink"/>
                <w:noProof/>
              </w:rPr>
              <w:t>Appendix 6: Additional data tables</w:t>
            </w:r>
            <w:r w:rsidR="00FF1BBF">
              <w:rPr>
                <w:noProof/>
                <w:webHidden/>
              </w:rPr>
              <w:tab/>
            </w:r>
            <w:r w:rsidR="00FF1BBF">
              <w:rPr>
                <w:noProof/>
                <w:webHidden/>
              </w:rPr>
              <w:fldChar w:fldCharType="begin"/>
            </w:r>
            <w:r w:rsidR="00FF1BBF">
              <w:rPr>
                <w:noProof/>
                <w:webHidden/>
              </w:rPr>
              <w:instrText xml:space="preserve"> PAGEREF _Toc152165438 \h </w:instrText>
            </w:r>
            <w:r w:rsidR="00FF1BBF">
              <w:rPr>
                <w:noProof/>
                <w:webHidden/>
              </w:rPr>
            </w:r>
            <w:r w:rsidR="00FF1BBF">
              <w:rPr>
                <w:noProof/>
                <w:webHidden/>
              </w:rPr>
              <w:fldChar w:fldCharType="separate"/>
            </w:r>
            <w:r w:rsidR="00F6694F">
              <w:rPr>
                <w:noProof/>
                <w:webHidden/>
              </w:rPr>
              <w:t>51</w:t>
            </w:r>
            <w:r w:rsidR="00FF1BBF">
              <w:rPr>
                <w:noProof/>
                <w:webHidden/>
              </w:rPr>
              <w:fldChar w:fldCharType="end"/>
            </w:r>
          </w:hyperlink>
        </w:p>
        <w:p w14:paraId="4C6DDD1B" w14:textId="26EA68FE" w:rsidR="00FF1BBF" w:rsidRDefault="009B1D68">
          <w:pPr>
            <w:pStyle w:val="TOC2"/>
            <w:rPr>
              <w:rFonts w:eastAsiaTheme="minorEastAsia"/>
              <w:noProof/>
              <w:lang w:eastAsia="en-AU"/>
            </w:rPr>
          </w:pPr>
          <w:hyperlink w:anchor="_Toc152165439" w:history="1">
            <w:r w:rsidR="00FF1BBF" w:rsidRPr="00771D4F">
              <w:rPr>
                <w:rStyle w:val="Hyperlink"/>
                <w:noProof/>
              </w:rPr>
              <w:t>Reference materials</w:t>
            </w:r>
            <w:r w:rsidR="00FF1BBF">
              <w:rPr>
                <w:noProof/>
                <w:webHidden/>
              </w:rPr>
              <w:tab/>
            </w:r>
            <w:r w:rsidR="00FF1BBF">
              <w:rPr>
                <w:noProof/>
                <w:webHidden/>
              </w:rPr>
              <w:fldChar w:fldCharType="begin"/>
            </w:r>
            <w:r w:rsidR="00FF1BBF">
              <w:rPr>
                <w:noProof/>
                <w:webHidden/>
              </w:rPr>
              <w:instrText xml:space="preserve"> PAGEREF _Toc152165439 \h </w:instrText>
            </w:r>
            <w:r w:rsidR="00FF1BBF">
              <w:rPr>
                <w:noProof/>
                <w:webHidden/>
              </w:rPr>
            </w:r>
            <w:r w:rsidR="00FF1BBF">
              <w:rPr>
                <w:noProof/>
                <w:webHidden/>
              </w:rPr>
              <w:fldChar w:fldCharType="separate"/>
            </w:r>
            <w:r w:rsidR="00F6694F">
              <w:rPr>
                <w:noProof/>
                <w:webHidden/>
              </w:rPr>
              <w:t>65</w:t>
            </w:r>
            <w:r w:rsidR="00FF1BBF">
              <w:rPr>
                <w:noProof/>
                <w:webHidden/>
              </w:rPr>
              <w:fldChar w:fldCharType="end"/>
            </w:r>
          </w:hyperlink>
        </w:p>
        <w:p w14:paraId="2DC845A7" w14:textId="09CAAB26" w:rsidR="00FF1BBF" w:rsidRDefault="009B1D68">
          <w:pPr>
            <w:pStyle w:val="TOC3"/>
            <w:tabs>
              <w:tab w:val="right" w:leader="dot" w:pos="9016"/>
            </w:tabs>
            <w:rPr>
              <w:rFonts w:eastAsiaTheme="minorEastAsia"/>
              <w:noProof/>
              <w:lang w:eastAsia="en-AU"/>
            </w:rPr>
          </w:pPr>
          <w:hyperlink w:anchor="_Toc152165440" w:history="1">
            <w:r w:rsidR="00FF1BBF" w:rsidRPr="00771D4F">
              <w:rPr>
                <w:rStyle w:val="Hyperlink"/>
                <w:noProof/>
              </w:rPr>
              <w:t>Australian Government materials</w:t>
            </w:r>
            <w:r w:rsidR="00FF1BBF">
              <w:rPr>
                <w:noProof/>
                <w:webHidden/>
              </w:rPr>
              <w:tab/>
            </w:r>
            <w:r w:rsidR="00FF1BBF">
              <w:rPr>
                <w:noProof/>
                <w:webHidden/>
              </w:rPr>
              <w:fldChar w:fldCharType="begin"/>
            </w:r>
            <w:r w:rsidR="00FF1BBF">
              <w:rPr>
                <w:noProof/>
                <w:webHidden/>
              </w:rPr>
              <w:instrText xml:space="preserve"> PAGEREF _Toc152165440 \h </w:instrText>
            </w:r>
            <w:r w:rsidR="00FF1BBF">
              <w:rPr>
                <w:noProof/>
                <w:webHidden/>
              </w:rPr>
            </w:r>
            <w:r w:rsidR="00FF1BBF">
              <w:rPr>
                <w:noProof/>
                <w:webHidden/>
              </w:rPr>
              <w:fldChar w:fldCharType="separate"/>
            </w:r>
            <w:r w:rsidR="00F6694F">
              <w:rPr>
                <w:noProof/>
                <w:webHidden/>
              </w:rPr>
              <w:t>65</w:t>
            </w:r>
            <w:r w:rsidR="00FF1BBF">
              <w:rPr>
                <w:noProof/>
                <w:webHidden/>
              </w:rPr>
              <w:fldChar w:fldCharType="end"/>
            </w:r>
          </w:hyperlink>
        </w:p>
        <w:p w14:paraId="7724E045" w14:textId="3F14803C" w:rsidR="00FF1BBF" w:rsidRDefault="009B1D68">
          <w:pPr>
            <w:pStyle w:val="TOC3"/>
            <w:tabs>
              <w:tab w:val="right" w:leader="dot" w:pos="9016"/>
            </w:tabs>
            <w:rPr>
              <w:rFonts w:eastAsiaTheme="minorEastAsia"/>
              <w:noProof/>
              <w:lang w:eastAsia="en-AU"/>
            </w:rPr>
          </w:pPr>
          <w:hyperlink w:anchor="_Toc152165441" w:history="1">
            <w:r w:rsidR="00FF1BBF" w:rsidRPr="00771D4F">
              <w:rPr>
                <w:rStyle w:val="Hyperlink"/>
                <w:noProof/>
              </w:rPr>
              <w:t>Reports for the Australian Government</w:t>
            </w:r>
            <w:r w:rsidR="00FF1BBF">
              <w:rPr>
                <w:noProof/>
                <w:webHidden/>
              </w:rPr>
              <w:tab/>
            </w:r>
            <w:r w:rsidR="00FF1BBF">
              <w:rPr>
                <w:noProof/>
                <w:webHidden/>
              </w:rPr>
              <w:fldChar w:fldCharType="begin"/>
            </w:r>
            <w:r w:rsidR="00FF1BBF">
              <w:rPr>
                <w:noProof/>
                <w:webHidden/>
              </w:rPr>
              <w:instrText xml:space="preserve"> PAGEREF _Toc152165441 \h </w:instrText>
            </w:r>
            <w:r w:rsidR="00FF1BBF">
              <w:rPr>
                <w:noProof/>
                <w:webHidden/>
              </w:rPr>
            </w:r>
            <w:r w:rsidR="00FF1BBF">
              <w:rPr>
                <w:noProof/>
                <w:webHidden/>
              </w:rPr>
              <w:fldChar w:fldCharType="separate"/>
            </w:r>
            <w:r w:rsidR="00F6694F">
              <w:rPr>
                <w:noProof/>
                <w:webHidden/>
              </w:rPr>
              <w:t>66</w:t>
            </w:r>
            <w:r w:rsidR="00FF1BBF">
              <w:rPr>
                <w:noProof/>
                <w:webHidden/>
              </w:rPr>
              <w:fldChar w:fldCharType="end"/>
            </w:r>
          </w:hyperlink>
        </w:p>
        <w:p w14:paraId="5CBCB7A4" w14:textId="108856D1" w:rsidR="00FF1BBF" w:rsidRDefault="009B1D68">
          <w:pPr>
            <w:pStyle w:val="TOC3"/>
            <w:tabs>
              <w:tab w:val="right" w:leader="dot" w:pos="9016"/>
            </w:tabs>
            <w:rPr>
              <w:rFonts w:eastAsiaTheme="minorEastAsia"/>
              <w:noProof/>
              <w:lang w:eastAsia="en-AU"/>
            </w:rPr>
          </w:pPr>
          <w:hyperlink w:anchor="_Toc152165442" w:history="1">
            <w:r w:rsidR="00FF1BBF" w:rsidRPr="00771D4F">
              <w:rPr>
                <w:rStyle w:val="Hyperlink"/>
                <w:noProof/>
              </w:rPr>
              <w:t>Federal Parliamentary enquiries and submissions</w:t>
            </w:r>
            <w:r w:rsidR="00FF1BBF">
              <w:rPr>
                <w:noProof/>
                <w:webHidden/>
              </w:rPr>
              <w:tab/>
            </w:r>
            <w:r w:rsidR="00FF1BBF">
              <w:rPr>
                <w:noProof/>
                <w:webHidden/>
              </w:rPr>
              <w:fldChar w:fldCharType="begin"/>
            </w:r>
            <w:r w:rsidR="00FF1BBF">
              <w:rPr>
                <w:noProof/>
                <w:webHidden/>
              </w:rPr>
              <w:instrText xml:space="preserve"> PAGEREF _Toc152165442 \h </w:instrText>
            </w:r>
            <w:r w:rsidR="00FF1BBF">
              <w:rPr>
                <w:noProof/>
                <w:webHidden/>
              </w:rPr>
            </w:r>
            <w:r w:rsidR="00FF1BBF">
              <w:rPr>
                <w:noProof/>
                <w:webHidden/>
              </w:rPr>
              <w:fldChar w:fldCharType="separate"/>
            </w:r>
            <w:r w:rsidR="00F6694F">
              <w:rPr>
                <w:noProof/>
                <w:webHidden/>
              </w:rPr>
              <w:t>66</w:t>
            </w:r>
            <w:r w:rsidR="00FF1BBF">
              <w:rPr>
                <w:noProof/>
                <w:webHidden/>
              </w:rPr>
              <w:fldChar w:fldCharType="end"/>
            </w:r>
          </w:hyperlink>
        </w:p>
        <w:p w14:paraId="4EDE0317" w14:textId="59773B4F" w:rsidR="00FF1BBF" w:rsidRDefault="009B1D68">
          <w:pPr>
            <w:pStyle w:val="TOC3"/>
            <w:tabs>
              <w:tab w:val="right" w:leader="dot" w:pos="9016"/>
            </w:tabs>
            <w:rPr>
              <w:rFonts w:eastAsiaTheme="minorEastAsia"/>
              <w:noProof/>
              <w:lang w:eastAsia="en-AU"/>
            </w:rPr>
          </w:pPr>
          <w:hyperlink w:anchor="_Toc152165443" w:history="1">
            <w:r w:rsidR="00FF1BBF" w:rsidRPr="00771D4F">
              <w:rPr>
                <w:rStyle w:val="Hyperlink"/>
                <w:noProof/>
              </w:rPr>
              <w:t>International institutions and government reports</w:t>
            </w:r>
            <w:r w:rsidR="00FF1BBF">
              <w:rPr>
                <w:noProof/>
                <w:webHidden/>
              </w:rPr>
              <w:tab/>
            </w:r>
            <w:r w:rsidR="00FF1BBF">
              <w:rPr>
                <w:noProof/>
                <w:webHidden/>
              </w:rPr>
              <w:fldChar w:fldCharType="begin"/>
            </w:r>
            <w:r w:rsidR="00FF1BBF">
              <w:rPr>
                <w:noProof/>
                <w:webHidden/>
              </w:rPr>
              <w:instrText xml:space="preserve"> PAGEREF _Toc152165443 \h </w:instrText>
            </w:r>
            <w:r w:rsidR="00FF1BBF">
              <w:rPr>
                <w:noProof/>
                <w:webHidden/>
              </w:rPr>
            </w:r>
            <w:r w:rsidR="00FF1BBF">
              <w:rPr>
                <w:noProof/>
                <w:webHidden/>
              </w:rPr>
              <w:fldChar w:fldCharType="separate"/>
            </w:r>
            <w:r w:rsidR="00F6694F">
              <w:rPr>
                <w:noProof/>
                <w:webHidden/>
              </w:rPr>
              <w:t>67</w:t>
            </w:r>
            <w:r w:rsidR="00FF1BBF">
              <w:rPr>
                <w:noProof/>
                <w:webHidden/>
              </w:rPr>
              <w:fldChar w:fldCharType="end"/>
            </w:r>
          </w:hyperlink>
        </w:p>
        <w:p w14:paraId="36297481" w14:textId="4E2B260E" w:rsidR="00FF1BBF" w:rsidRDefault="009B1D68">
          <w:pPr>
            <w:pStyle w:val="TOC3"/>
            <w:tabs>
              <w:tab w:val="right" w:leader="dot" w:pos="9016"/>
            </w:tabs>
            <w:rPr>
              <w:rFonts w:eastAsiaTheme="minorEastAsia"/>
              <w:noProof/>
              <w:lang w:eastAsia="en-AU"/>
            </w:rPr>
          </w:pPr>
          <w:hyperlink w:anchor="_Toc152165444" w:history="1">
            <w:r w:rsidR="00FF1BBF" w:rsidRPr="00771D4F">
              <w:rPr>
                <w:rStyle w:val="Hyperlink"/>
                <w:noProof/>
              </w:rPr>
              <w:t>Reports by State and Territory governments</w:t>
            </w:r>
            <w:r w:rsidR="00FF1BBF">
              <w:rPr>
                <w:noProof/>
                <w:webHidden/>
              </w:rPr>
              <w:tab/>
            </w:r>
            <w:r w:rsidR="00FF1BBF">
              <w:rPr>
                <w:noProof/>
                <w:webHidden/>
              </w:rPr>
              <w:fldChar w:fldCharType="begin"/>
            </w:r>
            <w:r w:rsidR="00FF1BBF">
              <w:rPr>
                <w:noProof/>
                <w:webHidden/>
              </w:rPr>
              <w:instrText xml:space="preserve"> PAGEREF _Toc152165444 \h </w:instrText>
            </w:r>
            <w:r w:rsidR="00FF1BBF">
              <w:rPr>
                <w:noProof/>
                <w:webHidden/>
              </w:rPr>
            </w:r>
            <w:r w:rsidR="00FF1BBF">
              <w:rPr>
                <w:noProof/>
                <w:webHidden/>
              </w:rPr>
              <w:fldChar w:fldCharType="separate"/>
            </w:r>
            <w:r w:rsidR="00F6694F">
              <w:rPr>
                <w:noProof/>
                <w:webHidden/>
              </w:rPr>
              <w:t>67</w:t>
            </w:r>
            <w:r w:rsidR="00FF1BBF">
              <w:rPr>
                <w:noProof/>
                <w:webHidden/>
              </w:rPr>
              <w:fldChar w:fldCharType="end"/>
            </w:r>
          </w:hyperlink>
        </w:p>
        <w:p w14:paraId="6F6748F6" w14:textId="685FD78D" w:rsidR="00FF1BBF" w:rsidRDefault="009B1D68">
          <w:pPr>
            <w:pStyle w:val="TOC3"/>
            <w:tabs>
              <w:tab w:val="right" w:leader="dot" w:pos="9016"/>
            </w:tabs>
            <w:rPr>
              <w:rFonts w:eastAsiaTheme="minorEastAsia"/>
              <w:noProof/>
              <w:lang w:eastAsia="en-AU"/>
            </w:rPr>
          </w:pPr>
          <w:hyperlink w:anchor="_Toc152165445" w:history="1">
            <w:r w:rsidR="00FF1BBF" w:rsidRPr="00771D4F">
              <w:rPr>
                <w:rStyle w:val="Hyperlink"/>
                <w:noProof/>
              </w:rPr>
              <w:t>Association and institute reports</w:t>
            </w:r>
            <w:r w:rsidR="00FF1BBF">
              <w:rPr>
                <w:noProof/>
                <w:webHidden/>
              </w:rPr>
              <w:tab/>
            </w:r>
            <w:r w:rsidR="00FF1BBF">
              <w:rPr>
                <w:noProof/>
                <w:webHidden/>
              </w:rPr>
              <w:fldChar w:fldCharType="begin"/>
            </w:r>
            <w:r w:rsidR="00FF1BBF">
              <w:rPr>
                <w:noProof/>
                <w:webHidden/>
              </w:rPr>
              <w:instrText xml:space="preserve"> PAGEREF _Toc152165445 \h </w:instrText>
            </w:r>
            <w:r w:rsidR="00FF1BBF">
              <w:rPr>
                <w:noProof/>
                <w:webHidden/>
              </w:rPr>
            </w:r>
            <w:r w:rsidR="00FF1BBF">
              <w:rPr>
                <w:noProof/>
                <w:webHidden/>
              </w:rPr>
              <w:fldChar w:fldCharType="separate"/>
            </w:r>
            <w:r w:rsidR="00F6694F">
              <w:rPr>
                <w:noProof/>
                <w:webHidden/>
              </w:rPr>
              <w:t>68</w:t>
            </w:r>
            <w:r w:rsidR="00FF1BBF">
              <w:rPr>
                <w:noProof/>
                <w:webHidden/>
              </w:rPr>
              <w:fldChar w:fldCharType="end"/>
            </w:r>
          </w:hyperlink>
        </w:p>
        <w:p w14:paraId="6866E5DF" w14:textId="3FDD2EB7" w:rsidR="00FF1BBF" w:rsidRDefault="009B1D68">
          <w:pPr>
            <w:pStyle w:val="TOC3"/>
            <w:tabs>
              <w:tab w:val="right" w:leader="dot" w:pos="9016"/>
            </w:tabs>
            <w:rPr>
              <w:rFonts w:eastAsiaTheme="minorEastAsia"/>
              <w:noProof/>
              <w:lang w:eastAsia="en-AU"/>
            </w:rPr>
          </w:pPr>
          <w:hyperlink w:anchor="_Toc152165446" w:history="1">
            <w:r w:rsidR="00FF1BBF" w:rsidRPr="00771D4F">
              <w:rPr>
                <w:rStyle w:val="Hyperlink"/>
                <w:noProof/>
              </w:rPr>
              <w:t>Private sector reports</w:t>
            </w:r>
            <w:r w:rsidR="00FF1BBF">
              <w:rPr>
                <w:noProof/>
                <w:webHidden/>
              </w:rPr>
              <w:tab/>
            </w:r>
            <w:r w:rsidR="00FF1BBF">
              <w:rPr>
                <w:noProof/>
                <w:webHidden/>
              </w:rPr>
              <w:fldChar w:fldCharType="begin"/>
            </w:r>
            <w:r w:rsidR="00FF1BBF">
              <w:rPr>
                <w:noProof/>
                <w:webHidden/>
              </w:rPr>
              <w:instrText xml:space="preserve"> PAGEREF _Toc152165446 \h </w:instrText>
            </w:r>
            <w:r w:rsidR="00FF1BBF">
              <w:rPr>
                <w:noProof/>
                <w:webHidden/>
              </w:rPr>
            </w:r>
            <w:r w:rsidR="00FF1BBF">
              <w:rPr>
                <w:noProof/>
                <w:webHidden/>
              </w:rPr>
              <w:fldChar w:fldCharType="separate"/>
            </w:r>
            <w:r w:rsidR="00F6694F">
              <w:rPr>
                <w:noProof/>
                <w:webHidden/>
              </w:rPr>
              <w:t>68</w:t>
            </w:r>
            <w:r w:rsidR="00FF1BBF">
              <w:rPr>
                <w:noProof/>
                <w:webHidden/>
              </w:rPr>
              <w:fldChar w:fldCharType="end"/>
            </w:r>
          </w:hyperlink>
        </w:p>
        <w:p w14:paraId="4E8D9A6A" w14:textId="2355EAF0" w:rsidR="00FF1BBF" w:rsidRDefault="009B1D68">
          <w:pPr>
            <w:pStyle w:val="TOC3"/>
            <w:tabs>
              <w:tab w:val="right" w:leader="dot" w:pos="9016"/>
            </w:tabs>
            <w:rPr>
              <w:rFonts w:eastAsiaTheme="minorEastAsia"/>
              <w:noProof/>
              <w:lang w:eastAsia="en-AU"/>
            </w:rPr>
          </w:pPr>
          <w:hyperlink w:anchor="_Toc152165447" w:history="1">
            <w:r w:rsidR="00FF1BBF" w:rsidRPr="00771D4F">
              <w:rPr>
                <w:rStyle w:val="Hyperlink"/>
                <w:noProof/>
              </w:rPr>
              <w:t>CSIRO and university reports</w:t>
            </w:r>
            <w:r w:rsidR="00FF1BBF">
              <w:rPr>
                <w:noProof/>
                <w:webHidden/>
              </w:rPr>
              <w:tab/>
            </w:r>
            <w:r w:rsidR="00FF1BBF">
              <w:rPr>
                <w:noProof/>
                <w:webHidden/>
              </w:rPr>
              <w:fldChar w:fldCharType="begin"/>
            </w:r>
            <w:r w:rsidR="00FF1BBF">
              <w:rPr>
                <w:noProof/>
                <w:webHidden/>
              </w:rPr>
              <w:instrText xml:space="preserve"> PAGEREF _Toc152165447 \h </w:instrText>
            </w:r>
            <w:r w:rsidR="00FF1BBF">
              <w:rPr>
                <w:noProof/>
                <w:webHidden/>
              </w:rPr>
            </w:r>
            <w:r w:rsidR="00FF1BBF">
              <w:rPr>
                <w:noProof/>
                <w:webHidden/>
              </w:rPr>
              <w:fldChar w:fldCharType="separate"/>
            </w:r>
            <w:r w:rsidR="00F6694F">
              <w:rPr>
                <w:noProof/>
                <w:webHidden/>
              </w:rPr>
              <w:t>68</w:t>
            </w:r>
            <w:r w:rsidR="00FF1BBF">
              <w:rPr>
                <w:noProof/>
                <w:webHidden/>
              </w:rPr>
              <w:fldChar w:fldCharType="end"/>
            </w:r>
          </w:hyperlink>
        </w:p>
        <w:p w14:paraId="2969BEC2" w14:textId="3222C577" w:rsidR="00FF1BBF" w:rsidRDefault="009B1D68">
          <w:pPr>
            <w:pStyle w:val="TOC3"/>
            <w:tabs>
              <w:tab w:val="right" w:leader="dot" w:pos="9016"/>
            </w:tabs>
            <w:rPr>
              <w:rFonts w:eastAsiaTheme="minorEastAsia"/>
              <w:noProof/>
              <w:lang w:eastAsia="en-AU"/>
            </w:rPr>
          </w:pPr>
          <w:hyperlink w:anchor="_Toc152165448" w:history="1">
            <w:r w:rsidR="00FF1BBF" w:rsidRPr="00771D4F">
              <w:rPr>
                <w:rStyle w:val="Hyperlink"/>
                <w:noProof/>
              </w:rPr>
              <w:t>Academic papers</w:t>
            </w:r>
            <w:r w:rsidR="00FF1BBF">
              <w:rPr>
                <w:noProof/>
                <w:webHidden/>
              </w:rPr>
              <w:tab/>
            </w:r>
            <w:r w:rsidR="00FF1BBF">
              <w:rPr>
                <w:noProof/>
                <w:webHidden/>
              </w:rPr>
              <w:fldChar w:fldCharType="begin"/>
            </w:r>
            <w:r w:rsidR="00FF1BBF">
              <w:rPr>
                <w:noProof/>
                <w:webHidden/>
              </w:rPr>
              <w:instrText xml:space="preserve"> PAGEREF _Toc152165448 \h </w:instrText>
            </w:r>
            <w:r w:rsidR="00FF1BBF">
              <w:rPr>
                <w:noProof/>
                <w:webHidden/>
              </w:rPr>
            </w:r>
            <w:r w:rsidR="00FF1BBF">
              <w:rPr>
                <w:noProof/>
                <w:webHidden/>
              </w:rPr>
              <w:fldChar w:fldCharType="separate"/>
            </w:r>
            <w:r w:rsidR="00F6694F">
              <w:rPr>
                <w:noProof/>
                <w:webHidden/>
              </w:rPr>
              <w:t>69</w:t>
            </w:r>
            <w:r w:rsidR="00FF1BBF">
              <w:rPr>
                <w:noProof/>
                <w:webHidden/>
              </w:rPr>
              <w:fldChar w:fldCharType="end"/>
            </w:r>
          </w:hyperlink>
        </w:p>
        <w:p w14:paraId="58C7E1AE" w14:textId="7AFE3C9F" w:rsidR="00FF1BBF" w:rsidRDefault="009B1D68">
          <w:pPr>
            <w:pStyle w:val="TOC3"/>
            <w:tabs>
              <w:tab w:val="right" w:leader="dot" w:pos="9016"/>
            </w:tabs>
            <w:rPr>
              <w:rFonts w:eastAsiaTheme="minorEastAsia"/>
              <w:noProof/>
              <w:lang w:eastAsia="en-AU"/>
            </w:rPr>
          </w:pPr>
          <w:hyperlink w:anchor="_Toc152165449" w:history="1">
            <w:r w:rsidR="00FF1BBF" w:rsidRPr="00771D4F">
              <w:rPr>
                <w:rStyle w:val="Hyperlink"/>
                <w:noProof/>
              </w:rPr>
              <w:t>Newspaper articles</w:t>
            </w:r>
            <w:r w:rsidR="00FF1BBF">
              <w:rPr>
                <w:noProof/>
                <w:webHidden/>
              </w:rPr>
              <w:tab/>
            </w:r>
            <w:r w:rsidR="00FF1BBF">
              <w:rPr>
                <w:noProof/>
                <w:webHidden/>
              </w:rPr>
              <w:fldChar w:fldCharType="begin"/>
            </w:r>
            <w:r w:rsidR="00FF1BBF">
              <w:rPr>
                <w:noProof/>
                <w:webHidden/>
              </w:rPr>
              <w:instrText xml:space="preserve"> PAGEREF _Toc152165449 \h </w:instrText>
            </w:r>
            <w:r w:rsidR="00FF1BBF">
              <w:rPr>
                <w:noProof/>
                <w:webHidden/>
              </w:rPr>
            </w:r>
            <w:r w:rsidR="00FF1BBF">
              <w:rPr>
                <w:noProof/>
                <w:webHidden/>
              </w:rPr>
              <w:fldChar w:fldCharType="separate"/>
            </w:r>
            <w:r w:rsidR="00F6694F">
              <w:rPr>
                <w:noProof/>
                <w:webHidden/>
              </w:rPr>
              <w:t>69</w:t>
            </w:r>
            <w:r w:rsidR="00FF1BBF">
              <w:rPr>
                <w:noProof/>
                <w:webHidden/>
              </w:rPr>
              <w:fldChar w:fldCharType="end"/>
            </w:r>
          </w:hyperlink>
        </w:p>
        <w:p w14:paraId="0729BBD0" w14:textId="664ADFD6" w:rsidR="00FF1BBF" w:rsidRDefault="009B1D68">
          <w:pPr>
            <w:pStyle w:val="TOC3"/>
            <w:tabs>
              <w:tab w:val="right" w:leader="dot" w:pos="9016"/>
            </w:tabs>
            <w:rPr>
              <w:rFonts w:eastAsiaTheme="minorEastAsia"/>
              <w:noProof/>
              <w:lang w:eastAsia="en-AU"/>
            </w:rPr>
          </w:pPr>
          <w:hyperlink w:anchor="_Toc152165450" w:history="1">
            <w:r w:rsidR="00FF1BBF" w:rsidRPr="00771D4F">
              <w:rPr>
                <w:rStyle w:val="Hyperlink"/>
                <w:noProof/>
              </w:rPr>
              <w:t xml:space="preserve">Office of Industry Innovation and Science Australia (OIISA) interviews </w:t>
            </w:r>
            <w:r w:rsidR="00FF1BBF">
              <w:rPr>
                <w:noProof/>
                <w:webHidden/>
              </w:rPr>
              <w:tab/>
            </w:r>
            <w:r w:rsidR="00FF1BBF">
              <w:rPr>
                <w:noProof/>
                <w:webHidden/>
              </w:rPr>
              <w:fldChar w:fldCharType="begin"/>
            </w:r>
            <w:r w:rsidR="00FF1BBF">
              <w:rPr>
                <w:noProof/>
                <w:webHidden/>
              </w:rPr>
              <w:instrText xml:space="preserve"> PAGEREF _Toc152165450 \h </w:instrText>
            </w:r>
            <w:r w:rsidR="00FF1BBF">
              <w:rPr>
                <w:noProof/>
                <w:webHidden/>
              </w:rPr>
            </w:r>
            <w:r w:rsidR="00FF1BBF">
              <w:rPr>
                <w:noProof/>
                <w:webHidden/>
              </w:rPr>
              <w:fldChar w:fldCharType="separate"/>
            </w:r>
            <w:r w:rsidR="00F6694F">
              <w:rPr>
                <w:noProof/>
                <w:webHidden/>
              </w:rPr>
              <w:t>69</w:t>
            </w:r>
            <w:r w:rsidR="00FF1BBF">
              <w:rPr>
                <w:noProof/>
                <w:webHidden/>
              </w:rPr>
              <w:fldChar w:fldCharType="end"/>
            </w:r>
          </w:hyperlink>
        </w:p>
        <w:p w14:paraId="5E6EC195" w14:textId="6716C7BE" w:rsidR="009B7D3F" w:rsidRDefault="00FF1BBF">
          <w:pPr>
            <w:rPr>
              <w:rFonts w:eastAsia="Meiryo"/>
              <w:b/>
              <w:bCs/>
              <w:noProof/>
            </w:rPr>
            <w:sectPr w:rsidR="009B7D3F" w:rsidSect="00DC23E3">
              <w:footerReference w:type="first" r:id="rId14"/>
              <w:pgSz w:w="11906" w:h="16838"/>
              <w:pgMar w:top="1276" w:right="1440" w:bottom="1440" w:left="1440" w:header="851" w:footer="708" w:gutter="0"/>
              <w:cols w:space="708"/>
              <w:titlePg/>
              <w:docGrid w:linePitch="360"/>
            </w:sectPr>
          </w:pPr>
          <w:r>
            <w:rPr>
              <w:rFonts w:eastAsia="Meiryo"/>
              <w:b/>
              <w:bCs/>
              <w:noProof/>
            </w:rPr>
            <w:fldChar w:fldCharType="end"/>
          </w:r>
        </w:p>
        <w:p w14:paraId="5BAFDC86" w14:textId="51D8EEDF" w:rsidR="00264E35" w:rsidRPr="00515419" w:rsidRDefault="00264E35" w:rsidP="00DC1525">
          <w:pPr>
            <w:pStyle w:val="Heading2"/>
          </w:pPr>
          <w:bookmarkStart w:id="11" w:name="_Toc2106208542"/>
          <w:bookmarkStart w:id="12" w:name="_Toc152165411"/>
          <w:r w:rsidRPr="00515419">
            <w:lastRenderedPageBreak/>
            <w:t xml:space="preserve">Chair’s </w:t>
          </w:r>
          <w:bookmarkEnd w:id="11"/>
          <w:r w:rsidR="00A42F85">
            <w:t>foreword</w:t>
          </w:r>
          <w:bookmarkEnd w:id="12"/>
        </w:p>
        <w:p w14:paraId="2FF20DC1" w14:textId="5505825E" w:rsidR="00264E35" w:rsidRPr="00BB794C" w:rsidRDefault="00264E35" w:rsidP="00264E35">
          <w:r w:rsidRPr="00BB794C">
            <w:rPr>
              <w:b/>
            </w:rPr>
            <w:t>The Hon Ed Husic MP</w:t>
          </w:r>
          <w:r w:rsidRPr="00BB794C">
            <w:br/>
            <w:t>Minister for Industry and Science</w:t>
          </w:r>
          <w:r w:rsidRPr="00BB794C">
            <w:br/>
            <w:t>Parliament House</w:t>
          </w:r>
          <w:r w:rsidRPr="00BB794C">
            <w:br/>
            <w:t>Canberra ACT 2600</w:t>
          </w:r>
        </w:p>
        <w:p w14:paraId="33E01AC0" w14:textId="77777777" w:rsidR="00264E35" w:rsidRPr="00BB794C" w:rsidRDefault="00264E35" w:rsidP="001E5DE8">
          <w:pPr>
            <w:spacing w:after="120"/>
          </w:pPr>
          <w:r w:rsidRPr="00BB794C">
            <w:t>Dear Minister</w:t>
          </w:r>
        </w:p>
        <w:p w14:paraId="376F0D18" w14:textId="73AC3912" w:rsidR="00264E35" w:rsidRDefault="00264E35" w:rsidP="00DC1525">
          <w:pPr>
            <w:spacing w:before="200"/>
          </w:pPr>
          <w:r w:rsidRPr="00BB794C">
            <w:t xml:space="preserve">I am pleased to present </w:t>
          </w:r>
          <w:r>
            <w:t>our</w:t>
          </w:r>
          <w:r w:rsidRPr="00BB794C">
            <w:t xml:space="preserve"> </w:t>
          </w:r>
          <w:r>
            <w:t>report on barriers to industry-research collaboration and commercialisation. You requested this advice</w:t>
          </w:r>
          <w:r w:rsidRPr="00BB794C">
            <w:t xml:space="preserve"> </w:t>
          </w:r>
          <w:r>
            <w:t>through</w:t>
          </w:r>
          <w:r w:rsidRPr="00BB794C">
            <w:t xml:space="preserve"> I</w:t>
          </w:r>
          <w:r w:rsidR="00611EBB">
            <w:t xml:space="preserve">ndustry </w:t>
          </w:r>
          <w:r w:rsidRPr="00BB794C">
            <w:t>I</w:t>
          </w:r>
          <w:r w:rsidR="00611EBB">
            <w:t xml:space="preserve">nnovation and </w:t>
          </w:r>
          <w:r w:rsidRPr="00BB794C">
            <w:t>S</w:t>
          </w:r>
          <w:r w:rsidR="00611EBB">
            <w:t xml:space="preserve">cience </w:t>
          </w:r>
          <w:r w:rsidRPr="00BB794C">
            <w:t>A</w:t>
          </w:r>
          <w:r w:rsidR="00611EBB">
            <w:t>ustralia</w:t>
          </w:r>
          <w:r w:rsidRPr="00BB794C">
            <w:t>’s Statement of Expectations dated 1</w:t>
          </w:r>
          <w:r w:rsidR="00A65D30">
            <w:t> </w:t>
          </w:r>
          <w:r w:rsidRPr="00BB794C">
            <w:t>December 2022</w:t>
          </w:r>
          <w:r>
            <w:t>.</w:t>
          </w:r>
        </w:p>
        <w:p w14:paraId="6BB06A33" w14:textId="7407C08F" w:rsidR="00BB74D5" w:rsidRPr="00762306" w:rsidRDefault="00264E35" w:rsidP="00DC1525">
          <w:pPr>
            <w:spacing w:before="200"/>
          </w:pPr>
          <w:r w:rsidRPr="00762306">
            <w:t xml:space="preserve">Australia is well-known for its world class research </w:t>
          </w:r>
          <w:r>
            <w:t>performance.</w:t>
          </w:r>
          <w:r w:rsidRPr="00762306">
            <w:t xml:space="preserve"> However, this is </w:t>
          </w:r>
          <w:r>
            <w:t>not translating to commercialisation outcomes to grow and diversify</w:t>
          </w:r>
          <w:r w:rsidRPr="00762306">
            <w:t xml:space="preserve"> the </w:t>
          </w:r>
          <w:r>
            <w:t>economy and deliver secure well-paid jobs.</w:t>
          </w:r>
          <w:r w:rsidRPr="00762306">
            <w:t xml:space="preserve"> </w:t>
          </w:r>
          <w:r>
            <w:t xml:space="preserve">Our insights are grounded in </w:t>
          </w:r>
          <w:r w:rsidR="00BB74D5" w:rsidRPr="00BB74D5">
            <w:t>the context of the Australian innovation ecosystem including industry structure.</w:t>
          </w:r>
        </w:p>
        <w:p w14:paraId="162E05FF" w14:textId="4B722B35" w:rsidR="00264E35" w:rsidRDefault="00264E35" w:rsidP="00DC1525">
          <w:pPr>
            <w:spacing w:before="200"/>
          </w:pPr>
          <w:r w:rsidRPr="00762306">
            <w:t>I</w:t>
          </w:r>
          <w:r w:rsidR="00611EBB">
            <w:t xml:space="preserve">ndustry </w:t>
          </w:r>
          <w:r w:rsidRPr="00762306">
            <w:t>I</w:t>
          </w:r>
          <w:r w:rsidR="00611EBB">
            <w:t xml:space="preserve">nnovation and </w:t>
          </w:r>
          <w:r w:rsidRPr="00762306">
            <w:t>S</w:t>
          </w:r>
          <w:r w:rsidR="00611EBB">
            <w:t xml:space="preserve">cience </w:t>
          </w:r>
          <w:r w:rsidRPr="00762306">
            <w:t>A</w:t>
          </w:r>
          <w:r w:rsidR="00611EBB">
            <w:t>ustralia (IISA)</w:t>
          </w:r>
          <w:r w:rsidRPr="00762306">
            <w:t xml:space="preserve">, with its </w:t>
          </w:r>
          <w:r>
            <w:t xml:space="preserve">expertise and </w:t>
          </w:r>
          <w:r w:rsidRPr="00762306">
            <w:t xml:space="preserve">connections to businesses </w:t>
          </w:r>
          <w:r>
            <w:t xml:space="preserve">and academia </w:t>
          </w:r>
          <w:r w:rsidRPr="00762306">
            <w:t xml:space="preserve">across the economy, </w:t>
          </w:r>
          <w:r>
            <w:t>has</w:t>
          </w:r>
          <w:r w:rsidRPr="00762306">
            <w:t xml:space="preserve"> investigate</w:t>
          </w:r>
          <w:r>
            <w:t>d</w:t>
          </w:r>
          <w:r w:rsidRPr="00762306">
            <w:t xml:space="preserve"> the </w:t>
          </w:r>
          <w:r>
            <w:t xml:space="preserve">complex </w:t>
          </w:r>
          <w:r w:rsidRPr="00762306">
            <w:t xml:space="preserve">challenges </w:t>
          </w:r>
          <w:r>
            <w:t>faced</w:t>
          </w:r>
          <w:r w:rsidR="00F45E95">
            <w:t xml:space="preserve"> in the</w:t>
          </w:r>
          <w:r w:rsidDel="00F45E95">
            <w:t xml:space="preserve"> </w:t>
          </w:r>
          <w:r>
            <w:t xml:space="preserve">pursuit of innovation and commercialisation outcomes. These include the practical challenges of engaging with research entities, and the </w:t>
          </w:r>
          <w:r w:rsidR="00870124">
            <w:t xml:space="preserve">barriers within </w:t>
          </w:r>
          <w:r>
            <w:t>the innovation process in the context of the Australian industry structure, market dynamics and policy landscape.</w:t>
          </w:r>
        </w:p>
        <w:p w14:paraId="7EA8BF61" w14:textId="28AC643B" w:rsidR="00264E35" w:rsidRPr="00BB794C" w:rsidRDefault="00264E35" w:rsidP="00DC1525">
          <w:pPr>
            <w:spacing w:before="200"/>
            <w:rPr>
              <w:lang w:val="en-GB"/>
            </w:rPr>
          </w:pPr>
          <w:r>
            <w:t>In preparing our advice, we have</w:t>
          </w:r>
          <w:r w:rsidRPr="00BB794C">
            <w:rPr>
              <w:lang w:val="en-GB"/>
            </w:rPr>
            <w:t xml:space="preserve"> focused</w:t>
          </w:r>
          <w:r w:rsidRPr="11273382">
            <w:rPr>
              <w:lang w:val="en-GB"/>
            </w:rPr>
            <w:t xml:space="preserve"> on </w:t>
          </w:r>
          <w:r w:rsidRPr="00BB794C">
            <w:rPr>
              <w:lang w:val="en-GB"/>
            </w:rPr>
            <w:t xml:space="preserve">the Australian Government’s overarching policy objectives of industrial and economic transformation, sustainable value creation, </w:t>
          </w:r>
          <w:r>
            <w:rPr>
              <w:lang w:val="en-GB"/>
            </w:rPr>
            <w:t xml:space="preserve">high-value job creation </w:t>
          </w:r>
          <w:r w:rsidRPr="00BB794C">
            <w:rPr>
              <w:lang w:val="en-GB"/>
            </w:rPr>
            <w:t>and economic diversification</w:t>
          </w:r>
          <w:r>
            <w:rPr>
              <w:lang w:val="en-GB"/>
            </w:rPr>
            <w:t xml:space="preserve">. </w:t>
          </w:r>
          <w:r w:rsidRPr="11273382">
            <w:rPr>
              <w:lang w:val="en-GB"/>
            </w:rPr>
            <w:t>We have</w:t>
          </w:r>
          <w:r>
            <w:rPr>
              <w:lang w:val="en-GB"/>
            </w:rPr>
            <w:t xml:space="preserve"> also considered related reviews and strategies such as the University Accord</w:t>
          </w:r>
          <w:r w:rsidR="00A65D30">
            <w:rPr>
              <w:lang w:val="en-GB"/>
            </w:rPr>
            <w:t xml:space="preserve"> review</w:t>
          </w:r>
          <w:r>
            <w:rPr>
              <w:lang w:val="en-GB"/>
            </w:rPr>
            <w:t>.</w:t>
          </w:r>
        </w:p>
        <w:p w14:paraId="2AC2F1D6" w14:textId="77777777" w:rsidR="00264E35" w:rsidRPr="00BB794C" w:rsidRDefault="00264E35" w:rsidP="00DC1525">
          <w:pPr>
            <w:spacing w:before="200"/>
          </w:pPr>
          <w:r>
            <w:t>Our</w:t>
          </w:r>
          <w:r w:rsidRPr="00BB794C">
            <w:t xml:space="preserve"> report provides recommendations and practical actions for your consideration</w:t>
          </w:r>
          <w:r>
            <w:t xml:space="preserve">. The actions we propose are harmonious with the design and implementation of flagship initiatives such as the National Reconstruction Fund and the Industry Growth Program. We include policy advice to reflect what is required to build industry capability and capacity to innovate, collaborate and commercialise. </w:t>
          </w:r>
        </w:p>
        <w:p w14:paraId="7CFD774B" w14:textId="52849EE8" w:rsidR="001E5DE8" w:rsidRDefault="001E5DE8" w:rsidP="00DC1525">
          <w:pPr>
            <w:spacing w:before="200"/>
          </w:pPr>
          <w:r>
            <w:t>On behalf of the IISA Board, we</w:t>
          </w:r>
          <w:r w:rsidR="00264E35" w:rsidRPr="005E1E46">
            <w:t xml:space="preserve"> look forward to working with you and the department on implementing these importan</w:t>
          </w:r>
          <w:r w:rsidR="00264E35">
            <w:t>t actions to strengthen business productivity in growing markets and support the creation of well-paid jobs through the transformation and diversification of Australia’s economy.</w:t>
          </w:r>
          <w:r w:rsidRPr="001E5DE8">
            <w:t xml:space="preserve"> </w:t>
          </w:r>
          <w:r>
            <w:t xml:space="preserve">Finally, my appreciation to IISA members Ms Lauren Stafford and Dr Doron </w:t>
          </w:r>
          <w:proofErr w:type="spellStart"/>
          <w:r>
            <w:t>Samuell</w:t>
          </w:r>
          <w:proofErr w:type="spellEnd"/>
          <w:r>
            <w:t xml:space="preserve"> for leading this work and my sincere thanks to the Office of IISA for their ongoing support. </w:t>
          </w:r>
        </w:p>
        <w:p w14:paraId="728F4698" w14:textId="0A62A85C" w:rsidR="00264E35" w:rsidRPr="00BB794C" w:rsidRDefault="00F17E2C" w:rsidP="001E5DE8">
          <w:pPr>
            <w:spacing w:after="120"/>
          </w:pPr>
          <w:r>
            <w:rPr>
              <w:noProof/>
              <w:lang w:eastAsia="en-AU"/>
            </w:rPr>
            <w:drawing>
              <wp:anchor distT="0" distB="0" distL="114300" distR="114300" simplePos="0" relativeHeight="251658246" behindDoc="1" locked="0" layoutInCell="1" allowOverlap="1" wp14:anchorId="2F8C73CB" wp14:editId="1CEF1A5D">
                <wp:simplePos x="0" y="0"/>
                <wp:positionH relativeFrom="page">
                  <wp:align>right</wp:align>
                </wp:positionH>
                <wp:positionV relativeFrom="paragraph">
                  <wp:posOffset>18415</wp:posOffset>
                </wp:positionV>
                <wp:extent cx="3798570" cy="2686685"/>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rotWithShape="1">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3798570" cy="2686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4E35" w:rsidRPr="00BB794C">
            <w:t>Yours sincerely</w:t>
          </w:r>
        </w:p>
        <w:p w14:paraId="68CFF4F6" w14:textId="55348B1E" w:rsidR="00264E35" w:rsidRDefault="00264E35" w:rsidP="001E5DE8">
          <w:pPr>
            <w:spacing w:after="120"/>
            <w:rPr>
              <w:noProof/>
            </w:rPr>
          </w:pPr>
        </w:p>
        <w:p w14:paraId="5BC9D138" w14:textId="77777777" w:rsidR="0032317D" w:rsidRDefault="0032317D" w:rsidP="001E5DE8">
          <w:pPr>
            <w:spacing w:after="120"/>
            <w:rPr>
              <w:b/>
            </w:rPr>
          </w:pPr>
        </w:p>
        <w:p w14:paraId="35C1B0CC" w14:textId="456C5A45" w:rsidR="00264E35" w:rsidRDefault="00264E35" w:rsidP="001E5DE8">
          <w:pPr>
            <w:spacing w:after="120"/>
          </w:pPr>
          <w:r w:rsidRPr="00BB794C">
            <w:rPr>
              <w:b/>
            </w:rPr>
            <w:t>Andrew Stevens</w:t>
          </w:r>
          <w:r w:rsidRPr="00BB794C">
            <w:rPr>
              <w:b/>
            </w:rPr>
            <w:br/>
          </w:r>
          <w:r w:rsidRPr="00BB794C">
            <w:t>Chair</w:t>
          </w:r>
          <w:r w:rsidRPr="00BB794C">
            <w:br/>
            <w:t xml:space="preserve">Industry Innovation and Science Australia Board </w:t>
          </w:r>
          <w:r w:rsidRPr="00BB794C">
            <w:br/>
          </w:r>
          <w:r w:rsidR="001E5DE8">
            <w:t>25</w:t>
          </w:r>
          <w:r w:rsidRPr="00BB794C">
            <w:t xml:space="preserve"> </w:t>
          </w:r>
          <w:r w:rsidR="00A65D30">
            <w:t>September</w:t>
          </w:r>
          <w:r w:rsidRPr="00BB794C">
            <w:t xml:space="preserve"> 2023</w:t>
          </w:r>
        </w:p>
        <w:p w14:paraId="7500D5DF" w14:textId="02434D29" w:rsidR="00264E35" w:rsidRPr="00515419" w:rsidRDefault="00264E35" w:rsidP="00DC1525">
          <w:pPr>
            <w:pStyle w:val="Heading2"/>
          </w:pPr>
          <w:bookmarkStart w:id="13" w:name="_Toc144214637"/>
          <w:bookmarkStart w:id="14" w:name="_Toc967574346"/>
          <w:bookmarkStart w:id="15" w:name="_Toc152165412"/>
          <w:r w:rsidRPr="00515419">
            <w:lastRenderedPageBreak/>
            <w:t>Executive summary</w:t>
          </w:r>
          <w:bookmarkEnd w:id="13"/>
          <w:bookmarkEnd w:id="14"/>
          <w:bookmarkEnd w:id="15"/>
        </w:p>
        <w:p w14:paraId="1A390B8F" w14:textId="405648F0" w:rsidR="006E0EFD" w:rsidRPr="003010BF" w:rsidRDefault="006E0EFD" w:rsidP="006E0EFD">
          <w:bookmarkStart w:id="16" w:name="_Toc144214638"/>
          <w:bookmarkStart w:id="17" w:name="_Toc145000191"/>
          <w:bookmarkStart w:id="18" w:name="_Toc1382379865"/>
          <w:bookmarkStart w:id="19" w:name="_Toc144825162"/>
          <w:r w:rsidRPr="003010BF">
            <w:t>This report, through its analysis, provides a new perspective on barriers to industry-research collaboration and commercialisation</w:t>
          </w:r>
          <w:r w:rsidR="002D532C">
            <w:t xml:space="preserve">. It </w:t>
          </w:r>
          <w:r w:rsidRPr="003010BF">
            <w:t>complements policy discussions that have primarily focused on supply</w:t>
          </w:r>
          <w:r w:rsidR="00F45E95">
            <w:t>-</w:t>
          </w:r>
          <w:r w:rsidRPr="003010BF">
            <w:t>side barriers</w:t>
          </w:r>
          <w:r w:rsidR="002D532C">
            <w:t xml:space="preserve"> </w:t>
          </w:r>
          <w:r w:rsidRPr="003010BF">
            <w:t>and accompanying strategies designed to increase university research push.</w:t>
          </w:r>
          <w:r w:rsidRPr="003010BF">
            <w:rPr>
              <w:vertAlign w:val="superscript"/>
            </w:rPr>
            <w:footnoteReference w:id="2"/>
          </w:r>
          <w:r w:rsidRPr="003010BF">
            <w:t xml:space="preserve"> Public policy debate around industry-research collaboration has emphasised supply</w:t>
          </w:r>
          <w:r w:rsidR="00815F33">
            <w:t>-</w:t>
          </w:r>
          <w:r w:rsidRPr="003010BF">
            <w:t xml:space="preserve">side policy instruments. These include indirect and direct Government </w:t>
          </w:r>
          <w:r w:rsidR="00776AE4">
            <w:t>E</w:t>
          </w:r>
          <w:r w:rsidR="00776AE4" w:rsidRPr="003010BF">
            <w:t xml:space="preserve">xpenditure </w:t>
          </w:r>
          <w:r w:rsidRPr="003010BF">
            <w:t xml:space="preserve">on R&amp;D </w:t>
          </w:r>
          <w:r w:rsidR="00815F33">
            <w:t xml:space="preserve">(GERD) </w:t>
          </w:r>
          <w:r w:rsidRPr="003010BF">
            <w:t xml:space="preserve">and other investments to foster collaboration between </w:t>
          </w:r>
          <w:r w:rsidR="00C11A5F">
            <w:t xml:space="preserve">the </w:t>
          </w:r>
          <w:r w:rsidRPr="003010BF">
            <w:t>private sector and research institutions</w:t>
          </w:r>
          <w:r w:rsidR="0060706D">
            <w:t>.</w:t>
          </w:r>
          <w:r w:rsidRPr="003010BF">
            <w:rPr>
              <w:vertAlign w:val="superscript"/>
            </w:rPr>
            <w:footnoteReference w:id="3"/>
          </w:r>
          <w:r w:rsidRPr="003010BF">
            <w:t xml:space="preserve"> </w:t>
          </w:r>
        </w:p>
        <w:p w14:paraId="197D1CE8" w14:textId="2FA8DC3D" w:rsidR="006E0EFD" w:rsidRPr="003010BF" w:rsidRDefault="006E0EFD" w:rsidP="006E0EFD">
          <w:r w:rsidRPr="003010BF">
            <w:t xml:space="preserve">Our analysis reframes the problem. First and foremost, barriers to collaboration and achieving commercialisation outcomes should be grounded in an understanding of the need or demand for these outcomes. This report highlights key barriers on the demand side in the context of Australia’s industry structure, market dynamics and business characteristics. </w:t>
          </w:r>
        </w:p>
        <w:p w14:paraId="6FCAAD58" w14:textId="4FD5E4B1" w:rsidR="006E0EFD" w:rsidRDefault="006E0EFD" w:rsidP="006E0EFD">
          <w:r w:rsidRPr="003010BF">
            <w:t xml:space="preserve">Barriers in the market for innovation manifest due to the dynamics of supply, </w:t>
          </w:r>
          <w:proofErr w:type="gramStart"/>
          <w:r w:rsidR="00855012" w:rsidRPr="003010BF">
            <w:t>demand</w:t>
          </w:r>
          <w:proofErr w:type="gramEnd"/>
          <w:r w:rsidR="002D532C">
            <w:t xml:space="preserve"> </w:t>
          </w:r>
          <w:r w:rsidRPr="003010BF">
            <w:t xml:space="preserve">and interventions. </w:t>
          </w:r>
        </w:p>
        <w:p w14:paraId="5BB34885" w14:textId="422BB33B" w:rsidR="00797CA0" w:rsidRPr="003010BF" w:rsidRDefault="00797CA0" w:rsidP="006E0EFD">
          <w:r w:rsidRPr="00797CA0">
            <w:t xml:space="preserve">For details of terminology used in this report, refer to </w:t>
          </w:r>
          <w:hyperlink w:anchor="_Appendix_2:_Glossary" w:history="1">
            <w:r w:rsidRPr="00797CA0">
              <w:rPr>
                <w:rStyle w:val="Hyperlink"/>
              </w:rPr>
              <w:t>Appendix 2: Glossary of terms</w:t>
            </w:r>
          </w:hyperlink>
          <w:r w:rsidRPr="00797CA0">
            <w:t xml:space="preserve"> on </w:t>
          </w:r>
          <w:r>
            <w:t xml:space="preserve">page </w:t>
          </w:r>
          <w:r>
            <w:fldChar w:fldCharType="begin"/>
          </w:r>
          <w:r>
            <w:instrText xml:space="preserve"> PAGEREF Appendix_2_Glossary_of_terms \h </w:instrText>
          </w:r>
          <w:r>
            <w:fldChar w:fldCharType="separate"/>
          </w:r>
          <w:r w:rsidR="00F6694F">
            <w:rPr>
              <w:noProof/>
            </w:rPr>
            <w:t>43</w:t>
          </w:r>
          <w:r>
            <w:fldChar w:fldCharType="end"/>
          </w:r>
          <w:r w:rsidRPr="00797CA0">
            <w:t xml:space="preserve"> of this report.</w:t>
          </w:r>
        </w:p>
        <w:p w14:paraId="4D690A98" w14:textId="77777777" w:rsidR="006E0EFD" w:rsidRPr="003010BF" w:rsidRDefault="006E0EFD" w:rsidP="00F6694F">
          <w:pPr>
            <w:pStyle w:val="Heading3"/>
          </w:pPr>
          <w:bookmarkStart w:id="20" w:name="_Toc152165413"/>
          <w:r w:rsidRPr="003010BF">
            <w:t>Focusing on innovation and commercialisation outcomes</w:t>
          </w:r>
          <w:bookmarkEnd w:id="20"/>
        </w:p>
        <w:p w14:paraId="51C84C59" w14:textId="77777777" w:rsidR="006E0EFD" w:rsidRPr="003010BF" w:rsidRDefault="006E0EFD" w:rsidP="006E0EFD">
          <w:r w:rsidRPr="003010BF">
            <w:t xml:space="preserve">Our investigation on barriers to commercialisation and collaboration was conducted in the context of the Australian Government’s broader policy objectives to: </w:t>
          </w:r>
        </w:p>
        <w:p w14:paraId="0C25D817" w14:textId="0FD2374E" w:rsidR="006E0EFD" w:rsidRPr="003010BF" w:rsidRDefault="006E0EFD" w:rsidP="006E0EFD">
          <w:pPr>
            <w:numPr>
              <w:ilvl w:val="0"/>
              <w:numId w:val="29"/>
            </w:numPr>
            <w:ind w:left="357" w:hanging="357"/>
          </w:pPr>
          <w:r w:rsidRPr="003010BF">
            <w:t xml:space="preserve">increase collaboration and commercialisation to grow revenue and build </w:t>
          </w:r>
          <w:r w:rsidR="000B7C7A">
            <w:t>industry</w:t>
          </w:r>
          <w:r w:rsidR="000B7C7A" w:rsidRPr="003010BF">
            <w:t xml:space="preserve"> </w:t>
          </w:r>
          <w:r w:rsidRPr="003010BF">
            <w:t xml:space="preserve">competitiveness, and </w:t>
          </w:r>
        </w:p>
        <w:p w14:paraId="26CAB434" w14:textId="40A7BCFA" w:rsidR="00855012" w:rsidRDefault="006E0EFD" w:rsidP="00855012">
          <w:pPr>
            <w:numPr>
              <w:ilvl w:val="0"/>
              <w:numId w:val="29"/>
            </w:numPr>
            <w:ind w:left="357" w:hanging="357"/>
          </w:pPr>
          <w:r w:rsidRPr="003010BF">
            <w:t>develop a diversified industrial base with the scale and economic complexity to create and sustain secure well-paid jobs.</w:t>
          </w:r>
        </w:p>
        <w:p w14:paraId="75CE1C08" w14:textId="2EB9DB3B" w:rsidR="006E0EFD" w:rsidRPr="003010BF" w:rsidRDefault="006E0EFD" w:rsidP="00855012">
          <w:pPr>
            <w:spacing w:before="120"/>
          </w:pPr>
          <w:r w:rsidRPr="003010BF">
            <w:t>Commercialisation is the process</w:t>
          </w:r>
          <w:r w:rsidR="00855012">
            <w:t>,</w:t>
          </w:r>
          <w:r w:rsidRPr="003010BF">
            <w:t xml:space="preserve"> or method</w:t>
          </w:r>
          <w:r w:rsidR="00855012">
            <w:t>,</w:t>
          </w:r>
          <w:r w:rsidRPr="003010BF">
            <w:t xml:space="preserve"> of bringing new products and services to market. The broader act of commercialisation entails production, distribution, marketing, sales, customer support</w:t>
          </w:r>
          <w:r w:rsidR="00746912">
            <w:t xml:space="preserve"> </w:t>
          </w:r>
          <w:r w:rsidRPr="003010BF">
            <w:t>and other key functions critical to achieving the commercial success of the new product or service.</w:t>
          </w:r>
        </w:p>
        <w:p w14:paraId="7F1668B2" w14:textId="69672A82" w:rsidR="006E0EFD" w:rsidRPr="003010BF" w:rsidRDefault="006E0EFD" w:rsidP="006E0EFD">
          <w:r w:rsidRPr="003010BF">
            <w:t xml:space="preserve">Innovation and commercialisation are major levers to increase the commercial success of businesses through differentiation and competitiveness and thus, at a national level, to diversify, increase resilience and grow the economy. Creation of secure well-paid jobs occurs where businesses on the frontier of productivity meet a growing market. </w:t>
          </w:r>
        </w:p>
        <w:p w14:paraId="19BB765E" w14:textId="72D49FB6" w:rsidR="006E0EFD" w:rsidRPr="003010BF" w:rsidRDefault="006E0EFD" w:rsidP="006E0EFD">
          <w:r w:rsidRPr="003010BF">
            <w:t>For Australian businesses, commercialisation is likely to be stimulated by increasing aggregate demand</w:t>
          </w:r>
          <w:r w:rsidR="00657497">
            <w:t>,</w:t>
          </w:r>
          <w:r w:rsidRPr="003010BF">
            <w:t xml:space="preserve"> predominantly from both export markets and transforming internal and emerging markets that align with decarbonisation, environmental and social objectives.</w:t>
          </w:r>
        </w:p>
        <w:p w14:paraId="14705ADE" w14:textId="4E520D51" w:rsidR="006E0EFD" w:rsidRPr="003010BF" w:rsidRDefault="006E0EFD" w:rsidP="006E0EFD">
          <w:pPr>
            <w:rPr>
              <w:rFonts w:asciiTheme="majorHAnsi" w:eastAsiaTheme="majorEastAsia" w:hAnsiTheme="majorHAnsi" w:cstheme="majorBidi"/>
              <w:i/>
              <w:iCs/>
              <w:color w:val="00B4FF"/>
              <w:sz w:val="32"/>
              <w:szCs w:val="40"/>
            </w:rPr>
          </w:pPr>
          <w:r w:rsidRPr="003010BF">
            <w:t xml:space="preserve">Research is integral to successful commercialisation. Our ability to leverage relevant, high-quality research at low risk and friction is instrumental in </w:t>
          </w:r>
          <w:r w:rsidR="00746912">
            <w:t>realising</w:t>
          </w:r>
          <w:r w:rsidRPr="003010BF">
            <w:t xml:space="preserve"> a viable commercial enterprise with the potential for scale.</w:t>
          </w:r>
          <w:r w:rsidRPr="003010BF">
            <w:br w:type="page"/>
          </w:r>
        </w:p>
        <w:p w14:paraId="355AA1E2" w14:textId="77777777" w:rsidR="006E0EFD" w:rsidRPr="003010BF" w:rsidRDefault="006E0EFD" w:rsidP="00F6694F">
          <w:pPr>
            <w:pStyle w:val="Heading3"/>
          </w:pPr>
          <w:bookmarkStart w:id="21" w:name="_Toc152165414"/>
          <w:r w:rsidRPr="003010BF">
            <w:t>Our current state</w:t>
          </w:r>
          <w:bookmarkEnd w:id="21"/>
        </w:p>
        <w:p w14:paraId="18B5BA2E" w14:textId="77777777" w:rsidR="00B4516C" w:rsidRDefault="00611EBB" w:rsidP="006E0EFD">
          <w:r w:rsidRPr="003010BF">
            <w:rPr>
              <w:noProof/>
            </w:rPr>
            <w:drawing>
              <wp:inline distT="0" distB="0" distL="0" distR="0" wp14:anchorId="214EBC6F" wp14:editId="2281EC57">
                <wp:extent cx="2429510" cy="2480310"/>
                <wp:effectExtent l="19050" t="19050" r="27940" b="15240"/>
                <wp:docPr id="245" name="Picture 245" descr="Australia's ranking on the Harvard Economic Complexity Index has declined from fifty-fifth in 1993 to ninety-third in 2021. Growth projection to 2031 is one point nine six percent, ranking one hundred and twelfth out of one hundred and thirty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Australia's ranking on the Harvard Economic Complexity Index has declined from fifty-fifth in 1993 to ninety-third in 2021. Growth projection to 2031 is one point nine six percent, ranking one hundred and twelfth out of one hundred and thirty three."/>
                        <pic:cNvPicPr>
                          <a:picLocks noChangeAspect="1" noChangeArrowheads="1"/>
                        </pic:cNvPicPr>
                      </pic:nvPicPr>
                      <pic:blipFill>
                        <a:blip r:embed="rId17">
                          <a:alphaModFix amt="70000"/>
                          <a:biLevel thresh="50000"/>
                          <a:extLst>
                            <a:ext uri="{BEBA8EAE-BF5A-486C-A8C5-ECC9F3942E4B}">
                              <a14:imgProps xmlns:a14="http://schemas.microsoft.com/office/drawing/2010/main">
                                <a14:imgLayer r:embed="rId18">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29510" cy="2480310"/>
                        </a:xfrm>
                        <a:prstGeom prst="rect">
                          <a:avLst/>
                        </a:prstGeom>
                        <a:noFill/>
                        <a:ln w="12700">
                          <a:solidFill>
                            <a:srgbClr val="080808"/>
                          </a:solidFill>
                        </a:ln>
                      </pic:spPr>
                    </pic:pic>
                  </a:graphicData>
                </a:graphic>
              </wp:inline>
            </w:drawing>
          </w:r>
        </w:p>
        <w:p w14:paraId="3FC9023F" w14:textId="77777777" w:rsidR="00C073C8" w:rsidRPr="00C82FD7" w:rsidRDefault="00C073C8" w:rsidP="00C073C8">
          <w:pPr>
            <w:pBdr>
              <w:top w:val="single" w:sz="12" w:space="4" w:color="auto"/>
              <w:left w:val="single" w:sz="12" w:space="4" w:color="auto"/>
              <w:bottom w:val="single" w:sz="12" w:space="4" w:color="auto"/>
              <w:right w:val="single" w:sz="12" w:space="4" w:color="auto"/>
            </w:pBdr>
            <w:shd w:val="clear" w:color="auto" w:fill="C9F0FF" w:themeFill="background2" w:themeFillTint="33"/>
            <w:spacing w:before="240"/>
            <w:ind w:left="720"/>
            <w:mirrorIndents/>
          </w:pPr>
          <w:r w:rsidRPr="00C82FD7">
            <w:t>Australia ranks as the 93</w:t>
          </w:r>
          <w:r w:rsidRPr="00C82FD7">
            <w:rPr>
              <w:vertAlign w:val="superscript"/>
            </w:rPr>
            <w:t>rd</w:t>
          </w:r>
          <w:r w:rsidRPr="00C82FD7">
            <w:t xml:space="preserve"> most complex country in the Harvard Economic Complexity Index (ECI). Compared to a decade prior, Australia’s economy has become less complex, </w:t>
          </w:r>
          <w:r>
            <w:t>falling</w:t>
          </w:r>
          <w:r w:rsidRPr="00C82FD7">
            <w:t xml:space="preserve"> 12 positions in the ECI ranking. Australia’s worsening complexity is reflected in its lack of diversification of exports. Australia is less complex than expected for its income level.</w:t>
          </w:r>
        </w:p>
        <w:p w14:paraId="1D67F96A" w14:textId="77777777" w:rsidR="00C073C8" w:rsidRPr="00C82FD7" w:rsidRDefault="00C073C8" w:rsidP="00C073C8">
          <w:pPr>
            <w:pBdr>
              <w:top w:val="single" w:sz="12" w:space="4" w:color="auto"/>
              <w:left w:val="single" w:sz="12" w:space="4" w:color="auto"/>
              <w:bottom w:val="single" w:sz="12" w:space="4" w:color="auto"/>
              <w:right w:val="single" w:sz="12" w:space="4" w:color="auto"/>
            </w:pBdr>
            <w:shd w:val="clear" w:color="auto" w:fill="C9F0FF" w:themeFill="background2" w:themeFillTint="33"/>
            <w:ind w:left="720"/>
            <w:mirrorIndents/>
          </w:pPr>
          <w:r w:rsidRPr="00C82FD7">
            <w:t>Complexity: more complex products tend to support higher wages.</w:t>
          </w:r>
        </w:p>
        <w:p w14:paraId="38D818C5" w14:textId="77777777" w:rsidR="00C073C8" w:rsidRPr="00BB433E" w:rsidRDefault="00C073C8" w:rsidP="00C073C8">
          <w:pPr>
            <w:pBdr>
              <w:top w:val="single" w:sz="12" w:space="4" w:color="auto"/>
              <w:left w:val="single" w:sz="12" w:space="4" w:color="auto"/>
              <w:bottom w:val="single" w:sz="12" w:space="4" w:color="auto"/>
              <w:right w:val="single" w:sz="12" w:space="4" w:color="auto"/>
            </w:pBdr>
            <w:shd w:val="clear" w:color="auto" w:fill="C9F0FF" w:themeFill="background2" w:themeFillTint="33"/>
            <w:ind w:left="720"/>
            <w:mirrorIndents/>
            <w:rPr>
              <w:sz w:val="20"/>
              <w:szCs w:val="20"/>
            </w:rPr>
          </w:pPr>
          <w:r w:rsidRPr="00BB433E">
            <w:rPr>
              <w:b/>
              <w:i/>
              <w:sz w:val="20"/>
              <w:szCs w:val="20"/>
            </w:rPr>
            <w:t xml:space="preserve">Source: </w:t>
          </w:r>
          <w:r w:rsidRPr="00BB433E">
            <w:rPr>
              <w:i/>
              <w:sz w:val="20"/>
              <w:szCs w:val="20"/>
            </w:rPr>
            <w:t>Harvard Atlas of Economic Complexity (2023)</w:t>
          </w:r>
        </w:p>
        <w:p w14:paraId="71012D85" w14:textId="454239F1" w:rsidR="006E0EFD" w:rsidRPr="003010BF" w:rsidRDefault="006E0EFD" w:rsidP="006E0EFD">
          <w:r w:rsidRPr="003010BF">
            <w:t xml:space="preserve">Despite Australia’s relatively high standing in </w:t>
          </w:r>
          <w:r w:rsidR="0060706D">
            <w:t xml:space="preserve">science and </w:t>
          </w:r>
          <w:r w:rsidRPr="003010BF">
            <w:t>research performance, and focused policy effort to support collaboration and commercialisation, industry-research collaboration and commercialisation outcomes remain low.</w:t>
          </w:r>
          <w:r w:rsidRPr="003010BF">
            <w:rPr>
              <w:vertAlign w:val="superscript"/>
            </w:rPr>
            <w:footnoteReference w:id="4"/>
          </w:r>
          <w:r w:rsidRPr="003010BF">
            <w:t xml:space="preserve"> Other related metrics</w:t>
          </w:r>
          <w:r w:rsidR="00815F33">
            <w:t>,</w:t>
          </w:r>
          <w:r w:rsidRPr="003010BF">
            <w:t xml:space="preserve"> including productivity, industrial </w:t>
          </w:r>
          <w:proofErr w:type="gramStart"/>
          <w:r w:rsidRPr="003010BF">
            <w:t>resilience</w:t>
          </w:r>
          <w:proofErr w:type="gramEnd"/>
          <w:r w:rsidR="00746912">
            <w:t xml:space="preserve"> </w:t>
          </w:r>
          <w:r w:rsidRPr="003010BF">
            <w:t>and economic complexity</w:t>
          </w:r>
          <w:r w:rsidR="00815F33">
            <w:t>,</w:t>
          </w:r>
          <w:r w:rsidRPr="003010BF">
            <w:t xml:space="preserve"> have also lagged international peers. </w:t>
          </w:r>
        </w:p>
        <w:p w14:paraId="03711800" w14:textId="16A09C26" w:rsidR="006E0EFD" w:rsidRPr="003010BF" w:rsidRDefault="006E0EFD" w:rsidP="00F149E0">
          <w:pPr>
            <w:spacing w:before="240"/>
          </w:pPr>
          <w:r w:rsidRPr="003010BF">
            <w:t xml:space="preserve">The past decades have seen insufficient business investment in research, </w:t>
          </w:r>
          <w:proofErr w:type="gramStart"/>
          <w:r w:rsidRPr="003010BF">
            <w:t>development</w:t>
          </w:r>
          <w:proofErr w:type="gramEnd"/>
          <w:r w:rsidRPr="003010BF">
            <w:t xml:space="preserve"> and innovation</w:t>
          </w:r>
          <w:r w:rsidR="00815F33">
            <w:t>. This</w:t>
          </w:r>
          <w:r w:rsidRPr="003010BF">
            <w:t xml:space="preserve"> has arguably contributed to Australian businesses falling further behind the global productivity frontier.</w:t>
          </w:r>
          <w:r w:rsidRPr="003010BF">
            <w:rPr>
              <w:vertAlign w:val="superscript"/>
            </w:rPr>
            <w:footnoteReference w:id="5"/>
          </w:r>
          <w:r w:rsidRPr="003010BF">
            <w:t xml:space="preserve"> Labour productivity growth </w:t>
          </w:r>
          <w:r w:rsidR="00611EBB">
            <w:t xml:space="preserve">in Australia </w:t>
          </w:r>
          <w:r w:rsidRPr="003010BF">
            <w:t>is at its slowest in 60 years.</w:t>
          </w:r>
          <w:r w:rsidRPr="003010BF">
            <w:rPr>
              <w:vertAlign w:val="superscript"/>
            </w:rPr>
            <w:footnoteReference w:id="6"/>
          </w:r>
          <w:r w:rsidRPr="003010BF">
            <w:t xml:space="preserve"> </w:t>
          </w:r>
        </w:p>
        <w:p w14:paraId="660884C8" w14:textId="77777777" w:rsidR="006D777D" w:rsidRDefault="006D777D">
          <w:pPr>
            <w:rPr>
              <w:b/>
              <w:iCs/>
              <w:szCs w:val="18"/>
            </w:rPr>
          </w:pPr>
          <w:r>
            <w:rPr>
              <w:b/>
              <w:iCs/>
              <w:szCs w:val="18"/>
            </w:rPr>
            <w:br w:type="page"/>
          </w:r>
        </w:p>
        <w:p w14:paraId="24B2681B" w14:textId="4F46B131" w:rsidR="006E0EFD" w:rsidRPr="00855012" w:rsidRDefault="006E0EFD" w:rsidP="006E0EFD">
          <w:pPr>
            <w:rPr>
              <w:b/>
              <w:iCs/>
              <w:szCs w:val="18"/>
            </w:rPr>
          </w:pPr>
          <w:r w:rsidRPr="00855012">
            <w:rPr>
              <w:b/>
              <w:iCs/>
              <w:szCs w:val="18"/>
            </w:rPr>
            <w:t>Chart 1: Average labour productivity growth</w:t>
          </w:r>
          <w:r w:rsidR="00611EBB">
            <w:rPr>
              <w:b/>
              <w:iCs/>
              <w:szCs w:val="18"/>
            </w:rPr>
            <w:t xml:space="preserve"> in Australia</w:t>
          </w:r>
          <w:r w:rsidR="00746912">
            <w:rPr>
              <w:b/>
              <w:iCs/>
              <w:szCs w:val="18"/>
            </w:rPr>
            <w:t xml:space="preserve"> </w:t>
          </w:r>
          <w:r w:rsidRPr="00855012">
            <w:rPr>
              <w:b/>
              <w:iCs/>
              <w:szCs w:val="18"/>
            </w:rPr>
            <w:t>–</w:t>
          </w:r>
          <w:r w:rsidR="00746912">
            <w:rPr>
              <w:b/>
              <w:iCs/>
              <w:szCs w:val="18"/>
            </w:rPr>
            <w:t xml:space="preserve"> </w:t>
          </w:r>
          <w:r w:rsidRPr="00855012">
            <w:rPr>
              <w:b/>
              <w:iCs/>
              <w:szCs w:val="18"/>
            </w:rPr>
            <w:t>by decade and 60 years’ average</w:t>
          </w:r>
        </w:p>
        <w:p w14:paraId="6B509ECF" w14:textId="26B7BE76" w:rsidR="006E0EFD" w:rsidRPr="003010BF" w:rsidRDefault="006E0EFD" w:rsidP="006E0EFD">
          <w:r w:rsidRPr="003010BF">
            <w:rPr>
              <w:noProof/>
            </w:rPr>
            <w:drawing>
              <wp:inline distT="0" distB="0" distL="0" distR="0" wp14:anchorId="1E86565C" wp14:editId="268202DC">
                <wp:extent cx="5731510" cy="2555240"/>
                <wp:effectExtent l="0" t="0" r="2540" b="0"/>
                <wp:docPr id="246" name="Picture 246" descr="Bar chart of average labour productivity growth in Australia each decade showing downward trend from 1960-70 to 2010-20.&#10;&#10;Chart shows average labour productivity growth in Australia each decade. The 60-year average is one point eight percent. 1960 to 1970 average is two point four percent. 1970 to 1980 average is two point four percent. 1980 to 1990 average is one point two percent. 1990 to 2000 average is two point two percent. 2000 to 2010 average is one point four percent. 2010 to 2020 average is one point one percent. Source: Productivity Commission, 5-year Productivity Inquiry: Advancing Prosperity, Volu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Bar chart of average labour productivity growth in Australia each decade showing downward trend from 1960-70 to 2010-20.&#10;&#10;Chart shows average labour productivity growth in Australia each decade. The 60-year average is one point eight percent. 1960 to 1970 average is two point four percent. 1970 to 1980 average is two point four percent. 1980 to 1990 average is one point two percent. 1990 to 2000 average is two point two percent. 2000 to 2010 average is one point four percent. 2010 to 2020 average is one point one percent. Source: Productivity Commission, 5-year Productivity Inquiry: Advancing Prosperity, Volume 1"/>
                        <pic:cNvPicPr/>
                      </pic:nvPicPr>
                      <pic:blipFill>
                        <a:blip r:embed="rId19"/>
                        <a:stretch>
                          <a:fillRect/>
                        </a:stretch>
                      </pic:blipFill>
                      <pic:spPr>
                        <a:xfrm>
                          <a:off x="0" y="0"/>
                          <a:ext cx="5731510" cy="2555240"/>
                        </a:xfrm>
                        <a:prstGeom prst="rect">
                          <a:avLst/>
                        </a:prstGeom>
                      </pic:spPr>
                    </pic:pic>
                  </a:graphicData>
                </a:graphic>
              </wp:inline>
            </w:drawing>
          </w:r>
        </w:p>
        <w:p w14:paraId="3852BD0D" w14:textId="77777777" w:rsidR="00674270" w:rsidRPr="00E26C29" w:rsidRDefault="00674270" w:rsidP="00674270">
          <w:pPr>
            <w:rPr>
              <w:sz w:val="18"/>
              <w:szCs w:val="18"/>
            </w:rPr>
          </w:pPr>
          <w:r w:rsidRPr="00E26C29">
            <w:rPr>
              <w:sz w:val="18"/>
              <w:szCs w:val="18"/>
            </w:rPr>
            <w:t xml:space="preserve">Source: Productivity Commission, </w:t>
          </w:r>
          <w:r w:rsidRPr="00497F89">
            <w:rPr>
              <w:i/>
              <w:sz w:val="18"/>
              <w:szCs w:val="18"/>
            </w:rPr>
            <w:t>5-year Productivity Inquiry: Advancing Prosperity</w:t>
          </w:r>
          <w:r>
            <w:rPr>
              <w:i/>
              <w:sz w:val="18"/>
              <w:szCs w:val="18"/>
            </w:rPr>
            <w:t xml:space="preserve"> Inquiry report</w:t>
          </w:r>
          <w:r w:rsidRPr="00E26C29">
            <w:rPr>
              <w:sz w:val="18"/>
              <w:szCs w:val="18"/>
            </w:rPr>
            <w:t>, Volume 1</w:t>
          </w:r>
        </w:p>
        <w:p w14:paraId="513647B2" w14:textId="2931A0F4" w:rsidR="006E0EFD" w:rsidRPr="003010BF" w:rsidRDefault="006E0EFD" w:rsidP="006E0EFD">
          <w:r w:rsidRPr="003010BF">
            <w:t>Australia</w:t>
          </w:r>
          <w:r w:rsidR="0060706D">
            <w:t>’s</w:t>
          </w:r>
          <w:r w:rsidRPr="003010BF">
            <w:t xml:space="preserve"> manufacturing landscape has simplified over the same period, in part due to our reliance on primary industry and globalisation with the replacement of local manufacturing by imported goods. The reduction in manufacturing has, in turn, reduced Australia’s </w:t>
          </w:r>
          <w:r w:rsidR="000B7C7A">
            <w:t>industry</w:t>
          </w:r>
          <w:r w:rsidR="000B7C7A" w:rsidRPr="003010BF">
            <w:t xml:space="preserve"> </w:t>
          </w:r>
          <w:r w:rsidRPr="003010BF">
            <w:t xml:space="preserve">capabilities. Australia shows one of the highest levels of import penetration and lowest levels </w:t>
          </w:r>
          <w:r w:rsidR="00746912">
            <w:t xml:space="preserve">of </w:t>
          </w:r>
          <w:r w:rsidRPr="003010BF">
            <w:t xml:space="preserve">competitive industrial performance among </w:t>
          </w:r>
          <w:r w:rsidR="00F149E0" w:rsidRPr="00F149E0">
            <w:t xml:space="preserve">Organization for Economic Cooperation and Development </w:t>
          </w:r>
          <w:r w:rsidR="00F149E0">
            <w:t>(</w:t>
          </w:r>
          <w:r w:rsidRPr="003010BF">
            <w:t>OECD</w:t>
          </w:r>
          <w:r w:rsidR="00F149E0">
            <w:t>)</w:t>
          </w:r>
          <w:r w:rsidRPr="003010BF">
            <w:t xml:space="preserve"> countries.</w:t>
          </w:r>
          <w:r w:rsidRPr="003010BF">
            <w:rPr>
              <w:vertAlign w:val="superscript"/>
            </w:rPr>
            <w:footnoteReference w:id="7"/>
          </w:r>
          <w:r w:rsidRPr="003010BF">
            <w:t xml:space="preserve"> </w:t>
          </w:r>
        </w:p>
        <w:p w14:paraId="2A694A29" w14:textId="16F901D9" w:rsidR="006E0EFD" w:rsidRPr="00855012" w:rsidRDefault="006E0EFD" w:rsidP="006E0EFD">
          <w:pPr>
            <w:keepNext/>
            <w:spacing w:after="120" w:line="240" w:lineRule="auto"/>
            <w:rPr>
              <w:b/>
              <w:bCs/>
              <w:szCs w:val="18"/>
            </w:rPr>
          </w:pPr>
          <w:bookmarkStart w:id="22" w:name="Chart_2_United_Nations_Industrial_Develo"/>
          <w:r w:rsidRPr="00855012">
            <w:rPr>
              <w:b/>
              <w:bCs/>
              <w:szCs w:val="18"/>
            </w:rPr>
            <w:t xml:space="preserve">Chart 2: </w:t>
          </w:r>
          <w:bookmarkStart w:id="23" w:name="_Hlk151649947"/>
          <w:r w:rsidR="0087787B" w:rsidRPr="0087787B">
            <w:rPr>
              <w:b/>
              <w:bCs/>
              <w:szCs w:val="18"/>
            </w:rPr>
            <w:t>United Nations Industrial Development Organization</w:t>
          </w:r>
          <w:r w:rsidR="0087787B">
            <w:rPr>
              <w:b/>
              <w:bCs/>
              <w:szCs w:val="18"/>
            </w:rPr>
            <w:t xml:space="preserve"> </w:t>
          </w:r>
          <w:bookmarkEnd w:id="23"/>
          <w:r w:rsidR="0087787B">
            <w:rPr>
              <w:b/>
              <w:bCs/>
              <w:szCs w:val="18"/>
            </w:rPr>
            <w:t>(</w:t>
          </w:r>
          <w:r w:rsidRPr="00855012">
            <w:rPr>
              <w:b/>
              <w:bCs/>
              <w:szCs w:val="18"/>
            </w:rPr>
            <w:t>UNIDO</w:t>
          </w:r>
          <w:r w:rsidR="0087787B">
            <w:rPr>
              <w:b/>
              <w:bCs/>
              <w:szCs w:val="18"/>
            </w:rPr>
            <w:t>)</w:t>
          </w:r>
          <w:r w:rsidRPr="00855012">
            <w:rPr>
              <w:b/>
              <w:bCs/>
              <w:szCs w:val="18"/>
            </w:rPr>
            <w:t>’s Competitive Industrial Performance Index vs Manufacturing Import Penetration in OECD countries, 2018</w:t>
          </w:r>
          <w:bookmarkEnd w:id="22"/>
          <w:r w:rsidR="00D668E5">
            <w:rPr>
              <w:b/>
              <w:bCs/>
              <w:szCs w:val="18"/>
            </w:rPr>
            <w:t xml:space="preserve">. Refer to </w:t>
          </w:r>
          <w:r w:rsidR="00D668E5" w:rsidRPr="0058669D">
            <w:rPr>
              <w:b/>
              <w:bCs/>
              <w:szCs w:val="18"/>
            </w:rPr>
            <w:t>Appendix 6: Additional data tables</w:t>
          </w:r>
          <w:r w:rsidR="00D668E5">
            <w:rPr>
              <w:b/>
              <w:bCs/>
              <w:szCs w:val="18"/>
            </w:rPr>
            <w:t xml:space="preserve"> for the </w:t>
          </w:r>
          <w:hyperlink w:anchor="_Chart_2_data" w:history="1">
            <w:r w:rsidR="0010775B" w:rsidRPr="00A5438D">
              <w:rPr>
                <w:rStyle w:val="Hyperlink"/>
                <w:b/>
                <w:bCs/>
                <w:szCs w:val="18"/>
              </w:rPr>
              <w:t>d</w:t>
            </w:r>
            <w:r w:rsidR="00D668E5" w:rsidRPr="00A5438D">
              <w:rPr>
                <w:rStyle w:val="Hyperlink"/>
                <w:b/>
                <w:bCs/>
                <w:szCs w:val="18"/>
              </w:rPr>
              <w:t>ata table for chart 2.</w:t>
            </w:r>
          </w:hyperlink>
        </w:p>
        <w:p w14:paraId="244EE036" w14:textId="19D24BED" w:rsidR="006E0EFD" w:rsidRDefault="006E0EFD" w:rsidP="006E0EFD">
          <w:pPr>
            <w:jc w:val="center"/>
          </w:pPr>
          <w:r w:rsidRPr="003010BF">
            <w:rPr>
              <w:noProof/>
            </w:rPr>
            <w:drawing>
              <wp:inline distT="0" distB="0" distL="0" distR="0" wp14:anchorId="563D7F75" wp14:editId="26FEA024">
                <wp:extent cx="5715000" cy="2806700"/>
                <wp:effectExtent l="0" t="0" r="0" b="0"/>
                <wp:docPr id="247" name="Chart 247" descr="Scatterplot of Organization for Economic Cooperation and Development (OECD) countries in terms of United Nations Industrial Development Organization competitive industrial performance index vs manufacturing import penetration, showing that Australia has high import penetration and low industrial performance index score compared to other countries.">
                  <a:extLst xmlns:a="http://schemas.openxmlformats.org/drawingml/2006/main">
                    <a:ext uri="{FF2B5EF4-FFF2-40B4-BE49-F238E27FC236}">
                      <a16:creationId xmlns:a16="http://schemas.microsoft.com/office/drawing/2014/main" id="{CA56872B-EA22-4F8F-BBEC-06E8FA9734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8B45C2" w14:textId="77777777" w:rsidR="00026270" w:rsidRPr="00E26C29" w:rsidRDefault="00026270" w:rsidP="00026270">
          <w:pPr>
            <w:rPr>
              <w:sz w:val="18"/>
              <w:szCs w:val="18"/>
            </w:rPr>
          </w:pPr>
          <w:r w:rsidRPr="00E26C29">
            <w:rPr>
              <w:sz w:val="18"/>
              <w:szCs w:val="18"/>
            </w:rPr>
            <w:t xml:space="preserve">Source: UNIDO and OECD Trade in </w:t>
          </w:r>
          <w:r>
            <w:rPr>
              <w:sz w:val="18"/>
              <w:szCs w:val="18"/>
            </w:rPr>
            <w:t>V</w:t>
          </w:r>
          <w:r w:rsidRPr="00E26C29">
            <w:rPr>
              <w:sz w:val="18"/>
              <w:szCs w:val="18"/>
            </w:rPr>
            <w:t>alue</w:t>
          </w:r>
          <w:r>
            <w:rPr>
              <w:sz w:val="18"/>
              <w:szCs w:val="18"/>
            </w:rPr>
            <w:t xml:space="preserve"> statistics. </w:t>
          </w:r>
        </w:p>
        <w:p w14:paraId="00FC3EE1" w14:textId="5BA4CB9C" w:rsidR="006E0EFD" w:rsidRPr="003010BF" w:rsidRDefault="006E0EFD" w:rsidP="00F6694F">
          <w:pPr>
            <w:pStyle w:val="Heading3"/>
          </w:pPr>
          <w:bookmarkStart w:id="24" w:name="_Toc152165415"/>
          <w:r w:rsidRPr="003010BF">
            <w:t>Our approach to analysing barriers</w:t>
          </w:r>
          <w:bookmarkEnd w:id="24"/>
        </w:p>
        <w:p w14:paraId="6804E73F" w14:textId="54C60845" w:rsidR="006E0EFD" w:rsidRDefault="006E0EFD" w:rsidP="006E0EFD">
          <w:bookmarkStart w:id="25" w:name="_Hlk147308349"/>
          <w:r w:rsidRPr="003010BF">
            <w:t xml:space="preserve">In developing our advice on barriers to industry-research collaboration and commercialisation, we have framed the problem to better understand the forces impacting </w:t>
          </w:r>
          <w:r w:rsidR="00C11A5F">
            <w:t xml:space="preserve">business </w:t>
          </w:r>
          <w:r w:rsidRPr="003010BF">
            <w:t xml:space="preserve">innovation and commercialisation. We have taken a market model approach, examining the factors through a framework of supply, demand, and efficiency of the innovation process. </w:t>
          </w:r>
        </w:p>
        <w:p w14:paraId="5ED44539" w14:textId="6EC364B3" w:rsidR="004202EC" w:rsidRDefault="006E0EFD" w:rsidP="0073554B">
          <w:r w:rsidRPr="003010BF">
            <w:t xml:space="preserve">The Australian Government is supporting conditions to de-risk innovation and commercialisation through supply-side initiatives such as concessional finance and patient capital, advisory </w:t>
          </w:r>
          <w:proofErr w:type="gramStart"/>
          <w:r w:rsidRPr="003010BF">
            <w:t>services</w:t>
          </w:r>
          <w:proofErr w:type="gramEnd"/>
          <w:r w:rsidRPr="003010BF">
            <w:t xml:space="preserve"> and grants. Although this contributes to </w:t>
          </w:r>
          <w:r w:rsidR="00815F33">
            <w:t>supporting</w:t>
          </w:r>
          <w:r w:rsidRPr="003010BF">
            <w:t xml:space="preserve"> industry transformation and competitiveness, equally important is boosting demand for innovation in industries that currently do not perceive the need to innovate, or have the risk appetite, </w:t>
          </w:r>
          <w:proofErr w:type="gramStart"/>
          <w:r w:rsidRPr="003010BF">
            <w:t>capacity</w:t>
          </w:r>
          <w:proofErr w:type="gramEnd"/>
          <w:r w:rsidR="00746912">
            <w:t xml:space="preserve"> </w:t>
          </w:r>
          <w:r w:rsidRPr="003010BF">
            <w:t>or capability to undertake transformative activities.</w:t>
          </w:r>
          <w:r w:rsidR="004202EC">
            <w:t xml:space="preserve"> </w:t>
          </w:r>
          <w:bookmarkStart w:id="26" w:name="_Hlk147308371"/>
          <w:bookmarkEnd w:id="25"/>
          <w:r w:rsidR="0073554B" w:rsidRPr="003010BF">
            <w:t xml:space="preserve">We have applied this market model approach in the context of Australia’s industry structure. </w:t>
          </w:r>
        </w:p>
        <w:p w14:paraId="683F9410" w14:textId="58FB0ECD" w:rsidR="0073554B" w:rsidRPr="003010BF" w:rsidRDefault="00776AE4" w:rsidP="0073554B">
          <w:r>
            <w:t>Australia’s industry structure comprises</w:t>
          </w:r>
          <w:r w:rsidR="0073554B" w:rsidRPr="003010BF">
            <w:t xml:space="preserve"> 1,004,180 employing businesses of which 93% are</w:t>
          </w:r>
          <w:r w:rsidR="004202EC">
            <w:t xml:space="preserve"> </w:t>
          </w:r>
          <w:r w:rsidR="0073554B" w:rsidRPr="003010BF">
            <w:t xml:space="preserve">small enterprises </w:t>
          </w:r>
          <w:r w:rsidR="0073554B" w:rsidRPr="00497F89">
            <w:rPr>
              <w:rFonts w:asciiTheme="majorHAnsi" w:hAnsiTheme="majorHAnsi" w:cstheme="majorHAnsi"/>
            </w:rPr>
            <w:t>of 1</w:t>
          </w:r>
          <w:r w:rsidR="00337612" w:rsidRPr="00167C4E">
            <w:rPr>
              <w:rFonts w:asciiTheme="majorHAnsi" w:hAnsiTheme="majorHAnsi" w:cstheme="majorHAnsi"/>
              <w:color w:val="414141"/>
            </w:rPr>
            <w:t xml:space="preserve"> to</w:t>
          </w:r>
          <w:r w:rsidR="009D263B" w:rsidRPr="00167C4E">
            <w:rPr>
              <w:rFonts w:asciiTheme="majorHAnsi" w:hAnsiTheme="majorHAnsi" w:cstheme="majorHAnsi"/>
              <w:color w:val="414141"/>
            </w:rPr>
            <w:t xml:space="preserve"> </w:t>
          </w:r>
          <w:r w:rsidR="0073554B" w:rsidRPr="00497F89">
            <w:rPr>
              <w:rFonts w:asciiTheme="majorHAnsi" w:hAnsiTheme="majorHAnsi" w:cstheme="majorHAnsi"/>
            </w:rPr>
            <w:t>19</w:t>
          </w:r>
          <w:r w:rsidR="0060706D" w:rsidRPr="00497F89">
            <w:rPr>
              <w:rFonts w:asciiTheme="majorHAnsi" w:hAnsiTheme="majorHAnsi" w:cstheme="majorHAnsi"/>
            </w:rPr>
            <w:t> </w:t>
          </w:r>
          <w:r w:rsidR="0073554B" w:rsidRPr="00497F89">
            <w:rPr>
              <w:rFonts w:asciiTheme="majorHAnsi" w:hAnsiTheme="majorHAnsi" w:cstheme="majorHAnsi"/>
            </w:rPr>
            <w:t>emp</w:t>
          </w:r>
          <w:r w:rsidR="0073554B" w:rsidRPr="003010BF">
            <w:t>loyees and 6% are medium</w:t>
          </w:r>
          <w:r w:rsidR="00542E2B">
            <w:t xml:space="preserve">-sized </w:t>
          </w:r>
          <w:r w:rsidR="0073554B" w:rsidRPr="003010BF">
            <w:t>enterprises of 20</w:t>
          </w:r>
          <w:r w:rsidR="00337612">
            <w:t xml:space="preserve"> to </w:t>
          </w:r>
          <w:r w:rsidR="0073554B" w:rsidRPr="003010BF">
            <w:t>199 employees.</w:t>
          </w:r>
          <w:r w:rsidR="0073554B" w:rsidRPr="003010BF">
            <w:rPr>
              <w:vertAlign w:val="superscript"/>
            </w:rPr>
            <w:footnoteReference w:id="8"/>
          </w:r>
        </w:p>
        <w:p w14:paraId="6A200AEB" w14:textId="4E097566" w:rsidR="006E0EFD" w:rsidRPr="00855012" w:rsidRDefault="006E0EFD" w:rsidP="006E0EFD">
          <w:pPr>
            <w:rPr>
              <w:b/>
              <w:bCs/>
              <w:iCs/>
              <w:szCs w:val="18"/>
            </w:rPr>
          </w:pPr>
          <w:r w:rsidRPr="00855012">
            <w:rPr>
              <w:b/>
              <w:iCs/>
              <w:szCs w:val="18"/>
            </w:rPr>
            <w:t xml:space="preserve">Chart </w:t>
          </w:r>
          <w:r w:rsidRPr="00855012">
            <w:rPr>
              <w:b/>
              <w:bCs/>
              <w:iCs/>
              <w:szCs w:val="18"/>
            </w:rPr>
            <w:t>3</w:t>
          </w:r>
          <w:r w:rsidRPr="00855012">
            <w:rPr>
              <w:b/>
              <w:iCs/>
              <w:szCs w:val="18"/>
            </w:rPr>
            <w:t xml:space="preserve">: Number </w:t>
          </w:r>
          <w:r w:rsidRPr="00855012">
            <w:rPr>
              <w:b/>
              <w:bCs/>
              <w:iCs/>
              <w:szCs w:val="18"/>
            </w:rPr>
            <w:t xml:space="preserve">and proportion </w:t>
          </w:r>
          <w:r w:rsidRPr="00855012">
            <w:rPr>
              <w:b/>
              <w:iCs/>
              <w:szCs w:val="18"/>
            </w:rPr>
            <w:t>of employing business by size</w:t>
          </w:r>
          <w:r w:rsidRPr="00855012">
            <w:rPr>
              <w:b/>
              <w:bCs/>
              <w:iCs/>
              <w:szCs w:val="18"/>
            </w:rPr>
            <w:t xml:space="preserve"> – all industries, </w:t>
          </w:r>
          <w:r w:rsidRPr="00855012">
            <w:rPr>
              <w:b/>
              <w:iCs/>
              <w:szCs w:val="18"/>
            </w:rPr>
            <w:t>June 2023</w:t>
          </w:r>
          <w:r w:rsidR="00A5438D">
            <w:rPr>
              <w:b/>
              <w:iCs/>
              <w:szCs w:val="18"/>
            </w:rPr>
            <w:t xml:space="preserve">. </w:t>
          </w:r>
          <w:r w:rsidR="00D668E5">
            <w:rPr>
              <w:b/>
              <w:bCs/>
              <w:szCs w:val="18"/>
            </w:rPr>
            <w:t xml:space="preserve">Refer to </w:t>
          </w:r>
          <w:r w:rsidR="00D668E5" w:rsidRPr="0058669D">
            <w:rPr>
              <w:b/>
              <w:bCs/>
              <w:szCs w:val="18"/>
            </w:rPr>
            <w:t>Appendix 6: Additional data tables</w:t>
          </w:r>
          <w:r w:rsidR="00D668E5">
            <w:rPr>
              <w:b/>
              <w:bCs/>
              <w:szCs w:val="18"/>
            </w:rPr>
            <w:t xml:space="preserve"> for the </w:t>
          </w:r>
          <w:hyperlink w:anchor="_Chart_3_data" w:history="1">
            <w:r w:rsidR="0010775B" w:rsidRPr="00A5438D">
              <w:rPr>
                <w:rStyle w:val="Hyperlink"/>
                <w:b/>
                <w:iCs/>
                <w:szCs w:val="18"/>
              </w:rPr>
              <w:t>d</w:t>
            </w:r>
            <w:r w:rsidR="00A5438D" w:rsidRPr="00A5438D">
              <w:rPr>
                <w:rStyle w:val="Hyperlink"/>
                <w:b/>
                <w:iCs/>
                <w:szCs w:val="18"/>
              </w:rPr>
              <w:t>ata table for chart 3</w:t>
            </w:r>
          </w:hyperlink>
        </w:p>
        <w:p w14:paraId="6A4FC2CB" w14:textId="5854C488" w:rsidR="006E0EFD" w:rsidRPr="003010BF" w:rsidRDefault="006E0EFD" w:rsidP="006E0EFD">
          <w:pPr>
            <w:jc w:val="center"/>
            <w:rPr>
              <w:b/>
              <w:i/>
              <w:color w:val="686868" w:themeColor="text2"/>
              <w:szCs w:val="18"/>
            </w:rPr>
          </w:pPr>
          <w:r w:rsidRPr="003010BF">
            <w:rPr>
              <w:noProof/>
            </w:rPr>
            <w:drawing>
              <wp:inline distT="0" distB="0" distL="0" distR="0" wp14:anchorId="29E7B446" wp14:editId="2DEE77EF">
                <wp:extent cx="5539740" cy="2536166"/>
                <wp:effectExtent l="0" t="0" r="0" b="0"/>
                <wp:docPr id="251" name="Chart 251" descr="Bar chart of counts of Australian businesses by number of employees, showing that smaller employee count categories have more businesses. &#10; &#10;The one to four employee count category has approximately seven hundred thousand businesses, or seventy percent. The five to nine employee count category has approximately two hundred and thirty thousand businesses, or twenty three percent. The twenty to one hundred and ninety nine employee count category has approximately sixty five thousand businesses, or six percent. The two hundred plus employee count category has approximately five thousand businesses, or zero point five percent.">
                  <a:extLst xmlns:a="http://schemas.openxmlformats.org/drawingml/2006/main">
                    <a:ext uri="{FF2B5EF4-FFF2-40B4-BE49-F238E27FC236}">
                      <a16:creationId xmlns:a16="http://schemas.microsoft.com/office/drawing/2014/main" id="{62BD167F-11A1-2208-8BF5-5CAEFD0DC5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9B9DF9" w14:textId="77777777" w:rsidR="008B40BC" w:rsidRPr="00FD79DB" w:rsidRDefault="008B40BC" w:rsidP="008B40BC">
          <w:pPr>
            <w:rPr>
              <w:sz w:val="18"/>
              <w:szCs w:val="18"/>
            </w:rPr>
          </w:pPr>
          <w:r w:rsidRPr="0027068A">
            <w:rPr>
              <w:sz w:val="18"/>
              <w:szCs w:val="18"/>
            </w:rPr>
            <w:t>Source: ABS (20</w:t>
          </w:r>
          <w:r>
            <w:rPr>
              <w:sz w:val="18"/>
              <w:szCs w:val="18"/>
            </w:rPr>
            <w:t>2</w:t>
          </w:r>
          <w:r w:rsidRPr="0027068A">
            <w:rPr>
              <w:sz w:val="18"/>
              <w:szCs w:val="18"/>
            </w:rPr>
            <w:t>3)</w:t>
          </w:r>
          <w:r>
            <w:rPr>
              <w:sz w:val="18"/>
              <w:szCs w:val="18"/>
            </w:rPr>
            <w:t xml:space="preserve"> </w:t>
          </w:r>
          <w:r w:rsidRPr="0027068A">
            <w:rPr>
              <w:sz w:val="18"/>
              <w:szCs w:val="18"/>
            </w:rPr>
            <w:t>Counts of Australian Businesses, including Entries and Exits, Cat. No 8165.0.</w:t>
          </w:r>
          <w:r>
            <w:rPr>
              <w:sz w:val="18"/>
              <w:szCs w:val="18"/>
            </w:rPr>
            <w:t xml:space="preserve"> </w:t>
          </w:r>
          <w:r w:rsidRPr="0027068A">
            <w:rPr>
              <w:sz w:val="18"/>
              <w:szCs w:val="18"/>
            </w:rPr>
            <w:t xml:space="preserve">Table 1 </w:t>
          </w:r>
        </w:p>
        <w:p w14:paraId="2B0CBFB8" w14:textId="1B0A324C" w:rsidR="00F6498A" w:rsidRPr="00F6498A" w:rsidRDefault="00F6498A" w:rsidP="00E05677">
          <w:pPr>
            <w:spacing w:before="360"/>
            <w:rPr>
              <w:rFonts w:ascii="Calibri" w:eastAsia="Calibri" w:hAnsi="Calibri" w:cs="Times New Roman"/>
            </w:rPr>
          </w:pPr>
          <w:r w:rsidRPr="00F6498A">
            <w:rPr>
              <w:rFonts w:ascii="Calibri" w:eastAsia="Calibri" w:hAnsi="Calibri" w:cs="Times New Roman"/>
            </w:rPr>
            <w:t xml:space="preserve">By international comparisons, Australia’s </w:t>
          </w:r>
          <w:r w:rsidR="00776AE4">
            <w:rPr>
              <w:rFonts w:ascii="Calibri" w:eastAsia="Calibri" w:hAnsi="Calibri" w:cs="Times New Roman"/>
            </w:rPr>
            <w:t>industry structure</w:t>
          </w:r>
          <w:r w:rsidRPr="00F6498A">
            <w:rPr>
              <w:rFonts w:ascii="Calibri" w:eastAsia="Calibri" w:hAnsi="Calibri" w:cs="Times New Roman"/>
            </w:rPr>
            <w:t xml:space="preserve"> is heavily skewed toward micro businesses employing 1</w:t>
          </w:r>
          <w:r w:rsidR="00337612">
            <w:rPr>
              <w:rFonts w:ascii="Calibri" w:eastAsia="Calibri" w:hAnsi="Calibri" w:cs="Times New Roman"/>
            </w:rPr>
            <w:t xml:space="preserve"> to </w:t>
          </w:r>
          <w:r w:rsidRPr="00F6498A">
            <w:rPr>
              <w:rFonts w:ascii="Calibri" w:eastAsia="Calibri" w:hAnsi="Calibri" w:cs="Times New Roman"/>
            </w:rPr>
            <w:t xml:space="preserve">4 people. </w:t>
          </w:r>
          <w:r w:rsidR="00776AE4">
            <w:rPr>
              <w:rFonts w:ascii="Calibri" w:eastAsia="Calibri" w:hAnsi="Calibri" w:cs="Times New Roman"/>
            </w:rPr>
            <w:t>C</w:t>
          </w:r>
          <w:r w:rsidRPr="00F6498A">
            <w:rPr>
              <w:rFonts w:ascii="Calibri" w:eastAsia="Calibri" w:hAnsi="Calibri" w:cs="Times New Roman"/>
            </w:rPr>
            <w:t>omparable data from the OECD shows that 94% of businesses in Australia employed 1</w:t>
          </w:r>
          <w:r w:rsidR="00337612">
            <w:rPr>
              <w:rFonts w:ascii="Calibri" w:eastAsia="Calibri" w:hAnsi="Calibri" w:cs="Times New Roman"/>
            </w:rPr>
            <w:t xml:space="preserve"> to </w:t>
          </w:r>
          <w:r w:rsidRPr="00F6498A">
            <w:rPr>
              <w:rFonts w:ascii="Calibri" w:eastAsia="Calibri" w:hAnsi="Calibri" w:cs="Times New Roman"/>
            </w:rPr>
            <w:t>9 people</w:t>
          </w:r>
          <w:r w:rsidR="00337612">
            <w:rPr>
              <w:rFonts w:ascii="Calibri" w:eastAsia="Calibri" w:hAnsi="Calibri" w:cs="Times New Roman"/>
            </w:rPr>
            <w:t xml:space="preserve"> in 2017</w:t>
          </w:r>
          <w:r w:rsidRPr="00F6498A">
            <w:rPr>
              <w:rFonts w:ascii="Calibri" w:eastAsia="Calibri" w:hAnsi="Calibri" w:cs="Times New Roman"/>
            </w:rPr>
            <w:t xml:space="preserve">. For the same employment range, this was 62% in Germany, 64% in Canada and 67% in </w:t>
          </w:r>
          <w:r w:rsidR="00A13BEA">
            <w:rPr>
              <w:rFonts w:ascii="Calibri" w:eastAsia="Calibri" w:hAnsi="Calibri" w:cs="Times New Roman"/>
            </w:rPr>
            <w:t xml:space="preserve">the </w:t>
          </w:r>
          <w:r w:rsidR="001B072A">
            <w:rPr>
              <w:rFonts w:ascii="Calibri" w:eastAsia="Calibri" w:hAnsi="Calibri" w:cs="Times New Roman"/>
            </w:rPr>
            <w:t xml:space="preserve">United States of America (the </w:t>
          </w:r>
          <w:r w:rsidR="00A13BEA">
            <w:rPr>
              <w:rFonts w:ascii="Calibri" w:eastAsia="Calibri" w:hAnsi="Calibri" w:cs="Times New Roman"/>
            </w:rPr>
            <w:t>US</w:t>
          </w:r>
          <w:r w:rsidR="00CD557D">
            <w:rPr>
              <w:rFonts w:ascii="Calibri" w:eastAsia="Calibri" w:hAnsi="Calibri" w:cs="Times New Roman"/>
            </w:rPr>
            <w:t>A</w:t>
          </w:r>
          <w:r w:rsidR="001B072A">
            <w:rPr>
              <w:rFonts w:ascii="Calibri" w:eastAsia="Calibri" w:hAnsi="Calibri" w:cs="Times New Roman"/>
            </w:rPr>
            <w:t>)</w:t>
          </w:r>
          <w:r w:rsidRPr="00F6498A">
            <w:rPr>
              <w:rFonts w:ascii="Calibri" w:eastAsia="Calibri" w:hAnsi="Calibri" w:cs="Times New Roman"/>
            </w:rPr>
            <w:t>.</w:t>
          </w:r>
          <w:r w:rsidR="00C12098">
            <w:rPr>
              <w:rStyle w:val="FootnoteReference"/>
              <w:rFonts w:ascii="Calibri" w:eastAsia="Calibri" w:hAnsi="Calibri" w:cs="Times New Roman"/>
            </w:rPr>
            <w:footnoteReference w:id="9"/>
          </w:r>
          <w:r w:rsidRPr="00F6498A">
            <w:rPr>
              <w:rFonts w:ascii="Calibri" w:eastAsia="Calibri" w:hAnsi="Calibri" w:cs="Times New Roman"/>
            </w:rPr>
            <w:t xml:space="preserve"> Limitations in data standardisation make direct international comparisons difficult. </w:t>
          </w:r>
          <w:r w:rsidR="0060706D">
            <w:rPr>
              <w:rFonts w:ascii="Calibri" w:eastAsia="Calibri" w:hAnsi="Calibri" w:cs="Times New Roman"/>
            </w:rPr>
            <w:t>However, available d</w:t>
          </w:r>
          <w:r w:rsidR="0060706D" w:rsidRPr="00F6498A">
            <w:rPr>
              <w:rFonts w:ascii="Calibri" w:eastAsia="Calibri" w:hAnsi="Calibri" w:cs="Times New Roman"/>
            </w:rPr>
            <w:t xml:space="preserve">ata </w:t>
          </w:r>
          <w:r w:rsidR="00776AE4">
            <w:rPr>
              <w:rFonts w:ascii="Calibri" w:eastAsia="Calibri" w:hAnsi="Calibri" w:cs="Times New Roman"/>
            </w:rPr>
            <w:t xml:space="preserve">also </w:t>
          </w:r>
          <w:r w:rsidR="0060706D">
            <w:rPr>
              <w:rFonts w:ascii="Calibri" w:eastAsia="Calibri" w:hAnsi="Calibri" w:cs="Times New Roman"/>
            </w:rPr>
            <w:t xml:space="preserve">indicates </w:t>
          </w:r>
          <w:r w:rsidR="00337612">
            <w:rPr>
              <w:rFonts w:ascii="Calibri" w:eastAsia="Calibri" w:hAnsi="Calibri" w:cs="Times New Roman"/>
            </w:rPr>
            <w:t xml:space="preserve">that </w:t>
          </w:r>
          <w:r w:rsidR="00C12098">
            <w:rPr>
              <w:rFonts w:ascii="Calibri" w:eastAsia="Calibri" w:hAnsi="Calibri" w:cs="Times New Roman"/>
            </w:rPr>
            <w:t>Australia has a</w:t>
          </w:r>
          <w:r w:rsidRPr="00F6498A">
            <w:rPr>
              <w:rFonts w:ascii="Calibri" w:eastAsia="Calibri" w:hAnsi="Calibri" w:cs="Times New Roman"/>
            </w:rPr>
            <w:t xml:space="preserve"> lower</w:t>
          </w:r>
          <w:r w:rsidR="006647E6">
            <w:rPr>
              <w:rFonts w:ascii="Calibri" w:eastAsia="Calibri" w:hAnsi="Calibri" w:cs="Times New Roman"/>
            </w:rPr>
            <w:t xml:space="preserve"> </w:t>
          </w:r>
          <w:r w:rsidR="00C12098">
            <w:rPr>
              <w:rFonts w:ascii="Calibri" w:eastAsia="Calibri" w:hAnsi="Calibri" w:cs="Times New Roman"/>
            </w:rPr>
            <w:t xml:space="preserve">proportion </w:t>
          </w:r>
          <w:r w:rsidR="0060706D" w:rsidRPr="00F6498A">
            <w:rPr>
              <w:rFonts w:ascii="Calibri" w:eastAsia="Calibri" w:hAnsi="Calibri" w:cs="Times New Roman"/>
            </w:rPr>
            <w:t xml:space="preserve">of businesses in </w:t>
          </w:r>
          <w:r w:rsidR="0060706D">
            <w:rPr>
              <w:rFonts w:ascii="Calibri" w:eastAsia="Calibri" w:hAnsi="Calibri" w:cs="Times New Roman"/>
            </w:rPr>
            <w:t>the 20</w:t>
          </w:r>
          <w:r w:rsidR="00497F89">
            <w:rPr>
              <w:rFonts w:ascii="Calibri" w:eastAsia="Calibri" w:hAnsi="Calibri" w:cs="Times New Roman"/>
            </w:rPr>
            <w:t xml:space="preserve"> </w:t>
          </w:r>
          <w:r w:rsidR="00337612">
            <w:rPr>
              <w:rFonts w:ascii="Calibri" w:eastAsia="Calibri" w:hAnsi="Calibri" w:cs="Times New Roman"/>
            </w:rPr>
            <w:t>to</w:t>
          </w:r>
          <w:r w:rsidR="00497F89">
            <w:rPr>
              <w:rFonts w:ascii="Calibri" w:eastAsia="Calibri" w:hAnsi="Calibri" w:cs="Times New Roman"/>
            </w:rPr>
            <w:t xml:space="preserve"> </w:t>
          </w:r>
          <w:r w:rsidR="0060706D">
            <w:rPr>
              <w:rFonts w:ascii="Calibri" w:eastAsia="Calibri" w:hAnsi="Calibri" w:cs="Times New Roman"/>
            </w:rPr>
            <w:t>49</w:t>
          </w:r>
          <w:r w:rsidR="0060706D" w:rsidRPr="00F6498A">
            <w:rPr>
              <w:rFonts w:ascii="Calibri" w:eastAsia="Calibri" w:hAnsi="Calibri" w:cs="Times New Roman"/>
            </w:rPr>
            <w:t xml:space="preserve"> employment size </w:t>
          </w:r>
          <w:r w:rsidRPr="00F6498A">
            <w:rPr>
              <w:rFonts w:ascii="Calibri" w:eastAsia="Calibri" w:hAnsi="Calibri" w:cs="Times New Roman"/>
            </w:rPr>
            <w:t xml:space="preserve">than other jurisdictions. In addition, </w:t>
          </w:r>
          <w:r w:rsidR="006647E6">
            <w:rPr>
              <w:rFonts w:ascii="Calibri" w:eastAsia="Calibri" w:hAnsi="Calibri" w:cs="Times New Roman"/>
            </w:rPr>
            <w:t>the</w:t>
          </w:r>
          <w:r w:rsidRPr="00F6498A">
            <w:rPr>
              <w:rFonts w:ascii="Calibri" w:eastAsia="Calibri" w:hAnsi="Calibri" w:cs="Times New Roman"/>
            </w:rPr>
            <w:t xml:space="preserve"> proportion</w:t>
          </w:r>
          <w:r w:rsidR="006647E6">
            <w:rPr>
              <w:rFonts w:ascii="Calibri" w:eastAsia="Calibri" w:hAnsi="Calibri" w:cs="Times New Roman"/>
            </w:rPr>
            <w:t xml:space="preserve"> of medium</w:t>
          </w:r>
          <w:r w:rsidR="00337612">
            <w:rPr>
              <w:rFonts w:ascii="Calibri" w:eastAsia="Calibri" w:hAnsi="Calibri" w:cs="Times New Roman"/>
            </w:rPr>
            <w:t>-</w:t>
          </w:r>
          <w:r w:rsidR="006647E6">
            <w:rPr>
              <w:rFonts w:ascii="Calibri" w:eastAsia="Calibri" w:hAnsi="Calibri" w:cs="Times New Roman"/>
            </w:rPr>
            <w:t>sized businesses (20</w:t>
          </w:r>
          <w:r w:rsidR="00337612">
            <w:rPr>
              <w:rFonts w:ascii="Calibri" w:eastAsia="Calibri" w:hAnsi="Calibri" w:cs="Times New Roman"/>
            </w:rPr>
            <w:t xml:space="preserve"> to </w:t>
          </w:r>
          <w:r w:rsidR="006647E6">
            <w:rPr>
              <w:rFonts w:ascii="Calibri" w:eastAsia="Calibri" w:hAnsi="Calibri" w:cs="Times New Roman"/>
            </w:rPr>
            <w:t xml:space="preserve">49 </w:t>
          </w:r>
          <w:r w:rsidR="0060706D">
            <w:rPr>
              <w:rFonts w:ascii="Calibri" w:eastAsia="Calibri" w:hAnsi="Calibri" w:cs="Times New Roman"/>
            </w:rPr>
            <w:t>employment size</w:t>
          </w:r>
          <w:r w:rsidR="006647E6">
            <w:rPr>
              <w:rFonts w:ascii="Calibri" w:eastAsia="Calibri" w:hAnsi="Calibri" w:cs="Times New Roman"/>
            </w:rPr>
            <w:t>)</w:t>
          </w:r>
          <w:r w:rsidRPr="00F6498A">
            <w:rPr>
              <w:rFonts w:ascii="Calibri" w:eastAsia="Calibri" w:hAnsi="Calibri" w:cs="Times New Roman"/>
            </w:rPr>
            <w:t xml:space="preserve"> decreased </w:t>
          </w:r>
          <w:r w:rsidR="006647E6">
            <w:rPr>
              <w:rFonts w:ascii="Calibri" w:eastAsia="Calibri" w:hAnsi="Calibri" w:cs="Times New Roman"/>
            </w:rPr>
            <w:t xml:space="preserve">in Australia </w:t>
          </w:r>
          <w:r w:rsidRPr="00F6498A">
            <w:rPr>
              <w:rFonts w:ascii="Calibri" w:eastAsia="Calibri" w:hAnsi="Calibri" w:cs="Times New Roman"/>
            </w:rPr>
            <w:t>between 2006 and 2017</w:t>
          </w:r>
          <w:r w:rsidR="006647E6">
            <w:rPr>
              <w:rFonts w:ascii="Calibri" w:eastAsia="Calibri" w:hAnsi="Calibri" w:cs="Times New Roman"/>
            </w:rPr>
            <w:t xml:space="preserve">, </w:t>
          </w:r>
          <w:r w:rsidRPr="00F6498A">
            <w:rPr>
              <w:rFonts w:ascii="Calibri" w:eastAsia="Calibri" w:hAnsi="Calibri" w:cs="Times New Roman"/>
            </w:rPr>
            <w:t xml:space="preserve">while in it increased in Germany and remained stable in </w:t>
          </w:r>
          <w:r w:rsidR="00874CF9">
            <w:rPr>
              <w:rFonts w:ascii="Calibri" w:eastAsia="Calibri" w:hAnsi="Calibri" w:cs="Times New Roman"/>
            </w:rPr>
            <w:t xml:space="preserve">the </w:t>
          </w:r>
          <w:r w:rsidR="003D7739">
            <w:rPr>
              <w:rFonts w:ascii="Calibri" w:eastAsia="Calibri" w:hAnsi="Calibri" w:cs="Times New Roman"/>
            </w:rPr>
            <w:t>United Kingdom (</w:t>
          </w:r>
          <w:r w:rsidRPr="00F6498A">
            <w:rPr>
              <w:rFonts w:ascii="Calibri" w:eastAsia="Calibri" w:hAnsi="Calibri" w:cs="Times New Roman"/>
            </w:rPr>
            <w:t>UK</w:t>
          </w:r>
          <w:r w:rsidR="003D7739">
            <w:rPr>
              <w:rFonts w:ascii="Calibri" w:eastAsia="Calibri" w:hAnsi="Calibri" w:cs="Times New Roman"/>
            </w:rPr>
            <w:t>)</w:t>
          </w:r>
          <w:r w:rsidRPr="00F6498A">
            <w:rPr>
              <w:rFonts w:ascii="Calibri" w:eastAsia="Calibri" w:hAnsi="Calibri" w:cs="Times New Roman"/>
            </w:rPr>
            <w:t>, Canada and the US</w:t>
          </w:r>
          <w:r w:rsidR="0060706D">
            <w:rPr>
              <w:rFonts w:ascii="Calibri" w:eastAsia="Calibri" w:hAnsi="Calibri" w:cs="Times New Roman"/>
            </w:rPr>
            <w:t>A</w:t>
          </w:r>
          <w:r w:rsidRPr="00F6498A">
            <w:rPr>
              <w:rFonts w:ascii="Calibri" w:eastAsia="Calibri" w:hAnsi="Calibri" w:cs="Times New Roman"/>
            </w:rPr>
            <w:t>.</w:t>
          </w:r>
          <w:r w:rsidR="003935E7">
            <w:rPr>
              <w:rStyle w:val="FootnoteReference"/>
              <w:rFonts w:ascii="Calibri" w:eastAsia="Calibri" w:hAnsi="Calibri" w:cs="Times New Roman"/>
            </w:rPr>
            <w:footnoteReference w:id="10"/>
          </w:r>
        </w:p>
        <w:bookmarkEnd w:id="26"/>
        <w:p w14:paraId="2323B28A" w14:textId="40F41830" w:rsidR="00F6498A" w:rsidRPr="00F6498A" w:rsidRDefault="00F6498A" w:rsidP="00F6498A">
          <w:pPr>
            <w:rPr>
              <w:rFonts w:ascii="Calibri" w:eastAsia="Calibri" w:hAnsi="Calibri" w:cs="Times New Roman"/>
            </w:rPr>
          </w:pPr>
          <w:r w:rsidRPr="00F6498A">
            <w:rPr>
              <w:rFonts w:ascii="Calibri" w:eastAsia="Calibri" w:hAnsi="Calibri" w:cs="Times New Roman"/>
            </w:rPr>
            <w:t xml:space="preserve">We have also focused on understanding the growth trajectory of </w:t>
          </w:r>
          <w:r w:rsidR="0060706D">
            <w:rPr>
              <w:rFonts w:ascii="Calibri" w:eastAsia="Calibri" w:hAnsi="Calibri" w:cs="Times New Roman"/>
            </w:rPr>
            <w:t>businesses</w:t>
          </w:r>
          <w:r w:rsidRPr="00F6498A">
            <w:rPr>
              <w:rFonts w:ascii="Calibri" w:eastAsia="Calibri" w:hAnsi="Calibri" w:cs="Times New Roman"/>
            </w:rPr>
            <w:t xml:space="preserve"> and the value</w:t>
          </w:r>
          <w:r w:rsidR="00337612">
            <w:rPr>
              <w:rFonts w:ascii="Calibri" w:eastAsia="Calibri" w:hAnsi="Calibri" w:cs="Times New Roman"/>
            </w:rPr>
            <w:t xml:space="preserve"> </w:t>
          </w:r>
          <w:r w:rsidRPr="00F6498A">
            <w:rPr>
              <w:rFonts w:ascii="Calibri" w:eastAsia="Calibri" w:hAnsi="Calibri" w:cs="Times New Roman"/>
            </w:rPr>
            <w:t>added generated by businesses of different sizes. Australia</w:t>
          </w:r>
          <w:r w:rsidR="00776AE4">
            <w:rPr>
              <w:rFonts w:ascii="Calibri" w:eastAsia="Calibri" w:hAnsi="Calibri" w:cs="Times New Roman"/>
            </w:rPr>
            <w:t>’s</w:t>
          </w:r>
          <w:r w:rsidRPr="00F6498A">
            <w:rPr>
              <w:rFonts w:ascii="Calibri" w:eastAsia="Calibri" w:hAnsi="Calibri" w:cs="Times New Roman"/>
            </w:rPr>
            <w:t xml:space="preserve"> small and medium</w:t>
          </w:r>
          <w:r w:rsidR="00337612">
            <w:rPr>
              <w:rFonts w:ascii="Calibri" w:eastAsia="Calibri" w:hAnsi="Calibri" w:cs="Times New Roman"/>
            </w:rPr>
            <w:t>-</w:t>
          </w:r>
          <w:r w:rsidRPr="00F6498A">
            <w:rPr>
              <w:rFonts w:ascii="Calibri" w:eastAsia="Calibri" w:hAnsi="Calibri" w:cs="Times New Roman"/>
            </w:rPr>
            <w:t>size</w:t>
          </w:r>
          <w:r w:rsidR="00874CF9">
            <w:rPr>
              <w:rFonts w:ascii="Calibri" w:eastAsia="Calibri" w:hAnsi="Calibri" w:cs="Times New Roman"/>
            </w:rPr>
            <w:t>d</w:t>
          </w:r>
          <w:r w:rsidRPr="00F6498A">
            <w:rPr>
              <w:rFonts w:ascii="Calibri" w:eastAsia="Calibri" w:hAnsi="Calibri" w:cs="Times New Roman"/>
            </w:rPr>
            <w:t xml:space="preserve"> </w:t>
          </w:r>
          <w:r w:rsidR="006647E6">
            <w:rPr>
              <w:rFonts w:ascii="Calibri" w:eastAsia="Calibri" w:hAnsi="Calibri" w:cs="Times New Roman"/>
            </w:rPr>
            <w:t>businesses are not growing</w:t>
          </w:r>
          <w:r w:rsidRPr="00F6498A">
            <w:rPr>
              <w:rFonts w:ascii="Calibri" w:eastAsia="Calibri" w:hAnsi="Calibri" w:cs="Times New Roman"/>
            </w:rPr>
            <w:t xml:space="preserve"> and generate less value added tha</w:t>
          </w:r>
          <w:r w:rsidR="004A0089">
            <w:rPr>
              <w:rFonts w:ascii="Calibri" w:eastAsia="Calibri" w:hAnsi="Calibri" w:cs="Times New Roman"/>
            </w:rPr>
            <w:t>n</w:t>
          </w:r>
          <w:r w:rsidRPr="00F6498A">
            <w:rPr>
              <w:rFonts w:ascii="Calibri" w:eastAsia="Calibri" w:hAnsi="Calibri" w:cs="Times New Roman"/>
            </w:rPr>
            <w:t xml:space="preserve"> the OECD average. Th</w:t>
          </w:r>
          <w:r w:rsidR="006647E6">
            <w:rPr>
              <w:rFonts w:ascii="Calibri" w:eastAsia="Calibri" w:hAnsi="Calibri" w:cs="Times New Roman"/>
            </w:rPr>
            <w:t>e implications of this trend on capacity and capability to innovate</w:t>
          </w:r>
          <w:r w:rsidRPr="00F6498A">
            <w:rPr>
              <w:rFonts w:ascii="Calibri" w:eastAsia="Calibri" w:hAnsi="Calibri" w:cs="Times New Roman"/>
            </w:rPr>
            <w:t xml:space="preserve"> </w:t>
          </w:r>
          <w:r w:rsidR="00874CF9">
            <w:rPr>
              <w:rFonts w:ascii="Calibri" w:eastAsia="Calibri" w:hAnsi="Calibri" w:cs="Times New Roman"/>
            </w:rPr>
            <w:t>are</w:t>
          </w:r>
          <w:r w:rsidR="00874CF9" w:rsidRPr="00F6498A">
            <w:rPr>
              <w:rFonts w:ascii="Calibri" w:eastAsia="Calibri" w:hAnsi="Calibri" w:cs="Times New Roman"/>
            </w:rPr>
            <w:t xml:space="preserve"> </w:t>
          </w:r>
          <w:r w:rsidRPr="00F6498A">
            <w:rPr>
              <w:rFonts w:ascii="Calibri" w:eastAsia="Calibri" w:hAnsi="Calibri" w:cs="Times New Roman"/>
            </w:rPr>
            <w:t xml:space="preserve">discussed in detail in </w:t>
          </w:r>
          <w:hyperlink w:anchor="_Section_2:_Business" w:history="1">
            <w:r w:rsidRPr="00BA6603">
              <w:rPr>
                <w:rStyle w:val="Hyperlink"/>
                <w:rFonts w:ascii="Calibri" w:eastAsia="Calibri" w:hAnsi="Calibri" w:cs="Times New Roman"/>
                <w:b/>
              </w:rPr>
              <w:t>Section 2</w:t>
            </w:r>
            <w:r w:rsidR="00BA6603" w:rsidRPr="00BA6603">
              <w:rPr>
                <w:rStyle w:val="Hyperlink"/>
                <w:rFonts w:ascii="Calibri" w:eastAsia="Calibri" w:hAnsi="Calibri" w:cs="Times New Roman"/>
                <w:b/>
              </w:rPr>
              <w:t xml:space="preserve">: Business composition, absorptive </w:t>
            </w:r>
            <w:proofErr w:type="gramStart"/>
            <w:r w:rsidR="00BA6603" w:rsidRPr="00BA6603">
              <w:rPr>
                <w:rStyle w:val="Hyperlink"/>
                <w:rFonts w:ascii="Calibri" w:eastAsia="Calibri" w:hAnsi="Calibri" w:cs="Times New Roman"/>
                <w:b/>
              </w:rPr>
              <w:t>capacity</w:t>
            </w:r>
            <w:proofErr w:type="gramEnd"/>
            <w:r w:rsidR="00BA6603" w:rsidRPr="00BA6603">
              <w:rPr>
                <w:rStyle w:val="Hyperlink"/>
                <w:rFonts w:ascii="Calibri" w:eastAsia="Calibri" w:hAnsi="Calibri" w:cs="Times New Roman"/>
                <w:b/>
              </w:rPr>
              <w:t xml:space="preserve"> and capability</w:t>
            </w:r>
          </w:hyperlink>
          <w:r w:rsidRPr="00F6498A">
            <w:rPr>
              <w:rFonts w:ascii="Calibri" w:eastAsia="Calibri" w:hAnsi="Calibri" w:cs="Times New Roman"/>
            </w:rPr>
            <w:t xml:space="preserve"> of the report.  </w:t>
          </w:r>
        </w:p>
        <w:p w14:paraId="288AF98B" w14:textId="11093668" w:rsidR="006E0EFD" w:rsidRDefault="006E0EFD" w:rsidP="00F132D3">
          <w:r w:rsidRPr="003010BF">
            <w:t>Revealed Comparative Advantage is one of several analyses that we have undertaken. The analysis contributes to the understanding of how industry structure and dynamics impact competitiveness and the need or impetus for innovation in different priority areas of the economy.</w:t>
          </w:r>
          <w:r w:rsidR="004202EC">
            <w:t xml:space="preserve"> </w:t>
          </w:r>
          <w:r w:rsidRPr="003010BF">
            <w:t>In addition to economic and market analysis, insights were drawn from interviews and direct engagement with business leaders</w:t>
          </w:r>
          <w:r w:rsidR="0060706D">
            <w:t xml:space="preserve"> and</w:t>
          </w:r>
          <w:r w:rsidRPr="003010BF">
            <w:t xml:space="preserve"> international experts in manufacturing, industry-research </w:t>
          </w:r>
          <w:proofErr w:type="gramStart"/>
          <w:r w:rsidRPr="003010BF">
            <w:t>collaboration</w:t>
          </w:r>
          <w:proofErr w:type="gramEnd"/>
          <w:r w:rsidRPr="003010BF">
            <w:t xml:space="preserve"> and policy development. A detailed methodology is provided at </w:t>
          </w:r>
          <w:hyperlink w:anchor="_Appendix_1:_Methodology" w:history="1">
            <w:r w:rsidRPr="002C79D3">
              <w:rPr>
                <w:rStyle w:val="Hyperlink"/>
                <w:b/>
                <w:bCs/>
              </w:rPr>
              <w:t>Appendix 1</w:t>
            </w:r>
            <w:r w:rsidR="002C79D3" w:rsidRPr="002C79D3">
              <w:rPr>
                <w:rStyle w:val="Hyperlink"/>
                <w:b/>
                <w:bCs/>
              </w:rPr>
              <w:t>: Methodology</w:t>
            </w:r>
          </w:hyperlink>
          <w:r w:rsidRPr="003010BF">
            <w:t xml:space="preserve">.  </w:t>
          </w:r>
          <w:r>
            <w:br w:type="page"/>
          </w:r>
        </w:p>
        <w:p w14:paraId="76940104" w14:textId="7A6E92AF" w:rsidR="006E0EFD" w:rsidRDefault="006E0EFD" w:rsidP="00F6694F">
          <w:pPr>
            <w:pStyle w:val="Heading3"/>
          </w:pPr>
          <w:bookmarkStart w:id="27" w:name="_Toc152165416"/>
          <w:r w:rsidRPr="00515419">
            <w:t xml:space="preserve">Key </w:t>
          </w:r>
          <w:r w:rsidR="00F61A8A" w:rsidRPr="00515419">
            <w:t>findings</w:t>
          </w:r>
          <w:r w:rsidR="00F61A8A">
            <w:t xml:space="preserve"> </w:t>
          </w:r>
          <w:r w:rsidR="00874CF9">
            <w:t>and</w:t>
          </w:r>
          <w:r>
            <w:t xml:space="preserve"> </w:t>
          </w:r>
          <w:r w:rsidR="00F61A8A">
            <w:t>recommendations</w:t>
          </w:r>
          <w:bookmarkEnd w:id="27"/>
        </w:p>
        <w:p w14:paraId="26F7E726" w14:textId="77777777" w:rsidR="006E0EFD" w:rsidRPr="00BA6BCA" w:rsidRDefault="006E0EFD" w:rsidP="006E0EFD">
          <w:r>
            <w:t>The following</w:t>
          </w:r>
          <w:r w:rsidRPr="00BA6BCA">
            <w:t xml:space="preserve"> recommendations </w:t>
          </w:r>
          <w:r>
            <w:t xml:space="preserve">are </w:t>
          </w:r>
          <w:r w:rsidRPr="00BA6BCA">
            <w:t xml:space="preserve">based on our findings of the practical challenges </w:t>
          </w:r>
          <w:r>
            <w:t>to collaboration and commercialisation, and the barriers</w:t>
          </w:r>
          <w:r w:rsidRPr="00BA6BCA">
            <w:t xml:space="preserve"> </w:t>
          </w:r>
          <w:r>
            <w:t>within</w:t>
          </w:r>
          <w:r w:rsidRPr="00BA6BCA">
            <w:t xml:space="preserve"> the innovation process in the context of the Australian industry structure, market dynamics and policy landscape. </w:t>
          </w:r>
        </w:p>
        <w:p w14:paraId="0F6B577A" w14:textId="053C87F7" w:rsidR="006E0EFD" w:rsidRDefault="006E0EFD" w:rsidP="006E0EFD">
          <w:r w:rsidRPr="00BA6BCA">
            <w:t>Our overarching recommendations reflect what we consider is required to build industry capability and capacity to</w:t>
          </w:r>
          <w:r>
            <w:t xml:space="preserve"> </w:t>
          </w:r>
          <w:r w:rsidRPr="00BA6BCA">
            <w:t xml:space="preserve">collaborate and commercialise, grounded in an understanding of Australia’s economic, research and industry context. We recommend the Government develop policy and interventions across these four critical areas to shift the dial in </w:t>
          </w:r>
          <w:r>
            <w:t>capability and capacity</w:t>
          </w:r>
          <w:r w:rsidR="0060706D">
            <w:t>,</w:t>
          </w:r>
          <w:r>
            <w:t xml:space="preserve"> which will benefit </w:t>
          </w:r>
          <w:r w:rsidRPr="00BA6BCA">
            <w:t>Australia’s economic complexity and resilience</w:t>
          </w:r>
          <w:r>
            <w:t>.</w:t>
          </w:r>
        </w:p>
        <w:p w14:paraId="24079F6A" w14:textId="77777777" w:rsidR="006E0EFD" w:rsidRPr="0059053E" w:rsidRDefault="006E0EFD" w:rsidP="00C35D33">
          <w:pPr>
            <w:pStyle w:val="Heading4"/>
          </w:pPr>
          <w:r w:rsidRPr="09F0E515">
            <w:t>Demand-side barriers</w:t>
          </w:r>
        </w:p>
        <w:p w14:paraId="537B72E8" w14:textId="7771CA65" w:rsidR="006E0EFD" w:rsidRPr="001B2D3C" w:rsidRDefault="006E0EFD" w:rsidP="006E0EFD">
          <w:pPr>
            <w:spacing w:line="256" w:lineRule="auto"/>
            <w:rPr>
              <w:rFonts w:ascii="Calibri" w:eastAsia="Calibri" w:hAnsi="Calibri" w:cs="Times New Roman"/>
            </w:rPr>
          </w:pPr>
          <w:r w:rsidRPr="001B2D3C">
            <w:rPr>
              <w:rFonts w:ascii="Calibri" w:eastAsia="Calibri" w:hAnsi="Calibri" w:cs="Times New Roman"/>
            </w:rPr>
            <w:t xml:space="preserve">Many government programs and interventions assume </w:t>
          </w:r>
          <w:r w:rsidR="0060706D">
            <w:rPr>
              <w:rFonts w:ascii="Calibri" w:eastAsia="Calibri" w:hAnsi="Calibri" w:cs="Times New Roman"/>
            </w:rPr>
            <w:t>businesses</w:t>
          </w:r>
          <w:r w:rsidR="00874CF9">
            <w:rPr>
              <w:rFonts w:ascii="Calibri" w:eastAsia="Calibri" w:hAnsi="Calibri" w:cs="Times New Roman"/>
            </w:rPr>
            <w:t>’</w:t>
          </w:r>
          <w:r w:rsidR="0060706D">
            <w:rPr>
              <w:rFonts w:ascii="Calibri" w:eastAsia="Calibri" w:hAnsi="Calibri" w:cs="Times New Roman"/>
            </w:rPr>
            <w:t xml:space="preserve"> </w:t>
          </w:r>
          <w:r w:rsidRPr="001B2D3C">
            <w:rPr>
              <w:rFonts w:ascii="Calibri" w:eastAsia="Calibri" w:hAnsi="Calibri" w:cs="Times New Roman"/>
            </w:rPr>
            <w:t xml:space="preserve">motivation for innovation, risk appetite, </w:t>
          </w:r>
          <w:proofErr w:type="gramStart"/>
          <w:r w:rsidRPr="001B2D3C">
            <w:rPr>
              <w:rFonts w:ascii="Calibri" w:eastAsia="Calibri" w:hAnsi="Calibri" w:cs="Times New Roman"/>
            </w:rPr>
            <w:t>capability</w:t>
          </w:r>
          <w:proofErr w:type="gramEnd"/>
          <w:r w:rsidRPr="001B2D3C">
            <w:rPr>
              <w:rFonts w:ascii="Calibri" w:eastAsia="Calibri" w:hAnsi="Calibri" w:cs="Times New Roman"/>
            </w:rPr>
            <w:t xml:space="preserve"> and capacity</w:t>
          </w:r>
          <w:r w:rsidR="0060706D">
            <w:rPr>
              <w:rFonts w:ascii="Calibri" w:eastAsia="Calibri" w:hAnsi="Calibri" w:cs="Times New Roman"/>
            </w:rPr>
            <w:t>,</w:t>
          </w:r>
          <w:r w:rsidRPr="001B2D3C">
            <w:rPr>
              <w:rFonts w:ascii="Calibri" w:eastAsia="Calibri" w:hAnsi="Calibri" w:cs="Times New Roman"/>
            </w:rPr>
            <w:t xml:space="preserve"> which is underdeveloped or may not exist – and the competitiveness of businesses and sectors continues to decline.</w:t>
          </w:r>
        </w:p>
        <w:p w14:paraId="41F42079" w14:textId="77777777" w:rsidR="006E0EFD" w:rsidRPr="00961AB4" w:rsidRDefault="006E0EFD" w:rsidP="00DC1525">
          <w:pPr>
            <w:pStyle w:val="Heading5"/>
            <w:rPr>
              <w:color w:val="auto"/>
            </w:rPr>
          </w:pPr>
          <w:r w:rsidRPr="00961AB4">
            <w:t>Few businesses have the need or risk appetite to innovate.</w:t>
          </w:r>
        </w:p>
        <w:p w14:paraId="4D8E94E7" w14:textId="2C6ED73F" w:rsidR="006E0EFD" w:rsidRDefault="006E0EFD" w:rsidP="006E0EFD">
          <w:pPr>
            <w:pStyle w:val="ListBullet"/>
            <w:numPr>
              <w:ilvl w:val="0"/>
              <w:numId w:val="24"/>
            </w:numPr>
            <w:ind w:left="357" w:hanging="357"/>
            <w:contextualSpacing w:val="0"/>
          </w:pPr>
          <w:r>
            <w:t>Australia’s economy is dominated by primary industry with high reliance on its unique natural resource</w:t>
          </w:r>
          <w:r w:rsidR="0060706D">
            <w:t>s</w:t>
          </w:r>
          <w:r>
            <w:t xml:space="preserve"> advantage. Operations in these sectors are exposed to high levels of risk in terms of safety and regulatory compliance, capital intensity, weather dependency and workforce variability. </w:t>
          </w:r>
          <w:r w:rsidRPr="008B53EE">
            <w:t>Risk saturation and a regulatory environment that imposes high penalties for non-compliance constrain the appetite for innovation.</w:t>
          </w:r>
        </w:p>
        <w:p w14:paraId="71F33EAD" w14:textId="2EF869F0" w:rsidR="006E0EFD" w:rsidRDefault="006E0EFD" w:rsidP="006E0EFD">
          <w:pPr>
            <w:pStyle w:val="ListBullet"/>
            <w:numPr>
              <w:ilvl w:val="0"/>
              <w:numId w:val="24"/>
            </w:numPr>
            <w:ind w:left="357" w:hanging="357"/>
            <w:contextualSpacing w:val="0"/>
          </w:pPr>
          <w:r>
            <w:t>Not all businesses have the need or risk appetite to innovate to achieve their objectives. Research shows that only 5</w:t>
          </w:r>
          <w:r w:rsidR="00F61A8A">
            <w:t xml:space="preserve">% to </w:t>
          </w:r>
          <w:r>
            <w:t xml:space="preserve">15% of business leaders of </w:t>
          </w:r>
          <w:r w:rsidR="005A7FEC">
            <w:t>small and medium enterprises (</w:t>
          </w:r>
          <w:r>
            <w:t>SMEs</w:t>
          </w:r>
          <w:r w:rsidR="005A7FEC">
            <w:t>)</w:t>
          </w:r>
          <w:r>
            <w:t xml:space="preserve"> have the desire to grow to be multinational businesses</w:t>
          </w:r>
          <w:r w:rsidR="00F61A8A">
            <w:t>;</w:t>
          </w:r>
          <w:r>
            <w:t xml:space="preserve"> the majority are lifestyle businesses.</w:t>
          </w:r>
          <w:r w:rsidRPr="00265AD9">
            <w:rPr>
              <w:vertAlign w:val="superscript"/>
            </w:rPr>
            <w:footnoteReference w:id="11"/>
          </w:r>
        </w:p>
        <w:p w14:paraId="1BB86E1B" w14:textId="5EC7AE5A" w:rsidR="006E0EFD" w:rsidRDefault="006E0EFD" w:rsidP="006E0EFD">
          <w:pPr>
            <w:pStyle w:val="ListBullet"/>
            <w:numPr>
              <w:ilvl w:val="0"/>
              <w:numId w:val="24"/>
            </w:numPr>
          </w:pPr>
          <w:r w:rsidRPr="002D5F62">
            <w:t xml:space="preserve">The scale of the </w:t>
          </w:r>
          <w:r w:rsidRPr="006B7946">
            <w:rPr>
              <w:i/>
            </w:rPr>
            <w:t>obtainable</w:t>
          </w:r>
          <w:r w:rsidRPr="002D5F62">
            <w:t xml:space="preserve"> market for innovative enterprises is perceived to be small. The domestic market represents subscale reward relative to the risk profile</w:t>
          </w:r>
          <w:r w:rsidR="00F61A8A">
            <w:t>.</w:t>
          </w:r>
          <w:r w:rsidDel="00F61A8A">
            <w:t xml:space="preserve"> </w:t>
          </w:r>
          <w:r w:rsidR="00F61A8A">
            <w:t>B</w:t>
          </w:r>
          <w:r w:rsidRPr="002D5F62">
            <w:t>usinesses seeking to service global markets from Australia face barriers such as accessibility and cost competitiveness that render the</w:t>
          </w:r>
          <w:r w:rsidR="00F61A8A">
            <w:t>se markets</w:t>
          </w:r>
          <w:r w:rsidRPr="002D5F62">
            <w:t xml:space="preserve"> unobtainable</w:t>
          </w:r>
          <w:r w:rsidR="00F61A8A">
            <w:t>,</w:t>
          </w:r>
          <w:r w:rsidRPr="002D5F62">
            <w:t xml:space="preserve"> particularly on tangible product</w:t>
          </w:r>
          <w:r w:rsidR="00874CF9">
            <w:t>-</w:t>
          </w:r>
          <w:r w:rsidRPr="002D5F62">
            <w:t>only value propositions.</w:t>
          </w:r>
        </w:p>
        <w:p w14:paraId="0D64D402" w14:textId="6C7555EC" w:rsidR="006E0EFD" w:rsidRPr="00B613B2" w:rsidRDefault="006E0EFD" w:rsidP="006E0EFD">
          <w:pPr>
            <w:pStyle w:val="ListParagraph"/>
            <w:numPr>
              <w:ilvl w:val="0"/>
              <w:numId w:val="24"/>
            </w:numPr>
          </w:pPr>
          <w:r w:rsidRPr="00B613B2">
            <w:t>Businesses servicing domestic markets with adequate current demand may not need to engage in new</w:t>
          </w:r>
          <w:r w:rsidR="00874CF9">
            <w:t>-</w:t>
          </w:r>
          <w:r w:rsidRPr="00B613B2">
            <w:t>to</w:t>
          </w:r>
          <w:r w:rsidR="00874CF9">
            <w:t>-</w:t>
          </w:r>
          <w:r w:rsidRPr="00B613B2">
            <w:t>market</w:t>
          </w:r>
          <w:r w:rsidR="0060706D">
            <w:t xml:space="preserve"> or new</w:t>
          </w:r>
          <w:r w:rsidR="00874CF9">
            <w:t>-</w:t>
          </w:r>
          <w:r w:rsidR="0060706D">
            <w:t>to</w:t>
          </w:r>
          <w:r w:rsidR="00874CF9">
            <w:t>-</w:t>
          </w:r>
          <w:r w:rsidRPr="00B613B2">
            <w:t>world innovation or undertake high</w:t>
          </w:r>
          <w:r w:rsidR="00F61A8A">
            <w:t>-risk, high-</w:t>
          </w:r>
          <w:r w:rsidR="00DE050E">
            <w:t xml:space="preserve">reward </w:t>
          </w:r>
          <w:r w:rsidRPr="00B613B2">
            <w:t>collaborations</w:t>
          </w:r>
          <w:r>
            <w:t>.</w:t>
          </w:r>
          <w:r w:rsidRPr="00B613B2">
            <w:t xml:space="preserve"> </w:t>
          </w:r>
        </w:p>
        <w:p w14:paraId="79CD90DF" w14:textId="77777777" w:rsidR="00535561" w:rsidRDefault="00535561" w:rsidP="001D6A63"/>
        <w:p w14:paraId="70260E2A" w14:textId="77777777" w:rsidR="006E0EFD" w:rsidRPr="00A8719B" w:rsidRDefault="006E0EFD" w:rsidP="00DC1525">
          <w:pPr>
            <w:pStyle w:val="Heading5"/>
          </w:pPr>
          <w:r>
            <w:t>Australia’s industry</w:t>
          </w:r>
          <w:r w:rsidRPr="00A8719B">
            <w:t xml:space="preserve"> </w:t>
          </w:r>
          <w:r>
            <w:t>s</w:t>
          </w:r>
          <w:r w:rsidRPr="00A8719B">
            <w:t>tructure</w:t>
          </w:r>
          <w:r>
            <w:t xml:space="preserve"> has</w:t>
          </w:r>
          <w:r w:rsidRPr="00A8719B">
            <w:t xml:space="preserve"> implications for</w:t>
          </w:r>
          <w:r>
            <w:t xml:space="preserve"> the</w:t>
          </w:r>
          <w:r w:rsidRPr="00A8719B">
            <w:t xml:space="preserve"> capacity and capability to </w:t>
          </w:r>
          <w:r>
            <w:t xml:space="preserve">adopt and scale </w:t>
          </w:r>
          <w:r w:rsidRPr="00A8719B">
            <w:t>innovat</w:t>
          </w:r>
          <w:r>
            <w:t>ion.</w:t>
          </w:r>
        </w:p>
        <w:p w14:paraId="7EFA5F5C" w14:textId="2C11C7FD" w:rsidR="006E0EFD" w:rsidRDefault="006E0EFD" w:rsidP="006E0EFD">
          <w:pPr>
            <w:pStyle w:val="ListBullet"/>
            <w:numPr>
              <w:ilvl w:val="0"/>
              <w:numId w:val="24"/>
            </w:numPr>
            <w:ind w:left="357" w:hanging="357"/>
            <w:contextualSpacing w:val="0"/>
          </w:pPr>
          <w:r w:rsidRPr="006B7946">
            <w:t xml:space="preserve">Australia's </w:t>
          </w:r>
          <w:r w:rsidR="000B7C7A">
            <w:t>industry</w:t>
          </w:r>
          <w:r w:rsidR="000B7C7A" w:rsidRPr="006B7946">
            <w:t xml:space="preserve"> </w:t>
          </w:r>
          <w:r w:rsidRPr="006B7946">
            <w:t xml:space="preserve">structure is dominated by small </w:t>
          </w:r>
          <w:r>
            <w:t>businesses</w:t>
          </w:r>
          <w:r w:rsidRPr="006B7946">
            <w:t xml:space="preserve"> </w:t>
          </w:r>
          <w:r w:rsidRPr="002F798E">
            <w:t>(</w:t>
          </w:r>
          <w:r w:rsidRPr="00531DC2">
            <w:t xml:space="preserve">93% of Australian </w:t>
          </w:r>
          <w:r>
            <w:t>businesses</w:t>
          </w:r>
          <w:r w:rsidRPr="006B7946">
            <w:t xml:space="preserve">) with low levels of free cash flow and human resourcing. These characteristics limit the capacity to invest in adopting and scaling innovation. </w:t>
          </w:r>
          <w:r>
            <w:t>T</w:t>
          </w:r>
          <w:r w:rsidRPr="00A8719B">
            <w:t xml:space="preserve">he </w:t>
          </w:r>
          <w:r w:rsidR="00B00717">
            <w:t>“</w:t>
          </w:r>
          <w:r w:rsidRPr="00A8719B">
            <w:t>missing middle</w:t>
          </w:r>
          <w:r w:rsidR="00B00717">
            <w:t>”</w:t>
          </w:r>
          <w:r w:rsidRPr="00A8719B">
            <w:t xml:space="preserve"> (low </w:t>
          </w:r>
          <w:r>
            <w:t>number</w:t>
          </w:r>
          <w:r w:rsidRPr="00A8719B">
            <w:t xml:space="preserve"> of medium</w:t>
          </w:r>
          <w:r w:rsidR="00B751E8">
            <w:t>-</w:t>
          </w:r>
          <w:r w:rsidRPr="00A8719B">
            <w:t xml:space="preserve">sized </w:t>
          </w:r>
          <w:r>
            <w:t>businesses</w:t>
          </w:r>
          <w:r w:rsidRPr="00A8719B">
            <w:t xml:space="preserve">) means that the scaling of innovation and </w:t>
          </w:r>
          <w:r>
            <w:t xml:space="preserve">realisation of commercial </w:t>
          </w:r>
          <w:r w:rsidRPr="00A8719B">
            <w:t>benefits either fails or is taken offshore.</w:t>
          </w:r>
        </w:p>
        <w:p w14:paraId="6629413C" w14:textId="5337BE23" w:rsidR="006E0EFD" w:rsidRDefault="006E0EFD" w:rsidP="006E0EFD">
          <w:pPr>
            <w:pStyle w:val="ListBullet"/>
            <w:numPr>
              <w:ilvl w:val="0"/>
              <w:numId w:val="24"/>
            </w:numPr>
            <w:ind w:left="357" w:hanging="357"/>
          </w:pPr>
          <w:r w:rsidRPr="00A8719B">
            <w:t xml:space="preserve">Management experience necessary to steward risky and innovative enterprises is developed through </w:t>
          </w:r>
          <w:r w:rsidR="00081EC7">
            <w:t xml:space="preserve">operating </w:t>
          </w:r>
          <w:r w:rsidRPr="00A8719B">
            <w:t xml:space="preserve">businesses in dynamic and highly competitive markets. </w:t>
          </w:r>
          <w:r>
            <w:t>In recent decades</w:t>
          </w:r>
          <w:r w:rsidRPr="00A8719B">
            <w:t xml:space="preserve">, domestic </w:t>
          </w:r>
          <w:r>
            <w:t>industry</w:t>
          </w:r>
          <w:r w:rsidRPr="00A8719B">
            <w:t xml:space="preserve"> </w:t>
          </w:r>
          <w:r w:rsidRPr="008F5444" w:rsidDel="00081EC7">
            <w:t xml:space="preserve">conditions </w:t>
          </w:r>
          <w:r w:rsidRPr="008F5444">
            <w:t xml:space="preserve">have led to an </w:t>
          </w:r>
          <w:r w:rsidRPr="00A8719B">
            <w:t>atroph</w:t>
          </w:r>
          <w:r>
            <w:t>y</w:t>
          </w:r>
          <w:r w:rsidRPr="00A8719B">
            <w:t xml:space="preserve"> </w:t>
          </w:r>
          <w:r>
            <w:t>in</w:t>
          </w:r>
          <w:r w:rsidRPr="00A8719B">
            <w:t xml:space="preserve"> this skill set. </w:t>
          </w:r>
        </w:p>
        <w:p w14:paraId="57B87B87" w14:textId="6A9EAB7F" w:rsidR="006E0EFD" w:rsidRPr="00DC1525" w:rsidRDefault="006E0EFD" w:rsidP="006E0EFD">
          <w:pPr>
            <w:pStyle w:val="ListParagraph"/>
            <w:numPr>
              <w:ilvl w:val="0"/>
              <w:numId w:val="24"/>
            </w:numPr>
            <w:rPr>
              <w:b/>
              <w:bCs/>
            </w:rPr>
          </w:pPr>
          <w:r w:rsidRPr="009A086B">
            <w:t>Small and medium</w:t>
          </w:r>
          <w:r w:rsidR="00735DF8">
            <w:t>-sized</w:t>
          </w:r>
          <w:r w:rsidRPr="009A086B">
            <w:t xml:space="preserve"> businesses have reduced absorptive capacity. The nature of Australia’s industrial base also leads to</w:t>
          </w:r>
          <w:r w:rsidRPr="00370207">
            <w:rPr>
              <w:b/>
              <w:bCs/>
            </w:rPr>
            <w:t xml:space="preserve"> </w:t>
          </w:r>
          <w:r w:rsidRPr="003010BF">
            <w:t>a reduction in demand for innovation.</w:t>
          </w:r>
        </w:p>
        <w:p w14:paraId="60C9F62B" w14:textId="2AC709A2" w:rsidR="00F612CF" w:rsidRDefault="00F612CF" w:rsidP="00FC0594">
          <w:pPr>
            <w:pStyle w:val="Heading5"/>
            <w:pBdr>
              <w:top w:val="single" w:sz="12" w:space="10" w:color="auto"/>
              <w:left w:val="single" w:sz="12" w:space="4" w:color="auto"/>
              <w:bottom w:val="single" w:sz="12" w:space="10" w:color="auto"/>
              <w:right w:val="single" w:sz="12" w:space="4" w:color="auto"/>
            </w:pBdr>
            <w:shd w:val="clear" w:color="auto" w:fill="C9F0FF" w:themeFill="background2" w:themeFillTint="33"/>
            <w:ind w:left="360" w:right="567"/>
            <w:mirrorIndents/>
          </w:pPr>
          <w:r w:rsidRPr="00F612CF">
            <w:t>Recommendation: Demand-side drivers and the need to innovate</w:t>
          </w:r>
        </w:p>
        <w:p w14:paraId="3BB44669" w14:textId="61D7DF42" w:rsidR="00F612CF" w:rsidRPr="00F612CF" w:rsidRDefault="00F612CF" w:rsidP="00FC0594">
          <w:pPr>
            <w:pStyle w:val="ListParagraph"/>
            <w:numPr>
              <w:ilvl w:val="0"/>
              <w:numId w:val="88"/>
            </w:numPr>
            <w:pBdr>
              <w:top w:val="single" w:sz="12" w:space="10" w:color="auto"/>
              <w:left w:val="single" w:sz="12" w:space="4" w:color="auto"/>
              <w:bottom w:val="single" w:sz="12" w:space="10" w:color="auto"/>
              <w:right w:val="single" w:sz="12" w:space="4" w:color="auto"/>
            </w:pBdr>
            <w:shd w:val="clear" w:color="auto" w:fill="C9F0FF" w:themeFill="background2" w:themeFillTint="33"/>
            <w:ind w:left="720" w:right="567"/>
            <w:mirrorIndents/>
          </w:pPr>
          <w:r w:rsidRPr="00DC1525">
            <w:rPr>
              <w:rStyle w:val="Emphasis"/>
            </w:rPr>
            <w:t xml:space="preserve">Effectively identify businesses with the need to innovate and focus interventions on the barriers specific to that sector. </w:t>
          </w:r>
        </w:p>
        <w:p w14:paraId="0DFE0496" w14:textId="77777777" w:rsidR="00F612CF" w:rsidRPr="00DC1525" w:rsidRDefault="00F612CF" w:rsidP="00FC0594">
          <w:pPr>
            <w:pBdr>
              <w:top w:val="single" w:sz="12" w:space="10" w:color="auto"/>
              <w:left w:val="single" w:sz="12" w:space="4" w:color="auto"/>
              <w:bottom w:val="single" w:sz="12" w:space="10" w:color="auto"/>
              <w:right w:val="single" w:sz="12" w:space="4" w:color="auto"/>
            </w:pBdr>
            <w:shd w:val="clear" w:color="auto" w:fill="C9F0FF" w:themeFill="background2" w:themeFillTint="33"/>
            <w:ind w:left="360" w:right="567"/>
            <w:mirrorIndents/>
            <w:rPr>
              <w:rStyle w:val="Emphasis"/>
            </w:rPr>
          </w:pPr>
          <w:r w:rsidRPr="00DC1525">
            <w:rPr>
              <w:rStyle w:val="Emphasis"/>
            </w:rPr>
            <w:t>Actions could include:</w:t>
          </w:r>
        </w:p>
        <w:p w14:paraId="6502AB2F" w14:textId="77777777" w:rsidR="00F612CF" w:rsidRDefault="00F612CF" w:rsidP="00FC0594">
          <w:pPr>
            <w:pStyle w:val="ListParagraph"/>
            <w:numPr>
              <w:ilvl w:val="1"/>
              <w:numId w:val="67"/>
            </w:numPr>
            <w:pBdr>
              <w:top w:val="single" w:sz="12" w:space="10" w:color="auto"/>
              <w:left w:val="single" w:sz="12" w:space="4" w:color="auto"/>
              <w:bottom w:val="single" w:sz="12" w:space="10" w:color="auto"/>
              <w:right w:val="single" w:sz="12" w:space="4" w:color="auto"/>
            </w:pBdr>
            <w:shd w:val="clear" w:color="auto" w:fill="C9F0FF" w:themeFill="background2" w:themeFillTint="33"/>
            <w:ind w:left="717" w:right="567" w:hanging="357"/>
            <w:contextualSpacing w:val="0"/>
            <w:mirrorIndents/>
          </w:pPr>
          <w:r>
            <w:t>Selectively support businesses with the need and risk appetite to innovate to deliver novel products and/or services for growing domestic and international markets.</w:t>
          </w:r>
        </w:p>
        <w:p w14:paraId="4256B125" w14:textId="77777777" w:rsidR="00F612CF" w:rsidRPr="002F431F" w:rsidRDefault="00F612CF" w:rsidP="00FC0594">
          <w:pPr>
            <w:pStyle w:val="ListParagraph"/>
            <w:numPr>
              <w:ilvl w:val="1"/>
              <w:numId w:val="67"/>
            </w:numPr>
            <w:pBdr>
              <w:top w:val="single" w:sz="12" w:space="10" w:color="auto"/>
              <w:left w:val="single" w:sz="12" w:space="4" w:color="auto"/>
              <w:bottom w:val="single" w:sz="12" w:space="10" w:color="auto"/>
              <w:right w:val="single" w:sz="12" w:space="4" w:color="auto"/>
            </w:pBdr>
            <w:shd w:val="clear" w:color="auto" w:fill="C9F0FF" w:themeFill="background2" w:themeFillTint="33"/>
            <w:ind w:left="717" w:right="567" w:hanging="357"/>
            <w:contextualSpacing w:val="0"/>
            <w:mirrorIndents/>
          </w:pPr>
          <w:r w:rsidRPr="6683FA23">
            <w:rPr>
              <w:rFonts w:ascii="Calibri" w:eastAsia="Calibri" w:hAnsi="Calibri" w:cs="Times New Roman"/>
            </w:rPr>
            <w:t xml:space="preserve">Design incentive programs that target </w:t>
          </w:r>
          <w:r>
            <w:rPr>
              <w:rFonts w:ascii="Calibri" w:eastAsia="Calibri" w:hAnsi="Calibri" w:cs="Times New Roman"/>
            </w:rPr>
            <w:t>businesses</w:t>
          </w:r>
          <w:r w:rsidRPr="6683FA23">
            <w:rPr>
              <w:rFonts w:ascii="Calibri" w:eastAsia="Calibri" w:hAnsi="Calibri" w:cs="Times New Roman"/>
            </w:rPr>
            <w:t xml:space="preserve"> and industries critical to Australia’s </w:t>
          </w:r>
          <w:r>
            <w:rPr>
              <w:rFonts w:ascii="Calibri" w:eastAsia="Calibri" w:hAnsi="Calibri" w:cs="Times New Roman"/>
            </w:rPr>
            <w:t>industry</w:t>
          </w:r>
          <w:r w:rsidRPr="6683FA23">
            <w:rPr>
              <w:rFonts w:ascii="Calibri" w:eastAsia="Calibri" w:hAnsi="Calibri" w:cs="Times New Roman"/>
            </w:rPr>
            <w:t xml:space="preserve"> policy </w:t>
          </w:r>
          <w:r>
            <w:rPr>
              <w:rFonts w:ascii="Calibri" w:eastAsia="Calibri" w:hAnsi="Calibri" w:cs="Times New Roman"/>
            </w:rPr>
            <w:t>objectives</w:t>
          </w:r>
          <w:r w:rsidRPr="6683FA23">
            <w:rPr>
              <w:rFonts w:ascii="Calibri" w:eastAsia="Calibri" w:hAnsi="Calibri" w:cs="Times New Roman"/>
            </w:rPr>
            <w:t xml:space="preserve"> and align business and funding risk-taking in both direction and magnitude. For example, design funds and guidelines to filter applications based on business motivation</w:t>
          </w:r>
          <w:r>
            <w:rPr>
              <w:rFonts w:ascii="Calibri" w:eastAsia="Calibri" w:hAnsi="Calibri" w:cs="Times New Roman"/>
            </w:rPr>
            <w:t xml:space="preserve"> and </w:t>
          </w:r>
          <w:r w:rsidRPr="6683FA23">
            <w:rPr>
              <w:rFonts w:ascii="Calibri" w:eastAsia="Calibri" w:hAnsi="Calibri" w:cs="Times New Roman"/>
            </w:rPr>
            <w:t>ambition</w:t>
          </w:r>
          <w:r>
            <w:rPr>
              <w:rFonts w:ascii="Calibri" w:eastAsia="Calibri" w:hAnsi="Calibri" w:cs="Times New Roman"/>
            </w:rPr>
            <w:t xml:space="preserve">, </w:t>
          </w:r>
          <w:r w:rsidRPr="6683FA23">
            <w:rPr>
              <w:rFonts w:ascii="Calibri" w:eastAsia="Calibri" w:hAnsi="Calibri" w:cs="Times New Roman"/>
            </w:rPr>
            <w:t xml:space="preserve">and provide advice, </w:t>
          </w:r>
          <w:proofErr w:type="gramStart"/>
          <w:r w:rsidRPr="6683FA23">
            <w:rPr>
              <w:rFonts w:ascii="Calibri" w:eastAsia="Calibri" w:hAnsi="Calibri" w:cs="Times New Roman"/>
            </w:rPr>
            <w:t>connections</w:t>
          </w:r>
          <w:proofErr w:type="gramEnd"/>
          <w:r w:rsidRPr="6683FA23">
            <w:rPr>
              <w:rFonts w:ascii="Calibri" w:eastAsia="Calibri" w:hAnsi="Calibri" w:cs="Times New Roman"/>
            </w:rPr>
            <w:t xml:space="preserve"> and resources specific to their needs to de-risk their opportunity.</w:t>
          </w:r>
        </w:p>
        <w:p w14:paraId="50ECCC8D" w14:textId="77777777" w:rsidR="00F612CF" w:rsidRPr="002F431F" w:rsidRDefault="00F612CF" w:rsidP="00FC0594">
          <w:pPr>
            <w:pStyle w:val="ListParagraph"/>
            <w:numPr>
              <w:ilvl w:val="1"/>
              <w:numId w:val="67"/>
            </w:numPr>
            <w:pBdr>
              <w:top w:val="single" w:sz="12" w:space="10" w:color="auto"/>
              <w:left w:val="single" w:sz="12" w:space="4" w:color="auto"/>
              <w:bottom w:val="single" w:sz="12" w:space="10" w:color="auto"/>
              <w:right w:val="single" w:sz="12" w:space="4" w:color="auto"/>
            </w:pBdr>
            <w:shd w:val="clear" w:color="auto" w:fill="C9F0FF" w:themeFill="background2" w:themeFillTint="33"/>
            <w:ind w:left="717" w:right="567" w:hanging="357"/>
            <w:contextualSpacing w:val="0"/>
            <w:mirrorIndents/>
            <w:rPr>
              <w:rFonts w:ascii="Calibri" w:eastAsia="Calibri" w:hAnsi="Calibri" w:cs="Times New Roman"/>
            </w:rPr>
          </w:pPr>
          <w:r w:rsidRPr="6683FA23">
            <w:rPr>
              <w:rFonts w:ascii="Calibri" w:eastAsia="Calibri" w:hAnsi="Calibri" w:cs="Times New Roman"/>
            </w:rPr>
            <w:t xml:space="preserve">Focus </w:t>
          </w:r>
          <w:r>
            <w:rPr>
              <w:rFonts w:ascii="Calibri" w:eastAsia="Calibri" w:hAnsi="Calibri" w:cs="Times New Roman"/>
            </w:rPr>
            <w:t>g</w:t>
          </w:r>
          <w:r w:rsidRPr="6683FA23">
            <w:rPr>
              <w:rFonts w:ascii="Calibri" w:eastAsia="Calibri" w:hAnsi="Calibri" w:cs="Times New Roman"/>
            </w:rPr>
            <w:t>overnment interventions on businesses seeking to service growing export market opportunities</w:t>
          </w:r>
          <w:r w:rsidRPr="6683FA23">
            <w:rPr>
              <w:rFonts w:ascii="Calibri" w:eastAsia="Calibri" w:hAnsi="Calibri" w:cs="Calibri"/>
            </w:rPr>
            <w:t xml:space="preserve"> </w:t>
          </w:r>
          <w:r w:rsidRPr="6683FA23">
            <w:rPr>
              <w:rFonts w:ascii="Calibri" w:eastAsia="Calibri" w:hAnsi="Calibri" w:cs="Times New Roman"/>
            </w:rPr>
            <w:t>and transitioning internal markets</w:t>
          </w:r>
          <w:r>
            <w:t xml:space="preserve"> </w:t>
          </w:r>
          <w:r w:rsidRPr="6683FA23">
            <w:rPr>
              <w:rFonts w:ascii="Calibri" w:eastAsia="Calibri" w:hAnsi="Calibri" w:cs="Times New Roman"/>
            </w:rPr>
            <w:t>with innovative new</w:t>
          </w:r>
          <w:r>
            <w:rPr>
              <w:rFonts w:ascii="Calibri" w:eastAsia="Calibri" w:hAnsi="Calibri" w:cs="Times New Roman"/>
            </w:rPr>
            <w:t>-</w:t>
          </w:r>
          <w:r w:rsidRPr="6683FA23">
            <w:rPr>
              <w:rFonts w:ascii="Calibri" w:eastAsia="Calibri" w:hAnsi="Calibri" w:cs="Times New Roman"/>
            </w:rPr>
            <w:t>to</w:t>
          </w:r>
          <w:r>
            <w:rPr>
              <w:rFonts w:ascii="Calibri" w:eastAsia="Calibri" w:hAnsi="Calibri" w:cs="Times New Roman"/>
            </w:rPr>
            <w:t>-</w:t>
          </w:r>
          <w:r w:rsidRPr="6683FA23">
            <w:rPr>
              <w:rFonts w:ascii="Calibri" w:eastAsia="Calibri" w:hAnsi="Calibri" w:cs="Times New Roman"/>
            </w:rPr>
            <w:t>market products or services that over</w:t>
          </w:r>
          <w:r>
            <w:rPr>
              <w:rFonts w:ascii="Calibri" w:eastAsia="Calibri" w:hAnsi="Calibri" w:cs="Times New Roman"/>
            </w:rPr>
            <w:t xml:space="preserve"> </w:t>
          </w:r>
          <w:r w:rsidRPr="6683FA23">
            <w:rPr>
              <w:rFonts w:ascii="Calibri" w:eastAsia="Calibri" w:hAnsi="Calibri" w:cs="Times New Roman"/>
            </w:rPr>
            <w:t>time will contribute to improving Australia’s economic complexity.</w:t>
          </w:r>
        </w:p>
        <w:p w14:paraId="157EAC77" w14:textId="77777777" w:rsidR="00F612CF" w:rsidRPr="002F431F" w:rsidRDefault="00F612CF" w:rsidP="00FC0594">
          <w:pPr>
            <w:pStyle w:val="ListParagraph"/>
            <w:numPr>
              <w:ilvl w:val="1"/>
              <w:numId w:val="67"/>
            </w:numPr>
            <w:pBdr>
              <w:top w:val="single" w:sz="12" w:space="10" w:color="auto"/>
              <w:left w:val="single" w:sz="12" w:space="4" w:color="auto"/>
              <w:bottom w:val="single" w:sz="12" w:space="10" w:color="auto"/>
              <w:right w:val="single" w:sz="12" w:space="4" w:color="auto"/>
            </w:pBdr>
            <w:shd w:val="clear" w:color="auto" w:fill="C9F0FF" w:themeFill="background2" w:themeFillTint="33"/>
            <w:ind w:left="717" w:right="567" w:hanging="357"/>
            <w:contextualSpacing w:val="0"/>
            <w:mirrorIndents/>
          </w:pPr>
          <w:r w:rsidRPr="002F431F">
            <w:rPr>
              <w:rFonts w:ascii="Calibri" w:eastAsia="Calibri" w:hAnsi="Calibri" w:cs="Times New Roman"/>
            </w:rPr>
            <w:t>Effectively aggregate demand for innovation through coordination of</w:t>
          </w:r>
          <w:r>
            <w:rPr>
              <w:rFonts w:ascii="Calibri" w:eastAsia="Calibri" w:hAnsi="Calibri" w:cs="Times New Roman"/>
            </w:rPr>
            <w:t xml:space="preserve"> whole-of-government</w:t>
          </w:r>
          <w:r w:rsidRPr="00F83F2A">
            <w:rPr>
              <w:rFonts w:ascii="Calibri" w:eastAsia="Calibri" w:hAnsi="Calibri" w:cs="Times New Roman"/>
            </w:rPr>
            <w:t xml:space="preserve"> policies, such as the </w:t>
          </w:r>
          <w:r w:rsidRPr="00170100">
            <w:rPr>
              <w:rFonts w:ascii="Calibri" w:eastAsia="Calibri" w:hAnsi="Calibri" w:cs="Times New Roman"/>
            </w:rPr>
            <w:t>transition to a net</w:t>
          </w:r>
          <w:r>
            <w:rPr>
              <w:rFonts w:ascii="Calibri" w:eastAsia="Calibri" w:hAnsi="Calibri" w:cs="Times New Roman"/>
            </w:rPr>
            <w:t>-</w:t>
          </w:r>
          <w:r w:rsidRPr="00170100">
            <w:rPr>
              <w:rFonts w:ascii="Calibri" w:eastAsia="Calibri" w:hAnsi="Calibri" w:cs="Times New Roman"/>
            </w:rPr>
            <w:t>zero economy</w:t>
          </w:r>
          <w:r>
            <w:rPr>
              <w:rFonts w:ascii="Calibri" w:eastAsia="Calibri" w:hAnsi="Calibri" w:cs="Times New Roman"/>
            </w:rPr>
            <w:t xml:space="preserve">, and </w:t>
          </w:r>
          <w:r w:rsidRPr="00170100">
            <w:rPr>
              <w:rFonts w:ascii="Calibri" w:eastAsia="Calibri" w:hAnsi="Calibri" w:cs="Times New Roman"/>
            </w:rPr>
            <w:t>the development of</w:t>
          </w:r>
          <w:r w:rsidRPr="00F83F2A">
            <w:rPr>
              <w:rFonts w:ascii="Calibri" w:eastAsia="Calibri" w:hAnsi="Calibri" w:cs="Times New Roman"/>
            </w:rPr>
            <w:t xml:space="preserve"> sovereign </w:t>
          </w:r>
          <w:r w:rsidRPr="00170100">
            <w:rPr>
              <w:rFonts w:ascii="Calibri" w:eastAsia="Calibri" w:hAnsi="Calibri" w:cs="Times New Roman"/>
            </w:rPr>
            <w:t xml:space="preserve">advanced manufacturing capabilities </w:t>
          </w:r>
          <w:r>
            <w:rPr>
              <w:rFonts w:ascii="Calibri" w:eastAsia="Calibri" w:hAnsi="Calibri" w:cs="Times New Roman"/>
            </w:rPr>
            <w:t xml:space="preserve">required </w:t>
          </w:r>
          <w:r w:rsidRPr="00170100">
            <w:rPr>
              <w:rFonts w:ascii="Calibri" w:eastAsia="Calibri" w:hAnsi="Calibri" w:cs="Times New Roman"/>
            </w:rPr>
            <w:t xml:space="preserve">to </w:t>
          </w:r>
          <w:r>
            <w:rPr>
              <w:rFonts w:ascii="Calibri" w:eastAsia="Calibri" w:hAnsi="Calibri" w:cs="Times New Roman"/>
            </w:rPr>
            <w:t xml:space="preserve">meet </w:t>
          </w:r>
          <w:r w:rsidRPr="00170100">
            <w:rPr>
              <w:rFonts w:ascii="Calibri" w:eastAsia="Calibri" w:hAnsi="Calibri" w:cs="Times New Roman"/>
            </w:rPr>
            <w:t xml:space="preserve">domestic and global </w:t>
          </w:r>
          <w:r w:rsidRPr="00F83F2A">
            <w:rPr>
              <w:rFonts w:ascii="Calibri" w:eastAsia="Calibri" w:hAnsi="Calibri" w:cs="Times New Roman"/>
            </w:rPr>
            <w:t>needs</w:t>
          </w:r>
          <w:r w:rsidRPr="00170100">
            <w:rPr>
              <w:rFonts w:ascii="Calibri" w:eastAsia="Calibri" w:hAnsi="Calibri" w:cs="Times New Roman"/>
            </w:rPr>
            <w:t>.</w:t>
          </w:r>
          <w:r>
            <w:rPr>
              <w:rFonts w:ascii="Calibri" w:eastAsia="Calibri" w:hAnsi="Calibri" w:cs="Times New Roman"/>
            </w:rPr>
            <w:t xml:space="preserve"> </w:t>
          </w:r>
          <w:r w:rsidRPr="002F431F">
            <w:rPr>
              <w:rFonts w:ascii="Calibri" w:eastAsia="Calibri" w:hAnsi="Calibri" w:cs="Times New Roman"/>
            </w:rPr>
            <w:t>This will create competitive, dynamic markets for innovation in priority areas.</w:t>
          </w:r>
        </w:p>
        <w:p w14:paraId="5B67D6FD" w14:textId="77777777" w:rsidR="006E0EFD" w:rsidRDefault="006E0EFD" w:rsidP="006E0EFD">
          <w:pPr>
            <w:rPr>
              <w:rFonts w:asciiTheme="majorHAnsi" w:eastAsiaTheme="majorEastAsia" w:hAnsiTheme="majorHAnsi" w:cstheme="majorBidi"/>
              <w:i/>
              <w:iCs/>
              <w:color w:val="00B4FF"/>
              <w:sz w:val="32"/>
              <w:szCs w:val="40"/>
            </w:rPr>
          </w:pPr>
          <w:r>
            <w:br w:type="page"/>
          </w:r>
        </w:p>
        <w:p w14:paraId="39AF85CC" w14:textId="77777777" w:rsidR="006E0EFD" w:rsidRPr="00A731E2" w:rsidRDefault="006E0EFD" w:rsidP="00C35D33">
          <w:pPr>
            <w:pStyle w:val="Heading4"/>
          </w:pPr>
          <w:r w:rsidRPr="00A731E2">
            <w:t>Supply-side barriers</w:t>
          </w:r>
        </w:p>
        <w:p w14:paraId="1DACAD71" w14:textId="3C68E77E" w:rsidR="006E0EFD" w:rsidRPr="001B2D3C" w:rsidRDefault="006E0EFD" w:rsidP="006E0EFD">
          <w:pPr>
            <w:spacing w:line="256" w:lineRule="auto"/>
            <w:rPr>
              <w:rFonts w:ascii="Calibri" w:eastAsia="Calibri" w:hAnsi="Calibri" w:cs="Times New Roman"/>
            </w:rPr>
          </w:pPr>
          <w:r w:rsidRPr="00F132D3">
            <w:rPr>
              <w:rFonts w:ascii="Calibri" w:eastAsia="Calibri" w:hAnsi="Calibri" w:cs="Times New Roman"/>
            </w:rPr>
            <w:t xml:space="preserve">Australia has a shrinking middle band of </w:t>
          </w:r>
          <w:r w:rsidR="0060706D">
            <w:rPr>
              <w:rFonts w:ascii="Calibri" w:eastAsia="Calibri" w:hAnsi="Calibri" w:cs="Times New Roman"/>
            </w:rPr>
            <w:t>businesses</w:t>
          </w:r>
          <w:r w:rsidRPr="00F132D3">
            <w:rPr>
              <w:rFonts w:ascii="Calibri" w:eastAsia="Calibri" w:hAnsi="Calibri" w:cs="Times New Roman"/>
            </w:rPr>
            <w:t xml:space="preserve"> in its industry structure</w:t>
          </w:r>
          <w:r w:rsidR="00081EC7">
            <w:rPr>
              <w:rFonts w:ascii="Calibri" w:eastAsia="Calibri" w:hAnsi="Calibri" w:cs="Times New Roman"/>
            </w:rPr>
            <w:t>.</w:t>
          </w:r>
          <w:r w:rsidRPr="001B2D3C">
            <w:rPr>
              <w:rFonts w:ascii="Calibri" w:eastAsia="Calibri" w:hAnsi="Calibri" w:cs="Times New Roman"/>
            </w:rPr>
            <w:t xml:space="preserve"> </w:t>
          </w:r>
          <w:r w:rsidR="00081EC7">
            <w:rPr>
              <w:rFonts w:ascii="Calibri" w:eastAsia="Calibri" w:hAnsi="Calibri" w:cs="Times New Roman"/>
            </w:rPr>
            <w:t>W</w:t>
          </w:r>
          <w:r w:rsidRPr="001B2D3C">
            <w:rPr>
              <w:rFonts w:ascii="Calibri" w:eastAsia="Calibri" w:hAnsi="Calibri" w:cs="Times New Roman"/>
            </w:rPr>
            <w:t>e have a scale</w:t>
          </w:r>
          <w:r w:rsidR="006D63ED">
            <w:rPr>
              <w:rFonts w:ascii="Calibri" w:eastAsia="Calibri" w:hAnsi="Calibri" w:cs="Times New Roman"/>
            </w:rPr>
            <w:t>-</w:t>
          </w:r>
          <w:r w:rsidRPr="001B2D3C">
            <w:rPr>
              <w:rFonts w:ascii="Calibri" w:eastAsia="Calibri" w:hAnsi="Calibri" w:cs="Times New Roman"/>
            </w:rPr>
            <w:t>up problem</w:t>
          </w:r>
          <w:r w:rsidR="00081EC7">
            <w:rPr>
              <w:rFonts w:ascii="Calibri" w:eastAsia="Calibri" w:hAnsi="Calibri" w:cs="Times New Roman"/>
            </w:rPr>
            <w:t>,</w:t>
          </w:r>
          <w:r w:rsidRPr="001B2D3C">
            <w:rPr>
              <w:rFonts w:ascii="Calibri" w:eastAsia="Calibri" w:hAnsi="Calibri" w:cs="Times New Roman"/>
            </w:rPr>
            <w:t xml:space="preserve"> not a start-up problem</w:t>
          </w:r>
          <w:r w:rsidR="00081EC7">
            <w:rPr>
              <w:rFonts w:ascii="Calibri" w:eastAsia="Calibri" w:hAnsi="Calibri" w:cs="Times New Roman"/>
            </w:rPr>
            <w:t>. This is</w:t>
          </w:r>
          <w:r w:rsidRPr="001B2D3C">
            <w:rPr>
              <w:rFonts w:ascii="Calibri" w:eastAsia="Calibri" w:hAnsi="Calibri" w:cs="Times New Roman"/>
            </w:rPr>
            <w:t xml:space="preserve"> impacting the absorptive capacity and capability of our industrial base.    </w:t>
          </w:r>
        </w:p>
        <w:p w14:paraId="048682B9" w14:textId="7C9E9495" w:rsidR="006E0EFD" w:rsidRPr="00A731E2" w:rsidRDefault="006E0EFD" w:rsidP="00DC1525">
          <w:pPr>
            <w:pStyle w:val="Heading5"/>
          </w:pPr>
          <w:r w:rsidRPr="00A731E2">
            <w:t xml:space="preserve">Australia’s </w:t>
          </w:r>
          <w:r w:rsidR="00A15FE8">
            <w:t>industry</w:t>
          </w:r>
          <w:r w:rsidR="00A15FE8" w:rsidRPr="00A731E2">
            <w:t xml:space="preserve"> </w:t>
          </w:r>
          <w:r w:rsidRPr="00A731E2">
            <w:t>structure has implications for the capacity and capability to create and develop innovation.</w:t>
          </w:r>
        </w:p>
        <w:p w14:paraId="53BEEA5F" w14:textId="362572D8" w:rsidR="006E0EFD" w:rsidRPr="00A731E2" w:rsidRDefault="006E0EFD" w:rsidP="000D5DC2">
          <w:pPr>
            <w:numPr>
              <w:ilvl w:val="0"/>
              <w:numId w:val="24"/>
            </w:numPr>
            <w:spacing w:before="120"/>
            <w:ind w:left="357" w:hanging="357"/>
          </w:pPr>
          <w:r w:rsidRPr="00A731E2">
            <w:t xml:space="preserve">The </w:t>
          </w:r>
          <w:r w:rsidR="00C11A5F">
            <w:t>dominant</w:t>
          </w:r>
          <w:r w:rsidRPr="00A731E2">
            <w:t xml:space="preserve"> Australian innovation policy discourse is that universities and research institutions are the source and supply of innovation. This is not the case. S</w:t>
          </w:r>
          <w:r w:rsidR="00657497">
            <w:t xml:space="preserve">mall and </w:t>
          </w:r>
          <w:r w:rsidR="0067315A" w:rsidRPr="00A731E2">
            <w:t>m</w:t>
          </w:r>
          <w:r w:rsidR="0067315A">
            <w:t xml:space="preserve">edium </w:t>
          </w:r>
          <w:r w:rsidR="0067315A" w:rsidRPr="00A731E2">
            <w:t>e</w:t>
          </w:r>
          <w:r w:rsidR="0067315A">
            <w:t>nterprise</w:t>
          </w:r>
          <w:r w:rsidR="0067315A" w:rsidRPr="00A731E2">
            <w:t>s</w:t>
          </w:r>
          <w:r w:rsidR="0067315A">
            <w:t xml:space="preserve"> </w:t>
          </w:r>
          <w:r w:rsidR="00657497">
            <w:t>(SMEs)</w:t>
          </w:r>
          <w:r w:rsidRPr="00A731E2">
            <w:t xml:space="preserve"> are the engine room of innovation in most economies</w:t>
          </w:r>
          <w:r w:rsidR="0067315A">
            <w:t>. U</w:t>
          </w:r>
          <w:r w:rsidRPr="00A731E2">
            <w:t>nlike publicly funded institutions, SMEs participate in the commercial environment in which innovation outcomes are incentivised.</w:t>
          </w:r>
        </w:p>
        <w:p w14:paraId="5E3230B3" w14:textId="1C6E5CAA" w:rsidR="006E0EFD" w:rsidRPr="00A731E2" w:rsidRDefault="006E0EFD" w:rsidP="006E0EFD">
          <w:pPr>
            <w:numPr>
              <w:ilvl w:val="0"/>
              <w:numId w:val="24"/>
            </w:numPr>
            <w:ind w:left="357" w:hanging="357"/>
          </w:pPr>
          <w:r w:rsidRPr="00A731E2">
            <w:t xml:space="preserve">Australia's </w:t>
          </w:r>
          <w:r w:rsidR="007C002F">
            <w:t>industry</w:t>
          </w:r>
          <w:r w:rsidR="007C002F" w:rsidRPr="00A731E2">
            <w:t xml:space="preserve"> </w:t>
          </w:r>
          <w:r w:rsidRPr="00A731E2">
            <w:t xml:space="preserve">structure is dominated by small businesses (93% of Australian businesses) with low levels of free cash flow and human resourcing. These characteristics limit the capacity to invest in creating and developing innovation. </w:t>
          </w:r>
        </w:p>
        <w:p w14:paraId="46833C56" w14:textId="77777777" w:rsidR="006E0EFD" w:rsidRPr="00A731E2" w:rsidRDefault="006E0EFD" w:rsidP="00DC1525">
          <w:pPr>
            <w:pStyle w:val="Heading5"/>
          </w:pPr>
          <w:r w:rsidRPr="00A731E2">
            <w:t>Limited competition and misalignment of incentives</w:t>
          </w:r>
        </w:p>
        <w:p w14:paraId="33AE8C01" w14:textId="08B2C52E" w:rsidR="006E0EFD" w:rsidRPr="00A731E2" w:rsidRDefault="006E0EFD" w:rsidP="006E0EFD">
          <w:pPr>
            <w:numPr>
              <w:ilvl w:val="0"/>
              <w:numId w:val="24"/>
            </w:numPr>
          </w:pPr>
          <w:r w:rsidRPr="00A731E2">
            <w:t>Incentives of tertiary education and research institutions are not aligned with commercialisation outcomes. Funding mechanisms do not produce the conditions that manifest the need to collaborate with industry to produce innovation. Despite this fact, universities and research institutions have a near-monopolistic supply of government</w:t>
          </w:r>
          <w:r w:rsidR="0067315A">
            <w:t>-</w:t>
          </w:r>
          <w:r w:rsidRPr="00A731E2">
            <w:t xml:space="preserve">supported innovation initiatives. </w:t>
          </w:r>
        </w:p>
        <w:p w14:paraId="4A3DD742" w14:textId="44122FAD" w:rsidR="006E0EFD" w:rsidRPr="00A731E2" w:rsidRDefault="006E0EFD" w:rsidP="006E0EFD">
          <w:pPr>
            <w:numPr>
              <w:ilvl w:val="0"/>
              <w:numId w:val="24"/>
            </w:numPr>
          </w:pPr>
          <w:r w:rsidRPr="00A731E2">
            <w:t xml:space="preserve">Activities of </w:t>
          </w:r>
          <w:r w:rsidR="00C11A5F">
            <w:t>u</w:t>
          </w:r>
          <w:r w:rsidRPr="00A731E2">
            <w:t>niversities</w:t>
          </w:r>
          <w:r w:rsidR="0067315A">
            <w:t>,</w:t>
          </w:r>
          <w:r w:rsidRPr="00A731E2">
            <w:t xml:space="preserve"> including knowledge discovery and dissemination and education</w:t>
          </w:r>
          <w:r w:rsidR="0067315A">
            <w:t>,</w:t>
          </w:r>
          <w:r w:rsidRPr="00A731E2">
            <w:t xml:space="preserve"> occur on a different cadence and paradigm to commercial endeavours:</w:t>
          </w:r>
        </w:p>
        <w:p w14:paraId="4177D119" w14:textId="10055144" w:rsidR="006E0EFD" w:rsidRPr="00A731E2" w:rsidRDefault="006E0EFD" w:rsidP="006E0EFD">
          <w:pPr>
            <w:numPr>
              <w:ilvl w:val="1"/>
              <w:numId w:val="24"/>
            </w:numPr>
            <w:ind w:hanging="357"/>
          </w:pPr>
          <w:r w:rsidRPr="00A731E2">
            <w:t>Businesses engage in rapid (weekly or monthly), low</w:t>
          </w:r>
          <w:r w:rsidR="0067315A">
            <w:t>-</w:t>
          </w:r>
          <w:r w:rsidRPr="00A731E2">
            <w:t>cost</w:t>
          </w:r>
          <w:r w:rsidR="0067315A">
            <w:t>,</w:t>
          </w:r>
          <w:r w:rsidRPr="00A731E2">
            <w:t xml:space="preserve"> iterative testing of relevant assumptions on market scale, product performance and business model viability.</w:t>
          </w:r>
        </w:p>
        <w:p w14:paraId="2C9D88EB" w14:textId="77777777" w:rsidR="006E0EFD" w:rsidRPr="00A731E2" w:rsidRDefault="006E0EFD" w:rsidP="006E0EFD">
          <w:pPr>
            <w:numPr>
              <w:ilvl w:val="1"/>
              <w:numId w:val="24"/>
            </w:numPr>
          </w:pPr>
          <w:r w:rsidRPr="00A731E2">
            <w:t>By contrast, tertiary institutions engage in activities that are conducted over years and have few cycles, if any, focused on customer validation for value or relevance.</w:t>
          </w:r>
        </w:p>
        <w:p w14:paraId="329A7B3C" w14:textId="77777777" w:rsidR="006E0EFD" w:rsidRPr="00A731E2" w:rsidRDefault="006E0EFD" w:rsidP="006E0EFD">
          <w:pPr>
            <w:numPr>
              <w:ilvl w:val="0"/>
              <w:numId w:val="24"/>
            </w:numPr>
            <w:contextualSpacing/>
          </w:pPr>
          <w:r w:rsidRPr="00A731E2">
            <w:t>Initiatives designed to support industry-research collaboration presuppose the requirement to work with universities. Outcomes and commercialisation performance have been unsatisfactory.</w:t>
          </w:r>
        </w:p>
        <w:p w14:paraId="5403F89A" w14:textId="77777777" w:rsidR="00F612CF" w:rsidRPr="000D5DC2" w:rsidRDefault="00F612CF" w:rsidP="00FC0594">
          <w:pPr>
            <w:pStyle w:val="Heading5"/>
            <w:pBdr>
              <w:top w:val="single" w:sz="12" w:space="3" w:color="auto"/>
              <w:left w:val="single" w:sz="12" w:space="4" w:color="auto"/>
              <w:bottom w:val="single" w:sz="12" w:space="3" w:color="auto"/>
              <w:right w:val="single" w:sz="12" w:space="4" w:color="auto"/>
            </w:pBdr>
            <w:shd w:val="clear" w:color="auto" w:fill="C9F0FF" w:themeFill="background2" w:themeFillTint="33"/>
            <w:ind w:left="360"/>
            <w:mirrorIndents/>
          </w:pPr>
          <w:r w:rsidRPr="000D5DC2">
            <w:t>Recommendation: Build absorptive capacity and capability for industry transformation.</w:t>
          </w:r>
        </w:p>
        <w:p w14:paraId="3953E4ED" w14:textId="3997215A" w:rsidR="00F612CF" w:rsidRPr="00DC1525" w:rsidRDefault="00F612CF" w:rsidP="00FC0594">
          <w:pPr>
            <w:pStyle w:val="ListParagraph"/>
            <w:numPr>
              <w:ilvl w:val="0"/>
              <w:numId w:val="88"/>
            </w:numPr>
            <w:pBdr>
              <w:top w:val="single" w:sz="12" w:space="3" w:color="auto"/>
              <w:left w:val="single" w:sz="12" w:space="4" w:color="auto"/>
              <w:bottom w:val="single" w:sz="12" w:space="3" w:color="auto"/>
              <w:right w:val="single" w:sz="12" w:space="4" w:color="auto"/>
            </w:pBdr>
            <w:shd w:val="clear" w:color="auto" w:fill="C9F0FF" w:themeFill="background2" w:themeFillTint="33"/>
            <w:ind w:left="720"/>
            <w:mirrorIndents/>
            <w:rPr>
              <w:rStyle w:val="Emphasis"/>
            </w:rPr>
          </w:pPr>
          <w:r w:rsidRPr="00DC1525">
            <w:rPr>
              <w:rStyle w:val="Emphasis"/>
            </w:rPr>
            <w:t>Create the policy environment to attract and grow medium enterprises in targeted industries.</w:t>
          </w:r>
        </w:p>
        <w:p w14:paraId="6282256C" w14:textId="77777777" w:rsidR="00F612CF" w:rsidRPr="00DC1525" w:rsidRDefault="00F612CF" w:rsidP="00FC0594">
          <w:pPr>
            <w:pBdr>
              <w:top w:val="single" w:sz="12" w:space="3" w:color="auto"/>
              <w:left w:val="single" w:sz="12" w:space="4" w:color="auto"/>
              <w:bottom w:val="single" w:sz="12" w:space="3" w:color="auto"/>
              <w:right w:val="single" w:sz="12" w:space="4" w:color="auto"/>
            </w:pBdr>
            <w:shd w:val="clear" w:color="auto" w:fill="C9F0FF" w:themeFill="background2" w:themeFillTint="33"/>
            <w:ind w:left="360"/>
            <w:mirrorIndents/>
            <w:rPr>
              <w:rStyle w:val="Emphasis"/>
            </w:rPr>
          </w:pPr>
          <w:r w:rsidRPr="00DC1525">
            <w:rPr>
              <w:rStyle w:val="Emphasis"/>
            </w:rPr>
            <w:t>Actions could include:</w:t>
          </w:r>
        </w:p>
        <w:p w14:paraId="33EC66EC" w14:textId="4FAE70A3" w:rsidR="00F612CF" w:rsidRDefault="00F612CF" w:rsidP="00FC0594">
          <w:pPr>
            <w:pBdr>
              <w:top w:val="single" w:sz="12" w:space="3" w:color="auto"/>
              <w:left w:val="single" w:sz="12" w:space="4" w:color="auto"/>
              <w:bottom w:val="single" w:sz="12" w:space="3" w:color="auto"/>
              <w:right w:val="single" w:sz="12" w:space="4" w:color="auto"/>
            </w:pBdr>
            <w:shd w:val="clear" w:color="auto" w:fill="C9F0FF" w:themeFill="background2" w:themeFillTint="33"/>
            <w:tabs>
              <w:tab w:val="left" w:pos="567"/>
            </w:tabs>
            <w:ind w:left="720" w:hanging="360"/>
            <w:mirrorIndents/>
          </w:pPr>
          <w:r>
            <w:t>2.1</w:t>
          </w:r>
          <w:r w:rsidR="001D6A63">
            <w:tab/>
          </w:r>
          <w:r w:rsidRPr="00A731E2">
            <w:t xml:space="preserve">Restricted tax reform or similar levers </w:t>
          </w:r>
          <w:r>
            <w:t>that</w:t>
          </w:r>
          <w:r w:rsidRPr="00A731E2">
            <w:t xml:space="preserve"> change risk</w:t>
          </w:r>
          <w:r w:rsidRPr="00EA2E3E">
            <w:t>–</w:t>
          </w:r>
          <w:r w:rsidRPr="00A731E2">
            <w:t>reward evaluations of businesses currently based in Australia and attract and build businesses with the management experience, capacity, and capability for innovation,</w:t>
          </w:r>
          <w:r>
            <w:t xml:space="preserve"> and</w:t>
          </w:r>
          <w:r w:rsidRPr="00A731E2">
            <w:t xml:space="preserve"> increase competition and business dynamism.</w:t>
          </w:r>
        </w:p>
        <w:p w14:paraId="3B51C152" w14:textId="4D8654BC" w:rsidR="006E0EFD" w:rsidRDefault="00F612CF" w:rsidP="00FC0594">
          <w:pPr>
            <w:pBdr>
              <w:top w:val="single" w:sz="12" w:space="3" w:color="auto"/>
              <w:left w:val="single" w:sz="12" w:space="4" w:color="auto"/>
              <w:bottom w:val="single" w:sz="12" w:space="3" w:color="auto"/>
              <w:right w:val="single" w:sz="12" w:space="4" w:color="auto"/>
            </w:pBdr>
            <w:shd w:val="clear" w:color="auto" w:fill="C9F0FF" w:themeFill="background2" w:themeFillTint="33"/>
            <w:tabs>
              <w:tab w:val="left" w:pos="567"/>
            </w:tabs>
            <w:ind w:left="720" w:hanging="360"/>
            <w:mirrorIndents/>
            <w:rPr>
              <w:rFonts w:asciiTheme="majorHAnsi" w:eastAsiaTheme="majorEastAsia" w:hAnsiTheme="majorHAnsi" w:cstheme="majorBidi"/>
              <w:i/>
              <w:iCs/>
              <w:color w:val="00B4FF"/>
              <w:sz w:val="32"/>
              <w:szCs w:val="40"/>
            </w:rPr>
          </w:pPr>
          <w:r>
            <w:t>2.2</w:t>
          </w:r>
          <w:r w:rsidR="001D6A63">
            <w:tab/>
          </w:r>
          <w:r w:rsidRPr="00A731E2">
            <w:t xml:space="preserve">Recalibrate </w:t>
          </w:r>
          <w:r>
            <w:t>g</w:t>
          </w:r>
          <w:r w:rsidRPr="00A731E2">
            <w:t xml:space="preserve">overnment interventions to focus on building capabilities to de-risk market adoption and develop innovative business models. Programs currently focus primarily on technical readiness or product feasibility risk, while neglecting crucial elements of building competitive businesses.  </w:t>
          </w:r>
          <w:r w:rsidR="006E0EFD">
            <w:br w:type="page"/>
          </w:r>
        </w:p>
        <w:p w14:paraId="4A723F21" w14:textId="77777777" w:rsidR="006E0EFD" w:rsidRPr="00BC053A" w:rsidRDefault="006E0EFD" w:rsidP="00C35D33">
          <w:pPr>
            <w:pStyle w:val="Heading4"/>
          </w:pPr>
          <w:r w:rsidRPr="00BC053A">
            <w:t xml:space="preserve">Efficiencies of innovation process </w:t>
          </w:r>
        </w:p>
        <w:p w14:paraId="1BECB4C0" w14:textId="0932594A" w:rsidR="006E0EFD" w:rsidRPr="004F00EC" w:rsidRDefault="006E0EFD" w:rsidP="006E0EFD">
          <w:pPr>
            <w:spacing w:line="256" w:lineRule="auto"/>
            <w:rPr>
              <w:rFonts w:ascii="Calibri" w:eastAsia="Calibri" w:hAnsi="Calibri" w:cs="Times New Roman"/>
            </w:rPr>
          </w:pPr>
          <w:r w:rsidRPr="004F00EC">
            <w:rPr>
              <w:rFonts w:ascii="Calibri" w:eastAsia="Calibri" w:hAnsi="Calibri" w:cs="Times New Roman"/>
            </w:rPr>
            <w:t xml:space="preserve">Similarly, research push initiatives and interventions assume </w:t>
          </w:r>
          <w:r w:rsidR="00394678">
            <w:rPr>
              <w:rFonts w:ascii="Calibri" w:eastAsia="Calibri" w:hAnsi="Calibri" w:cs="Times New Roman"/>
            </w:rPr>
            <w:t>businesses</w:t>
          </w:r>
          <w:r w:rsidR="00E04911">
            <w:rPr>
              <w:rFonts w:ascii="Calibri" w:eastAsia="Calibri" w:hAnsi="Calibri" w:cs="Times New Roman"/>
            </w:rPr>
            <w:t>’</w:t>
          </w:r>
          <w:r w:rsidR="00394678">
            <w:rPr>
              <w:rFonts w:ascii="Calibri" w:eastAsia="Calibri" w:hAnsi="Calibri" w:cs="Times New Roman"/>
            </w:rPr>
            <w:t xml:space="preserve"> </w:t>
          </w:r>
          <w:r w:rsidRPr="004F00EC">
            <w:rPr>
              <w:rFonts w:ascii="Calibri" w:eastAsia="Calibri" w:hAnsi="Calibri" w:cs="Times New Roman"/>
            </w:rPr>
            <w:t xml:space="preserve">motivation for innovation, risk appetite, capability and capacity which may not exist – and their outcomes and indeed our research commercialisation performance has been unsatisfactory. </w:t>
          </w:r>
          <w:r w:rsidRPr="00835201">
            <w:rPr>
              <w:rFonts w:ascii="Calibri" w:eastAsia="Calibri" w:hAnsi="Calibri" w:cs="Times New Roman"/>
            </w:rPr>
            <w:t xml:space="preserve">To be effective, interventions aimed at boosting collaboration and commercialisation will need to explicitly address </w:t>
          </w:r>
          <w:r w:rsidR="00394678">
            <w:rPr>
              <w:rFonts w:ascii="Calibri" w:eastAsia="Calibri" w:hAnsi="Calibri" w:cs="Times New Roman"/>
            </w:rPr>
            <w:t>businesses</w:t>
          </w:r>
          <w:r w:rsidR="00E04911">
            <w:rPr>
              <w:rFonts w:ascii="Calibri" w:eastAsia="Calibri" w:hAnsi="Calibri" w:cs="Times New Roman"/>
            </w:rPr>
            <w:t>’</w:t>
          </w:r>
          <w:r w:rsidR="00394678">
            <w:rPr>
              <w:rFonts w:ascii="Calibri" w:eastAsia="Calibri" w:hAnsi="Calibri" w:cs="Times New Roman"/>
            </w:rPr>
            <w:t xml:space="preserve"> </w:t>
          </w:r>
          <w:r w:rsidRPr="00835201">
            <w:rPr>
              <w:rFonts w:ascii="Calibri" w:eastAsia="Calibri" w:hAnsi="Calibri" w:cs="Times New Roman"/>
            </w:rPr>
            <w:t xml:space="preserve">motivation for innovation, risk appetite, </w:t>
          </w:r>
          <w:proofErr w:type="gramStart"/>
          <w:r w:rsidRPr="00835201">
            <w:rPr>
              <w:rFonts w:ascii="Calibri" w:eastAsia="Calibri" w:hAnsi="Calibri" w:cs="Times New Roman"/>
            </w:rPr>
            <w:t>capability</w:t>
          </w:r>
          <w:proofErr w:type="gramEnd"/>
          <w:r w:rsidRPr="00835201">
            <w:rPr>
              <w:rFonts w:ascii="Calibri" w:eastAsia="Calibri" w:hAnsi="Calibri" w:cs="Times New Roman"/>
            </w:rPr>
            <w:t xml:space="preserve"> and capacity barriers, as well as the resulting misalignment and market inefficiencies in the marketplace for industry-research collaboration.   </w:t>
          </w:r>
        </w:p>
        <w:p w14:paraId="62DEE278" w14:textId="77777777" w:rsidR="006E0EFD" w:rsidRPr="00BC053A" w:rsidRDefault="006E0EFD" w:rsidP="00417FC3">
          <w:pPr>
            <w:pStyle w:val="Heading5"/>
          </w:pPr>
          <w:r w:rsidRPr="00BC053A">
            <w:t>Maximising funding impacts</w:t>
          </w:r>
        </w:p>
        <w:p w14:paraId="1BA302B1" w14:textId="618E31DF" w:rsidR="006E0EFD" w:rsidRPr="00BC053A" w:rsidRDefault="006E0EFD" w:rsidP="006E0EFD">
          <w:pPr>
            <w:numPr>
              <w:ilvl w:val="0"/>
              <w:numId w:val="27"/>
            </w:numPr>
            <w:ind w:left="357" w:hanging="357"/>
          </w:pPr>
          <w:r w:rsidRPr="00BC053A">
            <w:t xml:space="preserve">A lack of cohesion and coordination between innovation incentive programs both across and within state and federal government levels results in dilution of resources, reduction in competition, delay in paths to market and an overall reduction in the likelihood of commercial success. Further consideration of effective national strategy development, design and resourcing is required to achieve transformative outcomes.  </w:t>
          </w:r>
        </w:p>
        <w:p w14:paraId="57AB05C2" w14:textId="7D3A11FC" w:rsidR="006E0EFD" w:rsidRPr="00BC053A" w:rsidRDefault="00417FC3" w:rsidP="006E0EFD">
          <w:pPr>
            <w:numPr>
              <w:ilvl w:val="0"/>
              <w:numId w:val="27"/>
            </w:numPr>
            <w:ind w:left="357" w:hanging="357"/>
          </w:pPr>
          <w:r>
            <w:t xml:space="preserve">Australian </w:t>
          </w:r>
          <w:r w:rsidR="006E0EFD" w:rsidRPr="00BC053A">
            <w:t xml:space="preserve">Government policy </w:t>
          </w:r>
          <w:r w:rsidR="009B6D2F">
            <w:t>directs most</w:t>
          </w:r>
          <w:r w:rsidR="009B6D2F" w:rsidRPr="00BC053A">
            <w:t xml:space="preserve"> </w:t>
          </w:r>
          <w:r w:rsidR="006E0EFD" w:rsidRPr="00BC053A">
            <w:t>resources to physical sciences and tangible product innovation. Limited support is available for de-risking innovation in services, business model or market adoption and growth. Programs and incentives are focused on addressing the technical risk of tangible products</w:t>
          </w:r>
          <w:r w:rsidR="009B6D2F">
            <w:t>.</w:t>
          </w:r>
          <w:r w:rsidR="006E0EFD" w:rsidRPr="00BC053A" w:rsidDel="009B6D2F">
            <w:t xml:space="preserve"> </w:t>
          </w:r>
          <w:r w:rsidR="009B6D2F">
            <w:t>T</w:t>
          </w:r>
          <w:r w:rsidR="006E0EFD" w:rsidRPr="00BC053A">
            <w:t xml:space="preserve">here is an absence of interventions addressing </w:t>
          </w:r>
          <w:r w:rsidR="00E04911">
            <w:t xml:space="preserve">the </w:t>
          </w:r>
          <w:r w:rsidR="006E0EFD" w:rsidRPr="00BC053A">
            <w:t xml:space="preserve">development of competitive business strategies.  </w:t>
          </w:r>
        </w:p>
        <w:p w14:paraId="5708CBED" w14:textId="13D15EB7" w:rsidR="006E0EFD" w:rsidRPr="00BC053A" w:rsidRDefault="006E0EFD" w:rsidP="006E0EFD">
          <w:pPr>
            <w:numPr>
              <w:ilvl w:val="0"/>
              <w:numId w:val="27"/>
            </w:numPr>
            <w:contextualSpacing/>
          </w:pPr>
          <w:r w:rsidRPr="00BC053A">
            <w:t>The marketplace for the supply and demand for innovation in Australia is opaque. There is under-serviced market-making between those supplying and demanding innovation. The pathways for forming relationships necessary for successful industry-research collaboration are limited and inefficient. The business models for the engagement of facilitators and market makers have not been optimised to maximise markets.</w:t>
          </w:r>
        </w:p>
        <w:p w14:paraId="078424E2" w14:textId="77777777" w:rsidR="006E0EFD" w:rsidRPr="00BC053A" w:rsidRDefault="006E0EFD" w:rsidP="006E0EFD">
          <w:pPr>
            <w:ind w:left="360"/>
            <w:contextualSpacing/>
          </w:pPr>
        </w:p>
        <w:p w14:paraId="6D2145D0" w14:textId="60417770" w:rsidR="0090511A" w:rsidRDefault="006E0EFD" w:rsidP="00417FC3">
          <w:pPr>
            <w:numPr>
              <w:ilvl w:val="0"/>
              <w:numId w:val="27"/>
            </w:numPr>
            <w:ind w:left="357" w:hanging="357"/>
          </w:pPr>
          <w:r w:rsidRPr="00BC053A">
            <w:t>Industrial transformation is a decadal endeavour</w:t>
          </w:r>
          <w:r w:rsidR="009B6D2F">
            <w:t>.</w:t>
          </w:r>
          <w:r w:rsidRPr="00BC053A" w:rsidDel="009B6D2F">
            <w:t xml:space="preserve"> </w:t>
          </w:r>
          <w:r w:rsidR="009B6D2F">
            <w:t>S</w:t>
          </w:r>
          <w:r w:rsidRPr="00BC053A">
            <w:t xml:space="preserve">trategies must be well framed and target clear </w:t>
          </w:r>
          <w:r w:rsidR="00B5091D">
            <w:t>outcomes</w:t>
          </w:r>
          <w:r w:rsidRPr="00BC053A">
            <w:t xml:space="preserve"> over specified timeframe</w:t>
          </w:r>
          <w:r w:rsidR="00394678">
            <w:t>s</w:t>
          </w:r>
          <w:r w:rsidRPr="00BC053A">
            <w:t xml:space="preserve">. Programs must be adequately resourced, frequently </w:t>
          </w:r>
          <w:proofErr w:type="gramStart"/>
          <w:r w:rsidRPr="00BC053A">
            <w:t>evaluated</w:t>
          </w:r>
          <w:proofErr w:type="gramEnd"/>
          <w:r w:rsidRPr="00BC053A">
            <w:t xml:space="preserve"> and responsive to industry changes to achieve national </w:t>
          </w:r>
          <w:r w:rsidR="00B5091D">
            <w:t>outcomes</w:t>
          </w:r>
          <w:r w:rsidRPr="00BC053A">
            <w:t xml:space="preserve"> through electoral cycles.</w:t>
          </w:r>
        </w:p>
        <w:p w14:paraId="4A8FE52B" w14:textId="77777777" w:rsidR="0090511A" w:rsidRDefault="0090511A">
          <w:r>
            <w:br w:type="page"/>
          </w:r>
        </w:p>
        <w:p w14:paraId="4CA482F5" w14:textId="77777777" w:rsidR="00F612CF" w:rsidRPr="00220179" w:rsidRDefault="00F612CF" w:rsidP="0090511A">
          <w:pPr>
            <w:pStyle w:val="Heading5"/>
            <w:pBdr>
              <w:top w:val="single" w:sz="12" w:space="8" w:color="auto"/>
              <w:left w:val="single" w:sz="12" w:space="4" w:color="auto"/>
              <w:bottom w:val="single" w:sz="12" w:space="8" w:color="auto"/>
              <w:right w:val="single" w:sz="12" w:space="4" w:color="auto"/>
            </w:pBdr>
            <w:shd w:val="clear" w:color="auto" w:fill="C9F0FF" w:themeFill="background2" w:themeFillTint="33"/>
            <w:spacing w:before="200" w:after="200"/>
            <w:ind w:left="357"/>
            <w:mirrorIndents/>
          </w:pPr>
          <w:r w:rsidRPr="00220179">
            <w:t xml:space="preserve">Recommendation: Improve efficiencies of innovation processes. </w:t>
          </w:r>
        </w:p>
        <w:p w14:paraId="7933954C" w14:textId="77ACB82F" w:rsidR="00F612CF" w:rsidRPr="00DC1525" w:rsidRDefault="00F612CF" w:rsidP="0090511A">
          <w:pPr>
            <w:pStyle w:val="ListParagraph"/>
            <w:numPr>
              <w:ilvl w:val="0"/>
              <w:numId w:val="88"/>
            </w:numPr>
            <w:pBdr>
              <w:top w:val="single" w:sz="12" w:space="8" w:color="auto"/>
              <w:left w:val="single" w:sz="12" w:space="4" w:color="auto"/>
              <w:bottom w:val="single" w:sz="12" w:space="8" w:color="auto"/>
              <w:right w:val="single" w:sz="12" w:space="4" w:color="auto"/>
            </w:pBdr>
            <w:shd w:val="clear" w:color="auto" w:fill="C9F0FF" w:themeFill="background2" w:themeFillTint="33"/>
            <w:spacing w:before="200" w:after="200"/>
            <w:ind w:left="717"/>
            <w:mirrorIndents/>
            <w:rPr>
              <w:rStyle w:val="Emphasis"/>
            </w:rPr>
          </w:pPr>
          <w:r w:rsidRPr="00DC1525">
            <w:rPr>
              <w:rStyle w:val="Emphasis"/>
            </w:rPr>
            <w:t xml:space="preserve">Increase competition on the supply side of innovation and harness alignment of incentives found in SMEs. </w:t>
          </w:r>
        </w:p>
        <w:p w14:paraId="4AF38616" w14:textId="77777777" w:rsidR="00F612CF" w:rsidRPr="00DC1525" w:rsidRDefault="00F612CF" w:rsidP="0090511A">
          <w:pPr>
            <w:pBdr>
              <w:top w:val="single" w:sz="12" w:space="8" w:color="auto"/>
              <w:left w:val="single" w:sz="12" w:space="4" w:color="auto"/>
              <w:bottom w:val="single" w:sz="12" w:space="8" w:color="auto"/>
              <w:right w:val="single" w:sz="12" w:space="4" w:color="auto"/>
            </w:pBdr>
            <w:shd w:val="clear" w:color="auto" w:fill="C9F0FF" w:themeFill="background2" w:themeFillTint="33"/>
            <w:spacing w:before="200" w:after="200"/>
            <w:ind w:left="357"/>
            <w:mirrorIndents/>
            <w:rPr>
              <w:rStyle w:val="Emphasis"/>
            </w:rPr>
          </w:pPr>
          <w:r w:rsidRPr="00DC1525">
            <w:rPr>
              <w:rStyle w:val="Emphasis"/>
            </w:rPr>
            <w:t>Actions could include:</w:t>
          </w:r>
        </w:p>
        <w:p w14:paraId="7B6BCF08" w14:textId="77E9A590" w:rsidR="00F612CF" w:rsidRDefault="00F612CF" w:rsidP="0090511A">
          <w:pPr>
            <w:pStyle w:val="ListParagraph"/>
            <w:numPr>
              <w:ilvl w:val="1"/>
              <w:numId w:val="86"/>
            </w:numPr>
            <w:pBdr>
              <w:top w:val="single" w:sz="12" w:space="8" w:color="auto"/>
              <w:left w:val="single" w:sz="12" w:space="4" w:color="auto"/>
              <w:bottom w:val="single" w:sz="12" w:space="8" w:color="auto"/>
              <w:right w:val="single" w:sz="12" w:space="4" w:color="auto"/>
            </w:pBdr>
            <w:shd w:val="clear" w:color="auto" w:fill="C9F0FF" w:themeFill="background2" w:themeFillTint="33"/>
            <w:spacing w:before="200" w:after="200"/>
            <w:ind w:left="714" w:hanging="357"/>
            <w:contextualSpacing w:val="0"/>
            <w:mirrorIndents/>
          </w:pPr>
          <w:r w:rsidRPr="00B56D5F">
            <w:t>De-coupling the requirement for industry to engage publicly funded research organisations to be eligible for government innovation support programs will open the market and increase competition for funds available to achieve commercialisation outcomes. This will not exclude universities and research institutions but will effectively filter those aligned to address relevant questions for industry to advance innovation and commercialisation outcomes.</w:t>
          </w:r>
        </w:p>
        <w:p w14:paraId="71F26C53" w14:textId="06D36B5E" w:rsidR="00F612CF" w:rsidRPr="005B1220" w:rsidRDefault="00F612CF" w:rsidP="0090511A">
          <w:pPr>
            <w:pStyle w:val="ListParagraph"/>
            <w:numPr>
              <w:ilvl w:val="1"/>
              <w:numId w:val="86"/>
            </w:numPr>
            <w:pBdr>
              <w:top w:val="single" w:sz="12" w:space="8" w:color="auto"/>
              <w:left w:val="single" w:sz="12" w:space="4" w:color="auto"/>
              <w:bottom w:val="single" w:sz="12" w:space="8" w:color="auto"/>
              <w:right w:val="single" w:sz="12" w:space="4" w:color="auto"/>
            </w:pBdr>
            <w:shd w:val="clear" w:color="auto" w:fill="C9F0FF" w:themeFill="background2" w:themeFillTint="33"/>
            <w:spacing w:before="200" w:after="200"/>
            <w:ind w:left="714" w:hanging="357"/>
            <w:contextualSpacing w:val="0"/>
            <w:mirrorIndents/>
          </w:pPr>
          <w:r>
            <w:t>R</w:t>
          </w:r>
          <w:r w:rsidRPr="005B1220">
            <w:t xml:space="preserve">eview models for </w:t>
          </w:r>
          <w:r>
            <w:t xml:space="preserve">engaging providers of </w:t>
          </w:r>
          <w:r w:rsidRPr="005B1220">
            <w:t>advi</w:t>
          </w:r>
          <w:r>
            <w:t>sory services</w:t>
          </w:r>
          <w:r w:rsidRPr="005B1220">
            <w:t xml:space="preserve"> in existing and emerging funding programs</w:t>
          </w:r>
          <w:r>
            <w:t xml:space="preserve"> </w:t>
          </w:r>
          <w:r w:rsidRPr="005B1220">
            <w:t xml:space="preserve">to </w:t>
          </w:r>
          <w:r>
            <w:t>assure</w:t>
          </w:r>
          <w:r w:rsidRPr="005B1220">
            <w:t xml:space="preserve"> successful outcomes.</w:t>
          </w:r>
        </w:p>
        <w:p w14:paraId="7C32A742" w14:textId="77777777" w:rsidR="00F612CF" w:rsidRDefault="00F612CF" w:rsidP="0090511A">
          <w:pPr>
            <w:pStyle w:val="ListParagraph"/>
            <w:numPr>
              <w:ilvl w:val="1"/>
              <w:numId w:val="86"/>
            </w:numPr>
            <w:pBdr>
              <w:top w:val="single" w:sz="12" w:space="8" w:color="auto"/>
              <w:left w:val="single" w:sz="12" w:space="4" w:color="auto"/>
              <w:bottom w:val="single" w:sz="12" w:space="8" w:color="auto"/>
              <w:right w:val="single" w:sz="12" w:space="4" w:color="auto"/>
            </w:pBdr>
            <w:shd w:val="clear" w:color="auto" w:fill="C9F0FF" w:themeFill="background2" w:themeFillTint="33"/>
            <w:spacing w:before="200" w:after="200"/>
            <w:ind w:left="714" w:hanging="357"/>
            <w:contextualSpacing w:val="0"/>
            <w:mirrorIndents/>
          </w:pPr>
          <w:r>
            <w:t xml:space="preserve">Review and update supply-side funding guidelines to support researchers interested in working within industry and developing commercial acumen and entrepreneurial mindsets. </w:t>
          </w:r>
        </w:p>
        <w:p w14:paraId="3E47799A" w14:textId="77777777" w:rsidR="00F612CF" w:rsidRDefault="00F612CF" w:rsidP="0090511A">
          <w:pPr>
            <w:pStyle w:val="ListParagraph"/>
            <w:numPr>
              <w:ilvl w:val="1"/>
              <w:numId w:val="86"/>
            </w:numPr>
            <w:pBdr>
              <w:top w:val="single" w:sz="12" w:space="8" w:color="auto"/>
              <w:left w:val="single" w:sz="12" w:space="4" w:color="auto"/>
              <w:bottom w:val="single" w:sz="12" w:space="8" w:color="auto"/>
              <w:right w:val="single" w:sz="12" w:space="4" w:color="auto"/>
            </w:pBdr>
            <w:shd w:val="clear" w:color="auto" w:fill="C9F0FF" w:themeFill="background2" w:themeFillTint="33"/>
            <w:spacing w:before="200" w:after="200"/>
            <w:ind w:left="717"/>
            <w:contextualSpacing w:val="0"/>
            <w:mirrorIndents/>
          </w:pPr>
          <w:r>
            <w:t>Investigate market-making brokerage services to improve opportunities for successful industry-research engagement. Brokerage services unaligned to specific institutions could lower friction costs between industry and academia.</w:t>
          </w:r>
        </w:p>
        <w:p w14:paraId="5710CEB4" w14:textId="4F04A74C" w:rsidR="00F612CF" w:rsidRPr="00D11865" w:rsidRDefault="00F612CF" w:rsidP="0090511A">
          <w:pPr>
            <w:pStyle w:val="ListParagraph"/>
            <w:numPr>
              <w:ilvl w:val="1"/>
              <w:numId w:val="86"/>
            </w:numPr>
            <w:pBdr>
              <w:top w:val="single" w:sz="12" w:space="8" w:color="auto"/>
              <w:left w:val="single" w:sz="12" w:space="4" w:color="auto"/>
              <w:bottom w:val="single" w:sz="12" w:space="8" w:color="auto"/>
              <w:right w:val="single" w:sz="12" w:space="4" w:color="auto"/>
            </w:pBdr>
            <w:shd w:val="clear" w:color="auto" w:fill="C9F0FF" w:themeFill="background2" w:themeFillTint="33"/>
            <w:spacing w:before="200" w:after="200"/>
            <w:ind w:left="717"/>
            <w:contextualSpacing w:val="0"/>
            <w:mirrorIndents/>
          </w:pPr>
          <w:r>
            <w:rPr>
              <w:rFonts w:ascii="Calibri" w:eastAsia="Calibri" w:hAnsi="Calibri" w:cs="Calibri"/>
            </w:rPr>
            <w:t>E</w:t>
          </w:r>
          <w:r w:rsidRPr="002426A2">
            <w:rPr>
              <w:rFonts w:ascii="Calibri" w:eastAsia="Calibri" w:hAnsi="Calibri" w:cs="Calibri"/>
            </w:rPr>
            <w:t xml:space="preserve">xamine other jurisdictions for models of efficient research-industry </w:t>
          </w:r>
          <w:r w:rsidR="00316307">
            <w:rPr>
              <w:rFonts w:ascii="Calibri" w:eastAsia="Calibri" w:hAnsi="Calibri" w:cs="Calibri"/>
            </w:rPr>
            <w:t>intellectual property (</w:t>
          </w:r>
          <w:r w:rsidRPr="002426A2">
            <w:rPr>
              <w:rFonts w:ascii="Calibri" w:eastAsia="Calibri" w:hAnsi="Calibri" w:cs="Calibri"/>
            </w:rPr>
            <w:t>IP</w:t>
          </w:r>
          <w:r w:rsidR="00316307">
            <w:rPr>
              <w:rFonts w:ascii="Calibri" w:eastAsia="Calibri" w:hAnsi="Calibri" w:cs="Calibri"/>
            </w:rPr>
            <w:t>)</w:t>
          </w:r>
          <w:r w:rsidRPr="002426A2">
            <w:rPr>
              <w:rFonts w:ascii="Calibri" w:eastAsia="Calibri" w:hAnsi="Calibri" w:cs="Calibri"/>
            </w:rPr>
            <w:t xml:space="preserve"> and patenting arrangements, such as Singapore or universities in the US</w:t>
          </w:r>
          <w:r>
            <w:rPr>
              <w:rFonts w:ascii="Calibri" w:eastAsia="Calibri" w:hAnsi="Calibri" w:cs="Calibri"/>
            </w:rPr>
            <w:t>A</w:t>
          </w:r>
          <w:r w:rsidRPr="002426A2">
            <w:rPr>
              <w:rFonts w:ascii="Calibri" w:eastAsia="Calibri" w:hAnsi="Calibri" w:cs="Calibri"/>
            </w:rPr>
            <w:t xml:space="preserve"> where there are very low or no licencing fees</w:t>
          </w:r>
          <w:r>
            <w:rPr>
              <w:rFonts w:ascii="Calibri" w:eastAsia="Calibri" w:hAnsi="Calibri" w:cs="Calibri"/>
            </w:rPr>
            <w:t>,</w:t>
          </w:r>
          <w:r w:rsidRPr="002426A2">
            <w:rPr>
              <w:rFonts w:ascii="Calibri" w:eastAsia="Calibri" w:hAnsi="Calibri" w:cs="Calibri"/>
            </w:rPr>
            <w:t xml:space="preserve"> in preference for equity to entrepreneurial researchers and students spinning out IP in partnership with industry. This </w:t>
          </w:r>
          <w:r>
            <w:rPr>
              <w:rFonts w:ascii="Calibri" w:eastAsia="Calibri" w:hAnsi="Calibri" w:cs="Calibri"/>
            </w:rPr>
            <w:t xml:space="preserve">could </w:t>
          </w:r>
          <w:r w:rsidRPr="002426A2">
            <w:rPr>
              <w:rFonts w:ascii="Calibri" w:eastAsia="Calibri" w:hAnsi="Calibri" w:cs="Calibri"/>
            </w:rPr>
            <w:t xml:space="preserve">increase the </w:t>
          </w:r>
          <w:r>
            <w:rPr>
              <w:rFonts w:ascii="Calibri" w:eastAsia="Calibri" w:hAnsi="Calibri" w:cs="Calibri"/>
            </w:rPr>
            <w:t>alignment of incentives</w:t>
          </w:r>
          <w:r w:rsidRPr="002426A2">
            <w:rPr>
              <w:rFonts w:ascii="Calibri" w:eastAsia="Calibri" w:hAnsi="Calibri" w:cs="Calibri"/>
            </w:rPr>
            <w:t xml:space="preserve"> for the research supply side and better alignment of both parties focusing on commercial outcomes in the market</w:t>
          </w:r>
          <w:r>
            <w:rPr>
              <w:rFonts w:ascii="Calibri" w:eastAsia="Calibri" w:hAnsi="Calibri" w:cs="Calibri"/>
            </w:rPr>
            <w:t>.</w:t>
          </w:r>
        </w:p>
        <w:p w14:paraId="3F708B9F" w14:textId="77777777" w:rsidR="006E0EFD" w:rsidRDefault="006E0EFD" w:rsidP="006E0EFD">
          <w:pPr>
            <w:rPr>
              <w:rFonts w:asciiTheme="majorHAnsi" w:eastAsiaTheme="majorEastAsia" w:hAnsiTheme="majorHAnsi" w:cstheme="majorBidi"/>
              <w:i/>
              <w:iCs/>
              <w:color w:val="00B4FF"/>
              <w:sz w:val="32"/>
              <w:szCs w:val="40"/>
            </w:rPr>
          </w:pPr>
          <w:r>
            <w:br w:type="page"/>
          </w:r>
        </w:p>
        <w:p w14:paraId="5BA91D2A" w14:textId="77777777" w:rsidR="006E0EFD" w:rsidRPr="00150A4E" w:rsidRDefault="006E0EFD" w:rsidP="00C35D33">
          <w:pPr>
            <w:pStyle w:val="Heading4"/>
          </w:pPr>
          <w:r w:rsidRPr="00150A4E">
            <w:t>Measuring what matters</w:t>
          </w:r>
        </w:p>
        <w:p w14:paraId="01D0BC43" w14:textId="1EB670ED" w:rsidR="006E0EFD" w:rsidRDefault="006E0EFD" w:rsidP="006E0EFD">
          <w:pPr>
            <w:contextualSpacing/>
          </w:pPr>
          <w:bookmarkStart w:id="28" w:name="_Hlk151653093"/>
          <w:r w:rsidRPr="00150A4E">
            <w:t xml:space="preserve">Metrics on the outcomes of investments in innovation are not sufficiently standardised across the </w:t>
          </w:r>
          <w:r w:rsidR="000D2DCF">
            <w:t>g</w:t>
          </w:r>
          <w:r w:rsidRPr="00150A4E">
            <w:t xml:space="preserve">overnment’s investments in science, </w:t>
          </w:r>
          <w:proofErr w:type="gramStart"/>
          <w:r w:rsidRPr="00150A4E">
            <w:t>research</w:t>
          </w:r>
          <w:proofErr w:type="gramEnd"/>
          <w:r w:rsidRPr="00150A4E">
            <w:t xml:space="preserve"> and innovation</w:t>
          </w:r>
          <w:bookmarkEnd w:id="28"/>
          <w:r w:rsidRPr="00150A4E">
            <w:t xml:space="preserve">. Inputs to science, research and innovation are more robustly defined, </w:t>
          </w:r>
          <w:proofErr w:type="gramStart"/>
          <w:r w:rsidRPr="00150A4E">
            <w:t>collected</w:t>
          </w:r>
          <w:proofErr w:type="gramEnd"/>
          <w:r w:rsidRPr="00150A4E">
            <w:t xml:space="preserve"> and benchmarked than the outputs and outcomes (including commercialisation, business growth, revenue and profit metrics). </w:t>
          </w:r>
        </w:p>
        <w:p w14:paraId="3FD30E50" w14:textId="77777777" w:rsidR="006E0EFD" w:rsidRDefault="006E0EFD" w:rsidP="006E0EFD">
          <w:pPr>
            <w:contextualSpacing/>
          </w:pPr>
        </w:p>
        <w:p w14:paraId="1ED8E0D8" w14:textId="77777777" w:rsidR="006E0EFD" w:rsidRPr="00150A4E" w:rsidRDefault="006E0EFD" w:rsidP="006E0EFD">
          <w:pPr>
            <w:numPr>
              <w:ilvl w:val="0"/>
              <w:numId w:val="28"/>
            </w:numPr>
            <w:contextualSpacing/>
          </w:pPr>
          <w:r w:rsidRPr="00150A4E">
            <w:t>Reporting and measurement of public investments in science, research and innovation do not adequately align to business competitiveness outcomes.</w:t>
          </w:r>
        </w:p>
        <w:p w14:paraId="0136776B" w14:textId="77777777" w:rsidR="006E0EFD" w:rsidRPr="00150A4E" w:rsidRDefault="006E0EFD" w:rsidP="006E0EFD">
          <w:pPr>
            <w:ind w:left="360"/>
            <w:contextualSpacing/>
          </w:pPr>
        </w:p>
        <w:p w14:paraId="218FF926" w14:textId="77777777" w:rsidR="006E0EFD" w:rsidRPr="00150A4E" w:rsidRDefault="006E0EFD" w:rsidP="00D221CA">
          <w:pPr>
            <w:numPr>
              <w:ilvl w:val="0"/>
              <w:numId w:val="28"/>
            </w:numPr>
            <w:spacing w:after="240"/>
            <w:contextualSpacing/>
          </w:pPr>
          <w:r w:rsidRPr="00150A4E">
            <w:t>There is insufficient transparency and detail on the outputs and outcomes from innovation and collaboration to enable a meaningful evaluation of the performance of policy and investment.</w:t>
          </w:r>
        </w:p>
        <w:p w14:paraId="2E19C943" w14:textId="77777777" w:rsidR="003415B3" w:rsidRPr="00220179" w:rsidRDefault="003415B3" w:rsidP="00010EFC">
          <w:pPr>
            <w:pStyle w:val="Heading5"/>
            <w:pBdr>
              <w:top w:val="single" w:sz="12" w:space="8" w:color="auto"/>
              <w:left w:val="single" w:sz="12" w:space="4" w:color="auto"/>
              <w:bottom w:val="single" w:sz="12" w:space="8" w:color="auto"/>
              <w:right w:val="single" w:sz="12" w:space="4" w:color="auto"/>
            </w:pBdr>
            <w:shd w:val="clear" w:color="auto" w:fill="C9F0FF" w:themeFill="background2" w:themeFillTint="33"/>
            <w:ind w:left="360"/>
            <w:mirrorIndents/>
          </w:pPr>
          <w:r w:rsidRPr="00220179">
            <w:t xml:space="preserve">Recommendation: Measure the things that matter to drive economic complexity, </w:t>
          </w:r>
          <w:proofErr w:type="gramStart"/>
          <w:r w:rsidRPr="00220179">
            <w:t>resilience</w:t>
          </w:r>
          <w:proofErr w:type="gramEnd"/>
          <w:r w:rsidRPr="00220179">
            <w:t xml:space="preserve"> and societal outcomes.</w:t>
          </w:r>
        </w:p>
        <w:p w14:paraId="0939CE66" w14:textId="3CCACFBD" w:rsidR="003415B3" w:rsidRPr="00DC1525" w:rsidRDefault="003415B3" w:rsidP="00010EFC">
          <w:pPr>
            <w:pStyle w:val="ListParagraph"/>
            <w:numPr>
              <w:ilvl w:val="0"/>
              <w:numId w:val="88"/>
            </w:numPr>
            <w:pBdr>
              <w:top w:val="single" w:sz="12" w:space="8" w:color="auto"/>
              <w:left w:val="single" w:sz="12" w:space="4" w:color="auto"/>
              <w:bottom w:val="single" w:sz="12" w:space="8" w:color="auto"/>
              <w:right w:val="single" w:sz="12" w:space="4" w:color="auto"/>
            </w:pBdr>
            <w:shd w:val="clear" w:color="auto" w:fill="C9F0FF" w:themeFill="background2" w:themeFillTint="33"/>
            <w:ind w:left="720"/>
            <w:mirrorIndents/>
            <w:rPr>
              <w:rStyle w:val="Emphasis"/>
            </w:rPr>
          </w:pPr>
          <w:r w:rsidRPr="00DC1525">
            <w:rPr>
              <w:rStyle w:val="Emphasis"/>
            </w:rPr>
            <w:t xml:space="preserve">Design and implement the measurement of commercialisation outcomes and industry impacts over the appropriate timeframes.  </w:t>
          </w:r>
        </w:p>
        <w:p w14:paraId="09AFCA11" w14:textId="77777777" w:rsidR="003415B3" w:rsidRPr="00DC1525" w:rsidRDefault="003415B3" w:rsidP="00010EFC">
          <w:pPr>
            <w:pBdr>
              <w:top w:val="single" w:sz="12" w:space="8" w:color="auto"/>
              <w:left w:val="single" w:sz="12" w:space="4" w:color="auto"/>
              <w:bottom w:val="single" w:sz="12" w:space="8" w:color="auto"/>
              <w:right w:val="single" w:sz="12" w:space="4" w:color="auto"/>
            </w:pBdr>
            <w:shd w:val="clear" w:color="auto" w:fill="C9F0FF" w:themeFill="background2" w:themeFillTint="33"/>
            <w:ind w:left="360"/>
            <w:mirrorIndents/>
            <w:rPr>
              <w:rStyle w:val="Emphasis"/>
            </w:rPr>
          </w:pPr>
          <w:r w:rsidRPr="00DC1525">
            <w:rPr>
              <w:rStyle w:val="Emphasis"/>
            </w:rPr>
            <w:t>Actions could include:</w:t>
          </w:r>
        </w:p>
        <w:p w14:paraId="37E7ABB1" w14:textId="13B777C6" w:rsidR="003415B3" w:rsidRDefault="003415B3" w:rsidP="00010EFC">
          <w:pPr>
            <w:pStyle w:val="ListParagraph"/>
            <w:numPr>
              <w:ilvl w:val="1"/>
              <w:numId w:val="85"/>
            </w:numPr>
            <w:pBdr>
              <w:top w:val="single" w:sz="12" w:space="8" w:color="auto"/>
              <w:left w:val="single" w:sz="12" w:space="4" w:color="auto"/>
              <w:bottom w:val="single" w:sz="12" w:space="8" w:color="auto"/>
              <w:right w:val="single" w:sz="12" w:space="4" w:color="auto"/>
            </w:pBdr>
            <w:shd w:val="clear" w:color="auto" w:fill="C9F0FF" w:themeFill="background2" w:themeFillTint="33"/>
            <w:ind w:left="717" w:hanging="357"/>
            <w:contextualSpacing w:val="0"/>
            <w:mirrorIndents/>
          </w:pPr>
          <w:r>
            <w:t xml:space="preserve">Measure growth in revenue, </w:t>
          </w:r>
          <w:proofErr w:type="gramStart"/>
          <w:r>
            <w:t>productivity</w:t>
          </w:r>
          <w:proofErr w:type="gramEnd"/>
          <w:r>
            <w:t xml:space="preserve"> and resilience. Ensure public investments in research translation activities visibly realise industrial transformation, business competitiveness and growth, sovereign capability, productivity and higher value jobs in industry, alongside equally important improved health, environmental and social outcomes for Australians.</w:t>
          </w:r>
        </w:p>
        <w:p w14:paraId="4DB28402" w14:textId="77777777" w:rsidR="003415B3" w:rsidRPr="00E04911" w:rsidRDefault="003415B3" w:rsidP="00010EFC">
          <w:pPr>
            <w:pStyle w:val="ListParagraph"/>
            <w:numPr>
              <w:ilvl w:val="1"/>
              <w:numId w:val="85"/>
            </w:numPr>
            <w:pBdr>
              <w:top w:val="single" w:sz="12" w:space="8" w:color="auto"/>
              <w:left w:val="single" w:sz="12" w:space="4" w:color="auto"/>
              <w:bottom w:val="single" w:sz="12" w:space="8" w:color="auto"/>
              <w:right w:val="single" w:sz="12" w:space="4" w:color="auto"/>
            </w:pBdr>
            <w:shd w:val="clear" w:color="auto" w:fill="C9F0FF" w:themeFill="background2" w:themeFillTint="33"/>
            <w:ind w:left="717" w:hanging="357"/>
            <w:contextualSpacing w:val="0"/>
            <w:mirrorIndents/>
          </w:pPr>
          <w:r>
            <w:t>Supplement existing self-reported survey instruments with hard data to measure commercialisation and industry transformation outcomes.</w:t>
          </w:r>
        </w:p>
        <w:p w14:paraId="12838E6D" w14:textId="2EA41162" w:rsidR="00287E84" w:rsidRDefault="009B1D68" w:rsidP="00DC1525">
          <w:pPr>
            <w:rPr>
              <w:i/>
              <w:iCs/>
            </w:rPr>
            <w:sectPr w:rsidR="00287E84" w:rsidSect="009B7D3F">
              <w:footerReference w:type="first" r:id="rId22"/>
              <w:pgSz w:w="11906" w:h="16838"/>
              <w:pgMar w:top="1276" w:right="1440" w:bottom="1440" w:left="1440" w:header="851" w:footer="708" w:gutter="0"/>
              <w:pgNumType w:start="1"/>
              <w:cols w:space="708"/>
              <w:titlePg/>
              <w:docGrid w:linePitch="360"/>
            </w:sectPr>
          </w:pPr>
        </w:p>
        <w:bookmarkEnd w:id="19" w:displacedByCustomXml="next"/>
        <w:bookmarkEnd w:id="18" w:displacedByCustomXml="next"/>
        <w:bookmarkEnd w:id="17" w:displacedByCustomXml="next"/>
        <w:bookmarkEnd w:id="16" w:displacedByCustomXml="next"/>
      </w:sdtContent>
    </w:sdt>
    <w:bookmarkEnd w:id="10" w:displacedByCustomXml="prev"/>
    <w:bookmarkEnd w:id="9" w:displacedByCustomXml="prev"/>
    <w:bookmarkStart w:id="29" w:name="_Hlk146469076" w:displacedByCustomXml="prev"/>
    <w:p w14:paraId="0B9D8995" w14:textId="17A80AF3" w:rsidR="00CF0854" w:rsidRPr="00F17E2C" w:rsidRDefault="007263A0" w:rsidP="00DC1525">
      <w:pPr>
        <w:pStyle w:val="Heading2"/>
      </w:pPr>
      <w:bookmarkStart w:id="30" w:name="_Toc1127324793"/>
      <w:bookmarkStart w:id="31" w:name="_Toc152165417"/>
      <w:bookmarkEnd w:id="29"/>
      <w:r>
        <w:t xml:space="preserve">Section 1: </w:t>
      </w:r>
      <w:r w:rsidR="00CF0854" w:rsidRPr="00F17E2C">
        <w:t xml:space="preserve">Market dynamics and </w:t>
      </w:r>
      <w:r>
        <w:t>i</w:t>
      </w:r>
      <w:r w:rsidR="00CF0854" w:rsidRPr="00F17E2C">
        <w:t>nnov</w:t>
      </w:r>
      <w:bookmarkEnd w:id="30"/>
      <w:r>
        <w:t>ation</w:t>
      </w:r>
      <w:bookmarkEnd w:id="31"/>
    </w:p>
    <w:p w14:paraId="6F781F31" w14:textId="231FF1D4" w:rsidR="00973C31" w:rsidRDefault="00514382" w:rsidP="00FB19A6">
      <w:pPr>
        <w:spacing w:before="200" w:after="200"/>
      </w:pPr>
      <w:r w:rsidRPr="00287E84">
        <w:rPr>
          <w:rFonts w:ascii="Calibri" w:eastAsia="Calibri" w:hAnsi="Calibri" w:cs="Arial"/>
        </w:rPr>
        <w:t xml:space="preserve">Economic diversification is a process of transforming a country's economic structure toward the production and export of more complex and value-added products. </w:t>
      </w:r>
      <w:r w:rsidRPr="00973EB6">
        <w:rPr>
          <w:rFonts w:ascii="Calibri" w:eastAsia="Calibri" w:hAnsi="Calibri" w:cs="Arial"/>
        </w:rPr>
        <w:t>Currently</w:t>
      </w:r>
      <w:r w:rsidR="00FF2546">
        <w:rPr>
          <w:rFonts w:ascii="Calibri" w:eastAsia="Calibri" w:hAnsi="Calibri" w:cs="Arial"/>
        </w:rPr>
        <w:t>,</w:t>
      </w:r>
      <w:r w:rsidRPr="00973EB6">
        <w:rPr>
          <w:rFonts w:ascii="Calibri" w:eastAsia="Calibri" w:hAnsi="Calibri" w:cs="Arial"/>
        </w:rPr>
        <w:t xml:space="preserve"> </w:t>
      </w:r>
      <w:r w:rsidR="00FF2546">
        <w:rPr>
          <w:rFonts w:ascii="Calibri" w:eastAsia="Calibri" w:hAnsi="Calibri" w:cs="Arial"/>
        </w:rPr>
        <w:t xml:space="preserve">Australia’s </w:t>
      </w:r>
      <w:r w:rsidRPr="00973EB6">
        <w:rPr>
          <w:rFonts w:ascii="Calibri" w:eastAsia="Calibri" w:hAnsi="Calibri" w:cs="Arial"/>
        </w:rPr>
        <w:t xml:space="preserve">economic complexity and export profile is comparable to that of developing countries. </w:t>
      </w:r>
      <w:r>
        <w:t xml:space="preserve"> </w:t>
      </w:r>
    </w:p>
    <w:p w14:paraId="7E112C29" w14:textId="714374B1" w:rsidR="0093227F" w:rsidRDefault="006515AD" w:rsidP="00FB19A6">
      <w:pPr>
        <w:spacing w:before="200" w:after="200"/>
      </w:pPr>
      <w:r>
        <w:t xml:space="preserve">It is well known that the </w:t>
      </w:r>
      <w:r w:rsidR="00FF2546">
        <w:t xml:space="preserve">increased </w:t>
      </w:r>
      <w:r>
        <w:t xml:space="preserve">prominence </w:t>
      </w:r>
      <w:r w:rsidR="00FF2546">
        <w:t xml:space="preserve">of </w:t>
      </w:r>
      <w:r w:rsidR="00023F8A">
        <w:t>resource-oriented</w:t>
      </w:r>
      <w:r>
        <w:t xml:space="preserve"> activities in the last </w:t>
      </w:r>
      <w:r w:rsidR="006C2544">
        <w:t>50 </w:t>
      </w:r>
      <w:r>
        <w:t xml:space="preserve">years has brought benefits to Australia’s economy. </w:t>
      </w:r>
      <w:r w:rsidR="00C7017D">
        <w:t xml:space="preserve">This was </w:t>
      </w:r>
      <w:r>
        <w:t>accompanied by a decline in the</w:t>
      </w:r>
      <w:r w:rsidR="0051762E">
        <w:t xml:space="preserve"> manufacturing industry</w:t>
      </w:r>
      <w:r w:rsidR="0093227F">
        <w:t>’s contribution to</w:t>
      </w:r>
      <w:r w:rsidR="0051762E">
        <w:t xml:space="preserve"> Australia’s G</w:t>
      </w:r>
      <w:r w:rsidR="00246447">
        <w:t xml:space="preserve">ross </w:t>
      </w:r>
      <w:r w:rsidR="0051762E">
        <w:t>D</w:t>
      </w:r>
      <w:r w:rsidR="00246447">
        <w:t xml:space="preserve">omestic </w:t>
      </w:r>
      <w:r w:rsidR="0051762E">
        <w:t>P</w:t>
      </w:r>
      <w:r w:rsidR="00246447">
        <w:t>roduct</w:t>
      </w:r>
      <w:r w:rsidR="006D0F13">
        <w:t xml:space="preserve"> </w:t>
      </w:r>
      <w:r w:rsidR="0051762E">
        <w:t>an</w:t>
      </w:r>
      <w:r w:rsidR="006D0F13">
        <w:t>d an</w:t>
      </w:r>
      <w:r w:rsidR="0051762E">
        <w:t xml:space="preserve"> increase in the level of import penetration in the manufacturing </w:t>
      </w:r>
      <w:r w:rsidR="00023F8A">
        <w:t>sector</w:t>
      </w:r>
      <w:r w:rsidR="006D0F13">
        <w:t>.</w:t>
      </w:r>
      <w:r w:rsidR="00023F8A">
        <w:t xml:space="preserve"> </w:t>
      </w:r>
      <w:r w:rsidR="006D0F13">
        <w:t>The</w:t>
      </w:r>
      <w:r w:rsidR="00C7017D">
        <w:t xml:space="preserve"> erosion</w:t>
      </w:r>
      <w:r w:rsidR="0051762E">
        <w:t xml:space="preserve"> </w:t>
      </w:r>
      <w:r w:rsidR="00C7017D">
        <w:t>of Australia’s industrial capabilities</w:t>
      </w:r>
      <w:r w:rsidR="00023F8A">
        <w:t xml:space="preserve"> (as shown in </w:t>
      </w:r>
      <w:hyperlink w:anchor="_Chart_2_data" w:history="1">
        <w:r w:rsidR="00023F8A" w:rsidRPr="00663935">
          <w:rPr>
            <w:rStyle w:val="Hyperlink"/>
            <w:b/>
            <w:bCs/>
          </w:rPr>
          <w:t>Chart 2</w:t>
        </w:r>
        <w:r w:rsidR="00663935" w:rsidRPr="00663935">
          <w:rPr>
            <w:rStyle w:val="Hyperlink"/>
            <w:b/>
            <w:bCs/>
          </w:rPr>
          <w:t>: United Nations Industrial Development Organization (UNIDO)’s Competitive Industrial Performance Index vs Manufacturing Import Penetration in OECD countries, 2018</w:t>
        </w:r>
      </w:hyperlink>
      <w:r w:rsidR="00023F8A">
        <w:t>)</w:t>
      </w:r>
      <w:r w:rsidR="006D0F13">
        <w:t xml:space="preserve"> </w:t>
      </w:r>
      <w:r w:rsidR="00D03517">
        <w:t xml:space="preserve">has consequences </w:t>
      </w:r>
      <w:r w:rsidR="00FF2546">
        <w:t xml:space="preserve">for </w:t>
      </w:r>
      <w:r w:rsidR="00C7017D">
        <w:t xml:space="preserve">the productive knowledge and </w:t>
      </w:r>
      <w:r w:rsidR="00B67D96">
        <w:t xml:space="preserve">the </w:t>
      </w:r>
      <w:r w:rsidR="00167E6F">
        <w:t>know</w:t>
      </w:r>
      <w:r w:rsidR="00B67D96">
        <w:t>-</w:t>
      </w:r>
      <w:r w:rsidR="00167E6F">
        <w:t>how</w:t>
      </w:r>
      <w:r w:rsidR="00C7017D">
        <w:t xml:space="preserve"> </w:t>
      </w:r>
      <w:r w:rsidR="0060706D">
        <w:t>business</w:t>
      </w:r>
      <w:r w:rsidR="00017A66">
        <w:t xml:space="preserve"> lead</w:t>
      </w:r>
      <w:r w:rsidR="0060706D">
        <w:t>e</w:t>
      </w:r>
      <w:r w:rsidR="00017A66">
        <w:t>r</w:t>
      </w:r>
      <w:r w:rsidR="0060706D">
        <w:t>s</w:t>
      </w:r>
      <w:r w:rsidR="00C7017D">
        <w:t xml:space="preserve"> need to </w:t>
      </w:r>
      <w:r w:rsidR="00C050D5">
        <w:t>enable</w:t>
      </w:r>
      <w:r w:rsidR="00C7017D">
        <w:t xml:space="preserve"> improvements </w:t>
      </w:r>
      <w:r w:rsidR="00023F8A">
        <w:t xml:space="preserve">and innovation </w:t>
      </w:r>
      <w:r w:rsidR="00C7017D">
        <w:t xml:space="preserve">in </w:t>
      </w:r>
      <w:r w:rsidR="00167E6F">
        <w:t xml:space="preserve">the </w:t>
      </w:r>
      <w:r w:rsidR="00C7017D">
        <w:t xml:space="preserve">manufacturing </w:t>
      </w:r>
      <w:r w:rsidR="00B67D96">
        <w:t>industry</w:t>
      </w:r>
      <w:r w:rsidR="00017A66">
        <w:t>.</w:t>
      </w:r>
      <w:r w:rsidR="00C7017D">
        <w:rPr>
          <w:rStyle w:val="FootnoteReference"/>
        </w:rPr>
        <w:footnoteReference w:id="12"/>
      </w:r>
      <w:r>
        <w:t xml:space="preserve"> </w:t>
      </w:r>
    </w:p>
    <w:p w14:paraId="29D8E7D8" w14:textId="13F1504C" w:rsidR="00023F8A" w:rsidRDefault="008B69FD" w:rsidP="00FB19A6">
      <w:pPr>
        <w:spacing w:before="200" w:after="200"/>
      </w:pPr>
      <w:r>
        <w:t xml:space="preserve">Australian manufacturing in priority areas of the economy </w:t>
      </w:r>
      <w:r w:rsidR="00246447">
        <w:t>is</w:t>
      </w:r>
      <w:r>
        <w:t xml:space="preserve"> strongly focused on cost efficiency and adaption of products and processes to the small and fragmented domestic market</w:t>
      </w:r>
      <w:r w:rsidR="00FF2546">
        <w:t>.</w:t>
      </w:r>
      <w:r w:rsidR="00835472">
        <w:rPr>
          <w:rStyle w:val="FootnoteReference"/>
        </w:rPr>
        <w:footnoteReference w:id="13"/>
      </w:r>
      <w:r>
        <w:t xml:space="preserve"> </w:t>
      </w:r>
      <w:r w:rsidR="00FF2546">
        <w:t xml:space="preserve">This </w:t>
      </w:r>
      <w:r w:rsidR="00023F8A">
        <w:t>can affect the willingness of business</w:t>
      </w:r>
      <w:r w:rsidR="00017A66">
        <w:t xml:space="preserve"> lead</w:t>
      </w:r>
      <w:r w:rsidR="00023F8A">
        <w:t>e</w:t>
      </w:r>
      <w:r w:rsidR="00017A66">
        <w:t>r</w:t>
      </w:r>
      <w:r w:rsidR="00023F8A">
        <w:t xml:space="preserve">s to undertake the innovations necessary to scale up and compete in international markets. </w:t>
      </w:r>
      <w:r>
        <w:t xml:space="preserve">The decline in management </w:t>
      </w:r>
      <w:r w:rsidR="00D570BD">
        <w:t>skills</w:t>
      </w:r>
      <w:r>
        <w:t xml:space="preserve"> </w:t>
      </w:r>
      <w:r w:rsidR="00D570BD">
        <w:t xml:space="preserve">has also limited the innovation capabilities in </w:t>
      </w:r>
      <w:r w:rsidR="00017A66">
        <w:t xml:space="preserve">manufacturing </w:t>
      </w:r>
      <w:r w:rsidR="0060706D">
        <w:t>business</w:t>
      </w:r>
      <w:r w:rsidR="00017A66">
        <w:t>e</w:t>
      </w:r>
      <w:r w:rsidR="0060706D">
        <w:t>s</w:t>
      </w:r>
      <w:r w:rsidR="00D570BD">
        <w:t xml:space="preserve">. </w:t>
      </w:r>
    </w:p>
    <w:p w14:paraId="4BC59164" w14:textId="73D9D4B3" w:rsidR="000E0EF4" w:rsidRDefault="000E0EF4" w:rsidP="00FB19A6">
      <w:pPr>
        <w:spacing w:before="200" w:after="200"/>
        <w:rPr>
          <w:rFonts w:ascii="Calibri" w:eastAsia="Calibri" w:hAnsi="Calibri" w:cs="Arial"/>
        </w:rPr>
      </w:pPr>
      <w:r>
        <w:rPr>
          <w:rFonts w:ascii="Calibri" w:eastAsia="Calibri" w:hAnsi="Calibri" w:cs="Arial"/>
        </w:rPr>
        <w:t>The</w:t>
      </w:r>
      <w:r w:rsidRPr="00395D91">
        <w:rPr>
          <w:rFonts w:ascii="Calibri" w:eastAsia="Calibri" w:hAnsi="Calibri" w:cs="Arial"/>
        </w:rPr>
        <w:t xml:space="preserve"> development </w:t>
      </w:r>
      <w:r>
        <w:rPr>
          <w:rFonts w:ascii="Calibri" w:eastAsia="Calibri" w:hAnsi="Calibri" w:cs="Arial"/>
        </w:rPr>
        <w:t xml:space="preserve">of economic complexity </w:t>
      </w:r>
      <w:r w:rsidRPr="00395D91">
        <w:rPr>
          <w:rFonts w:ascii="Calibri" w:eastAsia="Calibri" w:hAnsi="Calibri" w:cs="Arial"/>
        </w:rPr>
        <w:t>is slow for countries with productive structures geared toward low-productivity and low-wage activities, producing mostly low-value</w:t>
      </w:r>
      <w:r w:rsidR="00FF2546">
        <w:rPr>
          <w:rFonts w:ascii="Calibri" w:eastAsia="Calibri" w:hAnsi="Calibri" w:cs="Arial"/>
        </w:rPr>
        <w:t>-</w:t>
      </w:r>
      <w:r>
        <w:rPr>
          <w:rFonts w:ascii="Calibri" w:eastAsia="Calibri" w:hAnsi="Calibri" w:cs="Arial"/>
        </w:rPr>
        <w:t>add</w:t>
      </w:r>
      <w:r w:rsidRPr="00395D91">
        <w:rPr>
          <w:rFonts w:ascii="Calibri" w:eastAsia="Calibri" w:hAnsi="Calibri" w:cs="Arial"/>
        </w:rPr>
        <w:t xml:space="preserve"> commodities or agricultural products.</w:t>
      </w:r>
      <w:r>
        <w:rPr>
          <w:rStyle w:val="FootnoteReference"/>
          <w:rFonts w:ascii="Calibri" w:eastAsia="Calibri" w:hAnsi="Calibri" w:cs="Arial"/>
        </w:rPr>
        <w:footnoteReference w:id="14"/>
      </w:r>
      <w:r w:rsidRPr="00395D91">
        <w:rPr>
          <w:rFonts w:ascii="Calibri" w:eastAsia="Calibri" w:hAnsi="Calibri" w:cs="Arial"/>
        </w:rPr>
        <w:t xml:space="preserve"> </w:t>
      </w:r>
      <w:r w:rsidR="00017A66">
        <w:rPr>
          <w:rFonts w:ascii="Calibri" w:eastAsia="Calibri" w:hAnsi="Calibri" w:cs="Arial"/>
        </w:rPr>
        <w:t>Conversely, d</w:t>
      </w:r>
      <w:r w:rsidR="00017A66" w:rsidRPr="00395D91">
        <w:rPr>
          <w:rFonts w:ascii="Calibri" w:eastAsia="Calibri" w:hAnsi="Calibri" w:cs="Arial"/>
        </w:rPr>
        <w:t xml:space="preserve">evelopment </w:t>
      </w:r>
      <w:r w:rsidRPr="00395D91">
        <w:rPr>
          <w:rFonts w:ascii="Calibri" w:eastAsia="Calibri" w:hAnsi="Calibri" w:cs="Arial"/>
        </w:rPr>
        <w:t>is fast</w:t>
      </w:r>
      <w:r w:rsidR="00017A66">
        <w:rPr>
          <w:rFonts w:ascii="Calibri" w:eastAsia="Calibri" w:hAnsi="Calibri" w:cs="Arial"/>
        </w:rPr>
        <w:t xml:space="preserve"> in</w:t>
      </w:r>
      <w:r w:rsidRPr="00395D91">
        <w:rPr>
          <w:rFonts w:ascii="Calibri" w:eastAsia="Calibri" w:hAnsi="Calibri" w:cs="Arial"/>
        </w:rPr>
        <w:t xml:space="preserve"> countries with productive structures geared toward high-productivity and high-wage activities</w:t>
      </w:r>
      <w:r>
        <w:rPr>
          <w:rFonts w:ascii="Calibri" w:eastAsia="Calibri" w:hAnsi="Calibri" w:cs="Arial"/>
        </w:rPr>
        <w:t xml:space="preserve">. </w:t>
      </w:r>
      <w:r w:rsidRPr="00E40F5A">
        <w:rPr>
          <w:rFonts w:ascii="Calibri" w:eastAsia="Calibri" w:hAnsi="Calibri" w:cs="Arial"/>
        </w:rPr>
        <w:t xml:space="preserve"> </w:t>
      </w:r>
    </w:p>
    <w:p w14:paraId="71282CFE" w14:textId="59FB7FC3" w:rsidR="00D31F27" w:rsidRDefault="00ED5779" w:rsidP="00FB19A6">
      <w:pPr>
        <w:spacing w:before="200" w:after="200"/>
        <w:rPr>
          <w:rFonts w:ascii="Calibri" w:eastAsia="Calibri" w:hAnsi="Calibri" w:cs="Arial"/>
        </w:rPr>
      </w:pPr>
      <w:r>
        <w:rPr>
          <w:rFonts w:ascii="Calibri" w:eastAsia="Calibri" w:hAnsi="Calibri" w:cs="Arial"/>
        </w:rPr>
        <w:t xml:space="preserve">The ambition to accelerate and </w:t>
      </w:r>
      <w:r w:rsidR="00246447">
        <w:rPr>
          <w:rFonts w:ascii="Calibri" w:eastAsia="Calibri" w:hAnsi="Calibri" w:cs="Arial"/>
        </w:rPr>
        <w:t xml:space="preserve">diversify </w:t>
      </w:r>
      <w:r>
        <w:rPr>
          <w:rFonts w:ascii="Calibri" w:eastAsia="Calibri" w:hAnsi="Calibri" w:cs="Arial"/>
        </w:rPr>
        <w:t xml:space="preserve">the economy requires </w:t>
      </w:r>
      <w:r w:rsidR="00C050D5">
        <w:rPr>
          <w:rFonts w:ascii="Calibri" w:eastAsia="Calibri" w:hAnsi="Calibri" w:cs="Arial"/>
        </w:rPr>
        <w:t xml:space="preserve">targeted actions </w:t>
      </w:r>
      <w:r>
        <w:rPr>
          <w:rFonts w:ascii="Calibri" w:eastAsia="Calibri" w:hAnsi="Calibri" w:cs="Arial"/>
        </w:rPr>
        <w:t>to generat</w:t>
      </w:r>
      <w:r w:rsidR="00C050D5">
        <w:rPr>
          <w:rFonts w:ascii="Calibri" w:eastAsia="Calibri" w:hAnsi="Calibri" w:cs="Arial"/>
        </w:rPr>
        <w:t>e</w:t>
      </w:r>
      <w:r>
        <w:rPr>
          <w:rFonts w:ascii="Calibri" w:eastAsia="Calibri" w:hAnsi="Calibri" w:cs="Arial"/>
        </w:rPr>
        <w:t xml:space="preserve"> the conditions that </w:t>
      </w:r>
      <w:r w:rsidR="00C050D5">
        <w:rPr>
          <w:rFonts w:ascii="Calibri" w:eastAsia="Calibri" w:hAnsi="Calibri" w:cs="Arial"/>
        </w:rPr>
        <w:t>support greater complexity and industry innovation.</w:t>
      </w:r>
      <w:r>
        <w:rPr>
          <w:rFonts w:ascii="Calibri" w:eastAsia="Calibri" w:hAnsi="Calibri" w:cs="Arial"/>
        </w:rPr>
        <w:t xml:space="preserve"> The Australian Government is supporting conditions to de-risk innovation and commercialisation through </w:t>
      </w:r>
      <w:r w:rsidR="00D7181C" w:rsidRPr="00D7181C">
        <w:rPr>
          <w:rFonts w:ascii="Calibri" w:eastAsia="Calibri" w:hAnsi="Calibri" w:cs="Arial"/>
        </w:rPr>
        <w:t>supply-side initiatives that provide concessional finance</w:t>
      </w:r>
      <w:r w:rsidR="00C050D5">
        <w:rPr>
          <w:rFonts w:ascii="Calibri" w:eastAsia="Calibri" w:hAnsi="Calibri" w:cs="Arial"/>
        </w:rPr>
        <w:t xml:space="preserve">, </w:t>
      </w:r>
      <w:r w:rsidR="00D7181C" w:rsidRPr="00D7181C">
        <w:rPr>
          <w:rFonts w:ascii="Calibri" w:eastAsia="Calibri" w:hAnsi="Calibri" w:cs="Arial"/>
        </w:rPr>
        <w:t xml:space="preserve">patient capital, </w:t>
      </w:r>
      <w:r w:rsidR="00C050D5">
        <w:rPr>
          <w:rFonts w:ascii="Calibri" w:eastAsia="Calibri" w:hAnsi="Calibri" w:cs="Arial"/>
        </w:rPr>
        <w:t xml:space="preserve">business </w:t>
      </w:r>
      <w:r w:rsidR="00D7181C" w:rsidRPr="00D7181C">
        <w:rPr>
          <w:rFonts w:ascii="Calibri" w:eastAsia="Calibri" w:hAnsi="Calibri" w:cs="Arial"/>
        </w:rPr>
        <w:t xml:space="preserve">advice and grants. The </w:t>
      </w:r>
      <w:r w:rsidR="00FF2546">
        <w:rPr>
          <w:rFonts w:ascii="Calibri" w:eastAsia="Calibri" w:hAnsi="Calibri" w:cs="Arial"/>
        </w:rPr>
        <w:t>g</w:t>
      </w:r>
      <w:r w:rsidR="00D7181C" w:rsidRPr="00D7181C">
        <w:rPr>
          <w:rFonts w:ascii="Calibri" w:eastAsia="Calibri" w:hAnsi="Calibri" w:cs="Arial"/>
        </w:rPr>
        <w:t xml:space="preserve">overnment also provides support to encourage businesses to undertake research and development activities through the </w:t>
      </w:r>
      <w:r w:rsidR="008434C3">
        <w:rPr>
          <w:rFonts w:ascii="Calibri" w:eastAsia="Calibri" w:hAnsi="Calibri" w:cs="Arial"/>
        </w:rPr>
        <w:t>Research and Development (</w:t>
      </w:r>
      <w:r w:rsidR="00D7181C" w:rsidRPr="00D7181C">
        <w:rPr>
          <w:rFonts w:ascii="Calibri" w:eastAsia="Calibri" w:hAnsi="Calibri" w:cs="Arial"/>
        </w:rPr>
        <w:t>R&amp;D</w:t>
      </w:r>
      <w:r w:rsidR="008434C3">
        <w:rPr>
          <w:rFonts w:ascii="Calibri" w:eastAsia="Calibri" w:hAnsi="Calibri" w:cs="Arial"/>
        </w:rPr>
        <w:t>)</w:t>
      </w:r>
      <w:r w:rsidR="00D7181C" w:rsidRPr="00D7181C">
        <w:rPr>
          <w:rFonts w:ascii="Calibri" w:eastAsia="Calibri" w:hAnsi="Calibri" w:cs="Arial"/>
        </w:rPr>
        <w:t xml:space="preserve"> Tax Incentive</w:t>
      </w:r>
      <w:r w:rsidR="00FD6036">
        <w:rPr>
          <w:rFonts w:ascii="Calibri" w:eastAsia="Calibri" w:hAnsi="Calibri" w:cs="Arial"/>
        </w:rPr>
        <w:t>.</w:t>
      </w:r>
      <w:r w:rsidR="00C43F1F">
        <w:rPr>
          <w:rStyle w:val="FootnoteReference"/>
          <w:rFonts w:ascii="Calibri" w:eastAsia="Calibri" w:hAnsi="Calibri" w:cs="Arial"/>
        </w:rPr>
        <w:footnoteReference w:id="15"/>
      </w:r>
      <w:r w:rsidR="00D7181C" w:rsidRPr="00D7181C">
        <w:rPr>
          <w:rFonts w:ascii="Calibri" w:eastAsia="Calibri" w:hAnsi="Calibri" w:cs="Arial"/>
        </w:rPr>
        <w:t xml:space="preserve"> </w:t>
      </w:r>
      <w:r w:rsidR="00D7181C">
        <w:rPr>
          <w:rFonts w:ascii="Calibri" w:eastAsia="Calibri" w:hAnsi="Calibri" w:cs="Arial"/>
        </w:rPr>
        <w:t xml:space="preserve"> </w:t>
      </w:r>
      <w:r w:rsidR="00D7181C" w:rsidRPr="00D7181C">
        <w:rPr>
          <w:rFonts w:ascii="Calibri" w:eastAsia="Calibri" w:hAnsi="Calibri" w:cs="Arial"/>
        </w:rPr>
        <w:t>Although this contributes to creating an environment conducive to industrial transformation, equally important is creating the conditions for boosting demand for desired innovations.</w:t>
      </w:r>
      <w:r>
        <w:rPr>
          <w:rFonts w:ascii="Calibri" w:eastAsia="Calibri" w:hAnsi="Calibri" w:cs="Arial"/>
        </w:rPr>
        <w:t xml:space="preserve"> </w:t>
      </w:r>
      <w:r w:rsidR="00D31F27">
        <w:rPr>
          <w:rFonts w:ascii="Calibri" w:eastAsia="Calibri" w:hAnsi="Calibri" w:cs="Arial"/>
        </w:rPr>
        <w:br w:type="page"/>
      </w:r>
    </w:p>
    <w:p w14:paraId="16AE5B6F" w14:textId="77777777" w:rsidR="00552A1E" w:rsidRDefault="00ED5779" w:rsidP="00ED5779">
      <w:r>
        <w:rPr>
          <w:rFonts w:ascii="Calibri" w:eastAsia="Calibri" w:hAnsi="Calibri" w:cs="Arial"/>
        </w:rPr>
        <w:t xml:space="preserve">The productive structures required to drive transformation and diversification involve </w:t>
      </w:r>
      <w:r w:rsidR="00CD6ECE">
        <w:rPr>
          <w:rFonts w:ascii="Calibri" w:eastAsia="Calibri" w:hAnsi="Calibri" w:cs="Arial"/>
        </w:rPr>
        <w:t xml:space="preserve">two </w:t>
      </w:r>
      <w:r>
        <w:rPr>
          <w:rFonts w:ascii="Calibri" w:eastAsia="Calibri" w:hAnsi="Calibri" w:cs="Arial"/>
        </w:rPr>
        <w:t>key processes:</w:t>
      </w:r>
      <w:r w:rsidRPr="008B1EF9">
        <w:t xml:space="preserve"> </w:t>
      </w:r>
    </w:p>
    <w:p w14:paraId="3244F6D8" w14:textId="74F32B56" w:rsidR="00552A1E" w:rsidRDefault="00246447" w:rsidP="00DC1525">
      <w:pPr>
        <w:pStyle w:val="ListParagraph"/>
        <w:numPr>
          <w:ilvl w:val="0"/>
          <w:numId w:val="89"/>
        </w:numPr>
        <w:spacing w:before="120"/>
        <w:ind w:left="720"/>
        <w:contextualSpacing w:val="0"/>
      </w:pPr>
      <w:r>
        <w:t>how</w:t>
      </w:r>
      <w:r w:rsidR="00ED5779" w:rsidRPr="00552A1E">
        <w:rPr>
          <w:rFonts w:ascii="Calibri" w:eastAsia="Calibri" w:hAnsi="Calibri" w:cs="Arial"/>
        </w:rPr>
        <w:t xml:space="preserve"> </w:t>
      </w:r>
      <w:r w:rsidR="00ED5779" w:rsidRPr="008B1EF9">
        <w:t xml:space="preserve">countries </w:t>
      </w:r>
      <w:r w:rsidR="00ED5779">
        <w:t>develop</w:t>
      </w:r>
      <w:r w:rsidR="00ED5779" w:rsidRPr="008B1EF9">
        <w:t xml:space="preserve"> new products </w:t>
      </w:r>
      <w:r w:rsidR="00ED5779">
        <w:t xml:space="preserve">through </w:t>
      </w:r>
      <w:r>
        <w:t>novel</w:t>
      </w:r>
      <w:r w:rsidR="00ED5779">
        <w:t xml:space="preserve"> </w:t>
      </w:r>
      <w:r w:rsidR="00ED5779" w:rsidRPr="008B1EF9">
        <w:t>combinations of the</w:t>
      </w:r>
      <w:r w:rsidR="00ED5779" w:rsidRPr="00552A1E">
        <w:rPr>
          <w:rFonts w:ascii="Calibri" w:eastAsia="Calibri" w:hAnsi="Calibri" w:cs="Arial"/>
        </w:rPr>
        <w:t xml:space="preserve"> </w:t>
      </w:r>
      <w:r w:rsidR="00ED5779" w:rsidRPr="008B1EF9">
        <w:t xml:space="preserve">capabilities they already have, and </w:t>
      </w:r>
    </w:p>
    <w:p w14:paraId="79BFA7D6" w14:textId="3A2AFDDA" w:rsidR="00246447" w:rsidRDefault="00246447" w:rsidP="00DC1525">
      <w:pPr>
        <w:pStyle w:val="ListParagraph"/>
        <w:numPr>
          <w:ilvl w:val="0"/>
          <w:numId w:val="89"/>
        </w:numPr>
        <w:spacing w:before="120"/>
        <w:ind w:left="720"/>
        <w:contextualSpacing w:val="0"/>
      </w:pPr>
      <w:r>
        <w:t>how</w:t>
      </w:r>
      <w:r w:rsidR="00ED5779" w:rsidRPr="008B1EF9">
        <w:t xml:space="preserve"> countries</w:t>
      </w:r>
      <w:r w:rsidR="00ED5779" w:rsidRPr="00552A1E">
        <w:rPr>
          <w:rFonts w:ascii="Calibri" w:eastAsia="Calibri" w:hAnsi="Calibri" w:cs="Arial"/>
        </w:rPr>
        <w:t xml:space="preserve"> </w:t>
      </w:r>
      <w:r w:rsidR="00ED5779" w:rsidRPr="008B1EF9">
        <w:t>accumulate new capabilities and combine them</w:t>
      </w:r>
      <w:r w:rsidR="00366B70">
        <w:t xml:space="preserve"> </w:t>
      </w:r>
      <w:r w:rsidR="00574B33" w:rsidRPr="00552A1E">
        <w:rPr>
          <w:rFonts w:ascii="Calibri" w:eastAsia="Calibri" w:hAnsi="Calibri" w:cs="Times New Roman"/>
        </w:rPr>
        <w:t>–</w:t>
      </w:r>
      <w:r w:rsidR="00366B70">
        <w:t xml:space="preserve"> </w:t>
      </w:r>
      <w:r w:rsidR="00ED5779">
        <w:t>through collaboration</w:t>
      </w:r>
      <w:r w:rsidR="00366B70">
        <w:t xml:space="preserve"> </w:t>
      </w:r>
      <w:r w:rsidR="00574B33" w:rsidRPr="00552A1E">
        <w:rPr>
          <w:rFonts w:ascii="Calibri" w:eastAsia="Calibri" w:hAnsi="Calibri" w:cs="Times New Roman"/>
        </w:rPr>
        <w:t>–</w:t>
      </w:r>
      <w:r w:rsidR="00366B70">
        <w:t xml:space="preserve"> </w:t>
      </w:r>
      <w:r w:rsidR="00ED5779" w:rsidRPr="008B1EF9">
        <w:t xml:space="preserve">with </w:t>
      </w:r>
      <w:r>
        <w:t>the existing</w:t>
      </w:r>
      <w:r w:rsidR="00ED5779" w:rsidRPr="008B1EF9">
        <w:t xml:space="preserve"> capabilities to develop </w:t>
      </w:r>
      <w:r>
        <w:t>new</w:t>
      </w:r>
      <w:r w:rsidR="00ED5779" w:rsidRPr="008B1EF9">
        <w:t xml:space="preserve"> products</w:t>
      </w:r>
      <w:r>
        <w:t xml:space="preserve"> and</w:t>
      </w:r>
      <w:r w:rsidR="00366B70">
        <w:t>/</w:t>
      </w:r>
      <w:r>
        <w:t>or services</w:t>
      </w:r>
      <w:r w:rsidR="00ED5779" w:rsidRPr="008B1EF9">
        <w:t>.</w:t>
      </w:r>
      <w:r w:rsidR="00ED5779">
        <w:rPr>
          <w:rStyle w:val="FootnoteReference"/>
        </w:rPr>
        <w:footnoteReference w:id="16"/>
      </w:r>
      <w:r>
        <w:t xml:space="preserve"> </w:t>
      </w:r>
    </w:p>
    <w:p w14:paraId="5E2C690E" w14:textId="6B099F9A" w:rsidR="00ED5779" w:rsidRPr="008B1EF9" w:rsidRDefault="00ED5779" w:rsidP="00ED5779">
      <w:r>
        <w:t xml:space="preserve">Our analysis </w:t>
      </w:r>
      <w:r w:rsidR="00366B70">
        <w:t>highlights</w:t>
      </w:r>
      <w:r>
        <w:t xml:space="preserve"> that</w:t>
      </w:r>
      <w:r w:rsidR="00FF2546">
        <w:t>,</w:t>
      </w:r>
      <w:r>
        <w:t xml:space="preserve"> to be effective, interventions </w:t>
      </w:r>
      <w:r w:rsidR="00FF2546">
        <w:t>must</w:t>
      </w:r>
      <w:r>
        <w:t xml:space="preserve"> address capability and capacity shortfalls across Australia’s industrial base. A significant challenge will be shifting industries that may not currently have the capability, capacity, risk appetite or </w:t>
      </w:r>
      <w:r w:rsidR="00352D4D">
        <w:t>“</w:t>
      </w:r>
      <w:r>
        <w:t>burning platform</w:t>
      </w:r>
      <w:r w:rsidR="00352D4D">
        <w:t>”</w:t>
      </w:r>
      <w:r>
        <w:t xml:space="preserve"> to undertake transformative innovation and collaboration</w:t>
      </w:r>
      <w:r w:rsidR="00366B70">
        <w:t>.</w:t>
      </w:r>
      <w:r>
        <w:t xml:space="preserve"> </w:t>
      </w:r>
      <w:r w:rsidR="00366B70">
        <w:t xml:space="preserve">This is </w:t>
      </w:r>
      <w:r>
        <w:t xml:space="preserve">due to the nature of </w:t>
      </w:r>
      <w:r w:rsidR="009E3F8A">
        <w:t xml:space="preserve">our </w:t>
      </w:r>
      <w:r>
        <w:t>industry structure and market dynamics</w:t>
      </w:r>
      <w:r w:rsidR="00DC1AD6">
        <w:t xml:space="preserve"> that impact</w:t>
      </w:r>
      <w:r>
        <w:t xml:space="preserve"> business and management strategy.    </w:t>
      </w:r>
    </w:p>
    <w:p w14:paraId="68C71ED1" w14:textId="7189E1BE" w:rsidR="00ED5779" w:rsidRPr="00F17E2C" w:rsidRDefault="00ED5779" w:rsidP="00ED5779">
      <w:pPr>
        <w:pStyle w:val="Quote"/>
      </w:pPr>
      <w:r w:rsidRPr="00F17E2C">
        <w:t xml:space="preserve">Despite the need to innovate (commercialise and collaborate) to address low competitiveness, representative elements of the Australian economy we studied do not demonstrate the required levels of innovation, </w:t>
      </w:r>
      <w:proofErr w:type="gramStart"/>
      <w:r w:rsidRPr="00F17E2C">
        <w:t>commercialisation</w:t>
      </w:r>
      <w:proofErr w:type="gramEnd"/>
      <w:r w:rsidRPr="00F17E2C">
        <w:t xml:space="preserve"> or collaboration activity to transform.</w:t>
      </w:r>
    </w:p>
    <w:p w14:paraId="39F624DF" w14:textId="7085ADE2" w:rsidR="00ED5779" w:rsidRDefault="00ED5779">
      <w:pPr>
        <w:rPr>
          <w:rFonts w:ascii="Calibri" w:eastAsia="Calibri" w:hAnsi="Calibri" w:cs="Times New Roman"/>
        </w:rPr>
      </w:pPr>
      <w:r>
        <w:rPr>
          <w:rFonts w:ascii="Calibri" w:eastAsia="Calibri" w:hAnsi="Calibri" w:cs="Times New Roman"/>
        </w:rPr>
        <w:br w:type="page"/>
      </w:r>
    </w:p>
    <w:p w14:paraId="63812EDD" w14:textId="6193874A" w:rsidR="00973EB6" w:rsidRPr="007263A0" w:rsidRDefault="00973EB6" w:rsidP="00E40F5A">
      <w:r w:rsidRPr="00973EB6">
        <w:rPr>
          <w:rFonts w:ascii="Calibri" w:eastAsia="Calibri" w:hAnsi="Calibri" w:cs="Arial"/>
        </w:rPr>
        <w:t>Figure</w:t>
      </w:r>
      <w:r w:rsidR="00287E84">
        <w:rPr>
          <w:rFonts w:ascii="Calibri" w:eastAsia="Calibri" w:hAnsi="Calibri" w:cs="Arial"/>
        </w:rPr>
        <w:t>s</w:t>
      </w:r>
      <w:r w:rsidRPr="00973EB6">
        <w:rPr>
          <w:rFonts w:ascii="Calibri" w:eastAsia="Calibri" w:hAnsi="Calibri" w:cs="Arial"/>
        </w:rPr>
        <w:t xml:space="preserve"> </w:t>
      </w:r>
      <w:r w:rsidR="00E219F7">
        <w:rPr>
          <w:rFonts w:ascii="Calibri" w:eastAsia="Calibri" w:hAnsi="Calibri" w:cs="Arial"/>
        </w:rPr>
        <w:t xml:space="preserve">1 </w:t>
      </w:r>
      <w:r w:rsidR="00FF2546">
        <w:rPr>
          <w:rFonts w:ascii="Calibri" w:eastAsia="Calibri" w:hAnsi="Calibri" w:cs="Arial"/>
        </w:rPr>
        <w:t>and</w:t>
      </w:r>
      <w:r w:rsidR="00287E84">
        <w:rPr>
          <w:rFonts w:ascii="Calibri" w:eastAsia="Calibri" w:hAnsi="Calibri" w:cs="Arial"/>
        </w:rPr>
        <w:t xml:space="preserve"> </w:t>
      </w:r>
      <w:r w:rsidR="003C5CB0">
        <w:rPr>
          <w:rFonts w:ascii="Calibri" w:eastAsia="Calibri" w:hAnsi="Calibri" w:cs="Arial"/>
        </w:rPr>
        <w:t xml:space="preserve">2 </w:t>
      </w:r>
      <w:r w:rsidR="00287E84">
        <w:rPr>
          <w:rFonts w:ascii="Calibri" w:eastAsia="Calibri" w:hAnsi="Calibri" w:cs="Arial"/>
        </w:rPr>
        <w:t>below</w:t>
      </w:r>
      <w:r w:rsidRPr="00973EB6">
        <w:rPr>
          <w:rFonts w:ascii="Calibri" w:eastAsia="Calibri" w:hAnsi="Calibri" w:cs="Arial"/>
        </w:rPr>
        <w:t xml:space="preserve"> </w:t>
      </w:r>
      <w:r w:rsidR="005445B5">
        <w:rPr>
          <w:rFonts w:ascii="Calibri" w:eastAsia="Calibri" w:hAnsi="Calibri" w:cs="Arial"/>
        </w:rPr>
        <w:t xml:space="preserve">(and </w:t>
      </w:r>
      <w:hyperlink w:anchor="_Appendix_3._Revealed" w:history="1">
        <w:r w:rsidR="005445B5" w:rsidRPr="00180098">
          <w:rPr>
            <w:rStyle w:val="Hyperlink"/>
            <w:rFonts w:ascii="Calibri" w:eastAsia="Calibri" w:hAnsi="Calibri" w:cs="Arial"/>
            <w:b/>
            <w:bCs/>
          </w:rPr>
          <w:t>Appendix 3</w:t>
        </w:r>
        <w:r w:rsidR="00180098" w:rsidRPr="00180098">
          <w:rPr>
            <w:rStyle w:val="Hyperlink"/>
            <w:rFonts w:ascii="Calibri" w:eastAsia="Calibri" w:hAnsi="Calibri" w:cs="Arial"/>
            <w:b/>
            <w:bCs/>
          </w:rPr>
          <w:t>: Revealed Comparative Advantage – top 20 competitive subsectors, 2021</w:t>
        </w:r>
      </w:hyperlink>
      <w:r w:rsidR="005445B5">
        <w:rPr>
          <w:rFonts w:ascii="Calibri" w:eastAsia="Calibri" w:hAnsi="Calibri" w:cs="Arial"/>
        </w:rPr>
        <w:t xml:space="preserve">) </w:t>
      </w:r>
      <w:r w:rsidRPr="00973EB6">
        <w:rPr>
          <w:rFonts w:ascii="Calibri" w:eastAsia="Calibri" w:hAnsi="Calibri" w:cs="Arial"/>
        </w:rPr>
        <w:t>illustrate the contrasting profiles of economies with low</w:t>
      </w:r>
      <w:r w:rsidR="00BF05AD">
        <w:rPr>
          <w:rFonts w:ascii="Calibri" w:eastAsia="Calibri" w:hAnsi="Calibri" w:cs="Arial"/>
        </w:rPr>
        <w:t xml:space="preserve"> and </w:t>
      </w:r>
      <w:r w:rsidRPr="00973EB6">
        <w:rPr>
          <w:rFonts w:ascii="Calibri" w:eastAsia="Calibri" w:hAnsi="Calibri" w:cs="Arial"/>
        </w:rPr>
        <w:t xml:space="preserve">high complexity. </w:t>
      </w:r>
    </w:p>
    <w:p w14:paraId="2E990029" w14:textId="47549934" w:rsidR="00F946B6" w:rsidRPr="00D31F27" w:rsidRDefault="00F946B6" w:rsidP="00F946B6">
      <w:pPr>
        <w:pStyle w:val="Caption"/>
        <w:keepNext/>
        <w:rPr>
          <w:b/>
          <w:bCs/>
          <w:i w:val="0"/>
          <w:iCs w:val="0"/>
          <w:color w:val="auto"/>
        </w:rPr>
      </w:pPr>
      <w:r w:rsidRPr="00D31F27">
        <w:rPr>
          <w:b/>
          <w:bCs/>
          <w:i w:val="0"/>
          <w:iCs w:val="0"/>
          <w:color w:val="auto"/>
        </w:rPr>
        <w:t xml:space="preserve">Figure </w:t>
      </w:r>
      <w:r w:rsidRPr="00D31F27">
        <w:rPr>
          <w:b/>
          <w:bCs/>
          <w:i w:val="0"/>
          <w:iCs w:val="0"/>
          <w:color w:val="auto"/>
        </w:rPr>
        <w:fldChar w:fldCharType="begin"/>
      </w:r>
      <w:r w:rsidRPr="00D31F27">
        <w:rPr>
          <w:b/>
          <w:bCs/>
          <w:i w:val="0"/>
          <w:iCs w:val="0"/>
          <w:color w:val="auto"/>
        </w:rPr>
        <w:instrText>SEQ Figure \* ARABIC</w:instrText>
      </w:r>
      <w:r w:rsidRPr="00D31F27">
        <w:rPr>
          <w:b/>
          <w:bCs/>
          <w:i w:val="0"/>
          <w:iCs w:val="0"/>
          <w:color w:val="auto"/>
        </w:rPr>
        <w:fldChar w:fldCharType="separate"/>
      </w:r>
      <w:r w:rsidR="00F6694F">
        <w:rPr>
          <w:b/>
          <w:bCs/>
          <w:i w:val="0"/>
          <w:iCs w:val="0"/>
          <w:noProof/>
          <w:color w:val="auto"/>
        </w:rPr>
        <w:t>1</w:t>
      </w:r>
      <w:r w:rsidRPr="00D31F27">
        <w:rPr>
          <w:b/>
          <w:bCs/>
          <w:i w:val="0"/>
          <w:iCs w:val="0"/>
          <w:color w:val="auto"/>
        </w:rPr>
        <w:fldChar w:fldCharType="end"/>
      </w:r>
      <w:r w:rsidR="005445B5" w:rsidRPr="00D31F27">
        <w:rPr>
          <w:b/>
          <w:bCs/>
          <w:i w:val="0"/>
          <w:iCs w:val="0"/>
          <w:color w:val="auto"/>
        </w:rPr>
        <w:t>: Australia’s export complexity in 2023 (</w:t>
      </w:r>
      <w:r w:rsidR="005C7185" w:rsidRPr="005C7185">
        <w:rPr>
          <w:b/>
          <w:bCs/>
          <w:i w:val="0"/>
          <w:iCs w:val="0"/>
          <w:color w:val="auto"/>
        </w:rPr>
        <w:t>Economic Complexity Index (</w:t>
      </w:r>
      <w:r w:rsidR="005445B5" w:rsidRPr="00D31F27">
        <w:rPr>
          <w:b/>
          <w:bCs/>
          <w:i w:val="0"/>
          <w:iCs w:val="0"/>
          <w:color w:val="auto"/>
        </w:rPr>
        <w:t>ECI</w:t>
      </w:r>
      <w:r w:rsidR="005C7185">
        <w:rPr>
          <w:b/>
          <w:bCs/>
          <w:i w:val="0"/>
          <w:iCs w:val="0"/>
          <w:color w:val="auto"/>
        </w:rPr>
        <w:t>)</w:t>
      </w:r>
      <w:r w:rsidR="005445B5" w:rsidRPr="00D31F27">
        <w:rPr>
          <w:b/>
          <w:bCs/>
          <w:i w:val="0"/>
          <w:iCs w:val="0"/>
          <w:color w:val="auto"/>
        </w:rPr>
        <w:t xml:space="preserve"> Ranking </w:t>
      </w:r>
      <w:r w:rsidR="00FF2546">
        <w:rPr>
          <w:b/>
          <w:bCs/>
          <w:i w:val="0"/>
          <w:iCs w:val="0"/>
          <w:color w:val="auto"/>
        </w:rPr>
        <w:t xml:space="preserve">= </w:t>
      </w:r>
      <w:r w:rsidR="005445B5" w:rsidRPr="00D31F27">
        <w:rPr>
          <w:b/>
          <w:bCs/>
          <w:i w:val="0"/>
          <w:iCs w:val="0"/>
          <w:color w:val="auto"/>
        </w:rPr>
        <w:t>93rd of 133)</w:t>
      </w:r>
      <w:r w:rsidR="00933C6D">
        <w:rPr>
          <w:b/>
          <w:bCs/>
          <w:i w:val="0"/>
          <w:iCs w:val="0"/>
          <w:color w:val="auto"/>
        </w:rPr>
        <w:t xml:space="preserve">. </w:t>
      </w:r>
      <w:r w:rsidR="00CD04F8" w:rsidRPr="00C073C8">
        <w:rPr>
          <w:b/>
          <w:bCs/>
          <w:i w:val="0"/>
          <w:iCs w:val="0"/>
          <w:color w:val="auto"/>
        </w:rPr>
        <w:t>Refer to Appendix 6: Additional data tables for the</w:t>
      </w:r>
      <w:r w:rsidR="00CD04F8" w:rsidRPr="00C073C8">
        <w:rPr>
          <w:b/>
          <w:bCs/>
          <w:color w:val="auto"/>
        </w:rPr>
        <w:t xml:space="preserve"> </w:t>
      </w:r>
      <w:hyperlink w:anchor="_Figure_1_data" w:history="1">
        <w:r w:rsidR="00292EFB" w:rsidRPr="00933C6D">
          <w:rPr>
            <w:rStyle w:val="Hyperlink"/>
            <w:b/>
            <w:bCs/>
            <w:i w:val="0"/>
            <w:iCs w:val="0"/>
          </w:rPr>
          <w:t>d</w:t>
        </w:r>
        <w:r w:rsidR="00933C6D" w:rsidRPr="00933C6D">
          <w:rPr>
            <w:rStyle w:val="Hyperlink"/>
            <w:b/>
            <w:bCs/>
            <w:i w:val="0"/>
            <w:iCs w:val="0"/>
          </w:rPr>
          <w:t>ata table for figure 1</w:t>
        </w:r>
      </w:hyperlink>
      <w:r w:rsidR="00CA225A">
        <w:rPr>
          <w:rStyle w:val="Hyperlink"/>
          <w:b/>
          <w:bCs/>
          <w:i w:val="0"/>
          <w:iCs w:val="0"/>
        </w:rPr>
        <w:t>.</w:t>
      </w:r>
    </w:p>
    <w:p w14:paraId="1AE9BF76" w14:textId="6083DA89" w:rsidR="000E0EF4" w:rsidRDefault="00287E84" w:rsidP="00E40F5A">
      <w:r w:rsidRPr="00A83633">
        <w:rPr>
          <w:rFonts w:ascii="Calibri" w:eastAsia="Calibri" w:hAnsi="Calibri" w:cs="Times New Roman"/>
          <w:noProof/>
          <w:color w:val="2B579A"/>
          <w:shd w:val="clear" w:color="auto" w:fill="E6E6E6"/>
        </w:rPr>
        <w:drawing>
          <wp:inline distT="0" distB="0" distL="0" distR="0" wp14:anchorId="37AE7351" wp14:editId="23246C90">
            <wp:extent cx="5731510" cy="3541395"/>
            <wp:effectExtent l="0" t="0" r="2540" b="1905"/>
            <wp:docPr id="20" name="Picture 20" descr="Tree map of Australia's export complexity in 2023, showing that Australia's export complexity is low with its top three exports being iron ores and concentrates, coal, and petroleum g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ree map of Australia's export complexity in 2023, showing that Australia's export complexity is low with its top three exports being iron ores and concentrates, coal, and petroleum gases."/>
                    <pic:cNvPicPr/>
                  </pic:nvPicPr>
                  <pic:blipFill>
                    <a:blip r:embed="rId23"/>
                    <a:stretch>
                      <a:fillRect/>
                    </a:stretch>
                  </pic:blipFill>
                  <pic:spPr>
                    <a:xfrm>
                      <a:off x="0" y="0"/>
                      <a:ext cx="5731510" cy="3541395"/>
                    </a:xfrm>
                    <a:prstGeom prst="rect">
                      <a:avLst/>
                    </a:prstGeom>
                  </pic:spPr>
                </pic:pic>
              </a:graphicData>
            </a:graphic>
          </wp:inline>
        </w:drawing>
      </w:r>
    </w:p>
    <w:p w14:paraId="32AFDAC3" w14:textId="3E6F68EF" w:rsidR="005445B5" w:rsidRPr="005F1D58" w:rsidRDefault="005445B5" w:rsidP="000E0EF4">
      <w:pPr>
        <w:pStyle w:val="Caption"/>
        <w:keepNext/>
        <w:rPr>
          <w:b/>
          <w:bCs/>
          <w:i w:val="0"/>
          <w:iCs w:val="0"/>
          <w:color w:val="auto"/>
        </w:rPr>
      </w:pPr>
      <w:r w:rsidRPr="005F1D58">
        <w:rPr>
          <w:b/>
          <w:bCs/>
          <w:i w:val="0"/>
          <w:iCs w:val="0"/>
          <w:color w:val="auto"/>
        </w:rPr>
        <w:t xml:space="preserve">Figure </w:t>
      </w:r>
      <w:r w:rsidRPr="005F1D58">
        <w:rPr>
          <w:b/>
          <w:bCs/>
          <w:i w:val="0"/>
          <w:iCs w:val="0"/>
          <w:color w:val="auto"/>
        </w:rPr>
        <w:fldChar w:fldCharType="begin"/>
      </w:r>
      <w:r w:rsidRPr="005F1D58">
        <w:rPr>
          <w:b/>
          <w:bCs/>
          <w:i w:val="0"/>
          <w:iCs w:val="0"/>
          <w:color w:val="auto"/>
        </w:rPr>
        <w:instrText>SEQ Figure \* ARABIC</w:instrText>
      </w:r>
      <w:r w:rsidRPr="005F1D58">
        <w:rPr>
          <w:b/>
          <w:bCs/>
          <w:i w:val="0"/>
          <w:iCs w:val="0"/>
          <w:color w:val="auto"/>
        </w:rPr>
        <w:fldChar w:fldCharType="separate"/>
      </w:r>
      <w:r w:rsidR="00F6694F">
        <w:rPr>
          <w:b/>
          <w:bCs/>
          <w:i w:val="0"/>
          <w:iCs w:val="0"/>
          <w:noProof/>
          <w:color w:val="auto"/>
        </w:rPr>
        <w:t>2</w:t>
      </w:r>
      <w:r w:rsidRPr="005F1D58">
        <w:rPr>
          <w:b/>
          <w:bCs/>
          <w:i w:val="0"/>
          <w:iCs w:val="0"/>
          <w:color w:val="auto"/>
        </w:rPr>
        <w:fldChar w:fldCharType="end"/>
      </w:r>
      <w:r w:rsidR="00F97D9E" w:rsidRPr="005F1D58">
        <w:rPr>
          <w:b/>
          <w:bCs/>
          <w:i w:val="0"/>
          <w:iCs w:val="0"/>
          <w:color w:val="auto"/>
        </w:rPr>
        <w:t xml:space="preserve"> Germany’s export complexity in 2023 (ECI Ranking = 4th of 133)</w:t>
      </w:r>
      <w:r w:rsidR="00933C6D">
        <w:rPr>
          <w:b/>
          <w:bCs/>
          <w:i w:val="0"/>
          <w:iCs w:val="0"/>
          <w:color w:val="auto"/>
        </w:rPr>
        <w:t xml:space="preserve">. </w:t>
      </w:r>
      <w:r w:rsidR="0010775B" w:rsidRPr="00C073C8">
        <w:rPr>
          <w:b/>
          <w:bCs/>
          <w:i w:val="0"/>
          <w:iCs w:val="0"/>
          <w:color w:val="auto"/>
        </w:rPr>
        <w:t>Refer to Appendix 6: Additional data tables for the</w:t>
      </w:r>
      <w:r w:rsidR="0010775B" w:rsidRPr="00C073C8">
        <w:rPr>
          <w:b/>
          <w:bCs/>
          <w:color w:val="auto"/>
        </w:rPr>
        <w:t xml:space="preserve"> </w:t>
      </w:r>
      <w:hyperlink w:anchor="_Figure_2_data" w:history="1">
        <w:r w:rsidR="0010775B" w:rsidRPr="00933C6D">
          <w:rPr>
            <w:rStyle w:val="Hyperlink"/>
            <w:b/>
            <w:bCs/>
            <w:i w:val="0"/>
            <w:iCs w:val="0"/>
          </w:rPr>
          <w:t>d</w:t>
        </w:r>
        <w:r w:rsidR="00933C6D" w:rsidRPr="00933C6D">
          <w:rPr>
            <w:rStyle w:val="Hyperlink"/>
            <w:b/>
            <w:bCs/>
            <w:i w:val="0"/>
            <w:iCs w:val="0"/>
          </w:rPr>
          <w:t>ata table for figure 2</w:t>
        </w:r>
      </w:hyperlink>
      <w:r w:rsidR="0010775B">
        <w:rPr>
          <w:rStyle w:val="Hyperlink"/>
          <w:b/>
          <w:bCs/>
          <w:i w:val="0"/>
          <w:iCs w:val="0"/>
        </w:rPr>
        <w:t>.</w:t>
      </w:r>
    </w:p>
    <w:p w14:paraId="240B18D8" w14:textId="763C3C7B" w:rsidR="00973EB6" w:rsidRDefault="00287E84" w:rsidP="00E40F5A">
      <w:pPr>
        <w:rPr>
          <w:rFonts w:ascii="Calibri" w:eastAsia="Calibri" w:hAnsi="Calibri" w:cs="Arial"/>
        </w:rPr>
      </w:pPr>
      <w:r w:rsidRPr="00A83633">
        <w:rPr>
          <w:rFonts w:ascii="Calibri" w:eastAsia="Calibri" w:hAnsi="Calibri" w:cs="Times New Roman"/>
          <w:noProof/>
          <w:color w:val="2B579A"/>
          <w:shd w:val="clear" w:color="auto" w:fill="E6E6E6"/>
        </w:rPr>
        <w:drawing>
          <wp:inline distT="0" distB="0" distL="0" distR="0" wp14:anchorId="02A73F69" wp14:editId="60A7C699">
            <wp:extent cx="5731510" cy="3555365"/>
            <wp:effectExtent l="0" t="0" r="2540" b="6985"/>
            <wp:docPr id="21" name="Picture 21" descr="Tree map of Germany's export complexity in 2023, showing that Germany's export complexity is high, with its top three exports being ICT, cars and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ree map of Germany's export complexity in 2023, showing that Germany's export complexity is high, with its top three exports being ICT, cars and transport."/>
                    <pic:cNvPicPr/>
                  </pic:nvPicPr>
                  <pic:blipFill>
                    <a:blip r:embed="rId24"/>
                    <a:stretch>
                      <a:fillRect/>
                    </a:stretch>
                  </pic:blipFill>
                  <pic:spPr>
                    <a:xfrm>
                      <a:off x="0" y="0"/>
                      <a:ext cx="5731510" cy="3555365"/>
                    </a:xfrm>
                    <a:prstGeom prst="rect">
                      <a:avLst/>
                    </a:prstGeom>
                  </pic:spPr>
                </pic:pic>
              </a:graphicData>
            </a:graphic>
          </wp:inline>
        </w:drawing>
      </w:r>
    </w:p>
    <w:p w14:paraId="3BCF848D" w14:textId="5B9F3296" w:rsidR="00FF1CC0" w:rsidRDefault="00FF1CC0">
      <w:pPr>
        <w:rPr>
          <w:rFonts w:ascii="Calibri" w:eastAsia="Calibri" w:hAnsi="Calibri" w:cs="Times New Roman"/>
        </w:rPr>
      </w:pPr>
      <w:bookmarkStart w:id="32" w:name="_Hlk144716026"/>
      <w:r>
        <w:rPr>
          <w:rFonts w:ascii="Calibri" w:eastAsia="Calibri" w:hAnsi="Calibri" w:cs="Times New Roman"/>
        </w:rPr>
        <w:br w:type="page"/>
      </w:r>
    </w:p>
    <w:p w14:paraId="32945A5D" w14:textId="391FB314" w:rsidR="00ED5779" w:rsidRPr="00F132D3" w:rsidRDefault="00ED5779" w:rsidP="00F6694F">
      <w:pPr>
        <w:pStyle w:val="Heading3"/>
      </w:pPr>
      <w:bookmarkStart w:id="33" w:name="_Toc429346325"/>
      <w:bookmarkStart w:id="34" w:name="_Toc145000208"/>
      <w:bookmarkStart w:id="35" w:name="_Toc152165418"/>
      <w:r w:rsidRPr="00F132D3">
        <w:t>Impact of market dynamics on business strategy, risk appetite and pursuit of new</w:t>
      </w:r>
      <w:r w:rsidR="00DF7465">
        <w:t>-</w:t>
      </w:r>
      <w:r w:rsidRPr="00F132D3">
        <w:t>to</w:t>
      </w:r>
      <w:r w:rsidR="00DF7465">
        <w:t>-</w:t>
      </w:r>
      <w:r w:rsidRPr="00F132D3">
        <w:t>market innovation</w:t>
      </w:r>
      <w:bookmarkEnd w:id="33"/>
      <w:bookmarkEnd w:id="34"/>
      <w:bookmarkEnd w:id="35"/>
    </w:p>
    <w:p w14:paraId="085967B1" w14:textId="5BCF2563" w:rsidR="00376130" w:rsidRDefault="00D93125" w:rsidP="00FF1CC0">
      <w:pPr>
        <w:spacing w:before="120" w:line="240" w:lineRule="auto"/>
        <w:rPr>
          <w:rFonts w:ascii="Calibri" w:eastAsia="Calibri" w:hAnsi="Calibri" w:cs="Times New Roman"/>
        </w:rPr>
      </w:pPr>
      <w:r>
        <w:rPr>
          <w:rFonts w:ascii="Calibri" w:eastAsia="Calibri" w:hAnsi="Calibri" w:cs="Times New Roman"/>
        </w:rPr>
        <w:t xml:space="preserve">Our </w:t>
      </w:r>
      <w:r w:rsidR="00A83633" w:rsidRPr="00A83633">
        <w:rPr>
          <w:rFonts w:ascii="Calibri" w:eastAsia="Calibri" w:hAnsi="Calibri" w:cs="Times New Roman"/>
        </w:rPr>
        <w:t>Revealed Comparative Advantage analysis indicates that many subsectors or products that fall within priority areas of the economy have low international competitiveness</w:t>
      </w:r>
      <w:r w:rsidR="00DF7465">
        <w:rPr>
          <w:rFonts w:ascii="Calibri" w:eastAsia="Calibri" w:hAnsi="Calibri" w:cs="Times New Roman"/>
        </w:rPr>
        <w:t>. M</w:t>
      </w:r>
      <w:r w:rsidR="00A83633" w:rsidRPr="00A83633">
        <w:rPr>
          <w:rFonts w:ascii="Calibri" w:eastAsia="Calibri" w:hAnsi="Calibri" w:cs="Times New Roman"/>
        </w:rPr>
        <w:t>any fac</w:t>
      </w:r>
      <w:r w:rsidR="00DF7465">
        <w:rPr>
          <w:rFonts w:ascii="Calibri" w:eastAsia="Calibri" w:hAnsi="Calibri" w:cs="Times New Roman"/>
        </w:rPr>
        <w:t>e</w:t>
      </w:r>
      <w:r w:rsidR="00A83633" w:rsidRPr="00A83633">
        <w:rPr>
          <w:rFonts w:ascii="Calibri" w:eastAsia="Calibri" w:hAnsi="Calibri" w:cs="Times New Roman"/>
        </w:rPr>
        <w:t xml:space="preserve"> high import penetration and others </w:t>
      </w:r>
      <w:r w:rsidR="00DF7465">
        <w:rPr>
          <w:rFonts w:ascii="Calibri" w:eastAsia="Calibri" w:hAnsi="Calibri" w:cs="Times New Roman"/>
        </w:rPr>
        <w:t xml:space="preserve">focus on servicing </w:t>
      </w:r>
      <w:r w:rsidR="00A83633" w:rsidRPr="00A83633">
        <w:rPr>
          <w:rFonts w:ascii="Calibri" w:eastAsia="Calibri" w:hAnsi="Calibri" w:cs="Times New Roman"/>
        </w:rPr>
        <w:t xml:space="preserve">Australia’s small domestic market.  </w:t>
      </w:r>
    </w:p>
    <w:p w14:paraId="6F7AC753" w14:textId="7657E251" w:rsidR="00A83633" w:rsidRDefault="00A83633" w:rsidP="00A83633">
      <w:pPr>
        <w:rPr>
          <w:rFonts w:ascii="Calibri" w:eastAsia="Calibri" w:hAnsi="Calibri" w:cs="Times New Roman"/>
        </w:rPr>
      </w:pPr>
      <w:r w:rsidRPr="00A83633">
        <w:rPr>
          <w:rFonts w:ascii="Calibri" w:eastAsia="Calibri" w:hAnsi="Calibri" w:cs="Times New Roman"/>
        </w:rPr>
        <w:t>Businesses that Australia needs to innovate the most</w:t>
      </w:r>
      <w:r w:rsidR="00376130">
        <w:rPr>
          <w:rFonts w:ascii="Calibri" w:eastAsia="Calibri" w:hAnsi="Calibri" w:cs="Times New Roman"/>
        </w:rPr>
        <w:t>,</w:t>
      </w:r>
      <w:r w:rsidRPr="00A83633">
        <w:rPr>
          <w:rFonts w:ascii="Calibri" w:eastAsia="Calibri" w:hAnsi="Calibri" w:cs="Times New Roman"/>
        </w:rPr>
        <w:t xml:space="preserve"> </w:t>
      </w:r>
      <w:r w:rsidR="00376130">
        <w:rPr>
          <w:rFonts w:ascii="Calibri" w:eastAsia="Calibri" w:hAnsi="Calibri" w:cs="Times New Roman"/>
        </w:rPr>
        <w:t>thereby</w:t>
      </w:r>
      <w:r w:rsidR="00376130" w:rsidRPr="00A83633">
        <w:rPr>
          <w:rFonts w:ascii="Calibri" w:eastAsia="Calibri" w:hAnsi="Calibri" w:cs="Times New Roman"/>
        </w:rPr>
        <w:t xml:space="preserve"> </w:t>
      </w:r>
      <w:r w:rsidRPr="00A83633">
        <w:rPr>
          <w:rFonts w:ascii="Calibri" w:eastAsia="Calibri" w:hAnsi="Calibri" w:cs="Times New Roman"/>
        </w:rPr>
        <w:t>driv</w:t>
      </w:r>
      <w:r w:rsidR="00376130">
        <w:rPr>
          <w:rFonts w:ascii="Calibri" w:eastAsia="Calibri" w:hAnsi="Calibri" w:cs="Times New Roman"/>
        </w:rPr>
        <w:t>ing</w:t>
      </w:r>
      <w:r w:rsidRPr="00A83633">
        <w:rPr>
          <w:rFonts w:ascii="Calibri" w:eastAsia="Calibri" w:hAnsi="Calibri" w:cs="Times New Roman"/>
        </w:rPr>
        <w:t xml:space="preserve"> industrial transformation</w:t>
      </w:r>
      <w:r w:rsidR="00376130">
        <w:rPr>
          <w:rFonts w:ascii="Calibri" w:eastAsia="Calibri" w:hAnsi="Calibri" w:cs="Times New Roman"/>
        </w:rPr>
        <w:t>,</w:t>
      </w:r>
      <w:r w:rsidRPr="00A83633">
        <w:rPr>
          <w:rFonts w:ascii="Calibri" w:eastAsia="Calibri" w:hAnsi="Calibri" w:cs="Times New Roman"/>
        </w:rPr>
        <w:t xml:space="preserve"> may lack the need </w:t>
      </w:r>
      <w:r w:rsidR="00590776">
        <w:rPr>
          <w:rFonts w:ascii="Calibri" w:eastAsia="Calibri" w:hAnsi="Calibri" w:cs="Times New Roman"/>
        </w:rPr>
        <w:t xml:space="preserve">or incentive </w:t>
      </w:r>
      <w:r w:rsidRPr="00A83633">
        <w:rPr>
          <w:rFonts w:ascii="Calibri" w:eastAsia="Calibri" w:hAnsi="Calibri" w:cs="Times New Roman"/>
        </w:rPr>
        <w:t>to actively pursue and execute new</w:t>
      </w:r>
      <w:r w:rsidR="00DF7465">
        <w:rPr>
          <w:rFonts w:ascii="Calibri" w:eastAsia="Calibri" w:hAnsi="Calibri" w:cs="Times New Roman"/>
        </w:rPr>
        <w:t>-</w:t>
      </w:r>
      <w:r w:rsidRPr="00A83633">
        <w:rPr>
          <w:rFonts w:ascii="Calibri" w:eastAsia="Calibri" w:hAnsi="Calibri" w:cs="Times New Roman"/>
        </w:rPr>
        <w:t>to</w:t>
      </w:r>
      <w:r w:rsidR="00DF7465">
        <w:rPr>
          <w:rFonts w:ascii="Calibri" w:eastAsia="Calibri" w:hAnsi="Calibri" w:cs="Times New Roman"/>
        </w:rPr>
        <w:t>-</w:t>
      </w:r>
      <w:r w:rsidRPr="00A83633">
        <w:rPr>
          <w:rFonts w:ascii="Calibri" w:eastAsia="Calibri" w:hAnsi="Calibri" w:cs="Times New Roman"/>
        </w:rPr>
        <w:t>market or disruptive innovations</w:t>
      </w:r>
      <w:r w:rsidR="00376130">
        <w:rPr>
          <w:rFonts w:ascii="Calibri" w:eastAsia="Calibri" w:hAnsi="Calibri" w:cs="Times New Roman"/>
        </w:rPr>
        <w:t>.</w:t>
      </w:r>
    </w:p>
    <w:p w14:paraId="7464F620" w14:textId="54F9A175" w:rsidR="00607148" w:rsidRPr="00607148" w:rsidRDefault="00607148" w:rsidP="00180A3D">
      <w:pPr>
        <w:pBdr>
          <w:top w:val="single" w:sz="8" w:space="10" w:color="auto"/>
          <w:left w:val="single" w:sz="8" w:space="4" w:color="auto"/>
          <w:bottom w:val="single" w:sz="8" w:space="10" w:color="auto"/>
          <w:right w:val="single" w:sz="8" w:space="4" w:color="auto"/>
        </w:pBdr>
        <w:shd w:val="clear" w:color="auto" w:fill="C9F0FF" w:themeFill="background2" w:themeFillTint="33"/>
        <w:rPr>
          <w:rFonts w:ascii="Calibri" w:eastAsia="Calibri" w:hAnsi="Calibri" w:cs="Times New Roman"/>
        </w:rPr>
      </w:pPr>
      <w:r w:rsidRPr="00607148">
        <w:rPr>
          <w:rFonts w:ascii="Calibri" w:eastAsia="Calibri" w:hAnsi="Calibri" w:cs="Times New Roman"/>
        </w:rPr>
        <w:t xml:space="preserve">Revealed Comparative Advantage (RCA) is an index calculated using exports. It is widely used to measure the competitiveness of industries. It provides a measure of the relative specialisation of a country’s export activities in an industry. RCA is the proportion of a country’s exports in that industry divided by the proportion of world exports in that industry. If the </w:t>
      </w:r>
      <w:r w:rsidRPr="00607148">
        <w:rPr>
          <w:rFonts w:ascii="Calibri" w:eastAsia="Calibri" w:hAnsi="Calibri" w:cs="Times New Roman"/>
          <w:b/>
          <w:bCs/>
          <w:i/>
          <w:iCs/>
        </w:rPr>
        <w:t>RCA is greater than one, a comparative advantage is “revealed”</w:t>
      </w:r>
      <w:r w:rsidRPr="00607148">
        <w:rPr>
          <w:rFonts w:ascii="Calibri" w:eastAsia="Calibri" w:hAnsi="Calibri" w:cs="Times New Roman"/>
        </w:rPr>
        <w:t xml:space="preserve">. If the </w:t>
      </w:r>
      <w:r w:rsidRPr="00607148">
        <w:rPr>
          <w:rFonts w:ascii="Calibri" w:eastAsia="Calibri" w:hAnsi="Calibri" w:cs="Times New Roman"/>
          <w:b/>
          <w:bCs/>
          <w:i/>
          <w:iCs/>
        </w:rPr>
        <w:t>RCA is less than one, the country has a comparative disadvantage in that industry</w:t>
      </w:r>
      <w:r w:rsidRPr="00607148">
        <w:rPr>
          <w:rFonts w:ascii="Calibri" w:eastAsia="Calibri" w:hAnsi="Calibri" w:cs="Times New Roman"/>
          <w:i/>
          <w:iCs/>
        </w:rPr>
        <w:t>.</w:t>
      </w:r>
    </w:p>
    <w:p w14:paraId="60431D03" w14:textId="7DBCB1CB" w:rsidR="00607148" w:rsidRPr="00607148" w:rsidRDefault="00607148" w:rsidP="00180A3D">
      <w:pPr>
        <w:pBdr>
          <w:top w:val="single" w:sz="8" w:space="10" w:color="auto"/>
          <w:left w:val="single" w:sz="8" w:space="4" w:color="auto"/>
          <w:bottom w:val="single" w:sz="8" w:space="10" w:color="auto"/>
          <w:right w:val="single" w:sz="8" w:space="4" w:color="auto"/>
        </w:pBdr>
        <w:shd w:val="clear" w:color="auto" w:fill="C9F0FF" w:themeFill="background2" w:themeFillTint="33"/>
        <w:rPr>
          <w:rFonts w:ascii="Calibri" w:eastAsia="Calibri" w:hAnsi="Calibri" w:cs="Times New Roman"/>
        </w:rPr>
      </w:pPr>
      <w:r w:rsidRPr="00607148">
        <w:rPr>
          <w:rFonts w:ascii="Calibri" w:eastAsia="Calibri" w:hAnsi="Calibri" w:cs="Times New Roman"/>
        </w:rPr>
        <w:t xml:space="preserve">Our analysis, illustrated in </w:t>
      </w:r>
      <w:r w:rsidRPr="00607148">
        <w:rPr>
          <w:rFonts w:ascii="Calibri" w:eastAsia="Calibri" w:hAnsi="Calibri" w:cs="Times New Roman"/>
          <w:b/>
          <w:bCs/>
        </w:rPr>
        <w:t>Chart 4</w:t>
      </w:r>
      <w:r w:rsidRPr="00607148">
        <w:rPr>
          <w:rFonts w:ascii="Calibri" w:eastAsia="Calibri" w:hAnsi="Calibri" w:cs="Times New Roman"/>
        </w:rPr>
        <w:t>, overlays import penetration data to highlight market dynamics in each of the four identified quadrants. The discussion of findings that follows illustrates the different market conditions and the likely type of innovation required to achieve industry transformation and diversification for industries in each of the corresponding quadrants.</w:t>
      </w:r>
    </w:p>
    <w:p w14:paraId="249236BD" w14:textId="77777777" w:rsidR="00607148" w:rsidRPr="00A83633" w:rsidRDefault="00607148" w:rsidP="00A83633">
      <w:pPr>
        <w:rPr>
          <w:rFonts w:ascii="Calibri" w:eastAsia="Calibri" w:hAnsi="Calibri" w:cs="Times New Roman"/>
        </w:rPr>
      </w:pPr>
    </w:p>
    <w:bookmarkEnd w:id="32"/>
    <w:p w14:paraId="3BA56A00" w14:textId="77777777" w:rsidR="00CC2A31" w:rsidRDefault="00CC2A31" w:rsidP="00CC2A31">
      <w:pPr>
        <w:sectPr w:rsidR="00CC2A31" w:rsidSect="00176DD6">
          <w:pgSz w:w="11906" w:h="16838"/>
          <w:pgMar w:top="1135" w:right="1440" w:bottom="1440" w:left="1440" w:header="851" w:footer="708" w:gutter="0"/>
          <w:cols w:space="708"/>
          <w:titlePg/>
          <w:docGrid w:linePitch="360"/>
        </w:sectPr>
      </w:pPr>
    </w:p>
    <w:p w14:paraId="0D5C0D41" w14:textId="5CD2901A" w:rsidR="008254B5" w:rsidRPr="00933C6D" w:rsidRDefault="008254B5" w:rsidP="008254B5">
      <w:pPr>
        <w:pStyle w:val="Caption"/>
        <w:rPr>
          <w:b/>
          <w:bCs/>
          <w:i w:val="0"/>
          <w:iCs w:val="0"/>
          <w:noProof/>
          <w:color w:val="auto"/>
        </w:rPr>
      </w:pPr>
      <w:r>
        <w:rPr>
          <w:b/>
          <w:bCs/>
          <w:noProof/>
          <w:color w:val="auto"/>
        </w:rPr>
        <w:t>Chart 4</w:t>
      </w:r>
      <w:r w:rsidRPr="008254B5">
        <w:rPr>
          <w:b/>
          <w:bCs/>
          <w:noProof/>
          <w:color w:val="auto"/>
        </w:rPr>
        <w:t xml:space="preserve"> </w:t>
      </w:r>
      <w:r>
        <w:rPr>
          <w:b/>
          <w:bCs/>
          <w:noProof/>
          <w:color w:val="auto"/>
        </w:rPr>
        <w:t>RCA and import penetration in manufacturing industries linked to government priority areas</w:t>
      </w:r>
      <w:r w:rsidR="00933C6D">
        <w:rPr>
          <w:b/>
          <w:bCs/>
          <w:i w:val="0"/>
          <w:iCs w:val="0"/>
          <w:noProof/>
          <w:color w:val="auto"/>
        </w:rPr>
        <w:t xml:space="preserve">. </w:t>
      </w:r>
      <w:r w:rsidR="00CA225A" w:rsidRPr="00CA225A">
        <w:rPr>
          <w:b/>
          <w:bCs/>
          <w:i w:val="0"/>
          <w:iCs w:val="0"/>
          <w:noProof/>
          <w:color w:val="auto"/>
        </w:rPr>
        <w:t xml:space="preserve">Refer to Appendix 6 for the </w:t>
      </w:r>
      <w:hyperlink w:anchor="_Chart_4_data" w:history="1">
        <w:r w:rsidR="00CA225A" w:rsidRPr="00933C6D">
          <w:rPr>
            <w:rStyle w:val="Hyperlink"/>
            <w:b/>
            <w:bCs/>
            <w:i w:val="0"/>
            <w:iCs w:val="0"/>
            <w:noProof/>
          </w:rPr>
          <w:t>data table for chart 4</w:t>
        </w:r>
      </w:hyperlink>
    </w:p>
    <w:p w14:paraId="185AE9C5" w14:textId="20E85D9D" w:rsidR="00D2799F" w:rsidRPr="00D2799F" w:rsidRDefault="000C75DD" w:rsidP="00242394">
      <w:pPr>
        <w:ind w:left="-1134"/>
        <w:rPr>
          <w:rFonts w:ascii="Calibri" w:eastAsia="Calibri" w:hAnsi="Calibri" w:cs="Times New Roman"/>
        </w:rPr>
      </w:pPr>
      <w:r>
        <w:rPr>
          <w:noProof/>
        </w:rPr>
        <w:drawing>
          <wp:inline distT="0" distB="0" distL="0" distR="0" wp14:anchorId="46221558" wp14:editId="1E57018E">
            <wp:extent cx="10224135" cy="5962650"/>
            <wp:effectExtent l="0" t="0" r="5715" b="0"/>
            <wp:docPr id="5" name="Picture 5" descr="Scatterplot of revealed comparative advantage and import penetration in manufacturing industries linked to Australian Government priority areas, showing that many industries are low on revealed comparative adva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atterplot of revealed comparative advantage and import penetration in manufacturing industries linked to Australian Government priority areas, showing that many industries are low on revealed comparative advantag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4135" cy="5962650"/>
                    </a:xfrm>
                    <a:prstGeom prst="rect">
                      <a:avLst/>
                    </a:prstGeom>
                    <a:noFill/>
                  </pic:spPr>
                </pic:pic>
              </a:graphicData>
            </a:graphic>
          </wp:inline>
        </w:drawing>
      </w:r>
    </w:p>
    <w:p w14:paraId="62C03A61" w14:textId="062E6392" w:rsidR="00D2799F" w:rsidRPr="00D2799F" w:rsidRDefault="00D2799F" w:rsidP="00097924">
      <w:pPr>
        <w:tabs>
          <w:tab w:val="left" w:pos="6263"/>
        </w:tabs>
        <w:rPr>
          <w:rFonts w:ascii="Calibri" w:eastAsia="Calibri" w:hAnsi="Calibri" w:cs="Times New Roman"/>
        </w:rPr>
        <w:sectPr w:rsidR="00D2799F" w:rsidRPr="00D2799F" w:rsidSect="009A086B">
          <w:pgSz w:w="16838" w:h="11906" w:orient="landscape"/>
          <w:pgMar w:top="0" w:right="1135" w:bottom="993" w:left="1440" w:header="851" w:footer="708" w:gutter="0"/>
          <w:cols w:space="708"/>
          <w:titlePg/>
          <w:docGrid w:linePitch="360"/>
        </w:sectPr>
      </w:pPr>
    </w:p>
    <w:p w14:paraId="029ABE06" w14:textId="24721841" w:rsidR="00A979E1" w:rsidRPr="00A979E1" w:rsidRDefault="00CD6ECE" w:rsidP="00BF05AD">
      <w:r>
        <w:rPr>
          <w:b/>
          <w:bCs/>
        </w:rPr>
        <w:t>Chart 4</w:t>
      </w:r>
      <w:r w:rsidR="00A979E1" w:rsidRPr="00A979E1">
        <w:t xml:space="preserve"> illustrates the different market conditions and the likely corresponding innovation required to achieve industry transformation and diversification. It is our view that stable transformation arises by making a strategic choice for economic development based on high value rather than low cost. High-value strategies create and extend markets while low-cost approaches invite commoditisation and insecurity. </w:t>
      </w:r>
      <w:r w:rsidR="009360FF">
        <w:t>Relevant p</w:t>
      </w:r>
      <w:r w:rsidR="00A979E1" w:rsidRPr="00A979E1">
        <w:t>olicy may include nudging businesses to move toward a focus on high-value products in niche and growing markets (</w:t>
      </w:r>
      <w:r w:rsidR="00A979E1" w:rsidRPr="00CE6F6A">
        <w:rPr>
          <w:b/>
          <w:bCs/>
        </w:rPr>
        <w:t>Quadrant II</w:t>
      </w:r>
      <w:r w:rsidR="00A979E1" w:rsidRPr="00A979E1">
        <w:t>)</w:t>
      </w:r>
      <w:r w:rsidR="000A0734">
        <w:t>.</w:t>
      </w:r>
      <w:r w:rsidR="00A979E1" w:rsidRPr="00A979E1">
        <w:t xml:space="preserve"> </w:t>
      </w:r>
    </w:p>
    <w:p w14:paraId="72C0E5D0" w14:textId="1B8E5820" w:rsidR="00E15A8E" w:rsidRPr="00D53494" w:rsidRDefault="00A979E1" w:rsidP="00B72FF2">
      <w:pPr>
        <w:pStyle w:val="ListParagraph"/>
        <w:numPr>
          <w:ilvl w:val="0"/>
          <w:numId w:val="31"/>
        </w:numPr>
        <w:contextualSpacing w:val="0"/>
        <w:rPr>
          <w:b/>
          <w:bCs/>
        </w:rPr>
      </w:pPr>
      <w:r w:rsidRPr="007236ED">
        <w:rPr>
          <w:b/>
          <w:bCs/>
        </w:rPr>
        <w:t>Quadrant I</w:t>
      </w:r>
      <w:r w:rsidRPr="00D53494">
        <w:rPr>
          <w:b/>
          <w:bCs/>
        </w:rPr>
        <w:t xml:space="preserve"> </w:t>
      </w:r>
      <w:r w:rsidR="00574B33" w:rsidRPr="00574B33">
        <w:rPr>
          <w:rFonts w:ascii="Calibri" w:eastAsia="Calibri" w:hAnsi="Calibri" w:cs="Times New Roman"/>
        </w:rPr>
        <w:t>–</w:t>
      </w:r>
      <w:r w:rsidR="00E15A8E" w:rsidRPr="00D53494">
        <w:rPr>
          <w:b/>
          <w:bCs/>
        </w:rPr>
        <w:t xml:space="preserve"> includes</w:t>
      </w:r>
      <w:r w:rsidRPr="00D53494">
        <w:rPr>
          <w:b/>
          <w:bCs/>
        </w:rPr>
        <w:t xml:space="preserve"> businesses operating in industries that are already competitive</w:t>
      </w:r>
      <w:r w:rsidR="00E15A8E" w:rsidRPr="00D53494">
        <w:rPr>
          <w:b/>
          <w:bCs/>
        </w:rPr>
        <w:t>.</w:t>
      </w:r>
    </w:p>
    <w:p w14:paraId="0578AB0C" w14:textId="6F17430A" w:rsidR="00A979E1" w:rsidRPr="00A979E1" w:rsidRDefault="007236ED" w:rsidP="00B72FF2">
      <w:pPr>
        <w:pStyle w:val="ListParagraph"/>
        <w:numPr>
          <w:ilvl w:val="1"/>
          <w:numId w:val="31"/>
        </w:numPr>
        <w:contextualSpacing w:val="0"/>
      </w:pPr>
      <w:r>
        <w:t>A</w:t>
      </w:r>
      <w:r w:rsidR="00A979E1" w:rsidRPr="00A979E1">
        <w:t>t</w:t>
      </w:r>
      <w:r w:rsidR="009360FF">
        <w:t xml:space="preserve"> a</w:t>
      </w:r>
      <w:r w:rsidR="00A979E1" w:rsidRPr="00A979E1">
        <w:t xml:space="preserve"> minimum, </w:t>
      </w:r>
      <w:r w:rsidR="009360FF">
        <w:t xml:space="preserve">these businesses </w:t>
      </w:r>
      <w:r w:rsidR="00A979E1" w:rsidRPr="00A979E1">
        <w:t>would need to continuously pursue and adopt incremental new</w:t>
      </w:r>
      <w:r w:rsidR="00253DEE">
        <w:t>-</w:t>
      </w:r>
      <w:r w:rsidR="00A979E1" w:rsidRPr="00A979E1">
        <w:t>to</w:t>
      </w:r>
      <w:r w:rsidR="00253DEE">
        <w:t>-</w:t>
      </w:r>
      <w:r w:rsidR="00A979E1" w:rsidRPr="00A979E1">
        <w:t xml:space="preserve">business innovations to maintain their competitiveness. </w:t>
      </w:r>
    </w:p>
    <w:p w14:paraId="0146AE0D" w14:textId="72FB9AF5" w:rsidR="00A979E1" w:rsidRPr="00A979E1" w:rsidRDefault="00A979E1" w:rsidP="00B72FF2">
      <w:pPr>
        <w:pStyle w:val="ListParagraph"/>
        <w:numPr>
          <w:ilvl w:val="2"/>
          <w:numId w:val="31"/>
        </w:numPr>
        <w:contextualSpacing w:val="0"/>
      </w:pPr>
      <w:r w:rsidRPr="00A979E1">
        <w:t xml:space="preserve">Examples of these are food processing manufacturing and wool scouring (both part of </w:t>
      </w:r>
      <w:r w:rsidR="00FE0CEC">
        <w:t xml:space="preserve">the </w:t>
      </w:r>
      <w:r w:rsidRPr="00A979E1">
        <w:t>value-add in agriculture priority area) and primary metal manufacturing such as copper refining which is critical input for renewable technologies (part of the value</w:t>
      </w:r>
      <w:r w:rsidR="00FE0CEC">
        <w:t>-</w:t>
      </w:r>
      <w:r w:rsidRPr="00A979E1">
        <w:t xml:space="preserve">add in resources priority area). </w:t>
      </w:r>
    </w:p>
    <w:p w14:paraId="0F8FE628" w14:textId="7CF25248" w:rsidR="00A979E1" w:rsidRPr="00A979E1" w:rsidRDefault="00A979E1" w:rsidP="00B72FF2">
      <w:pPr>
        <w:pStyle w:val="ListParagraph"/>
        <w:numPr>
          <w:ilvl w:val="2"/>
          <w:numId w:val="31"/>
        </w:numPr>
        <w:contextualSpacing w:val="0"/>
      </w:pPr>
      <w:r w:rsidRPr="00A979E1">
        <w:t xml:space="preserve">In food processing, for instance, incremental innovations such as line extensions, packaging changes, new flavours and other operational improvements could simplify supply chains, enhance </w:t>
      </w:r>
      <w:proofErr w:type="gramStart"/>
      <w:r w:rsidRPr="00A979E1">
        <w:t>sustainability</w:t>
      </w:r>
      <w:proofErr w:type="gramEnd"/>
      <w:r w:rsidRPr="00A979E1">
        <w:t xml:space="preserve"> and reduce costs. In contrast, new</w:t>
      </w:r>
      <w:r w:rsidR="00BB6CEE">
        <w:t>-</w:t>
      </w:r>
      <w:r w:rsidRPr="00A979E1">
        <w:t>to</w:t>
      </w:r>
      <w:r w:rsidR="00BB6CEE">
        <w:t>-</w:t>
      </w:r>
      <w:r w:rsidRPr="00A979E1">
        <w:t>market innovation would involve investment</w:t>
      </w:r>
      <w:r w:rsidR="00FE0CEC">
        <w:t xml:space="preserve"> in disruptive innovations </w:t>
      </w:r>
      <w:r w:rsidRPr="00A979E1">
        <w:t>to address social issues such as hunger and accommodate emerging markets</w:t>
      </w:r>
      <w:r w:rsidR="009360FF">
        <w:t xml:space="preserve">, such as </w:t>
      </w:r>
      <w:r w:rsidRPr="00A979E1">
        <w:t>plant</w:t>
      </w:r>
      <w:r w:rsidR="007236ED">
        <w:noBreakHyphen/>
      </w:r>
      <w:r w:rsidRPr="00A979E1">
        <w:t xml:space="preserve">based meats, insect protein bars, synthetic fat replacers and precision fermented milk </w:t>
      </w:r>
      <w:r w:rsidR="00683DDA" w:rsidRPr="00A979E1">
        <w:t>proteins.</w:t>
      </w:r>
    </w:p>
    <w:p w14:paraId="4952AC48" w14:textId="28D80722" w:rsidR="00E15A8E" w:rsidRPr="00D53494" w:rsidRDefault="00A979E1" w:rsidP="00B72FF2">
      <w:pPr>
        <w:pStyle w:val="ListParagraph"/>
        <w:numPr>
          <w:ilvl w:val="0"/>
          <w:numId w:val="31"/>
        </w:numPr>
        <w:contextualSpacing w:val="0"/>
        <w:rPr>
          <w:b/>
          <w:bCs/>
        </w:rPr>
      </w:pPr>
      <w:bookmarkStart w:id="36" w:name="Quadrant_II_includes_businesses_that_are"/>
      <w:r w:rsidRPr="007236ED">
        <w:rPr>
          <w:b/>
          <w:bCs/>
        </w:rPr>
        <w:t>Quadrant II</w:t>
      </w:r>
      <w:r w:rsidRPr="00D53494">
        <w:rPr>
          <w:b/>
          <w:bCs/>
        </w:rPr>
        <w:t xml:space="preserve"> </w:t>
      </w:r>
      <w:r w:rsidR="00574B33" w:rsidRPr="00574B33">
        <w:rPr>
          <w:rFonts w:ascii="Calibri" w:eastAsia="Calibri" w:hAnsi="Calibri" w:cs="Times New Roman"/>
        </w:rPr>
        <w:t>–</w:t>
      </w:r>
      <w:r w:rsidR="00E15A8E" w:rsidRPr="00D53494">
        <w:rPr>
          <w:b/>
          <w:bCs/>
        </w:rPr>
        <w:t xml:space="preserve"> includes</w:t>
      </w:r>
      <w:r w:rsidRPr="00D53494">
        <w:rPr>
          <w:b/>
          <w:bCs/>
        </w:rPr>
        <w:t xml:space="preserve"> businesses that are highly competitive, specialised in niche markets and fac</w:t>
      </w:r>
      <w:r w:rsidR="00BB6CEE">
        <w:rPr>
          <w:b/>
          <w:bCs/>
        </w:rPr>
        <w:t>ing</w:t>
      </w:r>
      <w:r w:rsidRPr="00D53494">
        <w:rPr>
          <w:b/>
          <w:bCs/>
        </w:rPr>
        <w:t xml:space="preserve"> intense competition.</w:t>
      </w:r>
      <w:bookmarkEnd w:id="36"/>
    </w:p>
    <w:p w14:paraId="1E7D5505" w14:textId="02967999" w:rsidR="00A979E1" w:rsidRPr="00A979E1" w:rsidRDefault="009360FF" w:rsidP="00B72FF2">
      <w:pPr>
        <w:pStyle w:val="ListParagraph"/>
        <w:numPr>
          <w:ilvl w:val="1"/>
          <w:numId w:val="31"/>
        </w:numPr>
        <w:contextualSpacing w:val="0"/>
      </w:pPr>
      <w:r>
        <w:t>A</w:t>
      </w:r>
      <w:r w:rsidR="00A979E1" w:rsidRPr="00A979E1">
        <w:t xml:space="preserve">t </w:t>
      </w:r>
      <w:r>
        <w:t xml:space="preserve">a </w:t>
      </w:r>
      <w:r w:rsidR="00A979E1" w:rsidRPr="00A979E1">
        <w:t xml:space="preserve">minimum, </w:t>
      </w:r>
      <w:r>
        <w:t xml:space="preserve">these businesses would need to pursue and adopt </w:t>
      </w:r>
      <w:r w:rsidR="00A979E1" w:rsidRPr="00A979E1">
        <w:t>incremental innovations to remain competitive in their niche markets</w:t>
      </w:r>
      <w:r w:rsidR="00BB6CEE">
        <w:t>;</w:t>
      </w:r>
      <w:r w:rsidR="00A979E1" w:rsidRPr="00A979E1">
        <w:t xml:space="preserve"> for example</w:t>
      </w:r>
      <w:r w:rsidR="00BB6CEE">
        <w:t>,</w:t>
      </w:r>
      <w:r w:rsidR="00A979E1" w:rsidRPr="00A979E1">
        <w:t xml:space="preserve"> differentiating through product quality and technological advancements. </w:t>
      </w:r>
    </w:p>
    <w:p w14:paraId="520261AF" w14:textId="2097D417" w:rsidR="00A979E1" w:rsidRPr="00A979E1" w:rsidRDefault="00A979E1" w:rsidP="00B72FF2">
      <w:pPr>
        <w:pStyle w:val="ListParagraph"/>
        <w:numPr>
          <w:ilvl w:val="2"/>
          <w:numId w:val="31"/>
        </w:numPr>
        <w:contextualSpacing w:val="0"/>
      </w:pPr>
      <w:r w:rsidRPr="00A979E1">
        <w:t xml:space="preserve">Iron and steel casting is the only subsector that falls within this category. This subsector manufactures </w:t>
      </w:r>
      <w:r w:rsidR="009360FF">
        <w:t xml:space="preserve">cast </w:t>
      </w:r>
      <w:r w:rsidRPr="00A979E1">
        <w:t xml:space="preserve">iron and steel components based on a technique that allows manufacturers to produce components with complex geometries, tailored to customer requirements and specific markets. Cast </w:t>
      </w:r>
      <w:r w:rsidR="009360FF">
        <w:t xml:space="preserve">iron and steel </w:t>
      </w:r>
      <w:r w:rsidRPr="00A979E1">
        <w:t>components are used in wind turbine systems, aircraft engine parts</w:t>
      </w:r>
      <w:r w:rsidR="009360FF">
        <w:t xml:space="preserve"> and</w:t>
      </w:r>
      <w:r w:rsidRPr="00A979E1">
        <w:t xml:space="preserve"> defence equipment, among other uses and markets. </w:t>
      </w:r>
    </w:p>
    <w:p w14:paraId="406A5B81" w14:textId="61C398AE" w:rsidR="00A979E1" w:rsidRPr="00D53494" w:rsidRDefault="00A979E1" w:rsidP="00B72FF2">
      <w:pPr>
        <w:pStyle w:val="ListParagraph"/>
        <w:numPr>
          <w:ilvl w:val="0"/>
          <w:numId w:val="31"/>
        </w:numPr>
        <w:contextualSpacing w:val="0"/>
        <w:rPr>
          <w:b/>
          <w:bCs/>
        </w:rPr>
      </w:pPr>
      <w:bookmarkStart w:id="37" w:name="Quadrant_III_includes_businesses_operati"/>
      <w:r w:rsidRPr="007236ED">
        <w:rPr>
          <w:b/>
          <w:bCs/>
        </w:rPr>
        <w:t>Quadrant III</w:t>
      </w:r>
      <w:r w:rsidRPr="00D53494">
        <w:rPr>
          <w:b/>
          <w:bCs/>
        </w:rPr>
        <w:t xml:space="preserve"> </w:t>
      </w:r>
      <w:r w:rsidR="00574B33" w:rsidRPr="00574B33">
        <w:rPr>
          <w:rFonts w:ascii="Calibri" w:eastAsia="Calibri" w:hAnsi="Calibri" w:cs="Times New Roman"/>
        </w:rPr>
        <w:t>–</w:t>
      </w:r>
      <w:r w:rsidR="00E15A8E" w:rsidRPr="00D53494">
        <w:rPr>
          <w:b/>
          <w:bCs/>
        </w:rPr>
        <w:t xml:space="preserve"> includes</w:t>
      </w:r>
      <w:r w:rsidRPr="00D53494">
        <w:rPr>
          <w:b/>
          <w:bCs/>
        </w:rPr>
        <w:t xml:space="preserve"> businesses operating in low competitiveness industries that face no to moderate import competition and are </w:t>
      </w:r>
      <w:r w:rsidR="00DF7465" w:rsidRPr="00D53494">
        <w:rPr>
          <w:b/>
          <w:bCs/>
        </w:rPr>
        <w:t>focused</w:t>
      </w:r>
      <w:r w:rsidRPr="00D53494">
        <w:rPr>
          <w:b/>
          <w:bCs/>
        </w:rPr>
        <w:t xml:space="preserve"> on the domestic market.</w:t>
      </w:r>
      <w:bookmarkEnd w:id="37"/>
      <w:r w:rsidRPr="00D53494">
        <w:rPr>
          <w:b/>
          <w:bCs/>
        </w:rPr>
        <w:t xml:space="preserve">  </w:t>
      </w:r>
    </w:p>
    <w:p w14:paraId="529EB26F" w14:textId="27C52A99" w:rsidR="00101E87" w:rsidRDefault="00A979E1" w:rsidP="00B72FF2">
      <w:pPr>
        <w:pStyle w:val="ListParagraph"/>
        <w:numPr>
          <w:ilvl w:val="1"/>
          <w:numId w:val="31"/>
        </w:numPr>
        <w:contextualSpacing w:val="0"/>
      </w:pPr>
      <w:r w:rsidRPr="00A979E1">
        <w:t xml:space="preserve">These businesses would require disruptive innovations to scale up and compete in international markets. Examples of </w:t>
      </w:r>
      <w:r w:rsidR="00657497">
        <w:t xml:space="preserve">these </w:t>
      </w:r>
      <w:r w:rsidRPr="00A979E1">
        <w:t xml:space="preserve">are transport equipment manufacturing (vehicle body and trailer manufacturing), boat building and pharmaceutical products. For example, the domestic manufacturing of vehicle body and trailer manufacturing is mainly oriented toward the production of caravans and trailers for domestic household consumption. </w:t>
      </w:r>
    </w:p>
    <w:p w14:paraId="539439C7" w14:textId="21866673" w:rsidR="00572328" w:rsidRDefault="008D7A98" w:rsidP="00054BD8">
      <w:pPr>
        <w:pStyle w:val="ListParagraph"/>
        <w:numPr>
          <w:ilvl w:val="0"/>
          <w:numId w:val="0"/>
        </w:numPr>
        <w:ind w:left="1077"/>
        <w:contextualSpacing w:val="0"/>
      </w:pPr>
      <w:r>
        <w:t xml:space="preserve">Pharmaceuticals also fall within this quadrant. This is </w:t>
      </w:r>
      <w:r w:rsidR="002E6ABA">
        <w:t>because imports satisfy around 50</w:t>
      </w:r>
      <w:r w:rsidR="00671080">
        <w:t>%</w:t>
      </w:r>
      <w:r w:rsidR="002E6ABA">
        <w:t xml:space="preserve"> of Australian domestic market</w:t>
      </w:r>
      <w:r w:rsidR="00F80B7C">
        <w:t>,</w:t>
      </w:r>
      <w:r w:rsidR="002E6ABA">
        <w:t xml:space="preserve"> and Australian exports represent 0.7</w:t>
      </w:r>
      <w:r w:rsidR="00671080">
        <w:t>%</w:t>
      </w:r>
      <w:r w:rsidR="002E6ABA">
        <w:t xml:space="preserve"> and 0.4</w:t>
      </w:r>
      <w:r w:rsidR="00671080">
        <w:t>%</w:t>
      </w:r>
      <w:r w:rsidR="002E6ABA">
        <w:t xml:space="preserve"> of total Australian and global exports, respectively</w:t>
      </w:r>
      <w:r w:rsidR="009360FF">
        <w:t>.</w:t>
      </w:r>
      <w:r w:rsidR="002E6ABA">
        <w:rPr>
          <w:rStyle w:val="FootnoteReference"/>
        </w:rPr>
        <w:footnoteReference w:id="17"/>
      </w:r>
      <w:r w:rsidR="00C766BF">
        <w:t xml:space="preserve"> The COVID-19 pandemic highlighted Australia’s dependenc</w:t>
      </w:r>
      <w:r w:rsidR="00F80B7C">
        <w:t>e</w:t>
      </w:r>
      <w:r w:rsidR="00C766BF">
        <w:t xml:space="preserve"> on global pharmaceutical supply chains. Despite this, exports of medicinal and pharmaceutical products have increased at a faster pace than overall Australian exports</w:t>
      </w:r>
      <w:r w:rsidR="00AC14CC">
        <w:t xml:space="preserve"> in the last two decades. Over the period 20</w:t>
      </w:r>
      <w:r w:rsidR="00C364D9">
        <w:t>00</w:t>
      </w:r>
      <w:r w:rsidR="00F80B7C">
        <w:t xml:space="preserve"> to</w:t>
      </w:r>
      <w:r w:rsidR="00382A5C">
        <w:t xml:space="preserve"> </w:t>
      </w:r>
      <w:r w:rsidR="00776AE4">
        <w:t>20</w:t>
      </w:r>
      <w:r w:rsidR="00AC14CC">
        <w:t>22, the annual average growth rate of pharmaceutical exports was 9.1</w:t>
      </w:r>
      <w:r w:rsidR="00671080">
        <w:t>%</w:t>
      </w:r>
      <w:r w:rsidR="00F80B7C">
        <w:t>,</w:t>
      </w:r>
      <w:r w:rsidR="00AC14CC">
        <w:t xml:space="preserve"> while Australian total exports</w:t>
      </w:r>
      <w:r w:rsidR="00F80B7C">
        <w:t>’</w:t>
      </w:r>
      <w:r w:rsidR="00AC14CC">
        <w:t xml:space="preserve"> </w:t>
      </w:r>
      <w:r w:rsidR="00C364D9">
        <w:t>annual average growth rate was 8.4</w:t>
      </w:r>
      <w:r w:rsidR="00671080">
        <w:t>%</w:t>
      </w:r>
      <w:r w:rsidR="00262E52">
        <w:t>.</w:t>
      </w:r>
      <w:r w:rsidR="00764F0B">
        <w:rPr>
          <w:rStyle w:val="FootnoteReference"/>
        </w:rPr>
        <w:footnoteReference w:id="18"/>
      </w:r>
      <w:r w:rsidR="00C364D9">
        <w:t xml:space="preserve"> This is consistent with patent activity</w:t>
      </w:r>
      <w:r w:rsidR="00937FC7">
        <w:t>,</w:t>
      </w:r>
      <w:r w:rsidR="00C364D9">
        <w:t xml:space="preserve"> which shows that applications for pharmaceuticals patents have been on a growth</w:t>
      </w:r>
      <w:r w:rsidR="00AC14CC">
        <w:t xml:space="preserve"> </w:t>
      </w:r>
      <w:r w:rsidR="00C364D9">
        <w:t>trajectory since 2014</w:t>
      </w:r>
      <w:r w:rsidR="00586A1D">
        <w:t>, growing from 1,834 patent filings in 2014 to 4,465 in 2022</w:t>
      </w:r>
      <w:r w:rsidR="009360FF">
        <w:t>.</w:t>
      </w:r>
      <w:r w:rsidR="00586A1D">
        <w:rPr>
          <w:rStyle w:val="FootnoteReference"/>
        </w:rPr>
        <w:footnoteReference w:id="19"/>
      </w:r>
      <w:r w:rsidR="00586A1D">
        <w:t xml:space="preserve">  </w:t>
      </w:r>
      <w:r w:rsidR="00D41AD4">
        <w:t>Australia has a comparative advantage in certain pharmaceutical products, including medicaments, vitamins and alkaloids.</w:t>
      </w:r>
    </w:p>
    <w:p w14:paraId="646758BE" w14:textId="597FDD10" w:rsidR="00E15A8E" w:rsidRPr="00D53494" w:rsidRDefault="00A979E1" w:rsidP="00054BD8">
      <w:pPr>
        <w:pStyle w:val="ListParagraph"/>
        <w:numPr>
          <w:ilvl w:val="0"/>
          <w:numId w:val="31"/>
        </w:numPr>
        <w:spacing w:before="160"/>
        <w:contextualSpacing w:val="0"/>
        <w:rPr>
          <w:b/>
          <w:bCs/>
        </w:rPr>
      </w:pPr>
      <w:bookmarkStart w:id="38" w:name="Quadrant_IV_includes_businesses_that_ope"/>
      <w:r w:rsidRPr="00E15A8E">
        <w:rPr>
          <w:b/>
          <w:bCs/>
        </w:rPr>
        <w:t>Quadrant IV</w:t>
      </w:r>
      <w:r w:rsidRPr="00D53494">
        <w:rPr>
          <w:b/>
          <w:bCs/>
        </w:rPr>
        <w:t xml:space="preserve"> </w:t>
      </w:r>
      <w:r w:rsidR="00574B33" w:rsidRPr="00574B33">
        <w:rPr>
          <w:rFonts w:ascii="Calibri" w:eastAsia="Calibri" w:hAnsi="Calibri" w:cs="Times New Roman"/>
        </w:rPr>
        <w:t>–</w:t>
      </w:r>
      <w:r w:rsidR="00E15A8E" w:rsidRPr="00D53494">
        <w:rPr>
          <w:b/>
          <w:bCs/>
        </w:rPr>
        <w:t xml:space="preserve"> include</w:t>
      </w:r>
      <w:r w:rsidR="009360FF">
        <w:rPr>
          <w:b/>
          <w:bCs/>
        </w:rPr>
        <w:t>s</w:t>
      </w:r>
      <w:r w:rsidR="00E15A8E" w:rsidRPr="00D53494">
        <w:rPr>
          <w:b/>
          <w:bCs/>
        </w:rPr>
        <w:t xml:space="preserve"> </w:t>
      </w:r>
      <w:r w:rsidRPr="00D53494">
        <w:rPr>
          <w:b/>
          <w:bCs/>
        </w:rPr>
        <w:t xml:space="preserve">businesses that operate in industries that are not internationally competitive and face significant import competition. </w:t>
      </w:r>
      <w:bookmarkEnd w:id="38"/>
    </w:p>
    <w:p w14:paraId="7E8561AB" w14:textId="4DF5E531" w:rsidR="002F2F0B" w:rsidRDefault="00A979E1" w:rsidP="00B72FF2">
      <w:pPr>
        <w:pStyle w:val="ListParagraph"/>
        <w:numPr>
          <w:ilvl w:val="1"/>
          <w:numId w:val="31"/>
        </w:numPr>
        <w:ind w:hanging="357"/>
        <w:contextualSpacing w:val="0"/>
      </w:pPr>
      <w:r w:rsidRPr="00A979E1">
        <w:t>These businesses would require disruptive innovations to support capability building to compete on value rather tha</w:t>
      </w:r>
      <w:r w:rsidR="000F0B52">
        <w:t>n</w:t>
      </w:r>
      <w:r w:rsidRPr="00A979E1">
        <w:t xml:space="preserve"> cost or price. </w:t>
      </w:r>
      <w:r w:rsidR="000F0B52">
        <w:t xml:space="preserve">Sectors in this quadrant </w:t>
      </w:r>
      <w:r w:rsidRPr="00A979E1">
        <w:t xml:space="preserve">include medical equipment manufacturing (for example </w:t>
      </w:r>
      <w:r w:rsidR="000F0B52">
        <w:t>personal protective equipment</w:t>
      </w:r>
      <w:r w:rsidRPr="00A979E1">
        <w:t>, hospital bed manufacturing and other manufactured consumables).</w:t>
      </w:r>
      <w:r w:rsidR="00855DBA">
        <w:t xml:space="preserve"> </w:t>
      </w:r>
      <w:r w:rsidR="00F9721A">
        <w:t>In 2021, t</w:t>
      </w:r>
      <w:r w:rsidR="00855DBA">
        <w:t xml:space="preserve">he </w:t>
      </w:r>
      <w:r w:rsidR="009360FF">
        <w:t xml:space="preserve">medical equipment industry </w:t>
      </w:r>
      <w:r w:rsidR="00855DBA">
        <w:t>share</w:t>
      </w:r>
      <w:r w:rsidR="000F0B52">
        <w:t>s</w:t>
      </w:r>
      <w:r w:rsidR="00855DBA">
        <w:t xml:space="preserve"> of</w:t>
      </w:r>
      <w:r w:rsidR="009360FF">
        <w:t xml:space="preserve"> total </w:t>
      </w:r>
      <w:r w:rsidR="00855DBA">
        <w:t>Australian and global exports</w:t>
      </w:r>
      <w:r w:rsidR="00F9721A">
        <w:t xml:space="preserve"> </w:t>
      </w:r>
      <w:r w:rsidR="000F0B52">
        <w:t xml:space="preserve">were </w:t>
      </w:r>
      <w:r w:rsidR="00F9721A">
        <w:t>0.3</w:t>
      </w:r>
      <w:r w:rsidR="00671080">
        <w:t>%</w:t>
      </w:r>
      <w:r w:rsidR="00F9721A">
        <w:t xml:space="preserve"> and 0.6</w:t>
      </w:r>
      <w:r w:rsidR="00671080">
        <w:t>%</w:t>
      </w:r>
      <w:r w:rsidR="00F9721A">
        <w:t xml:space="preserve"> respectively</w:t>
      </w:r>
      <w:r w:rsidR="009360FF">
        <w:t>.</w:t>
      </w:r>
      <w:r w:rsidR="006C34C4">
        <w:rPr>
          <w:rStyle w:val="FootnoteReference"/>
        </w:rPr>
        <w:footnoteReference w:id="20"/>
      </w:r>
      <w:r w:rsidR="00F9721A">
        <w:t xml:space="preserve"> </w:t>
      </w:r>
      <w:r w:rsidR="00756E0E">
        <w:t>Industry Innovation and Science Australia (</w:t>
      </w:r>
      <w:r w:rsidR="00F9721A">
        <w:t>IISA</w:t>
      </w:r>
      <w:r w:rsidR="00756E0E">
        <w:t>)</w:t>
      </w:r>
      <w:r w:rsidR="00F9721A">
        <w:t xml:space="preserve"> </w:t>
      </w:r>
      <w:r w:rsidR="009347C2">
        <w:t xml:space="preserve">interviews with businesses </w:t>
      </w:r>
      <w:r w:rsidR="00F9721A">
        <w:t xml:space="preserve">highlighted the difficulty </w:t>
      </w:r>
      <w:r w:rsidR="000F0B52">
        <w:t>businesses face in commercialising</w:t>
      </w:r>
      <w:r w:rsidR="00F9721A">
        <w:t xml:space="preserve"> medical devices in international markets due to lack of product testing in Australia</w:t>
      </w:r>
      <w:r w:rsidR="000F0B52">
        <w:t>’s</w:t>
      </w:r>
      <w:r w:rsidR="00F9721A">
        <w:t xml:space="preserve"> small domestic market.</w:t>
      </w:r>
      <w:r w:rsidR="00855DBA">
        <w:t xml:space="preserve"> </w:t>
      </w:r>
      <w:r w:rsidR="007D405E">
        <w:t>The</w:t>
      </w:r>
      <w:r w:rsidR="0005445D">
        <w:t xml:space="preserve"> medical equipment industry is largely fragmented</w:t>
      </w:r>
      <w:r w:rsidR="002F4F6D">
        <w:t>, based on</w:t>
      </w:r>
      <w:r w:rsidR="0005445D">
        <w:t xml:space="preserve"> specialised manufacturers that require </w:t>
      </w:r>
      <w:r w:rsidR="000F0B52">
        <w:t xml:space="preserve">a </w:t>
      </w:r>
      <w:r w:rsidR="00027E70">
        <w:t>highly</w:t>
      </w:r>
      <w:r w:rsidR="0005445D">
        <w:t xml:space="preserve"> skilled </w:t>
      </w:r>
      <w:r w:rsidR="00027E70">
        <w:t>workforce</w:t>
      </w:r>
      <w:r w:rsidR="0005445D">
        <w:t xml:space="preserve"> and ongoing investment in </w:t>
      </w:r>
      <w:r w:rsidR="005C25CC">
        <w:t>research and development (</w:t>
      </w:r>
      <w:r w:rsidR="0005445D">
        <w:t>R&amp;D</w:t>
      </w:r>
      <w:r w:rsidR="005C25CC">
        <w:t>)</w:t>
      </w:r>
      <w:r w:rsidR="007D405E">
        <w:t xml:space="preserve"> </w:t>
      </w:r>
      <w:r w:rsidR="0005445D">
        <w:t xml:space="preserve">to </w:t>
      </w:r>
      <w:r w:rsidR="00027E70">
        <w:t xml:space="preserve">be </w:t>
      </w:r>
      <w:r w:rsidR="0005445D">
        <w:t>compet</w:t>
      </w:r>
      <w:r w:rsidR="009360FF">
        <w:t>itiv</w:t>
      </w:r>
      <w:r w:rsidR="0005445D">
        <w:t>e</w:t>
      </w:r>
      <w:r w:rsidR="009360FF">
        <w:t>.</w:t>
      </w:r>
      <w:r w:rsidR="006218CF">
        <w:rPr>
          <w:rStyle w:val="FootnoteReference"/>
        </w:rPr>
        <w:footnoteReference w:id="21"/>
      </w:r>
      <w:r w:rsidR="00D41AD4">
        <w:t xml:space="preserve"> Australia has a comparative advantage in certain medical devices such as therapeutic respiration apparatus, breathing appliances and gas masks</w:t>
      </w:r>
      <w:r w:rsidR="004245B7">
        <w:t>.</w:t>
      </w:r>
    </w:p>
    <w:p w14:paraId="42AD2150" w14:textId="565022D3" w:rsidR="00A83633" w:rsidRPr="00F132D3" w:rsidRDefault="00280968" w:rsidP="00F6694F">
      <w:pPr>
        <w:pStyle w:val="Heading3"/>
      </w:pPr>
      <w:bookmarkStart w:id="39" w:name="_Toc1816172506"/>
      <w:bookmarkStart w:id="40" w:name="_Toc145000209"/>
      <w:bookmarkStart w:id="41" w:name="_Toc152165419"/>
      <w:r w:rsidRPr="00F132D3">
        <w:t>R</w:t>
      </w:r>
      <w:r w:rsidR="00A83633" w:rsidRPr="00F132D3">
        <w:t>isk</w:t>
      </w:r>
      <w:r w:rsidR="00FB3D34">
        <w:t>-</w:t>
      </w:r>
      <w:r w:rsidR="00A83633" w:rsidRPr="00F132D3">
        <w:t xml:space="preserve">taking in pioneering enterprises for global </w:t>
      </w:r>
      <w:bookmarkEnd w:id="39"/>
      <w:bookmarkEnd w:id="40"/>
      <w:r w:rsidR="00F5298D" w:rsidRPr="00F132D3">
        <w:t>markets</w:t>
      </w:r>
      <w:bookmarkEnd w:id="41"/>
    </w:p>
    <w:p w14:paraId="06E3C478" w14:textId="6B2D7A54" w:rsidR="00A83633" w:rsidRPr="00A83633" w:rsidRDefault="00A83633" w:rsidP="00B72FF2">
      <w:pPr>
        <w:spacing w:line="240" w:lineRule="auto"/>
        <w:rPr>
          <w:rFonts w:ascii="Calibri" w:eastAsia="Calibri" w:hAnsi="Calibri" w:cs="Times New Roman"/>
        </w:rPr>
      </w:pPr>
      <w:r w:rsidRPr="00A83633">
        <w:rPr>
          <w:rFonts w:ascii="Calibri" w:eastAsia="Calibri" w:hAnsi="Calibri" w:cs="Times New Roman"/>
        </w:rPr>
        <w:t>Australia’s industrial transformation relies on businesses improving their performance in priority areas of the economy (</w:t>
      </w:r>
      <w:r w:rsidR="002F2F0B" w:rsidRPr="00CE6F6A">
        <w:rPr>
          <w:rFonts w:ascii="Calibri" w:eastAsia="Calibri" w:hAnsi="Calibri" w:cs="Times New Roman"/>
          <w:b/>
          <w:bCs/>
        </w:rPr>
        <w:t>Q</w:t>
      </w:r>
      <w:r w:rsidRPr="00CE6F6A">
        <w:rPr>
          <w:rFonts w:ascii="Calibri" w:eastAsia="Calibri" w:hAnsi="Calibri" w:cs="Times New Roman"/>
          <w:b/>
          <w:bCs/>
        </w:rPr>
        <w:t>uadrant</w:t>
      </w:r>
      <w:r w:rsidR="00657497" w:rsidRPr="00CE6F6A">
        <w:rPr>
          <w:rFonts w:ascii="Calibri" w:eastAsia="Calibri" w:hAnsi="Calibri" w:cs="Times New Roman"/>
          <w:b/>
          <w:bCs/>
        </w:rPr>
        <w:t>s</w:t>
      </w:r>
      <w:r w:rsidRPr="00CE6F6A">
        <w:rPr>
          <w:rFonts w:ascii="Calibri" w:eastAsia="Calibri" w:hAnsi="Calibri" w:cs="Times New Roman"/>
          <w:b/>
          <w:bCs/>
        </w:rPr>
        <w:t xml:space="preserve"> III</w:t>
      </w:r>
      <w:r w:rsidRPr="006A1A00">
        <w:rPr>
          <w:rFonts w:ascii="Calibri" w:eastAsia="Calibri" w:hAnsi="Calibri" w:cs="Times New Roman"/>
          <w:b/>
          <w:bCs/>
        </w:rPr>
        <w:t xml:space="preserve"> and </w:t>
      </w:r>
      <w:r w:rsidRPr="00CE6F6A">
        <w:rPr>
          <w:rFonts w:ascii="Calibri" w:eastAsia="Calibri" w:hAnsi="Calibri" w:cs="Times New Roman"/>
          <w:b/>
          <w:bCs/>
        </w:rPr>
        <w:t>IV</w:t>
      </w:r>
      <w:r w:rsidRPr="00A83633">
        <w:rPr>
          <w:rFonts w:ascii="Calibri" w:eastAsia="Calibri" w:hAnsi="Calibri" w:cs="Times New Roman"/>
        </w:rPr>
        <w:t xml:space="preserve">). We recommend that policy address </w:t>
      </w:r>
      <w:bookmarkStart w:id="42" w:name="_Hlk144916433"/>
      <w:r w:rsidRPr="00A83633">
        <w:rPr>
          <w:rFonts w:ascii="Calibri" w:eastAsia="Calibri" w:hAnsi="Calibri" w:cs="Times New Roman"/>
        </w:rPr>
        <w:t>market dynamics and business strategy to invigorate collaborative innovation</w:t>
      </w:r>
      <w:bookmarkEnd w:id="42"/>
      <w:r w:rsidRPr="00A83633">
        <w:rPr>
          <w:rFonts w:ascii="Calibri" w:eastAsia="Calibri" w:hAnsi="Calibri" w:cs="Times New Roman"/>
        </w:rPr>
        <w:t>.</w:t>
      </w:r>
    </w:p>
    <w:p w14:paraId="6AF4F13B" w14:textId="22573714" w:rsidR="00A83633" w:rsidRPr="00A83633" w:rsidRDefault="00A83633" w:rsidP="00B72FF2">
      <w:pPr>
        <w:spacing w:line="240" w:lineRule="auto"/>
        <w:rPr>
          <w:rFonts w:ascii="Calibri" w:eastAsia="Calibri" w:hAnsi="Calibri" w:cs="Times New Roman"/>
        </w:rPr>
      </w:pPr>
      <w:r w:rsidRPr="00A83633">
        <w:rPr>
          <w:rFonts w:ascii="Calibri" w:eastAsia="Calibri" w:hAnsi="Calibri" w:cs="Times New Roman"/>
        </w:rPr>
        <w:t>Businesses operating in domestic-market</w:t>
      </w:r>
      <w:r w:rsidR="00FB3D34">
        <w:rPr>
          <w:rFonts w:ascii="Calibri" w:eastAsia="Calibri" w:hAnsi="Calibri" w:cs="Times New Roman"/>
        </w:rPr>
        <w:t>-</w:t>
      </w:r>
      <w:r w:rsidRPr="00A83633">
        <w:rPr>
          <w:rFonts w:ascii="Calibri" w:eastAsia="Calibri" w:hAnsi="Calibri" w:cs="Times New Roman"/>
        </w:rPr>
        <w:t>focused sectors with no significant import competitive pressures (</w:t>
      </w:r>
      <w:r w:rsidR="002F2F0B" w:rsidRPr="00CE6F6A">
        <w:rPr>
          <w:rFonts w:ascii="Calibri" w:eastAsia="Calibri" w:hAnsi="Calibri" w:cs="Times New Roman"/>
          <w:b/>
          <w:bCs/>
        </w:rPr>
        <w:t>Q</w:t>
      </w:r>
      <w:r w:rsidRPr="00CE6F6A">
        <w:rPr>
          <w:rFonts w:ascii="Calibri" w:eastAsia="Calibri" w:hAnsi="Calibri" w:cs="Times New Roman"/>
          <w:b/>
          <w:bCs/>
        </w:rPr>
        <w:t>uadrant II</w:t>
      </w:r>
      <w:r w:rsidR="002D14DB" w:rsidRPr="00CE6F6A">
        <w:rPr>
          <w:rFonts w:ascii="Calibri" w:eastAsia="Calibri" w:hAnsi="Calibri" w:cs="Times New Roman"/>
          <w:b/>
          <w:bCs/>
        </w:rPr>
        <w:t>I</w:t>
      </w:r>
      <w:r w:rsidRPr="00A83633">
        <w:rPr>
          <w:rFonts w:ascii="Calibri" w:eastAsia="Calibri" w:hAnsi="Calibri" w:cs="Times New Roman"/>
        </w:rPr>
        <w:t xml:space="preserve">) can meet domestic demand without innovation, </w:t>
      </w:r>
      <w:r w:rsidR="008C4556">
        <w:rPr>
          <w:rFonts w:ascii="Calibri" w:eastAsia="Calibri" w:hAnsi="Calibri" w:cs="Times New Roman"/>
        </w:rPr>
        <w:t>disincentivising</w:t>
      </w:r>
      <w:r w:rsidR="008C4556" w:rsidRPr="00A83633">
        <w:rPr>
          <w:rFonts w:ascii="Calibri" w:eastAsia="Calibri" w:hAnsi="Calibri" w:cs="Times New Roman"/>
        </w:rPr>
        <w:t xml:space="preserve"> </w:t>
      </w:r>
      <w:r w:rsidRPr="00A83633">
        <w:rPr>
          <w:rFonts w:ascii="Calibri" w:eastAsia="Calibri" w:hAnsi="Calibri" w:cs="Times New Roman"/>
        </w:rPr>
        <w:t>external collaboration to pursue radical innovations</w:t>
      </w:r>
      <w:r w:rsidR="009360FF">
        <w:rPr>
          <w:rFonts w:ascii="Calibri" w:eastAsia="Calibri" w:hAnsi="Calibri" w:cs="Times New Roman"/>
        </w:rPr>
        <w:t>.</w:t>
      </w:r>
      <w:r w:rsidRPr="00CD6ECE">
        <w:rPr>
          <w:rFonts w:ascii="Calibri" w:eastAsia="Calibri" w:hAnsi="Calibri" w:cs="Times New Roman"/>
          <w:vertAlign w:val="superscript"/>
        </w:rPr>
        <w:footnoteReference w:id="22"/>
      </w:r>
      <w:r w:rsidRPr="00A83633">
        <w:rPr>
          <w:rFonts w:ascii="Calibri" w:eastAsia="Calibri" w:hAnsi="Calibri" w:cs="Times New Roman"/>
        </w:rPr>
        <w:t xml:space="preserve"> A similar case </w:t>
      </w:r>
      <w:r w:rsidR="008C4556">
        <w:rPr>
          <w:rFonts w:ascii="Calibri" w:eastAsia="Calibri" w:hAnsi="Calibri" w:cs="Times New Roman"/>
        </w:rPr>
        <w:t>is evident</w:t>
      </w:r>
      <w:r w:rsidRPr="00A83633">
        <w:rPr>
          <w:rFonts w:ascii="Calibri" w:eastAsia="Calibri" w:hAnsi="Calibri" w:cs="Times New Roman"/>
        </w:rPr>
        <w:t xml:space="preserve"> in those low</w:t>
      </w:r>
      <w:r w:rsidR="00FB3D34">
        <w:rPr>
          <w:rFonts w:ascii="Calibri" w:eastAsia="Calibri" w:hAnsi="Calibri" w:cs="Times New Roman"/>
        </w:rPr>
        <w:t>-</w:t>
      </w:r>
      <w:r w:rsidRPr="00A83633">
        <w:rPr>
          <w:rFonts w:ascii="Calibri" w:eastAsia="Calibri" w:hAnsi="Calibri" w:cs="Times New Roman"/>
        </w:rPr>
        <w:t>competitive domestic-market</w:t>
      </w:r>
      <w:r w:rsidR="00FB3D34">
        <w:rPr>
          <w:rFonts w:ascii="Calibri" w:eastAsia="Calibri" w:hAnsi="Calibri" w:cs="Times New Roman"/>
        </w:rPr>
        <w:t>-</w:t>
      </w:r>
      <w:r w:rsidRPr="00A83633">
        <w:rPr>
          <w:rFonts w:ascii="Calibri" w:eastAsia="Calibri" w:hAnsi="Calibri" w:cs="Times New Roman"/>
        </w:rPr>
        <w:t>focused sectors that face significant import competition (</w:t>
      </w:r>
      <w:r w:rsidR="002F2F0B" w:rsidRPr="00CE6F6A">
        <w:rPr>
          <w:rFonts w:ascii="Calibri" w:eastAsia="Calibri" w:hAnsi="Calibri" w:cs="Times New Roman"/>
          <w:b/>
          <w:bCs/>
        </w:rPr>
        <w:t>Q</w:t>
      </w:r>
      <w:r w:rsidRPr="00CE6F6A">
        <w:rPr>
          <w:rFonts w:ascii="Calibri" w:eastAsia="Calibri" w:hAnsi="Calibri" w:cs="Times New Roman"/>
          <w:b/>
          <w:bCs/>
        </w:rPr>
        <w:t>uadrant IV</w:t>
      </w:r>
      <w:r w:rsidRPr="00A83633">
        <w:rPr>
          <w:rFonts w:ascii="Calibri" w:eastAsia="Calibri" w:hAnsi="Calibri" w:cs="Times New Roman"/>
        </w:rPr>
        <w:t>). Import competition may create dilemmas for businesses in low</w:t>
      </w:r>
      <w:r w:rsidR="00FB3D34">
        <w:rPr>
          <w:rFonts w:ascii="Calibri" w:eastAsia="Calibri" w:hAnsi="Calibri" w:cs="Times New Roman"/>
        </w:rPr>
        <w:t>-</w:t>
      </w:r>
      <w:r w:rsidRPr="00A83633">
        <w:rPr>
          <w:rFonts w:ascii="Calibri" w:eastAsia="Calibri" w:hAnsi="Calibri" w:cs="Times New Roman"/>
        </w:rPr>
        <w:t>competitive sectors to choose between short-term low-cost strategies or high-risk innovation strategies. Our observation is that businesses will respond to importation pressures by reducing research and development efforts</w:t>
      </w:r>
      <w:r w:rsidR="009360FF">
        <w:rPr>
          <w:rFonts w:ascii="Calibri" w:eastAsia="Calibri" w:hAnsi="Calibri" w:cs="Times New Roman"/>
        </w:rPr>
        <w:t>.</w:t>
      </w:r>
      <w:r w:rsidRPr="00C93BA1">
        <w:rPr>
          <w:rFonts w:ascii="Calibri" w:eastAsia="Calibri" w:hAnsi="Calibri" w:cs="Times New Roman"/>
          <w:vertAlign w:val="superscript"/>
        </w:rPr>
        <w:footnoteReference w:id="23"/>
      </w:r>
      <w:r w:rsidRPr="00A83633">
        <w:rPr>
          <w:rFonts w:ascii="Calibri" w:eastAsia="Calibri" w:hAnsi="Calibri" w:cs="Times New Roman"/>
        </w:rPr>
        <w:t xml:space="preserve"> </w:t>
      </w:r>
      <w:r w:rsidR="001E7114">
        <w:rPr>
          <w:rFonts w:ascii="Calibri" w:eastAsia="Calibri" w:hAnsi="Calibri" w:cs="Times New Roman"/>
        </w:rPr>
        <w:t>Additional</w:t>
      </w:r>
      <w:r w:rsidR="001E7114" w:rsidRPr="00A83633">
        <w:rPr>
          <w:rFonts w:ascii="Calibri" w:eastAsia="Calibri" w:hAnsi="Calibri" w:cs="Times New Roman"/>
        </w:rPr>
        <w:t xml:space="preserve"> </w:t>
      </w:r>
      <w:r w:rsidRPr="00A83633">
        <w:rPr>
          <w:rFonts w:ascii="Calibri" w:eastAsia="Calibri" w:hAnsi="Calibri" w:cs="Times New Roman"/>
        </w:rPr>
        <w:t xml:space="preserve">evidence reinforces the observation that management responds to import competition by competing on cost and price. </w:t>
      </w:r>
    </w:p>
    <w:p w14:paraId="2D8BD126" w14:textId="29773394" w:rsidR="00A83633" w:rsidRPr="00A83633" w:rsidRDefault="00A83633" w:rsidP="00A83633">
      <w:pPr>
        <w:spacing w:before="100" w:beforeAutospacing="1" w:after="100" w:afterAutospacing="1" w:line="240" w:lineRule="auto"/>
        <w:rPr>
          <w:rFonts w:ascii="Calibri" w:eastAsia="Calibri" w:hAnsi="Calibri" w:cs="Times New Roman"/>
        </w:rPr>
      </w:pPr>
      <w:r w:rsidRPr="00A83633">
        <w:rPr>
          <w:rFonts w:ascii="Calibri" w:eastAsia="Calibri" w:hAnsi="Calibri" w:cs="Times New Roman"/>
        </w:rPr>
        <w:t>This interpretation is supported by A</w:t>
      </w:r>
      <w:r w:rsidR="009360FF">
        <w:rPr>
          <w:rFonts w:ascii="Calibri" w:eastAsia="Calibri" w:hAnsi="Calibri" w:cs="Times New Roman"/>
        </w:rPr>
        <w:t xml:space="preserve">ustralian </w:t>
      </w:r>
      <w:r w:rsidRPr="00A83633">
        <w:rPr>
          <w:rFonts w:ascii="Calibri" w:eastAsia="Calibri" w:hAnsi="Calibri" w:cs="Times New Roman"/>
        </w:rPr>
        <w:t>B</w:t>
      </w:r>
      <w:r w:rsidR="009360FF">
        <w:rPr>
          <w:rFonts w:ascii="Calibri" w:eastAsia="Calibri" w:hAnsi="Calibri" w:cs="Times New Roman"/>
        </w:rPr>
        <w:t xml:space="preserve">ureau of </w:t>
      </w:r>
      <w:r w:rsidRPr="00A83633">
        <w:rPr>
          <w:rFonts w:ascii="Calibri" w:eastAsia="Calibri" w:hAnsi="Calibri" w:cs="Times New Roman"/>
        </w:rPr>
        <w:t>S</w:t>
      </w:r>
      <w:r w:rsidR="009360FF">
        <w:rPr>
          <w:rFonts w:ascii="Calibri" w:eastAsia="Calibri" w:hAnsi="Calibri" w:cs="Times New Roman"/>
        </w:rPr>
        <w:t>tatistics</w:t>
      </w:r>
      <w:r w:rsidRPr="00A83633">
        <w:rPr>
          <w:rFonts w:ascii="Calibri" w:eastAsia="Calibri" w:hAnsi="Calibri" w:cs="Times New Roman"/>
        </w:rPr>
        <w:t xml:space="preserve"> data on business attitudes toward risk, innovation strategy and market competition. Data shows that only approximately 30</w:t>
      </w:r>
      <w:r w:rsidR="00671080">
        <w:rPr>
          <w:rFonts w:ascii="Calibri" w:eastAsia="Calibri" w:hAnsi="Calibri" w:cs="Times New Roman"/>
        </w:rPr>
        <w:t>%</w:t>
      </w:r>
      <w:r w:rsidRPr="00A83633">
        <w:rPr>
          <w:rFonts w:ascii="Calibri" w:eastAsia="Calibri" w:hAnsi="Calibri" w:cs="Times New Roman"/>
        </w:rPr>
        <w:t xml:space="preserve"> of businesses in priority areas took a proactive approach to market competition, and </w:t>
      </w:r>
      <w:r w:rsidR="00671080">
        <w:rPr>
          <w:rFonts w:ascii="Calibri" w:eastAsia="Calibri" w:hAnsi="Calibri" w:cs="Times New Roman"/>
        </w:rPr>
        <w:t>8%</w:t>
      </w:r>
      <w:r w:rsidRPr="00A83633">
        <w:rPr>
          <w:rFonts w:ascii="Calibri" w:eastAsia="Calibri" w:hAnsi="Calibri" w:cs="Times New Roman"/>
        </w:rPr>
        <w:t xml:space="preserve"> engaged in high-risk projects (</w:t>
      </w:r>
      <w:r w:rsidR="00F71988" w:rsidRPr="00B72FF2">
        <w:rPr>
          <w:rFonts w:ascii="Calibri" w:eastAsia="Calibri" w:hAnsi="Calibri" w:cs="Times New Roman"/>
          <w:b/>
          <w:bCs/>
        </w:rPr>
        <w:t xml:space="preserve">Chart </w:t>
      </w:r>
      <w:r w:rsidR="00CD6ECE" w:rsidRPr="00CD6ECE">
        <w:rPr>
          <w:rFonts w:ascii="Calibri" w:eastAsia="Calibri" w:hAnsi="Calibri" w:cs="Times New Roman"/>
          <w:b/>
          <w:bCs/>
        </w:rPr>
        <w:t>5</w:t>
      </w:r>
      <w:r w:rsidRPr="00A83633">
        <w:rPr>
          <w:rFonts w:ascii="Calibri" w:eastAsia="Calibri" w:hAnsi="Calibri" w:cs="Times New Roman"/>
        </w:rPr>
        <w:t>). A low</w:t>
      </w:r>
      <w:r w:rsidR="00A74A06">
        <w:rPr>
          <w:rFonts w:ascii="Calibri" w:eastAsia="Calibri" w:hAnsi="Calibri" w:cs="Times New Roman"/>
        </w:rPr>
        <w:t>-</w:t>
      </w:r>
      <w:r w:rsidRPr="00A83633">
        <w:rPr>
          <w:rFonts w:ascii="Calibri" w:eastAsia="Calibri" w:hAnsi="Calibri" w:cs="Times New Roman"/>
        </w:rPr>
        <w:t xml:space="preserve">innovation approach appears to be a rational business strategy if the </w:t>
      </w:r>
      <w:r w:rsidR="00671080">
        <w:rPr>
          <w:rFonts w:ascii="Calibri" w:eastAsia="Calibri" w:hAnsi="Calibri" w:cs="Times New Roman"/>
        </w:rPr>
        <w:t>businesses</w:t>
      </w:r>
      <w:r w:rsidRPr="00A83633">
        <w:rPr>
          <w:rFonts w:ascii="Calibri" w:eastAsia="Calibri" w:hAnsi="Calibri" w:cs="Times New Roman"/>
        </w:rPr>
        <w:t xml:space="preserve"> are predominantly servicing domestic markets with low import competition. </w:t>
      </w:r>
    </w:p>
    <w:p w14:paraId="17DB1A31" w14:textId="5D37CA38" w:rsidR="00A83633" w:rsidRPr="00F132D3" w:rsidRDefault="00F71988" w:rsidP="00D53494">
      <w:pPr>
        <w:pStyle w:val="Caption"/>
        <w:keepNext/>
        <w:rPr>
          <w:b/>
          <w:bCs/>
          <w:i w:val="0"/>
          <w:iCs w:val="0"/>
          <w:color w:val="auto"/>
        </w:rPr>
      </w:pPr>
      <w:r w:rsidRPr="00F132D3">
        <w:rPr>
          <w:b/>
          <w:bCs/>
          <w:i w:val="0"/>
          <w:iCs w:val="0"/>
          <w:color w:val="auto"/>
        </w:rPr>
        <w:t xml:space="preserve">Chart </w:t>
      </w:r>
      <w:r w:rsidR="00CD6ECE" w:rsidRPr="00F132D3">
        <w:rPr>
          <w:b/>
          <w:bCs/>
          <w:i w:val="0"/>
          <w:iCs w:val="0"/>
          <w:color w:val="auto"/>
        </w:rPr>
        <w:t>5</w:t>
      </w:r>
      <w:r w:rsidR="00A83633" w:rsidRPr="00F132D3">
        <w:rPr>
          <w:b/>
          <w:bCs/>
          <w:i w:val="0"/>
          <w:iCs w:val="0"/>
          <w:color w:val="auto"/>
        </w:rPr>
        <w:t>. Business inclination regarding high risk</w:t>
      </w:r>
      <w:r w:rsidR="00303295" w:rsidRPr="00F132D3">
        <w:rPr>
          <w:b/>
          <w:bCs/>
          <w:i w:val="0"/>
          <w:iCs w:val="0"/>
          <w:color w:val="auto"/>
        </w:rPr>
        <w:t>-</w:t>
      </w:r>
      <w:r w:rsidR="00A83633" w:rsidRPr="00F132D3">
        <w:rPr>
          <w:b/>
          <w:bCs/>
          <w:i w:val="0"/>
          <w:iCs w:val="0"/>
          <w:color w:val="auto"/>
        </w:rPr>
        <w:t>reward projects in government priority areas</w:t>
      </w:r>
      <w:r w:rsidR="00921084">
        <w:rPr>
          <w:b/>
          <w:bCs/>
          <w:i w:val="0"/>
          <w:iCs w:val="0"/>
          <w:color w:val="auto"/>
        </w:rPr>
        <w:t xml:space="preserve">. </w:t>
      </w:r>
    </w:p>
    <w:p w14:paraId="682A3C7D" w14:textId="1BDE2A10" w:rsidR="00387876" w:rsidRPr="00A83633" w:rsidRDefault="00F71988" w:rsidP="00B61A35">
      <w:pPr>
        <w:spacing w:before="100" w:beforeAutospacing="1" w:after="100" w:afterAutospacing="1" w:line="240" w:lineRule="auto"/>
        <w:jc w:val="center"/>
        <w:rPr>
          <w:rFonts w:ascii="Calibri" w:eastAsia="Calibri" w:hAnsi="Calibri" w:cs="Times New Roman"/>
          <w:b/>
          <w:bCs/>
        </w:rPr>
      </w:pPr>
      <w:r>
        <w:rPr>
          <w:noProof/>
        </w:rPr>
        <w:drawing>
          <wp:inline distT="0" distB="0" distL="0" distR="0" wp14:anchorId="78F8439D" wp14:editId="2A40BD11">
            <wp:extent cx="5605145" cy="3077845"/>
            <wp:effectExtent l="0" t="0" r="0" b="0"/>
            <wp:docPr id="37" name="Chart 37" descr="Bar chart of business inclination regarding high-risk, high-reward projects in government priority areas. &#10;&#10;Chart shows the following percentages:&#10;Took a proactive approach to market competition: 28.5 percent &#10;Continually sought out new partners to collaborate with 22.6 percent&#10;Had an innovation strategy as part of its business plan 16.3 percent&#10;Had the capacity to acquire and exploit information/knowledge external to the business 15.1 percent&#10;Were usually the first in the market to innovate 10.5 percent&#10;Initiated change upon which its competitors reacted 9.6 percent&#10;Often got involved in high risk/reward projects 7.7 percent">
              <a:extLst xmlns:a="http://schemas.openxmlformats.org/drawingml/2006/main">
                <a:ext uri="{FF2B5EF4-FFF2-40B4-BE49-F238E27FC236}">
                  <a16:creationId xmlns:a16="http://schemas.microsoft.com/office/drawing/2014/main" id="{938116DA-2C82-7792-E909-9FC03C25F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D71CE9" w14:textId="19AE7C73" w:rsidR="00E26C29" w:rsidRDefault="004E396D" w:rsidP="004E396D">
      <w:pPr>
        <w:spacing w:after="0" w:line="240" w:lineRule="auto"/>
        <w:rPr>
          <w:sz w:val="18"/>
          <w:szCs w:val="18"/>
        </w:rPr>
      </w:pPr>
      <w:r w:rsidRPr="00F079F5">
        <w:rPr>
          <w:sz w:val="18"/>
          <w:szCs w:val="18"/>
        </w:rPr>
        <w:t>Source: IISA customised data request</w:t>
      </w:r>
      <w:r w:rsidRPr="00AF1CE5">
        <w:rPr>
          <w:sz w:val="18"/>
          <w:szCs w:val="18"/>
        </w:rPr>
        <w:t xml:space="preserve"> (unpublished)</w:t>
      </w:r>
      <w:r w:rsidRPr="00F079F5">
        <w:rPr>
          <w:sz w:val="18"/>
          <w:szCs w:val="18"/>
        </w:rPr>
        <w:t xml:space="preserve"> from the ABS Business Characteristics Survey collaboration and commercialisation, </w:t>
      </w:r>
      <w:r w:rsidRPr="00AF1CE5">
        <w:rPr>
          <w:i/>
          <w:iCs/>
          <w:sz w:val="18"/>
          <w:szCs w:val="18"/>
        </w:rPr>
        <w:t>Characteristics of Australian Business, 2020-21</w:t>
      </w:r>
      <w:r w:rsidRPr="00F079F5">
        <w:rPr>
          <w:sz w:val="18"/>
          <w:szCs w:val="18"/>
        </w:rPr>
        <w:t>.</w:t>
      </w:r>
      <w:r w:rsidRPr="000732A8">
        <w:rPr>
          <w:sz w:val="18"/>
          <w:szCs w:val="18"/>
        </w:rPr>
        <w:t xml:space="preserve"> </w:t>
      </w:r>
    </w:p>
    <w:p w14:paraId="55E90165" w14:textId="77777777" w:rsidR="004E396D" w:rsidRPr="004E396D" w:rsidRDefault="004E396D" w:rsidP="004E396D">
      <w:pPr>
        <w:spacing w:after="0" w:line="240" w:lineRule="auto"/>
        <w:rPr>
          <w:sz w:val="18"/>
          <w:szCs w:val="18"/>
        </w:rPr>
      </w:pPr>
    </w:p>
    <w:p w14:paraId="2F7CBF29" w14:textId="548A1D0C" w:rsidR="001B3F29" w:rsidRDefault="00A32BA6" w:rsidP="00B72FF2">
      <w:pPr>
        <w:spacing w:line="240" w:lineRule="auto"/>
        <w:rPr>
          <w:rFonts w:ascii="Calibri" w:eastAsia="Calibri" w:hAnsi="Calibri" w:cs="Times New Roman"/>
        </w:rPr>
      </w:pPr>
      <w:r w:rsidRPr="00A32BA6">
        <w:rPr>
          <w:rFonts w:ascii="Calibri" w:eastAsia="Calibri" w:hAnsi="Calibri" w:cs="Times New Roman"/>
        </w:rPr>
        <w:t xml:space="preserve">Few Australian businesses are accustomed to the type of </w:t>
      </w:r>
      <w:r w:rsidR="00A8630A" w:rsidRPr="00A32BA6">
        <w:rPr>
          <w:rFonts w:ascii="Calibri" w:eastAsia="Calibri" w:hAnsi="Calibri" w:cs="Times New Roman"/>
        </w:rPr>
        <w:t>high-risk</w:t>
      </w:r>
      <w:r w:rsidR="00A74A06">
        <w:rPr>
          <w:rFonts w:ascii="Calibri" w:eastAsia="Calibri" w:hAnsi="Calibri" w:cs="Times New Roman"/>
        </w:rPr>
        <w:t>, high-</w:t>
      </w:r>
      <w:r w:rsidRPr="00A32BA6">
        <w:rPr>
          <w:rFonts w:ascii="Calibri" w:eastAsia="Calibri" w:hAnsi="Calibri" w:cs="Times New Roman"/>
        </w:rPr>
        <w:t>reward innovation that is required to transform and diversify the economy</w:t>
      </w:r>
      <w:r>
        <w:rPr>
          <w:rFonts w:ascii="Calibri" w:eastAsia="Calibri" w:hAnsi="Calibri" w:cs="Times New Roman"/>
        </w:rPr>
        <w:t xml:space="preserve">. </w:t>
      </w:r>
      <w:r w:rsidR="0048108B" w:rsidRPr="0048108B">
        <w:rPr>
          <w:rFonts w:ascii="Calibri" w:eastAsia="Calibri" w:hAnsi="Calibri" w:cs="Times New Roman"/>
        </w:rPr>
        <w:t>Only 1</w:t>
      </w:r>
      <w:r w:rsidR="00A74A06">
        <w:rPr>
          <w:rFonts w:ascii="Calibri" w:eastAsia="Calibri" w:hAnsi="Calibri" w:cs="Times New Roman"/>
        </w:rPr>
        <w:t xml:space="preserve">% to </w:t>
      </w:r>
      <w:r w:rsidR="0048108B" w:rsidRPr="0048108B">
        <w:rPr>
          <w:rFonts w:ascii="Calibri" w:eastAsia="Calibri" w:hAnsi="Calibri" w:cs="Times New Roman"/>
        </w:rPr>
        <w:t>2% of Australian businesses innovate in ways that are new to the world.</w:t>
      </w:r>
      <w:r w:rsidR="001B3F29">
        <w:rPr>
          <w:rStyle w:val="FootnoteReference"/>
          <w:rFonts w:ascii="Calibri" w:eastAsia="Calibri" w:hAnsi="Calibri" w:cs="Times New Roman"/>
        </w:rPr>
        <w:footnoteReference w:id="24"/>
      </w:r>
      <w:r w:rsidR="0048108B" w:rsidRPr="0048108B">
        <w:rPr>
          <w:rFonts w:ascii="Calibri" w:eastAsia="Calibri" w:hAnsi="Calibri" w:cs="Times New Roman"/>
        </w:rPr>
        <w:t xml:space="preserve">  </w:t>
      </w:r>
    </w:p>
    <w:p w14:paraId="13632620" w14:textId="5B81C054" w:rsidR="004526EC" w:rsidRPr="004526EC" w:rsidRDefault="004526EC" w:rsidP="00B72FF2">
      <w:pPr>
        <w:spacing w:line="240" w:lineRule="auto"/>
        <w:rPr>
          <w:rFonts w:ascii="Calibri" w:eastAsia="Calibri" w:hAnsi="Calibri" w:cs="Times New Roman"/>
        </w:rPr>
      </w:pPr>
      <w:r w:rsidRPr="004526EC">
        <w:rPr>
          <w:rFonts w:ascii="Calibri" w:eastAsia="Calibri" w:hAnsi="Calibri" w:cs="Times New Roman"/>
        </w:rPr>
        <w:t>Australian industry shows a greater propensity with new</w:t>
      </w:r>
      <w:r w:rsidR="00A74A06">
        <w:rPr>
          <w:rFonts w:ascii="Calibri" w:eastAsia="Calibri" w:hAnsi="Calibri" w:cs="Times New Roman"/>
        </w:rPr>
        <w:t>-</w:t>
      </w:r>
      <w:r w:rsidRPr="004526EC">
        <w:rPr>
          <w:rFonts w:ascii="Calibri" w:eastAsia="Calibri" w:hAnsi="Calibri" w:cs="Times New Roman"/>
        </w:rPr>
        <w:t>to</w:t>
      </w:r>
      <w:r w:rsidR="00A74A06">
        <w:rPr>
          <w:rFonts w:ascii="Calibri" w:eastAsia="Calibri" w:hAnsi="Calibri" w:cs="Times New Roman"/>
        </w:rPr>
        <w:t>-</w:t>
      </w:r>
      <w:r w:rsidRPr="004526EC">
        <w:rPr>
          <w:rFonts w:ascii="Calibri" w:eastAsia="Calibri" w:hAnsi="Calibri" w:cs="Times New Roman"/>
        </w:rPr>
        <w:t xml:space="preserve">business innovation. </w:t>
      </w:r>
      <w:r w:rsidR="00A74A06">
        <w:rPr>
          <w:rFonts w:ascii="Calibri" w:eastAsia="Calibri" w:hAnsi="Calibri" w:cs="Times New Roman"/>
        </w:rPr>
        <w:t>This includes</w:t>
      </w:r>
      <w:r w:rsidRPr="004526EC">
        <w:rPr>
          <w:rFonts w:ascii="Calibri" w:eastAsia="Calibri" w:hAnsi="Calibri" w:cs="Times New Roman"/>
        </w:rPr>
        <w:t xml:space="preserve"> </w:t>
      </w:r>
      <w:r w:rsidR="00A74A06">
        <w:rPr>
          <w:rFonts w:ascii="Calibri" w:eastAsia="Calibri" w:hAnsi="Calibri" w:cs="Times New Roman"/>
        </w:rPr>
        <w:t xml:space="preserve">adopting </w:t>
      </w:r>
      <w:r w:rsidR="00A41E85">
        <w:rPr>
          <w:rFonts w:ascii="Calibri" w:eastAsia="Calibri" w:hAnsi="Calibri" w:cs="Times New Roman"/>
        </w:rPr>
        <w:t>already proven</w:t>
      </w:r>
      <w:r w:rsidRPr="004526EC">
        <w:rPr>
          <w:rFonts w:ascii="Calibri" w:eastAsia="Calibri" w:hAnsi="Calibri" w:cs="Times New Roman"/>
        </w:rPr>
        <w:t xml:space="preserve"> technology</w:t>
      </w:r>
      <w:r>
        <w:rPr>
          <w:rFonts w:ascii="Calibri" w:eastAsia="Calibri" w:hAnsi="Calibri" w:cs="Times New Roman"/>
        </w:rPr>
        <w:t xml:space="preserve"> or </w:t>
      </w:r>
      <w:r w:rsidR="00A74A06">
        <w:rPr>
          <w:rFonts w:ascii="Calibri" w:eastAsia="Calibri" w:hAnsi="Calibri" w:cs="Times New Roman"/>
        </w:rPr>
        <w:t>adopting and implementing</w:t>
      </w:r>
      <w:r>
        <w:rPr>
          <w:rFonts w:ascii="Calibri" w:eastAsia="Calibri" w:hAnsi="Calibri" w:cs="Times New Roman"/>
        </w:rPr>
        <w:t xml:space="preserve"> new business processes</w:t>
      </w:r>
      <w:r w:rsidR="000A639B">
        <w:rPr>
          <w:rFonts w:ascii="Calibri" w:eastAsia="Calibri" w:hAnsi="Calibri" w:cs="Times New Roman"/>
        </w:rPr>
        <w:t xml:space="preserve">, </w:t>
      </w:r>
      <w:r w:rsidR="00A41E85">
        <w:rPr>
          <w:rFonts w:ascii="Calibri" w:eastAsia="Calibri" w:hAnsi="Calibri" w:cs="Times New Roman"/>
        </w:rPr>
        <w:t xml:space="preserve">rather than </w:t>
      </w:r>
      <w:r w:rsidR="00A74A06">
        <w:rPr>
          <w:rFonts w:ascii="Calibri" w:eastAsia="Calibri" w:hAnsi="Calibri" w:cs="Times New Roman"/>
        </w:rPr>
        <w:t>new-to-world or new-to-market</w:t>
      </w:r>
      <w:r w:rsidR="00A41E85">
        <w:rPr>
          <w:rFonts w:ascii="Calibri" w:eastAsia="Calibri" w:hAnsi="Calibri" w:cs="Times New Roman"/>
        </w:rPr>
        <w:t xml:space="preserve"> innovation.</w:t>
      </w:r>
      <w:r w:rsidRPr="004526EC">
        <w:rPr>
          <w:rFonts w:ascii="Calibri" w:eastAsia="Calibri" w:hAnsi="Calibri" w:cs="Times New Roman"/>
        </w:rPr>
        <w:t xml:space="preserve">  </w:t>
      </w:r>
    </w:p>
    <w:p w14:paraId="53BA7761" w14:textId="44318AFE" w:rsidR="0075206A" w:rsidRDefault="000A639B" w:rsidP="00B72FF2">
      <w:pPr>
        <w:spacing w:line="240" w:lineRule="auto"/>
        <w:rPr>
          <w:rFonts w:ascii="Calibri" w:eastAsia="Calibri" w:hAnsi="Calibri" w:cs="Times New Roman"/>
        </w:rPr>
      </w:pPr>
      <w:r w:rsidRPr="000A639B">
        <w:rPr>
          <w:rFonts w:ascii="Calibri" w:eastAsia="Calibri" w:hAnsi="Calibri" w:cs="Times New Roman"/>
        </w:rPr>
        <w:t xml:space="preserve">Australia performs relatively well among the </w:t>
      </w:r>
      <w:r w:rsidR="00EC61E5" w:rsidRPr="00F149E0">
        <w:t xml:space="preserve">Organization for Economic Cooperation and Development </w:t>
      </w:r>
      <w:r w:rsidR="00EC61E5">
        <w:t>(</w:t>
      </w:r>
      <w:r w:rsidRPr="000A639B">
        <w:rPr>
          <w:rFonts w:ascii="Calibri" w:eastAsia="Calibri" w:hAnsi="Calibri" w:cs="Times New Roman"/>
        </w:rPr>
        <w:t>OECD</w:t>
      </w:r>
      <w:r w:rsidR="00EC61E5">
        <w:rPr>
          <w:rFonts w:ascii="Calibri" w:eastAsia="Calibri" w:hAnsi="Calibri" w:cs="Times New Roman"/>
        </w:rPr>
        <w:t>)</w:t>
      </w:r>
      <w:r w:rsidRPr="000A639B">
        <w:rPr>
          <w:rFonts w:ascii="Calibri" w:eastAsia="Calibri" w:hAnsi="Calibri" w:cs="Times New Roman"/>
        </w:rPr>
        <w:t xml:space="preserve"> (8</w:t>
      </w:r>
      <w:r w:rsidR="00657497" w:rsidRPr="00A32BA6">
        <w:rPr>
          <w:rFonts w:ascii="Calibri" w:eastAsia="Calibri" w:hAnsi="Calibri" w:cs="Times New Roman"/>
          <w:vertAlign w:val="superscript"/>
        </w:rPr>
        <w:t>th</w:t>
      </w:r>
      <w:r w:rsidR="00657497">
        <w:rPr>
          <w:rFonts w:ascii="Calibri" w:eastAsia="Calibri" w:hAnsi="Calibri" w:cs="Times New Roman"/>
        </w:rPr>
        <w:t xml:space="preserve"> </w:t>
      </w:r>
      <w:r w:rsidRPr="000A639B">
        <w:rPr>
          <w:rFonts w:ascii="Calibri" w:eastAsia="Calibri" w:hAnsi="Calibri" w:cs="Times New Roman"/>
        </w:rPr>
        <w:t>out of 27</w:t>
      </w:r>
      <w:r w:rsidR="00657497">
        <w:rPr>
          <w:rFonts w:ascii="Calibri" w:eastAsia="Calibri" w:hAnsi="Calibri" w:cs="Times New Roman"/>
        </w:rPr>
        <w:t xml:space="preserve"> countries</w:t>
      </w:r>
      <w:r w:rsidRPr="000A639B">
        <w:rPr>
          <w:rFonts w:ascii="Calibri" w:eastAsia="Calibri" w:hAnsi="Calibri" w:cs="Times New Roman"/>
        </w:rPr>
        <w:t>) in overall introduction of innovation. More than 80% of these innovations are new to the business, in other words</w:t>
      </w:r>
      <w:r w:rsidR="00A74A06">
        <w:rPr>
          <w:rFonts w:ascii="Calibri" w:eastAsia="Calibri" w:hAnsi="Calibri" w:cs="Times New Roman"/>
        </w:rPr>
        <w:t>,</w:t>
      </w:r>
      <w:r w:rsidRPr="000A639B">
        <w:rPr>
          <w:rFonts w:ascii="Calibri" w:eastAsia="Calibri" w:hAnsi="Calibri" w:cs="Times New Roman"/>
        </w:rPr>
        <w:t xml:space="preserve"> adoptions or adaptations from other businesses’ innovations</w:t>
      </w:r>
      <w:r w:rsidR="00F639D7">
        <w:rPr>
          <w:rFonts w:ascii="Calibri" w:eastAsia="Calibri" w:hAnsi="Calibri" w:cs="Times New Roman"/>
        </w:rPr>
        <w:t xml:space="preserve"> (</w:t>
      </w:r>
      <w:r w:rsidR="00F639D7" w:rsidRPr="00F639D7">
        <w:rPr>
          <w:rFonts w:ascii="Calibri" w:eastAsia="Calibri" w:hAnsi="Calibri" w:cs="Times New Roman"/>
          <w:b/>
          <w:bCs/>
        </w:rPr>
        <w:t xml:space="preserve">Chart </w:t>
      </w:r>
      <w:r w:rsidR="00CD6ECE">
        <w:rPr>
          <w:rFonts w:ascii="Calibri" w:eastAsia="Calibri" w:hAnsi="Calibri" w:cs="Times New Roman"/>
          <w:b/>
          <w:bCs/>
        </w:rPr>
        <w:t>6</w:t>
      </w:r>
      <w:r w:rsidR="00F639D7">
        <w:rPr>
          <w:rFonts w:ascii="Calibri" w:eastAsia="Calibri" w:hAnsi="Calibri" w:cs="Times New Roman"/>
        </w:rPr>
        <w:t>)</w:t>
      </w:r>
      <w:r w:rsidRPr="000A639B">
        <w:rPr>
          <w:rFonts w:ascii="Calibri" w:eastAsia="Calibri" w:hAnsi="Calibri" w:cs="Times New Roman"/>
        </w:rPr>
        <w:t>.</w:t>
      </w:r>
      <w:r>
        <w:rPr>
          <w:rFonts w:ascii="Calibri" w:eastAsia="Calibri" w:hAnsi="Calibri" w:cs="Times New Roman"/>
        </w:rPr>
        <w:t xml:space="preserve"> </w:t>
      </w:r>
    </w:p>
    <w:p w14:paraId="32EF0961" w14:textId="77777777" w:rsidR="00BF05AD" w:rsidRDefault="00BF05AD">
      <w:pPr>
        <w:rPr>
          <w:b/>
          <w:i/>
          <w:color w:val="686868" w:themeColor="text2"/>
          <w:szCs w:val="18"/>
        </w:rPr>
      </w:pPr>
      <w:r>
        <w:rPr>
          <w:b/>
          <w:i/>
          <w:color w:val="686868" w:themeColor="text2"/>
          <w:szCs w:val="18"/>
        </w:rPr>
        <w:br w:type="page"/>
      </w:r>
    </w:p>
    <w:p w14:paraId="7222EF6F" w14:textId="4F8A72EE" w:rsidR="00F71988" w:rsidRPr="00F132D3" w:rsidRDefault="00F71988" w:rsidP="00CD04F8">
      <w:pPr>
        <w:spacing w:before="100" w:beforeAutospacing="1" w:after="100" w:afterAutospacing="1" w:line="240" w:lineRule="auto"/>
        <w:rPr>
          <w:b/>
          <w:iCs/>
          <w:szCs w:val="18"/>
        </w:rPr>
      </w:pPr>
      <w:r w:rsidRPr="00F132D3">
        <w:rPr>
          <w:b/>
          <w:iCs/>
          <w:szCs w:val="18"/>
        </w:rPr>
        <w:t xml:space="preserve">Chart </w:t>
      </w:r>
      <w:r w:rsidR="00CD6ECE" w:rsidRPr="00F132D3">
        <w:rPr>
          <w:b/>
          <w:iCs/>
          <w:szCs w:val="18"/>
        </w:rPr>
        <w:t>6</w:t>
      </w:r>
      <w:r w:rsidRPr="00F132D3">
        <w:rPr>
          <w:b/>
          <w:iCs/>
          <w:szCs w:val="18"/>
        </w:rPr>
        <w:t xml:space="preserve">: </w:t>
      </w:r>
      <w:r w:rsidR="00130F35" w:rsidRPr="00F132D3">
        <w:rPr>
          <w:b/>
          <w:bCs/>
          <w:iCs/>
          <w:szCs w:val="18"/>
        </w:rPr>
        <w:t>Percent</w:t>
      </w:r>
      <w:r w:rsidRPr="00F132D3">
        <w:rPr>
          <w:b/>
          <w:iCs/>
          <w:szCs w:val="18"/>
        </w:rPr>
        <w:t xml:space="preserve">age of businesses introducing innovation </w:t>
      </w:r>
      <w:r w:rsidR="00574B33" w:rsidRPr="00574B33">
        <w:rPr>
          <w:rFonts w:ascii="Calibri" w:eastAsia="Calibri" w:hAnsi="Calibri" w:cs="Times New Roman"/>
        </w:rPr>
        <w:t>–</w:t>
      </w:r>
      <w:r w:rsidRPr="00F132D3">
        <w:rPr>
          <w:b/>
          <w:iCs/>
          <w:szCs w:val="18"/>
        </w:rPr>
        <w:t xml:space="preserve"> Australia ranks 8</w:t>
      </w:r>
      <w:r w:rsidR="00657497" w:rsidRPr="00A8630A">
        <w:rPr>
          <w:b/>
          <w:iCs/>
          <w:szCs w:val="18"/>
          <w:vertAlign w:val="superscript"/>
        </w:rPr>
        <w:t>th</w:t>
      </w:r>
      <w:r w:rsidRPr="00F132D3">
        <w:rPr>
          <w:b/>
          <w:iCs/>
          <w:szCs w:val="18"/>
        </w:rPr>
        <w:t xml:space="preserve"> out of 27 </w:t>
      </w:r>
      <w:r w:rsidR="006E11F3" w:rsidRPr="006E11F3">
        <w:rPr>
          <w:b/>
          <w:iCs/>
          <w:szCs w:val="18"/>
        </w:rPr>
        <w:t xml:space="preserve">Organization for Economic Cooperation and Development </w:t>
      </w:r>
      <w:r w:rsidR="006E11F3">
        <w:rPr>
          <w:b/>
          <w:iCs/>
          <w:szCs w:val="18"/>
        </w:rPr>
        <w:t>(</w:t>
      </w:r>
      <w:r w:rsidRPr="00F132D3">
        <w:rPr>
          <w:b/>
          <w:iCs/>
          <w:szCs w:val="18"/>
        </w:rPr>
        <w:t>OECD</w:t>
      </w:r>
      <w:r w:rsidR="006E11F3">
        <w:rPr>
          <w:b/>
          <w:iCs/>
          <w:szCs w:val="18"/>
        </w:rPr>
        <w:t>)</w:t>
      </w:r>
      <w:r w:rsidRPr="00F132D3">
        <w:rPr>
          <w:b/>
          <w:iCs/>
          <w:szCs w:val="18"/>
        </w:rPr>
        <w:t xml:space="preserve"> </w:t>
      </w:r>
      <w:r w:rsidR="00F5298D" w:rsidRPr="00F132D3">
        <w:rPr>
          <w:b/>
          <w:iCs/>
          <w:szCs w:val="18"/>
        </w:rPr>
        <w:t>countries.</w:t>
      </w:r>
      <w:r w:rsidR="00C86963">
        <w:rPr>
          <w:b/>
          <w:iCs/>
          <w:szCs w:val="18"/>
        </w:rPr>
        <w:t xml:space="preserve"> </w:t>
      </w:r>
      <w:r w:rsidR="00CA225A" w:rsidRPr="00CA225A">
        <w:rPr>
          <w:b/>
          <w:bCs/>
          <w:iCs/>
          <w:szCs w:val="18"/>
        </w:rPr>
        <w:t>Refer to Appendix 6: Additional data tables for</w:t>
      </w:r>
      <w:r w:rsidR="00CA225A" w:rsidRPr="00CA225A">
        <w:rPr>
          <w:b/>
          <w:bCs/>
          <w:iCs/>
        </w:rPr>
        <w:t xml:space="preserve"> the</w:t>
      </w:r>
      <w:r w:rsidR="00CA225A">
        <w:t xml:space="preserve"> </w:t>
      </w:r>
      <w:hyperlink w:anchor="_Chart_6:_Percentage" w:history="1">
        <w:r w:rsidR="00CA225A" w:rsidRPr="00C86963">
          <w:rPr>
            <w:rStyle w:val="Hyperlink"/>
            <w:b/>
            <w:iCs/>
            <w:szCs w:val="18"/>
          </w:rPr>
          <w:t>d</w:t>
        </w:r>
        <w:r w:rsidR="00C86963" w:rsidRPr="00C86963">
          <w:rPr>
            <w:rStyle w:val="Hyperlink"/>
            <w:b/>
            <w:iCs/>
            <w:szCs w:val="18"/>
          </w:rPr>
          <w:t>ata table for chart 6.</w:t>
        </w:r>
      </w:hyperlink>
    </w:p>
    <w:p w14:paraId="389CEAA2" w14:textId="688F988A" w:rsidR="00F639D7" w:rsidRDefault="00F639D7" w:rsidP="00B61A35">
      <w:pPr>
        <w:spacing w:before="100" w:beforeAutospacing="1" w:after="100" w:afterAutospacing="1" w:line="240" w:lineRule="auto"/>
        <w:jc w:val="center"/>
        <w:rPr>
          <w:rFonts w:ascii="Calibri" w:eastAsia="Calibri" w:hAnsi="Calibri" w:cs="Times New Roman"/>
        </w:rPr>
      </w:pPr>
      <w:r w:rsidRPr="00B61A35">
        <w:rPr>
          <w:rFonts w:ascii="Calibri" w:eastAsia="Calibri" w:hAnsi="Calibri" w:cs="Times New Roman"/>
          <w:noProof/>
          <w:color w:val="2B579A"/>
        </w:rPr>
        <w:drawing>
          <wp:inline distT="0" distB="0" distL="0" distR="0" wp14:anchorId="3B2D70B5" wp14:editId="22214ED2">
            <wp:extent cx="5400000" cy="2880000"/>
            <wp:effectExtent l="0" t="0" r="0" b="0"/>
            <wp:docPr id="238" name="Chart 238" descr="Column chart of percentage of businesses introducing innovation in each Organisation for Economic Cooperation and Development (OECD) country, showing that Australia ranks eighth out of twenty-seven countries, with approximately sixty percent of its businesses introducing innovation. ">
              <a:extLst xmlns:a="http://schemas.openxmlformats.org/drawingml/2006/main">
                <a:ext uri="{FF2B5EF4-FFF2-40B4-BE49-F238E27FC236}">
                  <a16:creationId xmlns:a16="http://schemas.microsoft.com/office/drawing/2014/main" id="{7899BC71-788D-1CE1-8FFA-68495316ED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A885BB" w14:textId="77777777" w:rsidR="00E7376A" w:rsidRPr="00975D29" w:rsidRDefault="00E7376A" w:rsidP="00E7376A">
      <w:pPr>
        <w:rPr>
          <w:sz w:val="18"/>
          <w:szCs w:val="18"/>
        </w:rPr>
      </w:pPr>
      <w:r w:rsidRPr="008843B7">
        <w:rPr>
          <w:sz w:val="18"/>
          <w:szCs w:val="18"/>
        </w:rPr>
        <w:t xml:space="preserve">Source: </w:t>
      </w:r>
      <w:r w:rsidRPr="00AF1CE5">
        <w:rPr>
          <w:sz w:val="18"/>
          <w:szCs w:val="18"/>
        </w:rPr>
        <w:t xml:space="preserve">Organisation for Economic Cooperation and Development (OECD) (2021) </w:t>
      </w:r>
      <w:hyperlink r:id="rId28" w:history="1">
        <w:r w:rsidRPr="00AF1CE5">
          <w:rPr>
            <w:rStyle w:val="Hyperlink"/>
            <w:i/>
            <w:iCs/>
            <w:sz w:val="18"/>
            <w:szCs w:val="18"/>
          </w:rPr>
          <w:t>Business innovation statistics and indicators</w:t>
        </w:r>
      </w:hyperlink>
      <w:r w:rsidRPr="00AF1CE5">
        <w:rPr>
          <w:sz w:val="18"/>
          <w:szCs w:val="18"/>
        </w:rPr>
        <w:t>, OECD website, last accessed 24 November 2023.</w:t>
      </w:r>
    </w:p>
    <w:p w14:paraId="2077A6DC" w14:textId="64F720E5" w:rsidR="000A639B" w:rsidRDefault="000A639B" w:rsidP="003B5B5E">
      <w:pPr>
        <w:spacing w:before="100" w:beforeAutospacing="1" w:after="100" w:afterAutospacing="1" w:line="240" w:lineRule="auto"/>
        <w:rPr>
          <w:rFonts w:ascii="Calibri" w:eastAsia="Calibri" w:hAnsi="Calibri" w:cs="Times New Roman"/>
        </w:rPr>
      </w:pPr>
      <w:r w:rsidRPr="000A639B">
        <w:rPr>
          <w:rFonts w:ascii="Calibri" w:eastAsia="Calibri" w:hAnsi="Calibri" w:cs="Times New Roman"/>
        </w:rPr>
        <w:t xml:space="preserve">Australian </w:t>
      </w:r>
      <w:r w:rsidR="00671080">
        <w:rPr>
          <w:rFonts w:ascii="Calibri" w:eastAsia="Calibri" w:hAnsi="Calibri" w:cs="Times New Roman"/>
        </w:rPr>
        <w:t>businesses</w:t>
      </w:r>
      <w:r w:rsidRPr="000A639B">
        <w:rPr>
          <w:rFonts w:ascii="Calibri" w:eastAsia="Calibri" w:hAnsi="Calibri" w:cs="Times New Roman"/>
        </w:rPr>
        <w:t xml:space="preserve"> </w:t>
      </w:r>
      <w:r>
        <w:rPr>
          <w:rFonts w:ascii="Calibri" w:eastAsia="Calibri" w:hAnsi="Calibri" w:cs="Times New Roman"/>
        </w:rPr>
        <w:t xml:space="preserve">lag </w:t>
      </w:r>
      <w:r w:rsidR="009C627A">
        <w:rPr>
          <w:rFonts w:ascii="Calibri" w:eastAsia="Calibri" w:hAnsi="Calibri" w:cs="Times New Roman"/>
        </w:rPr>
        <w:t>on</w:t>
      </w:r>
      <w:r>
        <w:rPr>
          <w:rFonts w:ascii="Calibri" w:eastAsia="Calibri" w:hAnsi="Calibri" w:cs="Times New Roman"/>
        </w:rPr>
        <w:t xml:space="preserve"> </w:t>
      </w:r>
      <w:r w:rsidRPr="000A639B">
        <w:rPr>
          <w:rFonts w:ascii="Calibri" w:eastAsia="Calibri" w:hAnsi="Calibri" w:cs="Times New Roman"/>
        </w:rPr>
        <w:t>commercialisation of new</w:t>
      </w:r>
      <w:r w:rsidR="009C627A">
        <w:rPr>
          <w:rFonts w:ascii="Calibri" w:eastAsia="Calibri" w:hAnsi="Calibri" w:cs="Times New Roman"/>
        </w:rPr>
        <w:t>-</w:t>
      </w:r>
      <w:r w:rsidRPr="000A639B">
        <w:rPr>
          <w:rFonts w:ascii="Calibri" w:eastAsia="Calibri" w:hAnsi="Calibri" w:cs="Times New Roman"/>
        </w:rPr>
        <w:t>to</w:t>
      </w:r>
      <w:r w:rsidR="009C627A">
        <w:rPr>
          <w:rFonts w:ascii="Calibri" w:eastAsia="Calibri" w:hAnsi="Calibri" w:cs="Times New Roman"/>
        </w:rPr>
        <w:t>-</w:t>
      </w:r>
      <w:r w:rsidRPr="000A639B">
        <w:rPr>
          <w:rFonts w:ascii="Calibri" w:eastAsia="Calibri" w:hAnsi="Calibri" w:cs="Times New Roman"/>
        </w:rPr>
        <w:t>market innovations</w:t>
      </w:r>
      <w:r w:rsidR="0075206A">
        <w:rPr>
          <w:rFonts w:ascii="Calibri" w:eastAsia="Calibri" w:hAnsi="Calibri" w:cs="Times New Roman"/>
        </w:rPr>
        <w:t xml:space="preserve"> (26</w:t>
      </w:r>
      <w:r w:rsidR="009E3F8A" w:rsidRPr="00340509">
        <w:rPr>
          <w:rFonts w:ascii="Calibri" w:eastAsia="Calibri" w:hAnsi="Calibri" w:cs="Times New Roman"/>
          <w:vertAlign w:val="superscript"/>
        </w:rPr>
        <w:t>th</w:t>
      </w:r>
      <w:r w:rsidR="0075206A">
        <w:rPr>
          <w:rFonts w:ascii="Calibri" w:eastAsia="Calibri" w:hAnsi="Calibri" w:cs="Times New Roman"/>
        </w:rPr>
        <w:t xml:space="preserve"> out of 34 OECD countries</w:t>
      </w:r>
      <w:r w:rsidR="009C627A">
        <w:rPr>
          <w:rFonts w:ascii="Calibri" w:eastAsia="Calibri" w:hAnsi="Calibri" w:cs="Times New Roman"/>
        </w:rPr>
        <w:t>).</w:t>
      </w:r>
      <w:r>
        <w:rPr>
          <w:rFonts w:ascii="Calibri" w:eastAsia="Calibri" w:hAnsi="Calibri" w:cs="Times New Roman"/>
        </w:rPr>
        <w:t xml:space="preserve"> </w:t>
      </w:r>
      <w:r w:rsidR="009C627A">
        <w:rPr>
          <w:rFonts w:ascii="Calibri" w:eastAsia="Calibri" w:hAnsi="Calibri" w:cs="Times New Roman"/>
        </w:rPr>
        <w:t>On</w:t>
      </w:r>
      <w:r w:rsidR="002021CF" w:rsidRPr="002021CF">
        <w:rPr>
          <w:rFonts w:ascii="Calibri" w:eastAsia="Calibri" w:hAnsi="Calibri" w:cs="Times New Roman"/>
        </w:rPr>
        <w:t xml:space="preserve">ly 11% of </w:t>
      </w:r>
      <w:r w:rsidR="009C627A">
        <w:rPr>
          <w:rFonts w:ascii="Calibri" w:eastAsia="Calibri" w:hAnsi="Calibri" w:cs="Times New Roman"/>
        </w:rPr>
        <w:t>Australian businesses undertake</w:t>
      </w:r>
      <w:r w:rsidR="002021CF" w:rsidRPr="002021CF">
        <w:rPr>
          <w:rFonts w:ascii="Calibri" w:eastAsia="Calibri" w:hAnsi="Calibri" w:cs="Times New Roman"/>
        </w:rPr>
        <w:t xml:space="preserve"> this type of innovation</w:t>
      </w:r>
      <w:r w:rsidR="002021CF">
        <w:rPr>
          <w:rFonts w:ascii="Calibri" w:eastAsia="Calibri" w:hAnsi="Calibri" w:cs="Times New Roman"/>
        </w:rPr>
        <w:t xml:space="preserve"> </w:t>
      </w:r>
      <w:r>
        <w:rPr>
          <w:rFonts w:ascii="Calibri" w:eastAsia="Calibri" w:hAnsi="Calibri" w:cs="Times New Roman"/>
        </w:rPr>
        <w:t>(</w:t>
      </w:r>
      <w:r w:rsidR="00CD6ECE">
        <w:rPr>
          <w:rFonts w:ascii="Calibri" w:eastAsia="Calibri" w:hAnsi="Calibri" w:cs="Times New Roman"/>
          <w:b/>
          <w:bCs/>
        </w:rPr>
        <w:t>Chart 7</w:t>
      </w:r>
      <w:r w:rsidRPr="00900E1C">
        <w:rPr>
          <w:rFonts w:ascii="Calibri" w:eastAsia="Calibri" w:hAnsi="Calibri" w:cs="Times New Roman"/>
        </w:rPr>
        <w:t>)</w:t>
      </w:r>
      <w:r w:rsidR="0075206A" w:rsidRPr="00900E1C">
        <w:rPr>
          <w:rFonts w:ascii="Calibri" w:eastAsia="Calibri" w:hAnsi="Calibri" w:cs="Times New Roman"/>
        </w:rPr>
        <w:t>.</w:t>
      </w:r>
    </w:p>
    <w:p w14:paraId="3B3199AB" w14:textId="77B5ED58" w:rsidR="00EF6FDA" w:rsidRPr="00F132D3" w:rsidRDefault="00EF6FDA" w:rsidP="00A43905">
      <w:pPr>
        <w:spacing w:before="120" w:after="120" w:line="240" w:lineRule="auto"/>
        <w:rPr>
          <w:b/>
          <w:iCs/>
          <w:szCs w:val="18"/>
        </w:rPr>
      </w:pPr>
      <w:r w:rsidRPr="00F132D3">
        <w:rPr>
          <w:b/>
          <w:iCs/>
          <w:szCs w:val="18"/>
        </w:rPr>
        <w:t xml:space="preserve">Chart </w:t>
      </w:r>
      <w:r w:rsidR="00CD6ECE" w:rsidRPr="00F132D3">
        <w:rPr>
          <w:b/>
          <w:bCs/>
          <w:iCs/>
          <w:szCs w:val="18"/>
        </w:rPr>
        <w:t>7</w:t>
      </w:r>
      <w:r w:rsidRPr="00F132D3">
        <w:rPr>
          <w:b/>
          <w:iCs/>
          <w:szCs w:val="18"/>
        </w:rPr>
        <w:t xml:space="preserve">: </w:t>
      </w:r>
      <w:r w:rsidR="00130F35" w:rsidRPr="00F132D3">
        <w:rPr>
          <w:b/>
          <w:bCs/>
          <w:iCs/>
          <w:szCs w:val="18"/>
        </w:rPr>
        <w:t>Percent</w:t>
      </w:r>
      <w:r w:rsidRPr="00F132D3">
        <w:rPr>
          <w:b/>
          <w:iCs/>
          <w:szCs w:val="18"/>
        </w:rPr>
        <w:t xml:space="preserve">age of </w:t>
      </w:r>
      <w:r w:rsidR="00671080" w:rsidRPr="00F132D3">
        <w:rPr>
          <w:b/>
          <w:bCs/>
          <w:iCs/>
          <w:szCs w:val="18"/>
        </w:rPr>
        <w:t>businesses</w:t>
      </w:r>
      <w:r w:rsidRPr="00F132D3">
        <w:rPr>
          <w:b/>
          <w:iCs/>
          <w:szCs w:val="18"/>
        </w:rPr>
        <w:t xml:space="preserve"> introducing new</w:t>
      </w:r>
      <w:r w:rsidR="009C627A">
        <w:rPr>
          <w:b/>
          <w:iCs/>
          <w:szCs w:val="18"/>
        </w:rPr>
        <w:t>-</w:t>
      </w:r>
      <w:r w:rsidRPr="00F132D3">
        <w:rPr>
          <w:b/>
          <w:iCs/>
          <w:szCs w:val="18"/>
        </w:rPr>
        <w:t>to</w:t>
      </w:r>
      <w:r w:rsidR="009C627A">
        <w:rPr>
          <w:b/>
          <w:iCs/>
          <w:szCs w:val="18"/>
        </w:rPr>
        <w:t>-</w:t>
      </w:r>
      <w:r w:rsidRPr="00F132D3">
        <w:rPr>
          <w:b/>
          <w:iCs/>
          <w:szCs w:val="18"/>
        </w:rPr>
        <w:t xml:space="preserve">market goods and services innovation </w:t>
      </w:r>
      <w:r w:rsidR="00574B33" w:rsidRPr="00574B33">
        <w:rPr>
          <w:rFonts w:ascii="Calibri" w:eastAsia="Calibri" w:hAnsi="Calibri" w:cs="Times New Roman"/>
        </w:rPr>
        <w:t>–</w:t>
      </w:r>
      <w:r w:rsidRPr="00F132D3">
        <w:rPr>
          <w:b/>
          <w:iCs/>
          <w:szCs w:val="18"/>
        </w:rPr>
        <w:t xml:space="preserve"> Australia ranks 26</w:t>
      </w:r>
      <w:r w:rsidR="00F53E5F" w:rsidRPr="008D68EF">
        <w:rPr>
          <w:b/>
          <w:iCs/>
          <w:szCs w:val="18"/>
          <w:vertAlign w:val="superscript"/>
        </w:rPr>
        <w:t>th</w:t>
      </w:r>
      <w:r w:rsidRPr="00F132D3">
        <w:rPr>
          <w:b/>
          <w:iCs/>
          <w:szCs w:val="18"/>
        </w:rPr>
        <w:t xml:space="preserve"> out of 34 OECD </w:t>
      </w:r>
      <w:r w:rsidR="00F5298D" w:rsidRPr="00F132D3">
        <w:rPr>
          <w:b/>
          <w:iCs/>
          <w:szCs w:val="18"/>
        </w:rPr>
        <w:t>countries.</w:t>
      </w:r>
      <w:r w:rsidRPr="00F132D3">
        <w:rPr>
          <w:b/>
          <w:iCs/>
          <w:szCs w:val="18"/>
        </w:rPr>
        <w:t xml:space="preserve"> </w:t>
      </w:r>
      <w:r w:rsidR="00CA225A" w:rsidRPr="00CA225A">
        <w:rPr>
          <w:b/>
          <w:iCs/>
          <w:szCs w:val="18"/>
        </w:rPr>
        <w:t xml:space="preserve">Refer to Appendix 6: Additional data tables for the </w:t>
      </w:r>
      <w:hyperlink w:anchor="_Chart_7:_Percentage" w:history="1">
        <w:r w:rsidR="00CA225A" w:rsidRPr="00284155">
          <w:rPr>
            <w:rStyle w:val="Hyperlink"/>
            <w:b/>
            <w:iCs/>
            <w:szCs w:val="18"/>
          </w:rPr>
          <w:t>d</w:t>
        </w:r>
        <w:r w:rsidR="00284155" w:rsidRPr="00284155">
          <w:rPr>
            <w:rStyle w:val="Hyperlink"/>
            <w:b/>
            <w:iCs/>
            <w:szCs w:val="18"/>
          </w:rPr>
          <w:t>ata table for chart 7</w:t>
        </w:r>
      </w:hyperlink>
      <w:r w:rsidR="00CA225A">
        <w:rPr>
          <w:rStyle w:val="Hyperlink"/>
          <w:b/>
          <w:iCs/>
          <w:szCs w:val="18"/>
        </w:rPr>
        <w:t>.</w:t>
      </w:r>
    </w:p>
    <w:p w14:paraId="5448A7CF" w14:textId="1222F0BE" w:rsidR="00BE03CF" w:rsidRDefault="005C3AD0" w:rsidP="00CD04F8">
      <w:pPr>
        <w:spacing w:before="100" w:beforeAutospacing="1" w:after="100" w:afterAutospacing="1" w:line="240" w:lineRule="auto"/>
        <w:rPr>
          <w:rFonts w:ascii="Calibri" w:eastAsia="Calibri" w:hAnsi="Calibri" w:cs="Times New Roman"/>
        </w:rPr>
      </w:pPr>
      <w:r>
        <w:rPr>
          <w:noProof/>
        </w:rPr>
        <w:drawing>
          <wp:inline distT="0" distB="0" distL="0" distR="0" wp14:anchorId="7EEA0F34" wp14:editId="66039581">
            <wp:extent cx="5549900" cy="2879725"/>
            <wp:effectExtent l="0" t="0" r="0" b="0"/>
            <wp:docPr id="48" name="Chart 48" descr="Column chart of businesses introducing new-to-market good and services innovation in each OECD country, showing that Australia ranks twenty-sixth out of thirty-four countries, with approximately twelve percent of its businesses introducing new-to-market goods and services innovation.">
              <a:extLst xmlns:a="http://schemas.openxmlformats.org/drawingml/2006/main">
                <a:ext uri="{FF2B5EF4-FFF2-40B4-BE49-F238E27FC236}">
                  <a16:creationId xmlns:a16="http://schemas.microsoft.com/office/drawing/2014/main" id="{9D99BE56-7447-DD66-F9A8-31A057962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17A5262" w14:textId="427CBBE5" w:rsidR="00E9564E" w:rsidRPr="00E9564E" w:rsidRDefault="00E9564E" w:rsidP="00E9564E">
      <w:pPr>
        <w:rPr>
          <w:sz w:val="18"/>
          <w:szCs w:val="18"/>
        </w:rPr>
      </w:pPr>
      <w:r w:rsidRPr="008843B7">
        <w:rPr>
          <w:sz w:val="18"/>
          <w:szCs w:val="18"/>
        </w:rPr>
        <w:t xml:space="preserve">Source: </w:t>
      </w:r>
      <w:r w:rsidRPr="00DB2A3D">
        <w:rPr>
          <w:sz w:val="18"/>
          <w:szCs w:val="18"/>
        </w:rPr>
        <w:t xml:space="preserve">Organisation for Economic Cooperation and Development (OECD) (2021) </w:t>
      </w:r>
      <w:hyperlink r:id="rId30" w:history="1">
        <w:r w:rsidRPr="00DB2A3D">
          <w:rPr>
            <w:rStyle w:val="Hyperlink"/>
            <w:i/>
            <w:iCs/>
            <w:sz w:val="18"/>
            <w:szCs w:val="18"/>
          </w:rPr>
          <w:t>Business innovation statistics and indicators</w:t>
        </w:r>
      </w:hyperlink>
      <w:r w:rsidRPr="00DB2A3D">
        <w:rPr>
          <w:sz w:val="18"/>
          <w:szCs w:val="18"/>
        </w:rPr>
        <w:t>, OECD website, last accessed 24 November 2023.</w:t>
      </w:r>
    </w:p>
    <w:p w14:paraId="51E894AB" w14:textId="151ACB6D" w:rsidR="00651A4F" w:rsidRDefault="0017776A" w:rsidP="0024164D">
      <w:r w:rsidRPr="000A639B">
        <w:t>Australian business</w:t>
      </w:r>
      <w:r>
        <w:t>es</w:t>
      </w:r>
      <w:r w:rsidRPr="000A639B">
        <w:t xml:space="preserve"> </w:t>
      </w:r>
      <w:r>
        <w:t>that</w:t>
      </w:r>
      <w:r w:rsidRPr="000A639B">
        <w:t xml:space="preserve"> pioneer new</w:t>
      </w:r>
      <w:r w:rsidR="00F53E5F">
        <w:t>-</w:t>
      </w:r>
      <w:r w:rsidRPr="000A639B">
        <w:t>to</w:t>
      </w:r>
      <w:r w:rsidR="00F53E5F">
        <w:t>-</w:t>
      </w:r>
      <w:r w:rsidRPr="000A639B">
        <w:t>market products</w:t>
      </w:r>
      <w:r>
        <w:t xml:space="preserve"> often do so by combining growth ambition with </w:t>
      </w:r>
      <w:r w:rsidRPr="000A639B">
        <w:t>strategic collaboration</w:t>
      </w:r>
      <w:r>
        <w:t xml:space="preserve"> and the acquisition of capability to execute</w:t>
      </w:r>
      <w:r w:rsidRPr="000A639B">
        <w:t xml:space="preserve"> high</w:t>
      </w:r>
      <w:r w:rsidR="00F53E5F">
        <w:t>-</w:t>
      </w:r>
      <w:r w:rsidRPr="000A639B">
        <w:t>risk</w:t>
      </w:r>
      <w:r w:rsidR="00F53E5F">
        <w:t xml:space="preserve">, </w:t>
      </w:r>
      <w:r w:rsidRPr="000A639B">
        <w:t>high</w:t>
      </w:r>
      <w:r w:rsidR="00F53E5F">
        <w:t>-</w:t>
      </w:r>
      <w:r w:rsidRPr="000A639B">
        <w:t>reward innovation.</w:t>
      </w:r>
      <w:r>
        <w:t xml:space="preserve"> </w:t>
      </w:r>
    </w:p>
    <w:p w14:paraId="4F5092EE" w14:textId="27AFC36A" w:rsidR="00247976" w:rsidRPr="00247976" w:rsidRDefault="00247976" w:rsidP="00F84B2F">
      <w:pPr>
        <w:pBdr>
          <w:top w:val="single" w:sz="4" w:space="8" w:color="auto"/>
          <w:left w:val="single" w:sz="4" w:space="4" w:color="auto"/>
          <w:bottom w:val="single" w:sz="4" w:space="8" w:color="auto"/>
          <w:right w:val="single" w:sz="4" w:space="4" w:color="auto"/>
        </w:pBdr>
        <w:shd w:val="clear" w:color="auto" w:fill="C9F0FF" w:themeFill="background2" w:themeFillTint="33"/>
      </w:pPr>
      <w:r w:rsidRPr="00247976">
        <w:rPr>
          <w:b/>
          <w:bCs/>
        </w:rPr>
        <w:t>Case study: R</w:t>
      </w:r>
      <w:r w:rsidR="007A04C8">
        <w:rPr>
          <w:b/>
          <w:bCs/>
        </w:rPr>
        <w:t>EDARC</w:t>
      </w:r>
      <w:r w:rsidRPr="00247976">
        <w:rPr>
          <w:b/>
          <w:bCs/>
        </w:rPr>
        <w:t>’s high-risk, high-reward innovation approach drives global growth</w:t>
      </w:r>
    </w:p>
    <w:p w14:paraId="61BE563A" w14:textId="07AF8E94" w:rsidR="00247976" w:rsidRPr="00247976" w:rsidRDefault="00247976" w:rsidP="00F84B2F">
      <w:pPr>
        <w:pBdr>
          <w:top w:val="single" w:sz="4" w:space="8" w:color="auto"/>
          <w:left w:val="single" w:sz="4" w:space="4" w:color="auto"/>
          <w:bottom w:val="single" w:sz="4" w:space="8" w:color="auto"/>
          <w:right w:val="single" w:sz="4" w:space="4" w:color="auto"/>
        </w:pBdr>
        <w:shd w:val="clear" w:color="auto" w:fill="C9F0FF" w:themeFill="background2" w:themeFillTint="33"/>
      </w:pPr>
      <w:r w:rsidRPr="00247976">
        <w:t xml:space="preserve">REDARC has grown from a small vehicle ignition manufacturer in South Australia, to a world-class, advanced electronics manufacturer. It now employs over 350 people across Australia, New Zealand, North </w:t>
      </w:r>
      <w:proofErr w:type="gramStart"/>
      <w:r w:rsidRPr="00247976">
        <w:t>America</w:t>
      </w:r>
      <w:proofErr w:type="gramEnd"/>
      <w:r w:rsidRPr="00247976">
        <w:t xml:space="preserve"> and Europe. </w:t>
      </w:r>
    </w:p>
    <w:p w14:paraId="13AA9618" w14:textId="0A382A6E" w:rsidR="00247976" w:rsidRPr="00247976" w:rsidRDefault="00247976" w:rsidP="00F84B2F">
      <w:pPr>
        <w:pBdr>
          <w:top w:val="single" w:sz="4" w:space="8" w:color="auto"/>
          <w:left w:val="single" w:sz="4" w:space="4" w:color="auto"/>
          <w:bottom w:val="single" w:sz="4" w:space="8" w:color="auto"/>
          <w:right w:val="single" w:sz="4" w:space="4" w:color="auto"/>
        </w:pBdr>
        <w:shd w:val="clear" w:color="auto" w:fill="C9F0FF" w:themeFill="background2" w:themeFillTint="33"/>
      </w:pPr>
      <w:r w:rsidRPr="00247976">
        <w:t xml:space="preserve">REDARC today is a group of technology-based companies with a focus on innovation, designing and manufacturing advanced, integrated on-board vehicular power solutions for defence, transport and logistics, marine, medical, </w:t>
      </w:r>
      <w:proofErr w:type="gramStart"/>
      <w:r w:rsidRPr="00247976">
        <w:t>mining</w:t>
      </w:r>
      <w:proofErr w:type="gramEnd"/>
      <w:r w:rsidRPr="00247976">
        <w:t xml:space="preserve"> and industrial applications. Success is evidenced by REDARC growing more than 20% per annum over two decades servicing both domestic and international markets. </w:t>
      </w:r>
    </w:p>
    <w:p w14:paraId="27F2A675" w14:textId="29964BC8" w:rsidR="00247976" w:rsidRPr="00247976" w:rsidRDefault="00247976" w:rsidP="00F84B2F">
      <w:pPr>
        <w:pBdr>
          <w:top w:val="single" w:sz="4" w:space="8" w:color="auto"/>
          <w:left w:val="single" w:sz="4" w:space="4" w:color="auto"/>
          <w:bottom w:val="single" w:sz="4" w:space="8" w:color="auto"/>
          <w:right w:val="single" w:sz="4" w:space="4" w:color="auto"/>
        </w:pBdr>
        <w:shd w:val="clear" w:color="auto" w:fill="C9F0FF" w:themeFill="background2" w:themeFillTint="33"/>
        <w:rPr>
          <w:i/>
          <w:iCs/>
        </w:rPr>
      </w:pPr>
      <w:r w:rsidRPr="00247976">
        <w:t xml:space="preserve">REDARC 's business model is centred around a commitment to innovation driven by in-house research and development capabilities along with strategic partnerships. Partnerships with international product developers and customers enables REDARC to undertake calculated risks, employing a fast-fail and stage-gated approach to introduce new-to-market or disruptive innovations. </w:t>
      </w:r>
    </w:p>
    <w:p w14:paraId="5115D06B" w14:textId="638AF261" w:rsidR="00247976" w:rsidRPr="00247976" w:rsidRDefault="00247976" w:rsidP="00F84B2F">
      <w:pPr>
        <w:pBdr>
          <w:top w:val="single" w:sz="4" w:space="8" w:color="auto"/>
          <w:left w:val="single" w:sz="4" w:space="4" w:color="auto"/>
          <w:bottom w:val="single" w:sz="4" w:space="8" w:color="auto"/>
          <w:right w:val="single" w:sz="4" w:space="4" w:color="auto"/>
        </w:pBdr>
        <w:shd w:val="clear" w:color="auto" w:fill="C9F0FF" w:themeFill="background2" w:themeFillTint="33"/>
      </w:pPr>
      <w:r w:rsidRPr="00247976">
        <w:rPr>
          <w:b/>
          <w:bCs/>
          <w:i/>
          <w:iCs/>
        </w:rPr>
        <w:t xml:space="preserve">REDARC has transitioned from lower-risk, single-customer, single-problem products to innovations that proactively anticipate mass market demands, informed by horizon scanning. </w:t>
      </w:r>
    </w:p>
    <w:p w14:paraId="3612DD10" w14:textId="6FBA43D7" w:rsidR="00247976" w:rsidRPr="00247976" w:rsidRDefault="00247976" w:rsidP="00F84B2F">
      <w:pPr>
        <w:pBdr>
          <w:top w:val="single" w:sz="4" w:space="8" w:color="auto"/>
          <w:left w:val="single" w:sz="4" w:space="4" w:color="auto"/>
          <w:bottom w:val="single" w:sz="4" w:space="8" w:color="auto"/>
          <w:right w:val="single" w:sz="4" w:space="4" w:color="auto"/>
        </w:pBdr>
        <w:shd w:val="clear" w:color="auto" w:fill="C9F0FF" w:themeFill="background2" w:themeFillTint="33"/>
      </w:pPr>
      <w:r w:rsidRPr="00247976">
        <w:t>This approach necessitates both technical and business model innovation. While the risk associated with achieving product-market fit may be higher, the rewards for successful projects are significantly greater, as they have the potential to scale into adjacent markets and regions.</w:t>
      </w:r>
    </w:p>
    <w:p w14:paraId="7505A2BD" w14:textId="58979CF9" w:rsidR="00247976" w:rsidRPr="00247976" w:rsidRDefault="00247976" w:rsidP="00F84B2F">
      <w:pPr>
        <w:pBdr>
          <w:top w:val="single" w:sz="4" w:space="8" w:color="auto"/>
          <w:left w:val="single" w:sz="4" w:space="4" w:color="auto"/>
          <w:bottom w:val="single" w:sz="4" w:space="8" w:color="auto"/>
          <w:right w:val="single" w:sz="4" w:space="4" w:color="auto"/>
        </w:pBdr>
        <w:shd w:val="clear" w:color="auto" w:fill="C9F0FF" w:themeFill="background2" w:themeFillTint="33"/>
        <w:rPr>
          <w:i/>
          <w:iCs/>
        </w:rPr>
      </w:pPr>
      <w:r w:rsidRPr="00247976">
        <w:t xml:space="preserve">REDARC 's collaboration with universities is mutually beneficial, with the company gaining valuable capabilities while also contributing insights and guidance through its participation in advisory councils that inform teaching curricula. Furthermore, REDARC demonstrates its commitment to innovation through a skunkworks program, which explores technologies and markets unrelated to its core competence. </w:t>
      </w:r>
    </w:p>
    <w:p w14:paraId="74411C13" w14:textId="77777777" w:rsidR="00247976" w:rsidRPr="00247976" w:rsidRDefault="00247976" w:rsidP="00F84B2F">
      <w:pPr>
        <w:pBdr>
          <w:top w:val="single" w:sz="4" w:space="8" w:color="auto"/>
          <w:left w:val="single" w:sz="4" w:space="4" w:color="auto"/>
          <w:bottom w:val="single" w:sz="4" w:space="8" w:color="auto"/>
          <w:right w:val="single" w:sz="4" w:space="4" w:color="auto"/>
        </w:pBdr>
        <w:shd w:val="clear" w:color="auto" w:fill="C9F0FF" w:themeFill="background2" w:themeFillTint="33"/>
        <w:rPr>
          <w:b/>
          <w:bCs/>
        </w:rPr>
      </w:pPr>
      <w:r w:rsidRPr="00247976">
        <w:rPr>
          <w:b/>
          <w:bCs/>
          <w:i/>
          <w:iCs/>
        </w:rPr>
        <w:t>REDARC stands as an exemplary outlier, showcasing the importance of calculated risk-taking and strategic execution required to compete in high-value global markets.</w:t>
      </w:r>
      <w:r w:rsidRPr="00247976">
        <w:rPr>
          <w:b/>
          <w:bCs/>
        </w:rPr>
        <w:t xml:space="preserve"> </w:t>
      </w:r>
    </w:p>
    <w:p w14:paraId="076927D6" w14:textId="075FA9BA" w:rsidR="00247976" w:rsidRPr="00247976" w:rsidRDefault="00247976" w:rsidP="00F84B2F">
      <w:pPr>
        <w:pBdr>
          <w:top w:val="single" w:sz="4" w:space="8" w:color="auto"/>
          <w:left w:val="single" w:sz="4" w:space="4" w:color="auto"/>
          <w:bottom w:val="single" w:sz="4" w:space="8" w:color="auto"/>
          <w:right w:val="single" w:sz="4" w:space="4" w:color="auto"/>
        </w:pBdr>
        <w:shd w:val="clear" w:color="auto" w:fill="C9F0FF" w:themeFill="background2" w:themeFillTint="33"/>
      </w:pPr>
      <w:r w:rsidRPr="00247976">
        <w:t xml:space="preserve">The company's unique ability to scale has empowered it to establish internal systems, capabilities, and resources that enable the exploration and exploitation of high-value opportunities. </w:t>
      </w:r>
    </w:p>
    <w:p w14:paraId="6829E042" w14:textId="77777777" w:rsidR="00247976" w:rsidRPr="00247976" w:rsidRDefault="00247976" w:rsidP="00F84B2F">
      <w:pPr>
        <w:pBdr>
          <w:top w:val="single" w:sz="4" w:space="8" w:color="auto"/>
          <w:left w:val="single" w:sz="4" w:space="4" w:color="auto"/>
          <w:bottom w:val="single" w:sz="4" w:space="8" w:color="auto"/>
          <w:right w:val="single" w:sz="4" w:space="4" w:color="auto"/>
        </w:pBdr>
        <w:shd w:val="clear" w:color="auto" w:fill="C9F0FF" w:themeFill="background2" w:themeFillTint="33"/>
      </w:pPr>
      <w:r w:rsidRPr="00247976">
        <w:t>Further exploration of the significance of firm and absorptive capacity will be detailed in the subsequent section.</w:t>
      </w:r>
    </w:p>
    <w:p w14:paraId="3C527FCB" w14:textId="77777777" w:rsidR="00651A4F" w:rsidRDefault="00651A4F">
      <w:pPr>
        <w:rPr>
          <w:rFonts w:asciiTheme="majorHAnsi" w:eastAsia="Meiryo" w:hAnsiTheme="majorHAnsi" w:cstheme="majorBidi"/>
          <w:color w:val="003491"/>
          <w:sz w:val="44"/>
          <w:szCs w:val="48"/>
        </w:rPr>
      </w:pPr>
      <w:bookmarkStart w:id="43" w:name="_Toc144944438"/>
      <w:bookmarkStart w:id="44" w:name="_Toc515684274"/>
      <w:bookmarkStart w:id="45" w:name="_Toc145000210"/>
      <w:r>
        <w:br w:type="page"/>
      </w:r>
    </w:p>
    <w:p w14:paraId="241F873E" w14:textId="2385CC0D" w:rsidR="00A83633" w:rsidRPr="00662933" w:rsidRDefault="001B3F29" w:rsidP="00F6694F">
      <w:pPr>
        <w:pStyle w:val="Heading3"/>
      </w:pPr>
      <w:bookmarkStart w:id="46" w:name="_Toc152165420"/>
      <w:r w:rsidRPr="00662933">
        <w:t xml:space="preserve">Recommendations and </w:t>
      </w:r>
      <w:r w:rsidR="00A83633" w:rsidRPr="00662933">
        <w:t xml:space="preserve">policy </w:t>
      </w:r>
      <w:r w:rsidRPr="00662933">
        <w:t>considerations</w:t>
      </w:r>
      <w:bookmarkEnd w:id="43"/>
      <w:bookmarkEnd w:id="44"/>
      <w:bookmarkEnd w:id="45"/>
      <w:bookmarkEnd w:id="46"/>
    </w:p>
    <w:p w14:paraId="56CC7E44" w14:textId="61E83585" w:rsidR="0002585C" w:rsidRPr="0002585C" w:rsidRDefault="0002585C" w:rsidP="00426B8A">
      <w:pPr>
        <w:pStyle w:val="Heading4"/>
      </w:pPr>
      <w:bookmarkStart w:id="47" w:name="_Toc144944439"/>
      <w:bookmarkStart w:id="48" w:name="_Toc1862193392"/>
      <w:bookmarkStart w:id="49" w:name="_Toc145000211"/>
      <w:r w:rsidRPr="0002585C">
        <w:t>Demand-side drivers and the need to innovate</w:t>
      </w:r>
    </w:p>
    <w:p w14:paraId="005D4CFD" w14:textId="3225C11A" w:rsidR="008D68EF" w:rsidRPr="00DC1525" w:rsidRDefault="0002585C" w:rsidP="00AD3D2C">
      <w:pPr>
        <w:pStyle w:val="ListParagraph"/>
        <w:numPr>
          <w:ilvl w:val="0"/>
          <w:numId w:val="71"/>
        </w:numPr>
        <w:ind w:left="360"/>
        <w:rPr>
          <w:rStyle w:val="Emphasis"/>
        </w:rPr>
      </w:pPr>
      <w:r w:rsidRPr="00DC1525">
        <w:rPr>
          <w:rStyle w:val="Emphasis"/>
        </w:rPr>
        <w:t xml:space="preserve">Effectively identify businesses with the need to innovate and focus interventions on the barriers specific to that sector. </w:t>
      </w:r>
    </w:p>
    <w:p w14:paraId="165F4753" w14:textId="77777777" w:rsidR="0002585C" w:rsidRPr="00DC1525" w:rsidRDefault="0002585C" w:rsidP="00AD3D2C">
      <w:pPr>
        <w:rPr>
          <w:rStyle w:val="Emphasis"/>
        </w:rPr>
      </w:pPr>
      <w:r w:rsidRPr="00DC1525">
        <w:rPr>
          <w:rStyle w:val="Emphasis"/>
        </w:rPr>
        <w:t>Actions could include:</w:t>
      </w:r>
    </w:p>
    <w:p w14:paraId="19096D2D" w14:textId="77777777" w:rsidR="008A44EB" w:rsidRDefault="008A44EB" w:rsidP="00AD3D2C">
      <w:pPr>
        <w:pStyle w:val="ListParagraph"/>
        <w:numPr>
          <w:ilvl w:val="1"/>
          <w:numId w:val="57"/>
        </w:numPr>
        <w:spacing w:before="160"/>
        <w:contextualSpacing w:val="0"/>
      </w:pPr>
      <w:r>
        <w:t>Selectively support businesses with the need and risk appetite to innovate to deliver novel products and/or services for growing domestic and international markets.</w:t>
      </w:r>
    </w:p>
    <w:p w14:paraId="480FA4BA" w14:textId="4B4988E9" w:rsidR="008A44EB" w:rsidRPr="002F431F" w:rsidRDefault="008A44EB" w:rsidP="00AD3D2C">
      <w:pPr>
        <w:pStyle w:val="ListParagraph"/>
        <w:numPr>
          <w:ilvl w:val="1"/>
          <w:numId w:val="57"/>
        </w:numPr>
        <w:spacing w:before="160"/>
        <w:ind w:left="357" w:hanging="357"/>
        <w:contextualSpacing w:val="0"/>
      </w:pPr>
      <w:r w:rsidRPr="6683FA23">
        <w:rPr>
          <w:rFonts w:ascii="Calibri" w:eastAsia="Calibri" w:hAnsi="Calibri" w:cs="Times New Roman"/>
        </w:rPr>
        <w:t xml:space="preserve">Design incentive programs that target </w:t>
      </w:r>
      <w:r>
        <w:rPr>
          <w:rFonts w:ascii="Calibri" w:eastAsia="Calibri" w:hAnsi="Calibri" w:cs="Times New Roman"/>
        </w:rPr>
        <w:t>businesses</w:t>
      </w:r>
      <w:r w:rsidRPr="6683FA23">
        <w:rPr>
          <w:rFonts w:ascii="Calibri" w:eastAsia="Calibri" w:hAnsi="Calibri" w:cs="Times New Roman"/>
        </w:rPr>
        <w:t xml:space="preserve"> and industries critical to Australia’s </w:t>
      </w:r>
      <w:r>
        <w:rPr>
          <w:rFonts w:ascii="Calibri" w:eastAsia="Calibri" w:hAnsi="Calibri" w:cs="Times New Roman"/>
        </w:rPr>
        <w:t>industry</w:t>
      </w:r>
      <w:r w:rsidRPr="6683FA23">
        <w:rPr>
          <w:rFonts w:ascii="Calibri" w:eastAsia="Calibri" w:hAnsi="Calibri" w:cs="Times New Roman"/>
        </w:rPr>
        <w:t xml:space="preserve"> policy </w:t>
      </w:r>
      <w:r>
        <w:rPr>
          <w:rFonts w:ascii="Calibri" w:eastAsia="Calibri" w:hAnsi="Calibri" w:cs="Times New Roman"/>
        </w:rPr>
        <w:t>objectives</w:t>
      </w:r>
      <w:r w:rsidRPr="6683FA23">
        <w:rPr>
          <w:rFonts w:ascii="Calibri" w:eastAsia="Calibri" w:hAnsi="Calibri" w:cs="Times New Roman"/>
        </w:rPr>
        <w:t xml:space="preserve"> and align business and funding risk-taking in both direction and magnitude. For</w:t>
      </w:r>
      <w:r w:rsidR="00E31E08">
        <w:rPr>
          <w:rFonts w:ascii="Calibri" w:eastAsia="Calibri" w:hAnsi="Calibri" w:cs="Times New Roman"/>
        </w:rPr>
        <w:t> </w:t>
      </w:r>
      <w:r w:rsidRPr="6683FA23">
        <w:rPr>
          <w:rFonts w:ascii="Calibri" w:eastAsia="Calibri" w:hAnsi="Calibri" w:cs="Times New Roman"/>
        </w:rPr>
        <w:t>example, design funds and guidelines to filter applications based on business motivation</w:t>
      </w:r>
      <w:r>
        <w:rPr>
          <w:rFonts w:ascii="Calibri" w:eastAsia="Calibri" w:hAnsi="Calibri" w:cs="Times New Roman"/>
        </w:rPr>
        <w:t xml:space="preserve"> and </w:t>
      </w:r>
      <w:r w:rsidRPr="6683FA23">
        <w:rPr>
          <w:rFonts w:ascii="Calibri" w:eastAsia="Calibri" w:hAnsi="Calibri" w:cs="Times New Roman"/>
        </w:rPr>
        <w:t>ambition</w:t>
      </w:r>
      <w:r>
        <w:rPr>
          <w:rFonts w:ascii="Calibri" w:eastAsia="Calibri" w:hAnsi="Calibri" w:cs="Times New Roman"/>
        </w:rPr>
        <w:t xml:space="preserve">, </w:t>
      </w:r>
      <w:r w:rsidRPr="6683FA23">
        <w:rPr>
          <w:rFonts w:ascii="Calibri" w:eastAsia="Calibri" w:hAnsi="Calibri" w:cs="Times New Roman"/>
        </w:rPr>
        <w:t xml:space="preserve">and provide advice, </w:t>
      </w:r>
      <w:proofErr w:type="gramStart"/>
      <w:r w:rsidRPr="6683FA23">
        <w:rPr>
          <w:rFonts w:ascii="Calibri" w:eastAsia="Calibri" w:hAnsi="Calibri" w:cs="Times New Roman"/>
        </w:rPr>
        <w:t>connections</w:t>
      </w:r>
      <w:proofErr w:type="gramEnd"/>
      <w:r w:rsidRPr="6683FA23">
        <w:rPr>
          <w:rFonts w:ascii="Calibri" w:eastAsia="Calibri" w:hAnsi="Calibri" w:cs="Times New Roman"/>
        </w:rPr>
        <w:t xml:space="preserve"> and resources specific to their needs to de-risk their opportunity.</w:t>
      </w:r>
    </w:p>
    <w:p w14:paraId="02BEEF8B" w14:textId="77777777" w:rsidR="008A44EB" w:rsidRPr="002F431F" w:rsidRDefault="008A44EB" w:rsidP="00AD3D2C">
      <w:pPr>
        <w:pStyle w:val="ListParagraph"/>
        <w:numPr>
          <w:ilvl w:val="1"/>
          <w:numId w:val="57"/>
        </w:numPr>
        <w:spacing w:before="160"/>
        <w:ind w:left="357" w:hanging="357"/>
        <w:contextualSpacing w:val="0"/>
        <w:rPr>
          <w:rFonts w:ascii="Calibri" w:eastAsia="Calibri" w:hAnsi="Calibri" w:cs="Times New Roman"/>
        </w:rPr>
      </w:pPr>
      <w:r w:rsidRPr="6683FA23">
        <w:rPr>
          <w:rFonts w:ascii="Calibri" w:eastAsia="Calibri" w:hAnsi="Calibri" w:cs="Times New Roman"/>
        </w:rPr>
        <w:t xml:space="preserve">Focus </w:t>
      </w:r>
      <w:r>
        <w:rPr>
          <w:rFonts w:ascii="Calibri" w:eastAsia="Calibri" w:hAnsi="Calibri" w:cs="Times New Roman"/>
        </w:rPr>
        <w:t>g</w:t>
      </w:r>
      <w:r w:rsidRPr="6683FA23">
        <w:rPr>
          <w:rFonts w:ascii="Calibri" w:eastAsia="Calibri" w:hAnsi="Calibri" w:cs="Times New Roman"/>
        </w:rPr>
        <w:t>overnment interventions on businesses seeking to service growing export market opportunities</w:t>
      </w:r>
      <w:r w:rsidRPr="6683FA23">
        <w:rPr>
          <w:rFonts w:ascii="Calibri" w:eastAsia="Calibri" w:hAnsi="Calibri" w:cs="Calibri"/>
        </w:rPr>
        <w:t xml:space="preserve"> </w:t>
      </w:r>
      <w:r w:rsidRPr="6683FA23">
        <w:rPr>
          <w:rFonts w:ascii="Calibri" w:eastAsia="Calibri" w:hAnsi="Calibri" w:cs="Times New Roman"/>
        </w:rPr>
        <w:t>and transitioning internal markets</w:t>
      </w:r>
      <w:r>
        <w:t xml:space="preserve"> </w:t>
      </w:r>
      <w:r w:rsidRPr="6683FA23">
        <w:rPr>
          <w:rFonts w:ascii="Calibri" w:eastAsia="Calibri" w:hAnsi="Calibri" w:cs="Times New Roman"/>
        </w:rPr>
        <w:t>with innovative new</w:t>
      </w:r>
      <w:r>
        <w:rPr>
          <w:rFonts w:ascii="Calibri" w:eastAsia="Calibri" w:hAnsi="Calibri" w:cs="Times New Roman"/>
        </w:rPr>
        <w:t>-</w:t>
      </w:r>
      <w:r w:rsidRPr="6683FA23">
        <w:rPr>
          <w:rFonts w:ascii="Calibri" w:eastAsia="Calibri" w:hAnsi="Calibri" w:cs="Times New Roman"/>
        </w:rPr>
        <w:t>to</w:t>
      </w:r>
      <w:r>
        <w:rPr>
          <w:rFonts w:ascii="Calibri" w:eastAsia="Calibri" w:hAnsi="Calibri" w:cs="Times New Roman"/>
        </w:rPr>
        <w:t>-</w:t>
      </w:r>
      <w:r w:rsidRPr="6683FA23">
        <w:rPr>
          <w:rFonts w:ascii="Calibri" w:eastAsia="Calibri" w:hAnsi="Calibri" w:cs="Times New Roman"/>
        </w:rPr>
        <w:t>market products or services that over</w:t>
      </w:r>
      <w:r>
        <w:rPr>
          <w:rFonts w:ascii="Calibri" w:eastAsia="Calibri" w:hAnsi="Calibri" w:cs="Times New Roman"/>
        </w:rPr>
        <w:t xml:space="preserve"> </w:t>
      </w:r>
      <w:r w:rsidRPr="6683FA23">
        <w:rPr>
          <w:rFonts w:ascii="Calibri" w:eastAsia="Calibri" w:hAnsi="Calibri" w:cs="Times New Roman"/>
        </w:rPr>
        <w:t>time will contribute to improving Australia’s economic complexity.</w:t>
      </w:r>
    </w:p>
    <w:p w14:paraId="5DC72B26" w14:textId="77777777" w:rsidR="008A44EB" w:rsidRPr="002F431F" w:rsidRDefault="008A44EB" w:rsidP="00AD3D2C">
      <w:pPr>
        <w:pStyle w:val="ListParagraph"/>
        <w:numPr>
          <w:ilvl w:val="1"/>
          <w:numId w:val="57"/>
        </w:numPr>
        <w:spacing w:before="160"/>
        <w:ind w:left="357" w:hanging="357"/>
        <w:contextualSpacing w:val="0"/>
      </w:pPr>
      <w:r w:rsidRPr="002F431F">
        <w:rPr>
          <w:rFonts w:ascii="Calibri" w:eastAsia="Calibri" w:hAnsi="Calibri" w:cs="Times New Roman"/>
        </w:rPr>
        <w:t>Effectively aggregate demand for innovation through coordination of</w:t>
      </w:r>
      <w:r>
        <w:rPr>
          <w:rFonts w:ascii="Calibri" w:eastAsia="Calibri" w:hAnsi="Calibri" w:cs="Times New Roman"/>
        </w:rPr>
        <w:t xml:space="preserve"> whole-of-government</w:t>
      </w:r>
      <w:r w:rsidRPr="00F83F2A">
        <w:rPr>
          <w:rFonts w:ascii="Calibri" w:eastAsia="Calibri" w:hAnsi="Calibri" w:cs="Times New Roman"/>
        </w:rPr>
        <w:t xml:space="preserve"> policies, such as the </w:t>
      </w:r>
      <w:r w:rsidRPr="00170100">
        <w:rPr>
          <w:rFonts w:ascii="Calibri" w:eastAsia="Calibri" w:hAnsi="Calibri" w:cs="Times New Roman"/>
        </w:rPr>
        <w:t>transition to a net</w:t>
      </w:r>
      <w:r>
        <w:rPr>
          <w:rFonts w:ascii="Calibri" w:eastAsia="Calibri" w:hAnsi="Calibri" w:cs="Times New Roman"/>
        </w:rPr>
        <w:t>-</w:t>
      </w:r>
      <w:r w:rsidRPr="00170100">
        <w:rPr>
          <w:rFonts w:ascii="Calibri" w:eastAsia="Calibri" w:hAnsi="Calibri" w:cs="Times New Roman"/>
        </w:rPr>
        <w:t>zero economy</w:t>
      </w:r>
      <w:r>
        <w:rPr>
          <w:rFonts w:ascii="Calibri" w:eastAsia="Calibri" w:hAnsi="Calibri" w:cs="Times New Roman"/>
        </w:rPr>
        <w:t xml:space="preserve">, and </w:t>
      </w:r>
      <w:r w:rsidRPr="00170100">
        <w:rPr>
          <w:rFonts w:ascii="Calibri" w:eastAsia="Calibri" w:hAnsi="Calibri" w:cs="Times New Roman"/>
        </w:rPr>
        <w:t>the development of</w:t>
      </w:r>
      <w:r w:rsidRPr="00F83F2A">
        <w:rPr>
          <w:rFonts w:ascii="Calibri" w:eastAsia="Calibri" w:hAnsi="Calibri" w:cs="Times New Roman"/>
        </w:rPr>
        <w:t xml:space="preserve"> sovereign </w:t>
      </w:r>
      <w:r w:rsidRPr="00170100">
        <w:rPr>
          <w:rFonts w:ascii="Calibri" w:eastAsia="Calibri" w:hAnsi="Calibri" w:cs="Times New Roman"/>
        </w:rPr>
        <w:t xml:space="preserve">advanced manufacturing capabilities </w:t>
      </w:r>
      <w:r>
        <w:rPr>
          <w:rFonts w:ascii="Calibri" w:eastAsia="Calibri" w:hAnsi="Calibri" w:cs="Times New Roman"/>
        </w:rPr>
        <w:t xml:space="preserve">required </w:t>
      </w:r>
      <w:r w:rsidRPr="00170100">
        <w:rPr>
          <w:rFonts w:ascii="Calibri" w:eastAsia="Calibri" w:hAnsi="Calibri" w:cs="Times New Roman"/>
        </w:rPr>
        <w:t xml:space="preserve">to </w:t>
      </w:r>
      <w:r>
        <w:rPr>
          <w:rFonts w:ascii="Calibri" w:eastAsia="Calibri" w:hAnsi="Calibri" w:cs="Times New Roman"/>
        </w:rPr>
        <w:t xml:space="preserve">meet </w:t>
      </w:r>
      <w:r w:rsidRPr="00170100">
        <w:rPr>
          <w:rFonts w:ascii="Calibri" w:eastAsia="Calibri" w:hAnsi="Calibri" w:cs="Times New Roman"/>
        </w:rPr>
        <w:t xml:space="preserve">domestic and global </w:t>
      </w:r>
      <w:r w:rsidRPr="00F83F2A">
        <w:rPr>
          <w:rFonts w:ascii="Calibri" w:eastAsia="Calibri" w:hAnsi="Calibri" w:cs="Times New Roman"/>
        </w:rPr>
        <w:t>needs</w:t>
      </w:r>
      <w:r w:rsidRPr="00170100">
        <w:rPr>
          <w:rFonts w:ascii="Calibri" w:eastAsia="Calibri" w:hAnsi="Calibri" w:cs="Times New Roman"/>
        </w:rPr>
        <w:t>.</w:t>
      </w:r>
      <w:r>
        <w:rPr>
          <w:rFonts w:ascii="Calibri" w:eastAsia="Calibri" w:hAnsi="Calibri" w:cs="Times New Roman"/>
        </w:rPr>
        <w:t xml:space="preserve"> </w:t>
      </w:r>
      <w:r w:rsidRPr="002F431F">
        <w:rPr>
          <w:rFonts w:ascii="Calibri" w:eastAsia="Calibri" w:hAnsi="Calibri" w:cs="Times New Roman"/>
        </w:rPr>
        <w:t>This will create competitive, dynamic markets for innovation in priority areas.</w:t>
      </w:r>
    </w:p>
    <w:bookmarkEnd w:id="47"/>
    <w:bookmarkEnd w:id="48"/>
    <w:bookmarkEnd w:id="49"/>
    <w:p w14:paraId="5AC7ACEB" w14:textId="0BF20CE0" w:rsidR="00987157" w:rsidRPr="0082515B" w:rsidRDefault="00987157" w:rsidP="008C37D3">
      <w:pPr>
        <w:numPr>
          <w:ilvl w:val="1"/>
          <w:numId w:val="57"/>
        </w:numPr>
        <w:contextualSpacing/>
        <w:rPr>
          <w:rFonts w:ascii="Calibri" w:eastAsia="Calibri" w:hAnsi="Calibri" w:cs="Times New Roman"/>
        </w:rPr>
        <w:sectPr w:rsidR="00987157" w:rsidRPr="0082515B" w:rsidSect="000E35B6">
          <w:pgSz w:w="11906" w:h="16838"/>
          <w:pgMar w:top="1135" w:right="1440" w:bottom="1440" w:left="1440" w:header="851" w:footer="708" w:gutter="0"/>
          <w:cols w:space="708"/>
          <w:titlePg/>
          <w:docGrid w:linePitch="360"/>
        </w:sectPr>
      </w:pPr>
    </w:p>
    <w:p w14:paraId="269616F7" w14:textId="5B34B99E" w:rsidR="00A83633" w:rsidRPr="000C705F" w:rsidRDefault="000C705F" w:rsidP="00DC1525">
      <w:pPr>
        <w:pStyle w:val="Heading2"/>
        <w:rPr>
          <w:color w:val="005677"/>
        </w:rPr>
      </w:pPr>
      <w:bookmarkStart w:id="50" w:name="_Section_2:_Business"/>
      <w:bookmarkStart w:id="51" w:name="_Toc1159291720"/>
      <w:bookmarkStart w:id="52" w:name="Section_2_Business_composition_absorptiv"/>
      <w:bookmarkStart w:id="53" w:name="_Toc152165421"/>
      <w:bookmarkEnd w:id="50"/>
      <w:r>
        <w:rPr>
          <w:noProof/>
        </w:rPr>
        <w:t xml:space="preserve">Section 2: </w:t>
      </w:r>
      <w:bookmarkStart w:id="54" w:name="_Toc1869421833"/>
      <w:bookmarkEnd w:id="51"/>
      <w:r w:rsidR="002E4B87">
        <w:rPr>
          <w:noProof/>
        </w:rPr>
        <w:t>Business composition,</w:t>
      </w:r>
      <w:r>
        <w:rPr>
          <w:noProof/>
        </w:rPr>
        <w:t xml:space="preserve"> </w:t>
      </w:r>
      <w:r w:rsidR="00A83633" w:rsidRPr="00F17E2C">
        <w:t xml:space="preserve">absorptive </w:t>
      </w:r>
      <w:bookmarkEnd w:id="54"/>
      <w:proofErr w:type="gramStart"/>
      <w:r w:rsidR="00F132D3" w:rsidRPr="00F17E2C">
        <w:t>capacity</w:t>
      </w:r>
      <w:proofErr w:type="gramEnd"/>
      <w:r>
        <w:t xml:space="preserve"> and capability</w:t>
      </w:r>
      <w:bookmarkEnd w:id="52"/>
      <w:bookmarkEnd w:id="53"/>
    </w:p>
    <w:p w14:paraId="7A53BE24" w14:textId="737E755C" w:rsidR="000C705F" w:rsidRDefault="00364256" w:rsidP="00A83633">
      <w:pPr>
        <w:rPr>
          <w:rFonts w:ascii="Calibri" w:eastAsia="Calibri" w:hAnsi="Calibri" w:cs="Times New Roman"/>
        </w:rPr>
      </w:pPr>
      <w:r w:rsidRPr="00F17E2C">
        <w:t>The composition of business</w:t>
      </w:r>
      <w:r w:rsidR="000A7498">
        <w:t>es,</w:t>
      </w:r>
      <w:r w:rsidRPr="00F17E2C">
        <w:t xml:space="preserve"> </w:t>
      </w:r>
      <w:r w:rsidR="00CD7507">
        <w:t>in terms of size</w:t>
      </w:r>
      <w:r w:rsidR="000A7498">
        <w:t>,</w:t>
      </w:r>
      <w:r w:rsidR="00CD7507">
        <w:t xml:space="preserve"> is related</w:t>
      </w:r>
      <w:r w:rsidRPr="00F17E2C">
        <w:t xml:space="preserve"> </w:t>
      </w:r>
      <w:r w:rsidR="00CD7507">
        <w:t>to</w:t>
      </w:r>
      <w:r w:rsidRPr="00F17E2C">
        <w:t xml:space="preserve"> the capability and capacity of industries to innovate, collaborate</w:t>
      </w:r>
      <w:r w:rsidR="004B0E3F">
        <w:t>,</w:t>
      </w:r>
      <w:r w:rsidRPr="00F17E2C">
        <w:t xml:space="preserve"> and commercialise new products</w:t>
      </w:r>
      <w:r w:rsidR="00CD7507">
        <w:t xml:space="preserve">, </w:t>
      </w:r>
      <w:r w:rsidRPr="00F17E2C">
        <w:t>technologies</w:t>
      </w:r>
      <w:r w:rsidR="00CD7507">
        <w:t xml:space="preserve"> and services</w:t>
      </w:r>
      <w:r w:rsidRPr="00F17E2C">
        <w:t>.</w:t>
      </w:r>
      <w:r w:rsidR="000C705F">
        <w:t xml:space="preserve"> </w:t>
      </w:r>
      <w:r w:rsidR="00A83633" w:rsidRPr="00A83633">
        <w:rPr>
          <w:rFonts w:ascii="Calibri" w:eastAsia="Calibri" w:hAnsi="Calibri" w:cs="Times New Roman"/>
        </w:rPr>
        <w:t xml:space="preserve">We undertook an analysis of business size </w:t>
      </w:r>
      <w:r w:rsidR="000C705F">
        <w:rPr>
          <w:rFonts w:ascii="Calibri" w:eastAsia="Calibri" w:hAnsi="Calibri" w:cs="Times New Roman"/>
        </w:rPr>
        <w:t>composition</w:t>
      </w:r>
      <w:r w:rsidR="00A83633" w:rsidRPr="00A83633">
        <w:rPr>
          <w:rFonts w:ascii="Calibri" w:eastAsia="Calibri" w:hAnsi="Calibri" w:cs="Times New Roman"/>
        </w:rPr>
        <w:t xml:space="preserve"> to understand barriers to collaboration and commercialisation. </w:t>
      </w:r>
    </w:p>
    <w:p w14:paraId="66FBDBA4" w14:textId="7941C147" w:rsidR="00A83633" w:rsidRPr="000C705F" w:rsidRDefault="000C705F" w:rsidP="00A83633">
      <w:r>
        <w:rPr>
          <w:rFonts w:ascii="Calibri" w:eastAsia="Calibri" w:hAnsi="Calibri" w:cs="Times New Roman"/>
        </w:rPr>
        <w:t>The proportion of different b</w:t>
      </w:r>
      <w:r w:rsidR="00A83633" w:rsidRPr="00A83633">
        <w:rPr>
          <w:rFonts w:ascii="Calibri" w:eastAsia="Calibri" w:hAnsi="Calibri" w:cs="Times New Roman"/>
        </w:rPr>
        <w:t>usiness size</w:t>
      </w:r>
      <w:r>
        <w:rPr>
          <w:rFonts w:ascii="Calibri" w:eastAsia="Calibri" w:hAnsi="Calibri" w:cs="Times New Roman"/>
        </w:rPr>
        <w:t>s</w:t>
      </w:r>
      <w:r w:rsidR="00A83633" w:rsidRPr="00A83633">
        <w:rPr>
          <w:rFonts w:ascii="Calibri" w:eastAsia="Calibri" w:hAnsi="Calibri" w:cs="Times New Roman"/>
        </w:rPr>
        <w:t xml:space="preserve"> </w:t>
      </w:r>
      <w:r>
        <w:rPr>
          <w:rFonts w:ascii="Calibri" w:eastAsia="Calibri" w:hAnsi="Calibri" w:cs="Times New Roman"/>
        </w:rPr>
        <w:t xml:space="preserve">in </w:t>
      </w:r>
      <w:r w:rsidR="00A83633" w:rsidRPr="00A83633">
        <w:rPr>
          <w:rFonts w:ascii="Calibri" w:eastAsia="Calibri" w:hAnsi="Calibri" w:cs="Times New Roman"/>
        </w:rPr>
        <w:t xml:space="preserve">an industry can affect its ability to transform through acquiring and assimilating new external knowledge. </w:t>
      </w:r>
      <w:r>
        <w:rPr>
          <w:rFonts w:ascii="Calibri" w:eastAsia="Calibri" w:hAnsi="Calibri" w:cs="Times New Roman"/>
        </w:rPr>
        <w:t>For example, e</w:t>
      </w:r>
      <w:r w:rsidR="00A83633" w:rsidRPr="00A83633">
        <w:rPr>
          <w:rFonts w:ascii="Calibri" w:eastAsia="Calibri" w:hAnsi="Calibri" w:cs="Times New Roman"/>
        </w:rPr>
        <w:t xml:space="preserve">vidence suggests that </w:t>
      </w:r>
      <w:r w:rsidR="002F0C16">
        <w:rPr>
          <w:rFonts w:ascii="Calibri" w:eastAsia="Calibri" w:hAnsi="Calibri" w:cs="Times New Roman"/>
        </w:rPr>
        <w:t>small and medium enterprises (</w:t>
      </w:r>
      <w:r w:rsidR="0045005D">
        <w:rPr>
          <w:rFonts w:ascii="Calibri" w:eastAsia="Calibri" w:hAnsi="Calibri" w:cs="Times New Roman"/>
        </w:rPr>
        <w:t>SME</w:t>
      </w:r>
      <w:r w:rsidR="00A83633" w:rsidRPr="00A83633">
        <w:rPr>
          <w:rFonts w:ascii="Calibri" w:eastAsia="Calibri" w:hAnsi="Calibri" w:cs="Times New Roman"/>
        </w:rPr>
        <w:t>s</w:t>
      </w:r>
      <w:r w:rsidR="002F0C16">
        <w:rPr>
          <w:rFonts w:ascii="Calibri" w:eastAsia="Calibri" w:hAnsi="Calibri" w:cs="Times New Roman"/>
        </w:rPr>
        <w:t>)</w:t>
      </w:r>
      <w:r w:rsidR="004B0E3F">
        <w:rPr>
          <w:rFonts w:ascii="Calibri" w:eastAsia="Calibri" w:hAnsi="Calibri" w:cs="Times New Roman"/>
        </w:rPr>
        <w:t xml:space="preserve"> </w:t>
      </w:r>
      <w:r w:rsidR="006B56EE">
        <w:rPr>
          <w:rFonts w:ascii="Segoe UI" w:hAnsi="Segoe UI" w:cs="Segoe UI"/>
          <w:color w:val="414141"/>
          <w:shd w:val="clear" w:color="auto" w:fill="FFFFFF"/>
        </w:rPr>
        <w:t>–</w:t>
      </w:r>
      <w:r w:rsidR="004B0E3F">
        <w:rPr>
          <w:rFonts w:ascii="Calibri" w:eastAsia="Calibri" w:hAnsi="Calibri" w:cs="Times New Roman"/>
        </w:rPr>
        <w:t xml:space="preserve"> </w:t>
      </w:r>
      <w:r w:rsidR="00A83633" w:rsidRPr="00A83633">
        <w:rPr>
          <w:rFonts w:ascii="Calibri" w:eastAsia="Calibri" w:hAnsi="Calibri" w:cs="Times New Roman"/>
        </w:rPr>
        <w:t>the most common type of business in the manufacturing industry</w:t>
      </w:r>
      <w:r w:rsidR="004B0E3F">
        <w:rPr>
          <w:rFonts w:ascii="Calibri" w:eastAsia="Calibri" w:hAnsi="Calibri" w:cs="Times New Roman"/>
        </w:rPr>
        <w:t xml:space="preserve"> </w:t>
      </w:r>
      <w:r w:rsidR="006B56EE">
        <w:rPr>
          <w:rFonts w:ascii="Segoe UI" w:hAnsi="Segoe UI" w:cs="Segoe UI"/>
          <w:color w:val="414141"/>
          <w:shd w:val="clear" w:color="auto" w:fill="FFFFFF"/>
        </w:rPr>
        <w:t>–</w:t>
      </w:r>
      <w:r w:rsidR="004B0E3F">
        <w:rPr>
          <w:rFonts w:ascii="Calibri" w:eastAsia="Calibri" w:hAnsi="Calibri" w:cs="Times New Roman"/>
        </w:rPr>
        <w:t xml:space="preserve"> </w:t>
      </w:r>
      <w:r w:rsidR="00A83633" w:rsidRPr="00A83633">
        <w:rPr>
          <w:rFonts w:ascii="Calibri" w:eastAsia="Calibri" w:hAnsi="Calibri" w:cs="Times New Roman"/>
        </w:rPr>
        <w:t>have insufficient time and resources to focus on innovation and business strategies. Generally, SMEs have limited management capabilities (</w:t>
      </w:r>
      <w:r w:rsidR="0045005D">
        <w:rPr>
          <w:rFonts w:ascii="Calibri" w:eastAsia="Calibri" w:hAnsi="Calibri" w:cs="Times New Roman"/>
        </w:rPr>
        <w:t xml:space="preserve">in terms of </w:t>
      </w:r>
      <w:r w:rsidR="00A83633" w:rsidRPr="00A83633">
        <w:rPr>
          <w:rFonts w:ascii="Calibri" w:eastAsia="Calibri" w:hAnsi="Calibri" w:cs="Times New Roman"/>
        </w:rPr>
        <w:t xml:space="preserve">volume and experience in larger </w:t>
      </w:r>
      <w:r w:rsidR="00671080">
        <w:rPr>
          <w:rFonts w:ascii="Calibri" w:eastAsia="Calibri" w:hAnsi="Calibri" w:cs="Times New Roman"/>
        </w:rPr>
        <w:t>businesses</w:t>
      </w:r>
      <w:r w:rsidR="00A83633" w:rsidRPr="00A83633">
        <w:rPr>
          <w:rFonts w:ascii="Calibri" w:eastAsia="Calibri" w:hAnsi="Calibri" w:cs="Times New Roman"/>
        </w:rPr>
        <w:t>), which impede</w:t>
      </w:r>
      <w:r w:rsidR="0045005D">
        <w:rPr>
          <w:rFonts w:ascii="Calibri" w:eastAsia="Calibri" w:hAnsi="Calibri" w:cs="Times New Roman"/>
        </w:rPr>
        <w:t>s</w:t>
      </w:r>
      <w:r w:rsidR="00A83633" w:rsidRPr="00A83633">
        <w:rPr>
          <w:rFonts w:ascii="Calibri" w:eastAsia="Calibri" w:hAnsi="Calibri" w:cs="Times New Roman"/>
        </w:rPr>
        <w:t xml:space="preserve"> their ability to engage in new</w:t>
      </w:r>
      <w:r w:rsidR="00F62783">
        <w:rPr>
          <w:rFonts w:ascii="Calibri" w:eastAsia="Calibri" w:hAnsi="Calibri" w:cs="Times New Roman"/>
        </w:rPr>
        <w:t>-</w:t>
      </w:r>
      <w:r w:rsidR="00A83633" w:rsidRPr="00A83633">
        <w:rPr>
          <w:rFonts w:ascii="Calibri" w:eastAsia="Calibri" w:hAnsi="Calibri" w:cs="Times New Roman"/>
        </w:rPr>
        <w:t>to</w:t>
      </w:r>
      <w:r w:rsidR="00F62783">
        <w:rPr>
          <w:rFonts w:ascii="Calibri" w:eastAsia="Calibri" w:hAnsi="Calibri" w:cs="Times New Roman"/>
        </w:rPr>
        <w:t>-</w:t>
      </w:r>
      <w:r w:rsidR="00A83633" w:rsidRPr="00A83633">
        <w:rPr>
          <w:rFonts w:ascii="Calibri" w:eastAsia="Calibri" w:hAnsi="Calibri" w:cs="Times New Roman"/>
        </w:rPr>
        <w:t>market innovations and fully realise the benefits of collaboration</w:t>
      </w:r>
      <w:r w:rsidR="00BC5739">
        <w:rPr>
          <w:rFonts w:ascii="Calibri" w:eastAsia="Calibri" w:hAnsi="Calibri" w:cs="Times New Roman"/>
        </w:rPr>
        <w:t>.</w:t>
      </w:r>
      <w:r w:rsidR="00A83633" w:rsidRPr="00A83633">
        <w:rPr>
          <w:rFonts w:ascii="Calibri" w:eastAsia="Calibri" w:hAnsi="Calibri" w:cs="Times New Roman"/>
          <w:vertAlign w:val="superscript"/>
        </w:rPr>
        <w:footnoteReference w:id="25"/>
      </w:r>
      <w:r w:rsidR="00A83633" w:rsidRPr="00A83633">
        <w:rPr>
          <w:rFonts w:ascii="Calibri" w:eastAsia="Calibri" w:hAnsi="Calibri" w:cs="Times New Roman"/>
        </w:rPr>
        <w:t xml:space="preserve"> SMEs are less likely to have the information, skills and financial resources to identify and to undertake an optimal program of </w:t>
      </w:r>
      <w:proofErr w:type="gramStart"/>
      <w:r w:rsidR="00A83633" w:rsidRPr="00A83633">
        <w:rPr>
          <w:rFonts w:ascii="Calibri" w:eastAsia="Calibri" w:hAnsi="Calibri" w:cs="Times New Roman"/>
        </w:rPr>
        <w:t>innovation, and</w:t>
      </w:r>
      <w:proofErr w:type="gramEnd"/>
      <w:r w:rsidR="00A83633" w:rsidRPr="00A83633">
        <w:rPr>
          <w:rFonts w:ascii="Calibri" w:eastAsia="Calibri" w:hAnsi="Calibri" w:cs="Times New Roman"/>
        </w:rPr>
        <w:t xml:space="preserve"> </w:t>
      </w:r>
      <w:r w:rsidR="00F62783">
        <w:rPr>
          <w:rFonts w:ascii="Calibri" w:eastAsia="Calibri" w:hAnsi="Calibri" w:cs="Times New Roman"/>
        </w:rPr>
        <w:t>are</w:t>
      </w:r>
      <w:r w:rsidR="00694CEB">
        <w:rPr>
          <w:rFonts w:ascii="Calibri" w:eastAsia="Calibri" w:hAnsi="Calibri" w:cs="Times New Roman"/>
        </w:rPr>
        <w:t xml:space="preserve"> also</w:t>
      </w:r>
      <w:r w:rsidR="00F62783">
        <w:rPr>
          <w:rFonts w:ascii="Calibri" w:eastAsia="Calibri" w:hAnsi="Calibri" w:cs="Times New Roman"/>
        </w:rPr>
        <w:t xml:space="preserve"> less likely to have the ability</w:t>
      </w:r>
      <w:r w:rsidR="00A83633" w:rsidRPr="00A83633">
        <w:rPr>
          <w:rFonts w:ascii="Calibri" w:eastAsia="Calibri" w:hAnsi="Calibri" w:cs="Times New Roman"/>
        </w:rPr>
        <w:t xml:space="preserve"> to diversify risks.</w:t>
      </w:r>
      <w:r w:rsidR="00A83633" w:rsidRPr="00A83633">
        <w:rPr>
          <w:rFonts w:ascii="Calibri" w:eastAsia="Calibri" w:hAnsi="Calibri" w:cs="Times New Roman"/>
          <w:vertAlign w:val="superscript"/>
        </w:rPr>
        <w:footnoteReference w:id="26"/>
      </w:r>
      <w:r w:rsidR="00A83633" w:rsidRPr="00A83633">
        <w:rPr>
          <w:rFonts w:ascii="Calibri" w:eastAsia="Calibri" w:hAnsi="Calibri" w:cs="Times New Roman"/>
        </w:rPr>
        <w:t xml:space="preserve"> </w:t>
      </w:r>
    </w:p>
    <w:p w14:paraId="67262194" w14:textId="18425A68" w:rsidR="00A83633" w:rsidRPr="00A83633" w:rsidRDefault="00A83633" w:rsidP="00A83633">
      <w:pPr>
        <w:rPr>
          <w:rFonts w:ascii="Calibri" w:eastAsia="Calibri" w:hAnsi="Calibri" w:cs="Times New Roman"/>
        </w:rPr>
      </w:pPr>
      <w:r w:rsidRPr="00A83633">
        <w:rPr>
          <w:rFonts w:ascii="Calibri" w:eastAsia="Calibri" w:hAnsi="Calibri" w:cs="Times New Roman"/>
        </w:rPr>
        <w:t xml:space="preserve">The structure of Australian industry is a barrier to higher levels of innovation in at least some cases. We analysed </w:t>
      </w:r>
      <w:r w:rsidR="003B20CF">
        <w:rPr>
          <w:rFonts w:ascii="Calibri" w:eastAsia="Calibri" w:hAnsi="Calibri" w:cs="Times New Roman"/>
        </w:rPr>
        <w:t>business</w:t>
      </w:r>
      <w:r w:rsidR="00694CEB">
        <w:rPr>
          <w:rFonts w:ascii="Calibri" w:eastAsia="Calibri" w:hAnsi="Calibri" w:cs="Times New Roman"/>
        </w:rPr>
        <w:t>-</w:t>
      </w:r>
      <w:r w:rsidRPr="00A83633">
        <w:rPr>
          <w:rFonts w:ascii="Calibri" w:eastAsia="Calibri" w:hAnsi="Calibri" w:cs="Times New Roman"/>
        </w:rPr>
        <w:t>size composition in priority areas of the economy as a reflective microcosm of business</w:t>
      </w:r>
      <w:r w:rsidR="00694CEB">
        <w:rPr>
          <w:rFonts w:ascii="Calibri" w:eastAsia="Calibri" w:hAnsi="Calibri" w:cs="Times New Roman"/>
        </w:rPr>
        <w:t>-</w:t>
      </w:r>
      <w:r w:rsidRPr="00A83633">
        <w:rPr>
          <w:rFonts w:ascii="Calibri" w:eastAsia="Calibri" w:hAnsi="Calibri" w:cs="Times New Roman"/>
        </w:rPr>
        <w:t xml:space="preserve">size distribution. </w:t>
      </w:r>
      <w:r w:rsidR="00BF05AD">
        <w:rPr>
          <w:rFonts w:ascii="Calibri" w:eastAsia="Calibri" w:hAnsi="Calibri" w:cs="Times New Roman"/>
        </w:rPr>
        <w:t>M</w:t>
      </w:r>
      <w:r w:rsidR="007E3384" w:rsidRPr="00A83633">
        <w:rPr>
          <w:rFonts w:ascii="Calibri" w:eastAsia="Calibri" w:hAnsi="Calibri" w:cs="Times New Roman"/>
        </w:rPr>
        <w:t>ost</w:t>
      </w:r>
      <w:r w:rsidRPr="00A83633">
        <w:rPr>
          <w:rFonts w:ascii="Calibri" w:eastAsia="Calibri" w:hAnsi="Calibri" w:cs="Times New Roman"/>
        </w:rPr>
        <w:t xml:space="preserve"> businesses in priority areas of the economy are small businesses </w:t>
      </w:r>
      <w:r w:rsidR="007E3384">
        <w:rPr>
          <w:rFonts w:ascii="Calibri" w:eastAsia="Calibri" w:hAnsi="Calibri" w:cs="Times New Roman"/>
        </w:rPr>
        <w:t>–</w:t>
      </w:r>
      <w:r w:rsidRPr="00A83633">
        <w:rPr>
          <w:rFonts w:ascii="Calibri" w:eastAsia="Calibri" w:hAnsi="Calibri" w:cs="Times New Roman"/>
        </w:rPr>
        <w:t xml:space="preserve"> </w:t>
      </w:r>
      <w:r w:rsidR="007E6D8C" w:rsidRPr="00A83633">
        <w:rPr>
          <w:rFonts w:ascii="Calibri" w:eastAsia="Calibri" w:hAnsi="Calibri" w:cs="Times New Roman"/>
        </w:rPr>
        <w:t>9</w:t>
      </w:r>
      <w:r w:rsidR="007E6D8C">
        <w:rPr>
          <w:rFonts w:ascii="Calibri" w:eastAsia="Calibri" w:hAnsi="Calibri" w:cs="Times New Roman"/>
        </w:rPr>
        <w:t>3</w:t>
      </w:r>
      <w:r w:rsidR="007E3384">
        <w:rPr>
          <w:rFonts w:ascii="Calibri" w:eastAsia="Calibri" w:hAnsi="Calibri" w:cs="Times New Roman"/>
        </w:rPr>
        <w:t xml:space="preserve">% </w:t>
      </w:r>
      <w:r w:rsidRPr="00A83633">
        <w:rPr>
          <w:rFonts w:ascii="Calibri" w:eastAsia="Calibri" w:hAnsi="Calibri" w:cs="Times New Roman"/>
        </w:rPr>
        <w:t xml:space="preserve">of total businesses in priority areas have </w:t>
      </w:r>
      <w:r w:rsidR="000A2136">
        <w:rPr>
          <w:rFonts w:ascii="Calibri" w:eastAsia="Calibri" w:hAnsi="Calibri" w:cs="Times New Roman"/>
        </w:rPr>
        <w:t>1</w:t>
      </w:r>
      <w:r w:rsidR="00694CEB">
        <w:rPr>
          <w:rFonts w:ascii="Calibri" w:eastAsia="Calibri" w:hAnsi="Calibri" w:cs="Times New Roman"/>
        </w:rPr>
        <w:t xml:space="preserve"> to </w:t>
      </w:r>
      <w:r w:rsidR="000A2136">
        <w:rPr>
          <w:rFonts w:ascii="Calibri" w:eastAsia="Calibri" w:hAnsi="Calibri" w:cs="Times New Roman"/>
        </w:rPr>
        <w:t>19</w:t>
      </w:r>
      <w:r w:rsidR="007E3384">
        <w:rPr>
          <w:rFonts w:ascii="Calibri" w:eastAsia="Calibri" w:hAnsi="Calibri" w:cs="Times New Roman"/>
        </w:rPr>
        <w:t> </w:t>
      </w:r>
      <w:r w:rsidRPr="00A83633">
        <w:rPr>
          <w:rFonts w:ascii="Calibri" w:eastAsia="Calibri" w:hAnsi="Calibri" w:cs="Times New Roman"/>
        </w:rPr>
        <w:t>employees</w:t>
      </w:r>
      <w:r w:rsidR="00BF05AD">
        <w:rPr>
          <w:rFonts w:ascii="Calibri" w:eastAsia="Calibri" w:hAnsi="Calibri" w:cs="Times New Roman"/>
        </w:rPr>
        <w:t xml:space="preserve"> (</w:t>
      </w:r>
      <w:hyperlink w:anchor="_Chart_8:_Composition" w:history="1">
        <w:r w:rsidR="00BF05AD" w:rsidRPr="006A78A8">
          <w:rPr>
            <w:rStyle w:val="Hyperlink"/>
            <w:rFonts w:ascii="Calibri" w:eastAsia="Calibri" w:hAnsi="Calibri" w:cs="Times New Roman"/>
            <w:b/>
            <w:bCs/>
          </w:rPr>
          <w:t>Chart 8</w:t>
        </w:r>
        <w:r w:rsidR="006A78A8" w:rsidRPr="006A78A8">
          <w:rPr>
            <w:rStyle w:val="Hyperlink"/>
            <w:rFonts w:ascii="Calibri" w:eastAsia="Calibri" w:hAnsi="Calibri" w:cs="Times New Roman"/>
            <w:b/>
            <w:bCs/>
          </w:rPr>
          <w:t>: Composition of business size, value add and employment across government priority areas</w:t>
        </w:r>
      </w:hyperlink>
      <w:r w:rsidR="00BF05AD">
        <w:rPr>
          <w:rFonts w:ascii="Calibri" w:eastAsia="Calibri" w:hAnsi="Calibri" w:cs="Times New Roman"/>
        </w:rPr>
        <w:t>)</w:t>
      </w:r>
      <w:r w:rsidRPr="00A83633">
        <w:rPr>
          <w:rFonts w:ascii="Calibri" w:eastAsia="Calibri" w:hAnsi="Calibri" w:cs="Times New Roman"/>
        </w:rPr>
        <w:t xml:space="preserve">.  </w:t>
      </w:r>
    </w:p>
    <w:p w14:paraId="3CE32666" w14:textId="244C162B" w:rsidR="00A83633" w:rsidRPr="00A83633" w:rsidRDefault="00A83633" w:rsidP="00A83633">
      <w:pPr>
        <w:rPr>
          <w:rFonts w:ascii="Calibri" w:eastAsia="Calibri" w:hAnsi="Calibri" w:cs="Times New Roman"/>
        </w:rPr>
      </w:pPr>
      <w:r w:rsidRPr="00A83633">
        <w:rPr>
          <w:rFonts w:ascii="Calibri" w:eastAsia="Calibri" w:hAnsi="Calibri" w:cs="Times New Roman"/>
        </w:rPr>
        <w:t>The high participation of small businesses across the Australian economy</w:t>
      </w:r>
      <w:r w:rsidR="00694CEB">
        <w:rPr>
          <w:rFonts w:ascii="Calibri" w:eastAsia="Calibri" w:hAnsi="Calibri" w:cs="Times New Roman"/>
        </w:rPr>
        <w:t>,</w:t>
      </w:r>
      <w:r w:rsidR="006D7CF2">
        <w:rPr>
          <w:rFonts w:ascii="Calibri" w:eastAsia="Calibri" w:hAnsi="Calibri" w:cs="Times New Roman"/>
        </w:rPr>
        <w:t xml:space="preserve"> and their limited</w:t>
      </w:r>
      <w:r w:rsidR="006D7CF2" w:rsidRPr="00A83633">
        <w:rPr>
          <w:rFonts w:ascii="Calibri" w:eastAsia="Calibri" w:hAnsi="Calibri" w:cs="Times New Roman"/>
        </w:rPr>
        <w:t xml:space="preserve"> </w:t>
      </w:r>
      <w:r w:rsidR="00A56D9D">
        <w:rPr>
          <w:rFonts w:ascii="Calibri" w:eastAsia="Calibri" w:hAnsi="Calibri" w:cs="Times New Roman"/>
        </w:rPr>
        <w:t>capacity</w:t>
      </w:r>
      <w:r w:rsidR="006D7CF2" w:rsidRPr="00A83633">
        <w:rPr>
          <w:rFonts w:ascii="Calibri" w:eastAsia="Calibri" w:hAnsi="Calibri" w:cs="Times New Roman"/>
        </w:rPr>
        <w:t xml:space="preserve"> to innovate and establish innovative collaboration networks</w:t>
      </w:r>
      <w:r w:rsidR="006D7CF2">
        <w:rPr>
          <w:rFonts w:ascii="Calibri" w:eastAsia="Calibri" w:hAnsi="Calibri" w:cs="Times New Roman"/>
        </w:rPr>
        <w:t>,</w:t>
      </w:r>
      <w:r w:rsidR="006D7CF2" w:rsidRPr="00A83633">
        <w:rPr>
          <w:rFonts w:ascii="Calibri" w:eastAsia="Calibri" w:hAnsi="Calibri" w:cs="Times New Roman"/>
        </w:rPr>
        <w:t xml:space="preserve"> </w:t>
      </w:r>
      <w:r w:rsidRPr="00A83633">
        <w:rPr>
          <w:rFonts w:ascii="Calibri" w:eastAsia="Calibri" w:hAnsi="Calibri" w:cs="Times New Roman"/>
        </w:rPr>
        <w:t xml:space="preserve">has implications </w:t>
      </w:r>
      <w:r w:rsidR="00694CEB">
        <w:rPr>
          <w:rFonts w:ascii="Calibri" w:eastAsia="Calibri" w:hAnsi="Calibri" w:cs="Times New Roman"/>
        </w:rPr>
        <w:t>for</w:t>
      </w:r>
      <w:r w:rsidR="00694CEB" w:rsidRPr="00A83633">
        <w:rPr>
          <w:rFonts w:ascii="Calibri" w:eastAsia="Calibri" w:hAnsi="Calibri" w:cs="Times New Roman"/>
        </w:rPr>
        <w:t xml:space="preserve"> </w:t>
      </w:r>
      <w:r w:rsidRPr="00A83633">
        <w:rPr>
          <w:rFonts w:ascii="Calibri" w:eastAsia="Calibri" w:hAnsi="Calibri" w:cs="Times New Roman"/>
        </w:rPr>
        <w:t>the wider econom</w:t>
      </w:r>
      <w:r w:rsidR="006D7CF2">
        <w:rPr>
          <w:rFonts w:ascii="Calibri" w:eastAsia="Calibri" w:hAnsi="Calibri" w:cs="Times New Roman"/>
        </w:rPr>
        <w:t>y</w:t>
      </w:r>
      <w:r w:rsidRPr="00A83633">
        <w:rPr>
          <w:rFonts w:ascii="Calibri" w:eastAsia="Calibri" w:hAnsi="Calibri" w:cs="Times New Roman"/>
        </w:rPr>
        <w:t>. Evidence suggests that the diversity of collaborating partners is positively related to innovation performance</w:t>
      </w:r>
      <w:r w:rsidR="00694CEB">
        <w:rPr>
          <w:rFonts w:ascii="Calibri" w:eastAsia="Calibri" w:hAnsi="Calibri" w:cs="Times New Roman"/>
        </w:rPr>
        <w:t>.</w:t>
      </w:r>
      <w:r w:rsidRPr="00A83633">
        <w:rPr>
          <w:rFonts w:ascii="Calibri" w:eastAsia="Calibri" w:hAnsi="Calibri" w:cs="Times New Roman"/>
        </w:rPr>
        <w:t xml:space="preserve"> </w:t>
      </w:r>
      <w:r w:rsidR="00694CEB">
        <w:rPr>
          <w:rFonts w:ascii="Calibri" w:eastAsia="Calibri" w:hAnsi="Calibri" w:cs="Times New Roman"/>
        </w:rPr>
        <w:t>T</w:t>
      </w:r>
      <w:r w:rsidRPr="00A83633">
        <w:rPr>
          <w:rFonts w:ascii="Calibri" w:eastAsia="Calibri" w:hAnsi="Calibri" w:cs="Times New Roman"/>
        </w:rPr>
        <w:t xml:space="preserve">he presence of diverse types of organisations in collaborative networks can provide complementary resources, </w:t>
      </w:r>
      <w:proofErr w:type="gramStart"/>
      <w:r w:rsidRPr="00A83633">
        <w:rPr>
          <w:rFonts w:ascii="Calibri" w:eastAsia="Calibri" w:hAnsi="Calibri" w:cs="Times New Roman"/>
        </w:rPr>
        <w:t>competencies</w:t>
      </w:r>
      <w:proofErr w:type="gramEnd"/>
      <w:r w:rsidRPr="00A83633">
        <w:rPr>
          <w:rFonts w:ascii="Calibri" w:eastAsia="Calibri" w:hAnsi="Calibri" w:cs="Times New Roman"/>
        </w:rPr>
        <w:t xml:space="preserve"> and information flows, which accelerate </w:t>
      </w:r>
      <w:r w:rsidR="0045005D">
        <w:rPr>
          <w:rFonts w:ascii="Calibri" w:eastAsia="Calibri" w:hAnsi="Calibri" w:cs="Times New Roman"/>
        </w:rPr>
        <w:t xml:space="preserve">the </w:t>
      </w:r>
      <w:r w:rsidRPr="00A83633">
        <w:rPr>
          <w:rFonts w:ascii="Calibri" w:eastAsia="Calibri" w:hAnsi="Calibri" w:cs="Times New Roman"/>
        </w:rPr>
        <w:t xml:space="preserve">innovation process. </w:t>
      </w:r>
    </w:p>
    <w:p w14:paraId="7144E5A7" w14:textId="3DD84693" w:rsidR="00A83633" w:rsidRPr="00A83633" w:rsidRDefault="00A83633" w:rsidP="00A83633">
      <w:pPr>
        <w:rPr>
          <w:rFonts w:ascii="Calibri" w:eastAsia="Calibri" w:hAnsi="Calibri" w:cs="Times New Roman"/>
        </w:rPr>
      </w:pPr>
      <w:r w:rsidRPr="00A83633">
        <w:rPr>
          <w:rFonts w:ascii="Calibri" w:eastAsia="Calibri" w:hAnsi="Calibri" w:cs="Times New Roman"/>
        </w:rPr>
        <w:t xml:space="preserve">Collaboration provides large businesses with agility and SMEs with expanded reach. For smaller businesses, entering the value chains of larger </w:t>
      </w:r>
      <w:r w:rsidR="00671080">
        <w:rPr>
          <w:rFonts w:ascii="Calibri" w:eastAsia="Calibri" w:hAnsi="Calibri" w:cs="Times New Roman"/>
        </w:rPr>
        <w:t>businesses</w:t>
      </w:r>
      <w:r w:rsidRPr="00A83633">
        <w:rPr>
          <w:rFonts w:ascii="Calibri" w:eastAsia="Calibri" w:hAnsi="Calibri" w:cs="Times New Roman"/>
        </w:rPr>
        <w:t xml:space="preserve"> allows them to be exposed to larger markets, including international markets</w:t>
      </w:r>
      <w:r w:rsidR="00694CEB">
        <w:rPr>
          <w:rFonts w:ascii="Calibri" w:eastAsia="Calibri" w:hAnsi="Calibri" w:cs="Times New Roman"/>
        </w:rPr>
        <w:t>. This</w:t>
      </w:r>
      <w:r w:rsidRPr="00A83633">
        <w:rPr>
          <w:rFonts w:ascii="Calibri" w:eastAsia="Calibri" w:hAnsi="Calibri" w:cs="Times New Roman"/>
        </w:rPr>
        <w:t xml:space="preserve"> provides them opportunities to de-risk scaling up to meet established market demand. Collaboration with multinational </w:t>
      </w:r>
      <w:r w:rsidR="0032657E">
        <w:rPr>
          <w:rFonts w:ascii="Calibri" w:eastAsia="Calibri" w:hAnsi="Calibri" w:cs="Times New Roman"/>
        </w:rPr>
        <w:t>businesses</w:t>
      </w:r>
      <w:r w:rsidR="0032657E" w:rsidRPr="00A83633">
        <w:rPr>
          <w:rFonts w:ascii="Calibri" w:eastAsia="Calibri" w:hAnsi="Calibri" w:cs="Times New Roman"/>
        </w:rPr>
        <w:t xml:space="preserve"> </w:t>
      </w:r>
      <w:r w:rsidRPr="00A83633">
        <w:rPr>
          <w:rFonts w:ascii="Calibri" w:eastAsia="Calibri" w:hAnsi="Calibri" w:cs="Times New Roman"/>
        </w:rPr>
        <w:t xml:space="preserve">can </w:t>
      </w:r>
      <w:r w:rsidR="00694CEB">
        <w:rPr>
          <w:rFonts w:ascii="Calibri" w:eastAsia="Calibri" w:hAnsi="Calibri" w:cs="Times New Roman"/>
        </w:rPr>
        <w:t>diffuse</w:t>
      </w:r>
      <w:r w:rsidRPr="00A83633">
        <w:rPr>
          <w:rFonts w:ascii="Calibri" w:eastAsia="Calibri" w:hAnsi="Calibri" w:cs="Times New Roman"/>
        </w:rPr>
        <w:t xml:space="preserve"> foreign knowledge and global connections. Larger businesses can also benefit from integrating small businesses into their supply chains</w:t>
      </w:r>
      <w:r w:rsidR="00694CEB">
        <w:rPr>
          <w:rFonts w:ascii="Calibri" w:eastAsia="Calibri" w:hAnsi="Calibri" w:cs="Times New Roman"/>
        </w:rPr>
        <w:t xml:space="preserve">; for example, they can gain </w:t>
      </w:r>
      <w:r w:rsidRPr="00A83633">
        <w:rPr>
          <w:rFonts w:ascii="Calibri" w:eastAsia="Calibri" w:hAnsi="Calibri" w:cs="Times New Roman"/>
        </w:rPr>
        <w:t xml:space="preserve">economies of </w:t>
      </w:r>
      <w:r w:rsidR="007E6D8C" w:rsidRPr="00A83633">
        <w:rPr>
          <w:rFonts w:ascii="Calibri" w:eastAsia="Calibri" w:hAnsi="Calibri" w:cs="Times New Roman"/>
        </w:rPr>
        <w:t>sc</w:t>
      </w:r>
      <w:r w:rsidR="00705F1C">
        <w:rPr>
          <w:rFonts w:ascii="Calibri" w:eastAsia="Calibri" w:hAnsi="Calibri" w:cs="Times New Roman"/>
        </w:rPr>
        <w:t>ope</w:t>
      </w:r>
      <w:r w:rsidR="007E6D8C" w:rsidRPr="00A83633">
        <w:rPr>
          <w:rFonts w:ascii="Calibri" w:eastAsia="Calibri" w:hAnsi="Calibri" w:cs="Times New Roman"/>
        </w:rPr>
        <w:t xml:space="preserve"> </w:t>
      </w:r>
      <w:r w:rsidR="00694CEB">
        <w:rPr>
          <w:rFonts w:ascii="Calibri" w:eastAsia="Calibri" w:hAnsi="Calibri" w:cs="Times New Roman"/>
        </w:rPr>
        <w:t>by</w:t>
      </w:r>
      <w:r w:rsidR="00694CEB" w:rsidRPr="00A83633">
        <w:rPr>
          <w:rFonts w:ascii="Calibri" w:eastAsia="Calibri" w:hAnsi="Calibri" w:cs="Times New Roman"/>
        </w:rPr>
        <w:t xml:space="preserve"> </w:t>
      </w:r>
      <w:r w:rsidR="00694CEB">
        <w:rPr>
          <w:rFonts w:ascii="Calibri" w:eastAsia="Calibri" w:hAnsi="Calibri" w:cs="Times New Roman"/>
        </w:rPr>
        <w:t>working with a</w:t>
      </w:r>
      <w:r w:rsidRPr="00A83633">
        <w:rPr>
          <w:rFonts w:ascii="Calibri" w:eastAsia="Calibri" w:hAnsi="Calibri" w:cs="Times New Roman"/>
        </w:rPr>
        <w:t xml:space="preserve"> range of highly specialized small businesses.</w:t>
      </w:r>
      <w:r w:rsidRPr="00A83633">
        <w:rPr>
          <w:rFonts w:ascii="Calibri" w:eastAsia="Calibri" w:hAnsi="Calibri" w:cs="Times New Roman"/>
          <w:vertAlign w:val="superscript"/>
        </w:rPr>
        <w:footnoteReference w:id="27"/>
      </w:r>
    </w:p>
    <w:p w14:paraId="7B2B2642" w14:textId="77777777" w:rsidR="00A83633" w:rsidRPr="00A83633" w:rsidRDefault="00A83633" w:rsidP="00A83633">
      <w:pPr>
        <w:rPr>
          <w:rFonts w:ascii="Calibri" w:eastAsia="Calibri" w:hAnsi="Calibri" w:cs="Times New Roman"/>
          <w:b/>
          <w:bCs/>
        </w:rPr>
      </w:pPr>
    </w:p>
    <w:p w14:paraId="4167B613" w14:textId="77777777" w:rsidR="00A83633" w:rsidRPr="00A83633" w:rsidRDefault="00A83633" w:rsidP="00A83633">
      <w:pPr>
        <w:rPr>
          <w:rFonts w:ascii="Calibri" w:eastAsia="Calibri" w:hAnsi="Calibri" w:cs="Times New Roman"/>
          <w:b/>
          <w:bCs/>
        </w:rPr>
        <w:sectPr w:rsidR="00A83633" w:rsidRPr="00A83633" w:rsidSect="000C705F">
          <w:pgSz w:w="11906" w:h="16838"/>
          <w:pgMar w:top="1134" w:right="1440" w:bottom="1440" w:left="1440" w:header="851" w:footer="708" w:gutter="0"/>
          <w:cols w:space="708"/>
          <w:titlePg/>
          <w:docGrid w:linePitch="360"/>
        </w:sectPr>
      </w:pPr>
    </w:p>
    <w:p w14:paraId="7B6DCB2C" w14:textId="3391B225" w:rsidR="00A83633" w:rsidRPr="00F132D3" w:rsidRDefault="00EF6FDA" w:rsidP="00F132D3">
      <w:pPr>
        <w:pStyle w:val="Caption"/>
        <w:keepNext/>
        <w:jc w:val="center"/>
        <w:rPr>
          <w:b/>
          <w:bCs/>
          <w:i w:val="0"/>
          <w:iCs w:val="0"/>
          <w:color w:val="auto"/>
        </w:rPr>
      </w:pPr>
      <w:bookmarkStart w:id="55" w:name="Chart_8_Composition_of_business_size_val"/>
      <w:r w:rsidRPr="00F132D3">
        <w:rPr>
          <w:b/>
          <w:bCs/>
          <w:i w:val="0"/>
          <w:iCs w:val="0"/>
          <w:color w:val="auto"/>
        </w:rPr>
        <w:t xml:space="preserve">Chart </w:t>
      </w:r>
      <w:r w:rsidR="00651A4F" w:rsidRPr="00F132D3">
        <w:rPr>
          <w:b/>
          <w:bCs/>
          <w:i w:val="0"/>
          <w:iCs w:val="0"/>
          <w:color w:val="auto"/>
        </w:rPr>
        <w:t>8</w:t>
      </w:r>
      <w:r w:rsidR="00A83633" w:rsidRPr="00F132D3">
        <w:rPr>
          <w:b/>
          <w:bCs/>
          <w:i w:val="0"/>
          <w:iCs w:val="0"/>
          <w:color w:val="auto"/>
        </w:rPr>
        <w:t xml:space="preserve">. Composition of business size, value add and employment across </w:t>
      </w:r>
      <w:r w:rsidR="00610790">
        <w:rPr>
          <w:b/>
          <w:bCs/>
          <w:i w:val="0"/>
          <w:iCs w:val="0"/>
          <w:color w:val="auto"/>
        </w:rPr>
        <w:t>g</w:t>
      </w:r>
      <w:r w:rsidR="00A83633" w:rsidRPr="00F132D3">
        <w:rPr>
          <w:b/>
          <w:bCs/>
          <w:i w:val="0"/>
          <w:iCs w:val="0"/>
          <w:color w:val="auto"/>
        </w:rPr>
        <w:t xml:space="preserve">overnment priority </w:t>
      </w:r>
      <w:r w:rsidR="00F5298D" w:rsidRPr="00F132D3">
        <w:rPr>
          <w:b/>
          <w:bCs/>
          <w:i w:val="0"/>
          <w:iCs w:val="0"/>
          <w:color w:val="auto"/>
        </w:rPr>
        <w:t>areas</w:t>
      </w:r>
      <w:bookmarkEnd w:id="55"/>
      <w:r w:rsidR="00406691">
        <w:rPr>
          <w:b/>
          <w:bCs/>
          <w:i w:val="0"/>
          <w:iCs w:val="0"/>
          <w:color w:val="auto"/>
        </w:rPr>
        <w:t xml:space="preserve">. </w:t>
      </w:r>
      <w:r w:rsidR="00BB61EF">
        <w:rPr>
          <w:b/>
          <w:bCs/>
          <w:i w:val="0"/>
          <w:iCs w:val="0"/>
          <w:color w:val="auto"/>
        </w:rPr>
        <w:t>(Data table immediately follows)</w:t>
      </w:r>
      <w:r w:rsidR="00285531">
        <w:rPr>
          <w:rStyle w:val="Hyperlink"/>
          <w:b/>
          <w:bCs/>
          <w:i w:val="0"/>
          <w:iCs w:val="0"/>
        </w:rPr>
        <w:t>.</w:t>
      </w:r>
    </w:p>
    <w:p w14:paraId="3E185AEF" w14:textId="27024CA0" w:rsidR="00A83633" w:rsidRDefault="00194179" w:rsidP="006E7757">
      <w:pPr>
        <w:jc w:val="center"/>
        <w:rPr>
          <w:rFonts w:ascii="Calibri" w:eastAsia="Calibri" w:hAnsi="Calibri" w:cs="Times New Roman"/>
        </w:rPr>
      </w:pPr>
      <w:r>
        <w:rPr>
          <w:noProof/>
        </w:rPr>
        <w:drawing>
          <wp:inline distT="0" distB="0" distL="0" distR="0" wp14:anchorId="0BBBA038" wp14:editId="3E4E4FFD">
            <wp:extent cx="7645400" cy="4800600"/>
            <wp:effectExtent l="0" t="0" r="0" b="0"/>
            <wp:docPr id="38" name="Chart 38" descr="Bubble chart of composition of business size, value add and employment across government priority areas, showing that small businesses predominate in all priority areas. Value-add in agriculture, forestry and fisheries had the highest value added.">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770A53" w14:textId="77777777" w:rsidR="002A3B88" w:rsidRDefault="002A3B88" w:rsidP="002A3B88">
      <w:pPr>
        <w:spacing w:after="0" w:line="240" w:lineRule="auto"/>
        <w:rPr>
          <w:sz w:val="18"/>
          <w:szCs w:val="18"/>
        </w:rPr>
      </w:pPr>
      <w:r w:rsidRPr="00975D29">
        <w:rPr>
          <w:sz w:val="18"/>
          <w:szCs w:val="18"/>
        </w:rPr>
        <w:t>Source: ABS, Australian Industry</w:t>
      </w:r>
    </w:p>
    <w:p w14:paraId="1E425AD6" w14:textId="776C00BE" w:rsidR="002A3B88" w:rsidRDefault="002A3B88" w:rsidP="00285531">
      <w:pPr>
        <w:spacing w:after="0" w:line="240" w:lineRule="auto"/>
        <w:rPr>
          <w:sz w:val="18"/>
          <w:szCs w:val="18"/>
        </w:rPr>
      </w:pPr>
      <w:r>
        <w:rPr>
          <w:sz w:val="18"/>
          <w:szCs w:val="18"/>
        </w:rPr>
        <w:t>L = Large; M = Medium; S = Small; RLET = Renewables and Low Emission Technologies</w:t>
      </w:r>
    </w:p>
    <w:p w14:paraId="056567EC" w14:textId="1E50759E" w:rsidR="00BB61EF" w:rsidRDefault="00BB61EF" w:rsidP="00285531">
      <w:pPr>
        <w:spacing w:after="0" w:line="240" w:lineRule="auto"/>
        <w:rPr>
          <w:sz w:val="18"/>
          <w:szCs w:val="18"/>
        </w:rPr>
      </w:pPr>
    </w:p>
    <w:p w14:paraId="09CA20BB" w14:textId="10142F29" w:rsidR="00BB61EF" w:rsidRPr="00BB61EF" w:rsidRDefault="00BB61EF" w:rsidP="00BB61EF">
      <w:pPr>
        <w:pStyle w:val="pf0"/>
        <w:rPr>
          <w:rFonts w:ascii="Arial" w:hAnsi="Arial" w:cs="Arial"/>
          <w:sz w:val="20"/>
          <w:szCs w:val="20"/>
        </w:rPr>
      </w:pPr>
      <w:r w:rsidRPr="00BB61EF">
        <w:rPr>
          <w:rFonts w:asciiTheme="majorHAnsi" w:hAnsiTheme="majorHAnsi" w:cstheme="majorHAnsi"/>
          <w:b/>
          <w:bCs/>
          <w:sz w:val="22"/>
          <w:szCs w:val="22"/>
        </w:rPr>
        <w:t>Data table for chart 8: Composition of business size, value add and employment across government priority areas</w:t>
      </w:r>
      <w:r>
        <w:rPr>
          <w:rFonts w:asciiTheme="majorHAnsi" w:hAnsiTheme="majorHAnsi" w:cstheme="majorHAnsi"/>
          <w:b/>
          <w:bCs/>
          <w:sz w:val="22"/>
          <w:szCs w:val="22"/>
        </w:rPr>
        <w:t xml:space="preserve">. </w:t>
      </w:r>
      <w:r w:rsidRPr="00BB61EF">
        <w:rPr>
          <w:rFonts w:asciiTheme="majorHAnsi" w:hAnsiTheme="majorHAnsi" w:cstheme="majorHAnsi"/>
          <w:b/>
          <w:bCs/>
          <w:sz w:val="22"/>
          <w:szCs w:val="22"/>
        </w:rPr>
        <w:t>The statistics outlined in the following table are depicted in a bubble chart format in Chart 8 above</w:t>
      </w:r>
      <w:r w:rsidRPr="00BB61EF">
        <w:rPr>
          <w:rFonts w:ascii="Segoe UI" w:hAnsi="Segoe UI" w:cs="Segoe UI"/>
          <w:b/>
          <w:bCs/>
          <w:sz w:val="18"/>
          <w:szCs w:val="18"/>
        </w:rPr>
        <w:t>.</w:t>
      </w:r>
    </w:p>
    <w:p w14:paraId="0FBD00AC" w14:textId="2A56530B" w:rsidR="00BB61EF" w:rsidRPr="00BB61EF" w:rsidRDefault="00BB61EF" w:rsidP="00285531">
      <w:pPr>
        <w:spacing w:after="0" w:line="240" w:lineRule="auto"/>
        <w:rPr>
          <w:rFonts w:ascii="Calibri" w:eastAsia="Calibri" w:hAnsi="Calibri" w:cs="Times New Roman"/>
          <w:b/>
          <w:bCs/>
        </w:rPr>
      </w:pPr>
    </w:p>
    <w:p w14:paraId="4D9D0C02" w14:textId="77777777" w:rsidR="00A83633" w:rsidRDefault="00A83633" w:rsidP="00A83633">
      <w:pPr>
        <w:rPr>
          <w:rFonts w:ascii="Calibri" w:eastAsia="Calibri" w:hAnsi="Calibri" w:cs="Arial"/>
        </w:rPr>
      </w:pPr>
    </w:p>
    <w:tbl>
      <w:tblPr>
        <w:tblpPr w:leftFromText="180" w:rightFromText="180" w:vertAnchor="page" w:horzAnchor="margin" w:tblpY="235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34"/>
        <w:gridCol w:w="1418"/>
        <w:gridCol w:w="1276"/>
        <w:gridCol w:w="1275"/>
        <w:gridCol w:w="1276"/>
        <w:gridCol w:w="1276"/>
      </w:tblGrid>
      <w:tr w:rsidR="00BB61EF" w:rsidRPr="00FF2584" w14:paraId="7A4B6495" w14:textId="77777777" w:rsidTr="00BB61EF">
        <w:trPr>
          <w:trHeight w:val="283"/>
          <w:tblHeader/>
        </w:trPr>
        <w:tc>
          <w:tcPr>
            <w:tcW w:w="1696" w:type="dxa"/>
            <w:shd w:val="clear" w:color="auto" w:fill="E5E5FF"/>
            <w:noWrap/>
            <w:vAlign w:val="center"/>
            <w:hideMark/>
          </w:tcPr>
          <w:p w14:paraId="1CE293A7"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b/>
                <w:bCs/>
                <w:color w:val="000000"/>
                <w:lang w:eastAsia="en-AU"/>
              </w:rPr>
            </w:pPr>
            <w:r w:rsidRPr="00FF2584">
              <w:rPr>
                <w:rFonts w:asciiTheme="majorHAnsi" w:eastAsia="Times New Roman" w:hAnsiTheme="majorHAnsi" w:cstheme="majorHAnsi"/>
                <w:b/>
                <w:bCs/>
                <w:color w:val="000000"/>
                <w:lang w:eastAsia="en-AU"/>
              </w:rPr>
              <w:t>Industry</w:t>
            </w:r>
          </w:p>
        </w:tc>
        <w:tc>
          <w:tcPr>
            <w:tcW w:w="1134" w:type="dxa"/>
            <w:shd w:val="clear" w:color="auto" w:fill="E5E5FF"/>
            <w:noWrap/>
            <w:vAlign w:val="center"/>
            <w:hideMark/>
          </w:tcPr>
          <w:p w14:paraId="3B4728DD"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b/>
                <w:bCs/>
                <w:color w:val="000000"/>
                <w:lang w:eastAsia="en-AU"/>
              </w:rPr>
            </w:pPr>
            <w:r w:rsidRPr="00FF2584">
              <w:rPr>
                <w:rFonts w:asciiTheme="majorHAnsi" w:eastAsia="Times New Roman" w:hAnsiTheme="majorHAnsi" w:cstheme="majorHAnsi"/>
                <w:b/>
                <w:bCs/>
                <w:color w:val="000000"/>
                <w:lang w:eastAsia="en-AU"/>
              </w:rPr>
              <w:t>Industry value added</w:t>
            </w:r>
          </w:p>
        </w:tc>
        <w:tc>
          <w:tcPr>
            <w:tcW w:w="1418" w:type="dxa"/>
            <w:shd w:val="clear" w:color="auto" w:fill="E5E5FF"/>
            <w:noWrap/>
            <w:vAlign w:val="center"/>
            <w:hideMark/>
          </w:tcPr>
          <w:p w14:paraId="33F76CCB"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b/>
                <w:bCs/>
                <w:color w:val="000000"/>
                <w:lang w:eastAsia="en-AU"/>
              </w:rPr>
            </w:pPr>
            <w:r w:rsidRPr="00FF2584">
              <w:rPr>
                <w:rFonts w:asciiTheme="majorHAnsi" w:eastAsia="Times New Roman" w:hAnsiTheme="majorHAnsi" w:cstheme="majorHAnsi"/>
                <w:b/>
                <w:bCs/>
                <w:color w:val="000000"/>
                <w:lang w:eastAsia="en-AU"/>
              </w:rPr>
              <w:t>Employment at end June 2021</w:t>
            </w:r>
          </w:p>
        </w:tc>
        <w:tc>
          <w:tcPr>
            <w:tcW w:w="1276" w:type="dxa"/>
            <w:shd w:val="clear" w:color="auto" w:fill="E5E5FF"/>
            <w:noWrap/>
            <w:vAlign w:val="center"/>
            <w:hideMark/>
          </w:tcPr>
          <w:p w14:paraId="36157EAA"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b/>
                <w:bCs/>
                <w:color w:val="000000"/>
                <w:lang w:eastAsia="en-AU"/>
              </w:rPr>
            </w:pPr>
            <w:r w:rsidRPr="00FF2584">
              <w:rPr>
                <w:rFonts w:asciiTheme="majorHAnsi" w:eastAsia="Times New Roman" w:hAnsiTheme="majorHAnsi" w:cstheme="majorHAnsi"/>
                <w:b/>
                <w:bCs/>
                <w:color w:val="000000"/>
                <w:lang w:eastAsia="en-AU"/>
              </w:rPr>
              <w:t>Number of business</w:t>
            </w:r>
            <w:r>
              <w:rPr>
                <w:rFonts w:asciiTheme="majorHAnsi" w:eastAsia="Times New Roman" w:hAnsiTheme="majorHAnsi" w:cstheme="majorHAnsi"/>
                <w:b/>
                <w:bCs/>
                <w:color w:val="000000"/>
                <w:lang w:eastAsia="en-AU"/>
              </w:rPr>
              <w:t>es</w:t>
            </w:r>
          </w:p>
        </w:tc>
        <w:tc>
          <w:tcPr>
            <w:tcW w:w="1275" w:type="dxa"/>
            <w:shd w:val="clear" w:color="auto" w:fill="E5E5FF"/>
            <w:noWrap/>
            <w:vAlign w:val="center"/>
            <w:hideMark/>
          </w:tcPr>
          <w:p w14:paraId="71A90E34"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b/>
                <w:bCs/>
                <w:color w:val="000000"/>
                <w:lang w:eastAsia="en-AU"/>
              </w:rPr>
            </w:pPr>
            <w:r w:rsidRPr="00FF2584">
              <w:rPr>
                <w:rFonts w:asciiTheme="majorHAnsi" w:eastAsia="Times New Roman" w:hAnsiTheme="majorHAnsi" w:cstheme="majorHAnsi"/>
                <w:b/>
                <w:bCs/>
                <w:color w:val="000000"/>
                <w:lang w:eastAsia="en-AU"/>
              </w:rPr>
              <w:t>Small businesses</w:t>
            </w:r>
          </w:p>
        </w:tc>
        <w:tc>
          <w:tcPr>
            <w:tcW w:w="1276" w:type="dxa"/>
            <w:shd w:val="clear" w:color="auto" w:fill="E5E5FF"/>
            <w:noWrap/>
            <w:vAlign w:val="center"/>
            <w:hideMark/>
          </w:tcPr>
          <w:p w14:paraId="7D92E7E8"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b/>
                <w:bCs/>
                <w:color w:val="000000"/>
                <w:lang w:eastAsia="en-AU"/>
              </w:rPr>
            </w:pPr>
            <w:r w:rsidRPr="00FF2584">
              <w:rPr>
                <w:rFonts w:asciiTheme="majorHAnsi" w:eastAsia="Times New Roman" w:hAnsiTheme="majorHAnsi" w:cstheme="majorHAnsi"/>
                <w:b/>
                <w:bCs/>
                <w:color w:val="000000"/>
                <w:lang w:eastAsia="en-AU"/>
              </w:rPr>
              <w:t>Medium businesses</w:t>
            </w:r>
          </w:p>
        </w:tc>
        <w:tc>
          <w:tcPr>
            <w:tcW w:w="1276" w:type="dxa"/>
            <w:shd w:val="clear" w:color="auto" w:fill="E5E5FF"/>
            <w:noWrap/>
            <w:vAlign w:val="center"/>
            <w:hideMark/>
          </w:tcPr>
          <w:p w14:paraId="07D7BBC7"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b/>
                <w:bCs/>
                <w:color w:val="000000"/>
                <w:lang w:eastAsia="en-AU"/>
              </w:rPr>
            </w:pPr>
            <w:r w:rsidRPr="00FF2584">
              <w:rPr>
                <w:rFonts w:asciiTheme="majorHAnsi" w:eastAsia="Times New Roman" w:hAnsiTheme="majorHAnsi" w:cstheme="majorHAnsi"/>
                <w:b/>
                <w:bCs/>
                <w:color w:val="000000"/>
                <w:lang w:eastAsia="en-AU"/>
              </w:rPr>
              <w:t>Large businesses</w:t>
            </w:r>
          </w:p>
        </w:tc>
      </w:tr>
      <w:tr w:rsidR="00BB61EF" w:rsidRPr="00FF2584" w14:paraId="6A8BB708" w14:textId="77777777" w:rsidTr="00426B8A">
        <w:trPr>
          <w:trHeight w:val="794"/>
        </w:trPr>
        <w:tc>
          <w:tcPr>
            <w:tcW w:w="1696" w:type="dxa"/>
            <w:shd w:val="clear" w:color="auto" w:fill="auto"/>
            <w:noWrap/>
            <w:vAlign w:val="center"/>
            <w:hideMark/>
          </w:tcPr>
          <w:p w14:paraId="395E972C"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 xml:space="preserve">Value-add in agriculture, </w:t>
            </w:r>
            <w:proofErr w:type="gramStart"/>
            <w:r w:rsidRPr="00FF2584">
              <w:rPr>
                <w:rFonts w:asciiTheme="majorHAnsi" w:eastAsia="Times New Roman" w:hAnsiTheme="majorHAnsi" w:cstheme="majorHAnsi"/>
                <w:color w:val="000000"/>
                <w:lang w:eastAsia="en-AU"/>
              </w:rPr>
              <w:t>forestry</w:t>
            </w:r>
            <w:proofErr w:type="gramEnd"/>
            <w:r w:rsidRPr="00FF2584">
              <w:rPr>
                <w:rFonts w:asciiTheme="majorHAnsi" w:eastAsia="Times New Roman" w:hAnsiTheme="majorHAnsi" w:cstheme="majorHAnsi"/>
                <w:color w:val="000000"/>
                <w:lang w:eastAsia="en-AU"/>
              </w:rPr>
              <w:t xml:space="preserve"> and fisheries</w:t>
            </w:r>
          </w:p>
        </w:tc>
        <w:tc>
          <w:tcPr>
            <w:tcW w:w="1134" w:type="dxa"/>
            <w:shd w:val="clear" w:color="auto" w:fill="auto"/>
            <w:noWrap/>
            <w:vAlign w:val="center"/>
            <w:hideMark/>
          </w:tcPr>
          <w:p w14:paraId="7CDA5450"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65,884</w:t>
            </w:r>
          </w:p>
        </w:tc>
        <w:tc>
          <w:tcPr>
            <w:tcW w:w="1418" w:type="dxa"/>
            <w:shd w:val="clear" w:color="auto" w:fill="auto"/>
            <w:noWrap/>
            <w:vAlign w:val="center"/>
            <w:hideMark/>
          </w:tcPr>
          <w:p w14:paraId="5EE17F64"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753,202</w:t>
            </w:r>
          </w:p>
        </w:tc>
        <w:tc>
          <w:tcPr>
            <w:tcW w:w="1276" w:type="dxa"/>
            <w:shd w:val="clear" w:color="auto" w:fill="auto"/>
            <w:noWrap/>
            <w:vAlign w:val="center"/>
            <w:hideMark/>
          </w:tcPr>
          <w:p w14:paraId="0BE102C3"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200,747</w:t>
            </w:r>
          </w:p>
        </w:tc>
        <w:tc>
          <w:tcPr>
            <w:tcW w:w="1275" w:type="dxa"/>
            <w:shd w:val="clear" w:color="auto" w:fill="auto"/>
            <w:noWrap/>
            <w:vAlign w:val="center"/>
            <w:hideMark/>
          </w:tcPr>
          <w:p w14:paraId="5233A7BD"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92.7%</w:t>
            </w:r>
          </w:p>
        </w:tc>
        <w:tc>
          <w:tcPr>
            <w:tcW w:w="1276" w:type="dxa"/>
            <w:shd w:val="clear" w:color="auto" w:fill="auto"/>
            <w:noWrap/>
            <w:vAlign w:val="center"/>
            <w:hideMark/>
          </w:tcPr>
          <w:p w14:paraId="22B6E0A4"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6.9%</w:t>
            </w:r>
          </w:p>
        </w:tc>
        <w:tc>
          <w:tcPr>
            <w:tcW w:w="1276" w:type="dxa"/>
            <w:shd w:val="clear" w:color="auto" w:fill="auto"/>
            <w:noWrap/>
            <w:vAlign w:val="center"/>
            <w:hideMark/>
          </w:tcPr>
          <w:p w14:paraId="5CD4CB65"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0.4%</w:t>
            </w:r>
          </w:p>
        </w:tc>
      </w:tr>
      <w:tr w:rsidR="00BB61EF" w:rsidRPr="00FF2584" w14:paraId="4AA89916" w14:textId="77777777" w:rsidTr="00426B8A">
        <w:trPr>
          <w:trHeight w:val="794"/>
        </w:trPr>
        <w:tc>
          <w:tcPr>
            <w:tcW w:w="1696" w:type="dxa"/>
            <w:shd w:val="clear" w:color="auto" w:fill="auto"/>
            <w:noWrap/>
            <w:vAlign w:val="center"/>
            <w:hideMark/>
          </w:tcPr>
          <w:p w14:paraId="0CF9A9D7"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Enabling capabilities</w:t>
            </w:r>
          </w:p>
        </w:tc>
        <w:tc>
          <w:tcPr>
            <w:tcW w:w="1134" w:type="dxa"/>
            <w:shd w:val="clear" w:color="auto" w:fill="auto"/>
            <w:noWrap/>
            <w:vAlign w:val="center"/>
            <w:hideMark/>
          </w:tcPr>
          <w:p w14:paraId="60F56137"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41,179</w:t>
            </w:r>
          </w:p>
        </w:tc>
        <w:tc>
          <w:tcPr>
            <w:tcW w:w="1418" w:type="dxa"/>
            <w:shd w:val="clear" w:color="auto" w:fill="auto"/>
            <w:noWrap/>
            <w:vAlign w:val="center"/>
            <w:hideMark/>
          </w:tcPr>
          <w:p w14:paraId="409F5917"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317,058</w:t>
            </w:r>
          </w:p>
        </w:tc>
        <w:tc>
          <w:tcPr>
            <w:tcW w:w="1276" w:type="dxa"/>
            <w:shd w:val="clear" w:color="auto" w:fill="auto"/>
            <w:noWrap/>
            <w:vAlign w:val="center"/>
            <w:hideMark/>
          </w:tcPr>
          <w:p w14:paraId="3C29A697"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103,705</w:t>
            </w:r>
          </w:p>
        </w:tc>
        <w:tc>
          <w:tcPr>
            <w:tcW w:w="1275" w:type="dxa"/>
            <w:shd w:val="clear" w:color="auto" w:fill="auto"/>
            <w:noWrap/>
            <w:vAlign w:val="center"/>
            <w:hideMark/>
          </w:tcPr>
          <w:p w14:paraId="24E8C387"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94.7%</w:t>
            </w:r>
          </w:p>
        </w:tc>
        <w:tc>
          <w:tcPr>
            <w:tcW w:w="1276" w:type="dxa"/>
            <w:shd w:val="clear" w:color="auto" w:fill="auto"/>
            <w:noWrap/>
            <w:vAlign w:val="center"/>
            <w:hideMark/>
          </w:tcPr>
          <w:p w14:paraId="10A1CF43"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4.9%</w:t>
            </w:r>
          </w:p>
        </w:tc>
        <w:tc>
          <w:tcPr>
            <w:tcW w:w="1276" w:type="dxa"/>
            <w:shd w:val="clear" w:color="auto" w:fill="auto"/>
            <w:noWrap/>
            <w:vAlign w:val="center"/>
            <w:hideMark/>
          </w:tcPr>
          <w:p w14:paraId="2A99002D"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0.4%</w:t>
            </w:r>
          </w:p>
        </w:tc>
      </w:tr>
      <w:tr w:rsidR="00BB61EF" w:rsidRPr="00FF2584" w14:paraId="7F85C02F" w14:textId="77777777" w:rsidTr="00426B8A">
        <w:trPr>
          <w:trHeight w:val="794"/>
        </w:trPr>
        <w:tc>
          <w:tcPr>
            <w:tcW w:w="1696" w:type="dxa"/>
            <w:shd w:val="clear" w:color="auto" w:fill="auto"/>
            <w:noWrap/>
            <w:vAlign w:val="center"/>
            <w:hideMark/>
          </w:tcPr>
          <w:p w14:paraId="4105B98F"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Value</w:t>
            </w:r>
            <w:r w:rsidRPr="00FF2584">
              <w:rPr>
                <w:rFonts w:asciiTheme="majorHAnsi" w:eastAsia="Times New Roman" w:hAnsiTheme="majorHAnsi" w:cstheme="majorHAnsi"/>
                <w:color w:val="000000"/>
                <w:lang w:eastAsia="en-AU"/>
              </w:rPr>
              <w:noBreakHyphen/>
              <w:t>add in resources</w:t>
            </w:r>
          </w:p>
        </w:tc>
        <w:tc>
          <w:tcPr>
            <w:tcW w:w="1134" w:type="dxa"/>
            <w:shd w:val="clear" w:color="auto" w:fill="auto"/>
            <w:noWrap/>
            <w:vAlign w:val="center"/>
            <w:hideMark/>
          </w:tcPr>
          <w:p w14:paraId="13AC7141"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24,560</w:t>
            </w:r>
          </w:p>
        </w:tc>
        <w:tc>
          <w:tcPr>
            <w:tcW w:w="1418" w:type="dxa"/>
            <w:shd w:val="clear" w:color="auto" w:fill="auto"/>
            <w:noWrap/>
            <w:vAlign w:val="center"/>
            <w:hideMark/>
          </w:tcPr>
          <w:p w14:paraId="598176F8"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123,166</w:t>
            </w:r>
          </w:p>
        </w:tc>
        <w:tc>
          <w:tcPr>
            <w:tcW w:w="1276" w:type="dxa"/>
            <w:shd w:val="clear" w:color="auto" w:fill="auto"/>
            <w:noWrap/>
            <w:vAlign w:val="center"/>
            <w:hideMark/>
          </w:tcPr>
          <w:p w14:paraId="56BDF650"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7,266</w:t>
            </w:r>
          </w:p>
        </w:tc>
        <w:tc>
          <w:tcPr>
            <w:tcW w:w="1275" w:type="dxa"/>
            <w:shd w:val="clear" w:color="auto" w:fill="auto"/>
            <w:noWrap/>
            <w:vAlign w:val="center"/>
            <w:hideMark/>
          </w:tcPr>
          <w:p w14:paraId="509F3C52"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80.9%</w:t>
            </w:r>
          </w:p>
        </w:tc>
        <w:tc>
          <w:tcPr>
            <w:tcW w:w="1276" w:type="dxa"/>
            <w:shd w:val="clear" w:color="auto" w:fill="auto"/>
            <w:noWrap/>
            <w:vAlign w:val="center"/>
            <w:hideMark/>
          </w:tcPr>
          <w:p w14:paraId="07D9E6CA"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17.6%</w:t>
            </w:r>
          </w:p>
        </w:tc>
        <w:tc>
          <w:tcPr>
            <w:tcW w:w="1276" w:type="dxa"/>
            <w:shd w:val="clear" w:color="auto" w:fill="auto"/>
            <w:noWrap/>
            <w:vAlign w:val="center"/>
            <w:hideMark/>
          </w:tcPr>
          <w:p w14:paraId="4D77946C"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1.5%</w:t>
            </w:r>
          </w:p>
        </w:tc>
      </w:tr>
      <w:tr w:rsidR="00BB61EF" w:rsidRPr="00FF2584" w14:paraId="3692E075" w14:textId="77777777" w:rsidTr="00426B8A">
        <w:trPr>
          <w:trHeight w:val="794"/>
        </w:trPr>
        <w:tc>
          <w:tcPr>
            <w:tcW w:w="1696" w:type="dxa"/>
            <w:shd w:val="clear" w:color="auto" w:fill="auto"/>
            <w:noWrap/>
            <w:vAlign w:val="center"/>
            <w:hideMark/>
          </w:tcPr>
          <w:p w14:paraId="492AB9D1"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Transport and space</w:t>
            </w:r>
          </w:p>
        </w:tc>
        <w:tc>
          <w:tcPr>
            <w:tcW w:w="1134" w:type="dxa"/>
            <w:shd w:val="clear" w:color="auto" w:fill="auto"/>
            <w:noWrap/>
            <w:vAlign w:val="center"/>
            <w:hideMark/>
          </w:tcPr>
          <w:p w14:paraId="072772C0"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14,595</w:t>
            </w:r>
          </w:p>
        </w:tc>
        <w:tc>
          <w:tcPr>
            <w:tcW w:w="1418" w:type="dxa"/>
            <w:shd w:val="clear" w:color="auto" w:fill="auto"/>
            <w:noWrap/>
            <w:vAlign w:val="center"/>
            <w:hideMark/>
          </w:tcPr>
          <w:p w14:paraId="0F69F1D7"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102,853</w:t>
            </w:r>
          </w:p>
        </w:tc>
        <w:tc>
          <w:tcPr>
            <w:tcW w:w="1276" w:type="dxa"/>
            <w:shd w:val="clear" w:color="auto" w:fill="auto"/>
            <w:noWrap/>
            <w:vAlign w:val="center"/>
            <w:hideMark/>
          </w:tcPr>
          <w:p w14:paraId="6E6F8085"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7,322</w:t>
            </w:r>
          </w:p>
        </w:tc>
        <w:tc>
          <w:tcPr>
            <w:tcW w:w="1275" w:type="dxa"/>
            <w:shd w:val="clear" w:color="auto" w:fill="auto"/>
            <w:noWrap/>
            <w:vAlign w:val="center"/>
            <w:hideMark/>
          </w:tcPr>
          <w:p w14:paraId="46A27018"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85.3%</w:t>
            </w:r>
          </w:p>
        </w:tc>
        <w:tc>
          <w:tcPr>
            <w:tcW w:w="1276" w:type="dxa"/>
            <w:shd w:val="clear" w:color="auto" w:fill="auto"/>
            <w:noWrap/>
            <w:vAlign w:val="center"/>
            <w:hideMark/>
          </w:tcPr>
          <w:p w14:paraId="60B31345"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13.3%</w:t>
            </w:r>
          </w:p>
        </w:tc>
        <w:tc>
          <w:tcPr>
            <w:tcW w:w="1276" w:type="dxa"/>
            <w:shd w:val="clear" w:color="auto" w:fill="auto"/>
            <w:noWrap/>
            <w:vAlign w:val="center"/>
            <w:hideMark/>
          </w:tcPr>
          <w:p w14:paraId="50F73401"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1.4%</w:t>
            </w:r>
          </w:p>
        </w:tc>
      </w:tr>
      <w:tr w:rsidR="00BB61EF" w:rsidRPr="00FF2584" w14:paraId="10EA271C" w14:textId="77777777" w:rsidTr="00426B8A">
        <w:trPr>
          <w:trHeight w:val="794"/>
        </w:trPr>
        <w:tc>
          <w:tcPr>
            <w:tcW w:w="1696" w:type="dxa"/>
            <w:shd w:val="clear" w:color="auto" w:fill="auto"/>
            <w:noWrap/>
            <w:vAlign w:val="center"/>
            <w:hideMark/>
          </w:tcPr>
          <w:p w14:paraId="3BB9B708"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Renewables and low-emission technologies</w:t>
            </w:r>
          </w:p>
        </w:tc>
        <w:tc>
          <w:tcPr>
            <w:tcW w:w="1134" w:type="dxa"/>
            <w:shd w:val="clear" w:color="auto" w:fill="auto"/>
            <w:noWrap/>
            <w:vAlign w:val="center"/>
            <w:hideMark/>
          </w:tcPr>
          <w:p w14:paraId="5EAF6F2B"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 xml:space="preserve">9,740 </w:t>
            </w:r>
          </w:p>
        </w:tc>
        <w:tc>
          <w:tcPr>
            <w:tcW w:w="1418" w:type="dxa"/>
            <w:shd w:val="clear" w:color="auto" w:fill="auto"/>
            <w:noWrap/>
            <w:vAlign w:val="center"/>
            <w:hideMark/>
          </w:tcPr>
          <w:p w14:paraId="0B48A67B"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38,000</w:t>
            </w:r>
          </w:p>
        </w:tc>
        <w:tc>
          <w:tcPr>
            <w:tcW w:w="1276" w:type="dxa"/>
            <w:shd w:val="clear" w:color="auto" w:fill="auto"/>
            <w:noWrap/>
            <w:vAlign w:val="center"/>
            <w:hideMark/>
          </w:tcPr>
          <w:p w14:paraId="7D2778B3"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7,090</w:t>
            </w:r>
          </w:p>
        </w:tc>
        <w:tc>
          <w:tcPr>
            <w:tcW w:w="1275" w:type="dxa"/>
            <w:shd w:val="clear" w:color="auto" w:fill="auto"/>
            <w:noWrap/>
            <w:vAlign w:val="center"/>
            <w:hideMark/>
          </w:tcPr>
          <w:p w14:paraId="6E4E57D2"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91.1%</w:t>
            </w:r>
          </w:p>
        </w:tc>
        <w:tc>
          <w:tcPr>
            <w:tcW w:w="1276" w:type="dxa"/>
            <w:shd w:val="clear" w:color="auto" w:fill="auto"/>
            <w:noWrap/>
            <w:vAlign w:val="center"/>
            <w:hideMark/>
          </w:tcPr>
          <w:p w14:paraId="4E8C099A"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7.7%</w:t>
            </w:r>
          </w:p>
        </w:tc>
        <w:tc>
          <w:tcPr>
            <w:tcW w:w="1276" w:type="dxa"/>
            <w:shd w:val="clear" w:color="auto" w:fill="auto"/>
            <w:noWrap/>
            <w:vAlign w:val="center"/>
            <w:hideMark/>
          </w:tcPr>
          <w:p w14:paraId="6D592B97"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1.2%</w:t>
            </w:r>
          </w:p>
        </w:tc>
      </w:tr>
      <w:tr w:rsidR="00BB61EF" w:rsidRPr="00FF2584" w14:paraId="25CB6B50" w14:textId="77777777" w:rsidTr="00426B8A">
        <w:trPr>
          <w:trHeight w:val="794"/>
        </w:trPr>
        <w:tc>
          <w:tcPr>
            <w:tcW w:w="1696" w:type="dxa"/>
            <w:shd w:val="clear" w:color="auto" w:fill="auto"/>
            <w:noWrap/>
            <w:vAlign w:val="center"/>
            <w:hideMark/>
          </w:tcPr>
          <w:p w14:paraId="01EB1C57"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Medical science</w:t>
            </w:r>
          </w:p>
        </w:tc>
        <w:tc>
          <w:tcPr>
            <w:tcW w:w="1134" w:type="dxa"/>
            <w:shd w:val="clear" w:color="auto" w:fill="auto"/>
            <w:noWrap/>
            <w:vAlign w:val="center"/>
            <w:hideMark/>
          </w:tcPr>
          <w:p w14:paraId="33AAEDCE"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6,798</w:t>
            </w:r>
          </w:p>
        </w:tc>
        <w:tc>
          <w:tcPr>
            <w:tcW w:w="1418" w:type="dxa"/>
            <w:shd w:val="clear" w:color="auto" w:fill="auto"/>
            <w:noWrap/>
            <w:vAlign w:val="center"/>
            <w:hideMark/>
          </w:tcPr>
          <w:p w14:paraId="3F71B428"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val="es-ES" w:eastAsia="en-AU"/>
              </w:rPr>
            </w:pPr>
            <w:r w:rsidRPr="00FF2584">
              <w:rPr>
                <w:rFonts w:asciiTheme="majorHAnsi" w:eastAsia="Times New Roman" w:hAnsiTheme="majorHAnsi" w:cstheme="majorHAnsi"/>
                <w:color w:val="000000"/>
                <w:lang w:eastAsia="en-AU"/>
              </w:rPr>
              <w:t>34,025</w:t>
            </w:r>
          </w:p>
        </w:tc>
        <w:tc>
          <w:tcPr>
            <w:tcW w:w="1276" w:type="dxa"/>
            <w:shd w:val="clear" w:color="auto" w:fill="auto"/>
            <w:noWrap/>
            <w:vAlign w:val="center"/>
            <w:hideMark/>
          </w:tcPr>
          <w:p w14:paraId="0819357B"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12,329</w:t>
            </w:r>
          </w:p>
        </w:tc>
        <w:tc>
          <w:tcPr>
            <w:tcW w:w="1275" w:type="dxa"/>
            <w:shd w:val="clear" w:color="auto" w:fill="auto"/>
            <w:noWrap/>
            <w:vAlign w:val="center"/>
            <w:hideMark/>
          </w:tcPr>
          <w:p w14:paraId="4A256615"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91.1%</w:t>
            </w:r>
          </w:p>
        </w:tc>
        <w:tc>
          <w:tcPr>
            <w:tcW w:w="1276" w:type="dxa"/>
            <w:shd w:val="clear" w:color="auto" w:fill="auto"/>
            <w:noWrap/>
            <w:vAlign w:val="center"/>
            <w:hideMark/>
          </w:tcPr>
          <w:p w14:paraId="17CA0887"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8.0%</w:t>
            </w:r>
          </w:p>
        </w:tc>
        <w:tc>
          <w:tcPr>
            <w:tcW w:w="1276" w:type="dxa"/>
            <w:shd w:val="clear" w:color="auto" w:fill="auto"/>
            <w:noWrap/>
            <w:vAlign w:val="center"/>
            <w:hideMark/>
          </w:tcPr>
          <w:p w14:paraId="3CB5CECD" w14:textId="77777777" w:rsidR="00BB61EF" w:rsidRPr="00FF2584" w:rsidRDefault="00BB61EF" w:rsidP="00BB61EF">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FF2584">
              <w:rPr>
                <w:rFonts w:asciiTheme="majorHAnsi" w:eastAsia="Times New Roman" w:hAnsiTheme="majorHAnsi" w:cstheme="majorHAnsi"/>
                <w:color w:val="000000"/>
                <w:lang w:eastAsia="en-AU"/>
              </w:rPr>
              <w:t>0.9%</w:t>
            </w:r>
          </w:p>
        </w:tc>
      </w:tr>
    </w:tbl>
    <w:p w14:paraId="476557B8" w14:textId="32504CBF" w:rsidR="00BB61EF" w:rsidRPr="00A83633" w:rsidRDefault="00BB61EF" w:rsidP="00A83633">
      <w:pPr>
        <w:rPr>
          <w:rFonts w:ascii="Calibri" w:eastAsia="Calibri" w:hAnsi="Calibri" w:cs="Arial"/>
        </w:rPr>
        <w:sectPr w:rsidR="00BB61EF" w:rsidRPr="00A83633" w:rsidSect="00DC23E3">
          <w:pgSz w:w="16838" w:h="11906" w:orient="landscape"/>
          <w:pgMar w:top="1440" w:right="395" w:bottom="1440" w:left="1440" w:header="851" w:footer="708" w:gutter="0"/>
          <w:pgNumType w:chapStyle="1"/>
          <w:cols w:space="708"/>
          <w:titlePg/>
          <w:docGrid w:linePitch="360"/>
        </w:sectPr>
      </w:pPr>
    </w:p>
    <w:p w14:paraId="15E2FFF8" w14:textId="6AA84CED" w:rsidR="00A83633" w:rsidRPr="00F132D3" w:rsidRDefault="00A83633" w:rsidP="00F6694F">
      <w:pPr>
        <w:pStyle w:val="Heading3"/>
      </w:pPr>
      <w:bookmarkStart w:id="56" w:name="_Toc1861702614"/>
      <w:bookmarkStart w:id="57" w:name="_Toc145000213"/>
      <w:bookmarkStart w:id="58" w:name="_Toc152165422"/>
      <w:r w:rsidRPr="00F132D3">
        <w:t xml:space="preserve">Australia’s </w:t>
      </w:r>
      <w:r w:rsidR="000B7C7A">
        <w:t>industry</w:t>
      </w:r>
      <w:r w:rsidR="000B7C7A" w:rsidRPr="00F132D3">
        <w:t xml:space="preserve"> </w:t>
      </w:r>
      <w:r w:rsidRPr="00F132D3">
        <w:t>base has a shrinking band of medium</w:t>
      </w:r>
      <w:r w:rsidR="00735DF8">
        <w:t>-</w:t>
      </w:r>
      <w:r w:rsidRPr="00F132D3">
        <w:t xml:space="preserve">sized </w:t>
      </w:r>
      <w:bookmarkEnd w:id="56"/>
      <w:bookmarkEnd w:id="57"/>
      <w:r w:rsidR="00F5298D" w:rsidRPr="00F132D3">
        <w:t>businesses.</w:t>
      </w:r>
      <w:bookmarkEnd w:id="58"/>
    </w:p>
    <w:p w14:paraId="40828391" w14:textId="3A783B5E" w:rsidR="00A83633" w:rsidRPr="00A83633" w:rsidRDefault="00A83633" w:rsidP="00A83633">
      <w:pPr>
        <w:rPr>
          <w:rFonts w:ascii="Calibri" w:eastAsia="Calibri" w:hAnsi="Calibri" w:cs="Times New Roman"/>
        </w:rPr>
      </w:pPr>
      <w:r w:rsidRPr="00A83633">
        <w:rPr>
          <w:rFonts w:ascii="Calibri" w:eastAsia="Calibri" w:hAnsi="Calibri" w:cs="Times New Roman"/>
        </w:rPr>
        <w:t>During the last 14 years, Australia’s manufacturing industry experienced a dramatic contraction in the number of medium and large businesses (a decline of 3</w:t>
      </w:r>
      <w:r w:rsidR="00072ACB">
        <w:rPr>
          <w:rFonts w:ascii="Calibri" w:eastAsia="Calibri" w:hAnsi="Calibri" w:cs="Times New Roman"/>
        </w:rPr>
        <w:t>7</w:t>
      </w:r>
      <w:r w:rsidR="00651A4F">
        <w:rPr>
          <w:rFonts w:ascii="Calibri" w:eastAsia="Calibri" w:hAnsi="Calibri" w:cs="Times New Roman"/>
        </w:rPr>
        <w:t>%</w:t>
      </w:r>
      <w:r w:rsidRPr="00A83633">
        <w:rPr>
          <w:rFonts w:ascii="Calibri" w:eastAsia="Calibri" w:hAnsi="Calibri" w:cs="Times New Roman"/>
        </w:rPr>
        <w:t xml:space="preserve"> and 29</w:t>
      </w:r>
      <w:r w:rsidR="00651A4F">
        <w:rPr>
          <w:rFonts w:ascii="Calibri" w:eastAsia="Calibri" w:hAnsi="Calibri" w:cs="Times New Roman"/>
        </w:rPr>
        <w:t>%</w:t>
      </w:r>
      <w:r w:rsidRPr="00A83633">
        <w:rPr>
          <w:rFonts w:ascii="Calibri" w:eastAsia="Calibri" w:hAnsi="Calibri" w:cs="Times New Roman"/>
        </w:rPr>
        <w:t xml:space="preserve"> respectively), while the number of small businesses remained relatively </w:t>
      </w:r>
      <w:r w:rsidR="00C9302F">
        <w:rPr>
          <w:rFonts w:ascii="Calibri" w:eastAsia="Calibri" w:hAnsi="Calibri" w:cs="Times New Roman"/>
        </w:rPr>
        <w:t>stable</w:t>
      </w:r>
      <w:r w:rsidRPr="00A83633">
        <w:rPr>
          <w:rFonts w:ascii="Calibri" w:eastAsia="Calibri" w:hAnsi="Calibri" w:cs="Times New Roman"/>
        </w:rPr>
        <w:t xml:space="preserve"> (an increase of 1</w:t>
      </w:r>
      <w:r w:rsidR="00651A4F">
        <w:rPr>
          <w:rFonts w:ascii="Calibri" w:eastAsia="Calibri" w:hAnsi="Calibri" w:cs="Times New Roman"/>
        </w:rPr>
        <w:t>%</w:t>
      </w:r>
      <w:r w:rsidRPr="00A83633">
        <w:rPr>
          <w:rFonts w:ascii="Calibri" w:eastAsia="Calibri" w:hAnsi="Calibri" w:cs="Times New Roman"/>
        </w:rPr>
        <w:t>)</w:t>
      </w:r>
      <w:r w:rsidR="00BC5739">
        <w:rPr>
          <w:rFonts w:ascii="Calibri" w:eastAsia="Calibri" w:hAnsi="Calibri" w:cs="Times New Roman"/>
        </w:rPr>
        <w:t>.</w:t>
      </w:r>
      <w:r w:rsidRPr="00A83633">
        <w:rPr>
          <w:rFonts w:ascii="Calibri" w:eastAsia="Calibri" w:hAnsi="Calibri" w:cs="Times New Roman"/>
          <w:vertAlign w:val="superscript"/>
        </w:rPr>
        <w:footnoteReference w:id="28"/>
      </w:r>
      <w:r w:rsidRPr="00A83633">
        <w:rPr>
          <w:rFonts w:ascii="Calibri" w:eastAsia="Calibri" w:hAnsi="Calibri" w:cs="Times New Roman"/>
        </w:rPr>
        <w:t xml:space="preserve"> The </w:t>
      </w:r>
      <w:r w:rsidR="00651A4F">
        <w:rPr>
          <w:rFonts w:ascii="Calibri" w:eastAsia="Calibri" w:hAnsi="Calibri" w:cs="Times New Roman"/>
        </w:rPr>
        <w:t>declining</w:t>
      </w:r>
      <w:r w:rsidRPr="00A83633">
        <w:rPr>
          <w:rFonts w:ascii="Calibri" w:eastAsia="Calibri" w:hAnsi="Calibri" w:cs="Times New Roman"/>
        </w:rPr>
        <w:t xml:space="preserve"> mix of business sizes across priority areas poses challenges to the success of collaborative networks and constrains small business</w:t>
      </w:r>
      <w:r w:rsidR="00C9302F">
        <w:rPr>
          <w:rFonts w:ascii="Calibri" w:eastAsia="Calibri" w:hAnsi="Calibri" w:cs="Times New Roman"/>
        </w:rPr>
        <w:t>es</w:t>
      </w:r>
      <w:r w:rsidRPr="00A83633">
        <w:rPr>
          <w:rFonts w:ascii="Calibri" w:eastAsia="Calibri" w:hAnsi="Calibri" w:cs="Times New Roman"/>
        </w:rPr>
        <w:t xml:space="preserve">’ ability to acquire complementary capabilities to innovate and scale up. Improving our capacity to be resilient, to thrive, and to grow the </w:t>
      </w:r>
      <w:r w:rsidR="00BC5739">
        <w:rPr>
          <w:rFonts w:ascii="Calibri" w:eastAsia="Calibri" w:hAnsi="Calibri" w:cs="Times New Roman"/>
        </w:rPr>
        <w:t xml:space="preserve">Australian </w:t>
      </w:r>
      <w:r w:rsidRPr="00A83633">
        <w:rPr>
          <w:rFonts w:ascii="Calibri" w:eastAsia="Calibri" w:hAnsi="Calibri" w:cs="Times New Roman"/>
        </w:rPr>
        <w:t>economy requires an industry structure with greater numbers of commercially sustainable medium</w:t>
      </w:r>
      <w:r w:rsidR="00001E85">
        <w:rPr>
          <w:rFonts w:ascii="Calibri" w:eastAsia="Calibri" w:hAnsi="Calibri" w:cs="Times New Roman"/>
        </w:rPr>
        <w:t>-</w:t>
      </w:r>
      <w:r w:rsidRPr="00A83633">
        <w:rPr>
          <w:rFonts w:ascii="Calibri" w:eastAsia="Calibri" w:hAnsi="Calibri" w:cs="Times New Roman"/>
        </w:rPr>
        <w:t>sized businesses.</w:t>
      </w:r>
    </w:p>
    <w:p w14:paraId="69FE2D89" w14:textId="687D7011" w:rsidR="00A83633" w:rsidRDefault="00A83633" w:rsidP="00A83633">
      <w:pPr>
        <w:rPr>
          <w:rFonts w:ascii="Calibri" w:eastAsia="Calibri" w:hAnsi="Calibri" w:cs="Times New Roman"/>
        </w:rPr>
      </w:pPr>
      <w:r w:rsidRPr="00A83633">
        <w:rPr>
          <w:rFonts w:ascii="Calibri" w:eastAsia="Calibri" w:hAnsi="Calibri" w:cs="Times New Roman"/>
        </w:rPr>
        <w:t>Medium</w:t>
      </w:r>
      <w:r w:rsidR="00001E85">
        <w:rPr>
          <w:rFonts w:ascii="Calibri" w:eastAsia="Calibri" w:hAnsi="Calibri" w:cs="Times New Roman"/>
        </w:rPr>
        <w:t>-</w:t>
      </w:r>
      <w:r w:rsidRPr="00A83633">
        <w:rPr>
          <w:rFonts w:ascii="Calibri" w:eastAsia="Calibri" w:hAnsi="Calibri" w:cs="Times New Roman"/>
        </w:rPr>
        <w:t xml:space="preserve">sized businesses were 15 times more likely to shrink or stagnate than grow in </w:t>
      </w:r>
      <w:r w:rsidR="00C91106">
        <w:rPr>
          <w:rFonts w:ascii="Calibri" w:eastAsia="Calibri" w:hAnsi="Calibri" w:cs="Times New Roman"/>
        </w:rPr>
        <w:t>financial year (</w:t>
      </w:r>
      <w:r w:rsidRPr="00A83633">
        <w:rPr>
          <w:rFonts w:ascii="Calibri" w:eastAsia="Calibri" w:hAnsi="Calibri" w:cs="Times New Roman"/>
        </w:rPr>
        <w:t>FY</w:t>
      </w:r>
      <w:r w:rsidR="00C91106">
        <w:rPr>
          <w:rFonts w:ascii="Calibri" w:eastAsia="Calibri" w:hAnsi="Calibri" w:cs="Times New Roman"/>
        </w:rPr>
        <w:t xml:space="preserve">) </w:t>
      </w:r>
      <w:r w:rsidRPr="00A83633">
        <w:rPr>
          <w:rFonts w:ascii="Calibri" w:eastAsia="Calibri" w:hAnsi="Calibri" w:cs="Times New Roman"/>
        </w:rPr>
        <w:t>2017</w:t>
      </w:r>
      <w:r w:rsidR="00001E85">
        <w:rPr>
          <w:rFonts w:ascii="Segoe UI" w:hAnsi="Segoe UI" w:cs="Segoe UI"/>
          <w:color w:val="414141"/>
          <w:shd w:val="clear" w:color="auto" w:fill="FFFFFF"/>
        </w:rPr>
        <w:t>–</w:t>
      </w:r>
      <w:r w:rsidRPr="00A83633">
        <w:rPr>
          <w:rFonts w:ascii="Calibri" w:eastAsia="Calibri" w:hAnsi="Calibri" w:cs="Times New Roman"/>
        </w:rPr>
        <w:t>18 (increasing to 26 times during COVID FY 2020</w:t>
      </w:r>
      <w:r w:rsidR="00001E85">
        <w:rPr>
          <w:rFonts w:ascii="Segoe UI" w:hAnsi="Segoe UI" w:cs="Segoe UI"/>
          <w:color w:val="414141"/>
          <w:shd w:val="clear" w:color="auto" w:fill="FFFFFF"/>
        </w:rPr>
        <w:t>–</w:t>
      </w:r>
      <w:r w:rsidRPr="00A83633">
        <w:rPr>
          <w:rFonts w:ascii="Calibri" w:eastAsia="Calibri" w:hAnsi="Calibri" w:cs="Times New Roman"/>
        </w:rPr>
        <w:t>21). Pre-COVID</w:t>
      </w:r>
      <w:r w:rsidR="00001E85">
        <w:rPr>
          <w:rFonts w:ascii="Calibri" w:eastAsia="Calibri" w:hAnsi="Calibri" w:cs="Times New Roman"/>
        </w:rPr>
        <w:t>,</w:t>
      </w:r>
      <w:r w:rsidRPr="00A83633">
        <w:rPr>
          <w:rFonts w:ascii="Calibri" w:eastAsia="Calibri" w:hAnsi="Calibri" w:cs="Times New Roman"/>
        </w:rPr>
        <w:t xml:space="preserve"> in the FY2017</w:t>
      </w:r>
      <w:r w:rsidR="00001E85">
        <w:rPr>
          <w:rFonts w:ascii="Segoe UI" w:hAnsi="Segoe UI" w:cs="Segoe UI"/>
          <w:color w:val="414141"/>
          <w:shd w:val="clear" w:color="auto" w:fill="FFFFFF"/>
        </w:rPr>
        <w:t>–</w:t>
      </w:r>
      <w:r w:rsidRPr="00A83633">
        <w:rPr>
          <w:rFonts w:ascii="Calibri" w:eastAsia="Calibri" w:hAnsi="Calibri" w:cs="Times New Roman"/>
        </w:rPr>
        <w:t xml:space="preserve">18, the </w:t>
      </w:r>
      <w:r w:rsidR="00001E85">
        <w:rPr>
          <w:rFonts w:ascii="Calibri" w:eastAsia="Calibri" w:hAnsi="Calibri" w:cs="Times New Roman"/>
        </w:rPr>
        <w:t>ratio of medium-sized businesses</w:t>
      </w:r>
      <w:r w:rsidRPr="00A83633">
        <w:rPr>
          <w:rFonts w:ascii="Calibri" w:eastAsia="Calibri" w:hAnsi="Calibri" w:cs="Times New Roman"/>
        </w:rPr>
        <w:t xml:space="preserve"> (20</w:t>
      </w:r>
      <w:r w:rsidR="00001E85">
        <w:rPr>
          <w:rFonts w:ascii="Segoe UI" w:hAnsi="Segoe UI" w:cs="Segoe UI"/>
          <w:color w:val="414141"/>
          <w:shd w:val="clear" w:color="auto" w:fill="FFFFFF"/>
        </w:rPr>
        <w:t xml:space="preserve"> to </w:t>
      </w:r>
      <w:r w:rsidRPr="00A83633">
        <w:rPr>
          <w:rFonts w:ascii="Calibri" w:eastAsia="Calibri" w:hAnsi="Calibri" w:cs="Times New Roman"/>
        </w:rPr>
        <w:t xml:space="preserve">199 employees) </w:t>
      </w:r>
      <w:r w:rsidR="00001E85">
        <w:rPr>
          <w:rFonts w:ascii="Calibri" w:eastAsia="Calibri" w:hAnsi="Calibri" w:cs="Times New Roman"/>
        </w:rPr>
        <w:t>that shrank to those that grew was</w:t>
      </w:r>
      <w:r w:rsidRPr="00A83633">
        <w:rPr>
          <w:rFonts w:ascii="Calibri" w:eastAsia="Calibri" w:hAnsi="Calibri" w:cs="Times New Roman"/>
        </w:rPr>
        <w:t xml:space="preserve"> 15</w:t>
      </w:r>
      <w:r w:rsidR="005A4B37">
        <w:rPr>
          <w:rFonts w:ascii="Calibri" w:eastAsia="Calibri" w:hAnsi="Calibri" w:cs="Times New Roman"/>
        </w:rPr>
        <w:t>:</w:t>
      </w:r>
      <w:r w:rsidRPr="00A83633">
        <w:rPr>
          <w:rFonts w:ascii="Calibri" w:eastAsia="Calibri" w:hAnsi="Calibri" w:cs="Times New Roman"/>
        </w:rPr>
        <w:t>1. The same ratio for a small business (5</w:t>
      </w:r>
      <w:r w:rsidR="00001E85">
        <w:rPr>
          <w:rFonts w:ascii="Calibri" w:eastAsia="Calibri" w:hAnsi="Calibri" w:cs="Times New Roman"/>
        </w:rPr>
        <w:t xml:space="preserve"> to </w:t>
      </w:r>
      <w:r w:rsidRPr="00A83633">
        <w:rPr>
          <w:rFonts w:ascii="Calibri" w:eastAsia="Calibri" w:hAnsi="Calibri" w:cs="Times New Roman"/>
        </w:rPr>
        <w:t>19</w:t>
      </w:r>
      <w:r w:rsidR="0045005D">
        <w:rPr>
          <w:rFonts w:ascii="Calibri" w:eastAsia="Calibri" w:hAnsi="Calibri" w:cs="Times New Roman"/>
        </w:rPr>
        <w:t xml:space="preserve"> employees</w:t>
      </w:r>
      <w:r w:rsidRPr="00A83633">
        <w:rPr>
          <w:rFonts w:ascii="Calibri" w:eastAsia="Calibri" w:hAnsi="Calibri" w:cs="Times New Roman"/>
        </w:rPr>
        <w:t>) was 3</w:t>
      </w:r>
      <w:r w:rsidR="005A4B37">
        <w:rPr>
          <w:rFonts w:ascii="Calibri" w:eastAsia="Calibri" w:hAnsi="Calibri" w:cs="Times New Roman"/>
        </w:rPr>
        <w:t>:</w:t>
      </w:r>
      <w:r w:rsidRPr="00A83633">
        <w:rPr>
          <w:rFonts w:ascii="Calibri" w:eastAsia="Calibri" w:hAnsi="Calibri" w:cs="Times New Roman"/>
        </w:rPr>
        <w:t>1</w:t>
      </w:r>
      <w:r w:rsidR="00BC5739">
        <w:rPr>
          <w:rFonts w:ascii="Calibri" w:eastAsia="Calibri" w:hAnsi="Calibri" w:cs="Times New Roman"/>
        </w:rPr>
        <w:t>.</w:t>
      </w:r>
      <w:r w:rsidR="009E48DB">
        <w:rPr>
          <w:rStyle w:val="FootnoteReference"/>
          <w:rFonts w:ascii="Calibri" w:eastAsia="Calibri" w:hAnsi="Calibri" w:cs="Times New Roman"/>
        </w:rPr>
        <w:footnoteReference w:id="29"/>
      </w:r>
      <w:r w:rsidRPr="00A83633">
        <w:rPr>
          <w:rFonts w:ascii="Calibri" w:eastAsia="Calibri" w:hAnsi="Calibri" w:cs="Times New Roman"/>
        </w:rPr>
        <w:t xml:space="preserve"> </w:t>
      </w:r>
    </w:p>
    <w:p w14:paraId="2BF41E69" w14:textId="62901E22" w:rsidR="001E735C" w:rsidRPr="00F132D3" w:rsidRDefault="001E735C" w:rsidP="00A83633">
      <w:pPr>
        <w:rPr>
          <w:b/>
          <w:bCs/>
          <w:szCs w:val="18"/>
        </w:rPr>
      </w:pPr>
      <w:r w:rsidRPr="00F132D3">
        <w:rPr>
          <w:b/>
          <w:bCs/>
          <w:szCs w:val="18"/>
        </w:rPr>
        <w:t xml:space="preserve">Table </w:t>
      </w:r>
      <w:r w:rsidR="00651A4F" w:rsidRPr="00F132D3">
        <w:rPr>
          <w:b/>
          <w:bCs/>
          <w:szCs w:val="18"/>
        </w:rPr>
        <w:t>1</w:t>
      </w:r>
      <w:r w:rsidRPr="00F132D3">
        <w:rPr>
          <w:b/>
          <w:bCs/>
          <w:szCs w:val="18"/>
        </w:rPr>
        <w:t>:</w:t>
      </w:r>
      <w:r w:rsidR="00011F51" w:rsidRPr="00F132D3">
        <w:rPr>
          <w:b/>
          <w:bCs/>
          <w:szCs w:val="18"/>
        </w:rPr>
        <w:t xml:space="preserve"> </w:t>
      </w:r>
      <w:r w:rsidR="00800687" w:rsidRPr="00F132D3">
        <w:rPr>
          <w:b/>
          <w:bCs/>
          <w:szCs w:val="18"/>
        </w:rPr>
        <w:t xml:space="preserve">Change in the number of </w:t>
      </w:r>
      <w:r w:rsidR="00011F51" w:rsidRPr="00F132D3">
        <w:rPr>
          <w:b/>
          <w:bCs/>
          <w:szCs w:val="18"/>
        </w:rPr>
        <w:t xml:space="preserve">Australian </w:t>
      </w:r>
      <w:r w:rsidR="00800687" w:rsidRPr="00F132D3">
        <w:rPr>
          <w:b/>
          <w:bCs/>
          <w:szCs w:val="18"/>
        </w:rPr>
        <w:t>b</w:t>
      </w:r>
      <w:r w:rsidR="00011F51" w:rsidRPr="00F132D3">
        <w:rPr>
          <w:b/>
          <w:bCs/>
          <w:szCs w:val="18"/>
        </w:rPr>
        <w:t>usiness</w:t>
      </w:r>
      <w:r w:rsidR="00800687" w:rsidRPr="00F132D3">
        <w:rPr>
          <w:b/>
          <w:bCs/>
          <w:szCs w:val="18"/>
        </w:rPr>
        <w:t>es</w:t>
      </w:r>
      <w:r w:rsidR="00011F51" w:rsidRPr="00F132D3">
        <w:rPr>
          <w:b/>
          <w:bCs/>
          <w:szCs w:val="18"/>
        </w:rPr>
        <w:t xml:space="preserve">, 2008 </w:t>
      </w:r>
      <w:r w:rsidR="00E66A33">
        <w:rPr>
          <w:b/>
          <w:bCs/>
          <w:szCs w:val="18"/>
        </w:rPr>
        <w:t>to</w:t>
      </w:r>
      <w:r w:rsidR="00011F51" w:rsidRPr="00F132D3">
        <w:rPr>
          <w:b/>
          <w:bCs/>
          <w:szCs w:val="18"/>
        </w:rPr>
        <w:t xml:space="preserve"> </w:t>
      </w:r>
      <w:r w:rsidR="00F5298D" w:rsidRPr="00F132D3">
        <w:rPr>
          <w:b/>
          <w:bCs/>
          <w:szCs w:val="18"/>
        </w:rPr>
        <w:t>2022</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Change in the number of Australia businesses, 2008 to 2022"/>
        <w:tblDescription w:val="Table showing the change in the percentages of small, medium and large businesses in different priority industries."/>
      </w:tblPr>
      <w:tblGrid>
        <w:gridCol w:w="4225"/>
        <w:gridCol w:w="1579"/>
        <w:gridCol w:w="1421"/>
        <w:gridCol w:w="1791"/>
      </w:tblGrid>
      <w:tr w:rsidR="002A6E06" w:rsidRPr="00A403D9" w14:paraId="4FA46FEA" w14:textId="77777777" w:rsidTr="00872002">
        <w:trPr>
          <w:trHeight w:val="260"/>
          <w:tblHeader/>
        </w:trPr>
        <w:tc>
          <w:tcPr>
            <w:tcW w:w="4225" w:type="dxa"/>
            <w:tcBorders>
              <w:right w:val="single" w:sz="4" w:space="0" w:color="FFFFFF"/>
            </w:tcBorders>
            <w:shd w:val="clear" w:color="auto" w:fill="001948" w:themeFill="text1" w:themeFillShade="80"/>
            <w:vAlign w:val="center"/>
            <w:hideMark/>
          </w:tcPr>
          <w:p w14:paraId="65C540F9" w14:textId="363D3B27" w:rsidR="00A403D9" w:rsidRPr="00A403D9" w:rsidRDefault="002A6E06" w:rsidP="00A403D9">
            <w:pPr>
              <w:spacing w:after="0" w:line="240" w:lineRule="auto"/>
              <w:rPr>
                <w:rFonts w:ascii="Calibri" w:eastAsia="Times New Roman" w:hAnsi="Calibri" w:cs="Calibri"/>
                <w:b/>
                <w:bCs/>
                <w:color w:val="FFFFFF"/>
                <w:sz w:val="20"/>
                <w:szCs w:val="20"/>
                <w:lang w:eastAsia="en-AU"/>
              </w:rPr>
            </w:pPr>
            <w:r>
              <w:rPr>
                <w:rFonts w:ascii="Calibri" w:eastAsia="Times New Roman" w:hAnsi="Calibri" w:cs="Calibri"/>
                <w:b/>
                <w:bCs/>
                <w:color w:val="FFFFFF"/>
                <w:sz w:val="20"/>
                <w:szCs w:val="20"/>
                <w:lang w:eastAsia="en-AU"/>
              </w:rPr>
              <w:t>Industry</w:t>
            </w:r>
          </w:p>
        </w:tc>
        <w:tc>
          <w:tcPr>
            <w:tcW w:w="1579" w:type="dxa"/>
            <w:tcBorders>
              <w:top w:val="nil"/>
              <w:left w:val="single" w:sz="4" w:space="0" w:color="FFFFFF"/>
              <w:bottom w:val="single" w:sz="4" w:space="0" w:color="auto"/>
              <w:right w:val="single" w:sz="4" w:space="0" w:color="FFFFFF"/>
            </w:tcBorders>
            <w:shd w:val="clear" w:color="auto" w:fill="001948" w:themeFill="text1" w:themeFillShade="80"/>
            <w:noWrap/>
            <w:vAlign w:val="bottom"/>
            <w:hideMark/>
          </w:tcPr>
          <w:p w14:paraId="5B5A6BA5" w14:textId="73C2A197" w:rsidR="00A403D9" w:rsidRPr="00672FFC" w:rsidRDefault="00A403D9" w:rsidP="00A403D9">
            <w:pPr>
              <w:spacing w:after="0" w:line="240" w:lineRule="auto"/>
              <w:jc w:val="center"/>
              <w:rPr>
                <w:rFonts w:eastAsia="Times New Roman" w:cstheme="minorHAnsi"/>
                <w:b/>
                <w:color w:val="FFFFFF"/>
                <w:lang w:eastAsia="en-AU"/>
              </w:rPr>
            </w:pPr>
            <w:r w:rsidRPr="00672FFC">
              <w:rPr>
                <w:rFonts w:eastAsia="Times New Roman" w:cstheme="minorHAnsi"/>
                <w:b/>
                <w:color w:val="FFFFFF"/>
                <w:lang w:eastAsia="en-AU"/>
              </w:rPr>
              <w:t>Small</w:t>
            </w:r>
            <w:r w:rsidR="002A6E06">
              <w:rPr>
                <w:rFonts w:eastAsia="Times New Roman" w:cstheme="minorHAnsi"/>
                <w:b/>
                <w:color w:val="FFFFFF"/>
                <w:lang w:eastAsia="en-AU"/>
              </w:rPr>
              <w:t xml:space="preserve"> (percentage)</w:t>
            </w:r>
          </w:p>
        </w:tc>
        <w:tc>
          <w:tcPr>
            <w:tcW w:w="1421" w:type="dxa"/>
            <w:tcBorders>
              <w:top w:val="nil"/>
              <w:left w:val="single" w:sz="4" w:space="0" w:color="FFFFFF"/>
              <w:bottom w:val="single" w:sz="4" w:space="0" w:color="auto"/>
              <w:right w:val="single" w:sz="4" w:space="0" w:color="FFFFFF"/>
            </w:tcBorders>
            <w:shd w:val="clear" w:color="auto" w:fill="001948" w:themeFill="text1" w:themeFillShade="80"/>
            <w:noWrap/>
            <w:vAlign w:val="bottom"/>
            <w:hideMark/>
          </w:tcPr>
          <w:p w14:paraId="36E074F4" w14:textId="5D483AFF" w:rsidR="00A403D9" w:rsidRPr="00672FFC" w:rsidRDefault="00A403D9" w:rsidP="00A403D9">
            <w:pPr>
              <w:spacing w:after="0" w:line="240" w:lineRule="auto"/>
              <w:jc w:val="center"/>
              <w:rPr>
                <w:rFonts w:eastAsia="Times New Roman" w:cstheme="minorHAnsi"/>
                <w:b/>
                <w:color w:val="FFFFFF"/>
                <w:lang w:eastAsia="en-AU"/>
              </w:rPr>
            </w:pPr>
            <w:r w:rsidRPr="00672FFC">
              <w:rPr>
                <w:rFonts w:eastAsia="Times New Roman" w:cstheme="minorHAnsi"/>
                <w:b/>
                <w:color w:val="FFFFFF"/>
                <w:lang w:eastAsia="en-AU"/>
              </w:rPr>
              <w:t>Medium</w:t>
            </w:r>
            <w:r w:rsidR="002A6E06">
              <w:rPr>
                <w:rFonts w:eastAsia="Times New Roman" w:cstheme="minorHAnsi"/>
                <w:b/>
                <w:color w:val="FFFFFF"/>
                <w:lang w:eastAsia="en-AU"/>
              </w:rPr>
              <w:t xml:space="preserve"> (percentage)</w:t>
            </w:r>
          </w:p>
        </w:tc>
        <w:tc>
          <w:tcPr>
            <w:tcW w:w="1791" w:type="dxa"/>
            <w:tcBorders>
              <w:left w:val="single" w:sz="4" w:space="0" w:color="FFFFFF"/>
            </w:tcBorders>
            <w:shd w:val="clear" w:color="auto" w:fill="001948" w:themeFill="text1" w:themeFillShade="80"/>
            <w:noWrap/>
            <w:vAlign w:val="bottom"/>
            <w:hideMark/>
          </w:tcPr>
          <w:p w14:paraId="5BF39094" w14:textId="14170AA5" w:rsidR="00A403D9" w:rsidRPr="00672FFC" w:rsidRDefault="00A403D9" w:rsidP="00A403D9">
            <w:pPr>
              <w:spacing w:after="0" w:line="240" w:lineRule="auto"/>
              <w:jc w:val="center"/>
              <w:rPr>
                <w:rFonts w:eastAsia="Times New Roman" w:cstheme="minorHAnsi"/>
                <w:b/>
                <w:color w:val="FFFFFF"/>
                <w:lang w:eastAsia="en-AU"/>
              </w:rPr>
            </w:pPr>
            <w:r w:rsidRPr="00672FFC">
              <w:rPr>
                <w:rFonts w:eastAsia="Times New Roman" w:cstheme="minorHAnsi"/>
                <w:b/>
                <w:color w:val="FFFFFF"/>
                <w:lang w:eastAsia="en-AU"/>
              </w:rPr>
              <w:t>Large</w:t>
            </w:r>
            <w:r w:rsidR="002A6E06">
              <w:rPr>
                <w:rFonts w:eastAsia="Times New Roman" w:cstheme="minorHAnsi"/>
                <w:b/>
                <w:color w:val="FFFFFF"/>
                <w:lang w:eastAsia="en-AU"/>
              </w:rPr>
              <w:t xml:space="preserve"> (percentage)</w:t>
            </w:r>
          </w:p>
        </w:tc>
      </w:tr>
      <w:tr w:rsidR="002A6E06" w:rsidRPr="00A403D9" w14:paraId="7B17A575" w14:textId="77777777" w:rsidTr="00872002">
        <w:trPr>
          <w:trHeight w:val="312"/>
        </w:trPr>
        <w:tc>
          <w:tcPr>
            <w:tcW w:w="4225" w:type="dxa"/>
            <w:shd w:val="clear" w:color="auto" w:fill="auto"/>
            <w:noWrap/>
            <w:vAlign w:val="bottom"/>
            <w:hideMark/>
          </w:tcPr>
          <w:p w14:paraId="1CB8CF64" w14:textId="77777777" w:rsidR="00A403D9" w:rsidRPr="00A403D9" w:rsidRDefault="00A403D9" w:rsidP="00A403D9">
            <w:pPr>
              <w:spacing w:after="0" w:line="240" w:lineRule="auto"/>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Agriculture, Forestry and Fishing</w:t>
            </w:r>
          </w:p>
        </w:tc>
        <w:tc>
          <w:tcPr>
            <w:tcW w:w="1579" w:type="dxa"/>
            <w:tcBorders>
              <w:top w:val="single" w:sz="4" w:space="0" w:color="auto"/>
            </w:tcBorders>
            <w:shd w:val="clear" w:color="auto" w:fill="auto"/>
            <w:noWrap/>
            <w:vAlign w:val="bottom"/>
            <w:hideMark/>
          </w:tcPr>
          <w:p w14:paraId="78F8E1AD"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-14.3</w:t>
            </w:r>
          </w:p>
        </w:tc>
        <w:tc>
          <w:tcPr>
            <w:tcW w:w="1421" w:type="dxa"/>
            <w:tcBorders>
              <w:top w:val="single" w:sz="4" w:space="0" w:color="auto"/>
            </w:tcBorders>
            <w:shd w:val="clear" w:color="auto" w:fill="auto"/>
            <w:noWrap/>
            <w:vAlign w:val="bottom"/>
            <w:hideMark/>
          </w:tcPr>
          <w:p w14:paraId="7EF6AC72"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-54.6</w:t>
            </w:r>
          </w:p>
        </w:tc>
        <w:tc>
          <w:tcPr>
            <w:tcW w:w="1791" w:type="dxa"/>
            <w:shd w:val="clear" w:color="auto" w:fill="auto"/>
            <w:noWrap/>
            <w:vAlign w:val="bottom"/>
            <w:hideMark/>
          </w:tcPr>
          <w:p w14:paraId="58428254"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-64.6</w:t>
            </w:r>
          </w:p>
        </w:tc>
      </w:tr>
      <w:tr w:rsidR="002A6E06" w:rsidRPr="00A403D9" w14:paraId="36EAF420" w14:textId="77777777" w:rsidTr="00144AD0">
        <w:trPr>
          <w:trHeight w:val="312"/>
        </w:trPr>
        <w:tc>
          <w:tcPr>
            <w:tcW w:w="4225" w:type="dxa"/>
            <w:shd w:val="clear" w:color="auto" w:fill="auto"/>
            <w:noWrap/>
            <w:vAlign w:val="bottom"/>
            <w:hideMark/>
          </w:tcPr>
          <w:p w14:paraId="2263061B" w14:textId="77777777" w:rsidR="00A403D9" w:rsidRPr="00A403D9" w:rsidRDefault="00A403D9" w:rsidP="00A403D9">
            <w:pPr>
              <w:spacing w:after="0" w:line="240" w:lineRule="auto"/>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Mining</w:t>
            </w:r>
          </w:p>
        </w:tc>
        <w:tc>
          <w:tcPr>
            <w:tcW w:w="1579" w:type="dxa"/>
            <w:shd w:val="clear" w:color="auto" w:fill="auto"/>
            <w:noWrap/>
            <w:vAlign w:val="bottom"/>
            <w:hideMark/>
          </w:tcPr>
          <w:p w14:paraId="4BEE0436"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11.8</w:t>
            </w:r>
          </w:p>
        </w:tc>
        <w:tc>
          <w:tcPr>
            <w:tcW w:w="1421" w:type="dxa"/>
            <w:shd w:val="clear" w:color="auto" w:fill="auto"/>
            <w:noWrap/>
            <w:vAlign w:val="bottom"/>
            <w:hideMark/>
          </w:tcPr>
          <w:p w14:paraId="0524739F"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-16.7</w:t>
            </w:r>
          </w:p>
        </w:tc>
        <w:tc>
          <w:tcPr>
            <w:tcW w:w="1791" w:type="dxa"/>
            <w:shd w:val="clear" w:color="auto" w:fill="auto"/>
            <w:noWrap/>
            <w:vAlign w:val="bottom"/>
            <w:hideMark/>
          </w:tcPr>
          <w:p w14:paraId="627452BB"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58.7</w:t>
            </w:r>
          </w:p>
        </w:tc>
      </w:tr>
      <w:tr w:rsidR="002A6E06" w:rsidRPr="00A403D9" w14:paraId="6F3D837D" w14:textId="77777777" w:rsidTr="00144AD0">
        <w:trPr>
          <w:trHeight w:val="312"/>
        </w:trPr>
        <w:tc>
          <w:tcPr>
            <w:tcW w:w="4225" w:type="dxa"/>
            <w:shd w:val="clear" w:color="auto" w:fill="auto"/>
            <w:noWrap/>
            <w:vAlign w:val="bottom"/>
            <w:hideMark/>
          </w:tcPr>
          <w:p w14:paraId="69ECD535" w14:textId="77777777" w:rsidR="00A403D9" w:rsidRPr="00A403D9" w:rsidRDefault="00A403D9" w:rsidP="00A403D9">
            <w:pPr>
              <w:spacing w:after="0" w:line="240" w:lineRule="auto"/>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Manufacturing</w:t>
            </w:r>
          </w:p>
        </w:tc>
        <w:tc>
          <w:tcPr>
            <w:tcW w:w="1579" w:type="dxa"/>
            <w:shd w:val="clear" w:color="auto" w:fill="auto"/>
            <w:noWrap/>
            <w:vAlign w:val="bottom"/>
            <w:hideMark/>
          </w:tcPr>
          <w:p w14:paraId="3DBC36F5"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0.8</w:t>
            </w:r>
          </w:p>
        </w:tc>
        <w:tc>
          <w:tcPr>
            <w:tcW w:w="1421" w:type="dxa"/>
            <w:shd w:val="clear" w:color="auto" w:fill="auto"/>
            <w:noWrap/>
            <w:vAlign w:val="bottom"/>
            <w:hideMark/>
          </w:tcPr>
          <w:p w14:paraId="789533A3"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-37.4</w:t>
            </w:r>
          </w:p>
        </w:tc>
        <w:tc>
          <w:tcPr>
            <w:tcW w:w="1791" w:type="dxa"/>
            <w:shd w:val="clear" w:color="auto" w:fill="auto"/>
            <w:noWrap/>
            <w:vAlign w:val="bottom"/>
            <w:hideMark/>
          </w:tcPr>
          <w:p w14:paraId="0EEADDDE"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-28.9</w:t>
            </w:r>
          </w:p>
        </w:tc>
      </w:tr>
      <w:tr w:rsidR="002A6E06" w:rsidRPr="00A403D9" w14:paraId="2EED491B" w14:textId="77777777" w:rsidTr="00144AD0">
        <w:trPr>
          <w:trHeight w:val="312"/>
        </w:trPr>
        <w:tc>
          <w:tcPr>
            <w:tcW w:w="4225" w:type="dxa"/>
            <w:shd w:val="clear" w:color="auto" w:fill="auto"/>
            <w:noWrap/>
            <w:vAlign w:val="bottom"/>
            <w:hideMark/>
          </w:tcPr>
          <w:p w14:paraId="4CD1B289" w14:textId="77777777" w:rsidR="00A403D9" w:rsidRPr="00A403D9" w:rsidRDefault="00A403D9" w:rsidP="00A403D9">
            <w:pPr>
              <w:spacing w:after="0" w:line="240" w:lineRule="auto"/>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Electricity, Gas, Water and Waste Services</w:t>
            </w:r>
          </w:p>
        </w:tc>
        <w:tc>
          <w:tcPr>
            <w:tcW w:w="1579" w:type="dxa"/>
            <w:shd w:val="clear" w:color="auto" w:fill="auto"/>
            <w:noWrap/>
            <w:vAlign w:val="bottom"/>
            <w:hideMark/>
          </w:tcPr>
          <w:p w14:paraId="23BB2071"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50.3</w:t>
            </w:r>
          </w:p>
        </w:tc>
        <w:tc>
          <w:tcPr>
            <w:tcW w:w="1421" w:type="dxa"/>
            <w:shd w:val="clear" w:color="auto" w:fill="auto"/>
            <w:noWrap/>
            <w:vAlign w:val="bottom"/>
            <w:hideMark/>
          </w:tcPr>
          <w:p w14:paraId="5CD84D64"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26.4</w:t>
            </w:r>
          </w:p>
        </w:tc>
        <w:tc>
          <w:tcPr>
            <w:tcW w:w="1791" w:type="dxa"/>
            <w:shd w:val="clear" w:color="auto" w:fill="auto"/>
            <w:noWrap/>
            <w:vAlign w:val="bottom"/>
            <w:hideMark/>
          </w:tcPr>
          <w:p w14:paraId="711DD3F6"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42.6</w:t>
            </w:r>
          </w:p>
        </w:tc>
      </w:tr>
      <w:tr w:rsidR="002A6E06" w:rsidRPr="00A403D9" w14:paraId="066FA33C" w14:textId="77777777" w:rsidTr="00144AD0">
        <w:trPr>
          <w:trHeight w:val="312"/>
        </w:trPr>
        <w:tc>
          <w:tcPr>
            <w:tcW w:w="4225" w:type="dxa"/>
            <w:shd w:val="clear" w:color="auto" w:fill="auto"/>
            <w:noWrap/>
            <w:vAlign w:val="bottom"/>
            <w:hideMark/>
          </w:tcPr>
          <w:p w14:paraId="21DE6DCA" w14:textId="77777777" w:rsidR="00A403D9" w:rsidRPr="00A403D9" w:rsidRDefault="00A403D9" w:rsidP="00A403D9">
            <w:pPr>
              <w:spacing w:after="0" w:line="240" w:lineRule="auto"/>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Construction</w:t>
            </w:r>
          </w:p>
        </w:tc>
        <w:tc>
          <w:tcPr>
            <w:tcW w:w="1579" w:type="dxa"/>
            <w:shd w:val="clear" w:color="auto" w:fill="auto"/>
            <w:noWrap/>
            <w:vAlign w:val="bottom"/>
            <w:hideMark/>
          </w:tcPr>
          <w:p w14:paraId="6D26AC28"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28.3</w:t>
            </w:r>
          </w:p>
        </w:tc>
        <w:tc>
          <w:tcPr>
            <w:tcW w:w="1421" w:type="dxa"/>
            <w:shd w:val="clear" w:color="auto" w:fill="auto"/>
            <w:noWrap/>
            <w:vAlign w:val="bottom"/>
            <w:hideMark/>
          </w:tcPr>
          <w:p w14:paraId="7FA76932"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-16.9</w:t>
            </w:r>
          </w:p>
        </w:tc>
        <w:tc>
          <w:tcPr>
            <w:tcW w:w="1791" w:type="dxa"/>
            <w:shd w:val="clear" w:color="auto" w:fill="auto"/>
            <w:noWrap/>
            <w:vAlign w:val="bottom"/>
            <w:hideMark/>
          </w:tcPr>
          <w:p w14:paraId="547BAE4E"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-38.7</w:t>
            </w:r>
          </w:p>
        </w:tc>
      </w:tr>
      <w:tr w:rsidR="002A6E06" w:rsidRPr="00A403D9" w14:paraId="66193753" w14:textId="77777777" w:rsidTr="00144AD0">
        <w:trPr>
          <w:trHeight w:val="312"/>
        </w:trPr>
        <w:tc>
          <w:tcPr>
            <w:tcW w:w="4225" w:type="dxa"/>
            <w:shd w:val="clear" w:color="auto" w:fill="auto"/>
            <w:noWrap/>
            <w:vAlign w:val="bottom"/>
            <w:hideMark/>
          </w:tcPr>
          <w:p w14:paraId="0FD17B97" w14:textId="77777777" w:rsidR="00A403D9" w:rsidRPr="00A403D9" w:rsidRDefault="00A403D9" w:rsidP="00A403D9">
            <w:pPr>
              <w:spacing w:after="0" w:line="240" w:lineRule="auto"/>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Wholesale Trade</w:t>
            </w:r>
          </w:p>
        </w:tc>
        <w:tc>
          <w:tcPr>
            <w:tcW w:w="1579" w:type="dxa"/>
            <w:shd w:val="clear" w:color="auto" w:fill="auto"/>
            <w:noWrap/>
            <w:vAlign w:val="bottom"/>
            <w:hideMark/>
          </w:tcPr>
          <w:p w14:paraId="727F03EE"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9.9</w:t>
            </w:r>
          </w:p>
        </w:tc>
        <w:tc>
          <w:tcPr>
            <w:tcW w:w="1421" w:type="dxa"/>
            <w:shd w:val="clear" w:color="auto" w:fill="auto"/>
            <w:noWrap/>
            <w:vAlign w:val="bottom"/>
            <w:hideMark/>
          </w:tcPr>
          <w:p w14:paraId="0DC6A485"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-28.1</w:t>
            </w:r>
          </w:p>
        </w:tc>
        <w:tc>
          <w:tcPr>
            <w:tcW w:w="1791" w:type="dxa"/>
            <w:shd w:val="clear" w:color="auto" w:fill="auto"/>
            <w:noWrap/>
            <w:vAlign w:val="bottom"/>
            <w:hideMark/>
          </w:tcPr>
          <w:p w14:paraId="18A23AE4"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-5.2</w:t>
            </w:r>
          </w:p>
        </w:tc>
      </w:tr>
      <w:tr w:rsidR="002A6E06" w:rsidRPr="00A403D9" w14:paraId="5D03AC20" w14:textId="77777777" w:rsidTr="00144AD0">
        <w:trPr>
          <w:trHeight w:val="312"/>
        </w:trPr>
        <w:tc>
          <w:tcPr>
            <w:tcW w:w="4225" w:type="dxa"/>
            <w:shd w:val="clear" w:color="auto" w:fill="auto"/>
            <w:noWrap/>
            <w:vAlign w:val="bottom"/>
            <w:hideMark/>
          </w:tcPr>
          <w:p w14:paraId="5310C8D3" w14:textId="77777777" w:rsidR="00A403D9" w:rsidRPr="00A403D9" w:rsidRDefault="00A403D9" w:rsidP="00A403D9">
            <w:pPr>
              <w:spacing w:after="0" w:line="240" w:lineRule="auto"/>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Retail Trade</w:t>
            </w:r>
          </w:p>
        </w:tc>
        <w:tc>
          <w:tcPr>
            <w:tcW w:w="1579" w:type="dxa"/>
            <w:shd w:val="clear" w:color="auto" w:fill="auto"/>
            <w:noWrap/>
            <w:vAlign w:val="bottom"/>
            <w:hideMark/>
          </w:tcPr>
          <w:p w14:paraId="45F52E5A"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14.6</w:t>
            </w:r>
          </w:p>
        </w:tc>
        <w:tc>
          <w:tcPr>
            <w:tcW w:w="1421" w:type="dxa"/>
            <w:shd w:val="clear" w:color="auto" w:fill="auto"/>
            <w:noWrap/>
            <w:vAlign w:val="bottom"/>
            <w:hideMark/>
          </w:tcPr>
          <w:p w14:paraId="6A001B85"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-44.4</w:t>
            </w:r>
          </w:p>
        </w:tc>
        <w:tc>
          <w:tcPr>
            <w:tcW w:w="1791" w:type="dxa"/>
            <w:shd w:val="clear" w:color="auto" w:fill="auto"/>
            <w:noWrap/>
            <w:vAlign w:val="bottom"/>
            <w:hideMark/>
          </w:tcPr>
          <w:p w14:paraId="212C9B94"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-32.5</w:t>
            </w:r>
          </w:p>
        </w:tc>
      </w:tr>
      <w:tr w:rsidR="002A6E06" w:rsidRPr="00A403D9" w14:paraId="3C275F23" w14:textId="77777777" w:rsidTr="00144AD0">
        <w:trPr>
          <w:trHeight w:val="312"/>
        </w:trPr>
        <w:tc>
          <w:tcPr>
            <w:tcW w:w="4225" w:type="dxa"/>
            <w:shd w:val="clear" w:color="auto" w:fill="auto"/>
            <w:noWrap/>
            <w:vAlign w:val="bottom"/>
            <w:hideMark/>
          </w:tcPr>
          <w:p w14:paraId="46822AD4" w14:textId="77777777" w:rsidR="00A403D9" w:rsidRPr="00A403D9" w:rsidRDefault="00A403D9" w:rsidP="00A403D9">
            <w:pPr>
              <w:spacing w:after="0" w:line="240" w:lineRule="auto"/>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Accommodation and Food Services</w:t>
            </w:r>
          </w:p>
        </w:tc>
        <w:tc>
          <w:tcPr>
            <w:tcW w:w="1579" w:type="dxa"/>
            <w:shd w:val="clear" w:color="auto" w:fill="auto"/>
            <w:noWrap/>
            <w:vAlign w:val="bottom"/>
            <w:hideMark/>
          </w:tcPr>
          <w:p w14:paraId="0AB1EB59"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56.5</w:t>
            </w:r>
          </w:p>
        </w:tc>
        <w:tc>
          <w:tcPr>
            <w:tcW w:w="1421" w:type="dxa"/>
            <w:shd w:val="clear" w:color="auto" w:fill="auto"/>
            <w:noWrap/>
            <w:vAlign w:val="bottom"/>
            <w:hideMark/>
          </w:tcPr>
          <w:p w14:paraId="669E711F"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-30.1</w:t>
            </w:r>
          </w:p>
        </w:tc>
        <w:tc>
          <w:tcPr>
            <w:tcW w:w="1791" w:type="dxa"/>
            <w:shd w:val="clear" w:color="auto" w:fill="auto"/>
            <w:noWrap/>
            <w:vAlign w:val="bottom"/>
            <w:hideMark/>
          </w:tcPr>
          <w:p w14:paraId="6766B084"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-32.3</w:t>
            </w:r>
          </w:p>
        </w:tc>
      </w:tr>
      <w:tr w:rsidR="002A6E06" w:rsidRPr="00A403D9" w14:paraId="7BC5E10C" w14:textId="77777777" w:rsidTr="00144AD0">
        <w:trPr>
          <w:trHeight w:val="312"/>
        </w:trPr>
        <w:tc>
          <w:tcPr>
            <w:tcW w:w="4225" w:type="dxa"/>
            <w:shd w:val="clear" w:color="auto" w:fill="auto"/>
            <w:noWrap/>
            <w:vAlign w:val="bottom"/>
            <w:hideMark/>
          </w:tcPr>
          <w:p w14:paraId="1DDAC627" w14:textId="77777777" w:rsidR="00A403D9" w:rsidRPr="00A403D9" w:rsidRDefault="00A403D9" w:rsidP="00A403D9">
            <w:pPr>
              <w:spacing w:after="0" w:line="240" w:lineRule="auto"/>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Transport, Postal and Warehousing</w:t>
            </w:r>
          </w:p>
        </w:tc>
        <w:tc>
          <w:tcPr>
            <w:tcW w:w="1579" w:type="dxa"/>
            <w:shd w:val="clear" w:color="auto" w:fill="auto"/>
            <w:noWrap/>
            <w:vAlign w:val="bottom"/>
            <w:hideMark/>
          </w:tcPr>
          <w:p w14:paraId="6CF08AA6"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60.1</w:t>
            </w:r>
          </w:p>
        </w:tc>
        <w:tc>
          <w:tcPr>
            <w:tcW w:w="1421" w:type="dxa"/>
            <w:shd w:val="clear" w:color="auto" w:fill="auto"/>
            <w:noWrap/>
            <w:vAlign w:val="bottom"/>
            <w:hideMark/>
          </w:tcPr>
          <w:p w14:paraId="63040341"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-29.5</w:t>
            </w:r>
          </w:p>
        </w:tc>
        <w:tc>
          <w:tcPr>
            <w:tcW w:w="1791" w:type="dxa"/>
            <w:shd w:val="clear" w:color="auto" w:fill="auto"/>
            <w:noWrap/>
            <w:vAlign w:val="bottom"/>
            <w:hideMark/>
          </w:tcPr>
          <w:p w14:paraId="2BFDC5AE"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-6.4</w:t>
            </w:r>
          </w:p>
        </w:tc>
      </w:tr>
      <w:tr w:rsidR="002A6E06" w:rsidRPr="00A403D9" w14:paraId="60E6A3D7" w14:textId="77777777" w:rsidTr="00144AD0">
        <w:trPr>
          <w:trHeight w:val="312"/>
        </w:trPr>
        <w:tc>
          <w:tcPr>
            <w:tcW w:w="4225" w:type="dxa"/>
            <w:shd w:val="clear" w:color="auto" w:fill="auto"/>
            <w:noWrap/>
            <w:vAlign w:val="bottom"/>
            <w:hideMark/>
          </w:tcPr>
          <w:p w14:paraId="1F9E640F" w14:textId="77777777" w:rsidR="00A403D9" w:rsidRPr="00A403D9" w:rsidRDefault="00A403D9" w:rsidP="00A403D9">
            <w:pPr>
              <w:spacing w:after="0" w:line="240" w:lineRule="auto"/>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Information Media and Telecommunications</w:t>
            </w:r>
          </w:p>
        </w:tc>
        <w:tc>
          <w:tcPr>
            <w:tcW w:w="1579" w:type="dxa"/>
            <w:shd w:val="clear" w:color="auto" w:fill="auto"/>
            <w:noWrap/>
            <w:vAlign w:val="bottom"/>
            <w:hideMark/>
          </w:tcPr>
          <w:p w14:paraId="1A7162BA"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44.0</w:t>
            </w:r>
          </w:p>
        </w:tc>
        <w:tc>
          <w:tcPr>
            <w:tcW w:w="1421" w:type="dxa"/>
            <w:shd w:val="clear" w:color="auto" w:fill="auto"/>
            <w:noWrap/>
            <w:vAlign w:val="bottom"/>
            <w:hideMark/>
          </w:tcPr>
          <w:p w14:paraId="0AE533CB"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-27.6</w:t>
            </w:r>
          </w:p>
        </w:tc>
        <w:tc>
          <w:tcPr>
            <w:tcW w:w="1791" w:type="dxa"/>
            <w:shd w:val="clear" w:color="auto" w:fill="auto"/>
            <w:noWrap/>
            <w:vAlign w:val="bottom"/>
            <w:hideMark/>
          </w:tcPr>
          <w:p w14:paraId="1600AB65"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-41.6</w:t>
            </w:r>
          </w:p>
        </w:tc>
      </w:tr>
      <w:tr w:rsidR="002A6E06" w:rsidRPr="00A403D9" w14:paraId="4B387CCF" w14:textId="77777777" w:rsidTr="00144AD0">
        <w:trPr>
          <w:trHeight w:val="312"/>
        </w:trPr>
        <w:tc>
          <w:tcPr>
            <w:tcW w:w="4225" w:type="dxa"/>
            <w:shd w:val="clear" w:color="auto" w:fill="auto"/>
            <w:noWrap/>
            <w:vAlign w:val="bottom"/>
            <w:hideMark/>
          </w:tcPr>
          <w:p w14:paraId="7190AF15" w14:textId="77777777" w:rsidR="00A403D9" w:rsidRPr="00A403D9" w:rsidRDefault="00A403D9" w:rsidP="00A403D9">
            <w:pPr>
              <w:spacing w:after="0" w:line="240" w:lineRule="auto"/>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Financial and Insurance Services</w:t>
            </w:r>
          </w:p>
        </w:tc>
        <w:tc>
          <w:tcPr>
            <w:tcW w:w="1579" w:type="dxa"/>
            <w:shd w:val="clear" w:color="auto" w:fill="auto"/>
            <w:noWrap/>
            <w:vAlign w:val="bottom"/>
            <w:hideMark/>
          </w:tcPr>
          <w:p w14:paraId="5699A0B4"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-18.7</w:t>
            </w:r>
          </w:p>
        </w:tc>
        <w:tc>
          <w:tcPr>
            <w:tcW w:w="1421" w:type="dxa"/>
            <w:shd w:val="clear" w:color="auto" w:fill="auto"/>
            <w:noWrap/>
            <w:vAlign w:val="bottom"/>
            <w:hideMark/>
          </w:tcPr>
          <w:p w14:paraId="5EB6FEC4"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-29.4</w:t>
            </w:r>
          </w:p>
        </w:tc>
        <w:tc>
          <w:tcPr>
            <w:tcW w:w="1791" w:type="dxa"/>
            <w:shd w:val="clear" w:color="auto" w:fill="auto"/>
            <w:noWrap/>
            <w:vAlign w:val="bottom"/>
            <w:hideMark/>
          </w:tcPr>
          <w:p w14:paraId="2D589C31"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-54.1</w:t>
            </w:r>
          </w:p>
        </w:tc>
      </w:tr>
      <w:tr w:rsidR="002A6E06" w:rsidRPr="00A403D9" w14:paraId="3B9946E0" w14:textId="77777777" w:rsidTr="00144AD0">
        <w:trPr>
          <w:trHeight w:val="312"/>
        </w:trPr>
        <w:tc>
          <w:tcPr>
            <w:tcW w:w="4225" w:type="dxa"/>
            <w:shd w:val="clear" w:color="auto" w:fill="auto"/>
            <w:noWrap/>
            <w:vAlign w:val="bottom"/>
            <w:hideMark/>
          </w:tcPr>
          <w:p w14:paraId="574F52FA" w14:textId="77777777" w:rsidR="00A403D9" w:rsidRPr="00A403D9" w:rsidRDefault="00A403D9" w:rsidP="00A403D9">
            <w:pPr>
              <w:spacing w:after="0" w:line="240" w:lineRule="auto"/>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Rental, Hiring and Real Estate Services</w:t>
            </w:r>
          </w:p>
        </w:tc>
        <w:tc>
          <w:tcPr>
            <w:tcW w:w="1579" w:type="dxa"/>
            <w:shd w:val="clear" w:color="auto" w:fill="auto"/>
            <w:noWrap/>
            <w:vAlign w:val="bottom"/>
            <w:hideMark/>
          </w:tcPr>
          <w:p w14:paraId="192F2DB2"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30.5</w:t>
            </w:r>
          </w:p>
        </w:tc>
        <w:tc>
          <w:tcPr>
            <w:tcW w:w="1421" w:type="dxa"/>
            <w:shd w:val="clear" w:color="auto" w:fill="auto"/>
            <w:noWrap/>
            <w:vAlign w:val="bottom"/>
            <w:hideMark/>
          </w:tcPr>
          <w:p w14:paraId="41F8B638"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-47.3</w:t>
            </w:r>
          </w:p>
        </w:tc>
        <w:tc>
          <w:tcPr>
            <w:tcW w:w="1791" w:type="dxa"/>
            <w:shd w:val="clear" w:color="auto" w:fill="auto"/>
            <w:noWrap/>
            <w:vAlign w:val="bottom"/>
            <w:hideMark/>
          </w:tcPr>
          <w:p w14:paraId="7D7350CA"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-40.9</w:t>
            </w:r>
          </w:p>
        </w:tc>
      </w:tr>
      <w:tr w:rsidR="002A6E06" w:rsidRPr="00A403D9" w14:paraId="3EA1568E" w14:textId="77777777" w:rsidTr="00144AD0">
        <w:trPr>
          <w:trHeight w:val="312"/>
        </w:trPr>
        <w:tc>
          <w:tcPr>
            <w:tcW w:w="4225" w:type="dxa"/>
            <w:shd w:val="clear" w:color="auto" w:fill="auto"/>
            <w:noWrap/>
            <w:vAlign w:val="bottom"/>
            <w:hideMark/>
          </w:tcPr>
          <w:p w14:paraId="38B8C18C" w14:textId="77777777" w:rsidR="00A403D9" w:rsidRPr="00A403D9" w:rsidRDefault="00A403D9" w:rsidP="00A403D9">
            <w:pPr>
              <w:spacing w:after="0" w:line="240" w:lineRule="auto"/>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Professional, Scientific and Technical Services</w:t>
            </w:r>
          </w:p>
        </w:tc>
        <w:tc>
          <w:tcPr>
            <w:tcW w:w="1579" w:type="dxa"/>
            <w:shd w:val="clear" w:color="auto" w:fill="auto"/>
            <w:noWrap/>
            <w:vAlign w:val="bottom"/>
            <w:hideMark/>
          </w:tcPr>
          <w:p w14:paraId="22E5E171"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43.2</w:t>
            </w:r>
          </w:p>
        </w:tc>
        <w:tc>
          <w:tcPr>
            <w:tcW w:w="1421" w:type="dxa"/>
            <w:shd w:val="clear" w:color="auto" w:fill="auto"/>
            <w:noWrap/>
            <w:vAlign w:val="bottom"/>
            <w:hideMark/>
          </w:tcPr>
          <w:p w14:paraId="68066DC3"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-2.1</w:t>
            </w:r>
          </w:p>
        </w:tc>
        <w:tc>
          <w:tcPr>
            <w:tcW w:w="1791" w:type="dxa"/>
            <w:shd w:val="clear" w:color="auto" w:fill="auto"/>
            <w:noWrap/>
            <w:vAlign w:val="bottom"/>
            <w:hideMark/>
          </w:tcPr>
          <w:p w14:paraId="59ADB724"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-20.6</w:t>
            </w:r>
          </w:p>
        </w:tc>
      </w:tr>
      <w:tr w:rsidR="002A6E06" w:rsidRPr="00A403D9" w14:paraId="33FFB8C5" w14:textId="77777777" w:rsidTr="00144AD0">
        <w:trPr>
          <w:trHeight w:val="312"/>
        </w:trPr>
        <w:tc>
          <w:tcPr>
            <w:tcW w:w="4225" w:type="dxa"/>
            <w:shd w:val="clear" w:color="auto" w:fill="auto"/>
            <w:noWrap/>
            <w:vAlign w:val="bottom"/>
            <w:hideMark/>
          </w:tcPr>
          <w:p w14:paraId="5BD717C3" w14:textId="77777777" w:rsidR="00A403D9" w:rsidRPr="00A403D9" w:rsidRDefault="00A403D9" w:rsidP="00A403D9">
            <w:pPr>
              <w:spacing w:after="0" w:line="240" w:lineRule="auto"/>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Administrative and Support Services</w:t>
            </w:r>
          </w:p>
        </w:tc>
        <w:tc>
          <w:tcPr>
            <w:tcW w:w="1579" w:type="dxa"/>
            <w:shd w:val="clear" w:color="auto" w:fill="auto"/>
            <w:noWrap/>
            <w:vAlign w:val="bottom"/>
            <w:hideMark/>
          </w:tcPr>
          <w:p w14:paraId="65B7752B"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63.9</w:t>
            </w:r>
          </w:p>
        </w:tc>
        <w:tc>
          <w:tcPr>
            <w:tcW w:w="1421" w:type="dxa"/>
            <w:shd w:val="clear" w:color="auto" w:fill="auto"/>
            <w:noWrap/>
            <w:vAlign w:val="bottom"/>
            <w:hideMark/>
          </w:tcPr>
          <w:p w14:paraId="4A16F0F3"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-16.0</w:t>
            </w:r>
          </w:p>
        </w:tc>
        <w:tc>
          <w:tcPr>
            <w:tcW w:w="1791" w:type="dxa"/>
            <w:shd w:val="clear" w:color="auto" w:fill="auto"/>
            <w:noWrap/>
            <w:vAlign w:val="bottom"/>
            <w:hideMark/>
          </w:tcPr>
          <w:p w14:paraId="6D267D8E"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-34.5</w:t>
            </w:r>
          </w:p>
        </w:tc>
      </w:tr>
      <w:tr w:rsidR="002A6E06" w:rsidRPr="00A403D9" w14:paraId="00FA96AB" w14:textId="77777777" w:rsidTr="00144AD0">
        <w:trPr>
          <w:trHeight w:val="312"/>
        </w:trPr>
        <w:tc>
          <w:tcPr>
            <w:tcW w:w="4225" w:type="dxa"/>
            <w:shd w:val="clear" w:color="auto" w:fill="auto"/>
            <w:noWrap/>
            <w:vAlign w:val="bottom"/>
            <w:hideMark/>
          </w:tcPr>
          <w:p w14:paraId="6BC9FCA6" w14:textId="77777777" w:rsidR="00A403D9" w:rsidRPr="00A403D9" w:rsidRDefault="00A403D9" w:rsidP="00A403D9">
            <w:pPr>
              <w:spacing w:after="0" w:line="240" w:lineRule="auto"/>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Public Administration and Safety</w:t>
            </w:r>
          </w:p>
        </w:tc>
        <w:tc>
          <w:tcPr>
            <w:tcW w:w="1579" w:type="dxa"/>
            <w:shd w:val="clear" w:color="auto" w:fill="auto"/>
            <w:noWrap/>
            <w:vAlign w:val="bottom"/>
            <w:hideMark/>
          </w:tcPr>
          <w:p w14:paraId="3EEE69CF"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-4.6</w:t>
            </w:r>
          </w:p>
        </w:tc>
        <w:tc>
          <w:tcPr>
            <w:tcW w:w="1421" w:type="dxa"/>
            <w:shd w:val="clear" w:color="auto" w:fill="auto"/>
            <w:noWrap/>
            <w:vAlign w:val="bottom"/>
            <w:hideMark/>
          </w:tcPr>
          <w:p w14:paraId="5B5E0DA1"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-36.6</w:t>
            </w:r>
          </w:p>
        </w:tc>
        <w:tc>
          <w:tcPr>
            <w:tcW w:w="1791" w:type="dxa"/>
            <w:shd w:val="clear" w:color="auto" w:fill="auto"/>
            <w:noWrap/>
            <w:vAlign w:val="bottom"/>
            <w:hideMark/>
          </w:tcPr>
          <w:p w14:paraId="423DB4C0"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-21.1</w:t>
            </w:r>
          </w:p>
        </w:tc>
      </w:tr>
      <w:tr w:rsidR="002A6E06" w:rsidRPr="00A403D9" w14:paraId="5D46D06E" w14:textId="77777777" w:rsidTr="00144AD0">
        <w:trPr>
          <w:trHeight w:val="312"/>
        </w:trPr>
        <w:tc>
          <w:tcPr>
            <w:tcW w:w="4225" w:type="dxa"/>
            <w:shd w:val="clear" w:color="auto" w:fill="auto"/>
            <w:noWrap/>
            <w:vAlign w:val="bottom"/>
            <w:hideMark/>
          </w:tcPr>
          <w:p w14:paraId="049139C1" w14:textId="77777777" w:rsidR="00A403D9" w:rsidRPr="00A403D9" w:rsidRDefault="00A403D9" w:rsidP="00A403D9">
            <w:pPr>
              <w:spacing w:after="0" w:line="240" w:lineRule="auto"/>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Education and Training</w:t>
            </w:r>
          </w:p>
        </w:tc>
        <w:tc>
          <w:tcPr>
            <w:tcW w:w="1579" w:type="dxa"/>
            <w:shd w:val="clear" w:color="auto" w:fill="auto"/>
            <w:noWrap/>
            <w:vAlign w:val="bottom"/>
            <w:hideMark/>
          </w:tcPr>
          <w:p w14:paraId="52615018"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71.1</w:t>
            </w:r>
          </w:p>
        </w:tc>
        <w:tc>
          <w:tcPr>
            <w:tcW w:w="1421" w:type="dxa"/>
            <w:shd w:val="clear" w:color="auto" w:fill="auto"/>
            <w:noWrap/>
            <w:vAlign w:val="bottom"/>
            <w:hideMark/>
          </w:tcPr>
          <w:p w14:paraId="7A4A7E49"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33.7</w:t>
            </w:r>
          </w:p>
        </w:tc>
        <w:tc>
          <w:tcPr>
            <w:tcW w:w="1791" w:type="dxa"/>
            <w:shd w:val="clear" w:color="auto" w:fill="auto"/>
            <w:noWrap/>
            <w:vAlign w:val="bottom"/>
            <w:hideMark/>
          </w:tcPr>
          <w:p w14:paraId="16DBA0FF"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32.0</w:t>
            </w:r>
          </w:p>
        </w:tc>
      </w:tr>
      <w:tr w:rsidR="002A6E06" w:rsidRPr="00A403D9" w14:paraId="04D03F66" w14:textId="77777777" w:rsidTr="00144AD0">
        <w:trPr>
          <w:trHeight w:val="312"/>
        </w:trPr>
        <w:tc>
          <w:tcPr>
            <w:tcW w:w="4225" w:type="dxa"/>
            <w:shd w:val="clear" w:color="auto" w:fill="auto"/>
            <w:noWrap/>
            <w:vAlign w:val="bottom"/>
            <w:hideMark/>
          </w:tcPr>
          <w:p w14:paraId="038384B6" w14:textId="77777777" w:rsidR="00A403D9" w:rsidRPr="00A403D9" w:rsidRDefault="00A403D9" w:rsidP="00A403D9">
            <w:pPr>
              <w:spacing w:after="0" w:line="240" w:lineRule="auto"/>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Health Care and Social Assistance</w:t>
            </w:r>
          </w:p>
        </w:tc>
        <w:tc>
          <w:tcPr>
            <w:tcW w:w="1579" w:type="dxa"/>
            <w:shd w:val="clear" w:color="auto" w:fill="auto"/>
            <w:noWrap/>
            <w:vAlign w:val="bottom"/>
            <w:hideMark/>
          </w:tcPr>
          <w:p w14:paraId="6786E44D"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93.9</w:t>
            </w:r>
          </w:p>
        </w:tc>
        <w:tc>
          <w:tcPr>
            <w:tcW w:w="1421" w:type="dxa"/>
            <w:shd w:val="clear" w:color="auto" w:fill="auto"/>
            <w:noWrap/>
            <w:vAlign w:val="bottom"/>
            <w:hideMark/>
          </w:tcPr>
          <w:p w14:paraId="3CF158EC"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19.1</w:t>
            </w:r>
          </w:p>
        </w:tc>
        <w:tc>
          <w:tcPr>
            <w:tcW w:w="1791" w:type="dxa"/>
            <w:shd w:val="clear" w:color="auto" w:fill="auto"/>
            <w:noWrap/>
            <w:vAlign w:val="bottom"/>
            <w:hideMark/>
          </w:tcPr>
          <w:p w14:paraId="11ED2310"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21.2</w:t>
            </w:r>
          </w:p>
        </w:tc>
      </w:tr>
      <w:tr w:rsidR="002A6E06" w:rsidRPr="00A403D9" w14:paraId="17022402" w14:textId="77777777" w:rsidTr="00144AD0">
        <w:trPr>
          <w:trHeight w:val="312"/>
        </w:trPr>
        <w:tc>
          <w:tcPr>
            <w:tcW w:w="4225" w:type="dxa"/>
            <w:shd w:val="clear" w:color="auto" w:fill="auto"/>
            <w:noWrap/>
            <w:vAlign w:val="bottom"/>
            <w:hideMark/>
          </w:tcPr>
          <w:p w14:paraId="72EC5A8C" w14:textId="77777777" w:rsidR="00A403D9" w:rsidRPr="00A403D9" w:rsidRDefault="00A403D9" w:rsidP="00A403D9">
            <w:pPr>
              <w:spacing w:after="0" w:line="240" w:lineRule="auto"/>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Arts and Recreation Services</w:t>
            </w:r>
          </w:p>
        </w:tc>
        <w:tc>
          <w:tcPr>
            <w:tcW w:w="1579" w:type="dxa"/>
            <w:shd w:val="clear" w:color="auto" w:fill="auto"/>
            <w:noWrap/>
            <w:vAlign w:val="bottom"/>
            <w:hideMark/>
          </w:tcPr>
          <w:p w14:paraId="705AAF9B"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35.3</w:t>
            </w:r>
          </w:p>
        </w:tc>
        <w:tc>
          <w:tcPr>
            <w:tcW w:w="1421" w:type="dxa"/>
            <w:shd w:val="clear" w:color="auto" w:fill="auto"/>
            <w:noWrap/>
            <w:vAlign w:val="bottom"/>
            <w:hideMark/>
          </w:tcPr>
          <w:p w14:paraId="620FCC29"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-29.8</w:t>
            </w:r>
          </w:p>
        </w:tc>
        <w:tc>
          <w:tcPr>
            <w:tcW w:w="1791" w:type="dxa"/>
            <w:shd w:val="clear" w:color="auto" w:fill="auto"/>
            <w:noWrap/>
            <w:vAlign w:val="bottom"/>
            <w:hideMark/>
          </w:tcPr>
          <w:p w14:paraId="13182EAB"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-2.0</w:t>
            </w:r>
          </w:p>
        </w:tc>
      </w:tr>
      <w:tr w:rsidR="002A6E06" w:rsidRPr="00A403D9" w14:paraId="37900270" w14:textId="77777777" w:rsidTr="00144AD0">
        <w:trPr>
          <w:trHeight w:val="312"/>
        </w:trPr>
        <w:tc>
          <w:tcPr>
            <w:tcW w:w="4225" w:type="dxa"/>
            <w:shd w:val="clear" w:color="auto" w:fill="auto"/>
            <w:noWrap/>
            <w:vAlign w:val="bottom"/>
            <w:hideMark/>
          </w:tcPr>
          <w:p w14:paraId="52EC5D66" w14:textId="77777777" w:rsidR="00A403D9" w:rsidRPr="00A403D9" w:rsidRDefault="00A403D9" w:rsidP="00A403D9">
            <w:pPr>
              <w:spacing w:after="0" w:line="240" w:lineRule="auto"/>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Other Services</w:t>
            </w:r>
          </w:p>
        </w:tc>
        <w:tc>
          <w:tcPr>
            <w:tcW w:w="1579" w:type="dxa"/>
            <w:shd w:val="clear" w:color="auto" w:fill="auto"/>
            <w:noWrap/>
            <w:vAlign w:val="bottom"/>
            <w:hideMark/>
          </w:tcPr>
          <w:p w14:paraId="50C7F735"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48.1</w:t>
            </w:r>
          </w:p>
        </w:tc>
        <w:tc>
          <w:tcPr>
            <w:tcW w:w="1421" w:type="dxa"/>
            <w:shd w:val="clear" w:color="auto" w:fill="auto"/>
            <w:noWrap/>
            <w:vAlign w:val="bottom"/>
            <w:hideMark/>
          </w:tcPr>
          <w:p w14:paraId="22638E56"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-40.0</w:t>
            </w:r>
          </w:p>
        </w:tc>
        <w:tc>
          <w:tcPr>
            <w:tcW w:w="1791" w:type="dxa"/>
            <w:shd w:val="clear" w:color="auto" w:fill="auto"/>
            <w:noWrap/>
            <w:vAlign w:val="bottom"/>
            <w:hideMark/>
          </w:tcPr>
          <w:p w14:paraId="60584A2A" w14:textId="77777777" w:rsidR="00A403D9" w:rsidRPr="00A403D9" w:rsidRDefault="00A403D9" w:rsidP="00A403D9">
            <w:pPr>
              <w:spacing w:after="0" w:line="240" w:lineRule="auto"/>
              <w:jc w:val="right"/>
              <w:rPr>
                <w:rFonts w:ascii="Calibri" w:eastAsia="Times New Roman" w:hAnsi="Calibri" w:cs="Calibri"/>
                <w:sz w:val="20"/>
                <w:szCs w:val="20"/>
                <w:lang w:eastAsia="en-AU"/>
              </w:rPr>
            </w:pPr>
            <w:r w:rsidRPr="00A403D9">
              <w:rPr>
                <w:rFonts w:ascii="Calibri" w:eastAsia="Times New Roman" w:hAnsi="Calibri" w:cs="Calibri"/>
                <w:sz w:val="20"/>
                <w:szCs w:val="20"/>
                <w:lang w:eastAsia="en-AU"/>
              </w:rPr>
              <w:t>-44.8</w:t>
            </w:r>
          </w:p>
        </w:tc>
      </w:tr>
      <w:tr w:rsidR="002A6E06" w:rsidRPr="00A403D9" w14:paraId="0737E2EB" w14:textId="77777777" w:rsidTr="00144AD0">
        <w:trPr>
          <w:trHeight w:val="312"/>
        </w:trPr>
        <w:tc>
          <w:tcPr>
            <w:tcW w:w="4225" w:type="dxa"/>
            <w:shd w:val="clear" w:color="auto" w:fill="auto"/>
            <w:noWrap/>
            <w:vAlign w:val="bottom"/>
            <w:hideMark/>
          </w:tcPr>
          <w:p w14:paraId="5374105F" w14:textId="77777777" w:rsidR="00A403D9" w:rsidRPr="00A403D9" w:rsidRDefault="00A403D9" w:rsidP="00A403D9">
            <w:pPr>
              <w:spacing w:after="0" w:line="240" w:lineRule="auto"/>
              <w:rPr>
                <w:rFonts w:ascii="Calibri" w:eastAsia="Times New Roman" w:hAnsi="Calibri" w:cs="Calibri"/>
                <w:b/>
                <w:bCs/>
                <w:sz w:val="20"/>
                <w:szCs w:val="20"/>
                <w:lang w:eastAsia="en-AU"/>
              </w:rPr>
            </w:pPr>
            <w:r w:rsidRPr="00A403D9">
              <w:rPr>
                <w:rFonts w:ascii="Calibri" w:eastAsia="Times New Roman" w:hAnsi="Calibri" w:cs="Calibri"/>
                <w:b/>
                <w:bCs/>
                <w:sz w:val="20"/>
                <w:szCs w:val="20"/>
                <w:lang w:eastAsia="en-AU"/>
              </w:rPr>
              <w:t>Average</w:t>
            </w:r>
          </w:p>
        </w:tc>
        <w:tc>
          <w:tcPr>
            <w:tcW w:w="1579" w:type="dxa"/>
            <w:shd w:val="clear" w:color="auto" w:fill="auto"/>
            <w:noWrap/>
            <w:vAlign w:val="bottom"/>
            <w:hideMark/>
          </w:tcPr>
          <w:p w14:paraId="26A4FAE2" w14:textId="77777777" w:rsidR="00A403D9" w:rsidRPr="00A403D9" w:rsidRDefault="00A403D9" w:rsidP="00A403D9">
            <w:pPr>
              <w:spacing w:after="0" w:line="240" w:lineRule="auto"/>
              <w:jc w:val="right"/>
              <w:rPr>
                <w:rFonts w:ascii="Calibri" w:eastAsia="Times New Roman" w:hAnsi="Calibri" w:cs="Calibri"/>
                <w:b/>
                <w:bCs/>
                <w:sz w:val="20"/>
                <w:szCs w:val="20"/>
                <w:lang w:eastAsia="en-AU"/>
              </w:rPr>
            </w:pPr>
            <w:r w:rsidRPr="00A403D9">
              <w:rPr>
                <w:rFonts w:ascii="Calibri" w:eastAsia="Times New Roman" w:hAnsi="Calibri" w:cs="Calibri"/>
                <w:b/>
                <w:bCs/>
                <w:sz w:val="20"/>
                <w:szCs w:val="20"/>
                <w:lang w:eastAsia="en-AU"/>
              </w:rPr>
              <w:t>32.9</w:t>
            </w:r>
          </w:p>
        </w:tc>
        <w:tc>
          <w:tcPr>
            <w:tcW w:w="1421" w:type="dxa"/>
            <w:shd w:val="clear" w:color="auto" w:fill="auto"/>
            <w:noWrap/>
            <w:vAlign w:val="bottom"/>
            <w:hideMark/>
          </w:tcPr>
          <w:p w14:paraId="223978EF" w14:textId="77777777" w:rsidR="00A403D9" w:rsidRPr="00A403D9" w:rsidRDefault="00A403D9" w:rsidP="00A403D9">
            <w:pPr>
              <w:spacing w:after="0" w:line="240" w:lineRule="auto"/>
              <w:jc w:val="right"/>
              <w:rPr>
                <w:rFonts w:ascii="Calibri" w:eastAsia="Times New Roman" w:hAnsi="Calibri" w:cs="Calibri"/>
                <w:b/>
                <w:bCs/>
                <w:sz w:val="20"/>
                <w:szCs w:val="20"/>
                <w:lang w:eastAsia="en-AU"/>
              </w:rPr>
            </w:pPr>
            <w:r w:rsidRPr="00A403D9">
              <w:rPr>
                <w:rFonts w:ascii="Calibri" w:eastAsia="Times New Roman" w:hAnsi="Calibri" w:cs="Calibri"/>
                <w:b/>
                <w:bCs/>
                <w:sz w:val="20"/>
                <w:szCs w:val="20"/>
                <w:lang w:eastAsia="en-AU"/>
              </w:rPr>
              <w:t>-21.4</w:t>
            </w:r>
          </w:p>
        </w:tc>
        <w:tc>
          <w:tcPr>
            <w:tcW w:w="1791" w:type="dxa"/>
            <w:shd w:val="clear" w:color="auto" w:fill="auto"/>
            <w:noWrap/>
            <w:vAlign w:val="bottom"/>
            <w:hideMark/>
          </w:tcPr>
          <w:p w14:paraId="11E13195" w14:textId="77777777" w:rsidR="00A403D9" w:rsidRPr="00A403D9" w:rsidRDefault="00A403D9" w:rsidP="00A403D9">
            <w:pPr>
              <w:spacing w:after="0" w:line="240" w:lineRule="auto"/>
              <w:jc w:val="right"/>
              <w:rPr>
                <w:rFonts w:ascii="Calibri" w:eastAsia="Times New Roman" w:hAnsi="Calibri" w:cs="Calibri"/>
                <w:b/>
                <w:bCs/>
                <w:sz w:val="20"/>
                <w:szCs w:val="20"/>
                <w:lang w:eastAsia="en-AU"/>
              </w:rPr>
            </w:pPr>
            <w:r w:rsidRPr="00A403D9">
              <w:rPr>
                <w:rFonts w:ascii="Calibri" w:eastAsia="Times New Roman" w:hAnsi="Calibri" w:cs="Calibri"/>
                <w:b/>
                <w:bCs/>
                <w:sz w:val="20"/>
                <w:szCs w:val="20"/>
                <w:lang w:eastAsia="en-AU"/>
              </w:rPr>
              <w:t>-16.5</w:t>
            </w:r>
          </w:p>
        </w:tc>
      </w:tr>
    </w:tbl>
    <w:p w14:paraId="0EAEEB65" w14:textId="2A200554" w:rsidR="00490322" w:rsidRDefault="00144AD0" w:rsidP="002B6645">
      <w:pPr>
        <w:spacing w:before="300"/>
        <w:ind w:left="227"/>
        <w:rPr>
          <w:rFonts w:ascii="Calibri" w:eastAsia="Calibri" w:hAnsi="Calibri" w:cs="Times New Roman"/>
        </w:rPr>
      </w:pPr>
      <w:r w:rsidRPr="000A1903">
        <w:rPr>
          <w:sz w:val="18"/>
          <w:szCs w:val="18"/>
        </w:rPr>
        <w:t>Source: ABS Counts of Australian Businesses, including Entries and Exits, June 2008 and June 2020</w:t>
      </w:r>
      <w:r w:rsidR="00490322">
        <w:rPr>
          <w:rFonts w:ascii="Calibri" w:eastAsia="Calibri" w:hAnsi="Calibri" w:cs="Times New Roman"/>
        </w:rPr>
        <w:br w:type="page"/>
      </w:r>
    </w:p>
    <w:p w14:paraId="22D6A254" w14:textId="75155DF1" w:rsidR="00683DDA" w:rsidRDefault="00683DDA" w:rsidP="00F6694F">
      <w:pPr>
        <w:pStyle w:val="Heading3"/>
      </w:pPr>
      <w:bookmarkStart w:id="59" w:name="_Toc152165423"/>
      <w:r>
        <w:t xml:space="preserve">Australia has </w:t>
      </w:r>
      <w:r w:rsidRPr="00AF4E5A">
        <w:t>a scale</w:t>
      </w:r>
      <w:r w:rsidR="00F24787">
        <w:t>-</w:t>
      </w:r>
      <w:r w:rsidRPr="00AF4E5A">
        <w:t xml:space="preserve">up </w:t>
      </w:r>
      <w:r w:rsidR="00F5298D" w:rsidRPr="00AF4E5A">
        <w:t>problem.</w:t>
      </w:r>
      <w:bookmarkEnd w:id="59"/>
      <w:r w:rsidRPr="00AF4E5A">
        <w:t xml:space="preserve"> </w:t>
      </w:r>
    </w:p>
    <w:p w14:paraId="149E91BF" w14:textId="4ADF2269" w:rsidR="00A83633" w:rsidRPr="00A83633" w:rsidRDefault="00A83633" w:rsidP="00BF05AD">
      <w:pPr>
        <w:rPr>
          <w:rFonts w:ascii="Calibri" w:eastAsia="Calibri" w:hAnsi="Calibri" w:cs="Times New Roman"/>
        </w:rPr>
      </w:pPr>
      <w:r w:rsidRPr="00A83633">
        <w:rPr>
          <w:rFonts w:ascii="Calibri" w:eastAsia="Calibri" w:hAnsi="Calibri" w:cs="Times New Roman"/>
        </w:rPr>
        <w:t>Medium</w:t>
      </w:r>
      <w:r w:rsidR="00A64BF6">
        <w:rPr>
          <w:rFonts w:ascii="Calibri" w:eastAsia="Calibri" w:hAnsi="Calibri" w:cs="Times New Roman"/>
        </w:rPr>
        <w:t>-</w:t>
      </w:r>
      <w:r w:rsidRPr="00A83633">
        <w:rPr>
          <w:rFonts w:ascii="Calibri" w:eastAsia="Calibri" w:hAnsi="Calibri" w:cs="Times New Roman"/>
        </w:rPr>
        <w:t>sized business</w:t>
      </w:r>
      <w:r w:rsidR="00F8286F">
        <w:rPr>
          <w:rFonts w:ascii="Calibri" w:eastAsia="Calibri" w:hAnsi="Calibri" w:cs="Times New Roman"/>
        </w:rPr>
        <w:t>es</w:t>
      </w:r>
      <w:r w:rsidRPr="00A83633">
        <w:rPr>
          <w:rFonts w:ascii="Calibri" w:eastAsia="Calibri" w:hAnsi="Calibri" w:cs="Times New Roman"/>
        </w:rPr>
        <w:t xml:space="preserve"> </w:t>
      </w:r>
      <w:r w:rsidR="005A4B37">
        <w:rPr>
          <w:rFonts w:ascii="Calibri" w:eastAsia="Calibri" w:hAnsi="Calibri" w:cs="Times New Roman"/>
        </w:rPr>
        <w:t xml:space="preserve">in Australia </w:t>
      </w:r>
      <w:r w:rsidR="00F8286F" w:rsidRPr="00A83633">
        <w:rPr>
          <w:rFonts w:ascii="Calibri" w:eastAsia="Calibri" w:hAnsi="Calibri" w:cs="Times New Roman"/>
        </w:rPr>
        <w:t>lag</w:t>
      </w:r>
      <w:r w:rsidRPr="00A83633">
        <w:rPr>
          <w:rFonts w:ascii="Calibri" w:eastAsia="Calibri" w:hAnsi="Calibri" w:cs="Times New Roman"/>
        </w:rPr>
        <w:t xml:space="preserve"> </w:t>
      </w:r>
      <w:r w:rsidR="00171762" w:rsidRPr="00171762">
        <w:rPr>
          <w:rFonts w:ascii="Calibri" w:eastAsia="Calibri" w:hAnsi="Calibri" w:cs="Times New Roman"/>
        </w:rPr>
        <w:t xml:space="preserve">Organization for Economic Cooperation and Development </w:t>
      </w:r>
      <w:r w:rsidR="00171762">
        <w:rPr>
          <w:rFonts w:ascii="Calibri" w:eastAsia="Calibri" w:hAnsi="Calibri" w:cs="Times New Roman"/>
        </w:rPr>
        <w:t>(</w:t>
      </w:r>
      <w:r w:rsidRPr="00A83633">
        <w:rPr>
          <w:rFonts w:ascii="Calibri" w:eastAsia="Calibri" w:hAnsi="Calibri" w:cs="Times New Roman"/>
        </w:rPr>
        <w:t>OECD</w:t>
      </w:r>
      <w:r w:rsidR="00171762">
        <w:rPr>
          <w:rFonts w:ascii="Calibri" w:eastAsia="Calibri" w:hAnsi="Calibri" w:cs="Times New Roman"/>
        </w:rPr>
        <w:t>)</w:t>
      </w:r>
      <w:r w:rsidRPr="00A83633">
        <w:rPr>
          <w:rFonts w:ascii="Calibri" w:eastAsia="Calibri" w:hAnsi="Calibri" w:cs="Times New Roman"/>
        </w:rPr>
        <w:t xml:space="preserve"> averages for </w:t>
      </w:r>
      <w:r w:rsidR="005A4B37">
        <w:rPr>
          <w:rFonts w:ascii="Calibri" w:eastAsia="Calibri" w:hAnsi="Calibri" w:cs="Times New Roman"/>
        </w:rPr>
        <w:t xml:space="preserve">the </w:t>
      </w:r>
      <w:r w:rsidRPr="00A83633">
        <w:rPr>
          <w:rFonts w:ascii="Calibri" w:eastAsia="Calibri" w:hAnsi="Calibri" w:cs="Times New Roman"/>
        </w:rPr>
        <w:t>contribution to employment and value add</w:t>
      </w:r>
      <w:r w:rsidR="00BC5739">
        <w:rPr>
          <w:rFonts w:ascii="Calibri" w:eastAsia="Calibri" w:hAnsi="Calibri" w:cs="Times New Roman"/>
        </w:rPr>
        <w:t>ed</w:t>
      </w:r>
      <w:r w:rsidRPr="00A83633">
        <w:rPr>
          <w:rFonts w:ascii="Calibri" w:eastAsia="Calibri" w:hAnsi="Calibri" w:cs="Times New Roman"/>
        </w:rPr>
        <w:t xml:space="preserve">. Large changes in Australia’s productivity and wages could be leveraged by incremental improvements in the </w:t>
      </w:r>
      <w:r w:rsidR="005A4B37">
        <w:rPr>
          <w:rFonts w:ascii="Calibri" w:eastAsia="Calibri" w:hAnsi="Calibri" w:cs="Times New Roman"/>
        </w:rPr>
        <w:t>number and</w:t>
      </w:r>
      <w:r w:rsidRPr="00A83633">
        <w:rPr>
          <w:rFonts w:ascii="Calibri" w:eastAsia="Calibri" w:hAnsi="Calibri" w:cs="Times New Roman"/>
        </w:rPr>
        <w:t xml:space="preserve"> performance of </w:t>
      </w:r>
      <w:r w:rsidR="005A4B37">
        <w:rPr>
          <w:rFonts w:ascii="Calibri" w:eastAsia="Calibri" w:hAnsi="Calibri" w:cs="Times New Roman"/>
        </w:rPr>
        <w:t>medium</w:t>
      </w:r>
      <w:r w:rsidR="004E2CBC">
        <w:rPr>
          <w:rFonts w:ascii="Calibri" w:eastAsia="Calibri" w:hAnsi="Calibri" w:cs="Times New Roman"/>
        </w:rPr>
        <w:t>-</w:t>
      </w:r>
      <w:r w:rsidR="005A4B37">
        <w:rPr>
          <w:rFonts w:ascii="Calibri" w:eastAsia="Calibri" w:hAnsi="Calibri" w:cs="Times New Roman"/>
        </w:rPr>
        <w:t>sized businesses</w:t>
      </w:r>
      <w:r w:rsidRPr="00A83633">
        <w:rPr>
          <w:rFonts w:ascii="Calibri" w:eastAsia="Calibri" w:hAnsi="Calibri" w:cs="Times New Roman"/>
        </w:rPr>
        <w:t xml:space="preserve">. </w:t>
      </w:r>
    </w:p>
    <w:p w14:paraId="224A0602" w14:textId="0944363F" w:rsidR="00A83633" w:rsidRPr="00176864" w:rsidRDefault="00490322" w:rsidP="00D53494">
      <w:pPr>
        <w:pStyle w:val="Caption"/>
        <w:keepNext/>
        <w:rPr>
          <w:b/>
          <w:bCs/>
          <w:i w:val="0"/>
          <w:iCs w:val="0"/>
          <w:color w:val="auto"/>
        </w:rPr>
      </w:pPr>
      <w:r w:rsidRPr="00176864">
        <w:rPr>
          <w:b/>
          <w:bCs/>
          <w:i w:val="0"/>
          <w:iCs w:val="0"/>
          <w:color w:val="auto"/>
        </w:rPr>
        <w:t xml:space="preserve">Chart </w:t>
      </w:r>
      <w:r w:rsidR="00262E52" w:rsidRPr="00176864">
        <w:rPr>
          <w:b/>
          <w:bCs/>
          <w:i w:val="0"/>
          <w:iCs w:val="0"/>
          <w:color w:val="auto"/>
        </w:rPr>
        <w:t>9</w:t>
      </w:r>
      <w:r w:rsidRPr="00176864">
        <w:rPr>
          <w:b/>
          <w:bCs/>
          <w:i w:val="0"/>
          <w:iCs w:val="0"/>
          <w:color w:val="auto"/>
        </w:rPr>
        <w:t xml:space="preserve">: </w:t>
      </w:r>
      <w:r w:rsidR="00A83633" w:rsidRPr="00176864">
        <w:rPr>
          <w:b/>
          <w:bCs/>
          <w:i w:val="0"/>
          <w:iCs w:val="0"/>
          <w:color w:val="auto"/>
        </w:rPr>
        <w:t xml:space="preserve">Contribution of </w:t>
      </w:r>
      <w:r w:rsidR="004E2CBC">
        <w:rPr>
          <w:b/>
          <w:bCs/>
          <w:i w:val="0"/>
          <w:iCs w:val="0"/>
          <w:color w:val="auto"/>
        </w:rPr>
        <w:t xml:space="preserve">the </w:t>
      </w:r>
      <w:r w:rsidR="00BC6A6B">
        <w:rPr>
          <w:b/>
          <w:bCs/>
          <w:i w:val="0"/>
          <w:iCs w:val="0"/>
          <w:color w:val="auto"/>
        </w:rPr>
        <w:t>small and medium enterprise (</w:t>
      </w:r>
      <w:r w:rsidR="00A83633" w:rsidRPr="00176864">
        <w:rPr>
          <w:b/>
          <w:bCs/>
          <w:i w:val="0"/>
          <w:iCs w:val="0"/>
          <w:color w:val="auto"/>
        </w:rPr>
        <w:t>SME</w:t>
      </w:r>
      <w:r w:rsidR="00BC6A6B">
        <w:rPr>
          <w:b/>
          <w:bCs/>
          <w:i w:val="0"/>
          <w:iCs w:val="0"/>
          <w:color w:val="auto"/>
        </w:rPr>
        <w:t>)</w:t>
      </w:r>
      <w:r w:rsidR="00A83633" w:rsidRPr="00176864">
        <w:rPr>
          <w:b/>
          <w:bCs/>
          <w:i w:val="0"/>
          <w:iCs w:val="0"/>
          <w:color w:val="auto"/>
        </w:rPr>
        <w:t xml:space="preserve"> sector and large businesses in Australia and OECD average</w:t>
      </w:r>
      <w:r w:rsidR="005860F3">
        <w:rPr>
          <w:rStyle w:val="FootnoteReference"/>
          <w:b/>
          <w:bCs/>
          <w:i w:val="0"/>
          <w:iCs w:val="0"/>
          <w:color w:val="auto"/>
        </w:rPr>
        <w:footnoteReference w:id="30"/>
      </w:r>
      <w:r w:rsidR="00D12570">
        <w:rPr>
          <w:b/>
          <w:bCs/>
          <w:i w:val="0"/>
          <w:iCs w:val="0"/>
          <w:color w:val="auto"/>
        </w:rPr>
        <w:t>. Data table immediately below.</w:t>
      </w:r>
    </w:p>
    <w:p w14:paraId="2469A75E" w14:textId="7515A50B" w:rsidR="00B859D6" w:rsidRPr="00A83633" w:rsidRDefault="00995BFF" w:rsidP="00975D29">
      <w:pPr>
        <w:jc w:val="center"/>
        <w:rPr>
          <w:rFonts w:ascii="Calibri" w:eastAsia="Calibri" w:hAnsi="Calibri" w:cs="Times New Roman"/>
        </w:rPr>
      </w:pPr>
      <w:r>
        <w:rPr>
          <w:noProof/>
        </w:rPr>
        <w:drawing>
          <wp:inline distT="0" distB="0" distL="0" distR="0" wp14:anchorId="7748C954" wp14:editId="271EC5DB">
            <wp:extent cx="5400000" cy="2880000"/>
            <wp:effectExtent l="0" t="0" r="0" b="0"/>
            <wp:docPr id="40" name="Chart 40" descr="Bar chart showing the contribution of the SME sector and large businesses in Australia and OECD average to employment and value added. Please see data table below. ">
              <a:extLst xmlns:a="http://schemas.openxmlformats.org/drawingml/2006/main">
                <a:ext uri="{FF2B5EF4-FFF2-40B4-BE49-F238E27FC236}">
                  <a16:creationId xmlns:a16="http://schemas.microsoft.com/office/drawing/2014/main" id="{FE66E05D-B11F-4CE7-A935-30A420E985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CF6AD89" w14:textId="49AE011A" w:rsidR="00680099" w:rsidRDefault="00680099" w:rsidP="00680099">
      <w:pPr>
        <w:ind w:left="737"/>
        <w:rPr>
          <w:sz w:val="18"/>
          <w:szCs w:val="18"/>
        </w:rPr>
      </w:pPr>
      <w:bookmarkStart w:id="60" w:name="_Toc1191900319"/>
      <w:bookmarkStart w:id="61" w:name="_Toc145000214"/>
      <w:r>
        <w:rPr>
          <w:sz w:val="18"/>
          <w:szCs w:val="18"/>
        </w:rPr>
        <w:t xml:space="preserve">Source: </w:t>
      </w:r>
      <w:r w:rsidRPr="00242394">
        <w:rPr>
          <w:sz w:val="18"/>
          <w:szCs w:val="18"/>
        </w:rPr>
        <w:t xml:space="preserve">Organisation for Economic Cooperation and Development (OECD) (2021) </w:t>
      </w:r>
      <w:hyperlink r:id="rId33" w:history="1">
        <w:r w:rsidRPr="00242394">
          <w:rPr>
            <w:rStyle w:val="Hyperlink"/>
            <w:i/>
            <w:iCs/>
            <w:sz w:val="18"/>
            <w:szCs w:val="18"/>
          </w:rPr>
          <w:t xml:space="preserve">SME and Entrepreneurship Outlook: Country Profiles </w:t>
        </w:r>
        <w:r w:rsidRPr="00242394">
          <w:rPr>
            <w:rStyle w:val="Hyperlink"/>
            <w:sz w:val="18"/>
            <w:szCs w:val="18"/>
          </w:rPr>
          <w:t>[PDF 3.3MB]</w:t>
        </w:r>
      </w:hyperlink>
      <w:r w:rsidRPr="00242394">
        <w:rPr>
          <w:sz w:val="18"/>
          <w:szCs w:val="18"/>
        </w:rPr>
        <w:t xml:space="preserve">, OECD, </w:t>
      </w:r>
      <w:r>
        <w:rPr>
          <w:sz w:val="18"/>
          <w:szCs w:val="18"/>
        </w:rPr>
        <w:t xml:space="preserve">last </w:t>
      </w:r>
      <w:r w:rsidRPr="00242394">
        <w:rPr>
          <w:sz w:val="18"/>
          <w:szCs w:val="18"/>
        </w:rPr>
        <w:t>accessed 24 November 2023.</w:t>
      </w:r>
    </w:p>
    <w:p w14:paraId="5D923D4C" w14:textId="1E82AA8E" w:rsidR="00AE0309" w:rsidRPr="00AE0309" w:rsidRDefault="00AE0309" w:rsidP="00AE0309">
      <w:pPr>
        <w:rPr>
          <w:rFonts w:asciiTheme="majorHAnsi" w:hAnsiTheme="majorHAnsi" w:cstheme="majorHAnsi"/>
          <w:b/>
          <w:bCs/>
        </w:rPr>
      </w:pPr>
      <w:r w:rsidRPr="00AE0309">
        <w:rPr>
          <w:rFonts w:asciiTheme="majorHAnsi" w:hAnsiTheme="majorHAnsi" w:cstheme="majorHAnsi"/>
          <w:b/>
          <w:bCs/>
        </w:rPr>
        <w:t>Data table for chart 9: Contribution of the small and medium enterprise (SME) sector and large businesses in Australia and OECD average</w:t>
      </w:r>
      <w:r w:rsidRPr="00AE0309">
        <w:rPr>
          <w:rFonts w:asciiTheme="majorHAnsi" w:hAnsiTheme="majorHAnsi" w:cstheme="majorHAnsi"/>
          <w:b/>
          <w:bCs/>
          <w:i/>
          <w:iCs/>
        </w:rPr>
        <w:t xml:space="preserve"> </w:t>
      </w:r>
      <w:proofErr w:type="gramStart"/>
      <w:r w:rsidRPr="00AE0309">
        <w:rPr>
          <w:rFonts w:asciiTheme="majorHAnsi" w:hAnsiTheme="majorHAnsi" w:cstheme="majorHAnsi"/>
          <w:b/>
          <w:bCs/>
          <w:i/>
          <w:iCs/>
        </w:rPr>
        <w:t>The</w:t>
      </w:r>
      <w:proofErr w:type="gramEnd"/>
      <w:r w:rsidRPr="00AE0309">
        <w:rPr>
          <w:rFonts w:asciiTheme="majorHAnsi" w:hAnsiTheme="majorHAnsi" w:cstheme="majorHAnsi"/>
          <w:b/>
          <w:bCs/>
          <w:i/>
          <w:iCs/>
        </w:rPr>
        <w:t xml:space="preserve"> following table outlines the statistical information provided in chart 9 above.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ata table for chart 9"/>
        <w:tblDescription w:val="Contribution of SME sector and large businesses in Australia and OECD average -- employment and value added, disaggregated by business size&#10;"/>
      </w:tblPr>
      <w:tblGrid>
        <w:gridCol w:w="1136"/>
        <w:gridCol w:w="1807"/>
        <w:gridCol w:w="1768"/>
        <w:gridCol w:w="2172"/>
        <w:gridCol w:w="2133"/>
      </w:tblGrid>
      <w:tr w:rsidR="00FF2584" w:rsidRPr="00663BB9" w14:paraId="043AB380" w14:textId="77777777" w:rsidTr="002B6645">
        <w:trPr>
          <w:trHeight w:val="652"/>
        </w:trPr>
        <w:tc>
          <w:tcPr>
            <w:tcW w:w="917" w:type="pct"/>
            <w:shd w:val="clear" w:color="auto" w:fill="auto"/>
            <w:noWrap/>
            <w:vAlign w:val="bottom"/>
            <w:hideMark/>
          </w:tcPr>
          <w:p w14:paraId="0BF26D16" w14:textId="77777777" w:rsidR="00FF2584" w:rsidRPr="00663BB9" w:rsidRDefault="00FF2584" w:rsidP="00E4374E">
            <w:pPr>
              <w:shd w:val="clear" w:color="auto" w:fill="FEC0F1" w:themeFill="accent4" w:themeFillTint="33"/>
              <w:spacing w:after="0" w:line="240" w:lineRule="auto"/>
              <w:rPr>
                <w:rFonts w:eastAsia="Times New Roman" w:cstheme="minorHAnsi"/>
                <w:b/>
                <w:bCs/>
                <w:lang w:eastAsia="en-AU"/>
              </w:rPr>
            </w:pPr>
            <w:r w:rsidRPr="00663BB9">
              <w:rPr>
                <w:rFonts w:eastAsia="Times New Roman" w:cstheme="minorHAnsi"/>
                <w:b/>
                <w:bCs/>
                <w:lang w:eastAsia="en-AU"/>
              </w:rPr>
              <w:t>Business size</w:t>
            </w:r>
          </w:p>
        </w:tc>
        <w:tc>
          <w:tcPr>
            <w:tcW w:w="1114" w:type="pct"/>
            <w:shd w:val="clear" w:color="auto" w:fill="auto"/>
            <w:noWrap/>
            <w:vAlign w:val="bottom"/>
            <w:hideMark/>
          </w:tcPr>
          <w:p w14:paraId="6E4F90BF" w14:textId="77777777" w:rsidR="00FF2584" w:rsidRPr="00663BB9" w:rsidRDefault="00FF2584" w:rsidP="00E4374E">
            <w:pPr>
              <w:shd w:val="clear" w:color="auto" w:fill="FEC0F1" w:themeFill="accent4" w:themeFillTint="33"/>
              <w:spacing w:after="0" w:line="240" w:lineRule="auto"/>
              <w:rPr>
                <w:rFonts w:eastAsia="Times New Roman" w:cstheme="minorHAnsi"/>
                <w:b/>
                <w:bCs/>
                <w:color w:val="000000"/>
                <w:lang w:eastAsia="en-AU"/>
              </w:rPr>
            </w:pPr>
            <w:r w:rsidRPr="00663BB9">
              <w:rPr>
                <w:rFonts w:eastAsia="Times New Roman" w:cstheme="minorHAnsi"/>
                <w:b/>
                <w:bCs/>
                <w:color w:val="000000"/>
                <w:lang w:eastAsia="en-AU"/>
              </w:rPr>
              <w:t>Australia employment</w:t>
            </w:r>
          </w:p>
        </w:tc>
        <w:tc>
          <w:tcPr>
            <w:tcW w:w="917" w:type="pct"/>
            <w:shd w:val="clear" w:color="auto" w:fill="auto"/>
            <w:noWrap/>
            <w:vAlign w:val="bottom"/>
            <w:hideMark/>
          </w:tcPr>
          <w:p w14:paraId="7D70F295" w14:textId="77777777" w:rsidR="00FF2584" w:rsidRPr="00663BB9" w:rsidRDefault="00FF2584" w:rsidP="00E4374E">
            <w:pPr>
              <w:shd w:val="clear" w:color="auto" w:fill="FEC0F1" w:themeFill="accent4" w:themeFillTint="33"/>
              <w:spacing w:after="0" w:line="240" w:lineRule="auto"/>
              <w:rPr>
                <w:rFonts w:eastAsia="Times New Roman" w:cstheme="minorHAnsi"/>
                <w:b/>
                <w:bCs/>
                <w:color w:val="000000"/>
                <w:lang w:eastAsia="en-AU"/>
              </w:rPr>
            </w:pPr>
            <w:r w:rsidRPr="00663BB9">
              <w:rPr>
                <w:rFonts w:eastAsia="Times New Roman" w:cstheme="minorHAnsi"/>
                <w:b/>
                <w:bCs/>
                <w:color w:val="000000"/>
                <w:lang w:eastAsia="en-AU"/>
              </w:rPr>
              <w:t>Australia value added</w:t>
            </w:r>
          </w:p>
        </w:tc>
        <w:tc>
          <w:tcPr>
            <w:tcW w:w="1114" w:type="pct"/>
            <w:shd w:val="clear" w:color="auto" w:fill="auto"/>
            <w:noWrap/>
            <w:vAlign w:val="bottom"/>
            <w:hideMark/>
          </w:tcPr>
          <w:p w14:paraId="7117406D" w14:textId="77777777" w:rsidR="00FF2584" w:rsidRPr="00663BB9" w:rsidRDefault="00FF2584" w:rsidP="00E4374E">
            <w:pPr>
              <w:shd w:val="clear" w:color="auto" w:fill="FEC0F1" w:themeFill="accent4" w:themeFillTint="33"/>
              <w:spacing w:after="0" w:line="240" w:lineRule="auto"/>
              <w:rPr>
                <w:rFonts w:eastAsia="Times New Roman" w:cstheme="minorHAnsi"/>
                <w:b/>
                <w:bCs/>
                <w:color w:val="000000"/>
                <w:lang w:eastAsia="en-AU"/>
              </w:rPr>
            </w:pPr>
            <w:r w:rsidRPr="00663BB9">
              <w:rPr>
                <w:rFonts w:eastAsia="Times New Roman" w:cstheme="minorHAnsi"/>
                <w:b/>
                <w:bCs/>
                <w:color w:val="000000"/>
                <w:lang w:eastAsia="en-AU"/>
              </w:rPr>
              <w:t>OECD average employment</w:t>
            </w:r>
          </w:p>
        </w:tc>
        <w:tc>
          <w:tcPr>
            <w:tcW w:w="937" w:type="pct"/>
            <w:shd w:val="clear" w:color="auto" w:fill="auto"/>
            <w:noWrap/>
            <w:vAlign w:val="bottom"/>
            <w:hideMark/>
          </w:tcPr>
          <w:p w14:paraId="240F9102" w14:textId="77777777" w:rsidR="00FF2584" w:rsidRPr="00663BB9" w:rsidRDefault="00FF2584" w:rsidP="00E4374E">
            <w:pPr>
              <w:shd w:val="clear" w:color="auto" w:fill="FEC0F1" w:themeFill="accent4" w:themeFillTint="33"/>
              <w:spacing w:after="0" w:line="240" w:lineRule="auto"/>
              <w:rPr>
                <w:rFonts w:eastAsia="Times New Roman" w:cstheme="minorHAnsi"/>
                <w:b/>
                <w:bCs/>
                <w:color w:val="000000"/>
                <w:lang w:eastAsia="en-AU"/>
              </w:rPr>
            </w:pPr>
            <w:r w:rsidRPr="00663BB9">
              <w:rPr>
                <w:rFonts w:eastAsia="Times New Roman" w:cstheme="minorHAnsi"/>
                <w:b/>
                <w:bCs/>
                <w:color w:val="000000"/>
                <w:lang w:eastAsia="en-AU"/>
              </w:rPr>
              <w:t>OECD average value added</w:t>
            </w:r>
          </w:p>
        </w:tc>
      </w:tr>
      <w:tr w:rsidR="00FF2584" w:rsidRPr="00663BB9" w14:paraId="111B3F73" w14:textId="77777777" w:rsidTr="002B6645">
        <w:trPr>
          <w:trHeight w:val="397"/>
        </w:trPr>
        <w:tc>
          <w:tcPr>
            <w:tcW w:w="917" w:type="pct"/>
            <w:shd w:val="clear" w:color="auto" w:fill="auto"/>
            <w:vAlign w:val="bottom"/>
            <w:hideMark/>
          </w:tcPr>
          <w:p w14:paraId="5B04EAB3" w14:textId="77777777" w:rsidR="00FF2584" w:rsidRPr="00663BB9" w:rsidRDefault="00FF2584" w:rsidP="00E4374E">
            <w:pPr>
              <w:shd w:val="clear" w:color="auto" w:fill="FEC0F1" w:themeFill="accent4" w:themeFillTint="33"/>
              <w:spacing w:after="0" w:line="240" w:lineRule="auto"/>
              <w:rPr>
                <w:rFonts w:eastAsia="Times New Roman" w:cstheme="minorHAnsi"/>
                <w:color w:val="000000"/>
                <w:lang w:eastAsia="en-AU"/>
              </w:rPr>
            </w:pPr>
            <w:r w:rsidRPr="00663BB9">
              <w:rPr>
                <w:rFonts w:eastAsia="Times New Roman" w:cstheme="minorHAnsi"/>
                <w:color w:val="000000"/>
                <w:lang w:eastAsia="en-AU"/>
              </w:rPr>
              <w:t>Small</w:t>
            </w:r>
          </w:p>
        </w:tc>
        <w:tc>
          <w:tcPr>
            <w:tcW w:w="1114" w:type="pct"/>
            <w:shd w:val="clear" w:color="auto" w:fill="auto"/>
            <w:noWrap/>
            <w:vAlign w:val="bottom"/>
            <w:hideMark/>
          </w:tcPr>
          <w:p w14:paraId="66ACAD84" w14:textId="77777777" w:rsidR="00FF2584" w:rsidRPr="00663BB9" w:rsidRDefault="00FF2584" w:rsidP="00E4374E">
            <w:pPr>
              <w:shd w:val="clear" w:color="auto" w:fill="FEC0F1" w:themeFill="accent4" w:themeFillTint="33"/>
              <w:spacing w:after="0" w:line="240" w:lineRule="auto"/>
              <w:jc w:val="right"/>
              <w:rPr>
                <w:rFonts w:eastAsia="Times New Roman" w:cstheme="minorHAnsi"/>
                <w:color w:val="000000"/>
                <w:lang w:eastAsia="en-AU"/>
              </w:rPr>
            </w:pPr>
            <w:r w:rsidRPr="00663BB9">
              <w:rPr>
                <w:rFonts w:eastAsia="Times New Roman" w:cstheme="minorHAnsi"/>
                <w:color w:val="000000"/>
                <w:lang w:eastAsia="en-AU"/>
              </w:rPr>
              <w:t>43.66</w:t>
            </w:r>
          </w:p>
        </w:tc>
        <w:tc>
          <w:tcPr>
            <w:tcW w:w="917" w:type="pct"/>
            <w:shd w:val="clear" w:color="auto" w:fill="auto"/>
            <w:noWrap/>
            <w:vAlign w:val="bottom"/>
            <w:hideMark/>
          </w:tcPr>
          <w:p w14:paraId="09898EA7" w14:textId="77777777" w:rsidR="00FF2584" w:rsidRPr="00663BB9" w:rsidRDefault="00FF2584" w:rsidP="00E4374E">
            <w:pPr>
              <w:shd w:val="clear" w:color="auto" w:fill="FEC0F1" w:themeFill="accent4" w:themeFillTint="33"/>
              <w:spacing w:after="0" w:line="240" w:lineRule="auto"/>
              <w:jc w:val="right"/>
              <w:rPr>
                <w:rFonts w:eastAsia="Times New Roman" w:cstheme="minorHAnsi"/>
                <w:color w:val="000000"/>
                <w:lang w:eastAsia="en-AU"/>
              </w:rPr>
            </w:pPr>
            <w:r w:rsidRPr="00663BB9">
              <w:rPr>
                <w:rFonts w:eastAsia="Times New Roman" w:cstheme="minorHAnsi"/>
                <w:color w:val="000000"/>
                <w:lang w:eastAsia="en-AU"/>
              </w:rPr>
              <w:t>30.94</w:t>
            </w:r>
          </w:p>
        </w:tc>
        <w:tc>
          <w:tcPr>
            <w:tcW w:w="1114" w:type="pct"/>
            <w:shd w:val="clear" w:color="auto" w:fill="auto"/>
            <w:noWrap/>
            <w:vAlign w:val="bottom"/>
            <w:hideMark/>
          </w:tcPr>
          <w:p w14:paraId="7D324D25" w14:textId="77777777" w:rsidR="00FF2584" w:rsidRPr="00663BB9" w:rsidRDefault="00FF2584" w:rsidP="00E4374E">
            <w:pPr>
              <w:shd w:val="clear" w:color="auto" w:fill="FEC0F1" w:themeFill="accent4" w:themeFillTint="33"/>
              <w:spacing w:after="0" w:line="240" w:lineRule="auto"/>
              <w:jc w:val="right"/>
              <w:rPr>
                <w:rFonts w:eastAsia="Times New Roman" w:cstheme="minorHAnsi"/>
                <w:color w:val="000000"/>
                <w:lang w:eastAsia="en-AU"/>
              </w:rPr>
            </w:pPr>
            <w:r w:rsidRPr="00663BB9">
              <w:rPr>
                <w:rFonts w:eastAsia="Times New Roman" w:cstheme="minorHAnsi"/>
                <w:color w:val="000000"/>
                <w:lang w:eastAsia="en-AU"/>
              </w:rPr>
              <w:t>39.285758</w:t>
            </w:r>
          </w:p>
        </w:tc>
        <w:tc>
          <w:tcPr>
            <w:tcW w:w="937" w:type="pct"/>
            <w:shd w:val="clear" w:color="auto" w:fill="auto"/>
            <w:noWrap/>
            <w:vAlign w:val="bottom"/>
            <w:hideMark/>
          </w:tcPr>
          <w:p w14:paraId="0DC6724A" w14:textId="77777777" w:rsidR="00FF2584" w:rsidRPr="00663BB9" w:rsidRDefault="00FF2584" w:rsidP="00E4374E">
            <w:pPr>
              <w:shd w:val="clear" w:color="auto" w:fill="FEC0F1" w:themeFill="accent4" w:themeFillTint="33"/>
              <w:spacing w:after="0" w:line="240" w:lineRule="auto"/>
              <w:jc w:val="right"/>
              <w:rPr>
                <w:rFonts w:eastAsia="Times New Roman" w:cstheme="minorHAnsi"/>
                <w:color w:val="000000"/>
                <w:lang w:eastAsia="en-AU"/>
              </w:rPr>
            </w:pPr>
            <w:r w:rsidRPr="00663BB9">
              <w:rPr>
                <w:rFonts w:eastAsia="Times New Roman" w:cstheme="minorHAnsi"/>
                <w:color w:val="000000"/>
                <w:lang w:eastAsia="en-AU"/>
              </w:rPr>
              <w:t>28.022146</w:t>
            </w:r>
          </w:p>
        </w:tc>
      </w:tr>
      <w:tr w:rsidR="00FF2584" w:rsidRPr="00663BB9" w14:paraId="1DD0FC18" w14:textId="77777777" w:rsidTr="002B6645">
        <w:trPr>
          <w:trHeight w:val="397"/>
        </w:trPr>
        <w:tc>
          <w:tcPr>
            <w:tcW w:w="917" w:type="pct"/>
            <w:shd w:val="clear" w:color="auto" w:fill="auto"/>
            <w:vAlign w:val="bottom"/>
            <w:hideMark/>
          </w:tcPr>
          <w:p w14:paraId="5D5DEBF4" w14:textId="77777777" w:rsidR="00FF2584" w:rsidRPr="00663BB9" w:rsidRDefault="00FF2584" w:rsidP="00E4374E">
            <w:pPr>
              <w:shd w:val="clear" w:color="auto" w:fill="FEC0F1" w:themeFill="accent4" w:themeFillTint="33"/>
              <w:spacing w:after="0" w:line="240" w:lineRule="auto"/>
              <w:rPr>
                <w:rFonts w:eastAsia="Times New Roman" w:cstheme="minorHAnsi"/>
                <w:color w:val="000000"/>
                <w:lang w:eastAsia="en-AU"/>
              </w:rPr>
            </w:pPr>
            <w:r w:rsidRPr="00663BB9">
              <w:rPr>
                <w:rFonts w:eastAsia="Times New Roman" w:cstheme="minorHAnsi"/>
                <w:color w:val="000000"/>
                <w:lang w:eastAsia="en-AU"/>
              </w:rPr>
              <w:t>Medium</w:t>
            </w:r>
          </w:p>
        </w:tc>
        <w:tc>
          <w:tcPr>
            <w:tcW w:w="1114" w:type="pct"/>
            <w:shd w:val="clear" w:color="auto" w:fill="auto"/>
            <w:noWrap/>
            <w:vAlign w:val="bottom"/>
            <w:hideMark/>
          </w:tcPr>
          <w:p w14:paraId="7731CCEC" w14:textId="77777777" w:rsidR="00FF2584" w:rsidRPr="00663BB9" w:rsidRDefault="00FF2584" w:rsidP="00E4374E">
            <w:pPr>
              <w:shd w:val="clear" w:color="auto" w:fill="FEC0F1" w:themeFill="accent4" w:themeFillTint="33"/>
              <w:spacing w:after="0" w:line="240" w:lineRule="auto"/>
              <w:jc w:val="right"/>
              <w:rPr>
                <w:rFonts w:eastAsia="Times New Roman" w:cstheme="minorHAnsi"/>
                <w:color w:val="000000"/>
                <w:lang w:eastAsia="en-AU"/>
              </w:rPr>
            </w:pPr>
            <w:r w:rsidRPr="00663BB9">
              <w:rPr>
                <w:rFonts w:eastAsia="Times New Roman" w:cstheme="minorHAnsi"/>
                <w:color w:val="000000"/>
                <w:lang w:eastAsia="en-AU"/>
              </w:rPr>
              <w:t>24.05</w:t>
            </w:r>
          </w:p>
        </w:tc>
        <w:tc>
          <w:tcPr>
            <w:tcW w:w="917" w:type="pct"/>
            <w:shd w:val="clear" w:color="auto" w:fill="auto"/>
            <w:noWrap/>
            <w:vAlign w:val="bottom"/>
            <w:hideMark/>
          </w:tcPr>
          <w:p w14:paraId="4C8F7F68" w14:textId="77777777" w:rsidR="00FF2584" w:rsidRPr="00663BB9" w:rsidRDefault="00FF2584" w:rsidP="00E4374E">
            <w:pPr>
              <w:shd w:val="clear" w:color="auto" w:fill="FEC0F1" w:themeFill="accent4" w:themeFillTint="33"/>
              <w:spacing w:after="0" w:line="240" w:lineRule="auto"/>
              <w:jc w:val="right"/>
              <w:rPr>
                <w:rFonts w:eastAsia="Times New Roman" w:cstheme="minorHAnsi"/>
                <w:color w:val="000000"/>
                <w:lang w:eastAsia="en-AU"/>
              </w:rPr>
            </w:pPr>
            <w:r w:rsidRPr="00663BB9">
              <w:rPr>
                <w:rFonts w:eastAsia="Times New Roman" w:cstheme="minorHAnsi"/>
                <w:color w:val="000000"/>
                <w:lang w:eastAsia="en-AU"/>
              </w:rPr>
              <w:t>22.04</w:t>
            </w:r>
          </w:p>
        </w:tc>
        <w:tc>
          <w:tcPr>
            <w:tcW w:w="1114" w:type="pct"/>
            <w:shd w:val="clear" w:color="auto" w:fill="auto"/>
            <w:noWrap/>
            <w:vAlign w:val="bottom"/>
            <w:hideMark/>
          </w:tcPr>
          <w:p w14:paraId="3817946B" w14:textId="77777777" w:rsidR="00FF2584" w:rsidRPr="00663BB9" w:rsidRDefault="00FF2584" w:rsidP="00E4374E">
            <w:pPr>
              <w:shd w:val="clear" w:color="auto" w:fill="FEC0F1" w:themeFill="accent4" w:themeFillTint="33"/>
              <w:spacing w:after="0" w:line="240" w:lineRule="auto"/>
              <w:jc w:val="right"/>
              <w:rPr>
                <w:rFonts w:eastAsia="Times New Roman" w:cstheme="minorHAnsi"/>
                <w:color w:val="000000"/>
                <w:lang w:eastAsia="en-AU"/>
              </w:rPr>
            </w:pPr>
            <w:r w:rsidRPr="00663BB9">
              <w:rPr>
                <w:rFonts w:eastAsia="Times New Roman" w:cstheme="minorHAnsi"/>
                <w:color w:val="000000"/>
                <w:lang w:eastAsia="en-AU"/>
              </w:rPr>
              <w:t>30.236549</w:t>
            </w:r>
          </w:p>
        </w:tc>
        <w:tc>
          <w:tcPr>
            <w:tcW w:w="937" w:type="pct"/>
            <w:shd w:val="clear" w:color="auto" w:fill="auto"/>
            <w:noWrap/>
            <w:vAlign w:val="bottom"/>
            <w:hideMark/>
          </w:tcPr>
          <w:p w14:paraId="7BA5AC54" w14:textId="77777777" w:rsidR="00FF2584" w:rsidRPr="00663BB9" w:rsidRDefault="00FF2584" w:rsidP="00E4374E">
            <w:pPr>
              <w:shd w:val="clear" w:color="auto" w:fill="FEC0F1" w:themeFill="accent4" w:themeFillTint="33"/>
              <w:spacing w:after="0" w:line="240" w:lineRule="auto"/>
              <w:jc w:val="right"/>
              <w:rPr>
                <w:rFonts w:eastAsia="Times New Roman" w:cstheme="minorHAnsi"/>
                <w:color w:val="000000"/>
                <w:lang w:eastAsia="en-AU"/>
              </w:rPr>
            </w:pPr>
            <w:r w:rsidRPr="00663BB9">
              <w:rPr>
                <w:rFonts w:eastAsia="Times New Roman" w:cstheme="minorHAnsi"/>
                <w:color w:val="000000"/>
                <w:lang w:eastAsia="en-AU"/>
              </w:rPr>
              <w:t>31.33251</w:t>
            </w:r>
          </w:p>
        </w:tc>
      </w:tr>
      <w:tr w:rsidR="00FF2584" w:rsidRPr="00663BB9" w14:paraId="63F6F079" w14:textId="77777777" w:rsidTr="002B6645">
        <w:trPr>
          <w:trHeight w:val="397"/>
        </w:trPr>
        <w:tc>
          <w:tcPr>
            <w:tcW w:w="917" w:type="pct"/>
            <w:shd w:val="clear" w:color="auto" w:fill="auto"/>
            <w:vAlign w:val="bottom"/>
            <w:hideMark/>
          </w:tcPr>
          <w:p w14:paraId="7563D5A5" w14:textId="77777777" w:rsidR="00FF2584" w:rsidRPr="00663BB9" w:rsidRDefault="00FF2584" w:rsidP="00E4374E">
            <w:pPr>
              <w:shd w:val="clear" w:color="auto" w:fill="FEC0F1" w:themeFill="accent4" w:themeFillTint="33"/>
              <w:spacing w:after="0" w:line="240" w:lineRule="auto"/>
              <w:rPr>
                <w:rFonts w:eastAsia="Times New Roman" w:cstheme="minorHAnsi"/>
                <w:color w:val="000000"/>
                <w:lang w:eastAsia="en-AU"/>
              </w:rPr>
            </w:pPr>
            <w:r w:rsidRPr="00663BB9">
              <w:rPr>
                <w:rFonts w:eastAsia="Times New Roman" w:cstheme="minorHAnsi"/>
                <w:color w:val="000000"/>
                <w:lang w:eastAsia="en-AU"/>
              </w:rPr>
              <w:t>Large</w:t>
            </w:r>
          </w:p>
        </w:tc>
        <w:tc>
          <w:tcPr>
            <w:tcW w:w="1114" w:type="pct"/>
            <w:shd w:val="clear" w:color="auto" w:fill="auto"/>
            <w:noWrap/>
            <w:vAlign w:val="bottom"/>
            <w:hideMark/>
          </w:tcPr>
          <w:p w14:paraId="12080C3C" w14:textId="77777777" w:rsidR="00FF2584" w:rsidRPr="00663BB9" w:rsidRDefault="00FF2584" w:rsidP="00E4374E">
            <w:pPr>
              <w:shd w:val="clear" w:color="auto" w:fill="FEC0F1" w:themeFill="accent4" w:themeFillTint="33"/>
              <w:spacing w:after="0" w:line="240" w:lineRule="auto"/>
              <w:jc w:val="right"/>
              <w:rPr>
                <w:rFonts w:eastAsia="Times New Roman" w:cstheme="minorHAnsi"/>
                <w:color w:val="000000"/>
                <w:lang w:eastAsia="en-AU"/>
              </w:rPr>
            </w:pPr>
            <w:r w:rsidRPr="00663BB9">
              <w:rPr>
                <w:rFonts w:eastAsia="Times New Roman" w:cstheme="minorHAnsi"/>
                <w:color w:val="000000"/>
                <w:lang w:eastAsia="en-AU"/>
              </w:rPr>
              <w:t>32.25</w:t>
            </w:r>
          </w:p>
        </w:tc>
        <w:tc>
          <w:tcPr>
            <w:tcW w:w="917" w:type="pct"/>
            <w:shd w:val="clear" w:color="auto" w:fill="auto"/>
            <w:noWrap/>
            <w:vAlign w:val="bottom"/>
            <w:hideMark/>
          </w:tcPr>
          <w:p w14:paraId="59CA25D9" w14:textId="77777777" w:rsidR="00FF2584" w:rsidRPr="00663BB9" w:rsidRDefault="00FF2584" w:rsidP="00E4374E">
            <w:pPr>
              <w:shd w:val="clear" w:color="auto" w:fill="FEC0F1" w:themeFill="accent4" w:themeFillTint="33"/>
              <w:spacing w:after="0" w:line="240" w:lineRule="auto"/>
              <w:jc w:val="right"/>
              <w:rPr>
                <w:rFonts w:eastAsia="Times New Roman" w:cstheme="minorHAnsi"/>
                <w:color w:val="000000"/>
                <w:lang w:eastAsia="en-AU"/>
              </w:rPr>
            </w:pPr>
            <w:r w:rsidRPr="00663BB9">
              <w:rPr>
                <w:rFonts w:eastAsia="Times New Roman" w:cstheme="minorHAnsi"/>
                <w:color w:val="000000"/>
                <w:lang w:eastAsia="en-AU"/>
              </w:rPr>
              <w:t>47.01</w:t>
            </w:r>
          </w:p>
        </w:tc>
        <w:tc>
          <w:tcPr>
            <w:tcW w:w="1114" w:type="pct"/>
            <w:shd w:val="clear" w:color="auto" w:fill="auto"/>
            <w:noWrap/>
            <w:vAlign w:val="bottom"/>
            <w:hideMark/>
          </w:tcPr>
          <w:p w14:paraId="3B1ADDAF" w14:textId="77777777" w:rsidR="00FF2584" w:rsidRPr="00663BB9" w:rsidRDefault="00FF2584" w:rsidP="00E4374E">
            <w:pPr>
              <w:shd w:val="clear" w:color="auto" w:fill="FEC0F1" w:themeFill="accent4" w:themeFillTint="33"/>
              <w:spacing w:after="0" w:line="240" w:lineRule="auto"/>
              <w:jc w:val="right"/>
              <w:rPr>
                <w:rFonts w:eastAsia="Times New Roman" w:cstheme="minorHAnsi"/>
                <w:color w:val="000000"/>
                <w:lang w:eastAsia="en-AU"/>
              </w:rPr>
            </w:pPr>
            <w:r w:rsidRPr="00663BB9">
              <w:rPr>
                <w:rFonts w:eastAsia="Times New Roman" w:cstheme="minorHAnsi"/>
                <w:color w:val="000000"/>
                <w:lang w:eastAsia="en-AU"/>
              </w:rPr>
              <w:t>30.477693</w:t>
            </w:r>
          </w:p>
        </w:tc>
        <w:tc>
          <w:tcPr>
            <w:tcW w:w="937" w:type="pct"/>
            <w:shd w:val="clear" w:color="auto" w:fill="auto"/>
            <w:noWrap/>
            <w:vAlign w:val="bottom"/>
            <w:hideMark/>
          </w:tcPr>
          <w:p w14:paraId="10B752FA" w14:textId="77777777" w:rsidR="00FF2584" w:rsidRPr="00663BB9" w:rsidRDefault="00FF2584" w:rsidP="00E4374E">
            <w:pPr>
              <w:shd w:val="clear" w:color="auto" w:fill="FEC0F1" w:themeFill="accent4" w:themeFillTint="33"/>
              <w:spacing w:after="0" w:line="240" w:lineRule="auto"/>
              <w:jc w:val="right"/>
              <w:rPr>
                <w:rFonts w:eastAsia="Times New Roman" w:cstheme="minorHAnsi"/>
                <w:color w:val="000000"/>
                <w:lang w:eastAsia="en-AU"/>
              </w:rPr>
            </w:pPr>
            <w:r w:rsidRPr="00663BB9">
              <w:rPr>
                <w:rFonts w:eastAsia="Times New Roman" w:cstheme="minorHAnsi"/>
                <w:color w:val="000000"/>
                <w:lang w:eastAsia="en-AU"/>
              </w:rPr>
              <w:t>40.645345</w:t>
            </w:r>
          </w:p>
        </w:tc>
      </w:tr>
    </w:tbl>
    <w:p w14:paraId="004F7094" w14:textId="4CC96D6C" w:rsidR="00A83633" w:rsidRPr="00F30B58" w:rsidRDefault="00A83633" w:rsidP="002B6645">
      <w:pPr>
        <w:spacing w:before="240"/>
      </w:pPr>
      <w:r w:rsidRPr="00F17E2C">
        <w:t>Medium</w:t>
      </w:r>
      <w:r w:rsidR="00C96730">
        <w:t>-</w:t>
      </w:r>
      <w:r w:rsidRPr="00F17E2C">
        <w:t>sized businesses are trying to innovate but are not growing</w:t>
      </w:r>
      <w:bookmarkEnd w:id="60"/>
      <w:bookmarkEnd w:id="61"/>
      <w:r w:rsidR="00683DDA">
        <w:rPr>
          <w:rFonts w:ascii="Calibri" w:eastAsia="Calibri" w:hAnsi="Calibri" w:cs="Times New Roman"/>
        </w:rPr>
        <w:t xml:space="preserve">. </w:t>
      </w:r>
      <w:r w:rsidRPr="00A83633">
        <w:rPr>
          <w:rFonts w:ascii="Calibri" w:eastAsia="Calibri" w:hAnsi="Calibri" w:cs="Times New Roman"/>
        </w:rPr>
        <w:t>Medium</w:t>
      </w:r>
      <w:r w:rsidR="00C96730">
        <w:rPr>
          <w:rFonts w:ascii="Calibri" w:eastAsia="Calibri" w:hAnsi="Calibri" w:cs="Times New Roman"/>
        </w:rPr>
        <w:t>-</w:t>
      </w:r>
      <w:r w:rsidRPr="00A83633">
        <w:rPr>
          <w:rFonts w:ascii="Calibri" w:eastAsia="Calibri" w:hAnsi="Calibri" w:cs="Times New Roman"/>
        </w:rPr>
        <w:t>size</w:t>
      </w:r>
      <w:r w:rsidR="00C96730">
        <w:rPr>
          <w:rFonts w:ascii="Calibri" w:eastAsia="Calibri" w:hAnsi="Calibri" w:cs="Times New Roman"/>
        </w:rPr>
        <w:t>d</w:t>
      </w:r>
      <w:r w:rsidRPr="00A83633">
        <w:rPr>
          <w:rFonts w:ascii="Calibri" w:eastAsia="Calibri" w:hAnsi="Calibri" w:cs="Times New Roman"/>
        </w:rPr>
        <w:t xml:space="preserve"> businesses have the highest rate of innovation-active businesses (at 71%) among Australian businesses of all sizes </w:t>
      </w:r>
      <w:r w:rsidR="00C96730">
        <w:rPr>
          <w:rFonts w:ascii="Segoe UI" w:hAnsi="Segoe UI" w:cs="Segoe UI"/>
          <w:color w:val="414141"/>
          <w:shd w:val="clear" w:color="auto" w:fill="FFFFFF"/>
        </w:rPr>
        <w:t>–</w:t>
      </w:r>
      <w:r w:rsidR="00C96730" w:rsidRPr="00A83633" w:rsidDel="00C96730">
        <w:rPr>
          <w:rFonts w:ascii="Calibri" w:eastAsia="Calibri" w:hAnsi="Calibri" w:cs="Times New Roman"/>
        </w:rPr>
        <w:t xml:space="preserve"> </w:t>
      </w:r>
      <w:r w:rsidRPr="00A83633">
        <w:rPr>
          <w:rFonts w:ascii="Calibri" w:eastAsia="Calibri" w:hAnsi="Calibri" w:cs="Times New Roman"/>
        </w:rPr>
        <w:t>even higher than large businesses.</w:t>
      </w:r>
      <w:r w:rsidR="005A4B37">
        <w:rPr>
          <w:rFonts w:ascii="Calibri" w:eastAsia="Calibri" w:hAnsi="Calibri" w:cs="Times New Roman"/>
        </w:rPr>
        <w:t xml:space="preserve"> </w:t>
      </w:r>
      <w:r w:rsidRPr="00A83633">
        <w:t>Growing medium</w:t>
      </w:r>
      <w:r w:rsidR="00C96730">
        <w:t>-</w:t>
      </w:r>
      <w:r w:rsidRPr="00A83633">
        <w:t>size</w:t>
      </w:r>
      <w:r w:rsidR="00C96730">
        <w:t>d</w:t>
      </w:r>
      <w:r w:rsidRPr="00A83633">
        <w:t xml:space="preserve"> businesses will be critical to the transformation of the industrial base</w:t>
      </w:r>
      <w:r w:rsidR="00F30B58">
        <w:t xml:space="preserve">. </w:t>
      </w:r>
      <w:r w:rsidRPr="00A83633">
        <w:rPr>
          <w:rFonts w:ascii="Calibri" w:eastAsia="Calibri" w:hAnsi="Calibri" w:cs="Times New Roman"/>
        </w:rPr>
        <w:t>Growing medium</w:t>
      </w:r>
      <w:r w:rsidR="00C96730">
        <w:rPr>
          <w:rFonts w:ascii="Calibri" w:eastAsia="Calibri" w:hAnsi="Calibri" w:cs="Times New Roman"/>
        </w:rPr>
        <w:t>-</w:t>
      </w:r>
      <w:r w:rsidRPr="00A83633">
        <w:rPr>
          <w:rFonts w:ascii="Calibri" w:eastAsia="Calibri" w:hAnsi="Calibri" w:cs="Times New Roman"/>
        </w:rPr>
        <w:t xml:space="preserve">sized businesses will have a transformative impact in </w:t>
      </w:r>
      <w:r w:rsidR="00A56FBA" w:rsidRPr="00A83633">
        <w:rPr>
          <w:rFonts w:ascii="Calibri" w:eastAsia="Calibri" w:hAnsi="Calibri" w:cs="Times New Roman"/>
        </w:rPr>
        <w:t>several</w:t>
      </w:r>
      <w:r w:rsidRPr="00A83633">
        <w:rPr>
          <w:rFonts w:ascii="Calibri" w:eastAsia="Calibri" w:hAnsi="Calibri" w:cs="Times New Roman"/>
        </w:rPr>
        <w:t xml:space="preserve"> ways. For example:</w:t>
      </w:r>
    </w:p>
    <w:p w14:paraId="029E8063" w14:textId="33B69A20" w:rsidR="00A83633" w:rsidRPr="00A83633" w:rsidRDefault="00A83633" w:rsidP="00BF05AD">
      <w:pPr>
        <w:numPr>
          <w:ilvl w:val="0"/>
          <w:numId w:val="33"/>
        </w:numPr>
        <w:rPr>
          <w:rFonts w:ascii="Calibri" w:eastAsia="Calibri" w:hAnsi="Calibri" w:cs="Times New Roman"/>
        </w:rPr>
      </w:pPr>
      <w:r w:rsidRPr="00A83633">
        <w:rPr>
          <w:rFonts w:ascii="Calibri" w:eastAsia="Calibri" w:hAnsi="Calibri" w:cs="Times New Roman"/>
        </w:rPr>
        <w:t>Medium</w:t>
      </w:r>
      <w:r w:rsidR="00E53EFC">
        <w:rPr>
          <w:rFonts w:ascii="Calibri" w:eastAsia="Calibri" w:hAnsi="Calibri" w:cs="Times New Roman"/>
        </w:rPr>
        <w:t>-</w:t>
      </w:r>
      <w:r w:rsidRPr="00A83633">
        <w:rPr>
          <w:rFonts w:ascii="Calibri" w:eastAsia="Calibri" w:hAnsi="Calibri" w:cs="Times New Roman"/>
        </w:rPr>
        <w:t>sized businesses are more likely to have in place structures and systems for the accumulation of resources and capabilities, and the absorptive capacity to support collaboration to exploit existing or new market opportunities.</w:t>
      </w:r>
    </w:p>
    <w:p w14:paraId="1CEE5988" w14:textId="7F4393A4" w:rsidR="00A83633" w:rsidRPr="00A83633" w:rsidRDefault="00A83633" w:rsidP="00BF05AD">
      <w:pPr>
        <w:numPr>
          <w:ilvl w:val="0"/>
          <w:numId w:val="33"/>
        </w:numPr>
        <w:rPr>
          <w:rFonts w:ascii="Calibri" w:eastAsia="Calibri" w:hAnsi="Calibri" w:cs="Times New Roman"/>
        </w:rPr>
      </w:pPr>
      <w:r w:rsidRPr="00A83633">
        <w:rPr>
          <w:rFonts w:ascii="Calibri" w:eastAsia="Calibri" w:hAnsi="Calibri" w:cs="Times New Roman"/>
        </w:rPr>
        <w:t>Small businesses may have the need, but not the capability and capacity</w:t>
      </w:r>
      <w:r w:rsidR="0006165C">
        <w:rPr>
          <w:rFonts w:ascii="Calibri" w:eastAsia="Calibri" w:hAnsi="Calibri" w:cs="Times New Roman"/>
        </w:rPr>
        <w:t>,</w:t>
      </w:r>
      <w:r w:rsidRPr="00A83633">
        <w:rPr>
          <w:rFonts w:ascii="Calibri" w:eastAsia="Calibri" w:hAnsi="Calibri" w:cs="Times New Roman"/>
        </w:rPr>
        <w:t xml:space="preserve"> to innovate. More medium</w:t>
      </w:r>
      <w:r w:rsidR="0006165C">
        <w:rPr>
          <w:rFonts w:ascii="Calibri" w:eastAsia="Calibri" w:hAnsi="Calibri" w:cs="Times New Roman"/>
        </w:rPr>
        <w:t>-</w:t>
      </w:r>
      <w:r w:rsidRPr="00A83633">
        <w:rPr>
          <w:rFonts w:ascii="Calibri" w:eastAsia="Calibri" w:hAnsi="Calibri" w:cs="Times New Roman"/>
        </w:rPr>
        <w:t xml:space="preserve">sized businesses will provide adjacent small businesses with a greater source of capabilities to draw upon as they scale. </w:t>
      </w:r>
    </w:p>
    <w:p w14:paraId="24E8E4FF" w14:textId="638A01A2" w:rsidR="005A4B37" w:rsidRPr="00BF05AD" w:rsidRDefault="000120FF" w:rsidP="00BF05AD">
      <w:pPr>
        <w:numPr>
          <w:ilvl w:val="0"/>
          <w:numId w:val="33"/>
        </w:numPr>
        <w:rPr>
          <w:rFonts w:ascii="Calibri" w:eastAsia="Calibri" w:hAnsi="Calibri" w:cs="Times New Roman"/>
        </w:rPr>
      </w:pPr>
      <w:r>
        <w:rPr>
          <w:rFonts w:ascii="Calibri" w:eastAsia="Calibri" w:hAnsi="Calibri" w:cs="Times New Roman"/>
        </w:rPr>
        <w:t>M</w:t>
      </w:r>
      <w:r w:rsidR="00A83633" w:rsidRPr="00A83633">
        <w:rPr>
          <w:rFonts w:ascii="Calibri" w:eastAsia="Calibri" w:hAnsi="Calibri" w:cs="Times New Roman"/>
        </w:rPr>
        <w:t>edium</w:t>
      </w:r>
      <w:r w:rsidR="00735DF8">
        <w:rPr>
          <w:rFonts w:ascii="Calibri" w:eastAsia="Calibri" w:hAnsi="Calibri" w:cs="Times New Roman"/>
        </w:rPr>
        <w:t>-sized</w:t>
      </w:r>
      <w:r w:rsidR="00EE0321">
        <w:rPr>
          <w:rFonts w:ascii="Calibri" w:eastAsia="Calibri" w:hAnsi="Calibri" w:cs="Times New Roman"/>
        </w:rPr>
        <w:t xml:space="preserve"> and </w:t>
      </w:r>
      <w:r w:rsidR="00A83633" w:rsidRPr="00A83633">
        <w:rPr>
          <w:rFonts w:ascii="Calibri" w:eastAsia="Calibri" w:hAnsi="Calibri" w:cs="Times New Roman"/>
        </w:rPr>
        <w:t>large businesses are more likely to operate in bigger domestic and international markets</w:t>
      </w:r>
      <w:r>
        <w:rPr>
          <w:rFonts w:ascii="Calibri" w:eastAsia="Calibri" w:hAnsi="Calibri" w:cs="Times New Roman"/>
        </w:rPr>
        <w:t>. Therefore,</w:t>
      </w:r>
      <w:r w:rsidR="00A83633" w:rsidRPr="00A83633">
        <w:rPr>
          <w:rFonts w:ascii="Calibri" w:eastAsia="Calibri" w:hAnsi="Calibri" w:cs="Times New Roman"/>
        </w:rPr>
        <w:t xml:space="preserve"> small businesses can benefit from collaborating </w:t>
      </w:r>
      <w:r w:rsidR="0045005D">
        <w:rPr>
          <w:rFonts w:ascii="Calibri" w:eastAsia="Calibri" w:hAnsi="Calibri" w:cs="Times New Roman"/>
        </w:rPr>
        <w:t>with medium</w:t>
      </w:r>
      <w:r w:rsidR="00885889">
        <w:rPr>
          <w:rFonts w:ascii="Calibri" w:eastAsia="Calibri" w:hAnsi="Calibri" w:cs="Times New Roman"/>
        </w:rPr>
        <w:noBreakHyphen/>
        <w:t>sized</w:t>
      </w:r>
      <w:r w:rsidR="0045005D">
        <w:rPr>
          <w:rFonts w:ascii="Calibri" w:eastAsia="Calibri" w:hAnsi="Calibri" w:cs="Times New Roman"/>
        </w:rPr>
        <w:t xml:space="preserve"> and large</w:t>
      </w:r>
      <w:r>
        <w:rPr>
          <w:rFonts w:ascii="Calibri" w:eastAsia="Calibri" w:hAnsi="Calibri" w:cs="Times New Roman"/>
        </w:rPr>
        <w:t>-</w:t>
      </w:r>
      <w:r w:rsidR="0045005D">
        <w:rPr>
          <w:rFonts w:ascii="Calibri" w:eastAsia="Calibri" w:hAnsi="Calibri" w:cs="Times New Roman"/>
        </w:rPr>
        <w:t xml:space="preserve">sized </w:t>
      </w:r>
      <w:r w:rsidR="00A83633" w:rsidRPr="00A83633">
        <w:rPr>
          <w:rFonts w:ascii="Calibri" w:eastAsia="Calibri" w:hAnsi="Calibri" w:cs="Times New Roman"/>
        </w:rPr>
        <w:t>partners with business networks and a larger customer base</w:t>
      </w:r>
      <w:r>
        <w:rPr>
          <w:rFonts w:ascii="Calibri" w:eastAsia="Calibri" w:hAnsi="Calibri" w:cs="Times New Roman"/>
        </w:rPr>
        <w:t>. This could</w:t>
      </w:r>
      <w:r w:rsidR="00A83633" w:rsidRPr="00A83633">
        <w:rPr>
          <w:rFonts w:ascii="Calibri" w:eastAsia="Calibri" w:hAnsi="Calibri" w:cs="Times New Roman"/>
        </w:rPr>
        <w:t xml:space="preserve"> enable </w:t>
      </w:r>
      <w:r>
        <w:rPr>
          <w:rFonts w:ascii="Calibri" w:eastAsia="Calibri" w:hAnsi="Calibri" w:cs="Times New Roman"/>
        </w:rPr>
        <w:t>smaller businesses</w:t>
      </w:r>
      <w:r w:rsidR="00A83633" w:rsidRPr="00A83633">
        <w:rPr>
          <w:rFonts w:ascii="Calibri" w:eastAsia="Calibri" w:hAnsi="Calibri" w:cs="Times New Roman"/>
        </w:rPr>
        <w:t xml:space="preserve"> to scale up more rapidly</w:t>
      </w:r>
      <w:r>
        <w:rPr>
          <w:rFonts w:ascii="Calibri" w:eastAsia="Calibri" w:hAnsi="Calibri" w:cs="Times New Roman"/>
        </w:rPr>
        <w:t>,</w:t>
      </w:r>
      <w:r w:rsidR="0045005D">
        <w:rPr>
          <w:rFonts w:ascii="Calibri" w:eastAsia="Calibri" w:hAnsi="Calibri" w:cs="Times New Roman"/>
        </w:rPr>
        <w:t xml:space="preserve"> rather</w:t>
      </w:r>
      <w:r w:rsidR="00A8630A">
        <w:rPr>
          <w:rFonts w:ascii="Calibri" w:eastAsia="Calibri" w:hAnsi="Calibri" w:cs="Times New Roman"/>
        </w:rPr>
        <w:t xml:space="preserve"> </w:t>
      </w:r>
      <w:r w:rsidR="00A83633" w:rsidRPr="00A83633">
        <w:rPr>
          <w:rFonts w:ascii="Calibri" w:eastAsia="Calibri" w:hAnsi="Calibri" w:cs="Times New Roman"/>
        </w:rPr>
        <w:t xml:space="preserve">than </w:t>
      </w:r>
      <w:r w:rsidR="0045005D">
        <w:rPr>
          <w:rFonts w:ascii="Calibri" w:eastAsia="Calibri" w:hAnsi="Calibri" w:cs="Times New Roman"/>
        </w:rPr>
        <w:t>scaling up</w:t>
      </w:r>
      <w:r w:rsidR="0045005D" w:rsidRPr="00A83633">
        <w:rPr>
          <w:rFonts w:ascii="Calibri" w:eastAsia="Calibri" w:hAnsi="Calibri" w:cs="Times New Roman"/>
        </w:rPr>
        <w:t xml:space="preserve"> </w:t>
      </w:r>
      <w:r w:rsidR="00A83633" w:rsidRPr="00A83633">
        <w:rPr>
          <w:rFonts w:ascii="Calibri" w:eastAsia="Calibri" w:hAnsi="Calibri" w:cs="Times New Roman"/>
        </w:rPr>
        <w:t xml:space="preserve">independently. </w:t>
      </w:r>
    </w:p>
    <w:p w14:paraId="093F9334" w14:textId="00EC8A22" w:rsidR="00A83633" w:rsidRPr="00A83633" w:rsidRDefault="00A56FBA" w:rsidP="00BF05AD">
      <w:pPr>
        <w:rPr>
          <w:rFonts w:ascii="Calibri" w:eastAsia="Calibri" w:hAnsi="Calibri" w:cs="Times New Roman"/>
        </w:rPr>
      </w:pPr>
      <w:r>
        <w:rPr>
          <w:rFonts w:ascii="Calibri" w:eastAsia="Calibri" w:hAnsi="Calibri" w:cs="Times New Roman"/>
        </w:rPr>
        <w:t>T</w:t>
      </w:r>
      <w:r w:rsidR="00A83633" w:rsidRPr="00A83633">
        <w:rPr>
          <w:rFonts w:ascii="Calibri" w:eastAsia="Calibri" w:hAnsi="Calibri" w:cs="Times New Roman"/>
        </w:rPr>
        <w:t>he larger the business</w:t>
      </w:r>
      <w:r w:rsidR="0083395F">
        <w:rPr>
          <w:rFonts w:ascii="Calibri" w:eastAsia="Calibri" w:hAnsi="Calibri" w:cs="Times New Roman"/>
        </w:rPr>
        <w:t>,</w:t>
      </w:r>
      <w:r w:rsidR="00A83633" w:rsidRPr="00A83633">
        <w:rPr>
          <w:rFonts w:ascii="Calibri" w:eastAsia="Calibri" w:hAnsi="Calibri" w:cs="Times New Roman"/>
        </w:rPr>
        <w:t xml:space="preserve"> the more likely it is to innovate and export, be digitally active and have higher productivity levels than smaller businesses. Larger businesses also employ more high</w:t>
      </w:r>
      <w:r w:rsidR="0083395F">
        <w:rPr>
          <w:rFonts w:ascii="Calibri" w:eastAsia="Calibri" w:hAnsi="Calibri" w:cs="Times New Roman"/>
        </w:rPr>
        <w:t>-</w:t>
      </w:r>
      <w:r w:rsidR="00A83633" w:rsidRPr="00A83633">
        <w:rPr>
          <w:rFonts w:ascii="Calibri" w:eastAsia="Calibri" w:hAnsi="Calibri" w:cs="Times New Roman"/>
        </w:rPr>
        <w:t>skilled workers and capable managers and pay higher wages. We note that there are few instances of start</w:t>
      </w:r>
      <w:r>
        <w:rPr>
          <w:rFonts w:ascii="Calibri" w:eastAsia="Calibri" w:hAnsi="Calibri" w:cs="Times New Roman"/>
        </w:rPr>
        <w:noBreakHyphen/>
      </w:r>
      <w:r w:rsidR="00A83633" w:rsidRPr="00A83633">
        <w:rPr>
          <w:rFonts w:ascii="Calibri" w:eastAsia="Calibri" w:hAnsi="Calibri" w:cs="Times New Roman"/>
        </w:rPr>
        <w:t xml:space="preserve">ups becoming large businesses. This </w:t>
      </w:r>
      <w:r w:rsidR="00CA52F2">
        <w:rPr>
          <w:rFonts w:ascii="Calibri" w:eastAsia="Calibri" w:hAnsi="Calibri" w:cs="Times New Roman"/>
        </w:rPr>
        <w:t>implies</w:t>
      </w:r>
      <w:r w:rsidR="00CA52F2" w:rsidRPr="00A83633">
        <w:rPr>
          <w:rFonts w:ascii="Calibri" w:eastAsia="Calibri" w:hAnsi="Calibri" w:cs="Times New Roman"/>
        </w:rPr>
        <w:t xml:space="preserve"> </w:t>
      </w:r>
      <w:r w:rsidR="00A83633" w:rsidRPr="00A83633">
        <w:rPr>
          <w:rFonts w:ascii="Calibri" w:eastAsia="Calibri" w:hAnsi="Calibri" w:cs="Times New Roman"/>
        </w:rPr>
        <w:t>a strategic risk for policy that assumes economic transformation based on the success of start-ups.</w:t>
      </w:r>
    </w:p>
    <w:p w14:paraId="66FEEC42" w14:textId="6E557D51" w:rsidR="00A83633" w:rsidRPr="00A83633" w:rsidRDefault="00A83633" w:rsidP="00A83633">
      <w:pPr>
        <w:rPr>
          <w:rFonts w:ascii="Calibri" w:eastAsia="Calibri" w:hAnsi="Calibri" w:cs="Times New Roman"/>
        </w:rPr>
      </w:pPr>
      <w:r w:rsidRPr="00A83633">
        <w:rPr>
          <w:rFonts w:ascii="Calibri" w:eastAsia="Calibri" w:hAnsi="Calibri" w:cs="Times New Roman"/>
        </w:rPr>
        <w:t xml:space="preserve">Academic literature suggests that there is strong correlation between </w:t>
      </w:r>
      <w:r w:rsidR="00F55B13">
        <w:rPr>
          <w:rFonts w:ascii="Calibri" w:eastAsia="Calibri" w:hAnsi="Calibri" w:cs="Times New Roman"/>
        </w:rPr>
        <w:t>business</w:t>
      </w:r>
      <w:r w:rsidR="00F55B13" w:rsidRPr="00A83633">
        <w:rPr>
          <w:rFonts w:ascii="Calibri" w:eastAsia="Calibri" w:hAnsi="Calibri" w:cs="Times New Roman"/>
        </w:rPr>
        <w:t xml:space="preserve"> </w:t>
      </w:r>
      <w:r w:rsidRPr="00A83633">
        <w:rPr>
          <w:rFonts w:ascii="Calibri" w:eastAsia="Calibri" w:hAnsi="Calibri" w:cs="Times New Roman"/>
        </w:rPr>
        <w:t xml:space="preserve">size and capacity to implement innovation. This is mainly attributed to the availability of resources to fund, </w:t>
      </w:r>
      <w:proofErr w:type="gramStart"/>
      <w:r w:rsidR="00A56FBA" w:rsidRPr="00A83633">
        <w:rPr>
          <w:rFonts w:ascii="Calibri" w:eastAsia="Calibri" w:hAnsi="Calibri" w:cs="Times New Roman"/>
        </w:rPr>
        <w:t>manage</w:t>
      </w:r>
      <w:proofErr w:type="gramEnd"/>
      <w:r w:rsidRPr="00A83633">
        <w:rPr>
          <w:rFonts w:ascii="Calibri" w:eastAsia="Calibri" w:hAnsi="Calibri" w:cs="Times New Roman"/>
        </w:rPr>
        <w:t xml:space="preserve"> and execute </w:t>
      </w:r>
      <w:r w:rsidR="00661ACA">
        <w:rPr>
          <w:rFonts w:ascii="Calibri" w:eastAsia="Calibri" w:hAnsi="Calibri" w:cs="Times New Roman"/>
        </w:rPr>
        <w:t>research and development (</w:t>
      </w:r>
      <w:r w:rsidRPr="00A83633">
        <w:rPr>
          <w:rFonts w:ascii="Calibri" w:eastAsia="Calibri" w:hAnsi="Calibri" w:cs="Times New Roman"/>
        </w:rPr>
        <w:t>R&amp;D</w:t>
      </w:r>
      <w:r w:rsidR="00661ACA">
        <w:rPr>
          <w:rFonts w:ascii="Calibri" w:eastAsia="Calibri" w:hAnsi="Calibri" w:cs="Times New Roman"/>
        </w:rPr>
        <w:t>)</w:t>
      </w:r>
      <w:r w:rsidRPr="00A83633">
        <w:rPr>
          <w:rFonts w:ascii="Calibri" w:eastAsia="Calibri" w:hAnsi="Calibri" w:cs="Times New Roman"/>
        </w:rPr>
        <w:t xml:space="preserve"> projects.</w:t>
      </w:r>
      <w:r w:rsidRPr="00A83633">
        <w:rPr>
          <w:rFonts w:ascii="Calibri" w:eastAsia="Calibri" w:hAnsi="Calibri" w:cs="Times New Roman"/>
          <w:vertAlign w:val="superscript"/>
        </w:rPr>
        <w:footnoteReference w:id="31"/>
      </w:r>
    </w:p>
    <w:p w14:paraId="7BBD179E" w14:textId="6822D78A" w:rsidR="00A83633" w:rsidRPr="00A83633" w:rsidRDefault="00A83633" w:rsidP="00A83633">
      <w:pPr>
        <w:rPr>
          <w:rFonts w:ascii="Calibri" w:eastAsia="Calibri" w:hAnsi="Calibri" w:cs="Times New Roman"/>
          <w:lang w:eastAsia="en-AU"/>
        </w:rPr>
      </w:pPr>
      <w:r w:rsidRPr="00A83633">
        <w:rPr>
          <w:rFonts w:ascii="Calibri" w:eastAsia="Calibri" w:hAnsi="Calibri" w:cs="Times New Roman"/>
          <w:lang w:eastAsia="en-AU"/>
        </w:rPr>
        <w:t>While the number of medium</w:t>
      </w:r>
      <w:r w:rsidR="00EB00FE">
        <w:rPr>
          <w:rFonts w:ascii="Calibri" w:eastAsia="Calibri" w:hAnsi="Calibri" w:cs="Times New Roman"/>
          <w:lang w:eastAsia="en-AU"/>
        </w:rPr>
        <w:t>-</w:t>
      </w:r>
      <w:r w:rsidRPr="00A83633">
        <w:rPr>
          <w:rFonts w:ascii="Calibri" w:eastAsia="Calibri" w:hAnsi="Calibri" w:cs="Times New Roman"/>
          <w:lang w:eastAsia="en-AU"/>
        </w:rPr>
        <w:t xml:space="preserve">sized businesses </w:t>
      </w:r>
      <w:r w:rsidR="00EB00FE">
        <w:rPr>
          <w:rFonts w:ascii="Calibri" w:eastAsia="Calibri" w:hAnsi="Calibri" w:cs="Times New Roman"/>
          <w:lang w:eastAsia="en-AU"/>
        </w:rPr>
        <w:t>compared to population</w:t>
      </w:r>
      <w:r w:rsidR="00EB00FE" w:rsidRPr="00A83633">
        <w:rPr>
          <w:rFonts w:ascii="Calibri" w:eastAsia="Calibri" w:hAnsi="Calibri" w:cs="Times New Roman"/>
          <w:lang w:eastAsia="en-AU"/>
        </w:rPr>
        <w:t xml:space="preserve"> </w:t>
      </w:r>
      <w:r w:rsidRPr="00A83633">
        <w:rPr>
          <w:rFonts w:ascii="Calibri" w:eastAsia="Calibri" w:hAnsi="Calibri" w:cs="Times New Roman"/>
          <w:lang w:eastAsia="en-AU"/>
        </w:rPr>
        <w:t xml:space="preserve">is slightly higher </w:t>
      </w:r>
      <w:r w:rsidR="00D6340B">
        <w:rPr>
          <w:rFonts w:ascii="Calibri" w:eastAsia="Calibri" w:hAnsi="Calibri" w:cs="Times New Roman"/>
          <w:lang w:eastAsia="en-AU"/>
        </w:rPr>
        <w:t>than</w:t>
      </w:r>
      <w:r w:rsidR="00D6340B" w:rsidRPr="00A83633">
        <w:rPr>
          <w:rFonts w:ascii="Calibri" w:eastAsia="Calibri" w:hAnsi="Calibri" w:cs="Times New Roman"/>
          <w:lang w:eastAsia="en-AU"/>
        </w:rPr>
        <w:t xml:space="preserve"> </w:t>
      </w:r>
      <w:r w:rsidRPr="00A83633">
        <w:rPr>
          <w:rFonts w:ascii="Calibri" w:eastAsia="Calibri" w:hAnsi="Calibri" w:cs="Times New Roman"/>
          <w:lang w:eastAsia="en-AU"/>
        </w:rPr>
        <w:t>the OECD average</w:t>
      </w:r>
      <w:r w:rsidR="00EB00FE">
        <w:rPr>
          <w:rFonts w:ascii="Calibri" w:eastAsia="Calibri" w:hAnsi="Calibri" w:cs="Times New Roman"/>
          <w:lang w:eastAsia="en-AU"/>
        </w:rPr>
        <w:t>,</w:t>
      </w:r>
      <w:r w:rsidRPr="00A83633">
        <w:rPr>
          <w:rFonts w:ascii="Calibri" w:eastAsia="Calibri" w:hAnsi="Calibri" w:cs="Times New Roman"/>
          <w:vertAlign w:val="superscript"/>
          <w:lang w:eastAsia="en-AU"/>
        </w:rPr>
        <w:footnoteReference w:id="32"/>
      </w:r>
      <w:r w:rsidRPr="00A83633">
        <w:rPr>
          <w:rFonts w:ascii="Calibri" w:eastAsia="Calibri" w:hAnsi="Calibri" w:cs="Times New Roman"/>
          <w:lang w:eastAsia="en-AU"/>
        </w:rPr>
        <w:t xml:space="preserve"> the Australian data on medium</w:t>
      </w:r>
      <w:r w:rsidR="00EB00FE">
        <w:rPr>
          <w:rFonts w:ascii="Calibri" w:eastAsia="Calibri" w:hAnsi="Calibri" w:cs="Times New Roman"/>
          <w:lang w:eastAsia="en-AU"/>
        </w:rPr>
        <w:t>-</w:t>
      </w:r>
      <w:r w:rsidRPr="00A83633">
        <w:rPr>
          <w:rFonts w:ascii="Calibri" w:eastAsia="Calibri" w:hAnsi="Calibri" w:cs="Times New Roman"/>
          <w:lang w:eastAsia="en-AU"/>
        </w:rPr>
        <w:t>sized businesse</w:t>
      </w:r>
      <w:r w:rsidR="00D6340B">
        <w:rPr>
          <w:rFonts w:ascii="Calibri" w:eastAsia="Calibri" w:hAnsi="Calibri" w:cs="Times New Roman"/>
          <w:lang w:eastAsia="en-AU"/>
        </w:rPr>
        <w:t>s</w:t>
      </w:r>
      <w:r w:rsidRPr="00A83633">
        <w:rPr>
          <w:rFonts w:ascii="Calibri" w:eastAsia="Calibri" w:hAnsi="Calibri" w:cs="Times New Roman"/>
          <w:lang w:eastAsia="en-AU"/>
        </w:rPr>
        <w:t xml:space="preserve"> illustrates considerable opportunity for scaled growth that has not been realised.</w:t>
      </w:r>
    </w:p>
    <w:p w14:paraId="64C390AC" w14:textId="1C70A152" w:rsidR="00D6340B" w:rsidRDefault="005A4B37" w:rsidP="00A83633">
      <w:pPr>
        <w:rPr>
          <w:rFonts w:ascii="Calibri" w:eastAsia="Calibri" w:hAnsi="Calibri" w:cs="Times New Roman"/>
          <w:lang w:eastAsia="en-AU"/>
        </w:rPr>
      </w:pPr>
      <w:r>
        <w:rPr>
          <w:rFonts w:ascii="Calibri" w:eastAsia="Calibri" w:hAnsi="Calibri" w:cs="Times New Roman"/>
          <w:lang w:eastAsia="en-AU"/>
        </w:rPr>
        <w:t>M</w:t>
      </w:r>
      <w:r w:rsidR="00A83633" w:rsidRPr="00A83633">
        <w:rPr>
          <w:rFonts w:ascii="Calibri" w:eastAsia="Calibri" w:hAnsi="Calibri" w:cs="Times New Roman"/>
          <w:lang w:eastAsia="en-AU"/>
        </w:rPr>
        <w:t>edium</w:t>
      </w:r>
      <w:r w:rsidR="00EB00FE">
        <w:rPr>
          <w:rFonts w:ascii="Calibri" w:eastAsia="Calibri" w:hAnsi="Calibri" w:cs="Times New Roman"/>
          <w:lang w:eastAsia="en-AU"/>
        </w:rPr>
        <w:t>-</w:t>
      </w:r>
      <w:r w:rsidR="00A83633" w:rsidRPr="00A83633">
        <w:rPr>
          <w:rFonts w:ascii="Calibri" w:eastAsia="Calibri" w:hAnsi="Calibri" w:cs="Times New Roman"/>
          <w:lang w:eastAsia="en-AU"/>
        </w:rPr>
        <w:t xml:space="preserve">sized businesses in Australia </w:t>
      </w:r>
      <w:r w:rsidR="0076618F">
        <w:rPr>
          <w:rFonts w:ascii="Calibri" w:eastAsia="Calibri" w:hAnsi="Calibri" w:cs="Times New Roman"/>
          <w:lang w:eastAsia="en-AU"/>
        </w:rPr>
        <w:t>face difficulties growing</w:t>
      </w:r>
      <w:r w:rsidR="00A83633" w:rsidRPr="00A83633">
        <w:rPr>
          <w:rFonts w:ascii="Calibri" w:eastAsia="Calibri" w:hAnsi="Calibri" w:cs="Times New Roman"/>
          <w:lang w:eastAsia="en-AU"/>
        </w:rPr>
        <w:t xml:space="preserve"> into large businesses. This is captured by Mark</w:t>
      </w:r>
      <w:r w:rsidR="00D6340B">
        <w:rPr>
          <w:rFonts w:ascii="Calibri" w:eastAsia="Calibri" w:hAnsi="Calibri" w:cs="Times New Roman"/>
          <w:lang w:eastAsia="en-AU"/>
        </w:rPr>
        <w:t> </w:t>
      </w:r>
      <w:r w:rsidR="00A83633" w:rsidRPr="00A83633">
        <w:rPr>
          <w:rFonts w:ascii="Calibri" w:eastAsia="Calibri" w:hAnsi="Calibri" w:cs="Times New Roman"/>
          <w:lang w:eastAsia="en-AU"/>
        </w:rPr>
        <w:t xml:space="preserve">Cully, former chief economist of </w:t>
      </w:r>
      <w:r w:rsidR="00011360">
        <w:rPr>
          <w:rFonts w:ascii="Calibri" w:eastAsia="Calibri" w:hAnsi="Calibri" w:cs="Times New Roman"/>
          <w:lang w:eastAsia="en-AU"/>
        </w:rPr>
        <w:t>the Department of Industry, Science and Resources (</w:t>
      </w:r>
      <w:r w:rsidR="00A83633" w:rsidRPr="00A83633">
        <w:rPr>
          <w:rFonts w:ascii="Calibri" w:eastAsia="Calibri" w:hAnsi="Calibri" w:cs="Times New Roman"/>
          <w:lang w:eastAsia="en-AU"/>
        </w:rPr>
        <w:t>DISR</w:t>
      </w:r>
      <w:r w:rsidR="00011360">
        <w:rPr>
          <w:rFonts w:ascii="Calibri" w:eastAsia="Calibri" w:hAnsi="Calibri" w:cs="Times New Roman"/>
          <w:lang w:eastAsia="en-AU"/>
        </w:rPr>
        <w:t>)</w:t>
      </w:r>
      <w:r w:rsidR="00D6340B">
        <w:rPr>
          <w:rFonts w:ascii="Calibri" w:eastAsia="Calibri" w:hAnsi="Calibri" w:cs="Times New Roman"/>
          <w:lang w:eastAsia="en-AU"/>
        </w:rPr>
        <w:t>,</w:t>
      </w:r>
      <w:r w:rsidR="00A83633" w:rsidRPr="00A83633">
        <w:rPr>
          <w:rFonts w:ascii="Calibri" w:eastAsia="Calibri" w:hAnsi="Calibri" w:cs="Times New Roman"/>
          <w:lang w:eastAsia="en-AU"/>
        </w:rPr>
        <w:t xml:space="preserve"> in his paper </w:t>
      </w:r>
      <w:r w:rsidR="00A83633" w:rsidRPr="00A83633">
        <w:rPr>
          <w:rFonts w:ascii="Calibri" w:eastAsia="Calibri" w:hAnsi="Calibri" w:cs="Times New Roman"/>
          <w:i/>
          <w:iCs/>
          <w:lang w:eastAsia="en-AU"/>
        </w:rPr>
        <w:t>Stuck in the Middle</w:t>
      </w:r>
      <w:r w:rsidR="00A83633" w:rsidRPr="00A83633">
        <w:rPr>
          <w:rFonts w:ascii="Calibri" w:eastAsia="Calibri" w:hAnsi="Calibri" w:cs="Times New Roman"/>
          <w:lang w:eastAsia="en-AU"/>
        </w:rPr>
        <w:t xml:space="preserve"> analysing pre-COVID data.</w:t>
      </w:r>
      <w:r w:rsidR="00A83633" w:rsidRPr="00A83633">
        <w:rPr>
          <w:rFonts w:ascii="Calibri" w:eastAsia="Calibri" w:hAnsi="Calibri" w:cs="Times New Roman"/>
          <w:vertAlign w:val="superscript"/>
          <w:lang w:eastAsia="en-AU"/>
        </w:rPr>
        <w:footnoteReference w:id="33"/>
      </w:r>
      <w:r w:rsidR="00A83633" w:rsidRPr="00A83633">
        <w:rPr>
          <w:rFonts w:ascii="Calibri" w:eastAsia="Calibri" w:hAnsi="Calibri" w:cs="Times New Roman"/>
          <w:lang w:eastAsia="en-AU"/>
        </w:rPr>
        <w:t xml:space="preserve"> Since then, growth has become even more difficult for medium</w:t>
      </w:r>
      <w:r w:rsidR="00AD0DED">
        <w:rPr>
          <w:rFonts w:ascii="Calibri" w:eastAsia="Calibri" w:hAnsi="Calibri" w:cs="Times New Roman"/>
          <w:lang w:eastAsia="en-AU"/>
        </w:rPr>
        <w:t>-</w:t>
      </w:r>
      <w:r w:rsidR="00A83633" w:rsidRPr="00A83633">
        <w:rPr>
          <w:rFonts w:ascii="Calibri" w:eastAsia="Calibri" w:hAnsi="Calibri" w:cs="Times New Roman"/>
          <w:lang w:eastAsia="en-AU"/>
        </w:rPr>
        <w:t xml:space="preserve">sized businesses. </w:t>
      </w:r>
      <w:r w:rsidR="00D6340B">
        <w:rPr>
          <w:rFonts w:ascii="Calibri" w:eastAsia="Calibri" w:hAnsi="Calibri" w:cs="Times New Roman"/>
          <w:lang w:eastAsia="en-AU"/>
        </w:rPr>
        <w:t xml:space="preserve">Based on </w:t>
      </w:r>
      <w:r w:rsidR="00C93546">
        <w:rPr>
          <w:rFonts w:ascii="Calibri" w:eastAsia="Calibri" w:hAnsi="Calibri" w:cs="Times New Roman"/>
          <w:lang w:eastAsia="en-AU"/>
        </w:rPr>
        <w:t>Australian Bureau of Statistics (</w:t>
      </w:r>
      <w:r w:rsidR="00A83633" w:rsidRPr="00A83633">
        <w:rPr>
          <w:rFonts w:ascii="Calibri" w:eastAsia="Calibri" w:hAnsi="Calibri" w:cs="Times New Roman"/>
          <w:lang w:eastAsia="en-AU"/>
        </w:rPr>
        <w:t>ABS</w:t>
      </w:r>
      <w:r w:rsidR="00C93546">
        <w:rPr>
          <w:rFonts w:ascii="Calibri" w:eastAsia="Calibri" w:hAnsi="Calibri" w:cs="Times New Roman"/>
          <w:lang w:eastAsia="en-AU"/>
        </w:rPr>
        <w:t>)</w:t>
      </w:r>
      <w:r w:rsidR="00A83633" w:rsidRPr="00A83633">
        <w:rPr>
          <w:rFonts w:ascii="Calibri" w:eastAsia="Calibri" w:hAnsi="Calibri" w:cs="Times New Roman"/>
          <w:lang w:eastAsia="en-AU"/>
        </w:rPr>
        <w:t xml:space="preserve"> data</w:t>
      </w:r>
      <w:r w:rsidR="00D6340B">
        <w:rPr>
          <w:rFonts w:ascii="Calibri" w:eastAsia="Calibri" w:hAnsi="Calibri" w:cs="Times New Roman"/>
          <w:lang w:eastAsia="en-AU"/>
        </w:rPr>
        <w:t>, of</w:t>
      </w:r>
      <w:r w:rsidR="00A83633" w:rsidRPr="00A83633">
        <w:rPr>
          <w:rFonts w:ascii="Calibri" w:eastAsia="Calibri" w:hAnsi="Calibri" w:cs="Times New Roman"/>
          <w:lang w:eastAsia="en-AU"/>
        </w:rPr>
        <w:t xml:space="preserve"> the 56,252 medium</w:t>
      </w:r>
      <w:r w:rsidR="00AD0DED">
        <w:rPr>
          <w:rFonts w:ascii="Calibri" w:eastAsia="Calibri" w:hAnsi="Calibri" w:cs="Times New Roman"/>
          <w:lang w:eastAsia="en-AU"/>
        </w:rPr>
        <w:t>-</w:t>
      </w:r>
      <w:r w:rsidR="00A83633" w:rsidRPr="00A83633">
        <w:rPr>
          <w:rFonts w:ascii="Calibri" w:eastAsia="Calibri" w:hAnsi="Calibri" w:cs="Times New Roman"/>
          <w:lang w:eastAsia="en-AU"/>
        </w:rPr>
        <w:t xml:space="preserve">sized businesses operating at the start of </w:t>
      </w:r>
      <w:r w:rsidR="00651A4F">
        <w:rPr>
          <w:rFonts w:ascii="Calibri" w:eastAsia="Calibri" w:hAnsi="Calibri" w:cs="Times New Roman"/>
          <w:lang w:eastAsia="en-AU"/>
        </w:rPr>
        <w:t>FY</w:t>
      </w:r>
      <w:r w:rsidR="00A83633" w:rsidRPr="00A83633">
        <w:rPr>
          <w:rFonts w:ascii="Calibri" w:eastAsia="Calibri" w:hAnsi="Calibri" w:cs="Times New Roman"/>
          <w:lang w:eastAsia="en-AU"/>
        </w:rPr>
        <w:t>2020-21</w:t>
      </w:r>
      <w:r w:rsidR="00D6340B">
        <w:rPr>
          <w:rFonts w:ascii="Calibri" w:eastAsia="Calibri" w:hAnsi="Calibri" w:cs="Times New Roman"/>
          <w:lang w:eastAsia="en-AU"/>
        </w:rPr>
        <w:t>:</w:t>
      </w:r>
    </w:p>
    <w:p w14:paraId="71280440" w14:textId="404E1404" w:rsidR="00D6340B" w:rsidRDefault="00A83633" w:rsidP="009347C2">
      <w:pPr>
        <w:pStyle w:val="ListParagraph"/>
        <w:numPr>
          <w:ilvl w:val="0"/>
          <w:numId w:val="34"/>
        </w:numPr>
        <w:ind w:left="357" w:hanging="357"/>
        <w:contextualSpacing w:val="0"/>
        <w:rPr>
          <w:rFonts w:ascii="Calibri" w:eastAsia="Calibri" w:hAnsi="Calibri" w:cs="Times New Roman"/>
          <w:lang w:eastAsia="en-AU"/>
        </w:rPr>
      </w:pPr>
      <w:r w:rsidRPr="00D53494">
        <w:rPr>
          <w:rFonts w:ascii="Calibri" w:eastAsia="Calibri" w:hAnsi="Calibri" w:cs="Times New Roman"/>
          <w:lang w:eastAsia="en-AU"/>
        </w:rPr>
        <w:t>79</w:t>
      </w:r>
      <w:r w:rsidR="00AE4DAF">
        <w:rPr>
          <w:rFonts w:ascii="Calibri" w:eastAsia="Calibri" w:hAnsi="Calibri" w:cs="Times New Roman"/>
          <w:lang w:eastAsia="en-AU"/>
        </w:rPr>
        <w:t>.0</w:t>
      </w:r>
      <w:r w:rsidRPr="00D53494">
        <w:rPr>
          <w:rFonts w:ascii="Calibri" w:eastAsia="Calibri" w:hAnsi="Calibri" w:cs="Times New Roman"/>
          <w:lang w:eastAsia="en-AU"/>
        </w:rPr>
        <w:t xml:space="preserve">% </w:t>
      </w:r>
      <w:r w:rsidR="00AE4DAF">
        <w:rPr>
          <w:rFonts w:ascii="Calibri" w:eastAsia="Calibri" w:hAnsi="Calibri" w:cs="Times New Roman"/>
          <w:lang w:eastAsia="en-AU"/>
        </w:rPr>
        <w:t>(44,439 businesses)</w:t>
      </w:r>
      <w:r w:rsidRPr="00D53494">
        <w:rPr>
          <w:rFonts w:ascii="Calibri" w:eastAsia="Calibri" w:hAnsi="Calibri" w:cs="Times New Roman"/>
          <w:lang w:eastAsia="en-AU"/>
        </w:rPr>
        <w:t xml:space="preserve"> stayed as medium</w:t>
      </w:r>
      <w:r w:rsidR="00735DF8">
        <w:rPr>
          <w:rFonts w:ascii="Calibri" w:eastAsia="Calibri" w:hAnsi="Calibri" w:cs="Times New Roman"/>
          <w:lang w:eastAsia="en-AU"/>
        </w:rPr>
        <w:t>-</w:t>
      </w:r>
      <w:r w:rsidRPr="00D53494">
        <w:rPr>
          <w:rFonts w:ascii="Calibri" w:eastAsia="Calibri" w:hAnsi="Calibri" w:cs="Times New Roman"/>
          <w:lang w:eastAsia="en-AU"/>
        </w:rPr>
        <w:t xml:space="preserve">sized </w:t>
      </w:r>
      <w:proofErr w:type="gramStart"/>
      <w:r w:rsidR="0073612C" w:rsidRPr="00D53494">
        <w:rPr>
          <w:rFonts w:ascii="Calibri" w:eastAsia="Calibri" w:hAnsi="Calibri" w:cs="Times New Roman"/>
          <w:lang w:eastAsia="en-AU"/>
        </w:rPr>
        <w:t>businesses</w:t>
      </w:r>
      <w:r w:rsidR="001603FD">
        <w:rPr>
          <w:rFonts w:ascii="Calibri" w:eastAsia="Calibri" w:hAnsi="Calibri" w:cs="Times New Roman"/>
          <w:lang w:eastAsia="en-AU"/>
        </w:rPr>
        <w:t>;</w:t>
      </w:r>
      <w:proofErr w:type="gramEnd"/>
    </w:p>
    <w:p w14:paraId="38D29C5B" w14:textId="7AE28B39" w:rsidR="00D6340B" w:rsidRDefault="007E6EC4" w:rsidP="009347C2">
      <w:pPr>
        <w:pStyle w:val="ListParagraph"/>
        <w:numPr>
          <w:ilvl w:val="0"/>
          <w:numId w:val="34"/>
        </w:numPr>
        <w:ind w:left="357" w:hanging="357"/>
        <w:contextualSpacing w:val="0"/>
        <w:rPr>
          <w:rFonts w:ascii="Calibri" w:eastAsia="Calibri" w:hAnsi="Calibri" w:cs="Times New Roman"/>
          <w:lang w:eastAsia="en-AU"/>
        </w:rPr>
      </w:pPr>
      <w:r>
        <w:rPr>
          <w:rFonts w:ascii="Calibri" w:eastAsia="Calibri" w:hAnsi="Calibri" w:cs="Times New Roman"/>
          <w:lang w:eastAsia="en-AU"/>
        </w:rPr>
        <w:t>0.6% (</w:t>
      </w:r>
      <w:r w:rsidR="00A83633" w:rsidRPr="00D53494">
        <w:rPr>
          <w:rFonts w:ascii="Calibri" w:eastAsia="Calibri" w:hAnsi="Calibri" w:cs="Times New Roman"/>
          <w:lang w:eastAsia="en-AU"/>
        </w:rPr>
        <w:t>375 businesses</w:t>
      </w:r>
      <w:r>
        <w:rPr>
          <w:rFonts w:ascii="Calibri" w:eastAsia="Calibri" w:hAnsi="Calibri" w:cs="Times New Roman"/>
          <w:lang w:eastAsia="en-AU"/>
        </w:rPr>
        <w:t>)</w:t>
      </w:r>
      <w:r w:rsidR="00A83633" w:rsidRPr="00D53494">
        <w:rPr>
          <w:rFonts w:ascii="Calibri" w:eastAsia="Calibri" w:hAnsi="Calibri" w:cs="Times New Roman"/>
          <w:lang w:eastAsia="en-AU"/>
        </w:rPr>
        <w:t xml:space="preserve"> grew to a large business</w:t>
      </w:r>
      <w:r w:rsidR="001603FD">
        <w:rPr>
          <w:rFonts w:ascii="Calibri" w:eastAsia="Calibri" w:hAnsi="Calibri" w:cs="Times New Roman"/>
          <w:lang w:eastAsia="en-AU"/>
        </w:rPr>
        <w:t>;</w:t>
      </w:r>
      <w:r w:rsidR="00A83633" w:rsidRPr="00D53494">
        <w:rPr>
          <w:rFonts w:ascii="Calibri" w:eastAsia="Calibri" w:hAnsi="Calibri" w:cs="Times New Roman"/>
          <w:lang w:eastAsia="en-AU"/>
        </w:rPr>
        <w:t xml:space="preserve"> and </w:t>
      </w:r>
    </w:p>
    <w:p w14:paraId="4812F523" w14:textId="550F9CEB" w:rsidR="00D6340B" w:rsidRDefault="00AE4DAF" w:rsidP="00D6340B">
      <w:pPr>
        <w:pStyle w:val="ListParagraph"/>
        <w:numPr>
          <w:ilvl w:val="0"/>
          <w:numId w:val="34"/>
        </w:numPr>
        <w:rPr>
          <w:rFonts w:ascii="Calibri" w:eastAsia="Calibri" w:hAnsi="Calibri" w:cs="Times New Roman"/>
          <w:lang w:eastAsia="en-AU"/>
        </w:rPr>
      </w:pPr>
      <w:r>
        <w:rPr>
          <w:rFonts w:ascii="Calibri" w:eastAsia="Calibri" w:hAnsi="Calibri" w:cs="Times New Roman"/>
          <w:lang w:eastAsia="en-AU"/>
        </w:rPr>
        <w:t>17.5% (</w:t>
      </w:r>
      <w:r w:rsidR="00A83633" w:rsidRPr="00D53494">
        <w:rPr>
          <w:rFonts w:ascii="Calibri" w:eastAsia="Calibri" w:hAnsi="Calibri" w:cs="Times New Roman"/>
          <w:lang w:eastAsia="en-AU"/>
        </w:rPr>
        <w:t>9,877 businesses</w:t>
      </w:r>
      <w:r>
        <w:rPr>
          <w:rFonts w:ascii="Calibri" w:eastAsia="Calibri" w:hAnsi="Calibri" w:cs="Times New Roman"/>
          <w:lang w:eastAsia="en-AU"/>
        </w:rPr>
        <w:t>)</w:t>
      </w:r>
      <w:r w:rsidR="00A83633" w:rsidRPr="00D53494">
        <w:rPr>
          <w:rFonts w:ascii="Calibri" w:eastAsia="Calibri" w:hAnsi="Calibri" w:cs="Times New Roman"/>
          <w:lang w:eastAsia="en-AU"/>
        </w:rPr>
        <w:t xml:space="preserve"> sh</w:t>
      </w:r>
      <w:r w:rsidR="00D6340B">
        <w:rPr>
          <w:rFonts w:ascii="Calibri" w:eastAsia="Calibri" w:hAnsi="Calibri" w:cs="Times New Roman"/>
          <w:lang w:eastAsia="en-AU"/>
        </w:rPr>
        <w:t>rank</w:t>
      </w:r>
      <w:r w:rsidR="00A83633" w:rsidRPr="00AC16C7">
        <w:rPr>
          <w:rFonts w:ascii="Calibri" w:eastAsia="Calibri" w:hAnsi="Calibri" w:cs="Times New Roman"/>
          <w:lang w:eastAsia="en-AU"/>
        </w:rPr>
        <w:t xml:space="preserve"> to smaller-sized businesses. </w:t>
      </w:r>
    </w:p>
    <w:p w14:paraId="5143C863" w14:textId="5E1101FA" w:rsidR="00A83633" w:rsidRPr="00D53494" w:rsidRDefault="00A83633" w:rsidP="00D6340B">
      <w:pPr>
        <w:rPr>
          <w:rFonts w:ascii="Calibri" w:eastAsia="Calibri" w:hAnsi="Calibri" w:cs="Times New Roman"/>
          <w:lang w:eastAsia="en-AU"/>
        </w:rPr>
      </w:pPr>
      <w:r w:rsidRPr="00D53494">
        <w:rPr>
          <w:rFonts w:ascii="Calibri" w:eastAsia="Calibri" w:hAnsi="Calibri" w:cs="Times New Roman"/>
          <w:lang w:eastAsia="en-AU"/>
        </w:rPr>
        <w:t>In other words, the ratio of shrinkers to growers in the FY2020</w:t>
      </w:r>
      <w:r w:rsidR="00AD0DED">
        <w:rPr>
          <w:rFonts w:ascii="Segoe UI" w:hAnsi="Segoe UI" w:cs="Segoe UI"/>
          <w:color w:val="414141"/>
          <w:shd w:val="clear" w:color="auto" w:fill="FFFFFF"/>
        </w:rPr>
        <w:t>–</w:t>
      </w:r>
      <w:r w:rsidRPr="00D53494">
        <w:rPr>
          <w:rFonts w:ascii="Calibri" w:eastAsia="Calibri" w:hAnsi="Calibri" w:cs="Times New Roman"/>
          <w:lang w:eastAsia="en-AU"/>
        </w:rPr>
        <w:t xml:space="preserve">21 was roughly 26:1 compared to 20:1 in </w:t>
      </w:r>
      <w:r w:rsidR="00FC5789">
        <w:rPr>
          <w:rFonts w:ascii="Calibri" w:eastAsia="Calibri" w:hAnsi="Calibri" w:cs="Times New Roman"/>
          <w:lang w:eastAsia="en-AU"/>
        </w:rPr>
        <w:t>FY</w:t>
      </w:r>
      <w:r w:rsidRPr="00D53494">
        <w:rPr>
          <w:rFonts w:ascii="Calibri" w:eastAsia="Calibri" w:hAnsi="Calibri" w:cs="Times New Roman"/>
          <w:lang w:eastAsia="en-AU"/>
        </w:rPr>
        <w:t>2016</w:t>
      </w:r>
      <w:r w:rsidR="00AD0DED">
        <w:rPr>
          <w:rFonts w:ascii="Segoe UI" w:hAnsi="Segoe UI" w:cs="Segoe UI"/>
          <w:color w:val="414141"/>
          <w:shd w:val="clear" w:color="auto" w:fill="FFFFFF"/>
        </w:rPr>
        <w:t>–</w:t>
      </w:r>
      <w:r w:rsidRPr="00D53494">
        <w:rPr>
          <w:rFonts w:ascii="Calibri" w:eastAsia="Calibri" w:hAnsi="Calibri" w:cs="Times New Roman"/>
          <w:lang w:eastAsia="en-AU"/>
        </w:rPr>
        <w:t>17</w:t>
      </w:r>
      <w:r w:rsidR="00FC5789">
        <w:rPr>
          <w:rFonts w:ascii="Calibri" w:eastAsia="Calibri" w:hAnsi="Calibri" w:cs="Times New Roman"/>
          <w:lang w:eastAsia="en-AU"/>
        </w:rPr>
        <w:t xml:space="preserve"> and 15:1 in FY2017</w:t>
      </w:r>
      <w:r w:rsidR="00AD0DED">
        <w:rPr>
          <w:rFonts w:ascii="Segoe UI" w:hAnsi="Segoe UI" w:cs="Segoe UI"/>
          <w:color w:val="414141"/>
          <w:shd w:val="clear" w:color="auto" w:fill="FFFFFF"/>
        </w:rPr>
        <w:t>–</w:t>
      </w:r>
      <w:r w:rsidR="00FC5789">
        <w:rPr>
          <w:rFonts w:ascii="Calibri" w:eastAsia="Calibri" w:hAnsi="Calibri" w:cs="Times New Roman"/>
          <w:lang w:eastAsia="en-AU"/>
        </w:rPr>
        <w:t>18</w:t>
      </w:r>
      <w:r w:rsidRPr="00D53494">
        <w:rPr>
          <w:rFonts w:ascii="Calibri" w:eastAsia="Calibri" w:hAnsi="Calibri" w:cs="Times New Roman"/>
          <w:lang w:eastAsia="en-AU"/>
        </w:rPr>
        <w:t>.</w:t>
      </w:r>
      <w:r w:rsidR="0048237C">
        <w:rPr>
          <w:rStyle w:val="FootnoteReference"/>
          <w:rFonts w:ascii="Calibri" w:eastAsia="Calibri" w:hAnsi="Calibri" w:cs="Times New Roman"/>
          <w:lang w:eastAsia="en-AU"/>
        </w:rPr>
        <w:footnoteReference w:id="34"/>
      </w:r>
      <w:r w:rsidRPr="00D53494">
        <w:rPr>
          <w:rFonts w:ascii="Calibri" w:eastAsia="Calibri" w:hAnsi="Calibri" w:cs="Times New Roman"/>
          <w:lang w:eastAsia="en-AU"/>
        </w:rPr>
        <w:t xml:space="preserve"> </w:t>
      </w:r>
    </w:p>
    <w:p w14:paraId="306B606C" w14:textId="204C5110" w:rsidR="00A83633" w:rsidRPr="00A83633" w:rsidRDefault="00A83633" w:rsidP="00A83633">
      <w:pPr>
        <w:rPr>
          <w:rFonts w:ascii="Calibri" w:eastAsia="Calibri" w:hAnsi="Calibri" w:cs="Times New Roman"/>
          <w:lang w:eastAsia="en-AU"/>
        </w:rPr>
      </w:pPr>
      <w:r w:rsidRPr="00A83633">
        <w:rPr>
          <w:rFonts w:ascii="Calibri" w:eastAsia="Calibri" w:hAnsi="Calibri" w:cs="Times New Roman"/>
          <w:lang w:eastAsia="en-AU"/>
        </w:rPr>
        <w:t xml:space="preserve">Some of the characteristics of </w:t>
      </w:r>
      <w:r w:rsidR="00DA4D05">
        <w:rPr>
          <w:rFonts w:ascii="Calibri" w:eastAsia="Calibri" w:hAnsi="Calibri" w:cs="Times New Roman"/>
          <w:lang w:eastAsia="en-AU"/>
        </w:rPr>
        <w:t>medium</w:t>
      </w:r>
      <w:r w:rsidRPr="00A83633">
        <w:rPr>
          <w:rFonts w:ascii="Calibri" w:eastAsia="Calibri" w:hAnsi="Calibri" w:cs="Times New Roman"/>
          <w:lang w:eastAsia="en-AU"/>
        </w:rPr>
        <w:t>-sized business are illustrated below:</w:t>
      </w:r>
    </w:p>
    <w:p w14:paraId="225EDCA3" w14:textId="6EACF55A" w:rsidR="00A83633" w:rsidRPr="00A83633" w:rsidRDefault="00DA4D05" w:rsidP="009347C2">
      <w:pPr>
        <w:pStyle w:val="ListParagraph"/>
        <w:numPr>
          <w:ilvl w:val="0"/>
          <w:numId w:val="34"/>
        </w:numPr>
        <w:ind w:left="357" w:hanging="357"/>
        <w:contextualSpacing w:val="0"/>
        <w:rPr>
          <w:rFonts w:ascii="Calibri" w:eastAsia="Calibri" w:hAnsi="Calibri" w:cs="Times New Roman"/>
          <w:lang w:eastAsia="en-AU"/>
        </w:rPr>
      </w:pPr>
      <w:r>
        <w:rPr>
          <w:rFonts w:ascii="Calibri" w:eastAsia="Calibri" w:hAnsi="Calibri" w:cs="Times New Roman"/>
          <w:lang w:eastAsia="en-AU"/>
        </w:rPr>
        <w:t>Medium</w:t>
      </w:r>
      <w:r w:rsidR="00A83633" w:rsidRPr="00A83633">
        <w:rPr>
          <w:rFonts w:ascii="Calibri" w:eastAsia="Calibri" w:hAnsi="Calibri" w:cs="Times New Roman"/>
          <w:lang w:eastAsia="en-AU"/>
        </w:rPr>
        <w:t xml:space="preserve">-sized businesses have the highest rate of innovation-active businesses (at 71%) among Australian businesses of all sizes </w:t>
      </w:r>
      <w:r w:rsidR="006B2180">
        <w:rPr>
          <w:rFonts w:ascii="Segoe UI" w:hAnsi="Segoe UI" w:cs="Segoe UI"/>
          <w:color w:val="414141"/>
          <w:shd w:val="clear" w:color="auto" w:fill="FFFFFF"/>
        </w:rPr>
        <w:t>–</w:t>
      </w:r>
      <w:r w:rsidR="006B2180" w:rsidRPr="00A83633" w:rsidDel="006B2180">
        <w:rPr>
          <w:rFonts w:ascii="Calibri" w:eastAsia="Calibri" w:hAnsi="Calibri" w:cs="Times New Roman"/>
          <w:lang w:eastAsia="en-AU"/>
        </w:rPr>
        <w:t xml:space="preserve"> </w:t>
      </w:r>
      <w:r w:rsidR="00A83633" w:rsidRPr="00A83633">
        <w:rPr>
          <w:rFonts w:ascii="Calibri" w:eastAsia="Calibri" w:hAnsi="Calibri" w:cs="Times New Roman"/>
          <w:lang w:eastAsia="en-AU"/>
        </w:rPr>
        <w:t xml:space="preserve">even higher than large businesses. However, this is not </w:t>
      </w:r>
      <w:r w:rsidR="006B2180">
        <w:rPr>
          <w:rFonts w:ascii="Calibri" w:eastAsia="Calibri" w:hAnsi="Calibri" w:cs="Times New Roman"/>
          <w:lang w:eastAsia="en-AU"/>
        </w:rPr>
        <w:t>the case</w:t>
      </w:r>
      <w:r w:rsidR="006B2180" w:rsidRPr="00A83633">
        <w:rPr>
          <w:rFonts w:ascii="Calibri" w:eastAsia="Calibri" w:hAnsi="Calibri" w:cs="Times New Roman"/>
          <w:lang w:eastAsia="en-AU"/>
        </w:rPr>
        <w:t xml:space="preserve"> </w:t>
      </w:r>
      <w:r w:rsidR="00A83633" w:rsidRPr="00A83633">
        <w:rPr>
          <w:rFonts w:ascii="Calibri" w:eastAsia="Calibri" w:hAnsi="Calibri" w:cs="Times New Roman"/>
          <w:lang w:eastAsia="en-AU"/>
        </w:rPr>
        <w:t xml:space="preserve">in manufacturing. For example, </w:t>
      </w:r>
      <w:r w:rsidR="00651A4F">
        <w:rPr>
          <w:rFonts w:ascii="Calibri" w:eastAsia="Calibri" w:hAnsi="Calibri" w:cs="Times New Roman"/>
          <w:lang w:eastAsia="en-AU"/>
        </w:rPr>
        <w:t xml:space="preserve">the rate of </w:t>
      </w:r>
      <w:r w:rsidR="00A83633" w:rsidRPr="00A83633">
        <w:rPr>
          <w:rFonts w:ascii="Calibri" w:eastAsia="Calibri" w:hAnsi="Calibri" w:cs="Times New Roman"/>
          <w:lang w:eastAsia="en-AU"/>
        </w:rPr>
        <w:t>good</w:t>
      </w:r>
      <w:r w:rsidR="006B2180">
        <w:rPr>
          <w:rFonts w:ascii="Calibri" w:eastAsia="Calibri" w:hAnsi="Calibri" w:cs="Times New Roman"/>
          <w:lang w:eastAsia="en-AU"/>
        </w:rPr>
        <w:t>s</w:t>
      </w:r>
      <w:r w:rsidR="00A83633" w:rsidRPr="00A83633">
        <w:rPr>
          <w:rFonts w:ascii="Calibri" w:eastAsia="Calibri" w:hAnsi="Calibri" w:cs="Times New Roman"/>
          <w:lang w:eastAsia="en-AU"/>
        </w:rPr>
        <w:t xml:space="preserve"> and services innovation in </w:t>
      </w:r>
      <w:r w:rsidR="00651A4F">
        <w:rPr>
          <w:rFonts w:ascii="Calibri" w:eastAsia="Calibri" w:hAnsi="Calibri" w:cs="Times New Roman"/>
          <w:lang w:eastAsia="en-AU"/>
        </w:rPr>
        <w:t xml:space="preserve">large </w:t>
      </w:r>
      <w:r w:rsidR="00A83633" w:rsidRPr="00A83633">
        <w:rPr>
          <w:rFonts w:ascii="Calibri" w:eastAsia="Calibri" w:hAnsi="Calibri" w:cs="Times New Roman"/>
          <w:lang w:eastAsia="en-AU"/>
        </w:rPr>
        <w:t xml:space="preserve">manufacturing </w:t>
      </w:r>
      <w:r w:rsidR="00651A4F">
        <w:rPr>
          <w:rFonts w:ascii="Calibri" w:eastAsia="Calibri" w:hAnsi="Calibri" w:cs="Times New Roman"/>
          <w:lang w:eastAsia="en-AU"/>
        </w:rPr>
        <w:t xml:space="preserve">businesses </w:t>
      </w:r>
      <w:r w:rsidR="00A83633" w:rsidRPr="00A83633">
        <w:rPr>
          <w:rFonts w:ascii="Calibri" w:eastAsia="Calibri" w:hAnsi="Calibri" w:cs="Times New Roman"/>
          <w:lang w:eastAsia="en-AU"/>
        </w:rPr>
        <w:t xml:space="preserve">is almost double </w:t>
      </w:r>
      <w:r w:rsidR="00651A4F">
        <w:rPr>
          <w:rFonts w:ascii="Calibri" w:eastAsia="Calibri" w:hAnsi="Calibri" w:cs="Times New Roman"/>
          <w:lang w:eastAsia="en-AU"/>
        </w:rPr>
        <w:t xml:space="preserve">that of </w:t>
      </w:r>
      <w:r w:rsidR="0043059E" w:rsidRPr="00A83633">
        <w:rPr>
          <w:rFonts w:ascii="Calibri" w:eastAsia="Calibri" w:hAnsi="Calibri" w:cs="Times New Roman"/>
          <w:lang w:eastAsia="en-AU"/>
        </w:rPr>
        <w:t>m</w:t>
      </w:r>
      <w:r w:rsidR="0043059E">
        <w:rPr>
          <w:rFonts w:ascii="Calibri" w:eastAsia="Calibri" w:hAnsi="Calibri" w:cs="Times New Roman"/>
          <w:lang w:eastAsia="en-AU"/>
        </w:rPr>
        <w:t>edium</w:t>
      </w:r>
      <w:r w:rsidR="00A83633" w:rsidRPr="00A83633">
        <w:rPr>
          <w:rFonts w:ascii="Calibri" w:eastAsia="Calibri" w:hAnsi="Calibri" w:cs="Times New Roman"/>
          <w:lang w:eastAsia="en-AU"/>
        </w:rPr>
        <w:t xml:space="preserve">-sized </w:t>
      </w:r>
      <w:r w:rsidR="00651A4F">
        <w:rPr>
          <w:rFonts w:ascii="Calibri" w:eastAsia="Calibri" w:hAnsi="Calibri" w:cs="Times New Roman"/>
          <w:lang w:eastAsia="en-AU"/>
        </w:rPr>
        <w:t xml:space="preserve">manufacturing </w:t>
      </w:r>
      <w:r w:rsidR="00A83633" w:rsidRPr="00A83633">
        <w:rPr>
          <w:rFonts w:ascii="Calibri" w:eastAsia="Calibri" w:hAnsi="Calibri" w:cs="Times New Roman"/>
          <w:lang w:eastAsia="en-AU"/>
        </w:rPr>
        <w:t>businesses</w:t>
      </w:r>
      <w:r w:rsidR="006B2180">
        <w:rPr>
          <w:rFonts w:ascii="Calibri" w:eastAsia="Calibri" w:hAnsi="Calibri" w:cs="Times New Roman"/>
          <w:lang w:eastAsia="en-AU"/>
        </w:rPr>
        <w:t xml:space="preserve">: </w:t>
      </w:r>
      <w:r w:rsidR="00651A4F">
        <w:rPr>
          <w:rFonts w:ascii="Calibri" w:eastAsia="Calibri" w:hAnsi="Calibri" w:cs="Times New Roman"/>
          <w:lang w:eastAsia="en-AU"/>
        </w:rPr>
        <w:t>60</w:t>
      </w:r>
      <w:r w:rsidR="00A83633" w:rsidRPr="00A83633">
        <w:rPr>
          <w:rFonts w:ascii="Calibri" w:eastAsia="Calibri" w:hAnsi="Calibri" w:cs="Times New Roman"/>
          <w:lang w:eastAsia="en-AU"/>
        </w:rPr>
        <w:t xml:space="preserve">% </w:t>
      </w:r>
      <w:r w:rsidR="00651A4F">
        <w:rPr>
          <w:rFonts w:ascii="Calibri" w:eastAsia="Calibri" w:hAnsi="Calibri" w:cs="Times New Roman"/>
          <w:lang w:eastAsia="en-AU"/>
        </w:rPr>
        <w:t>and</w:t>
      </w:r>
      <w:r w:rsidR="00651A4F" w:rsidRPr="00A83633">
        <w:rPr>
          <w:rFonts w:ascii="Calibri" w:eastAsia="Calibri" w:hAnsi="Calibri" w:cs="Times New Roman"/>
          <w:lang w:eastAsia="en-AU"/>
        </w:rPr>
        <w:t xml:space="preserve"> </w:t>
      </w:r>
      <w:r w:rsidR="00A83633" w:rsidRPr="00A83633">
        <w:rPr>
          <w:rFonts w:ascii="Calibri" w:eastAsia="Calibri" w:hAnsi="Calibri" w:cs="Times New Roman"/>
          <w:lang w:eastAsia="en-AU"/>
        </w:rPr>
        <w:t>32%</w:t>
      </w:r>
      <w:r w:rsidR="006B2180">
        <w:rPr>
          <w:rFonts w:ascii="Calibri" w:eastAsia="Calibri" w:hAnsi="Calibri" w:cs="Times New Roman"/>
          <w:lang w:eastAsia="en-AU"/>
        </w:rPr>
        <w:t>,</w:t>
      </w:r>
      <w:r w:rsidR="00A83633" w:rsidRPr="00A83633">
        <w:rPr>
          <w:rFonts w:ascii="Calibri" w:eastAsia="Calibri" w:hAnsi="Calibri" w:cs="Times New Roman"/>
          <w:lang w:eastAsia="en-AU"/>
        </w:rPr>
        <w:t xml:space="preserve"> respectively.</w:t>
      </w:r>
    </w:p>
    <w:p w14:paraId="26F0E9F2" w14:textId="4173EE71" w:rsidR="00A83633" w:rsidRPr="00A83633" w:rsidRDefault="00A83633" w:rsidP="00EE0321">
      <w:pPr>
        <w:pStyle w:val="ListParagraph"/>
        <w:numPr>
          <w:ilvl w:val="0"/>
          <w:numId w:val="34"/>
        </w:numPr>
        <w:ind w:left="357" w:hanging="357"/>
        <w:contextualSpacing w:val="0"/>
        <w:rPr>
          <w:rFonts w:ascii="Calibri" w:eastAsia="Calibri" w:hAnsi="Calibri" w:cs="Times New Roman"/>
          <w:lang w:eastAsia="en-AU"/>
        </w:rPr>
      </w:pPr>
      <w:r w:rsidRPr="00A83633">
        <w:rPr>
          <w:rFonts w:ascii="Calibri" w:eastAsia="Calibri" w:hAnsi="Calibri" w:cs="Times New Roman"/>
          <w:lang w:eastAsia="en-AU"/>
        </w:rPr>
        <w:t>80% undertake new</w:t>
      </w:r>
      <w:r w:rsidR="0043059E">
        <w:rPr>
          <w:rFonts w:ascii="Calibri" w:eastAsia="Calibri" w:hAnsi="Calibri" w:cs="Times New Roman"/>
          <w:lang w:eastAsia="en-AU"/>
        </w:rPr>
        <w:t>-</w:t>
      </w:r>
      <w:r w:rsidRPr="00A83633">
        <w:rPr>
          <w:rFonts w:ascii="Calibri" w:eastAsia="Calibri" w:hAnsi="Calibri" w:cs="Times New Roman"/>
          <w:lang w:eastAsia="en-AU"/>
        </w:rPr>
        <w:t>to</w:t>
      </w:r>
      <w:r w:rsidR="0043059E">
        <w:rPr>
          <w:rFonts w:ascii="Calibri" w:eastAsia="Calibri" w:hAnsi="Calibri" w:cs="Times New Roman"/>
          <w:lang w:eastAsia="en-AU"/>
        </w:rPr>
        <w:t>-</w:t>
      </w:r>
      <w:r w:rsidRPr="00A83633">
        <w:rPr>
          <w:rFonts w:ascii="Calibri" w:eastAsia="Calibri" w:hAnsi="Calibri" w:cs="Times New Roman"/>
          <w:lang w:eastAsia="en-AU"/>
        </w:rPr>
        <w:t>business innovation (adoptions of innovations from other businesses)</w:t>
      </w:r>
      <w:r w:rsidR="00D502D2">
        <w:rPr>
          <w:rFonts w:ascii="Calibri" w:eastAsia="Calibri" w:hAnsi="Calibri" w:cs="Times New Roman"/>
          <w:lang w:eastAsia="en-AU"/>
        </w:rPr>
        <w:t>.</w:t>
      </w:r>
    </w:p>
    <w:p w14:paraId="072B94F6" w14:textId="3BA31BFB" w:rsidR="00A83633" w:rsidRPr="00A83633" w:rsidRDefault="00A83633" w:rsidP="009347C2">
      <w:pPr>
        <w:pStyle w:val="ListParagraph"/>
        <w:numPr>
          <w:ilvl w:val="0"/>
          <w:numId w:val="34"/>
        </w:numPr>
        <w:ind w:left="357" w:hanging="357"/>
        <w:contextualSpacing w:val="0"/>
        <w:rPr>
          <w:rFonts w:ascii="Calibri" w:eastAsia="Calibri" w:hAnsi="Calibri" w:cs="Times New Roman"/>
          <w:lang w:eastAsia="en-AU"/>
        </w:rPr>
      </w:pPr>
      <w:r w:rsidRPr="00A83633">
        <w:rPr>
          <w:rFonts w:ascii="Calibri" w:eastAsia="Calibri" w:hAnsi="Calibri" w:cs="Times New Roman"/>
          <w:lang w:eastAsia="en-AU"/>
        </w:rPr>
        <w:t>One in six indicated that</w:t>
      </w:r>
      <w:r w:rsidR="0045005D">
        <w:rPr>
          <w:rFonts w:ascii="Calibri" w:eastAsia="Calibri" w:hAnsi="Calibri" w:cs="Times New Roman"/>
          <w:lang w:eastAsia="en-AU"/>
        </w:rPr>
        <w:t xml:space="preserve"> they</w:t>
      </w:r>
      <w:r w:rsidRPr="00A83633">
        <w:rPr>
          <w:rFonts w:ascii="Calibri" w:eastAsia="Calibri" w:hAnsi="Calibri" w:cs="Times New Roman"/>
          <w:lang w:eastAsia="en-AU"/>
        </w:rPr>
        <w:t xml:space="preserve"> had the capacity to acquire and exploit information</w:t>
      </w:r>
      <w:r w:rsidR="00EE0321">
        <w:rPr>
          <w:rFonts w:ascii="Calibri" w:eastAsia="Calibri" w:hAnsi="Calibri" w:cs="Times New Roman"/>
          <w:lang w:eastAsia="en-AU"/>
        </w:rPr>
        <w:t xml:space="preserve"> or </w:t>
      </w:r>
      <w:r w:rsidRPr="00A83633">
        <w:rPr>
          <w:rFonts w:ascii="Calibri" w:eastAsia="Calibri" w:hAnsi="Calibri" w:cs="Times New Roman"/>
          <w:lang w:eastAsia="en-AU"/>
        </w:rPr>
        <w:t>knowledge external to the business</w:t>
      </w:r>
      <w:r w:rsidR="00D502D2">
        <w:rPr>
          <w:rFonts w:ascii="Calibri" w:eastAsia="Calibri" w:hAnsi="Calibri" w:cs="Times New Roman"/>
          <w:lang w:eastAsia="en-AU"/>
        </w:rPr>
        <w:t>.</w:t>
      </w:r>
      <w:r w:rsidR="00D8388D" w:rsidDel="00D8388D">
        <w:rPr>
          <w:rStyle w:val="FootnoteReference"/>
          <w:rFonts w:ascii="Calibri" w:eastAsia="Calibri" w:hAnsi="Calibri" w:cs="Times New Roman"/>
          <w:lang w:eastAsia="en-AU"/>
        </w:rPr>
        <w:t xml:space="preserve"> </w:t>
      </w:r>
    </w:p>
    <w:p w14:paraId="0FE1B875" w14:textId="39068F3E" w:rsidR="00A83633" w:rsidRPr="00A83633" w:rsidRDefault="00A83633" w:rsidP="009347C2">
      <w:pPr>
        <w:pStyle w:val="ListParagraph"/>
        <w:numPr>
          <w:ilvl w:val="0"/>
          <w:numId w:val="34"/>
        </w:numPr>
        <w:ind w:left="357" w:hanging="357"/>
        <w:contextualSpacing w:val="0"/>
        <w:rPr>
          <w:rFonts w:ascii="Calibri" w:eastAsia="Calibri" w:hAnsi="Calibri" w:cs="Times New Roman"/>
          <w:lang w:eastAsia="en-AU"/>
        </w:rPr>
      </w:pPr>
      <w:r w:rsidRPr="00A83633">
        <w:rPr>
          <w:rFonts w:ascii="Calibri" w:eastAsia="Calibri" w:hAnsi="Calibri" w:cs="Times New Roman"/>
          <w:lang w:eastAsia="en-AU"/>
        </w:rPr>
        <w:t>8% often got involved in high</w:t>
      </w:r>
      <w:r w:rsidR="0043059E">
        <w:rPr>
          <w:rFonts w:ascii="Calibri" w:eastAsia="Calibri" w:hAnsi="Calibri" w:cs="Times New Roman"/>
          <w:lang w:eastAsia="en-AU"/>
        </w:rPr>
        <w:t>-</w:t>
      </w:r>
      <w:r w:rsidRPr="00A83633">
        <w:rPr>
          <w:rFonts w:ascii="Calibri" w:eastAsia="Calibri" w:hAnsi="Calibri" w:cs="Times New Roman"/>
          <w:lang w:eastAsia="en-AU"/>
        </w:rPr>
        <w:t>risk</w:t>
      </w:r>
      <w:r w:rsidR="0043059E">
        <w:rPr>
          <w:rFonts w:ascii="Calibri" w:eastAsia="Calibri" w:hAnsi="Calibri" w:cs="Times New Roman"/>
          <w:lang w:eastAsia="en-AU"/>
        </w:rPr>
        <w:t xml:space="preserve">, </w:t>
      </w:r>
      <w:r w:rsidR="00262E52">
        <w:rPr>
          <w:rFonts w:ascii="Calibri" w:eastAsia="Calibri" w:hAnsi="Calibri" w:cs="Times New Roman"/>
          <w:lang w:eastAsia="en-AU"/>
        </w:rPr>
        <w:t>high</w:t>
      </w:r>
      <w:r w:rsidR="0043059E">
        <w:rPr>
          <w:rFonts w:ascii="Calibri" w:eastAsia="Calibri" w:hAnsi="Calibri" w:cs="Times New Roman"/>
          <w:lang w:eastAsia="en-AU"/>
        </w:rPr>
        <w:t>-</w:t>
      </w:r>
      <w:r w:rsidRPr="00A83633">
        <w:rPr>
          <w:rFonts w:ascii="Calibri" w:eastAsia="Calibri" w:hAnsi="Calibri" w:cs="Times New Roman"/>
          <w:lang w:eastAsia="en-AU"/>
        </w:rPr>
        <w:t>reward projects</w:t>
      </w:r>
      <w:r w:rsidR="0043059E">
        <w:rPr>
          <w:rFonts w:ascii="Calibri" w:eastAsia="Calibri" w:hAnsi="Calibri" w:cs="Times New Roman"/>
          <w:lang w:eastAsia="en-AU"/>
        </w:rPr>
        <w:t xml:space="preserve">, </w:t>
      </w:r>
      <w:r w:rsidR="00651A4F">
        <w:rPr>
          <w:rFonts w:ascii="Calibri" w:eastAsia="Calibri" w:hAnsi="Calibri" w:cs="Times New Roman"/>
          <w:lang w:eastAsia="en-AU"/>
        </w:rPr>
        <w:t>compared to</w:t>
      </w:r>
      <w:r w:rsidRPr="00A83633">
        <w:rPr>
          <w:rFonts w:ascii="Calibri" w:eastAsia="Calibri" w:hAnsi="Calibri" w:cs="Times New Roman"/>
          <w:lang w:eastAsia="en-AU"/>
        </w:rPr>
        <w:t xml:space="preserve"> 7</w:t>
      </w:r>
      <w:r w:rsidR="00651A4F">
        <w:rPr>
          <w:rFonts w:ascii="Calibri" w:eastAsia="Calibri" w:hAnsi="Calibri" w:cs="Times New Roman"/>
          <w:lang w:eastAsia="en-AU"/>
        </w:rPr>
        <w:t>%</w:t>
      </w:r>
      <w:r w:rsidRPr="00A83633">
        <w:rPr>
          <w:rFonts w:ascii="Calibri" w:eastAsia="Calibri" w:hAnsi="Calibri" w:cs="Times New Roman"/>
          <w:lang w:eastAsia="en-AU"/>
        </w:rPr>
        <w:t xml:space="preserve"> for large businesses</w:t>
      </w:r>
      <w:r w:rsidR="0043059E">
        <w:rPr>
          <w:rFonts w:ascii="Calibri" w:eastAsia="Calibri" w:hAnsi="Calibri" w:cs="Times New Roman"/>
          <w:lang w:eastAsia="en-AU"/>
        </w:rPr>
        <w:t>.</w:t>
      </w:r>
      <w:r w:rsidRPr="00A83633">
        <w:rPr>
          <w:rFonts w:ascii="Calibri" w:eastAsia="Calibri" w:hAnsi="Calibri" w:cs="Times New Roman"/>
          <w:lang w:eastAsia="en-AU"/>
        </w:rPr>
        <w:t xml:space="preserve"> </w:t>
      </w:r>
    </w:p>
    <w:p w14:paraId="5969EA1D" w14:textId="3A10721C" w:rsidR="00A83633" w:rsidRPr="00A83633" w:rsidRDefault="00A83633" w:rsidP="009347C2">
      <w:pPr>
        <w:pStyle w:val="ListParagraph"/>
        <w:numPr>
          <w:ilvl w:val="0"/>
          <w:numId w:val="34"/>
        </w:numPr>
        <w:ind w:left="357" w:hanging="357"/>
        <w:contextualSpacing w:val="0"/>
        <w:rPr>
          <w:rFonts w:ascii="Calibri" w:eastAsia="Calibri" w:hAnsi="Calibri" w:cs="Times New Roman"/>
          <w:lang w:eastAsia="en-AU"/>
        </w:rPr>
      </w:pPr>
      <w:r w:rsidRPr="00A83633">
        <w:rPr>
          <w:rFonts w:ascii="Calibri" w:eastAsia="Calibri" w:hAnsi="Calibri" w:cs="Times New Roman"/>
          <w:lang w:eastAsia="en-AU"/>
        </w:rPr>
        <w:t xml:space="preserve">6% target overseas markets for the most significant innovation of the business. </w:t>
      </w:r>
    </w:p>
    <w:p w14:paraId="7C435AEE" w14:textId="09B8A227" w:rsidR="00A83633" w:rsidRPr="00A83633" w:rsidRDefault="00A83633" w:rsidP="00D53494">
      <w:pPr>
        <w:pStyle w:val="ListParagraph"/>
        <w:numPr>
          <w:ilvl w:val="0"/>
          <w:numId w:val="34"/>
        </w:numPr>
        <w:rPr>
          <w:rFonts w:ascii="Calibri" w:eastAsia="Calibri" w:hAnsi="Calibri" w:cs="Times New Roman"/>
          <w:lang w:eastAsia="en-AU"/>
        </w:rPr>
      </w:pPr>
      <w:r w:rsidRPr="00A83633">
        <w:rPr>
          <w:rFonts w:ascii="Calibri" w:eastAsia="Calibri" w:hAnsi="Calibri" w:cs="Times New Roman"/>
          <w:lang w:eastAsia="en-AU"/>
        </w:rPr>
        <w:t xml:space="preserve">43% consider that collaboration </w:t>
      </w:r>
      <w:r w:rsidRPr="00D53494">
        <w:rPr>
          <w:rFonts w:ascii="Calibri" w:eastAsia="Calibri" w:hAnsi="Calibri" w:cs="Times New Roman"/>
          <w:lang w:eastAsia="en-AU"/>
        </w:rPr>
        <w:t>is not important at all</w:t>
      </w:r>
      <w:r w:rsidRPr="00A83633">
        <w:rPr>
          <w:rFonts w:ascii="Calibri" w:eastAsia="Calibri" w:hAnsi="Calibri" w:cs="Times New Roman"/>
          <w:lang w:eastAsia="en-AU"/>
        </w:rPr>
        <w:t xml:space="preserve"> for innovation</w:t>
      </w:r>
      <w:r w:rsidR="00680ED6">
        <w:rPr>
          <w:rFonts w:ascii="Calibri" w:eastAsia="Calibri" w:hAnsi="Calibri" w:cs="Times New Roman"/>
          <w:lang w:eastAsia="en-AU"/>
        </w:rPr>
        <w:t xml:space="preserve">, </w:t>
      </w:r>
      <w:r w:rsidRPr="00A83633">
        <w:rPr>
          <w:rFonts w:ascii="Calibri" w:eastAsia="Calibri" w:hAnsi="Calibri" w:cs="Times New Roman"/>
          <w:lang w:eastAsia="en-AU"/>
        </w:rPr>
        <w:t>compared to 17% in large businesses.</w:t>
      </w:r>
    </w:p>
    <w:p w14:paraId="296F1851" w14:textId="7F718F7E" w:rsidR="00A83633" w:rsidRPr="00A83633" w:rsidRDefault="00A83633" w:rsidP="00A83633">
      <w:pPr>
        <w:rPr>
          <w:rFonts w:ascii="Calibri" w:eastAsia="Calibri" w:hAnsi="Calibri" w:cs="Times New Roman"/>
          <w:lang w:eastAsia="en-AU"/>
        </w:rPr>
      </w:pPr>
      <w:r w:rsidRPr="00A83633">
        <w:rPr>
          <w:rFonts w:ascii="Calibri" w:eastAsia="Calibri" w:hAnsi="Calibri" w:cs="Times New Roman"/>
          <w:lang w:eastAsia="en-AU"/>
        </w:rPr>
        <w:t xml:space="preserve">The evidence suggests that there is a significant gap between </w:t>
      </w:r>
      <w:r w:rsidR="00C87594" w:rsidRPr="00A83633">
        <w:rPr>
          <w:rFonts w:ascii="Calibri" w:eastAsia="Calibri" w:hAnsi="Calibri" w:cs="Times New Roman"/>
          <w:lang w:eastAsia="en-AU"/>
        </w:rPr>
        <w:t>m</w:t>
      </w:r>
      <w:r w:rsidR="00C87594">
        <w:rPr>
          <w:rFonts w:ascii="Calibri" w:eastAsia="Calibri" w:hAnsi="Calibri" w:cs="Times New Roman"/>
          <w:lang w:eastAsia="en-AU"/>
        </w:rPr>
        <w:t>edium</w:t>
      </w:r>
      <w:r w:rsidRPr="00A83633">
        <w:rPr>
          <w:rFonts w:ascii="Calibri" w:eastAsia="Calibri" w:hAnsi="Calibri" w:cs="Times New Roman"/>
          <w:lang w:eastAsia="en-AU"/>
        </w:rPr>
        <w:t xml:space="preserve">-sized and large businesses not only </w:t>
      </w:r>
      <w:r w:rsidR="0045005D">
        <w:rPr>
          <w:rFonts w:ascii="Calibri" w:eastAsia="Calibri" w:hAnsi="Calibri" w:cs="Times New Roman"/>
          <w:lang w:eastAsia="en-AU"/>
        </w:rPr>
        <w:t>i</w:t>
      </w:r>
      <w:r w:rsidRPr="00A83633">
        <w:rPr>
          <w:rFonts w:ascii="Calibri" w:eastAsia="Calibri" w:hAnsi="Calibri" w:cs="Times New Roman"/>
          <w:lang w:eastAsia="en-AU"/>
        </w:rPr>
        <w:t xml:space="preserve">n the scale of operations but in </w:t>
      </w:r>
      <w:r w:rsidR="00C87594">
        <w:rPr>
          <w:rFonts w:ascii="Calibri" w:eastAsia="Calibri" w:hAnsi="Calibri" w:cs="Times New Roman"/>
          <w:lang w:eastAsia="en-AU"/>
        </w:rPr>
        <w:t>the</w:t>
      </w:r>
      <w:r w:rsidR="00C87594" w:rsidRPr="00A83633">
        <w:rPr>
          <w:rFonts w:ascii="Calibri" w:eastAsia="Calibri" w:hAnsi="Calibri" w:cs="Times New Roman"/>
          <w:lang w:eastAsia="en-AU"/>
        </w:rPr>
        <w:t xml:space="preserve"> </w:t>
      </w:r>
      <w:r w:rsidRPr="00A83633">
        <w:rPr>
          <w:rFonts w:ascii="Calibri" w:eastAsia="Calibri" w:hAnsi="Calibri" w:cs="Times New Roman"/>
          <w:lang w:eastAsia="en-AU"/>
        </w:rPr>
        <w:t>capabilities needed to grow and diversify. Another factor the data highlights is the lack of awareness or resources to understand the competitive environment</w:t>
      </w:r>
      <w:r w:rsidR="00C87594">
        <w:rPr>
          <w:rFonts w:ascii="Calibri" w:eastAsia="Calibri" w:hAnsi="Calibri" w:cs="Times New Roman"/>
          <w:lang w:eastAsia="en-AU"/>
        </w:rPr>
        <w:t>,</w:t>
      </w:r>
      <w:r w:rsidRPr="00A83633">
        <w:rPr>
          <w:rFonts w:ascii="Calibri" w:eastAsia="Calibri" w:hAnsi="Calibri" w:cs="Times New Roman"/>
          <w:lang w:eastAsia="en-AU"/>
        </w:rPr>
        <w:t xml:space="preserve"> including opportunities to grow and build capabilities. </w:t>
      </w:r>
    </w:p>
    <w:p w14:paraId="26049F3D" w14:textId="1485FF75" w:rsidR="00A83633" w:rsidRDefault="00671080" w:rsidP="00A83633">
      <w:pPr>
        <w:rPr>
          <w:rFonts w:ascii="Calibri" w:eastAsia="Calibri" w:hAnsi="Calibri" w:cs="Times New Roman"/>
          <w:lang w:eastAsia="en-AU"/>
        </w:rPr>
      </w:pPr>
      <w:r>
        <w:rPr>
          <w:rFonts w:ascii="Calibri" w:eastAsia="Calibri" w:hAnsi="Calibri" w:cs="Times New Roman"/>
          <w:lang w:eastAsia="en-AU"/>
        </w:rPr>
        <w:t>C</w:t>
      </w:r>
      <w:r w:rsidR="00A83633" w:rsidRPr="00A83633">
        <w:rPr>
          <w:rFonts w:ascii="Calibri" w:eastAsia="Calibri" w:hAnsi="Calibri" w:cs="Times New Roman"/>
          <w:lang w:eastAsia="en-AU"/>
        </w:rPr>
        <w:t>ommercialisation is of little to no relevance to innovation</w:t>
      </w:r>
      <w:r w:rsidR="00B70A12">
        <w:rPr>
          <w:rFonts w:ascii="Calibri" w:eastAsia="Calibri" w:hAnsi="Calibri" w:cs="Times New Roman"/>
          <w:lang w:eastAsia="en-AU"/>
        </w:rPr>
        <w:t>,</w:t>
      </w:r>
      <w:r>
        <w:rPr>
          <w:rFonts w:ascii="Calibri" w:eastAsia="Calibri" w:hAnsi="Calibri" w:cs="Times New Roman"/>
          <w:lang w:eastAsia="en-AU"/>
        </w:rPr>
        <w:t xml:space="preserve"> according to 72% of medium</w:t>
      </w:r>
      <w:r w:rsidR="00735DF8">
        <w:rPr>
          <w:rFonts w:ascii="Calibri" w:eastAsia="Calibri" w:hAnsi="Calibri" w:cs="Times New Roman"/>
          <w:lang w:eastAsia="en-AU"/>
        </w:rPr>
        <w:t>-</w:t>
      </w:r>
      <w:r>
        <w:rPr>
          <w:rFonts w:ascii="Calibri" w:eastAsia="Calibri" w:hAnsi="Calibri" w:cs="Times New Roman"/>
          <w:lang w:eastAsia="en-AU"/>
        </w:rPr>
        <w:t>sized businesses</w:t>
      </w:r>
      <w:r w:rsidR="00A83633" w:rsidRPr="00A83633">
        <w:rPr>
          <w:rFonts w:ascii="Calibri" w:eastAsia="Calibri" w:hAnsi="Calibri" w:cs="Times New Roman"/>
          <w:lang w:eastAsia="en-AU"/>
        </w:rPr>
        <w:t xml:space="preserve">. This </w:t>
      </w:r>
      <w:r>
        <w:rPr>
          <w:rFonts w:ascii="Calibri" w:eastAsia="Calibri" w:hAnsi="Calibri" w:cs="Times New Roman"/>
          <w:lang w:eastAsia="en-AU"/>
        </w:rPr>
        <w:t xml:space="preserve">sentiment </w:t>
      </w:r>
      <w:r w:rsidRPr="00A83633">
        <w:rPr>
          <w:rFonts w:ascii="Calibri" w:eastAsia="Calibri" w:hAnsi="Calibri" w:cs="Times New Roman"/>
          <w:lang w:eastAsia="en-AU"/>
        </w:rPr>
        <w:t>reveal</w:t>
      </w:r>
      <w:r>
        <w:rPr>
          <w:rFonts w:ascii="Calibri" w:eastAsia="Calibri" w:hAnsi="Calibri" w:cs="Times New Roman"/>
          <w:lang w:eastAsia="en-AU"/>
        </w:rPr>
        <w:t>s business</w:t>
      </w:r>
      <w:r w:rsidRPr="00A83633">
        <w:rPr>
          <w:rFonts w:ascii="Calibri" w:eastAsia="Calibri" w:hAnsi="Calibri" w:cs="Times New Roman"/>
          <w:lang w:eastAsia="en-AU"/>
        </w:rPr>
        <w:t xml:space="preserve"> </w:t>
      </w:r>
      <w:r w:rsidR="00A83633" w:rsidRPr="00A83633">
        <w:rPr>
          <w:rFonts w:ascii="Calibri" w:eastAsia="Calibri" w:hAnsi="Calibri" w:cs="Times New Roman"/>
          <w:lang w:eastAsia="en-AU"/>
        </w:rPr>
        <w:t xml:space="preserve">preferences </w:t>
      </w:r>
      <w:r>
        <w:rPr>
          <w:rFonts w:ascii="Calibri" w:eastAsia="Calibri" w:hAnsi="Calibri" w:cs="Times New Roman"/>
          <w:lang w:eastAsia="en-AU"/>
        </w:rPr>
        <w:t xml:space="preserve">to </w:t>
      </w:r>
      <w:r w:rsidR="00A83633" w:rsidRPr="00A83633">
        <w:rPr>
          <w:rFonts w:ascii="Calibri" w:eastAsia="Calibri" w:hAnsi="Calibri" w:cs="Times New Roman"/>
          <w:lang w:eastAsia="en-AU"/>
        </w:rPr>
        <w:t>adopt innovation from other businesses rather than engage in high-risk, self-driven innovation</w:t>
      </w:r>
      <w:r>
        <w:rPr>
          <w:rFonts w:ascii="Calibri" w:eastAsia="Calibri" w:hAnsi="Calibri" w:cs="Times New Roman"/>
          <w:lang w:eastAsia="en-AU"/>
        </w:rPr>
        <w:t xml:space="preserve"> project</w:t>
      </w:r>
      <w:r w:rsidR="00A83633" w:rsidRPr="00A83633">
        <w:rPr>
          <w:rFonts w:ascii="Calibri" w:eastAsia="Calibri" w:hAnsi="Calibri" w:cs="Times New Roman"/>
          <w:lang w:eastAsia="en-AU"/>
        </w:rPr>
        <w:t xml:space="preserve">s that </w:t>
      </w:r>
      <w:r>
        <w:rPr>
          <w:rFonts w:ascii="Calibri" w:eastAsia="Calibri" w:hAnsi="Calibri" w:cs="Times New Roman"/>
          <w:lang w:eastAsia="en-AU"/>
        </w:rPr>
        <w:t xml:space="preserve">introduce </w:t>
      </w:r>
      <w:r w:rsidR="00A83633" w:rsidRPr="00A83633">
        <w:rPr>
          <w:rFonts w:ascii="Calibri" w:eastAsia="Calibri" w:hAnsi="Calibri" w:cs="Times New Roman"/>
          <w:lang w:eastAsia="en-AU"/>
        </w:rPr>
        <w:t>new</w:t>
      </w:r>
      <w:r w:rsidR="00B70A12">
        <w:rPr>
          <w:rFonts w:ascii="Calibri" w:eastAsia="Calibri" w:hAnsi="Calibri" w:cs="Times New Roman"/>
          <w:lang w:eastAsia="en-AU"/>
        </w:rPr>
        <w:t>-</w:t>
      </w:r>
      <w:r w:rsidR="00A83633" w:rsidRPr="00A83633">
        <w:rPr>
          <w:rFonts w:ascii="Calibri" w:eastAsia="Calibri" w:hAnsi="Calibri" w:cs="Times New Roman"/>
          <w:lang w:eastAsia="en-AU"/>
        </w:rPr>
        <w:t>to</w:t>
      </w:r>
      <w:r w:rsidR="00B70A12">
        <w:rPr>
          <w:rFonts w:ascii="Calibri" w:eastAsia="Calibri" w:hAnsi="Calibri" w:cs="Times New Roman"/>
          <w:lang w:eastAsia="en-AU"/>
        </w:rPr>
        <w:t>-</w:t>
      </w:r>
      <w:r w:rsidR="00A83633" w:rsidRPr="00A83633">
        <w:rPr>
          <w:rFonts w:ascii="Calibri" w:eastAsia="Calibri" w:hAnsi="Calibri" w:cs="Times New Roman"/>
          <w:lang w:eastAsia="en-AU"/>
        </w:rPr>
        <w:t>world, new</w:t>
      </w:r>
      <w:r w:rsidR="00B70A12">
        <w:rPr>
          <w:rFonts w:ascii="Calibri" w:eastAsia="Calibri" w:hAnsi="Calibri" w:cs="Times New Roman"/>
          <w:lang w:eastAsia="en-AU"/>
        </w:rPr>
        <w:t>-</w:t>
      </w:r>
      <w:r w:rsidR="00A83633" w:rsidRPr="00A83633">
        <w:rPr>
          <w:rFonts w:ascii="Calibri" w:eastAsia="Calibri" w:hAnsi="Calibri" w:cs="Times New Roman"/>
          <w:lang w:eastAsia="en-AU"/>
        </w:rPr>
        <w:t>to</w:t>
      </w:r>
      <w:r w:rsidR="00B70A12">
        <w:rPr>
          <w:rFonts w:ascii="Calibri" w:eastAsia="Calibri" w:hAnsi="Calibri" w:cs="Times New Roman"/>
          <w:lang w:eastAsia="en-AU"/>
        </w:rPr>
        <w:t>-</w:t>
      </w:r>
      <w:r w:rsidR="00A83633" w:rsidRPr="00A83633">
        <w:rPr>
          <w:rFonts w:ascii="Calibri" w:eastAsia="Calibri" w:hAnsi="Calibri" w:cs="Times New Roman"/>
          <w:lang w:eastAsia="en-AU"/>
        </w:rPr>
        <w:t>industry or new</w:t>
      </w:r>
      <w:r w:rsidR="00B70A12">
        <w:rPr>
          <w:rFonts w:ascii="Calibri" w:eastAsia="Calibri" w:hAnsi="Calibri" w:cs="Times New Roman"/>
          <w:lang w:eastAsia="en-AU"/>
        </w:rPr>
        <w:t>-</w:t>
      </w:r>
      <w:r w:rsidR="00A83633" w:rsidRPr="00A83633">
        <w:rPr>
          <w:rFonts w:ascii="Calibri" w:eastAsia="Calibri" w:hAnsi="Calibri" w:cs="Times New Roman"/>
          <w:lang w:eastAsia="en-AU"/>
        </w:rPr>
        <w:t>to</w:t>
      </w:r>
      <w:r w:rsidR="00B70A12">
        <w:rPr>
          <w:rFonts w:ascii="Calibri" w:eastAsia="Calibri" w:hAnsi="Calibri" w:cs="Times New Roman"/>
          <w:lang w:eastAsia="en-AU"/>
        </w:rPr>
        <w:t>-</w:t>
      </w:r>
      <w:r w:rsidR="00A83633" w:rsidRPr="00A83633">
        <w:rPr>
          <w:rFonts w:ascii="Calibri" w:eastAsia="Calibri" w:hAnsi="Calibri" w:cs="Times New Roman"/>
          <w:lang w:eastAsia="en-AU"/>
        </w:rPr>
        <w:t>Australia</w:t>
      </w:r>
      <w:r>
        <w:rPr>
          <w:rFonts w:ascii="Calibri" w:eastAsia="Calibri" w:hAnsi="Calibri" w:cs="Times New Roman"/>
          <w:lang w:eastAsia="en-AU"/>
        </w:rPr>
        <w:t xml:space="preserve"> goods, services, </w:t>
      </w:r>
      <w:proofErr w:type="gramStart"/>
      <w:r>
        <w:rPr>
          <w:rFonts w:ascii="Calibri" w:eastAsia="Calibri" w:hAnsi="Calibri" w:cs="Times New Roman"/>
          <w:lang w:eastAsia="en-AU"/>
        </w:rPr>
        <w:t>processes</w:t>
      </w:r>
      <w:proofErr w:type="gramEnd"/>
      <w:r>
        <w:rPr>
          <w:rFonts w:ascii="Calibri" w:eastAsia="Calibri" w:hAnsi="Calibri" w:cs="Times New Roman"/>
          <w:lang w:eastAsia="en-AU"/>
        </w:rPr>
        <w:t xml:space="preserve"> or </w:t>
      </w:r>
      <w:r w:rsidR="00B70A12">
        <w:rPr>
          <w:rFonts w:ascii="Calibri" w:eastAsia="Calibri" w:hAnsi="Calibri" w:cs="Times New Roman"/>
          <w:lang w:eastAsia="en-AU"/>
        </w:rPr>
        <w:t xml:space="preserve">a </w:t>
      </w:r>
      <w:r>
        <w:rPr>
          <w:rFonts w:ascii="Calibri" w:eastAsia="Calibri" w:hAnsi="Calibri" w:cs="Times New Roman"/>
          <w:lang w:eastAsia="en-AU"/>
        </w:rPr>
        <w:t>combination of these</w:t>
      </w:r>
      <w:r w:rsidR="00A83633" w:rsidRPr="00A83633">
        <w:rPr>
          <w:rFonts w:ascii="Calibri" w:eastAsia="Calibri" w:hAnsi="Calibri" w:cs="Times New Roman"/>
          <w:lang w:eastAsia="en-AU"/>
        </w:rPr>
        <w:t xml:space="preserve">. Similarly, about 55% of </w:t>
      </w:r>
      <w:r w:rsidR="00DA4D05">
        <w:rPr>
          <w:rFonts w:ascii="Calibri" w:eastAsia="Calibri" w:hAnsi="Calibri" w:cs="Times New Roman"/>
          <w:lang w:eastAsia="en-AU"/>
        </w:rPr>
        <w:t>medium</w:t>
      </w:r>
      <w:r w:rsidR="00A83633" w:rsidRPr="00A83633">
        <w:rPr>
          <w:rFonts w:ascii="Calibri" w:eastAsia="Calibri" w:hAnsi="Calibri" w:cs="Times New Roman"/>
          <w:lang w:eastAsia="en-AU"/>
        </w:rPr>
        <w:t>-sized businesses regard technolog</w:t>
      </w:r>
      <w:r w:rsidR="00B70A12">
        <w:rPr>
          <w:rFonts w:ascii="Calibri" w:eastAsia="Calibri" w:hAnsi="Calibri" w:cs="Times New Roman"/>
          <w:lang w:eastAsia="en-AU"/>
        </w:rPr>
        <w:t>ical</w:t>
      </w:r>
      <w:r w:rsidR="00A83633" w:rsidRPr="00A83633">
        <w:rPr>
          <w:rFonts w:ascii="Calibri" w:eastAsia="Calibri" w:hAnsi="Calibri" w:cs="Times New Roman"/>
          <w:lang w:eastAsia="en-AU"/>
        </w:rPr>
        <w:t xml:space="preserve"> advancements as not important at all or of small importance for innovation. Given the crucial importance of new technological developments, such as artificial intelligence, to industry, this may suggest that </w:t>
      </w:r>
      <w:r w:rsidR="00BA70AE">
        <w:rPr>
          <w:rFonts w:ascii="Calibri" w:eastAsia="Calibri" w:hAnsi="Calibri" w:cs="Times New Roman"/>
          <w:lang w:eastAsia="en-AU"/>
        </w:rPr>
        <w:t>medium-sized businesses have limited appetite</w:t>
      </w:r>
      <w:r w:rsidR="00A83633" w:rsidRPr="00A83633">
        <w:rPr>
          <w:rFonts w:ascii="Calibri" w:eastAsia="Calibri" w:hAnsi="Calibri" w:cs="Times New Roman"/>
          <w:lang w:eastAsia="en-AU"/>
        </w:rPr>
        <w:t xml:space="preserve"> to embrace technical change that could shape opportunities for growth. This is confirmed by the A</w:t>
      </w:r>
      <w:r w:rsidR="0045005D">
        <w:rPr>
          <w:rFonts w:ascii="Calibri" w:eastAsia="Calibri" w:hAnsi="Calibri" w:cs="Times New Roman"/>
          <w:lang w:eastAsia="en-AU"/>
        </w:rPr>
        <w:t xml:space="preserve">ustralian </w:t>
      </w:r>
      <w:r w:rsidR="00A83633" w:rsidRPr="00A83633">
        <w:rPr>
          <w:rFonts w:ascii="Calibri" w:eastAsia="Calibri" w:hAnsi="Calibri" w:cs="Times New Roman"/>
          <w:lang w:eastAsia="en-AU"/>
        </w:rPr>
        <w:t>B</w:t>
      </w:r>
      <w:r w:rsidR="0045005D">
        <w:rPr>
          <w:rFonts w:ascii="Calibri" w:eastAsia="Calibri" w:hAnsi="Calibri" w:cs="Times New Roman"/>
          <w:lang w:eastAsia="en-AU"/>
        </w:rPr>
        <w:t xml:space="preserve">ureau of Statistics survey on the </w:t>
      </w:r>
      <w:r w:rsidR="00BA70AE">
        <w:rPr>
          <w:rFonts w:ascii="Calibri" w:eastAsia="Calibri" w:hAnsi="Calibri" w:cs="Times New Roman"/>
          <w:lang w:eastAsia="en-AU"/>
        </w:rPr>
        <w:t>use of information technologies (IT)</w:t>
      </w:r>
      <w:r w:rsidR="00A83633" w:rsidRPr="00A83633">
        <w:rPr>
          <w:rFonts w:ascii="Calibri" w:eastAsia="Calibri" w:hAnsi="Calibri" w:cs="Times New Roman"/>
          <w:lang w:eastAsia="en-AU"/>
        </w:rPr>
        <w:t xml:space="preserve"> that shows that most small and medium</w:t>
      </w:r>
      <w:r w:rsidR="00BA70AE">
        <w:rPr>
          <w:rFonts w:ascii="Calibri" w:eastAsia="Calibri" w:hAnsi="Calibri" w:cs="Times New Roman"/>
          <w:lang w:eastAsia="en-AU"/>
        </w:rPr>
        <w:t>-</w:t>
      </w:r>
      <w:r w:rsidR="00A83633" w:rsidRPr="00A83633">
        <w:rPr>
          <w:rFonts w:ascii="Calibri" w:eastAsia="Calibri" w:hAnsi="Calibri" w:cs="Times New Roman"/>
          <w:lang w:eastAsia="en-AU"/>
        </w:rPr>
        <w:t>sized businesses are limited users of the most advanced IT.</w:t>
      </w:r>
      <w:r w:rsidR="00A83633" w:rsidRPr="00A83633">
        <w:rPr>
          <w:rFonts w:ascii="Calibri" w:eastAsia="Calibri" w:hAnsi="Calibri" w:cs="Times New Roman"/>
          <w:vertAlign w:val="superscript"/>
          <w:lang w:eastAsia="en-AU"/>
        </w:rPr>
        <w:footnoteReference w:id="35"/>
      </w:r>
    </w:p>
    <w:p w14:paraId="45A655AB" w14:textId="77777777" w:rsidR="00931E04" w:rsidRPr="00F17E2C" w:rsidRDefault="00931E04" w:rsidP="00C35D33">
      <w:pPr>
        <w:pStyle w:val="Heading4"/>
        <w:rPr>
          <w:rFonts w:eastAsia="Calibri"/>
          <w:lang w:eastAsia="en-AU"/>
        </w:rPr>
      </w:pPr>
      <w:r w:rsidRPr="00F17E2C">
        <w:rPr>
          <w:rFonts w:eastAsia="Calibri"/>
          <w:lang w:eastAsia="en-AU"/>
        </w:rPr>
        <w:t>Collaboration for building capabilities and supply chains</w:t>
      </w:r>
    </w:p>
    <w:p w14:paraId="135C197C" w14:textId="73A5EB1D" w:rsidR="00931E04" w:rsidRPr="00A83633" w:rsidRDefault="00931E04" w:rsidP="006B3A26">
      <w:pPr>
        <w:rPr>
          <w:rFonts w:ascii="Calibri" w:eastAsia="Calibri" w:hAnsi="Calibri" w:cs="Times New Roman"/>
          <w:lang w:eastAsia="en-AU"/>
        </w:rPr>
      </w:pPr>
      <w:r w:rsidRPr="00A83633">
        <w:rPr>
          <w:rFonts w:ascii="Calibri" w:eastAsia="Calibri" w:hAnsi="Calibri" w:cs="Times New Roman"/>
          <w:lang w:eastAsia="en-AU"/>
        </w:rPr>
        <w:t>Typically, innovation is the outcome of interaction between individuals, businesses, and different types of organisations.</w:t>
      </w:r>
      <w:r w:rsidRPr="00A83633">
        <w:rPr>
          <w:rFonts w:ascii="Calibri" w:eastAsia="Calibri" w:hAnsi="Calibri" w:cs="Times New Roman"/>
          <w:vertAlign w:val="superscript"/>
          <w:lang w:eastAsia="en-AU"/>
        </w:rPr>
        <w:footnoteReference w:id="36"/>
      </w:r>
      <w:r w:rsidR="00463937">
        <w:rPr>
          <w:rFonts w:ascii="Calibri" w:eastAsia="Calibri" w:hAnsi="Calibri" w:cs="Times New Roman"/>
          <w:lang w:eastAsia="en-AU"/>
        </w:rPr>
        <w:t xml:space="preserve"> </w:t>
      </w:r>
      <w:r w:rsidRPr="00A83633">
        <w:rPr>
          <w:rFonts w:ascii="Calibri" w:eastAsia="Calibri" w:hAnsi="Calibri" w:cs="Times New Roman"/>
          <w:lang w:eastAsia="en-AU"/>
        </w:rPr>
        <w:t>Australian businesses in the most internationally competitive sectors are significant collaborators with</w:t>
      </w:r>
      <w:r w:rsidR="00463937">
        <w:rPr>
          <w:rFonts w:ascii="Calibri" w:eastAsia="Calibri" w:hAnsi="Calibri" w:cs="Times New Roman"/>
          <w:lang w:eastAsia="en-AU"/>
        </w:rPr>
        <w:t xml:space="preserve"> publicly funded </w:t>
      </w:r>
      <w:r w:rsidRPr="00A83633">
        <w:rPr>
          <w:rFonts w:ascii="Calibri" w:eastAsia="Calibri" w:hAnsi="Calibri" w:cs="Times New Roman"/>
          <w:lang w:eastAsia="en-AU"/>
        </w:rPr>
        <w:t xml:space="preserve">research organisations. We note that leading </w:t>
      </w:r>
      <w:r w:rsidR="00671080">
        <w:rPr>
          <w:rFonts w:ascii="Calibri" w:eastAsia="Calibri" w:hAnsi="Calibri" w:cs="Times New Roman"/>
          <w:lang w:eastAsia="en-AU"/>
        </w:rPr>
        <w:t>businesses</w:t>
      </w:r>
      <w:r w:rsidRPr="00A83633">
        <w:rPr>
          <w:rFonts w:ascii="Calibri" w:eastAsia="Calibri" w:hAnsi="Calibri" w:cs="Times New Roman"/>
          <w:lang w:eastAsia="en-AU"/>
        </w:rPr>
        <w:t xml:space="preserve"> in </w:t>
      </w:r>
      <w:r w:rsidR="0045005D">
        <w:rPr>
          <w:rFonts w:ascii="Calibri" w:eastAsia="Calibri" w:hAnsi="Calibri" w:cs="Times New Roman"/>
          <w:lang w:eastAsia="en-AU"/>
        </w:rPr>
        <w:t xml:space="preserve">the </w:t>
      </w:r>
      <w:r w:rsidRPr="00A83633">
        <w:rPr>
          <w:rFonts w:ascii="Calibri" w:eastAsia="Calibri" w:hAnsi="Calibri" w:cs="Times New Roman"/>
          <w:lang w:eastAsia="en-AU"/>
        </w:rPr>
        <w:t>mining and agriculture sectors have developed systems to identify, engage and establish productive collaborations with research organisations.</w:t>
      </w:r>
      <w:r w:rsidR="009B38ED">
        <w:rPr>
          <w:rStyle w:val="FootnoteReference"/>
          <w:rFonts w:ascii="Calibri" w:eastAsia="Calibri" w:hAnsi="Calibri" w:cs="Times New Roman"/>
          <w:lang w:eastAsia="en-AU"/>
        </w:rPr>
        <w:footnoteReference w:id="37"/>
      </w:r>
      <w:r w:rsidRPr="00A83633">
        <w:rPr>
          <w:rFonts w:ascii="Calibri" w:eastAsia="Calibri" w:hAnsi="Calibri" w:cs="Times New Roman"/>
          <w:lang w:eastAsia="en-AU"/>
        </w:rPr>
        <w:t xml:space="preserve"> </w:t>
      </w:r>
    </w:p>
    <w:p w14:paraId="4F4A68B0" w14:textId="57FC0E38" w:rsidR="00931E04" w:rsidRPr="00A83633" w:rsidRDefault="00931E04" w:rsidP="006B3A26">
      <w:pPr>
        <w:shd w:val="clear" w:color="auto" w:fill="FFFFFF"/>
        <w:spacing w:line="240" w:lineRule="auto"/>
        <w:rPr>
          <w:rFonts w:ascii="Calibri" w:eastAsia="Calibri" w:hAnsi="Calibri" w:cs="Times New Roman"/>
          <w:lang w:eastAsia="en-AU"/>
        </w:rPr>
      </w:pPr>
      <w:r w:rsidRPr="00A83633">
        <w:rPr>
          <w:rFonts w:ascii="Calibri" w:eastAsia="Calibri" w:hAnsi="Calibri" w:cs="Times New Roman"/>
          <w:lang w:eastAsia="en-AU"/>
        </w:rPr>
        <w:t xml:space="preserve">These systems vary across organisations and sectors. </w:t>
      </w:r>
      <w:r w:rsidR="00AA78A0">
        <w:rPr>
          <w:rFonts w:ascii="Calibri" w:eastAsia="Calibri" w:hAnsi="Calibri" w:cs="Times New Roman"/>
          <w:lang w:eastAsia="en-AU"/>
        </w:rPr>
        <w:t>I</w:t>
      </w:r>
      <w:r w:rsidRPr="00A83633">
        <w:rPr>
          <w:rFonts w:ascii="Calibri" w:eastAsia="Calibri" w:hAnsi="Calibri" w:cs="Times New Roman"/>
          <w:lang w:eastAsia="en-AU"/>
        </w:rPr>
        <w:t>n agriculture</w:t>
      </w:r>
      <w:r w:rsidR="00AA78A0">
        <w:rPr>
          <w:rFonts w:ascii="Calibri" w:eastAsia="Calibri" w:hAnsi="Calibri" w:cs="Times New Roman"/>
          <w:lang w:eastAsia="en-AU"/>
        </w:rPr>
        <w:t>,</w:t>
      </w:r>
      <w:r w:rsidRPr="00A83633">
        <w:rPr>
          <w:rFonts w:ascii="Calibri" w:eastAsia="Calibri" w:hAnsi="Calibri" w:cs="Times New Roman"/>
          <w:lang w:eastAsia="en-AU"/>
        </w:rPr>
        <w:t xml:space="preserve"> the unique model of </w:t>
      </w:r>
      <w:r w:rsidR="000746B8">
        <w:rPr>
          <w:rFonts w:ascii="Calibri" w:eastAsia="Calibri" w:hAnsi="Calibri" w:cs="Times New Roman"/>
          <w:lang w:eastAsia="en-AU"/>
        </w:rPr>
        <w:t>R</w:t>
      </w:r>
      <w:r w:rsidR="000746B8" w:rsidRPr="00A83633">
        <w:rPr>
          <w:rFonts w:ascii="Calibri" w:eastAsia="Calibri" w:hAnsi="Calibri" w:cs="Times New Roman"/>
          <w:lang w:eastAsia="en-AU"/>
        </w:rPr>
        <w:t xml:space="preserve">ural </w:t>
      </w:r>
      <w:r w:rsidR="000746B8">
        <w:rPr>
          <w:rFonts w:ascii="Calibri" w:eastAsia="Calibri" w:hAnsi="Calibri" w:cs="Times New Roman"/>
          <w:lang w:eastAsia="en-AU"/>
        </w:rPr>
        <w:t>R</w:t>
      </w:r>
      <w:r w:rsidR="000746B8" w:rsidRPr="00A83633">
        <w:rPr>
          <w:rFonts w:ascii="Calibri" w:eastAsia="Calibri" w:hAnsi="Calibri" w:cs="Times New Roman"/>
          <w:lang w:eastAsia="en-AU"/>
        </w:rPr>
        <w:t xml:space="preserve">esearch </w:t>
      </w:r>
      <w:r w:rsidR="000746B8">
        <w:rPr>
          <w:rFonts w:ascii="Calibri" w:eastAsia="Calibri" w:hAnsi="Calibri" w:cs="Times New Roman"/>
          <w:lang w:eastAsia="en-AU"/>
        </w:rPr>
        <w:t>and Development C</w:t>
      </w:r>
      <w:r w:rsidR="000746B8" w:rsidRPr="00A83633">
        <w:rPr>
          <w:rFonts w:ascii="Calibri" w:eastAsia="Calibri" w:hAnsi="Calibri" w:cs="Times New Roman"/>
          <w:lang w:eastAsia="en-AU"/>
        </w:rPr>
        <w:t xml:space="preserve">orporations </w:t>
      </w:r>
      <w:r w:rsidRPr="00A83633">
        <w:rPr>
          <w:rFonts w:ascii="Calibri" w:eastAsia="Calibri" w:hAnsi="Calibri" w:cs="Times New Roman"/>
          <w:lang w:eastAsia="en-AU"/>
        </w:rPr>
        <w:t>(RDCs) uses partnership</w:t>
      </w:r>
      <w:r w:rsidR="00AA78A0">
        <w:rPr>
          <w:rFonts w:ascii="Calibri" w:eastAsia="Calibri" w:hAnsi="Calibri" w:cs="Times New Roman"/>
          <w:lang w:eastAsia="en-AU"/>
        </w:rPr>
        <w:t>s</w:t>
      </w:r>
      <w:r w:rsidRPr="00A83633">
        <w:rPr>
          <w:rFonts w:ascii="Calibri" w:eastAsia="Calibri" w:hAnsi="Calibri" w:cs="Times New Roman"/>
          <w:lang w:eastAsia="en-AU"/>
        </w:rPr>
        <w:t xml:space="preserve"> to decide research prioritisation</w:t>
      </w:r>
      <w:r w:rsidR="00AA78A0">
        <w:rPr>
          <w:rFonts w:ascii="Calibri" w:eastAsia="Calibri" w:hAnsi="Calibri" w:cs="Times New Roman"/>
          <w:lang w:eastAsia="en-AU"/>
        </w:rPr>
        <w:t>,</w:t>
      </w:r>
      <w:r w:rsidRPr="00A83633">
        <w:rPr>
          <w:rFonts w:ascii="Calibri" w:eastAsia="Calibri" w:hAnsi="Calibri" w:cs="Times New Roman"/>
          <w:lang w:eastAsia="en-AU"/>
        </w:rPr>
        <w:t xml:space="preserve"> and a levy system of shared funding contributions. The RDC </w:t>
      </w:r>
      <w:r w:rsidR="009B38ED">
        <w:rPr>
          <w:rFonts w:ascii="Calibri" w:eastAsia="Calibri" w:hAnsi="Calibri" w:cs="Times New Roman"/>
          <w:lang w:eastAsia="en-AU"/>
        </w:rPr>
        <w:t>model</w:t>
      </w:r>
      <w:r w:rsidR="009B38ED" w:rsidRPr="00A83633">
        <w:rPr>
          <w:rFonts w:ascii="Calibri" w:eastAsia="Calibri" w:hAnsi="Calibri" w:cs="Times New Roman"/>
          <w:lang w:eastAsia="en-AU"/>
        </w:rPr>
        <w:t xml:space="preserve"> </w:t>
      </w:r>
      <w:r w:rsidRPr="00A83633">
        <w:rPr>
          <w:rFonts w:ascii="Calibri" w:eastAsia="Calibri" w:hAnsi="Calibri" w:cs="Times New Roman"/>
          <w:lang w:eastAsia="en-AU"/>
        </w:rPr>
        <w:t xml:space="preserve">has </w:t>
      </w:r>
      <w:r w:rsidR="003024C7">
        <w:rPr>
          <w:rFonts w:ascii="Calibri" w:eastAsia="Calibri" w:hAnsi="Calibri" w:cs="Times New Roman"/>
          <w:lang w:eastAsia="en-AU"/>
        </w:rPr>
        <w:t>increased</w:t>
      </w:r>
      <w:r w:rsidR="009B38ED">
        <w:rPr>
          <w:rFonts w:ascii="Calibri" w:eastAsia="Calibri" w:hAnsi="Calibri" w:cs="Times New Roman"/>
          <w:lang w:eastAsia="en-AU"/>
        </w:rPr>
        <w:t xml:space="preserve"> the productivity of </w:t>
      </w:r>
      <w:r w:rsidRPr="00A83633">
        <w:rPr>
          <w:rFonts w:ascii="Calibri" w:eastAsia="Calibri" w:hAnsi="Calibri" w:cs="Times New Roman"/>
          <w:lang w:eastAsia="en-AU"/>
        </w:rPr>
        <w:t xml:space="preserve">Australian agriculture by supporting the </w:t>
      </w:r>
      <w:r w:rsidR="009B38ED" w:rsidRPr="00A83633">
        <w:rPr>
          <w:rFonts w:ascii="Calibri" w:eastAsia="Calibri" w:hAnsi="Calibri" w:cs="Times New Roman"/>
          <w:lang w:eastAsia="en-AU"/>
        </w:rPr>
        <w:t>introduc</w:t>
      </w:r>
      <w:r w:rsidR="009B38ED">
        <w:rPr>
          <w:rFonts w:ascii="Calibri" w:eastAsia="Calibri" w:hAnsi="Calibri" w:cs="Times New Roman"/>
          <w:lang w:eastAsia="en-AU"/>
        </w:rPr>
        <w:t>tion</w:t>
      </w:r>
      <w:r w:rsidR="009B38ED" w:rsidRPr="00A83633">
        <w:rPr>
          <w:rFonts w:ascii="Calibri" w:eastAsia="Calibri" w:hAnsi="Calibri" w:cs="Times New Roman"/>
          <w:lang w:eastAsia="en-AU"/>
        </w:rPr>
        <w:t xml:space="preserve"> </w:t>
      </w:r>
      <w:r w:rsidRPr="00A83633">
        <w:rPr>
          <w:rFonts w:ascii="Calibri" w:eastAsia="Calibri" w:hAnsi="Calibri" w:cs="Times New Roman"/>
          <w:lang w:eastAsia="en-AU"/>
        </w:rPr>
        <w:t>and diffusi</w:t>
      </w:r>
      <w:r w:rsidR="009B38ED">
        <w:rPr>
          <w:rFonts w:ascii="Calibri" w:eastAsia="Calibri" w:hAnsi="Calibri" w:cs="Times New Roman"/>
          <w:lang w:eastAsia="en-AU"/>
        </w:rPr>
        <w:t>o</w:t>
      </w:r>
      <w:r w:rsidRPr="00A83633">
        <w:rPr>
          <w:rFonts w:ascii="Calibri" w:eastAsia="Calibri" w:hAnsi="Calibri" w:cs="Times New Roman"/>
          <w:lang w:eastAsia="en-AU"/>
        </w:rPr>
        <w:t>n</w:t>
      </w:r>
      <w:r w:rsidR="009B38ED">
        <w:rPr>
          <w:rFonts w:ascii="Calibri" w:eastAsia="Calibri" w:hAnsi="Calibri" w:cs="Times New Roman"/>
          <w:lang w:eastAsia="en-AU"/>
        </w:rPr>
        <w:t xml:space="preserve"> of</w:t>
      </w:r>
      <w:r w:rsidRPr="00A83633">
        <w:rPr>
          <w:rFonts w:ascii="Calibri" w:eastAsia="Calibri" w:hAnsi="Calibri" w:cs="Times New Roman"/>
          <w:lang w:eastAsia="en-AU"/>
        </w:rPr>
        <w:t xml:space="preserve"> incremental innovation</w:t>
      </w:r>
      <w:r w:rsidR="009B38ED">
        <w:rPr>
          <w:rFonts w:ascii="Calibri" w:eastAsia="Calibri" w:hAnsi="Calibri" w:cs="Times New Roman"/>
          <w:lang w:eastAsia="en-AU"/>
        </w:rPr>
        <w:t xml:space="preserve">. However, </w:t>
      </w:r>
      <w:r w:rsidR="0045005D">
        <w:rPr>
          <w:rFonts w:ascii="Calibri" w:eastAsia="Calibri" w:hAnsi="Calibri" w:cs="Times New Roman"/>
          <w:lang w:eastAsia="en-AU"/>
        </w:rPr>
        <w:t xml:space="preserve">we have </w:t>
      </w:r>
      <w:r w:rsidRPr="00A83633">
        <w:rPr>
          <w:rFonts w:ascii="Calibri" w:eastAsia="Calibri" w:hAnsi="Calibri" w:cs="Times New Roman"/>
          <w:lang w:eastAsia="en-AU"/>
        </w:rPr>
        <w:t xml:space="preserve">less confidence </w:t>
      </w:r>
      <w:r w:rsidR="0045005D">
        <w:rPr>
          <w:rFonts w:ascii="Calibri" w:eastAsia="Calibri" w:hAnsi="Calibri" w:cs="Times New Roman"/>
          <w:lang w:eastAsia="en-AU"/>
        </w:rPr>
        <w:t>that</w:t>
      </w:r>
      <w:r w:rsidR="0045005D" w:rsidRPr="00A83633">
        <w:rPr>
          <w:rFonts w:ascii="Calibri" w:eastAsia="Calibri" w:hAnsi="Calibri" w:cs="Times New Roman"/>
          <w:lang w:eastAsia="en-AU"/>
        </w:rPr>
        <w:t xml:space="preserve"> </w:t>
      </w:r>
      <w:r w:rsidRPr="00A83633">
        <w:rPr>
          <w:rFonts w:ascii="Calibri" w:eastAsia="Calibri" w:hAnsi="Calibri" w:cs="Times New Roman"/>
          <w:lang w:eastAsia="en-AU"/>
        </w:rPr>
        <w:t xml:space="preserve">this </w:t>
      </w:r>
      <w:r w:rsidR="00AA5E52">
        <w:rPr>
          <w:rFonts w:ascii="Calibri" w:eastAsia="Calibri" w:hAnsi="Calibri" w:cs="Times New Roman"/>
          <w:lang w:eastAsia="en-AU"/>
        </w:rPr>
        <w:t>model</w:t>
      </w:r>
      <w:r w:rsidR="00AA5E52" w:rsidRPr="00A83633">
        <w:rPr>
          <w:rFonts w:ascii="Calibri" w:eastAsia="Calibri" w:hAnsi="Calibri" w:cs="Times New Roman"/>
          <w:lang w:eastAsia="en-AU"/>
        </w:rPr>
        <w:t xml:space="preserve"> </w:t>
      </w:r>
      <w:r w:rsidR="009B38ED" w:rsidRPr="00A83633">
        <w:rPr>
          <w:rFonts w:ascii="Calibri" w:eastAsia="Calibri" w:hAnsi="Calibri" w:cs="Times New Roman"/>
          <w:lang w:eastAsia="en-AU"/>
        </w:rPr>
        <w:t>i</w:t>
      </w:r>
      <w:r w:rsidR="009B38ED">
        <w:rPr>
          <w:rFonts w:ascii="Calibri" w:eastAsia="Calibri" w:hAnsi="Calibri" w:cs="Times New Roman"/>
          <w:lang w:eastAsia="en-AU"/>
        </w:rPr>
        <w:t>s</w:t>
      </w:r>
      <w:r w:rsidR="00AA5E52">
        <w:rPr>
          <w:rFonts w:ascii="Calibri" w:eastAsia="Calibri" w:hAnsi="Calibri" w:cs="Times New Roman"/>
          <w:lang w:eastAsia="en-AU"/>
        </w:rPr>
        <w:t xml:space="preserve"> the</w:t>
      </w:r>
      <w:r w:rsidR="009B38ED">
        <w:rPr>
          <w:rFonts w:ascii="Calibri" w:eastAsia="Calibri" w:hAnsi="Calibri" w:cs="Times New Roman"/>
          <w:lang w:eastAsia="en-AU"/>
        </w:rPr>
        <w:t xml:space="preserve"> most</w:t>
      </w:r>
      <w:r w:rsidR="009B38ED" w:rsidRPr="00A83633">
        <w:rPr>
          <w:rFonts w:ascii="Calibri" w:eastAsia="Calibri" w:hAnsi="Calibri" w:cs="Times New Roman"/>
          <w:lang w:eastAsia="en-AU"/>
        </w:rPr>
        <w:t xml:space="preserve"> </w:t>
      </w:r>
      <w:r w:rsidRPr="00A83633">
        <w:rPr>
          <w:rFonts w:ascii="Calibri" w:eastAsia="Calibri" w:hAnsi="Calibri" w:cs="Times New Roman"/>
          <w:lang w:eastAsia="en-AU"/>
        </w:rPr>
        <w:t xml:space="preserve">appropriate to </w:t>
      </w:r>
      <w:r w:rsidR="009B38ED">
        <w:rPr>
          <w:rFonts w:ascii="Calibri" w:eastAsia="Calibri" w:hAnsi="Calibri" w:cs="Times New Roman"/>
          <w:lang w:eastAsia="en-AU"/>
        </w:rPr>
        <w:t xml:space="preserve">realise </w:t>
      </w:r>
      <w:r w:rsidRPr="00A83633">
        <w:rPr>
          <w:rFonts w:ascii="Calibri" w:eastAsia="Calibri" w:hAnsi="Calibri" w:cs="Times New Roman"/>
          <w:lang w:eastAsia="en-AU"/>
        </w:rPr>
        <w:t>more transformative innovations</w:t>
      </w:r>
      <w:r w:rsidR="00AA5E52">
        <w:rPr>
          <w:rFonts w:ascii="Calibri" w:eastAsia="Calibri" w:hAnsi="Calibri" w:cs="Times New Roman"/>
          <w:lang w:eastAsia="en-AU"/>
        </w:rPr>
        <w:t xml:space="preserve"> because </w:t>
      </w:r>
      <w:r w:rsidR="00AD1057">
        <w:rPr>
          <w:rFonts w:ascii="Calibri" w:eastAsia="Calibri" w:hAnsi="Calibri" w:cs="Times New Roman"/>
          <w:lang w:eastAsia="en-AU"/>
        </w:rPr>
        <w:t xml:space="preserve">it may prevent greater multidisciplinary research and collaboration to address more complex environmental and social </w:t>
      </w:r>
      <w:r w:rsidRPr="00A83633">
        <w:rPr>
          <w:rFonts w:ascii="Calibri" w:eastAsia="Calibri" w:hAnsi="Calibri" w:cs="Times New Roman"/>
          <w:lang w:eastAsia="en-AU"/>
        </w:rPr>
        <w:t>objectives</w:t>
      </w:r>
      <w:r w:rsidR="00E0795A">
        <w:rPr>
          <w:rFonts w:ascii="Calibri" w:eastAsia="Calibri" w:hAnsi="Calibri" w:cs="Times New Roman"/>
          <w:lang w:eastAsia="en-AU"/>
        </w:rPr>
        <w:t xml:space="preserve">, </w:t>
      </w:r>
      <w:r w:rsidR="00AD1057">
        <w:rPr>
          <w:rFonts w:ascii="Calibri" w:eastAsia="Calibri" w:hAnsi="Calibri" w:cs="Times New Roman"/>
          <w:lang w:eastAsia="en-AU"/>
        </w:rPr>
        <w:t>such as food security</w:t>
      </w:r>
      <w:r w:rsidRPr="00A83633">
        <w:rPr>
          <w:rFonts w:ascii="Calibri" w:eastAsia="Calibri" w:hAnsi="Calibri" w:cs="Times New Roman"/>
          <w:lang w:eastAsia="en-AU"/>
        </w:rPr>
        <w:t>.</w:t>
      </w:r>
      <w:r w:rsidRPr="00A83633">
        <w:rPr>
          <w:rFonts w:ascii="Calibri" w:eastAsia="Calibri" w:hAnsi="Calibri" w:cs="Times New Roman"/>
          <w:vertAlign w:val="superscript"/>
          <w:lang w:eastAsia="en-AU"/>
        </w:rPr>
        <w:footnoteReference w:id="38"/>
      </w:r>
      <w:r w:rsidRPr="00A83633">
        <w:rPr>
          <w:rFonts w:ascii="Calibri" w:eastAsia="Calibri" w:hAnsi="Calibri" w:cs="Times New Roman"/>
          <w:lang w:eastAsia="en-AU"/>
        </w:rPr>
        <w:t xml:space="preserve"> </w:t>
      </w:r>
    </w:p>
    <w:p w14:paraId="74EB12AC" w14:textId="345C0332" w:rsidR="004A06C1" w:rsidRPr="00A83633" w:rsidRDefault="00931E04" w:rsidP="006B3A26">
      <w:pPr>
        <w:shd w:val="clear" w:color="auto" w:fill="FFFFFF"/>
        <w:spacing w:line="240" w:lineRule="auto"/>
        <w:rPr>
          <w:rFonts w:ascii="Calibri" w:eastAsia="Calibri" w:hAnsi="Calibri" w:cs="Times New Roman"/>
          <w:lang w:eastAsia="en-AU"/>
        </w:rPr>
      </w:pPr>
      <w:r w:rsidRPr="00A83633">
        <w:rPr>
          <w:rFonts w:ascii="Calibri" w:eastAsia="Calibri" w:hAnsi="Calibri" w:cs="Times New Roman"/>
          <w:lang w:eastAsia="en-AU"/>
        </w:rPr>
        <w:t>Effective system</w:t>
      </w:r>
      <w:r>
        <w:rPr>
          <w:rFonts w:ascii="Calibri" w:eastAsia="Calibri" w:hAnsi="Calibri" w:cs="Times New Roman"/>
          <w:lang w:eastAsia="en-AU"/>
        </w:rPr>
        <w:t>s</w:t>
      </w:r>
      <w:r w:rsidRPr="00A83633">
        <w:rPr>
          <w:rFonts w:ascii="Calibri" w:eastAsia="Calibri" w:hAnsi="Calibri" w:cs="Times New Roman"/>
          <w:lang w:eastAsia="en-AU"/>
        </w:rPr>
        <w:t xml:space="preserve"> for develop</w:t>
      </w:r>
      <w:r w:rsidR="009B38ED">
        <w:rPr>
          <w:rFonts w:ascii="Calibri" w:eastAsia="Calibri" w:hAnsi="Calibri" w:cs="Times New Roman"/>
          <w:lang w:eastAsia="en-AU"/>
        </w:rPr>
        <w:t>ing</w:t>
      </w:r>
      <w:r w:rsidRPr="00A83633">
        <w:rPr>
          <w:rFonts w:ascii="Calibri" w:eastAsia="Calibri" w:hAnsi="Calibri" w:cs="Times New Roman"/>
          <w:lang w:eastAsia="en-AU"/>
        </w:rPr>
        <w:t xml:space="preserve"> capabilities through collaboration are rooted </w:t>
      </w:r>
      <w:r w:rsidR="00463937">
        <w:rPr>
          <w:rFonts w:ascii="Calibri" w:eastAsia="Calibri" w:hAnsi="Calibri" w:cs="Times New Roman"/>
          <w:lang w:eastAsia="en-AU"/>
        </w:rPr>
        <w:t>in joint</w:t>
      </w:r>
      <w:r w:rsidRPr="00A83633">
        <w:rPr>
          <w:rFonts w:ascii="Calibri" w:eastAsia="Calibri" w:hAnsi="Calibri" w:cs="Times New Roman"/>
          <w:lang w:eastAsia="en-AU"/>
        </w:rPr>
        <w:t xml:space="preserve"> problem solving both at short-</w:t>
      </w:r>
      <w:r w:rsidR="00904857">
        <w:rPr>
          <w:rFonts w:ascii="Calibri" w:eastAsia="Calibri" w:hAnsi="Calibri" w:cs="Times New Roman"/>
          <w:lang w:eastAsia="en-AU"/>
        </w:rPr>
        <w:t>term</w:t>
      </w:r>
      <w:r w:rsidRPr="00A83633">
        <w:rPr>
          <w:rFonts w:ascii="Calibri" w:eastAsia="Calibri" w:hAnsi="Calibri" w:cs="Times New Roman"/>
          <w:lang w:eastAsia="en-AU"/>
        </w:rPr>
        <w:t xml:space="preserve"> and long-term horizons</w:t>
      </w:r>
      <w:r w:rsidR="00463937">
        <w:rPr>
          <w:rFonts w:ascii="Calibri" w:eastAsia="Calibri" w:hAnsi="Calibri" w:cs="Times New Roman"/>
          <w:lang w:eastAsia="en-AU"/>
        </w:rPr>
        <w:t>, backed by joint risk</w:t>
      </w:r>
      <w:r w:rsidRPr="00A83633">
        <w:rPr>
          <w:rFonts w:ascii="Calibri" w:eastAsia="Calibri" w:hAnsi="Calibri" w:cs="Times New Roman"/>
          <w:lang w:eastAsia="en-AU"/>
        </w:rPr>
        <w:t>. Innovation literature</w:t>
      </w:r>
      <w:r w:rsidRPr="00A83633">
        <w:rPr>
          <w:rFonts w:ascii="Calibri" w:eastAsia="Calibri" w:hAnsi="Calibri" w:cs="Times New Roman"/>
          <w:vertAlign w:val="superscript"/>
          <w:lang w:eastAsia="en-AU"/>
        </w:rPr>
        <w:footnoteReference w:id="39"/>
      </w:r>
      <w:r w:rsidRPr="00A83633">
        <w:rPr>
          <w:rFonts w:ascii="Calibri" w:eastAsia="Calibri" w:hAnsi="Calibri" w:cs="Times New Roman"/>
          <w:lang w:eastAsia="en-AU"/>
        </w:rPr>
        <w:t xml:space="preserve"> emphasi</w:t>
      </w:r>
      <w:r>
        <w:rPr>
          <w:rFonts w:ascii="Calibri" w:eastAsia="Calibri" w:hAnsi="Calibri" w:cs="Times New Roman"/>
          <w:lang w:eastAsia="en-AU"/>
        </w:rPr>
        <w:t>s</w:t>
      </w:r>
      <w:r w:rsidRPr="00A83633">
        <w:rPr>
          <w:rFonts w:ascii="Calibri" w:eastAsia="Calibri" w:hAnsi="Calibri" w:cs="Times New Roman"/>
          <w:lang w:eastAsia="en-AU"/>
        </w:rPr>
        <w:t>e</w:t>
      </w:r>
      <w:r w:rsidR="009B38ED">
        <w:rPr>
          <w:rFonts w:ascii="Calibri" w:eastAsia="Calibri" w:hAnsi="Calibri" w:cs="Times New Roman"/>
          <w:lang w:eastAsia="en-AU"/>
        </w:rPr>
        <w:t>s</w:t>
      </w:r>
      <w:r w:rsidRPr="00A83633">
        <w:rPr>
          <w:rFonts w:ascii="Calibri" w:eastAsia="Calibri" w:hAnsi="Calibri" w:cs="Times New Roman"/>
          <w:lang w:eastAsia="en-AU"/>
        </w:rPr>
        <w:t xml:space="preserve"> the importance</w:t>
      </w:r>
      <w:r w:rsidR="003B20CF">
        <w:rPr>
          <w:rFonts w:ascii="Calibri" w:eastAsia="Calibri" w:hAnsi="Calibri" w:cs="Times New Roman"/>
          <w:lang w:eastAsia="en-AU"/>
        </w:rPr>
        <w:t xml:space="preserve"> of ensuring</w:t>
      </w:r>
      <w:r w:rsidRPr="00A83633">
        <w:rPr>
          <w:rFonts w:ascii="Calibri" w:eastAsia="Calibri" w:hAnsi="Calibri" w:cs="Times New Roman"/>
          <w:lang w:eastAsia="en-AU"/>
        </w:rPr>
        <w:t xml:space="preserve"> that capabilities are incorporated in</w:t>
      </w:r>
      <w:r w:rsidR="003B20CF">
        <w:rPr>
          <w:rFonts w:ascii="Calibri" w:eastAsia="Calibri" w:hAnsi="Calibri" w:cs="Times New Roman"/>
          <w:lang w:eastAsia="en-AU"/>
        </w:rPr>
        <w:t>to</w:t>
      </w:r>
      <w:r w:rsidRPr="00A83633">
        <w:rPr>
          <w:rFonts w:ascii="Calibri" w:eastAsia="Calibri" w:hAnsi="Calibri" w:cs="Times New Roman"/>
          <w:lang w:eastAsia="en-AU"/>
        </w:rPr>
        <w:t xml:space="preserve"> the </w:t>
      </w:r>
      <w:r w:rsidR="003B20CF">
        <w:rPr>
          <w:rFonts w:ascii="Calibri" w:eastAsia="Calibri" w:hAnsi="Calibri" w:cs="Times New Roman"/>
          <w:lang w:eastAsia="en-AU"/>
        </w:rPr>
        <w:t>business’s</w:t>
      </w:r>
      <w:r w:rsidR="003B20CF" w:rsidRPr="00A83633">
        <w:rPr>
          <w:rFonts w:ascii="Calibri" w:eastAsia="Calibri" w:hAnsi="Calibri" w:cs="Times New Roman"/>
          <w:lang w:eastAsia="en-AU"/>
        </w:rPr>
        <w:t xml:space="preserve"> </w:t>
      </w:r>
      <w:r w:rsidRPr="00A83633">
        <w:rPr>
          <w:rFonts w:ascii="Calibri" w:eastAsia="Calibri" w:hAnsi="Calibri" w:cs="Times New Roman"/>
          <w:lang w:eastAsia="en-AU"/>
        </w:rPr>
        <w:t>routines, so they are transformed in</w:t>
      </w:r>
      <w:r w:rsidR="00765C89">
        <w:rPr>
          <w:rFonts w:ascii="Calibri" w:eastAsia="Calibri" w:hAnsi="Calibri" w:cs="Times New Roman"/>
          <w:lang w:eastAsia="en-AU"/>
        </w:rPr>
        <w:t>to</w:t>
      </w:r>
      <w:r w:rsidRPr="00A83633">
        <w:rPr>
          <w:rFonts w:ascii="Calibri" w:eastAsia="Calibri" w:hAnsi="Calibri" w:cs="Times New Roman"/>
          <w:lang w:eastAsia="en-AU"/>
        </w:rPr>
        <w:t xml:space="preserve"> </w:t>
      </w:r>
      <w:r w:rsidR="00765C89">
        <w:rPr>
          <w:rFonts w:ascii="Calibri" w:eastAsia="Calibri" w:hAnsi="Calibri" w:cs="Times New Roman"/>
          <w:lang w:eastAsia="en-AU"/>
        </w:rPr>
        <w:t>“</w:t>
      </w:r>
      <w:r w:rsidRPr="00A83633">
        <w:rPr>
          <w:rFonts w:ascii="Calibri" w:eastAsia="Calibri" w:hAnsi="Calibri" w:cs="Times New Roman"/>
          <w:lang w:eastAsia="en-AU"/>
        </w:rPr>
        <w:t>learned competences</w:t>
      </w:r>
      <w:r w:rsidR="00765C89">
        <w:rPr>
          <w:rFonts w:ascii="Calibri" w:eastAsia="Calibri" w:hAnsi="Calibri" w:cs="Times New Roman"/>
          <w:lang w:eastAsia="en-AU"/>
        </w:rPr>
        <w:t>”</w:t>
      </w:r>
      <w:r w:rsidRPr="00A83633">
        <w:rPr>
          <w:rFonts w:ascii="Calibri" w:eastAsia="Calibri" w:hAnsi="Calibri" w:cs="Times New Roman"/>
          <w:lang w:eastAsia="en-AU"/>
        </w:rPr>
        <w:t xml:space="preserve"> that the </w:t>
      </w:r>
      <w:r w:rsidR="003B20CF">
        <w:rPr>
          <w:rFonts w:ascii="Calibri" w:eastAsia="Calibri" w:hAnsi="Calibri" w:cs="Times New Roman"/>
          <w:lang w:eastAsia="en-AU"/>
        </w:rPr>
        <w:t>business</w:t>
      </w:r>
      <w:r w:rsidR="003B20CF" w:rsidRPr="00A83633">
        <w:rPr>
          <w:rFonts w:ascii="Calibri" w:eastAsia="Calibri" w:hAnsi="Calibri" w:cs="Times New Roman"/>
          <w:lang w:eastAsia="en-AU"/>
        </w:rPr>
        <w:t xml:space="preserve"> </w:t>
      </w:r>
      <w:r w:rsidRPr="00A83633">
        <w:rPr>
          <w:rFonts w:ascii="Calibri" w:eastAsia="Calibri" w:hAnsi="Calibri" w:cs="Times New Roman"/>
          <w:lang w:eastAsia="en-AU"/>
        </w:rPr>
        <w:t>uses to advance its competitive position. For most trade</w:t>
      </w:r>
      <w:r w:rsidR="002D4781">
        <w:rPr>
          <w:rFonts w:ascii="Calibri" w:eastAsia="Calibri" w:hAnsi="Calibri" w:cs="Times New Roman"/>
          <w:lang w:eastAsia="en-AU"/>
        </w:rPr>
        <w:t>-</w:t>
      </w:r>
      <w:r w:rsidRPr="00A83633">
        <w:rPr>
          <w:rFonts w:ascii="Calibri" w:eastAsia="Calibri" w:hAnsi="Calibri" w:cs="Times New Roman"/>
          <w:lang w:eastAsia="en-AU"/>
        </w:rPr>
        <w:t xml:space="preserve">exposed Australian </w:t>
      </w:r>
      <w:r w:rsidR="00671080">
        <w:rPr>
          <w:rFonts w:ascii="Calibri" w:eastAsia="Calibri" w:hAnsi="Calibri" w:cs="Times New Roman"/>
          <w:lang w:eastAsia="en-AU"/>
        </w:rPr>
        <w:t>businesses</w:t>
      </w:r>
      <w:r w:rsidRPr="00A83633">
        <w:rPr>
          <w:rFonts w:ascii="Calibri" w:eastAsia="Calibri" w:hAnsi="Calibri" w:cs="Times New Roman"/>
          <w:lang w:eastAsia="en-AU"/>
        </w:rPr>
        <w:t xml:space="preserve">, </w:t>
      </w:r>
      <w:r w:rsidR="00CB1997">
        <w:rPr>
          <w:rFonts w:ascii="Calibri" w:eastAsia="Calibri" w:hAnsi="Calibri" w:cs="Times New Roman"/>
          <w:lang w:eastAsia="en-AU"/>
        </w:rPr>
        <w:t>leveraging</w:t>
      </w:r>
      <w:r w:rsidR="00463937">
        <w:rPr>
          <w:rFonts w:ascii="Calibri" w:eastAsia="Calibri" w:hAnsi="Calibri" w:cs="Times New Roman"/>
          <w:lang w:eastAsia="en-AU"/>
        </w:rPr>
        <w:t xml:space="preserve"> and embedding themselves in </w:t>
      </w:r>
      <w:r w:rsidRPr="00A83633">
        <w:rPr>
          <w:rFonts w:ascii="Calibri" w:eastAsia="Calibri" w:hAnsi="Calibri" w:cs="Times New Roman"/>
          <w:lang w:eastAsia="en-AU"/>
        </w:rPr>
        <w:t>supply chains provide</w:t>
      </w:r>
      <w:r w:rsidR="00E143D6">
        <w:rPr>
          <w:rFonts w:ascii="Calibri" w:eastAsia="Calibri" w:hAnsi="Calibri" w:cs="Times New Roman"/>
          <w:lang w:eastAsia="en-AU"/>
        </w:rPr>
        <w:t>s</w:t>
      </w:r>
      <w:r w:rsidRPr="00A83633">
        <w:rPr>
          <w:rFonts w:ascii="Calibri" w:eastAsia="Calibri" w:hAnsi="Calibri" w:cs="Times New Roman"/>
          <w:lang w:eastAsia="en-AU"/>
        </w:rPr>
        <w:t xml:space="preserve"> the appropriate structure </w:t>
      </w:r>
      <w:r w:rsidR="00376C09">
        <w:rPr>
          <w:rFonts w:ascii="Calibri" w:eastAsia="Calibri" w:hAnsi="Calibri" w:cs="Times New Roman"/>
          <w:lang w:eastAsia="en-AU"/>
        </w:rPr>
        <w:t>in which</w:t>
      </w:r>
      <w:r w:rsidR="00376C09" w:rsidRPr="00A83633">
        <w:rPr>
          <w:rFonts w:ascii="Calibri" w:eastAsia="Calibri" w:hAnsi="Calibri" w:cs="Times New Roman"/>
          <w:lang w:eastAsia="en-AU"/>
        </w:rPr>
        <w:t xml:space="preserve"> </w:t>
      </w:r>
      <w:r w:rsidRPr="00A83633">
        <w:rPr>
          <w:rFonts w:ascii="Calibri" w:eastAsia="Calibri" w:hAnsi="Calibri" w:cs="Times New Roman"/>
          <w:lang w:eastAsia="en-AU"/>
        </w:rPr>
        <w:t xml:space="preserve">problems and opportunities can shape productive collaborative opportunities. </w:t>
      </w:r>
      <w:r w:rsidRPr="008B1908">
        <w:rPr>
          <w:rFonts w:ascii="Calibri" w:eastAsia="Calibri" w:hAnsi="Calibri" w:cs="Times New Roman"/>
          <w:lang w:eastAsia="en-AU"/>
        </w:rPr>
        <w:t xml:space="preserve">Supply chains (or value chains) are powerful mechanisms </w:t>
      </w:r>
      <w:r w:rsidR="00376C09">
        <w:rPr>
          <w:rFonts w:ascii="Calibri" w:eastAsia="Calibri" w:hAnsi="Calibri" w:cs="Times New Roman"/>
          <w:lang w:eastAsia="en-AU"/>
        </w:rPr>
        <w:t>for industry to upgrade and scale up</w:t>
      </w:r>
      <w:r w:rsidR="00CB1997">
        <w:rPr>
          <w:rFonts w:ascii="Calibri" w:eastAsia="Calibri" w:hAnsi="Calibri" w:cs="Times New Roman"/>
          <w:lang w:eastAsia="en-AU"/>
        </w:rPr>
        <w:t>. This is</w:t>
      </w:r>
      <w:r w:rsidR="00463937">
        <w:rPr>
          <w:rFonts w:ascii="Calibri" w:eastAsia="Calibri" w:hAnsi="Calibri" w:cs="Times New Roman"/>
          <w:lang w:eastAsia="en-AU"/>
        </w:rPr>
        <w:t xml:space="preserve"> driven by the</w:t>
      </w:r>
      <w:r w:rsidRPr="008B1908">
        <w:rPr>
          <w:rFonts w:ascii="Calibri" w:eastAsia="Calibri" w:hAnsi="Calibri" w:cs="Times New Roman"/>
          <w:lang w:eastAsia="en-AU"/>
        </w:rPr>
        <w:t xml:space="preserve"> need to collaborate to achieve a common objective of providing value to final customers</w:t>
      </w:r>
      <w:r w:rsidR="00CB1997">
        <w:rPr>
          <w:rFonts w:ascii="Calibri" w:eastAsia="Calibri" w:hAnsi="Calibri" w:cs="Times New Roman"/>
          <w:lang w:eastAsia="en-AU"/>
        </w:rPr>
        <w:t xml:space="preserve">. </w:t>
      </w:r>
    </w:p>
    <w:p w14:paraId="1A5DA966" w14:textId="21197469" w:rsidR="00A83633" w:rsidRPr="00F17E2C" w:rsidRDefault="00A83633" w:rsidP="00C35D33">
      <w:pPr>
        <w:pStyle w:val="Heading4"/>
        <w:rPr>
          <w:rFonts w:eastAsia="Calibri"/>
          <w:lang w:eastAsia="en-AU"/>
        </w:rPr>
      </w:pPr>
      <w:r w:rsidRPr="00F17E2C">
        <w:rPr>
          <w:rFonts w:eastAsia="Calibri"/>
          <w:lang w:eastAsia="en-AU"/>
        </w:rPr>
        <w:t xml:space="preserve">Policy </w:t>
      </w:r>
      <w:r w:rsidR="00F5298D" w:rsidRPr="00F17E2C">
        <w:rPr>
          <w:rFonts w:eastAsia="Calibri"/>
          <w:lang w:eastAsia="en-AU"/>
        </w:rPr>
        <w:t>focusse</w:t>
      </w:r>
      <w:r w:rsidR="001D021F">
        <w:rPr>
          <w:rFonts w:eastAsia="Calibri"/>
          <w:lang w:eastAsia="en-AU"/>
        </w:rPr>
        <w:t>d</w:t>
      </w:r>
      <w:r w:rsidRPr="00F17E2C">
        <w:rPr>
          <w:rFonts w:eastAsia="Calibri"/>
          <w:lang w:eastAsia="en-AU"/>
        </w:rPr>
        <w:t xml:space="preserve"> on m</w:t>
      </w:r>
      <w:r w:rsidR="009C3C82">
        <w:rPr>
          <w:rFonts w:eastAsia="Calibri"/>
          <w:lang w:eastAsia="en-AU"/>
        </w:rPr>
        <w:t>edium</w:t>
      </w:r>
      <w:r w:rsidRPr="00F17E2C">
        <w:rPr>
          <w:rFonts w:eastAsia="Calibri"/>
          <w:lang w:eastAsia="en-AU"/>
        </w:rPr>
        <w:t>-sized businesses</w:t>
      </w:r>
      <w:r w:rsidR="00931E04">
        <w:rPr>
          <w:rFonts w:eastAsia="Calibri"/>
          <w:lang w:eastAsia="en-AU"/>
        </w:rPr>
        <w:t xml:space="preserve"> – international </w:t>
      </w:r>
      <w:r w:rsidR="00F5298D">
        <w:rPr>
          <w:rFonts w:eastAsia="Calibri"/>
          <w:lang w:eastAsia="en-AU"/>
        </w:rPr>
        <w:t>comparisons</w:t>
      </w:r>
    </w:p>
    <w:p w14:paraId="40E4737F" w14:textId="18FACA76" w:rsidR="00931E04" w:rsidRDefault="00931E04" w:rsidP="006B3A26">
      <w:pPr>
        <w:rPr>
          <w:rFonts w:ascii="Calibri" w:eastAsia="Calibri" w:hAnsi="Calibri" w:cs="Times New Roman"/>
          <w:lang w:eastAsia="en-AU"/>
        </w:rPr>
      </w:pPr>
      <w:r w:rsidRPr="00931E04">
        <w:rPr>
          <w:rFonts w:ascii="Calibri" w:eastAsia="Calibri" w:hAnsi="Calibri" w:cs="Times New Roman"/>
          <w:lang w:eastAsia="en-AU"/>
        </w:rPr>
        <w:t>Medium</w:t>
      </w:r>
      <w:r w:rsidR="009C3C82">
        <w:rPr>
          <w:rFonts w:ascii="Calibri" w:eastAsia="Calibri" w:hAnsi="Calibri" w:cs="Times New Roman"/>
          <w:lang w:eastAsia="en-AU"/>
        </w:rPr>
        <w:t>-</w:t>
      </w:r>
      <w:r w:rsidRPr="00931E04">
        <w:rPr>
          <w:rFonts w:ascii="Calibri" w:eastAsia="Calibri" w:hAnsi="Calibri" w:cs="Times New Roman"/>
          <w:lang w:eastAsia="en-AU"/>
        </w:rPr>
        <w:t>sized businesses have attracted policy interest as a group of economic importance that support</w:t>
      </w:r>
      <w:r w:rsidR="009C3C82">
        <w:rPr>
          <w:rFonts w:ascii="Calibri" w:eastAsia="Calibri" w:hAnsi="Calibri" w:cs="Times New Roman"/>
          <w:lang w:eastAsia="en-AU"/>
        </w:rPr>
        <w:t>s</w:t>
      </w:r>
      <w:r w:rsidRPr="00931E04">
        <w:rPr>
          <w:rFonts w:ascii="Calibri" w:eastAsia="Calibri" w:hAnsi="Calibri" w:cs="Times New Roman"/>
          <w:lang w:eastAsia="en-AU"/>
        </w:rPr>
        <w:t xml:space="preserve"> supply chains in export-oriented industries and the economy in general. </w:t>
      </w:r>
      <w:r w:rsidR="00F619F8">
        <w:rPr>
          <w:rFonts w:ascii="Calibri" w:eastAsia="Calibri" w:hAnsi="Calibri" w:cs="Times New Roman"/>
          <w:lang w:eastAsia="en-AU"/>
        </w:rPr>
        <w:t xml:space="preserve">This is the case for </w:t>
      </w:r>
      <w:r w:rsidRPr="00931E04">
        <w:rPr>
          <w:rFonts w:ascii="Calibri" w:eastAsia="Calibri" w:hAnsi="Calibri" w:cs="Times New Roman"/>
          <w:lang w:eastAsia="en-AU"/>
        </w:rPr>
        <w:t>German</w:t>
      </w:r>
      <w:r w:rsidR="00F619F8">
        <w:rPr>
          <w:rFonts w:ascii="Calibri" w:eastAsia="Calibri" w:hAnsi="Calibri" w:cs="Times New Roman"/>
          <w:lang w:eastAsia="en-AU"/>
        </w:rPr>
        <w:t xml:space="preserve">y’s medium-sized </w:t>
      </w:r>
      <w:r w:rsidR="00671080">
        <w:rPr>
          <w:rFonts w:ascii="Calibri" w:eastAsia="Calibri" w:hAnsi="Calibri" w:cs="Times New Roman"/>
          <w:lang w:eastAsia="en-AU"/>
        </w:rPr>
        <w:t>businesses</w:t>
      </w:r>
      <w:r w:rsidR="00F619F8">
        <w:rPr>
          <w:rFonts w:ascii="Calibri" w:eastAsia="Calibri" w:hAnsi="Calibri" w:cs="Times New Roman"/>
          <w:lang w:eastAsia="en-AU"/>
        </w:rPr>
        <w:t xml:space="preserve"> (referred to as the </w:t>
      </w:r>
      <w:proofErr w:type="spellStart"/>
      <w:r w:rsidRPr="00931E04">
        <w:rPr>
          <w:rFonts w:ascii="Calibri" w:eastAsia="Calibri" w:hAnsi="Calibri" w:cs="Times New Roman"/>
          <w:lang w:eastAsia="en-AU"/>
        </w:rPr>
        <w:t>Mitt</w:t>
      </w:r>
      <w:r w:rsidR="0032657E">
        <w:rPr>
          <w:rFonts w:ascii="Calibri" w:eastAsia="Calibri" w:hAnsi="Calibri" w:cs="Times New Roman"/>
          <w:lang w:eastAsia="en-AU"/>
        </w:rPr>
        <w:t>el</w:t>
      </w:r>
      <w:r w:rsidRPr="00931E04">
        <w:rPr>
          <w:rFonts w:ascii="Calibri" w:eastAsia="Calibri" w:hAnsi="Calibri" w:cs="Times New Roman"/>
          <w:lang w:eastAsia="en-AU"/>
        </w:rPr>
        <w:t>stand</w:t>
      </w:r>
      <w:proofErr w:type="spellEnd"/>
      <w:r w:rsidR="00F619F8">
        <w:rPr>
          <w:rFonts w:ascii="Calibri" w:eastAsia="Calibri" w:hAnsi="Calibri" w:cs="Times New Roman"/>
          <w:lang w:eastAsia="en-AU"/>
        </w:rPr>
        <w:t xml:space="preserve">). The </w:t>
      </w:r>
      <w:proofErr w:type="spellStart"/>
      <w:r w:rsidR="00F619F8" w:rsidRPr="00F619F8">
        <w:rPr>
          <w:rFonts w:ascii="Calibri" w:eastAsia="Calibri" w:hAnsi="Calibri" w:cs="Times New Roman"/>
          <w:lang w:eastAsia="en-AU"/>
        </w:rPr>
        <w:t>Mitt</w:t>
      </w:r>
      <w:r w:rsidR="0032657E">
        <w:rPr>
          <w:rFonts w:ascii="Calibri" w:eastAsia="Calibri" w:hAnsi="Calibri" w:cs="Times New Roman"/>
          <w:lang w:eastAsia="en-AU"/>
        </w:rPr>
        <w:t>el</w:t>
      </w:r>
      <w:r w:rsidR="00F619F8" w:rsidRPr="00F619F8">
        <w:rPr>
          <w:rFonts w:ascii="Calibri" w:eastAsia="Calibri" w:hAnsi="Calibri" w:cs="Times New Roman"/>
          <w:lang w:eastAsia="en-AU"/>
        </w:rPr>
        <w:t>stan</w:t>
      </w:r>
      <w:r w:rsidR="00F619F8">
        <w:rPr>
          <w:rFonts w:ascii="Calibri" w:eastAsia="Calibri" w:hAnsi="Calibri" w:cs="Times New Roman"/>
          <w:lang w:eastAsia="en-AU"/>
        </w:rPr>
        <w:t>d</w:t>
      </w:r>
      <w:proofErr w:type="spellEnd"/>
      <w:r w:rsidR="00F619F8">
        <w:rPr>
          <w:rFonts w:ascii="Calibri" w:eastAsia="Calibri" w:hAnsi="Calibri" w:cs="Times New Roman"/>
          <w:lang w:eastAsia="en-AU"/>
        </w:rPr>
        <w:t xml:space="preserve"> </w:t>
      </w:r>
      <w:r w:rsidR="00E80002">
        <w:rPr>
          <w:rFonts w:ascii="Calibri" w:eastAsia="Calibri" w:hAnsi="Calibri" w:cs="Times New Roman"/>
          <w:lang w:eastAsia="en-AU"/>
        </w:rPr>
        <w:t>is</w:t>
      </w:r>
      <w:r w:rsidRPr="00931E04">
        <w:rPr>
          <w:rFonts w:ascii="Calibri" w:eastAsia="Calibri" w:hAnsi="Calibri" w:cs="Times New Roman"/>
          <w:lang w:eastAsia="en-AU"/>
        </w:rPr>
        <w:t xml:space="preserve"> the backbone of Germany</w:t>
      </w:r>
      <w:r w:rsidR="009C3C82">
        <w:rPr>
          <w:rFonts w:ascii="Calibri" w:eastAsia="Calibri" w:hAnsi="Calibri" w:cs="Times New Roman"/>
          <w:lang w:eastAsia="en-AU"/>
        </w:rPr>
        <w:t>’</w:t>
      </w:r>
      <w:r w:rsidRPr="00931E04">
        <w:rPr>
          <w:rFonts w:ascii="Calibri" w:eastAsia="Calibri" w:hAnsi="Calibri" w:cs="Times New Roman"/>
          <w:lang w:eastAsia="en-AU"/>
        </w:rPr>
        <w:t xml:space="preserve">s economy, accounting </w:t>
      </w:r>
      <w:r w:rsidR="00E80002">
        <w:rPr>
          <w:rFonts w:ascii="Calibri" w:eastAsia="Calibri" w:hAnsi="Calibri" w:cs="Times New Roman"/>
          <w:lang w:eastAsia="en-AU"/>
        </w:rPr>
        <w:t xml:space="preserve">for </w:t>
      </w:r>
      <w:r w:rsidRPr="00931E04">
        <w:rPr>
          <w:rFonts w:ascii="Calibri" w:eastAsia="Calibri" w:hAnsi="Calibri" w:cs="Times New Roman"/>
          <w:lang w:eastAsia="en-AU"/>
        </w:rPr>
        <w:t xml:space="preserve">almost 60% of the country’s employment and 34% of national revenues. Of note, the </w:t>
      </w:r>
      <w:proofErr w:type="spellStart"/>
      <w:r w:rsidRPr="00931E04">
        <w:rPr>
          <w:rFonts w:ascii="Calibri" w:eastAsia="Calibri" w:hAnsi="Calibri" w:cs="Times New Roman"/>
          <w:lang w:eastAsia="en-AU"/>
        </w:rPr>
        <w:t>Mitt</w:t>
      </w:r>
      <w:r w:rsidR="0032657E">
        <w:rPr>
          <w:rFonts w:ascii="Calibri" w:eastAsia="Calibri" w:hAnsi="Calibri" w:cs="Times New Roman"/>
          <w:lang w:eastAsia="en-AU"/>
        </w:rPr>
        <w:t>el</w:t>
      </w:r>
      <w:r w:rsidRPr="00931E04">
        <w:rPr>
          <w:rFonts w:ascii="Calibri" w:eastAsia="Calibri" w:hAnsi="Calibri" w:cs="Times New Roman"/>
          <w:lang w:eastAsia="en-AU"/>
        </w:rPr>
        <w:t>stand</w:t>
      </w:r>
      <w:proofErr w:type="spellEnd"/>
      <w:r w:rsidRPr="00931E04">
        <w:rPr>
          <w:rFonts w:ascii="Calibri" w:eastAsia="Calibri" w:hAnsi="Calibri" w:cs="Times New Roman"/>
          <w:lang w:eastAsia="en-AU"/>
        </w:rPr>
        <w:t xml:space="preserve"> displays a significantly higher diversity of businesses compared with similar</w:t>
      </w:r>
      <w:r w:rsidR="00E80002">
        <w:rPr>
          <w:rFonts w:ascii="Calibri" w:eastAsia="Calibri" w:hAnsi="Calibri" w:cs="Times New Roman"/>
          <w:lang w:eastAsia="en-AU"/>
        </w:rPr>
        <w:t>-</w:t>
      </w:r>
      <w:r w:rsidRPr="00931E04">
        <w:rPr>
          <w:rFonts w:ascii="Calibri" w:eastAsia="Calibri" w:hAnsi="Calibri" w:cs="Times New Roman"/>
          <w:lang w:eastAsia="en-AU"/>
        </w:rPr>
        <w:t>sized businesses in Australia.</w:t>
      </w:r>
      <w:r w:rsidR="00A50AAF">
        <w:rPr>
          <w:rStyle w:val="FootnoteReference"/>
          <w:rFonts w:ascii="Calibri" w:eastAsia="Calibri" w:hAnsi="Calibri" w:cs="Times New Roman"/>
          <w:lang w:eastAsia="en-AU"/>
        </w:rPr>
        <w:footnoteReference w:id="40"/>
      </w:r>
    </w:p>
    <w:p w14:paraId="1FDDF2E9" w14:textId="039FA935" w:rsidR="00931E04" w:rsidRPr="00A83633" w:rsidRDefault="00CB1997" w:rsidP="00A83633">
      <w:pPr>
        <w:rPr>
          <w:rFonts w:ascii="Calibri" w:eastAsia="Calibri" w:hAnsi="Calibri" w:cs="Times New Roman"/>
          <w:lang w:eastAsia="en-AU"/>
        </w:rPr>
      </w:pPr>
      <w:r w:rsidRPr="00CB1997">
        <w:rPr>
          <w:rFonts w:ascii="Calibri" w:eastAsia="Calibri" w:hAnsi="Calibri" w:cs="Times New Roman"/>
          <w:lang w:eastAsia="en-AU"/>
        </w:rPr>
        <w:t>Germany’s model for manufacturing has relied on world-class</w:t>
      </w:r>
      <w:r w:rsidR="002E684C">
        <w:rPr>
          <w:rFonts w:ascii="Calibri" w:eastAsia="Calibri" w:hAnsi="Calibri" w:cs="Times New Roman"/>
          <w:lang w:eastAsia="en-AU"/>
        </w:rPr>
        <w:t>,</w:t>
      </w:r>
      <w:r w:rsidRPr="00CB1997">
        <w:rPr>
          <w:rFonts w:ascii="Calibri" w:eastAsia="Calibri" w:hAnsi="Calibri" w:cs="Times New Roman"/>
          <w:lang w:eastAsia="en-AU"/>
        </w:rPr>
        <w:t xml:space="preserve"> </w:t>
      </w:r>
      <w:r>
        <w:rPr>
          <w:rFonts w:ascii="Calibri" w:eastAsia="Calibri" w:hAnsi="Calibri" w:cs="Times New Roman"/>
          <w:lang w:eastAsia="en-AU"/>
        </w:rPr>
        <w:t xml:space="preserve">internationally </w:t>
      </w:r>
      <w:r w:rsidR="00F619F8">
        <w:rPr>
          <w:rFonts w:ascii="Calibri" w:eastAsia="Calibri" w:hAnsi="Calibri" w:cs="Times New Roman"/>
          <w:lang w:eastAsia="en-AU"/>
        </w:rPr>
        <w:t xml:space="preserve">competitive </w:t>
      </w:r>
      <w:r w:rsidR="0032657E">
        <w:rPr>
          <w:rFonts w:ascii="Calibri" w:eastAsia="Calibri" w:hAnsi="Calibri" w:cs="Times New Roman"/>
          <w:lang w:eastAsia="en-AU"/>
        </w:rPr>
        <w:t>businesses</w:t>
      </w:r>
      <w:r w:rsidR="0032657E" w:rsidRPr="00CB1997">
        <w:rPr>
          <w:rFonts w:ascii="Calibri" w:eastAsia="Calibri" w:hAnsi="Calibri" w:cs="Times New Roman"/>
          <w:lang w:eastAsia="en-AU"/>
        </w:rPr>
        <w:t xml:space="preserve"> </w:t>
      </w:r>
      <w:r w:rsidRPr="00CB1997">
        <w:rPr>
          <w:rFonts w:ascii="Calibri" w:eastAsia="Calibri" w:hAnsi="Calibri" w:cs="Times New Roman"/>
          <w:lang w:eastAsia="en-AU"/>
        </w:rPr>
        <w:t xml:space="preserve">in a range of manufacturing sub-areas, underpinned by a strong, </w:t>
      </w:r>
      <w:r w:rsidR="00337E2E" w:rsidRPr="00CB1997">
        <w:rPr>
          <w:rFonts w:ascii="Calibri" w:eastAsia="Calibri" w:hAnsi="Calibri" w:cs="Times New Roman"/>
          <w:lang w:eastAsia="en-AU"/>
        </w:rPr>
        <w:t>highly productive</w:t>
      </w:r>
      <w:r w:rsidRPr="00CB1997">
        <w:rPr>
          <w:rFonts w:ascii="Calibri" w:eastAsia="Calibri" w:hAnsi="Calibri" w:cs="Times New Roman"/>
          <w:lang w:eastAsia="en-AU"/>
        </w:rPr>
        <w:t xml:space="preserve"> network of medium-sized </w:t>
      </w:r>
      <w:r w:rsidR="00671080">
        <w:rPr>
          <w:rFonts w:ascii="Calibri" w:eastAsia="Calibri" w:hAnsi="Calibri" w:cs="Times New Roman"/>
          <w:lang w:eastAsia="en-AU"/>
        </w:rPr>
        <w:t>businesses</w:t>
      </w:r>
      <w:r w:rsidR="00F619F8">
        <w:rPr>
          <w:rFonts w:ascii="Calibri" w:eastAsia="Calibri" w:hAnsi="Calibri" w:cs="Times New Roman"/>
          <w:lang w:eastAsia="en-AU"/>
        </w:rPr>
        <w:t xml:space="preserve"> </w:t>
      </w:r>
      <w:r w:rsidRPr="00CB1997">
        <w:rPr>
          <w:rFonts w:ascii="Calibri" w:eastAsia="Calibri" w:hAnsi="Calibri" w:cs="Times New Roman"/>
          <w:lang w:eastAsia="en-AU"/>
        </w:rPr>
        <w:t>that operate in niche areas to maintain a strong market position. This, along with encouraging collaboration</w:t>
      </w:r>
      <w:r w:rsidR="002E684C">
        <w:rPr>
          <w:rFonts w:ascii="Calibri" w:eastAsia="Calibri" w:hAnsi="Calibri" w:cs="Times New Roman"/>
          <w:lang w:eastAsia="en-AU"/>
        </w:rPr>
        <w:t>,</w:t>
      </w:r>
      <w:r w:rsidRPr="00CB1997">
        <w:rPr>
          <w:rFonts w:ascii="Calibri" w:eastAsia="Calibri" w:hAnsi="Calibri" w:cs="Times New Roman"/>
          <w:lang w:eastAsia="en-AU"/>
        </w:rPr>
        <w:t xml:space="preserve"> has allowed Germany to be a world-leading exporter of high-value manufacturing goods, which account for approximately 1</w:t>
      </w:r>
      <w:r w:rsidR="00F619F8">
        <w:rPr>
          <w:rFonts w:ascii="Calibri" w:eastAsia="Calibri" w:hAnsi="Calibri" w:cs="Times New Roman"/>
          <w:lang w:eastAsia="en-AU"/>
        </w:rPr>
        <w:t>8</w:t>
      </w:r>
      <w:r w:rsidR="00671080">
        <w:rPr>
          <w:rFonts w:ascii="Calibri" w:eastAsia="Calibri" w:hAnsi="Calibri" w:cs="Times New Roman"/>
          <w:lang w:eastAsia="en-AU"/>
        </w:rPr>
        <w:t>%</w:t>
      </w:r>
      <w:r w:rsidRPr="00CB1997">
        <w:rPr>
          <w:rFonts w:ascii="Calibri" w:eastAsia="Calibri" w:hAnsi="Calibri" w:cs="Times New Roman"/>
          <w:lang w:eastAsia="en-AU"/>
        </w:rPr>
        <w:t xml:space="preserve"> of </w:t>
      </w:r>
      <w:r w:rsidR="004B01FA">
        <w:rPr>
          <w:rFonts w:ascii="Calibri" w:eastAsia="Calibri" w:hAnsi="Calibri" w:cs="Times New Roman"/>
          <w:lang w:eastAsia="en-AU"/>
        </w:rPr>
        <w:t>g</w:t>
      </w:r>
      <w:r w:rsidR="004B01FA" w:rsidRPr="004B01FA">
        <w:rPr>
          <w:rFonts w:ascii="Calibri" w:eastAsia="Calibri" w:hAnsi="Calibri" w:cs="Times New Roman"/>
          <w:lang w:eastAsia="en-AU"/>
        </w:rPr>
        <w:t xml:space="preserve">ross domestic product </w:t>
      </w:r>
      <w:r w:rsidR="004B01FA">
        <w:rPr>
          <w:rFonts w:ascii="Calibri" w:eastAsia="Calibri" w:hAnsi="Calibri" w:cs="Times New Roman"/>
          <w:lang w:eastAsia="en-AU"/>
        </w:rPr>
        <w:t>(</w:t>
      </w:r>
      <w:r w:rsidRPr="00CB1997">
        <w:rPr>
          <w:rFonts w:ascii="Calibri" w:eastAsia="Calibri" w:hAnsi="Calibri" w:cs="Times New Roman"/>
          <w:lang w:eastAsia="en-AU"/>
        </w:rPr>
        <w:t>GDP</w:t>
      </w:r>
      <w:r w:rsidR="004B01FA">
        <w:rPr>
          <w:rFonts w:ascii="Calibri" w:eastAsia="Calibri" w:hAnsi="Calibri" w:cs="Times New Roman"/>
          <w:lang w:eastAsia="en-AU"/>
        </w:rPr>
        <w:t>)</w:t>
      </w:r>
      <w:r w:rsidRPr="00CB1997">
        <w:rPr>
          <w:rFonts w:ascii="Calibri" w:eastAsia="Calibri" w:hAnsi="Calibri" w:cs="Times New Roman"/>
          <w:lang w:eastAsia="en-AU"/>
        </w:rPr>
        <w:t xml:space="preserve"> and </w:t>
      </w:r>
      <w:r w:rsidR="004B01FA" w:rsidRPr="004B01FA">
        <w:rPr>
          <w:rFonts w:ascii="Calibri" w:eastAsia="Calibri" w:hAnsi="Calibri" w:cs="Times New Roman"/>
          <w:lang w:eastAsia="en-AU"/>
        </w:rPr>
        <w:t xml:space="preserve">gross value added </w:t>
      </w:r>
      <w:r w:rsidR="004B01FA">
        <w:rPr>
          <w:rFonts w:ascii="Calibri" w:eastAsia="Calibri" w:hAnsi="Calibri" w:cs="Times New Roman"/>
          <w:lang w:eastAsia="en-AU"/>
        </w:rPr>
        <w:t>(</w:t>
      </w:r>
      <w:r w:rsidRPr="00CB1997">
        <w:rPr>
          <w:rFonts w:ascii="Calibri" w:eastAsia="Calibri" w:hAnsi="Calibri" w:cs="Times New Roman"/>
          <w:lang w:eastAsia="en-AU"/>
        </w:rPr>
        <w:t>GVA</w:t>
      </w:r>
      <w:r w:rsidR="004B01FA">
        <w:rPr>
          <w:rFonts w:ascii="Calibri" w:eastAsia="Calibri" w:hAnsi="Calibri" w:cs="Times New Roman"/>
          <w:lang w:eastAsia="en-AU"/>
        </w:rPr>
        <w:t>)</w:t>
      </w:r>
      <w:r w:rsidRPr="00CB1997">
        <w:rPr>
          <w:rFonts w:ascii="Calibri" w:eastAsia="Calibri" w:hAnsi="Calibri" w:cs="Times New Roman"/>
          <w:lang w:eastAsia="en-AU"/>
        </w:rPr>
        <w:t xml:space="preserve"> (as of 20</w:t>
      </w:r>
      <w:r w:rsidR="00F619F8">
        <w:rPr>
          <w:rFonts w:ascii="Calibri" w:eastAsia="Calibri" w:hAnsi="Calibri" w:cs="Times New Roman"/>
          <w:lang w:eastAsia="en-AU"/>
        </w:rPr>
        <w:t>21</w:t>
      </w:r>
      <w:r w:rsidRPr="00CB1997">
        <w:rPr>
          <w:rFonts w:ascii="Calibri" w:eastAsia="Calibri" w:hAnsi="Calibri" w:cs="Times New Roman"/>
          <w:lang w:eastAsia="en-AU"/>
        </w:rPr>
        <w:t>).</w:t>
      </w:r>
    </w:p>
    <w:p w14:paraId="00B4C71D" w14:textId="1B7A98E7" w:rsidR="00F619F8" w:rsidRPr="00F619F8" w:rsidRDefault="00F619F8" w:rsidP="00900E1C">
      <w:pPr>
        <w:rPr>
          <w:rFonts w:ascii="Calibri" w:eastAsia="Calibri" w:hAnsi="Calibri" w:cs="Times New Roman"/>
        </w:rPr>
      </w:pPr>
      <w:r>
        <w:rPr>
          <w:rFonts w:ascii="Calibri" w:eastAsia="Calibri" w:hAnsi="Calibri" w:cs="Times New Roman"/>
        </w:rPr>
        <w:t>T</w:t>
      </w:r>
      <w:r w:rsidRPr="00F619F8">
        <w:rPr>
          <w:rFonts w:ascii="Calibri" w:eastAsia="Calibri" w:hAnsi="Calibri" w:cs="Times New Roman"/>
        </w:rPr>
        <w:t xml:space="preserve">he </w:t>
      </w:r>
      <w:proofErr w:type="spellStart"/>
      <w:r w:rsidRPr="00F619F8">
        <w:rPr>
          <w:rFonts w:ascii="Calibri" w:eastAsia="Calibri" w:hAnsi="Calibri" w:cs="Times New Roman"/>
        </w:rPr>
        <w:t>Mittelstand</w:t>
      </w:r>
      <w:proofErr w:type="spellEnd"/>
      <w:r w:rsidRPr="00F619F8">
        <w:rPr>
          <w:rFonts w:ascii="Calibri" w:eastAsia="Calibri" w:hAnsi="Calibri" w:cs="Times New Roman"/>
        </w:rPr>
        <w:t xml:space="preserve"> </w:t>
      </w:r>
      <w:r w:rsidR="00A070D5">
        <w:rPr>
          <w:rFonts w:ascii="Calibri" w:eastAsia="Calibri" w:hAnsi="Calibri" w:cs="Times New Roman"/>
        </w:rPr>
        <w:t>includes</w:t>
      </w:r>
      <w:r w:rsidRPr="00F619F8">
        <w:rPr>
          <w:rFonts w:ascii="Calibri" w:eastAsia="Calibri" w:hAnsi="Calibri" w:cs="Times New Roman"/>
        </w:rPr>
        <w:t xml:space="preserve"> over 99</w:t>
      </w:r>
      <w:r w:rsidR="00671080">
        <w:rPr>
          <w:rFonts w:ascii="Calibri" w:eastAsia="Calibri" w:hAnsi="Calibri" w:cs="Times New Roman"/>
        </w:rPr>
        <w:t>%</w:t>
      </w:r>
      <w:r w:rsidRPr="00F619F8">
        <w:rPr>
          <w:rFonts w:ascii="Calibri" w:eastAsia="Calibri" w:hAnsi="Calibri" w:cs="Times New Roman"/>
        </w:rPr>
        <w:t xml:space="preserve"> of all </w:t>
      </w:r>
      <w:r w:rsidR="0032657E">
        <w:rPr>
          <w:rFonts w:ascii="Calibri" w:eastAsia="Calibri" w:hAnsi="Calibri" w:cs="Times New Roman"/>
        </w:rPr>
        <w:t>businesses</w:t>
      </w:r>
      <w:r w:rsidR="0032657E" w:rsidRPr="00F619F8">
        <w:rPr>
          <w:rFonts w:ascii="Calibri" w:eastAsia="Calibri" w:hAnsi="Calibri" w:cs="Times New Roman"/>
        </w:rPr>
        <w:t xml:space="preserve"> </w:t>
      </w:r>
      <w:r w:rsidRPr="00F619F8">
        <w:rPr>
          <w:rFonts w:ascii="Calibri" w:eastAsia="Calibri" w:hAnsi="Calibri" w:cs="Times New Roman"/>
        </w:rPr>
        <w:t>in Germany.</w:t>
      </w:r>
      <w:r w:rsidRPr="00F619F8">
        <w:rPr>
          <w:rFonts w:ascii="Calibri" w:eastAsia="Calibri" w:hAnsi="Calibri" w:cs="Times New Roman"/>
          <w:vertAlign w:val="superscript"/>
        </w:rPr>
        <w:footnoteReference w:id="41"/>
      </w:r>
      <w:r w:rsidRPr="00F619F8">
        <w:rPr>
          <w:rFonts w:ascii="Calibri" w:eastAsia="Calibri" w:hAnsi="Calibri" w:cs="Times New Roman"/>
        </w:rPr>
        <w:t xml:space="preserve"> The approach of the </w:t>
      </w:r>
      <w:proofErr w:type="spellStart"/>
      <w:r w:rsidRPr="00F619F8">
        <w:rPr>
          <w:rFonts w:ascii="Calibri" w:eastAsia="Calibri" w:hAnsi="Calibri" w:cs="Times New Roman"/>
        </w:rPr>
        <w:t>Mittelstand</w:t>
      </w:r>
      <w:proofErr w:type="spellEnd"/>
      <w:r w:rsidRPr="00F619F8">
        <w:rPr>
          <w:rFonts w:ascii="Calibri" w:eastAsia="Calibri" w:hAnsi="Calibri" w:cs="Times New Roman"/>
        </w:rPr>
        <w:t xml:space="preserve"> model is to encourage large number</w:t>
      </w:r>
      <w:r w:rsidR="00A070D5">
        <w:rPr>
          <w:rFonts w:ascii="Calibri" w:eastAsia="Calibri" w:hAnsi="Calibri" w:cs="Times New Roman"/>
        </w:rPr>
        <w:t>s</w:t>
      </w:r>
      <w:r w:rsidRPr="00F619F8">
        <w:rPr>
          <w:rFonts w:ascii="Calibri" w:eastAsia="Calibri" w:hAnsi="Calibri" w:cs="Times New Roman"/>
        </w:rPr>
        <w:t xml:space="preserve"> of diverse </w:t>
      </w:r>
      <w:r w:rsidR="00601899">
        <w:rPr>
          <w:rFonts w:ascii="Calibri" w:eastAsia="Calibri" w:hAnsi="Calibri" w:cs="Times New Roman"/>
        </w:rPr>
        <w:t>small and medium enterprises (</w:t>
      </w:r>
      <w:r w:rsidRPr="00F619F8">
        <w:rPr>
          <w:rFonts w:ascii="Calibri" w:eastAsia="Calibri" w:hAnsi="Calibri" w:cs="Times New Roman"/>
        </w:rPr>
        <w:t>SMEs</w:t>
      </w:r>
      <w:r w:rsidR="00601899">
        <w:rPr>
          <w:rFonts w:ascii="Calibri" w:eastAsia="Calibri" w:hAnsi="Calibri" w:cs="Times New Roman"/>
        </w:rPr>
        <w:t>)</w:t>
      </w:r>
      <w:r w:rsidRPr="00F619F8">
        <w:rPr>
          <w:rFonts w:ascii="Calibri" w:eastAsia="Calibri" w:hAnsi="Calibri" w:cs="Times New Roman"/>
        </w:rPr>
        <w:t xml:space="preserve"> that can produce high-quality goods in niche areas, thereby maintaining their manufacturing capabilities and capturing a strong market share in those specialised areas. </w:t>
      </w:r>
    </w:p>
    <w:p w14:paraId="050B7B29" w14:textId="762E8053" w:rsidR="009C5918" w:rsidRDefault="00F619F8" w:rsidP="00574AAE">
      <w:pPr>
        <w:rPr>
          <w:rFonts w:ascii="Calibri" w:eastAsia="Calibri" w:hAnsi="Calibri" w:cs="Times New Roman"/>
        </w:rPr>
      </w:pPr>
      <w:r w:rsidRPr="00F619F8">
        <w:rPr>
          <w:rFonts w:ascii="Calibri" w:eastAsia="Calibri" w:hAnsi="Calibri" w:cs="Times New Roman"/>
        </w:rPr>
        <w:t xml:space="preserve">Germany has also minimised barriers to scale by making the necessary investments to retain their role as a differentiated manufacturing destination. High investment in innovation (for example, process innovation, </w:t>
      </w:r>
      <w:proofErr w:type="gramStart"/>
      <w:r w:rsidRPr="00F619F8">
        <w:rPr>
          <w:rFonts w:ascii="Calibri" w:eastAsia="Calibri" w:hAnsi="Calibri" w:cs="Times New Roman"/>
        </w:rPr>
        <w:t>technology</w:t>
      </w:r>
      <w:proofErr w:type="gramEnd"/>
      <w:r w:rsidRPr="00F619F8">
        <w:rPr>
          <w:rFonts w:ascii="Calibri" w:eastAsia="Calibri" w:hAnsi="Calibri" w:cs="Times New Roman"/>
        </w:rPr>
        <w:t xml:space="preserve"> and digitisation) has allowed SMEs to remain competitive. </w:t>
      </w:r>
      <w:r w:rsidR="00671080">
        <w:rPr>
          <w:rFonts w:ascii="Calibri" w:eastAsia="Calibri" w:hAnsi="Calibri" w:cs="Times New Roman"/>
        </w:rPr>
        <w:t>Businesses</w:t>
      </w:r>
      <w:r w:rsidRPr="00F619F8">
        <w:rPr>
          <w:rFonts w:ascii="Calibri" w:eastAsia="Calibri" w:hAnsi="Calibri" w:cs="Times New Roman"/>
        </w:rPr>
        <w:t xml:space="preserve"> typically link their production networks with their R&amp;D</w:t>
      </w:r>
      <w:r w:rsidR="0043773D">
        <w:rPr>
          <w:rFonts w:ascii="Calibri" w:eastAsia="Calibri" w:hAnsi="Calibri" w:cs="Times New Roman"/>
        </w:rPr>
        <w:t>. T</w:t>
      </w:r>
      <w:r w:rsidRPr="00F619F8">
        <w:rPr>
          <w:rFonts w:ascii="Calibri" w:eastAsia="Calibri" w:hAnsi="Calibri" w:cs="Times New Roman"/>
        </w:rPr>
        <w:t xml:space="preserve">his </w:t>
      </w:r>
      <w:proofErr w:type="gramStart"/>
      <w:r w:rsidRPr="00F619F8">
        <w:rPr>
          <w:rFonts w:ascii="Calibri" w:eastAsia="Calibri" w:hAnsi="Calibri" w:cs="Times New Roman"/>
        </w:rPr>
        <w:t>close proximity</w:t>
      </w:r>
      <w:proofErr w:type="gramEnd"/>
      <w:r w:rsidRPr="00F619F8">
        <w:rPr>
          <w:rFonts w:ascii="Calibri" w:eastAsia="Calibri" w:hAnsi="Calibri" w:cs="Times New Roman"/>
        </w:rPr>
        <w:t xml:space="preserve"> and investment has created productivity gains and closer collaboration between businesses and innovation activity. </w:t>
      </w:r>
      <w:r w:rsidR="00AA5E52">
        <w:rPr>
          <w:rFonts w:ascii="Calibri" w:eastAsia="Calibri" w:hAnsi="Calibri" w:cs="Times New Roman"/>
        </w:rPr>
        <w:t xml:space="preserve">German </w:t>
      </w:r>
      <w:r w:rsidRPr="00F619F8">
        <w:rPr>
          <w:rFonts w:ascii="Calibri" w:eastAsia="Calibri" w:hAnsi="Calibri" w:cs="Times New Roman"/>
        </w:rPr>
        <w:t xml:space="preserve">SMEs also have strong engagement with larger </w:t>
      </w:r>
      <w:r w:rsidR="0032657E">
        <w:rPr>
          <w:rFonts w:ascii="Calibri" w:eastAsia="Calibri" w:hAnsi="Calibri" w:cs="Times New Roman"/>
        </w:rPr>
        <w:t>businesses</w:t>
      </w:r>
      <w:r w:rsidR="0032657E" w:rsidRPr="00F619F8">
        <w:rPr>
          <w:rFonts w:ascii="Calibri" w:eastAsia="Calibri" w:hAnsi="Calibri" w:cs="Times New Roman"/>
        </w:rPr>
        <w:t xml:space="preserve"> </w:t>
      </w:r>
      <w:r w:rsidRPr="00F619F8">
        <w:rPr>
          <w:rFonts w:ascii="Calibri" w:eastAsia="Calibri" w:hAnsi="Calibri" w:cs="Times New Roman"/>
        </w:rPr>
        <w:t>and customer relationships to build their supply chains and implement innovation and complex products and services</w:t>
      </w:r>
      <w:r w:rsidR="001D13E2">
        <w:rPr>
          <w:rFonts w:ascii="Calibri" w:eastAsia="Calibri" w:hAnsi="Calibri" w:cs="Times New Roman"/>
        </w:rPr>
        <w:t>. This</w:t>
      </w:r>
      <w:r w:rsidRPr="00F619F8">
        <w:rPr>
          <w:rFonts w:ascii="Calibri" w:eastAsia="Calibri" w:hAnsi="Calibri" w:cs="Times New Roman"/>
        </w:rPr>
        <w:t xml:space="preserve"> is due to their status as a market leader.  </w:t>
      </w:r>
    </w:p>
    <w:p w14:paraId="70FDD96D" w14:textId="77777777" w:rsidR="009C5918" w:rsidRDefault="009C5918">
      <w:pPr>
        <w:rPr>
          <w:rFonts w:ascii="Calibri" w:eastAsia="Calibri" w:hAnsi="Calibri" w:cs="Times New Roman"/>
        </w:rPr>
      </w:pPr>
      <w:r>
        <w:rPr>
          <w:rFonts w:ascii="Calibri" w:eastAsia="Calibri" w:hAnsi="Calibri" w:cs="Times New Roman"/>
        </w:rPr>
        <w:br w:type="page"/>
      </w:r>
    </w:p>
    <w:p w14:paraId="10030EE5" w14:textId="581860D9" w:rsidR="007100C8" w:rsidRPr="007100C8" w:rsidRDefault="007100C8" w:rsidP="00DC1525">
      <w:pPr>
        <w:shd w:val="clear" w:color="auto" w:fill="001948" w:themeFill="text1" w:themeFillShade="80"/>
        <w:spacing w:after="0"/>
        <w:ind w:right="-755"/>
        <w:rPr>
          <w:rFonts w:ascii="Calibri" w:eastAsia="Calibri" w:hAnsi="Calibri" w:cs="Times New Roman"/>
          <w:color w:val="FFFFFF"/>
        </w:rPr>
      </w:pPr>
      <w:r w:rsidRPr="007100C8">
        <w:rPr>
          <w:b/>
          <w:i/>
          <w:color w:val="FFFFFF"/>
          <w:szCs w:val="18"/>
        </w:rPr>
        <w:t xml:space="preserve">Table </w:t>
      </w:r>
      <w:r w:rsidRPr="007100C8">
        <w:rPr>
          <w:b/>
          <w:bCs/>
          <w:i/>
          <w:iCs/>
          <w:color w:val="FFFFFF"/>
          <w:szCs w:val="18"/>
        </w:rPr>
        <w:t>2</w:t>
      </w:r>
      <w:r w:rsidRPr="007100C8">
        <w:rPr>
          <w:b/>
          <w:i/>
          <w:color w:val="FFFFFF"/>
          <w:szCs w:val="18"/>
        </w:rPr>
        <w:t>. Measures to support SMEs in Germany</w:t>
      </w:r>
    </w:p>
    <w:tbl>
      <w:tblPr>
        <w:tblStyle w:val="TableGridLight"/>
        <w:tblW w:w="9634" w:type="dxa"/>
        <w:tblLook w:val="04A0" w:firstRow="1" w:lastRow="0" w:firstColumn="1" w:lastColumn="0" w:noHBand="0" w:noVBand="1"/>
        <w:tblCaption w:val="Table 2: Measures to support SMEs in Germany"/>
        <w:tblDescription w:val="Table includes descriptions of three measures to support SMEs in Germany"/>
      </w:tblPr>
      <w:tblGrid>
        <w:gridCol w:w="3005"/>
        <w:gridCol w:w="3227"/>
        <w:gridCol w:w="3402"/>
      </w:tblGrid>
      <w:tr w:rsidR="00662455" w:rsidRPr="00900E1C" w14:paraId="7E5E8750" w14:textId="77777777" w:rsidTr="009C5918">
        <w:tc>
          <w:tcPr>
            <w:tcW w:w="3005" w:type="dxa"/>
          </w:tcPr>
          <w:p w14:paraId="2D8F7FD5" w14:textId="77777777" w:rsidR="00662455" w:rsidRPr="00900E1C" w:rsidRDefault="00662455" w:rsidP="00662455">
            <w:pPr>
              <w:rPr>
                <w:rFonts w:ascii="Calibri" w:eastAsia="Calibri" w:hAnsi="Calibri" w:cs="Times New Roman"/>
                <w:b/>
                <w:bCs/>
                <w:sz w:val="20"/>
                <w:szCs w:val="20"/>
              </w:rPr>
            </w:pPr>
            <w:r w:rsidRPr="00900E1C">
              <w:rPr>
                <w:rFonts w:ascii="Calibri" w:eastAsia="Calibri" w:hAnsi="Calibri" w:cs="Times New Roman"/>
                <w:b/>
                <w:bCs/>
                <w:sz w:val="20"/>
                <w:szCs w:val="20"/>
              </w:rPr>
              <w:t>Competence Centres</w:t>
            </w:r>
          </w:p>
          <w:p w14:paraId="7773805E" w14:textId="415C1FA0" w:rsidR="00662455" w:rsidRPr="00900E1C" w:rsidRDefault="00662455" w:rsidP="002067AD">
            <w:pPr>
              <w:rPr>
                <w:rFonts w:ascii="Calibri" w:eastAsia="Calibri" w:hAnsi="Calibri" w:cs="Times New Roman"/>
                <w:sz w:val="20"/>
                <w:szCs w:val="20"/>
              </w:rPr>
            </w:pPr>
            <w:r w:rsidRPr="00900E1C">
              <w:rPr>
                <w:rFonts w:ascii="Calibri" w:eastAsia="Calibri" w:hAnsi="Calibri" w:cs="Times New Roman"/>
                <w:sz w:val="20"/>
                <w:szCs w:val="20"/>
              </w:rPr>
              <w:t xml:space="preserve">Provide training for SMEs, facilitate collaboration between SMEs, </w:t>
            </w:r>
            <w:proofErr w:type="gramStart"/>
            <w:r w:rsidRPr="00900E1C">
              <w:rPr>
                <w:rFonts w:ascii="Calibri" w:eastAsia="Calibri" w:hAnsi="Calibri" w:cs="Times New Roman"/>
                <w:sz w:val="20"/>
                <w:szCs w:val="20"/>
              </w:rPr>
              <w:t>primes</w:t>
            </w:r>
            <w:proofErr w:type="gramEnd"/>
            <w:r w:rsidRPr="00900E1C">
              <w:rPr>
                <w:rFonts w:ascii="Calibri" w:eastAsia="Calibri" w:hAnsi="Calibri" w:cs="Times New Roman"/>
                <w:sz w:val="20"/>
                <w:szCs w:val="20"/>
              </w:rPr>
              <w:t xml:space="preserve"> and research organisations (</w:t>
            </w:r>
            <w:r w:rsidR="001D4F03" w:rsidRPr="001D4F03">
              <w:rPr>
                <w:rFonts w:ascii="Calibri" w:eastAsia="Calibri" w:hAnsi="Calibri" w:cs="Times New Roman"/>
                <w:sz w:val="20"/>
                <w:szCs w:val="20"/>
              </w:rPr>
              <w:t>i.e.,</w:t>
            </w:r>
            <w:r w:rsidRPr="00900E1C">
              <w:rPr>
                <w:rFonts w:ascii="Calibri" w:eastAsia="Calibri" w:hAnsi="Calibri" w:cs="Times New Roman"/>
                <w:sz w:val="20"/>
                <w:szCs w:val="20"/>
              </w:rPr>
              <w:t xml:space="preserve"> </w:t>
            </w:r>
            <w:proofErr w:type="spellStart"/>
            <w:r w:rsidRPr="00900E1C">
              <w:rPr>
                <w:rFonts w:ascii="Calibri" w:eastAsia="Calibri" w:hAnsi="Calibri" w:cs="Times New Roman"/>
                <w:sz w:val="20"/>
                <w:szCs w:val="20"/>
              </w:rPr>
              <w:t>Fraunhofers</w:t>
            </w:r>
            <w:proofErr w:type="spellEnd"/>
            <w:r w:rsidRPr="00900E1C">
              <w:rPr>
                <w:rFonts w:ascii="Calibri" w:eastAsia="Calibri" w:hAnsi="Calibri" w:cs="Times New Roman"/>
                <w:sz w:val="20"/>
                <w:szCs w:val="20"/>
              </w:rPr>
              <w:t xml:space="preserve">). Inter-company vocational training centres targeted at apprentices. </w:t>
            </w:r>
            <w:r w:rsidR="00E259D5">
              <w:rPr>
                <w:rFonts w:ascii="Calibri" w:eastAsia="Calibri" w:hAnsi="Calibri" w:cs="Times New Roman"/>
                <w:sz w:val="20"/>
                <w:szCs w:val="20"/>
              </w:rPr>
              <w:t>“</w:t>
            </w:r>
            <w:proofErr w:type="spellStart"/>
            <w:r w:rsidRPr="00900E1C">
              <w:rPr>
                <w:rFonts w:ascii="Calibri" w:eastAsia="Calibri" w:hAnsi="Calibri" w:cs="Times New Roman"/>
                <w:sz w:val="20"/>
                <w:szCs w:val="20"/>
              </w:rPr>
              <w:t>Mittelstand</w:t>
            </w:r>
            <w:proofErr w:type="spellEnd"/>
            <w:r w:rsidRPr="00900E1C">
              <w:rPr>
                <w:rFonts w:ascii="Calibri" w:eastAsia="Calibri" w:hAnsi="Calibri" w:cs="Times New Roman"/>
                <w:sz w:val="20"/>
                <w:szCs w:val="20"/>
              </w:rPr>
              <w:t xml:space="preserve"> 4.0</w:t>
            </w:r>
            <w:r w:rsidR="00E259D5">
              <w:rPr>
                <w:rFonts w:ascii="Calibri" w:eastAsia="Calibri" w:hAnsi="Calibri" w:cs="Times New Roman"/>
                <w:sz w:val="20"/>
                <w:szCs w:val="20"/>
              </w:rPr>
              <w:t>”</w:t>
            </w:r>
            <w:r w:rsidRPr="00900E1C">
              <w:rPr>
                <w:rFonts w:ascii="Calibri" w:eastAsia="Calibri" w:hAnsi="Calibri" w:cs="Times New Roman"/>
                <w:sz w:val="20"/>
                <w:szCs w:val="20"/>
              </w:rPr>
              <w:t xml:space="preserve"> provides knowledge and examples of best practice in adoption of digital technology.</w:t>
            </w:r>
          </w:p>
        </w:tc>
        <w:tc>
          <w:tcPr>
            <w:tcW w:w="3227" w:type="dxa"/>
          </w:tcPr>
          <w:p w14:paraId="57E0B9C2" w14:textId="0731EF1D" w:rsidR="00662455" w:rsidRPr="00900E1C" w:rsidRDefault="00B1048A" w:rsidP="00662455">
            <w:pPr>
              <w:rPr>
                <w:rFonts w:ascii="Calibri" w:eastAsia="Calibri" w:hAnsi="Calibri" w:cs="Times New Roman"/>
                <w:sz w:val="20"/>
                <w:szCs w:val="20"/>
              </w:rPr>
            </w:pPr>
            <w:r w:rsidRPr="00B1048A">
              <w:rPr>
                <w:rFonts w:ascii="Calibri" w:eastAsia="Calibri" w:hAnsi="Calibri" w:cs="Times New Roman"/>
                <w:b/>
                <w:bCs/>
                <w:sz w:val="20"/>
                <w:szCs w:val="20"/>
              </w:rPr>
              <w:t xml:space="preserve">Fraunhofer-Gesellschaft </w:t>
            </w:r>
            <w:r w:rsidR="00662455" w:rsidRPr="00900E1C">
              <w:rPr>
                <w:rFonts w:ascii="Calibri" w:eastAsia="Calibri" w:hAnsi="Calibri" w:cs="Times New Roman"/>
                <w:sz w:val="20"/>
                <w:szCs w:val="20"/>
              </w:rPr>
              <w:t xml:space="preserve">Network of institutes that perform </w:t>
            </w:r>
            <w:r w:rsidR="00662455" w:rsidRPr="00AD1057">
              <w:rPr>
                <w:rFonts w:ascii="Calibri" w:eastAsia="Calibri" w:hAnsi="Calibri" w:cs="Times New Roman"/>
                <w:sz w:val="20"/>
                <w:szCs w:val="20"/>
              </w:rPr>
              <w:t>contract research for industry,</w:t>
            </w:r>
            <w:r w:rsidR="00662455" w:rsidRPr="00900E1C">
              <w:rPr>
                <w:rFonts w:ascii="Calibri" w:eastAsia="Calibri" w:hAnsi="Calibri" w:cs="Times New Roman"/>
                <w:sz w:val="20"/>
                <w:szCs w:val="20"/>
              </w:rPr>
              <w:t xml:space="preserve"> especially SMEs, to bridge </w:t>
            </w:r>
            <w:r w:rsidR="00510904">
              <w:rPr>
                <w:rFonts w:ascii="Calibri" w:eastAsia="Calibri" w:hAnsi="Calibri" w:cs="Times New Roman"/>
                <w:sz w:val="20"/>
                <w:szCs w:val="20"/>
              </w:rPr>
              <w:t xml:space="preserve">the </w:t>
            </w:r>
            <w:r w:rsidR="00662455" w:rsidRPr="00900E1C">
              <w:rPr>
                <w:rFonts w:ascii="Calibri" w:eastAsia="Calibri" w:hAnsi="Calibri" w:cs="Times New Roman"/>
                <w:sz w:val="20"/>
                <w:szCs w:val="20"/>
              </w:rPr>
              <w:t xml:space="preserve">gap </w:t>
            </w:r>
            <w:r w:rsidR="00F5298D" w:rsidRPr="00900E1C">
              <w:rPr>
                <w:rFonts w:ascii="Calibri" w:eastAsia="Calibri" w:hAnsi="Calibri" w:cs="Times New Roman"/>
                <w:sz w:val="20"/>
                <w:szCs w:val="20"/>
              </w:rPr>
              <w:t xml:space="preserve">between </w:t>
            </w:r>
            <w:r w:rsidR="00F5298D">
              <w:rPr>
                <w:rFonts w:ascii="Calibri" w:eastAsia="Calibri" w:hAnsi="Calibri" w:cs="Times New Roman"/>
                <w:sz w:val="20"/>
                <w:szCs w:val="20"/>
              </w:rPr>
              <w:t>applied</w:t>
            </w:r>
            <w:r w:rsidR="00510904">
              <w:rPr>
                <w:rFonts w:ascii="Calibri" w:eastAsia="Calibri" w:hAnsi="Calibri" w:cs="Times New Roman"/>
                <w:sz w:val="20"/>
                <w:szCs w:val="20"/>
              </w:rPr>
              <w:t xml:space="preserve"> research</w:t>
            </w:r>
            <w:r w:rsidR="00510904" w:rsidRPr="00900E1C">
              <w:rPr>
                <w:rFonts w:ascii="Calibri" w:eastAsia="Calibri" w:hAnsi="Calibri" w:cs="Times New Roman"/>
                <w:sz w:val="20"/>
                <w:szCs w:val="20"/>
              </w:rPr>
              <w:t xml:space="preserve"> </w:t>
            </w:r>
            <w:r w:rsidR="00662455" w:rsidRPr="00900E1C">
              <w:rPr>
                <w:rFonts w:ascii="Calibri" w:eastAsia="Calibri" w:hAnsi="Calibri" w:cs="Times New Roman"/>
                <w:sz w:val="20"/>
                <w:szCs w:val="20"/>
              </w:rPr>
              <w:t xml:space="preserve">and industry-specific product or process improvements. Each institute specialises in a sector </w:t>
            </w:r>
            <w:r w:rsidR="007D51DA" w:rsidRPr="00900E1C">
              <w:rPr>
                <w:rFonts w:ascii="Calibri" w:eastAsia="Calibri" w:hAnsi="Calibri" w:cs="Times New Roman"/>
                <w:sz w:val="20"/>
                <w:szCs w:val="20"/>
              </w:rPr>
              <w:t>e.g.,</w:t>
            </w:r>
            <w:r w:rsidR="00662455" w:rsidRPr="00900E1C">
              <w:rPr>
                <w:rFonts w:ascii="Calibri" w:eastAsia="Calibri" w:hAnsi="Calibri" w:cs="Times New Roman"/>
                <w:sz w:val="20"/>
                <w:szCs w:val="20"/>
              </w:rPr>
              <w:t xml:space="preserve"> manufacturing</w:t>
            </w:r>
            <w:r w:rsidR="000866FE">
              <w:rPr>
                <w:rFonts w:ascii="Calibri" w:eastAsia="Calibri" w:hAnsi="Calibri" w:cs="Times New Roman"/>
                <w:sz w:val="20"/>
                <w:szCs w:val="20"/>
              </w:rPr>
              <w:t>, battery technology</w:t>
            </w:r>
            <w:r w:rsidR="00E33F1B">
              <w:rPr>
                <w:rFonts w:ascii="Calibri" w:eastAsia="Calibri" w:hAnsi="Calibri" w:cs="Times New Roman"/>
                <w:sz w:val="20"/>
                <w:szCs w:val="20"/>
              </w:rPr>
              <w:t xml:space="preserve"> (see case study below)</w:t>
            </w:r>
            <w:r w:rsidR="00296D14">
              <w:rPr>
                <w:rFonts w:ascii="Calibri" w:eastAsia="Calibri" w:hAnsi="Calibri" w:cs="Times New Roman"/>
                <w:sz w:val="20"/>
                <w:szCs w:val="20"/>
              </w:rPr>
              <w:t>.</w:t>
            </w:r>
          </w:p>
          <w:p w14:paraId="25109BE6" w14:textId="77777777" w:rsidR="00662455" w:rsidRPr="00900E1C" w:rsidRDefault="00662455" w:rsidP="00574AAE">
            <w:pPr>
              <w:rPr>
                <w:rFonts w:ascii="Calibri" w:eastAsia="Calibri" w:hAnsi="Calibri" w:cs="Times New Roman"/>
                <w:sz w:val="20"/>
                <w:szCs w:val="20"/>
              </w:rPr>
            </w:pPr>
          </w:p>
        </w:tc>
        <w:tc>
          <w:tcPr>
            <w:tcW w:w="3402" w:type="dxa"/>
          </w:tcPr>
          <w:p w14:paraId="587726D1" w14:textId="77777777" w:rsidR="00662455" w:rsidRPr="00900E1C" w:rsidRDefault="00662455" w:rsidP="00662455">
            <w:pPr>
              <w:rPr>
                <w:rFonts w:ascii="Calibri" w:eastAsia="Calibri" w:hAnsi="Calibri" w:cs="Times New Roman"/>
                <w:sz w:val="20"/>
                <w:szCs w:val="20"/>
              </w:rPr>
            </w:pPr>
            <w:r w:rsidRPr="00900E1C">
              <w:rPr>
                <w:rFonts w:ascii="Calibri" w:eastAsia="Calibri" w:hAnsi="Calibri" w:cs="Times New Roman"/>
                <w:b/>
                <w:bCs/>
                <w:sz w:val="20"/>
                <w:szCs w:val="20"/>
              </w:rPr>
              <w:t>ZIM: “Central Innovation Programme”</w:t>
            </w:r>
          </w:p>
          <w:p w14:paraId="093982E0" w14:textId="704D3A81" w:rsidR="00662455" w:rsidRPr="00900E1C" w:rsidRDefault="00662455" w:rsidP="00574AAE">
            <w:pPr>
              <w:rPr>
                <w:rFonts w:ascii="Calibri" w:eastAsia="Calibri" w:hAnsi="Calibri" w:cs="Times New Roman"/>
                <w:sz w:val="20"/>
                <w:szCs w:val="20"/>
              </w:rPr>
            </w:pPr>
            <w:r w:rsidRPr="00900E1C">
              <w:rPr>
                <w:rFonts w:ascii="Calibri" w:eastAsia="Calibri" w:hAnsi="Calibri" w:cs="Times New Roman"/>
                <w:sz w:val="20"/>
                <w:szCs w:val="20"/>
              </w:rPr>
              <w:t xml:space="preserve">Funding programme that aims to foster the innovative capacity of SMEs. It launches several thousand new projects every year, making it the country’s largest innovation programme for SMEs. ZIM funds innovative companies in Germany to develop new or significantly improve existing products, </w:t>
            </w:r>
            <w:proofErr w:type="gramStart"/>
            <w:r w:rsidRPr="00900E1C">
              <w:rPr>
                <w:rFonts w:ascii="Calibri" w:eastAsia="Calibri" w:hAnsi="Calibri" w:cs="Times New Roman"/>
                <w:sz w:val="20"/>
                <w:szCs w:val="20"/>
              </w:rPr>
              <w:t>processes</w:t>
            </w:r>
            <w:proofErr w:type="gramEnd"/>
            <w:r w:rsidRPr="00900E1C">
              <w:rPr>
                <w:rFonts w:ascii="Calibri" w:eastAsia="Calibri" w:hAnsi="Calibri" w:cs="Times New Roman"/>
                <w:sz w:val="20"/>
                <w:szCs w:val="20"/>
              </w:rPr>
              <w:t xml:space="preserve"> or technical services. It has a budget </w:t>
            </w:r>
            <w:r w:rsidR="002067AD">
              <w:rPr>
                <w:rFonts w:ascii="Calibri" w:eastAsia="Calibri" w:hAnsi="Calibri" w:cs="Times New Roman"/>
                <w:sz w:val="20"/>
                <w:szCs w:val="20"/>
              </w:rPr>
              <w:t xml:space="preserve">of </w:t>
            </w:r>
            <w:r w:rsidR="00BB2002" w:rsidRPr="00BB2002">
              <w:rPr>
                <w:rFonts w:ascii="Calibri" w:eastAsia="Calibri" w:hAnsi="Calibri" w:cs="Times New Roman"/>
                <w:sz w:val="20"/>
                <w:szCs w:val="20"/>
              </w:rPr>
              <w:t>EUR 2.2 billion (USD 2.6 billion).</w:t>
            </w:r>
            <w:r w:rsidR="00BB2002">
              <w:rPr>
                <w:rStyle w:val="FootnoteReference"/>
                <w:rFonts w:ascii="Calibri" w:eastAsia="Calibri" w:hAnsi="Calibri" w:cs="Times New Roman"/>
                <w:sz w:val="20"/>
                <w:szCs w:val="20"/>
              </w:rPr>
              <w:footnoteReference w:id="42"/>
            </w:r>
          </w:p>
        </w:tc>
      </w:tr>
    </w:tbl>
    <w:p w14:paraId="10FB4B9B" w14:textId="063604C3" w:rsidR="000866FE" w:rsidRPr="00731783" w:rsidRDefault="000866FE" w:rsidP="00426B8A">
      <w:pPr>
        <w:pStyle w:val="Heading4"/>
        <w:rPr>
          <w:rFonts w:eastAsia="Calibri"/>
          <w:lang w:eastAsia="en-AU"/>
        </w:rPr>
      </w:pPr>
      <w:r w:rsidRPr="00731783">
        <w:rPr>
          <w:rFonts w:eastAsia="Calibri"/>
          <w:lang w:eastAsia="en-AU"/>
        </w:rPr>
        <w:t>Support for medium</w:t>
      </w:r>
      <w:r w:rsidR="002D22C8">
        <w:rPr>
          <w:rFonts w:eastAsia="Calibri"/>
          <w:lang w:eastAsia="en-AU"/>
        </w:rPr>
        <w:t>-</w:t>
      </w:r>
      <w:r w:rsidRPr="00731783">
        <w:rPr>
          <w:rFonts w:eastAsia="Calibri"/>
          <w:lang w:eastAsia="en-AU"/>
        </w:rPr>
        <w:t>sized business through national innovation systems</w:t>
      </w:r>
    </w:p>
    <w:p w14:paraId="1390333B" w14:textId="4D8150C7" w:rsidR="000866FE" w:rsidRDefault="000866FE" w:rsidP="000866FE">
      <w:pPr>
        <w:rPr>
          <w:rFonts w:ascii="Calibri" w:eastAsia="Calibri" w:hAnsi="Calibri" w:cs="Times New Roman"/>
        </w:rPr>
      </w:pPr>
      <w:r w:rsidRPr="000866FE">
        <w:rPr>
          <w:rFonts w:ascii="Calibri" w:eastAsia="Calibri" w:hAnsi="Calibri" w:cs="Times New Roman"/>
        </w:rPr>
        <w:t xml:space="preserve">The Fraunhofer-Gesellschaft (Fraunhofer) is one of the world’s leading applied research organisations. Founded in 1949, it currently operates 76 institutes and research units throughout Germany. Fraunhofer is a particularly important supplier of innovative know-how for small and medium-sized enterprises. At an organisation-wide level, Fraunhofer identifies trending technologies with major market potential and advances them through in-house research programs. Each individual Fraunhofer institute develops its own business units and core areas of expertise </w:t>
      </w:r>
      <w:r w:rsidR="00AA5E52" w:rsidRPr="000866FE">
        <w:rPr>
          <w:rFonts w:ascii="Calibri" w:eastAsia="Calibri" w:hAnsi="Calibri" w:cs="Times New Roman"/>
        </w:rPr>
        <w:t>based on</w:t>
      </w:r>
      <w:r w:rsidRPr="000866FE">
        <w:rPr>
          <w:rFonts w:ascii="Calibri" w:eastAsia="Calibri" w:hAnsi="Calibri" w:cs="Times New Roman"/>
        </w:rPr>
        <w:t xml:space="preserve"> its immediate market environment, and</w:t>
      </w:r>
      <w:r w:rsidR="003F34C7">
        <w:rPr>
          <w:rFonts w:ascii="Calibri" w:eastAsia="Calibri" w:hAnsi="Calibri" w:cs="Times New Roman"/>
        </w:rPr>
        <w:t xml:space="preserve"> they</w:t>
      </w:r>
      <w:r w:rsidRPr="000866FE">
        <w:rPr>
          <w:rFonts w:ascii="Calibri" w:eastAsia="Calibri" w:hAnsi="Calibri" w:cs="Times New Roman"/>
        </w:rPr>
        <w:t xml:space="preserve"> operate as separate profit </w:t>
      </w:r>
      <w:r w:rsidR="00340509" w:rsidRPr="000866FE">
        <w:rPr>
          <w:rFonts w:ascii="Calibri" w:eastAsia="Calibri" w:hAnsi="Calibri" w:cs="Times New Roman"/>
        </w:rPr>
        <w:t>centres</w:t>
      </w:r>
      <w:r w:rsidRPr="000866FE">
        <w:rPr>
          <w:rFonts w:ascii="Calibri" w:eastAsia="Calibri" w:hAnsi="Calibri" w:cs="Times New Roman"/>
        </w:rPr>
        <w:t>.</w:t>
      </w:r>
    </w:p>
    <w:p w14:paraId="1E0A2192" w14:textId="44C43422" w:rsidR="000866FE" w:rsidRPr="000866FE" w:rsidRDefault="000866FE" w:rsidP="000866FE">
      <w:pPr>
        <w:rPr>
          <w:rFonts w:ascii="Calibri" w:eastAsia="Calibri" w:hAnsi="Calibri" w:cs="Times New Roman"/>
          <w:shd w:val="clear" w:color="auto" w:fill="FFFFFF"/>
        </w:rPr>
      </w:pPr>
      <w:r w:rsidRPr="000866FE">
        <w:rPr>
          <w:rFonts w:ascii="Calibri" w:eastAsia="Calibri" w:hAnsi="Calibri" w:cs="Times New Roman"/>
        </w:rPr>
        <w:t>Fraunhofer has a research budget of approximately €3.0 billion</w:t>
      </w:r>
      <w:r w:rsidR="008F0E58">
        <w:rPr>
          <w:rFonts w:ascii="Calibri" w:eastAsia="Calibri" w:hAnsi="Calibri" w:cs="Times New Roman"/>
        </w:rPr>
        <w:t>.</w:t>
      </w:r>
      <w:r w:rsidR="008F0E58" w:rsidRPr="000866FE">
        <w:rPr>
          <w:rFonts w:ascii="Calibri" w:eastAsia="Calibri" w:hAnsi="Calibri" w:cs="Times New Roman"/>
        </w:rPr>
        <w:t xml:space="preserve"> </w:t>
      </w:r>
      <w:r w:rsidR="008F0E58">
        <w:rPr>
          <w:rFonts w:ascii="Calibri" w:eastAsia="Calibri" w:hAnsi="Calibri" w:cs="Times New Roman"/>
        </w:rPr>
        <w:t xml:space="preserve">Of this, </w:t>
      </w:r>
      <w:r w:rsidRPr="000866FE">
        <w:rPr>
          <w:rFonts w:ascii="Calibri" w:eastAsia="Calibri" w:hAnsi="Calibri" w:cs="Times New Roman"/>
        </w:rPr>
        <w:t>€2.6 billion is derived from contract research with industry and other external sources.</w:t>
      </w:r>
      <w:r w:rsidR="00AA7538">
        <w:rPr>
          <w:rStyle w:val="FootnoteReference"/>
          <w:rFonts w:ascii="Calibri" w:eastAsia="Calibri" w:hAnsi="Calibri" w:cs="Times New Roman"/>
        </w:rPr>
        <w:footnoteReference w:id="43"/>
      </w:r>
      <w:r w:rsidRPr="000866FE">
        <w:rPr>
          <w:rFonts w:ascii="Calibri" w:eastAsia="Calibri" w:hAnsi="Calibri" w:cs="Times New Roman"/>
          <w:shd w:val="clear" w:color="auto" w:fill="FFFFFF"/>
        </w:rPr>
        <w:t xml:space="preserve"> The German federal government contributes around a third of base funding. </w:t>
      </w:r>
      <w:r w:rsidR="00493A94">
        <w:rPr>
          <w:rFonts w:ascii="Calibri" w:eastAsia="Calibri" w:hAnsi="Calibri" w:cs="Times New Roman"/>
          <w:shd w:val="clear" w:color="auto" w:fill="FFFFFF"/>
        </w:rPr>
        <w:t>More than</w:t>
      </w:r>
      <w:r w:rsidR="00493A94" w:rsidRPr="000866FE">
        <w:rPr>
          <w:rFonts w:ascii="Calibri" w:eastAsia="Calibri" w:hAnsi="Calibri" w:cs="Times New Roman"/>
          <w:shd w:val="clear" w:color="auto" w:fill="FFFFFF"/>
        </w:rPr>
        <w:t xml:space="preserve"> </w:t>
      </w:r>
      <w:r w:rsidRPr="000866FE">
        <w:rPr>
          <w:rFonts w:ascii="Calibri" w:eastAsia="Calibri" w:hAnsi="Calibri" w:cs="Times New Roman"/>
          <w:shd w:val="clear" w:color="auto" w:fill="FFFFFF"/>
        </w:rPr>
        <w:t xml:space="preserve">25% of Fraunhofer revenue is from direct industry contracts. Half of contract research comes from large </w:t>
      </w:r>
      <w:r w:rsidR="004D1FCF">
        <w:rPr>
          <w:rFonts w:ascii="Calibri" w:eastAsia="Calibri" w:hAnsi="Calibri" w:cs="Times New Roman"/>
          <w:shd w:val="clear" w:color="auto" w:fill="FFFFFF"/>
        </w:rPr>
        <w:t>businesses</w:t>
      </w:r>
      <w:r w:rsidRPr="000866FE">
        <w:rPr>
          <w:rFonts w:ascii="Calibri" w:eastAsia="Calibri" w:hAnsi="Calibri" w:cs="Times New Roman"/>
          <w:shd w:val="clear" w:color="auto" w:fill="FFFFFF"/>
        </w:rPr>
        <w:t xml:space="preserve">, while the other half is from SMEs. Fraunhofer’s criteria for success is the share of funding coming from external project revenue as a barometer of continued relevance and impact within industry. </w:t>
      </w:r>
    </w:p>
    <w:p w14:paraId="05B6AE4B" w14:textId="4A87C68B" w:rsidR="000866FE" w:rsidRPr="000866FE" w:rsidRDefault="000866FE" w:rsidP="000866FE">
      <w:pPr>
        <w:rPr>
          <w:rFonts w:ascii="Calibri" w:eastAsia="Calibri" w:hAnsi="Calibri" w:cs="Times New Roman"/>
          <w:shd w:val="clear" w:color="auto" w:fill="FFFFFF"/>
        </w:rPr>
      </w:pPr>
      <w:r w:rsidRPr="000866FE">
        <w:rPr>
          <w:rFonts w:ascii="Calibri" w:eastAsia="Calibri" w:hAnsi="Calibri" w:cs="Times New Roman"/>
          <w:shd w:val="clear" w:color="auto" w:fill="FFFFFF"/>
        </w:rPr>
        <w:t>Another distinguishing feature of the Fraunhofer model is researcher mobility and the movement of researcher</w:t>
      </w:r>
      <w:r w:rsidR="00493A94">
        <w:rPr>
          <w:rFonts w:ascii="Calibri" w:eastAsia="Calibri" w:hAnsi="Calibri" w:cs="Times New Roman"/>
          <w:shd w:val="clear" w:color="auto" w:fill="FFFFFF"/>
        </w:rPr>
        <w:t>s</w:t>
      </w:r>
      <w:r w:rsidRPr="000866FE">
        <w:rPr>
          <w:rFonts w:ascii="Calibri" w:eastAsia="Calibri" w:hAnsi="Calibri" w:cs="Times New Roman"/>
          <w:shd w:val="clear" w:color="auto" w:fill="FFFFFF"/>
        </w:rPr>
        <w:t xml:space="preserve"> into industry after a set period. </w:t>
      </w:r>
      <w:r w:rsidRPr="000866FE">
        <w:rPr>
          <w:rFonts w:ascii="Calibri" w:eastAsia="Calibri" w:hAnsi="Calibri" w:cs="Times New Roman"/>
        </w:rPr>
        <w:t>This has been implemented through a policy that ensures 60 percent of researchers work for contracts of 3</w:t>
      </w:r>
      <w:r w:rsidR="00493A94">
        <w:rPr>
          <w:rFonts w:ascii="Calibri" w:eastAsia="Calibri" w:hAnsi="Calibri" w:cs="Times New Roman"/>
        </w:rPr>
        <w:t xml:space="preserve"> to </w:t>
      </w:r>
      <w:r w:rsidRPr="000866FE">
        <w:rPr>
          <w:rFonts w:ascii="Calibri" w:eastAsia="Calibri" w:hAnsi="Calibri" w:cs="Times New Roman"/>
        </w:rPr>
        <w:t>5 years. Subsequently they seek or a</w:t>
      </w:r>
      <w:r w:rsidR="00493A94">
        <w:rPr>
          <w:rFonts w:ascii="Calibri" w:eastAsia="Calibri" w:hAnsi="Calibri" w:cs="Times New Roman"/>
        </w:rPr>
        <w:t>re</w:t>
      </w:r>
      <w:r w:rsidRPr="000866FE">
        <w:rPr>
          <w:rFonts w:ascii="Calibri" w:eastAsia="Calibri" w:hAnsi="Calibri" w:cs="Times New Roman"/>
        </w:rPr>
        <w:t xml:space="preserve"> placed into jobs in industry. Many Fraunhofer alumni keep contact with Fraunhofer</w:t>
      </w:r>
      <w:r w:rsidR="00D64695">
        <w:rPr>
          <w:rFonts w:ascii="Calibri" w:eastAsia="Calibri" w:hAnsi="Calibri" w:cs="Times New Roman"/>
        </w:rPr>
        <w:t xml:space="preserve">, leading to </w:t>
      </w:r>
      <w:r w:rsidRPr="000866FE">
        <w:rPr>
          <w:rFonts w:ascii="Calibri" w:eastAsia="Calibri" w:hAnsi="Calibri" w:cs="Times New Roman"/>
        </w:rPr>
        <w:t xml:space="preserve">collaboration with the </w:t>
      </w:r>
      <w:r w:rsidR="0060706D">
        <w:rPr>
          <w:rFonts w:ascii="Calibri" w:eastAsia="Calibri" w:hAnsi="Calibri" w:cs="Times New Roman"/>
        </w:rPr>
        <w:t>businesses</w:t>
      </w:r>
      <w:r w:rsidRPr="000866FE">
        <w:rPr>
          <w:rFonts w:ascii="Calibri" w:eastAsia="Calibri" w:hAnsi="Calibri" w:cs="Times New Roman"/>
        </w:rPr>
        <w:t xml:space="preserve"> </w:t>
      </w:r>
      <w:r w:rsidR="00D64695">
        <w:rPr>
          <w:rFonts w:ascii="Calibri" w:eastAsia="Calibri" w:hAnsi="Calibri" w:cs="Times New Roman"/>
        </w:rPr>
        <w:t>the researchers now</w:t>
      </w:r>
      <w:r w:rsidRPr="000866FE">
        <w:rPr>
          <w:rFonts w:ascii="Calibri" w:eastAsia="Calibri" w:hAnsi="Calibri" w:cs="Times New Roman"/>
        </w:rPr>
        <w:t xml:space="preserve"> work for.</w:t>
      </w:r>
      <w:r w:rsidR="000A0E67">
        <w:rPr>
          <w:rStyle w:val="FootnoteReference"/>
          <w:rFonts w:ascii="Calibri" w:eastAsia="Calibri" w:hAnsi="Calibri" w:cs="Times New Roman"/>
        </w:rPr>
        <w:footnoteReference w:id="44"/>
      </w:r>
      <w:r w:rsidRPr="000866FE">
        <w:rPr>
          <w:rFonts w:ascii="Calibri" w:eastAsia="Calibri" w:hAnsi="Calibri" w:cs="Times New Roman"/>
        </w:rPr>
        <w:t xml:space="preserve">  </w:t>
      </w:r>
    </w:p>
    <w:p w14:paraId="4F4A054F" w14:textId="15B27F55" w:rsidR="000866FE" w:rsidRDefault="000866FE" w:rsidP="000866FE">
      <w:pPr>
        <w:spacing w:before="240"/>
        <w:rPr>
          <w:rFonts w:ascii="Calibri" w:eastAsia="Calibri" w:hAnsi="Calibri" w:cs="Times New Roman"/>
        </w:rPr>
      </w:pPr>
      <w:r w:rsidRPr="000866FE">
        <w:rPr>
          <w:rFonts w:ascii="Calibri" w:eastAsia="Calibri" w:hAnsi="Calibri" w:cs="Times New Roman"/>
        </w:rPr>
        <w:t xml:space="preserve">The </w:t>
      </w:r>
      <w:r w:rsidR="00511553" w:rsidRPr="00511553">
        <w:rPr>
          <w:rFonts w:ascii="Calibri" w:eastAsia="Calibri" w:hAnsi="Calibri" w:cs="Times New Roman"/>
        </w:rPr>
        <w:t xml:space="preserve">Commonwealth Scientific and Industrial Research Organisation </w:t>
      </w:r>
      <w:r w:rsidR="00511553">
        <w:rPr>
          <w:rFonts w:ascii="Calibri" w:eastAsia="Calibri" w:hAnsi="Calibri" w:cs="Times New Roman"/>
        </w:rPr>
        <w:t>(</w:t>
      </w:r>
      <w:r w:rsidRPr="000866FE">
        <w:rPr>
          <w:rFonts w:ascii="Calibri" w:eastAsia="Calibri" w:hAnsi="Calibri" w:cs="Times New Roman"/>
        </w:rPr>
        <w:t>CSIRO</w:t>
      </w:r>
      <w:r w:rsidR="00511553">
        <w:rPr>
          <w:rFonts w:ascii="Calibri" w:eastAsia="Calibri" w:hAnsi="Calibri" w:cs="Times New Roman"/>
        </w:rPr>
        <w:t>)</w:t>
      </w:r>
      <w:r w:rsidRPr="000866FE">
        <w:rPr>
          <w:rFonts w:ascii="Calibri" w:eastAsia="Calibri" w:hAnsi="Calibri" w:cs="Times New Roman"/>
        </w:rPr>
        <w:t xml:space="preserve">, like Fraunhofer, is </w:t>
      </w:r>
      <w:r w:rsidR="007D39AD">
        <w:rPr>
          <w:rFonts w:ascii="Calibri" w:eastAsia="Calibri" w:hAnsi="Calibri" w:cs="Times New Roman"/>
        </w:rPr>
        <w:t>an internationally regarded</w:t>
      </w:r>
      <w:r w:rsidRPr="000866FE">
        <w:rPr>
          <w:rFonts w:ascii="Calibri" w:eastAsia="Calibri" w:hAnsi="Calibri" w:cs="Times New Roman"/>
        </w:rPr>
        <w:t xml:space="preserve"> science and technology research organisation. An opportunity exists to further develop CSIRO’s linkages with industry, drawing upon relevant features of other national innovation systems. For instance, encouraging CSIRO researcher mobility and placements within industry, and incentivising revenue generation from industry as part of annual budget targets</w:t>
      </w:r>
      <w:r w:rsidR="00FE438F">
        <w:rPr>
          <w:rFonts w:ascii="Calibri" w:eastAsia="Calibri" w:hAnsi="Calibri" w:cs="Times New Roman"/>
        </w:rPr>
        <w:t>,</w:t>
      </w:r>
      <w:r w:rsidRPr="000866FE">
        <w:rPr>
          <w:rFonts w:ascii="Calibri" w:eastAsia="Calibri" w:hAnsi="Calibri" w:cs="Times New Roman"/>
        </w:rPr>
        <w:t xml:space="preserve"> could be important levers to enable the creation of new industries and strengthening of existing ones. In contrast to Fraunhofer, CSIRO</w:t>
      </w:r>
      <w:r w:rsidR="00F55B13">
        <w:rPr>
          <w:rFonts w:ascii="Calibri" w:eastAsia="Calibri" w:hAnsi="Calibri" w:cs="Times New Roman"/>
        </w:rPr>
        <w:t>’</w:t>
      </w:r>
      <w:r w:rsidRPr="000866FE">
        <w:rPr>
          <w:rFonts w:ascii="Calibri" w:eastAsia="Calibri" w:hAnsi="Calibri" w:cs="Times New Roman"/>
        </w:rPr>
        <w:t>s revenue model is skewed toward government funding (over 60% of CSIRO</w:t>
      </w:r>
      <w:r w:rsidR="00B07DC5">
        <w:rPr>
          <w:rFonts w:ascii="Calibri" w:eastAsia="Calibri" w:hAnsi="Calibri" w:cs="Times New Roman"/>
        </w:rPr>
        <w:t>’s</w:t>
      </w:r>
      <w:r w:rsidRPr="000866FE">
        <w:rPr>
          <w:rFonts w:ascii="Calibri" w:eastAsia="Calibri" w:hAnsi="Calibri" w:cs="Times New Roman"/>
        </w:rPr>
        <w:t xml:space="preserve"> budget is from government funding), while only 5.5% is a direct result of private sector cont</w:t>
      </w:r>
      <w:r w:rsidR="00CD41B0">
        <w:rPr>
          <w:rFonts w:ascii="Calibri" w:eastAsia="Calibri" w:hAnsi="Calibri" w:cs="Times New Roman"/>
        </w:rPr>
        <w:t>r</w:t>
      </w:r>
      <w:r w:rsidRPr="000866FE">
        <w:rPr>
          <w:rFonts w:ascii="Calibri" w:eastAsia="Calibri" w:hAnsi="Calibri" w:cs="Times New Roman"/>
        </w:rPr>
        <w:t>acts.</w:t>
      </w:r>
      <w:r w:rsidR="00D3268E">
        <w:rPr>
          <w:rStyle w:val="FootnoteReference"/>
          <w:rFonts w:ascii="Calibri" w:eastAsia="Calibri" w:hAnsi="Calibri" w:cs="Times New Roman"/>
        </w:rPr>
        <w:footnoteReference w:id="45"/>
      </w:r>
      <w:r w:rsidRPr="000866FE">
        <w:rPr>
          <w:rFonts w:ascii="Calibri" w:eastAsia="Calibri" w:hAnsi="Calibri" w:cs="Times New Roman"/>
        </w:rPr>
        <w:t xml:space="preserve"> </w:t>
      </w:r>
    </w:p>
    <w:p w14:paraId="425C72F8" w14:textId="77A93D54" w:rsidR="00360E45" w:rsidRPr="00DC1525" w:rsidRDefault="00360E45" w:rsidP="009C5918">
      <w:pPr>
        <w:pBdr>
          <w:top w:val="single" w:sz="8" w:space="10" w:color="auto"/>
          <w:left w:val="single" w:sz="8" w:space="5" w:color="auto"/>
          <w:bottom w:val="single" w:sz="8" w:space="10" w:color="auto"/>
          <w:right w:val="single" w:sz="8" w:space="5" w:color="auto"/>
        </w:pBdr>
        <w:shd w:val="clear" w:color="auto" w:fill="C9F0FF" w:themeFill="background2" w:themeFillTint="33"/>
        <w:rPr>
          <w:rFonts w:ascii="Calibri" w:eastAsia="Calibri" w:hAnsi="Calibri" w:cs="Times New Roman"/>
          <w:b/>
          <w:bCs/>
        </w:rPr>
      </w:pPr>
      <w:r w:rsidRPr="00360E45">
        <w:rPr>
          <w:rFonts w:ascii="Calibri" w:eastAsia="Calibri" w:hAnsi="Calibri" w:cs="Times New Roman"/>
          <w:b/>
          <w:bCs/>
          <w:i/>
          <w:iCs/>
        </w:rPr>
        <w:t>Fraunhofer Research Institution for Battery Cell Production FFB</w:t>
      </w:r>
      <w:r w:rsidRPr="00360E45">
        <w:rPr>
          <w:rFonts w:ascii="Calibri" w:eastAsia="Calibri" w:hAnsi="Calibri" w:cs="Times New Roman"/>
          <w:b/>
          <w:bCs/>
          <w:vertAlign w:val="superscript"/>
        </w:rPr>
        <w:footnoteReference w:id="46"/>
      </w:r>
      <w:r w:rsidRPr="00360E45">
        <w:rPr>
          <w:rFonts w:ascii="Calibri" w:eastAsia="Calibri" w:hAnsi="Calibri" w:cs="Times New Roman"/>
          <w:b/>
          <w:bCs/>
          <w:i/>
          <w:iCs/>
        </w:rPr>
        <w:t xml:space="preserve"> </w:t>
      </w:r>
      <w:r>
        <w:rPr>
          <w:rFonts w:ascii="Calibri" w:eastAsia="Calibri" w:hAnsi="Calibri" w:cs="Times New Roman"/>
          <w:b/>
          <w:bCs/>
        </w:rPr>
        <w:t>(case study)</w:t>
      </w:r>
    </w:p>
    <w:p w14:paraId="0AE9C7F3" w14:textId="52C48EB2" w:rsidR="00360E45" w:rsidRDefault="00360E45" w:rsidP="009C5918">
      <w:pPr>
        <w:pBdr>
          <w:top w:val="single" w:sz="8" w:space="10" w:color="auto"/>
          <w:left w:val="single" w:sz="8" w:space="5" w:color="auto"/>
          <w:bottom w:val="single" w:sz="8" w:space="10" w:color="auto"/>
          <w:right w:val="single" w:sz="8" w:space="5" w:color="auto"/>
        </w:pBdr>
        <w:shd w:val="clear" w:color="auto" w:fill="C9F0FF" w:themeFill="background2" w:themeFillTint="33"/>
        <w:rPr>
          <w:rFonts w:ascii="Calibri" w:eastAsia="Calibri" w:hAnsi="Calibri" w:cs="Times New Roman"/>
        </w:rPr>
      </w:pPr>
      <w:r w:rsidRPr="00360E45">
        <w:rPr>
          <w:rFonts w:ascii="Calibri" w:eastAsia="Calibri" w:hAnsi="Calibri" w:cs="Times New Roman"/>
        </w:rPr>
        <w:t>To ensure that production in Germany can provide new battery technologies more efficiently and of the highest quality in the future, the German federal government and the state of North Rhine-Westphalia have funded the establishment of a Fraunhofer institute to develop a factory for battery production. The 680-million-euro commitment provides the infrastructure with which companies can test, implement, and optimise the near-series production of new batteries. Small, medium-</w:t>
      </w:r>
      <w:proofErr w:type="gramStart"/>
      <w:r w:rsidRPr="00360E45">
        <w:rPr>
          <w:rFonts w:ascii="Calibri" w:eastAsia="Calibri" w:hAnsi="Calibri" w:cs="Times New Roman"/>
        </w:rPr>
        <w:t>sized</w:t>
      </w:r>
      <w:proofErr w:type="gramEnd"/>
      <w:r w:rsidRPr="00360E45">
        <w:rPr>
          <w:rFonts w:ascii="Calibri" w:eastAsia="Calibri" w:hAnsi="Calibri" w:cs="Times New Roman"/>
        </w:rPr>
        <w:t xml:space="preserve"> and large companies can access the infrastructure. This Fraunhofer aims to become the centre for developing scalable battery cell production for Germany and Europe.</w:t>
      </w:r>
    </w:p>
    <w:p w14:paraId="0F49CA51" w14:textId="0767A26E" w:rsidR="00A83633" w:rsidRPr="00A83633" w:rsidRDefault="000866FE" w:rsidP="000866FE">
      <w:pPr>
        <w:spacing w:before="240"/>
        <w:rPr>
          <w:rFonts w:ascii="Calibri" w:eastAsia="Calibri" w:hAnsi="Calibri" w:cs="Times New Roman"/>
          <w:lang w:eastAsia="en-AU"/>
        </w:rPr>
      </w:pPr>
      <w:r>
        <w:rPr>
          <w:rFonts w:ascii="Calibri" w:eastAsia="Calibri" w:hAnsi="Calibri" w:cs="Times New Roman"/>
          <w:lang w:eastAsia="en-AU"/>
        </w:rPr>
        <w:t>R</w:t>
      </w:r>
      <w:r w:rsidRPr="000866FE">
        <w:rPr>
          <w:rFonts w:ascii="Calibri" w:eastAsia="Calibri" w:hAnsi="Calibri" w:cs="Times New Roman"/>
          <w:lang w:eastAsia="en-AU"/>
        </w:rPr>
        <w:t>esearch competitiveness is not a function solely of investment on the supply side, but</w:t>
      </w:r>
      <w:r>
        <w:rPr>
          <w:rFonts w:ascii="Calibri" w:eastAsia="Calibri" w:hAnsi="Calibri" w:cs="Times New Roman"/>
          <w:lang w:eastAsia="en-AU"/>
        </w:rPr>
        <w:t xml:space="preserve"> </w:t>
      </w:r>
      <w:r w:rsidRPr="000866FE">
        <w:rPr>
          <w:rFonts w:ascii="Calibri" w:eastAsia="Calibri" w:hAnsi="Calibri" w:cs="Times New Roman"/>
          <w:lang w:eastAsia="en-AU"/>
        </w:rPr>
        <w:t>also of sharpening the demand side.</w:t>
      </w:r>
      <w:r w:rsidR="00D25BD8">
        <w:rPr>
          <w:rStyle w:val="FootnoteReference"/>
          <w:rFonts w:ascii="Calibri" w:eastAsia="Calibri" w:hAnsi="Calibri" w:cs="Times New Roman"/>
          <w:lang w:eastAsia="en-AU"/>
        </w:rPr>
        <w:footnoteReference w:id="47"/>
      </w:r>
      <w:r>
        <w:rPr>
          <w:rFonts w:ascii="Calibri" w:eastAsia="Calibri" w:hAnsi="Calibri" w:cs="Times New Roman"/>
          <w:lang w:eastAsia="en-AU"/>
        </w:rPr>
        <w:t xml:space="preserve"> </w:t>
      </w:r>
      <w:r w:rsidR="00A83633" w:rsidRPr="00A83633">
        <w:rPr>
          <w:rFonts w:ascii="Calibri" w:eastAsia="Calibri" w:hAnsi="Calibri" w:cs="Times New Roman"/>
          <w:lang w:eastAsia="en-AU"/>
        </w:rPr>
        <w:t xml:space="preserve">Innovative businesses are more likely to grow and transition to a </w:t>
      </w:r>
      <w:r w:rsidR="003B20CF">
        <w:rPr>
          <w:rFonts w:ascii="Calibri" w:eastAsia="Calibri" w:hAnsi="Calibri" w:cs="Times New Roman"/>
          <w:lang w:eastAsia="en-AU"/>
        </w:rPr>
        <w:t>larger</w:t>
      </w:r>
      <w:r w:rsidR="00A83633" w:rsidRPr="00A83633">
        <w:rPr>
          <w:rFonts w:ascii="Calibri" w:eastAsia="Calibri" w:hAnsi="Calibri" w:cs="Times New Roman"/>
          <w:lang w:eastAsia="en-AU"/>
        </w:rPr>
        <w:t xml:space="preserve"> size. However, as indicated above, adoptions or imitations of other businesses’ innovations do not appear to be an effective source of growth for most </w:t>
      </w:r>
      <w:r w:rsidR="00BE5F66" w:rsidRPr="00A83633">
        <w:rPr>
          <w:rFonts w:ascii="Calibri" w:eastAsia="Calibri" w:hAnsi="Calibri" w:cs="Times New Roman"/>
          <w:lang w:eastAsia="en-AU"/>
        </w:rPr>
        <w:t>m</w:t>
      </w:r>
      <w:r w:rsidR="00BE5F66">
        <w:rPr>
          <w:rFonts w:ascii="Calibri" w:eastAsia="Calibri" w:hAnsi="Calibri" w:cs="Times New Roman"/>
          <w:lang w:eastAsia="en-AU"/>
        </w:rPr>
        <w:t>edium</w:t>
      </w:r>
      <w:r w:rsidR="00A83633" w:rsidRPr="00A83633">
        <w:rPr>
          <w:rFonts w:ascii="Calibri" w:eastAsia="Calibri" w:hAnsi="Calibri" w:cs="Times New Roman"/>
          <w:lang w:eastAsia="en-AU"/>
        </w:rPr>
        <w:t xml:space="preserve">-sized businesses. </w:t>
      </w:r>
      <w:r w:rsidR="00506FC7">
        <w:rPr>
          <w:rFonts w:ascii="Calibri" w:eastAsia="Calibri" w:hAnsi="Calibri" w:cs="Times New Roman"/>
          <w:lang w:eastAsia="en-AU"/>
        </w:rPr>
        <w:t>Another issue is the selection sorting effect. This</w:t>
      </w:r>
      <w:r w:rsidR="00A83633" w:rsidRPr="00A83633">
        <w:rPr>
          <w:rFonts w:ascii="Calibri" w:eastAsia="Calibri" w:hAnsi="Calibri" w:cs="Times New Roman"/>
          <w:lang w:eastAsia="en-AU"/>
        </w:rPr>
        <w:t xml:space="preserve"> refers to </w:t>
      </w:r>
      <w:r w:rsidR="00506FC7">
        <w:rPr>
          <w:rFonts w:ascii="Calibri" w:eastAsia="Calibri" w:hAnsi="Calibri" w:cs="Times New Roman"/>
          <w:lang w:eastAsia="en-AU"/>
        </w:rPr>
        <w:t xml:space="preserve">fact that </w:t>
      </w:r>
      <w:r w:rsidR="00A83633" w:rsidRPr="00A83633">
        <w:rPr>
          <w:rFonts w:ascii="Calibri" w:eastAsia="Calibri" w:hAnsi="Calibri" w:cs="Times New Roman"/>
          <w:lang w:eastAsia="en-AU"/>
        </w:rPr>
        <w:t>the best and more qualified employees</w:t>
      </w:r>
      <w:r w:rsidR="00506FC7">
        <w:rPr>
          <w:rFonts w:ascii="Calibri" w:eastAsia="Calibri" w:hAnsi="Calibri" w:cs="Times New Roman"/>
          <w:lang w:eastAsia="en-AU"/>
        </w:rPr>
        <w:t>,</w:t>
      </w:r>
      <w:r w:rsidR="00A83633" w:rsidRPr="00A83633">
        <w:rPr>
          <w:rFonts w:ascii="Calibri" w:eastAsia="Calibri" w:hAnsi="Calibri" w:cs="Times New Roman"/>
          <w:lang w:eastAsia="en-AU"/>
        </w:rPr>
        <w:t xml:space="preserve"> including managers</w:t>
      </w:r>
      <w:r w:rsidR="00506FC7">
        <w:rPr>
          <w:rFonts w:ascii="Calibri" w:eastAsia="Calibri" w:hAnsi="Calibri" w:cs="Times New Roman"/>
          <w:lang w:eastAsia="en-AU"/>
        </w:rPr>
        <w:t>,</w:t>
      </w:r>
      <w:r w:rsidR="00A83633" w:rsidRPr="00A83633">
        <w:rPr>
          <w:rFonts w:ascii="Calibri" w:eastAsia="Calibri" w:hAnsi="Calibri" w:cs="Times New Roman"/>
          <w:lang w:eastAsia="en-AU"/>
        </w:rPr>
        <w:t xml:space="preserve"> </w:t>
      </w:r>
      <w:r w:rsidR="00506FC7">
        <w:rPr>
          <w:rFonts w:ascii="Calibri" w:eastAsia="Calibri" w:hAnsi="Calibri" w:cs="Times New Roman"/>
          <w:lang w:eastAsia="en-AU"/>
        </w:rPr>
        <w:t>select</w:t>
      </w:r>
      <w:r w:rsidR="00506FC7" w:rsidRPr="00A83633">
        <w:rPr>
          <w:rFonts w:ascii="Calibri" w:eastAsia="Calibri" w:hAnsi="Calibri" w:cs="Times New Roman"/>
          <w:lang w:eastAsia="en-AU"/>
        </w:rPr>
        <w:t xml:space="preserve"> </w:t>
      </w:r>
      <w:r w:rsidR="00A83633" w:rsidRPr="00A83633">
        <w:rPr>
          <w:rFonts w:ascii="Calibri" w:eastAsia="Calibri" w:hAnsi="Calibri" w:cs="Times New Roman"/>
          <w:lang w:eastAsia="en-AU"/>
        </w:rPr>
        <w:t>the best</w:t>
      </w:r>
      <w:r w:rsidR="00506FC7">
        <w:rPr>
          <w:rFonts w:ascii="Calibri" w:eastAsia="Calibri" w:hAnsi="Calibri" w:cs="Times New Roman"/>
          <w:lang w:eastAsia="en-AU"/>
        </w:rPr>
        <w:t>-</w:t>
      </w:r>
      <w:r w:rsidR="00A83633" w:rsidRPr="00A83633">
        <w:rPr>
          <w:rFonts w:ascii="Calibri" w:eastAsia="Calibri" w:hAnsi="Calibri" w:cs="Times New Roman"/>
          <w:lang w:eastAsia="en-AU"/>
        </w:rPr>
        <w:t xml:space="preserve">run </w:t>
      </w:r>
      <w:r w:rsidR="00671080">
        <w:rPr>
          <w:rFonts w:ascii="Calibri" w:eastAsia="Calibri" w:hAnsi="Calibri" w:cs="Times New Roman"/>
          <w:lang w:eastAsia="en-AU"/>
        </w:rPr>
        <w:t>businesses</w:t>
      </w:r>
      <w:r w:rsidR="00506FC7">
        <w:rPr>
          <w:rFonts w:ascii="Calibri" w:eastAsia="Calibri" w:hAnsi="Calibri" w:cs="Times New Roman"/>
          <w:lang w:eastAsia="en-AU"/>
        </w:rPr>
        <w:t>, which</w:t>
      </w:r>
      <w:r w:rsidR="00AA5E52">
        <w:rPr>
          <w:rFonts w:ascii="Calibri" w:eastAsia="Calibri" w:hAnsi="Calibri" w:cs="Times New Roman"/>
          <w:lang w:eastAsia="en-AU"/>
        </w:rPr>
        <w:t xml:space="preserve"> </w:t>
      </w:r>
      <w:r w:rsidR="00A83633" w:rsidRPr="00A83633">
        <w:rPr>
          <w:rFonts w:ascii="Calibri" w:eastAsia="Calibri" w:hAnsi="Calibri" w:cs="Times New Roman"/>
          <w:lang w:eastAsia="en-AU"/>
        </w:rPr>
        <w:t>not only pay more but may be more interesting workplaces. This usually happens in larger businesses.</w:t>
      </w:r>
    </w:p>
    <w:p w14:paraId="1CE350BB" w14:textId="0F7BD7E3" w:rsidR="00A83633" w:rsidRPr="00A83633" w:rsidRDefault="00F4641F" w:rsidP="00A83633">
      <w:pPr>
        <w:rPr>
          <w:rFonts w:ascii="Calibri" w:eastAsia="Calibri" w:hAnsi="Calibri" w:cs="Times New Roman"/>
          <w:lang w:eastAsia="en-AU"/>
        </w:rPr>
      </w:pPr>
      <w:r>
        <w:rPr>
          <w:rFonts w:ascii="Calibri" w:eastAsia="Calibri" w:hAnsi="Calibri" w:cs="Times New Roman"/>
          <w:lang w:eastAsia="en-AU"/>
        </w:rPr>
        <w:t>Medium</w:t>
      </w:r>
      <w:r w:rsidR="00A83633" w:rsidRPr="00A83633">
        <w:rPr>
          <w:rFonts w:ascii="Calibri" w:eastAsia="Calibri" w:hAnsi="Calibri" w:cs="Times New Roman"/>
          <w:lang w:eastAsia="en-AU"/>
        </w:rPr>
        <w:t xml:space="preserve">-sized businesses </w:t>
      </w:r>
      <w:r>
        <w:rPr>
          <w:rFonts w:ascii="Calibri" w:eastAsia="Calibri" w:hAnsi="Calibri" w:cs="Times New Roman"/>
          <w:lang w:eastAsia="en-AU"/>
        </w:rPr>
        <w:t xml:space="preserve">are a potential </w:t>
      </w:r>
      <w:r w:rsidR="00A83633" w:rsidRPr="00A83633">
        <w:rPr>
          <w:rFonts w:ascii="Calibri" w:eastAsia="Calibri" w:hAnsi="Calibri" w:cs="Times New Roman"/>
          <w:lang w:eastAsia="en-AU"/>
        </w:rPr>
        <w:t xml:space="preserve">source of growth and </w:t>
      </w:r>
      <w:r>
        <w:rPr>
          <w:rFonts w:ascii="Calibri" w:eastAsia="Calibri" w:hAnsi="Calibri" w:cs="Times New Roman"/>
          <w:lang w:eastAsia="en-AU"/>
        </w:rPr>
        <w:t xml:space="preserve">a pathway to </w:t>
      </w:r>
      <w:r w:rsidR="00A83633" w:rsidRPr="00A83633">
        <w:rPr>
          <w:rFonts w:ascii="Calibri" w:eastAsia="Calibri" w:hAnsi="Calibri" w:cs="Times New Roman"/>
          <w:lang w:eastAsia="en-AU"/>
        </w:rPr>
        <w:t>diversif</w:t>
      </w:r>
      <w:r w:rsidR="00AA5E52">
        <w:rPr>
          <w:rFonts w:ascii="Calibri" w:eastAsia="Calibri" w:hAnsi="Calibri" w:cs="Times New Roman"/>
          <w:lang w:eastAsia="en-AU"/>
        </w:rPr>
        <w:t>y</w:t>
      </w:r>
      <w:r w:rsidR="00A83633" w:rsidRPr="00A83633">
        <w:rPr>
          <w:rFonts w:ascii="Calibri" w:eastAsia="Calibri" w:hAnsi="Calibri" w:cs="Times New Roman"/>
          <w:lang w:eastAsia="en-AU"/>
        </w:rPr>
        <w:t xml:space="preserve"> the economy. Most m</w:t>
      </w:r>
      <w:r>
        <w:rPr>
          <w:rFonts w:ascii="Calibri" w:eastAsia="Calibri" w:hAnsi="Calibri" w:cs="Times New Roman"/>
          <w:lang w:eastAsia="en-AU"/>
        </w:rPr>
        <w:t>edium</w:t>
      </w:r>
      <w:r w:rsidR="00A83633" w:rsidRPr="00A83633">
        <w:rPr>
          <w:rFonts w:ascii="Calibri" w:eastAsia="Calibri" w:hAnsi="Calibri" w:cs="Times New Roman"/>
          <w:lang w:eastAsia="en-AU"/>
        </w:rPr>
        <w:t>-sized businesses are not lifestyle businesses</w:t>
      </w:r>
      <w:r w:rsidR="00506FC7">
        <w:rPr>
          <w:rFonts w:ascii="Calibri" w:eastAsia="Calibri" w:hAnsi="Calibri" w:cs="Times New Roman"/>
          <w:lang w:eastAsia="en-AU"/>
        </w:rPr>
        <w:t xml:space="preserve"> </w:t>
      </w:r>
      <w:r w:rsidR="00506FC7">
        <w:rPr>
          <w:rFonts w:ascii="Segoe UI" w:hAnsi="Segoe UI" w:cs="Segoe UI"/>
          <w:color w:val="414141"/>
          <w:shd w:val="clear" w:color="auto" w:fill="FFFFFF"/>
        </w:rPr>
        <w:t>–</w:t>
      </w:r>
      <w:r w:rsidR="00A83633" w:rsidRPr="00A83633">
        <w:rPr>
          <w:rFonts w:ascii="Calibri" w:eastAsia="Calibri" w:hAnsi="Calibri" w:cs="Times New Roman"/>
          <w:lang w:eastAsia="en-AU"/>
        </w:rPr>
        <w:t xml:space="preserve"> they aspire to grow</w:t>
      </w:r>
      <w:r w:rsidR="00506FC7">
        <w:rPr>
          <w:rFonts w:ascii="Calibri" w:eastAsia="Calibri" w:hAnsi="Calibri" w:cs="Times New Roman"/>
          <w:lang w:eastAsia="en-AU"/>
        </w:rPr>
        <w:t>. However,</w:t>
      </w:r>
      <w:r>
        <w:rPr>
          <w:rFonts w:ascii="Calibri" w:eastAsia="Calibri" w:hAnsi="Calibri" w:cs="Times New Roman"/>
          <w:lang w:eastAsia="en-AU"/>
        </w:rPr>
        <w:t xml:space="preserve"> as the data indicates</w:t>
      </w:r>
      <w:r w:rsidR="00506FC7">
        <w:rPr>
          <w:rFonts w:ascii="Calibri" w:eastAsia="Calibri" w:hAnsi="Calibri" w:cs="Times New Roman"/>
          <w:lang w:eastAsia="en-AU"/>
        </w:rPr>
        <w:t>,</w:t>
      </w:r>
      <w:r>
        <w:rPr>
          <w:rFonts w:ascii="Calibri" w:eastAsia="Calibri" w:hAnsi="Calibri" w:cs="Times New Roman"/>
          <w:lang w:eastAsia="en-AU"/>
        </w:rPr>
        <w:t xml:space="preserve"> </w:t>
      </w:r>
      <w:r w:rsidR="005016C7">
        <w:rPr>
          <w:rFonts w:ascii="Calibri" w:eastAsia="Calibri" w:hAnsi="Calibri" w:cs="Times New Roman"/>
          <w:lang w:eastAsia="en-AU"/>
        </w:rPr>
        <w:t xml:space="preserve">they </w:t>
      </w:r>
      <w:r>
        <w:rPr>
          <w:rFonts w:ascii="Calibri" w:eastAsia="Calibri" w:hAnsi="Calibri" w:cs="Times New Roman"/>
          <w:lang w:eastAsia="en-AU"/>
        </w:rPr>
        <w:t>struggle to sustain momentum.</w:t>
      </w:r>
      <w:r w:rsidR="00A83633" w:rsidRPr="00A83633">
        <w:rPr>
          <w:rFonts w:ascii="Calibri" w:eastAsia="Calibri" w:hAnsi="Calibri" w:cs="Times New Roman"/>
          <w:lang w:eastAsia="en-AU"/>
        </w:rPr>
        <w:t xml:space="preserve"> </w:t>
      </w:r>
      <w:r>
        <w:rPr>
          <w:rFonts w:ascii="Calibri" w:eastAsia="Calibri" w:hAnsi="Calibri" w:cs="Times New Roman"/>
          <w:lang w:eastAsia="en-AU"/>
        </w:rPr>
        <w:t>P</w:t>
      </w:r>
      <w:r w:rsidR="00A83633" w:rsidRPr="00A83633">
        <w:rPr>
          <w:rFonts w:ascii="Calibri" w:eastAsia="Calibri" w:hAnsi="Calibri" w:cs="Times New Roman"/>
          <w:lang w:eastAsia="en-AU"/>
        </w:rPr>
        <w:t>olicy can support m</w:t>
      </w:r>
      <w:r>
        <w:rPr>
          <w:rFonts w:ascii="Calibri" w:eastAsia="Calibri" w:hAnsi="Calibri" w:cs="Times New Roman"/>
          <w:lang w:eastAsia="en-AU"/>
        </w:rPr>
        <w:t>edium</w:t>
      </w:r>
      <w:r w:rsidR="00A83633" w:rsidRPr="00A83633">
        <w:rPr>
          <w:rFonts w:ascii="Calibri" w:eastAsia="Calibri" w:hAnsi="Calibri" w:cs="Times New Roman"/>
          <w:lang w:eastAsia="en-AU"/>
        </w:rPr>
        <w:t>-sized businesses in several ways:</w:t>
      </w:r>
    </w:p>
    <w:p w14:paraId="579CDE77" w14:textId="77777777" w:rsidR="00A83633" w:rsidRPr="00A83633" w:rsidRDefault="00A83633" w:rsidP="004D5189">
      <w:pPr>
        <w:pStyle w:val="ListParagraph"/>
        <w:numPr>
          <w:ilvl w:val="0"/>
          <w:numId w:val="34"/>
        </w:numPr>
        <w:ind w:left="426" w:hanging="357"/>
        <w:contextualSpacing w:val="0"/>
        <w:rPr>
          <w:rFonts w:ascii="Calibri" w:eastAsia="Calibri" w:hAnsi="Calibri" w:cs="Times New Roman"/>
          <w:lang w:eastAsia="en-AU"/>
        </w:rPr>
      </w:pPr>
      <w:r w:rsidRPr="00A83633">
        <w:rPr>
          <w:rFonts w:ascii="Calibri" w:eastAsia="Calibri" w:hAnsi="Calibri" w:cs="Times New Roman"/>
          <w:lang w:eastAsia="en-AU"/>
        </w:rPr>
        <w:t>Building capabilities in identifying technological and market opportunities</w:t>
      </w:r>
    </w:p>
    <w:p w14:paraId="380F4E7A" w14:textId="77777777" w:rsidR="00A83633" w:rsidRPr="00A83633" w:rsidRDefault="00A83633" w:rsidP="004D5189">
      <w:pPr>
        <w:pStyle w:val="ListParagraph"/>
        <w:numPr>
          <w:ilvl w:val="0"/>
          <w:numId w:val="34"/>
        </w:numPr>
        <w:ind w:left="426" w:hanging="357"/>
        <w:contextualSpacing w:val="0"/>
        <w:rPr>
          <w:rFonts w:ascii="Calibri" w:eastAsia="Calibri" w:hAnsi="Calibri" w:cs="Times New Roman"/>
          <w:lang w:eastAsia="en-AU"/>
        </w:rPr>
      </w:pPr>
      <w:r w:rsidRPr="00A83633">
        <w:rPr>
          <w:rFonts w:ascii="Calibri" w:eastAsia="Calibri" w:hAnsi="Calibri" w:cs="Times New Roman"/>
          <w:lang w:eastAsia="en-AU"/>
        </w:rPr>
        <w:t xml:space="preserve">Improving technological awareness </w:t>
      </w:r>
    </w:p>
    <w:p w14:paraId="3E427098" w14:textId="77777777" w:rsidR="00A83633" w:rsidRPr="00A83633" w:rsidRDefault="00A83633" w:rsidP="004D5189">
      <w:pPr>
        <w:pStyle w:val="ListParagraph"/>
        <w:numPr>
          <w:ilvl w:val="0"/>
          <w:numId w:val="34"/>
        </w:numPr>
        <w:ind w:left="426" w:hanging="357"/>
        <w:contextualSpacing w:val="0"/>
        <w:rPr>
          <w:rFonts w:ascii="Calibri" w:eastAsia="Calibri" w:hAnsi="Calibri" w:cs="Times New Roman"/>
          <w:lang w:eastAsia="en-AU"/>
        </w:rPr>
      </w:pPr>
      <w:r w:rsidRPr="00A83633">
        <w:rPr>
          <w:rFonts w:ascii="Calibri" w:eastAsia="Calibri" w:hAnsi="Calibri" w:cs="Times New Roman"/>
          <w:lang w:eastAsia="en-AU"/>
        </w:rPr>
        <w:t xml:space="preserve">Attracting talent </w:t>
      </w:r>
    </w:p>
    <w:p w14:paraId="15E63BA2" w14:textId="1D15DD22" w:rsidR="00A83633" w:rsidRPr="00A83633" w:rsidRDefault="00A83633" w:rsidP="004D5189">
      <w:pPr>
        <w:pStyle w:val="ListParagraph"/>
        <w:numPr>
          <w:ilvl w:val="0"/>
          <w:numId w:val="34"/>
        </w:numPr>
        <w:ind w:left="426" w:hanging="357"/>
        <w:contextualSpacing w:val="0"/>
        <w:rPr>
          <w:rFonts w:ascii="Calibri" w:eastAsia="Calibri" w:hAnsi="Calibri" w:cs="Times New Roman"/>
          <w:lang w:eastAsia="en-AU"/>
        </w:rPr>
      </w:pPr>
      <w:r w:rsidRPr="00A83633">
        <w:rPr>
          <w:rFonts w:ascii="Calibri" w:eastAsia="Calibri" w:hAnsi="Calibri" w:cs="Times New Roman"/>
          <w:lang w:eastAsia="en-AU"/>
        </w:rPr>
        <w:t>Renewing focus on novel forms of innovation (beyond adoption of other businesses’ innovations) including commercialisation of new products and services</w:t>
      </w:r>
    </w:p>
    <w:p w14:paraId="3C8A631C" w14:textId="7493DF49" w:rsidR="00A83633" w:rsidRPr="00A83633" w:rsidRDefault="00A83633" w:rsidP="004D5189">
      <w:pPr>
        <w:pStyle w:val="ListParagraph"/>
        <w:numPr>
          <w:ilvl w:val="0"/>
          <w:numId w:val="34"/>
        </w:numPr>
        <w:ind w:left="426" w:hanging="357"/>
        <w:contextualSpacing w:val="0"/>
        <w:rPr>
          <w:rFonts w:ascii="Calibri" w:eastAsia="Calibri" w:hAnsi="Calibri" w:cs="Times New Roman"/>
          <w:lang w:eastAsia="en-AU"/>
        </w:rPr>
      </w:pPr>
      <w:r w:rsidRPr="00A83633">
        <w:rPr>
          <w:rFonts w:ascii="Calibri" w:eastAsia="Calibri" w:hAnsi="Calibri" w:cs="Times New Roman"/>
          <w:lang w:eastAsia="en-AU"/>
        </w:rPr>
        <w:t xml:space="preserve">Undertaking collaboration </w:t>
      </w:r>
      <w:r w:rsidR="00506FC7">
        <w:rPr>
          <w:rFonts w:ascii="Segoe UI" w:hAnsi="Segoe UI" w:cs="Segoe UI"/>
          <w:color w:val="414141"/>
          <w:shd w:val="clear" w:color="auto" w:fill="FFFFFF"/>
        </w:rPr>
        <w:t>–</w:t>
      </w:r>
      <w:r w:rsidR="00F4641F">
        <w:rPr>
          <w:rFonts w:ascii="Calibri" w:eastAsia="Calibri" w:hAnsi="Calibri" w:cs="Times New Roman"/>
          <w:lang w:eastAsia="en-AU"/>
        </w:rPr>
        <w:t xml:space="preserve"> </w:t>
      </w:r>
      <w:r w:rsidRPr="00A83633">
        <w:rPr>
          <w:rFonts w:ascii="Calibri" w:eastAsia="Calibri" w:hAnsi="Calibri" w:cs="Times New Roman"/>
          <w:lang w:eastAsia="en-AU"/>
        </w:rPr>
        <w:t>both business</w:t>
      </w:r>
      <w:r w:rsidR="00506FC7">
        <w:rPr>
          <w:rFonts w:ascii="Calibri" w:eastAsia="Calibri" w:hAnsi="Calibri" w:cs="Times New Roman"/>
          <w:lang w:eastAsia="en-AU"/>
        </w:rPr>
        <w:t>-</w:t>
      </w:r>
      <w:r w:rsidRPr="00A83633">
        <w:rPr>
          <w:rFonts w:ascii="Calibri" w:eastAsia="Calibri" w:hAnsi="Calibri" w:cs="Times New Roman"/>
          <w:lang w:eastAsia="en-AU"/>
        </w:rPr>
        <w:t>to</w:t>
      </w:r>
      <w:r w:rsidR="00506FC7">
        <w:rPr>
          <w:rFonts w:ascii="Calibri" w:eastAsia="Calibri" w:hAnsi="Calibri" w:cs="Times New Roman"/>
          <w:lang w:eastAsia="en-AU"/>
        </w:rPr>
        <w:t>-</w:t>
      </w:r>
      <w:r w:rsidRPr="00A83633">
        <w:rPr>
          <w:rFonts w:ascii="Calibri" w:eastAsia="Calibri" w:hAnsi="Calibri" w:cs="Times New Roman"/>
          <w:lang w:eastAsia="en-AU"/>
        </w:rPr>
        <w:t>business and business</w:t>
      </w:r>
      <w:r w:rsidR="00506FC7">
        <w:rPr>
          <w:rFonts w:ascii="Calibri" w:eastAsia="Calibri" w:hAnsi="Calibri" w:cs="Times New Roman"/>
          <w:lang w:eastAsia="en-AU"/>
        </w:rPr>
        <w:t>-</w:t>
      </w:r>
      <w:r w:rsidRPr="00A83633">
        <w:rPr>
          <w:rFonts w:ascii="Calibri" w:eastAsia="Calibri" w:hAnsi="Calibri" w:cs="Times New Roman"/>
          <w:lang w:eastAsia="en-AU"/>
        </w:rPr>
        <w:t>to</w:t>
      </w:r>
      <w:r w:rsidR="00506FC7">
        <w:rPr>
          <w:rFonts w:ascii="Calibri" w:eastAsia="Calibri" w:hAnsi="Calibri" w:cs="Times New Roman"/>
          <w:lang w:eastAsia="en-AU"/>
        </w:rPr>
        <w:t>-</w:t>
      </w:r>
      <w:r w:rsidRPr="00A83633">
        <w:rPr>
          <w:rFonts w:ascii="Calibri" w:eastAsia="Calibri" w:hAnsi="Calibri" w:cs="Times New Roman"/>
          <w:lang w:eastAsia="en-AU"/>
        </w:rPr>
        <w:t xml:space="preserve">research </w:t>
      </w:r>
      <w:r w:rsidR="00506FC7">
        <w:rPr>
          <w:rFonts w:ascii="Segoe UI" w:hAnsi="Segoe UI" w:cs="Segoe UI"/>
          <w:color w:val="414141"/>
          <w:shd w:val="clear" w:color="auto" w:fill="FFFFFF"/>
        </w:rPr>
        <w:t>–</w:t>
      </w:r>
      <w:r w:rsidR="00F4641F">
        <w:rPr>
          <w:rFonts w:ascii="Calibri" w:eastAsia="Calibri" w:hAnsi="Calibri" w:cs="Times New Roman"/>
          <w:lang w:eastAsia="en-AU"/>
        </w:rPr>
        <w:t xml:space="preserve"> </w:t>
      </w:r>
      <w:r w:rsidRPr="00A83633">
        <w:rPr>
          <w:rFonts w:ascii="Calibri" w:eastAsia="Calibri" w:hAnsi="Calibri" w:cs="Times New Roman"/>
          <w:lang w:eastAsia="en-AU"/>
        </w:rPr>
        <w:t>as a pathway to build capabilities</w:t>
      </w:r>
    </w:p>
    <w:p w14:paraId="7DC9417D" w14:textId="382BDD7C" w:rsidR="00A83633" w:rsidRPr="008B1908" w:rsidRDefault="00A83633" w:rsidP="004D5189">
      <w:pPr>
        <w:pStyle w:val="ListParagraph"/>
        <w:numPr>
          <w:ilvl w:val="0"/>
          <w:numId w:val="34"/>
        </w:numPr>
        <w:ind w:left="426" w:hanging="357"/>
        <w:contextualSpacing w:val="0"/>
        <w:rPr>
          <w:rFonts w:ascii="Calibri" w:hAnsi="Calibri" w:cs="Times New Roman"/>
          <w:lang w:eastAsia="en-AU"/>
        </w:rPr>
      </w:pPr>
      <w:r w:rsidRPr="00A83633">
        <w:rPr>
          <w:rFonts w:ascii="Calibri" w:eastAsia="Calibri" w:hAnsi="Calibri" w:cs="Times New Roman"/>
          <w:lang w:eastAsia="en-AU"/>
        </w:rPr>
        <w:t>Reducing the barriers to accessing and commercialising research both in the private and education sectors.</w:t>
      </w:r>
    </w:p>
    <w:p w14:paraId="0AE69B1E" w14:textId="663F4723" w:rsidR="006C611B" w:rsidRPr="00F17E2C" w:rsidRDefault="006C611B" w:rsidP="0018187C">
      <w:pPr>
        <w:pStyle w:val="Heading2"/>
      </w:pPr>
      <w:bookmarkStart w:id="62" w:name="_Toc144944444"/>
      <w:bookmarkStart w:id="63" w:name="_Toc1574462052"/>
      <w:bookmarkStart w:id="64" w:name="_Toc145000215"/>
      <w:bookmarkStart w:id="65" w:name="_Toc152165424"/>
      <w:r w:rsidRPr="00F17E2C">
        <w:t>Recommendations and policy considerations</w:t>
      </w:r>
      <w:bookmarkEnd w:id="62"/>
      <w:bookmarkEnd w:id="63"/>
      <w:bookmarkEnd w:id="64"/>
      <w:bookmarkEnd w:id="65"/>
    </w:p>
    <w:p w14:paraId="010A081B" w14:textId="3CF0686E" w:rsidR="001469A7" w:rsidRPr="0059053E" w:rsidRDefault="001469A7" w:rsidP="00F6694F">
      <w:pPr>
        <w:pStyle w:val="Heading3"/>
        <w:rPr>
          <w:rFonts w:ascii="Calibri" w:eastAsia="Calibri" w:hAnsi="Calibri" w:cs="Times New Roman"/>
          <w:sz w:val="22"/>
          <w:szCs w:val="22"/>
        </w:rPr>
      </w:pPr>
      <w:bookmarkStart w:id="66" w:name="_Toc152165425"/>
      <w:bookmarkStart w:id="67" w:name="_Toc144944445"/>
      <w:bookmarkStart w:id="68" w:name="_Toc713974911"/>
      <w:bookmarkStart w:id="69" w:name="_Toc145000216"/>
      <w:r w:rsidRPr="09F0E515">
        <w:t xml:space="preserve">Build absorptive capacity and capability for </w:t>
      </w:r>
      <w:r w:rsidR="000B7C7A">
        <w:t>industry</w:t>
      </w:r>
      <w:r w:rsidR="000B7C7A" w:rsidRPr="09F0E515">
        <w:t xml:space="preserve"> </w:t>
      </w:r>
      <w:r w:rsidRPr="09F0E515">
        <w:t>transformation</w:t>
      </w:r>
      <w:r>
        <w:t>.</w:t>
      </w:r>
      <w:bookmarkEnd w:id="66"/>
    </w:p>
    <w:p w14:paraId="1C275A84" w14:textId="7D96FBBA" w:rsidR="001469A7" w:rsidRDefault="001469A7" w:rsidP="00BF01BF">
      <w:pPr>
        <w:pStyle w:val="ListParagraph"/>
        <w:numPr>
          <w:ilvl w:val="0"/>
          <w:numId w:val="71"/>
        </w:numPr>
        <w:ind w:left="567" w:hanging="567"/>
      </w:pPr>
      <w:r w:rsidRPr="00DC1525">
        <w:rPr>
          <w:rStyle w:val="Emphasis"/>
        </w:rPr>
        <w:t>Create the policy environment to attract and grow medium enterprises in targeted industries.</w:t>
      </w:r>
    </w:p>
    <w:p w14:paraId="2CC83B11" w14:textId="77777777" w:rsidR="001469A7" w:rsidRPr="00DC1525" w:rsidRDefault="001469A7" w:rsidP="00BF01BF">
      <w:pPr>
        <w:ind w:left="567" w:hanging="567"/>
        <w:rPr>
          <w:rStyle w:val="Emphasis"/>
        </w:rPr>
      </w:pPr>
      <w:r w:rsidRPr="00DC1525">
        <w:rPr>
          <w:rStyle w:val="Emphasis"/>
        </w:rPr>
        <w:t>Actions could include:</w:t>
      </w:r>
    </w:p>
    <w:p w14:paraId="1D5BE115" w14:textId="01747CD6" w:rsidR="001663AE" w:rsidRPr="00A731E2" w:rsidRDefault="001663AE" w:rsidP="00BF01BF">
      <w:pPr>
        <w:pStyle w:val="ListParagraph"/>
        <w:numPr>
          <w:ilvl w:val="1"/>
          <w:numId w:val="71"/>
        </w:numPr>
        <w:ind w:left="567" w:hanging="567"/>
        <w:contextualSpacing w:val="0"/>
      </w:pPr>
      <w:r w:rsidRPr="00A731E2">
        <w:t xml:space="preserve">Restricted tax reform or similar levers </w:t>
      </w:r>
      <w:r>
        <w:t>that</w:t>
      </w:r>
      <w:r w:rsidRPr="00A731E2">
        <w:t xml:space="preserve"> change risk</w:t>
      </w:r>
      <w:r w:rsidRPr="00EA2E3E">
        <w:t>–</w:t>
      </w:r>
      <w:r w:rsidRPr="00A731E2">
        <w:t>reward evaluations of businesses currently based in Australia and attract and build businesses with the management experience, capacity, and capability for innovation,</w:t>
      </w:r>
      <w:r>
        <w:t xml:space="preserve"> and</w:t>
      </w:r>
      <w:r w:rsidRPr="00A731E2">
        <w:t xml:space="preserve"> increase competition and business dynamism.</w:t>
      </w:r>
    </w:p>
    <w:p w14:paraId="0F59ECAB" w14:textId="22E8C534" w:rsidR="001663AE" w:rsidRPr="00A731E2" w:rsidRDefault="001663AE" w:rsidP="00BF01BF">
      <w:pPr>
        <w:pStyle w:val="ListParagraph"/>
        <w:numPr>
          <w:ilvl w:val="1"/>
          <w:numId w:val="71"/>
        </w:numPr>
        <w:spacing w:before="160"/>
        <w:ind w:left="567" w:hanging="567"/>
        <w:contextualSpacing w:val="0"/>
      </w:pPr>
      <w:r w:rsidRPr="00A731E2">
        <w:t xml:space="preserve">Recalibrate </w:t>
      </w:r>
      <w:r>
        <w:t>g</w:t>
      </w:r>
      <w:r w:rsidRPr="00A731E2">
        <w:t xml:space="preserve">overnment interventions to focus on building capabilities to de-risk market adoption and develop innovative business models. Programs currently focus primarily on technical readiness or product feasibility risk, while neglecting crucial elements of building competitive businesses.  </w:t>
      </w:r>
    </w:p>
    <w:bookmarkEnd w:id="67"/>
    <w:bookmarkEnd w:id="68"/>
    <w:bookmarkEnd w:id="69"/>
    <w:p w14:paraId="1D29600B" w14:textId="3B2903AF" w:rsidR="00A83633" w:rsidRPr="00A83633" w:rsidRDefault="00A83633" w:rsidP="00A83633">
      <w:pPr>
        <w:rPr>
          <w:rFonts w:ascii="Calibri" w:eastAsia="Calibri" w:hAnsi="Calibri" w:cs="Times New Roman"/>
        </w:rPr>
      </w:pPr>
      <w:r w:rsidRPr="00A83633">
        <w:rPr>
          <w:rFonts w:ascii="Calibri" w:eastAsia="Calibri" w:hAnsi="Calibri" w:cs="Times New Roman"/>
        </w:rPr>
        <w:t xml:space="preserve"> </w:t>
      </w:r>
    </w:p>
    <w:p w14:paraId="341EC28A" w14:textId="77777777" w:rsidR="00A85764" w:rsidRDefault="00A85764" w:rsidP="007E5DA8">
      <w:pPr>
        <w:pStyle w:val="Heading1"/>
        <w:rPr>
          <w:rFonts w:eastAsia="Meiryo"/>
        </w:rPr>
        <w:sectPr w:rsidR="00A85764" w:rsidSect="00574AAE">
          <w:footerReference w:type="default" r:id="rId34"/>
          <w:headerReference w:type="first" r:id="rId35"/>
          <w:footerReference w:type="first" r:id="rId36"/>
          <w:type w:val="continuous"/>
          <w:pgSz w:w="11906" w:h="16838"/>
          <w:pgMar w:top="1276" w:right="1440" w:bottom="1440" w:left="1440" w:header="851" w:footer="708" w:gutter="0"/>
          <w:cols w:space="708"/>
          <w:titlePg/>
          <w:docGrid w:linePitch="360"/>
        </w:sectPr>
      </w:pPr>
      <w:bookmarkStart w:id="70" w:name="_Toc2061014309"/>
    </w:p>
    <w:p w14:paraId="4D6B1C2F" w14:textId="232572EB" w:rsidR="00A83633" w:rsidRPr="00F17E2C" w:rsidRDefault="00A85764" w:rsidP="00DC1525">
      <w:pPr>
        <w:pStyle w:val="Heading2"/>
      </w:pPr>
      <w:bookmarkStart w:id="71" w:name="_Toc152165426"/>
      <w:r>
        <w:t xml:space="preserve">Section 3: </w:t>
      </w:r>
      <w:r w:rsidR="00A83633" w:rsidRPr="00F17E2C">
        <w:t xml:space="preserve">Efficiencies of </w:t>
      </w:r>
      <w:r w:rsidR="004A3C8F">
        <w:t>i</w:t>
      </w:r>
      <w:r w:rsidR="00A83633" w:rsidRPr="00F17E2C">
        <w:t xml:space="preserve">nnovation </w:t>
      </w:r>
      <w:r w:rsidR="004A3C8F">
        <w:t>p</w:t>
      </w:r>
      <w:r w:rsidR="00A83633" w:rsidRPr="00F17E2C">
        <w:t>rocess</w:t>
      </w:r>
      <w:bookmarkEnd w:id="70"/>
      <w:bookmarkEnd w:id="71"/>
      <w:r w:rsidR="00A83633" w:rsidRPr="00F17E2C">
        <w:t xml:space="preserve"> </w:t>
      </w:r>
    </w:p>
    <w:p w14:paraId="258DF81D" w14:textId="42AE925B" w:rsidR="00A83633" w:rsidRPr="00F30B58" w:rsidRDefault="002F52A0" w:rsidP="00A83633">
      <w:pPr>
        <w:rPr>
          <w:rFonts w:ascii="Calibri" w:eastAsia="Calibri" w:hAnsi="Calibri" w:cs="Arial"/>
        </w:rPr>
      </w:pPr>
      <w:r>
        <w:rPr>
          <w:rFonts w:ascii="Calibri" w:eastAsia="Calibri" w:hAnsi="Calibri" w:cs="Arial"/>
        </w:rPr>
        <w:t xml:space="preserve">The existing market for industry-research collaboration compounds </w:t>
      </w:r>
      <w:r w:rsidR="0073715C">
        <w:rPr>
          <w:rFonts w:ascii="Calibri" w:eastAsia="Calibri" w:hAnsi="Calibri" w:cs="Arial"/>
        </w:rPr>
        <w:t>barriers created by market dynamics</w:t>
      </w:r>
      <w:r w:rsidR="00D46CAD">
        <w:rPr>
          <w:rFonts w:ascii="Calibri" w:eastAsia="Calibri" w:hAnsi="Calibri" w:cs="Arial"/>
        </w:rPr>
        <w:t xml:space="preserve"> and </w:t>
      </w:r>
      <w:r w:rsidR="0073715C">
        <w:rPr>
          <w:rFonts w:ascii="Calibri" w:eastAsia="Calibri" w:hAnsi="Calibri" w:cs="Arial"/>
        </w:rPr>
        <w:t>industry structure</w:t>
      </w:r>
      <w:r w:rsidR="00554965">
        <w:rPr>
          <w:rFonts w:ascii="Calibri" w:eastAsia="Calibri" w:hAnsi="Calibri" w:cs="Arial"/>
        </w:rPr>
        <w:t xml:space="preserve">. This </w:t>
      </w:r>
      <w:r w:rsidR="00E259D5">
        <w:rPr>
          <w:rFonts w:ascii="Calibri" w:eastAsia="Calibri" w:hAnsi="Calibri" w:cs="Arial"/>
        </w:rPr>
        <w:t>“</w:t>
      </w:r>
      <w:r w:rsidR="00554965">
        <w:rPr>
          <w:rFonts w:ascii="Calibri" w:eastAsia="Calibri" w:hAnsi="Calibri" w:cs="Arial"/>
        </w:rPr>
        <w:t>market</w:t>
      </w:r>
      <w:r w:rsidR="00E259D5">
        <w:rPr>
          <w:rFonts w:ascii="Calibri" w:eastAsia="Calibri" w:hAnsi="Calibri" w:cs="Arial"/>
        </w:rPr>
        <w:t>”</w:t>
      </w:r>
      <w:r w:rsidR="00554965">
        <w:rPr>
          <w:rFonts w:ascii="Calibri" w:eastAsia="Calibri" w:hAnsi="Calibri" w:cs="Arial"/>
        </w:rPr>
        <w:t xml:space="preserve"> </w:t>
      </w:r>
      <w:r w:rsidR="00A83633" w:rsidRPr="00A83633">
        <w:rPr>
          <w:rFonts w:ascii="Calibri" w:eastAsia="Calibri" w:hAnsi="Calibri" w:cs="Arial"/>
        </w:rPr>
        <w:t xml:space="preserve">is inefficient and ineffective and does not align </w:t>
      </w:r>
      <w:r w:rsidR="007B2F2A">
        <w:rPr>
          <w:rFonts w:ascii="Calibri" w:eastAsia="Calibri" w:hAnsi="Calibri" w:cs="Arial"/>
        </w:rPr>
        <w:t>with</w:t>
      </w:r>
      <w:r w:rsidR="00A83633" w:rsidRPr="00A83633">
        <w:rPr>
          <w:rFonts w:ascii="Calibri" w:eastAsia="Calibri" w:hAnsi="Calibri" w:cs="Arial"/>
        </w:rPr>
        <w:t xml:space="preserve"> the needs of industry, particularly small to medium</w:t>
      </w:r>
      <w:r>
        <w:rPr>
          <w:rFonts w:ascii="Calibri" w:eastAsia="Calibri" w:hAnsi="Calibri" w:cs="Arial"/>
        </w:rPr>
        <w:t>-</w:t>
      </w:r>
      <w:r w:rsidR="00A83633" w:rsidRPr="00A83633">
        <w:rPr>
          <w:rFonts w:ascii="Calibri" w:eastAsia="Calibri" w:hAnsi="Calibri" w:cs="Arial"/>
        </w:rPr>
        <w:t>sized businesses.</w:t>
      </w:r>
      <w:r w:rsidR="00F30B58">
        <w:rPr>
          <w:rFonts w:ascii="Calibri" w:eastAsia="Calibri" w:hAnsi="Calibri" w:cs="Arial"/>
        </w:rPr>
        <w:t xml:space="preserve"> </w:t>
      </w:r>
      <w:r w:rsidR="00A83633" w:rsidRPr="00A83633">
        <w:rPr>
          <w:rFonts w:ascii="Calibri" w:eastAsia="Calibri" w:hAnsi="Calibri" w:cs="Times New Roman"/>
        </w:rPr>
        <w:t>Industry engagement has identified significant issues impacting the effective operation of collaboration and commercialisation supported by publicly funded research entities.</w:t>
      </w:r>
    </w:p>
    <w:p w14:paraId="52743731" w14:textId="029BC3E1" w:rsidR="00A83633" w:rsidRPr="00D53494" w:rsidRDefault="00A83633" w:rsidP="00F6694F">
      <w:pPr>
        <w:pStyle w:val="Heading3"/>
      </w:pPr>
      <w:bookmarkStart w:id="72" w:name="_Toc152165427"/>
      <w:r w:rsidRPr="00D53494">
        <w:t xml:space="preserve">Intellectual </w:t>
      </w:r>
      <w:r w:rsidR="000D2DCF" w:rsidRPr="00D53494">
        <w:t>property</w:t>
      </w:r>
      <w:bookmarkEnd w:id="72"/>
    </w:p>
    <w:p w14:paraId="4F7637A7" w14:textId="1C5C1D33" w:rsidR="00A83633" w:rsidRDefault="00A83633" w:rsidP="00A83633">
      <w:pPr>
        <w:rPr>
          <w:rFonts w:ascii="Calibri" w:eastAsia="Calibri" w:hAnsi="Calibri" w:cs="Times New Roman"/>
        </w:rPr>
      </w:pPr>
      <w:r w:rsidRPr="00A83633">
        <w:rPr>
          <w:rFonts w:ascii="Calibri" w:eastAsia="Calibri" w:hAnsi="Calibri" w:cs="Times New Roman"/>
        </w:rPr>
        <w:t>I</w:t>
      </w:r>
      <w:r w:rsidR="00AA5E52">
        <w:rPr>
          <w:rFonts w:ascii="Calibri" w:eastAsia="Calibri" w:hAnsi="Calibri" w:cs="Times New Roman"/>
        </w:rPr>
        <w:t xml:space="preserve">ntellectual </w:t>
      </w:r>
      <w:r w:rsidR="000D2DCF" w:rsidRPr="00A83633">
        <w:rPr>
          <w:rFonts w:ascii="Calibri" w:eastAsia="Calibri" w:hAnsi="Calibri" w:cs="Times New Roman"/>
        </w:rPr>
        <w:t>p</w:t>
      </w:r>
      <w:r w:rsidR="000D2DCF">
        <w:rPr>
          <w:rFonts w:ascii="Calibri" w:eastAsia="Calibri" w:hAnsi="Calibri" w:cs="Times New Roman"/>
        </w:rPr>
        <w:t xml:space="preserve">roperty </w:t>
      </w:r>
      <w:r w:rsidR="00AA5E52">
        <w:rPr>
          <w:rFonts w:ascii="Calibri" w:eastAsia="Calibri" w:hAnsi="Calibri" w:cs="Times New Roman"/>
        </w:rPr>
        <w:t>(IP)</w:t>
      </w:r>
      <w:r w:rsidRPr="00A83633">
        <w:rPr>
          <w:rFonts w:ascii="Calibri" w:eastAsia="Calibri" w:hAnsi="Calibri" w:cs="Times New Roman"/>
        </w:rPr>
        <w:t xml:space="preserve"> arrangements present a significant barrier to commercialisation. Research entities are inclined to </w:t>
      </w:r>
      <w:r w:rsidRPr="001C779B">
        <w:rPr>
          <w:rFonts w:ascii="Calibri" w:eastAsia="Calibri" w:hAnsi="Calibri" w:cs="Times New Roman"/>
        </w:rPr>
        <w:t xml:space="preserve">control IP </w:t>
      </w:r>
      <w:r w:rsidRPr="00242394">
        <w:rPr>
          <w:rFonts w:ascii="Calibri" w:eastAsia="Calibri" w:hAnsi="Calibri" w:cs="Times New Roman"/>
        </w:rPr>
        <w:t xml:space="preserve">and often have </w:t>
      </w:r>
      <w:r w:rsidR="002F52A0" w:rsidRPr="00242394">
        <w:rPr>
          <w:rFonts w:ascii="Calibri" w:eastAsia="Calibri" w:hAnsi="Calibri" w:cs="Times New Roman"/>
        </w:rPr>
        <w:t xml:space="preserve">outcomes </w:t>
      </w:r>
      <w:r w:rsidRPr="00242394">
        <w:rPr>
          <w:rFonts w:ascii="Calibri" w:eastAsia="Calibri" w:hAnsi="Calibri" w:cs="Times New Roman"/>
        </w:rPr>
        <w:t xml:space="preserve">misaligned with </w:t>
      </w:r>
      <w:r w:rsidR="002F52A0" w:rsidRPr="00242394">
        <w:rPr>
          <w:rFonts w:ascii="Calibri" w:eastAsia="Calibri" w:hAnsi="Calibri" w:cs="Times New Roman"/>
        </w:rPr>
        <w:t xml:space="preserve">those of </w:t>
      </w:r>
      <w:r w:rsidRPr="00242394">
        <w:rPr>
          <w:rFonts w:ascii="Calibri" w:eastAsia="Calibri" w:hAnsi="Calibri" w:cs="Times New Roman"/>
        </w:rPr>
        <w:t>industry</w:t>
      </w:r>
      <w:r w:rsidR="00693C0C" w:rsidRPr="001C779B">
        <w:rPr>
          <w:rFonts w:ascii="Calibri" w:eastAsia="Calibri" w:hAnsi="Calibri" w:cs="Times New Roman"/>
        </w:rPr>
        <w:t>.</w:t>
      </w:r>
      <w:r w:rsidR="00693C0C">
        <w:rPr>
          <w:rFonts w:ascii="Calibri" w:eastAsia="Calibri" w:hAnsi="Calibri" w:cs="Times New Roman"/>
        </w:rPr>
        <w:t xml:space="preserve"> </w:t>
      </w:r>
      <w:r w:rsidR="00AA5E52">
        <w:rPr>
          <w:rFonts w:ascii="Calibri" w:eastAsia="Calibri" w:hAnsi="Calibri" w:cs="Times New Roman"/>
        </w:rPr>
        <w:t>F</w:t>
      </w:r>
      <w:r w:rsidRPr="00A83633">
        <w:rPr>
          <w:rFonts w:ascii="Calibri" w:eastAsia="Calibri" w:hAnsi="Calibri" w:cs="Times New Roman"/>
        </w:rPr>
        <w:t>riction over IP control hinders the ability of business to efficiently exploit IP,</w:t>
      </w:r>
      <w:r w:rsidR="00AA5E52">
        <w:rPr>
          <w:rFonts w:ascii="Calibri" w:eastAsia="Calibri" w:hAnsi="Calibri" w:cs="Times New Roman"/>
        </w:rPr>
        <w:t xml:space="preserve"> such as by</w:t>
      </w:r>
      <w:r w:rsidRPr="00A83633">
        <w:rPr>
          <w:rFonts w:ascii="Calibri" w:eastAsia="Calibri" w:hAnsi="Calibri" w:cs="Times New Roman"/>
        </w:rPr>
        <w:t xml:space="preserve"> forming additional business partnerships to penetrate new markets</w:t>
      </w:r>
      <w:r w:rsidR="00AA5E52">
        <w:rPr>
          <w:rFonts w:ascii="Calibri" w:eastAsia="Calibri" w:hAnsi="Calibri" w:cs="Times New Roman"/>
        </w:rPr>
        <w:t>. Friction over IP control also</w:t>
      </w:r>
      <w:r w:rsidRPr="00A83633">
        <w:rPr>
          <w:rFonts w:ascii="Calibri" w:eastAsia="Calibri" w:hAnsi="Calibri" w:cs="Times New Roman"/>
        </w:rPr>
        <w:t xml:space="preserve"> act</w:t>
      </w:r>
      <w:r w:rsidR="00AA5E52">
        <w:rPr>
          <w:rFonts w:ascii="Calibri" w:eastAsia="Calibri" w:hAnsi="Calibri" w:cs="Times New Roman"/>
        </w:rPr>
        <w:t>s</w:t>
      </w:r>
      <w:r w:rsidRPr="00A83633">
        <w:rPr>
          <w:rFonts w:ascii="Calibri" w:eastAsia="Calibri" w:hAnsi="Calibri" w:cs="Times New Roman"/>
        </w:rPr>
        <w:t xml:space="preserve"> as a barrier for capital growth</w:t>
      </w:r>
      <w:r w:rsidR="00595480">
        <w:rPr>
          <w:rFonts w:ascii="Calibri" w:eastAsia="Calibri" w:hAnsi="Calibri" w:cs="Times New Roman"/>
        </w:rPr>
        <w:t>,</w:t>
      </w:r>
      <w:r w:rsidRPr="00A83633">
        <w:rPr>
          <w:rFonts w:ascii="Calibri" w:eastAsia="Calibri" w:hAnsi="Calibri" w:cs="Times New Roman"/>
        </w:rPr>
        <w:t xml:space="preserve"> inhibiting </w:t>
      </w:r>
      <w:r w:rsidR="00AA5E52">
        <w:rPr>
          <w:rFonts w:ascii="Calibri" w:eastAsia="Calibri" w:hAnsi="Calibri" w:cs="Times New Roman"/>
        </w:rPr>
        <w:t xml:space="preserve">business </w:t>
      </w:r>
      <w:r w:rsidRPr="00A83633">
        <w:rPr>
          <w:rFonts w:ascii="Calibri" w:eastAsia="Calibri" w:hAnsi="Calibri" w:cs="Times New Roman"/>
        </w:rPr>
        <w:t xml:space="preserve">finance from private markets. Private markets are disinclined to fund businesses that do not wholly own or control their IP. Businesses need certainty of IP ownership, its secure long-term use or exclusivity of IP rights, </w:t>
      </w:r>
      <w:r w:rsidR="00554965" w:rsidRPr="00A83633">
        <w:rPr>
          <w:rFonts w:ascii="Calibri" w:eastAsia="Calibri" w:hAnsi="Calibri" w:cs="Times New Roman"/>
        </w:rPr>
        <w:t>to</w:t>
      </w:r>
      <w:r w:rsidRPr="00A83633">
        <w:rPr>
          <w:rFonts w:ascii="Calibri" w:eastAsia="Calibri" w:hAnsi="Calibri" w:cs="Times New Roman"/>
        </w:rPr>
        <w:t xml:space="preserve"> reduce risk of return on investment in commercialising that IP. </w:t>
      </w:r>
    </w:p>
    <w:p w14:paraId="7D4794FE" w14:textId="3BA52080" w:rsidR="00C47C38" w:rsidRPr="002D4108" w:rsidRDefault="00620110" w:rsidP="002D4108">
      <w:r>
        <w:t>B</w:t>
      </w:r>
      <w:r w:rsidR="006D5F71" w:rsidRPr="002D4108">
        <w:t xml:space="preserve">usinesses interviewed as part of </w:t>
      </w:r>
      <w:r w:rsidR="00554965">
        <w:t xml:space="preserve">our </w:t>
      </w:r>
      <w:r w:rsidR="006D5F71" w:rsidRPr="002D4108">
        <w:t>analysis</w:t>
      </w:r>
      <w:r>
        <w:t xml:space="preserve"> report that</w:t>
      </w:r>
      <w:r w:rsidRPr="002D4108">
        <w:t xml:space="preserve"> the</w:t>
      </w:r>
      <w:r w:rsidR="006D5F71" w:rsidRPr="002D4108">
        <w:t xml:space="preserve"> terms being </w:t>
      </w:r>
      <w:r>
        <w:t>offered</w:t>
      </w:r>
      <w:r w:rsidRPr="002D4108">
        <w:t xml:space="preserve"> </w:t>
      </w:r>
      <w:r w:rsidR="006D5F71" w:rsidRPr="002D4108">
        <w:t>to them by universities continue to deteriorate</w:t>
      </w:r>
      <w:r w:rsidR="002D4108">
        <w:t xml:space="preserve"> (see </w:t>
      </w:r>
      <w:hyperlink w:anchor="_Appendix_1:_Methodology" w:history="1">
        <w:r w:rsidR="002D4108" w:rsidRPr="00BE186B">
          <w:rPr>
            <w:rStyle w:val="Hyperlink"/>
            <w:b/>
            <w:bCs/>
          </w:rPr>
          <w:t>Appendix 1</w:t>
        </w:r>
        <w:r w:rsidR="00BE186B" w:rsidRPr="00BE186B">
          <w:rPr>
            <w:rStyle w:val="Hyperlink"/>
            <w:b/>
            <w:bCs/>
          </w:rPr>
          <w:t>: Methodology</w:t>
        </w:r>
      </w:hyperlink>
      <w:r w:rsidR="002D4108">
        <w:t xml:space="preserve"> for list of </w:t>
      </w:r>
      <w:r w:rsidR="00554965">
        <w:t>i</w:t>
      </w:r>
      <w:r w:rsidR="002D4108">
        <w:t>ndustry interviews)</w:t>
      </w:r>
      <w:r w:rsidR="006D5F71" w:rsidRPr="002D4108">
        <w:t xml:space="preserve">. The following sentiment was expressed by businesses: </w:t>
      </w:r>
    </w:p>
    <w:p w14:paraId="7E442F4F" w14:textId="1B5769ED" w:rsidR="00C47C38" w:rsidRPr="002D4108" w:rsidRDefault="006D5F71" w:rsidP="009347C2">
      <w:pPr>
        <w:pStyle w:val="ListParagraph"/>
        <w:numPr>
          <w:ilvl w:val="0"/>
          <w:numId w:val="37"/>
        </w:numPr>
        <w:ind w:left="426" w:hanging="357"/>
        <w:contextualSpacing w:val="0"/>
        <w:rPr>
          <w:i/>
          <w:iCs/>
        </w:rPr>
      </w:pPr>
      <w:r w:rsidRPr="002D4108">
        <w:rPr>
          <w:i/>
          <w:iCs/>
        </w:rPr>
        <w:t>Universities dictate the terms of program partner agreements, determined to take maximum grant funding and IP</w:t>
      </w:r>
      <w:r w:rsidR="00554965">
        <w:rPr>
          <w:i/>
          <w:iCs/>
        </w:rPr>
        <w:t>.</w:t>
      </w:r>
    </w:p>
    <w:p w14:paraId="36B3ED6F" w14:textId="2D996DC1" w:rsidR="00B92C11" w:rsidRPr="002D4108" w:rsidRDefault="006D5F71" w:rsidP="009347C2">
      <w:pPr>
        <w:pStyle w:val="ListParagraph"/>
        <w:numPr>
          <w:ilvl w:val="0"/>
          <w:numId w:val="37"/>
        </w:numPr>
        <w:ind w:left="426" w:hanging="357"/>
        <w:contextualSpacing w:val="0"/>
        <w:rPr>
          <w:i/>
          <w:iCs/>
        </w:rPr>
      </w:pPr>
      <w:r w:rsidRPr="002D4108">
        <w:rPr>
          <w:i/>
          <w:iCs/>
        </w:rPr>
        <w:t>Universities demand ownership of IP in partner agreements, which if agreed to by the business partner</w:t>
      </w:r>
      <w:r w:rsidR="00554965">
        <w:rPr>
          <w:i/>
          <w:iCs/>
        </w:rPr>
        <w:t>,</w:t>
      </w:r>
      <w:r w:rsidRPr="002D4108">
        <w:rPr>
          <w:i/>
          <w:iCs/>
        </w:rPr>
        <w:t xml:space="preserve"> would adversely impact the business’s book value and ability to raise capital.</w:t>
      </w:r>
    </w:p>
    <w:p w14:paraId="71583EF6" w14:textId="518AF79F" w:rsidR="00B92C11" w:rsidRPr="002D4108" w:rsidRDefault="006D5F71" w:rsidP="009347C2">
      <w:pPr>
        <w:pStyle w:val="ListParagraph"/>
        <w:numPr>
          <w:ilvl w:val="0"/>
          <w:numId w:val="37"/>
        </w:numPr>
        <w:ind w:left="426" w:hanging="357"/>
        <w:contextualSpacing w:val="0"/>
        <w:rPr>
          <w:i/>
          <w:iCs/>
        </w:rPr>
      </w:pPr>
      <w:r w:rsidRPr="002D4108">
        <w:rPr>
          <w:i/>
          <w:iCs/>
        </w:rPr>
        <w:t>No one wants to invest in a spin-out [or start-up] that only has a licence to IP</w:t>
      </w:r>
      <w:r w:rsidR="00554965">
        <w:rPr>
          <w:i/>
          <w:iCs/>
        </w:rPr>
        <w:t>.</w:t>
      </w:r>
    </w:p>
    <w:p w14:paraId="4E3DF223" w14:textId="46FFD68C" w:rsidR="00B92C11" w:rsidRPr="002D4108" w:rsidRDefault="006D5F71" w:rsidP="009347C2">
      <w:pPr>
        <w:pStyle w:val="ListParagraph"/>
        <w:numPr>
          <w:ilvl w:val="0"/>
          <w:numId w:val="37"/>
        </w:numPr>
        <w:ind w:left="426" w:hanging="357"/>
        <w:contextualSpacing w:val="0"/>
        <w:rPr>
          <w:i/>
          <w:iCs/>
        </w:rPr>
      </w:pPr>
      <w:r w:rsidRPr="002D4108">
        <w:rPr>
          <w:i/>
          <w:iCs/>
        </w:rPr>
        <w:t>Shift incentives of owning IP from the research sector to the industry sector. Research sector retains rights to use (publish) but not own IP from publicly funded research. By research organisations owning the IP, the opportunity for business to access venture capital is lost.</w:t>
      </w:r>
    </w:p>
    <w:p w14:paraId="39CAAA28" w14:textId="337A3C94" w:rsidR="00B92C11" w:rsidRPr="00C0373D" w:rsidRDefault="00B92C11" w:rsidP="009347C2">
      <w:pPr>
        <w:pStyle w:val="ListParagraph"/>
        <w:numPr>
          <w:ilvl w:val="0"/>
          <w:numId w:val="37"/>
        </w:numPr>
        <w:ind w:left="426" w:hanging="357"/>
        <w:contextualSpacing w:val="0"/>
        <w:rPr>
          <w:i/>
          <w:iCs/>
        </w:rPr>
      </w:pPr>
      <w:r w:rsidRPr="00C0373D">
        <w:rPr>
          <w:i/>
          <w:iCs/>
        </w:rPr>
        <w:t>If universities relinquished control of IP, Australia would achieve better results</w:t>
      </w:r>
      <w:r w:rsidR="00554965">
        <w:rPr>
          <w:i/>
          <w:iCs/>
        </w:rPr>
        <w:t>.</w:t>
      </w:r>
    </w:p>
    <w:p w14:paraId="7452011C" w14:textId="77777777" w:rsidR="0097463D" w:rsidRDefault="004051C8" w:rsidP="00994A2E">
      <w:r>
        <w:t xml:space="preserve">Industry submissions </w:t>
      </w:r>
      <w:r w:rsidRPr="004051C8">
        <w:t xml:space="preserve">responding to the Department of Education, </w:t>
      </w:r>
      <w:proofErr w:type="gramStart"/>
      <w:r w:rsidRPr="004051C8">
        <w:t>Skills</w:t>
      </w:r>
      <w:proofErr w:type="gramEnd"/>
      <w:r w:rsidRPr="004051C8">
        <w:t xml:space="preserve"> and Employment consultation paper on the </w:t>
      </w:r>
      <w:r w:rsidRPr="004D5189">
        <w:rPr>
          <w:i/>
          <w:iCs/>
        </w:rPr>
        <w:t>Higher Education Research Commercialisation I</w:t>
      </w:r>
      <w:r w:rsidR="00247DBB">
        <w:rPr>
          <w:i/>
          <w:iCs/>
        </w:rPr>
        <w:t xml:space="preserve">ntellectual </w:t>
      </w:r>
      <w:r w:rsidRPr="004D5189">
        <w:rPr>
          <w:i/>
          <w:iCs/>
        </w:rPr>
        <w:t>P</w:t>
      </w:r>
      <w:r w:rsidR="00247DBB">
        <w:rPr>
          <w:i/>
          <w:iCs/>
        </w:rPr>
        <w:t>roperty</w:t>
      </w:r>
      <w:r w:rsidR="008742B9">
        <w:rPr>
          <w:i/>
          <w:iCs/>
        </w:rPr>
        <w:t xml:space="preserve"> (IP)</w:t>
      </w:r>
      <w:r w:rsidRPr="004D5189">
        <w:rPr>
          <w:i/>
          <w:iCs/>
        </w:rPr>
        <w:t xml:space="preserve"> Framework</w:t>
      </w:r>
      <w:r>
        <w:t xml:space="preserve"> </w:t>
      </w:r>
      <w:r w:rsidR="00554965">
        <w:t>(</w:t>
      </w:r>
      <w:r>
        <w:t>2021</w:t>
      </w:r>
      <w:r w:rsidR="00554965">
        <w:t>)</w:t>
      </w:r>
      <w:r>
        <w:t xml:space="preserve"> also suggested </w:t>
      </w:r>
      <w:r w:rsidR="00554965">
        <w:t xml:space="preserve">that </w:t>
      </w:r>
      <w:r>
        <w:t>university IP is usually in a very early stage of development</w:t>
      </w:r>
      <w:r w:rsidR="00554965">
        <w:t xml:space="preserve">. Further, </w:t>
      </w:r>
      <w:r w:rsidR="00062834">
        <w:t xml:space="preserve">the submission suggested </w:t>
      </w:r>
      <w:r>
        <w:t>th</w:t>
      </w:r>
      <w:r w:rsidR="00835CF4">
        <w:t>at</w:t>
      </w:r>
      <w:r>
        <w:t xml:space="preserve"> commercialisation pathways </w:t>
      </w:r>
      <w:r w:rsidR="00062834">
        <w:t>should</w:t>
      </w:r>
      <w:r>
        <w:t xml:space="preserve"> </w:t>
      </w:r>
      <w:r w:rsidR="00835CF4">
        <w:t xml:space="preserve">better </w:t>
      </w:r>
      <w:r>
        <w:t>recognise the significant investment and risk that an industry partner will take to successfully translate university IP to a commercial product</w:t>
      </w:r>
      <w:r w:rsidR="00835CF4">
        <w:t xml:space="preserve">, </w:t>
      </w:r>
      <w:proofErr w:type="gramStart"/>
      <w:r w:rsidR="00835CF4">
        <w:t>service</w:t>
      </w:r>
      <w:proofErr w:type="gramEnd"/>
      <w:r>
        <w:t xml:space="preserve"> or process.</w:t>
      </w:r>
      <w:r>
        <w:rPr>
          <w:rStyle w:val="FootnoteReference"/>
        </w:rPr>
        <w:footnoteReference w:id="48"/>
      </w:r>
      <w:r w:rsidR="0097463D">
        <w:t xml:space="preserve"> </w:t>
      </w:r>
    </w:p>
    <w:p w14:paraId="7EE93E43" w14:textId="11F090AD" w:rsidR="00994A2E" w:rsidRDefault="00994A2E" w:rsidP="00994A2E">
      <w:r>
        <w:t xml:space="preserve">Despite the introduction of a voluntary research commercialisation IP </w:t>
      </w:r>
      <w:r w:rsidR="00224C44">
        <w:t>f</w:t>
      </w:r>
      <w:r>
        <w:t xml:space="preserve">ramework, </w:t>
      </w:r>
      <w:r w:rsidRPr="00994A2E">
        <w:t xml:space="preserve">IP arrangements </w:t>
      </w:r>
      <w:r>
        <w:t>persist as</w:t>
      </w:r>
      <w:r w:rsidRPr="00994A2E">
        <w:t xml:space="preserve"> a significant barrier to commercialisation</w:t>
      </w:r>
      <w:r>
        <w:t>.</w:t>
      </w:r>
      <w:r w:rsidR="0097463D">
        <w:t xml:space="preserve"> </w:t>
      </w:r>
      <w:r>
        <w:t xml:space="preserve">Trends in co-patent data also suggested a structural and business model shift that appears to have further entrenched barriers emanating from the research supply side. </w:t>
      </w:r>
      <w:r w:rsidRPr="00994A2E">
        <w:t xml:space="preserve">Co-patenting data </w:t>
      </w:r>
      <w:r w:rsidR="00835CF4">
        <w:t>(</w:t>
      </w:r>
      <w:r w:rsidR="00835CF4" w:rsidRPr="00A8630A">
        <w:rPr>
          <w:b/>
          <w:bCs/>
        </w:rPr>
        <w:t>Chart 10</w:t>
      </w:r>
      <w:r w:rsidR="00587358">
        <w:rPr>
          <w:b/>
          <w:bCs/>
        </w:rPr>
        <w:t xml:space="preserve">: </w:t>
      </w:r>
      <w:r w:rsidR="00587358" w:rsidRPr="00587358">
        <w:rPr>
          <w:b/>
          <w:bCs/>
        </w:rPr>
        <w:t>Australian businesses patent co-filing applications with the research sector as percentage of all Australian business filings</w:t>
      </w:r>
      <w:r w:rsidR="00835CF4">
        <w:t xml:space="preserve">) </w:t>
      </w:r>
      <w:r w:rsidRPr="00994A2E">
        <w:t>reveals a significant downward trend, suggesting businesses are moving away from research entities as a source of co-invention.</w:t>
      </w:r>
      <w:r>
        <w:t xml:space="preserve"> </w:t>
      </w:r>
      <w:r w:rsidRPr="00994A2E">
        <w:t>Conversely, the trend may also signal the changing business model of research entities, focussed on revenue generation through licencing.</w:t>
      </w:r>
      <w:r>
        <w:t xml:space="preserve"> </w:t>
      </w:r>
      <w:r w:rsidRPr="00994A2E">
        <w:t xml:space="preserve">The downward trend may </w:t>
      </w:r>
      <w:r>
        <w:t>reflect</w:t>
      </w:r>
      <w:r w:rsidRPr="00994A2E">
        <w:t xml:space="preserve"> research organisations</w:t>
      </w:r>
      <w:r>
        <w:t>’</w:t>
      </w:r>
      <w:r w:rsidRPr="00994A2E">
        <w:t xml:space="preserve"> </w:t>
      </w:r>
      <w:r w:rsidR="00E259D5">
        <w:t>t</w:t>
      </w:r>
      <w:r w:rsidRPr="00994A2E">
        <w:t>ech</w:t>
      </w:r>
      <w:r w:rsidR="00204CB6">
        <w:t>nology</w:t>
      </w:r>
      <w:r w:rsidRPr="00994A2E">
        <w:t xml:space="preserve"> </w:t>
      </w:r>
      <w:r w:rsidR="00E259D5">
        <w:t>t</w:t>
      </w:r>
      <w:r w:rsidRPr="00994A2E">
        <w:t xml:space="preserve">ransfer </w:t>
      </w:r>
      <w:r w:rsidR="00E259D5">
        <w:t>o</w:t>
      </w:r>
      <w:r w:rsidRPr="00994A2E">
        <w:t>ffices</w:t>
      </w:r>
      <w:r w:rsidR="005B053C">
        <w:t>’</w:t>
      </w:r>
      <w:r w:rsidRPr="00994A2E">
        <w:t xml:space="preserve"> close-hold management </w:t>
      </w:r>
      <w:r>
        <w:t xml:space="preserve">approach </w:t>
      </w:r>
      <w:r w:rsidRPr="00994A2E">
        <w:t>of IP</w:t>
      </w:r>
      <w:r>
        <w:t xml:space="preserve">. </w:t>
      </w:r>
    </w:p>
    <w:p w14:paraId="74EA4F84" w14:textId="1DDCA7D5" w:rsidR="00994A2E" w:rsidRDefault="00554965" w:rsidP="00994A2E">
      <w:r>
        <w:rPr>
          <w:noProof/>
        </w:rPr>
        <mc:AlternateContent>
          <mc:Choice Requires="wps">
            <w:drawing>
              <wp:inline distT="0" distB="0" distL="0" distR="0" wp14:anchorId="42A14B49" wp14:editId="2FC11F5C">
                <wp:extent cx="5727573" cy="600075"/>
                <wp:effectExtent l="0" t="0" r="0" b="0"/>
                <wp:docPr id="250" name="Text Box 250" descr="Chart 10. Australian businesses patent co-filing applications with the research sector as percentage of all Australian business filings "/>
                <wp:cNvGraphicFramePr/>
                <a:graphic xmlns:a="http://schemas.openxmlformats.org/drawingml/2006/main">
                  <a:graphicData uri="http://schemas.microsoft.com/office/word/2010/wordprocessingShape">
                    <wps:wsp>
                      <wps:cNvSpPr txBox="1"/>
                      <wps:spPr>
                        <a:xfrm>
                          <a:off x="0" y="0"/>
                          <a:ext cx="5727573" cy="600075"/>
                        </a:xfrm>
                        <a:prstGeom prst="rect">
                          <a:avLst/>
                        </a:prstGeom>
                        <a:noFill/>
                      </wps:spPr>
                      <wps:txbx>
                        <w:txbxContent>
                          <w:p w14:paraId="3478B719" w14:textId="4810FBF0" w:rsidR="00994A2E" w:rsidRPr="00176864" w:rsidRDefault="004329D7" w:rsidP="00D53494">
                            <w:pPr>
                              <w:pStyle w:val="Caption"/>
                              <w:keepNext/>
                              <w:rPr>
                                <w:b/>
                                <w:bCs/>
                                <w:i w:val="0"/>
                                <w:iCs w:val="0"/>
                                <w:color w:val="auto"/>
                                <w:highlight w:val="yellow"/>
                              </w:rPr>
                            </w:pPr>
                            <w:r w:rsidRPr="00176864">
                              <w:rPr>
                                <w:b/>
                                <w:bCs/>
                                <w:i w:val="0"/>
                                <w:iCs w:val="0"/>
                                <w:color w:val="auto"/>
                              </w:rPr>
                              <w:t xml:space="preserve">Chart </w:t>
                            </w:r>
                            <w:r w:rsidR="00262E52" w:rsidRPr="00176864">
                              <w:rPr>
                                <w:b/>
                                <w:bCs/>
                                <w:i w:val="0"/>
                                <w:iCs w:val="0"/>
                                <w:color w:val="auto"/>
                              </w:rPr>
                              <w:t>10</w:t>
                            </w:r>
                            <w:r w:rsidR="00994A2E" w:rsidRPr="00176864">
                              <w:rPr>
                                <w:b/>
                                <w:bCs/>
                                <w:i w:val="0"/>
                                <w:iCs w:val="0"/>
                                <w:color w:val="auto"/>
                              </w:rPr>
                              <w:t xml:space="preserve">. Australian businesses patent co-filing applications with the research sector as </w:t>
                            </w:r>
                            <w:r w:rsidR="00130F35" w:rsidRPr="00176864">
                              <w:rPr>
                                <w:b/>
                                <w:bCs/>
                                <w:i w:val="0"/>
                                <w:iCs w:val="0"/>
                                <w:color w:val="auto"/>
                              </w:rPr>
                              <w:t>percent</w:t>
                            </w:r>
                            <w:r w:rsidR="00994A2E" w:rsidRPr="00176864">
                              <w:rPr>
                                <w:b/>
                                <w:bCs/>
                                <w:i w:val="0"/>
                                <w:iCs w:val="0"/>
                                <w:color w:val="auto"/>
                              </w:rPr>
                              <w:t>age of all Australian business filings</w:t>
                            </w:r>
                            <w:r w:rsidR="00940045">
                              <w:rPr>
                                <w:b/>
                                <w:bCs/>
                                <w:i w:val="0"/>
                                <w:iCs w:val="0"/>
                                <w:color w:val="auto"/>
                              </w:rPr>
                              <w:t xml:space="preserve">. </w:t>
                            </w:r>
                            <w:r w:rsidR="002E3C84" w:rsidRPr="002E3C84">
                              <w:rPr>
                                <w:b/>
                                <w:bCs/>
                                <w:i w:val="0"/>
                                <w:iCs w:val="0"/>
                                <w:color w:val="auto"/>
                              </w:rPr>
                              <w:t xml:space="preserve">Refer to Appendix 6: Additional data tables for the </w:t>
                            </w:r>
                            <w:hyperlink w:anchor="_Chart_10_data" w:history="1">
                              <w:r w:rsidR="002E3C84" w:rsidRPr="00940045">
                                <w:rPr>
                                  <w:rStyle w:val="Hyperlink"/>
                                  <w:b/>
                                  <w:bCs/>
                                  <w:i w:val="0"/>
                                  <w:iCs w:val="0"/>
                                </w:rPr>
                                <w:t>c</w:t>
                              </w:r>
                              <w:r w:rsidR="00940045" w:rsidRPr="00940045">
                                <w:rPr>
                                  <w:rStyle w:val="Hyperlink"/>
                                  <w:b/>
                                  <w:bCs/>
                                  <w:i w:val="0"/>
                                  <w:iCs w:val="0"/>
                                </w:rPr>
                                <w:t>hart 10 data table.</w:t>
                              </w:r>
                            </w:hyperlink>
                          </w:p>
                        </w:txbxContent>
                      </wps:txbx>
                      <wps:bodyPr wrap="square" rtlCol="0">
                        <a:spAutoFit/>
                      </wps:bodyPr>
                    </wps:wsp>
                  </a:graphicData>
                </a:graphic>
              </wp:inline>
            </w:drawing>
          </mc:Choice>
          <mc:Fallback>
            <w:pict>
              <v:shapetype w14:anchorId="42A14B49" id="_x0000_t202" coordsize="21600,21600" o:spt="202" path="m,l,21600r21600,l21600,xe">
                <v:stroke joinstyle="miter"/>
                <v:path gradientshapeok="t" o:connecttype="rect"/>
              </v:shapetype>
              <v:shape id="Text Box 250" o:spid="_x0000_s1026" type="#_x0000_t202" alt="Chart 10. Australian businesses patent co-filing applications with the research sector as percentage of all Australian business filings " style="width:451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qvgAEAAOkCAAAOAAAAZHJzL2Uyb0RvYy54bWysUstu2zAQvAfIPxC811Jc2A4Ey0Zbw70U&#10;bYAkH0BTpCVA5DK7tCX/fZe0YxfpreiFIvcxOzuj5Xp0vTgapA58LR8mpRTGa2g6v6/l68v206MU&#10;FJVvVA/e1PJkSK5X93fLIVRmCi30jUHBIJ6qIdSyjTFURUG6NU7RBILxnLSATkV+4r5oUA2M7vpi&#10;WpbzYgBsAoI2RBzdnJNylfGtNTr+spZMFH0tmVvMJ+Zzl85itVTVHlVoO32hof6BhVOd56FXqI2K&#10;Shyw+wvKdRqBwMaJBleAtZ02eQfe5qH8sM1zq4LJu7A4FK4y0f+D1T+Pz+EJRRy/wsgGJkGGQBVx&#10;MO0zWnTpy0wF51nC01U2M0ahOThbTBezxWcpNOfmZVkuZgmmuHUHpPjdgBPpUktkW7Ja6viD4rn0&#10;vSQN87Dt+j7Fb1TSLY678cJvB82JaQ/sXC3p7aDQSIGx/wbZ6IRC4cshMlIekNrPPRdU1jNTvHif&#10;DPvznatuf+jqNwAAAP//AwBQSwMEFAAGAAgAAAAhAIRftRbYAAAABAEAAA8AAABkcnMvZG93bnJl&#10;di54bWxMj09PwzAMxe9IfIfISNxYsokhKE2niT8SBy6Mcvea0FQ0TtV4a/ftMVzgYvnpWc+/V27m&#10;2KujH3OXyMJyYUB5apLrqLVQvz9f3YLKjOSwT+QtnHyGTXV+VmLh0kRv/rjjVkkI5QItBOah0Do3&#10;wUfMizR4Eu8zjRFZ5NhqN+Ik4bHXK2NudMSO5EPAwT8E33ztDtECs9suT/VTzC8f8+vjFEyzxtra&#10;y4t5ew+K/cx/x/CDL+hQCdM+Hchl1VuQIvw7xbszK5F7Wa7XoKtS/4evvgEAAP//AwBQSwECLQAU&#10;AAYACAAAACEAtoM4kv4AAADhAQAAEwAAAAAAAAAAAAAAAAAAAAAAW0NvbnRlbnRfVHlwZXNdLnht&#10;bFBLAQItABQABgAIAAAAIQA4/SH/1gAAAJQBAAALAAAAAAAAAAAAAAAAAC8BAABfcmVscy8ucmVs&#10;c1BLAQItABQABgAIAAAAIQAdM7qvgAEAAOkCAAAOAAAAAAAAAAAAAAAAAC4CAABkcnMvZTJvRG9j&#10;LnhtbFBLAQItABQABgAIAAAAIQCEX7UW2AAAAAQBAAAPAAAAAAAAAAAAAAAAANoDAABkcnMvZG93&#10;bnJldi54bWxQSwUGAAAAAAQABADzAAAA3wQAAAAA&#10;" filled="f" stroked="f">
                <v:textbox style="mso-fit-shape-to-text:t">
                  <w:txbxContent>
                    <w:p w14:paraId="3478B719" w14:textId="4810FBF0" w:rsidR="00994A2E" w:rsidRPr="00176864" w:rsidRDefault="004329D7" w:rsidP="00D53494">
                      <w:pPr>
                        <w:pStyle w:val="Caption"/>
                        <w:keepNext/>
                        <w:rPr>
                          <w:b/>
                          <w:bCs/>
                          <w:i w:val="0"/>
                          <w:iCs w:val="0"/>
                          <w:color w:val="auto"/>
                          <w:highlight w:val="yellow"/>
                        </w:rPr>
                      </w:pPr>
                      <w:r w:rsidRPr="00176864">
                        <w:rPr>
                          <w:b/>
                          <w:bCs/>
                          <w:i w:val="0"/>
                          <w:iCs w:val="0"/>
                          <w:color w:val="auto"/>
                        </w:rPr>
                        <w:t xml:space="preserve">Chart </w:t>
                      </w:r>
                      <w:r w:rsidR="00262E52" w:rsidRPr="00176864">
                        <w:rPr>
                          <w:b/>
                          <w:bCs/>
                          <w:i w:val="0"/>
                          <w:iCs w:val="0"/>
                          <w:color w:val="auto"/>
                        </w:rPr>
                        <w:t>10</w:t>
                      </w:r>
                      <w:r w:rsidR="00994A2E" w:rsidRPr="00176864">
                        <w:rPr>
                          <w:b/>
                          <w:bCs/>
                          <w:i w:val="0"/>
                          <w:iCs w:val="0"/>
                          <w:color w:val="auto"/>
                        </w:rPr>
                        <w:t xml:space="preserve">. Australian businesses patent co-filing applications with the research sector as </w:t>
                      </w:r>
                      <w:r w:rsidR="00130F35" w:rsidRPr="00176864">
                        <w:rPr>
                          <w:b/>
                          <w:bCs/>
                          <w:i w:val="0"/>
                          <w:iCs w:val="0"/>
                          <w:color w:val="auto"/>
                        </w:rPr>
                        <w:t>percent</w:t>
                      </w:r>
                      <w:r w:rsidR="00994A2E" w:rsidRPr="00176864">
                        <w:rPr>
                          <w:b/>
                          <w:bCs/>
                          <w:i w:val="0"/>
                          <w:iCs w:val="0"/>
                          <w:color w:val="auto"/>
                        </w:rPr>
                        <w:t>age of all Australian business filings</w:t>
                      </w:r>
                      <w:r w:rsidR="00940045">
                        <w:rPr>
                          <w:b/>
                          <w:bCs/>
                          <w:i w:val="0"/>
                          <w:iCs w:val="0"/>
                          <w:color w:val="auto"/>
                        </w:rPr>
                        <w:t xml:space="preserve">. </w:t>
                      </w:r>
                      <w:r w:rsidR="002E3C84" w:rsidRPr="002E3C84">
                        <w:rPr>
                          <w:b/>
                          <w:bCs/>
                          <w:i w:val="0"/>
                          <w:iCs w:val="0"/>
                          <w:color w:val="auto"/>
                        </w:rPr>
                        <w:t xml:space="preserve">Refer to Appendix 6: Additional data tables for the </w:t>
                      </w:r>
                      <w:hyperlink w:anchor="_Chart_10_data" w:history="1">
                        <w:r w:rsidR="002E3C84" w:rsidRPr="00940045">
                          <w:rPr>
                            <w:rStyle w:val="Hyperlink"/>
                            <w:b/>
                            <w:bCs/>
                            <w:i w:val="0"/>
                            <w:iCs w:val="0"/>
                          </w:rPr>
                          <w:t>c</w:t>
                        </w:r>
                        <w:r w:rsidR="00940045" w:rsidRPr="00940045">
                          <w:rPr>
                            <w:rStyle w:val="Hyperlink"/>
                            <w:b/>
                            <w:bCs/>
                            <w:i w:val="0"/>
                            <w:iCs w:val="0"/>
                          </w:rPr>
                          <w:t>hart 10 data table.</w:t>
                        </w:r>
                      </w:hyperlink>
                    </w:p>
                  </w:txbxContent>
                </v:textbox>
                <w10:anchorlock/>
              </v:shape>
            </w:pict>
          </mc:Fallback>
        </mc:AlternateContent>
      </w:r>
    </w:p>
    <w:p w14:paraId="42A6557B" w14:textId="55067CB0" w:rsidR="0037189B" w:rsidRDefault="00994A2E" w:rsidP="00994A2E">
      <w:r>
        <w:t xml:space="preserve"> </w:t>
      </w:r>
    </w:p>
    <w:p w14:paraId="2503BCD0" w14:textId="15E4FB06" w:rsidR="0037189B" w:rsidRDefault="004329D7" w:rsidP="002D4108">
      <w:r>
        <w:rPr>
          <w:noProof/>
        </w:rPr>
        <w:drawing>
          <wp:inline distT="0" distB="0" distL="0" distR="0" wp14:anchorId="258C6015" wp14:editId="5A159B0F">
            <wp:extent cx="5400000" cy="2880000"/>
            <wp:effectExtent l="0" t="0" r="0" b="0"/>
            <wp:docPr id="43" name="Chart 43" descr="Line chart of Australian businesses' patent co-filings with the research sector as a percentage of all Australian business filings from the year 2000 to 2021. The graph shows a downward trend in co-filings with both Australian and non-Australian research entities.">
              <a:extLst xmlns:a="http://schemas.openxmlformats.org/drawingml/2006/main">
                <a:ext uri="{FF2B5EF4-FFF2-40B4-BE49-F238E27FC236}">
                  <a16:creationId xmlns:a16="http://schemas.microsoft.com/office/drawing/2014/main" id="{DBD7DFCF-3572-DE2E-CD9F-E6DDDF9A3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69409C1" w14:textId="6A83B3EB" w:rsidR="00756E0E" w:rsidRPr="00975D29" w:rsidRDefault="00756E0E" w:rsidP="00756E0E">
      <w:pPr>
        <w:ind w:left="340"/>
        <w:rPr>
          <w:sz w:val="18"/>
          <w:szCs w:val="18"/>
        </w:rPr>
      </w:pPr>
      <w:r w:rsidRPr="00242394">
        <w:rPr>
          <w:sz w:val="18"/>
          <w:szCs w:val="18"/>
        </w:rPr>
        <w:t xml:space="preserve">Source: </w:t>
      </w:r>
      <w:r w:rsidR="00EB50DF">
        <w:rPr>
          <w:sz w:val="18"/>
          <w:szCs w:val="18"/>
        </w:rPr>
        <w:t>Industry Innovation and Science Australia (</w:t>
      </w:r>
      <w:r w:rsidRPr="00242394">
        <w:rPr>
          <w:sz w:val="18"/>
          <w:szCs w:val="18"/>
        </w:rPr>
        <w:t>IISA</w:t>
      </w:r>
      <w:r w:rsidR="00EB50DF">
        <w:rPr>
          <w:sz w:val="18"/>
          <w:szCs w:val="18"/>
        </w:rPr>
        <w:t>)</w:t>
      </w:r>
      <w:r w:rsidRPr="00242394">
        <w:rPr>
          <w:sz w:val="18"/>
          <w:szCs w:val="18"/>
        </w:rPr>
        <w:t xml:space="preserve"> customised data request IP Australia</w:t>
      </w:r>
      <w:r>
        <w:rPr>
          <w:sz w:val="18"/>
          <w:szCs w:val="18"/>
        </w:rPr>
        <w:t>, unpublished.</w:t>
      </w:r>
    </w:p>
    <w:p w14:paraId="07AEF8C3" w14:textId="32F90C96" w:rsidR="00DA564F" w:rsidRDefault="00A83633" w:rsidP="00D53494">
      <w:r w:rsidRPr="00D53494">
        <w:t xml:space="preserve">Australia should examine other jurisdictions for models of </w:t>
      </w:r>
      <w:r w:rsidR="00835CF4">
        <w:t xml:space="preserve">more </w:t>
      </w:r>
      <w:r w:rsidRPr="00D53494">
        <w:t>efficient research-industry IP and patenting arrangements, such as Singapore or universities such as Stanford in the US</w:t>
      </w:r>
      <w:r w:rsidR="00651A4F">
        <w:t>A</w:t>
      </w:r>
      <w:r w:rsidR="00835CF4">
        <w:t>. In these cases,</w:t>
      </w:r>
      <w:r w:rsidRPr="00D53494">
        <w:t xml:space="preserve"> there are very low or no licencing fees in preference for equity to entrepreneurial researchers and students spinning out IP in partnership with industry. This increases the </w:t>
      </w:r>
      <w:r w:rsidR="00B878B5">
        <w:t>alignment of incentives</w:t>
      </w:r>
      <w:r w:rsidRPr="00D53494">
        <w:t xml:space="preserve"> for the research supply side and </w:t>
      </w:r>
      <w:r w:rsidR="00A65033">
        <w:t>the</w:t>
      </w:r>
      <w:r w:rsidR="00A65033" w:rsidRPr="00D53494">
        <w:t xml:space="preserve"> </w:t>
      </w:r>
      <w:r w:rsidRPr="00D53494">
        <w:t>alignment of both parties focusing on commercial outcomes in the market.</w:t>
      </w:r>
    </w:p>
    <w:p w14:paraId="4D5D7B91" w14:textId="46B3D82A" w:rsidR="00A83633" w:rsidRPr="00D53494" w:rsidRDefault="00A83633" w:rsidP="00F6694F">
      <w:pPr>
        <w:pStyle w:val="Heading3"/>
      </w:pPr>
      <w:bookmarkStart w:id="73" w:name="_Toc152165428"/>
      <w:r w:rsidRPr="00D53494">
        <w:t xml:space="preserve">Work </w:t>
      </w:r>
      <w:r w:rsidR="000D2DCF" w:rsidRPr="00D53494">
        <w:t>practices</w:t>
      </w:r>
      <w:bookmarkEnd w:id="73"/>
      <w:r w:rsidR="000D2DCF" w:rsidRPr="00D53494">
        <w:t xml:space="preserve"> </w:t>
      </w:r>
    </w:p>
    <w:p w14:paraId="165A489D" w14:textId="3D30D505" w:rsidR="00A83633" w:rsidRDefault="00A83633" w:rsidP="00A83633">
      <w:pPr>
        <w:rPr>
          <w:rFonts w:ascii="Calibri" w:eastAsia="Calibri" w:hAnsi="Calibri" w:cs="Times New Roman"/>
        </w:rPr>
      </w:pPr>
      <w:r w:rsidRPr="00A83633">
        <w:rPr>
          <w:rFonts w:ascii="Calibri" w:eastAsia="Calibri" w:hAnsi="Calibri" w:cs="Times New Roman"/>
        </w:rPr>
        <w:t xml:space="preserve">The cadence of work at tertiary institutions does not align with that of commercial enterprises. This is </w:t>
      </w:r>
      <w:r w:rsidR="00A65033">
        <w:rPr>
          <w:rFonts w:ascii="Calibri" w:eastAsia="Calibri" w:hAnsi="Calibri" w:cs="Times New Roman"/>
        </w:rPr>
        <w:t>especially</w:t>
      </w:r>
      <w:r w:rsidR="00A65033" w:rsidRPr="00A83633">
        <w:rPr>
          <w:rFonts w:ascii="Calibri" w:eastAsia="Calibri" w:hAnsi="Calibri" w:cs="Times New Roman"/>
        </w:rPr>
        <w:t xml:space="preserve"> </w:t>
      </w:r>
      <w:r w:rsidRPr="00A83633">
        <w:rPr>
          <w:rFonts w:ascii="Calibri" w:eastAsia="Calibri" w:hAnsi="Calibri" w:cs="Times New Roman"/>
        </w:rPr>
        <w:t>evident for small to medium</w:t>
      </w:r>
      <w:r w:rsidR="00A65033">
        <w:rPr>
          <w:rFonts w:ascii="Calibri" w:eastAsia="Calibri" w:hAnsi="Calibri" w:cs="Times New Roman"/>
        </w:rPr>
        <w:t>-</w:t>
      </w:r>
      <w:r w:rsidRPr="00A83633">
        <w:rPr>
          <w:rFonts w:ascii="Calibri" w:eastAsia="Calibri" w:hAnsi="Calibri" w:cs="Times New Roman"/>
        </w:rPr>
        <w:t xml:space="preserve">sized businesses where cash flows are particularly constrained. The speed at which industry and research entities operate is misaligned. There is a fundamental mismatch between the research/academic mindset and delivering outcomes for business partners. This often makes collaboration with universities difficult. Although the quality of the research may </w:t>
      </w:r>
      <w:r w:rsidR="00DA564F" w:rsidRPr="00A83633">
        <w:rPr>
          <w:rFonts w:ascii="Calibri" w:eastAsia="Calibri" w:hAnsi="Calibri" w:cs="Times New Roman"/>
        </w:rPr>
        <w:t>be good</w:t>
      </w:r>
      <w:r w:rsidR="00F502E6">
        <w:rPr>
          <w:rFonts w:ascii="Calibri" w:eastAsia="Calibri" w:hAnsi="Calibri" w:cs="Times New Roman"/>
        </w:rPr>
        <w:t>,</w:t>
      </w:r>
      <w:r w:rsidRPr="00A83633">
        <w:rPr>
          <w:rFonts w:ascii="Calibri" w:eastAsia="Calibri" w:hAnsi="Calibri" w:cs="Times New Roman"/>
        </w:rPr>
        <w:t xml:space="preserve"> the trade</w:t>
      </w:r>
      <w:r w:rsidR="00084D82">
        <w:rPr>
          <w:rFonts w:ascii="Calibri" w:eastAsia="Calibri" w:hAnsi="Calibri" w:cs="Times New Roman"/>
        </w:rPr>
        <w:t>-</w:t>
      </w:r>
      <w:r w:rsidRPr="00A83633">
        <w:rPr>
          <w:rFonts w:ascii="Calibri" w:eastAsia="Calibri" w:hAnsi="Calibri" w:cs="Times New Roman"/>
        </w:rPr>
        <w:t>off in terms of timeliness and relevance is too great. The perceived difficulty is a strong disincentive to businesses considering research collaboration.</w:t>
      </w:r>
    </w:p>
    <w:p w14:paraId="2B5F7E08" w14:textId="20B97DD9" w:rsidR="00150CE7" w:rsidRPr="00150CE7" w:rsidRDefault="00150CE7" w:rsidP="00150CE7">
      <w:pPr>
        <w:rPr>
          <w:rFonts w:ascii="Calibri" w:eastAsia="Calibri" w:hAnsi="Calibri" w:cs="Times New Roman"/>
        </w:rPr>
      </w:pPr>
      <w:r w:rsidRPr="00150CE7">
        <w:rPr>
          <w:rFonts w:ascii="Calibri" w:eastAsia="Calibri" w:hAnsi="Calibri" w:cs="Times New Roman"/>
        </w:rPr>
        <w:t>In 2021</w:t>
      </w:r>
      <w:r w:rsidR="00F502E6">
        <w:rPr>
          <w:rFonts w:ascii="Calibri" w:eastAsia="Calibri" w:hAnsi="Calibri" w:cs="Times New Roman"/>
        </w:rPr>
        <w:t>,</w:t>
      </w:r>
      <w:r w:rsidRPr="00150CE7">
        <w:rPr>
          <w:rFonts w:ascii="Calibri" w:eastAsia="Calibri" w:hAnsi="Calibri" w:cs="Times New Roman"/>
        </w:rPr>
        <w:t xml:space="preserve"> CSIRO and </w:t>
      </w:r>
      <w:r w:rsidR="00110012">
        <w:rPr>
          <w:rFonts w:ascii="Calibri" w:eastAsia="Calibri" w:hAnsi="Calibri" w:cs="Times New Roman"/>
        </w:rPr>
        <w:t xml:space="preserve">the </w:t>
      </w:r>
      <w:r w:rsidR="00110012" w:rsidRPr="00110012">
        <w:rPr>
          <w:rFonts w:ascii="Calibri" w:eastAsia="Calibri" w:hAnsi="Calibri" w:cs="Times New Roman"/>
        </w:rPr>
        <w:t xml:space="preserve">Royal Melbourne Institute of Technology </w:t>
      </w:r>
      <w:r w:rsidR="00110012">
        <w:rPr>
          <w:rFonts w:ascii="Calibri" w:eastAsia="Calibri" w:hAnsi="Calibri" w:cs="Times New Roman"/>
        </w:rPr>
        <w:t>(</w:t>
      </w:r>
      <w:r w:rsidRPr="00150CE7">
        <w:rPr>
          <w:rFonts w:ascii="Calibri" w:eastAsia="Calibri" w:hAnsi="Calibri" w:cs="Times New Roman"/>
        </w:rPr>
        <w:t>RMIT</w:t>
      </w:r>
      <w:r w:rsidR="00110012">
        <w:rPr>
          <w:rFonts w:ascii="Calibri" w:eastAsia="Calibri" w:hAnsi="Calibri" w:cs="Times New Roman"/>
        </w:rPr>
        <w:t>)</w:t>
      </w:r>
      <w:r w:rsidRPr="00150CE7">
        <w:rPr>
          <w:rFonts w:ascii="Calibri" w:eastAsia="Calibri" w:hAnsi="Calibri" w:cs="Times New Roman"/>
        </w:rPr>
        <w:t xml:space="preserve"> </w:t>
      </w:r>
      <w:r w:rsidR="00835CF4">
        <w:rPr>
          <w:rFonts w:ascii="Calibri" w:eastAsia="Calibri" w:hAnsi="Calibri" w:cs="Times New Roman"/>
        </w:rPr>
        <w:t>reported</w:t>
      </w:r>
      <w:r w:rsidRPr="00150CE7">
        <w:rPr>
          <w:rFonts w:ascii="Calibri" w:eastAsia="Calibri" w:hAnsi="Calibri" w:cs="Times New Roman"/>
        </w:rPr>
        <w:t xml:space="preserve"> barrie</w:t>
      </w:r>
      <w:r w:rsidR="007C5A0B">
        <w:rPr>
          <w:rFonts w:ascii="Calibri" w:eastAsia="Calibri" w:hAnsi="Calibri" w:cs="Times New Roman"/>
        </w:rPr>
        <w:t>r</w:t>
      </w:r>
      <w:r w:rsidRPr="00150CE7">
        <w:rPr>
          <w:rFonts w:ascii="Calibri" w:eastAsia="Calibri" w:hAnsi="Calibri" w:cs="Times New Roman"/>
        </w:rPr>
        <w:t>s to SME</w:t>
      </w:r>
      <w:r w:rsidR="007C5A0B">
        <w:rPr>
          <w:rFonts w:ascii="Segoe UI" w:hAnsi="Segoe UI" w:cs="Segoe UI"/>
          <w:color w:val="414141"/>
          <w:shd w:val="clear" w:color="auto" w:fill="FFFFFF"/>
        </w:rPr>
        <w:noBreakHyphen/>
      </w:r>
      <w:r w:rsidRPr="00150CE7">
        <w:rPr>
          <w:rFonts w:ascii="Calibri" w:eastAsia="Calibri" w:hAnsi="Calibri" w:cs="Times New Roman"/>
        </w:rPr>
        <w:t>research collaboration</w:t>
      </w:r>
      <w:r w:rsidR="00835CF4">
        <w:rPr>
          <w:rFonts w:ascii="Calibri" w:eastAsia="Calibri" w:hAnsi="Calibri" w:cs="Times New Roman"/>
        </w:rPr>
        <w:t xml:space="preserve"> in Australia</w:t>
      </w:r>
      <w:r w:rsidRPr="00150CE7">
        <w:rPr>
          <w:rFonts w:ascii="Calibri" w:eastAsia="Calibri" w:hAnsi="Calibri" w:cs="Times New Roman"/>
        </w:rPr>
        <w:t>.</w:t>
      </w:r>
      <w:r>
        <w:rPr>
          <w:rStyle w:val="FootnoteReference"/>
          <w:rFonts w:ascii="Calibri" w:eastAsia="Calibri" w:hAnsi="Calibri" w:cs="Times New Roman"/>
        </w:rPr>
        <w:footnoteReference w:id="49"/>
      </w:r>
      <w:r w:rsidRPr="00150CE7">
        <w:rPr>
          <w:rFonts w:ascii="Calibri" w:eastAsia="Calibri" w:hAnsi="Calibri" w:cs="Times New Roman"/>
        </w:rPr>
        <w:t xml:space="preserve"> The </w:t>
      </w:r>
      <w:r w:rsidR="00835CF4">
        <w:rPr>
          <w:rFonts w:ascii="Calibri" w:eastAsia="Calibri" w:hAnsi="Calibri" w:cs="Times New Roman"/>
        </w:rPr>
        <w:t xml:space="preserve">report’s </w:t>
      </w:r>
      <w:r w:rsidRPr="00150CE7">
        <w:rPr>
          <w:rFonts w:ascii="Calibri" w:eastAsia="Calibri" w:hAnsi="Calibri" w:cs="Times New Roman"/>
        </w:rPr>
        <w:t>literature review identified similar barriers related to work practices</w:t>
      </w:r>
      <w:r>
        <w:rPr>
          <w:rFonts w:ascii="Calibri" w:eastAsia="Calibri" w:hAnsi="Calibri" w:cs="Times New Roman"/>
        </w:rPr>
        <w:t>:</w:t>
      </w:r>
      <w:r w:rsidRPr="00150CE7">
        <w:rPr>
          <w:rFonts w:ascii="Calibri" w:eastAsia="Calibri" w:hAnsi="Calibri" w:cs="Times New Roman"/>
        </w:rPr>
        <w:t xml:space="preserve"> </w:t>
      </w:r>
    </w:p>
    <w:p w14:paraId="0972BF6B" w14:textId="7A8B396C" w:rsidR="00150CE7" w:rsidRPr="00D53494" w:rsidRDefault="00FC02D0" w:rsidP="004D5189">
      <w:pPr>
        <w:pStyle w:val="ListParagraph"/>
        <w:numPr>
          <w:ilvl w:val="0"/>
          <w:numId w:val="37"/>
        </w:numPr>
        <w:ind w:left="426" w:hanging="357"/>
        <w:contextualSpacing w:val="0"/>
      </w:pPr>
      <w:r>
        <w:t>Small to medium enterprises (</w:t>
      </w:r>
      <w:r w:rsidR="00150CE7" w:rsidRPr="00D53494">
        <w:t>SMEs</w:t>
      </w:r>
      <w:r>
        <w:t>)</w:t>
      </w:r>
      <w:r w:rsidR="00150CE7" w:rsidRPr="00D53494">
        <w:t xml:space="preserve"> perceive that university traditions and working environments are premised on more long-term approaches with flexible timelines to delivery. </w:t>
      </w:r>
      <w:r w:rsidR="00084D82">
        <w:t>Conversely,</w:t>
      </w:r>
      <w:r w:rsidR="00084D82" w:rsidRPr="00D53494">
        <w:t xml:space="preserve"> </w:t>
      </w:r>
      <w:r w:rsidR="00150CE7" w:rsidRPr="00D53494">
        <w:t xml:space="preserve">academics regard SMEs as being too rigid on timelines and too focused on quick results that may be unattainable. </w:t>
      </w:r>
    </w:p>
    <w:p w14:paraId="5B1D500C" w14:textId="0342F2A7" w:rsidR="00150CE7" w:rsidRPr="00D53494" w:rsidRDefault="00150CE7" w:rsidP="004D5189">
      <w:pPr>
        <w:pStyle w:val="ListParagraph"/>
        <w:numPr>
          <w:ilvl w:val="0"/>
          <w:numId w:val="37"/>
        </w:numPr>
        <w:ind w:left="426" w:hanging="357"/>
        <w:contextualSpacing w:val="0"/>
      </w:pPr>
      <w:r w:rsidRPr="00D53494">
        <w:t>SMEs view academics as in pursuit of research outcomes of less interest to them, while academics are concerned that collaborations with SMEs do not yield important academic outputs.</w:t>
      </w:r>
    </w:p>
    <w:p w14:paraId="7B24286D" w14:textId="485316EC" w:rsidR="00150CE7" w:rsidRPr="00D53494" w:rsidRDefault="00150CE7" w:rsidP="004D5189">
      <w:pPr>
        <w:pStyle w:val="ListParagraph"/>
        <w:numPr>
          <w:ilvl w:val="0"/>
          <w:numId w:val="37"/>
        </w:numPr>
        <w:ind w:left="426" w:hanging="357"/>
        <w:contextualSpacing w:val="0"/>
      </w:pPr>
      <w:r w:rsidRPr="00D53494">
        <w:t>Limited institutional support and uncertainty about the role of collaboration in career paths matters when competencies are evaluated through documented research or teaching experience, and</w:t>
      </w:r>
      <w:r w:rsidR="00084D82">
        <w:t>,</w:t>
      </w:r>
      <w:r w:rsidRPr="00D53494">
        <w:t xml:space="preserve"> to a limited extent</w:t>
      </w:r>
      <w:r w:rsidR="00084D82">
        <w:t>,</w:t>
      </w:r>
      <w:r w:rsidRPr="00D53494">
        <w:t xml:space="preserve"> SME collaboration.</w:t>
      </w:r>
    </w:p>
    <w:p w14:paraId="27A0714C" w14:textId="16C338DA" w:rsidR="00150CE7" w:rsidRPr="00D53494" w:rsidRDefault="00150CE7" w:rsidP="004D5189">
      <w:pPr>
        <w:pStyle w:val="ListParagraph"/>
        <w:numPr>
          <w:ilvl w:val="0"/>
          <w:numId w:val="37"/>
        </w:numPr>
        <w:ind w:left="426" w:hanging="357"/>
        <w:contextualSpacing w:val="0"/>
      </w:pPr>
      <w:r w:rsidRPr="00D53494">
        <w:t xml:space="preserve">SMEs have a lack of confidence in the ability of </w:t>
      </w:r>
      <w:r w:rsidR="00C83959">
        <w:t>university and research institutes</w:t>
      </w:r>
      <w:r w:rsidR="00C83959" w:rsidRPr="00D53494">
        <w:t xml:space="preserve"> </w:t>
      </w:r>
      <w:r w:rsidRPr="00D53494">
        <w:t xml:space="preserve">to understand the day-to-day problems that </w:t>
      </w:r>
      <w:r w:rsidR="00993381">
        <w:t>businesses</w:t>
      </w:r>
      <w:r w:rsidR="00993381" w:rsidRPr="00D53494">
        <w:t xml:space="preserve"> </w:t>
      </w:r>
      <w:r w:rsidRPr="00D53494">
        <w:t>face or how to solve them.</w:t>
      </w:r>
    </w:p>
    <w:p w14:paraId="14D96931" w14:textId="1D98A916" w:rsidR="00C54D5D" w:rsidRDefault="00A83633" w:rsidP="009347C2">
      <w:pPr>
        <w:rPr>
          <w:rFonts w:ascii="Calibri" w:eastAsia="Calibri" w:hAnsi="Calibri" w:cs="Times New Roman"/>
        </w:rPr>
      </w:pPr>
      <w:r w:rsidRPr="00A83633">
        <w:rPr>
          <w:rFonts w:ascii="Calibri" w:eastAsia="Calibri" w:hAnsi="Calibri" w:cs="Times New Roman"/>
        </w:rPr>
        <w:t xml:space="preserve">There is an opportunity to improve the framework within the university system </w:t>
      </w:r>
      <w:r w:rsidR="00993381">
        <w:rPr>
          <w:rFonts w:ascii="Calibri" w:eastAsia="Calibri" w:hAnsi="Calibri" w:cs="Times New Roman"/>
        </w:rPr>
        <w:t>to</w:t>
      </w:r>
      <w:r w:rsidR="00993381" w:rsidRPr="00A83633">
        <w:rPr>
          <w:rFonts w:ascii="Calibri" w:eastAsia="Calibri" w:hAnsi="Calibri" w:cs="Times New Roman"/>
        </w:rPr>
        <w:t xml:space="preserve"> </w:t>
      </w:r>
      <w:r w:rsidRPr="00A83633">
        <w:rPr>
          <w:rFonts w:ascii="Calibri" w:eastAsia="Calibri" w:hAnsi="Calibri" w:cs="Times New Roman"/>
        </w:rPr>
        <w:t xml:space="preserve">better incentivise and reward research-industry collaboration based on the commercial outcomes achieved, including via promotion and recognition pathways. </w:t>
      </w:r>
    </w:p>
    <w:p w14:paraId="59DBD965" w14:textId="049B6C44" w:rsidR="00F30B58" w:rsidRDefault="00A83633" w:rsidP="00A83633">
      <w:pPr>
        <w:contextualSpacing/>
        <w:rPr>
          <w:rFonts w:ascii="Calibri" w:eastAsia="Calibri" w:hAnsi="Calibri" w:cs="Times New Roman"/>
          <w:b/>
          <w:bCs/>
        </w:rPr>
      </w:pPr>
      <w:r w:rsidRPr="00A83633">
        <w:rPr>
          <w:rFonts w:ascii="Calibri" w:eastAsia="Calibri" w:hAnsi="Calibri" w:cs="Times New Roman"/>
        </w:rPr>
        <w:t xml:space="preserve">Funding guidelines may further support researchers interested in being deployed into an industrial </w:t>
      </w:r>
      <w:r w:rsidR="00150CE7" w:rsidRPr="00A83633">
        <w:rPr>
          <w:rFonts w:ascii="Calibri" w:eastAsia="Calibri" w:hAnsi="Calibri" w:cs="Times New Roman"/>
        </w:rPr>
        <w:t>setting and</w:t>
      </w:r>
      <w:r w:rsidRPr="00A83633">
        <w:rPr>
          <w:rFonts w:ascii="Calibri" w:eastAsia="Calibri" w:hAnsi="Calibri" w:cs="Times New Roman"/>
        </w:rPr>
        <w:t xml:space="preserve"> encouraging others to adopt customer</w:t>
      </w:r>
      <w:r w:rsidR="00972DCA">
        <w:rPr>
          <w:rFonts w:ascii="Calibri" w:eastAsia="Calibri" w:hAnsi="Calibri" w:cs="Times New Roman"/>
        </w:rPr>
        <w:t>-</w:t>
      </w:r>
      <w:r w:rsidRPr="00A83633">
        <w:rPr>
          <w:rFonts w:ascii="Calibri" w:eastAsia="Calibri" w:hAnsi="Calibri" w:cs="Times New Roman"/>
        </w:rPr>
        <w:t xml:space="preserve">focused and agile work practices and business acumen to align with the needs of industry.  </w:t>
      </w:r>
    </w:p>
    <w:p w14:paraId="00C0FAF8" w14:textId="3CBC7E84" w:rsidR="00A83633" w:rsidRPr="00D53494" w:rsidRDefault="00A83633" w:rsidP="00F6694F">
      <w:pPr>
        <w:pStyle w:val="Heading3"/>
      </w:pPr>
      <w:bookmarkStart w:id="74" w:name="_Toc152165429"/>
      <w:r w:rsidRPr="00D53494">
        <w:t>Lack of competition in the brokerage and delivery of effective industry-research partnerships beyond research collaboration</w:t>
      </w:r>
      <w:bookmarkEnd w:id="74"/>
    </w:p>
    <w:p w14:paraId="7B632BD8" w14:textId="2DB5CA64" w:rsidR="00A83633" w:rsidRPr="00A83633" w:rsidRDefault="00A83633" w:rsidP="004D5189">
      <w:pPr>
        <w:rPr>
          <w:rFonts w:ascii="Calibri" w:eastAsia="Calibri" w:hAnsi="Calibri" w:cs="Times New Roman"/>
        </w:rPr>
      </w:pPr>
      <w:r w:rsidRPr="00A83633">
        <w:rPr>
          <w:rFonts w:ascii="Calibri" w:eastAsia="Calibri" w:hAnsi="Calibri" w:cs="Times New Roman"/>
        </w:rPr>
        <w:t xml:space="preserve">Improving innovation outcomes will require </w:t>
      </w:r>
      <w:r w:rsidR="00F502E6">
        <w:rPr>
          <w:rFonts w:ascii="Calibri" w:eastAsia="Calibri" w:hAnsi="Calibri" w:cs="Times New Roman"/>
        </w:rPr>
        <w:t>expansion,</w:t>
      </w:r>
      <w:r w:rsidR="00F502E6" w:rsidRPr="00A83633">
        <w:rPr>
          <w:rFonts w:ascii="Calibri" w:eastAsia="Calibri" w:hAnsi="Calibri" w:cs="Times New Roman"/>
        </w:rPr>
        <w:t xml:space="preserve"> </w:t>
      </w:r>
      <w:r w:rsidRPr="00A83633">
        <w:rPr>
          <w:rFonts w:ascii="Calibri" w:eastAsia="Calibri" w:hAnsi="Calibri" w:cs="Times New Roman"/>
        </w:rPr>
        <w:t>creating multiple pathways toward forming relationships necessary for successful research collaboration. This could be facilitated by an enhancement of market-making brokerages to improve opportunities for successful industry</w:t>
      </w:r>
      <w:r w:rsidR="00CB19B6">
        <w:rPr>
          <w:rFonts w:ascii="Calibri" w:eastAsia="Calibri" w:hAnsi="Calibri" w:cs="Times New Roman"/>
        </w:rPr>
        <w:noBreakHyphen/>
      </w:r>
      <w:r w:rsidRPr="00A83633">
        <w:rPr>
          <w:rFonts w:ascii="Calibri" w:eastAsia="Calibri" w:hAnsi="Calibri" w:cs="Times New Roman"/>
        </w:rPr>
        <w:t>research engagement. Brokerage services unaligned to specific institutions could substantially lower friction costs between industry and academia.</w:t>
      </w:r>
    </w:p>
    <w:p w14:paraId="2695F623" w14:textId="1C7C1C6B" w:rsidR="00A83633" w:rsidRPr="00D53494" w:rsidRDefault="00A83633" w:rsidP="004D5189">
      <w:r w:rsidRPr="00D53494">
        <w:t xml:space="preserve">Our analysis has concluded that monopolistic research supply conditions have </w:t>
      </w:r>
      <w:r w:rsidR="0007388D">
        <w:t>led</w:t>
      </w:r>
      <w:r w:rsidRPr="00D53494">
        <w:t xml:space="preserve"> to market </w:t>
      </w:r>
      <w:r w:rsidR="00E563E6">
        <w:t>barriers</w:t>
      </w:r>
      <w:r w:rsidRPr="00D53494">
        <w:t xml:space="preserve">. These </w:t>
      </w:r>
      <w:r w:rsidR="00E563E6">
        <w:t>barriers</w:t>
      </w:r>
      <w:r w:rsidRPr="00D53494">
        <w:t xml:space="preserve"> may be addressed by an increase in competition for funds available to research</w:t>
      </w:r>
      <w:r w:rsidR="00CB19B6">
        <w:noBreakHyphen/>
      </w:r>
      <w:r w:rsidRPr="00D53494">
        <w:t xml:space="preserve">industry collaboration. Support for partnerships should extend beyond publicly funded research entities and be opened to private research organisations to increase competitiveness to address current default settings in programs. </w:t>
      </w:r>
    </w:p>
    <w:p w14:paraId="5BAD0F32" w14:textId="4A78E21B" w:rsidR="00C0373D" w:rsidRDefault="00C0373D" w:rsidP="00CB19B6">
      <w:pPr>
        <w:spacing w:after="240"/>
        <w:rPr>
          <w:rFonts w:ascii="Calibri" w:eastAsia="Calibri" w:hAnsi="Calibri" w:cs="Times New Roman"/>
        </w:rPr>
      </w:pPr>
      <w:r>
        <w:rPr>
          <w:rFonts w:ascii="Calibri" w:eastAsia="Calibri" w:hAnsi="Calibri" w:cs="Times New Roman"/>
        </w:rPr>
        <w:t>Insights from a</w:t>
      </w:r>
      <w:r w:rsidRPr="00C0373D">
        <w:rPr>
          <w:rFonts w:ascii="Calibri" w:eastAsia="Calibri" w:hAnsi="Calibri" w:cs="Times New Roman"/>
        </w:rPr>
        <w:t xml:space="preserve"> business</w:t>
      </w:r>
      <w:r>
        <w:rPr>
          <w:rFonts w:ascii="Calibri" w:eastAsia="Calibri" w:hAnsi="Calibri" w:cs="Times New Roman"/>
        </w:rPr>
        <w:t xml:space="preserve"> sentiment survey</w:t>
      </w:r>
      <w:r w:rsidRPr="00C0373D">
        <w:rPr>
          <w:rFonts w:ascii="Calibri" w:eastAsia="Calibri" w:hAnsi="Calibri" w:cs="Times New Roman"/>
        </w:rPr>
        <w:t xml:space="preserve"> </w:t>
      </w:r>
      <w:r>
        <w:rPr>
          <w:rFonts w:ascii="Calibri" w:eastAsia="Calibri" w:hAnsi="Calibri" w:cs="Times New Roman"/>
        </w:rPr>
        <w:t>(</w:t>
      </w:r>
      <w:r w:rsidR="00EB6EDF">
        <w:rPr>
          <w:rFonts w:ascii="Calibri" w:eastAsia="Calibri" w:hAnsi="Calibri" w:cs="Times New Roman"/>
        </w:rPr>
        <w:t xml:space="preserve">responses </w:t>
      </w:r>
      <w:r>
        <w:rPr>
          <w:rFonts w:ascii="Calibri" w:eastAsia="Calibri" w:hAnsi="Calibri" w:cs="Times New Roman"/>
        </w:rPr>
        <w:t xml:space="preserve">of 453 businesses) </w:t>
      </w:r>
      <w:r w:rsidRPr="00C0373D">
        <w:rPr>
          <w:rFonts w:ascii="Calibri" w:eastAsia="Calibri" w:hAnsi="Calibri" w:cs="Times New Roman"/>
        </w:rPr>
        <w:t>conducted by the Office of Industry Innovation and Science Australia</w:t>
      </w:r>
      <w:r>
        <w:rPr>
          <w:rFonts w:ascii="Calibri" w:eastAsia="Calibri" w:hAnsi="Calibri" w:cs="Times New Roman"/>
        </w:rPr>
        <w:t xml:space="preserve"> for this report found that o</w:t>
      </w:r>
      <w:r w:rsidRPr="00C0373D">
        <w:rPr>
          <w:rFonts w:ascii="Calibri" w:eastAsia="Calibri" w:hAnsi="Calibri" w:cs="Times New Roman"/>
        </w:rPr>
        <w:t>nly a third of surveyed businesses agree</w:t>
      </w:r>
      <w:r w:rsidR="00F502E6">
        <w:rPr>
          <w:rFonts w:ascii="Calibri" w:eastAsia="Calibri" w:hAnsi="Calibri" w:cs="Times New Roman"/>
        </w:rPr>
        <w:t>d</w:t>
      </w:r>
      <w:r w:rsidRPr="00C0373D">
        <w:rPr>
          <w:rFonts w:ascii="Calibri" w:eastAsia="Calibri" w:hAnsi="Calibri" w:cs="Times New Roman"/>
        </w:rPr>
        <w:t xml:space="preserve"> </w:t>
      </w:r>
      <w:r w:rsidR="00F502E6">
        <w:rPr>
          <w:rFonts w:ascii="Calibri" w:eastAsia="Calibri" w:hAnsi="Calibri" w:cs="Times New Roman"/>
        </w:rPr>
        <w:t>or</w:t>
      </w:r>
      <w:r w:rsidR="00F502E6" w:rsidRPr="00C0373D">
        <w:rPr>
          <w:rFonts w:ascii="Calibri" w:eastAsia="Calibri" w:hAnsi="Calibri" w:cs="Times New Roman"/>
        </w:rPr>
        <w:t xml:space="preserve"> </w:t>
      </w:r>
      <w:r w:rsidRPr="00C0373D">
        <w:rPr>
          <w:rFonts w:ascii="Calibri" w:eastAsia="Calibri" w:hAnsi="Calibri" w:cs="Times New Roman"/>
        </w:rPr>
        <w:t>strongly agree</w:t>
      </w:r>
      <w:r w:rsidR="00F502E6">
        <w:rPr>
          <w:rFonts w:ascii="Calibri" w:eastAsia="Calibri" w:hAnsi="Calibri" w:cs="Times New Roman"/>
        </w:rPr>
        <w:t>d</w:t>
      </w:r>
      <w:r w:rsidRPr="00C0373D">
        <w:rPr>
          <w:rFonts w:ascii="Calibri" w:eastAsia="Calibri" w:hAnsi="Calibri" w:cs="Times New Roman"/>
        </w:rPr>
        <w:t xml:space="preserve"> they have a robust method to calculate the cost-to-benefit ratio of a collaboration with the research sector</w:t>
      </w:r>
      <w:r>
        <w:rPr>
          <w:rFonts w:ascii="Calibri" w:eastAsia="Calibri" w:hAnsi="Calibri" w:cs="Times New Roman"/>
        </w:rPr>
        <w:t xml:space="preserve"> </w:t>
      </w:r>
      <w:r w:rsidRPr="0096758A">
        <w:rPr>
          <w:rFonts w:ascii="Calibri" w:eastAsia="Calibri" w:hAnsi="Calibri" w:cs="Times New Roman"/>
        </w:rPr>
        <w:t>(</w:t>
      </w:r>
      <w:r w:rsidR="00EB6EDF" w:rsidRPr="00A8630A">
        <w:rPr>
          <w:rFonts w:ascii="Calibri" w:eastAsia="Calibri" w:hAnsi="Calibri" w:cs="Times New Roman"/>
          <w:b/>
          <w:bCs/>
        </w:rPr>
        <w:t>Chart 1</w:t>
      </w:r>
      <w:r w:rsidR="00262E52" w:rsidRPr="00A8630A">
        <w:rPr>
          <w:rFonts w:ascii="Calibri" w:eastAsia="Calibri" w:hAnsi="Calibri" w:cs="Times New Roman"/>
          <w:b/>
          <w:bCs/>
        </w:rPr>
        <w:t>1</w:t>
      </w:r>
      <w:r w:rsidR="00CB19B6">
        <w:rPr>
          <w:rFonts w:ascii="Calibri" w:eastAsia="Calibri" w:hAnsi="Calibri" w:cs="Times New Roman"/>
          <w:b/>
          <w:bCs/>
        </w:rPr>
        <w:t xml:space="preserve">: </w:t>
      </w:r>
      <w:r w:rsidR="00CB19B6" w:rsidRPr="00CB19B6">
        <w:rPr>
          <w:rFonts w:ascii="Calibri" w:eastAsia="Calibri" w:hAnsi="Calibri" w:cs="Times New Roman"/>
          <w:b/>
          <w:bCs/>
        </w:rPr>
        <w:t>Many businesses lack a robust method to calculate the cost benefit of collaboration</w:t>
      </w:r>
      <w:r w:rsidR="00F502E6" w:rsidRPr="0096758A">
        <w:rPr>
          <w:rFonts w:ascii="Calibri" w:eastAsia="Calibri" w:hAnsi="Calibri" w:cs="Times New Roman"/>
        </w:rPr>
        <w:t xml:space="preserve">). Further, </w:t>
      </w:r>
      <w:r w:rsidR="00FF6C3A" w:rsidRPr="0096758A">
        <w:rPr>
          <w:rFonts w:ascii="Calibri" w:eastAsia="Calibri" w:hAnsi="Calibri" w:cs="Times New Roman"/>
        </w:rPr>
        <w:t>most businesses agree</w:t>
      </w:r>
      <w:r w:rsidR="00F502E6" w:rsidRPr="0096758A">
        <w:rPr>
          <w:rFonts w:ascii="Calibri" w:eastAsia="Calibri" w:hAnsi="Calibri" w:cs="Times New Roman"/>
        </w:rPr>
        <w:t>d or</w:t>
      </w:r>
      <w:r w:rsidR="00FF6C3A" w:rsidRPr="0096758A">
        <w:rPr>
          <w:rFonts w:ascii="Calibri" w:eastAsia="Calibri" w:hAnsi="Calibri" w:cs="Times New Roman"/>
        </w:rPr>
        <w:t xml:space="preserve"> strongly agree</w:t>
      </w:r>
      <w:r w:rsidR="00F502E6" w:rsidRPr="0096758A">
        <w:rPr>
          <w:rFonts w:ascii="Calibri" w:eastAsia="Calibri" w:hAnsi="Calibri" w:cs="Times New Roman"/>
        </w:rPr>
        <w:t>d</w:t>
      </w:r>
      <w:r w:rsidR="00FF6C3A" w:rsidRPr="0096758A">
        <w:rPr>
          <w:rFonts w:ascii="Calibri" w:eastAsia="Calibri" w:hAnsi="Calibri" w:cs="Times New Roman"/>
        </w:rPr>
        <w:t xml:space="preserve"> they </w:t>
      </w:r>
      <w:r w:rsidR="00F502E6" w:rsidRPr="0096758A">
        <w:rPr>
          <w:rFonts w:ascii="Calibri" w:eastAsia="Calibri" w:hAnsi="Calibri" w:cs="Times New Roman"/>
        </w:rPr>
        <w:t xml:space="preserve">required </w:t>
      </w:r>
      <w:r w:rsidR="00FF6C3A" w:rsidRPr="0096758A">
        <w:rPr>
          <w:rFonts w:ascii="Calibri" w:eastAsia="Calibri" w:hAnsi="Calibri" w:cs="Times New Roman"/>
        </w:rPr>
        <w:t>a third-party advisor to identify and facilitate collaboration with the research sector for the purpose of innovation (</w:t>
      </w:r>
      <w:r w:rsidR="00EB6EDF" w:rsidRPr="00A8630A">
        <w:rPr>
          <w:rFonts w:ascii="Calibri" w:eastAsia="Calibri" w:hAnsi="Calibri" w:cs="Times New Roman"/>
          <w:b/>
          <w:bCs/>
        </w:rPr>
        <w:t>Chart 1</w:t>
      </w:r>
      <w:r w:rsidR="00262E52" w:rsidRPr="00A8630A">
        <w:rPr>
          <w:rFonts w:ascii="Calibri" w:eastAsia="Calibri" w:hAnsi="Calibri" w:cs="Times New Roman"/>
          <w:b/>
          <w:bCs/>
        </w:rPr>
        <w:t>2</w:t>
      </w:r>
      <w:r w:rsidR="00CB19B6">
        <w:rPr>
          <w:rFonts w:ascii="Calibri" w:eastAsia="Calibri" w:hAnsi="Calibri" w:cs="Times New Roman"/>
          <w:b/>
          <w:bCs/>
        </w:rPr>
        <w:t xml:space="preserve">: </w:t>
      </w:r>
      <w:r w:rsidR="00CB19B6" w:rsidRPr="00CB19B6">
        <w:rPr>
          <w:rFonts w:ascii="Calibri" w:eastAsia="Calibri" w:hAnsi="Calibri" w:cs="Times New Roman"/>
          <w:b/>
          <w:bCs/>
        </w:rPr>
        <w:t>Need for a third-party advisor to identify and facilitate collaboration with research sector</w:t>
      </w:r>
      <w:r w:rsidR="00FF6C3A" w:rsidRPr="0096758A">
        <w:rPr>
          <w:rFonts w:ascii="Calibri" w:eastAsia="Calibri" w:hAnsi="Calibri" w:cs="Times New Roman"/>
        </w:rPr>
        <w:t>)</w:t>
      </w:r>
      <w:r w:rsidR="00273E91" w:rsidRPr="0096758A">
        <w:rPr>
          <w:rFonts w:ascii="Calibri" w:eastAsia="Calibri" w:hAnsi="Calibri" w:cs="Times New Roman"/>
        </w:rPr>
        <w:t>.</w:t>
      </w:r>
    </w:p>
    <w:p w14:paraId="780E1737" w14:textId="3986C75E" w:rsidR="00707664" w:rsidRPr="00DF66CC" w:rsidRDefault="00DF66CC" w:rsidP="005F6BC9">
      <w:pPr>
        <w:pStyle w:val="Caption"/>
        <w:keepNext/>
        <w:rPr>
          <w:b/>
          <w:bCs/>
          <w:i w:val="0"/>
          <w:iCs w:val="0"/>
          <w:color w:val="auto"/>
          <w:highlight w:val="yellow"/>
        </w:rPr>
      </w:pPr>
      <w:r w:rsidRPr="00176864">
        <w:rPr>
          <w:b/>
          <w:bCs/>
          <w:i w:val="0"/>
          <w:iCs w:val="0"/>
          <w:color w:val="auto"/>
        </w:rPr>
        <w:t>Chart 11: Many businesses lack a robust method to calculate the cost benefit of collaboration.</w:t>
      </w:r>
      <w:r>
        <w:rPr>
          <w:b/>
          <w:bCs/>
          <w:i w:val="0"/>
          <w:iCs w:val="0"/>
          <w:color w:val="auto"/>
        </w:rPr>
        <w:t xml:space="preserve"> </w:t>
      </w:r>
      <w:r w:rsidR="00DE44B5">
        <w:rPr>
          <w:b/>
          <w:bCs/>
          <w:i w:val="0"/>
          <w:iCs w:val="0"/>
          <w:color w:val="auto"/>
        </w:rPr>
        <w:t>(Date table immediately follows.)</w:t>
      </w:r>
    </w:p>
    <w:p w14:paraId="43DA7C75" w14:textId="56D2868B" w:rsidR="00273E91" w:rsidRDefault="00273E91" w:rsidP="009079DD">
      <w:pPr>
        <w:jc w:val="center"/>
        <w:rPr>
          <w:rFonts w:ascii="Calibri" w:eastAsia="Calibri" w:hAnsi="Calibri" w:cs="Times New Roman"/>
        </w:rPr>
      </w:pPr>
      <w:r>
        <w:rPr>
          <w:noProof/>
        </w:rPr>
        <w:drawing>
          <wp:inline distT="0" distB="0" distL="0" distR="0" wp14:anchorId="40524F2F" wp14:editId="10675B4B">
            <wp:extent cx="5400000" cy="2880000"/>
            <wp:effectExtent l="0" t="0" r="0" b="0"/>
            <wp:docPr id="248" name="Chart 248" descr="Column chart showing businesses' survey responses to the statement “This business has a robust method to calculate the cost-to-benefit ratio of a collaboration with the research sector”. The most common responses were neutral (36%), disagree (27%) and agree (27%), followed by strongly agree (7%) and strongly disagree (3%).">
              <a:extLst xmlns:a="http://schemas.openxmlformats.org/drawingml/2006/main">
                <a:ext uri="{FF2B5EF4-FFF2-40B4-BE49-F238E27FC236}">
                  <a16:creationId xmlns:a16="http://schemas.microsoft.com/office/drawing/2014/main" id="{3696E0E3-5298-4568-9719-2CB9E1170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D3C03C4" w14:textId="24580B6F" w:rsidR="00563A71" w:rsidRDefault="00563A71" w:rsidP="00563A71">
      <w:pPr>
        <w:jc w:val="center"/>
        <w:rPr>
          <w:sz w:val="18"/>
          <w:szCs w:val="18"/>
        </w:rPr>
      </w:pPr>
      <w:r w:rsidRPr="00563A71">
        <w:rPr>
          <w:sz w:val="18"/>
          <w:szCs w:val="18"/>
        </w:rPr>
        <w:t xml:space="preserve"> </w:t>
      </w:r>
      <w:r w:rsidRPr="00975D29">
        <w:rPr>
          <w:sz w:val="18"/>
          <w:szCs w:val="18"/>
        </w:rPr>
        <w:t xml:space="preserve">Source: </w:t>
      </w:r>
      <w:r>
        <w:rPr>
          <w:sz w:val="18"/>
          <w:szCs w:val="18"/>
        </w:rPr>
        <w:t>O</w:t>
      </w:r>
      <w:r w:rsidRPr="00975D29">
        <w:rPr>
          <w:sz w:val="18"/>
          <w:szCs w:val="18"/>
        </w:rPr>
        <w:t xml:space="preserve">IISA </w:t>
      </w:r>
      <w:r>
        <w:rPr>
          <w:sz w:val="18"/>
          <w:szCs w:val="18"/>
        </w:rPr>
        <w:t xml:space="preserve">business survey </w:t>
      </w:r>
      <w:r w:rsidRPr="00975D29">
        <w:rPr>
          <w:sz w:val="18"/>
          <w:szCs w:val="18"/>
        </w:rPr>
        <w:t>data</w:t>
      </w:r>
      <w:r>
        <w:rPr>
          <w:sz w:val="18"/>
          <w:szCs w:val="18"/>
        </w:rPr>
        <w:t>,</w:t>
      </w:r>
      <w:r w:rsidRPr="00975D29">
        <w:rPr>
          <w:sz w:val="18"/>
          <w:szCs w:val="18"/>
        </w:rPr>
        <w:t xml:space="preserve"> </w:t>
      </w:r>
      <w:r>
        <w:rPr>
          <w:sz w:val="18"/>
          <w:szCs w:val="18"/>
        </w:rPr>
        <w:t>August 2023, unpublished.</w:t>
      </w:r>
    </w:p>
    <w:p w14:paraId="60BB63C9" w14:textId="0C9820FB" w:rsidR="00DE44B5" w:rsidRPr="00DE44B5" w:rsidRDefault="00DE44B5" w:rsidP="00DE44B5">
      <w:pPr>
        <w:rPr>
          <w:b/>
          <w:bCs/>
        </w:rPr>
      </w:pPr>
      <w:r>
        <w:rPr>
          <w:b/>
          <w:bCs/>
        </w:rPr>
        <w:t xml:space="preserve">Chart 11 data table: </w:t>
      </w:r>
      <w:r w:rsidRPr="00176864">
        <w:rPr>
          <w:b/>
          <w:bCs/>
        </w:rPr>
        <w:t>Many businesses lack a robust method to calculate the cost benefit of collaboration.</w:t>
      </w:r>
      <w:r>
        <w:rPr>
          <w:b/>
          <w:bCs/>
        </w:rPr>
        <w:t xml:space="preserve"> This data is depicted in a column chart above.</w:t>
      </w:r>
    </w:p>
    <w:tbl>
      <w:tblPr>
        <w:tblW w:w="5000" w:type="pct"/>
        <w:tblLook w:val="04A0" w:firstRow="1" w:lastRow="0" w:firstColumn="1" w:lastColumn="0" w:noHBand="0" w:noVBand="1"/>
      </w:tblPr>
      <w:tblGrid>
        <w:gridCol w:w="5240"/>
        <w:gridCol w:w="3776"/>
      </w:tblGrid>
      <w:tr w:rsidR="00DE44B5" w:rsidRPr="007B54FB" w14:paraId="3DC76A9F" w14:textId="77777777" w:rsidTr="00426B8A">
        <w:trPr>
          <w:trHeight w:val="454"/>
        </w:trPr>
        <w:tc>
          <w:tcPr>
            <w:tcW w:w="2906" w:type="pct"/>
            <w:tcBorders>
              <w:top w:val="single" w:sz="4" w:space="0" w:color="auto"/>
              <w:left w:val="single" w:sz="4" w:space="0" w:color="auto"/>
              <w:bottom w:val="single" w:sz="4" w:space="0" w:color="auto"/>
              <w:right w:val="single" w:sz="4" w:space="0" w:color="auto"/>
            </w:tcBorders>
            <w:shd w:val="clear" w:color="auto" w:fill="E5E5FF"/>
            <w:noWrap/>
            <w:vAlign w:val="center"/>
            <w:hideMark/>
          </w:tcPr>
          <w:p w14:paraId="55FFA371" w14:textId="77777777" w:rsidR="00DE44B5" w:rsidRPr="007B54FB" w:rsidRDefault="00DE44B5" w:rsidP="008C36BB">
            <w:pPr>
              <w:shd w:val="clear" w:color="auto" w:fill="FEC0F1" w:themeFill="accent4" w:themeFillTint="33"/>
              <w:spacing w:after="0" w:line="240" w:lineRule="auto"/>
              <w:rPr>
                <w:rFonts w:ascii="Calibri" w:eastAsia="Times New Roman" w:hAnsi="Calibri" w:cs="Calibri"/>
                <w:b/>
                <w:bCs/>
                <w:color w:val="000000"/>
                <w:lang w:eastAsia="en-AU"/>
              </w:rPr>
            </w:pPr>
            <w:r w:rsidRPr="007B54FB">
              <w:rPr>
                <w:rFonts w:ascii="Calibri" w:eastAsia="Times New Roman" w:hAnsi="Calibri" w:cs="Calibri"/>
                <w:b/>
                <w:bCs/>
                <w:color w:val="000000"/>
                <w:lang w:eastAsia="en-AU"/>
              </w:rPr>
              <w:t>Collaboration status and calculation of cost-benefit</w:t>
            </w:r>
          </w:p>
        </w:tc>
        <w:tc>
          <w:tcPr>
            <w:tcW w:w="2094" w:type="pct"/>
            <w:tcBorders>
              <w:top w:val="single" w:sz="4" w:space="0" w:color="auto"/>
              <w:left w:val="nil"/>
              <w:bottom w:val="single" w:sz="4" w:space="0" w:color="auto"/>
              <w:right w:val="single" w:sz="4" w:space="0" w:color="auto"/>
            </w:tcBorders>
            <w:shd w:val="clear" w:color="auto" w:fill="E5E5FF"/>
            <w:noWrap/>
            <w:vAlign w:val="center"/>
            <w:hideMark/>
          </w:tcPr>
          <w:p w14:paraId="4B2DF972" w14:textId="77777777" w:rsidR="00DE44B5" w:rsidRPr="007B54FB" w:rsidRDefault="00DE44B5" w:rsidP="008C36BB">
            <w:pPr>
              <w:shd w:val="clear" w:color="auto" w:fill="FEC0F1" w:themeFill="accent4" w:themeFillTint="33"/>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Percentage of responses</w:t>
            </w:r>
          </w:p>
        </w:tc>
      </w:tr>
      <w:tr w:rsidR="00DE44B5" w:rsidRPr="007B54FB" w14:paraId="174E9A1C" w14:textId="77777777" w:rsidTr="00426B8A">
        <w:trPr>
          <w:trHeight w:val="454"/>
        </w:trPr>
        <w:tc>
          <w:tcPr>
            <w:tcW w:w="2906" w:type="pct"/>
            <w:tcBorders>
              <w:top w:val="nil"/>
              <w:left w:val="single" w:sz="4" w:space="0" w:color="auto"/>
              <w:bottom w:val="single" w:sz="4" w:space="0" w:color="auto"/>
              <w:right w:val="single" w:sz="4" w:space="0" w:color="auto"/>
            </w:tcBorders>
            <w:shd w:val="clear" w:color="auto" w:fill="auto"/>
            <w:noWrap/>
            <w:vAlign w:val="center"/>
            <w:hideMark/>
          </w:tcPr>
          <w:p w14:paraId="2652384B" w14:textId="77777777" w:rsidR="00DE44B5" w:rsidRPr="007B54FB" w:rsidRDefault="00DE44B5" w:rsidP="008C36BB">
            <w:pPr>
              <w:shd w:val="clear" w:color="auto" w:fill="FEC0F1" w:themeFill="accent4" w:themeFillTint="33"/>
              <w:spacing w:after="0" w:line="240" w:lineRule="auto"/>
              <w:rPr>
                <w:rFonts w:ascii="Calibri" w:eastAsia="Times New Roman" w:hAnsi="Calibri" w:cs="Calibri"/>
                <w:color w:val="000000"/>
                <w:lang w:eastAsia="en-AU"/>
              </w:rPr>
            </w:pPr>
            <w:r w:rsidRPr="007B54FB">
              <w:rPr>
                <w:rFonts w:ascii="Calibri" w:eastAsia="Times New Roman" w:hAnsi="Calibri" w:cs="Calibri"/>
                <w:color w:val="000000"/>
                <w:lang w:eastAsia="en-AU"/>
              </w:rPr>
              <w:t>Strongly agree</w:t>
            </w:r>
          </w:p>
        </w:tc>
        <w:tc>
          <w:tcPr>
            <w:tcW w:w="2094" w:type="pct"/>
            <w:tcBorders>
              <w:top w:val="nil"/>
              <w:left w:val="nil"/>
              <w:bottom w:val="single" w:sz="4" w:space="0" w:color="auto"/>
              <w:right w:val="single" w:sz="4" w:space="0" w:color="auto"/>
            </w:tcBorders>
            <w:shd w:val="clear" w:color="auto" w:fill="auto"/>
            <w:noWrap/>
            <w:vAlign w:val="center"/>
            <w:hideMark/>
          </w:tcPr>
          <w:p w14:paraId="3B46699E" w14:textId="77777777" w:rsidR="00DE44B5" w:rsidRPr="007B54FB" w:rsidRDefault="00DE44B5" w:rsidP="008C36BB">
            <w:pPr>
              <w:shd w:val="clear" w:color="auto" w:fill="FEC0F1" w:themeFill="accent4" w:themeFillTint="33"/>
              <w:spacing w:after="0" w:line="240" w:lineRule="auto"/>
              <w:rPr>
                <w:rFonts w:ascii="Calibri" w:eastAsia="Times New Roman" w:hAnsi="Calibri" w:cs="Calibri"/>
                <w:color w:val="000000"/>
                <w:lang w:eastAsia="en-AU"/>
              </w:rPr>
            </w:pPr>
            <w:r w:rsidRPr="007B54FB">
              <w:rPr>
                <w:rFonts w:ascii="Calibri" w:eastAsia="Times New Roman" w:hAnsi="Calibri" w:cs="Calibri"/>
                <w:color w:val="000000"/>
                <w:lang w:eastAsia="en-AU"/>
              </w:rPr>
              <w:t>7</w:t>
            </w:r>
          </w:p>
        </w:tc>
      </w:tr>
      <w:tr w:rsidR="00DE44B5" w:rsidRPr="007B54FB" w14:paraId="75696FB8" w14:textId="77777777" w:rsidTr="00426B8A">
        <w:trPr>
          <w:trHeight w:val="454"/>
        </w:trPr>
        <w:tc>
          <w:tcPr>
            <w:tcW w:w="2906" w:type="pct"/>
            <w:tcBorders>
              <w:top w:val="nil"/>
              <w:left w:val="single" w:sz="4" w:space="0" w:color="auto"/>
              <w:bottom w:val="single" w:sz="4" w:space="0" w:color="auto"/>
              <w:right w:val="single" w:sz="4" w:space="0" w:color="auto"/>
            </w:tcBorders>
            <w:shd w:val="clear" w:color="auto" w:fill="auto"/>
            <w:noWrap/>
            <w:vAlign w:val="center"/>
            <w:hideMark/>
          </w:tcPr>
          <w:p w14:paraId="3D7AD121" w14:textId="77777777" w:rsidR="00DE44B5" w:rsidRPr="007B54FB" w:rsidRDefault="00DE44B5" w:rsidP="008C36BB">
            <w:pPr>
              <w:shd w:val="clear" w:color="auto" w:fill="FEC0F1" w:themeFill="accent4" w:themeFillTint="33"/>
              <w:spacing w:after="0" w:line="240" w:lineRule="auto"/>
              <w:rPr>
                <w:rFonts w:ascii="Calibri" w:eastAsia="Times New Roman" w:hAnsi="Calibri" w:cs="Calibri"/>
                <w:color w:val="000000"/>
                <w:lang w:eastAsia="en-AU"/>
              </w:rPr>
            </w:pPr>
            <w:r w:rsidRPr="007B54FB">
              <w:rPr>
                <w:rFonts w:ascii="Calibri" w:eastAsia="Times New Roman" w:hAnsi="Calibri" w:cs="Calibri"/>
                <w:color w:val="000000"/>
                <w:lang w:eastAsia="en-AU"/>
              </w:rPr>
              <w:t>Agree</w:t>
            </w:r>
          </w:p>
        </w:tc>
        <w:tc>
          <w:tcPr>
            <w:tcW w:w="2094" w:type="pct"/>
            <w:tcBorders>
              <w:top w:val="nil"/>
              <w:left w:val="nil"/>
              <w:bottom w:val="single" w:sz="4" w:space="0" w:color="auto"/>
              <w:right w:val="single" w:sz="4" w:space="0" w:color="auto"/>
            </w:tcBorders>
            <w:shd w:val="clear" w:color="auto" w:fill="auto"/>
            <w:noWrap/>
            <w:vAlign w:val="center"/>
            <w:hideMark/>
          </w:tcPr>
          <w:p w14:paraId="2BB5B83B" w14:textId="77777777" w:rsidR="00DE44B5" w:rsidRPr="007B54FB" w:rsidRDefault="00DE44B5" w:rsidP="008C36BB">
            <w:pPr>
              <w:shd w:val="clear" w:color="auto" w:fill="FEC0F1" w:themeFill="accent4" w:themeFillTint="33"/>
              <w:spacing w:after="0" w:line="240" w:lineRule="auto"/>
              <w:rPr>
                <w:rFonts w:ascii="Calibri" w:eastAsia="Times New Roman" w:hAnsi="Calibri" w:cs="Calibri"/>
                <w:color w:val="000000"/>
                <w:lang w:eastAsia="en-AU"/>
              </w:rPr>
            </w:pPr>
            <w:r w:rsidRPr="007B54FB">
              <w:rPr>
                <w:rFonts w:ascii="Calibri" w:eastAsia="Times New Roman" w:hAnsi="Calibri" w:cs="Calibri"/>
                <w:color w:val="000000"/>
                <w:lang w:eastAsia="en-AU"/>
              </w:rPr>
              <w:t>27</w:t>
            </w:r>
          </w:p>
        </w:tc>
      </w:tr>
      <w:tr w:rsidR="00DE44B5" w:rsidRPr="007B54FB" w14:paraId="1C89A4B2" w14:textId="77777777" w:rsidTr="00426B8A">
        <w:trPr>
          <w:trHeight w:val="454"/>
        </w:trPr>
        <w:tc>
          <w:tcPr>
            <w:tcW w:w="2906" w:type="pct"/>
            <w:tcBorders>
              <w:top w:val="nil"/>
              <w:left w:val="single" w:sz="4" w:space="0" w:color="auto"/>
              <w:bottom w:val="single" w:sz="4" w:space="0" w:color="auto"/>
              <w:right w:val="single" w:sz="4" w:space="0" w:color="auto"/>
            </w:tcBorders>
            <w:shd w:val="clear" w:color="auto" w:fill="auto"/>
            <w:noWrap/>
            <w:vAlign w:val="center"/>
            <w:hideMark/>
          </w:tcPr>
          <w:p w14:paraId="68EFE033" w14:textId="77777777" w:rsidR="00DE44B5" w:rsidRPr="007B54FB" w:rsidRDefault="00DE44B5" w:rsidP="008C36BB">
            <w:pPr>
              <w:shd w:val="clear" w:color="auto" w:fill="FEC0F1" w:themeFill="accent4" w:themeFillTint="33"/>
              <w:spacing w:after="0" w:line="240" w:lineRule="auto"/>
              <w:rPr>
                <w:rFonts w:ascii="Calibri" w:eastAsia="Times New Roman" w:hAnsi="Calibri" w:cs="Calibri"/>
                <w:color w:val="000000"/>
                <w:lang w:eastAsia="en-AU"/>
              </w:rPr>
            </w:pPr>
            <w:r w:rsidRPr="007B54FB">
              <w:rPr>
                <w:rFonts w:ascii="Calibri" w:eastAsia="Times New Roman" w:hAnsi="Calibri" w:cs="Calibri"/>
                <w:color w:val="000000"/>
                <w:lang w:eastAsia="en-AU"/>
              </w:rPr>
              <w:t>Neutral</w:t>
            </w:r>
          </w:p>
        </w:tc>
        <w:tc>
          <w:tcPr>
            <w:tcW w:w="2094" w:type="pct"/>
            <w:tcBorders>
              <w:top w:val="nil"/>
              <w:left w:val="nil"/>
              <w:bottom w:val="single" w:sz="4" w:space="0" w:color="auto"/>
              <w:right w:val="single" w:sz="4" w:space="0" w:color="auto"/>
            </w:tcBorders>
            <w:shd w:val="clear" w:color="auto" w:fill="auto"/>
            <w:noWrap/>
            <w:vAlign w:val="center"/>
            <w:hideMark/>
          </w:tcPr>
          <w:p w14:paraId="5578F631" w14:textId="77777777" w:rsidR="00DE44B5" w:rsidRPr="007B54FB" w:rsidRDefault="00DE44B5" w:rsidP="008C36BB">
            <w:pPr>
              <w:shd w:val="clear" w:color="auto" w:fill="FEC0F1" w:themeFill="accent4" w:themeFillTint="33"/>
              <w:spacing w:after="0" w:line="240" w:lineRule="auto"/>
              <w:rPr>
                <w:rFonts w:ascii="Calibri" w:eastAsia="Times New Roman" w:hAnsi="Calibri" w:cs="Calibri"/>
                <w:color w:val="000000"/>
                <w:lang w:eastAsia="en-AU"/>
              </w:rPr>
            </w:pPr>
            <w:r w:rsidRPr="007B54FB">
              <w:rPr>
                <w:rFonts w:ascii="Calibri" w:eastAsia="Times New Roman" w:hAnsi="Calibri" w:cs="Calibri"/>
                <w:color w:val="000000"/>
                <w:lang w:eastAsia="en-AU"/>
              </w:rPr>
              <w:t>36</w:t>
            </w:r>
          </w:p>
        </w:tc>
      </w:tr>
      <w:tr w:rsidR="00DE44B5" w:rsidRPr="007B54FB" w14:paraId="100532C9" w14:textId="77777777" w:rsidTr="00426B8A">
        <w:trPr>
          <w:trHeight w:val="454"/>
        </w:trPr>
        <w:tc>
          <w:tcPr>
            <w:tcW w:w="2906" w:type="pct"/>
            <w:tcBorders>
              <w:top w:val="nil"/>
              <w:left w:val="single" w:sz="4" w:space="0" w:color="auto"/>
              <w:bottom w:val="single" w:sz="4" w:space="0" w:color="auto"/>
              <w:right w:val="single" w:sz="4" w:space="0" w:color="auto"/>
            </w:tcBorders>
            <w:shd w:val="clear" w:color="auto" w:fill="auto"/>
            <w:noWrap/>
            <w:vAlign w:val="center"/>
            <w:hideMark/>
          </w:tcPr>
          <w:p w14:paraId="678013E8" w14:textId="77777777" w:rsidR="00DE44B5" w:rsidRPr="007B54FB" w:rsidRDefault="00DE44B5" w:rsidP="008C36BB">
            <w:pPr>
              <w:shd w:val="clear" w:color="auto" w:fill="FEC0F1" w:themeFill="accent4" w:themeFillTint="33"/>
              <w:spacing w:after="0" w:line="240" w:lineRule="auto"/>
              <w:rPr>
                <w:rFonts w:ascii="Calibri" w:eastAsia="Times New Roman" w:hAnsi="Calibri" w:cs="Calibri"/>
                <w:color w:val="000000"/>
                <w:lang w:eastAsia="en-AU"/>
              </w:rPr>
            </w:pPr>
            <w:r w:rsidRPr="007B54FB">
              <w:rPr>
                <w:rFonts w:ascii="Calibri" w:eastAsia="Times New Roman" w:hAnsi="Calibri" w:cs="Calibri"/>
                <w:color w:val="000000"/>
                <w:lang w:eastAsia="en-AU"/>
              </w:rPr>
              <w:t>Disagree</w:t>
            </w:r>
          </w:p>
        </w:tc>
        <w:tc>
          <w:tcPr>
            <w:tcW w:w="2094" w:type="pct"/>
            <w:tcBorders>
              <w:top w:val="nil"/>
              <w:left w:val="nil"/>
              <w:bottom w:val="single" w:sz="4" w:space="0" w:color="auto"/>
              <w:right w:val="single" w:sz="4" w:space="0" w:color="auto"/>
            </w:tcBorders>
            <w:shd w:val="clear" w:color="auto" w:fill="auto"/>
            <w:noWrap/>
            <w:vAlign w:val="center"/>
            <w:hideMark/>
          </w:tcPr>
          <w:p w14:paraId="3788A3EB" w14:textId="77777777" w:rsidR="00DE44B5" w:rsidRPr="007B54FB" w:rsidRDefault="00DE44B5" w:rsidP="008C36BB">
            <w:pPr>
              <w:shd w:val="clear" w:color="auto" w:fill="FEC0F1" w:themeFill="accent4" w:themeFillTint="33"/>
              <w:spacing w:after="0" w:line="240" w:lineRule="auto"/>
              <w:rPr>
                <w:rFonts w:ascii="Calibri" w:eastAsia="Times New Roman" w:hAnsi="Calibri" w:cs="Calibri"/>
                <w:color w:val="000000"/>
                <w:lang w:eastAsia="en-AU"/>
              </w:rPr>
            </w:pPr>
            <w:r w:rsidRPr="007B54FB">
              <w:rPr>
                <w:rFonts w:ascii="Calibri" w:eastAsia="Times New Roman" w:hAnsi="Calibri" w:cs="Calibri"/>
                <w:color w:val="000000"/>
                <w:lang w:eastAsia="en-AU"/>
              </w:rPr>
              <w:t>27</w:t>
            </w:r>
          </w:p>
        </w:tc>
      </w:tr>
      <w:tr w:rsidR="00DE44B5" w:rsidRPr="007B54FB" w14:paraId="23F23AAA" w14:textId="77777777" w:rsidTr="00426B8A">
        <w:trPr>
          <w:trHeight w:val="454"/>
        </w:trPr>
        <w:tc>
          <w:tcPr>
            <w:tcW w:w="2906" w:type="pct"/>
            <w:tcBorders>
              <w:top w:val="nil"/>
              <w:left w:val="single" w:sz="4" w:space="0" w:color="auto"/>
              <w:bottom w:val="single" w:sz="4" w:space="0" w:color="auto"/>
              <w:right w:val="single" w:sz="4" w:space="0" w:color="auto"/>
            </w:tcBorders>
            <w:shd w:val="clear" w:color="auto" w:fill="auto"/>
            <w:noWrap/>
            <w:vAlign w:val="center"/>
            <w:hideMark/>
          </w:tcPr>
          <w:p w14:paraId="3279F647" w14:textId="77777777" w:rsidR="00DE44B5" w:rsidRPr="007B54FB" w:rsidRDefault="00DE44B5" w:rsidP="008C36BB">
            <w:pPr>
              <w:shd w:val="clear" w:color="auto" w:fill="FEC0F1" w:themeFill="accent4" w:themeFillTint="33"/>
              <w:spacing w:after="0" w:line="240" w:lineRule="auto"/>
              <w:rPr>
                <w:rFonts w:ascii="Calibri" w:eastAsia="Times New Roman" w:hAnsi="Calibri" w:cs="Calibri"/>
                <w:color w:val="000000"/>
                <w:lang w:eastAsia="en-AU"/>
              </w:rPr>
            </w:pPr>
            <w:r w:rsidRPr="007B54FB">
              <w:rPr>
                <w:rFonts w:ascii="Calibri" w:eastAsia="Times New Roman" w:hAnsi="Calibri" w:cs="Calibri"/>
                <w:color w:val="000000"/>
                <w:lang w:eastAsia="en-AU"/>
              </w:rPr>
              <w:t>Strongly disagree</w:t>
            </w:r>
          </w:p>
        </w:tc>
        <w:tc>
          <w:tcPr>
            <w:tcW w:w="2094" w:type="pct"/>
            <w:tcBorders>
              <w:top w:val="nil"/>
              <w:left w:val="nil"/>
              <w:bottom w:val="single" w:sz="4" w:space="0" w:color="auto"/>
              <w:right w:val="single" w:sz="4" w:space="0" w:color="auto"/>
            </w:tcBorders>
            <w:shd w:val="clear" w:color="auto" w:fill="auto"/>
            <w:noWrap/>
            <w:vAlign w:val="center"/>
            <w:hideMark/>
          </w:tcPr>
          <w:p w14:paraId="0BE9D08C" w14:textId="77777777" w:rsidR="00DE44B5" w:rsidRPr="007B54FB" w:rsidRDefault="00DE44B5" w:rsidP="008C36BB">
            <w:pPr>
              <w:shd w:val="clear" w:color="auto" w:fill="FEC0F1" w:themeFill="accent4" w:themeFillTint="33"/>
              <w:spacing w:after="0" w:line="240" w:lineRule="auto"/>
              <w:rPr>
                <w:rFonts w:ascii="Calibri" w:eastAsia="Times New Roman" w:hAnsi="Calibri" w:cs="Calibri"/>
                <w:color w:val="000000"/>
                <w:lang w:eastAsia="en-AU"/>
              </w:rPr>
            </w:pPr>
            <w:r w:rsidRPr="007B54FB">
              <w:rPr>
                <w:rFonts w:ascii="Calibri" w:eastAsia="Times New Roman" w:hAnsi="Calibri" w:cs="Calibri"/>
                <w:color w:val="000000"/>
                <w:lang w:eastAsia="en-AU"/>
              </w:rPr>
              <w:t>3</w:t>
            </w:r>
          </w:p>
        </w:tc>
      </w:tr>
      <w:tr w:rsidR="00DE44B5" w:rsidRPr="007B54FB" w14:paraId="11E24959" w14:textId="77777777" w:rsidTr="00426B8A">
        <w:trPr>
          <w:trHeight w:val="454"/>
        </w:trPr>
        <w:tc>
          <w:tcPr>
            <w:tcW w:w="2906" w:type="pct"/>
            <w:tcBorders>
              <w:top w:val="nil"/>
              <w:left w:val="single" w:sz="4" w:space="0" w:color="auto"/>
              <w:bottom w:val="single" w:sz="4" w:space="0" w:color="auto"/>
              <w:right w:val="single" w:sz="4" w:space="0" w:color="auto"/>
            </w:tcBorders>
            <w:shd w:val="clear" w:color="auto" w:fill="auto"/>
            <w:noWrap/>
            <w:vAlign w:val="center"/>
            <w:hideMark/>
          </w:tcPr>
          <w:p w14:paraId="1EC16141" w14:textId="77777777" w:rsidR="00DE44B5" w:rsidRPr="007B54FB" w:rsidRDefault="00DE44B5" w:rsidP="008C36BB">
            <w:pPr>
              <w:shd w:val="clear" w:color="auto" w:fill="FEC0F1" w:themeFill="accent4" w:themeFillTint="33"/>
              <w:spacing w:after="0" w:line="240" w:lineRule="auto"/>
              <w:rPr>
                <w:rFonts w:ascii="Calibri" w:eastAsia="Times New Roman" w:hAnsi="Calibri" w:cs="Calibri"/>
                <w:color w:val="000000"/>
                <w:lang w:eastAsia="en-AU"/>
              </w:rPr>
            </w:pPr>
            <w:r w:rsidRPr="007B54FB">
              <w:rPr>
                <w:rFonts w:ascii="Calibri" w:eastAsia="Times New Roman" w:hAnsi="Calibri" w:cs="Calibri"/>
                <w:color w:val="000000"/>
                <w:lang w:eastAsia="en-AU"/>
              </w:rPr>
              <w:t>TOTAL</w:t>
            </w:r>
          </w:p>
        </w:tc>
        <w:tc>
          <w:tcPr>
            <w:tcW w:w="2094" w:type="pct"/>
            <w:tcBorders>
              <w:top w:val="nil"/>
              <w:left w:val="nil"/>
              <w:bottom w:val="single" w:sz="4" w:space="0" w:color="auto"/>
              <w:right w:val="single" w:sz="4" w:space="0" w:color="auto"/>
            </w:tcBorders>
            <w:shd w:val="clear" w:color="auto" w:fill="auto"/>
            <w:noWrap/>
            <w:vAlign w:val="center"/>
            <w:hideMark/>
          </w:tcPr>
          <w:p w14:paraId="7BBCB7C0" w14:textId="77777777" w:rsidR="00DE44B5" w:rsidRPr="007B54FB" w:rsidRDefault="00DE44B5" w:rsidP="008C36BB">
            <w:pPr>
              <w:shd w:val="clear" w:color="auto" w:fill="FEC0F1" w:themeFill="accent4" w:themeFillTint="33"/>
              <w:spacing w:after="0" w:line="240" w:lineRule="auto"/>
              <w:rPr>
                <w:rFonts w:ascii="Calibri" w:eastAsia="Times New Roman" w:hAnsi="Calibri" w:cs="Calibri"/>
                <w:color w:val="000000"/>
                <w:lang w:eastAsia="en-AU"/>
              </w:rPr>
            </w:pPr>
            <w:r w:rsidRPr="007B54FB">
              <w:rPr>
                <w:rFonts w:ascii="Calibri" w:eastAsia="Times New Roman" w:hAnsi="Calibri" w:cs="Calibri"/>
                <w:color w:val="000000"/>
                <w:lang w:eastAsia="en-AU"/>
              </w:rPr>
              <w:t>100</w:t>
            </w:r>
          </w:p>
        </w:tc>
      </w:tr>
    </w:tbl>
    <w:p w14:paraId="498387DA" w14:textId="77777777" w:rsidR="00DE44B5" w:rsidRDefault="00DE44B5" w:rsidP="00DF66CC">
      <w:pPr>
        <w:pStyle w:val="Caption"/>
        <w:keepNext/>
        <w:rPr>
          <w:b/>
          <w:bCs/>
          <w:i w:val="0"/>
          <w:iCs w:val="0"/>
          <w:color w:val="auto"/>
        </w:rPr>
      </w:pPr>
    </w:p>
    <w:p w14:paraId="77809DAE" w14:textId="06726AA1" w:rsidR="00707664" w:rsidRPr="00DF66CC" w:rsidRDefault="00DF66CC" w:rsidP="00DF66CC">
      <w:pPr>
        <w:pStyle w:val="Caption"/>
        <w:keepNext/>
        <w:rPr>
          <w:b/>
          <w:bCs/>
          <w:i w:val="0"/>
          <w:iCs w:val="0"/>
          <w:color w:val="auto"/>
          <w:highlight w:val="yellow"/>
        </w:rPr>
      </w:pPr>
      <w:r w:rsidRPr="00176864">
        <w:rPr>
          <w:b/>
          <w:bCs/>
          <w:i w:val="0"/>
          <w:iCs w:val="0"/>
          <w:color w:val="auto"/>
        </w:rPr>
        <w:t>Chart 12: Need for a third-party advisor to identify and facilitate collaboration with research sector</w:t>
      </w:r>
      <w:r>
        <w:rPr>
          <w:b/>
          <w:bCs/>
          <w:i w:val="0"/>
          <w:iCs w:val="0"/>
          <w:color w:val="auto"/>
        </w:rPr>
        <w:t>.</w:t>
      </w:r>
      <w:r w:rsidR="00DE44B5">
        <w:rPr>
          <w:b/>
          <w:bCs/>
          <w:i w:val="0"/>
          <w:iCs w:val="0"/>
          <w:color w:val="auto"/>
        </w:rPr>
        <w:t xml:space="preserve"> (Data table immediately follows.)</w:t>
      </w:r>
    </w:p>
    <w:p w14:paraId="762DCFBD" w14:textId="0C1FFEE2" w:rsidR="00273E91" w:rsidRDefault="00273E91" w:rsidP="009079DD">
      <w:pPr>
        <w:jc w:val="center"/>
      </w:pPr>
      <w:r>
        <w:rPr>
          <w:noProof/>
        </w:rPr>
        <w:drawing>
          <wp:inline distT="0" distB="0" distL="0" distR="0" wp14:anchorId="32C4A8A9" wp14:editId="1970BFF0">
            <wp:extent cx="5400000" cy="2880000"/>
            <wp:effectExtent l="0" t="0" r="0" b="0"/>
            <wp:docPr id="249" name="Chart 249" descr="Column chart showing businesses' survey responses to the statement that they have a need for a third-party advisor to identify and facilitate collaboration with the research sector. The most common responses were “Agree” (31.64%) and “Neutral” (25.66%).">
              <a:extLst xmlns:a="http://schemas.openxmlformats.org/drawingml/2006/main">
                <a:ext uri="{FF2B5EF4-FFF2-40B4-BE49-F238E27FC236}">
                  <a16:creationId xmlns:a16="http://schemas.microsoft.com/office/drawing/2014/main" id="{170A9089-69C6-4288-B80F-E7E621DD75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D30D0EB" w14:textId="77777777" w:rsidR="00DE44B5" w:rsidRDefault="009079DD" w:rsidP="00274AAA">
      <w:pPr>
        <w:jc w:val="center"/>
        <w:rPr>
          <w:sz w:val="18"/>
          <w:szCs w:val="18"/>
        </w:rPr>
      </w:pPr>
      <w:r w:rsidRPr="00975D29">
        <w:rPr>
          <w:sz w:val="18"/>
          <w:szCs w:val="18"/>
        </w:rPr>
        <w:t xml:space="preserve">Source: </w:t>
      </w:r>
      <w:r>
        <w:rPr>
          <w:sz w:val="18"/>
          <w:szCs w:val="18"/>
        </w:rPr>
        <w:t>O</w:t>
      </w:r>
      <w:r w:rsidRPr="00975D29">
        <w:rPr>
          <w:sz w:val="18"/>
          <w:szCs w:val="18"/>
        </w:rPr>
        <w:t xml:space="preserve">IISA </w:t>
      </w:r>
      <w:r>
        <w:rPr>
          <w:sz w:val="18"/>
          <w:szCs w:val="18"/>
        </w:rPr>
        <w:t xml:space="preserve">business survey </w:t>
      </w:r>
      <w:r w:rsidRPr="00975D29">
        <w:rPr>
          <w:sz w:val="18"/>
          <w:szCs w:val="18"/>
        </w:rPr>
        <w:t>data</w:t>
      </w:r>
      <w:r>
        <w:rPr>
          <w:sz w:val="18"/>
          <w:szCs w:val="18"/>
        </w:rPr>
        <w:t>,</w:t>
      </w:r>
      <w:r w:rsidRPr="00975D29">
        <w:rPr>
          <w:sz w:val="18"/>
          <w:szCs w:val="18"/>
        </w:rPr>
        <w:t xml:space="preserve"> </w:t>
      </w:r>
      <w:r>
        <w:rPr>
          <w:sz w:val="18"/>
          <w:szCs w:val="18"/>
        </w:rPr>
        <w:t>August 2023, unpublished.</w:t>
      </w:r>
      <w:bookmarkStart w:id="75" w:name="_Toc144944447"/>
      <w:bookmarkStart w:id="76" w:name="_Toc1405879807"/>
      <w:bookmarkStart w:id="77" w:name="_Toc145000218"/>
    </w:p>
    <w:p w14:paraId="5B85C382" w14:textId="4D39C429" w:rsidR="00DE44B5" w:rsidRDefault="00DE44B5" w:rsidP="00DE44B5">
      <w:pPr>
        <w:rPr>
          <w:b/>
          <w:bCs/>
        </w:rPr>
      </w:pPr>
      <w:r>
        <w:rPr>
          <w:b/>
          <w:bCs/>
        </w:rPr>
        <w:t xml:space="preserve">Chart 12 data table: </w:t>
      </w:r>
      <w:r w:rsidRPr="00176864">
        <w:rPr>
          <w:b/>
          <w:bCs/>
        </w:rPr>
        <w:t>Need for a third-party advisor to identify and facilitate collaboration with research sector</w:t>
      </w:r>
      <w:r>
        <w:rPr>
          <w:b/>
          <w:bCs/>
        </w:rPr>
        <w:t>. This data is depicted in a column chart above.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2662"/>
        <w:gridCol w:w="2662"/>
      </w:tblGrid>
      <w:tr w:rsidR="00DE44B5" w:rsidRPr="004A4B55" w14:paraId="515505FF" w14:textId="77777777" w:rsidTr="00426B8A">
        <w:trPr>
          <w:trHeight w:val="454"/>
        </w:trPr>
        <w:tc>
          <w:tcPr>
            <w:tcW w:w="2048" w:type="pct"/>
            <w:shd w:val="clear" w:color="auto" w:fill="E5E5FF"/>
            <w:noWrap/>
            <w:vAlign w:val="center"/>
            <w:hideMark/>
          </w:tcPr>
          <w:p w14:paraId="35AA2865" w14:textId="77777777" w:rsidR="00DE44B5" w:rsidRPr="004A4B55" w:rsidRDefault="00DE44B5" w:rsidP="008C36BB">
            <w:pPr>
              <w:shd w:val="clear" w:color="auto" w:fill="FEC0F1" w:themeFill="accent4" w:themeFillTint="33"/>
              <w:spacing w:after="0" w:line="240" w:lineRule="auto"/>
              <w:rPr>
                <w:rFonts w:ascii="Calibri" w:eastAsia="Times New Roman" w:hAnsi="Calibri" w:cs="Calibri"/>
                <w:b/>
                <w:bCs/>
                <w:color w:val="000000"/>
                <w:lang w:eastAsia="en-AU"/>
              </w:rPr>
            </w:pPr>
            <w:r w:rsidRPr="004A4B55">
              <w:rPr>
                <w:rFonts w:ascii="Calibri" w:eastAsia="Times New Roman" w:hAnsi="Calibri" w:cs="Calibri"/>
                <w:b/>
                <w:bCs/>
                <w:color w:val="000000"/>
                <w:lang w:eastAsia="en-AU"/>
              </w:rPr>
              <w:t>Response</w:t>
            </w:r>
          </w:p>
        </w:tc>
        <w:tc>
          <w:tcPr>
            <w:tcW w:w="1476" w:type="pct"/>
            <w:shd w:val="clear" w:color="auto" w:fill="E5E5FF"/>
            <w:noWrap/>
            <w:vAlign w:val="center"/>
            <w:hideMark/>
          </w:tcPr>
          <w:p w14:paraId="5BDC802F" w14:textId="77777777" w:rsidR="00DE44B5" w:rsidRPr="004A4B55" w:rsidRDefault="00DE44B5" w:rsidP="008C36BB">
            <w:pPr>
              <w:shd w:val="clear" w:color="auto" w:fill="FEC0F1" w:themeFill="accent4" w:themeFillTint="33"/>
              <w:spacing w:after="0" w:line="240" w:lineRule="auto"/>
              <w:rPr>
                <w:rFonts w:ascii="Calibri" w:eastAsia="Times New Roman" w:hAnsi="Calibri" w:cs="Calibri"/>
                <w:b/>
                <w:bCs/>
                <w:color w:val="000000"/>
                <w:lang w:eastAsia="en-AU"/>
              </w:rPr>
            </w:pPr>
            <w:r w:rsidRPr="004A4B55">
              <w:rPr>
                <w:rFonts w:ascii="Calibri" w:eastAsia="Times New Roman" w:hAnsi="Calibri" w:cs="Calibri"/>
                <w:b/>
                <w:bCs/>
                <w:color w:val="000000"/>
                <w:lang w:eastAsia="en-AU"/>
              </w:rPr>
              <w:t>Number of responses</w:t>
            </w:r>
          </w:p>
        </w:tc>
        <w:tc>
          <w:tcPr>
            <w:tcW w:w="1476" w:type="pct"/>
            <w:shd w:val="clear" w:color="auto" w:fill="E5E5FF"/>
            <w:noWrap/>
            <w:vAlign w:val="center"/>
            <w:hideMark/>
          </w:tcPr>
          <w:p w14:paraId="352E6E94" w14:textId="77777777" w:rsidR="00DE44B5" w:rsidRPr="004A4B55" w:rsidRDefault="00DE44B5" w:rsidP="008C36BB">
            <w:pPr>
              <w:shd w:val="clear" w:color="auto" w:fill="FEC0F1" w:themeFill="accent4" w:themeFillTint="33"/>
              <w:spacing w:after="0" w:line="240" w:lineRule="auto"/>
              <w:rPr>
                <w:rFonts w:ascii="Calibri" w:eastAsia="Times New Roman" w:hAnsi="Calibri" w:cs="Calibri"/>
                <w:b/>
                <w:bCs/>
                <w:color w:val="000000"/>
                <w:lang w:eastAsia="en-AU"/>
              </w:rPr>
            </w:pPr>
            <w:r w:rsidRPr="004A4B55">
              <w:rPr>
                <w:rFonts w:ascii="Calibri" w:eastAsia="Times New Roman" w:hAnsi="Calibri" w:cs="Calibri"/>
                <w:b/>
                <w:bCs/>
                <w:color w:val="000000"/>
                <w:lang w:eastAsia="en-AU"/>
              </w:rPr>
              <w:t>Percent of responses</w:t>
            </w:r>
          </w:p>
        </w:tc>
      </w:tr>
      <w:tr w:rsidR="00DE44B5" w:rsidRPr="004A4B55" w14:paraId="27FEF092" w14:textId="77777777" w:rsidTr="00426B8A">
        <w:trPr>
          <w:trHeight w:val="454"/>
        </w:trPr>
        <w:tc>
          <w:tcPr>
            <w:tcW w:w="2048" w:type="pct"/>
            <w:shd w:val="clear" w:color="auto" w:fill="auto"/>
            <w:noWrap/>
            <w:vAlign w:val="center"/>
            <w:hideMark/>
          </w:tcPr>
          <w:p w14:paraId="45D3E67F" w14:textId="77777777" w:rsidR="00DE44B5" w:rsidRPr="004A4B55" w:rsidRDefault="00DE44B5" w:rsidP="008C36BB">
            <w:pPr>
              <w:shd w:val="clear" w:color="auto" w:fill="FEC0F1" w:themeFill="accent4" w:themeFillTint="33"/>
              <w:spacing w:after="0" w:line="240" w:lineRule="auto"/>
              <w:rPr>
                <w:rFonts w:ascii="Calibri" w:eastAsia="Times New Roman" w:hAnsi="Calibri" w:cs="Calibri"/>
                <w:color w:val="000000"/>
                <w:lang w:eastAsia="en-AU"/>
              </w:rPr>
            </w:pPr>
            <w:r w:rsidRPr="004A4B55">
              <w:rPr>
                <w:rFonts w:ascii="Calibri" w:eastAsia="Times New Roman" w:hAnsi="Calibri" w:cs="Calibri"/>
                <w:color w:val="000000"/>
                <w:lang w:eastAsia="en-AU"/>
              </w:rPr>
              <w:t>Strongly agree</w:t>
            </w:r>
          </w:p>
        </w:tc>
        <w:tc>
          <w:tcPr>
            <w:tcW w:w="1476" w:type="pct"/>
            <w:shd w:val="clear" w:color="auto" w:fill="auto"/>
            <w:noWrap/>
            <w:vAlign w:val="center"/>
            <w:hideMark/>
          </w:tcPr>
          <w:p w14:paraId="6D3E6E53" w14:textId="77777777" w:rsidR="00DE44B5" w:rsidRPr="004A4B55" w:rsidRDefault="00DE44B5" w:rsidP="008C36BB">
            <w:pPr>
              <w:shd w:val="clear" w:color="auto" w:fill="FEC0F1" w:themeFill="accent4" w:themeFillTint="33"/>
              <w:spacing w:after="0" w:line="240" w:lineRule="auto"/>
              <w:jc w:val="right"/>
              <w:rPr>
                <w:rFonts w:ascii="Calibri" w:eastAsia="Times New Roman" w:hAnsi="Calibri" w:cs="Calibri"/>
                <w:color w:val="000000"/>
                <w:lang w:eastAsia="en-AU"/>
              </w:rPr>
            </w:pPr>
            <w:r w:rsidRPr="004A4B55">
              <w:rPr>
                <w:rFonts w:ascii="Calibri" w:eastAsia="Times New Roman" w:hAnsi="Calibri" w:cs="Calibri"/>
                <w:color w:val="000000"/>
                <w:lang w:eastAsia="en-AU"/>
              </w:rPr>
              <w:t>81</w:t>
            </w:r>
          </w:p>
        </w:tc>
        <w:tc>
          <w:tcPr>
            <w:tcW w:w="1476" w:type="pct"/>
            <w:shd w:val="clear" w:color="auto" w:fill="auto"/>
            <w:noWrap/>
            <w:vAlign w:val="center"/>
            <w:hideMark/>
          </w:tcPr>
          <w:p w14:paraId="0F1B5E57" w14:textId="77777777" w:rsidR="00DE44B5" w:rsidRPr="004A4B55" w:rsidRDefault="00DE44B5" w:rsidP="008C36BB">
            <w:pPr>
              <w:shd w:val="clear" w:color="auto" w:fill="FEC0F1" w:themeFill="accent4" w:themeFillTint="33"/>
              <w:spacing w:after="0" w:line="240" w:lineRule="auto"/>
              <w:jc w:val="right"/>
              <w:rPr>
                <w:rFonts w:ascii="Calibri" w:eastAsia="Times New Roman" w:hAnsi="Calibri" w:cs="Calibri"/>
                <w:color w:val="000000"/>
                <w:lang w:eastAsia="en-AU"/>
              </w:rPr>
            </w:pPr>
            <w:r w:rsidRPr="004A4B55">
              <w:rPr>
                <w:rFonts w:ascii="Calibri" w:eastAsia="Times New Roman" w:hAnsi="Calibri" w:cs="Calibri"/>
                <w:color w:val="000000"/>
                <w:lang w:eastAsia="en-AU"/>
              </w:rPr>
              <w:t>17.92%</w:t>
            </w:r>
          </w:p>
        </w:tc>
      </w:tr>
      <w:tr w:rsidR="00DE44B5" w:rsidRPr="004A4B55" w14:paraId="63037421" w14:textId="77777777" w:rsidTr="00426B8A">
        <w:trPr>
          <w:trHeight w:val="454"/>
        </w:trPr>
        <w:tc>
          <w:tcPr>
            <w:tcW w:w="2048" w:type="pct"/>
            <w:shd w:val="clear" w:color="auto" w:fill="auto"/>
            <w:noWrap/>
            <w:vAlign w:val="center"/>
            <w:hideMark/>
          </w:tcPr>
          <w:p w14:paraId="7A5FD705" w14:textId="77777777" w:rsidR="00DE44B5" w:rsidRPr="004A4B55" w:rsidRDefault="00DE44B5" w:rsidP="008C36BB">
            <w:pPr>
              <w:shd w:val="clear" w:color="auto" w:fill="FEC0F1" w:themeFill="accent4" w:themeFillTint="33"/>
              <w:spacing w:after="0" w:line="240" w:lineRule="auto"/>
              <w:rPr>
                <w:rFonts w:ascii="Calibri" w:eastAsia="Times New Roman" w:hAnsi="Calibri" w:cs="Calibri"/>
                <w:color w:val="000000"/>
                <w:lang w:eastAsia="en-AU"/>
              </w:rPr>
            </w:pPr>
            <w:r w:rsidRPr="004A4B55">
              <w:rPr>
                <w:rFonts w:ascii="Calibri" w:eastAsia="Times New Roman" w:hAnsi="Calibri" w:cs="Calibri"/>
                <w:color w:val="000000"/>
                <w:lang w:eastAsia="en-AU"/>
              </w:rPr>
              <w:t>Agree</w:t>
            </w:r>
          </w:p>
        </w:tc>
        <w:tc>
          <w:tcPr>
            <w:tcW w:w="1476" w:type="pct"/>
            <w:shd w:val="clear" w:color="auto" w:fill="auto"/>
            <w:noWrap/>
            <w:vAlign w:val="center"/>
            <w:hideMark/>
          </w:tcPr>
          <w:p w14:paraId="49C8CDAE" w14:textId="77777777" w:rsidR="00DE44B5" w:rsidRPr="004A4B55" w:rsidRDefault="00DE44B5" w:rsidP="008C36BB">
            <w:pPr>
              <w:shd w:val="clear" w:color="auto" w:fill="FEC0F1" w:themeFill="accent4" w:themeFillTint="33"/>
              <w:spacing w:after="0" w:line="240" w:lineRule="auto"/>
              <w:jc w:val="right"/>
              <w:rPr>
                <w:rFonts w:ascii="Calibri" w:eastAsia="Times New Roman" w:hAnsi="Calibri" w:cs="Calibri"/>
                <w:color w:val="000000"/>
                <w:lang w:eastAsia="en-AU"/>
              </w:rPr>
            </w:pPr>
            <w:r w:rsidRPr="004A4B55">
              <w:rPr>
                <w:rFonts w:ascii="Calibri" w:eastAsia="Times New Roman" w:hAnsi="Calibri" w:cs="Calibri"/>
                <w:color w:val="000000"/>
                <w:lang w:eastAsia="en-AU"/>
              </w:rPr>
              <w:t>143</w:t>
            </w:r>
          </w:p>
        </w:tc>
        <w:tc>
          <w:tcPr>
            <w:tcW w:w="1476" w:type="pct"/>
            <w:shd w:val="clear" w:color="auto" w:fill="auto"/>
            <w:noWrap/>
            <w:vAlign w:val="center"/>
            <w:hideMark/>
          </w:tcPr>
          <w:p w14:paraId="37877796" w14:textId="77777777" w:rsidR="00DE44B5" w:rsidRPr="004A4B55" w:rsidRDefault="00DE44B5" w:rsidP="008C36BB">
            <w:pPr>
              <w:shd w:val="clear" w:color="auto" w:fill="FEC0F1" w:themeFill="accent4" w:themeFillTint="33"/>
              <w:spacing w:after="0" w:line="240" w:lineRule="auto"/>
              <w:jc w:val="right"/>
              <w:rPr>
                <w:rFonts w:ascii="Calibri" w:eastAsia="Times New Roman" w:hAnsi="Calibri" w:cs="Calibri"/>
                <w:color w:val="000000"/>
                <w:lang w:eastAsia="en-AU"/>
              </w:rPr>
            </w:pPr>
            <w:r w:rsidRPr="004A4B55">
              <w:rPr>
                <w:rFonts w:ascii="Calibri" w:eastAsia="Times New Roman" w:hAnsi="Calibri" w:cs="Calibri"/>
                <w:color w:val="000000"/>
                <w:lang w:eastAsia="en-AU"/>
              </w:rPr>
              <w:t>31.64%</w:t>
            </w:r>
          </w:p>
        </w:tc>
      </w:tr>
      <w:tr w:rsidR="00DE44B5" w:rsidRPr="004A4B55" w14:paraId="0BF6233A" w14:textId="77777777" w:rsidTr="00426B8A">
        <w:trPr>
          <w:trHeight w:val="454"/>
        </w:trPr>
        <w:tc>
          <w:tcPr>
            <w:tcW w:w="2048" w:type="pct"/>
            <w:shd w:val="clear" w:color="auto" w:fill="auto"/>
            <w:noWrap/>
            <w:vAlign w:val="center"/>
            <w:hideMark/>
          </w:tcPr>
          <w:p w14:paraId="168B1080" w14:textId="77777777" w:rsidR="00DE44B5" w:rsidRPr="004A4B55" w:rsidRDefault="00DE44B5" w:rsidP="008C36BB">
            <w:pPr>
              <w:shd w:val="clear" w:color="auto" w:fill="FEC0F1" w:themeFill="accent4" w:themeFillTint="33"/>
              <w:spacing w:after="0" w:line="240" w:lineRule="auto"/>
              <w:rPr>
                <w:rFonts w:ascii="Calibri" w:eastAsia="Times New Roman" w:hAnsi="Calibri" w:cs="Calibri"/>
                <w:color w:val="000000"/>
                <w:lang w:eastAsia="en-AU"/>
              </w:rPr>
            </w:pPr>
            <w:r w:rsidRPr="004A4B55">
              <w:rPr>
                <w:rFonts w:ascii="Calibri" w:eastAsia="Times New Roman" w:hAnsi="Calibri" w:cs="Calibri"/>
                <w:color w:val="000000"/>
                <w:lang w:eastAsia="en-AU"/>
              </w:rPr>
              <w:t>Neutral</w:t>
            </w:r>
          </w:p>
        </w:tc>
        <w:tc>
          <w:tcPr>
            <w:tcW w:w="1476" w:type="pct"/>
            <w:shd w:val="clear" w:color="auto" w:fill="auto"/>
            <w:noWrap/>
            <w:vAlign w:val="center"/>
            <w:hideMark/>
          </w:tcPr>
          <w:p w14:paraId="7004B14C" w14:textId="77777777" w:rsidR="00DE44B5" w:rsidRPr="004A4B55" w:rsidRDefault="00DE44B5" w:rsidP="008C36BB">
            <w:pPr>
              <w:shd w:val="clear" w:color="auto" w:fill="FEC0F1" w:themeFill="accent4" w:themeFillTint="33"/>
              <w:spacing w:after="0" w:line="240" w:lineRule="auto"/>
              <w:jc w:val="right"/>
              <w:rPr>
                <w:rFonts w:ascii="Calibri" w:eastAsia="Times New Roman" w:hAnsi="Calibri" w:cs="Calibri"/>
                <w:color w:val="000000"/>
                <w:lang w:eastAsia="en-AU"/>
              </w:rPr>
            </w:pPr>
            <w:r w:rsidRPr="004A4B55">
              <w:rPr>
                <w:rFonts w:ascii="Calibri" w:eastAsia="Times New Roman" w:hAnsi="Calibri" w:cs="Calibri"/>
                <w:color w:val="000000"/>
                <w:lang w:eastAsia="en-AU"/>
              </w:rPr>
              <w:t>116</w:t>
            </w:r>
          </w:p>
        </w:tc>
        <w:tc>
          <w:tcPr>
            <w:tcW w:w="1476" w:type="pct"/>
            <w:shd w:val="clear" w:color="auto" w:fill="auto"/>
            <w:noWrap/>
            <w:vAlign w:val="center"/>
            <w:hideMark/>
          </w:tcPr>
          <w:p w14:paraId="7F12B6A7" w14:textId="77777777" w:rsidR="00DE44B5" w:rsidRPr="004A4B55" w:rsidRDefault="00DE44B5" w:rsidP="008C36BB">
            <w:pPr>
              <w:shd w:val="clear" w:color="auto" w:fill="FEC0F1" w:themeFill="accent4" w:themeFillTint="33"/>
              <w:spacing w:after="0" w:line="240" w:lineRule="auto"/>
              <w:jc w:val="right"/>
              <w:rPr>
                <w:rFonts w:ascii="Calibri" w:eastAsia="Times New Roman" w:hAnsi="Calibri" w:cs="Calibri"/>
                <w:color w:val="000000"/>
                <w:lang w:eastAsia="en-AU"/>
              </w:rPr>
            </w:pPr>
            <w:r w:rsidRPr="004A4B55">
              <w:rPr>
                <w:rFonts w:ascii="Calibri" w:eastAsia="Times New Roman" w:hAnsi="Calibri" w:cs="Calibri"/>
                <w:color w:val="000000"/>
                <w:lang w:eastAsia="en-AU"/>
              </w:rPr>
              <w:t>25.66%</w:t>
            </w:r>
          </w:p>
        </w:tc>
      </w:tr>
      <w:tr w:rsidR="00DE44B5" w:rsidRPr="004A4B55" w14:paraId="51F7EFD7" w14:textId="77777777" w:rsidTr="00426B8A">
        <w:trPr>
          <w:trHeight w:val="454"/>
        </w:trPr>
        <w:tc>
          <w:tcPr>
            <w:tcW w:w="2048" w:type="pct"/>
            <w:shd w:val="clear" w:color="auto" w:fill="auto"/>
            <w:noWrap/>
            <w:vAlign w:val="center"/>
            <w:hideMark/>
          </w:tcPr>
          <w:p w14:paraId="7CB2139A" w14:textId="77777777" w:rsidR="00DE44B5" w:rsidRPr="004A4B55" w:rsidRDefault="00DE44B5" w:rsidP="008C36BB">
            <w:pPr>
              <w:shd w:val="clear" w:color="auto" w:fill="FEC0F1" w:themeFill="accent4" w:themeFillTint="33"/>
              <w:spacing w:after="0" w:line="240" w:lineRule="auto"/>
              <w:rPr>
                <w:rFonts w:ascii="Calibri" w:eastAsia="Times New Roman" w:hAnsi="Calibri" w:cs="Calibri"/>
                <w:color w:val="000000"/>
                <w:lang w:eastAsia="en-AU"/>
              </w:rPr>
            </w:pPr>
            <w:r w:rsidRPr="004A4B55">
              <w:rPr>
                <w:rFonts w:ascii="Calibri" w:eastAsia="Times New Roman" w:hAnsi="Calibri" w:cs="Calibri"/>
                <w:color w:val="000000"/>
                <w:lang w:eastAsia="en-AU"/>
              </w:rPr>
              <w:t>Disagree</w:t>
            </w:r>
          </w:p>
        </w:tc>
        <w:tc>
          <w:tcPr>
            <w:tcW w:w="1476" w:type="pct"/>
            <w:shd w:val="clear" w:color="auto" w:fill="auto"/>
            <w:noWrap/>
            <w:vAlign w:val="center"/>
            <w:hideMark/>
          </w:tcPr>
          <w:p w14:paraId="56A6E93D" w14:textId="77777777" w:rsidR="00DE44B5" w:rsidRPr="004A4B55" w:rsidRDefault="00DE44B5" w:rsidP="008C36BB">
            <w:pPr>
              <w:shd w:val="clear" w:color="auto" w:fill="FEC0F1" w:themeFill="accent4" w:themeFillTint="33"/>
              <w:spacing w:after="0" w:line="240" w:lineRule="auto"/>
              <w:jc w:val="right"/>
              <w:rPr>
                <w:rFonts w:ascii="Calibri" w:eastAsia="Times New Roman" w:hAnsi="Calibri" w:cs="Calibri"/>
                <w:color w:val="000000"/>
                <w:lang w:eastAsia="en-AU"/>
              </w:rPr>
            </w:pPr>
            <w:r w:rsidRPr="004A4B55">
              <w:rPr>
                <w:rFonts w:ascii="Calibri" w:eastAsia="Times New Roman" w:hAnsi="Calibri" w:cs="Calibri"/>
                <w:color w:val="000000"/>
                <w:lang w:eastAsia="en-AU"/>
              </w:rPr>
              <w:t>78</w:t>
            </w:r>
          </w:p>
        </w:tc>
        <w:tc>
          <w:tcPr>
            <w:tcW w:w="1476" w:type="pct"/>
            <w:shd w:val="clear" w:color="auto" w:fill="auto"/>
            <w:noWrap/>
            <w:vAlign w:val="center"/>
            <w:hideMark/>
          </w:tcPr>
          <w:p w14:paraId="5C4EB162" w14:textId="77777777" w:rsidR="00DE44B5" w:rsidRPr="004A4B55" w:rsidRDefault="00DE44B5" w:rsidP="008C36BB">
            <w:pPr>
              <w:shd w:val="clear" w:color="auto" w:fill="FEC0F1" w:themeFill="accent4" w:themeFillTint="33"/>
              <w:spacing w:after="0" w:line="240" w:lineRule="auto"/>
              <w:jc w:val="right"/>
              <w:rPr>
                <w:rFonts w:ascii="Calibri" w:eastAsia="Times New Roman" w:hAnsi="Calibri" w:cs="Calibri"/>
                <w:color w:val="000000"/>
                <w:lang w:eastAsia="en-AU"/>
              </w:rPr>
            </w:pPr>
            <w:r w:rsidRPr="004A4B55">
              <w:rPr>
                <w:rFonts w:ascii="Calibri" w:eastAsia="Times New Roman" w:hAnsi="Calibri" w:cs="Calibri"/>
                <w:color w:val="000000"/>
                <w:lang w:eastAsia="en-AU"/>
              </w:rPr>
              <w:t>17.26%</w:t>
            </w:r>
          </w:p>
        </w:tc>
      </w:tr>
      <w:tr w:rsidR="00DE44B5" w:rsidRPr="004A4B55" w14:paraId="288F0A0B" w14:textId="77777777" w:rsidTr="00426B8A">
        <w:trPr>
          <w:trHeight w:val="454"/>
        </w:trPr>
        <w:tc>
          <w:tcPr>
            <w:tcW w:w="2048" w:type="pct"/>
            <w:shd w:val="clear" w:color="auto" w:fill="auto"/>
            <w:noWrap/>
            <w:vAlign w:val="center"/>
            <w:hideMark/>
          </w:tcPr>
          <w:p w14:paraId="2FB8F2E2" w14:textId="77777777" w:rsidR="00DE44B5" w:rsidRPr="004A4B55" w:rsidRDefault="00DE44B5" w:rsidP="008C36BB">
            <w:pPr>
              <w:shd w:val="clear" w:color="auto" w:fill="FEC0F1" w:themeFill="accent4" w:themeFillTint="33"/>
              <w:spacing w:after="0" w:line="240" w:lineRule="auto"/>
              <w:rPr>
                <w:rFonts w:ascii="Calibri" w:eastAsia="Times New Roman" w:hAnsi="Calibri" w:cs="Calibri"/>
                <w:color w:val="000000"/>
                <w:lang w:eastAsia="en-AU"/>
              </w:rPr>
            </w:pPr>
            <w:r w:rsidRPr="004A4B55">
              <w:rPr>
                <w:rFonts w:ascii="Calibri" w:eastAsia="Times New Roman" w:hAnsi="Calibri" w:cs="Calibri"/>
                <w:color w:val="000000"/>
                <w:lang w:eastAsia="en-AU"/>
              </w:rPr>
              <w:t>Strongly disagree</w:t>
            </w:r>
          </w:p>
        </w:tc>
        <w:tc>
          <w:tcPr>
            <w:tcW w:w="1476" w:type="pct"/>
            <w:shd w:val="clear" w:color="auto" w:fill="auto"/>
            <w:noWrap/>
            <w:vAlign w:val="center"/>
            <w:hideMark/>
          </w:tcPr>
          <w:p w14:paraId="654A9188" w14:textId="77777777" w:rsidR="00DE44B5" w:rsidRPr="004A4B55" w:rsidRDefault="00DE44B5" w:rsidP="008C36BB">
            <w:pPr>
              <w:shd w:val="clear" w:color="auto" w:fill="FEC0F1" w:themeFill="accent4" w:themeFillTint="33"/>
              <w:spacing w:after="0" w:line="240" w:lineRule="auto"/>
              <w:jc w:val="right"/>
              <w:rPr>
                <w:rFonts w:ascii="Calibri" w:eastAsia="Times New Roman" w:hAnsi="Calibri" w:cs="Calibri"/>
                <w:color w:val="000000"/>
                <w:lang w:eastAsia="en-AU"/>
              </w:rPr>
            </w:pPr>
            <w:r w:rsidRPr="004A4B55">
              <w:rPr>
                <w:rFonts w:ascii="Calibri" w:eastAsia="Times New Roman" w:hAnsi="Calibri" w:cs="Calibri"/>
                <w:color w:val="000000"/>
                <w:lang w:eastAsia="en-AU"/>
              </w:rPr>
              <w:t>34</w:t>
            </w:r>
          </w:p>
        </w:tc>
        <w:tc>
          <w:tcPr>
            <w:tcW w:w="1476" w:type="pct"/>
            <w:shd w:val="clear" w:color="auto" w:fill="auto"/>
            <w:noWrap/>
            <w:vAlign w:val="center"/>
            <w:hideMark/>
          </w:tcPr>
          <w:p w14:paraId="78BDE88B" w14:textId="77777777" w:rsidR="00DE44B5" w:rsidRPr="004A4B55" w:rsidRDefault="00DE44B5" w:rsidP="008C36BB">
            <w:pPr>
              <w:shd w:val="clear" w:color="auto" w:fill="FEC0F1" w:themeFill="accent4" w:themeFillTint="33"/>
              <w:spacing w:after="0" w:line="240" w:lineRule="auto"/>
              <w:jc w:val="right"/>
              <w:rPr>
                <w:rFonts w:ascii="Calibri" w:eastAsia="Times New Roman" w:hAnsi="Calibri" w:cs="Calibri"/>
                <w:color w:val="000000"/>
                <w:lang w:eastAsia="en-AU"/>
              </w:rPr>
            </w:pPr>
            <w:r w:rsidRPr="004A4B55">
              <w:rPr>
                <w:rFonts w:ascii="Calibri" w:eastAsia="Times New Roman" w:hAnsi="Calibri" w:cs="Calibri"/>
                <w:color w:val="000000"/>
                <w:lang w:eastAsia="en-AU"/>
              </w:rPr>
              <w:t>7.52%</w:t>
            </w:r>
          </w:p>
        </w:tc>
      </w:tr>
      <w:tr w:rsidR="00DE44B5" w:rsidRPr="004A4B55" w14:paraId="1DBDE770" w14:textId="77777777" w:rsidTr="00426B8A">
        <w:trPr>
          <w:trHeight w:val="454"/>
        </w:trPr>
        <w:tc>
          <w:tcPr>
            <w:tcW w:w="2048" w:type="pct"/>
            <w:shd w:val="clear" w:color="auto" w:fill="auto"/>
            <w:noWrap/>
            <w:vAlign w:val="center"/>
            <w:hideMark/>
          </w:tcPr>
          <w:p w14:paraId="1281110E" w14:textId="77777777" w:rsidR="00DE44B5" w:rsidRPr="004A4B55" w:rsidRDefault="00DE44B5" w:rsidP="008C36BB">
            <w:pPr>
              <w:shd w:val="clear" w:color="auto" w:fill="FEC0F1" w:themeFill="accent4" w:themeFillTint="33"/>
              <w:spacing w:after="0" w:line="240" w:lineRule="auto"/>
              <w:rPr>
                <w:rFonts w:ascii="Calibri" w:eastAsia="Times New Roman" w:hAnsi="Calibri" w:cs="Calibri"/>
                <w:color w:val="000000"/>
                <w:lang w:eastAsia="en-AU"/>
              </w:rPr>
            </w:pPr>
            <w:r w:rsidRPr="004A4B55">
              <w:rPr>
                <w:rFonts w:ascii="Calibri" w:eastAsia="Times New Roman" w:hAnsi="Calibri" w:cs="Calibri"/>
                <w:color w:val="000000"/>
                <w:lang w:eastAsia="en-AU"/>
              </w:rPr>
              <w:t>Grand Total</w:t>
            </w:r>
          </w:p>
        </w:tc>
        <w:tc>
          <w:tcPr>
            <w:tcW w:w="1476" w:type="pct"/>
            <w:shd w:val="clear" w:color="auto" w:fill="auto"/>
            <w:noWrap/>
            <w:vAlign w:val="center"/>
            <w:hideMark/>
          </w:tcPr>
          <w:p w14:paraId="7C77FD61" w14:textId="77777777" w:rsidR="00DE44B5" w:rsidRPr="004A4B55" w:rsidRDefault="00DE44B5" w:rsidP="008C36BB">
            <w:pPr>
              <w:shd w:val="clear" w:color="auto" w:fill="FEC0F1" w:themeFill="accent4" w:themeFillTint="33"/>
              <w:spacing w:after="0" w:line="240" w:lineRule="auto"/>
              <w:jc w:val="right"/>
              <w:rPr>
                <w:rFonts w:ascii="Calibri" w:eastAsia="Times New Roman" w:hAnsi="Calibri" w:cs="Calibri"/>
                <w:color w:val="000000"/>
                <w:lang w:eastAsia="en-AU"/>
              </w:rPr>
            </w:pPr>
            <w:r w:rsidRPr="004A4B55">
              <w:rPr>
                <w:rFonts w:ascii="Calibri" w:eastAsia="Times New Roman" w:hAnsi="Calibri" w:cs="Calibri"/>
                <w:color w:val="000000"/>
                <w:lang w:eastAsia="en-AU"/>
              </w:rPr>
              <w:t>452</w:t>
            </w:r>
          </w:p>
        </w:tc>
        <w:tc>
          <w:tcPr>
            <w:tcW w:w="1476" w:type="pct"/>
            <w:shd w:val="clear" w:color="auto" w:fill="auto"/>
            <w:noWrap/>
            <w:vAlign w:val="center"/>
            <w:hideMark/>
          </w:tcPr>
          <w:p w14:paraId="22407464" w14:textId="77777777" w:rsidR="00DE44B5" w:rsidRPr="004A4B55" w:rsidRDefault="00DE44B5" w:rsidP="008C36BB">
            <w:pPr>
              <w:shd w:val="clear" w:color="auto" w:fill="FEC0F1" w:themeFill="accent4" w:themeFillTint="33"/>
              <w:spacing w:after="0" w:line="240" w:lineRule="auto"/>
              <w:jc w:val="right"/>
              <w:rPr>
                <w:rFonts w:ascii="Calibri" w:eastAsia="Times New Roman" w:hAnsi="Calibri" w:cs="Calibri"/>
                <w:color w:val="000000"/>
                <w:lang w:eastAsia="en-AU"/>
              </w:rPr>
            </w:pPr>
            <w:r w:rsidRPr="004A4B55">
              <w:rPr>
                <w:rFonts w:ascii="Calibri" w:eastAsia="Times New Roman" w:hAnsi="Calibri" w:cs="Calibri"/>
                <w:color w:val="000000"/>
                <w:lang w:eastAsia="en-AU"/>
              </w:rPr>
              <w:t>100.00%</w:t>
            </w:r>
          </w:p>
        </w:tc>
      </w:tr>
    </w:tbl>
    <w:p w14:paraId="5289CFA9" w14:textId="238FB7AA" w:rsidR="00176864" w:rsidRDefault="00176864" w:rsidP="00DE44B5">
      <w:pPr>
        <w:rPr>
          <w:rFonts w:asciiTheme="majorHAnsi" w:eastAsia="Meiryo" w:hAnsiTheme="majorHAnsi" w:cstheme="majorBidi"/>
          <w:color w:val="00B4FF"/>
          <w:sz w:val="32"/>
          <w:szCs w:val="40"/>
        </w:rPr>
      </w:pPr>
      <w:r>
        <w:br w:type="page"/>
      </w:r>
    </w:p>
    <w:p w14:paraId="2BAF821F" w14:textId="15549096" w:rsidR="00A83633" w:rsidRPr="00D53494" w:rsidRDefault="00596DF0" w:rsidP="00F6694F">
      <w:pPr>
        <w:pStyle w:val="Heading3"/>
      </w:pPr>
      <w:bookmarkStart w:id="78" w:name="_Toc152165430"/>
      <w:r>
        <w:t>M</w:t>
      </w:r>
      <w:r w:rsidR="00A83633" w:rsidRPr="09F0E515">
        <w:t>easuring the things that matter</w:t>
      </w:r>
      <w:bookmarkEnd w:id="75"/>
      <w:bookmarkEnd w:id="76"/>
      <w:bookmarkEnd w:id="77"/>
      <w:bookmarkEnd w:id="78"/>
      <w:r w:rsidR="00A83633" w:rsidRPr="09F0E515">
        <w:t xml:space="preserve"> </w:t>
      </w:r>
    </w:p>
    <w:p w14:paraId="071FB98E" w14:textId="3A89795F" w:rsidR="00A83633" w:rsidRPr="00E257D0" w:rsidRDefault="00A83633" w:rsidP="00E257D0">
      <w:r w:rsidRPr="00E257D0">
        <w:t xml:space="preserve">The framework for measuring commercialisation outcomes is flawed and is not measuring the things that matter to achieve the </w:t>
      </w:r>
      <w:r w:rsidR="00B5091D" w:rsidRPr="00E257D0">
        <w:t>outcomes</w:t>
      </w:r>
      <w:r w:rsidRPr="00E257D0">
        <w:t xml:space="preserve"> of commercialisation. The definition of commercialisation appears to have been stretched and distorted, and various definitions are applied according to the party involved in the process.</w:t>
      </w:r>
    </w:p>
    <w:p w14:paraId="671E2B57" w14:textId="33676807" w:rsidR="00A83633" w:rsidRPr="00A83633" w:rsidRDefault="00A83633" w:rsidP="00A83633">
      <w:pPr>
        <w:rPr>
          <w:rFonts w:ascii="Calibri" w:eastAsia="Calibri" w:hAnsi="Calibri" w:cs="Times New Roman"/>
        </w:rPr>
      </w:pPr>
      <w:r w:rsidRPr="00A83633">
        <w:rPr>
          <w:rFonts w:ascii="Calibri" w:eastAsia="Calibri" w:hAnsi="Calibri" w:cs="Times New Roman"/>
        </w:rPr>
        <w:t xml:space="preserve">Commercialisation outcomes appear differently for the actors in the innovation ecosystem – research, </w:t>
      </w:r>
      <w:proofErr w:type="gramStart"/>
      <w:r w:rsidRPr="00A83633">
        <w:rPr>
          <w:rFonts w:ascii="Calibri" w:eastAsia="Calibri" w:hAnsi="Calibri" w:cs="Times New Roman"/>
        </w:rPr>
        <w:t>industry</w:t>
      </w:r>
      <w:proofErr w:type="gramEnd"/>
      <w:r w:rsidRPr="00A83633">
        <w:rPr>
          <w:rFonts w:ascii="Calibri" w:eastAsia="Calibri" w:hAnsi="Calibri" w:cs="Times New Roman"/>
        </w:rPr>
        <w:t xml:space="preserve"> and government. For example, licencing intellectual property is considered commercialisation by the research sector, whilst business would define commercialisation as taking a new or improved product, service or process based on that intellectual property to market. Governments also measure, </w:t>
      </w:r>
      <w:proofErr w:type="gramStart"/>
      <w:r w:rsidRPr="00A83633">
        <w:rPr>
          <w:rFonts w:ascii="Calibri" w:eastAsia="Calibri" w:hAnsi="Calibri" w:cs="Times New Roman"/>
        </w:rPr>
        <w:t>value</w:t>
      </w:r>
      <w:proofErr w:type="gramEnd"/>
      <w:r w:rsidRPr="00A83633">
        <w:rPr>
          <w:rFonts w:ascii="Calibri" w:eastAsia="Calibri" w:hAnsi="Calibri" w:cs="Times New Roman"/>
        </w:rPr>
        <w:t xml:space="preserve"> and drive different yet complementary commercialisation outcomes, serving the complexity and diversity of actors in the innovation ecosystem and wider community expectations of government, research and businesses to innovate. The introduction of </w:t>
      </w:r>
      <w:r w:rsidR="00835CF4">
        <w:rPr>
          <w:rFonts w:ascii="Calibri" w:eastAsia="Calibri" w:hAnsi="Calibri" w:cs="Times New Roman"/>
        </w:rPr>
        <w:t xml:space="preserve">a </w:t>
      </w:r>
      <w:r w:rsidRPr="00A83633">
        <w:rPr>
          <w:rFonts w:ascii="Calibri" w:eastAsia="Calibri" w:hAnsi="Calibri" w:cs="Times New Roman"/>
        </w:rPr>
        <w:t xml:space="preserve">Universities Accord, </w:t>
      </w:r>
      <w:r w:rsidR="00835CF4">
        <w:rPr>
          <w:rFonts w:ascii="Calibri" w:eastAsia="Calibri" w:hAnsi="Calibri" w:cs="Times New Roman"/>
        </w:rPr>
        <w:t xml:space="preserve">the </w:t>
      </w:r>
      <w:r w:rsidRPr="00A83633">
        <w:rPr>
          <w:rFonts w:ascii="Calibri" w:eastAsia="Calibri" w:hAnsi="Calibri" w:cs="Times New Roman"/>
        </w:rPr>
        <w:t xml:space="preserve">National Reconstruction Fund and </w:t>
      </w:r>
      <w:r w:rsidR="00835CF4">
        <w:rPr>
          <w:rFonts w:ascii="Calibri" w:eastAsia="Calibri" w:hAnsi="Calibri" w:cs="Times New Roman"/>
        </w:rPr>
        <w:t xml:space="preserve">the </w:t>
      </w:r>
      <w:r w:rsidRPr="00A83633">
        <w:rPr>
          <w:rFonts w:ascii="Calibri" w:eastAsia="Calibri" w:hAnsi="Calibri" w:cs="Times New Roman"/>
        </w:rPr>
        <w:t>Industry Growth Program present an opportunity to reset national commercialisation outcome metrics and methodology through the lens of industrial transformation and growth of sovereign capabilities.</w:t>
      </w:r>
    </w:p>
    <w:p w14:paraId="0B718FA3" w14:textId="77777777" w:rsidR="00A83633" w:rsidRPr="00D53494" w:rsidRDefault="00A83633" w:rsidP="00343FE6">
      <w:r w:rsidRPr="00D53494">
        <w:t>Better coordination of the measurement of commercialisation outcomes is required. The starting point should be measuring the growth in industry revenue. Commercialisation outcomes don’t end at the licence, option, assignment, start-up or spin-out of intellectual property (existing approach to reporting outcomes). Public investments in research must more visibly realise industrial transformation, business competitiveness and growth, sovereign capability, productivity and higher value jobs in industry, alongside equally important improved health, environmental and social outcomes for Australians.</w:t>
      </w:r>
    </w:p>
    <w:p w14:paraId="7CB8EF23" w14:textId="4BFF8EDE" w:rsidR="00A83633" w:rsidRPr="00D53494" w:rsidRDefault="00A83633" w:rsidP="00343FE6">
      <w:pPr>
        <w:spacing w:after="120"/>
      </w:pPr>
      <w:r w:rsidRPr="00636D76">
        <w:rPr>
          <w:rFonts w:ascii="Calibri" w:eastAsia="Calibri" w:hAnsi="Calibri" w:cs="Times New Roman"/>
        </w:rPr>
        <w:t>The commercialisation policy narrative over recent decades has focussed on improving our performance on international benchmarking indices such as</w:t>
      </w:r>
      <w:r w:rsidR="00144EE9">
        <w:rPr>
          <w:rFonts w:ascii="Calibri" w:eastAsia="Calibri" w:hAnsi="Calibri" w:cs="Times New Roman"/>
        </w:rPr>
        <w:t xml:space="preserve"> the</w:t>
      </w:r>
      <w:r w:rsidR="00144EE9" w:rsidRPr="00144EE9">
        <w:t xml:space="preserve"> </w:t>
      </w:r>
      <w:r w:rsidR="00CA03ED">
        <w:rPr>
          <w:rFonts w:ascii="Calibri" w:eastAsia="Calibri" w:hAnsi="Calibri" w:cs="Times New Roman"/>
        </w:rPr>
        <w:t>World Intellectual Property Organization</w:t>
      </w:r>
      <w:r w:rsidR="00CA03ED" w:rsidRPr="00144EE9">
        <w:rPr>
          <w:rFonts w:ascii="Calibri" w:eastAsia="Calibri" w:hAnsi="Calibri" w:cs="Times New Roman"/>
        </w:rPr>
        <w:t xml:space="preserve"> </w:t>
      </w:r>
      <w:r w:rsidR="00144EE9" w:rsidRPr="00144EE9">
        <w:rPr>
          <w:rFonts w:ascii="Calibri" w:eastAsia="Calibri" w:hAnsi="Calibri" w:cs="Times New Roman"/>
        </w:rPr>
        <w:t>Global Innovation Index</w:t>
      </w:r>
      <w:r w:rsidR="006852FF">
        <w:rPr>
          <w:rFonts w:ascii="Calibri" w:eastAsia="Calibri" w:hAnsi="Calibri" w:cs="Times New Roman"/>
        </w:rPr>
        <w:t>.</w:t>
      </w:r>
      <w:r w:rsidR="006852FF">
        <w:rPr>
          <w:rStyle w:val="FootnoteReference"/>
          <w:rFonts w:ascii="Calibri" w:eastAsia="Calibri" w:hAnsi="Calibri" w:cs="Times New Roman"/>
        </w:rPr>
        <w:footnoteReference w:id="50"/>
      </w:r>
      <w:r w:rsidR="006852FF">
        <w:rPr>
          <w:rFonts w:ascii="Calibri" w:eastAsia="Calibri" w:hAnsi="Calibri" w:cs="Times New Roman"/>
        </w:rPr>
        <w:t xml:space="preserve"> </w:t>
      </w:r>
      <w:r w:rsidRPr="00636D76">
        <w:rPr>
          <w:rFonts w:ascii="Calibri" w:eastAsia="Calibri" w:hAnsi="Calibri" w:cs="Times New Roman"/>
        </w:rPr>
        <w:t>It is our view that this is a flawed approach.</w:t>
      </w:r>
      <w:r w:rsidR="006B3A26">
        <w:rPr>
          <w:rFonts w:ascii="Calibri" w:eastAsia="Calibri" w:hAnsi="Calibri" w:cs="Times New Roman"/>
        </w:rPr>
        <w:t xml:space="preserve"> </w:t>
      </w:r>
      <w:r w:rsidRPr="00D53494">
        <w:t xml:space="preserve">Australian policy may better serve and benefit more Australians by refocussing on outcomes particular to transforming and lifting the competitiveness of our industries and businesses, instead of chasing international benchmarking metrics. </w:t>
      </w:r>
    </w:p>
    <w:p w14:paraId="5DBAFB83" w14:textId="3A57F019" w:rsidR="00A83633" w:rsidRPr="00A83633" w:rsidRDefault="00A83633" w:rsidP="00A83633">
      <w:pPr>
        <w:spacing w:after="120"/>
        <w:rPr>
          <w:rFonts w:ascii="Calibri" w:eastAsia="Calibri" w:hAnsi="Calibri" w:cs="Times New Roman"/>
          <w:b/>
          <w:i/>
        </w:rPr>
      </w:pPr>
      <w:r w:rsidRPr="00A83633">
        <w:rPr>
          <w:rFonts w:ascii="Calibri" w:eastAsia="Calibri" w:hAnsi="Calibri" w:cs="Times New Roman"/>
          <w:bCs/>
          <w:iCs/>
        </w:rPr>
        <w:t xml:space="preserve">While there is an agreed </w:t>
      </w:r>
      <w:r w:rsidR="006A7A0C" w:rsidRPr="006A7A0C">
        <w:rPr>
          <w:rFonts w:ascii="Calibri" w:eastAsia="Calibri" w:hAnsi="Calibri" w:cs="Times New Roman"/>
          <w:bCs/>
          <w:iCs/>
        </w:rPr>
        <w:t>Organization for Economic Cooperation and Development</w:t>
      </w:r>
      <w:r w:rsidR="006A7A0C">
        <w:rPr>
          <w:rFonts w:ascii="Calibri" w:eastAsia="Calibri" w:hAnsi="Calibri" w:cs="Times New Roman"/>
          <w:bCs/>
          <w:iCs/>
        </w:rPr>
        <w:t xml:space="preserve"> (</w:t>
      </w:r>
      <w:r w:rsidRPr="00A83633">
        <w:rPr>
          <w:rFonts w:ascii="Calibri" w:eastAsia="Calibri" w:hAnsi="Calibri" w:cs="Times New Roman"/>
          <w:bCs/>
          <w:iCs/>
        </w:rPr>
        <w:t>OECD</w:t>
      </w:r>
      <w:r w:rsidR="006A7A0C">
        <w:rPr>
          <w:rFonts w:ascii="Calibri" w:eastAsia="Calibri" w:hAnsi="Calibri" w:cs="Times New Roman"/>
          <w:bCs/>
          <w:iCs/>
        </w:rPr>
        <w:t>)</w:t>
      </w:r>
      <w:r w:rsidRPr="00A83633">
        <w:rPr>
          <w:rFonts w:ascii="Calibri" w:eastAsia="Calibri" w:hAnsi="Calibri" w:cs="Times New Roman"/>
          <w:bCs/>
          <w:iCs/>
        </w:rPr>
        <w:t xml:space="preserve"> definition of </w:t>
      </w:r>
      <w:r w:rsidR="00B22B9B">
        <w:rPr>
          <w:rFonts w:ascii="Calibri" w:eastAsia="Calibri" w:hAnsi="Calibri" w:cs="Times New Roman"/>
          <w:bCs/>
          <w:iCs/>
        </w:rPr>
        <w:t>“</w:t>
      </w:r>
      <w:r w:rsidRPr="00A83633">
        <w:rPr>
          <w:rFonts w:ascii="Calibri" w:eastAsia="Calibri" w:hAnsi="Calibri" w:cs="Times New Roman"/>
          <w:bCs/>
          <w:iCs/>
        </w:rPr>
        <w:t>collaboration</w:t>
      </w:r>
      <w:r w:rsidR="00B22B9B">
        <w:rPr>
          <w:rFonts w:ascii="Calibri" w:eastAsia="Calibri" w:hAnsi="Calibri" w:cs="Times New Roman"/>
          <w:bCs/>
          <w:iCs/>
        </w:rPr>
        <w:t>”</w:t>
      </w:r>
      <w:r w:rsidR="00D6417E">
        <w:rPr>
          <w:rFonts w:ascii="Calibri" w:eastAsia="Calibri" w:hAnsi="Calibri" w:cs="Times New Roman"/>
          <w:bCs/>
          <w:iCs/>
        </w:rPr>
        <w:t>,</w:t>
      </w:r>
      <w:r w:rsidRPr="00A83633">
        <w:rPr>
          <w:rFonts w:ascii="Calibri" w:eastAsia="Calibri" w:hAnsi="Calibri" w:cs="Times New Roman"/>
          <w:bCs/>
          <w:iCs/>
        </w:rPr>
        <w:t xml:space="preserve"> there is no agreed international definition of </w:t>
      </w:r>
      <w:r w:rsidR="00B22B9B">
        <w:rPr>
          <w:rFonts w:ascii="Calibri" w:eastAsia="Calibri" w:hAnsi="Calibri" w:cs="Times New Roman"/>
          <w:bCs/>
          <w:iCs/>
        </w:rPr>
        <w:t>“</w:t>
      </w:r>
      <w:r w:rsidRPr="00A83633">
        <w:rPr>
          <w:rFonts w:ascii="Calibri" w:eastAsia="Calibri" w:hAnsi="Calibri" w:cs="Times New Roman"/>
          <w:bCs/>
          <w:iCs/>
        </w:rPr>
        <w:t>commercialisation</w:t>
      </w:r>
      <w:r w:rsidR="00B22B9B">
        <w:rPr>
          <w:rFonts w:ascii="Calibri" w:eastAsia="Calibri" w:hAnsi="Calibri" w:cs="Times New Roman"/>
          <w:bCs/>
          <w:iCs/>
        </w:rPr>
        <w:t>”</w:t>
      </w:r>
      <w:r w:rsidRPr="00A83633">
        <w:rPr>
          <w:rFonts w:ascii="Calibri" w:eastAsia="Calibri" w:hAnsi="Calibri" w:cs="Times New Roman"/>
          <w:bCs/>
          <w:iCs/>
        </w:rPr>
        <w:t xml:space="preserve"> to collect and benchmark Australia’s performance. </w:t>
      </w:r>
      <w:r w:rsidR="00204CB6">
        <w:rPr>
          <w:rFonts w:ascii="Calibri" w:eastAsia="Calibri" w:hAnsi="Calibri" w:cs="Times New Roman"/>
          <w:bCs/>
          <w:iCs/>
        </w:rPr>
        <w:t xml:space="preserve">Benchmarking data </w:t>
      </w:r>
      <w:r w:rsidRPr="00A83633">
        <w:rPr>
          <w:rFonts w:ascii="Calibri" w:eastAsia="Calibri" w:hAnsi="Calibri" w:cs="Times New Roman"/>
          <w:bCs/>
          <w:iCs/>
        </w:rPr>
        <w:t xml:space="preserve">for Australia is </w:t>
      </w:r>
      <w:r w:rsidR="00204CB6">
        <w:rPr>
          <w:rFonts w:ascii="Calibri" w:eastAsia="Calibri" w:hAnsi="Calibri" w:cs="Times New Roman"/>
          <w:bCs/>
          <w:iCs/>
        </w:rPr>
        <w:t xml:space="preserve">also </w:t>
      </w:r>
      <w:r w:rsidRPr="00A83633">
        <w:rPr>
          <w:rFonts w:ascii="Calibri" w:eastAsia="Calibri" w:hAnsi="Calibri" w:cs="Times New Roman"/>
          <w:bCs/>
          <w:iCs/>
        </w:rPr>
        <w:t>outdated or missing</w:t>
      </w:r>
      <w:r w:rsidR="00204CB6">
        <w:rPr>
          <w:rFonts w:ascii="Calibri" w:eastAsia="Calibri" w:hAnsi="Calibri" w:cs="Times New Roman"/>
          <w:bCs/>
          <w:iCs/>
        </w:rPr>
        <w:t>/not available</w:t>
      </w:r>
      <w:r w:rsidRPr="00A83633">
        <w:rPr>
          <w:rFonts w:ascii="Calibri" w:eastAsia="Calibri" w:hAnsi="Calibri" w:cs="Times New Roman"/>
          <w:bCs/>
          <w:iCs/>
        </w:rPr>
        <w:t>. Inputs</w:t>
      </w:r>
      <w:r w:rsidR="00204CB6">
        <w:rPr>
          <w:rFonts w:ascii="Calibri" w:eastAsia="Calibri" w:hAnsi="Calibri" w:cs="Times New Roman"/>
          <w:bCs/>
          <w:iCs/>
        </w:rPr>
        <w:t xml:space="preserve"> </w:t>
      </w:r>
      <w:r w:rsidRPr="00A83633">
        <w:rPr>
          <w:rFonts w:ascii="Calibri" w:eastAsia="Calibri" w:hAnsi="Calibri" w:cs="Times New Roman"/>
          <w:bCs/>
          <w:iCs/>
        </w:rPr>
        <w:t>to innovation</w:t>
      </w:r>
      <w:r w:rsidR="00204CB6">
        <w:rPr>
          <w:rFonts w:ascii="Calibri" w:eastAsia="Calibri" w:hAnsi="Calibri" w:cs="Times New Roman"/>
          <w:bCs/>
          <w:iCs/>
        </w:rPr>
        <w:t>, including collaboration,</w:t>
      </w:r>
      <w:r w:rsidRPr="00A83633">
        <w:rPr>
          <w:rFonts w:ascii="Calibri" w:eastAsia="Calibri" w:hAnsi="Calibri" w:cs="Times New Roman"/>
          <w:bCs/>
          <w:iCs/>
        </w:rPr>
        <w:t xml:space="preserve"> are more robustly defined, </w:t>
      </w:r>
      <w:proofErr w:type="gramStart"/>
      <w:r w:rsidRPr="00A83633">
        <w:rPr>
          <w:rFonts w:ascii="Calibri" w:eastAsia="Calibri" w:hAnsi="Calibri" w:cs="Times New Roman"/>
          <w:bCs/>
          <w:iCs/>
        </w:rPr>
        <w:t>collected</w:t>
      </w:r>
      <w:proofErr w:type="gramEnd"/>
      <w:r w:rsidRPr="00A83633">
        <w:rPr>
          <w:rFonts w:ascii="Calibri" w:eastAsia="Calibri" w:hAnsi="Calibri" w:cs="Times New Roman"/>
          <w:bCs/>
          <w:iCs/>
        </w:rPr>
        <w:t xml:space="preserve"> and benchmarked than the outputs and outcomes of innovation (including commercialisation). Further,</w:t>
      </w:r>
      <w:r w:rsidRPr="00A83633">
        <w:rPr>
          <w:rFonts w:ascii="Calibri" w:eastAsia="Calibri" w:hAnsi="Calibri" w:cs="Times New Roman"/>
          <w:bCs/>
          <w:i/>
        </w:rPr>
        <w:t xml:space="preserve"> </w:t>
      </w:r>
      <w:r w:rsidRPr="00A83633">
        <w:rPr>
          <w:rFonts w:ascii="Calibri" w:eastAsia="Calibri" w:hAnsi="Calibri" w:cs="Times New Roman"/>
        </w:rPr>
        <w:t>in standardising data to make countries comparable, Australian data undergoes considerable change</w:t>
      </w:r>
      <w:r w:rsidR="001E24BF">
        <w:rPr>
          <w:rFonts w:ascii="Calibri" w:eastAsia="Calibri" w:hAnsi="Calibri" w:cs="Times New Roman"/>
        </w:rPr>
        <w:t>,</w:t>
      </w:r>
      <w:r w:rsidRPr="00A83633">
        <w:rPr>
          <w:rFonts w:ascii="Calibri" w:eastAsia="Calibri" w:hAnsi="Calibri" w:cs="Times New Roman"/>
        </w:rPr>
        <w:t xml:space="preserve"> distorting Australian </w:t>
      </w:r>
      <w:r w:rsidR="000B7C7A">
        <w:rPr>
          <w:rFonts w:ascii="Calibri" w:eastAsia="Calibri" w:hAnsi="Calibri" w:cs="Times New Roman"/>
        </w:rPr>
        <w:t>industry</w:t>
      </w:r>
      <w:r w:rsidR="000B7C7A" w:rsidRPr="00A83633">
        <w:rPr>
          <w:rFonts w:ascii="Calibri" w:eastAsia="Calibri" w:hAnsi="Calibri" w:cs="Times New Roman"/>
        </w:rPr>
        <w:t xml:space="preserve"> </w:t>
      </w:r>
      <w:r w:rsidRPr="00A83633">
        <w:rPr>
          <w:rFonts w:ascii="Calibri" w:eastAsia="Calibri" w:hAnsi="Calibri" w:cs="Times New Roman"/>
        </w:rPr>
        <w:t>structure and making comparisons less relevant.</w:t>
      </w:r>
    </w:p>
    <w:p w14:paraId="07C6B57A" w14:textId="77777777" w:rsidR="00176864" w:rsidRDefault="00176864">
      <w:pPr>
        <w:rPr>
          <w:rFonts w:ascii="Calibri" w:eastAsia="Calibri" w:hAnsi="Calibri" w:cs="Times New Roman"/>
        </w:rPr>
      </w:pPr>
      <w:r>
        <w:rPr>
          <w:rFonts w:ascii="Calibri" w:eastAsia="Calibri" w:hAnsi="Calibri" w:cs="Times New Roman"/>
        </w:rPr>
        <w:br w:type="page"/>
      </w:r>
    </w:p>
    <w:p w14:paraId="694FBCB6" w14:textId="4B566053" w:rsidR="00A83633" w:rsidRDefault="00A83633" w:rsidP="00343FE6">
      <w:r w:rsidRPr="00636D76">
        <w:rPr>
          <w:rFonts w:ascii="Calibri" w:eastAsia="Calibri" w:hAnsi="Calibri" w:cs="Times New Roman"/>
        </w:rPr>
        <w:t xml:space="preserve">Our consultation and observation of submissions to the Universities Accord indicate </w:t>
      </w:r>
      <w:r w:rsidR="002258C3">
        <w:rPr>
          <w:rFonts w:ascii="Calibri" w:eastAsia="Calibri" w:hAnsi="Calibri" w:cs="Times New Roman"/>
        </w:rPr>
        <w:t xml:space="preserve">a </w:t>
      </w:r>
      <w:r w:rsidRPr="00636D76">
        <w:rPr>
          <w:rFonts w:ascii="Calibri" w:eastAsia="Calibri" w:hAnsi="Calibri" w:cs="Times New Roman"/>
        </w:rPr>
        <w:t xml:space="preserve">desire to </w:t>
      </w:r>
      <w:r w:rsidR="002258C3">
        <w:rPr>
          <w:rFonts w:ascii="Calibri" w:eastAsia="Calibri" w:hAnsi="Calibri" w:cs="Times New Roman"/>
        </w:rPr>
        <w:t xml:space="preserve">supplement or </w:t>
      </w:r>
      <w:r w:rsidRPr="00636D76">
        <w:rPr>
          <w:rFonts w:ascii="Calibri" w:eastAsia="Calibri" w:hAnsi="Calibri" w:cs="Times New Roman"/>
        </w:rPr>
        <w:t>replace existing self-reported survey instruments (the ABS Business Characteristics Survey, innovation module; the Australian Research Council, Engagement and Impact Assessment and the Survey of Commercial Outcomes from Public Research</w:t>
      </w:r>
      <w:r w:rsidR="001E24BF">
        <w:rPr>
          <w:rFonts w:ascii="Calibri" w:eastAsia="Calibri" w:hAnsi="Calibri" w:cs="Times New Roman"/>
        </w:rPr>
        <w:t xml:space="preserve"> administered by </w:t>
      </w:r>
      <w:r w:rsidR="001E24BF" w:rsidRPr="00636D76">
        <w:rPr>
          <w:rFonts w:ascii="Calibri" w:eastAsia="Calibri" w:hAnsi="Calibri" w:cs="Times New Roman"/>
        </w:rPr>
        <w:t>Knowledge Commercialisation Australasia</w:t>
      </w:r>
      <w:r w:rsidRPr="00636D76">
        <w:rPr>
          <w:rFonts w:ascii="Calibri" w:eastAsia="Calibri" w:hAnsi="Calibri" w:cs="Times New Roman"/>
        </w:rPr>
        <w:t>). It is an opportune time for Government to drive and embrace the uptake of open access to research data</w:t>
      </w:r>
      <w:r w:rsidR="00C37A1F">
        <w:rPr>
          <w:rFonts w:ascii="Calibri" w:eastAsia="Calibri" w:hAnsi="Calibri" w:cs="Times New Roman"/>
        </w:rPr>
        <w:t>,</w:t>
      </w:r>
      <w:r w:rsidRPr="00636D76">
        <w:rPr>
          <w:rFonts w:ascii="Calibri" w:eastAsia="Calibri" w:hAnsi="Calibri" w:cs="Times New Roman"/>
        </w:rPr>
        <w:t xml:space="preserve"> big </w:t>
      </w:r>
      <w:proofErr w:type="gramStart"/>
      <w:r w:rsidRPr="00636D76">
        <w:rPr>
          <w:rFonts w:ascii="Calibri" w:eastAsia="Calibri" w:hAnsi="Calibri" w:cs="Times New Roman"/>
        </w:rPr>
        <w:t>data</w:t>
      </w:r>
      <w:proofErr w:type="gramEnd"/>
      <w:r w:rsidRPr="00636D76">
        <w:rPr>
          <w:rFonts w:ascii="Calibri" w:eastAsia="Calibri" w:hAnsi="Calibri" w:cs="Times New Roman"/>
        </w:rPr>
        <w:t xml:space="preserve"> and digital adoption to automate data collection and reporting, including gleaning </w:t>
      </w:r>
      <w:r w:rsidR="00B22B9B">
        <w:rPr>
          <w:rFonts w:ascii="Calibri" w:eastAsia="Calibri" w:hAnsi="Calibri" w:cs="Times New Roman"/>
        </w:rPr>
        <w:t>“</w:t>
      </w:r>
      <w:r w:rsidRPr="00636D76">
        <w:rPr>
          <w:rFonts w:ascii="Calibri" w:eastAsia="Calibri" w:hAnsi="Calibri" w:cs="Times New Roman"/>
        </w:rPr>
        <w:t>hard data</w:t>
      </w:r>
      <w:r w:rsidR="00B22B9B">
        <w:rPr>
          <w:rFonts w:ascii="Calibri" w:eastAsia="Calibri" w:hAnsi="Calibri" w:cs="Times New Roman"/>
        </w:rPr>
        <w:t>”</w:t>
      </w:r>
      <w:r w:rsidRPr="00636D76">
        <w:rPr>
          <w:rFonts w:ascii="Calibri" w:eastAsia="Calibri" w:hAnsi="Calibri" w:cs="Times New Roman"/>
        </w:rPr>
        <w:t xml:space="preserve"> from related </w:t>
      </w:r>
      <w:r w:rsidR="002258C3">
        <w:rPr>
          <w:rFonts w:ascii="Calibri" w:eastAsia="Calibri" w:hAnsi="Calibri" w:cs="Times New Roman"/>
        </w:rPr>
        <w:t xml:space="preserve">national </w:t>
      </w:r>
      <w:r w:rsidRPr="00636D76">
        <w:rPr>
          <w:rFonts w:ascii="Calibri" w:eastAsia="Calibri" w:hAnsi="Calibri" w:cs="Times New Roman"/>
        </w:rPr>
        <w:t>data collections (labour mobility, trade and taxation data</w:t>
      </w:r>
      <w:r w:rsidR="001E24BF">
        <w:rPr>
          <w:rFonts w:ascii="Calibri" w:eastAsia="Calibri" w:hAnsi="Calibri" w:cs="Times New Roman"/>
        </w:rPr>
        <w:t>,</w:t>
      </w:r>
      <w:r w:rsidRPr="00636D76">
        <w:rPr>
          <w:rFonts w:ascii="Calibri" w:eastAsia="Calibri" w:hAnsi="Calibri" w:cs="Times New Roman"/>
        </w:rPr>
        <w:t xml:space="preserve"> for example).</w:t>
      </w:r>
    </w:p>
    <w:p w14:paraId="33077014" w14:textId="5925F7C8" w:rsidR="00A83633" w:rsidRPr="00D53494" w:rsidRDefault="00A83633" w:rsidP="00343FE6">
      <w:r w:rsidRPr="00D53494">
        <w:t>A precondition for developing successful policy that supports innovation is that we measure innovation well and report on it regularly as part of an ongoing national conversation.</w:t>
      </w:r>
      <w:r w:rsidRPr="00343FE6">
        <w:rPr>
          <w:vertAlign w:val="superscript"/>
        </w:rPr>
        <w:footnoteReference w:id="51"/>
      </w:r>
      <w:r w:rsidRPr="00D53494">
        <w:t xml:space="preserve"> If the Australian Government does not focus on the right metrics for Australia, there is a significant risk that these metrics, that we rely on to inform policy, will result in suboptimal outcomes. </w:t>
      </w:r>
    </w:p>
    <w:p w14:paraId="4BD97BC1" w14:textId="0EE76114" w:rsidR="006C611B" w:rsidRPr="00F17E2C" w:rsidRDefault="006C611B" w:rsidP="00F6694F">
      <w:pPr>
        <w:pStyle w:val="Heading3"/>
      </w:pPr>
      <w:bookmarkStart w:id="79" w:name="_Toc144944448"/>
      <w:bookmarkStart w:id="80" w:name="_Toc1381634519"/>
      <w:bookmarkStart w:id="81" w:name="_Toc145000219"/>
      <w:bookmarkStart w:id="82" w:name="_Toc152165431"/>
      <w:r w:rsidRPr="00F17E2C">
        <w:t>Recommendations and policy considerations</w:t>
      </w:r>
      <w:bookmarkEnd w:id="79"/>
      <w:bookmarkEnd w:id="80"/>
      <w:bookmarkEnd w:id="81"/>
      <w:bookmarkEnd w:id="82"/>
    </w:p>
    <w:p w14:paraId="308B854D" w14:textId="4468489B" w:rsidR="00E97CA0" w:rsidRPr="0059053E" w:rsidRDefault="00E97CA0" w:rsidP="00426B8A">
      <w:pPr>
        <w:pStyle w:val="Heading4"/>
      </w:pPr>
      <w:bookmarkStart w:id="83" w:name="_Toc1971521784"/>
      <w:bookmarkStart w:id="84" w:name="_Toc145000220"/>
      <w:r w:rsidRPr="09F0E515">
        <w:t>Improve efficiencies of innovation processes</w:t>
      </w:r>
    </w:p>
    <w:p w14:paraId="7385A094" w14:textId="73EA8535" w:rsidR="00E97CA0" w:rsidRPr="00DC1525" w:rsidRDefault="00E97CA0" w:rsidP="00145053">
      <w:pPr>
        <w:pStyle w:val="ListParagraph"/>
        <w:numPr>
          <w:ilvl w:val="0"/>
          <w:numId w:val="87"/>
        </w:numPr>
        <w:ind w:left="360"/>
        <w:rPr>
          <w:rStyle w:val="Emphasis"/>
        </w:rPr>
      </w:pPr>
      <w:r w:rsidRPr="00DC1525">
        <w:rPr>
          <w:rStyle w:val="Emphasis"/>
        </w:rPr>
        <w:t xml:space="preserve">Increase competition on the supply side of innovation and harness alignment of incentives found in SMEs. </w:t>
      </w:r>
    </w:p>
    <w:p w14:paraId="693965B5" w14:textId="77777777" w:rsidR="00E97CA0" w:rsidRPr="00DC1525" w:rsidRDefault="00E97CA0" w:rsidP="00145053">
      <w:pPr>
        <w:rPr>
          <w:rStyle w:val="Emphasis"/>
        </w:rPr>
      </w:pPr>
      <w:r w:rsidRPr="00DC1525">
        <w:rPr>
          <w:rStyle w:val="Emphasis"/>
        </w:rPr>
        <w:t>Actions could include:</w:t>
      </w:r>
    </w:p>
    <w:p w14:paraId="7AB091BD" w14:textId="2D6794A2" w:rsidR="0097463D" w:rsidRDefault="00FA29A2" w:rsidP="00145053">
      <w:pPr>
        <w:pStyle w:val="ListParagraph"/>
        <w:numPr>
          <w:ilvl w:val="1"/>
          <w:numId w:val="74"/>
        </w:numPr>
      </w:pPr>
      <w:r w:rsidRPr="00B56D5F">
        <w:t>De-coupling the requirement for industry to engage publicly funded research organisations to be eligible for government innovation support programs will open the market and increase competition for funds available to achieve commercialisation outcomes. This will not exclude universities and research institutions but will effectively filter those aligned to address relevant questions for industry to advance innovation and commercialisation outcomes.</w:t>
      </w:r>
    </w:p>
    <w:p w14:paraId="5107BEC1" w14:textId="3709F0D9" w:rsidR="00FA29A2" w:rsidRPr="005B1220" w:rsidRDefault="00FA29A2" w:rsidP="00145053">
      <w:pPr>
        <w:pStyle w:val="ListParagraph"/>
        <w:numPr>
          <w:ilvl w:val="1"/>
          <w:numId w:val="74"/>
        </w:numPr>
        <w:ind w:left="357" w:hanging="357"/>
        <w:contextualSpacing w:val="0"/>
      </w:pPr>
      <w:r>
        <w:t>R</w:t>
      </w:r>
      <w:r w:rsidRPr="005B1220">
        <w:t xml:space="preserve">eview models for </w:t>
      </w:r>
      <w:r>
        <w:t xml:space="preserve">engaging providers of </w:t>
      </w:r>
      <w:r w:rsidRPr="005B1220">
        <w:t>advi</w:t>
      </w:r>
      <w:r>
        <w:t>sory services</w:t>
      </w:r>
      <w:r w:rsidRPr="005B1220">
        <w:t xml:space="preserve"> in existing and emerging funding programs</w:t>
      </w:r>
      <w:r>
        <w:t xml:space="preserve"> </w:t>
      </w:r>
      <w:r w:rsidRPr="005B1220">
        <w:t xml:space="preserve">to </w:t>
      </w:r>
      <w:r>
        <w:t>assure</w:t>
      </w:r>
      <w:r w:rsidRPr="005B1220">
        <w:t xml:space="preserve"> successful outcomes.</w:t>
      </w:r>
    </w:p>
    <w:p w14:paraId="312DC5A9" w14:textId="77777777" w:rsidR="00FA29A2" w:rsidRDefault="00FA29A2" w:rsidP="00145053">
      <w:pPr>
        <w:pStyle w:val="ListParagraph"/>
        <w:numPr>
          <w:ilvl w:val="1"/>
          <w:numId w:val="74"/>
        </w:numPr>
        <w:ind w:left="357" w:hanging="357"/>
        <w:contextualSpacing w:val="0"/>
      </w:pPr>
      <w:r>
        <w:t xml:space="preserve">Review and update supply-side funding guidelines to support researchers interested in working within industry and developing commercial acumen and entrepreneurial mindsets. </w:t>
      </w:r>
    </w:p>
    <w:p w14:paraId="4404AC2D" w14:textId="542D5B66" w:rsidR="00FA29A2" w:rsidRDefault="00FA29A2" w:rsidP="00145053">
      <w:pPr>
        <w:pStyle w:val="ListParagraph"/>
        <w:numPr>
          <w:ilvl w:val="1"/>
          <w:numId w:val="74"/>
        </w:numPr>
        <w:contextualSpacing w:val="0"/>
      </w:pPr>
      <w:r>
        <w:t>Investigate market-making brokerage services to improve opportunities for successful industry</w:t>
      </w:r>
      <w:r w:rsidR="00316307">
        <w:noBreakHyphen/>
      </w:r>
      <w:r>
        <w:t>research engagement. Brokerage services unaligned to specific institutions could lower friction costs between industry and academia.</w:t>
      </w:r>
    </w:p>
    <w:p w14:paraId="024E14A4" w14:textId="0EC74FCD" w:rsidR="00FA29A2" w:rsidRPr="00D11865" w:rsidRDefault="00FA29A2" w:rsidP="00145053">
      <w:pPr>
        <w:pStyle w:val="ListParagraph"/>
        <w:numPr>
          <w:ilvl w:val="1"/>
          <w:numId w:val="74"/>
        </w:numPr>
        <w:contextualSpacing w:val="0"/>
      </w:pPr>
      <w:r>
        <w:rPr>
          <w:rFonts w:ascii="Calibri" w:eastAsia="Calibri" w:hAnsi="Calibri" w:cs="Calibri"/>
        </w:rPr>
        <w:t>E</w:t>
      </w:r>
      <w:r w:rsidRPr="002426A2">
        <w:rPr>
          <w:rFonts w:ascii="Calibri" w:eastAsia="Calibri" w:hAnsi="Calibri" w:cs="Calibri"/>
        </w:rPr>
        <w:t xml:space="preserve">xamine other jurisdictions for models of efficient research-industry </w:t>
      </w:r>
      <w:r w:rsidR="00B452B2">
        <w:rPr>
          <w:rFonts w:ascii="Calibri" w:eastAsia="Calibri" w:hAnsi="Calibri" w:cs="Calibri"/>
        </w:rPr>
        <w:t>intellectual property (</w:t>
      </w:r>
      <w:r w:rsidRPr="002426A2">
        <w:rPr>
          <w:rFonts w:ascii="Calibri" w:eastAsia="Calibri" w:hAnsi="Calibri" w:cs="Calibri"/>
        </w:rPr>
        <w:t>IP</w:t>
      </w:r>
      <w:r w:rsidR="00B452B2">
        <w:rPr>
          <w:rFonts w:ascii="Calibri" w:eastAsia="Calibri" w:hAnsi="Calibri" w:cs="Calibri"/>
        </w:rPr>
        <w:t>)</w:t>
      </w:r>
      <w:r w:rsidRPr="002426A2">
        <w:rPr>
          <w:rFonts w:ascii="Calibri" w:eastAsia="Calibri" w:hAnsi="Calibri" w:cs="Calibri"/>
        </w:rPr>
        <w:t xml:space="preserve"> and patenting arrangements, such as Singapore or universities in the US</w:t>
      </w:r>
      <w:r>
        <w:rPr>
          <w:rFonts w:ascii="Calibri" w:eastAsia="Calibri" w:hAnsi="Calibri" w:cs="Calibri"/>
        </w:rPr>
        <w:t>A</w:t>
      </w:r>
      <w:r w:rsidRPr="002426A2">
        <w:rPr>
          <w:rFonts w:ascii="Calibri" w:eastAsia="Calibri" w:hAnsi="Calibri" w:cs="Calibri"/>
        </w:rPr>
        <w:t xml:space="preserve"> where there are very low or no licencing fees</w:t>
      </w:r>
      <w:r>
        <w:rPr>
          <w:rFonts w:ascii="Calibri" w:eastAsia="Calibri" w:hAnsi="Calibri" w:cs="Calibri"/>
        </w:rPr>
        <w:t>,</w:t>
      </w:r>
      <w:r w:rsidRPr="002426A2">
        <w:rPr>
          <w:rFonts w:ascii="Calibri" w:eastAsia="Calibri" w:hAnsi="Calibri" w:cs="Calibri"/>
        </w:rPr>
        <w:t xml:space="preserve"> in preference for equity to entrepreneurial researchers and students spinning out IP in partnership with industry. This </w:t>
      </w:r>
      <w:r>
        <w:rPr>
          <w:rFonts w:ascii="Calibri" w:eastAsia="Calibri" w:hAnsi="Calibri" w:cs="Calibri"/>
        </w:rPr>
        <w:t xml:space="preserve">could </w:t>
      </w:r>
      <w:r w:rsidRPr="002426A2">
        <w:rPr>
          <w:rFonts w:ascii="Calibri" w:eastAsia="Calibri" w:hAnsi="Calibri" w:cs="Calibri"/>
        </w:rPr>
        <w:t xml:space="preserve">increase the </w:t>
      </w:r>
      <w:r>
        <w:rPr>
          <w:rFonts w:ascii="Calibri" w:eastAsia="Calibri" w:hAnsi="Calibri" w:cs="Calibri"/>
        </w:rPr>
        <w:t>alignment of incentives</w:t>
      </w:r>
      <w:r w:rsidRPr="002426A2">
        <w:rPr>
          <w:rFonts w:ascii="Calibri" w:eastAsia="Calibri" w:hAnsi="Calibri" w:cs="Calibri"/>
        </w:rPr>
        <w:t xml:space="preserve"> for the research supply side and better alignment of both parties focusing on commercial outcomes in the market</w:t>
      </w:r>
      <w:r>
        <w:rPr>
          <w:rFonts w:ascii="Calibri" w:eastAsia="Calibri" w:hAnsi="Calibri" w:cs="Calibri"/>
        </w:rPr>
        <w:t>.</w:t>
      </w:r>
    </w:p>
    <w:p w14:paraId="3B1889BD" w14:textId="63836922" w:rsidR="00C10101" w:rsidRPr="007137C6" w:rsidRDefault="00C10101" w:rsidP="00426B8A">
      <w:pPr>
        <w:pStyle w:val="Heading4"/>
      </w:pPr>
      <w:bookmarkStart w:id="85" w:name="_Toc1610366054"/>
      <w:bookmarkStart w:id="86" w:name="_Toc145000221"/>
      <w:bookmarkEnd w:id="83"/>
      <w:bookmarkEnd w:id="84"/>
      <w:r w:rsidRPr="007137C6">
        <w:t xml:space="preserve">Measure the things that matter to drive economic complexity and industry </w:t>
      </w:r>
      <w:bookmarkEnd w:id="85"/>
      <w:bookmarkEnd w:id="86"/>
      <w:r w:rsidR="00F5298D" w:rsidRPr="007137C6">
        <w:t>outcomes.</w:t>
      </w:r>
    </w:p>
    <w:p w14:paraId="61AD66D2" w14:textId="264FC2D1" w:rsidR="00ED6C0C" w:rsidRPr="00DC1525" w:rsidRDefault="00ED6C0C" w:rsidP="007F405E">
      <w:pPr>
        <w:pStyle w:val="ListParagraph"/>
        <w:numPr>
          <w:ilvl w:val="0"/>
          <w:numId w:val="87"/>
        </w:numPr>
        <w:ind w:left="360"/>
        <w:rPr>
          <w:rStyle w:val="Emphasis"/>
        </w:rPr>
      </w:pPr>
      <w:r w:rsidRPr="00DC1525">
        <w:rPr>
          <w:rStyle w:val="Emphasis"/>
        </w:rPr>
        <w:t xml:space="preserve">Design and implement the measurement of commercialisation outcomes and industry impacts over the appropriate timeframes.  </w:t>
      </w:r>
    </w:p>
    <w:p w14:paraId="11025515" w14:textId="382D67C4" w:rsidR="002D12C0" w:rsidRPr="002D12C0" w:rsidRDefault="00ED6C0C" w:rsidP="007F405E">
      <w:pPr>
        <w:spacing w:before="240"/>
      </w:pPr>
      <w:r w:rsidRPr="00DC1525">
        <w:rPr>
          <w:rStyle w:val="Emphasis"/>
        </w:rPr>
        <w:t>Actions could include:</w:t>
      </w:r>
    </w:p>
    <w:p w14:paraId="086308B8" w14:textId="36A63472" w:rsidR="00FA29A2" w:rsidRPr="002D12C0" w:rsidRDefault="00FA29A2" w:rsidP="007F405E">
      <w:pPr>
        <w:pStyle w:val="ListParagraph"/>
        <w:numPr>
          <w:ilvl w:val="1"/>
          <w:numId w:val="84"/>
        </w:numPr>
        <w:spacing w:before="200" w:after="200"/>
        <w:ind w:left="357" w:hanging="357"/>
        <w:contextualSpacing w:val="0"/>
      </w:pPr>
      <w:r w:rsidRPr="002D12C0">
        <w:t xml:space="preserve">Measure growth in revenue, </w:t>
      </w:r>
      <w:proofErr w:type="gramStart"/>
      <w:r w:rsidRPr="002D12C0">
        <w:t>productivity</w:t>
      </w:r>
      <w:proofErr w:type="gramEnd"/>
      <w:r w:rsidRPr="002D12C0">
        <w:t xml:space="preserve"> and resilience. Ensure public investments in research translation activities visibly realise industrial transformation, business competitiveness and growth, sovereign capability, productivity and higher value jobs in industry, alongside equally important improved health, environmental and social outcomes for Australians.</w:t>
      </w:r>
    </w:p>
    <w:p w14:paraId="5A522ADF" w14:textId="5BE71EA6" w:rsidR="00FA29A2" w:rsidRPr="002D12C0" w:rsidRDefault="00FA29A2" w:rsidP="007F405E">
      <w:pPr>
        <w:pStyle w:val="ListParagraph"/>
        <w:numPr>
          <w:ilvl w:val="1"/>
          <w:numId w:val="84"/>
        </w:numPr>
        <w:spacing w:before="200" w:after="200"/>
        <w:ind w:left="357" w:hanging="357"/>
        <w:contextualSpacing w:val="0"/>
      </w:pPr>
      <w:r w:rsidRPr="002D12C0">
        <w:t>Supplement existing self-reported survey instruments with hard data to measure commercialisation and industry transformation outcomes.</w:t>
      </w:r>
    </w:p>
    <w:p w14:paraId="37EEC076" w14:textId="2D6FE4CD" w:rsidR="008D3900" w:rsidRDefault="008D3900" w:rsidP="00531DC2">
      <w:pPr>
        <w:ind w:left="426" w:hanging="426"/>
        <w:rPr>
          <w:rFonts w:ascii="Calibri" w:eastAsia="Calibri" w:hAnsi="Calibri" w:cs="Arial"/>
        </w:rPr>
      </w:pPr>
      <w:r>
        <w:rPr>
          <w:rFonts w:ascii="Calibri" w:eastAsia="Calibri" w:hAnsi="Calibri" w:cs="Arial"/>
        </w:rPr>
        <w:br w:type="page"/>
      </w:r>
    </w:p>
    <w:p w14:paraId="3831FED6" w14:textId="35F8B51D" w:rsidR="00845470" w:rsidRPr="00D53494" w:rsidRDefault="00845470" w:rsidP="00DC1525">
      <w:pPr>
        <w:pStyle w:val="Heading2"/>
      </w:pPr>
      <w:bookmarkStart w:id="87" w:name="_Toc152165432"/>
      <w:r>
        <w:t>Appendix</w:t>
      </w:r>
      <w:bookmarkEnd w:id="87"/>
    </w:p>
    <w:p w14:paraId="59822C63" w14:textId="46DD4359" w:rsidR="00D92564" w:rsidRPr="007137C6" w:rsidRDefault="00D92564" w:rsidP="00F6694F">
      <w:pPr>
        <w:pStyle w:val="Heading3"/>
      </w:pPr>
      <w:bookmarkStart w:id="88" w:name="_Appendix_1:_Methodology"/>
      <w:bookmarkStart w:id="89" w:name="_Toc1875327160"/>
      <w:bookmarkStart w:id="90" w:name="Appendix_1_Methodology"/>
      <w:bookmarkStart w:id="91" w:name="_Toc152165433"/>
      <w:bookmarkEnd w:id="88"/>
      <w:r w:rsidRPr="007137C6">
        <w:t>Appendix 1: Methodology</w:t>
      </w:r>
      <w:bookmarkEnd w:id="89"/>
      <w:bookmarkEnd w:id="90"/>
      <w:bookmarkEnd w:id="91"/>
    </w:p>
    <w:p w14:paraId="71EDAFB3" w14:textId="7E73D0AB" w:rsidR="00D92564" w:rsidRPr="007137C6" w:rsidRDefault="00D92564" w:rsidP="00C35D33">
      <w:pPr>
        <w:pStyle w:val="Heading4"/>
      </w:pPr>
      <w:r w:rsidRPr="007137C6">
        <w:t xml:space="preserve">Revealed Comparative Advantage and </w:t>
      </w:r>
      <w:r w:rsidR="000D2DCF" w:rsidRPr="007137C6">
        <w:t>import penetration</w:t>
      </w:r>
    </w:p>
    <w:p w14:paraId="467A48C8" w14:textId="18875195" w:rsidR="00D92564" w:rsidRDefault="00D92564" w:rsidP="00CE481E">
      <w:pPr>
        <w:rPr>
          <w:rFonts w:cstheme="minorHAnsi"/>
        </w:rPr>
      </w:pPr>
      <w:r>
        <w:rPr>
          <w:rFonts w:cstheme="minorHAnsi"/>
        </w:rPr>
        <w:t xml:space="preserve">This report uses the </w:t>
      </w:r>
      <w:r w:rsidRPr="00972318">
        <w:rPr>
          <w:rFonts w:cstheme="minorHAnsi"/>
          <w:i/>
          <w:iCs/>
        </w:rPr>
        <w:t>Relative Comparative Advantage</w:t>
      </w:r>
      <w:r>
        <w:rPr>
          <w:rFonts w:cstheme="minorHAnsi"/>
        </w:rPr>
        <w:t xml:space="preserve"> (RCA) index and the level of import penetration to understand the competitive position of Australian manufacturing industries related to priority areas. The RCA is sourced from calculations by Analysis and Insights Division in the Department of Industry, Science and </w:t>
      </w:r>
      <w:r w:rsidR="00402E4E">
        <w:rPr>
          <w:rFonts w:cstheme="minorHAnsi"/>
        </w:rPr>
        <w:t xml:space="preserve">Resources </w:t>
      </w:r>
      <w:r>
        <w:rPr>
          <w:rFonts w:cstheme="minorHAnsi"/>
        </w:rPr>
        <w:t xml:space="preserve">based on </w:t>
      </w:r>
      <w:r w:rsidR="0080515F">
        <w:rPr>
          <w:rFonts w:cstheme="minorHAnsi"/>
        </w:rPr>
        <w:t>United Nations (</w:t>
      </w:r>
      <w:r>
        <w:rPr>
          <w:rFonts w:cstheme="minorHAnsi"/>
        </w:rPr>
        <w:t>UN</w:t>
      </w:r>
      <w:r w:rsidR="0080515F">
        <w:rPr>
          <w:rFonts w:cstheme="minorHAnsi"/>
        </w:rPr>
        <w:t>)</w:t>
      </w:r>
      <w:r>
        <w:rPr>
          <w:rFonts w:cstheme="minorHAnsi"/>
        </w:rPr>
        <w:t xml:space="preserve"> </w:t>
      </w:r>
      <w:proofErr w:type="spellStart"/>
      <w:r>
        <w:rPr>
          <w:rFonts w:cstheme="minorHAnsi"/>
        </w:rPr>
        <w:t>Comtrade</w:t>
      </w:r>
      <w:proofErr w:type="spellEnd"/>
      <w:r>
        <w:rPr>
          <w:rFonts w:cstheme="minorHAnsi"/>
        </w:rPr>
        <w:t xml:space="preserve"> data and import penetration sourced from the Australian Bureau of Statistics Input-Output (I-O) tables. The RCA is based on 2021 trade data and import penetration </w:t>
      </w:r>
      <w:r w:rsidR="00EB6EDF">
        <w:rPr>
          <w:rFonts w:cstheme="minorHAnsi"/>
        </w:rPr>
        <w:t xml:space="preserve">for the </w:t>
      </w:r>
      <w:r w:rsidR="0048183D">
        <w:rPr>
          <w:rFonts w:cstheme="minorHAnsi"/>
        </w:rPr>
        <w:t>financial year (</w:t>
      </w:r>
      <w:r w:rsidR="00EB6EDF">
        <w:rPr>
          <w:rFonts w:cstheme="minorHAnsi"/>
        </w:rPr>
        <w:t>FY</w:t>
      </w:r>
      <w:r w:rsidR="0048183D">
        <w:rPr>
          <w:rFonts w:cstheme="minorHAnsi"/>
        </w:rPr>
        <w:t xml:space="preserve">) </w:t>
      </w:r>
      <w:r>
        <w:rPr>
          <w:rFonts w:cstheme="minorHAnsi"/>
        </w:rPr>
        <w:t>2020</w:t>
      </w:r>
      <w:r w:rsidR="00402E4E">
        <w:rPr>
          <w:rFonts w:ascii="Segoe UI" w:hAnsi="Segoe UI" w:cs="Segoe UI"/>
          <w:color w:val="414141"/>
          <w:shd w:val="clear" w:color="auto" w:fill="FFFFFF"/>
        </w:rPr>
        <w:t>–</w:t>
      </w:r>
      <w:r>
        <w:rPr>
          <w:rFonts w:cstheme="minorHAnsi"/>
        </w:rPr>
        <w:t xml:space="preserve">21. The RCA data is calculated by </w:t>
      </w:r>
      <w:r w:rsidR="0048183D" w:rsidRPr="0048183D">
        <w:rPr>
          <w:rFonts w:cstheme="minorHAnsi"/>
        </w:rPr>
        <w:t xml:space="preserve">Australian and New Zealand Standard Industrial Classification </w:t>
      </w:r>
      <w:r w:rsidR="0048183D">
        <w:rPr>
          <w:rFonts w:cstheme="minorHAnsi"/>
        </w:rPr>
        <w:t>(</w:t>
      </w:r>
      <w:r>
        <w:rPr>
          <w:rFonts w:cstheme="minorHAnsi"/>
        </w:rPr>
        <w:t>ANSZIC</w:t>
      </w:r>
      <w:r w:rsidR="0048183D">
        <w:rPr>
          <w:rFonts w:cstheme="minorHAnsi"/>
        </w:rPr>
        <w:t>)</w:t>
      </w:r>
      <w:r>
        <w:rPr>
          <w:rFonts w:cstheme="minorHAnsi"/>
        </w:rPr>
        <w:t xml:space="preserve"> 4-digit code which facilitates correspondence with I-O Product Group classification.</w:t>
      </w:r>
    </w:p>
    <w:p w14:paraId="5C470A14" w14:textId="3F7E39CB" w:rsidR="00D92564" w:rsidRPr="007137C6" w:rsidRDefault="00D92564" w:rsidP="00C35D33">
      <w:pPr>
        <w:pStyle w:val="Heading4"/>
      </w:pPr>
      <w:r w:rsidRPr="007137C6">
        <w:t>Composition of business size across priority areas</w:t>
      </w:r>
    </w:p>
    <w:p w14:paraId="2C5A90E9" w14:textId="7FCE0324" w:rsidR="00D92564" w:rsidRDefault="00D92564" w:rsidP="00CE481E">
      <w:r>
        <w:t xml:space="preserve">This report used </w:t>
      </w:r>
      <w:r w:rsidR="00401CEF">
        <w:t>Australian Bureau of Statistics (</w:t>
      </w:r>
      <w:r>
        <w:t>ABS</w:t>
      </w:r>
      <w:r w:rsidR="00401CEF">
        <w:t>)</w:t>
      </w:r>
      <w:r>
        <w:t xml:space="preserve"> – 8165.0 Counts of Australian Businesses, including Entries and Exits, June 2018 to June 2022 and ABS – 8155.0 Australian Industry to calculate the business size composition, value added and employment across priority areas. The Priority Area Declaration was used as a reference point. The definition of manufacturing is broader than that of the ABS, and includes developing products, providing logistics, distributing products, selling products, after-market services and maintaining products. There are </w:t>
      </w:r>
      <w:proofErr w:type="gramStart"/>
      <w:r>
        <w:t>particular areas</w:t>
      </w:r>
      <w:proofErr w:type="gramEnd"/>
      <w:r>
        <w:t xml:space="preserve">, such as Enabling Capabilities and Renewables and Low Emission Technologies, </w:t>
      </w:r>
      <w:r w:rsidR="00402E4E">
        <w:t xml:space="preserve">that </w:t>
      </w:r>
      <w:r>
        <w:t xml:space="preserve">add complexity to the correspondence with the ANZSIC framework as there are no industry codes for these particular sectors. Bearing this in mind, we note that overestimation of business population, employment and value add is likely in these sectors. </w:t>
      </w:r>
    </w:p>
    <w:p w14:paraId="297606D9" w14:textId="537837AB" w:rsidR="00D92564" w:rsidRPr="007137C6" w:rsidRDefault="00D92564" w:rsidP="00C35D33">
      <w:pPr>
        <w:pStyle w:val="Heading4"/>
      </w:pPr>
      <w:r w:rsidRPr="007137C6">
        <w:t>Commissioned ABS Business Characteristics data for priority areas</w:t>
      </w:r>
    </w:p>
    <w:p w14:paraId="2FF18242" w14:textId="3EF38F2E" w:rsidR="00D92564" w:rsidRDefault="0003061F" w:rsidP="00CE481E">
      <w:r>
        <w:t>Industry Innovation and Science Australia (</w:t>
      </w:r>
      <w:r w:rsidR="00D92564">
        <w:t>IISA</w:t>
      </w:r>
      <w:r>
        <w:t>)</w:t>
      </w:r>
      <w:r w:rsidR="00D92564">
        <w:t xml:space="preserve"> commissioned the ABS to produce business characteristics data for priority areas with the purpose </w:t>
      </w:r>
      <w:r w:rsidR="00607337">
        <w:t xml:space="preserve">of </w:t>
      </w:r>
      <w:r w:rsidR="00D92564">
        <w:t>understand</w:t>
      </w:r>
      <w:r w:rsidR="00607337">
        <w:t>ing</w:t>
      </w:r>
      <w:r w:rsidR="00D92564">
        <w:t xml:space="preserve"> and obtain</w:t>
      </w:r>
      <w:r w:rsidR="00607337">
        <w:t>ing</w:t>
      </w:r>
      <w:r w:rsidR="00D92564">
        <w:t xml:space="preserve"> further insights on </w:t>
      </w:r>
      <w:r w:rsidR="000E4BA7">
        <w:t>business attitudes</w:t>
      </w:r>
      <w:r w:rsidR="00D92564">
        <w:t xml:space="preserve"> and innovation activity</w:t>
      </w:r>
      <w:r w:rsidR="000E4BA7">
        <w:t xml:space="preserve">. </w:t>
      </w:r>
    </w:p>
    <w:p w14:paraId="5F1EE622" w14:textId="6438B0B0" w:rsidR="00D92564" w:rsidRPr="007137C6" w:rsidRDefault="00EB0D8F" w:rsidP="00C35D33">
      <w:pPr>
        <w:pStyle w:val="Heading4"/>
      </w:pPr>
      <w:bookmarkStart w:id="92" w:name="_Hlk144719827"/>
      <w:r w:rsidRPr="007137C6">
        <w:t>Industry</w:t>
      </w:r>
      <w:r w:rsidR="00D92564" w:rsidRPr="007137C6">
        <w:t xml:space="preserve"> </w:t>
      </w:r>
      <w:r w:rsidR="001C4F20">
        <w:t>and whole of government consultation</w:t>
      </w:r>
      <w:r w:rsidR="00D92564" w:rsidRPr="007137C6">
        <w:t xml:space="preserve">: </w:t>
      </w:r>
      <w:r w:rsidRPr="007137C6">
        <w:t xml:space="preserve">targeted interviews </w:t>
      </w:r>
    </w:p>
    <w:bookmarkEnd w:id="92"/>
    <w:p w14:paraId="0123B74A" w14:textId="16BC996C" w:rsidR="00D92564" w:rsidRDefault="00D92564" w:rsidP="00CE481E">
      <w:r>
        <w:t xml:space="preserve">The Office of </w:t>
      </w:r>
      <w:r w:rsidR="00981D33">
        <w:t>IISA</w:t>
      </w:r>
      <w:r>
        <w:t xml:space="preserve"> </w:t>
      </w:r>
      <w:r w:rsidR="001C4F20">
        <w:t xml:space="preserve">and IISA </w:t>
      </w:r>
      <w:r w:rsidR="00981D33">
        <w:t xml:space="preserve">interviewed </w:t>
      </w:r>
      <w:r>
        <w:t>leaders in Australian business and research</w:t>
      </w:r>
      <w:r w:rsidR="001C4F20">
        <w:t xml:space="preserve">, and senior officials across whole of government. </w:t>
      </w:r>
      <w:r w:rsidR="009373B5">
        <w:t xml:space="preserve">Please see </w:t>
      </w:r>
      <w:hyperlink w:anchor="_Reference_materials" w:history="1">
        <w:r w:rsidR="009373B5" w:rsidRPr="0018187C">
          <w:rPr>
            <w:rStyle w:val="Hyperlink"/>
            <w:b/>
            <w:bCs/>
          </w:rPr>
          <w:t>Reference materials</w:t>
        </w:r>
      </w:hyperlink>
      <w:r w:rsidR="009373B5">
        <w:t xml:space="preserve"> for a full list of businesses interviewed. </w:t>
      </w:r>
      <w:r>
        <w:rPr>
          <w:rFonts w:eastAsia="Times New Roman"/>
          <w:color w:val="000000"/>
          <w:lang w:eastAsia="en-AU"/>
        </w:rPr>
        <w:t xml:space="preserve"> </w:t>
      </w:r>
    </w:p>
    <w:p w14:paraId="357D9350" w14:textId="5574B948" w:rsidR="000E4BA7" w:rsidRPr="007137C6" w:rsidRDefault="000E4BA7" w:rsidP="00C35D33">
      <w:pPr>
        <w:pStyle w:val="Heading4"/>
      </w:pPr>
      <w:r w:rsidRPr="007137C6">
        <w:t xml:space="preserve">Industry consultation: industry survey </w:t>
      </w:r>
    </w:p>
    <w:p w14:paraId="0D717D3E" w14:textId="0BE53858" w:rsidR="00D92564" w:rsidRDefault="00D92564" w:rsidP="00CE481E">
      <w:r>
        <w:t xml:space="preserve">The Office of Industry Innovation and Science Australia conducted an online survey </w:t>
      </w:r>
      <w:r w:rsidR="009F1A45">
        <w:t>of businesses in priority areas</w:t>
      </w:r>
      <w:r w:rsidRPr="00821F97">
        <w:t xml:space="preserve">. </w:t>
      </w:r>
      <w:r w:rsidR="006B3A26">
        <w:t xml:space="preserve">We received </w:t>
      </w:r>
      <w:r w:rsidRPr="00821F97">
        <w:t>45</w:t>
      </w:r>
      <w:r>
        <w:t>3 </w:t>
      </w:r>
      <w:r w:rsidRPr="00821F97">
        <w:t>validated responses</w:t>
      </w:r>
      <w:r>
        <w:t xml:space="preserve"> </w:t>
      </w:r>
      <w:r w:rsidR="002258C3">
        <w:t xml:space="preserve">and </w:t>
      </w:r>
      <w:r>
        <w:t xml:space="preserve">2 </w:t>
      </w:r>
      <w:r w:rsidR="00406C0C">
        <w:t xml:space="preserve">invalid </w:t>
      </w:r>
      <w:r>
        <w:t xml:space="preserve">responses. Responses provide data on business size, competitiveness and innovation, </w:t>
      </w:r>
      <w:r w:rsidR="009F1A45">
        <w:t>collaboration,</w:t>
      </w:r>
      <w:r>
        <w:t xml:space="preserve"> and research commercialisation to help validate hypotheses using sentiment analysis.</w:t>
      </w:r>
      <w:r w:rsidRPr="00821F97">
        <w:t xml:space="preserve"> </w:t>
      </w:r>
    </w:p>
    <w:p w14:paraId="7C3C0096" w14:textId="77777777" w:rsidR="003C1E36" w:rsidRDefault="003C1E36">
      <w:pPr>
        <w:rPr>
          <w:b/>
          <w:bCs/>
        </w:rPr>
      </w:pPr>
      <w:r>
        <w:rPr>
          <w:b/>
          <w:bCs/>
        </w:rPr>
        <w:br w:type="page"/>
      </w:r>
    </w:p>
    <w:p w14:paraId="55DE75C2" w14:textId="436E5EEA" w:rsidR="00D92564" w:rsidRPr="0052102D" w:rsidRDefault="00D92564" w:rsidP="00CE481E">
      <w:pPr>
        <w:rPr>
          <w:b/>
          <w:bCs/>
        </w:rPr>
      </w:pPr>
      <w:r>
        <w:rPr>
          <w:b/>
          <w:bCs/>
        </w:rPr>
        <w:t>There was a strong response</w:t>
      </w:r>
      <w:r w:rsidR="004D5189">
        <w:rPr>
          <w:b/>
          <w:bCs/>
        </w:rPr>
        <w:t xml:space="preserve"> from</w:t>
      </w:r>
      <w:r>
        <w:rPr>
          <w:b/>
          <w:bCs/>
        </w:rPr>
        <w:t xml:space="preserve"> medium-sized businesses (as compared to the proportion of medium</w:t>
      </w:r>
      <w:r w:rsidR="00C91D97">
        <w:rPr>
          <w:b/>
          <w:bCs/>
        </w:rPr>
        <w:t>-</w:t>
      </w:r>
      <w:r>
        <w:rPr>
          <w:b/>
          <w:bCs/>
        </w:rPr>
        <w:t xml:space="preserve">sized </w:t>
      </w:r>
      <w:r w:rsidR="00671080">
        <w:rPr>
          <w:b/>
          <w:bCs/>
        </w:rPr>
        <w:t>businesses</w:t>
      </w:r>
      <w:r>
        <w:rPr>
          <w:b/>
          <w:bCs/>
        </w:rPr>
        <w:t xml:space="preserve"> in the Australian economy)</w:t>
      </w:r>
      <w:r w:rsidRPr="0052102D">
        <w:rPr>
          <w:b/>
          <w:bCs/>
        </w:rPr>
        <w:t>:</w:t>
      </w:r>
    </w:p>
    <w:tbl>
      <w:tblPr>
        <w:tblStyle w:val="TableGrid"/>
        <w:tblW w:w="5000" w:type="pct"/>
        <w:tblLook w:val="04A0" w:firstRow="1" w:lastRow="0" w:firstColumn="1" w:lastColumn="0" w:noHBand="0" w:noVBand="1"/>
      </w:tblPr>
      <w:tblGrid>
        <w:gridCol w:w="6975"/>
        <w:gridCol w:w="2046"/>
      </w:tblGrid>
      <w:tr w:rsidR="00D92564" w:rsidRPr="005608CF" w14:paraId="32B6F68C" w14:textId="77777777" w:rsidTr="00F6694F">
        <w:trPr>
          <w:trHeight w:val="454"/>
        </w:trPr>
        <w:tc>
          <w:tcPr>
            <w:tcW w:w="3682" w:type="pct"/>
            <w:tcBorders>
              <w:right w:val="single" w:sz="4" w:space="0" w:color="FFFFFF"/>
            </w:tcBorders>
            <w:shd w:val="clear" w:color="auto" w:fill="001948" w:themeFill="text1" w:themeFillShade="80"/>
            <w:noWrap/>
            <w:vAlign w:val="center"/>
          </w:tcPr>
          <w:p w14:paraId="52588332" w14:textId="68D7E43E" w:rsidR="00D92564" w:rsidRPr="00DC1525" w:rsidRDefault="00D92564" w:rsidP="00F10809">
            <w:pPr>
              <w:rPr>
                <w:rFonts w:eastAsia="Times New Roman"/>
                <w:b/>
                <w:bCs/>
                <w:color w:val="FFFFFF"/>
                <w:lang w:eastAsia="en-AU"/>
              </w:rPr>
            </w:pPr>
            <w:r w:rsidRPr="00DC1525">
              <w:rPr>
                <w:rFonts w:eastAsia="Times New Roman"/>
                <w:b/>
                <w:bCs/>
                <w:color w:val="FFFFFF"/>
                <w:lang w:eastAsia="en-AU"/>
              </w:rPr>
              <w:t xml:space="preserve">All survey responses received, by business size </w:t>
            </w:r>
            <w:r w:rsidR="0046101B">
              <w:rPr>
                <w:rFonts w:eastAsia="Times New Roman"/>
                <w:b/>
                <w:bCs/>
                <w:color w:val="FFFFFF"/>
                <w:lang w:eastAsia="en-AU"/>
              </w:rPr>
              <w:t>– f</w:t>
            </w:r>
            <w:r w:rsidR="0046101B" w:rsidRPr="0046101B">
              <w:rPr>
                <w:rFonts w:eastAsia="Times New Roman"/>
                <w:b/>
                <w:bCs/>
                <w:color w:val="FFFFFF"/>
                <w:lang w:eastAsia="en-AU"/>
              </w:rPr>
              <w:t>ull</w:t>
            </w:r>
            <w:r w:rsidR="0046101B">
              <w:rPr>
                <w:rFonts w:eastAsia="Times New Roman"/>
                <w:b/>
                <w:bCs/>
                <w:color w:val="FFFFFF"/>
                <w:lang w:eastAsia="en-AU"/>
              </w:rPr>
              <w:t>-t</w:t>
            </w:r>
            <w:r w:rsidR="0046101B" w:rsidRPr="0046101B">
              <w:rPr>
                <w:rFonts w:eastAsia="Times New Roman"/>
                <w:b/>
                <w:bCs/>
                <w:color w:val="FFFFFF"/>
                <w:lang w:eastAsia="en-AU"/>
              </w:rPr>
              <w:t xml:space="preserve">ime </w:t>
            </w:r>
            <w:r w:rsidR="0046101B">
              <w:rPr>
                <w:rFonts w:eastAsia="Times New Roman"/>
                <w:b/>
                <w:bCs/>
                <w:color w:val="FFFFFF"/>
                <w:lang w:eastAsia="en-AU"/>
              </w:rPr>
              <w:t>e</w:t>
            </w:r>
            <w:r w:rsidR="0046101B" w:rsidRPr="0046101B">
              <w:rPr>
                <w:rFonts w:eastAsia="Times New Roman"/>
                <w:b/>
                <w:bCs/>
                <w:color w:val="FFFFFF"/>
                <w:lang w:eastAsia="en-AU"/>
              </w:rPr>
              <w:t xml:space="preserve">quivalent </w:t>
            </w:r>
            <w:r w:rsidRPr="00DC1525">
              <w:rPr>
                <w:rFonts w:eastAsia="Times New Roman"/>
                <w:b/>
                <w:bCs/>
                <w:color w:val="FFFFFF"/>
                <w:lang w:eastAsia="en-AU"/>
              </w:rPr>
              <w:t>(FTE)</w:t>
            </w:r>
          </w:p>
        </w:tc>
        <w:tc>
          <w:tcPr>
            <w:tcW w:w="1318" w:type="pct"/>
            <w:tcBorders>
              <w:top w:val="nil"/>
              <w:left w:val="single" w:sz="4" w:space="0" w:color="FFFFFF"/>
              <w:bottom w:val="nil"/>
              <w:right w:val="nil"/>
            </w:tcBorders>
            <w:shd w:val="clear" w:color="auto" w:fill="001948" w:themeFill="text1" w:themeFillShade="80"/>
            <w:noWrap/>
            <w:vAlign w:val="center"/>
          </w:tcPr>
          <w:p w14:paraId="28ADE856" w14:textId="77777777" w:rsidR="00D92564" w:rsidRPr="00DC1525" w:rsidRDefault="00D92564" w:rsidP="00F10809">
            <w:pPr>
              <w:rPr>
                <w:rFonts w:eastAsia="Times New Roman"/>
                <w:b/>
                <w:bCs/>
                <w:color w:val="FFFFFF"/>
                <w:lang w:eastAsia="en-AU"/>
              </w:rPr>
            </w:pPr>
            <w:r w:rsidRPr="00DC1525">
              <w:rPr>
                <w:rFonts w:eastAsia="Times New Roman"/>
                <w:b/>
                <w:bCs/>
                <w:color w:val="FFFFFF"/>
                <w:lang w:eastAsia="en-AU"/>
              </w:rPr>
              <w:t>Count</w:t>
            </w:r>
          </w:p>
        </w:tc>
      </w:tr>
      <w:tr w:rsidR="00D92564" w:rsidRPr="005608CF" w14:paraId="7C32F5AC" w14:textId="77777777" w:rsidTr="00F6694F">
        <w:trPr>
          <w:trHeight w:val="454"/>
        </w:trPr>
        <w:tc>
          <w:tcPr>
            <w:tcW w:w="3682" w:type="pct"/>
            <w:noWrap/>
            <w:vAlign w:val="center"/>
            <w:hideMark/>
          </w:tcPr>
          <w:p w14:paraId="301D2164" w14:textId="3FA6F87B" w:rsidR="00D92564" w:rsidRPr="005608CF" w:rsidRDefault="00D92564" w:rsidP="00F10809">
            <w:pPr>
              <w:rPr>
                <w:rFonts w:eastAsia="Times New Roman"/>
                <w:lang w:eastAsia="en-AU"/>
              </w:rPr>
            </w:pPr>
            <w:r>
              <w:rPr>
                <w:rFonts w:eastAsia="Times New Roman"/>
                <w:lang w:eastAsia="en-AU"/>
              </w:rPr>
              <w:t>Small (1</w:t>
            </w:r>
            <w:r w:rsidR="00CD3EC5">
              <w:rPr>
                <w:rFonts w:ascii="Segoe UI" w:hAnsi="Segoe UI" w:cs="Segoe UI"/>
                <w:color w:val="414141"/>
                <w:shd w:val="clear" w:color="auto" w:fill="FFFFFF"/>
              </w:rPr>
              <w:t>–</w:t>
            </w:r>
            <w:r>
              <w:rPr>
                <w:rFonts w:eastAsia="Times New Roman"/>
                <w:lang w:eastAsia="en-AU"/>
              </w:rPr>
              <w:t>19 FTE)</w:t>
            </w:r>
          </w:p>
        </w:tc>
        <w:tc>
          <w:tcPr>
            <w:tcW w:w="1318" w:type="pct"/>
            <w:tcBorders>
              <w:top w:val="nil"/>
            </w:tcBorders>
            <w:noWrap/>
            <w:vAlign w:val="center"/>
          </w:tcPr>
          <w:p w14:paraId="6896CC92" w14:textId="77777777" w:rsidR="00D92564" w:rsidRPr="005608CF" w:rsidRDefault="00D92564" w:rsidP="00F10809">
            <w:pPr>
              <w:rPr>
                <w:rFonts w:eastAsia="Times New Roman"/>
                <w:lang w:eastAsia="en-AU"/>
              </w:rPr>
            </w:pPr>
            <w:r>
              <w:rPr>
                <w:rFonts w:eastAsia="Times New Roman"/>
                <w:lang w:eastAsia="en-AU"/>
              </w:rPr>
              <w:t>231</w:t>
            </w:r>
          </w:p>
        </w:tc>
      </w:tr>
      <w:tr w:rsidR="00D92564" w:rsidRPr="005608CF" w14:paraId="6E05D933" w14:textId="77777777" w:rsidTr="00F10809">
        <w:trPr>
          <w:trHeight w:val="454"/>
        </w:trPr>
        <w:tc>
          <w:tcPr>
            <w:tcW w:w="3682" w:type="pct"/>
            <w:noWrap/>
            <w:vAlign w:val="center"/>
            <w:hideMark/>
          </w:tcPr>
          <w:p w14:paraId="4A07B242" w14:textId="03974D92" w:rsidR="00D92564" w:rsidRPr="005608CF" w:rsidRDefault="00D92564" w:rsidP="00F10809">
            <w:pPr>
              <w:rPr>
                <w:rFonts w:eastAsia="Times New Roman"/>
                <w:color w:val="000000"/>
                <w:lang w:eastAsia="en-AU"/>
              </w:rPr>
            </w:pPr>
            <w:r>
              <w:rPr>
                <w:rFonts w:eastAsia="Times New Roman"/>
                <w:color w:val="000000"/>
                <w:lang w:eastAsia="en-AU"/>
              </w:rPr>
              <w:t>Medium (20</w:t>
            </w:r>
            <w:r w:rsidR="00CD3EC5">
              <w:rPr>
                <w:rFonts w:ascii="Segoe UI" w:hAnsi="Segoe UI" w:cs="Segoe UI"/>
                <w:color w:val="414141"/>
                <w:shd w:val="clear" w:color="auto" w:fill="FFFFFF"/>
              </w:rPr>
              <w:t>–</w:t>
            </w:r>
            <w:r>
              <w:rPr>
                <w:rFonts w:eastAsia="Times New Roman"/>
                <w:color w:val="000000"/>
                <w:lang w:eastAsia="en-AU"/>
              </w:rPr>
              <w:t>199 FTE)</w:t>
            </w:r>
          </w:p>
        </w:tc>
        <w:tc>
          <w:tcPr>
            <w:tcW w:w="1318" w:type="pct"/>
            <w:noWrap/>
            <w:vAlign w:val="center"/>
          </w:tcPr>
          <w:p w14:paraId="244E61AC" w14:textId="77777777" w:rsidR="00D92564" w:rsidRPr="005608CF" w:rsidRDefault="00D92564" w:rsidP="00F10809">
            <w:pPr>
              <w:rPr>
                <w:rFonts w:eastAsia="Times New Roman"/>
                <w:lang w:eastAsia="en-AU"/>
              </w:rPr>
            </w:pPr>
            <w:r>
              <w:rPr>
                <w:rFonts w:eastAsia="Times New Roman"/>
                <w:lang w:eastAsia="en-AU"/>
              </w:rPr>
              <w:t>211</w:t>
            </w:r>
          </w:p>
        </w:tc>
      </w:tr>
      <w:tr w:rsidR="00D92564" w:rsidRPr="005608CF" w14:paraId="2B3A0B04" w14:textId="77777777" w:rsidTr="00F10809">
        <w:trPr>
          <w:trHeight w:val="454"/>
        </w:trPr>
        <w:tc>
          <w:tcPr>
            <w:tcW w:w="3682" w:type="pct"/>
            <w:noWrap/>
            <w:vAlign w:val="center"/>
          </w:tcPr>
          <w:p w14:paraId="716A71EF" w14:textId="77777777" w:rsidR="00D92564" w:rsidRDefault="00D92564" w:rsidP="00F10809">
            <w:pPr>
              <w:rPr>
                <w:rFonts w:eastAsia="Times New Roman"/>
                <w:color w:val="000000"/>
                <w:lang w:eastAsia="en-AU"/>
              </w:rPr>
            </w:pPr>
            <w:r>
              <w:rPr>
                <w:rFonts w:eastAsia="Times New Roman"/>
                <w:color w:val="000000"/>
                <w:lang w:eastAsia="en-AU"/>
              </w:rPr>
              <w:t>Large (200+ FTE)</w:t>
            </w:r>
          </w:p>
        </w:tc>
        <w:tc>
          <w:tcPr>
            <w:tcW w:w="1318" w:type="pct"/>
            <w:noWrap/>
            <w:vAlign w:val="center"/>
          </w:tcPr>
          <w:p w14:paraId="1BA1DA22" w14:textId="77777777" w:rsidR="00D92564" w:rsidRPr="005608CF" w:rsidRDefault="00D92564" w:rsidP="00F10809">
            <w:pPr>
              <w:rPr>
                <w:rFonts w:eastAsia="Times New Roman"/>
                <w:lang w:eastAsia="en-AU"/>
              </w:rPr>
            </w:pPr>
            <w:r>
              <w:rPr>
                <w:rFonts w:eastAsia="Times New Roman"/>
                <w:lang w:eastAsia="en-AU"/>
              </w:rPr>
              <w:t>13</w:t>
            </w:r>
          </w:p>
        </w:tc>
      </w:tr>
      <w:tr w:rsidR="00D92564" w:rsidRPr="005608CF" w14:paraId="66CFF480" w14:textId="77777777" w:rsidTr="00F10809">
        <w:trPr>
          <w:trHeight w:val="454"/>
        </w:trPr>
        <w:tc>
          <w:tcPr>
            <w:tcW w:w="3682" w:type="pct"/>
            <w:noWrap/>
            <w:vAlign w:val="center"/>
          </w:tcPr>
          <w:p w14:paraId="6CC568EC" w14:textId="77777777" w:rsidR="00D92564" w:rsidRDefault="00D92564" w:rsidP="00F10809">
            <w:pPr>
              <w:rPr>
                <w:rFonts w:eastAsia="Times New Roman"/>
                <w:color w:val="000000"/>
                <w:lang w:eastAsia="en-AU"/>
              </w:rPr>
            </w:pPr>
            <w:r>
              <w:rPr>
                <w:rFonts w:eastAsia="Times New Roman"/>
                <w:color w:val="000000"/>
                <w:lang w:eastAsia="en-AU"/>
              </w:rPr>
              <w:t>TOTAL</w:t>
            </w:r>
          </w:p>
        </w:tc>
        <w:tc>
          <w:tcPr>
            <w:tcW w:w="1318" w:type="pct"/>
            <w:noWrap/>
            <w:vAlign w:val="center"/>
          </w:tcPr>
          <w:p w14:paraId="6C572915" w14:textId="77777777" w:rsidR="00D92564" w:rsidRDefault="00D92564" w:rsidP="00F10809">
            <w:pPr>
              <w:rPr>
                <w:rFonts w:eastAsia="Times New Roman"/>
                <w:lang w:eastAsia="en-AU"/>
              </w:rPr>
            </w:pPr>
            <w:r>
              <w:rPr>
                <w:rFonts w:eastAsia="Times New Roman"/>
                <w:lang w:eastAsia="en-AU"/>
              </w:rPr>
              <w:t>455</w:t>
            </w:r>
          </w:p>
        </w:tc>
      </w:tr>
    </w:tbl>
    <w:p w14:paraId="52E3C5AA" w14:textId="77777777" w:rsidR="00D92564" w:rsidRPr="0052102D" w:rsidRDefault="00D92564" w:rsidP="00F10809">
      <w:pPr>
        <w:spacing w:before="240"/>
        <w:rPr>
          <w:b/>
          <w:bCs/>
        </w:rPr>
      </w:pPr>
      <w:r w:rsidRPr="0052102D">
        <w:rPr>
          <w:b/>
          <w:bCs/>
        </w:rPr>
        <w:t xml:space="preserve">All responses by </w:t>
      </w:r>
      <w:r>
        <w:rPr>
          <w:b/>
          <w:bCs/>
        </w:rPr>
        <w:t>government</w:t>
      </w:r>
      <w:r w:rsidRPr="0052102D">
        <w:rPr>
          <w:b/>
          <w:bCs/>
        </w:rPr>
        <w:t xml:space="preserve"> priority</w:t>
      </w:r>
      <w:r>
        <w:rPr>
          <w:b/>
          <w:bCs/>
        </w:rPr>
        <w:t xml:space="preserve"> (ANZSIC) and business size</w:t>
      </w:r>
      <w:r w:rsidRPr="0052102D">
        <w:rPr>
          <w:b/>
          <w:bCs/>
        </w:rPr>
        <w:t>:</w:t>
      </w:r>
    </w:p>
    <w:tbl>
      <w:tblPr>
        <w:tblStyle w:val="TableGrid"/>
        <w:tblW w:w="0" w:type="auto"/>
        <w:tblLook w:val="04A0" w:firstRow="1" w:lastRow="0" w:firstColumn="1" w:lastColumn="0" w:noHBand="0" w:noVBand="1"/>
      </w:tblPr>
      <w:tblGrid>
        <w:gridCol w:w="2254"/>
        <w:gridCol w:w="2254"/>
        <w:gridCol w:w="2254"/>
        <w:gridCol w:w="2254"/>
      </w:tblGrid>
      <w:tr w:rsidR="00D92564" w14:paraId="1DD8BBED" w14:textId="77777777" w:rsidTr="00F6694F">
        <w:trPr>
          <w:trHeight w:val="454"/>
        </w:trPr>
        <w:tc>
          <w:tcPr>
            <w:tcW w:w="2254" w:type="dxa"/>
            <w:tcBorders>
              <w:right w:val="single" w:sz="4" w:space="0" w:color="FFFFFF"/>
            </w:tcBorders>
            <w:shd w:val="clear" w:color="auto" w:fill="001948" w:themeFill="text1" w:themeFillShade="80"/>
            <w:vAlign w:val="center"/>
          </w:tcPr>
          <w:p w14:paraId="0722EB92" w14:textId="77777777" w:rsidR="00D92564" w:rsidRPr="00DC1525" w:rsidRDefault="00D92564" w:rsidP="00F10809">
            <w:pPr>
              <w:rPr>
                <w:b/>
                <w:bCs/>
                <w:color w:val="FFFFFF"/>
              </w:rPr>
            </w:pPr>
            <w:r w:rsidRPr="00DC1525">
              <w:rPr>
                <w:b/>
                <w:bCs/>
                <w:color w:val="FFFFFF"/>
              </w:rPr>
              <w:t>Priority</w:t>
            </w:r>
          </w:p>
        </w:tc>
        <w:tc>
          <w:tcPr>
            <w:tcW w:w="2254" w:type="dxa"/>
            <w:tcBorders>
              <w:top w:val="nil"/>
              <w:left w:val="single" w:sz="4" w:space="0" w:color="FFFFFF"/>
              <w:bottom w:val="single" w:sz="4" w:space="0" w:color="auto"/>
              <w:right w:val="single" w:sz="4" w:space="0" w:color="FFFFFF"/>
            </w:tcBorders>
            <w:shd w:val="clear" w:color="auto" w:fill="001948" w:themeFill="text1" w:themeFillShade="80"/>
            <w:vAlign w:val="center"/>
          </w:tcPr>
          <w:p w14:paraId="61B3E73A" w14:textId="77777777" w:rsidR="00D92564" w:rsidRPr="00DC1525" w:rsidRDefault="00D92564" w:rsidP="00F10809">
            <w:pPr>
              <w:rPr>
                <w:b/>
                <w:bCs/>
                <w:color w:val="FFFFFF"/>
              </w:rPr>
            </w:pPr>
            <w:r w:rsidRPr="00DC1525">
              <w:rPr>
                <w:b/>
                <w:bCs/>
                <w:color w:val="FFFFFF"/>
              </w:rPr>
              <w:t>Small</w:t>
            </w:r>
          </w:p>
        </w:tc>
        <w:tc>
          <w:tcPr>
            <w:tcW w:w="2254" w:type="dxa"/>
            <w:tcBorders>
              <w:top w:val="nil"/>
              <w:left w:val="single" w:sz="4" w:space="0" w:color="FFFFFF"/>
              <w:bottom w:val="single" w:sz="4" w:space="0" w:color="auto"/>
              <w:right w:val="single" w:sz="4" w:space="0" w:color="FFFFFF"/>
            </w:tcBorders>
            <w:shd w:val="clear" w:color="auto" w:fill="001948" w:themeFill="text1" w:themeFillShade="80"/>
            <w:vAlign w:val="center"/>
          </w:tcPr>
          <w:p w14:paraId="4DBA75D5" w14:textId="77777777" w:rsidR="00D92564" w:rsidRPr="00DC1525" w:rsidRDefault="00D92564" w:rsidP="00F10809">
            <w:pPr>
              <w:rPr>
                <w:b/>
                <w:bCs/>
                <w:color w:val="FFFFFF"/>
              </w:rPr>
            </w:pPr>
            <w:r w:rsidRPr="00DC1525">
              <w:rPr>
                <w:b/>
                <w:bCs/>
                <w:color w:val="FFFFFF"/>
              </w:rPr>
              <w:t>Medium</w:t>
            </w:r>
          </w:p>
        </w:tc>
        <w:tc>
          <w:tcPr>
            <w:tcW w:w="2254" w:type="dxa"/>
            <w:tcBorders>
              <w:top w:val="nil"/>
              <w:left w:val="single" w:sz="4" w:space="0" w:color="FFFFFF"/>
              <w:bottom w:val="single" w:sz="4" w:space="0" w:color="auto"/>
              <w:right w:val="single" w:sz="4" w:space="0" w:color="FFFFFF"/>
            </w:tcBorders>
            <w:shd w:val="clear" w:color="auto" w:fill="001948" w:themeFill="text1" w:themeFillShade="80"/>
            <w:vAlign w:val="center"/>
          </w:tcPr>
          <w:p w14:paraId="05475D73" w14:textId="77777777" w:rsidR="00D92564" w:rsidRPr="00DC1525" w:rsidRDefault="00D92564" w:rsidP="00F10809">
            <w:pPr>
              <w:rPr>
                <w:b/>
                <w:bCs/>
                <w:color w:val="FFFFFF"/>
              </w:rPr>
            </w:pPr>
            <w:r w:rsidRPr="00DC1525">
              <w:rPr>
                <w:b/>
                <w:bCs/>
                <w:color w:val="FFFFFF"/>
              </w:rPr>
              <w:t>Large</w:t>
            </w:r>
          </w:p>
        </w:tc>
      </w:tr>
      <w:tr w:rsidR="00D92564" w14:paraId="3F0F1399" w14:textId="77777777" w:rsidTr="00F6694F">
        <w:trPr>
          <w:trHeight w:val="454"/>
        </w:trPr>
        <w:tc>
          <w:tcPr>
            <w:tcW w:w="2254" w:type="dxa"/>
            <w:vAlign w:val="center"/>
          </w:tcPr>
          <w:p w14:paraId="1EAE40F3" w14:textId="77777777" w:rsidR="00D92564" w:rsidRDefault="00D92564" w:rsidP="00F10809">
            <w:r>
              <w:t>Resources</w:t>
            </w:r>
          </w:p>
        </w:tc>
        <w:tc>
          <w:tcPr>
            <w:tcW w:w="2254" w:type="dxa"/>
            <w:tcBorders>
              <w:top w:val="single" w:sz="4" w:space="0" w:color="auto"/>
            </w:tcBorders>
            <w:vAlign w:val="center"/>
          </w:tcPr>
          <w:p w14:paraId="1DFE798E" w14:textId="77777777" w:rsidR="00D92564" w:rsidRDefault="00D92564" w:rsidP="00F10809">
            <w:r>
              <w:t>10</w:t>
            </w:r>
          </w:p>
        </w:tc>
        <w:tc>
          <w:tcPr>
            <w:tcW w:w="2254" w:type="dxa"/>
            <w:tcBorders>
              <w:top w:val="single" w:sz="4" w:space="0" w:color="auto"/>
              <w:right w:val="single" w:sz="4" w:space="0" w:color="auto"/>
            </w:tcBorders>
            <w:vAlign w:val="center"/>
          </w:tcPr>
          <w:p w14:paraId="4689F6CE" w14:textId="77777777" w:rsidR="00D92564" w:rsidRDefault="00D92564" w:rsidP="00F10809">
            <w:r>
              <w:t>8</w:t>
            </w:r>
          </w:p>
        </w:tc>
        <w:tc>
          <w:tcPr>
            <w:tcW w:w="2254" w:type="dxa"/>
            <w:tcBorders>
              <w:top w:val="single" w:sz="4" w:space="0" w:color="auto"/>
              <w:left w:val="single" w:sz="4" w:space="0" w:color="auto"/>
            </w:tcBorders>
            <w:vAlign w:val="center"/>
          </w:tcPr>
          <w:p w14:paraId="35CE1BD9" w14:textId="77777777" w:rsidR="00D92564" w:rsidRDefault="00D92564" w:rsidP="00F10809">
            <w:r>
              <w:t>0</w:t>
            </w:r>
          </w:p>
        </w:tc>
      </w:tr>
      <w:tr w:rsidR="00D92564" w14:paraId="2FD899CD" w14:textId="77777777" w:rsidTr="00F10809">
        <w:trPr>
          <w:trHeight w:val="454"/>
        </w:trPr>
        <w:tc>
          <w:tcPr>
            <w:tcW w:w="2254" w:type="dxa"/>
            <w:vAlign w:val="center"/>
          </w:tcPr>
          <w:p w14:paraId="406F9E29" w14:textId="77777777" w:rsidR="00D92564" w:rsidRDefault="00D92564" w:rsidP="00F10809">
            <w:r>
              <w:t>Agriculture</w:t>
            </w:r>
          </w:p>
        </w:tc>
        <w:tc>
          <w:tcPr>
            <w:tcW w:w="2254" w:type="dxa"/>
            <w:vAlign w:val="center"/>
          </w:tcPr>
          <w:p w14:paraId="151372F9" w14:textId="77777777" w:rsidR="00D92564" w:rsidRDefault="00D92564" w:rsidP="00F10809">
            <w:r>
              <w:t>25</w:t>
            </w:r>
          </w:p>
        </w:tc>
        <w:tc>
          <w:tcPr>
            <w:tcW w:w="2254" w:type="dxa"/>
            <w:vAlign w:val="center"/>
          </w:tcPr>
          <w:p w14:paraId="262E7966" w14:textId="77777777" w:rsidR="00D92564" w:rsidRDefault="00D92564" w:rsidP="00F10809">
            <w:r>
              <w:t>36</w:t>
            </w:r>
          </w:p>
        </w:tc>
        <w:tc>
          <w:tcPr>
            <w:tcW w:w="2254" w:type="dxa"/>
            <w:vAlign w:val="center"/>
          </w:tcPr>
          <w:p w14:paraId="5FF407B5" w14:textId="77777777" w:rsidR="00D92564" w:rsidRDefault="00D92564" w:rsidP="00F10809">
            <w:r>
              <w:t>2</w:t>
            </w:r>
          </w:p>
        </w:tc>
      </w:tr>
      <w:tr w:rsidR="00D92564" w14:paraId="6A8A4C65" w14:textId="77777777" w:rsidTr="00F10809">
        <w:trPr>
          <w:trHeight w:val="454"/>
        </w:trPr>
        <w:tc>
          <w:tcPr>
            <w:tcW w:w="2254" w:type="dxa"/>
            <w:vAlign w:val="center"/>
          </w:tcPr>
          <w:p w14:paraId="2391084B" w14:textId="77777777" w:rsidR="00D92564" w:rsidRDefault="00D92564" w:rsidP="00F10809">
            <w:r>
              <w:t>Transport</w:t>
            </w:r>
          </w:p>
        </w:tc>
        <w:tc>
          <w:tcPr>
            <w:tcW w:w="2254" w:type="dxa"/>
            <w:vAlign w:val="center"/>
          </w:tcPr>
          <w:p w14:paraId="0DF7EF47" w14:textId="77777777" w:rsidR="00D92564" w:rsidRDefault="00D92564" w:rsidP="00F10809">
            <w:r>
              <w:t>1</w:t>
            </w:r>
          </w:p>
        </w:tc>
        <w:tc>
          <w:tcPr>
            <w:tcW w:w="2254" w:type="dxa"/>
            <w:vAlign w:val="center"/>
          </w:tcPr>
          <w:p w14:paraId="7BA33BF3" w14:textId="77777777" w:rsidR="00D92564" w:rsidRDefault="00D92564" w:rsidP="00F10809">
            <w:r>
              <w:t>8</w:t>
            </w:r>
          </w:p>
        </w:tc>
        <w:tc>
          <w:tcPr>
            <w:tcW w:w="2254" w:type="dxa"/>
            <w:vAlign w:val="center"/>
          </w:tcPr>
          <w:p w14:paraId="403FCC38" w14:textId="77777777" w:rsidR="00D92564" w:rsidRDefault="00D92564" w:rsidP="00F10809">
            <w:r>
              <w:t>0</w:t>
            </w:r>
          </w:p>
        </w:tc>
      </w:tr>
      <w:tr w:rsidR="00D92564" w14:paraId="4B1DDFBB" w14:textId="77777777" w:rsidTr="00F10809">
        <w:trPr>
          <w:trHeight w:val="454"/>
        </w:trPr>
        <w:tc>
          <w:tcPr>
            <w:tcW w:w="2254" w:type="dxa"/>
            <w:vAlign w:val="center"/>
          </w:tcPr>
          <w:p w14:paraId="56A1A68A" w14:textId="77777777" w:rsidR="00D92564" w:rsidRDefault="00D92564" w:rsidP="00F10809">
            <w:r>
              <w:t>Medical</w:t>
            </w:r>
          </w:p>
        </w:tc>
        <w:tc>
          <w:tcPr>
            <w:tcW w:w="2254" w:type="dxa"/>
            <w:vAlign w:val="center"/>
          </w:tcPr>
          <w:p w14:paraId="127EF2E6" w14:textId="77777777" w:rsidR="00D92564" w:rsidRDefault="00D92564" w:rsidP="00F10809">
            <w:r>
              <w:t>21</w:t>
            </w:r>
          </w:p>
        </w:tc>
        <w:tc>
          <w:tcPr>
            <w:tcW w:w="2254" w:type="dxa"/>
            <w:vAlign w:val="center"/>
          </w:tcPr>
          <w:p w14:paraId="2B391136" w14:textId="77777777" w:rsidR="00D92564" w:rsidRDefault="00D92564" w:rsidP="00F10809">
            <w:r>
              <w:t>13</w:t>
            </w:r>
          </w:p>
        </w:tc>
        <w:tc>
          <w:tcPr>
            <w:tcW w:w="2254" w:type="dxa"/>
            <w:vAlign w:val="center"/>
          </w:tcPr>
          <w:p w14:paraId="47560C2C" w14:textId="77777777" w:rsidR="00D92564" w:rsidRDefault="00D92564" w:rsidP="00F10809">
            <w:r>
              <w:t>0</w:t>
            </w:r>
          </w:p>
        </w:tc>
      </w:tr>
      <w:tr w:rsidR="00D92564" w14:paraId="5AFFCBDA" w14:textId="77777777" w:rsidTr="00F10809">
        <w:trPr>
          <w:trHeight w:val="454"/>
        </w:trPr>
        <w:tc>
          <w:tcPr>
            <w:tcW w:w="2254" w:type="dxa"/>
            <w:vAlign w:val="center"/>
          </w:tcPr>
          <w:p w14:paraId="541CEA6A" w14:textId="77777777" w:rsidR="00D92564" w:rsidRDefault="00D92564" w:rsidP="00F10809">
            <w:r>
              <w:t>Renewable Energy</w:t>
            </w:r>
          </w:p>
        </w:tc>
        <w:tc>
          <w:tcPr>
            <w:tcW w:w="2254" w:type="dxa"/>
            <w:vAlign w:val="center"/>
          </w:tcPr>
          <w:p w14:paraId="7459CA68" w14:textId="77777777" w:rsidR="00D92564" w:rsidRDefault="00D92564" w:rsidP="00F10809">
            <w:r>
              <w:t>4</w:t>
            </w:r>
          </w:p>
        </w:tc>
        <w:tc>
          <w:tcPr>
            <w:tcW w:w="2254" w:type="dxa"/>
            <w:vAlign w:val="center"/>
          </w:tcPr>
          <w:p w14:paraId="33B6F92F" w14:textId="77777777" w:rsidR="00D92564" w:rsidRDefault="00D92564" w:rsidP="00F10809">
            <w:r>
              <w:t>3</w:t>
            </w:r>
          </w:p>
        </w:tc>
        <w:tc>
          <w:tcPr>
            <w:tcW w:w="2254" w:type="dxa"/>
            <w:vAlign w:val="center"/>
          </w:tcPr>
          <w:p w14:paraId="0D824E3A" w14:textId="77777777" w:rsidR="00D92564" w:rsidRDefault="00D92564" w:rsidP="00F10809">
            <w:r>
              <w:t>0</w:t>
            </w:r>
          </w:p>
        </w:tc>
      </w:tr>
      <w:tr w:rsidR="00D92564" w14:paraId="1488E382" w14:textId="77777777" w:rsidTr="00F10809">
        <w:trPr>
          <w:trHeight w:val="454"/>
        </w:trPr>
        <w:tc>
          <w:tcPr>
            <w:tcW w:w="2254" w:type="dxa"/>
            <w:vAlign w:val="center"/>
          </w:tcPr>
          <w:p w14:paraId="223C60A9" w14:textId="77777777" w:rsidR="00D92564" w:rsidRDefault="00D92564" w:rsidP="00F10809">
            <w:r>
              <w:t>Enabling Technologies</w:t>
            </w:r>
          </w:p>
        </w:tc>
        <w:tc>
          <w:tcPr>
            <w:tcW w:w="2254" w:type="dxa"/>
            <w:vAlign w:val="center"/>
          </w:tcPr>
          <w:p w14:paraId="0154ED8B" w14:textId="77777777" w:rsidR="00D92564" w:rsidRDefault="00D92564" w:rsidP="00F10809">
            <w:r>
              <w:t>59</w:t>
            </w:r>
          </w:p>
        </w:tc>
        <w:tc>
          <w:tcPr>
            <w:tcW w:w="2254" w:type="dxa"/>
            <w:vAlign w:val="center"/>
          </w:tcPr>
          <w:p w14:paraId="32299F2D" w14:textId="77777777" w:rsidR="00D92564" w:rsidRDefault="00D92564" w:rsidP="00F10809">
            <w:r>
              <w:t>39</w:t>
            </w:r>
          </w:p>
        </w:tc>
        <w:tc>
          <w:tcPr>
            <w:tcW w:w="2254" w:type="dxa"/>
            <w:vAlign w:val="center"/>
          </w:tcPr>
          <w:p w14:paraId="01CC453D" w14:textId="77777777" w:rsidR="00D92564" w:rsidRDefault="00D92564" w:rsidP="00F10809">
            <w:r>
              <w:t>1</w:t>
            </w:r>
          </w:p>
        </w:tc>
      </w:tr>
      <w:tr w:rsidR="00D92564" w14:paraId="4AC11A32" w14:textId="77777777" w:rsidTr="00F10809">
        <w:trPr>
          <w:trHeight w:val="454"/>
        </w:trPr>
        <w:tc>
          <w:tcPr>
            <w:tcW w:w="2254" w:type="dxa"/>
            <w:shd w:val="clear" w:color="auto" w:fill="C9F0FF" w:themeFill="background2" w:themeFillTint="33"/>
            <w:vAlign w:val="center"/>
          </w:tcPr>
          <w:p w14:paraId="628C9FBF" w14:textId="77777777" w:rsidR="00D92564" w:rsidRDefault="00D92564" w:rsidP="00F10809">
            <w:r>
              <w:t>Not aligned</w:t>
            </w:r>
          </w:p>
        </w:tc>
        <w:tc>
          <w:tcPr>
            <w:tcW w:w="2254" w:type="dxa"/>
            <w:shd w:val="clear" w:color="auto" w:fill="C9F0FF" w:themeFill="background2" w:themeFillTint="33"/>
            <w:vAlign w:val="center"/>
          </w:tcPr>
          <w:p w14:paraId="47D94D59" w14:textId="77777777" w:rsidR="00D92564" w:rsidRDefault="00D92564" w:rsidP="00F10809">
            <w:r>
              <w:t>111</w:t>
            </w:r>
          </w:p>
        </w:tc>
        <w:tc>
          <w:tcPr>
            <w:tcW w:w="2254" w:type="dxa"/>
            <w:shd w:val="clear" w:color="auto" w:fill="C9F0FF" w:themeFill="background2" w:themeFillTint="33"/>
            <w:vAlign w:val="center"/>
          </w:tcPr>
          <w:p w14:paraId="76792127" w14:textId="77777777" w:rsidR="00D92564" w:rsidRDefault="00D92564" w:rsidP="00F10809">
            <w:r>
              <w:t>104</w:t>
            </w:r>
          </w:p>
        </w:tc>
        <w:tc>
          <w:tcPr>
            <w:tcW w:w="2254" w:type="dxa"/>
            <w:shd w:val="clear" w:color="auto" w:fill="C9F0FF" w:themeFill="background2" w:themeFillTint="33"/>
            <w:vAlign w:val="center"/>
          </w:tcPr>
          <w:p w14:paraId="1FF9BC7F" w14:textId="77777777" w:rsidR="00D92564" w:rsidRDefault="00D92564" w:rsidP="00F10809">
            <w:r>
              <w:t>10</w:t>
            </w:r>
          </w:p>
        </w:tc>
      </w:tr>
    </w:tbl>
    <w:p w14:paraId="6F4B9A91" w14:textId="6DD50412" w:rsidR="00926F68" w:rsidRDefault="00926F68" w:rsidP="00D40AAE">
      <w:pPr>
        <w:pStyle w:val="ListParagraph"/>
        <w:numPr>
          <w:ilvl w:val="0"/>
          <w:numId w:val="51"/>
        </w:numPr>
        <w:spacing w:before="60" w:after="60" w:line="360" w:lineRule="auto"/>
        <w:ind w:left="357" w:hanging="357"/>
      </w:pPr>
      <w:r>
        <w:br w:type="page"/>
      </w:r>
    </w:p>
    <w:p w14:paraId="46466EEF" w14:textId="30A644FD" w:rsidR="00A83633" w:rsidRPr="007137C6" w:rsidRDefault="00D92564" w:rsidP="00F6694F">
      <w:pPr>
        <w:pStyle w:val="Heading3"/>
      </w:pPr>
      <w:bookmarkStart w:id="93" w:name="_Appendix_2:_Glossary"/>
      <w:bookmarkStart w:id="94" w:name="_Toc1854537342"/>
      <w:bookmarkStart w:id="95" w:name="Appendix_2_Glossary_of_terms"/>
      <w:bookmarkStart w:id="96" w:name="_Toc152165434"/>
      <w:bookmarkEnd w:id="93"/>
      <w:r w:rsidRPr="007137C6">
        <w:t xml:space="preserve">Appendix </w:t>
      </w:r>
      <w:r w:rsidR="00941C12" w:rsidRPr="007137C6">
        <w:t>2</w:t>
      </w:r>
      <w:r w:rsidRPr="007137C6">
        <w:t xml:space="preserve">: </w:t>
      </w:r>
      <w:r w:rsidR="00A83633" w:rsidRPr="007137C6">
        <w:t>Glossary of terms</w:t>
      </w:r>
      <w:bookmarkEnd w:id="94"/>
      <w:bookmarkEnd w:id="95"/>
      <w:bookmarkEnd w:id="96"/>
    </w:p>
    <w:p w14:paraId="73674D5E" w14:textId="66A68CDA" w:rsidR="00A83633" w:rsidRPr="006B3A26" w:rsidRDefault="00A83633" w:rsidP="006B3A26">
      <w:pPr>
        <w:numPr>
          <w:ilvl w:val="0"/>
          <w:numId w:val="46"/>
        </w:numPr>
        <w:spacing w:line="252" w:lineRule="auto"/>
        <w:rPr>
          <w:rFonts w:ascii="Calibri" w:eastAsia="Calibri" w:hAnsi="Calibri" w:cs="Times New Roman"/>
          <w:b/>
          <w:bCs/>
        </w:rPr>
      </w:pPr>
      <w:bookmarkStart w:id="97" w:name="_Toc145060203"/>
      <w:bookmarkStart w:id="98" w:name="_Toc145060281"/>
      <w:bookmarkStart w:id="99" w:name="_Toc144825192"/>
      <w:bookmarkStart w:id="100" w:name="_Toc144944454"/>
      <w:bookmarkStart w:id="101" w:name="_Toc231170795"/>
      <w:bookmarkStart w:id="102" w:name="_Toc145000225"/>
      <w:bookmarkEnd w:id="97"/>
      <w:bookmarkEnd w:id="98"/>
      <w:r w:rsidRPr="006B3A26">
        <w:rPr>
          <w:rFonts w:ascii="Calibri" w:eastAsia="Calibri" w:hAnsi="Calibri" w:cs="Times New Roman"/>
          <w:b/>
        </w:rPr>
        <w:t>Absorptive Capacity</w:t>
      </w:r>
      <w:r w:rsidRPr="006B3A26">
        <w:rPr>
          <w:rFonts w:ascii="Calibri" w:eastAsia="Calibri" w:hAnsi="Calibri" w:cs="Times New Roman"/>
          <w:b/>
          <w:bCs/>
        </w:rPr>
        <w:t xml:space="preserve"> </w:t>
      </w:r>
      <w:r w:rsidRPr="006B3A26">
        <w:rPr>
          <w:rFonts w:ascii="Calibri" w:eastAsia="Calibri" w:hAnsi="Calibri" w:cs="Times New Roman"/>
        </w:rPr>
        <w:t xml:space="preserve">the ability of a </w:t>
      </w:r>
      <w:r w:rsidR="003B20CF">
        <w:rPr>
          <w:rFonts w:ascii="Calibri" w:eastAsia="Calibri" w:hAnsi="Calibri" w:cs="Times New Roman"/>
        </w:rPr>
        <w:t>business</w:t>
      </w:r>
      <w:r w:rsidR="003B20CF" w:rsidRPr="006B3A26">
        <w:rPr>
          <w:rFonts w:ascii="Calibri" w:eastAsia="Calibri" w:hAnsi="Calibri" w:cs="Times New Roman"/>
        </w:rPr>
        <w:t xml:space="preserve"> </w:t>
      </w:r>
      <w:r w:rsidRPr="006B3A26">
        <w:rPr>
          <w:rFonts w:ascii="Calibri" w:eastAsia="Calibri" w:hAnsi="Calibri" w:cs="Times New Roman"/>
        </w:rPr>
        <w:t>to recognise the value of new, external information, assimilate it, and apply it to commercial ends.</w:t>
      </w:r>
      <w:r w:rsidRPr="006B3A26">
        <w:rPr>
          <w:rFonts w:ascii="Calibri" w:eastAsia="Calibri" w:hAnsi="Calibri" w:cs="Times New Roman"/>
          <w:vertAlign w:val="superscript"/>
        </w:rPr>
        <w:footnoteReference w:id="52"/>
      </w:r>
      <w:bookmarkEnd w:id="99"/>
      <w:bookmarkEnd w:id="100"/>
      <w:bookmarkEnd w:id="101"/>
      <w:bookmarkEnd w:id="102"/>
    </w:p>
    <w:p w14:paraId="5D0FFFFD" w14:textId="5280D149" w:rsidR="00A83633" w:rsidRPr="006B3A26" w:rsidRDefault="00A83633" w:rsidP="006B3A26">
      <w:pPr>
        <w:numPr>
          <w:ilvl w:val="0"/>
          <w:numId w:val="46"/>
        </w:numPr>
        <w:spacing w:line="252" w:lineRule="auto"/>
        <w:rPr>
          <w:rFonts w:ascii="Calibri" w:eastAsia="Calibri" w:hAnsi="Calibri" w:cs="Times New Roman"/>
        </w:rPr>
      </w:pPr>
      <w:r w:rsidRPr="006B3A26">
        <w:rPr>
          <w:rFonts w:ascii="Calibri" w:eastAsia="Calibri" w:hAnsi="Calibri" w:cs="Times New Roman"/>
          <w:b/>
        </w:rPr>
        <w:t xml:space="preserve">Building scale and </w:t>
      </w:r>
      <w:r w:rsidR="00B22B9B">
        <w:rPr>
          <w:rFonts w:ascii="Calibri" w:eastAsia="Calibri" w:hAnsi="Calibri" w:cs="Times New Roman"/>
          <w:b/>
        </w:rPr>
        <w:t>“</w:t>
      </w:r>
      <w:r w:rsidRPr="006B3A26">
        <w:rPr>
          <w:rFonts w:ascii="Calibri" w:eastAsia="Calibri" w:hAnsi="Calibri" w:cs="Times New Roman"/>
          <w:b/>
        </w:rPr>
        <w:t>scale up</w:t>
      </w:r>
      <w:r w:rsidR="00B22B9B">
        <w:rPr>
          <w:rFonts w:ascii="Calibri" w:eastAsia="Calibri" w:hAnsi="Calibri" w:cs="Times New Roman"/>
          <w:b/>
        </w:rPr>
        <w:t>”</w:t>
      </w:r>
      <w:r w:rsidRPr="006B3A26">
        <w:rPr>
          <w:rFonts w:ascii="Calibri" w:eastAsia="Calibri" w:hAnsi="Calibri" w:cs="Times New Roman"/>
          <w:b/>
        </w:rPr>
        <w:t xml:space="preserve"> </w:t>
      </w:r>
      <w:r w:rsidRPr="006B3A26">
        <w:rPr>
          <w:rFonts w:ascii="Calibri" w:eastAsia="Calibri" w:hAnsi="Calibri" w:cs="Times New Roman"/>
        </w:rPr>
        <w:t xml:space="preserve">refer to business growth. Recognising that business growth is a process with varying phases (including steady growth, stagnation, high </w:t>
      </w:r>
      <w:proofErr w:type="gramStart"/>
      <w:r w:rsidRPr="006B3A26">
        <w:rPr>
          <w:rFonts w:ascii="Calibri" w:eastAsia="Calibri" w:hAnsi="Calibri" w:cs="Times New Roman"/>
        </w:rPr>
        <w:t>growth</w:t>
      </w:r>
      <w:proofErr w:type="gramEnd"/>
      <w:r w:rsidRPr="006B3A26">
        <w:rPr>
          <w:rFonts w:ascii="Calibri" w:eastAsia="Calibri" w:hAnsi="Calibri" w:cs="Times New Roman"/>
        </w:rPr>
        <w:t xml:space="preserve"> and declines), increasing business scale encompasses </w:t>
      </w:r>
      <w:r w:rsidR="00B22B9B">
        <w:rPr>
          <w:rFonts w:ascii="Calibri" w:eastAsia="Calibri" w:hAnsi="Calibri" w:cs="Times New Roman"/>
        </w:rPr>
        <w:t>“</w:t>
      </w:r>
      <w:r w:rsidRPr="006B3A26">
        <w:rPr>
          <w:rFonts w:ascii="Calibri" w:eastAsia="Calibri" w:hAnsi="Calibri" w:cs="Times New Roman"/>
        </w:rPr>
        <w:t>high-growth businesses</w:t>
      </w:r>
      <w:r w:rsidR="00B22B9B">
        <w:rPr>
          <w:rFonts w:ascii="Calibri" w:eastAsia="Calibri" w:hAnsi="Calibri" w:cs="Times New Roman"/>
        </w:rPr>
        <w:t>”</w:t>
      </w:r>
      <w:r w:rsidRPr="006B3A26">
        <w:rPr>
          <w:rFonts w:ascii="Calibri" w:eastAsia="Calibri" w:hAnsi="Calibri" w:cs="Times New Roman"/>
        </w:rPr>
        <w:t xml:space="preserve"> including transformation of startups into larger enterprises, as well as growth in established medium and large manufacturers.</w:t>
      </w:r>
    </w:p>
    <w:p w14:paraId="49DC7C07" w14:textId="77777777" w:rsidR="00A83633" w:rsidRPr="006B3A26" w:rsidRDefault="00A83633" w:rsidP="006B3A26">
      <w:pPr>
        <w:numPr>
          <w:ilvl w:val="0"/>
          <w:numId w:val="46"/>
        </w:numPr>
        <w:spacing w:line="252" w:lineRule="auto"/>
        <w:rPr>
          <w:rFonts w:ascii="Calibri" w:eastAsia="Calibri" w:hAnsi="Calibri" w:cs="Times New Roman"/>
        </w:rPr>
      </w:pPr>
      <w:r w:rsidRPr="006B3A26">
        <w:rPr>
          <w:rFonts w:ascii="Calibri" w:eastAsia="Calibri" w:hAnsi="Calibri" w:cs="Times New Roman"/>
          <w:b/>
        </w:rPr>
        <w:t>Business model and Business model innovation (BMI)</w:t>
      </w:r>
      <w:r w:rsidRPr="006B3A26">
        <w:rPr>
          <w:rFonts w:ascii="Calibri" w:eastAsia="Calibri" w:hAnsi="Calibri" w:cs="Times New Roman"/>
        </w:rPr>
        <w:t xml:space="preserve"> refers to the logic underpinning how businesses create and deliver value for customers and how they generate revenue streams. BMI refers to key changes in how a business creates and delivers value or generates revenue.</w:t>
      </w:r>
    </w:p>
    <w:p w14:paraId="2A8F00B2" w14:textId="471D79FE" w:rsidR="00A83633" w:rsidRPr="006B3A26" w:rsidRDefault="00A83633" w:rsidP="006B3A26">
      <w:pPr>
        <w:numPr>
          <w:ilvl w:val="0"/>
          <w:numId w:val="46"/>
        </w:numPr>
        <w:spacing w:line="252" w:lineRule="auto"/>
        <w:rPr>
          <w:rFonts w:ascii="Calibri" w:eastAsia="Calibri" w:hAnsi="Calibri" w:cs="Times New Roman"/>
        </w:rPr>
      </w:pPr>
      <w:r w:rsidRPr="006B3A26">
        <w:rPr>
          <w:rFonts w:ascii="Calibri" w:eastAsia="Calibri" w:hAnsi="Calibri" w:cs="Times New Roman"/>
          <w:b/>
          <w:bCs/>
        </w:rPr>
        <w:t xml:space="preserve">Collaboration </w:t>
      </w:r>
      <w:r w:rsidRPr="006B3A26">
        <w:rPr>
          <w:rFonts w:ascii="Calibri" w:eastAsia="Calibri" w:hAnsi="Calibri" w:cs="Times New Roman"/>
          <w:lang w:val="en"/>
        </w:rPr>
        <w:t xml:space="preserve">is any arrangement where entities work together for mutual benefit and share some of the technical and commercial risks. For example, </w:t>
      </w:r>
      <w:r w:rsidRPr="006B3A26">
        <w:rPr>
          <w:rFonts w:ascii="Calibri" w:eastAsia="Calibri" w:hAnsi="Calibri" w:cs="Times New Roman"/>
        </w:rPr>
        <w:t xml:space="preserve">consultancies, research contracts, joint research collaborations, licensing of intellectual property and staffing placements. </w:t>
      </w:r>
      <w:r w:rsidRPr="006B3A26">
        <w:rPr>
          <w:rFonts w:ascii="Calibri" w:eastAsia="Calibri" w:hAnsi="Calibri" w:cs="Times New Roman"/>
          <w:lang w:val="en"/>
        </w:rPr>
        <w:t xml:space="preserve">It explicitly excludes fee for service and franchise arrangements. Collaboration involves a degree of trust and interdependence. </w:t>
      </w:r>
    </w:p>
    <w:p w14:paraId="4B1A7292" w14:textId="32E9C67F" w:rsidR="00A83633" w:rsidRPr="006B3A26" w:rsidRDefault="00A83633" w:rsidP="006B3A26">
      <w:pPr>
        <w:numPr>
          <w:ilvl w:val="0"/>
          <w:numId w:val="46"/>
        </w:numPr>
        <w:rPr>
          <w:rFonts w:ascii="Calibri" w:eastAsia="Calibri" w:hAnsi="Calibri" w:cs="Arial"/>
        </w:rPr>
      </w:pPr>
      <w:r w:rsidRPr="006B3A26">
        <w:rPr>
          <w:rFonts w:ascii="Calibri" w:eastAsia="Calibri" w:hAnsi="Calibri" w:cs="Times New Roman"/>
          <w:b/>
          <w:bCs/>
        </w:rPr>
        <w:t>Commercialisation</w:t>
      </w:r>
      <w:r w:rsidRPr="006B3A26">
        <w:rPr>
          <w:rFonts w:ascii="Calibri" w:eastAsia="Calibri" w:hAnsi="Calibri" w:cs="Times New Roman"/>
        </w:rPr>
        <w:t xml:space="preserve"> is the process through which ideas or research can be exploited by businesses and researchers themselves to generate economic and social value and industrial development.</w:t>
      </w:r>
      <w:r w:rsidRPr="006B3A26">
        <w:rPr>
          <w:rFonts w:ascii="Calibri" w:eastAsia="Calibri" w:hAnsi="Calibri" w:cs="Times New Roman"/>
          <w:vertAlign w:val="superscript"/>
        </w:rPr>
        <w:footnoteReference w:id="53"/>
      </w:r>
      <w:r w:rsidRPr="006B3A26">
        <w:rPr>
          <w:rFonts w:ascii="Calibri" w:eastAsia="Calibri" w:hAnsi="Calibri" w:cs="Times New Roman"/>
        </w:rPr>
        <w:t xml:space="preserve"> It involves a process of introducing an innovation into commerce</w:t>
      </w:r>
      <w:r w:rsidR="00574B33">
        <w:rPr>
          <w:rFonts w:ascii="Calibri" w:eastAsia="Calibri" w:hAnsi="Calibri" w:cs="Times New Roman"/>
        </w:rPr>
        <w:t xml:space="preserve"> </w:t>
      </w:r>
      <w:r w:rsidR="00574B33" w:rsidRPr="00574B33">
        <w:rPr>
          <w:rFonts w:ascii="Calibri" w:eastAsia="Calibri" w:hAnsi="Calibri" w:cs="Times New Roman"/>
        </w:rPr>
        <w:t>–</w:t>
      </w:r>
      <w:r w:rsidR="00574B33">
        <w:rPr>
          <w:rFonts w:ascii="Calibri" w:eastAsia="Calibri" w:hAnsi="Calibri" w:cs="Times New Roman"/>
        </w:rPr>
        <w:t xml:space="preserve"> </w:t>
      </w:r>
      <w:r w:rsidRPr="006B3A26">
        <w:rPr>
          <w:rFonts w:ascii="Calibri" w:eastAsia="Calibri" w:hAnsi="Calibri" w:cs="Times New Roman"/>
        </w:rPr>
        <w:t>making a new or improved product or service available in the market.</w:t>
      </w:r>
      <w:r w:rsidRPr="006B3A26">
        <w:rPr>
          <w:rFonts w:ascii="Calibri" w:eastAsia="Calibri" w:hAnsi="Calibri" w:cs="Arial"/>
        </w:rPr>
        <w:t xml:space="preserve"> </w:t>
      </w:r>
      <w:r w:rsidRPr="006B3A26">
        <w:rPr>
          <w:rFonts w:ascii="Calibri" w:eastAsia="Calibri" w:hAnsi="Calibri" w:cs="Times New Roman"/>
        </w:rPr>
        <w:t xml:space="preserve">Proxies for research commercialisation are registered intellectual property rights, designs, </w:t>
      </w:r>
      <w:proofErr w:type="gramStart"/>
      <w:r w:rsidRPr="006B3A26">
        <w:rPr>
          <w:rFonts w:ascii="Calibri" w:eastAsia="Calibri" w:hAnsi="Calibri" w:cs="Times New Roman"/>
        </w:rPr>
        <w:t>trademarks</w:t>
      </w:r>
      <w:proofErr w:type="gramEnd"/>
      <w:r w:rsidRPr="006B3A26">
        <w:rPr>
          <w:rFonts w:ascii="Calibri" w:eastAsia="Calibri" w:hAnsi="Calibri" w:cs="Times New Roman"/>
        </w:rPr>
        <w:t xml:space="preserve"> and patents.</w:t>
      </w:r>
    </w:p>
    <w:p w14:paraId="50AA36EF" w14:textId="247F3A3E" w:rsidR="00A83633" w:rsidRPr="006B3A26" w:rsidRDefault="00A83633" w:rsidP="006B3A26">
      <w:pPr>
        <w:numPr>
          <w:ilvl w:val="0"/>
          <w:numId w:val="46"/>
        </w:numPr>
        <w:rPr>
          <w:rFonts w:ascii="Calibri" w:eastAsia="Calibri" w:hAnsi="Calibri" w:cs="Arial"/>
        </w:rPr>
      </w:pPr>
      <w:r w:rsidRPr="006B3A26">
        <w:rPr>
          <w:rFonts w:ascii="Calibri" w:eastAsia="Calibri" w:hAnsi="Calibri" w:cs="Times New Roman"/>
          <w:b/>
        </w:rPr>
        <w:t>Competing on value</w:t>
      </w:r>
      <w:r w:rsidRPr="006B3A26">
        <w:rPr>
          <w:rFonts w:ascii="Calibri" w:eastAsia="Calibri" w:hAnsi="Calibri" w:cs="Times New Roman"/>
        </w:rPr>
        <w:t xml:space="preserve"> refers to a business’s ability to compete on the higher value of their products, rather than simply on their cost. It involves a shift in focus to increasing sales of high</w:t>
      </w:r>
      <w:r w:rsidRPr="006B3A26">
        <w:rPr>
          <w:rFonts w:ascii="Calibri" w:eastAsia="Calibri" w:hAnsi="Calibri" w:cs="Times New Roman"/>
        </w:rPr>
        <w:noBreakHyphen/>
        <w:t>quality outputs rather than reducing costs to achieve scale, particularly through pre</w:t>
      </w:r>
      <w:r w:rsidR="007F7D4A">
        <w:rPr>
          <w:rFonts w:ascii="Calibri" w:eastAsia="Calibri" w:hAnsi="Calibri" w:cs="Times New Roman"/>
        </w:rPr>
        <w:noBreakHyphen/>
        <w:t>production</w:t>
      </w:r>
      <w:r w:rsidRPr="006B3A26">
        <w:rPr>
          <w:rFonts w:ascii="Calibri" w:eastAsia="Calibri" w:hAnsi="Calibri" w:cs="Times New Roman"/>
        </w:rPr>
        <w:t xml:space="preserve"> and post</w:t>
      </w:r>
      <w:r w:rsidRPr="006B3A26">
        <w:rPr>
          <w:rFonts w:ascii="Calibri" w:eastAsia="Calibri" w:hAnsi="Calibri" w:cs="Times New Roman"/>
        </w:rPr>
        <w:noBreakHyphen/>
        <w:t xml:space="preserve">production activities. </w:t>
      </w:r>
    </w:p>
    <w:p w14:paraId="2D0A5E3E" w14:textId="77777777" w:rsidR="00A83633" w:rsidRPr="006B3A26" w:rsidRDefault="00A83633" w:rsidP="006B3A26">
      <w:pPr>
        <w:numPr>
          <w:ilvl w:val="0"/>
          <w:numId w:val="46"/>
        </w:numPr>
        <w:spacing w:line="252" w:lineRule="auto"/>
        <w:rPr>
          <w:rFonts w:ascii="Calibri" w:eastAsia="Calibri" w:hAnsi="Calibri" w:cs="Times New Roman"/>
        </w:rPr>
      </w:pPr>
      <w:r w:rsidRPr="006B3A26">
        <w:rPr>
          <w:rFonts w:ascii="Calibri" w:eastAsia="Calibri" w:hAnsi="Calibri" w:cs="Times New Roman"/>
          <w:b/>
        </w:rPr>
        <w:t xml:space="preserve">Global value chain </w:t>
      </w:r>
      <w:r w:rsidRPr="006B3A26">
        <w:rPr>
          <w:rFonts w:ascii="Calibri" w:eastAsia="Calibri" w:hAnsi="Calibri" w:cs="Times New Roman"/>
        </w:rPr>
        <w:t>refers to</w:t>
      </w:r>
      <w:r w:rsidRPr="006B3A26">
        <w:rPr>
          <w:rFonts w:ascii="Calibri" w:eastAsia="Calibri" w:hAnsi="Calibri" w:cs="Times New Roman"/>
          <w:b/>
        </w:rPr>
        <w:t xml:space="preserve"> </w:t>
      </w:r>
      <w:r w:rsidRPr="006B3A26">
        <w:rPr>
          <w:rFonts w:ascii="Calibri" w:eastAsia="Calibri" w:hAnsi="Calibri" w:cs="Times New Roman"/>
        </w:rPr>
        <w:t xml:space="preserve">how the different functions of design, production, </w:t>
      </w:r>
      <w:proofErr w:type="gramStart"/>
      <w:r w:rsidRPr="006B3A26">
        <w:rPr>
          <w:rFonts w:ascii="Calibri" w:eastAsia="Calibri" w:hAnsi="Calibri" w:cs="Times New Roman"/>
        </w:rPr>
        <w:t>marketing</w:t>
      </w:r>
      <w:proofErr w:type="gramEnd"/>
      <w:r w:rsidRPr="006B3A26">
        <w:rPr>
          <w:rFonts w:ascii="Calibri" w:eastAsia="Calibri" w:hAnsi="Calibri" w:cs="Times New Roman"/>
        </w:rPr>
        <w:t xml:space="preserve"> and services occur across different countries to produce a product.</w:t>
      </w:r>
    </w:p>
    <w:p w14:paraId="01CE4E30" w14:textId="77777777" w:rsidR="00A83633" w:rsidRPr="006B3A26" w:rsidRDefault="00A83633" w:rsidP="006B3A26">
      <w:pPr>
        <w:numPr>
          <w:ilvl w:val="0"/>
          <w:numId w:val="46"/>
        </w:numPr>
        <w:spacing w:line="252" w:lineRule="auto"/>
        <w:rPr>
          <w:rFonts w:ascii="Calibri" w:eastAsia="Calibri" w:hAnsi="Calibri" w:cs="Times New Roman"/>
        </w:rPr>
      </w:pPr>
      <w:r w:rsidRPr="006B3A26">
        <w:rPr>
          <w:rFonts w:ascii="Calibri" w:eastAsia="Calibri" w:hAnsi="Calibri" w:cs="Times New Roman"/>
          <w:b/>
        </w:rPr>
        <w:t xml:space="preserve">Innovation </w:t>
      </w:r>
      <w:r w:rsidRPr="006B3A26">
        <w:rPr>
          <w:rFonts w:ascii="Calibri" w:eastAsia="Calibri" w:hAnsi="Calibri" w:cs="Times New Roman"/>
          <w:bCs/>
        </w:rPr>
        <w:t>is a new or improved product or process (or combination thereof) that differs significantly from the unit’s previous products or processes and that has been made available to potential users (product) or brought into use by the unit (process).</w:t>
      </w:r>
    </w:p>
    <w:p w14:paraId="629A3CDC" w14:textId="1E554E56" w:rsidR="00A83633" w:rsidRPr="006B3A26" w:rsidRDefault="00A83633" w:rsidP="006B3A26">
      <w:pPr>
        <w:numPr>
          <w:ilvl w:val="0"/>
          <w:numId w:val="46"/>
        </w:numPr>
        <w:spacing w:line="252" w:lineRule="auto"/>
        <w:rPr>
          <w:rFonts w:ascii="Calibri" w:eastAsia="Calibri" w:hAnsi="Calibri" w:cs="Times New Roman"/>
        </w:rPr>
      </w:pPr>
      <w:r w:rsidRPr="006B3A26">
        <w:rPr>
          <w:rFonts w:ascii="Calibri" w:eastAsia="Calibri" w:hAnsi="Calibri" w:cs="Times New Roman"/>
          <w:b/>
          <w:bCs/>
        </w:rPr>
        <w:t xml:space="preserve">Intangible assets </w:t>
      </w:r>
      <w:r w:rsidRPr="006B3A26">
        <w:rPr>
          <w:rFonts w:ascii="Calibri" w:eastAsia="Calibri" w:hAnsi="Calibri" w:cs="Times New Roman"/>
        </w:rPr>
        <w:t xml:space="preserve">are non-physical, non-monetary resources that can be expected to deliver a future economic benefit to a business. These </w:t>
      </w:r>
      <w:r w:rsidR="00F5298D" w:rsidRPr="006B3A26">
        <w:rPr>
          <w:rFonts w:ascii="Calibri" w:eastAsia="Calibri" w:hAnsi="Calibri" w:cs="Times New Roman"/>
        </w:rPr>
        <w:t>include</w:t>
      </w:r>
      <w:r w:rsidRPr="006B3A26">
        <w:rPr>
          <w:rFonts w:ascii="Calibri" w:eastAsia="Calibri" w:hAnsi="Calibri" w:cs="Times New Roman"/>
        </w:rPr>
        <w:t xml:space="preserve"> marketing, branding, business processes, managerial capabilities, </w:t>
      </w:r>
      <w:proofErr w:type="gramStart"/>
      <w:r w:rsidRPr="006B3A26">
        <w:rPr>
          <w:rFonts w:ascii="Calibri" w:eastAsia="Calibri" w:hAnsi="Calibri" w:cs="Times New Roman"/>
        </w:rPr>
        <w:t>patents</w:t>
      </w:r>
      <w:proofErr w:type="gramEnd"/>
      <w:r w:rsidRPr="006B3A26">
        <w:rPr>
          <w:rFonts w:ascii="Calibri" w:eastAsia="Calibri" w:hAnsi="Calibri" w:cs="Times New Roman"/>
        </w:rPr>
        <w:t xml:space="preserve"> and trademarks.</w:t>
      </w:r>
      <w:r w:rsidRPr="006B3A26">
        <w:rPr>
          <w:rFonts w:ascii="Calibri" w:eastAsia="Calibri" w:hAnsi="Calibri" w:cs="Times New Roman"/>
          <w:vertAlign w:val="superscript"/>
        </w:rPr>
        <w:footnoteReference w:id="54"/>
      </w:r>
    </w:p>
    <w:p w14:paraId="521DB152" w14:textId="77777777" w:rsidR="00A83633" w:rsidRPr="006B3A26" w:rsidRDefault="00A83633" w:rsidP="006B3A26">
      <w:pPr>
        <w:numPr>
          <w:ilvl w:val="0"/>
          <w:numId w:val="46"/>
        </w:numPr>
        <w:spacing w:line="252" w:lineRule="auto"/>
        <w:rPr>
          <w:rFonts w:ascii="Calibri" w:eastAsia="Calibri" w:hAnsi="Calibri" w:cs="Times New Roman"/>
        </w:rPr>
      </w:pPr>
      <w:r w:rsidRPr="006B3A26">
        <w:rPr>
          <w:rFonts w:ascii="Calibri" w:eastAsia="Calibri" w:hAnsi="Calibri" w:cs="Times New Roman"/>
          <w:b/>
          <w:bCs/>
        </w:rPr>
        <w:t>Management capabilities</w:t>
      </w:r>
      <w:r w:rsidRPr="006B3A26">
        <w:rPr>
          <w:rFonts w:ascii="Calibri" w:eastAsia="Calibri" w:hAnsi="Calibri" w:cs="Times New Roman"/>
        </w:rPr>
        <w:t xml:space="preserve"> refers to higher-order capabilities that help a business expand, </w:t>
      </w:r>
      <w:proofErr w:type="gramStart"/>
      <w:r w:rsidRPr="006B3A26">
        <w:rPr>
          <w:rFonts w:ascii="Calibri" w:eastAsia="Calibri" w:hAnsi="Calibri" w:cs="Times New Roman"/>
        </w:rPr>
        <w:t>change</w:t>
      </w:r>
      <w:proofErr w:type="gramEnd"/>
      <w:r w:rsidRPr="006B3A26">
        <w:rPr>
          <w:rFonts w:ascii="Calibri" w:eastAsia="Calibri" w:hAnsi="Calibri" w:cs="Times New Roman"/>
        </w:rPr>
        <w:t xml:space="preserve"> or improve its ordinary or operational capabilities to lift performance and competitiveness.</w:t>
      </w:r>
      <w:r w:rsidRPr="006B3A26">
        <w:rPr>
          <w:rFonts w:ascii="Calibri" w:eastAsia="Calibri" w:hAnsi="Calibri" w:cs="Calibri"/>
          <w:vertAlign w:val="superscript"/>
        </w:rPr>
        <w:footnoteReference w:id="55"/>
      </w:r>
    </w:p>
    <w:p w14:paraId="582868C2" w14:textId="67CAFA1A" w:rsidR="00A83633" w:rsidRPr="006B3A26" w:rsidRDefault="00A83633" w:rsidP="006B3A26">
      <w:pPr>
        <w:numPr>
          <w:ilvl w:val="0"/>
          <w:numId w:val="46"/>
        </w:numPr>
        <w:spacing w:line="252" w:lineRule="auto"/>
        <w:rPr>
          <w:rFonts w:ascii="Calibri" w:eastAsia="Calibri" w:hAnsi="Calibri" w:cs="Times New Roman"/>
        </w:rPr>
      </w:pPr>
      <w:r w:rsidRPr="006B3A26">
        <w:rPr>
          <w:rFonts w:ascii="Calibri" w:eastAsia="Calibri" w:hAnsi="Calibri" w:cs="Times New Roman"/>
          <w:b/>
        </w:rPr>
        <w:t xml:space="preserve">New to the world (business) innovation. </w:t>
      </w:r>
      <w:r w:rsidRPr="006B3A26">
        <w:rPr>
          <w:rFonts w:ascii="Calibri" w:eastAsia="Calibri" w:hAnsi="Calibri" w:cs="Times New Roman"/>
        </w:rPr>
        <w:t xml:space="preserve">It is the highest threshold for innovation in terms of novelty referring to a the first-time a new product or service has been introduced into the market by a </w:t>
      </w:r>
      <w:r w:rsidR="003B20CF">
        <w:rPr>
          <w:rFonts w:ascii="Calibri" w:eastAsia="Calibri" w:hAnsi="Calibri" w:cs="Times New Roman"/>
        </w:rPr>
        <w:t>business</w:t>
      </w:r>
      <w:r w:rsidR="003B20CF" w:rsidRPr="006B3A26">
        <w:rPr>
          <w:rFonts w:ascii="Calibri" w:eastAsia="Calibri" w:hAnsi="Calibri" w:cs="Times New Roman"/>
        </w:rPr>
        <w:t xml:space="preserve"> </w:t>
      </w:r>
      <w:r w:rsidRPr="006B3A26">
        <w:rPr>
          <w:rFonts w:ascii="Calibri" w:eastAsia="Calibri" w:hAnsi="Calibri" w:cs="Times New Roman"/>
        </w:rPr>
        <w:t>or other organisation.</w:t>
      </w:r>
    </w:p>
    <w:p w14:paraId="2147CFBE" w14:textId="7708F95A" w:rsidR="00A83633" w:rsidRPr="006B3A26" w:rsidRDefault="00A83633" w:rsidP="006B3A26">
      <w:pPr>
        <w:numPr>
          <w:ilvl w:val="0"/>
          <w:numId w:val="46"/>
        </w:numPr>
        <w:spacing w:line="252" w:lineRule="auto"/>
        <w:rPr>
          <w:rFonts w:ascii="Calibri" w:eastAsia="Calibri" w:hAnsi="Calibri" w:cs="Times New Roman"/>
        </w:rPr>
      </w:pPr>
      <w:r w:rsidRPr="006B3A26">
        <w:rPr>
          <w:rFonts w:ascii="Calibri" w:eastAsia="Calibri" w:hAnsi="Calibri" w:cs="Times New Roman"/>
          <w:b/>
          <w:bCs/>
        </w:rPr>
        <w:t>New to firm (business) innovation</w:t>
      </w:r>
      <w:r w:rsidRPr="006B3A26">
        <w:rPr>
          <w:rFonts w:ascii="Calibri" w:eastAsia="Calibri" w:hAnsi="Calibri" w:cs="Times New Roman"/>
        </w:rPr>
        <w:t xml:space="preserve">. It is the lowest threshold for innovation in terms of novelty referring to a first time use or implementation by a </w:t>
      </w:r>
      <w:r w:rsidR="003B20CF">
        <w:rPr>
          <w:rFonts w:ascii="Calibri" w:eastAsia="Calibri" w:hAnsi="Calibri" w:cs="Times New Roman"/>
        </w:rPr>
        <w:t>business</w:t>
      </w:r>
      <w:r w:rsidRPr="006B3A26">
        <w:rPr>
          <w:rFonts w:ascii="Calibri" w:eastAsia="Calibri" w:hAnsi="Calibri" w:cs="Times New Roman"/>
        </w:rPr>
        <w:t xml:space="preserve">. An example of a new to firm innovation is when adopting existing products or business processes – </w:t>
      </w:r>
      <w:proofErr w:type="gramStart"/>
      <w:r w:rsidRPr="006B3A26">
        <w:rPr>
          <w:rFonts w:ascii="Calibri" w:eastAsia="Calibri" w:hAnsi="Calibri" w:cs="Times New Roman"/>
        </w:rPr>
        <w:t>as long as</w:t>
      </w:r>
      <w:proofErr w:type="gramEnd"/>
      <w:r w:rsidRPr="006B3A26">
        <w:rPr>
          <w:rFonts w:ascii="Calibri" w:eastAsia="Calibri" w:hAnsi="Calibri" w:cs="Times New Roman"/>
        </w:rPr>
        <w:t xml:space="preserve"> they differ significantly from what the </w:t>
      </w:r>
      <w:r w:rsidR="003B20CF">
        <w:rPr>
          <w:rFonts w:ascii="Calibri" w:eastAsia="Calibri" w:hAnsi="Calibri" w:cs="Times New Roman"/>
        </w:rPr>
        <w:t>business</w:t>
      </w:r>
      <w:r w:rsidR="003B20CF" w:rsidRPr="006B3A26">
        <w:rPr>
          <w:rFonts w:ascii="Calibri" w:eastAsia="Calibri" w:hAnsi="Calibri" w:cs="Times New Roman"/>
        </w:rPr>
        <w:t xml:space="preserve"> </w:t>
      </w:r>
      <w:r w:rsidRPr="006B3A26">
        <w:rPr>
          <w:rFonts w:ascii="Calibri" w:eastAsia="Calibri" w:hAnsi="Calibri" w:cs="Times New Roman"/>
        </w:rPr>
        <w:t>offered or used previously – with little or no modification.</w:t>
      </w:r>
      <w:r w:rsidRPr="006B3A26">
        <w:rPr>
          <w:rFonts w:ascii="Calibri" w:eastAsia="Calibri" w:hAnsi="Calibri" w:cs="Times New Roman"/>
          <w:vertAlign w:val="superscript"/>
        </w:rPr>
        <w:footnoteReference w:id="56"/>
      </w:r>
    </w:p>
    <w:p w14:paraId="5AF969C3" w14:textId="3EB80FF6" w:rsidR="00A83633" w:rsidRPr="006B3A26" w:rsidRDefault="00F5298D" w:rsidP="006B3A26">
      <w:pPr>
        <w:numPr>
          <w:ilvl w:val="0"/>
          <w:numId w:val="46"/>
        </w:numPr>
        <w:spacing w:line="252" w:lineRule="auto"/>
        <w:rPr>
          <w:rFonts w:ascii="Calibri" w:eastAsia="Calibri" w:hAnsi="Calibri" w:cs="Times New Roman"/>
        </w:rPr>
      </w:pPr>
      <w:r w:rsidRPr="006B3A26">
        <w:rPr>
          <w:rFonts w:ascii="Calibri" w:eastAsia="Calibri" w:hAnsi="Calibri" w:cs="Times New Roman"/>
          <w:b/>
          <w:bCs/>
        </w:rPr>
        <w:t>Non-R</w:t>
      </w:r>
      <w:r w:rsidR="00A83633" w:rsidRPr="006B3A26">
        <w:rPr>
          <w:rFonts w:ascii="Calibri" w:eastAsia="Calibri" w:hAnsi="Calibri" w:cs="Times New Roman"/>
          <w:b/>
          <w:bCs/>
        </w:rPr>
        <w:t xml:space="preserve">&amp;D Innovation: </w:t>
      </w:r>
      <w:r w:rsidR="00A83633" w:rsidRPr="006B3A26">
        <w:rPr>
          <w:rFonts w:ascii="Calibri" w:eastAsia="Calibri" w:hAnsi="Calibri" w:cs="Times New Roman"/>
        </w:rPr>
        <w:t> The type of (technological) innovation that is achieved without investing in research and development.</w:t>
      </w:r>
      <w:r w:rsidR="00A83633" w:rsidRPr="006B3A26">
        <w:rPr>
          <w:rFonts w:ascii="Calibri" w:eastAsia="Calibri" w:hAnsi="Calibri" w:cs="Times New Roman"/>
          <w:vertAlign w:val="superscript"/>
        </w:rPr>
        <w:footnoteReference w:id="57"/>
      </w:r>
    </w:p>
    <w:p w14:paraId="2D5B5175" w14:textId="3FA0D018" w:rsidR="00A83633" w:rsidRPr="006B3A26" w:rsidRDefault="00A83633" w:rsidP="006B3A26">
      <w:pPr>
        <w:numPr>
          <w:ilvl w:val="0"/>
          <w:numId w:val="46"/>
        </w:numPr>
        <w:spacing w:line="252" w:lineRule="auto"/>
        <w:rPr>
          <w:rFonts w:ascii="Calibri" w:eastAsia="Calibri" w:hAnsi="Calibri" w:cs="Times New Roman"/>
        </w:rPr>
      </w:pPr>
      <w:r w:rsidRPr="006B3A26">
        <w:rPr>
          <w:rFonts w:ascii="Calibri" w:eastAsia="Calibri" w:hAnsi="Calibri" w:cs="Times New Roman"/>
          <w:b/>
          <w:bCs/>
        </w:rPr>
        <w:t xml:space="preserve">Revealed Comparative Advantage (RCA) </w:t>
      </w:r>
      <w:r w:rsidRPr="006B3A26">
        <w:rPr>
          <w:rFonts w:ascii="Calibri" w:eastAsia="Calibri" w:hAnsi="Calibri" w:cs="Times New Roman"/>
        </w:rPr>
        <w:t xml:space="preserve">Revealed comparative advantage (RCA) is an index calculated using exports, providing a measure of relative specialisation of a country’s export activities in an industry. It is widely used to measure the competitiveness of industries. The RCA is calculated as the proportion of a country’s exports in that industry divided by the proportion of world exports in that industry: If the RCA is greater than one, a comparative advantage is </w:t>
      </w:r>
      <w:r w:rsidR="00B22B9B">
        <w:rPr>
          <w:rFonts w:ascii="Calibri" w:eastAsia="Calibri" w:hAnsi="Calibri" w:cs="Times New Roman"/>
        </w:rPr>
        <w:t>“</w:t>
      </w:r>
      <w:r w:rsidRPr="006B3A26">
        <w:rPr>
          <w:rFonts w:ascii="Calibri" w:eastAsia="Calibri" w:hAnsi="Calibri" w:cs="Times New Roman"/>
        </w:rPr>
        <w:t>revealed</w:t>
      </w:r>
      <w:r w:rsidR="00B22B9B">
        <w:rPr>
          <w:rFonts w:ascii="Calibri" w:eastAsia="Calibri" w:hAnsi="Calibri" w:cs="Times New Roman"/>
        </w:rPr>
        <w:t>”</w:t>
      </w:r>
      <w:r w:rsidRPr="006B3A26">
        <w:rPr>
          <w:rFonts w:ascii="Calibri" w:eastAsia="Calibri" w:hAnsi="Calibri" w:cs="Times New Roman"/>
        </w:rPr>
        <w:t>. If the RCA is less than one, the country has a comparative disadvantage in that industry.</w:t>
      </w:r>
    </w:p>
    <w:p w14:paraId="2350B366" w14:textId="77777777" w:rsidR="00A83633" w:rsidRPr="006B3A26" w:rsidRDefault="00A83633" w:rsidP="006B3A26">
      <w:pPr>
        <w:numPr>
          <w:ilvl w:val="0"/>
          <w:numId w:val="46"/>
        </w:numPr>
        <w:spacing w:line="252" w:lineRule="auto"/>
        <w:rPr>
          <w:rFonts w:ascii="Calibri" w:eastAsia="Calibri" w:hAnsi="Calibri" w:cs="Times New Roman"/>
        </w:rPr>
      </w:pPr>
      <w:r w:rsidRPr="006B3A26">
        <w:rPr>
          <w:rFonts w:ascii="Calibri" w:eastAsia="Calibri" w:hAnsi="Calibri" w:cs="Times New Roman"/>
          <w:b/>
          <w:bCs/>
        </w:rPr>
        <w:t>Skills</w:t>
      </w:r>
      <w:r w:rsidRPr="006B3A26">
        <w:rPr>
          <w:rFonts w:ascii="Calibri" w:eastAsia="Calibri" w:hAnsi="Calibri" w:cs="Times New Roman"/>
        </w:rPr>
        <w:t xml:space="preserve"> generally encompass specialist knowledge and core competencies, sourced through on-the</w:t>
      </w:r>
      <w:r w:rsidRPr="006B3A26">
        <w:rPr>
          <w:rFonts w:ascii="Calibri" w:eastAsia="Calibri" w:hAnsi="Calibri" w:cs="Times New Roman"/>
        </w:rPr>
        <w:noBreakHyphen/>
        <w:t xml:space="preserve">job training and formal qualifications, associated with </w:t>
      </w:r>
      <w:proofErr w:type="gramStart"/>
      <w:r w:rsidRPr="006B3A26">
        <w:rPr>
          <w:rFonts w:ascii="Calibri" w:eastAsia="Calibri" w:hAnsi="Calibri" w:cs="Times New Roman"/>
        </w:rPr>
        <w:t>particular occupations</w:t>
      </w:r>
      <w:proofErr w:type="gramEnd"/>
      <w:r w:rsidRPr="006B3A26">
        <w:rPr>
          <w:rFonts w:ascii="Calibri" w:eastAsia="Calibri" w:hAnsi="Calibri" w:cs="Times New Roman"/>
        </w:rPr>
        <w:t>.</w:t>
      </w:r>
      <w:r w:rsidRPr="006B3A26">
        <w:rPr>
          <w:rFonts w:ascii="Calibri" w:eastAsia="Calibri" w:hAnsi="Calibri" w:cs="Times New Roman"/>
          <w:vertAlign w:val="superscript"/>
        </w:rPr>
        <w:footnoteReference w:id="58"/>
      </w:r>
    </w:p>
    <w:p w14:paraId="69FF04E0" w14:textId="77777777" w:rsidR="00A83633" w:rsidRPr="006B3A26" w:rsidRDefault="00A83633" w:rsidP="006B3A26">
      <w:pPr>
        <w:numPr>
          <w:ilvl w:val="0"/>
          <w:numId w:val="46"/>
        </w:numPr>
        <w:spacing w:line="252" w:lineRule="auto"/>
        <w:rPr>
          <w:rFonts w:ascii="Calibri" w:eastAsia="Calibri" w:hAnsi="Calibri" w:cs="Times New Roman"/>
        </w:rPr>
      </w:pPr>
      <w:r w:rsidRPr="006B3A26">
        <w:rPr>
          <w:rFonts w:ascii="Calibri" w:eastAsia="Calibri" w:hAnsi="Calibri" w:cs="Times New Roman"/>
          <w:b/>
          <w:bCs/>
        </w:rPr>
        <w:t>Talent</w:t>
      </w:r>
      <w:r w:rsidRPr="006B3A26">
        <w:rPr>
          <w:rFonts w:ascii="Calibri" w:eastAsia="Calibri" w:hAnsi="Calibri" w:cs="Times New Roman"/>
        </w:rPr>
        <w:t xml:space="preserve"> encompasses a wider range of intangible attributes. Talent includes vision, leadership, commercial and strategic nous, creativity, </w:t>
      </w:r>
      <w:proofErr w:type="gramStart"/>
      <w:r w:rsidRPr="006B3A26">
        <w:rPr>
          <w:rFonts w:ascii="Calibri" w:eastAsia="Calibri" w:hAnsi="Calibri" w:cs="Times New Roman"/>
        </w:rPr>
        <w:t>entrepreneurship</w:t>
      </w:r>
      <w:proofErr w:type="gramEnd"/>
      <w:r w:rsidRPr="006B3A26">
        <w:rPr>
          <w:rFonts w:ascii="Calibri" w:eastAsia="Calibri" w:hAnsi="Calibri" w:cs="Times New Roman"/>
        </w:rPr>
        <w:t xml:space="preserve"> and experience.</w:t>
      </w:r>
      <w:r w:rsidRPr="006B3A26">
        <w:rPr>
          <w:rFonts w:ascii="Calibri" w:eastAsia="Calibri" w:hAnsi="Calibri" w:cs="Times New Roman"/>
          <w:vertAlign w:val="superscript"/>
        </w:rPr>
        <w:footnoteReference w:id="59"/>
      </w:r>
    </w:p>
    <w:p w14:paraId="776B07BF" w14:textId="77777777" w:rsidR="00A83633" w:rsidRPr="006B3A26" w:rsidRDefault="00A83633" w:rsidP="006B3A26">
      <w:pPr>
        <w:numPr>
          <w:ilvl w:val="0"/>
          <w:numId w:val="46"/>
        </w:numPr>
        <w:spacing w:line="252" w:lineRule="auto"/>
        <w:rPr>
          <w:rFonts w:ascii="Calibri" w:eastAsia="Calibri" w:hAnsi="Calibri" w:cs="Times New Roman"/>
        </w:rPr>
      </w:pPr>
      <w:r w:rsidRPr="006B3A26">
        <w:rPr>
          <w:rFonts w:ascii="Calibri" w:eastAsia="Calibri" w:hAnsi="Calibri" w:cs="Times New Roman"/>
          <w:b/>
          <w:bCs/>
        </w:rPr>
        <w:t xml:space="preserve">Tangible assets </w:t>
      </w:r>
      <w:r w:rsidRPr="006B3A26">
        <w:rPr>
          <w:rFonts w:ascii="Calibri" w:eastAsia="Calibri" w:hAnsi="Calibri" w:cs="Times New Roman"/>
        </w:rPr>
        <w:t xml:space="preserve">are physical, non-monetary resources that can be expected to deliver a future economic benefit to a business. These include plant, </w:t>
      </w:r>
      <w:proofErr w:type="gramStart"/>
      <w:r w:rsidRPr="006B3A26">
        <w:rPr>
          <w:rFonts w:ascii="Calibri" w:eastAsia="Calibri" w:hAnsi="Calibri" w:cs="Times New Roman"/>
        </w:rPr>
        <w:t>property</w:t>
      </w:r>
      <w:proofErr w:type="gramEnd"/>
      <w:r w:rsidRPr="006B3A26">
        <w:rPr>
          <w:rFonts w:ascii="Calibri" w:eastAsia="Calibri" w:hAnsi="Calibri" w:cs="Times New Roman"/>
        </w:rPr>
        <w:t xml:space="preserve"> and equipment.</w:t>
      </w:r>
      <w:r w:rsidRPr="006B3A26">
        <w:rPr>
          <w:rFonts w:ascii="Calibri" w:eastAsia="Calibri" w:hAnsi="Calibri" w:cs="Times New Roman"/>
          <w:vertAlign w:val="superscript"/>
        </w:rPr>
        <w:footnoteReference w:id="60"/>
      </w:r>
    </w:p>
    <w:p w14:paraId="60152CAF" w14:textId="77777777" w:rsidR="00A83633" w:rsidRPr="006B3A26" w:rsidRDefault="00A83633" w:rsidP="006B3A26">
      <w:pPr>
        <w:numPr>
          <w:ilvl w:val="0"/>
          <w:numId w:val="46"/>
        </w:numPr>
        <w:spacing w:line="252" w:lineRule="auto"/>
        <w:rPr>
          <w:rFonts w:ascii="Calibri" w:eastAsia="Calibri" w:hAnsi="Calibri" w:cs="Times New Roman"/>
        </w:rPr>
      </w:pPr>
      <w:r w:rsidRPr="006B3A26">
        <w:rPr>
          <w:rFonts w:ascii="Calibri" w:eastAsia="Calibri" w:hAnsi="Calibri" w:cs="Times New Roman"/>
          <w:b/>
        </w:rPr>
        <w:t>Value creation</w:t>
      </w:r>
      <w:r w:rsidRPr="006B3A26">
        <w:rPr>
          <w:rFonts w:ascii="Calibri" w:eastAsia="Calibri" w:hAnsi="Calibri" w:cs="Times New Roman"/>
        </w:rPr>
        <w:t xml:space="preserve"> refers to the processes by which businesses efficiently combine diverse tangible and intangible assets, such as skills, knowledge, </w:t>
      </w:r>
      <w:proofErr w:type="gramStart"/>
      <w:r w:rsidRPr="006B3A26">
        <w:rPr>
          <w:rFonts w:ascii="Calibri" w:eastAsia="Calibri" w:hAnsi="Calibri" w:cs="Times New Roman"/>
        </w:rPr>
        <w:t>technology</w:t>
      </w:r>
      <w:proofErr w:type="gramEnd"/>
      <w:r w:rsidRPr="006B3A26">
        <w:rPr>
          <w:rFonts w:ascii="Calibri" w:eastAsia="Calibri" w:hAnsi="Calibri" w:cs="Times New Roman"/>
        </w:rPr>
        <w:t xml:space="preserve"> and physical capital, to turn inputs into high quality outputs of goods and services that meet consumer demands.</w:t>
      </w:r>
    </w:p>
    <w:p w14:paraId="276030FC" w14:textId="77777777" w:rsidR="00A83633" w:rsidRPr="006B3A26" w:rsidRDefault="00A83633" w:rsidP="006B3A26">
      <w:pPr>
        <w:numPr>
          <w:ilvl w:val="0"/>
          <w:numId w:val="46"/>
        </w:numPr>
        <w:spacing w:line="252" w:lineRule="auto"/>
        <w:rPr>
          <w:rFonts w:ascii="Calibri" w:eastAsia="Calibri" w:hAnsi="Calibri" w:cs="Times New Roman"/>
        </w:rPr>
      </w:pPr>
      <w:r w:rsidRPr="006B3A26">
        <w:rPr>
          <w:rFonts w:ascii="Calibri" w:eastAsia="Calibri" w:hAnsi="Calibri" w:cs="Times New Roman"/>
          <w:b/>
        </w:rPr>
        <w:t xml:space="preserve">Value differentiation </w:t>
      </w:r>
      <w:r w:rsidRPr="006B3A26">
        <w:rPr>
          <w:rFonts w:ascii="Calibri" w:eastAsia="Calibri" w:hAnsi="Calibri" w:cs="Times New Roman"/>
        </w:rPr>
        <w:t>refers to</w:t>
      </w:r>
      <w:r w:rsidRPr="006B3A26">
        <w:rPr>
          <w:rFonts w:ascii="Calibri" w:eastAsia="Calibri" w:hAnsi="Calibri" w:cs="Times New Roman"/>
          <w:b/>
        </w:rPr>
        <w:t xml:space="preserve"> </w:t>
      </w:r>
      <w:r w:rsidRPr="006B3A26">
        <w:rPr>
          <w:rFonts w:ascii="Calibri" w:eastAsia="Calibri" w:hAnsi="Calibri" w:cs="Times New Roman"/>
        </w:rPr>
        <w:t xml:space="preserve">sources of value creation for customers beyond product cost, such as product leadership, reputation, reliability, </w:t>
      </w:r>
      <w:proofErr w:type="gramStart"/>
      <w:r w:rsidRPr="006B3A26">
        <w:rPr>
          <w:rFonts w:ascii="Calibri" w:eastAsia="Calibri" w:hAnsi="Calibri" w:cs="Times New Roman"/>
        </w:rPr>
        <w:t>flexibility</w:t>
      </w:r>
      <w:proofErr w:type="gramEnd"/>
      <w:r w:rsidRPr="006B3A26">
        <w:rPr>
          <w:rFonts w:ascii="Calibri" w:eastAsia="Calibri" w:hAnsi="Calibri" w:cs="Times New Roman"/>
        </w:rPr>
        <w:t xml:space="preserve"> and service offering.</w:t>
      </w:r>
    </w:p>
    <w:p w14:paraId="58C455DB" w14:textId="77777777" w:rsidR="00A83633" w:rsidRPr="006B3A26" w:rsidRDefault="00A83633" w:rsidP="006B3A26">
      <w:pPr>
        <w:spacing w:line="252" w:lineRule="auto"/>
        <w:rPr>
          <w:rFonts w:ascii="Calibri" w:eastAsia="Calibri" w:hAnsi="Calibri" w:cs="Times New Roman"/>
          <w:b/>
          <w:bCs/>
          <w:sz w:val="24"/>
          <w:szCs w:val="24"/>
        </w:rPr>
      </w:pPr>
    </w:p>
    <w:p w14:paraId="29187373" w14:textId="77777777" w:rsidR="00941C12" w:rsidRDefault="00941C12" w:rsidP="0018187C">
      <w:pPr>
        <w:pStyle w:val="Heading2"/>
        <w:sectPr w:rsidR="00941C12" w:rsidSect="004D7520">
          <w:pgSz w:w="11906" w:h="16838"/>
          <w:pgMar w:top="1276" w:right="1440" w:bottom="1440" w:left="1440" w:header="851" w:footer="708" w:gutter="0"/>
          <w:cols w:space="708"/>
          <w:titlePg/>
          <w:docGrid w:linePitch="360"/>
        </w:sectPr>
      </w:pPr>
      <w:bookmarkStart w:id="103" w:name="_Toc144825193"/>
    </w:p>
    <w:p w14:paraId="5EE36C6E" w14:textId="52940763" w:rsidR="008D3900" w:rsidRDefault="00004BAF" w:rsidP="00F6694F">
      <w:pPr>
        <w:pStyle w:val="Heading3"/>
      </w:pPr>
      <w:bookmarkStart w:id="104" w:name="_Appendix_3._Revealed"/>
      <w:bookmarkStart w:id="105" w:name="Appendix_3_Revealed_Comparative_Advantag"/>
      <w:bookmarkStart w:id="106" w:name="_Toc152165435"/>
      <w:bookmarkStart w:id="107" w:name="_Toc800517077"/>
      <w:bookmarkEnd w:id="104"/>
      <w:r w:rsidRPr="00667A97">
        <w:t xml:space="preserve">Appendix 3. Revealed Comparative Advantage </w:t>
      </w:r>
      <w:r w:rsidR="004E61E9">
        <w:t>–</w:t>
      </w:r>
      <w:r w:rsidRPr="00667A97">
        <w:t xml:space="preserve"> </w:t>
      </w:r>
      <w:r w:rsidR="004E61E9">
        <w:t>t</w:t>
      </w:r>
      <w:r w:rsidRPr="00667A97">
        <w:t xml:space="preserve">op 20 competitive subsectors, </w:t>
      </w:r>
      <w:r w:rsidR="00F5298D" w:rsidRPr="00667A97">
        <w:t>2021</w:t>
      </w:r>
      <w:bookmarkEnd w:id="105"/>
      <w:bookmarkEnd w:id="106"/>
    </w:p>
    <w:p w14:paraId="6128F4E6" w14:textId="3AD471B1" w:rsidR="004E5F60" w:rsidRDefault="00591F30" w:rsidP="00A60EDC">
      <w:bookmarkStart w:id="108" w:name="_Toc922159007"/>
      <w:bookmarkEnd w:id="107"/>
      <w:r>
        <w:rPr>
          <w:noProof/>
        </w:rPr>
        <w:drawing>
          <wp:inline distT="0" distB="0" distL="0" distR="0" wp14:anchorId="031A6221" wp14:editId="7F5390D4">
            <wp:extent cx="9347200" cy="4871085"/>
            <wp:effectExtent l="0" t="0" r="6350" b="5715"/>
            <wp:docPr id="6" name="Picture 6" descr="Tree map of the revealed comparative advantage of Australian industries, showing that the top six industries by revealed comparative advantage are sheep farming (RCA: 29.1), iron ore mining (RCA: 26.4), alumina production (RCA: 21.0), bauxite mining (RCA: 20.9), coal mining (RCA: 19.7) and gold ore mining (RCA: 16.5). Data table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ree map of the revealed comparative advantage of Australian industries, showing that the top six industries by revealed comparative advantage are sheep farming (RCA: 29.1), iron ore mining (RCA: 26.4), alumina production (RCA: 21.0), bauxite mining (RCA: 20.9), coal mining (RCA: 19.7) and gold ore mining (RCA: 16.5). Data table is below."/>
                    <pic:cNvPicPr/>
                  </pic:nvPicPr>
                  <pic:blipFill>
                    <a:blip r:embed="rId40"/>
                    <a:stretch>
                      <a:fillRect/>
                    </a:stretch>
                  </pic:blipFill>
                  <pic:spPr>
                    <a:xfrm>
                      <a:off x="0" y="0"/>
                      <a:ext cx="9347200" cy="4871085"/>
                    </a:xfrm>
                    <a:prstGeom prst="rect">
                      <a:avLst/>
                    </a:prstGeom>
                  </pic:spPr>
                </pic:pic>
              </a:graphicData>
            </a:graphic>
          </wp:inline>
        </w:drawing>
      </w:r>
    </w:p>
    <w:p w14:paraId="61424742" w14:textId="77777777" w:rsidR="00876C73" w:rsidRDefault="00876C73">
      <w:pPr>
        <w:rPr>
          <w:rFonts w:asciiTheme="majorHAnsi" w:eastAsiaTheme="majorEastAsia" w:hAnsiTheme="majorHAnsi" w:cstheme="majorBidi"/>
          <w:iCs/>
          <w:color w:val="60014C" w:themeColor="accent4" w:themeShade="80"/>
          <w:sz w:val="28"/>
          <w:szCs w:val="28"/>
        </w:rPr>
      </w:pPr>
      <w:r>
        <w:br w:type="page"/>
      </w:r>
    </w:p>
    <w:tbl>
      <w:tblPr>
        <w:tblpPr w:leftFromText="180" w:rightFromText="180" w:vertAnchor="text" w:horzAnchor="margin" w:tblpY="737"/>
        <w:tblW w:w="35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ata table for appendix 3"/>
        <w:tblDescription w:val="Data table for appendix 3: Revealed Comparative Advantage – top 20 competitive subsectors, 2021"/>
      </w:tblPr>
      <w:tblGrid>
        <w:gridCol w:w="6798"/>
        <w:gridCol w:w="3687"/>
      </w:tblGrid>
      <w:tr w:rsidR="003112E9" w:rsidRPr="00C267E4" w14:paraId="490B2ACB" w14:textId="77777777" w:rsidTr="00426B8A">
        <w:trPr>
          <w:trHeight w:val="369"/>
        </w:trPr>
        <w:tc>
          <w:tcPr>
            <w:tcW w:w="3242" w:type="pct"/>
            <w:shd w:val="clear" w:color="auto" w:fill="auto"/>
            <w:noWrap/>
            <w:vAlign w:val="bottom"/>
            <w:hideMark/>
          </w:tcPr>
          <w:p w14:paraId="30515BB5"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b/>
                <w:bCs/>
                <w:color w:val="000000"/>
                <w:lang w:eastAsia="en-AU"/>
              </w:rPr>
            </w:pPr>
            <w:r w:rsidRPr="00C267E4">
              <w:rPr>
                <w:rFonts w:ascii="Calibri" w:eastAsia="Times New Roman" w:hAnsi="Calibri" w:cs="Calibri"/>
                <w:b/>
                <w:bCs/>
                <w:color w:val="000000"/>
                <w:lang w:eastAsia="en-AU"/>
              </w:rPr>
              <w:t>Sub-sector</w:t>
            </w:r>
          </w:p>
        </w:tc>
        <w:tc>
          <w:tcPr>
            <w:tcW w:w="1758" w:type="pct"/>
            <w:shd w:val="clear" w:color="auto" w:fill="auto"/>
            <w:noWrap/>
            <w:vAlign w:val="bottom"/>
            <w:hideMark/>
          </w:tcPr>
          <w:p w14:paraId="3C37F051"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b/>
                <w:bCs/>
                <w:color w:val="000000"/>
                <w:lang w:eastAsia="en-AU"/>
              </w:rPr>
            </w:pPr>
            <w:r w:rsidRPr="00C267E4">
              <w:rPr>
                <w:rFonts w:ascii="Calibri" w:eastAsia="Times New Roman" w:hAnsi="Calibri" w:cs="Calibri"/>
                <w:b/>
                <w:bCs/>
                <w:color w:val="000000"/>
                <w:lang w:eastAsia="en-AU"/>
              </w:rPr>
              <w:t>R</w:t>
            </w:r>
            <w:r>
              <w:rPr>
                <w:rFonts w:ascii="Calibri" w:eastAsia="Times New Roman" w:hAnsi="Calibri" w:cs="Calibri"/>
                <w:b/>
                <w:bCs/>
                <w:color w:val="000000"/>
                <w:lang w:eastAsia="en-AU"/>
              </w:rPr>
              <w:t>evealed Comparative Advantage</w:t>
            </w:r>
          </w:p>
        </w:tc>
      </w:tr>
      <w:tr w:rsidR="003112E9" w:rsidRPr="00C267E4" w14:paraId="10F7E73D" w14:textId="77777777" w:rsidTr="00426B8A">
        <w:trPr>
          <w:trHeight w:val="369"/>
        </w:trPr>
        <w:tc>
          <w:tcPr>
            <w:tcW w:w="3242" w:type="pct"/>
            <w:shd w:val="clear" w:color="auto" w:fill="auto"/>
            <w:noWrap/>
            <w:vAlign w:val="bottom"/>
            <w:hideMark/>
          </w:tcPr>
          <w:p w14:paraId="4C757FA4"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color w:val="000000"/>
                <w:lang w:eastAsia="en-AU"/>
              </w:rPr>
            </w:pPr>
            <w:r w:rsidRPr="00C267E4">
              <w:rPr>
                <w:rFonts w:ascii="Calibri" w:eastAsia="Times New Roman" w:hAnsi="Calibri" w:cs="Calibri"/>
                <w:color w:val="000000"/>
                <w:lang w:eastAsia="en-AU"/>
              </w:rPr>
              <w:t>0141-Sheep Farming (Specialised)</w:t>
            </w:r>
          </w:p>
        </w:tc>
        <w:tc>
          <w:tcPr>
            <w:tcW w:w="1758" w:type="pct"/>
            <w:shd w:val="clear" w:color="auto" w:fill="auto"/>
            <w:noWrap/>
            <w:vAlign w:val="bottom"/>
            <w:hideMark/>
          </w:tcPr>
          <w:p w14:paraId="52AEA4DF" w14:textId="77777777" w:rsidR="003112E9" w:rsidRPr="00C267E4" w:rsidRDefault="003112E9" w:rsidP="00AA249A">
            <w:pPr>
              <w:shd w:val="clear" w:color="auto" w:fill="FEC0F1" w:themeFill="accent4" w:themeFillTint="33"/>
              <w:spacing w:after="0" w:line="240" w:lineRule="auto"/>
              <w:jc w:val="right"/>
              <w:rPr>
                <w:rFonts w:ascii="Calibri" w:eastAsia="Times New Roman" w:hAnsi="Calibri" w:cs="Calibri"/>
                <w:color w:val="000000"/>
                <w:lang w:eastAsia="en-AU"/>
              </w:rPr>
            </w:pPr>
            <w:r w:rsidRPr="00C267E4">
              <w:rPr>
                <w:rFonts w:ascii="Calibri" w:eastAsia="Times New Roman" w:hAnsi="Calibri" w:cs="Calibri"/>
                <w:color w:val="000000"/>
                <w:lang w:eastAsia="en-AU"/>
              </w:rPr>
              <w:t>29.101</w:t>
            </w:r>
          </w:p>
        </w:tc>
      </w:tr>
      <w:tr w:rsidR="003112E9" w:rsidRPr="00C267E4" w14:paraId="3958EECA" w14:textId="77777777" w:rsidTr="00426B8A">
        <w:trPr>
          <w:trHeight w:val="369"/>
        </w:trPr>
        <w:tc>
          <w:tcPr>
            <w:tcW w:w="3242" w:type="pct"/>
            <w:shd w:val="clear" w:color="auto" w:fill="auto"/>
            <w:noWrap/>
            <w:vAlign w:val="bottom"/>
            <w:hideMark/>
          </w:tcPr>
          <w:p w14:paraId="116EDC0A"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color w:val="000000"/>
                <w:lang w:eastAsia="en-AU"/>
              </w:rPr>
            </w:pPr>
            <w:r w:rsidRPr="00C267E4">
              <w:rPr>
                <w:rFonts w:ascii="Calibri" w:eastAsia="Times New Roman" w:hAnsi="Calibri" w:cs="Calibri"/>
                <w:color w:val="000000"/>
                <w:lang w:eastAsia="en-AU"/>
              </w:rPr>
              <w:t>0801-Iron Ore Mining</w:t>
            </w:r>
          </w:p>
        </w:tc>
        <w:tc>
          <w:tcPr>
            <w:tcW w:w="1758" w:type="pct"/>
            <w:shd w:val="clear" w:color="auto" w:fill="auto"/>
            <w:noWrap/>
            <w:vAlign w:val="bottom"/>
            <w:hideMark/>
          </w:tcPr>
          <w:p w14:paraId="64FC2D0B" w14:textId="77777777" w:rsidR="003112E9" w:rsidRPr="00C267E4" w:rsidRDefault="003112E9" w:rsidP="00AA249A">
            <w:pPr>
              <w:shd w:val="clear" w:color="auto" w:fill="FEC0F1" w:themeFill="accent4" w:themeFillTint="33"/>
              <w:spacing w:after="0" w:line="240" w:lineRule="auto"/>
              <w:jc w:val="right"/>
              <w:rPr>
                <w:rFonts w:ascii="Calibri" w:eastAsia="Times New Roman" w:hAnsi="Calibri" w:cs="Calibri"/>
                <w:color w:val="000000"/>
                <w:lang w:eastAsia="en-AU"/>
              </w:rPr>
            </w:pPr>
            <w:r w:rsidRPr="00C267E4">
              <w:rPr>
                <w:rFonts w:ascii="Calibri" w:eastAsia="Times New Roman" w:hAnsi="Calibri" w:cs="Calibri"/>
                <w:color w:val="000000"/>
                <w:lang w:eastAsia="en-AU"/>
              </w:rPr>
              <w:t>26.395</w:t>
            </w:r>
          </w:p>
        </w:tc>
      </w:tr>
      <w:tr w:rsidR="003112E9" w:rsidRPr="00C267E4" w14:paraId="650A7330" w14:textId="77777777" w:rsidTr="00426B8A">
        <w:trPr>
          <w:trHeight w:val="369"/>
        </w:trPr>
        <w:tc>
          <w:tcPr>
            <w:tcW w:w="3242" w:type="pct"/>
            <w:shd w:val="clear" w:color="auto" w:fill="auto"/>
            <w:noWrap/>
            <w:vAlign w:val="bottom"/>
            <w:hideMark/>
          </w:tcPr>
          <w:p w14:paraId="23CD9586"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color w:val="000000"/>
                <w:lang w:eastAsia="en-AU"/>
              </w:rPr>
            </w:pPr>
            <w:r w:rsidRPr="00C267E4">
              <w:rPr>
                <w:rFonts w:ascii="Calibri" w:eastAsia="Times New Roman" w:hAnsi="Calibri" w:cs="Calibri"/>
                <w:color w:val="000000"/>
                <w:lang w:eastAsia="en-AU"/>
              </w:rPr>
              <w:t>2131-Alumina Production</w:t>
            </w:r>
          </w:p>
        </w:tc>
        <w:tc>
          <w:tcPr>
            <w:tcW w:w="1758" w:type="pct"/>
            <w:shd w:val="clear" w:color="auto" w:fill="auto"/>
            <w:noWrap/>
            <w:vAlign w:val="bottom"/>
            <w:hideMark/>
          </w:tcPr>
          <w:p w14:paraId="20EDFCDD" w14:textId="77777777" w:rsidR="003112E9" w:rsidRPr="00C267E4" w:rsidRDefault="003112E9" w:rsidP="00AA249A">
            <w:pPr>
              <w:shd w:val="clear" w:color="auto" w:fill="FEC0F1" w:themeFill="accent4" w:themeFillTint="33"/>
              <w:spacing w:after="0" w:line="240" w:lineRule="auto"/>
              <w:jc w:val="right"/>
              <w:rPr>
                <w:rFonts w:ascii="Calibri" w:eastAsia="Times New Roman" w:hAnsi="Calibri" w:cs="Calibri"/>
                <w:color w:val="000000"/>
                <w:lang w:eastAsia="en-AU"/>
              </w:rPr>
            </w:pPr>
            <w:r w:rsidRPr="00C267E4">
              <w:rPr>
                <w:rFonts w:ascii="Calibri" w:eastAsia="Times New Roman" w:hAnsi="Calibri" w:cs="Calibri"/>
                <w:color w:val="000000"/>
                <w:lang w:eastAsia="en-AU"/>
              </w:rPr>
              <w:t>20.951</w:t>
            </w:r>
          </w:p>
        </w:tc>
      </w:tr>
      <w:tr w:rsidR="003112E9" w:rsidRPr="00C267E4" w14:paraId="039C0267" w14:textId="77777777" w:rsidTr="00426B8A">
        <w:trPr>
          <w:trHeight w:val="369"/>
        </w:trPr>
        <w:tc>
          <w:tcPr>
            <w:tcW w:w="3242" w:type="pct"/>
            <w:shd w:val="clear" w:color="auto" w:fill="auto"/>
            <w:noWrap/>
            <w:vAlign w:val="bottom"/>
            <w:hideMark/>
          </w:tcPr>
          <w:p w14:paraId="5CF1EE86"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color w:val="000000"/>
                <w:lang w:eastAsia="en-AU"/>
              </w:rPr>
            </w:pPr>
            <w:r w:rsidRPr="00C267E4">
              <w:rPr>
                <w:rFonts w:ascii="Calibri" w:eastAsia="Times New Roman" w:hAnsi="Calibri" w:cs="Calibri"/>
                <w:color w:val="000000"/>
                <w:lang w:eastAsia="en-AU"/>
              </w:rPr>
              <w:t>0802-Bauxite Mining</w:t>
            </w:r>
          </w:p>
        </w:tc>
        <w:tc>
          <w:tcPr>
            <w:tcW w:w="1758" w:type="pct"/>
            <w:shd w:val="clear" w:color="auto" w:fill="auto"/>
            <w:noWrap/>
            <w:vAlign w:val="bottom"/>
            <w:hideMark/>
          </w:tcPr>
          <w:p w14:paraId="48586EB5" w14:textId="77777777" w:rsidR="003112E9" w:rsidRPr="00C267E4" w:rsidRDefault="003112E9" w:rsidP="00AA249A">
            <w:pPr>
              <w:shd w:val="clear" w:color="auto" w:fill="FEC0F1" w:themeFill="accent4" w:themeFillTint="33"/>
              <w:spacing w:after="0" w:line="240" w:lineRule="auto"/>
              <w:jc w:val="right"/>
              <w:rPr>
                <w:rFonts w:ascii="Calibri" w:eastAsia="Times New Roman" w:hAnsi="Calibri" w:cs="Calibri"/>
                <w:color w:val="000000"/>
                <w:lang w:eastAsia="en-AU"/>
              </w:rPr>
            </w:pPr>
            <w:r w:rsidRPr="00C267E4">
              <w:rPr>
                <w:rFonts w:ascii="Calibri" w:eastAsia="Times New Roman" w:hAnsi="Calibri" w:cs="Calibri"/>
                <w:color w:val="000000"/>
                <w:lang w:eastAsia="en-AU"/>
              </w:rPr>
              <w:t>20.94</w:t>
            </w:r>
          </w:p>
        </w:tc>
      </w:tr>
      <w:tr w:rsidR="003112E9" w:rsidRPr="00C267E4" w14:paraId="11824C77" w14:textId="77777777" w:rsidTr="00426B8A">
        <w:trPr>
          <w:trHeight w:val="369"/>
        </w:trPr>
        <w:tc>
          <w:tcPr>
            <w:tcW w:w="3242" w:type="pct"/>
            <w:shd w:val="clear" w:color="auto" w:fill="auto"/>
            <w:noWrap/>
            <w:vAlign w:val="bottom"/>
            <w:hideMark/>
          </w:tcPr>
          <w:p w14:paraId="1314EB6F"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color w:val="000000"/>
                <w:lang w:eastAsia="en-AU"/>
              </w:rPr>
            </w:pPr>
            <w:r w:rsidRPr="00C267E4">
              <w:rPr>
                <w:rFonts w:ascii="Calibri" w:eastAsia="Times New Roman" w:hAnsi="Calibri" w:cs="Calibri"/>
                <w:color w:val="000000"/>
                <w:lang w:eastAsia="en-AU"/>
              </w:rPr>
              <w:t>0600-Coal Mining</w:t>
            </w:r>
          </w:p>
        </w:tc>
        <w:tc>
          <w:tcPr>
            <w:tcW w:w="1758" w:type="pct"/>
            <w:shd w:val="clear" w:color="auto" w:fill="auto"/>
            <w:noWrap/>
            <w:vAlign w:val="bottom"/>
            <w:hideMark/>
          </w:tcPr>
          <w:p w14:paraId="2498B5C7" w14:textId="77777777" w:rsidR="003112E9" w:rsidRPr="00C267E4" w:rsidRDefault="003112E9" w:rsidP="00AA249A">
            <w:pPr>
              <w:shd w:val="clear" w:color="auto" w:fill="FEC0F1" w:themeFill="accent4" w:themeFillTint="33"/>
              <w:spacing w:after="0" w:line="240" w:lineRule="auto"/>
              <w:jc w:val="right"/>
              <w:rPr>
                <w:rFonts w:ascii="Calibri" w:eastAsia="Times New Roman" w:hAnsi="Calibri" w:cs="Calibri"/>
                <w:color w:val="000000"/>
                <w:lang w:eastAsia="en-AU"/>
              </w:rPr>
            </w:pPr>
            <w:r w:rsidRPr="00C267E4">
              <w:rPr>
                <w:rFonts w:ascii="Calibri" w:eastAsia="Times New Roman" w:hAnsi="Calibri" w:cs="Calibri"/>
                <w:color w:val="000000"/>
                <w:lang w:eastAsia="en-AU"/>
              </w:rPr>
              <w:t>19.708</w:t>
            </w:r>
          </w:p>
        </w:tc>
      </w:tr>
      <w:tr w:rsidR="003112E9" w:rsidRPr="00C267E4" w14:paraId="000954DD" w14:textId="77777777" w:rsidTr="00426B8A">
        <w:trPr>
          <w:trHeight w:val="369"/>
        </w:trPr>
        <w:tc>
          <w:tcPr>
            <w:tcW w:w="3242" w:type="pct"/>
            <w:shd w:val="clear" w:color="auto" w:fill="auto"/>
            <w:noWrap/>
            <w:vAlign w:val="bottom"/>
            <w:hideMark/>
          </w:tcPr>
          <w:p w14:paraId="4EBC3B69"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color w:val="000000"/>
                <w:lang w:eastAsia="en-AU"/>
              </w:rPr>
            </w:pPr>
            <w:r w:rsidRPr="00C267E4">
              <w:rPr>
                <w:rFonts w:ascii="Calibri" w:eastAsia="Times New Roman" w:hAnsi="Calibri" w:cs="Calibri"/>
                <w:color w:val="000000"/>
                <w:lang w:eastAsia="en-AU"/>
              </w:rPr>
              <w:t>0804-Gold Ore Mining</w:t>
            </w:r>
          </w:p>
        </w:tc>
        <w:tc>
          <w:tcPr>
            <w:tcW w:w="1758" w:type="pct"/>
            <w:shd w:val="clear" w:color="auto" w:fill="auto"/>
            <w:noWrap/>
            <w:vAlign w:val="bottom"/>
            <w:hideMark/>
          </w:tcPr>
          <w:p w14:paraId="263FFE3E" w14:textId="77777777" w:rsidR="003112E9" w:rsidRPr="00C267E4" w:rsidRDefault="003112E9" w:rsidP="00AA249A">
            <w:pPr>
              <w:shd w:val="clear" w:color="auto" w:fill="FEC0F1" w:themeFill="accent4" w:themeFillTint="33"/>
              <w:spacing w:after="0" w:line="240" w:lineRule="auto"/>
              <w:jc w:val="right"/>
              <w:rPr>
                <w:rFonts w:ascii="Calibri" w:eastAsia="Times New Roman" w:hAnsi="Calibri" w:cs="Calibri"/>
                <w:color w:val="000000"/>
                <w:lang w:eastAsia="en-AU"/>
              </w:rPr>
            </w:pPr>
            <w:r w:rsidRPr="00C267E4">
              <w:rPr>
                <w:rFonts w:ascii="Calibri" w:eastAsia="Times New Roman" w:hAnsi="Calibri" w:cs="Calibri"/>
                <w:color w:val="000000"/>
                <w:lang w:eastAsia="en-AU"/>
              </w:rPr>
              <w:t>16.509</w:t>
            </w:r>
          </w:p>
        </w:tc>
      </w:tr>
      <w:tr w:rsidR="003112E9" w:rsidRPr="00C267E4" w14:paraId="058E1AE2" w14:textId="77777777" w:rsidTr="00426B8A">
        <w:trPr>
          <w:trHeight w:val="369"/>
        </w:trPr>
        <w:tc>
          <w:tcPr>
            <w:tcW w:w="3242" w:type="pct"/>
            <w:shd w:val="clear" w:color="auto" w:fill="auto"/>
            <w:noWrap/>
            <w:vAlign w:val="bottom"/>
            <w:hideMark/>
          </w:tcPr>
          <w:p w14:paraId="01094894"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color w:val="000000"/>
                <w:lang w:eastAsia="en-AU"/>
              </w:rPr>
            </w:pPr>
            <w:r w:rsidRPr="00C267E4">
              <w:rPr>
                <w:rFonts w:ascii="Calibri" w:eastAsia="Times New Roman" w:hAnsi="Calibri" w:cs="Calibri"/>
                <w:color w:val="000000"/>
                <w:lang w:eastAsia="en-AU"/>
              </w:rPr>
              <w:t>0807-Silver-Lead-Zinc Ore Mining</w:t>
            </w:r>
          </w:p>
        </w:tc>
        <w:tc>
          <w:tcPr>
            <w:tcW w:w="1758" w:type="pct"/>
            <w:shd w:val="clear" w:color="auto" w:fill="auto"/>
            <w:noWrap/>
            <w:vAlign w:val="bottom"/>
            <w:hideMark/>
          </w:tcPr>
          <w:p w14:paraId="5C320246" w14:textId="77777777" w:rsidR="003112E9" w:rsidRPr="00C267E4" w:rsidRDefault="003112E9" w:rsidP="00AA249A">
            <w:pPr>
              <w:shd w:val="clear" w:color="auto" w:fill="FEC0F1" w:themeFill="accent4" w:themeFillTint="33"/>
              <w:spacing w:after="0" w:line="240" w:lineRule="auto"/>
              <w:jc w:val="right"/>
              <w:rPr>
                <w:rFonts w:ascii="Calibri" w:eastAsia="Times New Roman" w:hAnsi="Calibri" w:cs="Calibri"/>
                <w:color w:val="000000"/>
                <w:lang w:eastAsia="en-AU"/>
              </w:rPr>
            </w:pPr>
            <w:r w:rsidRPr="00C267E4">
              <w:rPr>
                <w:rFonts w:ascii="Calibri" w:eastAsia="Times New Roman" w:hAnsi="Calibri" w:cs="Calibri"/>
                <w:color w:val="000000"/>
                <w:lang w:eastAsia="en-AU"/>
              </w:rPr>
              <w:t>9.202</w:t>
            </w:r>
          </w:p>
        </w:tc>
      </w:tr>
      <w:tr w:rsidR="003112E9" w:rsidRPr="00C267E4" w14:paraId="2AA4C436" w14:textId="77777777" w:rsidTr="00426B8A">
        <w:trPr>
          <w:trHeight w:val="369"/>
        </w:trPr>
        <w:tc>
          <w:tcPr>
            <w:tcW w:w="3242" w:type="pct"/>
            <w:shd w:val="clear" w:color="auto" w:fill="auto"/>
            <w:noWrap/>
            <w:vAlign w:val="bottom"/>
            <w:hideMark/>
          </w:tcPr>
          <w:p w14:paraId="37A9F1AC"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color w:val="000000"/>
                <w:lang w:eastAsia="en-AU"/>
              </w:rPr>
            </w:pPr>
            <w:r w:rsidRPr="00C267E4">
              <w:rPr>
                <w:rFonts w:ascii="Calibri" w:eastAsia="Times New Roman" w:hAnsi="Calibri" w:cs="Calibri"/>
                <w:color w:val="000000"/>
                <w:lang w:eastAsia="en-AU"/>
              </w:rPr>
              <w:t>0806-Nickel Ore Mining</w:t>
            </w:r>
          </w:p>
        </w:tc>
        <w:tc>
          <w:tcPr>
            <w:tcW w:w="1758" w:type="pct"/>
            <w:shd w:val="clear" w:color="auto" w:fill="auto"/>
            <w:noWrap/>
            <w:vAlign w:val="bottom"/>
            <w:hideMark/>
          </w:tcPr>
          <w:p w14:paraId="0DA9155A" w14:textId="77777777" w:rsidR="003112E9" w:rsidRPr="00C267E4" w:rsidRDefault="003112E9" w:rsidP="00AA249A">
            <w:pPr>
              <w:shd w:val="clear" w:color="auto" w:fill="FEC0F1" w:themeFill="accent4" w:themeFillTint="33"/>
              <w:spacing w:after="0" w:line="240" w:lineRule="auto"/>
              <w:jc w:val="right"/>
              <w:rPr>
                <w:rFonts w:ascii="Calibri" w:eastAsia="Times New Roman" w:hAnsi="Calibri" w:cs="Calibri"/>
                <w:color w:val="000000"/>
                <w:lang w:eastAsia="en-AU"/>
              </w:rPr>
            </w:pPr>
            <w:r w:rsidRPr="00C267E4">
              <w:rPr>
                <w:rFonts w:ascii="Calibri" w:eastAsia="Times New Roman" w:hAnsi="Calibri" w:cs="Calibri"/>
                <w:color w:val="000000"/>
                <w:lang w:eastAsia="en-AU"/>
              </w:rPr>
              <w:t>6.651</w:t>
            </w:r>
          </w:p>
        </w:tc>
      </w:tr>
      <w:tr w:rsidR="003112E9" w:rsidRPr="00C267E4" w14:paraId="2B817E62" w14:textId="77777777" w:rsidTr="00426B8A">
        <w:trPr>
          <w:trHeight w:val="369"/>
        </w:trPr>
        <w:tc>
          <w:tcPr>
            <w:tcW w:w="3242" w:type="pct"/>
            <w:shd w:val="clear" w:color="auto" w:fill="auto"/>
            <w:noWrap/>
            <w:vAlign w:val="bottom"/>
            <w:hideMark/>
          </w:tcPr>
          <w:p w14:paraId="0E080D08"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color w:val="000000"/>
                <w:lang w:eastAsia="en-AU"/>
              </w:rPr>
            </w:pPr>
            <w:r w:rsidRPr="00C267E4">
              <w:rPr>
                <w:rFonts w:ascii="Calibri" w:eastAsia="Times New Roman" w:hAnsi="Calibri" w:cs="Calibri"/>
                <w:color w:val="000000"/>
                <w:lang w:eastAsia="en-AU"/>
              </w:rPr>
              <w:t>0142-Beef Cattle Farming (Specialised)</w:t>
            </w:r>
          </w:p>
        </w:tc>
        <w:tc>
          <w:tcPr>
            <w:tcW w:w="1758" w:type="pct"/>
            <w:shd w:val="clear" w:color="auto" w:fill="auto"/>
            <w:noWrap/>
            <w:vAlign w:val="bottom"/>
            <w:hideMark/>
          </w:tcPr>
          <w:p w14:paraId="65E8B556" w14:textId="77777777" w:rsidR="003112E9" w:rsidRPr="00C267E4" w:rsidRDefault="003112E9" w:rsidP="00AA249A">
            <w:pPr>
              <w:shd w:val="clear" w:color="auto" w:fill="FEC0F1" w:themeFill="accent4" w:themeFillTint="33"/>
              <w:spacing w:after="0" w:line="240" w:lineRule="auto"/>
              <w:jc w:val="right"/>
              <w:rPr>
                <w:rFonts w:ascii="Calibri" w:eastAsia="Times New Roman" w:hAnsi="Calibri" w:cs="Calibri"/>
                <w:color w:val="000000"/>
                <w:lang w:eastAsia="en-AU"/>
              </w:rPr>
            </w:pPr>
            <w:r w:rsidRPr="00C267E4">
              <w:rPr>
                <w:rFonts w:ascii="Calibri" w:eastAsia="Times New Roman" w:hAnsi="Calibri" w:cs="Calibri"/>
                <w:color w:val="000000"/>
                <w:lang w:eastAsia="en-AU"/>
              </w:rPr>
              <w:t>5.849</w:t>
            </w:r>
          </w:p>
        </w:tc>
      </w:tr>
      <w:tr w:rsidR="003112E9" w:rsidRPr="00C267E4" w14:paraId="4EB55AD2" w14:textId="77777777" w:rsidTr="00426B8A">
        <w:trPr>
          <w:trHeight w:val="369"/>
        </w:trPr>
        <w:tc>
          <w:tcPr>
            <w:tcW w:w="3242" w:type="pct"/>
            <w:shd w:val="clear" w:color="auto" w:fill="auto"/>
            <w:noWrap/>
            <w:vAlign w:val="bottom"/>
            <w:hideMark/>
          </w:tcPr>
          <w:p w14:paraId="21DA3CC9"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color w:val="000000"/>
                <w:lang w:eastAsia="en-AU"/>
              </w:rPr>
            </w:pPr>
            <w:r w:rsidRPr="00C267E4">
              <w:rPr>
                <w:rFonts w:ascii="Calibri" w:eastAsia="Times New Roman" w:hAnsi="Calibri" w:cs="Calibri"/>
                <w:color w:val="000000"/>
                <w:lang w:eastAsia="en-AU"/>
              </w:rPr>
              <w:t>2139-Other Basic Non-Ferrous Metal Manufacturing</w:t>
            </w:r>
          </w:p>
        </w:tc>
        <w:tc>
          <w:tcPr>
            <w:tcW w:w="1758" w:type="pct"/>
            <w:shd w:val="clear" w:color="auto" w:fill="auto"/>
            <w:noWrap/>
            <w:vAlign w:val="bottom"/>
            <w:hideMark/>
          </w:tcPr>
          <w:p w14:paraId="4C5AB3ED" w14:textId="77777777" w:rsidR="003112E9" w:rsidRPr="00C267E4" w:rsidRDefault="003112E9" w:rsidP="00AA249A">
            <w:pPr>
              <w:shd w:val="clear" w:color="auto" w:fill="FEC0F1" w:themeFill="accent4" w:themeFillTint="33"/>
              <w:spacing w:after="0" w:line="240" w:lineRule="auto"/>
              <w:jc w:val="right"/>
              <w:rPr>
                <w:rFonts w:ascii="Calibri" w:eastAsia="Times New Roman" w:hAnsi="Calibri" w:cs="Calibri"/>
                <w:color w:val="000000"/>
                <w:lang w:eastAsia="en-AU"/>
              </w:rPr>
            </w:pPr>
            <w:r w:rsidRPr="00C267E4">
              <w:rPr>
                <w:rFonts w:ascii="Calibri" w:eastAsia="Times New Roman" w:hAnsi="Calibri" w:cs="Calibri"/>
                <w:color w:val="000000"/>
                <w:lang w:eastAsia="en-AU"/>
              </w:rPr>
              <w:t>5.763</w:t>
            </w:r>
          </w:p>
        </w:tc>
      </w:tr>
      <w:tr w:rsidR="003112E9" w:rsidRPr="00C267E4" w14:paraId="4B2568EA" w14:textId="77777777" w:rsidTr="00426B8A">
        <w:trPr>
          <w:trHeight w:val="369"/>
        </w:trPr>
        <w:tc>
          <w:tcPr>
            <w:tcW w:w="3242" w:type="pct"/>
            <w:shd w:val="clear" w:color="auto" w:fill="auto"/>
            <w:noWrap/>
            <w:vAlign w:val="bottom"/>
            <w:hideMark/>
          </w:tcPr>
          <w:p w14:paraId="1E6A0E52"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color w:val="000000"/>
                <w:lang w:eastAsia="en-AU"/>
              </w:rPr>
            </w:pPr>
            <w:r w:rsidRPr="00C267E4">
              <w:rPr>
                <w:rFonts w:ascii="Calibri" w:eastAsia="Times New Roman" w:hAnsi="Calibri" w:cs="Calibri"/>
                <w:color w:val="000000"/>
                <w:lang w:eastAsia="en-AU"/>
              </w:rPr>
              <w:t>0805-Mineral Sand Mining</w:t>
            </w:r>
          </w:p>
        </w:tc>
        <w:tc>
          <w:tcPr>
            <w:tcW w:w="1758" w:type="pct"/>
            <w:shd w:val="clear" w:color="auto" w:fill="auto"/>
            <w:noWrap/>
            <w:vAlign w:val="bottom"/>
            <w:hideMark/>
          </w:tcPr>
          <w:p w14:paraId="65B42612" w14:textId="77777777" w:rsidR="003112E9" w:rsidRPr="00C267E4" w:rsidRDefault="003112E9" w:rsidP="00AA249A">
            <w:pPr>
              <w:shd w:val="clear" w:color="auto" w:fill="FEC0F1" w:themeFill="accent4" w:themeFillTint="33"/>
              <w:spacing w:after="0" w:line="240" w:lineRule="auto"/>
              <w:jc w:val="right"/>
              <w:rPr>
                <w:rFonts w:ascii="Calibri" w:eastAsia="Times New Roman" w:hAnsi="Calibri" w:cs="Calibri"/>
                <w:color w:val="000000"/>
                <w:lang w:eastAsia="en-AU"/>
              </w:rPr>
            </w:pPr>
            <w:r w:rsidRPr="00C267E4">
              <w:rPr>
                <w:rFonts w:ascii="Calibri" w:eastAsia="Times New Roman" w:hAnsi="Calibri" w:cs="Calibri"/>
                <w:color w:val="000000"/>
                <w:lang w:eastAsia="en-AU"/>
              </w:rPr>
              <w:t>5.148</w:t>
            </w:r>
          </w:p>
        </w:tc>
      </w:tr>
      <w:tr w:rsidR="003112E9" w:rsidRPr="00C267E4" w14:paraId="064B8EE9" w14:textId="77777777" w:rsidTr="00426B8A">
        <w:trPr>
          <w:trHeight w:val="369"/>
        </w:trPr>
        <w:tc>
          <w:tcPr>
            <w:tcW w:w="3242" w:type="pct"/>
            <w:shd w:val="clear" w:color="auto" w:fill="auto"/>
            <w:noWrap/>
            <w:vAlign w:val="bottom"/>
            <w:hideMark/>
          </w:tcPr>
          <w:p w14:paraId="7536B3D1"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color w:val="000000"/>
                <w:lang w:eastAsia="en-AU"/>
              </w:rPr>
            </w:pPr>
            <w:r w:rsidRPr="00C267E4">
              <w:rPr>
                <w:rFonts w:ascii="Calibri" w:eastAsia="Times New Roman" w:hAnsi="Calibri" w:cs="Calibri"/>
                <w:color w:val="000000"/>
                <w:lang w:eastAsia="en-AU"/>
              </w:rPr>
              <w:t>1412-Wood Chipping</w:t>
            </w:r>
          </w:p>
        </w:tc>
        <w:tc>
          <w:tcPr>
            <w:tcW w:w="1758" w:type="pct"/>
            <w:shd w:val="clear" w:color="auto" w:fill="auto"/>
            <w:noWrap/>
            <w:vAlign w:val="bottom"/>
            <w:hideMark/>
          </w:tcPr>
          <w:p w14:paraId="4E9D5ED2" w14:textId="77777777" w:rsidR="003112E9" w:rsidRPr="00C267E4" w:rsidRDefault="003112E9" w:rsidP="00AA249A">
            <w:pPr>
              <w:shd w:val="clear" w:color="auto" w:fill="FEC0F1" w:themeFill="accent4" w:themeFillTint="33"/>
              <w:spacing w:after="0" w:line="240" w:lineRule="auto"/>
              <w:jc w:val="right"/>
              <w:rPr>
                <w:rFonts w:ascii="Calibri" w:eastAsia="Times New Roman" w:hAnsi="Calibri" w:cs="Calibri"/>
                <w:color w:val="000000"/>
                <w:lang w:eastAsia="en-AU"/>
              </w:rPr>
            </w:pPr>
            <w:r w:rsidRPr="00C267E4">
              <w:rPr>
                <w:rFonts w:ascii="Calibri" w:eastAsia="Times New Roman" w:hAnsi="Calibri" w:cs="Calibri"/>
                <w:color w:val="000000"/>
                <w:lang w:eastAsia="en-AU"/>
              </w:rPr>
              <w:t>4.501</w:t>
            </w:r>
          </w:p>
        </w:tc>
      </w:tr>
      <w:tr w:rsidR="003112E9" w:rsidRPr="00C267E4" w14:paraId="655299E2" w14:textId="77777777" w:rsidTr="00426B8A">
        <w:trPr>
          <w:trHeight w:val="369"/>
        </w:trPr>
        <w:tc>
          <w:tcPr>
            <w:tcW w:w="3242" w:type="pct"/>
            <w:shd w:val="clear" w:color="auto" w:fill="auto"/>
            <w:noWrap/>
            <w:vAlign w:val="bottom"/>
            <w:hideMark/>
          </w:tcPr>
          <w:p w14:paraId="1BB63459"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color w:val="000000"/>
                <w:lang w:eastAsia="en-AU"/>
              </w:rPr>
            </w:pPr>
            <w:r w:rsidRPr="00C267E4">
              <w:rPr>
                <w:rFonts w:ascii="Calibri" w:eastAsia="Times New Roman" w:hAnsi="Calibri" w:cs="Calibri"/>
                <w:color w:val="000000"/>
                <w:lang w:eastAsia="en-AU"/>
              </w:rPr>
              <w:t>0149-</w:t>
            </w:r>
            <w:proofErr w:type="gramStart"/>
            <w:r w:rsidRPr="00C267E4">
              <w:rPr>
                <w:rFonts w:ascii="Calibri" w:eastAsia="Times New Roman" w:hAnsi="Calibri" w:cs="Calibri"/>
                <w:color w:val="000000"/>
                <w:lang w:eastAsia="en-AU"/>
              </w:rPr>
              <w:t>Other</w:t>
            </w:r>
            <w:proofErr w:type="gramEnd"/>
            <w:r w:rsidRPr="00C267E4">
              <w:rPr>
                <w:rFonts w:ascii="Calibri" w:eastAsia="Times New Roman" w:hAnsi="Calibri" w:cs="Calibri"/>
                <w:color w:val="000000"/>
                <w:lang w:eastAsia="en-AU"/>
              </w:rPr>
              <w:t xml:space="preserve"> Grain Growing</w:t>
            </w:r>
          </w:p>
        </w:tc>
        <w:tc>
          <w:tcPr>
            <w:tcW w:w="1758" w:type="pct"/>
            <w:shd w:val="clear" w:color="auto" w:fill="auto"/>
            <w:noWrap/>
            <w:vAlign w:val="bottom"/>
            <w:hideMark/>
          </w:tcPr>
          <w:p w14:paraId="3802FA8C" w14:textId="77777777" w:rsidR="003112E9" w:rsidRPr="00C267E4" w:rsidRDefault="003112E9" w:rsidP="00AA249A">
            <w:pPr>
              <w:shd w:val="clear" w:color="auto" w:fill="FEC0F1" w:themeFill="accent4" w:themeFillTint="33"/>
              <w:spacing w:after="0" w:line="240" w:lineRule="auto"/>
              <w:jc w:val="right"/>
              <w:rPr>
                <w:rFonts w:ascii="Calibri" w:eastAsia="Times New Roman" w:hAnsi="Calibri" w:cs="Calibri"/>
                <w:color w:val="000000"/>
                <w:lang w:eastAsia="en-AU"/>
              </w:rPr>
            </w:pPr>
            <w:r w:rsidRPr="00C267E4">
              <w:rPr>
                <w:rFonts w:ascii="Calibri" w:eastAsia="Times New Roman" w:hAnsi="Calibri" w:cs="Calibri"/>
                <w:color w:val="000000"/>
                <w:lang w:eastAsia="en-AU"/>
              </w:rPr>
              <w:t>4.313</w:t>
            </w:r>
          </w:p>
        </w:tc>
      </w:tr>
      <w:tr w:rsidR="003112E9" w:rsidRPr="00C267E4" w14:paraId="7895C26C" w14:textId="77777777" w:rsidTr="00426B8A">
        <w:trPr>
          <w:trHeight w:val="369"/>
        </w:trPr>
        <w:tc>
          <w:tcPr>
            <w:tcW w:w="3242" w:type="pct"/>
            <w:shd w:val="clear" w:color="auto" w:fill="auto"/>
            <w:noWrap/>
            <w:vAlign w:val="bottom"/>
            <w:hideMark/>
          </w:tcPr>
          <w:p w14:paraId="2CE668D1"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color w:val="000000"/>
                <w:lang w:eastAsia="en-AU"/>
              </w:rPr>
            </w:pPr>
            <w:r w:rsidRPr="00C267E4">
              <w:rPr>
                <w:rFonts w:ascii="Calibri" w:eastAsia="Times New Roman" w:hAnsi="Calibri" w:cs="Calibri"/>
                <w:color w:val="000000"/>
                <w:lang w:eastAsia="en-AU"/>
              </w:rPr>
              <w:t>1111-Meat Processing</w:t>
            </w:r>
          </w:p>
        </w:tc>
        <w:tc>
          <w:tcPr>
            <w:tcW w:w="1758" w:type="pct"/>
            <w:shd w:val="clear" w:color="auto" w:fill="auto"/>
            <w:noWrap/>
            <w:vAlign w:val="bottom"/>
            <w:hideMark/>
          </w:tcPr>
          <w:p w14:paraId="1E4FDB1E" w14:textId="77777777" w:rsidR="003112E9" w:rsidRPr="00C267E4" w:rsidRDefault="003112E9" w:rsidP="00AA249A">
            <w:pPr>
              <w:shd w:val="clear" w:color="auto" w:fill="FEC0F1" w:themeFill="accent4" w:themeFillTint="33"/>
              <w:spacing w:after="0" w:line="240" w:lineRule="auto"/>
              <w:jc w:val="right"/>
              <w:rPr>
                <w:rFonts w:ascii="Calibri" w:eastAsia="Times New Roman" w:hAnsi="Calibri" w:cs="Calibri"/>
                <w:color w:val="000000"/>
                <w:lang w:eastAsia="en-AU"/>
              </w:rPr>
            </w:pPr>
            <w:r w:rsidRPr="00C267E4">
              <w:rPr>
                <w:rFonts w:ascii="Calibri" w:eastAsia="Times New Roman" w:hAnsi="Calibri" w:cs="Calibri"/>
                <w:color w:val="000000"/>
                <w:lang w:eastAsia="en-AU"/>
              </w:rPr>
              <w:t>4.199</w:t>
            </w:r>
          </w:p>
        </w:tc>
      </w:tr>
      <w:tr w:rsidR="003112E9" w:rsidRPr="00C267E4" w14:paraId="40796550" w14:textId="77777777" w:rsidTr="00426B8A">
        <w:trPr>
          <w:trHeight w:val="369"/>
        </w:trPr>
        <w:tc>
          <w:tcPr>
            <w:tcW w:w="3242" w:type="pct"/>
            <w:shd w:val="clear" w:color="auto" w:fill="auto"/>
            <w:noWrap/>
            <w:vAlign w:val="bottom"/>
            <w:hideMark/>
          </w:tcPr>
          <w:p w14:paraId="24508FBD"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color w:val="000000"/>
                <w:lang w:eastAsia="en-AU"/>
              </w:rPr>
            </w:pPr>
            <w:r w:rsidRPr="00C267E4">
              <w:rPr>
                <w:rFonts w:ascii="Calibri" w:eastAsia="Times New Roman" w:hAnsi="Calibri" w:cs="Calibri"/>
                <w:color w:val="000000"/>
                <w:lang w:eastAsia="en-AU"/>
              </w:rPr>
              <w:t>0521-Cotton Ginning</w:t>
            </w:r>
          </w:p>
        </w:tc>
        <w:tc>
          <w:tcPr>
            <w:tcW w:w="1758" w:type="pct"/>
            <w:shd w:val="clear" w:color="auto" w:fill="auto"/>
            <w:noWrap/>
            <w:vAlign w:val="bottom"/>
            <w:hideMark/>
          </w:tcPr>
          <w:p w14:paraId="41A70BB8" w14:textId="77777777" w:rsidR="003112E9" w:rsidRPr="00C267E4" w:rsidRDefault="003112E9" w:rsidP="00AA249A">
            <w:pPr>
              <w:shd w:val="clear" w:color="auto" w:fill="FEC0F1" w:themeFill="accent4" w:themeFillTint="33"/>
              <w:spacing w:after="0" w:line="240" w:lineRule="auto"/>
              <w:jc w:val="right"/>
              <w:rPr>
                <w:rFonts w:ascii="Calibri" w:eastAsia="Times New Roman" w:hAnsi="Calibri" w:cs="Calibri"/>
                <w:color w:val="000000"/>
                <w:lang w:eastAsia="en-AU"/>
              </w:rPr>
            </w:pPr>
            <w:r w:rsidRPr="00C267E4">
              <w:rPr>
                <w:rFonts w:ascii="Calibri" w:eastAsia="Times New Roman" w:hAnsi="Calibri" w:cs="Calibri"/>
                <w:color w:val="000000"/>
                <w:lang w:eastAsia="en-AU"/>
              </w:rPr>
              <w:t>4.023</w:t>
            </w:r>
          </w:p>
        </w:tc>
      </w:tr>
      <w:tr w:rsidR="003112E9" w:rsidRPr="00C267E4" w14:paraId="51936CC8" w14:textId="77777777" w:rsidTr="00426B8A">
        <w:trPr>
          <w:trHeight w:val="369"/>
        </w:trPr>
        <w:tc>
          <w:tcPr>
            <w:tcW w:w="3242" w:type="pct"/>
            <w:shd w:val="clear" w:color="auto" w:fill="auto"/>
            <w:noWrap/>
            <w:vAlign w:val="bottom"/>
            <w:hideMark/>
          </w:tcPr>
          <w:p w14:paraId="0C30953E"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color w:val="000000"/>
                <w:lang w:eastAsia="en-AU"/>
              </w:rPr>
            </w:pPr>
            <w:r w:rsidRPr="00C267E4">
              <w:rPr>
                <w:rFonts w:ascii="Calibri" w:eastAsia="Times New Roman" w:hAnsi="Calibri" w:cs="Calibri"/>
                <w:color w:val="000000"/>
                <w:lang w:eastAsia="en-AU"/>
              </w:rPr>
              <w:t>0803-Copper Ore Mining</w:t>
            </w:r>
          </w:p>
        </w:tc>
        <w:tc>
          <w:tcPr>
            <w:tcW w:w="1758" w:type="pct"/>
            <w:shd w:val="clear" w:color="auto" w:fill="auto"/>
            <w:noWrap/>
            <w:vAlign w:val="bottom"/>
            <w:hideMark/>
          </w:tcPr>
          <w:p w14:paraId="3EDA2392" w14:textId="77777777" w:rsidR="003112E9" w:rsidRPr="00C267E4" w:rsidRDefault="003112E9" w:rsidP="00AA249A">
            <w:pPr>
              <w:shd w:val="clear" w:color="auto" w:fill="FEC0F1" w:themeFill="accent4" w:themeFillTint="33"/>
              <w:spacing w:after="0" w:line="240" w:lineRule="auto"/>
              <w:jc w:val="right"/>
              <w:rPr>
                <w:rFonts w:ascii="Calibri" w:eastAsia="Times New Roman" w:hAnsi="Calibri" w:cs="Calibri"/>
                <w:color w:val="000000"/>
                <w:lang w:eastAsia="en-AU"/>
              </w:rPr>
            </w:pPr>
            <w:r w:rsidRPr="00C267E4">
              <w:rPr>
                <w:rFonts w:ascii="Calibri" w:eastAsia="Times New Roman" w:hAnsi="Calibri" w:cs="Calibri"/>
                <w:color w:val="000000"/>
                <w:lang w:eastAsia="en-AU"/>
              </w:rPr>
              <w:t>3.774</w:t>
            </w:r>
          </w:p>
        </w:tc>
      </w:tr>
      <w:tr w:rsidR="003112E9" w:rsidRPr="00C267E4" w14:paraId="2733EF35" w14:textId="77777777" w:rsidTr="00426B8A">
        <w:trPr>
          <w:trHeight w:val="369"/>
        </w:trPr>
        <w:tc>
          <w:tcPr>
            <w:tcW w:w="3242" w:type="pct"/>
            <w:shd w:val="clear" w:color="auto" w:fill="auto"/>
            <w:noWrap/>
            <w:vAlign w:val="bottom"/>
            <w:hideMark/>
          </w:tcPr>
          <w:p w14:paraId="1FC11F35"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color w:val="000000"/>
                <w:lang w:eastAsia="en-AU"/>
              </w:rPr>
            </w:pPr>
            <w:r w:rsidRPr="00C267E4">
              <w:rPr>
                <w:rFonts w:ascii="Calibri" w:eastAsia="Times New Roman" w:hAnsi="Calibri" w:cs="Calibri"/>
                <w:color w:val="000000"/>
                <w:lang w:eastAsia="en-AU"/>
              </w:rPr>
              <w:t>0700-Oil and Gas Extraction</w:t>
            </w:r>
          </w:p>
        </w:tc>
        <w:tc>
          <w:tcPr>
            <w:tcW w:w="1758" w:type="pct"/>
            <w:shd w:val="clear" w:color="auto" w:fill="auto"/>
            <w:noWrap/>
            <w:vAlign w:val="bottom"/>
            <w:hideMark/>
          </w:tcPr>
          <w:p w14:paraId="4ED6F2F8" w14:textId="77777777" w:rsidR="003112E9" w:rsidRPr="00C267E4" w:rsidRDefault="003112E9" w:rsidP="00AA249A">
            <w:pPr>
              <w:shd w:val="clear" w:color="auto" w:fill="FEC0F1" w:themeFill="accent4" w:themeFillTint="33"/>
              <w:spacing w:after="0" w:line="240" w:lineRule="auto"/>
              <w:jc w:val="right"/>
              <w:rPr>
                <w:rFonts w:ascii="Calibri" w:eastAsia="Times New Roman" w:hAnsi="Calibri" w:cs="Calibri"/>
                <w:color w:val="000000"/>
                <w:lang w:eastAsia="en-AU"/>
              </w:rPr>
            </w:pPr>
            <w:r w:rsidRPr="00C267E4">
              <w:rPr>
                <w:rFonts w:ascii="Calibri" w:eastAsia="Times New Roman" w:hAnsi="Calibri" w:cs="Calibri"/>
                <w:color w:val="000000"/>
                <w:lang w:eastAsia="en-AU"/>
              </w:rPr>
              <w:t>3.197</w:t>
            </w:r>
          </w:p>
        </w:tc>
      </w:tr>
      <w:tr w:rsidR="003112E9" w:rsidRPr="00C267E4" w14:paraId="3421ECB7" w14:textId="77777777" w:rsidTr="00426B8A">
        <w:trPr>
          <w:trHeight w:val="369"/>
        </w:trPr>
        <w:tc>
          <w:tcPr>
            <w:tcW w:w="3242" w:type="pct"/>
            <w:shd w:val="clear" w:color="auto" w:fill="auto"/>
            <w:noWrap/>
            <w:vAlign w:val="bottom"/>
            <w:hideMark/>
          </w:tcPr>
          <w:p w14:paraId="0E6C994D"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color w:val="000000"/>
                <w:lang w:eastAsia="en-AU"/>
              </w:rPr>
            </w:pPr>
            <w:r w:rsidRPr="00C267E4">
              <w:rPr>
                <w:rFonts w:ascii="Calibri" w:eastAsia="Times New Roman" w:hAnsi="Calibri" w:cs="Calibri"/>
                <w:color w:val="000000"/>
                <w:lang w:eastAsia="en-AU"/>
              </w:rPr>
              <w:t>2132-Aluminium Smelting</w:t>
            </w:r>
          </w:p>
        </w:tc>
        <w:tc>
          <w:tcPr>
            <w:tcW w:w="1758" w:type="pct"/>
            <w:shd w:val="clear" w:color="auto" w:fill="auto"/>
            <w:noWrap/>
            <w:vAlign w:val="bottom"/>
            <w:hideMark/>
          </w:tcPr>
          <w:p w14:paraId="7741D8AA" w14:textId="77777777" w:rsidR="003112E9" w:rsidRPr="00C267E4" w:rsidRDefault="003112E9" w:rsidP="00AA249A">
            <w:pPr>
              <w:shd w:val="clear" w:color="auto" w:fill="FEC0F1" w:themeFill="accent4" w:themeFillTint="33"/>
              <w:spacing w:after="0" w:line="240" w:lineRule="auto"/>
              <w:jc w:val="right"/>
              <w:rPr>
                <w:rFonts w:ascii="Calibri" w:eastAsia="Times New Roman" w:hAnsi="Calibri" w:cs="Calibri"/>
                <w:color w:val="000000"/>
                <w:lang w:eastAsia="en-AU"/>
              </w:rPr>
            </w:pPr>
            <w:r w:rsidRPr="00C267E4">
              <w:rPr>
                <w:rFonts w:ascii="Calibri" w:eastAsia="Times New Roman" w:hAnsi="Calibri" w:cs="Calibri"/>
                <w:color w:val="000000"/>
                <w:lang w:eastAsia="en-AU"/>
              </w:rPr>
              <w:t>3.154</w:t>
            </w:r>
          </w:p>
        </w:tc>
      </w:tr>
      <w:tr w:rsidR="003112E9" w:rsidRPr="00C267E4" w14:paraId="5D09A11A" w14:textId="77777777" w:rsidTr="00426B8A">
        <w:trPr>
          <w:trHeight w:val="369"/>
        </w:trPr>
        <w:tc>
          <w:tcPr>
            <w:tcW w:w="3242" w:type="pct"/>
            <w:shd w:val="clear" w:color="auto" w:fill="auto"/>
            <w:noWrap/>
            <w:vAlign w:val="bottom"/>
            <w:hideMark/>
          </w:tcPr>
          <w:p w14:paraId="1483052B"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color w:val="000000"/>
                <w:lang w:eastAsia="en-AU"/>
              </w:rPr>
            </w:pPr>
            <w:r w:rsidRPr="00C267E4">
              <w:rPr>
                <w:rFonts w:ascii="Calibri" w:eastAsia="Times New Roman" w:hAnsi="Calibri" w:cs="Calibri"/>
                <w:color w:val="000000"/>
                <w:lang w:eastAsia="en-AU"/>
              </w:rPr>
              <w:t>0809-Other Metal Ore Mining</w:t>
            </w:r>
          </w:p>
        </w:tc>
        <w:tc>
          <w:tcPr>
            <w:tcW w:w="1758" w:type="pct"/>
            <w:shd w:val="clear" w:color="auto" w:fill="auto"/>
            <w:noWrap/>
            <w:vAlign w:val="bottom"/>
            <w:hideMark/>
          </w:tcPr>
          <w:p w14:paraId="016A108D" w14:textId="77777777" w:rsidR="003112E9" w:rsidRPr="00C267E4" w:rsidRDefault="003112E9" w:rsidP="00AA249A">
            <w:pPr>
              <w:shd w:val="clear" w:color="auto" w:fill="FEC0F1" w:themeFill="accent4" w:themeFillTint="33"/>
              <w:spacing w:after="0" w:line="240" w:lineRule="auto"/>
              <w:jc w:val="right"/>
              <w:rPr>
                <w:rFonts w:ascii="Calibri" w:eastAsia="Times New Roman" w:hAnsi="Calibri" w:cs="Calibri"/>
                <w:color w:val="000000"/>
                <w:lang w:eastAsia="en-AU"/>
              </w:rPr>
            </w:pPr>
            <w:r w:rsidRPr="00C267E4">
              <w:rPr>
                <w:rFonts w:ascii="Calibri" w:eastAsia="Times New Roman" w:hAnsi="Calibri" w:cs="Calibri"/>
                <w:color w:val="000000"/>
                <w:lang w:eastAsia="en-AU"/>
              </w:rPr>
              <w:t>2.82</w:t>
            </w:r>
          </w:p>
        </w:tc>
      </w:tr>
      <w:tr w:rsidR="003112E9" w:rsidRPr="00C267E4" w14:paraId="36FB0D94" w14:textId="77777777" w:rsidTr="00426B8A">
        <w:trPr>
          <w:trHeight w:val="369"/>
        </w:trPr>
        <w:tc>
          <w:tcPr>
            <w:tcW w:w="3242" w:type="pct"/>
            <w:shd w:val="clear" w:color="auto" w:fill="auto"/>
            <w:noWrap/>
            <w:vAlign w:val="bottom"/>
            <w:hideMark/>
          </w:tcPr>
          <w:p w14:paraId="55763EE8" w14:textId="77777777" w:rsidR="003112E9" w:rsidRPr="00C267E4" w:rsidRDefault="003112E9" w:rsidP="00AA249A">
            <w:pPr>
              <w:shd w:val="clear" w:color="auto" w:fill="FEC0F1" w:themeFill="accent4" w:themeFillTint="33"/>
              <w:spacing w:after="0" w:line="240" w:lineRule="auto"/>
              <w:rPr>
                <w:rFonts w:ascii="Calibri" w:eastAsia="Times New Roman" w:hAnsi="Calibri" w:cs="Calibri"/>
                <w:color w:val="000000"/>
                <w:lang w:eastAsia="en-AU"/>
              </w:rPr>
            </w:pPr>
            <w:r w:rsidRPr="00C267E4">
              <w:rPr>
                <w:rFonts w:ascii="Calibri" w:eastAsia="Times New Roman" w:hAnsi="Calibri" w:cs="Calibri"/>
                <w:color w:val="000000"/>
                <w:lang w:eastAsia="en-AU"/>
              </w:rPr>
              <w:t>0990-Other Non-Metallic Mineral Mining and Quarrying</w:t>
            </w:r>
          </w:p>
        </w:tc>
        <w:tc>
          <w:tcPr>
            <w:tcW w:w="1758" w:type="pct"/>
            <w:shd w:val="clear" w:color="auto" w:fill="auto"/>
            <w:noWrap/>
            <w:vAlign w:val="bottom"/>
            <w:hideMark/>
          </w:tcPr>
          <w:p w14:paraId="34583521" w14:textId="77777777" w:rsidR="003112E9" w:rsidRPr="00C267E4" w:rsidRDefault="003112E9" w:rsidP="00AA249A">
            <w:pPr>
              <w:shd w:val="clear" w:color="auto" w:fill="FEC0F1" w:themeFill="accent4" w:themeFillTint="33"/>
              <w:spacing w:after="0" w:line="240" w:lineRule="auto"/>
              <w:jc w:val="right"/>
              <w:rPr>
                <w:rFonts w:ascii="Calibri" w:eastAsia="Times New Roman" w:hAnsi="Calibri" w:cs="Calibri"/>
                <w:color w:val="000000"/>
                <w:lang w:eastAsia="en-AU"/>
              </w:rPr>
            </w:pPr>
            <w:r w:rsidRPr="00C267E4">
              <w:rPr>
                <w:rFonts w:ascii="Calibri" w:eastAsia="Times New Roman" w:hAnsi="Calibri" w:cs="Calibri"/>
                <w:color w:val="000000"/>
                <w:lang w:eastAsia="en-AU"/>
              </w:rPr>
              <w:t>2.018</w:t>
            </w:r>
          </w:p>
        </w:tc>
      </w:tr>
    </w:tbl>
    <w:p w14:paraId="440D0D01" w14:textId="5C5C7005" w:rsidR="00A60EDC" w:rsidRDefault="004E5F60" w:rsidP="00C35D33">
      <w:pPr>
        <w:pStyle w:val="Heading4"/>
        <w:rPr>
          <w:rFonts w:eastAsia="Meiryo"/>
          <w:color w:val="003491"/>
          <w:sz w:val="44"/>
          <w:szCs w:val="48"/>
        </w:rPr>
      </w:pPr>
      <w:r>
        <w:t xml:space="preserve">Data table for appendix 3: </w:t>
      </w:r>
      <w:r w:rsidRPr="00667A97">
        <w:t xml:space="preserve">Revealed Comparative Advantage </w:t>
      </w:r>
      <w:r>
        <w:t>–</w:t>
      </w:r>
      <w:r w:rsidRPr="00667A97">
        <w:t xml:space="preserve"> </w:t>
      </w:r>
      <w:r>
        <w:t>t</w:t>
      </w:r>
      <w:r w:rsidRPr="00667A97">
        <w:t>op 20 competitive subsectors, 2021</w:t>
      </w:r>
      <w:r w:rsidR="00A60EDC">
        <w:br w:type="page"/>
      </w:r>
    </w:p>
    <w:p w14:paraId="7D42079A" w14:textId="3841637A" w:rsidR="007E2307" w:rsidRPr="007137C6" w:rsidRDefault="007E2307" w:rsidP="00F6694F">
      <w:pPr>
        <w:pStyle w:val="Heading3"/>
      </w:pPr>
      <w:bookmarkStart w:id="109" w:name="_Toc152165436"/>
      <w:r w:rsidRPr="007137C6">
        <w:t xml:space="preserve">Appendix 4: Industry collaboration with </w:t>
      </w:r>
      <w:r w:rsidR="000D2DCF" w:rsidRPr="007137C6">
        <w:t xml:space="preserve">research </w:t>
      </w:r>
      <w:r w:rsidRPr="007137C6">
        <w:t xml:space="preserve">and </w:t>
      </w:r>
      <w:r w:rsidR="000D2DCF" w:rsidRPr="007137C6">
        <w:t xml:space="preserve">higher education </w:t>
      </w:r>
      <w:r w:rsidR="00BE39BB" w:rsidRPr="007137C6">
        <w:t>institutes</w:t>
      </w:r>
      <w:bookmarkEnd w:id="108"/>
      <w:bookmarkEnd w:id="109"/>
    </w:p>
    <w:p w14:paraId="402EBCE5" w14:textId="666BA6D8" w:rsidR="00926DB7" w:rsidRPr="00975D29" w:rsidRDefault="00926DB7" w:rsidP="00926DB7">
      <w:pPr>
        <w:rPr>
          <w:sz w:val="18"/>
          <w:szCs w:val="18"/>
        </w:rPr>
      </w:pPr>
      <w:r>
        <w:rPr>
          <w:noProof/>
        </w:rPr>
        <w:drawing>
          <wp:inline distT="0" distB="0" distL="0" distR="0" wp14:anchorId="4AEC919F" wp14:editId="67C19FCC">
            <wp:extent cx="9345918" cy="4579951"/>
            <wp:effectExtent l="0" t="0" r="8255" b="0"/>
            <wp:docPr id="2" name="Picture 2" descr="Column chart of large businesses' collaboration with research and higher education institutes in different Organisation for Economic Cooperation and Development (OECD) countries, showing that Australia is lowest at 3% for SME collaboration and 4% for large business collaboration. Se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lumn chart of large businesses' collaboration with research and higher education institutes in different Organisation for Economic Cooperation and Development (OECD) countries, showing that Australia is lowest at 3% for SME collaboration and 4% for large business collaboration. See data table below."/>
                    <pic:cNvPicPr/>
                  </pic:nvPicPr>
                  <pic:blipFill rotWithShape="1">
                    <a:blip r:embed="rId41"/>
                    <a:srcRect b="3280"/>
                    <a:stretch/>
                  </pic:blipFill>
                  <pic:spPr bwMode="auto">
                    <a:xfrm>
                      <a:off x="0" y="0"/>
                      <a:ext cx="9388820" cy="4600975"/>
                    </a:xfrm>
                    <a:prstGeom prst="rect">
                      <a:avLst/>
                    </a:prstGeom>
                    <a:ln>
                      <a:noFill/>
                    </a:ln>
                    <a:extLst>
                      <a:ext uri="{53640926-AAD7-44D8-BBD7-CCE9431645EC}">
                        <a14:shadowObscured xmlns:a14="http://schemas.microsoft.com/office/drawing/2010/main"/>
                      </a:ext>
                    </a:extLst>
                  </pic:spPr>
                </pic:pic>
              </a:graphicData>
            </a:graphic>
          </wp:inline>
        </w:drawing>
      </w:r>
      <w:r w:rsidRPr="008843B7">
        <w:rPr>
          <w:sz w:val="18"/>
          <w:szCs w:val="18"/>
        </w:rPr>
        <w:t xml:space="preserve">Source: </w:t>
      </w:r>
      <w:r w:rsidRPr="00DB2A3D">
        <w:rPr>
          <w:sz w:val="18"/>
          <w:szCs w:val="18"/>
        </w:rPr>
        <w:t xml:space="preserve">Organisation for Economic Cooperation and Development (OECD) (2021) </w:t>
      </w:r>
      <w:hyperlink r:id="rId42" w:history="1">
        <w:r w:rsidRPr="00DB2A3D">
          <w:rPr>
            <w:rStyle w:val="Hyperlink"/>
            <w:i/>
            <w:iCs/>
            <w:sz w:val="18"/>
            <w:szCs w:val="18"/>
          </w:rPr>
          <w:t>Business innovation statistics and indicators</w:t>
        </w:r>
      </w:hyperlink>
      <w:r w:rsidRPr="00DB2A3D">
        <w:rPr>
          <w:sz w:val="18"/>
          <w:szCs w:val="18"/>
        </w:rPr>
        <w:t>, OECD website, last accessed 24 November 2023.</w:t>
      </w:r>
    </w:p>
    <w:p w14:paraId="5068DCC0" w14:textId="67D885AB" w:rsidR="007E2307" w:rsidRPr="007E2307" w:rsidRDefault="007E2307" w:rsidP="007E2307">
      <w:pPr>
        <w:sectPr w:rsidR="007E2307" w:rsidRPr="007E2307" w:rsidSect="00EF4B1B">
          <w:pgSz w:w="16838" w:h="11906" w:orient="landscape"/>
          <w:pgMar w:top="1440" w:right="678" w:bottom="1440" w:left="1440" w:header="851" w:footer="708" w:gutter="0"/>
          <w:cols w:space="708"/>
          <w:titlePg/>
          <w:docGrid w:linePitch="360"/>
        </w:sectPr>
      </w:pPr>
    </w:p>
    <w:p w14:paraId="2A40937D" w14:textId="319C25DF" w:rsidR="00EF25A8" w:rsidRDefault="00EF25A8" w:rsidP="00C35D33">
      <w:pPr>
        <w:pStyle w:val="Heading4"/>
      </w:pPr>
      <w:bookmarkStart w:id="110" w:name="_Toc1724804468"/>
      <w:bookmarkEnd w:id="103"/>
      <w:r>
        <w:t>Data table for appendix 4: Small and medium enterprise (SME) and large business collaboration with research and higher education institutes in Organisation for Economic Cooperation and Development (OECD) countries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ata table for appendix 4"/>
        <w:tblDescription w:val="Small and medium enterprise (SME) and large business collaboration with research and higher education institutes in Organisation for Economic Cooperation and Development (OECD) countries"/>
      </w:tblPr>
      <w:tblGrid>
        <w:gridCol w:w="1697"/>
        <w:gridCol w:w="3260"/>
        <w:gridCol w:w="4059"/>
      </w:tblGrid>
      <w:tr w:rsidR="00EF25A8" w:rsidRPr="00E4374E" w14:paraId="43D33033" w14:textId="77777777" w:rsidTr="00426B8A">
        <w:trPr>
          <w:trHeight w:val="785"/>
          <w:tblHeader/>
        </w:trPr>
        <w:tc>
          <w:tcPr>
            <w:tcW w:w="941" w:type="pct"/>
            <w:shd w:val="clear" w:color="auto" w:fill="E5E5FF"/>
            <w:noWrap/>
            <w:vAlign w:val="center"/>
            <w:hideMark/>
          </w:tcPr>
          <w:p w14:paraId="31E0C6EC" w14:textId="77777777" w:rsidR="00EF25A8" w:rsidRPr="00E4374E" w:rsidRDefault="00EF25A8" w:rsidP="00E4374E">
            <w:pPr>
              <w:spacing w:after="0" w:line="240" w:lineRule="auto"/>
              <w:jc w:val="center"/>
              <w:rPr>
                <w:rFonts w:ascii="Arial" w:eastAsia="Times New Roman" w:hAnsi="Arial" w:cs="Arial"/>
                <w:b/>
                <w:bCs/>
                <w:sz w:val="20"/>
                <w:szCs w:val="20"/>
                <w:lang w:eastAsia="en-AU"/>
              </w:rPr>
            </w:pPr>
            <w:r w:rsidRPr="00E4374E">
              <w:rPr>
                <w:rFonts w:ascii="Arial" w:eastAsia="Times New Roman" w:hAnsi="Arial" w:cs="Arial"/>
                <w:b/>
                <w:bCs/>
                <w:sz w:val="20"/>
                <w:szCs w:val="20"/>
                <w:lang w:eastAsia="en-AU"/>
              </w:rPr>
              <w:t>Country</w:t>
            </w:r>
          </w:p>
        </w:tc>
        <w:tc>
          <w:tcPr>
            <w:tcW w:w="1808" w:type="pct"/>
            <w:shd w:val="clear" w:color="auto" w:fill="E5E5FF"/>
            <w:noWrap/>
            <w:vAlign w:val="center"/>
            <w:hideMark/>
          </w:tcPr>
          <w:p w14:paraId="173C2B1F" w14:textId="4CCA6701" w:rsidR="00EF25A8" w:rsidRPr="00E4374E" w:rsidRDefault="00EF25A8" w:rsidP="00E4374E">
            <w:pPr>
              <w:spacing w:after="0" w:line="240" w:lineRule="auto"/>
              <w:jc w:val="center"/>
              <w:rPr>
                <w:rFonts w:ascii="Arial" w:eastAsia="Times New Roman" w:hAnsi="Arial" w:cs="Arial"/>
                <w:b/>
                <w:bCs/>
                <w:sz w:val="20"/>
                <w:szCs w:val="20"/>
                <w:lang w:eastAsia="en-AU"/>
              </w:rPr>
            </w:pPr>
            <w:r w:rsidRPr="00E4374E">
              <w:rPr>
                <w:rFonts w:ascii="Arial" w:eastAsia="Times New Roman" w:hAnsi="Arial" w:cs="Arial"/>
                <w:b/>
                <w:bCs/>
                <w:sz w:val="20"/>
                <w:szCs w:val="20"/>
                <w:lang w:eastAsia="en-AU"/>
              </w:rPr>
              <w:t>SMEs collaborating with research and higher education institutes</w:t>
            </w:r>
          </w:p>
        </w:tc>
        <w:tc>
          <w:tcPr>
            <w:tcW w:w="2251" w:type="pct"/>
            <w:shd w:val="clear" w:color="auto" w:fill="E5E5FF"/>
            <w:noWrap/>
            <w:vAlign w:val="center"/>
            <w:hideMark/>
          </w:tcPr>
          <w:p w14:paraId="7A4F0080" w14:textId="3A4EEE8C" w:rsidR="00EF25A8" w:rsidRPr="00E4374E" w:rsidRDefault="00EF25A8" w:rsidP="00E4374E">
            <w:pPr>
              <w:spacing w:after="0" w:line="240" w:lineRule="auto"/>
              <w:jc w:val="center"/>
              <w:rPr>
                <w:rFonts w:ascii="Arial" w:eastAsia="Times New Roman" w:hAnsi="Arial" w:cs="Arial"/>
                <w:b/>
                <w:bCs/>
                <w:sz w:val="20"/>
                <w:szCs w:val="20"/>
                <w:lang w:eastAsia="en-AU"/>
              </w:rPr>
            </w:pPr>
            <w:r w:rsidRPr="00E4374E">
              <w:rPr>
                <w:rFonts w:ascii="Arial" w:eastAsia="Times New Roman" w:hAnsi="Arial" w:cs="Arial"/>
                <w:b/>
                <w:bCs/>
                <w:sz w:val="20"/>
                <w:szCs w:val="20"/>
                <w:lang w:eastAsia="en-AU"/>
              </w:rPr>
              <w:t>Large businesses collaborating with research and higher education institutes</w:t>
            </w:r>
          </w:p>
        </w:tc>
      </w:tr>
      <w:tr w:rsidR="00EF25A8" w:rsidRPr="00551520" w14:paraId="0FE4FF50" w14:textId="77777777" w:rsidTr="00426B8A">
        <w:trPr>
          <w:trHeight w:val="374"/>
        </w:trPr>
        <w:tc>
          <w:tcPr>
            <w:tcW w:w="941" w:type="pct"/>
            <w:shd w:val="clear" w:color="000000" w:fill="FFFF00"/>
            <w:noWrap/>
            <w:vAlign w:val="center"/>
            <w:hideMark/>
          </w:tcPr>
          <w:p w14:paraId="17ECFE8E"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Australia</w:t>
            </w:r>
          </w:p>
        </w:tc>
        <w:tc>
          <w:tcPr>
            <w:tcW w:w="1808" w:type="pct"/>
            <w:shd w:val="clear" w:color="000000" w:fill="FFFF00"/>
            <w:noWrap/>
            <w:vAlign w:val="bottom"/>
            <w:hideMark/>
          </w:tcPr>
          <w:p w14:paraId="79EE41E2"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3</w:t>
            </w:r>
          </w:p>
        </w:tc>
        <w:tc>
          <w:tcPr>
            <w:tcW w:w="2251" w:type="pct"/>
            <w:shd w:val="clear" w:color="000000" w:fill="FFFF00"/>
            <w:noWrap/>
            <w:vAlign w:val="bottom"/>
            <w:hideMark/>
          </w:tcPr>
          <w:p w14:paraId="44627310"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4</w:t>
            </w:r>
          </w:p>
        </w:tc>
      </w:tr>
      <w:tr w:rsidR="00EF25A8" w:rsidRPr="00551520" w14:paraId="06C97BE1" w14:textId="77777777" w:rsidTr="00426B8A">
        <w:trPr>
          <w:trHeight w:val="374"/>
        </w:trPr>
        <w:tc>
          <w:tcPr>
            <w:tcW w:w="941" w:type="pct"/>
            <w:shd w:val="clear" w:color="auto" w:fill="auto"/>
            <w:noWrap/>
            <w:vAlign w:val="bottom"/>
            <w:hideMark/>
          </w:tcPr>
          <w:p w14:paraId="5F235303"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Japan</w:t>
            </w:r>
          </w:p>
        </w:tc>
        <w:tc>
          <w:tcPr>
            <w:tcW w:w="1808" w:type="pct"/>
            <w:shd w:val="clear" w:color="auto" w:fill="auto"/>
            <w:noWrap/>
            <w:vAlign w:val="bottom"/>
            <w:hideMark/>
          </w:tcPr>
          <w:p w14:paraId="693487B5"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4</w:t>
            </w:r>
          </w:p>
        </w:tc>
        <w:tc>
          <w:tcPr>
            <w:tcW w:w="2251" w:type="pct"/>
            <w:shd w:val="clear" w:color="auto" w:fill="auto"/>
            <w:noWrap/>
            <w:vAlign w:val="bottom"/>
            <w:hideMark/>
          </w:tcPr>
          <w:p w14:paraId="1F4720FE"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28</w:t>
            </w:r>
          </w:p>
        </w:tc>
      </w:tr>
      <w:tr w:rsidR="00EF25A8" w:rsidRPr="00551520" w14:paraId="6032C322" w14:textId="77777777" w:rsidTr="00426B8A">
        <w:trPr>
          <w:trHeight w:val="374"/>
        </w:trPr>
        <w:tc>
          <w:tcPr>
            <w:tcW w:w="941" w:type="pct"/>
            <w:shd w:val="clear" w:color="auto" w:fill="auto"/>
            <w:noWrap/>
            <w:vAlign w:val="bottom"/>
            <w:hideMark/>
          </w:tcPr>
          <w:p w14:paraId="7AA224C7"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Republic of Korea</w:t>
            </w:r>
          </w:p>
        </w:tc>
        <w:tc>
          <w:tcPr>
            <w:tcW w:w="1808" w:type="pct"/>
            <w:shd w:val="clear" w:color="auto" w:fill="auto"/>
            <w:noWrap/>
            <w:vAlign w:val="bottom"/>
            <w:hideMark/>
          </w:tcPr>
          <w:p w14:paraId="3969CF6B"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4</w:t>
            </w:r>
          </w:p>
        </w:tc>
        <w:tc>
          <w:tcPr>
            <w:tcW w:w="2251" w:type="pct"/>
            <w:shd w:val="clear" w:color="auto" w:fill="auto"/>
            <w:noWrap/>
            <w:vAlign w:val="bottom"/>
            <w:hideMark/>
          </w:tcPr>
          <w:p w14:paraId="2B470FB8"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11</w:t>
            </w:r>
          </w:p>
        </w:tc>
      </w:tr>
      <w:tr w:rsidR="00EF25A8" w:rsidRPr="00551520" w14:paraId="79DBCDFA" w14:textId="77777777" w:rsidTr="00426B8A">
        <w:trPr>
          <w:trHeight w:val="374"/>
        </w:trPr>
        <w:tc>
          <w:tcPr>
            <w:tcW w:w="941" w:type="pct"/>
            <w:shd w:val="clear" w:color="auto" w:fill="auto"/>
            <w:noWrap/>
            <w:vAlign w:val="bottom"/>
            <w:hideMark/>
          </w:tcPr>
          <w:p w14:paraId="1674DF86" w14:textId="77777777" w:rsidR="00EF25A8" w:rsidRPr="00551520" w:rsidRDefault="00EF25A8" w:rsidP="00E4374E">
            <w:pPr>
              <w:spacing w:after="0" w:line="240" w:lineRule="auto"/>
              <w:rPr>
                <w:rFonts w:ascii="Calibri" w:eastAsia="Times New Roman" w:hAnsi="Calibri" w:cs="Calibri"/>
                <w:lang w:eastAsia="en-AU"/>
              </w:rPr>
            </w:pPr>
            <w:r w:rsidRPr="00551520">
              <w:rPr>
                <w:rFonts w:ascii="Calibri" w:eastAsia="Times New Roman" w:hAnsi="Calibri" w:cs="Calibri"/>
                <w:lang w:eastAsia="en-AU"/>
              </w:rPr>
              <w:t>N</w:t>
            </w:r>
            <w:r>
              <w:rPr>
                <w:rFonts w:ascii="Calibri" w:eastAsia="Times New Roman" w:hAnsi="Calibri" w:cs="Calibri"/>
                <w:lang w:eastAsia="en-AU"/>
              </w:rPr>
              <w:t>ew Zealand</w:t>
            </w:r>
          </w:p>
        </w:tc>
        <w:tc>
          <w:tcPr>
            <w:tcW w:w="1808" w:type="pct"/>
            <w:shd w:val="clear" w:color="auto" w:fill="auto"/>
            <w:noWrap/>
            <w:vAlign w:val="bottom"/>
            <w:hideMark/>
          </w:tcPr>
          <w:p w14:paraId="1CAFC7F0"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5</w:t>
            </w:r>
          </w:p>
        </w:tc>
        <w:tc>
          <w:tcPr>
            <w:tcW w:w="2251" w:type="pct"/>
            <w:shd w:val="clear" w:color="auto" w:fill="auto"/>
            <w:noWrap/>
            <w:vAlign w:val="bottom"/>
            <w:hideMark/>
          </w:tcPr>
          <w:p w14:paraId="1E95F4C4"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17</w:t>
            </w:r>
          </w:p>
        </w:tc>
      </w:tr>
      <w:tr w:rsidR="00EF25A8" w:rsidRPr="00551520" w14:paraId="7BA08DDD" w14:textId="77777777" w:rsidTr="00426B8A">
        <w:trPr>
          <w:trHeight w:val="374"/>
        </w:trPr>
        <w:tc>
          <w:tcPr>
            <w:tcW w:w="941" w:type="pct"/>
            <w:shd w:val="clear" w:color="auto" w:fill="auto"/>
            <w:noWrap/>
            <w:vAlign w:val="bottom"/>
            <w:hideMark/>
          </w:tcPr>
          <w:p w14:paraId="0079FAAB"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Brazil</w:t>
            </w:r>
          </w:p>
        </w:tc>
        <w:tc>
          <w:tcPr>
            <w:tcW w:w="1808" w:type="pct"/>
            <w:shd w:val="clear" w:color="auto" w:fill="auto"/>
            <w:noWrap/>
            <w:vAlign w:val="bottom"/>
            <w:hideMark/>
          </w:tcPr>
          <w:p w14:paraId="6292158F"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5</w:t>
            </w:r>
          </w:p>
        </w:tc>
        <w:tc>
          <w:tcPr>
            <w:tcW w:w="2251" w:type="pct"/>
            <w:shd w:val="clear" w:color="auto" w:fill="auto"/>
            <w:noWrap/>
            <w:vAlign w:val="bottom"/>
            <w:hideMark/>
          </w:tcPr>
          <w:p w14:paraId="19520BEF"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21</w:t>
            </w:r>
          </w:p>
        </w:tc>
      </w:tr>
      <w:tr w:rsidR="00EF25A8" w:rsidRPr="00551520" w14:paraId="0030847C" w14:textId="77777777" w:rsidTr="00426B8A">
        <w:trPr>
          <w:trHeight w:val="374"/>
        </w:trPr>
        <w:tc>
          <w:tcPr>
            <w:tcW w:w="941" w:type="pct"/>
            <w:shd w:val="clear" w:color="auto" w:fill="auto"/>
            <w:noWrap/>
            <w:vAlign w:val="bottom"/>
            <w:hideMark/>
          </w:tcPr>
          <w:p w14:paraId="596F4069"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Luxembourg</w:t>
            </w:r>
          </w:p>
        </w:tc>
        <w:tc>
          <w:tcPr>
            <w:tcW w:w="1808" w:type="pct"/>
            <w:shd w:val="clear" w:color="auto" w:fill="auto"/>
            <w:noWrap/>
            <w:vAlign w:val="bottom"/>
            <w:hideMark/>
          </w:tcPr>
          <w:p w14:paraId="1C06CFFE"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6</w:t>
            </w:r>
          </w:p>
        </w:tc>
        <w:tc>
          <w:tcPr>
            <w:tcW w:w="2251" w:type="pct"/>
            <w:shd w:val="clear" w:color="auto" w:fill="auto"/>
            <w:noWrap/>
            <w:vAlign w:val="bottom"/>
            <w:hideMark/>
          </w:tcPr>
          <w:p w14:paraId="4C660090"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35</w:t>
            </w:r>
          </w:p>
        </w:tc>
      </w:tr>
      <w:tr w:rsidR="00EF25A8" w:rsidRPr="00551520" w14:paraId="7DF288AA" w14:textId="77777777" w:rsidTr="00426B8A">
        <w:trPr>
          <w:trHeight w:val="374"/>
        </w:trPr>
        <w:tc>
          <w:tcPr>
            <w:tcW w:w="941" w:type="pct"/>
            <w:shd w:val="clear" w:color="auto" w:fill="auto"/>
            <w:noWrap/>
            <w:vAlign w:val="bottom"/>
            <w:hideMark/>
          </w:tcPr>
          <w:p w14:paraId="6057394D" w14:textId="77777777" w:rsidR="00EF25A8" w:rsidRPr="00551520" w:rsidRDefault="00EF25A8" w:rsidP="00E4374E">
            <w:pPr>
              <w:spacing w:after="0" w:line="240" w:lineRule="auto"/>
              <w:rPr>
                <w:rFonts w:ascii="Calibri" w:eastAsia="Times New Roman" w:hAnsi="Calibri" w:cs="Calibri"/>
                <w:lang w:eastAsia="en-AU"/>
              </w:rPr>
            </w:pPr>
            <w:r w:rsidRPr="00551520">
              <w:rPr>
                <w:rFonts w:ascii="Calibri" w:eastAsia="Times New Roman" w:hAnsi="Calibri" w:cs="Calibri"/>
                <w:lang w:eastAsia="en-AU"/>
              </w:rPr>
              <w:t>L</w:t>
            </w:r>
            <w:r>
              <w:rPr>
                <w:rFonts w:ascii="Calibri" w:eastAsia="Times New Roman" w:hAnsi="Calibri" w:cs="Calibri"/>
                <w:lang w:eastAsia="en-AU"/>
              </w:rPr>
              <w:t>atvia</w:t>
            </w:r>
          </w:p>
        </w:tc>
        <w:tc>
          <w:tcPr>
            <w:tcW w:w="1808" w:type="pct"/>
            <w:shd w:val="clear" w:color="auto" w:fill="auto"/>
            <w:noWrap/>
            <w:vAlign w:val="bottom"/>
            <w:hideMark/>
          </w:tcPr>
          <w:p w14:paraId="0D3E17EB"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6</w:t>
            </w:r>
          </w:p>
        </w:tc>
        <w:tc>
          <w:tcPr>
            <w:tcW w:w="2251" w:type="pct"/>
            <w:shd w:val="clear" w:color="auto" w:fill="auto"/>
            <w:noWrap/>
            <w:vAlign w:val="bottom"/>
            <w:hideMark/>
          </w:tcPr>
          <w:p w14:paraId="2228452D"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21</w:t>
            </w:r>
          </w:p>
        </w:tc>
      </w:tr>
      <w:tr w:rsidR="00EF25A8" w:rsidRPr="00551520" w14:paraId="16D5A0BE" w14:textId="77777777" w:rsidTr="00426B8A">
        <w:trPr>
          <w:trHeight w:val="374"/>
        </w:trPr>
        <w:tc>
          <w:tcPr>
            <w:tcW w:w="941" w:type="pct"/>
            <w:shd w:val="clear" w:color="auto" w:fill="auto"/>
            <w:noWrap/>
            <w:vAlign w:val="bottom"/>
            <w:hideMark/>
          </w:tcPr>
          <w:p w14:paraId="5C71E03C"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Spain</w:t>
            </w:r>
          </w:p>
        </w:tc>
        <w:tc>
          <w:tcPr>
            <w:tcW w:w="1808" w:type="pct"/>
            <w:shd w:val="clear" w:color="auto" w:fill="auto"/>
            <w:noWrap/>
            <w:vAlign w:val="bottom"/>
            <w:hideMark/>
          </w:tcPr>
          <w:p w14:paraId="17B44F04"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6</w:t>
            </w:r>
          </w:p>
        </w:tc>
        <w:tc>
          <w:tcPr>
            <w:tcW w:w="2251" w:type="pct"/>
            <w:shd w:val="clear" w:color="auto" w:fill="auto"/>
            <w:noWrap/>
            <w:vAlign w:val="bottom"/>
            <w:hideMark/>
          </w:tcPr>
          <w:p w14:paraId="7B481189"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21</w:t>
            </w:r>
          </w:p>
        </w:tc>
      </w:tr>
      <w:tr w:rsidR="00EF25A8" w:rsidRPr="00551520" w14:paraId="39E6678F" w14:textId="77777777" w:rsidTr="00426B8A">
        <w:trPr>
          <w:trHeight w:val="374"/>
        </w:trPr>
        <w:tc>
          <w:tcPr>
            <w:tcW w:w="941" w:type="pct"/>
            <w:shd w:val="clear" w:color="auto" w:fill="auto"/>
            <w:noWrap/>
            <w:vAlign w:val="bottom"/>
            <w:hideMark/>
          </w:tcPr>
          <w:p w14:paraId="1C846920"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Norway</w:t>
            </w:r>
          </w:p>
        </w:tc>
        <w:tc>
          <w:tcPr>
            <w:tcW w:w="1808" w:type="pct"/>
            <w:shd w:val="clear" w:color="auto" w:fill="auto"/>
            <w:noWrap/>
            <w:vAlign w:val="bottom"/>
            <w:hideMark/>
          </w:tcPr>
          <w:p w14:paraId="1EC1AAC6"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7</w:t>
            </w:r>
          </w:p>
        </w:tc>
        <w:tc>
          <w:tcPr>
            <w:tcW w:w="2251" w:type="pct"/>
            <w:shd w:val="clear" w:color="auto" w:fill="auto"/>
            <w:noWrap/>
            <w:vAlign w:val="bottom"/>
            <w:hideMark/>
          </w:tcPr>
          <w:p w14:paraId="06C11F9C"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34</w:t>
            </w:r>
          </w:p>
        </w:tc>
      </w:tr>
      <w:tr w:rsidR="00EF25A8" w:rsidRPr="00551520" w14:paraId="45C9FC9B" w14:textId="77777777" w:rsidTr="00426B8A">
        <w:trPr>
          <w:trHeight w:val="374"/>
        </w:trPr>
        <w:tc>
          <w:tcPr>
            <w:tcW w:w="941" w:type="pct"/>
            <w:shd w:val="clear" w:color="auto" w:fill="auto"/>
            <w:noWrap/>
            <w:vAlign w:val="bottom"/>
            <w:hideMark/>
          </w:tcPr>
          <w:p w14:paraId="571FA227"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Italy</w:t>
            </w:r>
          </w:p>
        </w:tc>
        <w:tc>
          <w:tcPr>
            <w:tcW w:w="1808" w:type="pct"/>
            <w:shd w:val="clear" w:color="auto" w:fill="auto"/>
            <w:noWrap/>
            <w:vAlign w:val="bottom"/>
            <w:hideMark/>
          </w:tcPr>
          <w:p w14:paraId="739C9DC3"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7</w:t>
            </w:r>
          </w:p>
        </w:tc>
        <w:tc>
          <w:tcPr>
            <w:tcW w:w="2251" w:type="pct"/>
            <w:shd w:val="clear" w:color="auto" w:fill="auto"/>
            <w:noWrap/>
            <w:vAlign w:val="bottom"/>
            <w:hideMark/>
          </w:tcPr>
          <w:p w14:paraId="5A5D3BBF"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31</w:t>
            </w:r>
          </w:p>
        </w:tc>
      </w:tr>
      <w:tr w:rsidR="00EF25A8" w:rsidRPr="00551520" w14:paraId="75C1F049" w14:textId="77777777" w:rsidTr="00426B8A">
        <w:trPr>
          <w:trHeight w:val="374"/>
        </w:trPr>
        <w:tc>
          <w:tcPr>
            <w:tcW w:w="941" w:type="pct"/>
            <w:shd w:val="clear" w:color="auto" w:fill="auto"/>
            <w:noWrap/>
            <w:vAlign w:val="bottom"/>
            <w:hideMark/>
          </w:tcPr>
          <w:p w14:paraId="70ECA790" w14:textId="77777777" w:rsidR="00EF25A8" w:rsidRPr="00551520" w:rsidRDefault="00EF25A8" w:rsidP="00E4374E">
            <w:pPr>
              <w:spacing w:after="0" w:line="240" w:lineRule="auto"/>
              <w:rPr>
                <w:rFonts w:ascii="Calibri" w:eastAsia="Times New Roman" w:hAnsi="Calibri" w:cs="Calibri"/>
                <w:lang w:eastAsia="en-AU"/>
              </w:rPr>
            </w:pPr>
            <w:r w:rsidRPr="00551520">
              <w:rPr>
                <w:rFonts w:ascii="Calibri" w:eastAsia="Times New Roman" w:hAnsi="Calibri" w:cs="Calibri"/>
                <w:lang w:eastAsia="en-AU"/>
              </w:rPr>
              <w:t>L</w:t>
            </w:r>
            <w:r>
              <w:rPr>
                <w:rFonts w:ascii="Calibri" w:eastAsia="Times New Roman" w:hAnsi="Calibri" w:cs="Calibri"/>
                <w:lang w:eastAsia="en-AU"/>
              </w:rPr>
              <w:t>ithuania</w:t>
            </w:r>
          </w:p>
        </w:tc>
        <w:tc>
          <w:tcPr>
            <w:tcW w:w="1808" w:type="pct"/>
            <w:shd w:val="clear" w:color="auto" w:fill="auto"/>
            <w:noWrap/>
            <w:vAlign w:val="bottom"/>
            <w:hideMark/>
          </w:tcPr>
          <w:p w14:paraId="41E536AC"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7</w:t>
            </w:r>
          </w:p>
        </w:tc>
        <w:tc>
          <w:tcPr>
            <w:tcW w:w="2251" w:type="pct"/>
            <w:shd w:val="clear" w:color="auto" w:fill="auto"/>
            <w:noWrap/>
            <w:vAlign w:val="bottom"/>
            <w:hideMark/>
          </w:tcPr>
          <w:p w14:paraId="116F4BF7"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18</w:t>
            </w:r>
          </w:p>
        </w:tc>
      </w:tr>
      <w:tr w:rsidR="00EF25A8" w:rsidRPr="00551520" w14:paraId="098196B6" w14:textId="77777777" w:rsidTr="00426B8A">
        <w:trPr>
          <w:trHeight w:val="374"/>
        </w:trPr>
        <w:tc>
          <w:tcPr>
            <w:tcW w:w="941" w:type="pct"/>
            <w:shd w:val="clear" w:color="auto" w:fill="auto"/>
            <w:noWrap/>
            <w:vAlign w:val="bottom"/>
            <w:hideMark/>
          </w:tcPr>
          <w:p w14:paraId="2C2C0B25" w14:textId="77777777" w:rsidR="00EF25A8" w:rsidRPr="00551520" w:rsidRDefault="00EF25A8" w:rsidP="00E4374E">
            <w:pPr>
              <w:spacing w:after="0" w:line="240" w:lineRule="auto"/>
              <w:rPr>
                <w:rFonts w:ascii="Calibri" w:eastAsia="Times New Roman" w:hAnsi="Calibri" w:cs="Calibri"/>
                <w:lang w:eastAsia="en-AU"/>
              </w:rPr>
            </w:pPr>
            <w:r w:rsidRPr="00551520">
              <w:rPr>
                <w:rFonts w:ascii="Calibri" w:eastAsia="Times New Roman" w:hAnsi="Calibri" w:cs="Calibri"/>
                <w:lang w:eastAsia="en-AU"/>
              </w:rPr>
              <w:t>I</w:t>
            </w:r>
            <w:r>
              <w:rPr>
                <w:rFonts w:ascii="Calibri" w:eastAsia="Times New Roman" w:hAnsi="Calibri" w:cs="Calibri"/>
                <w:lang w:eastAsia="en-AU"/>
              </w:rPr>
              <w:t>celand</w:t>
            </w:r>
          </w:p>
        </w:tc>
        <w:tc>
          <w:tcPr>
            <w:tcW w:w="1808" w:type="pct"/>
            <w:shd w:val="clear" w:color="auto" w:fill="auto"/>
            <w:noWrap/>
            <w:vAlign w:val="bottom"/>
            <w:hideMark/>
          </w:tcPr>
          <w:p w14:paraId="30B45033"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8</w:t>
            </w:r>
          </w:p>
        </w:tc>
        <w:tc>
          <w:tcPr>
            <w:tcW w:w="2251" w:type="pct"/>
            <w:shd w:val="clear" w:color="auto" w:fill="auto"/>
            <w:noWrap/>
            <w:vAlign w:val="bottom"/>
            <w:hideMark/>
          </w:tcPr>
          <w:p w14:paraId="1075927E"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29</w:t>
            </w:r>
          </w:p>
        </w:tc>
      </w:tr>
      <w:tr w:rsidR="00EF25A8" w:rsidRPr="00551520" w14:paraId="1E9A2A09" w14:textId="77777777" w:rsidTr="00426B8A">
        <w:trPr>
          <w:trHeight w:val="374"/>
        </w:trPr>
        <w:tc>
          <w:tcPr>
            <w:tcW w:w="941" w:type="pct"/>
            <w:shd w:val="clear" w:color="auto" w:fill="auto"/>
            <w:noWrap/>
            <w:vAlign w:val="bottom"/>
            <w:hideMark/>
          </w:tcPr>
          <w:p w14:paraId="4B7F7AAA"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Poland</w:t>
            </w:r>
          </w:p>
        </w:tc>
        <w:tc>
          <w:tcPr>
            <w:tcW w:w="1808" w:type="pct"/>
            <w:shd w:val="clear" w:color="auto" w:fill="auto"/>
            <w:noWrap/>
            <w:vAlign w:val="bottom"/>
            <w:hideMark/>
          </w:tcPr>
          <w:p w14:paraId="7491AE96"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9</w:t>
            </w:r>
          </w:p>
        </w:tc>
        <w:tc>
          <w:tcPr>
            <w:tcW w:w="2251" w:type="pct"/>
            <w:shd w:val="clear" w:color="auto" w:fill="auto"/>
            <w:noWrap/>
            <w:vAlign w:val="bottom"/>
            <w:hideMark/>
          </w:tcPr>
          <w:p w14:paraId="13E3A0BD"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23</w:t>
            </w:r>
          </w:p>
        </w:tc>
      </w:tr>
      <w:tr w:rsidR="00EF25A8" w:rsidRPr="00551520" w14:paraId="18114576" w14:textId="77777777" w:rsidTr="00426B8A">
        <w:trPr>
          <w:trHeight w:val="374"/>
        </w:trPr>
        <w:tc>
          <w:tcPr>
            <w:tcW w:w="941" w:type="pct"/>
            <w:shd w:val="clear" w:color="auto" w:fill="auto"/>
            <w:noWrap/>
            <w:vAlign w:val="bottom"/>
            <w:hideMark/>
          </w:tcPr>
          <w:p w14:paraId="1B4B57AA" w14:textId="77777777" w:rsidR="00EF25A8" w:rsidRPr="00551520" w:rsidRDefault="00EF25A8" w:rsidP="00E4374E">
            <w:pPr>
              <w:spacing w:after="0" w:line="240" w:lineRule="auto"/>
              <w:rPr>
                <w:rFonts w:ascii="Calibri" w:eastAsia="Times New Roman" w:hAnsi="Calibri" w:cs="Calibri"/>
                <w:lang w:eastAsia="en-AU"/>
              </w:rPr>
            </w:pPr>
            <w:r w:rsidRPr="00551520">
              <w:rPr>
                <w:rFonts w:ascii="Calibri" w:eastAsia="Times New Roman" w:hAnsi="Calibri" w:cs="Calibri"/>
                <w:lang w:eastAsia="en-AU"/>
              </w:rPr>
              <w:t>S</w:t>
            </w:r>
            <w:r>
              <w:rPr>
                <w:rFonts w:ascii="Calibri" w:eastAsia="Times New Roman" w:hAnsi="Calibri" w:cs="Calibri"/>
                <w:lang w:eastAsia="en-AU"/>
              </w:rPr>
              <w:t>lovakia</w:t>
            </w:r>
          </w:p>
        </w:tc>
        <w:tc>
          <w:tcPr>
            <w:tcW w:w="1808" w:type="pct"/>
            <w:shd w:val="clear" w:color="auto" w:fill="auto"/>
            <w:noWrap/>
            <w:vAlign w:val="bottom"/>
            <w:hideMark/>
          </w:tcPr>
          <w:p w14:paraId="346ED7AB"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9</w:t>
            </w:r>
          </w:p>
        </w:tc>
        <w:tc>
          <w:tcPr>
            <w:tcW w:w="2251" w:type="pct"/>
            <w:shd w:val="clear" w:color="auto" w:fill="auto"/>
            <w:noWrap/>
            <w:vAlign w:val="bottom"/>
            <w:hideMark/>
          </w:tcPr>
          <w:p w14:paraId="1B549CD5"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20</w:t>
            </w:r>
          </w:p>
        </w:tc>
      </w:tr>
      <w:tr w:rsidR="00EF25A8" w:rsidRPr="00551520" w14:paraId="2F33F5ED" w14:textId="77777777" w:rsidTr="00426B8A">
        <w:trPr>
          <w:trHeight w:val="374"/>
        </w:trPr>
        <w:tc>
          <w:tcPr>
            <w:tcW w:w="941" w:type="pct"/>
            <w:shd w:val="clear" w:color="auto" w:fill="auto"/>
            <w:noWrap/>
            <w:vAlign w:val="bottom"/>
            <w:hideMark/>
          </w:tcPr>
          <w:p w14:paraId="69A28E8A"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Hungary</w:t>
            </w:r>
          </w:p>
        </w:tc>
        <w:tc>
          <w:tcPr>
            <w:tcW w:w="1808" w:type="pct"/>
            <w:shd w:val="clear" w:color="auto" w:fill="auto"/>
            <w:noWrap/>
            <w:vAlign w:val="bottom"/>
            <w:hideMark/>
          </w:tcPr>
          <w:p w14:paraId="1C4339B3"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9</w:t>
            </w:r>
          </w:p>
        </w:tc>
        <w:tc>
          <w:tcPr>
            <w:tcW w:w="2251" w:type="pct"/>
            <w:shd w:val="clear" w:color="auto" w:fill="auto"/>
            <w:noWrap/>
            <w:vAlign w:val="bottom"/>
            <w:hideMark/>
          </w:tcPr>
          <w:p w14:paraId="5A093B47"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31</w:t>
            </w:r>
          </w:p>
        </w:tc>
      </w:tr>
      <w:tr w:rsidR="00EF25A8" w:rsidRPr="00551520" w14:paraId="5918DE95" w14:textId="77777777" w:rsidTr="00426B8A">
        <w:trPr>
          <w:trHeight w:val="374"/>
        </w:trPr>
        <w:tc>
          <w:tcPr>
            <w:tcW w:w="941" w:type="pct"/>
            <w:shd w:val="clear" w:color="auto" w:fill="auto"/>
            <w:noWrap/>
            <w:vAlign w:val="bottom"/>
            <w:hideMark/>
          </w:tcPr>
          <w:p w14:paraId="776E447C"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Czech Republic</w:t>
            </w:r>
          </w:p>
        </w:tc>
        <w:tc>
          <w:tcPr>
            <w:tcW w:w="1808" w:type="pct"/>
            <w:shd w:val="clear" w:color="auto" w:fill="auto"/>
            <w:noWrap/>
            <w:vAlign w:val="bottom"/>
            <w:hideMark/>
          </w:tcPr>
          <w:p w14:paraId="5C463C83"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9</w:t>
            </w:r>
          </w:p>
        </w:tc>
        <w:tc>
          <w:tcPr>
            <w:tcW w:w="2251" w:type="pct"/>
            <w:shd w:val="clear" w:color="auto" w:fill="auto"/>
            <w:noWrap/>
            <w:vAlign w:val="bottom"/>
            <w:hideMark/>
          </w:tcPr>
          <w:p w14:paraId="0D8C43FC"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30</w:t>
            </w:r>
          </w:p>
        </w:tc>
      </w:tr>
      <w:tr w:rsidR="00EF25A8" w:rsidRPr="00551520" w14:paraId="6512D824" w14:textId="77777777" w:rsidTr="00426B8A">
        <w:trPr>
          <w:trHeight w:val="374"/>
        </w:trPr>
        <w:tc>
          <w:tcPr>
            <w:tcW w:w="941" w:type="pct"/>
            <w:shd w:val="clear" w:color="auto" w:fill="auto"/>
            <w:noWrap/>
            <w:vAlign w:val="bottom"/>
            <w:hideMark/>
          </w:tcPr>
          <w:p w14:paraId="2A1FD146"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Portugal</w:t>
            </w:r>
          </w:p>
        </w:tc>
        <w:tc>
          <w:tcPr>
            <w:tcW w:w="1808" w:type="pct"/>
            <w:shd w:val="clear" w:color="auto" w:fill="auto"/>
            <w:noWrap/>
            <w:vAlign w:val="bottom"/>
            <w:hideMark/>
          </w:tcPr>
          <w:p w14:paraId="21AC276C"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10</w:t>
            </w:r>
          </w:p>
        </w:tc>
        <w:tc>
          <w:tcPr>
            <w:tcW w:w="2251" w:type="pct"/>
            <w:shd w:val="clear" w:color="auto" w:fill="auto"/>
            <w:noWrap/>
            <w:vAlign w:val="bottom"/>
            <w:hideMark/>
          </w:tcPr>
          <w:p w14:paraId="64712E87"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33</w:t>
            </w:r>
          </w:p>
        </w:tc>
      </w:tr>
      <w:tr w:rsidR="00EF25A8" w:rsidRPr="00551520" w14:paraId="46C1C785" w14:textId="77777777" w:rsidTr="00426B8A">
        <w:trPr>
          <w:trHeight w:val="374"/>
        </w:trPr>
        <w:tc>
          <w:tcPr>
            <w:tcW w:w="941" w:type="pct"/>
            <w:shd w:val="clear" w:color="auto" w:fill="auto"/>
            <w:noWrap/>
            <w:vAlign w:val="bottom"/>
            <w:hideMark/>
          </w:tcPr>
          <w:p w14:paraId="1EFADAE3"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Greece</w:t>
            </w:r>
          </w:p>
        </w:tc>
        <w:tc>
          <w:tcPr>
            <w:tcW w:w="1808" w:type="pct"/>
            <w:shd w:val="clear" w:color="auto" w:fill="auto"/>
            <w:noWrap/>
            <w:vAlign w:val="bottom"/>
            <w:hideMark/>
          </w:tcPr>
          <w:p w14:paraId="18ABE8F8"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11</w:t>
            </w:r>
          </w:p>
        </w:tc>
        <w:tc>
          <w:tcPr>
            <w:tcW w:w="2251" w:type="pct"/>
            <w:shd w:val="clear" w:color="auto" w:fill="auto"/>
            <w:noWrap/>
            <w:vAlign w:val="bottom"/>
            <w:hideMark/>
          </w:tcPr>
          <w:p w14:paraId="161535E8"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45</w:t>
            </w:r>
          </w:p>
        </w:tc>
      </w:tr>
      <w:tr w:rsidR="00EF25A8" w:rsidRPr="00551520" w14:paraId="18D7EEC7" w14:textId="77777777" w:rsidTr="00426B8A">
        <w:trPr>
          <w:trHeight w:val="374"/>
        </w:trPr>
        <w:tc>
          <w:tcPr>
            <w:tcW w:w="941" w:type="pct"/>
            <w:shd w:val="clear" w:color="auto" w:fill="auto"/>
            <w:noWrap/>
            <w:vAlign w:val="bottom"/>
            <w:hideMark/>
          </w:tcPr>
          <w:p w14:paraId="131002AD"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Sweden</w:t>
            </w:r>
          </w:p>
        </w:tc>
        <w:tc>
          <w:tcPr>
            <w:tcW w:w="1808" w:type="pct"/>
            <w:shd w:val="clear" w:color="auto" w:fill="auto"/>
            <w:noWrap/>
            <w:vAlign w:val="bottom"/>
            <w:hideMark/>
          </w:tcPr>
          <w:p w14:paraId="684353A7"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11</w:t>
            </w:r>
          </w:p>
        </w:tc>
        <w:tc>
          <w:tcPr>
            <w:tcW w:w="2251" w:type="pct"/>
            <w:shd w:val="clear" w:color="auto" w:fill="auto"/>
            <w:noWrap/>
            <w:vAlign w:val="bottom"/>
            <w:hideMark/>
          </w:tcPr>
          <w:p w14:paraId="79ED1F55"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51</w:t>
            </w:r>
          </w:p>
        </w:tc>
      </w:tr>
      <w:tr w:rsidR="00EF25A8" w:rsidRPr="00551520" w14:paraId="5AB27C9A" w14:textId="77777777" w:rsidTr="00426B8A">
        <w:trPr>
          <w:trHeight w:val="374"/>
        </w:trPr>
        <w:tc>
          <w:tcPr>
            <w:tcW w:w="941" w:type="pct"/>
            <w:shd w:val="clear" w:color="auto" w:fill="auto"/>
            <w:noWrap/>
            <w:vAlign w:val="bottom"/>
            <w:hideMark/>
          </w:tcPr>
          <w:p w14:paraId="2EEFF52D"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Chile</w:t>
            </w:r>
          </w:p>
        </w:tc>
        <w:tc>
          <w:tcPr>
            <w:tcW w:w="1808" w:type="pct"/>
            <w:shd w:val="clear" w:color="auto" w:fill="auto"/>
            <w:noWrap/>
            <w:vAlign w:val="bottom"/>
            <w:hideMark/>
          </w:tcPr>
          <w:p w14:paraId="469D919E"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12</w:t>
            </w:r>
          </w:p>
        </w:tc>
        <w:tc>
          <w:tcPr>
            <w:tcW w:w="2251" w:type="pct"/>
            <w:shd w:val="clear" w:color="auto" w:fill="auto"/>
            <w:noWrap/>
            <w:vAlign w:val="bottom"/>
            <w:hideMark/>
          </w:tcPr>
          <w:p w14:paraId="25E8452C"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9</w:t>
            </w:r>
          </w:p>
        </w:tc>
      </w:tr>
      <w:tr w:rsidR="00EF25A8" w:rsidRPr="00551520" w14:paraId="646E2E55" w14:textId="77777777" w:rsidTr="00426B8A">
        <w:trPr>
          <w:trHeight w:val="374"/>
        </w:trPr>
        <w:tc>
          <w:tcPr>
            <w:tcW w:w="941" w:type="pct"/>
            <w:shd w:val="clear" w:color="auto" w:fill="auto"/>
            <w:noWrap/>
            <w:vAlign w:val="bottom"/>
            <w:hideMark/>
          </w:tcPr>
          <w:p w14:paraId="0C631510"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Switzerland</w:t>
            </w:r>
          </w:p>
        </w:tc>
        <w:tc>
          <w:tcPr>
            <w:tcW w:w="1808" w:type="pct"/>
            <w:shd w:val="clear" w:color="auto" w:fill="auto"/>
            <w:noWrap/>
            <w:vAlign w:val="bottom"/>
            <w:hideMark/>
          </w:tcPr>
          <w:p w14:paraId="502BB69E"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12</w:t>
            </w:r>
          </w:p>
        </w:tc>
        <w:tc>
          <w:tcPr>
            <w:tcW w:w="2251" w:type="pct"/>
            <w:shd w:val="clear" w:color="auto" w:fill="auto"/>
            <w:noWrap/>
            <w:vAlign w:val="bottom"/>
            <w:hideMark/>
          </w:tcPr>
          <w:p w14:paraId="3809A0E4"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23</w:t>
            </w:r>
          </w:p>
        </w:tc>
      </w:tr>
      <w:tr w:rsidR="00EF25A8" w:rsidRPr="00551520" w14:paraId="38F351A5" w14:textId="77777777" w:rsidTr="00426B8A">
        <w:trPr>
          <w:trHeight w:val="374"/>
        </w:trPr>
        <w:tc>
          <w:tcPr>
            <w:tcW w:w="941" w:type="pct"/>
            <w:shd w:val="clear" w:color="auto" w:fill="auto"/>
            <w:noWrap/>
            <w:vAlign w:val="bottom"/>
            <w:hideMark/>
          </w:tcPr>
          <w:p w14:paraId="71F4551B"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United Kingdom</w:t>
            </w:r>
          </w:p>
        </w:tc>
        <w:tc>
          <w:tcPr>
            <w:tcW w:w="1808" w:type="pct"/>
            <w:shd w:val="clear" w:color="auto" w:fill="auto"/>
            <w:noWrap/>
            <w:vAlign w:val="bottom"/>
            <w:hideMark/>
          </w:tcPr>
          <w:p w14:paraId="4571F208"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13</w:t>
            </w:r>
          </w:p>
        </w:tc>
        <w:tc>
          <w:tcPr>
            <w:tcW w:w="2251" w:type="pct"/>
            <w:shd w:val="clear" w:color="auto" w:fill="auto"/>
            <w:noWrap/>
            <w:vAlign w:val="bottom"/>
            <w:hideMark/>
          </w:tcPr>
          <w:p w14:paraId="3F5EF53F"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23</w:t>
            </w:r>
          </w:p>
        </w:tc>
      </w:tr>
      <w:tr w:rsidR="00EF25A8" w:rsidRPr="00551520" w14:paraId="524F6DB3" w14:textId="77777777" w:rsidTr="00426B8A">
        <w:trPr>
          <w:trHeight w:val="374"/>
        </w:trPr>
        <w:tc>
          <w:tcPr>
            <w:tcW w:w="941" w:type="pct"/>
            <w:shd w:val="clear" w:color="auto" w:fill="auto"/>
            <w:noWrap/>
            <w:vAlign w:val="bottom"/>
            <w:hideMark/>
          </w:tcPr>
          <w:p w14:paraId="69900606"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Germany</w:t>
            </w:r>
          </w:p>
        </w:tc>
        <w:tc>
          <w:tcPr>
            <w:tcW w:w="1808" w:type="pct"/>
            <w:shd w:val="clear" w:color="auto" w:fill="auto"/>
            <w:noWrap/>
            <w:vAlign w:val="bottom"/>
            <w:hideMark/>
          </w:tcPr>
          <w:p w14:paraId="55440146"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14</w:t>
            </w:r>
          </w:p>
        </w:tc>
        <w:tc>
          <w:tcPr>
            <w:tcW w:w="2251" w:type="pct"/>
            <w:shd w:val="clear" w:color="auto" w:fill="auto"/>
            <w:noWrap/>
            <w:vAlign w:val="bottom"/>
            <w:hideMark/>
          </w:tcPr>
          <w:p w14:paraId="2CF1C641"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38</w:t>
            </w:r>
          </w:p>
        </w:tc>
      </w:tr>
      <w:tr w:rsidR="00EF25A8" w:rsidRPr="00551520" w14:paraId="65473E81" w14:textId="77777777" w:rsidTr="00426B8A">
        <w:trPr>
          <w:trHeight w:val="374"/>
        </w:trPr>
        <w:tc>
          <w:tcPr>
            <w:tcW w:w="941" w:type="pct"/>
            <w:shd w:val="clear" w:color="auto" w:fill="auto"/>
            <w:noWrap/>
            <w:vAlign w:val="bottom"/>
            <w:hideMark/>
          </w:tcPr>
          <w:p w14:paraId="4C304DCF"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Belgium</w:t>
            </w:r>
          </w:p>
        </w:tc>
        <w:tc>
          <w:tcPr>
            <w:tcW w:w="1808" w:type="pct"/>
            <w:shd w:val="clear" w:color="auto" w:fill="auto"/>
            <w:noWrap/>
            <w:vAlign w:val="bottom"/>
            <w:hideMark/>
          </w:tcPr>
          <w:p w14:paraId="7425D99C"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14</w:t>
            </w:r>
          </w:p>
        </w:tc>
        <w:tc>
          <w:tcPr>
            <w:tcW w:w="2251" w:type="pct"/>
            <w:shd w:val="clear" w:color="auto" w:fill="auto"/>
            <w:noWrap/>
            <w:vAlign w:val="bottom"/>
            <w:hideMark/>
          </w:tcPr>
          <w:p w14:paraId="6B1A2696"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46</w:t>
            </w:r>
          </w:p>
        </w:tc>
      </w:tr>
      <w:tr w:rsidR="00EF25A8" w:rsidRPr="00551520" w14:paraId="1AE5EBC8" w14:textId="77777777" w:rsidTr="00426B8A">
        <w:trPr>
          <w:trHeight w:val="374"/>
        </w:trPr>
        <w:tc>
          <w:tcPr>
            <w:tcW w:w="941" w:type="pct"/>
            <w:shd w:val="clear" w:color="auto" w:fill="auto"/>
            <w:noWrap/>
            <w:vAlign w:val="bottom"/>
            <w:hideMark/>
          </w:tcPr>
          <w:p w14:paraId="7935B7FF"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Slovenia</w:t>
            </w:r>
          </w:p>
        </w:tc>
        <w:tc>
          <w:tcPr>
            <w:tcW w:w="1808" w:type="pct"/>
            <w:shd w:val="clear" w:color="auto" w:fill="auto"/>
            <w:noWrap/>
            <w:vAlign w:val="bottom"/>
            <w:hideMark/>
          </w:tcPr>
          <w:p w14:paraId="1CE0A960"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14</w:t>
            </w:r>
          </w:p>
        </w:tc>
        <w:tc>
          <w:tcPr>
            <w:tcW w:w="2251" w:type="pct"/>
            <w:shd w:val="clear" w:color="auto" w:fill="auto"/>
            <w:noWrap/>
            <w:vAlign w:val="bottom"/>
            <w:hideMark/>
          </w:tcPr>
          <w:p w14:paraId="71CE858A"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49</w:t>
            </w:r>
          </w:p>
        </w:tc>
      </w:tr>
      <w:tr w:rsidR="00EF25A8" w:rsidRPr="00551520" w14:paraId="0A327682" w14:textId="77777777" w:rsidTr="00426B8A">
        <w:trPr>
          <w:trHeight w:val="374"/>
        </w:trPr>
        <w:tc>
          <w:tcPr>
            <w:tcW w:w="941" w:type="pct"/>
            <w:shd w:val="clear" w:color="auto" w:fill="auto"/>
            <w:noWrap/>
            <w:vAlign w:val="bottom"/>
            <w:hideMark/>
          </w:tcPr>
          <w:p w14:paraId="019319D2"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Estonia</w:t>
            </w:r>
          </w:p>
        </w:tc>
        <w:tc>
          <w:tcPr>
            <w:tcW w:w="1808" w:type="pct"/>
            <w:shd w:val="clear" w:color="auto" w:fill="auto"/>
            <w:noWrap/>
            <w:vAlign w:val="bottom"/>
            <w:hideMark/>
          </w:tcPr>
          <w:p w14:paraId="03524FAE"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15</w:t>
            </w:r>
          </w:p>
        </w:tc>
        <w:tc>
          <w:tcPr>
            <w:tcW w:w="2251" w:type="pct"/>
            <w:shd w:val="clear" w:color="auto" w:fill="auto"/>
            <w:noWrap/>
            <w:vAlign w:val="bottom"/>
            <w:hideMark/>
          </w:tcPr>
          <w:p w14:paraId="07C77725"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37</w:t>
            </w:r>
          </w:p>
        </w:tc>
      </w:tr>
      <w:tr w:rsidR="00EF25A8" w:rsidRPr="00551520" w14:paraId="2BC78CFE" w14:textId="77777777" w:rsidTr="00426B8A">
        <w:trPr>
          <w:trHeight w:val="374"/>
        </w:trPr>
        <w:tc>
          <w:tcPr>
            <w:tcW w:w="941" w:type="pct"/>
            <w:shd w:val="clear" w:color="auto" w:fill="auto"/>
            <w:noWrap/>
            <w:vAlign w:val="bottom"/>
            <w:hideMark/>
          </w:tcPr>
          <w:p w14:paraId="4CF91CEF"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Turkey</w:t>
            </w:r>
          </w:p>
        </w:tc>
        <w:tc>
          <w:tcPr>
            <w:tcW w:w="1808" w:type="pct"/>
            <w:shd w:val="clear" w:color="auto" w:fill="auto"/>
            <w:noWrap/>
            <w:vAlign w:val="bottom"/>
            <w:hideMark/>
          </w:tcPr>
          <w:p w14:paraId="0BD7D70D"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20</w:t>
            </w:r>
          </w:p>
        </w:tc>
        <w:tc>
          <w:tcPr>
            <w:tcW w:w="2251" w:type="pct"/>
            <w:shd w:val="clear" w:color="auto" w:fill="auto"/>
            <w:noWrap/>
            <w:vAlign w:val="bottom"/>
            <w:hideMark/>
          </w:tcPr>
          <w:p w14:paraId="7261C4CB"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37</w:t>
            </w:r>
          </w:p>
        </w:tc>
      </w:tr>
      <w:tr w:rsidR="00EF25A8" w:rsidRPr="00551520" w14:paraId="692C7122" w14:textId="77777777" w:rsidTr="00426B8A">
        <w:trPr>
          <w:trHeight w:val="374"/>
        </w:trPr>
        <w:tc>
          <w:tcPr>
            <w:tcW w:w="941" w:type="pct"/>
            <w:shd w:val="clear" w:color="auto" w:fill="auto"/>
            <w:noWrap/>
            <w:vAlign w:val="bottom"/>
            <w:hideMark/>
          </w:tcPr>
          <w:p w14:paraId="2178BFD2"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Finland</w:t>
            </w:r>
          </w:p>
        </w:tc>
        <w:tc>
          <w:tcPr>
            <w:tcW w:w="1808" w:type="pct"/>
            <w:shd w:val="clear" w:color="auto" w:fill="auto"/>
            <w:noWrap/>
            <w:vAlign w:val="bottom"/>
            <w:hideMark/>
          </w:tcPr>
          <w:p w14:paraId="3063A312"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21</w:t>
            </w:r>
          </w:p>
        </w:tc>
        <w:tc>
          <w:tcPr>
            <w:tcW w:w="2251" w:type="pct"/>
            <w:shd w:val="clear" w:color="auto" w:fill="auto"/>
            <w:noWrap/>
            <w:vAlign w:val="bottom"/>
            <w:hideMark/>
          </w:tcPr>
          <w:p w14:paraId="7973C3D3"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62</w:t>
            </w:r>
          </w:p>
        </w:tc>
      </w:tr>
      <w:tr w:rsidR="00EF25A8" w:rsidRPr="00551520" w14:paraId="7056A33E" w14:textId="77777777" w:rsidTr="00426B8A">
        <w:trPr>
          <w:trHeight w:val="374"/>
        </w:trPr>
        <w:tc>
          <w:tcPr>
            <w:tcW w:w="941" w:type="pct"/>
            <w:shd w:val="clear" w:color="auto" w:fill="auto"/>
            <w:noWrap/>
            <w:vAlign w:val="bottom"/>
            <w:hideMark/>
          </w:tcPr>
          <w:p w14:paraId="68FD0C60"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Ireland</w:t>
            </w:r>
          </w:p>
        </w:tc>
        <w:tc>
          <w:tcPr>
            <w:tcW w:w="1808" w:type="pct"/>
            <w:shd w:val="clear" w:color="auto" w:fill="auto"/>
            <w:noWrap/>
            <w:vAlign w:val="bottom"/>
            <w:hideMark/>
          </w:tcPr>
          <w:p w14:paraId="4ED0B5B6"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24</w:t>
            </w:r>
          </w:p>
        </w:tc>
        <w:tc>
          <w:tcPr>
            <w:tcW w:w="2251" w:type="pct"/>
            <w:shd w:val="clear" w:color="auto" w:fill="auto"/>
            <w:noWrap/>
            <w:vAlign w:val="bottom"/>
            <w:hideMark/>
          </w:tcPr>
          <w:p w14:paraId="37D7E41B"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38</w:t>
            </w:r>
          </w:p>
        </w:tc>
      </w:tr>
      <w:tr w:rsidR="00EF25A8" w:rsidRPr="00551520" w14:paraId="03FE87C9" w14:textId="77777777" w:rsidTr="00426B8A">
        <w:trPr>
          <w:trHeight w:val="374"/>
        </w:trPr>
        <w:tc>
          <w:tcPr>
            <w:tcW w:w="941" w:type="pct"/>
            <w:shd w:val="clear" w:color="auto" w:fill="auto"/>
            <w:noWrap/>
            <w:vAlign w:val="bottom"/>
            <w:hideMark/>
          </w:tcPr>
          <w:p w14:paraId="46C16DA5" w14:textId="77777777" w:rsidR="00EF25A8" w:rsidRPr="00551520" w:rsidRDefault="00EF25A8" w:rsidP="00E4374E">
            <w:pPr>
              <w:spacing w:after="0" w:line="240" w:lineRule="auto"/>
              <w:rPr>
                <w:rFonts w:ascii="Calibri" w:eastAsia="Times New Roman" w:hAnsi="Calibri" w:cs="Calibri"/>
                <w:lang w:eastAsia="en-AU"/>
              </w:rPr>
            </w:pPr>
            <w:r>
              <w:rPr>
                <w:rFonts w:ascii="Calibri" w:eastAsia="Times New Roman" w:hAnsi="Calibri" w:cs="Calibri"/>
                <w:lang w:eastAsia="en-AU"/>
              </w:rPr>
              <w:t>Denmark</w:t>
            </w:r>
          </w:p>
        </w:tc>
        <w:tc>
          <w:tcPr>
            <w:tcW w:w="1808" w:type="pct"/>
            <w:shd w:val="clear" w:color="auto" w:fill="auto"/>
            <w:noWrap/>
            <w:vAlign w:val="bottom"/>
            <w:hideMark/>
          </w:tcPr>
          <w:p w14:paraId="059830FB"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31</w:t>
            </w:r>
          </w:p>
        </w:tc>
        <w:tc>
          <w:tcPr>
            <w:tcW w:w="2251" w:type="pct"/>
            <w:shd w:val="clear" w:color="auto" w:fill="auto"/>
            <w:noWrap/>
            <w:vAlign w:val="bottom"/>
            <w:hideMark/>
          </w:tcPr>
          <w:p w14:paraId="3A9BBF16" w14:textId="77777777" w:rsidR="00EF25A8" w:rsidRPr="00551520" w:rsidRDefault="00EF25A8" w:rsidP="00E4374E">
            <w:pPr>
              <w:spacing w:after="0" w:line="240" w:lineRule="auto"/>
              <w:jc w:val="right"/>
              <w:rPr>
                <w:rFonts w:ascii="Calibri" w:eastAsia="Times New Roman" w:hAnsi="Calibri" w:cs="Calibri"/>
                <w:lang w:eastAsia="en-AU"/>
              </w:rPr>
            </w:pPr>
            <w:r w:rsidRPr="00551520">
              <w:rPr>
                <w:rFonts w:ascii="Calibri" w:eastAsia="Times New Roman" w:hAnsi="Calibri" w:cs="Calibri"/>
                <w:lang w:eastAsia="en-AU"/>
              </w:rPr>
              <w:t>60</w:t>
            </w:r>
          </w:p>
        </w:tc>
      </w:tr>
    </w:tbl>
    <w:p w14:paraId="313B9C81" w14:textId="5C9A65CF" w:rsidR="000E3E85" w:rsidRDefault="00DF70E4" w:rsidP="00F6694F">
      <w:pPr>
        <w:pStyle w:val="Heading3"/>
      </w:pPr>
      <w:bookmarkStart w:id="111" w:name="_Toc152165437"/>
      <w:r w:rsidRPr="00776352">
        <w:t xml:space="preserve">Appendix </w:t>
      </w:r>
      <w:r>
        <w:t>5</w:t>
      </w:r>
      <w:r w:rsidRPr="00776352">
        <w:t xml:space="preserve">: </w:t>
      </w:r>
      <w:r w:rsidR="00776352">
        <w:t xml:space="preserve">Composition of </w:t>
      </w:r>
      <w:r>
        <w:t xml:space="preserve">Government </w:t>
      </w:r>
      <w:r w:rsidR="002258C3">
        <w:t xml:space="preserve">Expenditure </w:t>
      </w:r>
      <w:r>
        <w:t>on R&amp;</w:t>
      </w:r>
      <w:r w:rsidR="00776352">
        <w:t>D</w:t>
      </w:r>
      <w:r w:rsidR="00776352">
        <w:rPr>
          <w:rFonts w:eastAsia="Times New Roman"/>
        </w:rPr>
        <w:t xml:space="preserve"> </w:t>
      </w:r>
      <w:r w:rsidR="00776352" w:rsidRPr="00531DC2">
        <w:t>by socio-economic objective</w:t>
      </w:r>
      <w:r w:rsidR="000E3E85">
        <w:t xml:space="preserve"> and distribution of </w:t>
      </w:r>
      <w:r w:rsidR="003A12F8">
        <w:t>research and development (</w:t>
      </w:r>
      <w:r w:rsidR="000E3E85">
        <w:t>R&amp;D</w:t>
      </w:r>
      <w:r w:rsidR="003A12F8">
        <w:t>)</w:t>
      </w:r>
      <w:r w:rsidR="000E3E85">
        <w:t xml:space="preserve"> refundable tax offset in some </w:t>
      </w:r>
      <w:r w:rsidR="00A66DC2">
        <w:t>National Reconstruction Fund (</w:t>
      </w:r>
      <w:r w:rsidR="000E3E85">
        <w:t>NRF</w:t>
      </w:r>
      <w:r w:rsidR="00A66DC2">
        <w:t>)</w:t>
      </w:r>
      <w:r w:rsidR="000E3E85">
        <w:t xml:space="preserve"> priority areas</w:t>
      </w:r>
      <w:bookmarkEnd w:id="111"/>
    </w:p>
    <w:p w14:paraId="4D72C6C5" w14:textId="06B87FB9" w:rsidR="00776352" w:rsidRDefault="000E3E85" w:rsidP="009A086B">
      <w:pPr>
        <w:jc w:val="center"/>
        <w:rPr>
          <w:b/>
        </w:rPr>
      </w:pPr>
      <w:r w:rsidRPr="009A086B">
        <w:rPr>
          <w:b/>
        </w:rPr>
        <w:t xml:space="preserve">Government </w:t>
      </w:r>
      <w:r w:rsidR="002258C3">
        <w:rPr>
          <w:b/>
        </w:rPr>
        <w:t>E</w:t>
      </w:r>
      <w:r w:rsidR="002258C3" w:rsidRPr="009A086B">
        <w:rPr>
          <w:b/>
        </w:rPr>
        <w:t xml:space="preserve">xpenditure </w:t>
      </w:r>
      <w:r w:rsidRPr="009A086B">
        <w:rPr>
          <w:b/>
        </w:rPr>
        <w:t>on R&amp;D by socio-economic objective</w:t>
      </w:r>
    </w:p>
    <w:p w14:paraId="6F089FF1" w14:textId="67246426" w:rsidR="008D79A9" w:rsidRPr="008D79A9" w:rsidRDefault="008D79A9" w:rsidP="009A086B">
      <w:pPr>
        <w:jc w:val="center"/>
        <w:rPr>
          <w:b/>
        </w:rPr>
      </w:pPr>
      <w:r w:rsidRPr="008D79A9">
        <w:rPr>
          <w:b/>
        </w:rPr>
        <w:t>1992-93</w:t>
      </w:r>
    </w:p>
    <w:p w14:paraId="65736B1E" w14:textId="132B363C" w:rsidR="000E3E85" w:rsidRDefault="008D79A9" w:rsidP="008D79A9">
      <w:pPr>
        <w:tabs>
          <w:tab w:val="left" w:pos="1225"/>
        </w:tabs>
        <w:ind w:right="-897"/>
        <w:jc w:val="center"/>
        <w:rPr>
          <w:rFonts w:asciiTheme="majorHAnsi" w:eastAsia="Meiryo" w:hAnsiTheme="majorHAnsi" w:cstheme="majorBidi"/>
          <w:color w:val="003491"/>
          <w:sz w:val="44"/>
          <w:szCs w:val="48"/>
        </w:rPr>
      </w:pPr>
      <w:r>
        <w:rPr>
          <w:noProof/>
        </w:rPr>
        <w:drawing>
          <wp:inline distT="0" distB="0" distL="0" distR="0" wp14:anchorId="4DE69ADB" wp14:editId="1D793B40">
            <wp:extent cx="3062857" cy="2781300"/>
            <wp:effectExtent l="0" t="0" r="4445" b="0"/>
            <wp:docPr id="54" name="Picture 54" descr="Doughnut chart of government expenditure on R&amp;D by socio-economic objective in 1992-93. &#10; &#10;For 1992-93&#10;Defence: 18%&#10;Energy: 6%&#10;Environmental management: 1%&#10;Health: 3%&#10;Information and communication services: 3%&#10;Manufacturing: 17%&#10;Mineral resources, excluding energy resources: 5%&#10;Expanding knowledge: 5%&#10;Others: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oughnut chart of government expenditure on R&amp;D by socio-economic objective in 1992-93. &#10; &#10;For 1992-93&#10;Defence: 18%&#10;Energy: 6%&#10;Environmental management: 1%&#10;Health: 3%&#10;Information and communication services: 3%&#10;Manufacturing: 17%&#10;Mineral resources, excluding energy resources: 5%&#10;Expanding knowledge: 5%&#10;Others: 42%&#10;"/>
                    <pic:cNvPicPr/>
                  </pic:nvPicPr>
                  <pic:blipFill>
                    <a:blip r:embed="rId43">
                      <a:extLst>
                        <a:ext uri="{28A0092B-C50C-407E-A947-70E740481C1C}">
                          <a14:useLocalDpi xmlns:a14="http://schemas.microsoft.com/office/drawing/2010/main" val="0"/>
                        </a:ext>
                      </a:extLst>
                    </a:blip>
                    <a:stretch>
                      <a:fillRect/>
                    </a:stretch>
                  </pic:blipFill>
                  <pic:spPr>
                    <a:xfrm>
                      <a:off x="0" y="0"/>
                      <a:ext cx="3066461" cy="2784573"/>
                    </a:xfrm>
                    <a:prstGeom prst="rect">
                      <a:avLst/>
                    </a:prstGeom>
                  </pic:spPr>
                </pic:pic>
              </a:graphicData>
            </a:graphic>
          </wp:inline>
        </w:drawing>
      </w:r>
    </w:p>
    <w:p w14:paraId="0D051765" w14:textId="1CED33F0" w:rsidR="008D79A9" w:rsidRDefault="008D79A9" w:rsidP="008D79A9">
      <w:pPr>
        <w:jc w:val="center"/>
        <w:rPr>
          <w:rFonts w:asciiTheme="majorHAnsi" w:eastAsia="Meiryo" w:hAnsiTheme="majorHAnsi" w:cstheme="majorBidi"/>
          <w:color w:val="003491"/>
          <w:sz w:val="44"/>
          <w:szCs w:val="48"/>
        </w:rPr>
      </w:pPr>
      <w:r w:rsidRPr="008D79A9">
        <w:rPr>
          <w:b/>
          <w:bCs/>
        </w:rPr>
        <w:t>2020-21</w:t>
      </w:r>
    </w:p>
    <w:p w14:paraId="2D42EF6B" w14:textId="0286EB7F" w:rsidR="00430BFD" w:rsidRDefault="008D79A9" w:rsidP="008D79A9">
      <w:pPr>
        <w:tabs>
          <w:tab w:val="left" w:pos="1225"/>
        </w:tabs>
        <w:ind w:left="-1134" w:right="-897"/>
        <w:jc w:val="center"/>
        <w:rPr>
          <w:rFonts w:asciiTheme="majorHAnsi" w:eastAsia="Meiryo" w:hAnsiTheme="majorHAnsi" w:cstheme="majorBidi"/>
          <w:color w:val="003491"/>
          <w:sz w:val="44"/>
          <w:szCs w:val="48"/>
        </w:rPr>
      </w:pPr>
      <w:r w:rsidRPr="00776352">
        <w:rPr>
          <w:rFonts w:asciiTheme="majorHAnsi" w:eastAsia="Meiryo" w:hAnsiTheme="majorHAnsi" w:cstheme="majorBidi"/>
          <w:noProof/>
          <w:color w:val="003491"/>
          <w:sz w:val="44"/>
          <w:szCs w:val="48"/>
        </w:rPr>
        <w:drawing>
          <wp:inline distT="0" distB="0" distL="0" distR="0" wp14:anchorId="5EE958C1" wp14:editId="16CF68F0">
            <wp:extent cx="4175722" cy="2755900"/>
            <wp:effectExtent l="0" t="0" r="0" b="6350"/>
            <wp:docPr id="55" name="Picture 55" descr="Doughnut chart of government expenditure on R&amp;D by socio-economic objective in 2020-21. &#10;&#10;For 2020-21&#10;Defence: 26%&#10;Energy: 6%&#10;Environmental management: 14%&#10;Health: 4%&#10;Information and communication services: 5%&#10;Manufacturing: 7%&#10;Mineral resources, excluding energy resources: 4%&#10;Expanding knowledge: 9%&#10;Other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oughnut chart of government expenditure on R&amp;D by socio-economic objective in 2020-21. &#10;&#10;For 2020-21&#10;Defence: 26%&#10;Energy: 6%&#10;Environmental management: 14%&#10;Health: 4%&#10;Information and communication services: 5%&#10;Manufacturing: 7%&#10;Mineral resources, excluding energy resources: 4%&#10;Expanding knowledge: 9%&#10;Others: 25%"/>
                    <pic:cNvPicPr/>
                  </pic:nvPicPr>
                  <pic:blipFill>
                    <a:blip r:embed="rId44">
                      <a:extLst>
                        <a:ext uri="{28A0092B-C50C-407E-A947-70E740481C1C}">
                          <a14:useLocalDpi xmlns:a14="http://schemas.microsoft.com/office/drawing/2010/main" val="0"/>
                        </a:ext>
                      </a:extLst>
                    </a:blip>
                    <a:stretch>
                      <a:fillRect/>
                    </a:stretch>
                  </pic:blipFill>
                  <pic:spPr>
                    <a:xfrm>
                      <a:off x="0" y="0"/>
                      <a:ext cx="4186064" cy="2762726"/>
                    </a:xfrm>
                    <a:prstGeom prst="rect">
                      <a:avLst/>
                    </a:prstGeom>
                  </pic:spPr>
                </pic:pic>
              </a:graphicData>
            </a:graphic>
          </wp:inline>
        </w:drawing>
      </w:r>
    </w:p>
    <w:p w14:paraId="3F242B26" w14:textId="77777777" w:rsidR="009240DA" w:rsidRPr="00961A1B" w:rsidRDefault="009240DA" w:rsidP="00F6694F">
      <w:pPr>
        <w:spacing w:before="240"/>
        <w:rPr>
          <w:sz w:val="18"/>
          <w:szCs w:val="18"/>
        </w:rPr>
      </w:pPr>
      <w:r w:rsidRPr="00DC36CD">
        <w:rPr>
          <w:sz w:val="18"/>
          <w:szCs w:val="18"/>
        </w:rPr>
        <w:t>Source: ABS Research and Experimental Development, Government and private Non-Profit organisations, Australia 2020</w:t>
      </w:r>
      <w:r>
        <w:rPr>
          <w:sz w:val="18"/>
          <w:szCs w:val="18"/>
        </w:rPr>
        <w:t>–</w:t>
      </w:r>
      <w:r w:rsidRPr="00DC36CD">
        <w:rPr>
          <w:sz w:val="18"/>
          <w:szCs w:val="18"/>
        </w:rPr>
        <w:t>21 and 1992</w:t>
      </w:r>
      <w:r>
        <w:rPr>
          <w:sz w:val="18"/>
          <w:szCs w:val="18"/>
        </w:rPr>
        <w:t>–</w:t>
      </w:r>
      <w:r w:rsidRPr="00DC36CD">
        <w:rPr>
          <w:sz w:val="18"/>
          <w:szCs w:val="18"/>
        </w:rPr>
        <w:t>93 Australian Bureau of Statistics (ABS) (1994) (reference year 1992</w:t>
      </w:r>
      <w:r>
        <w:rPr>
          <w:sz w:val="18"/>
          <w:szCs w:val="18"/>
        </w:rPr>
        <w:t>–</w:t>
      </w:r>
      <w:r w:rsidRPr="00DC36CD">
        <w:rPr>
          <w:sz w:val="18"/>
          <w:szCs w:val="18"/>
        </w:rPr>
        <w:t>93)</w:t>
      </w:r>
      <w:r w:rsidRPr="00AF1CE5">
        <w:rPr>
          <w:sz w:val="18"/>
          <w:szCs w:val="18"/>
        </w:rPr>
        <w:t xml:space="preserve"> </w:t>
      </w:r>
      <w:hyperlink r:id="rId45" w:history="1">
        <w:r w:rsidRPr="00AF1CE5">
          <w:rPr>
            <w:rStyle w:val="Hyperlink"/>
            <w:i/>
            <w:iCs/>
            <w:sz w:val="18"/>
            <w:szCs w:val="18"/>
          </w:rPr>
          <w:t>Research and experimental development: general government and private non-profit organisations Australia</w:t>
        </w:r>
      </w:hyperlink>
      <w:r w:rsidRPr="00AF1CE5">
        <w:rPr>
          <w:i/>
          <w:iCs/>
          <w:sz w:val="18"/>
          <w:szCs w:val="18"/>
        </w:rPr>
        <w:t xml:space="preserve">, </w:t>
      </w:r>
      <w:r w:rsidRPr="00AF1CE5">
        <w:rPr>
          <w:sz w:val="18"/>
          <w:szCs w:val="18"/>
        </w:rPr>
        <w:t>ABS website,</w:t>
      </w:r>
      <w:r w:rsidRPr="00AF1CE5">
        <w:rPr>
          <w:i/>
          <w:iCs/>
          <w:sz w:val="18"/>
          <w:szCs w:val="18"/>
        </w:rPr>
        <w:t xml:space="preserve"> </w:t>
      </w:r>
      <w:r w:rsidRPr="00DC36CD">
        <w:rPr>
          <w:sz w:val="18"/>
          <w:szCs w:val="18"/>
        </w:rPr>
        <w:t>accessed 24 November 2023; and Australian</w:t>
      </w:r>
      <w:r>
        <w:rPr>
          <w:sz w:val="18"/>
          <w:szCs w:val="18"/>
        </w:rPr>
        <w:t> </w:t>
      </w:r>
      <w:r w:rsidRPr="00DC36CD">
        <w:rPr>
          <w:sz w:val="18"/>
          <w:szCs w:val="18"/>
        </w:rPr>
        <w:t>Bureau of Statistics (ABS) (</w:t>
      </w:r>
      <w:r w:rsidRPr="00AF1CE5">
        <w:rPr>
          <w:sz w:val="18"/>
          <w:szCs w:val="18"/>
        </w:rPr>
        <w:t>reference year 2020</w:t>
      </w:r>
      <w:r>
        <w:rPr>
          <w:sz w:val="18"/>
          <w:szCs w:val="18"/>
        </w:rPr>
        <w:t>–</w:t>
      </w:r>
      <w:r w:rsidRPr="00AF1CE5">
        <w:rPr>
          <w:sz w:val="18"/>
          <w:szCs w:val="18"/>
        </w:rPr>
        <w:t>21</w:t>
      </w:r>
      <w:r w:rsidRPr="00DC36CD">
        <w:rPr>
          <w:sz w:val="18"/>
          <w:szCs w:val="18"/>
        </w:rPr>
        <w:t>)</w:t>
      </w:r>
      <w:r w:rsidRPr="00AF1CE5">
        <w:rPr>
          <w:sz w:val="18"/>
          <w:szCs w:val="18"/>
        </w:rPr>
        <w:t xml:space="preserve"> (2022) </w:t>
      </w:r>
      <w:hyperlink r:id="rId46" w:anchor="data-downloads" w:history="1">
        <w:r w:rsidRPr="00256604">
          <w:rPr>
            <w:rStyle w:val="Hyperlink"/>
            <w:i/>
            <w:sz w:val="18"/>
            <w:szCs w:val="18"/>
          </w:rPr>
          <w:t>Research and Experimental Development, Government and Private Non-Profit Organisations, Australia</w:t>
        </w:r>
      </w:hyperlink>
      <w:r>
        <w:rPr>
          <w:sz w:val="18"/>
          <w:szCs w:val="18"/>
        </w:rPr>
        <w:t xml:space="preserve">, Data cube: </w:t>
      </w:r>
      <w:r w:rsidRPr="00DC36CD">
        <w:rPr>
          <w:sz w:val="18"/>
          <w:szCs w:val="18"/>
        </w:rPr>
        <w:t>Government expenditure on R&amp;D, by Socio-Economic Objectives, 2020</w:t>
      </w:r>
      <w:r>
        <w:rPr>
          <w:sz w:val="18"/>
          <w:szCs w:val="18"/>
        </w:rPr>
        <w:t>–</w:t>
      </w:r>
      <w:r w:rsidRPr="00DC36CD">
        <w:rPr>
          <w:sz w:val="18"/>
          <w:szCs w:val="18"/>
        </w:rPr>
        <w:t>21</w:t>
      </w:r>
      <w:r>
        <w:rPr>
          <w:sz w:val="18"/>
          <w:szCs w:val="18"/>
        </w:rPr>
        <w:t xml:space="preserve">, Table 1, ABS website, last accessed 24 November 2023. </w:t>
      </w:r>
    </w:p>
    <w:p w14:paraId="7A0F0191" w14:textId="02C5D04B" w:rsidR="00776352" w:rsidRPr="009A086B" w:rsidRDefault="000E3E85" w:rsidP="00426B8A">
      <w:pPr>
        <w:tabs>
          <w:tab w:val="left" w:pos="1225"/>
        </w:tabs>
        <w:spacing w:before="240"/>
        <w:jc w:val="center"/>
        <w:rPr>
          <w:b/>
        </w:rPr>
      </w:pPr>
      <w:r w:rsidRPr="009A086B">
        <w:rPr>
          <w:b/>
        </w:rPr>
        <w:t>R&amp;D Refundable tax offset in some</w:t>
      </w:r>
      <w:r>
        <w:rPr>
          <w:b/>
          <w:bCs/>
        </w:rPr>
        <w:t xml:space="preserve"> manufacturing sectors related to </w:t>
      </w:r>
      <w:r w:rsidR="002F5441">
        <w:rPr>
          <w:b/>
          <w:bCs/>
        </w:rPr>
        <w:br/>
      </w:r>
      <w:r w:rsidR="0072329D">
        <w:rPr>
          <w:b/>
          <w:bCs/>
        </w:rPr>
        <w:t>National Reconstruction Fund (</w:t>
      </w:r>
      <w:r>
        <w:rPr>
          <w:b/>
          <w:bCs/>
        </w:rPr>
        <w:t>NRF</w:t>
      </w:r>
      <w:r w:rsidR="0072329D">
        <w:rPr>
          <w:b/>
          <w:bCs/>
        </w:rPr>
        <w:t>)</w:t>
      </w:r>
      <w:r>
        <w:rPr>
          <w:b/>
          <w:bCs/>
        </w:rPr>
        <w:t xml:space="preserve"> priority </w:t>
      </w:r>
      <w:r w:rsidR="00F5298D">
        <w:rPr>
          <w:b/>
          <w:bCs/>
        </w:rPr>
        <w:t>areas.</w:t>
      </w:r>
    </w:p>
    <w:tbl>
      <w:tblPr>
        <w:tblW w:w="5000" w:type="pct"/>
        <w:tblLook w:val="04A0" w:firstRow="1" w:lastRow="0" w:firstColumn="1" w:lastColumn="0" w:noHBand="0" w:noVBand="1"/>
        <w:tblCaption w:val="R&amp;D Refundable tax offset in some manufacturing sectors related to NRF priority areas"/>
        <w:tblDescription w:val="Table shows R&amp;D refundable tax offset amounts disaggregated by National Reconstruction Fund (NRF) priority area&#10;"/>
      </w:tblPr>
      <w:tblGrid>
        <w:gridCol w:w="4056"/>
        <w:gridCol w:w="1467"/>
        <w:gridCol w:w="1218"/>
        <w:gridCol w:w="1218"/>
        <w:gridCol w:w="1057"/>
      </w:tblGrid>
      <w:tr w:rsidR="00173096" w:rsidRPr="0092301D" w14:paraId="1EC8F2BD" w14:textId="77777777" w:rsidTr="00426B8A">
        <w:trPr>
          <w:trHeight w:val="1032"/>
        </w:trPr>
        <w:tc>
          <w:tcPr>
            <w:tcW w:w="1241" w:type="pct"/>
            <w:tcBorders>
              <w:top w:val="single" w:sz="4" w:space="0" w:color="auto"/>
              <w:left w:val="single" w:sz="4" w:space="0" w:color="auto"/>
              <w:bottom w:val="single" w:sz="4" w:space="0" w:color="auto"/>
              <w:right w:val="single" w:sz="4" w:space="0" w:color="FFFFFF"/>
            </w:tcBorders>
            <w:shd w:val="clear" w:color="auto" w:fill="001948" w:themeFill="text1" w:themeFillShade="80"/>
            <w:noWrap/>
            <w:vAlign w:val="center"/>
            <w:hideMark/>
          </w:tcPr>
          <w:p w14:paraId="726B71CB" w14:textId="658D15FC" w:rsidR="00173096" w:rsidRPr="00DC1525" w:rsidRDefault="00173096" w:rsidP="008F07B2">
            <w:pPr>
              <w:spacing w:after="0" w:line="240" w:lineRule="auto"/>
              <w:jc w:val="center"/>
              <w:rPr>
                <w:rFonts w:ascii="Calibri" w:eastAsia="Times New Roman" w:hAnsi="Calibri" w:cs="Calibri"/>
                <w:b/>
                <w:bCs/>
                <w:color w:val="FFFFFF"/>
                <w:lang w:eastAsia="en-AU"/>
              </w:rPr>
            </w:pPr>
            <w:r w:rsidRPr="00DC1525">
              <w:rPr>
                <w:rFonts w:ascii="Calibri" w:eastAsia="Times New Roman" w:hAnsi="Calibri" w:cs="Calibri"/>
                <w:b/>
                <w:bCs/>
                <w:color w:val="FFFFFF"/>
                <w:lang w:eastAsia="en-AU"/>
              </w:rPr>
              <w:t xml:space="preserve">Priority </w:t>
            </w:r>
          </w:p>
        </w:tc>
        <w:tc>
          <w:tcPr>
            <w:tcW w:w="1367" w:type="pct"/>
            <w:tcBorders>
              <w:left w:val="single" w:sz="4" w:space="0" w:color="FFFFFF"/>
              <w:right w:val="single" w:sz="4" w:space="0" w:color="FFFFFF"/>
            </w:tcBorders>
            <w:shd w:val="clear" w:color="auto" w:fill="001948" w:themeFill="text1" w:themeFillShade="80"/>
            <w:vAlign w:val="center"/>
            <w:hideMark/>
          </w:tcPr>
          <w:p w14:paraId="1EF97BB9" w14:textId="77777777" w:rsidR="00173096" w:rsidRPr="00DC1525" w:rsidRDefault="00173096" w:rsidP="008F07B2">
            <w:pPr>
              <w:spacing w:after="0" w:line="240" w:lineRule="auto"/>
              <w:jc w:val="center"/>
              <w:rPr>
                <w:rFonts w:ascii="Calibri" w:eastAsia="Times New Roman" w:hAnsi="Calibri" w:cs="Calibri"/>
                <w:b/>
                <w:bCs/>
                <w:color w:val="FFFFFF"/>
                <w:lang w:eastAsia="en-AU"/>
              </w:rPr>
            </w:pPr>
            <w:r w:rsidRPr="00DC1525">
              <w:rPr>
                <w:rFonts w:ascii="Calibri" w:eastAsia="Times New Roman" w:hAnsi="Calibri" w:cs="Calibri"/>
                <w:b/>
                <w:bCs/>
                <w:color w:val="FFFFFF"/>
                <w:lang w:eastAsia="en-AU"/>
              </w:rPr>
              <w:t xml:space="preserve"> R&amp;D Refundable tax offset ($) </w:t>
            </w:r>
          </w:p>
        </w:tc>
        <w:tc>
          <w:tcPr>
            <w:tcW w:w="695" w:type="pct"/>
            <w:tcBorders>
              <w:top w:val="single" w:sz="4" w:space="0" w:color="auto"/>
              <w:left w:val="single" w:sz="4" w:space="0" w:color="FFFFFF"/>
              <w:right w:val="single" w:sz="4" w:space="0" w:color="FFFFFF"/>
            </w:tcBorders>
            <w:shd w:val="clear" w:color="auto" w:fill="001948" w:themeFill="text1" w:themeFillShade="80"/>
            <w:vAlign w:val="center"/>
            <w:hideMark/>
          </w:tcPr>
          <w:p w14:paraId="640C2F2A" w14:textId="77777777" w:rsidR="00173096" w:rsidRPr="00DC1525" w:rsidRDefault="00173096" w:rsidP="008F07B2">
            <w:pPr>
              <w:spacing w:after="0" w:line="240" w:lineRule="auto"/>
              <w:jc w:val="center"/>
              <w:rPr>
                <w:rFonts w:ascii="Calibri" w:eastAsia="Times New Roman" w:hAnsi="Calibri" w:cs="Calibri"/>
                <w:b/>
                <w:bCs/>
                <w:color w:val="FFFFFF"/>
                <w:lang w:eastAsia="en-AU"/>
              </w:rPr>
            </w:pPr>
            <w:r w:rsidRPr="00DC1525">
              <w:rPr>
                <w:rFonts w:ascii="Calibri" w:eastAsia="Times New Roman" w:hAnsi="Calibri" w:cs="Calibri"/>
                <w:b/>
                <w:bCs/>
                <w:color w:val="FFFFFF"/>
                <w:lang w:eastAsia="en-AU"/>
              </w:rPr>
              <w:t xml:space="preserve"> Average ($)</w:t>
            </w:r>
          </w:p>
        </w:tc>
        <w:tc>
          <w:tcPr>
            <w:tcW w:w="786" w:type="pct"/>
            <w:tcBorders>
              <w:left w:val="single" w:sz="4" w:space="0" w:color="FFFFFF"/>
              <w:right w:val="single" w:sz="4" w:space="0" w:color="FFFFFF"/>
            </w:tcBorders>
            <w:shd w:val="clear" w:color="auto" w:fill="001948" w:themeFill="text1" w:themeFillShade="80"/>
            <w:vAlign w:val="center"/>
            <w:hideMark/>
          </w:tcPr>
          <w:p w14:paraId="427A389F" w14:textId="77777777" w:rsidR="00173096" w:rsidRPr="00DC1525" w:rsidRDefault="00173096" w:rsidP="008F07B2">
            <w:pPr>
              <w:spacing w:after="0" w:line="240" w:lineRule="auto"/>
              <w:jc w:val="center"/>
              <w:rPr>
                <w:rFonts w:ascii="Calibri" w:eastAsia="Times New Roman" w:hAnsi="Calibri" w:cs="Calibri"/>
                <w:b/>
                <w:bCs/>
                <w:color w:val="FFFFFF"/>
                <w:lang w:eastAsia="en-AU"/>
              </w:rPr>
            </w:pPr>
            <w:r w:rsidRPr="00DC1525">
              <w:rPr>
                <w:rFonts w:ascii="Calibri" w:eastAsia="Times New Roman" w:hAnsi="Calibri" w:cs="Calibri"/>
                <w:b/>
                <w:bCs/>
                <w:color w:val="FFFFFF"/>
                <w:lang w:eastAsia="en-AU"/>
              </w:rPr>
              <w:t xml:space="preserve"> Median ($) </w:t>
            </w:r>
          </w:p>
        </w:tc>
        <w:tc>
          <w:tcPr>
            <w:tcW w:w="911" w:type="pct"/>
            <w:tcBorders>
              <w:top w:val="single" w:sz="4" w:space="0" w:color="auto"/>
              <w:left w:val="single" w:sz="4" w:space="0" w:color="FFFFFF"/>
              <w:bottom w:val="single" w:sz="4" w:space="0" w:color="auto"/>
              <w:right w:val="single" w:sz="4" w:space="0" w:color="auto"/>
            </w:tcBorders>
            <w:shd w:val="clear" w:color="auto" w:fill="001948" w:themeFill="text1" w:themeFillShade="80"/>
            <w:vAlign w:val="center"/>
            <w:hideMark/>
          </w:tcPr>
          <w:p w14:paraId="65DB07D9" w14:textId="77777777" w:rsidR="00173096" w:rsidRPr="00DC1525" w:rsidRDefault="00173096" w:rsidP="008F07B2">
            <w:pPr>
              <w:spacing w:after="0" w:line="240" w:lineRule="auto"/>
              <w:jc w:val="center"/>
              <w:rPr>
                <w:rFonts w:ascii="Calibri" w:eastAsia="Times New Roman" w:hAnsi="Calibri" w:cs="Calibri"/>
                <w:b/>
                <w:bCs/>
                <w:color w:val="FFFFFF"/>
                <w:lang w:eastAsia="en-AU"/>
              </w:rPr>
            </w:pPr>
            <w:r w:rsidRPr="00DC1525">
              <w:rPr>
                <w:rFonts w:ascii="Calibri" w:eastAsia="Times New Roman" w:hAnsi="Calibri" w:cs="Calibri"/>
                <w:b/>
                <w:bCs/>
                <w:color w:val="FFFFFF"/>
                <w:lang w:eastAsia="en-AU"/>
              </w:rPr>
              <w:t xml:space="preserve"> Share of all economy </w:t>
            </w:r>
          </w:p>
        </w:tc>
      </w:tr>
      <w:tr w:rsidR="00173096" w:rsidRPr="0092301D" w14:paraId="0E786CBC" w14:textId="77777777" w:rsidTr="00426B8A">
        <w:trPr>
          <w:trHeight w:val="567"/>
        </w:trPr>
        <w:tc>
          <w:tcPr>
            <w:tcW w:w="1241" w:type="pct"/>
            <w:tcBorders>
              <w:top w:val="nil"/>
              <w:left w:val="single" w:sz="4" w:space="0" w:color="auto"/>
              <w:bottom w:val="single" w:sz="4" w:space="0" w:color="auto"/>
              <w:right w:val="single" w:sz="4" w:space="0" w:color="auto"/>
            </w:tcBorders>
            <w:shd w:val="clear" w:color="auto" w:fill="auto"/>
            <w:noWrap/>
            <w:vAlign w:val="bottom"/>
          </w:tcPr>
          <w:p w14:paraId="1E150D83" w14:textId="77777777" w:rsidR="00173096" w:rsidRPr="0092301D" w:rsidRDefault="00173096" w:rsidP="00590776">
            <w:pPr>
              <w:spacing w:after="0" w:line="240" w:lineRule="auto"/>
              <w:rPr>
                <w:rFonts w:ascii="Calibri" w:eastAsia="Times New Roman" w:hAnsi="Calibri" w:cs="Calibri"/>
                <w:color w:val="000000"/>
                <w:lang w:eastAsia="en-AU"/>
              </w:rPr>
            </w:pPr>
            <w:r w:rsidRPr="0092301D">
              <w:rPr>
                <w:rFonts w:ascii="Calibri" w:eastAsia="Times New Roman" w:hAnsi="Calibri" w:cs="Calibri"/>
                <w:color w:val="000000"/>
                <w:lang w:eastAsia="en-AU"/>
              </w:rPr>
              <w:t>Medical science</w:t>
            </w:r>
          </w:p>
        </w:tc>
        <w:tc>
          <w:tcPr>
            <w:tcW w:w="1367" w:type="pct"/>
            <w:tcBorders>
              <w:left w:val="nil"/>
              <w:bottom w:val="single" w:sz="4" w:space="0" w:color="auto"/>
              <w:right w:val="single" w:sz="4" w:space="0" w:color="auto"/>
            </w:tcBorders>
            <w:shd w:val="clear" w:color="auto" w:fill="auto"/>
            <w:noWrap/>
            <w:vAlign w:val="bottom"/>
          </w:tcPr>
          <w:p w14:paraId="28B40DB1"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85,791,146</w:t>
            </w:r>
          </w:p>
        </w:tc>
        <w:tc>
          <w:tcPr>
            <w:tcW w:w="695" w:type="pct"/>
            <w:tcBorders>
              <w:left w:val="nil"/>
              <w:bottom w:val="single" w:sz="4" w:space="0" w:color="auto"/>
              <w:right w:val="single" w:sz="4" w:space="0" w:color="auto"/>
            </w:tcBorders>
            <w:shd w:val="clear" w:color="auto" w:fill="auto"/>
            <w:noWrap/>
            <w:vAlign w:val="bottom"/>
          </w:tcPr>
          <w:p w14:paraId="1E7E147F"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28,597,049</w:t>
            </w:r>
          </w:p>
        </w:tc>
        <w:tc>
          <w:tcPr>
            <w:tcW w:w="786" w:type="pct"/>
            <w:tcBorders>
              <w:left w:val="nil"/>
              <w:bottom w:val="single" w:sz="4" w:space="0" w:color="auto"/>
              <w:right w:val="single" w:sz="4" w:space="0" w:color="auto"/>
            </w:tcBorders>
            <w:shd w:val="clear" w:color="auto" w:fill="auto"/>
            <w:noWrap/>
            <w:vAlign w:val="bottom"/>
          </w:tcPr>
          <w:p w14:paraId="65E513C4"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39,764,396</w:t>
            </w:r>
          </w:p>
        </w:tc>
        <w:tc>
          <w:tcPr>
            <w:tcW w:w="911" w:type="pct"/>
            <w:tcBorders>
              <w:top w:val="single" w:sz="4" w:space="0" w:color="auto"/>
              <w:left w:val="nil"/>
              <w:bottom w:val="single" w:sz="4" w:space="0" w:color="auto"/>
              <w:right w:val="single" w:sz="4" w:space="0" w:color="auto"/>
            </w:tcBorders>
            <w:shd w:val="clear" w:color="auto" w:fill="auto"/>
            <w:noWrap/>
            <w:vAlign w:val="bottom"/>
          </w:tcPr>
          <w:p w14:paraId="203438EC"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3.1%</w:t>
            </w:r>
          </w:p>
        </w:tc>
      </w:tr>
      <w:tr w:rsidR="00173096" w:rsidRPr="0092301D" w14:paraId="34EE75DB" w14:textId="77777777" w:rsidTr="00426B8A">
        <w:trPr>
          <w:trHeight w:val="567"/>
        </w:trPr>
        <w:tc>
          <w:tcPr>
            <w:tcW w:w="1241" w:type="pct"/>
            <w:tcBorders>
              <w:top w:val="nil"/>
              <w:left w:val="single" w:sz="4" w:space="0" w:color="auto"/>
              <w:bottom w:val="single" w:sz="4" w:space="0" w:color="auto"/>
              <w:right w:val="single" w:sz="4" w:space="0" w:color="auto"/>
            </w:tcBorders>
            <w:shd w:val="clear" w:color="auto" w:fill="auto"/>
            <w:noWrap/>
            <w:vAlign w:val="bottom"/>
          </w:tcPr>
          <w:p w14:paraId="3CF02836" w14:textId="46EAD7F3" w:rsidR="00173096" w:rsidRPr="0092301D" w:rsidRDefault="00173096" w:rsidP="00590776">
            <w:pPr>
              <w:spacing w:after="0" w:line="240" w:lineRule="auto"/>
              <w:rPr>
                <w:rFonts w:ascii="Calibri" w:eastAsia="Times New Roman" w:hAnsi="Calibri" w:cs="Calibri"/>
                <w:color w:val="000000"/>
                <w:lang w:eastAsia="en-AU"/>
              </w:rPr>
            </w:pPr>
            <w:r w:rsidRPr="0092301D">
              <w:rPr>
                <w:rFonts w:ascii="Calibri" w:eastAsia="Times New Roman" w:hAnsi="Calibri" w:cs="Calibri"/>
                <w:color w:val="000000"/>
                <w:lang w:eastAsia="en-AU"/>
              </w:rPr>
              <w:t>Value</w:t>
            </w:r>
            <w:r>
              <w:rPr>
                <w:rFonts w:ascii="Calibri" w:eastAsia="Times New Roman" w:hAnsi="Calibri" w:cs="Calibri"/>
                <w:color w:val="000000"/>
                <w:lang w:eastAsia="en-AU"/>
              </w:rPr>
              <w:t>-</w:t>
            </w:r>
            <w:r w:rsidRPr="0092301D">
              <w:rPr>
                <w:rFonts w:ascii="Calibri" w:eastAsia="Times New Roman" w:hAnsi="Calibri" w:cs="Calibri"/>
                <w:color w:val="000000"/>
                <w:lang w:eastAsia="en-AU"/>
              </w:rPr>
              <w:t>add in A</w:t>
            </w:r>
            <w:r w:rsidR="002258C3">
              <w:rPr>
                <w:rFonts w:ascii="Calibri" w:eastAsia="Times New Roman" w:hAnsi="Calibri" w:cs="Calibri"/>
                <w:color w:val="000000"/>
                <w:lang w:eastAsia="en-AU"/>
              </w:rPr>
              <w:t xml:space="preserve">griculture, </w:t>
            </w:r>
            <w:r w:rsidRPr="0092301D">
              <w:rPr>
                <w:rFonts w:ascii="Calibri" w:eastAsia="Times New Roman" w:hAnsi="Calibri" w:cs="Calibri"/>
                <w:color w:val="000000"/>
                <w:lang w:eastAsia="en-AU"/>
              </w:rPr>
              <w:t>F</w:t>
            </w:r>
            <w:r w:rsidR="002258C3">
              <w:rPr>
                <w:rFonts w:ascii="Calibri" w:eastAsia="Times New Roman" w:hAnsi="Calibri" w:cs="Calibri"/>
                <w:color w:val="000000"/>
                <w:lang w:eastAsia="en-AU"/>
              </w:rPr>
              <w:t xml:space="preserve">ood, </w:t>
            </w:r>
            <w:r w:rsidRPr="0092301D">
              <w:rPr>
                <w:rFonts w:ascii="Calibri" w:eastAsia="Times New Roman" w:hAnsi="Calibri" w:cs="Calibri"/>
                <w:color w:val="000000"/>
                <w:lang w:eastAsia="en-AU"/>
              </w:rPr>
              <w:t>F</w:t>
            </w:r>
            <w:r w:rsidR="002258C3">
              <w:rPr>
                <w:rFonts w:ascii="Calibri" w:eastAsia="Times New Roman" w:hAnsi="Calibri" w:cs="Calibri"/>
                <w:color w:val="000000"/>
                <w:lang w:eastAsia="en-AU"/>
              </w:rPr>
              <w:t>orestry</w:t>
            </w:r>
          </w:p>
        </w:tc>
        <w:tc>
          <w:tcPr>
            <w:tcW w:w="1367" w:type="pct"/>
            <w:tcBorders>
              <w:top w:val="nil"/>
              <w:left w:val="nil"/>
              <w:bottom w:val="single" w:sz="4" w:space="0" w:color="auto"/>
              <w:right w:val="single" w:sz="4" w:space="0" w:color="auto"/>
            </w:tcBorders>
            <w:shd w:val="clear" w:color="auto" w:fill="auto"/>
            <w:noWrap/>
            <w:vAlign w:val="bottom"/>
          </w:tcPr>
          <w:p w14:paraId="64437722"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81,107,402</w:t>
            </w:r>
          </w:p>
        </w:tc>
        <w:tc>
          <w:tcPr>
            <w:tcW w:w="695" w:type="pct"/>
            <w:tcBorders>
              <w:top w:val="nil"/>
              <w:left w:val="nil"/>
              <w:bottom w:val="single" w:sz="4" w:space="0" w:color="auto"/>
              <w:right w:val="single" w:sz="4" w:space="0" w:color="auto"/>
            </w:tcBorders>
            <w:shd w:val="clear" w:color="auto" w:fill="auto"/>
            <w:noWrap/>
            <w:vAlign w:val="bottom"/>
          </w:tcPr>
          <w:p w14:paraId="0B3E3330"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1,655,253</w:t>
            </w:r>
          </w:p>
        </w:tc>
        <w:tc>
          <w:tcPr>
            <w:tcW w:w="786" w:type="pct"/>
            <w:tcBorders>
              <w:top w:val="nil"/>
              <w:left w:val="nil"/>
              <w:bottom w:val="single" w:sz="4" w:space="0" w:color="auto"/>
              <w:right w:val="single" w:sz="4" w:space="0" w:color="auto"/>
            </w:tcBorders>
            <w:shd w:val="clear" w:color="auto" w:fill="auto"/>
            <w:noWrap/>
            <w:vAlign w:val="bottom"/>
          </w:tcPr>
          <w:p w14:paraId="6C3E7820"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482,532</w:t>
            </w:r>
          </w:p>
        </w:tc>
        <w:tc>
          <w:tcPr>
            <w:tcW w:w="911" w:type="pct"/>
            <w:tcBorders>
              <w:top w:val="nil"/>
              <w:left w:val="nil"/>
              <w:bottom w:val="single" w:sz="4" w:space="0" w:color="auto"/>
              <w:right w:val="single" w:sz="4" w:space="0" w:color="auto"/>
            </w:tcBorders>
            <w:shd w:val="clear" w:color="auto" w:fill="auto"/>
            <w:noWrap/>
            <w:vAlign w:val="bottom"/>
          </w:tcPr>
          <w:p w14:paraId="33934C9A"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3.0%</w:t>
            </w:r>
          </w:p>
        </w:tc>
      </w:tr>
      <w:tr w:rsidR="00173096" w:rsidRPr="0092301D" w14:paraId="04EF23CB" w14:textId="77777777" w:rsidTr="00426B8A">
        <w:trPr>
          <w:trHeight w:val="567"/>
        </w:trPr>
        <w:tc>
          <w:tcPr>
            <w:tcW w:w="1241" w:type="pct"/>
            <w:tcBorders>
              <w:top w:val="nil"/>
              <w:left w:val="single" w:sz="4" w:space="0" w:color="auto"/>
              <w:bottom w:val="single" w:sz="4" w:space="0" w:color="auto"/>
              <w:right w:val="single" w:sz="4" w:space="0" w:color="auto"/>
            </w:tcBorders>
            <w:shd w:val="clear" w:color="auto" w:fill="auto"/>
            <w:noWrap/>
            <w:vAlign w:val="bottom"/>
          </w:tcPr>
          <w:p w14:paraId="3B2C1818" w14:textId="0B3D64B8" w:rsidR="00173096" w:rsidRPr="0092301D" w:rsidRDefault="00173096" w:rsidP="00590776">
            <w:pPr>
              <w:spacing w:after="0" w:line="240" w:lineRule="auto"/>
              <w:rPr>
                <w:rFonts w:ascii="Calibri" w:eastAsia="Times New Roman" w:hAnsi="Calibri" w:cs="Calibri"/>
                <w:color w:val="000000"/>
                <w:lang w:eastAsia="en-AU"/>
              </w:rPr>
            </w:pPr>
            <w:r w:rsidRPr="0092301D">
              <w:rPr>
                <w:rFonts w:ascii="Calibri" w:eastAsia="Times New Roman" w:hAnsi="Calibri" w:cs="Calibri"/>
                <w:color w:val="000000"/>
                <w:lang w:eastAsia="en-AU"/>
              </w:rPr>
              <w:t>R</w:t>
            </w:r>
            <w:r>
              <w:rPr>
                <w:rFonts w:ascii="Calibri" w:eastAsia="Times New Roman" w:hAnsi="Calibri" w:cs="Calibri"/>
                <w:color w:val="000000"/>
                <w:lang w:eastAsia="en-AU"/>
              </w:rPr>
              <w:t xml:space="preserve">enewables &amp; </w:t>
            </w:r>
            <w:r w:rsidRPr="0092301D">
              <w:rPr>
                <w:rFonts w:ascii="Calibri" w:eastAsia="Times New Roman" w:hAnsi="Calibri" w:cs="Calibri"/>
                <w:color w:val="000000"/>
                <w:lang w:eastAsia="en-AU"/>
              </w:rPr>
              <w:t>L</w:t>
            </w:r>
            <w:r>
              <w:rPr>
                <w:rFonts w:ascii="Calibri" w:eastAsia="Times New Roman" w:hAnsi="Calibri" w:cs="Calibri"/>
                <w:color w:val="000000"/>
                <w:lang w:eastAsia="en-AU"/>
              </w:rPr>
              <w:t xml:space="preserve">ow </w:t>
            </w:r>
            <w:r w:rsidRPr="0092301D">
              <w:rPr>
                <w:rFonts w:ascii="Calibri" w:eastAsia="Times New Roman" w:hAnsi="Calibri" w:cs="Calibri"/>
                <w:color w:val="000000"/>
                <w:lang w:eastAsia="en-AU"/>
              </w:rPr>
              <w:t>E</w:t>
            </w:r>
            <w:r>
              <w:rPr>
                <w:rFonts w:ascii="Calibri" w:eastAsia="Times New Roman" w:hAnsi="Calibri" w:cs="Calibri"/>
                <w:color w:val="000000"/>
                <w:lang w:eastAsia="en-AU"/>
              </w:rPr>
              <w:t xml:space="preserve">missions </w:t>
            </w:r>
            <w:r w:rsidRPr="0092301D">
              <w:rPr>
                <w:rFonts w:ascii="Calibri" w:eastAsia="Times New Roman" w:hAnsi="Calibri" w:cs="Calibri"/>
                <w:color w:val="000000"/>
                <w:lang w:eastAsia="en-AU"/>
              </w:rPr>
              <w:t>T</w:t>
            </w:r>
            <w:r>
              <w:rPr>
                <w:rFonts w:ascii="Calibri" w:eastAsia="Times New Roman" w:hAnsi="Calibri" w:cs="Calibri"/>
                <w:color w:val="000000"/>
                <w:lang w:eastAsia="en-AU"/>
              </w:rPr>
              <w:t>ech</w:t>
            </w:r>
            <w:r w:rsidR="002258C3">
              <w:rPr>
                <w:rFonts w:ascii="Calibri" w:eastAsia="Times New Roman" w:hAnsi="Calibri" w:cs="Calibri"/>
                <w:color w:val="000000"/>
                <w:lang w:eastAsia="en-AU"/>
              </w:rPr>
              <w:t>nologies</w:t>
            </w:r>
          </w:p>
        </w:tc>
        <w:tc>
          <w:tcPr>
            <w:tcW w:w="1367" w:type="pct"/>
            <w:tcBorders>
              <w:top w:val="nil"/>
              <w:left w:val="nil"/>
              <w:bottom w:val="single" w:sz="4" w:space="0" w:color="auto"/>
              <w:right w:val="single" w:sz="4" w:space="0" w:color="auto"/>
            </w:tcBorders>
            <w:shd w:val="clear" w:color="auto" w:fill="auto"/>
            <w:noWrap/>
            <w:vAlign w:val="bottom"/>
          </w:tcPr>
          <w:p w14:paraId="25A519C7"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66,043,323</w:t>
            </w:r>
          </w:p>
        </w:tc>
        <w:tc>
          <w:tcPr>
            <w:tcW w:w="695" w:type="pct"/>
            <w:tcBorders>
              <w:top w:val="nil"/>
              <w:left w:val="nil"/>
              <w:bottom w:val="single" w:sz="4" w:space="0" w:color="auto"/>
              <w:right w:val="single" w:sz="4" w:space="0" w:color="auto"/>
            </w:tcBorders>
            <w:shd w:val="clear" w:color="auto" w:fill="auto"/>
            <w:noWrap/>
            <w:vAlign w:val="bottom"/>
          </w:tcPr>
          <w:p w14:paraId="49DA9E97"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11,007,221</w:t>
            </w:r>
          </w:p>
        </w:tc>
        <w:tc>
          <w:tcPr>
            <w:tcW w:w="786" w:type="pct"/>
            <w:tcBorders>
              <w:top w:val="nil"/>
              <w:left w:val="nil"/>
              <w:bottom w:val="single" w:sz="4" w:space="0" w:color="auto"/>
              <w:right w:val="single" w:sz="4" w:space="0" w:color="auto"/>
            </w:tcBorders>
            <w:shd w:val="clear" w:color="auto" w:fill="auto"/>
            <w:noWrap/>
            <w:vAlign w:val="bottom"/>
          </w:tcPr>
          <w:p w14:paraId="6302E2A4"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7,697,958</w:t>
            </w:r>
          </w:p>
        </w:tc>
        <w:tc>
          <w:tcPr>
            <w:tcW w:w="911" w:type="pct"/>
            <w:tcBorders>
              <w:top w:val="nil"/>
              <w:left w:val="nil"/>
              <w:bottom w:val="single" w:sz="4" w:space="0" w:color="auto"/>
              <w:right w:val="single" w:sz="4" w:space="0" w:color="auto"/>
            </w:tcBorders>
            <w:shd w:val="clear" w:color="auto" w:fill="auto"/>
            <w:noWrap/>
            <w:vAlign w:val="bottom"/>
          </w:tcPr>
          <w:p w14:paraId="00BD9AFA"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2.4%</w:t>
            </w:r>
          </w:p>
        </w:tc>
      </w:tr>
      <w:tr w:rsidR="00173096" w:rsidRPr="0092301D" w14:paraId="17D369BB" w14:textId="77777777" w:rsidTr="00426B8A">
        <w:trPr>
          <w:trHeight w:val="567"/>
        </w:trPr>
        <w:tc>
          <w:tcPr>
            <w:tcW w:w="1241" w:type="pct"/>
            <w:tcBorders>
              <w:top w:val="nil"/>
              <w:left w:val="single" w:sz="4" w:space="0" w:color="auto"/>
              <w:bottom w:val="single" w:sz="4" w:space="0" w:color="auto"/>
              <w:right w:val="single" w:sz="4" w:space="0" w:color="auto"/>
            </w:tcBorders>
            <w:shd w:val="clear" w:color="auto" w:fill="auto"/>
            <w:noWrap/>
            <w:vAlign w:val="bottom"/>
          </w:tcPr>
          <w:p w14:paraId="653CD459" w14:textId="77777777" w:rsidR="00173096" w:rsidRPr="0092301D" w:rsidRDefault="00173096" w:rsidP="004B3B84">
            <w:pPr>
              <w:spacing w:after="0" w:line="240" w:lineRule="auto"/>
              <w:rPr>
                <w:rFonts w:ascii="Calibri" w:eastAsia="Times New Roman" w:hAnsi="Calibri" w:cs="Calibri"/>
                <w:color w:val="000000"/>
                <w:lang w:eastAsia="en-AU"/>
              </w:rPr>
            </w:pPr>
            <w:r w:rsidRPr="0092301D">
              <w:rPr>
                <w:rFonts w:ascii="Calibri" w:eastAsia="Times New Roman" w:hAnsi="Calibri" w:cs="Calibri"/>
                <w:color w:val="000000"/>
                <w:lang w:eastAsia="en-AU"/>
              </w:rPr>
              <w:t>Transport</w:t>
            </w:r>
          </w:p>
        </w:tc>
        <w:tc>
          <w:tcPr>
            <w:tcW w:w="1367" w:type="pct"/>
            <w:tcBorders>
              <w:top w:val="nil"/>
              <w:left w:val="nil"/>
              <w:bottom w:val="single" w:sz="4" w:space="0" w:color="auto"/>
              <w:right w:val="single" w:sz="4" w:space="0" w:color="auto"/>
            </w:tcBorders>
            <w:shd w:val="clear" w:color="auto" w:fill="auto"/>
            <w:noWrap/>
            <w:vAlign w:val="bottom"/>
          </w:tcPr>
          <w:p w14:paraId="69AB491B"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42,212,414</w:t>
            </w:r>
          </w:p>
        </w:tc>
        <w:tc>
          <w:tcPr>
            <w:tcW w:w="695" w:type="pct"/>
            <w:tcBorders>
              <w:top w:val="nil"/>
              <w:left w:val="nil"/>
              <w:bottom w:val="single" w:sz="4" w:space="0" w:color="auto"/>
              <w:right w:val="single" w:sz="4" w:space="0" w:color="auto"/>
            </w:tcBorders>
            <w:shd w:val="clear" w:color="auto" w:fill="auto"/>
            <w:noWrap/>
            <w:vAlign w:val="bottom"/>
          </w:tcPr>
          <w:p w14:paraId="6B208B8A"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4,690,268</w:t>
            </w:r>
          </w:p>
        </w:tc>
        <w:tc>
          <w:tcPr>
            <w:tcW w:w="786" w:type="pct"/>
            <w:tcBorders>
              <w:top w:val="nil"/>
              <w:left w:val="nil"/>
              <w:bottom w:val="single" w:sz="4" w:space="0" w:color="auto"/>
              <w:right w:val="single" w:sz="4" w:space="0" w:color="auto"/>
            </w:tcBorders>
            <w:shd w:val="clear" w:color="auto" w:fill="auto"/>
            <w:noWrap/>
            <w:vAlign w:val="bottom"/>
          </w:tcPr>
          <w:p w14:paraId="5A961B34"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4,940,151</w:t>
            </w:r>
          </w:p>
        </w:tc>
        <w:tc>
          <w:tcPr>
            <w:tcW w:w="911" w:type="pct"/>
            <w:tcBorders>
              <w:top w:val="nil"/>
              <w:left w:val="nil"/>
              <w:bottom w:val="single" w:sz="4" w:space="0" w:color="auto"/>
              <w:right w:val="single" w:sz="4" w:space="0" w:color="auto"/>
            </w:tcBorders>
            <w:shd w:val="clear" w:color="auto" w:fill="auto"/>
            <w:noWrap/>
            <w:vAlign w:val="bottom"/>
          </w:tcPr>
          <w:p w14:paraId="4B9E6D49"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1.5%</w:t>
            </w:r>
          </w:p>
        </w:tc>
      </w:tr>
      <w:tr w:rsidR="00173096" w:rsidRPr="0092301D" w14:paraId="0CE2495D" w14:textId="77777777" w:rsidTr="00426B8A">
        <w:trPr>
          <w:trHeight w:val="567"/>
        </w:trPr>
        <w:tc>
          <w:tcPr>
            <w:tcW w:w="1241" w:type="pct"/>
            <w:tcBorders>
              <w:top w:val="nil"/>
              <w:left w:val="single" w:sz="4" w:space="0" w:color="auto"/>
              <w:bottom w:val="single" w:sz="4" w:space="0" w:color="auto"/>
              <w:right w:val="single" w:sz="4" w:space="0" w:color="auto"/>
            </w:tcBorders>
            <w:shd w:val="clear" w:color="auto" w:fill="auto"/>
            <w:noWrap/>
            <w:vAlign w:val="bottom"/>
            <w:hideMark/>
          </w:tcPr>
          <w:p w14:paraId="248BE71A" w14:textId="77777777" w:rsidR="00173096" w:rsidRPr="0092301D" w:rsidRDefault="00173096" w:rsidP="008F07B2">
            <w:pPr>
              <w:spacing w:after="0" w:line="240" w:lineRule="auto"/>
              <w:rPr>
                <w:rFonts w:ascii="Calibri" w:eastAsia="Times New Roman" w:hAnsi="Calibri" w:cs="Calibri"/>
                <w:color w:val="000000"/>
                <w:lang w:eastAsia="en-AU"/>
              </w:rPr>
            </w:pPr>
            <w:r w:rsidRPr="0092301D">
              <w:rPr>
                <w:rFonts w:ascii="Calibri" w:eastAsia="Times New Roman" w:hAnsi="Calibri" w:cs="Calibri"/>
                <w:color w:val="000000"/>
                <w:lang w:eastAsia="en-AU"/>
              </w:rPr>
              <w:t>Value</w:t>
            </w:r>
            <w:r>
              <w:rPr>
                <w:rFonts w:ascii="Calibri" w:eastAsia="Times New Roman" w:hAnsi="Calibri" w:cs="Calibri"/>
                <w:color w:val="000000"/>
                <w:lang w:eastAsia="en-AU"/>
              </w:rPr>
              <w:t>-</w:t>
            </w:r>
            <w:r w:rsidRPr="0092301D">
              <w:rPr>
                <w:rFonts w:ascii="Calibri" w:eastAsia="Times New Roman" w:hAnsi="Calibri" w:cs="Calibri"/>
                <w:color w:val="000000"/>
                <w:lang w:eastAsia="en-AU"/>
              </w:rPr>
              <w:t>add in resources</w:t>
            </w:r>
          </w:p>
        </w:tc>
        <w:tc>
          <w:tcPr>
            <w:tcW w:w="1367" w:type="pct"/>
            <w:tcBorders>
              <w:top w:val="nil"/>
              <w:left w:val="nil"/>
              <w:bottom w:val="single" w:sz="4" w:space="0" w:color="auto"/>
              <w:right w:val="single" w:sz="4" w:space="0" w:color="auto"/>
            </w:tcBorders>
            <w:shd w:val="clear" w:color="auto" w:fill="auto"/>
            <w:noWrap/>
            <w:vAlign w:val="bottom"/>
            <w:hideMark/>
          </w:tcPr>
          <w:p w14:paraId="262DA4D1"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37,035,238</w:t>
            </w:r>
          </w:p>
        </w:tc>
        <w:tc>
          <w:tcPr>
            <w:tcW w:w="695" w:type="pct"/>
            <w:tcBorders>
              <w:top w:val="nil"/>
              <w:left w:val="nil"/>
              <w:bottom w:val="single" w:sz="4" w:space="0" w:color="auto"/>
              <w:right w:val="single" w:sz="4" w:space="0" w:color="auto"/>
            </w:tcBorders>
            <w:shd w:val="clear" w:color="auto" w:fill="auto"/>
            <w:noWrap/>
            <w:vAlign w:val="bottom"/>
            <w:hideMark/>
          </w:tcPr>
          <w:p w14:paraId="4018ADA2"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1,543,135</w:t>
            </w:r>
          </w:p>
        </w:tc>
        <w:tc>
          <w:tcPr>
            <w:tcW w:w="786" w:type="pct"/>
            <w:tcBorders>
              <w:top w:val="nil"/>
              <w:left w:val="nil"/>
              <w:bottom w:val="single" w:sz="4" w:space="0" w:color="auto"/>
              <w:right w:val="single" w:sz="4" w:space="0" w:color="auto"/>
            </w:tcBorders>
            <w:shd w:val="clear" w:color="auto" w:fill="auto"/>
            <w:noWrap/>
            <w:vAlign w:val="bottom"/>
            <w:hideMark/>
          </w:tcPr>
          <w:p w14:paraId="0DC9F32D"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679,703</w:t>
            </w:r>
          </w:p>
        </w:tc>
        <w:tc>
          <w:tcPr>
            <w:tcW w:w="911" w:type="pct"/>
            <w:tcBorders>
              <w:top w:val="nil"/>
              <w:left w:val="nil"/>
              <w:bottom w:val="single" w:sz="4" w:space="0" w:color="auto"/>
              <w:right w:val="single" w:sz="4" w:space="0" w:color="auto"/>
            </w:tcBorders>
            <w:shd w:val="clear" w:color="auto" w:fill="auto"/>
            <w:noWrap/>
            <w:vAlign w:val="bottom"/>
            <w:hideMark/>
          </w:tcPr>
          <w:p w14:paraId="1782B83A"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1.4%</w:t>
            </w:r>
          </w:p>
        </w:tc>
      </w:tr>
      <w:tr w:rsidR="00173096" w:rsidRPr="0092301D" w14:paraId="7AB517D4" w14:textId="77777777" w:rsidTr="00426B8A">
        <w:trPr>
          <w:trHeight w:val="567"/>
        </w:trPr>
        <w:tc>
          <w:tcPr>
            <w:tcW w:w="1241" w:type="pct"/>
            <w:tcBorders>
              <w:top w:val="nil"/>
              <w:left w:val="single" w:sz="4" w:space="0" w:color="auto"/>
              <w:bottom w:val="single" w:sz="4" w:space="0" w:color="auto"/>
              <w:right w:val="single" w:sz="4" w:space="0" w:color="auto"/>
            </w:tcBorders>
            <w:shd w:val="clear" w:color="auto" w:fill="auto"/>
            <w:noWrap/>
            <w:vAlign w:val="bottom"/>
            <w:hideMark/>
          </w:tcPr>
          <w:p w14:paraId="6025226A" w14:textId="77777777" w:rsidR="00173096" w:rsidRPr="0092301D" w:rsidRDefault="00173096" w:rsidP="008F07B2">
            <w:pPr>
              <w:spacing w:after="0" w:line="240" w:lineRule="auto"/>
              <w:rPr>
                <w:rFonts w:ascii="Calibri" w:eastAsia="Times New Roman" w:hAnsi="Calibri" w:cs="Calibri"/>
                <w:color w:val="000000"/>
                <w:lang w:eastAsia="en-AU"/>
              </w:rPr>
            </w:pPr>
            <w:r w:rsidRPr="0092301D">
              <w:rPr>
                <w:rFonts w:ascii="Calibri" w:eastAsia="Times New Roman" w:hAnsi="Calibri" w:cs="Calibri"/>
                <w:color w:val="000000"/>
                <w:lang w:eastAsia="en-AU"/>
              </w:rPr>
              <w:t>Enabling capabilities</w:t>
            </w:r>
          </w:p>
        </w:tc>
        <w:tc>
          <w:tcPr>
            <w:tcW w:w="1367" w:type="pct"/>
            <w:tcBorders>
              <w:top w:val="nil"/>
              <w:left w:val="nil"/>
              <w:bottom w:val="single" w:sz="4" w:space="0" w:color="auto"/>
              <w:right w:val="single" w:sz="4" w:space="0" w:color="auto"/>
            </w:tcBorders>
            <w:shd w:val="clear" w:color="auto" w:fill="auto"/>
            <w:noWrap/>
            <w:vAlign w:val="bottom"/>
            <w:hideMark/>
          </w:tcPr>
          <w:p w14:paraId="0BA62E1A"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24,842,252</w:t>
            </w:r>
          </w:p>
        </w:tc>
        <w:tc>
          <w:tcPr>
            <w:tcW w:w="695" w:type="pct"/>
            <w:tcBorders>
              <w:top w:val="nil"/>
              <w:left w:val="nil"/>
              <w:bottom w:val="single" w:sz="4" w:space="0" w:color="auto"/>
              <w:right w:val="single" w:sz="4" w:space="0" w:color="auto"/>
            </w:tcBorders>
            <w:shd w:val="clear" w:color="auto" w:fill="auto"/>
            <w:noWrap/>
            <w:vAlign w:val="bottom"/>
            <w:hideMark/>
          </w:tcPr>
          <w:p w14:paraId="01435D03"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8,280,751</w:t>
            </w:r>
          </w:p>
        </w:tc>
        <w:tc>
          <w:tcPr>
            <w:tcW w:w="786" w:type="pct"/>
            <w:tcBorders>
              <w:top w:val="nil"/>
              <w:left w:val="nil"/>
              <w:bottom w:val="single" w:sz="4" w:space="0" w:color="auto"/>
              <w:right w:val="single" w:sz="4" w:space="0" w:color="auto"/>
            </w:tcBorders>
            <w:shd w:val="clear" w:color="auto" w:fill="auto"/>
            <w:noWrap/>
            <w:vAlign w:val="bottom"/>
            <w:hideMark/>
          </w:tcPr>
          <w:p w14:paraId="1053ED19"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6,684,187</w:t>
            </w:r>
          </w:p>
        </w:tc>
        <w:tc>
          <w:tcPr>
            <w:tcW w:w="911" w:type="pct"/>
            <w:tcBorders>
              <w:top w:val="nil"/>
              <w:left w:val="nil"/>
              <w:bottom w:val="single" w:sz="4" w:space="0" w:color="auto"/>
              <w:right w:val="single" w:sz="4" w:space="0" w:color="auto"/>
            </w:tcBorders>
            <w:shd w:val="clear" w:color="auto" w:fill="auto"/>
            <w:noWrap/>
            <w:vAlign w:val="bottom"/>
            <w:hideMark/>
          </w:tcPr>
          <w:p w14:paraId="7EBB839D" w14:textId="77777777" w:rsidR="00173096" w:rsidRPr="0092301D" w:rsidRDefault="00173096" w:rsidP="009A086B">
            <w:pPr>
              <w:spacing w:after="0" w:line="240" w:lineRule="auto"/>
              <w:jc w:val="center"/>
              <w:rPr>
                <w:rFonts w:ascii="Calibri" w:eastAsia="Times New Roman" w:hAnsi="Calibri" w:cs="Calibri"/>
                <w:color w:val="000000"/>
                <w:lang w:eastAsia="en-AU"/>
              </w:rPr>
            </w:pPr>
            <w:r w:rsidRPr="0092301D">
              <w:rPr>
                <w:rFonts w:ascii="Calibri" w:eastAsia="Times New Roman" w:hAnsi="Calibri" w:cs="Calibri"/>
                <w:color w:val="000000"/>
                <w:lang w:eastAsia="en-AU"/>
              </w:rPr>
              <w:t>0.9%</w:t>
            </w:r>
          </w:p>
        </w:tc>
      </w:tr>
    </w:tbl>
    <w:p w14:paraId="3A6E7C7F" w14:textId="48A0F2DA" w:rsidR="00DF70E4" w:rsidRDefault="00590776" w:rsidP="00B412FE">
      <w:pPr>
        <w:spacing w:before="200"/>
        <w:rPr>
          <w:rFonts w:asciiTheme="majorHAnsi" w:hAnsiTheme="majorHAnsi" w:cstheme="majorBidi"/>
          <w:color w:val="003491" w:themeColor="text1"/>
          <w:sz w:val="48"/>
          <w:szCs w:val="32"/>
        </w:rPr>
      </w:pPr>
      <w:r w:rsidRPr="008F07B2">
        <w:rPr>
          <w:sz w:val="18"/>
          <w:szCs w:val="18"/>
        </w:rPr>
        <w:t xml:space="preserve">Source: </w:t>
      </w:r>
      <w:r w:rsidR="0087386B">
        <w:rPr>
          <w:sz w:val="18"/>
          <w:szCs w:val="18"/>
        </w:rPr>
        <w:t xml:space="preserve">Australian Taxation Office (ATO) (reference year 2020-21 financial year) </w:t>
      </w:r>
      <w:hyperlink r:id="rId47" w:history="1">
        <w:r w:rsidR="0087386B" w:rsidRPr="0087386B">
          <w:rPr>
            <w:rStyle w:val="Hyperlink"/>
            <w:i/>
            <w:iCs/>
            <w:sz w:val="18"/>
            <w:szCs w:val="18"/>
          </w:rPr>
          <w:t>Company – Table 4</w:t>
        </w:r>
      </w:hyperlink>
      <w:r w:rsidR="0087386B">
        <w:rPr>
          <w:sz w:val="18"/>
          <w:szCs w:val="18"/>
        </w:rPr>
        <w:t>, ATO website, accessed 24 November 2023.</w:t>
      </w:r>
      <w:r w:rsidR="00DF70E4">
        <w:br w:type="page"/>
      </w:r>
    </w:p>
    <w:p w14:paraId="551FBCDA" w14:textId="61B66C80" w:rsidR="0051484B" w:rsidRDefault="0051484B" w:rsidP="00F6694F">
      <w:pPr>
        <w:pStyle w:val="Heading3"/>
      </w:pPr>
      <w:bookmarkStart w:id="112" w:name="_Toc152165438"/>
      <w:bookmarkStart w:id="113" w:name="Reference_materials"/>
      <w:r>
        <w:t>Appendix 6: Additional data tables</w:t>
      </w:r>
      <w:bookmarkEnd w:id="112"/>
    </w:p>
    <w:p w14:paraId="789CF616" w14:textId="365D84DD" w:rsidR="008B71EC" w:rsidRPr="008B71EC" w:rsidRDefault="008B71EC" w:rsidP="00C35D33">
      <w:pPr>
        <w:pStyle w:val="Heading4"/>
        <w:rPr>
          <w:rFonts w:eastAsia="Calibri" w:cs="Times New Roman"/>
          <w:b/>
          <w:bCs/>
        </w:rPr>
      </w:pPr>
      <w:bookmarkStart w:id="114" w:name="_Chart_2_data"/>
      <w:bookmarkEnd w:id="114"/>
      <w:r>
        <w:rPr>
          <w:rFonts w:eastAsia="Calibri" w:cs="Times New Roman"/>
          <w:b/>
          <w:bCs/>
        </w:rPr>
        <w:t xml:space="preserve">Chart 2 data </w:t>
      </w:r>
      <w:r w:rsidRPr="008B71EC">
        <w:rPr>
          <w:rFonts w:eastAsia="Calibri" w:cs="Times New Roman"/>
          <w:b/>
          <w:bCs/>
        </w:rPr>
        <w:t xml:space="preserve">table: </w:t>
      </w:r>
      <w:r w:rsidRPr="008B71EC">
        <w:rPr>
          <w:rFonts w:eastAsia="Times New Roman"/>
          <w:lang w:eastAsia="en-AU"/>
        </w:rPr>
        <w:t>UNIDO’s Competitive Industrial Performance Index vs Manufacturing Import Penetration in OECD countries, 2018</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890"/>
        <w:gridCol w:w="1671"/>
        <w:gridCol w:w="3451"/>
        <w:gridCol w:w="2994"/>
      </w:tblGrid>
      <w:tr w:rsidR="008B71EC" w:rsidRPr="008B71EC" w14:paraId="3D10BBAD" w14:textId="77777777" w:rsidTr="00426B8A">
        <w:trPr>
          <w:tblHeader/>
        </w:trPr>
        <w:tc>
          <w:tcPr>
            <w:tcW w:w="890" w:type="dxa"/>
            <w:tcBorders>
              <w:top w:val="single" w:sz="8" w:space="0" w:color="A3A3A3"/>
              <w:left w:val="single" w:sz="8" w:space="0" w:color="A3A3A3"/>
              <w:bottom w:val="single" w:sz="8" w:space="0" w:color="A3A3A3"/>
              <w:right w:val="single" w:sz="8" w:space="0" w:color="A3A3A3"/>
            </w:tcBorders>
            <w:shd w:val="clear" w:color="auto" w:fill="E5E5FF"/>
            <w:tcMar>
              <w:top w:w="80" w:type="dxa"/>
              <w:left w:w="80" w:type="dxa"/>
              <w:bottom w:w="80" w:type="dxa"/>
              <w:right w:w="80" w:type="dxa"/>
            </w:tcMar>
            <w:hideMark/>
          </w:tcPr>
          <w:p w14:paraId="3899AB9E" w14:textId="77777777" w:rsidR="008B71EC" w:rsidRPr="008B71EC" w:rsidRDefault="008B71EC" w:rsidP="008B71EC">
            <w:pPr>
              <w:spacing w:after="0" w:line="240" w:lineRule="auto"/>
              <w:rPr>
                <w:rFonts w:ascii="Calibri" w:eastAsia="Times New Roman" w:hAnsi="Calibri" w:cs="Calibri"/>
                <w:b/>
                <w:bCs/>
                <w:lang w:eastAsia="en-AU"/>
              </w:rPr>
            </w:pPr>
            <w:r w:rsidRPr="008B71EC">
              <w:rPr>
                <w:rFonts w:ascii="Calibri" w:eastAsia="Times New Roman" w:hAnsi="Calibri" w:cs="Calibri"/>
                <w:b/>
                <w:bCs/>
                <w:lang w:eastAsia="en-AU"/>
              </w:rPr>
              <w:t>Country</w:t>
            </w:r>
          </w:p>
        </w:tc>
        <w:tc>
          <w:tcPr>
            <w:tcW w:w="1671" w:type="dxa"/>
            <w:tcBorders>
              <w:top w:val="single" w:sz="8" w:space="0" w:color="A3A3A3"/>
              <w:left w:val="single" w:sz="8" w:space="0" w:color="A3A3A3"/>
              <w:bottom w:val="single" w:sz="8" w:space="0" w:color="A3A3A3"/>
              <w:right w:val="single" w:sz="8" w:space="0" w:color="A3A3A3"/>
            </w:tcBorders>
            <w:shd w:val="clear" w:color="auto" w:fill="E5E5FF"/>
            <w:tcMar>
              <w:top w:w="80" w:type="dxa"/>
              <w:left w:w="80" w:type="dxa"/>
              <w:bottom w:w="80" w:type="dxa"/>
              <w:right w:w="80" w:type="dxa"/>
            </w:tcMar>
            <w:hideMark/>
          </w:tcPr>
          <w:p w14:paraId="7A59AF86" w14:textId="77777777" w:rsidR="008B71EC" w:rsidRPr="008B71EC" w:rsidRDefault="008B71EC" w:rsidP="008B71EC">
            <w:pPr>
              <w:spacing w:after="0" w:line="240" w:lineRule="auto"/>
              <w:rPr>
                <w:rFonts w:ascii="Calibri" w:eastAsia="Times New Roman" w:hAnsi="Calibri" w:cs="Calibri"/>
                <w:b/>
                <w:bCs/>
                <w:lang w:eastAsia="en-AU"/>
              </w:rPr>
            </w:pPr>
            <w:r w:rsidRPr="008B71EC">
              <w:rPr>
                <w:rFonts w:ascii="Calibri" w:eastAsia="Times New Roman" w:hAnsi="Calibri" w:cs="Calibri"/>
                <w:b/>
                <w:bCs/>
                <w:lang w:eastAsia="en-AU"/>
              </w:rPr>
              <w:t>Import penetration (percentage)</w:t>
            </w:r>
          </w:p>
        </w:tc>
        <w:tc>
          <w:tcPr>
            <w:tcW w:w="3451" w:type="dxa"/>
            <w:tcBorders>
              <w:top w:val="single" w:sz="8" w:space="0" w:color="A3A3A3"/>
              <w:left w:val="single" w:sz="8" w:space="0" w:color="A3A3A3"/>
              <w:bottom w:val="single" w:sz="8" w:space="0" w:color="A3A3A3"/>
              <w:right w:val="single" w:sz="8" w:space="0" w:color="A3A3A3"/>
            </w:tcBorders>
            <w:shd w:val="clear" w:color="auto" w:fill="E5E5FF"/>
            <w:tcMar>
              <w:top w:w="80" w:type="dxa"/>
              <w:left w:w="80" w:type="dxa"/>
              <w:bottom w:w="80" w:type="dxa"/>
              <w:right w:w="80" w:type="dxa"/>
            </w:tcMar>
            <w:hideMark/>
          </w:tcPr>
          <w:p w14:paraId="5DAFB3CB" w14:textId="77777777" w:rsidR="008B71EC" w:rsidRPr="008B71EC" w:rsidRDefault="008B71EC" w:rsidP="008B71EC">
            <w:pPr>
              <w:spacing w:after="0" w:line="240" w:lineRule="auto"/>
              <w:rPr>
                <w:rFonts w:ascii="Calibri" w:eastAsia="Times New Roman" w:hAnsi="Calibri" w:cs="Calibri"/>
                <w:b/>
                <w:bCs/>
                <w:lang w:eastAsia="en-AU"/>
              </w:rPr>
            </w:pPr>
            <w:r w:rsidRPr="008B71EC">
              <w:rPr>
                <w:rFonts w:ascii="Calibri" w:eastAsia="Times New Roman" w:hAnsi="Calibri" w:cs="Calibri"/>
                <w:b/>
                <w:bCs/>
                <w:lang w:eastAsia="en-AU"/>
              </w:rPr>
              <w:t>Share of manufacturing</w:t>
            </w:r>
          </w:p>
        </w:tc>
        <w:tc>
          <w:tcPr>
            <w:tcW w:w="2994" w:type="dxa"/>
            <w:tcBorders>
              <w:top w:val="single" w:sz="8" w:space="0" w:color="A3A3A3"/>
              <w:left w:val="single" w:sz="8" w:space="0" w:color="A3A3A3"/>
              <w:bottom w:val="single" w:sz="8" w:space="0" w:color="A3A3A3"/>
              <w:right w:val="single" w:sz="8" w:space="0" w:color="A3A3A3"/>
            </w:tcBorders>
            <w:shd w:val="clear" w:color="auto" w:fill="E5E5FF"/>
            <w:tcMar>
              <w:top w:w="80" w:type="dxa"/>
              <w:left w:w="80" w:type="dxa"/>
              <w:bottom w:w="80" w:type="dxa"/>
              <w:right w:w="80" w:type="dxa"/>
            </w:tcMar>
            <w:hideMark/>
          </w:tcPr>
          <w:p w14:paraId="3891665C" w14:textId="77777777" w:rsidR="008B71EC" w:rsidRPr="008B71EC" w:rsidRDefault="008B71EC" w:rsidP="008B71EC">
            <w:pPr>
              <w:spacing w:after="0" w:line="240" w:lineRule="auto"/>
              <w:rPr>
                <w:rFonts w:ascii="Calibri" w:eastAsia="Times New Roman" w:hAnsi="Calibri" w:cs="Calibri"/>
                <w:b/>
                <w:bCs/>
                <w:lang w:eastAsia="en-AU"/>
              </w:rPr>
            </w:pPr>
            <w:r w:rsidRPr="008B71EC">
              <w:rPr>
                <w:rFonts w:ascii="Calibri" w:eastAsia="Times New Roman" w:hAnsi="Calibri" w:cs="Calibri"/>
                <w:b/>
                <w:bCs/>
                <w:lang w:eastAsia="en-AU"/>
              </w:rPr>
              <w:t>Competitive industrial performance (CIP) index</w:t>
            </w:r>
          </w:p>
        </w:tc>
      </w:tr>
      <w:tr w:rsidR="008B71EC" w:rsidRPr="008B71EC" w14:paraId="760D9806" w14:textId="77777777" w:rsidTr="00426B8A">
        <w:tc>
          <w:tcPr>
            <w:tcW w:w="890" w:type="dxa"/>
            <w:tcBorders>
              <w:top w:val="single" w:sz="8" w:space="0" w:color="A3A3A3"/>
              <w:left w:val="single" w:sz="8" w:space="0" w:color="A3A3A3"/>
              <w:bottom w:val="single" w:sz="8" w:space="0" w:color="A3A3A3"/>
              <w:right w:val="single" w:sz="8" w:space="0" w:color="A3A3A3"/>
            </w:tcBorders>
            <w:shd w:val="clear" w:color="auto" w:fill="FEFCC0" w:themeFill="accent5" w:themeFillTint="33"/>
            <w:tcMar>
              <w:top w:w="80" w:type="dxa"/>
              <w:left w:w="80" w:type="dxa"/>
              <w:bottom w:w="80" w:type="dxa"/>
              <w:right w:w="80" w:type="dxa"/>
            </w:tcMar>
            <w:hideMark/>
          </w:tcPr>
          <w:p w14:paraId="45FCB709"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AUS</w:t>
            </w:r>
          </w:p>
        </w:tc>
        <w:tc>
          <w:tcPr>
            <w:tcW w:w="1671" w:type="dxa"/>
            <w:tcBorders>
              <w:top w:val="single" w:sz="8" w:space="0" w:color="A3A3A3"/>
              <w:left w:val="single" w:sz="8" w:space="0" w:color="A3A3A3"/>
              <w:bottom w:val="single" w:sz="8" w:space="0" w:color="A3A3A3"/>
              <w:right w:val="single" w:sz="8" w:space="0" w:color="A3A3A3"/>
            </w:tcBorders>
            <w:shd w:val="clear" w:color="auto" w:fill="FEFCC0" w:themeFill="accent5" w:themeFillTint="33"/>
            <w:tcMar>
              <w:top w:w="80" w:type="dxa"/>
              <w:left w:w="80" w:type="dxa"/>
              <w:bottom w:w="80" w:type="dxa"/>
              <w:right w:w="80" w:type="dxa"/>
            </w:tcMar>
            <w:hideMark/>
          </w:tcPr>
          <w:p w14:paraId="0B06B049"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64</w:t>
            </w:r>
          </w:p>
        </w:tc>
        <w:tc>
          <w:tcPr>
            <w:tcW w:w="3451" w:type="dxa"/>
            <w:tcBorders>
              <w:top w:val="single" w:sz="8" w:space="0" w:color="A3A3A3"/>
              <w:left w:val="single" w:sz="8" w:space="0" w:color="A3A3A3"/>
              <w:bottom w:val="single" w:sz="8" w:space="0" w:color="A3A3A3"/>
              <w:right w:val="single" w:sz="8" w:space="0" w:color="A3A3A3"/>
            </w:tcBorders>
            <w:shd w:val="clear" w:color="auto" w:fill="FEFCC0" w:themeFill="accent5" w:themeFillTint="33"/>
            <w:tcMar>
              <w:top w:w="80" w:type="dxa"/>
              <w:left w:w="80" w:type="dxa"/>
              <w:bottom w:w="80" w:type="dxa"/>
              <w:right w:w="80" w:type="dxa"/>
            </w:tcMar>
            <w:hideMark/>
          </w:tcPr>
          <w:p w14:paraId="1AA59619"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11.2</w:t>
            </w:r>
          </w:p>
        </w:tc>
        <w:tc>
          <w:tcPr>
            <w:tcW w:w="2994" w:type="dxa"/>
            <w:tcBorders>
              <w:top w:val="single" w:sz="8" w:space="0" w:color="A3A3A3"/>
              <w:left w:val="single" w:sz="8" w:space="0" w:color="A3A3A3"/>
              <w:bottom w:val="single" w:sz="8" w:space="0" w:color="A3A3A3"/>
              <w:right w:val="single" w:sz="8" w:space="0" w:color="A3A3A3"/>
            </w:tcBorders>
            <w:shd w:val="clear" w:color="auto" w:fill="FEFCC0" w:themeFill="accent5" w:themeFillTint="33"/>
            <w:tcMar>
              <w:top w:w="80" w:type="dxa"/>
              <w:left w:w="80" w:type="dxa"/>
              <w:bottom w:w="80" w:type="dxa"/>
              <w:right w:w="80" w:type="dxa"/>
            </w:tcMar>
            <w:hideMark/>
          </w:tcPr>
          <w:p w14:paraId="5D7BEBB0"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0.098505</w:t>
            </w:r>
          </w:p>
        </w:tc>
      </w:tr>
      <w:tr w:rsidR="008B71EC" w:rsidRPr="008B71EC" w14:paraId="31DA6478"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8E1D43"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AUT</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1054937"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49</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2D68D76"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28.3</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FDC779"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0.215459</w:t>
            </w:r>
          </w:p>
        </w:tc>
      </w:tr>
      <w:tr w:rsidR="008B71EC" w:rsidRPr="008B71EC" w14:paraId="3944CED1"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24D1E92"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BEL</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39A8BC1"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46</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AF00DE1"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25.7</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51555E"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0.218779</w:t>
            </w:r>
          </w:p>
        </w:tc>
      </w:tr>
      <w:tr w:rsidR="008B71EC" w:rsidRPr="008B71EC" w14:paraId="00EE86E4"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FBEEF56"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CAN</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F06DB0"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57</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ACE2A9"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19.3</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8052A0"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0.188448</w:t>
            </w:r>
          </w:p>
        </w:tc>
      </w:tr>
      <w:tr w:rsidR="008B71EC" w:rsidRPr="008B71EC" w14:paraId="583460C2"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B9863C"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CHL</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F887C"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47</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503D670"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22.6</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4654E9"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0.061928</w:t>
            </w:r>
          </w:p>
        </w:tc>
      </w:tr>
      <w:tr w:rsidR="008B71EC" w:rsidRPr="008B71EC" w14:paraId="3AF93761"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70E4D1"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COL</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0706CF"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34</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29D07CC"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21.1</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D40D35B"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0.034622</w:t>
            </w:r>
          </w:p>
        </w:tc>
      </w:tr>
      <w:tr w:rsidR="008B71EC" w:rsidRPr="008B71EC" w14:paraId="472FE3FA"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CE5EAE"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CZE</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12F5E7"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47</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7707DB4"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38.3</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93339D"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0.20671</w:t>
            </w:r>
          </w:p>
        </w:tc>
      </w:tr>
      <w:tr w:rsidR="008B71EC" w:rsidRPr="008B71EC" w14:paraId="3878883F"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349D4C6"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DNK</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747970"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51</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963786F"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19.3</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0FFD63"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0.175941</w:t>
            </w:r>
          </w:p>
        </w:tc>
      </w:tr>
      <w:tr w:rsidR="008B71EC" w:rsidRPr="008B71EC" w14:paraId="62670DAD"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30FA518"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FIN</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3D32C8"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35</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D1EAD0"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27.5</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82A1B52"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0.144111</w:t>
            </w:r>
          </w:p>
        </w:tc>
      </w:tr>
      <w:tr w:rsidR="008B71EC" w:rsidRPr="008B71EC" w14:paraId="737B2947"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848D7A"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FRA</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43CD0"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49</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D0DD9F1"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18.7</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6EDF58"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0.248024</w:t>
            </w:r>
          </w:p>
        </w:tc>
      </w:tr>
      <w:tr w:rsidR="008B71EC" w:rsidRPr="008B71EC" w14:paraId="69194CA9"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6EB81CD"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DEU</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3DF7CCD"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30</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C38A74"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32.0</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BA37702"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0.487378</w:t>
            </w:r>
          </w:p>
        </w:tc>
      </w:tr>
      <w:tr w:rsidR="008B71EC" w:rsidRPr="008B71EC" w14:paraId="079CD95A"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9ECD6F"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GRC</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3BCD3B"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56</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63D02DC"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18.9</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DA39520"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0.060108</w:t>
            </w:r>
          </w:p>
        </w:tc>
      </w:tr>
      <w:tr w:rsidR="008B71EC" w:rsidRPr="008B71EC" w14:paraId="726BD46D"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4AF464"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HUN</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8E57A1"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62</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C470E9"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38.3</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2C880B"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0.140499</w:t>
            </w:r>
          </w:p>
        </w:tc>
      </w:tr>
      <w:tr w:rsidR="008B71EC" w:rsidRPr="008B71EC" w14:paraId="36D31D4C"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DC14FE9"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ISL</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23704A"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67</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97AE23"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16.8</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40033E2"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0.029383</w:t>
            </w:r>
          </w:p>
        </w:tc>
      </w:tr>
      <w:tr w:rsidR="008B71EC" w:rsidRPr="008B71EC" w14:paraId="3E98DD20"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17CF4A"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IRL</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782C31"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29</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441344"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36.6</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A3EBC6"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0.333951</w:t>
            </w:r>
          </w:p>
        </w:tc>
      </w:tr>
      <w:tr w:rsidR="008B71EC" w:rsidRPr="008B71EC" w14:paraId="431582BE"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67F86F"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ISR</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B26BB3"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42</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DAA6C3"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19.2</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E3C870C"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0.126714</w:t>
            </w:r>
          </w:p>
        </w:tc>
      </w:tr>
      <w:tr w:rsidR="008B71EC" w:rsidRPr="008B71EC" w14:paraId="72926B39"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459362"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JPN</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33E0B5"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17</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C404BE2"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32.6</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9ABE58F"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0.365032</w:t>
            </w:r>
          </w:p>
        </w:tc>
      </w:tr>
      <w:tr w:rsidR="008B71EC" w:rsidRPr="008B71EC" w14:paraId="243B8C0B"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286676"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KOR</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EFA758"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20</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F392CB"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43.5</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533596"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0.369273</w:t>
            </w:r>
          </w:p>
        </w:tc>
      </w:tr>
      <w:tr w:rsidR="008B71EC" w:rsidRPr="008B71EC" w14:paraId="2D6D384D"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B783F97"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LVA</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2C432B"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81</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19B51F"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17.5</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461A56"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0.048056</w:t>
            </w:r>
          </w:p>
        </w:tc>
      </w:tr>
      <w:tr w:rsidR="008B71EC" w:rsidRPr="008B71EC" w14:paraId="386C1CF0"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59A65"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LTU</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1D0E5EA"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54</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61117F3"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28.9</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D0AC3B"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0.080789</w:t>
            </w:r>
          </w:p>
        </w:tc>
      </w:tr>
      <w:tr w:rsidR="008B71EC" w:rsidRPr="008B71EC" w14:paraId="6F404D34"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9F044C"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LUX</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749AAC"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64</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E81C4"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8.3</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A50867"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0.065263</w:t>
            </w:r>
          </w:p>
        </w:tc>
      </w:tr>
      <w:tr w:rsidR="008B71EC" w:rsidRPr="008B71EC" w14:paraId="3D1DD369"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DEB26A"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MEX</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A6F3CFC"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48</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837D65"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36.5</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76E4A1B"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0.17365</w:t>
            </w:r>
          </w:p>
        </w:tc>
      </w:tr>
      <w:tr w:rsidR="008B71EC" w:rsidRPr="008B71EC" w14:paraId="1016BA00"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4448AC"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NLD</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2A4CD0C"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45</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5B01AE"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22.8</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95C2C27"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0.264561</w:t>
            </w:r>
          </w:p>
        </w:tc>
      </w:tr>
      <w:tr w:rsidR="008B71EC" w:rsidRPr="008B71EC" w14:paraId="716A55F5"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EA3FB5"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NZL</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9AD4F2"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41</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E85214"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18.3</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A1C75E"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0.068929</w:t>
            </w:r>
          </w:p>
        </w:tc>
      </w:tr>
      <w:tr w:rsidR="008B71EC" w:rsidRPr="008B71EC" w14:paraId="0EB79B1F"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709F1A"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NOR</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6946F1A"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68</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771D4D"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14.3</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ABD92E"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0.086092</w:t>
            </w:r>
          </w:p>
        </w:tc>
      </w:tr>
      <w:tr w:rsidR="008B71EC" w:rsidRPr="008B71EC" w14:paraId="74D98016"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C6ACD5"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POL</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4E1468A"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46</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15BE9D6"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32.1</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E267815"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0.160747</w:t>
            </w:r>
          </w:p>
        </w:tc>
      </w:tr>
      <w:tr w:rsidR="008B71EC" w:rsidRPr="008B71EC" w14:paraId="0B9064B3"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713D09D"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PRT</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37045B"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50</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AEF16D"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26.3</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709852"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0.101793</w:t>
            </w:r>
          </w:p>
        </w:tc>
      </w:tr>
      <w:tr w:rsidR="008B71EC" w:rsidRPr="008B71EC" w14:paraId="760EA4BB"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73D183"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ESP</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F39680E"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39</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59B647"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24.8</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4B2AFCA"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0.17583</w:t>
            </w:r>
          </w:p>
        </w:tc>
      </w:tr>
      <w:tr w:rsidR="008B71EC" w:rsidRPr="008B71EC" w14:paraId="2E4E24C3"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D29DA9"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SWE</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F71C75"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47</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0B99F5"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23.0</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1E23BE"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0.202076</w:t>
            </w:r>
          </w:p>
        </w:tc>
      </w:tr>
      <w:tr w:rsidR="008B71EC" w:rsidRPr="008B71EC" w14:paraId="63773603"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E52688"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CHE</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03F325"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39</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938DB5"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25.8</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B04C99"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0.321819</w:t>
            </w:r>
          </w:p>
        </w:tc>
      </w:tr>
      <w:tr w:rsidR="008B71EC" w:rsidRPr="008B71EC" w14:paraId="0E4CF0B8"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600647"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TUR</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DDC5EE"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34</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3FF2A48"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29.7</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05D86F"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0.128512</w:t>
            </w:r>
          </w:p>
        </w:tc>
      </w:tr>
      <w:tr w:rsidR="008B71EC" w:rsidRPr="008B71EC" w14:paraId="3A14D231"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BB86E1"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GBR</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23CE2"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52</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66718"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14.8</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BDD804"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0.21896</w:t>
            </w:r>
          </w:p>
        </w:tc>
      </w:tr>
      <w:tr w:rsidR="008B71EC" w:rsidRPr="008B71EC" w14:paraId="39AD4FC8" w14:textId="77777777" w:rsidTr="008B71EC">
        <w:tc>
          <w:tcPr>
            <w:tcW w:w="89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D0793E"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USA</w:t>
            </w:r>
          </w:p>
        </w:tc>
        <w:tc>
          <w:tcPr>
            <w:tcW w:w="167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C81864"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29</w:t>
            </w:r>
          </w:p>
        </w:tc>
        <w:tc>
          <w:tcPr>
            <w:tcW w:w="345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25C7823"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17.4</w:t>
            </w:r>
          </w:p>
        </w:tc>
        <w:tc>
          <w:tcPr>
            <w:tcW w:w="299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9BF50" w14:textId="77777777" w:rsidR="008B71EC" w:rsidRPr="008B71EC" w:rsidRDefault="008B71EC" w:rsidP="008B71EC">
            <w:pPr>
              <w:spacing w:after="0" w:line="240" w:lineRule="auto"/>
              <w:rPr>
                <w:rFonts w:ascii="Calibri" w:eastAsia="Times New Roman" w:hAnsi="Calibri" w:cs="Calibri"/>
                <w:lang w:eastAsia="en-AU"/>
              </w:rPr>
            </w:pPr>
            <w:r w:rsidRPr="008B71EC">
              <w:rPr>
                <w:rFonts w:ascii="Calibri" w:eastAsia="Times New Roman" w:hAnsi="Calibri" w:cs="Calibri"/>
                <w:lang w:eastAsia="en-AU"/>
              </w:rPr>
              <w:t>0.365581</w:t>
            </w:r>
          </w:p>
        </w:tc>
      </w:tr>
    </w:tbl>
    <w:p w14:paraId="6B5B3D20" w14:textId="77777777" w:rsidR="008B71EC" w:rsidRDefault="008B71EC">
      <w:pPr>
        <w:pStyle w:val="Heading4"/>
        <w:rPr>
          <w:rFonts w:eastAsia="Times New Roman"/>
          <w:lang w:eastAsia="en-AU"/>
        </w:rPr>
      </w:pPr>
      <w:bookmarkStart w:id="115" w:name="_Chart_3_data"/>
      <w:bookmarkEnd w:id="115"/>
      <w:r>
        <w:t xml:space="preserve">Chart 3 data </w:t>
      </w:r>
      <w:r w:rsidRPr="002556C4">
        <w:t xml:space="preserve">table: </w:t>
      </w:r>
      <w:r w:rsidRPr="002556C4">
        <w:rPr>
          <w:rFonts w:eastAsia="Times New Roman"/>
          <w:lang w:eastAsia="en-AU"/>
        </w:rPr>
        <w:t>Number and proportion of employing business by size – all industries, June 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411"/>
        <w:gridCol w:w="3633"/>
      </w:tblGrid>
      <w:tr w:rsidR="008B71EC" w:rsidRPr="008B71EC" w14:paraId="0DAC1235" w14:textId="77777777" w:rsidTr="00426B8A">
        <w:trPr>
          <w:trHeight w:val="340"/>
          <w:tblHeader/>
        </w:trPr>
        <w:tc>
          <w:tcPr>
            <w:tcW w:w="1648" w:type="pct"/>
            <w:shd w:val="clear" w:color="auto" w:fill="auto"/>
            <w:noWrap/>
            <w:vAlign w:val="bottom"/>
            <w:hideMark/>
          </w:tcPr>
          <w:p w14:paraId="110662C0" w14:textId="77777777" w:rsidR="008B71EC" w:rsidRPr="008B71EC" w:rsidRDefault="008B71EC" w:rsidP="00E4374E">
            <w:pPr>
              <w:shd w:val="clear" w:color="auto" w:fill="FEC0F1" w:themeFill="accent4" w:themeFillTint="33"/>
              <w:spacing w:after="0" w:line="240" w:lineRule="auto"/>
              <w:rPr>
                <w:rFonts w:asciiTheme="majorHAnsi" w:eastAsia="Times New Roman" w:hAnsiTheme="majorHAnsi" w:cstheme="majorHAnsi"/>
                <w:b/>
                <w:bCs/>
                <w:color w:val="000000"/>
                <w:lang w:eastAsia="en-AU"/>
              </w:rPr>
            </w:pPr>
            <w:r w:rsidRPr="008B71EC">
              <w:rPr>
                <w:rFonts w:asciiTheme="majorHAnsi" w:eastAsia="Times New Roman" w:hAnsiTheme="majorHAnsi" w:cstheme="majorHAnsi"/>
                <w:b/>
                <w:bCs/>
                <w:color w:val="000000"/>
                <w:lang w:eastAsia="en-AU"/>
              </w:rPr>
              <w:t>Number of employees</w:t>
            </w:r>
          </w:p>
        </w:tc>
        <w:tc>
          <w:tcPr>
            <w:tcW w:w="1337" w:type="pct"/>
            <w:shd w:val="clear" w:color="auto" w:fill="auto"/>
            <w:noWrap/>
            <w:vAlign w:val="bottom"/>
            <w:hideMark/>
          </w:tcPr>
          <w:p w14:paraId="3D070A76" w14:textId="77777777" w:rsidR="008B71EC" w:rsidRPr="008B71EC" w:rsidRDefault="008B71EC" w:rsidP="00E4374E">
            <w:pPr>
              <w:shd w:val="clear" w:color="auto" w:fill="FEC0F1" w:themeFill="accent4" w:themeFillTint="33"/>
              <w:spacing w:after="0" w:line="240" w:lineRule="auto"/>
              <w:rPr>
                <w:rFonts w:asciiTheme="majorHAnsi" w:eastAsia="Times New Roman" w:hAnsiTheme="majorHAnsi" w:cstheme="majorHAnsi"/>
                <w:b/>
                <w:bCs/>
                <w:color w:val="000000"/>
                <w:lang w:eastAsia="en-AU"/>
              </w:rPr>
            </w:pPr>
            <w:r w:rsidRPr="008B71EC">
              <w:rPr>
                <w:rFonts w:asciiTheme="majorHAnsi" w:eastAsia="Times New Roman" w:hAnsiTheme="majorHAnsi" w:cstheme="majorHAnsi"/>
                <w:b/>
                <w:bCs/>
                <w:color w:val="000000"/>
                <w:lang w:eastAsia="en-AU"/>
              </w:rPr>
              <w:t>Number of businesses</w:t>
            </w:r>
          </w:p>
        </w:tc>
        <w:tc>
          <w:tcPr>
            <w:tcW w:w="2015" w:type="pct"/>
            <w:shd w:val="clear" w:color="auto" w:fill="auto"/>
            <w:vAlign w:val="bottom"/>
          </w:tcPr>
          <w:p w14:paraId="522918DF" w14:textId="77777777" w:rsidR="008B71EC" w:rsidRPr="008B71EC" w:rsidRDefault="008B71EC" w:rsidP="00E4374E">
            <w:pPr>
              <w:shd w:val="clear" w:color="auto" w:fill="FEC0F1" w:themeFill="accent4" w:themeFillTint="33"/>
              <w:spacing w:after="0" w:line="240" w:lineRule="auto"/>
              <w:rPr>
                <w:rFonts w:asciiTheme="majorHAnsi" w:eastAsia="Times New Roman" w:hAnsiTheme="majorHAnsi" w:cstheme="majorHAnsi"/>
                <w:b/>
                <w:bCs/>
                <w:color w:val="000000"/>
                <w:lang w:eastAsia="en-AU"/>
              </w:rPr>
            </w:pPr>
            <w:r w:rsidRPr="008B71EC">
              <w:rPr>
                <w:rFonts w:asciiTheme="majorHAnsi" w:eastAsia="Times New Roman" w:hAnsiTheme="majorHAnsi" w:cstheme="majorHAnsi"/>
                <w:b/>
                <w:bCs/>
                <w:color w:val="000000"/>
                <w:lang w:eastAsia="en-AU"/>
              </w:rPr>
              <w:t>Percentage of businesses</w:t>
            </w:r>
          </w:p>
        </w:tc>
      </w:tr>
      <w:tr w:rsidR="008B71EC" w:rsidRPr="008B71EC" w14:paraId="55C936D6" w14:textId="77777777" w:rsidTr="00426B8A">
        <w:trPr>
          <w:trHeight w:val="340"/>
        </w:trPr>
        <w:tc>
          <w:tcPr>
            <w:tcW w:w="1648" w:type="pct"/>
            <w:shd w:val="clear" w:color="auto" w:fill="auto"/>
            <w:noWrap/>
            <w:vAlign w:val="bottom"/>
            <w:hideMark/>
          </w:tcPr>
          <w:p w14:paraId="1D434403" w14:textId="77777777" w:rsidR="008B71EC" w:rsidRPr="008B71EC" w:rsidRDefault="008B71EC" w:rsidP="00E4374E">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8B71EC">
              <w:rPr>
                <w:rFonts w:asciiTheme="majorHAnsi" w:eastAsia="Times New Roman" w:hAnsiTheme="majorHAnsi" w:cstheme="majorHAnsi"/>
                <w:color w:val="000000"/>
                <w:lang w:eastAsia="en-AU"/>
              </w:rPr>
              <w:t>1–4</w:t>
            </w:r>
          </w:p>
        </w:tc>
        <w:tc>
          <w:tcPr>
            <w:tcW w:w="1337" w:type="pct"/>
            <w:shd w:val="clear" w:color="auto" w:fill="auto"/>
            <w:noWrap/>
            <w:vAlign w:val="bottom"/>
            <w:hideMark/>
          </w:tcPr>
          <w:p w14:paraId="3894E8E1" w14:textId="77777777" w:rsidR="008B71EC" w:rsidRPr="008B71EC" w:rsidRDefault="008B71EC" w:rsidP="00E4374E">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8B71EC">
              <w:rPr>
                <w:rFonts w:asciiTheme="majorHAnsi" w:eastAsia="Times New Roman" w:hAnsiTheme="majorHAnsi" w:cstheme="majorHAnsi"/>
                <w:color w:val="000000"/>
                <w:lang w:eastAsia="en-AU"/>
              </w:rPr>
              <w:t>703,467</w:t>
            </w:r>
          </w:p>
        </w:tc>
        <w:tc>
          <w:tcPr>
            <w:tcW w:w="2015" w:type="pct"/>
            <w:shd w:val="clear" w:color="auto" w:fill="auto"/>
            <w:noWrap/>
            <w:vAlign w:val="bottom"/>
            <w:hideMark/>
          </w:tcPr>
          <w:p w14:paraId="43B6C5A5" w14:textId="77777777" w:rsidR="008B71EC" w:rsidRPr="008B71EC" w:rsidRDefault="008B71EC" w:rsidP="00E4374E">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8B71EC">
              <w:rPr>
                <w:rFonts w:asciiTheme="majorHAnsi" w:eastAsia="Times New Roman" w:hAnsiTheme="majorHAnsi" w:cstheme="majorHAnsi"/>
                <w:color w:val="000000"/>
                <w:lang w:eastAsia="en-AU"/>
              </w:rPr>
              <w:t>70%</w:t>
            </w:r>
          </w:p>
        </w:tc>
      </w:tr>
      <w:tr w:rsidR="008B71EC" w:rsidRPr="008B71EC" w14:paraId="11C28DE9" w14:textId="77777777" w:rsidTr="00426B8A">
        <w:trPr>
          <w:trHeight w:val="340"/>
        </w:trPr>
        <w:tc>
          <w:tcPr>
            <w:tcW w:w="1648" w:type="pct"/>
            <w:shd w:val="clear" w:color="auto" w:fill="auto"/>
            <w:noWrap/>
            <w:vAlign w:val="bottom"/>
            <w:hideMark/>
          </w:tcPr>
          <w:p w14:paraId="23499F2A" w14:textId="77777777" w:rsidR="008B71EC" w:rsidRPr="008B71EC" w:rsidRDefault="008B71EC" w:rsidP="00E4374E">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8B71EC">
              <w:rPr>
                <w:rFonts w:asciiTheme="majorHAnsi" w:eastAsia="Times New Roman" w:hAnsiTheme="majorHAnsi" w:cstheme="majorHAnsi"/>
                <w:color w:val="000000"/>
                <w:lang w:eastAsia="en-AU"/>
              </w:rPr>
              <w:t>5–19</w:t>
            </w:r>
          </w:p>
        </w:tc>
        <w:tc>
          <w:tcPr>
            <w:tcW w:w="1337" w:type="pct"/>
            <w:shd w:val="clear" w:color="auto" w:fill="auto"/>
            <w:noWrap/>
            <w:vAlign w:val="bottom"/>
            <w:hideMark/>
          </w:tcPr>
          <w:p w14:paraId="5A6BC58E" w14:textId="77777777" w:rsidR="008B71EC" w:rsidRPr="008B71EC" w:rsidRDefault="008B71EC" w:rsidP="00E4374E">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8B71EC">
              <w:rPr>
                <w:rFonts w:asciiTheme="majorHAnsi" w:eastAsia="Times New Roman" w:hAnsiTheme="majorHAnsi" w:cstheme="majorHAnsi"/>
                <w:color w:val="000000"/>
                <w:lang w:eastAsia="en-AU"/>
              </w:rPr>
              <w:t>231,259</w:t>
            </w:r>
          </w:p>
        </w:tc>
        <w:tc>
          <w:tcPr>
            <w:tcW w:w="2015" w:type="pct"/>
            <w:shd w:val="clear" w:color="auto" w:fill="auto"/>
            <w:noWrap/>
            <w:vAlign w:val="bottom"/>
            <w:hideMark/>
          </w:tcPr>
          <w:p w14:paraId="7386B45F" w14:textId="77777777" w:rsidR="008B71EC" w:rsidRPr="008B71EC" w:rsidRDefault="008B71EC" w:rsidP="00E4374E">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8B71EC">
              <w:rPr>
                <w:rFonts w:asciiTheme="majorHAnsi" w:eastAsia="Times New Roman" w:hAnsiTheme="majorHAnsi" w:cstheme="majorHAnsi"/>
                <w:color w:val="000000"/>
                <w:lang w:eastAsia="en-AU"/>
              </w:rPr>
              <w:t>23%</w:t>
            </w:r>
          </w:p>
        </w:tc>
      </w:tr>
      <w:tr w:rsidR="008B71EC" w:rsidRPr="008B71EC" w14:paraId="0995BB3A" w14:textId="77777777" w:rsidTr="00426B8A">
        <w:trPr>
          <w:trHeight w:val="340"/>
        </w:trPr>
        <w:tc>
          <w:tcPr>
            <w:tcW w:w="1648" w:type="pct"/>
            <w:shd w:val="clear" w:color="auto" w:fill="auto"/>
            <w:noWrap/>
            <w:vAlign w:val="bottom"/>
            <w:hideMark/>
          </w:tcPr>
          <w:p w14:paraId="6FCADE9C" w14:textId="77777777" w:rsidR="008B71EC" w:rsidRPr="008B71EC" w:rsidRDefault="008B71EC" w:rsidP="00E4374E">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8B71EC">
              <w:rPr>
                <w:rFonts w:asciiTheme="majorHAnsi" w:eastAsia="Times New Roman" w:hAnsiTheme="majorHAnsi" w:cstheme="majorHAnsi"/>
                <w:color w:val="000000"/>
                <w:lang w:eastAsia="en-AU"/>
              </w:rPr>
              <w:t>20–199</w:t>
            </w:r>
          </w:p>
        </w:tc>
        <w:tc>
          <w:tcPr>
            <w:tcW w:w="1337" w:type="pct"/>
            <w:shd w:val="clear" w:color="auto" w:fill="auto"/>
            <w:noWrap/>
            <w:vAlign w:val="bottom"/>
            <w:hideMark/>
          </w:tcPr>
          <w:p w14:paraId="54CB0500" w14:textId="77777777" w:rsidR="008B71EC" w:rsidRPr="008B71EC" w:rsidRDefault="008B71EC" w:rsidP="00E4374E">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8B71EC">
              <w:rPr>
                <w:rFonts w:asciiTheme="majorHAnsi" w:eastAsia="Times New Roman" w:hAnsiTheme="majorHAnsi" w:cstheme="majorHAnsi"/>
                <w:color w:val="000000"/>
                <w:lang w:eastAsia="en-AU"/>
              </w:rPr>
              <w:t>64,559</w:t>
            </w:r>
          </w:p>
        </w:tc>
        <w:tc>
          <w:tcPr>
            <w:tcW w:w="2015" w:type="pct"/>
            <w:shd w:val="clear" w:color="auto" w:fill="auto"/>
            <w:noWrap/>
            <w:vAlign w:val="bottom"/>
            <w:hideMark/>
          </w:tcPr>
          <w:p w14:paraId="0B8BB46F" w14:textId="77777777" w:rsidR="008B71EC" w:rsidRPr="008B71EC" w:rsidRDefault="008B71EC" w:rsidP="00E4374E">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8B71EC">
              <w:rPr>
                <w:rFonts w:asciiTheme="majorHAnsi" w:eastAsia="Times New Roman" w:hAnsiTheme="majorHAnsi" w:cstheme="majorHAnsi"/>
                <w:color w:val="000000"/>
                <w:lang w:eastAsia="en-AU"/>
              </w:rPr>
              <w:t>6%</w:t>
            </w:r>
          </w:p>
        </w:tc>
      </w:tr>
      <w:tr w:rsidR="008B71EC" w:rsidRPr="008B71EC" w14:paraId="07627613" w14:textId="77777777" w:rsidTr="00426B8A">
        <w:trPr>
          <w:trHeight w:val="340"/>
        </w:trPr>
        <w:tc>
          <w:tcPr>
            <w:tcW w:w="1648" w:type="pct"/>
            <w:shd w:val="clear" w:color="auto" w:fill="auto"/>
            <w:noWrap/>
            <w:vAlign w:val="bottom"/>
            <w:hideMark/>
          </w:tcPr>
          <w:p w14:paraId="503C5CB0" w14:textId="77777777" w:rsidR="008B71EC" w:rsidRPr="008B71EC" w:rsidRDefault="008B71EC" w:rsidP="00E4374E">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8B71EC">
              <w:rPr>
                <w:rFonts w:asciiTheme="majorHAnsi" w:eastAsia="Times New Roman" w:hAnsiTheme="majorHAnsi" w:cstheme="majorHAnsi"/>
                <w:color w:val="000000"/>
                <w:lang w:eastAsia="en-AU"/>
              </w:rPr>
              <w:t>200+</w:t>
            </w:r>
          </w:p>
        </w:tc>
        <w:tc>
          <w:tcPr>
            <w:tcW w:w="1337" w:type="pct"/>
            <w:shd w:val="clear" w:color="auto" w:fill="auto"/>
            <w:noWrap/>
            <w:vAlign w:val="bottom"/>
            <w:hideMark/>
          </w:tcPr>
          <w:p w14:paraId="36BCA3C1" w14:textId="77777777" w:rsidR="008B71EC" w:rsidRPr="008B71EC" w:rsidRDefault="008B71EC" w:rsidP="00E4374E">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8B71EC">
              <w:rPr>
                <w:rFonts w:asciiTheme="majorHAnsi" w:eastAsia="Times New Roman" w:hAnsiTheme="majorHAnsi" w:cstheme="majorHAnsi"/>
                <w:color w:val="000000"/>
                <w:lang w:eastAsia="en-AU"/>
              </w:rPr>
              <w:t>4,895</w:t>
            </w:r>
          </w:p>
        </w:tc>
        <w:tc>
          <w:tcPr>
            <w:tcW w:w="2015" w:type="pct"/>
            <w:shd w:val="clear" w:color="auto" w:fill="auto"/>
            <w:noWrap/>
            <w:vAlign w:val="bottom"/>
            <w:hideMark/>
          </w:tcPr>
          <w:p w14:paraId="7DE2F874" w14:textId="77777777" w:rsidR="008B71EC" w:rsidRPr="008B71EC" w:rsidRDefault="008B71EC" w:rsidP="00E4374E">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8B71EC">
              <w:rPr>
                <w:rFonts w:asciiTheme="majorHAnsi" w:eastAsia="Times New Roman" w:hAnsiTheme="majorHAnsi" w:cstheme="majorHAnsi"/>
                <w:color w:val="000000"/>
                <w:lang w:eastAsia="en-AU"/>
              </w:rPr>
              <w:t>0.5%</w:t>
            </w:r>
          </w:p>
        </w:tc>
      </w:tr>
      <w:tr w:rsidR="008B71EC" w:rsidRPr="008B71EC" w14:paraId="0ABC44EB" w14:textId="77777777" w:rsidTr="00426B8A">
        <w:trPr>
          <w:trHeight w:val="340"/>
        </w:trPr>
        <w:tc>
          <w:tcPr>
            <w:tcW w:w="1648" w:type="pct"/>
            <w:shd w:val="clear" w:color="auto" w:fill="auto"/>
            <w:noWrap/>
            <w:vAlign w:val="bottom"/>
            <w:hideMark/>
          </w:tcPr>
          <w:p w14:paraId="67587B29" w14:textId="77777777" w:rsidR="008B71EC" w:rsidRPr="008B71EC" w:rsidRDefault="008B71EC" w:rsidP="00E4374E">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8B71EC">
              <w:rPr>
                <w:rFonts w:asciiTheme="majorHAnsi" w:eastAsia="Times New Roman" w:hAnsiTheme="majorHAnsi" w:cstheme="majorHAnsi"/>
                <w:color w:val="000000"/>
                <w:lang w:eastAsia="en-AU"/>
              </w:rPr>
              <w:t>Total</w:t>
            </w:r>
          </w:p>
        </w:tc>
        <w:tc>
          <w:tcPr>
            <w:tcW w:w="1337" w:type="pct"/>
            <w:shd w:val="clear" w:color="auto" w:fill="auto"/>
            <w:noWrap/>
            <w:vAlign w:val="bottom"/>
            <w:hideMark/>
          </w:tcPr>
          <w:p w14:paraId="4879BFF1" w14:textId="77777777" w:rsidR="008B71EC" w:rsidRPr="008B71EC" w:rsidRDefault="008B71EC" w:rsidP="00E4374E">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8B71EC">
              <w:rPr>
                <w:rFonts w:asciiTheme="majorHAnsi" w:eastAsia="Times New Roman" w:hAnsiTheme="majorHAnsi" w:cstheme="majorHAnsi"/>
                <w:color w:val="000000"/>
                <w:lang w:eastAsia="en-AU"/>
              </w:rPr>
              <w:t>1,004,180</w:t>
            </w:r>
          </w:p>
        </w:tc>
        <w:tc>
          <w:tcPr>
            <w:tcW w:w="2015" w:type="pct"/>
            <w:shd w:val="clear" w:color="auto" w:fill="auto"/>
            <w:noWrap/>
            <w:vAlign w:val="bottom"/>
            <w:hideMark/>
          </w:tcPr>
          <w:p w14:paraId="01C5578C" w14:textId="77777777" w:rsidR="008B71EC" w:rsidRPr="008B71EC" w:rsidRDefault="008B71EC" w:rsidP="00E4374E">
            <w:pPr>
              <w:shd w:val="clear" w:color="auto" w:fill="FEC0F1" w:themeFill="accent4" w:themeFillTint="33"/>
              <w:spacing w:after="0" w:line="240" w:lineRule="auto"/>
              <w:rPr>
                <w:rFonts w:asciiTheme="majorHAnsi" w:eastAsia="Times New Roman" w:hAnsiTheme="majorHAnsi" w:cstheme="majorHAnsi"/>
                <w:color w:val="000000"/>
                <w:lang w:eastAsia="en-AU"/>
              </w:rPr>
            </w:pPr>
            <w:r w:rsidRPr="008B71EC">
              <w:rPr>
                <w:rFonts w:asciiTheme="majorHAnsi" w:eastAsia="Times New Roman" w:hAnsiTheme="majorHAnsi" w:cstheme="majorHAnsi"/>
                <w:color w:val="000000"/>
                <w:lang w:eastAsia="en-AU"/>
              </w:rPr>
              <w:t>100%</w:t>
            </w:r>
          </w:p>
        </w:tc>
      </w:tr>
    </w:tbl>
    <w:p w14:paraId="064D8063" w14:textId="062F38CB" w:rsidR="002556C4" w:rsidRDefault="002556C4">
      <w:pPr>
        <w:pStyle w:val="Heading4"/>
        <w:rPr>
          <w:rFonts w:eastAsia="Times New Roman"/>
          <w:lang w:eastAsia="en-AU"/>
        </w:rPr>
      </w:pPr>
      <w:r>
        <w:t xml:space="preserve">Figure 1 data </w:t>
      </w:r>
      <w:r w:rsidRPr="002556C4">
        <w:t xml:space="preserve">table: </w:t>
      </w:r>
      <w:r w:rsidRPr="002556C4">
        <w:rPr>
          <w:rFonts w:eastAsia="Times New Roman"/>
          <w:lang w:eastAsia="en-AU"/>
        </w:rPr>
        <w:t>Australia’s export complexity in 202</w:t>
      </w:r>
      <w:r w:rsidR="00075BB5">
        <w:rPr>
          <w:rFonts w:eastAsia="Times New Roman"/>
          <w:lang w:eastAsia="en-AU"/>
        </w:rPr>
        <w:t>1</w:t>
      </w:r>
      <w:r w:rsidRPr="002556C4">
        <w:rPr>
          <w:rFonts w:eastAsia="Times New Roman"/>
          <w:lang w:eastAsia="en-AU"/>
        </w:rPr>
        <w:t xml:space="preserve"> </w:t>
      </w:r>
      <w:r>
        <w:rPr>
          <w:rFonts w:eastAsia="Times New Roman"/>
          <w:lang w:eastAsia="en-AU"/>
        </w:rPr>
        <w:t>-</w:t>
      </w:r>
      <w:r w:rsidRPr="002556C4">
        <w:rPr>
          <w:rFonts w:eastAsia="Times New Roman"/>
          <w:lang w:eastAsia="en-AU"/>
        </w:rPr>
        <w:t>- (Economic Complexity Index (ECI) Ranking 93rd of 133)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701"/>
        <w:gridCol w:w="1275"/>
        <w:gridCol w:w="1134"/>
        <w:gridCol w:w="1418"/>
      </w:tblGrid>
      <w:tr w:rsidR="00DD0643" w:rsidRPr="00DD0643" w14:paraId="426887CC" w14:textId="77777777" w:rsidTr="00DD0643">
        <w:trPr>
          <w:trHeight w:val="292"/>
          <w:tblHeader/>
        </w:trPr>
        <w:tc>
          <w:tcPr>
            <w:tcW w:w="3823" w:type="dxa"/>
            <w:shd w:val="clear" w:color="auto" w:fill="DFD6F7" w:themeFill="background1" w:themeFillTint="33"/>
            <w:noWrap/>
            <w:vAlign w:val="bottom"/>
            <w:hideMark/>
          </w:tcPr>
          <w:p w14:paraId="318EB440" w14:textId="77777777" w:rsidR="002556C4" w:rsidRPr="00DD0643" w:rsidRDefault="002556C4" w:rsidP="00DD0643">
            <w:pPr>
              <w:rPr>
                <w:b/>
                <w:bCs/>
              </w:rPr>
            </w:pPr>
            <w:r w:rsidRPr="00DD0643">
              <w:rPr>
                <w:b/>
                <w:bCs/>
              </w:rPr>
              <w:t>Name</w:t>
            </w:r>
          </w:p>
        </w:tc>
        <w:tc>
          <w:tcPr>
            <w:tcW w:w="1701" w:type="dxa"/>
            <w:shd w:val="clear" w:color="auto" w:fill="DFD6F7" w:themeFill="background1" w:themeFillTint="33"/>
            <w:noWrap/>
            <w:vAlign w:val="bottom"/>
            <w:hideMark/>
          </w:tcPr>
          <w:p w14:paraId="4AA5D9CF" w14:textId="77777777" w:rsidR="002556C4" w:rsidRPr="00DD0643" w:rsidRDefault="002556C4" w:rsidP="00F64A4A">
            <w:pPr>
              <w:jc w:val="right"/>
              <w:rPr>
                <w:b/>
                <w:bCs/>
              </w:rPr>
            </w:pPr>
            <w:r w:rsidRPr="00DD0643">
              <w:rPr>
                <w:b/>
                <w:bCs/>
              </w:rPr>
              <w:t>Gross Export</w:t>
            </w:r>
          </w:p>
        </w:tc>
        <w:tc>
          <w:tcPr>
            <w:tcW w:w="1275" w:type="dxa"/>
            <w:shd w:val="clear" w:color="auto" w:fill="DFD6F7" w:themeFill="background1" w:themeFillTint="33"/>
            <w:noWrap/>
            <w:vAlign w:val="bottom"/>
            <w:hideMark/>
          </w:tcPr>
          <w:p w14:paraId="57A1BCE1" w14:textId="77777777" w:rsidR="002556C4" w:rsidRPr="00DD0643" w:rsidRDefault="002556C4" w:rsidP="00F64A4A">
            <w:pPr>
              <w:jc w:val="right"/>
              <w:rPr>
                <w:b/>
                <w:bCs/>
              </w:rPr>
            </w:pPr>
            <w:r w:rsidRPr="00DD0643">
              <w:rPr>
                <w:b/>
                <w:bCs/>
              </w:rPr>
              <w:t>Share</w:t>
            </w:r>
          </w:p>
        </w:tc>
        <w:tc>
          <w:tcPr>
            <w:tcW w:w="1134" w:type="dxa"/>
            <w:shd w:val="clear" w:color="auto" w:fill="DFD6F7" w:themeFill="background1" w:themeFillTint="33"/>
            <w:noWrap/>
            <w:vAlign w:val="bottom"/>
            <w:hideMark/>
          </w:tcPr>
          <w:p w14:paraId="72D7E60B" w14:textId="77777777" w:rsidR="002556C4" w:rsidRPr="00DD0643" w:rsidRDefault="002556C4" w:rsidP="00F64A4A">
            <w:pPr>
              <w:jc w:val="right"/>
              <w:rPr>
                <w:b/>
                <w:bCs/>
              </w:rPr>
            </w:pPr>
            <w:r w:rsidRPr="00DD0643">
              <w:rPr>
                <w:b/>
                <w:bCs/>
              </w:rPr>
              <w:t>Code</w:t>
            </w:r>
          </w:p>
        </w:tc>
        <w:tc>
          <w:tcPr>
            <w:tcW w:w="1418" w:type="dxa"/>
            <w:shd w:val="clear" w:color="auto" w:fill="DFD6F7" w:themeFill="background1" w:themeFillTint="33"/>
            <w:noWrap/>
            <w:vAlign w:val="bottom"/>
            <w:hideMark/>
          </w:tcPr>
          <w:p w14:paraId="5FA119D2" w14:textId="77777777" w:rsidR="002556C4" w:rsidRPr="00DD0643" w:rsidRDefault="002556C4" w:rsidP="00DD0643">
            <w:pPr>
              <w:rPr>
                <w:b/>
                <w:bCs/>
              </w:rPr>
            </w:pPr>
            <w:r w:rsidRPr="00DD0643">
              <w:rPr>
                <w:b/>
                <w:bCs/>
              </w:rPr>
              <w:t>Sector</w:t>
            </w:r>
          </w:p>
        </w:tc>
      </w:tr>
      <w:tr w:rsidR="002556C4" w:rsidRPr="00DD0643" w14:paraId="7B4C2DCF" w14:textId="77777777" w:rsidTr="00426B8A">
        <w:trPr>
          <w:trHeight w:val="292"/>
        </w:trPr>
        <w:tc>
          <w:tcPr>
            <w:tcW w:w="3823" w:type="dxa"/>
            <w:shd w:val="clear" w:color="auto" w:fill="auto"/>
            <w:noWrap/>
            <w:vAlign w:val="bottom"/>
            <w:hideMark/>
          </w:tcPr>
          <w:p w14:paraId="3F2E7646" w14:textId="77777777" w:rsidR="002556C4" w:rsidRPr="00DD0643" w:rsidRDefault="002556C4" w:rsidP="00DD0643">
            <w:r w:rsidRPr="00DD0643">
              <w:t>Iron ores and concentrates</w:t>
            </w:r>
          </w:p>
        </w:tc>
        <w:tc>
          <w:tcPr>
            <w:tcW w:w="1701" w:type="dxa"/>
            <w:shd w:val="clear" w:color="auto" w:fill="auto"/>
            <w:noWrap/>
            <w:vAlign w:val="bottom"/>
            <w:hideMark/>
          </w:tcPr>
          <w:p w14:paraId="747C3B1C" w14:textId="77777777" w:rsidR="002556C4" w:rsidRPr="00DD0643" w:rsidRDefault="002556C4" w:rsidP="00F64A4A">
            <w:pPr>
              <w:jc w:val="right"/>
            </w:pPr>
            <w:r w:rsidRPr="00DD0643">
              <w:t>113998249984</w:t>
            </w:r>
          </w:p>
        </w:tc>
        <w:tc>
          <w:tcPr>
            <w:tcW w:w="1275" w:type="dxa"/>
            <w:shd w:val="clear" w:color="auto" w:fill="auto"/>
            <w:noWrap/>
            <w:vAlign w:val="bottom"/>
            <w:hideMark/>
          </w:tcPr>
          <w:p w14:paraId="5CF49FA6" w14:textId="77777777" w:rsidR="002556C4" w:rsidRPr="00DD0643" w:rsidRDefault="002556C4" w:rsidP="00F64A4A">
            <w:pPr>
              <w:jc w:val="right"/>
            </w:pPr>
            <w:r w:rsidRPr="00DD0643">
              <w:t>29.4943</w:t>
            </w:r>
          </w:p>
        </w:tc>
        <w:tc>
          <w:tcPr>
            <w:tcW w:w="1134" w:type="dxa"/>
            <w:shd w:val="clear" w:color="auto" w:fill="auto"/>
            <w:noWrap/>
            <w:vAlign w:val="bottom"/>
            <w:hideMark/>
          </w:tcPr>
          <w:p w14:paraId="2F9D9486" w14:textId="77777777" w:rsidR="002556C4" w:rsidRPr="00DD0643" w:rsidRDefault="002556C4" w:rsidP="00F64A4A">
            <w:pPr>
              <w:jc w:val="right"/>
            </w:pPr>
            <w:r w:rsidRPr="00DD0643">
              <w:t>2601</w:t>
            </w:r>
          </w:p>
        </w:tc>
        <w:tc>
          <w:tcPr>
            <w:tcW w:w="1418" w:type="dxa"/>
            <w:shd w:val="clear" w:color="auto" w:fill="auto"/>
            <w:noWrap/>
            <w:vAlign w:val="bottom"/>
            <w:hideMark/>
          </w:tcPr>
          <w:p w14:paraId="4B579DC3" w14:textId="77777777" w:rsidR="002556C4" w:rsidRPr="00DD0643" w:rsidRDefault="002556C4" w:rsidP="00DD0643">
            <w:r w:rsidRPr="00DD0643">
              <w:t>Minerals</w:t>
            </w:r>
          </w:p>
        </w:tc>
      </w:tr>
      <w:tr w:rsidR="002556C4" w:rsidRPr="00DD0643" w14:paraId="6FC2C19D" w14:textId="77777777" w:rsidTr="00426B8A">
        <w:trPr>
          <w:trHeight w:val="292"/>
        </w:trPr>
        <w:tc>
          <w:tcPr>
            <w:tcW w:w="3823" w:type="dxa"/>
            <w:shd w:val="clear" w:color="auto" w:fill="auto"/>
            <w:noWrap/>
            <w:vAlign w:val="bottom"/>
            <w:hideMark/>
          </w:tcPr>
          <w:p w14:paraId="34865496" w14:textId="77777777" w:rsidR="002556C4" w:rsidRPr="00DD0643" w:rsidRDefault="002556C4" w:rsidP="00DD0643">
            <w:r w:rsidRPr="00DD0643">
              <w:t>Coal</w:t>
            </w:r>
          </w:p>
        </w:tc>
        <w:tc>
          <w:tcPr>
            <w:tcW w:w="1701" w:type="dxa"/>
            <w:shd w:val="clear" w:color="auto" w:fill="auto"/>
            <w:noWrap/>
            <w:vAlign w:val="bottom"/>
            <w:hideMark/>
          </w:tcPr>
          <w:p w14:paraId="2067D809" w14:textId="77777777" w:rsidR="002556C4" w:rsidRPr="00DD0643" w:rsidRDefault="002556C4" w:rsidP="00F64A4A">
            <w:pPr>
              <w:jc w:val="right"/>
            </w:pPr>
            <w:r w:rsidRPr="00DD0643">
              <w:t>46637690880</w:t>
            </w:r>
          </w:p>
        </w:tc>
        <w:tc>
          <w:tcPr>
            <w:tcW w:w="1275" w:type="dxa"/>
            <w:shd w:val="clear" w:color="auto" w:fill="auto"/>
            <w:noWrap/>
            <w:vAlign w:val="bottom"/>
            <w:hideMark/>
          </w:tcPr>
          <w:p w14:paraId="4AD78711" w14:textId="77777777" w:rsidR="002556C4" w:rsidRPr="00DD0643" w:rsidRDefault="002556C4" w:rsidP="00F64A4A">
            <w:pPr>
              <w:jc w:val="right"/>
            </w:pPr>
            <w:r w:rsidRPr="00DD0643">
              <w:t>12.06638</w:t>
            </w:r>
          </w:p>
        </w:tc>
        <w:tc>
          <w:tcPr>
            <w:tcW w:w="1134" w:type="dxa"/>
            <w:shd w:val="clear" w:color="auto" w:fill="auto"/>
            <w:noWrap/>
            <w:vAlign w:val="bottom"/>
            <w:hideMark/>
          </w:tcPr>
          <w:p w14:paraId="4965810D" w14:textId="77777777" w:rsidR="002556C4" w:rsidRPr="00DD0643" w:rsidRDefault="002556C4" w:rsidP="00F64A4A">
            <w:pPr>
              <w:jc w:val="right"/>
            </w:pPr>
            <w:r w:rsidRPr="00DD0643">
              <w:t>2701</w:t>
            </w:r>
          </w:p>
        </w:tc>
        <w:tc>
          <w:tcPr>
            <w:tcW w:w="1418" w:type="dxa"/>
            <w:shd w:val="clear" w:color="auto" w:fill="auto"/>
            <w:noWrap/>
            <w:vAlign w:val="bottom"/>
            <w:hideMark/>
          </w:tcPr>
          <w:p w14:paraId="56149C73" w14:textId="77777777" w:rsidR="002556C4" w:rsidRPr="00DD0643" w:rsidRDefault="002556C4" w:rsidP="00DD0643">
            <w:r w:rsidRPr="00DD0643">
              <w:t>Minerals</w:t>
            </w:r>
          </w:p>
        </w:tc>
      </w:tr>
      <w:tr w:rsidR="002556C4" w:rsidRPr="00DD0643" w14:paraId="5F7FFF69" w14:textId="77777777" w:rsidTr="00426B8A">
        <w:trPr>
          <w:trHeight w:val="292"/>
        </w:trPr>
        <w:tc>
          <w:tcPr>
            <w:tcW w:w="3823" w:type="dxa"/>
            <w:shd w:val="clear" w:color="auto" w:fill="auto"/>
            <w:noWrap/>
            <w:vAlign w:val="bottom"/>
            <w:hideMark/>
          </w:tcPr>
          <w:p w14:paraId="1D8A9C13" w14:textId="77777777" w:rsidR="002556C4" w:rsidRPr="00DD0643" w:rsidRDefault="002556C4" w:rsidP="00DD0643">
            <w:r w:rsidRPr="00DD0643">
              <w:t>Petroleum gases</w:t>
            </w:r>
          </w:p>
        </w:tc>
        <w:tc>
          <w:tcPr>
            <w:tcW w:w="1701" w:type="dxa"/>
            <w:shd w:val="clear" w:color="auto" w:fill="auto"/>
            <w:noWrap/>
            <w:vAlign w:val="bottom"/>
            <w:hideMark/>
          </w:tcPr>
          <w:p w14:paraId="69923813" w14:textId="77777777" w:rsidR="002556C4" w:rsidRPr="00DD0643" w:rsidRDefault="002556C4" w:rsidP="00F64A4A">
            <w:pPr>
              <w:jc w:val="right"/>
            </w:pPr>
            <w:r w:rsidRPr="00DD0643">
              <w:t>36463124480</w:t>
            </w:r>
          </w:p>
        </w:tc>
        <w:tc>
          <w:tcPr>
            <w:tcW w:w="1275" w:type="dxa"/>
            <w:shd w:val="clear" w:color="auto" w:fill="auto"/>
            <w:noWrap/>
            <w:vAlign w:val="bottom"/>
            <w:hideMark/>
          </w:tcPr>
          <w:p w14:paraId="297E336E" w14:textId="77777777" w:rsidR="002556C4" w:rsidRPr="00DD0643" w:rsidRDefault="002556C4" w:rsidP="00F64A4A">
            <w:pPr>
              <w:jc w:val="right"/>
            </w:pPr>
            <w:r w:rsidRPr="00DD0643">
              <w:t>9.433954</w:t>
            </w:r>
          </w:p>
        </w:tc>
        <w:tc>
          <w:tcPr>
            <w:tcW w:w="1134" w:type="dxa"/>
            <w:shd w:val="clear" w:color="auto" w:fill="auto"/>
            <w:noWrap/>
            <w:vAlign w:val="bottom"/>
            <w:hideMark/>
          </w:tcPr>
          <w:p w14:paraId="6987C678" w14:textId="77777777" w:rsidR="002556C4" w:rsidRPr="00DD0643" w:rsidRDefault="002556C4" w:rsidP="00F64A4A">
            <w:pPr>
              <w:jc w:val="right"/>
            </w:pPr>
            <w:r w:rsidRPr="00DD0643">
              <w:t>2711</w:t>
            </w:r>
          </w:p>
        </w:tc>
        <w:tc>
          <w:tcPr>
            <w:tcW w:w="1418" w:type="dxa"/>
            <w:shd w:val="clear" w:color="auto" w:fill="auto"/>
            <w:noWrap/>
            <w:vAlign w:val="bottom"/>
            <w:hideMark/>
          </w:tcPr>
          <w:p w14:paraId="18D5DCB0" w14:textId="77777777" w:rsidR="002556C4" w:rsidRPr="00DD0643" w:rsidRDefault="002556C4" w:rsidP="00DD0643">
            <w:r w:rsidRPr="00DD0643">
              <w:t>Minerals</w:t>
            </w:r>
          </w:p>
        </w:tc>
      </w:tr>
      <w:tr w:rsidR="002556C4" w:rsidRPr="00DD0643" w14:paraId="28EB1999" w14:textId="77777777" w:rsidTr="00426B8A">
        <w:trPr>
          <w:trHeight w:val="292"/>
        </w:trPr>
        <w:tc>
          <w:tcPr>
            <w:tcW w:w="3823" w:type="dxa"/>
            <w:shd w:val="clear" w:color="auto" w:fill="auto"/>
            <w:noWrap/>
            <w:vAlign w:val="bottom"/>
            <w:hideMark/>
          </w:tcPr>
          <w:p w14:paraId="4C76572E" w14:textId="42CAAD99" w:rsidR="002556C4" w:rsidRPr="00DD0643" w:rsidRDefault="002556C4" w:rsidP="00DD0643">
            <w:r w:rsidRPr="00DD0643">
              <w:t>Information and communications technology (ICT)</w:t>
            </w:r>
          </w:p>
        </w:tc>
        <w:tc>
          <w:tcPr>
            <w:tcW w:w="1701" w:type="dxa"/>
            <w:shd w:val="clear" w:color="auto" w:fill="auto"/>
            <w:noWrap/>
            <w:vAlign w:val="bottom"/>
            <w:hideMark/>
          </w:tcPr>
          <w:p w14:paraId="72FB5919" w14:textId="77777777" w:rsidR="002556C4" w:rsidRPr="00DD0643" w:rsidRDefault="002556C4" w:rsidP="00F64A4A">
            <w:pPr>
              <w:jc w:val="right"/>
            </w:pPr>
            <w:r w:rsidRPr="00DD0643">
              <w:t>20688330752</w:t>
            </w:r>
          </w:p>
        </w:tc>
        <w:tc>
          <w:tcPr>
            <w:tcW w:w="1275" w:type="dxa"/>
            <w:shd w:val="clear" w:color="auto" w:fill="auto"/>
            <w:noWrap/>
            <w:vAlign w:val="bottom"/>
            <w:hideMark/>
          </w:tcPr>
          <w:p w14:paraId="2F9608AC" w14:textId="77777777" w:rsidR="002556C4" w:rsidRPr="00DD0643" w:rsidRDefault="002556C4" w:rsidP="00F64A4A">
            <w:pPr>
              <w:jc w:val="right"/>
            </w:pPr>
            <w:r w:rsidRPr="00DD0643">
              <w:t>5.352607</w:t>
            </w:r>
          </w:p>
        </w:tc>
        <w:tc>
          <w:tcPr>
            <w:tcW w:w="1134" w:type="dxa"/>
            <w:shd w:val="clear" w:color="auto" w:fill="auto"/>
            <w:noWrap/>
            <w:vAlign w:val="bottom"/>
            <w:hideMark/>
          </w:tcPr>
          <w:p w14:paraId="29D77A3D" w14:textId="77777777" w:rsidR="002556C4" w:rsidRPr="00DD0643" w:rsidRDefault="002556C4" w:rsidP="00F64A4A">
            <w:pPr>
              <w:jc w:val="right"/>
            </w:pPr>
            <w:proofErr w:type="spellStart"/>
            <w:r w:rsidRPr="00DD0643">
              <w:t>ict</w:t>
            </w:r>
            <w:proofErr w:type="spellEnd"/>
          </w:p>
        </w:tc>
        <w:tc>
          <w:tcPr>
            <w:tcW w:w="1418" w:type="dxa"/>
            <w:shd w:val="clear" w:color="auto" w:fill="auto"/>
            <w:noWrap/>
            <w:vAlign w:val="bottom"/>
            <w:hideMark/>
          </w:tcPr>
          <w:p w14:paraId="4A794223" w14:textId="77777777" w:rsidR="002556C4" w:rsidRPr="00DD0643" w:rsidRDefault="002556C4" w:rsidP="00DD0643">
            <w:r w:rsidRPr="00DD0643">
              <w:t>Services</w:t>
            </w:r>
          </w:p>
        </w:tc>
      </w:tr>
      <w:tr w:rsidR="002556C4" w:rsidRPr="00DD0643" w14:paraId="2742A694" w14:textId="77777777" w:rsidTr="00426B8A">
        <w:trPr>
          <w:trHeight w:val="292"/>
        </w:trPr>
        <w:tc>
          <w:tcPr>
            <w:tcW w:w="3823" w:type="dxa"/>
            <w:shd w:val="clear" w:color="auto" w:fill="auto"/>
            <w:noWrap/>
            <w:vAlign w:val="bottom"/>
            <w:hideMark/>
          </w:tcPr>
          <w:p w14:paraId="5E41D71A" w14:textId="77777777" w:rsidR="002556C4" w:rsidRPr="00DD0643" w:rsidRDefault="002556C4" w:rsidP="00DD0643">
            <w:r w:rsidRPr="00DD0643">
              <w:t>Gold</w:t>
            </w:r>
          </w:p>
        </w:tc>
        <w:tc>
          <w:tcPr>
            <w:tcW w:w="1701" w:type="dxa"/>
            <w:shd w:val="clear" w:color="auto" w:fill="auto"/>
            <w:noWrap/>
            <w:vAlign w:val="bottom"/>
            <w:hideMark/>
          </w:tcPr>
          <w:p w14:paraId="1EE5D617" w14:textId="77777777" w:rsidR="002556C4" w:rsidRPr="00DD0643" w:rsidRDefault="002556C4" w:rsidP="00F64A4A">
            <w:pPr>
              <w:jc w:val="right"/>
            </w:pPr>
            <w:r w:rsidRPr="00DD0643">
              <w:t>19792369664</w:t>
            </w:r>
          </w:p>
        </w:tc>
        <w:tc>
          <w:tcPr>
            <w:tcW w:w="1275" w:type="dxa"/>
            <w:shd w:val="clear" w:color="auto" w:fill="auto"/>
            <w:noWrap/>
            <w:vAlign w:val="bottom"/>
            <w:hideMark/>
          </w:tcPr>
          <w:p w14:paraId="7252FB6E" w14:textId="77777777" w:rsidR="002556C4" w:rsidRPr="00DD0643" w:rsidRDefault="002556C4" w:rsidP="00F64A4A">
            <w:pPr>
              <w:jc w:val="right"/>
            </w:pPr>
            <w:r w:rsidRPr="00DD0643">
              <w:t>5.120798</w:t>
            </w:r>
          </w:p>
        </w:tc>
        <w:tc>
          <w:tcPr>
            <w:tcW w:w="1134" w:type="dxa"/>
            <w:shd w:val="clear" w:color="auto" w:fill="auto"/>
            <w:noWrap/>
            <w:vAlign w:val="bottom"/>
            <w:hideMark/>
          </w:tcPr>
          <w:p w14:paraId="7484AB4F" w14:textId="77777777" w:rsidR="002556C4" w:rsidRPr="00DD0643" w:rsidRDefault="002556C4" w:rsidP="00F64A4A">
            <w:pPr>
              <w:jc w:val="right"/>
            </w:pPr>
            <w:r w:rsidRPr="00DD0643">
              <w:t>7108</w:t>
            </w:r>
          </w:p>
        </w:tc>
        <w:tc>
          <w:tcPr>
            <w:tcW w:w="1418" w:type="dxa"/>
            <w:shd w:val="clear" w:color="auto" w:fill="auto"/>
            <w:noWrap/>
            <w:vAlign w:val="bottom"/>
            <w:hideMark/>
          </w:tcPr>
          <w:p w14:paraId="20ACFBC0" w14:textId="77777777" w:rsidR="002556C4" w:rsidRPr="00DD0643" w:rsidRDefault="002556C4" w:rsidP="00DD0643">
            <w:r w:rsidRPr="00DD0643">
              <w:t>Stone</w:t>
            </w:r>
          </w:p>
        </w:tc>
      </w:tr>
      <w:tr w:rsidR="002556C4" w:rsidRPr="00DD0643" w14:paraId="345E1284" w14:textId="77777777" w:rsidTr="00426B8A">
        <w:trPr>
          <w:trHeight w:val="292"/>
        </w:trPr>
        <w:tc>
          <w:tcPr>
            <w:tcW w:w="3823" w:type="dxa"/>
            <w:shd w:val="clear" w:color="auto" w:fill="auto"/>
            <w:noWrap/>
            <w:vAlign w:val="bottom"/>
            <w:hideMark/>
          </w:tcPr>
          <w:p w14:paraId="42FD4D96" w14:textId="77777777" w:rsidR="002556C4" w:rsidRPr="00DD0643" w:rsidRDefault="002556C4" w:rsidP="00DD0643">
            <w:r w:rsidRPr="00DD0643">
              <w:t>Travel and tourism</w:t>
            </w:r>
          </w:p>
        </w:tc>
        <w:tc>
          <w:tcPr>
            <w:tcW w:w="1701" w:type="dxa"/>
            <w:shd w:val="clear" w:color="auto" w:fill="auto"/>
            <w:noWrap/>
            <w:vAlign w:val="bottom"/>
            <w:hideMark/>
          </w:tcPr>
          <w:p w14:paraId="0A965AD2" w14:textId="77777777" w:rsidR="002556C4" w:rsidRPr="00DD0643" w:rsidRDefault="002556C4" w:rsidP="00F64A4A">
            <w:pPr>
              <w:jc w:val="right"/>
            </w:pPr>
            <w:r w:rsidRPr="00DD0643">
              <w:t>17062014976</w:t>
            </w:r>
          </w:p>
        </w:tc>
        <w:tc>
          <w:tcPr>
            <w:tcW w:w="1275" w:type="dxa"/>
            <w:shd w:val="clear" w:color="auto" w:fill="auto"/>
            <w:noWrap/>
            <w:vAlign w:val="bottom"/>
            <w:hideMark/>
          </w:tcPr>
          <w:p w14:paraId="4526F046" w14:textId="77777777" w:rsidR="002556C4" w:rsidRPr="00DD0643" w:rsidRDefault="002556C4" w:rsidP="00F64A4A">
            <w:pPr>
              <w:jc w:val="right"/>
            </w:pPr>
            <w:r w:rsidRPr="00DD0643">
              <w:t>4.414385</w:t>
            </w:r>
          </w:p>
        </w:tc>
        <w:tc>
          <w:tcPr>
            <w:tcW w:w="1134" w:type="dxa"/>
            <w:shd w:val="clear" w:color="auto" w:fill="auto"/>
            <w:noWrap/>
            <w:vAlign w:val="bottom"/>
            <w:hideMark/>
          </w:tcPr>
          <w:p w14:paraId="01DC79F0" w14:textId="77777777" w:rsidR="002556C4" w:rsidRPr="00DD0643" w:rsidRDefault="002556C4" w:rsidP="00F64A4A">
            <w:pPr>
              <w:jc w:val="right"/>
            </w:pPr>
            <w:r w:rsidRPr="00DD0643">
              <w:t>travel</w:t>
            </w:r>
          </w:p>
        </w:tc>
        <w:tc>
          <w:tcPr>
            <w:tcW w:w="1418" w:type="dxa"/>
            <w:shd w:val="clear" w:color="auto" w:fill="auto"/>
            <w:noWrap/>
            <w:vAlign w:val="bottom"/>
            <w:hideMark/>
          </w:tcPr>
          <w:p w14:paraId="023E8AC3" w14:textId="77777777" w:rsidR="002556C4" w:rsidRPr="00DD0643" w:rsidRDefault="002556C4" w:rsidP="00DD0643">
            <w:r w:rsidRPr="00DD0643">
              <w:t>Services</w:t>
            </w:r>
          </w:p>
        </w:tc>
      </w:tr>
      <w:tr w:rsidR="002556C4" w:rsidRPr="00DD0643" w14:paraId="0A20F686" w14:textId="77777777" w:rsidTr="00426B8A">
        <w:trPr>
          <w:trHeight w:val="292"/>
        </w:trPr>
        <w:tc>
          <w:tcPr>
            <w:tcW w:w="3823" w:type="dxa"/>
            <w:shd w:val="clear" w:color="auto" w:fill="auto"/>
            <w:noWrap/>
            <w:vAlign w:val="bottom"/>
            <w:hideMark/>
          </w:tcPr>
          <w:p w14:paraId="17F91ADB" w14:textId="77777777" w:rsidR="002556C4" w:rsidRPr="00DD0643" w:rsidRDefault="002556C4" w:rsidP="00DD0643">
            <w:r w:rsidRPr="00DD0643">
              <w:t>Trade data discrepancies</w:t>
            </w:r>
          </w:p>
        </w:tc>
        <w:tc>
          <w:tcPr>
            <w:tcW w:w="1701" w:type="dxa"/>
            <w:shd w:val="clear" w:color="auto" w:fill="auto"/>
            <w:noWrap/>
            <w:vAlign w:val="bottom"/>
            <w:hideMark/>
          </w:tcPr>
          <w:p w14:paraId="4A880BA4" w14:textId="77777777" w:rsidR="002556C4" w:rsidRPr="00DD0643" w:rsidRDefault="002556C4" w:rsidP="00F64A4A">
            <w:pPr>
              <w:jc w:val="right"/>
            </w:pPr>
            <w:r w:rsidRPr="00DD0643">
              <w:t>16132800512</w:t>
            </w:r>
          </w:p>
        </w:tc>
        <w:tc>
          <w:tcPr>
            <w:tcW w:w="1275" w:type="dxa"/>
            <w:shd w:val="clear" w:color="auto" w:fill="auto"/>
            <w:noWrap/>
            <w:vAlign w:val="bottom"/>
            <w:hideMark/>
          </w:tcPr>
          <w:p w14:paraId="60336260" w14:textId="77777777" w:rsidR="002556C4" w:rsidRPr="00DD0643" w:rsidRDefault="002556C4" w:rsidP="00F64A4A">
            <w:pPr>
              <w:jc w:val="right"/>
            </w:pPr>
            <w:r w:rsidRPr="00DD0643">
              <w:t>4.173973</w:t>
            </w:r>
          </w:p>
        </w:tc>
        <w:tc>
          <w:tcPr>
            <w:tcW w:w="1134" w:type="dxa"/>
            <w:shd w:val="clear" w:color="auto" w:fill="auto"/>
            <w:noWrap/>
            <w:vAlign w:val="bottom"/>
            <w:hideMark/>
          </w:tcPr>
          <w:p w14:paraId="2E51E7E0" w14:textId="77777777" w:rsidR="002556C4" w:rsidRPr="00DD0643" w:rsidRDefault="002556C4" w:rsidP="00F64A4A">
            <w:pPr>
              <w:jc w:val="right"/>
            </w:pPr>
            <w:r w:rsidRPr="00DD0643">
              <w:t>XXXX</w:t>
            </w:r>
          </w:p>
        </w:tc>
        <w:tc>
          <w:tcPr>
            <w:tcW w:w="1418" w:type="dxa"/>
            <w:shd w:val="clear" w:color="auto" w:fill="auto"/>
            <w:noWrap/>
            <w:vAlign w:val="bottom"/>
            <w:hideMark/>
          </w:tcPr>
          <w:p w14:paraId="17393E8A" w14:textId="77777777" w:rsidR="002556C4" w:rsidRPr="00DD0643" w:rsidRDefault="002556C4" w:rsidP="00DD0643">
            <w:r w:rsidRPr="00DD0643">
              <w:t>Other</w:t>
            </w:r>
          </w:p>
        </w:tc>
      </w:tr>
      <w:tr w:rsidR="002556C4" w:rsidRPr="00DD0643" w14:paraId="3665C538" w14:textId="77777777" w:rsidTr="00426B8A">
        <w:trPr>
          <w:trHeight w:val="292"/>
        </w:trPr>
        <w:tc>
          <w:tcPr>
            <w:tcW w:w="3823" w:type="dxa"/>
            <w:shd w:val="clear" w:color="auto" w:fill="auto"/>
            <w:noWrap/>
            <w:vAlign w:val="bottom"/>
            <w:hideMark/>
          </w:tcPr>
          <w:p w14:paraId="2D9E239C" w14:textId="77777777" w:rsidR="002556C4" w:rsidRPr="00DD0643" w:rsidRDefault="002556C4" w:rsidP="00DD0643">
            <w:r w:rsidRPr="00DD0643">
              <w:t>Wheat and meslin</w:t>
            </w:r>
          </w:p>
        </w:tc>
        <w:tc>
          <w:tcPr>
            <w:tcW w:w="1701" w:type="dxa"/>
            <w:shd w:val="clear" w:color="auto" w:fill="auto"/>
            <w:noWrap/>
            <w:vAlign w:val="bottom"/>
            <w:hideMark/>
          </w:tcPr>
          <w:p w14:paraId="26C8E29A" w14:textId="77777777" w:rsidR="002556C4" w:rsidRPr="00DD0643" w:rsidRDefault="002556C4" w:rsidP="00F64A4A">
            <w:pPr>
              <w:jc w:val="right"/>
            </w:pPr>
            <w:r w:rsidRPr="00DD0643">
              <w:t>6854480896</w:t>
            </w:r>
          </w:p>
        </w:tc>
        <w:tc>
          <w:tcPr>
            <w:tcW w:w="1275" w:type="dxa"/>
            <w:shd w:val="clear" w:color="auto" w:fill="auto"/>
            <w:noWrap/>
            <w:vAlign w:val="bottom"/>
            <w:hideMark/>
          </w:tcPr>
          <w:p w14:paraId="03A9FA00" w14:textId="77777777" w:rsidR="002556C4" w:rsidRPr="00DD0643" w:rsidRDefault="002556C4" w:rsidP="00F64A4A">
            <w:pPr>
              <w:jc w:val="right"/>
            </w:pPr>
            <w:r w:rsidRPr="00DD0643">
              <w:t>1.773432</w:t>
            </w:r>
          </w:p>
        </w:tc>
        <w:tc>
          <w:tcPr>
            <w:tcW w:w="1134" w:type="dxa"/>
            <w:shd w:val="clear" w:color="auto" w:fill="auto"/>
            <w:noWrap/>
            <w:vAlign w:val="bottom"/>
            <w:hideMark/>
          </w:tcPr>
          <w:p w14:paraId="2AE8937D" w14:textId="77777777" w:rsidR="002556C4" w:rsidRPr="00DD0643" w:rsidRDefault="002556C4" w:rsidP="00F64A4A">
            <w:pPr>
              <w:jc w:val="right"/>
            </w:pPr>
            <w:r w:rsidRPr="00DD0643">
              <w:t>1001</w:t>
            </w:r>
          </w:p>
        </w:tc>
        <w:tc>
          <w:tcPr>
            <w:tcW w:w="1418" w:type="dxa"/>
            <w:shd w:val="clear" w:color="auto" w:fill="auto"/>
            <w:noWrap/>
            <w:vAlign w:val="bottom"/>
            <w:hideMark/>
          </w:tcPr>
          <w:p w14:paraId="376EF2CF" w14:textId="77777777" w:rsidR="002556C4" w:rsidRPr="00DD0643" w:rsidRDefault="002556C4" w:rsidP="00DD0643">
            <w:r w:rsidRPr="00DD0643">
              <w:t>Agriculture</w:t>
            </w:r>
          </w:p>
        </w:tc>
      </w:tr>
      <w:tr w:rsidR="002556C4" w:rsidRPr="00DD0643" w14:paraId="1AC9E27F" w14:textId="77777777" w:rsidTr="00426B8A">
        <w:trPr>
          <w:trHeight w:val="292"/>
        </w:trPr>
        <w:tc>
          <w:tcPr>
            <w:tcW w:w="3823" w:type="dxa"/>
            <w:shd w:val="clear" w:color="auto" w:fill="auto"/>
            <w:noWrap/>
            <w:vAlign w:val="bottom"/>
            <w:hideMark/>
          </w:tcPr>
          <w:p w14:paraId="794BBCE6" w14:textId="77777777" w:rsidR="002556C4" w:rsidRPr="00DD0643" w:rsidRDefault="002556C4" w:rsidP="00DD0643">
            <w:r w:rsidRPr="00DD0643">
              <w:t>Petroleum oils, crude</w:t>
            </w:r>
          </w:p>
        </w:tc>
        <w:tc>
          <w:tcPr>
            <w:tcW w:w="1701" w:type="dxa"/>
            <w:shd w:val="clear" w:color="auto" w:fill="auto"/>
            <w:noWrap/>
            <w:vAlign w:val="bottom"/>
            <w:hideMark/>
          </w:tcPr>
          <w:p w14:paraId="699AAF4D" w14:textId="77777777" w:rsidR="002556C4" w:rsidRPr="00DD0643" w:rsidRDefault="002556C4" w:rsidP="00F64A4A">
            <w:pPr>
              <w:jc w:val="right"/>
            </w:pPr>
            <w:r w:rsidRPr="00DD0643">
              <w:t>4788746752</w:t>
            </w:r>
          </w:p>
        </w:tc>
        <w:tc>
          <w:tcPr>
            <w:tcW w:w="1275" w:type="dxa"/>
            <w:shd w:val="clear" w:color="auto" w:fill="auto"/>
            <w:noWrap/>
            <w:vAlign w:val="bottom"/>
            <w:hideMark/>
          </w:tcPr>
          <w:p w14:paraId="6E43FE9A" w14:textId="77777777" w:rsidR="002556C4" w:rsidRPr="00DD0643" w:rsidRDefault="002556C4" w:rsidP="00F64A4A">
            <w:pPr>
              <w:jc w:val="right"/>
            </w:pPr>
            <w:r w:rsidRPr="00DD0643">
              <w:t>1.238973</w:t>
            </w:r>
          </w:p>
        </w:tc>
        <w:tc>
          <w:tcPr>
            <w:tcW w:w="1134" w:type="dxa"/>
            <w:shd w:val="clear" w:color="auto" w:fill="auto"/>
            <w:noWrap/>
            <w:vAlign w:val="bottom"/>
            <w:hideMark/>
          </w:tcPr>
          <w:p w14:paraId="418B4DC9" w14:textId="77777777" w:rsidR="002556C4" w:rsidRPr="00DD0643" w:rsidRDefault="002556C4" w:rsidP="00F64A4A">
            <w:pPr>
              <w:jc w:val="right"/>
            </w:pPr>
            <w:r w:rsidRPr="00DD0643">
              <w:t>2709</w:t>
            </w:r>
          </w:p>
        </w:tc>
        <w:tc>
          <w:tcPr>
            <w:tcW w:w="1418" w:type="dxa"/>
            <w:shd w:val="clear" w:color="auto" w:fill="auto"/>
            <w:noWrap/>
            <w:vAlign w:val="bottom"/>
            <w:hideMark/>
          </w:tcPr>
          <w:p w14:paraId="1833EAF8" w14:textId="77777777" w:rsidR="002556C4" w:rsidRPr="00DD0643" w:rsidRDefault="002556C4" w:rsidP="00DD0643">
            <w:r w:rsidRPr="00DD0643">
              <w:t>Minerals</w:t>
            </w:r>
          </w:p>
        </w:tc>
      </w:tr>
      <w:tr w:rsidR="002556C4" w:rsidRPr="00DD0643" w14:paraId="0E33C388" w14:textId="77777777" w:rsidTr="00426B8A">
        <w:trPr>
          <w:trHeight w:val="292"/>
        </w:trPr>
        <w:tc>
          <w:tcPr>
            <w:tcW w:w="3823" w:type="dxa"/>
            <w:shd w:val="clear" w:color="auto" w:fill="auto"/>
            <w:noWrap/>
            <w:vAlign w:val="bottom"/>
            <w:hideMark/>
          </w:tcPr>
          <w:p w14:paraId="4E02D0AB" w14:textId="77777777" w:rsidR="002556C4" w:rsidRPr="00DD0643" w:rsidRDefault="002556C4" w:rsidP="00DD0643">
            <w:r w:rsidRPr="00DD0643">
              <w:t>Copper ore</w:t>
            </w:r>
          </w:p>
        </w:tc>
        <w:tc>
          <w:tcPr>
            <w:tcW w:w="1701" w:type="dxa"/>
            <w:shd w:val="clear" w:color="auto" w:fill="auto"/>
            <w:noWrap/>
            <w:vAlign w:val="bottom"/>
            <w:hideMark/>
          </w:tcPr>
          <w:p w14:paraId="5D0C023E" w14:textId="77777777" w:rsidR="002556C4" w:rsidRPr="00DD0643" w:rsidRDefault="002556C4" w:rsidP="00F64A4A">
            <w:pPr>
              <w:jc w:val="right"/>
            </w:pPr>
            <w:r w:rsidRPr="00DD0643">
              <w:t>3959603456</w:t>
            </w:r>
          </w:p>
        </w:tc>
        <w:tc>
          <w:tcPr>
            <w:tcW w:w="1275" w:type="dxa"/>
            <w:shd w:val="clear" w:color="auto" w:fill="auto"/>
            <w:noWrap/>
            <w:vAlign w:val="bottom"/>
            <w:hideMark/>
          </w:tcPr>
          <w:p w14:paraId="30BEE15C" w14:textId="77777777" w:rsidR="002556C4" w:rsidRPr="00DD0643" w:rsidRDefault="002556C4" w:rsidP="00F64A4A">
            <w:pPr>
              <w:jc w:val="right"/>
            </w:pPr>
            <w:r w:rsidRPr="00DD0643">
              <w:t>1.024452</w:t>
            </w:r>
          </w:p>
        </w:tc>
        <w:tc>
          <w:tcPr>
            <w:tcW w:w="1134" w:type="dxa"/>
            <w:shd w:val="clear" w:color="auto" w:fill="auto"/>
            <w:noWrap/>
            <w:vAlign w:val="bottom"/>
            <w:hideMark/>
          </w:tcPr>
          <w:p w14:paraId="25D86249" w14:textId="77777777" w:rsidR="002556C4" w:rsidRPr="00DD0643" w:rsidRDefault="002556C4" w:rsidP="00F64A4A">
            <w:pPr>
              <w:jc w:val="right"/>
            </w:pPr>
            <w:r w:rsidRPr="00DD0643">
              <w:t>2603</w:t>
            </w:r>
          </w:p>
        </w:tc>
        <w:tc>
          <w:tcPr>
            <w:tcW w:w="1418" w:type="dxa"/>
            <w:shd w:val="clear" w:color="auto" w:fill="auto"/>
            <w:noWrap/>
            <w:vAlign w:val="bottom"/>
            <w:hideMark/>
          </w:tcPr>
          <w:p w14:paraId="793F5884" w14:textId="77777777" w:rsidR="002556C4" w:rsidRPr="00DD0643" w:rsidRDefault="002556C4" w:rsidP="00DD0643">
            <w:r w:rsidRPr="00DD0643">
              <w:t>Minerals</w:t>
            </w:r>
          </w:p>
        </w:tc>
      </w:tr>
      <w:tr w:rsidR="002556C4" w:rsidRPr="00DD0643" w14:paraId="7907B381" w14:textId="77777777" w:rsidTr="00426B8A">
        <w:trPr>
          <w:trHeight w:val="292"/>
        </w:trPr>
        <w:tc>
          <w:tcPr>
            <w:tcW w:w="3823" w:type="dxa"/>
            <w:shd w:val="clear" w:color="auto" w:fill="auto"/>
            <w:noWrap/>
            <w:vAlign w:val="bottom"/>
            <w:hideMark/>
          </w:tcPr>
          <w:p w14:paraId="72E0EA61" w14:textId="77777777" w:rsidR="002556C4" w:rsidRPr="00DD0643" w:rsidRDefault="002556C4" w:rsidP="00DD0643">
            <w:r w:rsidRPr="00DD0643">
              <w:t>Insurance and finance</w:t>
            </w:r>
          </w:p>
        </w:tc>
        <w:tc>
          <w:tcPr>
            <w:tcW w:w="1701" w:type="dxa"/>
            <w:shd w:val="clear" w:color="auto" w:fill="auto"/>
            <w:noWrap/>
            <w:vAlign w:val="bottom"/>
            <w:hideMark/>
          </w:tcPr>
          <w:p w14:paraId="398C915C" w14:textId="77777777" w:rsidR="002556C4" w:rsidRPr="00DD0643" w:rsidRDefault="002556C4" w:rsidP="00F64A4A">
            <w:pPr>
              <w:jc w:val="right"/>
            </w:pPr>
            <w:r w:rsidRPr="00DD0643">
              <w:t>3861554176</w:t>
            </w:r>
          </w:p>
        </w:tc>
        <w:tc>
          <w:tcPr>
            <w:tcW w:w="1275" w:type="dxa"/>
            <w:shd w:val="clear" w:color="auto" w:fill="auto"/>
            <w:noWrap/>
            <w:vAlign w:val="bottom"/>
            <w:hideMark/>
          </w:tcPr>
          <w:p w14:paraId="60B155A7" w14:textId="77777777" w:rsidR="002556C4" w:rsidRPr="00DD0643" w:rsidRDefault="002556C4" w:rsidP="00F64A4A">
            <w:pPr>
              <w:jc w:val="right"/>
            </w:pPr>
            <w:r w:rsidRPr="00DD0643">
              <w:t>0.999084</w:t>
            </w:r>
          </w:p>
        </w:tc>
        <w:tc>
          <w:tcPr>
            <w:tcW w:w="1134" w:type="dxa"/>
            <w:shd w:val="clear" w:color="auto" w:fill="auto"/>
            <w:noWrap/>
            <w:vAlign w:val="bottom"/>
            <w:hideMark/>
          </w:tcPr>
          <w:p w14:paraId="0E2FE2B4" w14:textId="77777777" w:rsidR="002556C4" w:rsidRPr="00DD0643" w:rsidRDefault="002556C4" w:rsidP="00F64A4A">
            <w:pPr>
              <w:jc w:val="right"/>
            </w:pPr>
            <w:r w:rsidRPr="00DD0643">
              <w:t>financial</w:t>
            </w:r>
          </w:p>
        </w:tc>
        <w:tc>
          <w:tcPr>
            <w:tcW w:w="1418" w:type="dxa"/>
            <w:shd w:val="clear" w:color="auto" w:fill="auto"/>
            <w:noWrap/>
            <w:vAlign w:val="bottom"/>
            <w:hideMark/>
          </w:tcPr>
          <w:p w14:paraId="5E18D09B" w14:textId="77777777" w:rsidR="002556C4" w:rsidRPr="00DD0643" w:rsidRDefault="002556C4" w:rsidP="00DD0643">
            <w:r w:rsidRPr="00DD0643">
              <w:t>Services</w:t>
            </w:r>
          </w:p>
        </w:tc>
      </w:tr>
      <w:tr w:rsidR="002556C4" w:rsidRPr="00DD0643" w14:paraId="58EDA6FD" w14:textId="77777777" w:rsidTr="00426B8A">
        <w:trPr>
          <w:trHeight w:val="292"/>
        </w:trPr>
        <w:tc>
          <w:tcPr>
            <w:tcW w:w="3823" w:type="dxa"/>
            <w:shd w:val="clear" w:color="auto" w:fill="auto"/>
            <w:noWrap/>
            <w:vAlign w:val="bottom"/>
            <w:hideMark/>
          </w:tcPr>
          <w:p w14:paraId="377E5CF7" w14:textId="77777777" w:rsidR="002556C4" w:rsidRPr="00DD0643" w:rsidRDefault="002556C4" w:rsidP="00DD0643">
            <w:r w:rsidRPr="00DD0643">
              <w:t>Beef (frozen)</w:t>
            </w:r>
          </w:p>
        </w:tc>
        <w:tc>
          <w:tcPr>
            <w:tcW w:w="1701" w:type="dxa"/>
            <w:shd w:val="clear" w:color="auto" w:fill="auto"/>
            <w:noWrap/>
            <w:vAlign w:val="bottom"/>
            <w:hideMark/>
          </w:tcPr>
          <w:p w14:paraId="05C14860" w14:textId="77777777" w:rsidR="002556C4" w:rsidRPr="00DD0643" w:rsidRDefault="002556C4" w:rsidP="00F64A4A">
            <w:pPr>
              <w:jc w:val="right"/>
            </w:pPr>
            <w:r w:rsidRPr="00DD0643">
              <w:t>3498464768</w:t>
            </w:r>
          </w:p>
        </w:tc>
        <w:tc>
          <w:tcPr>
            <w:tcW w:w="1275" w:type="dxa"/>
            <w:shd w:val="clear" w:color="auto" w:fill="auto"/>
            <w:noWrap/>
            <w:vAlign w:val="bottom"/>
            <w:hideMark/>
          </w:tcPr>
          <w:p w14:paraId="630239C7" w14:textId="77777777" w:rsidR="002556C4" w:rsidRPr="00DD0643" w:rsidRDefault="002556C4" w:rsidP="00F64A4A">
            <w:pPr>
              <w:jc w:val="right"/>
            </w:pPr>
            <w:r w:rsidRPr="00DD0643">
              <w:t>0.905143</w:t>
            </w:r>
          </w:p>
        </w:tc>
        <w:tc>
          <w:tcPr>
            <w:tcW w:w="1134" w:type="dxa"/>
            <w:shd w:val="clear" w:color="auto" w:fill="auto"/>
            <w:noWrap/>
            <w:vAlign w:val="bottom"/>
            <w:hideMark/>
          </w:tcPr>
          <w:p w14:paraId="676F7C41" w14:textId="77777777" w:rsidR="002556C4" w:rsidRPr="00DD0643" w:rsidRDefault="002556C4" w:rsidP="00F64A4A">
            <w:pPr>
              <w:jc w:val="right"/>
            </w:pPr>
            <w:r w:rsidRPr="00DD0643">
              <w:t>202</w:t>
            </w:r>
          </w:p>
        </w:tc>
        <w:tc>
          <w:tcPr>
            <w:tcW w:w="1418" w:type="dxa"/>
            <w:shd w:val="clear" w:color="auto" w:fill="auto"/>
            <w:noWrap/>
            <w:vAlign w:val="bottom"/>
            <w:hideMark/>
          </w:tcPr>
          <w:p w14:paraId="3AFEB835" w14:textId="77777777" w:rsidR="002556C4" w:rsidRPr="00DD0643" w:rsidRDefault="002556C4" w:rsidP="00DD0643">
            <w:r w:rsidRPr="00DD0643">
              <w:t>Agriculture</w:t>
            </w:r>
          </w:p>
        </w:tc>
      </w:tr>
      <w:tr w:rsidR="002556C4" w:rsidRPr="00DD0643" w14:paraId="4B3D5D7E" w14:textId="77777777" w:rsidTr="00426B8A">
        <w:trPr>
          <w:trHeight w:val="292"/>
        </w:trPr>
        <w:tc>
          <w:tcPr>
            <w:tcW w:w="3823" w:type="dxa"/>
            <w:shd w:val="clear" w:color="auto" w:fill="auto"/>
            <w:noWrap/>
            <w:vAlign w:val="bottom"/>
            <w:hideMark/>
          </w:tcPr>
          <w:p w14:paraId="302C1AAB" w14:textId="77777777" w:rsidR="002556C4" w:rsidRPr="00DD0643" w:rsidRDefault="002556C4" w:rsidP="00DD0643">
            <w:r w:rsidRPr="00DD0643">
              <w:t>Unwrought aluminium</w:t>
            </w:r>
          </w:p>
        </w:tc>
        <w:tc>
          <w:tcPr>
            <w:tcW w:w="1701" w:type="dxa"/>
            <w:shd w:val="clear" w:color="auto" w:fill="auto"/>
            <w:noWrap/>
            <w:vAlign w:val="bottom"/>
            <w:hideMark/>
          </w:tcPr>
          <w:p w14:paraId="2707D509" w14:textId="77777777" w:rsidR="002556C4" w:rsidRPr="00DD0643" w:rsidRDefault="002556C4" w:rsidP="00F64A4A">
            <w:pPr>
              <w:jc w:val="right"/>
            </w:pPr>
            <w:r w:rsidRPr="00DD0643">
              <w:t>3172626688</w:t>
            </w:r>
          </w:p>
        </w:tc>
        <w:tc>
          <w:tcPr>
            <w:tcW w:w="1275" w:type="dxa"/>
            <w:shd w:val="clear" w:color="auto" w:fill="auto"/>
            <w:noWrap/>
            <w:vAlign w:val="bottom"/>
            <w:hideMark/>
          </w:tcPr>
          <w:p w14:paraId="7284759C" w14:textId="77777777" w:rsidR="002556C4" w:rsidRPr="00DD0643" w:rsidRDefault="002556C4" w:rsidP="00F64A4A">
            <w:pPr>
              <w:jc w:val="right"/>
            </w:pPr>
            <w:r w:rsidRPr="00DD0643">
              <w:t>0.820841</w:t>
            </w:r>
          </w:p>
        </w:tc>
        <w:tc>
          <w:tcPr>
            <w:tcW w:w="1134" w:type="dxa"/>
            <w:shd w:val="clear" w:color="auto" w:fill="auto"/>
            <w:noWrap/>
            <w:vAlign w:val="bottom"/>
            <w:hideMark/>
          </w:tcPr>
          <w:p w14:paraId="5EA0DC7A" w14:textId="77777777" w:rsidR="002556C4" w:rsidRPr="00DD0643" w:rsidRDefault="002556C4" w:rsidP="00F64A4A">
            <w:pPr>
              <w:jc w:val="right"/>
            </w:pPr>
            <w:r w:rsidRPr="00DD0643">
              <w:t>7601</w:t>
            </w:r>
          </w:p>
        </w:tc>
        <w:tc>
          <w:tcPr>
            <w:tcW w:w="1418" w:type="dxa"/>
            <w:shd w:val="clear" w:color="auto" w:fill="auto"/>
            <w:noWrap/>
            <w:vAlign w:val="bottom"/>
            <w:hideMark/>
          </w:tcPr>
          <w:p w14:paraId="5C37296F" w14:textId="77777777" w:rsidR="002556C4" w:rsidRPr="00DD0643" w:rsidRDefault="002556C4" w:rsidP="00DD0643">
            <w:r w:rsidRPr="00DD0643">
              <w:t>Metals</w:t>
            </w:r>
          </w:p>
        </w:tc>
      </w:tr>
      <w:tr w:rsidR="002556C4" w:rsidRPr="00DD0643" w14:paraId="35E347AC" w14:textId="77777777" w:rsidTr="00426B8A">
        <w:trPr>
          <w:trHeight w:val="292"/>
        </w:trPr>
        <w:tc>
          <w:tcPr>
            <w:tcW w:w="3823" w:type="dxa"/>
            <w:shd w:val="clear" w:color="auto" w:fill="auto"/>
            <w:noWrap/>
            <w:vAlign w:val="bottom"/>
            <w:hideMark/>
          </w:tcPr>
          <w:p w14:paraId="0C388045" w14:textId="77777777" w:rsidR="002556C4" w:rsidRPr="00DD0643" w:rsidRDefault="002556C4" w:rsidP="00DD0643">
            <w:r w:rsidRPr="00DD0643">
              <w:t>Nickel unwrought</w:t>
            </w:r>
          </w:p>
        </w:tc>
        <w:tc>
          <w:tcPr>
            <w:tcW w:w="1701" w:type="dxa"/>
            <w:shd w:val="clear" w:color="auto" w:fill="auto"/>
            <w:noWrap/>
            <w:vAlign w:val="bottom"/>
            <w:hideMark/>
          </w:tcPr>
          <w:p w14:paraId="6E9D9435" w14:textId="77777777" w:rsidR="002556C4" w:rsidRPr="00DD0643" w:rsidRDefault="002556C4" w:rsidP="00F64A4A">
            <w:pPr>
              <w:jc w:val="right"/>
            </w:pPr>
            <w:r w:rsidRPr="00DD0643">
              <w:t>3151017472</w:t>
            </w:r>
          </w:p>
        </w:tc>
        <w:tc>
          <w:tcPr>
            <w:tcW w:w="1275" w:type="dxa"/>
            <w:shd w:val="clear" w:color="auto" w:fill="auto"/>
            <w:noWrap/>
            <w:vAlign w:val="bottom"/>
            <w:hideMark/>
          </w:tcPr>
          <w:p w14:paraId="2E4B977C" w14:textId="77777777" w:rsidR="002556C4" w:rsidRPr="00DD0643" w:rsidRDefault="002556C4" w:rsidP="00F64A4A">
            <w:pPr>
              <w:jc w:val="right"/>
            </w:pPr>
            <w:r w:rsidRPr="00DD0643">
              <w:t>0.81525</w:t>
            </w:r>
          </w:p>
        </w:tc>
        <w:tc>
          <w:tcPr>
            <w:tcW w:w="1134" w:type="dxa"/>
            <w:shd w:val="clear" w:color="auto" w:fill="auto"/>
            <w:noWrap/>
            <w:vAlign w:val="bottom"/>
            <w:hideMark/>
          </w:tcPr>
          <w:p w14:paraId="24FF4EFC" w14:textId="77777777" w:rsidR="002556C4" w:rsidRPr="00DD0643" w:rsidRDefault="002556C4" w:rsidP="00F64A4A">
            <w:pPr>
              <w:jc w:val="right"/>
            </w:pPr>
            <w:r w:rsidRPr="00DD0643">
              <w:t>7502</w:t>
            </w:r>
          </w:p>
        </w:tc>
        <w:tc>
          <w:tcPr>
            <w:tcW w:w="1418" w:type="dxa"/>
            <w:shd w:val="clear" w:color="auto" w:fill="auto"/>
            <w:noWrap/>
            <w:vAlign w:val="bottom"/>
            <w:hideMark/>
          </w:tcPr>
          <w:p w14:paraId="7185D257" w14:textId="77777777" w:rsidR="002556C4" w:rsidRPr="00DD0643" w:rsidRDefault="002556C4" w:rsidP="00DD0643">
            <w:r w:rsidRPr="00DD0643">
              <w:t>Metals</w:t>
            </w:r>
          </w:p>
        </w:tc>
      </w:tr>
      <w:tr w:rsidR="002556C4" w:rsidRPr="00DD0643" w14:paraId="06EE1159" w14:textId="77777777" w:rsidTr="00426B8A">
        <w:trPr>
          <w:trHeight w:val="292"/>
        </w:trPr>
        <w:tc>
          <w:tcPr>
            <w:tcW w:w="3823" w:type="dxa"/>
            <w:shd w:val="clear" w:color="auto" w:fill="auto"/>
            <w:noWrap/>
            <w:vAlign w:val="bottom"/>
            <w:hideMark/>
          </w:tcPr>
          <w:p w14:paraId="6B4152E5" w14:textId="77777777" w:rsidR="002556C4" w:rsidRPr="00DD0643" w:rsidRDefault="002556C4" w:rsidP="00DD0643">
            <w:r w:rsidRPr="00DD0643">
              <w:t>Refined copper and copper alloys</w:t>
            </w:r>
          </w:p>
        </w:tc>
        <w:tc>
          <w:tcPr>
            <w:tcW w:w="1701" w:type="dxa"/>
            <w:shd w:val="clear" w:color="auto" w:fill="auto"/>
            <w:noWrap/>
            <w:vAlign w:val="bottom"/>
            <w:hideMark/>
          </w:tcPr>
          <w:p w14:paraId="44160AFC" w14:textId="77777777" w:rsidR="002556C4" w:rsidRPr="00DD0643" w:rsidRDefault="002556C4" w:rsidP="00F64A4A">
            <w:pPr>
              <w:jc w:val="right"/>
            </w:pPr>
            <w:r w:rsidRPr="00DD0643">
              <w:t>3009787904</w:t>
            </w:r>
          </w:p>
        </w:tc>
        <w:tc>
          <w:tcPr>
            <w:tcW w:w="1275" w:type="dxa"/>
            <w:shd w:val="clear" w:color="auto" w:fill="auto"/>
            <w:noWrap/>
            <w:vAlign w:val="bottom"/>
            <w:hideMark/>
          </w:tcPr>
          <w:p w14:paraId="1CB03FB0" w14:textId="77777777" w:rsidR="002556C4" w:rsidRPr="00DD0643" w:rsidRDefault="002556C4" w:rsidP="00F64A4A">
            <w:pPr>
              <w:jc w:val="right"/>
            </w:pPr>
            <w:r w:rsidRPr="00DD0643">
              <w:t>0.77871</w:t>
            </w:r>
          </w:p>
        </w:tc>
        <w:tc>
          <w:tcPr>
            <w:tcW w:w="1134" w:type="dxa"/>
            <w:shd w:val="clear" w:color="auto" w:fill="auto"/>
            <w:noWrap/>
            <w:vAlign w:val="bottom"/>
            <w:hideMark/>
          </w:tcPr>
          <w:p w14:paraId="30880A1F" w14:textId="77777777" w:rsidR="002556C4" w:rsidRPr="00DD0643" w:rsidRDefault="002556C4" w:rsidP="00F64A4A">
            <w:pPr>
              <w:jc w:val="right"/>
            </w:pPr>
            <w:r w:rsidRPr="00DD0643">
              <w:t>7403</w:t>
            </w:r>
          </w:p>
        </w:tc>
        <w:tc>
          <w:tcPr>
            <w:tcW w:w="1418" w:type="dxa"/>
            <w:shd w:val="clear" w:color="auto" w:fill="auto"/>
            <w:noWrap/>
            <w:vAlign w:val="bottom"/>
            <w:hideMark/>
          </w:tcPr>
          <w:p w14:paraId="6DF9102A" w14:textId="77777777" w:rsidR="002556C4" w:rsidRPr="00DD0643" w:rsidRDefault="002556C4" w:rsidP="00DD0643">
            <w:r w:rsidRPr="00DD0643">
              <w:t>Metals</w:t>
            </w:r>
          </w:p>
        </w:tc>
      </w:tr>
      <w:tr w:rsidR="002556C4" w:rsidRPr="00DD0643" w14:paraId="3A5EA211" w14:textId="77777777" w:rsidTr="00426B8A">
        <w:trPr>
          <w:trHeight w:val="292"/>
        </w:trPr>
        <w:tc>
          <w:tcPr>
            <w:tcW w:w="3823" w:type="dxa"/>
            <w:shd w:val="clear" w:color="auto" w:fill="auto"/>
            <w:noWrap/>
            <w:vAlign w:val="bottom"/>
            <w:hideMark/>
          </w:tcPr>
          <w:p w14:paraId="761C40FF" w14:textId="77777777" w:rsidR="002556C4" w:rsidRPr="00DD0643" w:rsidRDefault="002556C4" w:rsidP="00DD0643">
            <w:r w:rsidRPr="00DD0643">
              <w:t>Lamb</w:t>
            </w:r>
          </w:p>
        </w:tc>
        <w:tc>
          <w:tcPr>
            <w:tcW w:w="1701" w:type="dxa"/>
            <w:shd w:val="clear" w:color="auto" w:fill="auto"/>
            <w:noWrap/>
            <w:vAlign w:val="bottom"/>
            <w:hideMark/>
          </w:tcPr>
          <w:p w14:paraId="34F66349" w14:textId="77777777" w:rsidR="002556C4" w:rsidRPr="00DD0643" w:rsidRDefault="002556C4" w:rsidP="00F64A4A">
            <w:pPr>
              <w:jc w:val="right"/>
            </w:pPr>
            <w:r w:rsidRPr="00DD0643">
              <w:t>2989395200</w:t>
            </w:r>
          </w:p>
        </w:tc>
        <w:tc>
          <w:tcPr>
            <w:tcW w:w="1275" w:type="dxa"/>
            <w:shd w:val="clear" w:color="auto" w:fill="auto"/>
            <w:noWrap/>
            <w:vAlign w:val="bottom"/>
            <w:hideMark/>
          </w:tcPr>
          <w:p w14:paraId="6B4BA9AE" w14:textId="77777777" w:rsidR="002556C4" w:rsidRPr="00DD0643" w:rsidRDefault="002556C4" w:rsidP="00F64A4A">
            <w:pPr>
              <w:jc w:val="right"/>
            </w:pPr>
            <w:r w:rsidRPr="00DD0643">
              <w:t>0.773434</w:t>
            </w:r>
          </w:p>
        </w:tc>
        <w:tc>
          <w:tcPr>
            <w:tcW w:w="1134" w:type="dxa"/>
            <w:shd w:val="clear" w:color="auto" w:fill="auto"/>
            <w:noWrap/>
            <w:vAlign w:val="bottom"/>
            <w:hideMark/>
          </w:tcPr>
          <w:p w14:paraId="50B960F6" w14:textId="77777777" w:rsidR="002556C4" w:rsidRPr="00DD0643" w:rsidRDefault="002556C4" w:rsidP="00F64A4A">
            <w:pPr>
              <w:jc w:val="right"/>
            </w:pPr>
            <w:r w:rsidRPr="00DD0643">
              <w:t>204</w:t>
            </w:r>
          </w:p>
        </w:tc>
        <w:tc>
          <w:tcPr>
            <w:tcW w:w="1418" w:type="dxa"/>
            <w:shd w:val="clear" w:color="auto" w:fill="auto"/>
            <w:noWrap/>
            <w:vAlign w:val="bottom"/>
            <w:hideMark/>
          </w:tcPr>
          <w:p w14:paraId="72C994CE" w14:textId="77777777" w:rsidR="002556C4" w:rsidRPr="00DD0643" w:rsidRDefault="002556C4" w:rsidP="00DD0643">
            <w:r w:rsidRPr="00DD0643">
              <w:t>Agriculture</w:t>
            </w:r>
          </w:p>
        </w:tc>
      </w:tr>
      <w:tr w:rsidR="002556C4" w:rsidRPr="00DD0643" w14:paraId="4079D807" w14:textId="77777777" w:rsidTr="00426B8A">
        <w:trPr>
          <w:trHeight w:val="292"/>
        </w:trPr>
        <w:tc>
          <w:tcPr>
            <w:tcW w:w="3823" w:type="dxa"/>
            <w:shd w:val="clear" w:color="auto" w:fill="auto"/>
            <w:noWrap/>
            <w:vAlign w:val="bottom"/>
            <w:hideMark/>
          </w:tcPr>
          <w:p w14:paraId="5B7C2A22" w14:textId="77777777" w:rsidR="002556C4" w:rsidRPr="00DD0643" w:rsidRDefault="002556C4" w:rsidP="00DD0643">
            <w:r w:rsidRPr="00DD0643">
              <w:t>Transport</w:t>
            </w:r>
          </w:p>
        </w:tc>
        <w:tc>
          <w:tcPr>
            <w:tcW w:w="1701" w:type="dxa"/>
            <w:shd w:val="clear" w:color="auto" w:fill="auto"/>
            <w:noWrap/>
            <w:vAlign w:val="bottom"/>
            <w:hideMark/>
          </w:tcPr>
          <w:p w14:paraId="456950E3" w14:textId="77777777" w:rsidR="002556C4" w:rsidRPr="00DD0643" w:rsidRDefault="002556C4" w:rsidP="00F64A4A">
            <w:pPr>
              <w:jc w:val="right"/>
            </w:pPr>
            <w:r w:rsidRPr="00DD0643">
              <w:t>2861913600</w:t>
            </w:r>
          </w:p>
        </w:tc>
        <w:tc>
          <w:tcPr>
            <w:tcW w:w="1275" w:type="dxa"/>
            <w:shd w:val="clear" w:color="auto" w:fill="auto"/>
            <w:noWrap/>
            <w:vAlign w:val="bottom"/>
            <w:hideMark/>
          </w:tcPr>
          <w:p w14:paraId="7450FBF0" w14:textId="77777777" w:rsidR="002556C4" w:rsidRPr="00DD0643" w:rsidRDefault="002556C4" w:rsidP="00F64A4A">
            <w:pPr>
              <w:jc w:val="right"/>
            </w:pPr>
            <w:r w:rsidRPr="00DD0643">
              <w:t>0.740451</w:t>
            </w:r>
          </w:p>
        </w:tc>
        <w:tc>
          <w:tcPr>
            <w:tcW w:w="1134" w:type="dxa"/>
            <w:shd w:val="clear" w:color="auto" w:fill="auto"/>
            <w:noWrap/>
            <w:vAlign w:val="bottom"/>
            <w:hideMark/>
          </w:tcPr>
          <w:p w14:paraId="61DE2078" w14:textId="77777777" w:rsidR="002556C4" w:rsidRPr="00DD0643" w:rsidRDefault="002556C4" w:rsidP="00F64A4A">
            <w:pPr>
              <w:jc w:val="right"/>
            </w:pPr>
            <w:r w:rsidRPr="00DD0643">
              <w:t>transport</w:t>
            </w:r>
          </w:p>
        </w:tc>
        <w:tc>
          <w:tcPr>
            <w:tcW w:w="1418" w:type="dxa"/>
            <w:shd w:val="clear" w:color="auto" w:fill="auto"/>
            <w:noWrap/>
            <w:vAlign w:val="bottom"/>
            <w:hideMark/>
          </w:tcPr>
          <w:p w14:paraId="21908638" w14:textId="77777777" w:rsidR="002556C4" w:rsidRPr="00DD0643" w:rsidRDefault="002556C4" w:rsidP="00DD0643">
            <w:r w:rsidRPr="00DD0643">
              <w:t>Services</w:t>
            </w:r>
          </w:p>
        </w:tc>
      </w:tr>
      <w:tr w:rsidR="002556C4" w:rsidRPr="00DD0643" w14:paraId="5B3E5F49" w14:textId="77777777" w:rsidTr="00426B8A">
        <w:trPr>
          <w:trHeight w:val="292"/>
        </w:trPr>
        <w:tc>
          <w:tcPr>
            <w:tcW w:w="3823" w:type="dxa"/>
            <w:shd w:val="clear" w:color="auto" w:fill="auto"/>
            <w:noWrap/>
            <w:vAlign w:val="bottom"/>
            <w:hideMark/>
          </w:tcPr>
          <w:p w14:paraId="1D615B8A" w14:textId="77777777" w:rsidR="002556C4" w:rsidRPr="00DD0643" w:rsidRDefault="002556C4" w:rsidP="00DD0643">
            <w:r w:rsidRPr="00DD0643">
              <w:t>Aluminium oxide</w:t>
            </w:r>
          </w:p>
        </w:tc>
        <w:tc>
          <w:tcPr>
            <w:tcW w:w="1701" w:type="dxa"/>
            <w:shd w:val="clear" w:color="auto" w:fill="auto"/>
            <w:noWrap/>
            <w:vAlign w:val="bottom"/>
            <w:hideMark/>
          </w:tcPr>
          <w:p w14:paraId="3B016C30" w14:textId="77777777" w:rsidR="002556C4" w:rsidRPr="00DD0643" w:rsidRDefault="002556C4" w:rsidP="00F64A4A">
            <w:pPr>
              <w:jc w:val="right"/>
            </w:pPr>
            <w:r w:rsidRPr="00DD0643">
              <w:t>2767806464</w:t>
            </w:r>
          </w:p>
        </w:tc>
        <w:tc>
          <w:tcPr>
            <w:tcW w:w="1275" w:type="dxa"/>
            <w:shd w:val="clear" w:color="auto" w:fill="auto"/>
            <w:noWrap/>
            <w:vAlign w:val="bottom"/>
            <w:hideMark/>
          </w:tcPr>
          <w:p w14:paraId="40A049F9" w14:textId="77777777" w:rsidR="002556C4" w:rsidRPr="00DD0643" w:rsidRDefault="002556C4" w:rsidP="00F64A4A">
            <w:pPr>
              <w:jc w:val="right"/>
            </w:pPr>
            <w:r w:rsidRPr="00DD0643">
              <w:t>0.716103</w:t>
            </w:r>
          </w:p>
        </w:tc>
        <w:tc>
          <w:tcPr>
            <w:tcW w:w="1134" w:type="dxa"/>
            <w:shd w:val="clear" w:color="auto" w:fill="auto"/>
            <w:noWrap/>
            <w:vAlign w:val="bottom"/>
            <w:hideMark/>
          </w:tcPr>
          <w:p w14:paraId="6042BBCF" w14:textId="77777777" w:rsidR="002556C4" w:rsidRPr="00DD0643" w:rsidRDefault="002556C4" w:rsidP="00F64A4A">
            <w:pPr>
              <w:jc w:val="right"/>
            </w:pPr>
            <w:r w:rsidRPr="00DD0643">
              <w:t>2818</w:t>
            </w:r>
          </w:p>
        </w:tc>
        <w:tc>
          <w:tcPr>
            <w:tcW w:w="1418" w:type="dxa"/>
            <w:shd w:val="clear" w:color="auto" w:fill="auto"/>
            <w:noWrap/>
            <w:vAlign w:val="bottom"/>
            <w:hideMark/>
          </w:tcPr>
          <w:p w14:paraId="7B2BD2AE" w14:textId="77777777" w:rsidR="002556C4" w:rsidRPr="00DD0643" w:rsidRDefault="002556C4" w:rsidP="00DD0643">
            <w:r w:rsidRPr="00DD0643">
              <w:t>Chemicals</w:t>
            </w:r>
          </w:p>
        </w:tc>
      </w:tr>
      <w:tr w:rsidR="002556C4" w:rsidRPr="00DD0643" w14:paraId="045A07E5" w14:textId="77777777" w:rsidTr="00426B8A">
        <w:trPr>
          <w:trHeight w:val="292"/>
        </w:trPr>
        <w:tc>
          <w:tcPr>
            <w:tcW w:w="3823" w:type="dxa"/>
            <w:shd w:val="clear" w:color="auto" w:fill="auto"/>
            <w:noWrap/>
            <w:vAlign w:val="bottom"/>
            <w:hideMark/>
          </w:tcPr>
          <w:p w14:paraId="02DA59F3" w14:textId="77777777" w:rsidR="002556C4" w:rsidRPr="00DD0643" w:rsidRDefault="002556C4" w:rsidP="00DD0643">
            <w:r w:rsidRPr="00DD0643">
              <w:t>Beef</w:t>
            </w:r>
          </w:p>
        </w:tc>
        <w:tc>
          <w:tcPr>
            <w:tcW w:w="1701" w:type="dxa"/>
            <w:shd w:val="clear" w:color="auto" w:fill="auto"/>
            <w:noWrap/>
            <w:vAlign w:val="bottom"/>
            <w:hideMark/>
          </w:tcPr>
          <w:p w14:paraId="0DB97E5F" w14:textId="77777777" w:rsidR="002556C4" w:rsidRPr="00DD0643" w:rsidRDefault="002556C4" w:rsidP="00F64A4A">
            <w:pPr>
              <w:jc w:val="right"/>
            </w:pPr>
            <w:r w:rsidRPr="00DD0643">
              <w:t>2585930240</w:t>
            </w:r>
          </w:p>
        </w:tc>
        <w:tc>
          <w:tcPr>
            <w:tcW w:w="1275" w:type="dxa"/>
            <w:shd w:val="clear" w:color="auto" w:fill="auto"/>
            <w:noWrap/>
            <w:vAlign w:val="bottom"/>
            <w:hideMark/>
          </w:tcPr>
          <w:p w14:paraId="2031B3BF" w14:textId="77777777" w:rsidR="002556C4" w:rsidRPr="00DD0643" w:rsidRDefault="002556C4" w:rsidP="00F64A4A">
            <w:pPr>
              <w:jc w:val="right"/>
            </w:pPr>
            <w:r w:rsidRPr="00DD0643">
              <w:t>0.669047</w:t>
            </w:r>
          </w:p>
        </w:tc>
        <w:tc>
          <w:tcPr>
            <w:tcW w:w="1134" w:type="dxa"/>
            <w:shd w:val="clear" w:color="auto" w:fill="auto"/>
            <w:noWrap/>
            <w:vAlign w:val="bottom"/>
            <w:hideMark/>
          </w:tcPr>
          <w:p w14:paraId="2DC95777" w14:textId="77777777" w:rsidR="002556C4" w:rsidRPr="00DD0643" w:rsidRDefault="002556C4" w:rsidP="00F64A4A">
            <w:pPr>
              <w:jc w:val="right"/>
            </w:pPr>
            <w:r w:rsidRPr="00DD0643">
              <w:t>201</w:t>
            </w:r>
          </w:p>
        </w:tc>
        <w:tc>
          <w:tcPr>
            <w:tcW w:w="1418" w:type="dxa"/>
            <w:shd w:val="clear" w:color="auto" w:fill="auto"/>
            <w:noWrap/>
            <w:vAlign w:val="bottom"/>
            <w:hideMark/>
          </w:tcPr>
          <w:p w14:paraId="202D4919" w14:textId="77777777" w:rsidR="002556C4" w:rsidRPr="00DD0643" w:rsidRDefault="002556C4" w:rsidP="00DD0643">
            <w:r w:rsidRPr="00DD0643">
              <w:t>Agriculture</w:t>
            </w:r>
          </w:p>
        </w:tc>
      </w:tr>
      <w:tr w:rsidR="002556C4" w:rsidRPr="00DD0643" w14:paraId="12B706E3" w14:textId="77777777" w:rsidTr="00426B8A">
        <w:trPr>
          <w:trHeight w:val="292"/>
        </w:trPr>
        <w:tc>
          <w:tcPr>
            <w:tcW w:w="3823" w:type="dxa"/>
            <w:shd w:val="clear" w:color="auto" w:fill="auto"/>
            <w:noWrap/>
            <w:vAlign w:val="bottom"/>
            <w:hideMark/>
          </w:tcPr>
          <w:p w14:paraId="0CED9E6E" w14:textId="77777777" w:rsidR="002556C4" w:rsidRPr="00DD0643" w:rsidRDefault="002556C4" w:rsidP="00DD0643">
            <w:r w:rsidRPr="00DD0643">
              <w:t>Wool</w:t>
            </w:r>
          </w:p>
        </w:tc>
        <w:tc>
          <w:tcPr>
            <w:tcW w:w="1701" w:type="dxa"/>
            <w:shd w:val="clear" w:color="auto" w:fill="auto"/>
            <w:noWrap/>
            <w:vAlign w:val="bottom"/>
            <w:hideMark/>
          </w:tcPr>
          <w:p w14:paraId="12E3AB52" w14:textId="77777777" w:rsidR="002556C4" w:rsidRPr="00DD0643" w:rsidRDefault="002556C4" w:rsidP="00F64A4A">
            <w:pPr>
              <w:jc w:val="right"/>
            </w:pPr>
            <w:r w:rsidRPr="00DD0643">
              <w:t>2088933376</w:t>
            </w:r>
          </w:p>
        </w:tc>
        <w:tc>
          <w:tcPr>
            <w:tcW w:w="1275" w:type="dxa"/>
            <w:shd w:val="clear" w:color="auto" w:fill="auto"/>
            <w:noWrap/>
            <w:vAlign w:val="bottom"/>
            <w:hideMark/>
          </w:tcPr>
          <w:p w14:paraId="43301599" w14:textId="77777777" w:rsidR="002556C4" w:rsidRPr="00DD0643" w:rsidRDefault="002556C4" w:rsidP="00F64A4A">
            <w:pPr>
              <w:jc w:val="right"/>
            </w:pPr>
            <w:r w:rsidRPr="00DD0643">
              <w:t>0.540461</w:t>
            </w:r>
          </w:p>
        </w:tc>
        <w:tc>
          <w:tcPr>
            <w:tcW w:w="1134" w:type="dxa"/>
            <w:shd w:val="clear" w:color="auto" w:fill="auto"/>
            <w:noWrap/>
            <w:vAlign w:val="bottom"/>
            <w:hideMark/>
          </w:tcPr>
          <w:p w14:paraId="26B959E3" w14:textId="77777777" w:rsidR="002556C4" w:rsidRPr="00DD0643" w:rsidRDefault="002556C4" w:rsidP="00F64A4A">
            <w:pPr>
              <w:jc w:val="right"/>
            </w:pPr>
            <w:r w:rsidRPr="00DD0643">
              <w:t>5101</w:t>
            </w:r>
          </w:p>
        </w:tc>
        <w:tc>
          <w:tcPr>
            <w:tcW w:w="1418" w:type="dxa"/>
            <w:shd w:val="clear" w:color="auto" w:fill="auto"/>
            <w:noWrap/>
            <w:vAlign w:val="bottom"/>
            <w:hideMark/>
          </w:tcPr>
          <w:p w14:paraId="2FBA21FF" w14:textId="77777777" w:rsidR="002556C4" w:rsidRPr="00DD0643" w:rsidRDefault="002556C4" w:rsidP="00DD0643">
            <w:r w:rsidRPr="00DD0643">
              <w:t>Textiles</w:t>
            </w:r>
          </w:p>
        </w:tc>
      </w:tr>
      <w:tr w:rsidR="002556C4" w:rsidRPr="00DD0643" w14:paraId="23E66B92" w14:textId="77777777" w:rsidTr="00426B8A">
        <w:trPr>
          <w:trHeight w:val="292"/>
        </w:trPr>
        <w:tc>
          <w:tcPr>
            <w:tcW w:w="3823" w:type="dxa"/>
            <w:shd w:val="clear" w:color="auto" w:fill="auto"/>
            <w:noWrap/>
            <w:vAlign w:val="bottom"/>
            <w:hideMark/>
          </w:tcPr>
          <w:p w14:paraId="128FDE60" w14:textId="77777777" w:rsidR="002556C4" w:rsidRPr="00DD0643" w:rsidRDefault="002556C4" w:rsidP="00DD0643">
            <w:r w:rsidRPr="00DD0643">
              <w:t>Rapeseeds or colza seeds</w:t>
            </w:r>
          </w:p>
        </w:tc>
        <w:tc>
          <w:tcPr>
            <w:tcW w:w="1701" w:type="dxa"/>
            <w:shd w:val="clear" w:color="auto" w:fill="auto"/>
            <w:noWrap/>
            <w:vAlign w:val="bottom"/>
            <w:hideMark/>
          </w:tcPr>
          <w:p w14:paraId="3452CD49" w14:textId="77777777" w:rsidR="002556C4" w:rsidRPr="00DD0643" w:rsidRDefault="002556C4" w:rsidP="00F64A4A">
            <w:pPr>
              <w:jc w:val="right"/>
            </w:pPr>
            <w:r w:rsidRPr="00DD0643">
              <w:t>1974599680</w:t>
            </w:r>
          </w:p>
        </w:tc>
        <w:tc>
          <w:tcPr>
            <w:tcW w:w="1275" w:type="dxa"/>
            <w:shd w:val="clear" w:color="auto" w:fill="auto"/>
            <w:noWrap/>
            <w:vAlign w:val="bottom"/>
            <w:hideMark/>
          </w:tcPr>
          <w:p w14:paraId="679A3D23" w14:textId="77777777" w:rsidR="002556C4" w:rsidRPr="00DD0643" w:rsidRDefault="002556C4" w:rsidP="00F64A4A">
            <w:pPr>
              <w:jc w:val="right"/>
            </w:pPr>
            <w:r w:rsidRPr="00DD0643">
              <w:t>0.51088</w:t>
            </w:r>
          </w:p>
        </w:tc>
        <w:tc>
          <w:tcPr>
            <w:tcW w:w="1134" w:type="dxa"/>
            <w:shd w:val="clear" w:color="auto" w:fill="auto"/>
            <w:noWrap/>
            <w:vAlign w:val="bottom"/>
            <w:hideMark/>
          </w:tcPr>
          <w:p w14:paraId="23285CD4" w14:textId="77777777" w:rsidR="002556C4" w:rsidRPr="00DD0643" w:rsidRDefault="002556C4" w:rsidP="00F64A4A">
            <w:pPr>
              <w:jc w:val="right"/>
            </w:pPr>
            <w:r w:rsidRPr="00DD0643">
              <w:t>1205</w:t>
            </w:r>
          </w:p>
        </w:tc>
        <w:tc>
          <w:tcPr>
            <w:tcW w:w="1418" w:type="dxa"/>
            <w:shd w:val="clear" w:color="auto" w:fill="auto"/>
            <w:noWrap/>
            <w:vAlign w:val="bottom"/>
            <w:hideMark/>
          </w:tcPr>
          <w:p w14:paraId="5E7E072E" w14:textId="77777777" w:rsidR="002556C4" w:rsidRPr="00DD0643" w:rsidRDefault="002556C4" w:rsidP="00DD0643">
            <w:r w:rsidRPr="00DD0643">
              <w:t>Agriculture</w:t>
            </w:r>
          </w:p>
        </w:tc>
      </w:tr>
      <w:tr w:rsidR="002556C4" w:rsidRPr="00DD0643" w14:paraId="22208D24" w14:textId="77777777" w:rsidTr="00426B8A">
        <w:trPr>
          <w:trHeight w:val="292"/>
        </w:trPr>
        <w:tc>
          <w:tcPr>
            <w:tcW w:w="3823" w:type="dxa"/>
            <w:shd w:val="clear" w:color="auto" w:fill="auto"/>
            <w:noWrap/>
            <w:vAlign w:val="bottom"/>
            <w:hideMark/>
          </w:tcPr>
          <w:p w14:paraId="59B97D2E" w14:textId="77777777" w:rsidR="002556C4" w:rsidRPr="00DD0643" w:rsidRDefault="002556C4" w:rsidP="00DD0643">
            <w:r w:rsidRPr="00DD0643">
              <w:t>Commodities not specified according to kind</w:t>
            </w:r>
          </w:p>
        </w:tc>
        <w:tc>
          <w:tcPr>
            <w:tcW w:w="1701" w:type="dxa"/>
            <w:shd w:val="clear" w:color="auto" w:fill="auto"/>
            <w:noWrap/>
            <w:vAlign w:val="bottom"/>
            <w:hideMark/>
          </w:tcPr>
          <w:p w14:paraId="3C042FF1" w14:textId="77777777" w:rsidR="002556C4" w:rsidRPr="00DD0643" w:rsidRDefault="002556C4" w:rsidP="00F64A4A">
            <w:pPr>
              <w:jc w:val="right"/>
            </w:pPr>
            <w:r w:rsidRPr="00DD0643">
              <w:t>1947828096</w:t>
            </w:r>
          </w:p>
        </w:tc>
        <w:tc>
          <w:tcPr>
            <w:tcW w:w="1275" w:type="dxa"/>
            <w:shd w:val="clear" w:color="auto" w:fill="auto"/>
            <w:noWrap/>
            <w:vAlign w:val="bottom"/>
            <w:hideMark/>
          </w:tcPr>
          <w:p w14:paraId="07B00F6A" w14:textId="77777777" w:rsidR="002556C4" w:rsidRPr="00DD0643" w:rsidRDefault="002556C4" w:rsidP="00F64A4A">
            <w:pPr>
              <w:jc w:val="right"/>
            </w:pPr>
            <w:r w:rsidRPr="00DD0643">
              <w:t>0.503954</w:t>
            </w:r>
          </w:p>
        </w:tc>
        <w:tc>
          <w:tcPr>
            <w:tcW w:w="1134" w:type="dxa"/>
            <w:shd w:val="clear" w:color="auto" w:fill="auto"/>
            <w:noWrap/>
            <w:vAlign w:val="bottom"/>
            <w:hideMark/>
          </w:tcPr>
          <w:p w14:paraId="084C0757" w14:textId="77777777" w:rsidR="002556C4" w:rsidRPr="00DD0643" w:rsidRDefault="002556C4" w:rsidP="00F64A4A">
            <w:pPr>
              <w:jc w:val="right"/>
            </w:pPr>
            <w:r w:rsidRPr="00DD0643">
              <w:t>9999</w:t>
            </w:r>
          </w:p>
        </w:tc>
        <w:tc>
          <w:tcPr>
            <w:tcW w:w="1418" w:type="dxa"/>
            <w:shd w:val="clear" w:color="auto" w:fill="auto"/>
            <w:noWrap/>
            <w:vAlign w:val="bottom"/>
            <w:hideMark/>
          </w:tcPr>
          <w:p w14:paraId="67C24010" w14:textId="77777777" w:rsidR="002556C4" w:rsidRPr="00DD0643" w:rsidRDefault="002556C4" w:rsidP="00DD0643">
            <w:r w:rsidRPr="00DD0643">
              <w:t>Other</w:t>
            </w:r>
          </w:p>
        </w:tc>
      </w:tr>
      <w:tr w:rsidR="002556C4" w:rsidRPr="00DD0643" w14:paraId="59114B5B" w14:textId="77777777" w:rsidTr="00426B8A">
        <w:trPr>
          <w:trHeight w:val="292"/>
        </w:trPr>
        <w:tc>
          <w:tcPr>
            <w:tcW w:w="3823" w:type="dxa"/>
            <w:shd w:val="clear" w:color="auto" w:fill="auto"/>
            <w:noWrap/>
            <w:vAlign w:val="bottom"/>
            <w:hideMark/>
          </w:tcPr>
          <w:p w14:paraId="55D3640F" w14:textId="77777777" w:rsidR="002556C4" w:rsidRPr="00DD0643" w:rsidRDefault="002556C4" w:rsidP="00DD0643">
            <w:r w:rsidRPr="00DD0643">
              <w:t>Zinc ore</w:t>
            </w:r>
          </w:p>
        </w:tc>
        <w:tc>
          <w:tcPr>
            <w:tcW w:w="1701" w:type="dxa"/>
            <w:shd w:val="clear" w:color="auto" w:fill="auto"/>
            <w:noWrap/>
            <w:vAlign w:val="bottom"/>
            <w:hideMark/>
          </w:tcPr>
          <w:p w14:paraId="29B28651" w14:textId="77777777" w:rsidR="002556C4" w:rsidRPr="00DD0643" w:rsidRDefault="002556C4" w:rsidP="00F64A4A">
            <w:pPr>
              <w:jc w:val="right"/>
            </w:pPr>
            <w:r w:rsidRPr="00DD0643">
              <w:t>1873213312</w:t>
            </w:r>
          </w:p>
        </w:tc>
        <w:tc>
          <w:tcPr>
            <w:tcW w:w="1275" w:type="dxa"/>
            <w:shd w:val="clear" w:color="auto" w:fill="auto"/>
            <w:noWrap/>
            <w:vAlign w:val="bottom"/>
            <w:hideMark/>
          </w:tcPr>
          <w:p w14:paraId="40D7965C" w14:textId="77777777" w:rsidR="002556C4" w:rsidRPr="00DD0643" w:rsidRDefault="002556C4" w:rsidP="00F64A4A">
            <w:pPr>
              <w:jc w:val="right"/>
            </w:pPr>
            <w:r w:rsidRPr="00DD0643">
              <w:t>0.484649</w:t>
            </w:r>
          </w:p>
        </w:tc>
        <w:tc>
          <w:tcPr>
            <w:tcW w:w="1134" w:type="dxa"/>
            <w:shd w:val="clear" w:color="auto" w:fill="auto"/>
            <w:noWrap/>
            <w:vAlign w:val="bottom"/>
            <w:hideMark/>
          </w:tcPr>
          <w:p w14:paraId="29B02575" w14:textId="77777777" w:rsidR="002556C4" w:rsidRPr="00DD0643" w:rsidRDefault="002556C4" w:rsidP="00F64A4A">
            <w:pPr>
              <w:jc w:val="right"/>
            </w:pPr>
            <w:r w:rsidRPr="00DD0643">
              <w:t>2608</w:t>
            </w:r>
          </w:p>
        </w:tc>
        <w:tc>
          <w:tcPr>
            <w:tcW w:w="1418" w:type="dxa"/>
            <w:shd w:val="clear" w:color="auto" w:fill="auto"/>
            <w:noWrap/>
            <w:vAlign w:val="bottom"/>
            <w:hideMark/>
          </w:tcPr>
          <w:p w14:paraId="6599D1C4" w14:textId="77777777" w:rsidR="002556C4" w:rsidRPr="00DD0643" w:rsidRDefault="002556C4" w:rsidP="00DD0643">
            <w:r w:rsidRPr="00DD0643">
              <w:t>Minerals</w:t>
            </w:r>
          </w:p>
        </w:tc>
      </w:tr>
      <w:tr w:rsidR="002556C4" w:rsidRPr="00DD0643" w14:paraId="437D7C3D" w14:textId="77777777" w:rsidTr="00426B8A">
        <w:trPr>
          <w:trHeight w:val="292"/>
        </w:trPr>
        <w:tc>
          <w:tcPr>
            <w:tcW w:w="3823" w:type="dxa"/>
            <w:shd w:val="clear" w:color="auto" w:fill="auto"/>
            <w:noWrap/>
            <w:vAlign w:val="bottom"/>
            <w:hideMark/>
          </w:tcPr>
          <w:p w14:paraId="0784C544" w14:textId="77777777" w:rsidR="002556C4" w:rsidRPr="00DD0643" w:rsidRDefault="002556C4" w:rsidP="00DD0643">
            <w:r w:rsidRPr="00DD0643">
              <w:t>Barley</w:t>
            </w:r>
          </w:p>
        </w:tc>
        <w:tc>
          <w:tcPr>
            <w:tcW w:w="1701" w:type="dxa"/>
            <w:shd w:val="clear" w:color="auto" w:fill="auto"/>
            <w:noWrap/>
            <w:vAlign w:val="bottom"/>
            <w:hideMark/>
          </w:tcPr>
          <w:p w14:paraId="0B908810" w14:textId="77777777" w:rsidR="002556C4" w:rsidRPr="00DD0643" w:rsidRDefault="002556C4" w:rsidP="00F64A4A">
            <w:pPr>
              <w:jc w:val="right"/>
            </w:pPr>
            <w:r w:rsidRPr="00DD0643">
              <w:t>1827365376</w:t>
            </w:r>
          </w:p>
        </w:tc>
        <w:tc>
          <w:tcPr>
            <w:tcW w:w="1275" w:type="dxa"/>
            <w:shd w:val="clear" w:color="auto" w:fill="auto"/>
            <w:noWrap/>
            <w:vAlign w:val="bottom"/>
            <w:hideMark/>
          </w:tcPr>
          <w:p w14:paraId="42C096CB" w14:textId="77777777" w:rsidR="002556C4" w:rsidRPr="00DD0643" w:rsidRDefault="002556C4" w:rsidP="00F64A4A">
            <w:pPr>
              <w:jc w:val="right"/>
            </w:pPr>
            <w:r w:rsidRPr="00DD0643">
              <w:t>0.472787</w:t>
            </w:r>
          </w:p>
        </w:tc>
        <w:tc>
          <w:tcPr>
            <w:tcW w:w="1134" w:type="dxa"/>
            <w:shd w:val="clear" w:color="auto" w:fill="auto"/>
            <w:noWrap/>
            <w:vAlign w:val="bottom"/>
            <w:hideMark/>
          </w:tcPr>
          <w:p w14:paraId="7165C06F" w14:textId="77777777" w:rsidR="002556C4" w:rsidRPr="00DD0643" w:rsidRDefault="002556C4" w:rsidP="00F64A4A">
            <w:pPr>
              <w:jc w:val="right"/>
            </w:pPr>
            <w:r w:rsidRPr="00DD0643">
              <w:t>1003</w:t>
            </w:r>
          </w:p>
        </w:tc>
        <w:tc>
          <w:tcPr>
            <w:tcW w:w="1418" w:type="dxa"/>
            <w:shd w:val="clear" w:color="auto" w:fill="auto"/>
            <w:noWrap/>
            <w:vAlign w:val="bottom"/>
            <w:hideMark/>
          </w:tcPr>
          <w:p w14:paraId="67946898" w14:textId="77777777" w:rsidR="002556C4" w:rsidRPr="00DD0643" w:rsidRDefault="002556C4" w:rsidP="00DD0643">
            <w:r w:rsidRPr="00DD0643">
              <w:t>Agriculture</w:t>
            </w:r>
          </w:p>
        </w:tc>
      </w:tr>
      <w:tr w:rsidR="002556C4" w:rsidRPr="00DD0643" w14:paraId="45F9A240" w14:textId="77777777" w:rsidTr="00426B8A">
        <w:trPr>
          <w:trHeight w:val="292"/>
        </w:trPr>
        <w:tc>
          <w:tcPr>
            <w:tcW w:w="3823" w:type="dxa"/>
            <w:shd w:val="clear" w:color="auto" w:fill="auto"/>
            <w:noWrap/>
            <w:vAlign w:val="bottom"/>
            <w:hideMark/>
          </w:tcPr>
          <w:p w14:paraId="40141504" w14:textId="77777777" w:rsidR="002556C4" w:rsidRPr="00DD0643" w:rsidRDefault="002556C4" w:rsidP="00DD0643">
            <w:r w:rsidRPr="00DD0643">
              <w:t>Wine</w:t>
            </w:r>
          </w:p>
        </w:tc>
        <w:tc>
          <w:tcPr>
            <w:tcW w:w="1701" w:type="dxa"/>
            <w:shd w:val="clear" w:color="auto" w:fill="auto"/>
            <w:noWrap/>
            <w:vAlign w:val="bottom"/>
            <w:hideMark/>
          </w:tcPr>
          <w:p w14:paraId="5D7700A9" w14:textId="77777777" w:rsidR="002556C4" w:rsidRPr="00DD0643" w:rsidRDefault="002556C4" w:rsidP="00F64A4A">
            <w:pPr>
              <w:jc w:val="right"/>
            </w:pPr>
            <w:r w:rsidRPr="00DD0643">
              <w:t>1574819712</w:t>
            </w:r>
          </w:p>
        </w:tc>
        <w:tc>
          <w:tcPr>
            <w:tcW w:w="1275" w:type="dxa"/>
            <w:shd w:val="clear" w:color="auto" w:fill="auto"/>
            <w:noWrap/>
            <w:vAlign w:val="bottom"/>
            <w:hideMark/>
          </w:tcPr>
          <w:p w14:paraId="396134CD" w14:textId="77777777" w:rsidR="002556C4" w:rsidRPr="00DD0643" w:rsidRDefault="002556C4" w:rsidP="00F64A4A">
            <w:pPr>
              <w:jc w:val="right"/>
            </w:pPr>
            <w:r w:rsidRPr="00DD0643">
              <w:t>0.407447</w:t>
            </w:r>
          </w:p>
        </w:tc>
        <w:tc>
          <w:tcPr>
            <w:tcW w:w="1134" w:type="dxa"/>
            <w:shd w:val="clear" w:color="auto" w:fill="auto"/>
            <w:noWrap/>
            <w:vAlign w:val="bottom"/>
            <w:hideMark/>
          </w:tcPr>
          <w:p w14:paraId="61337B68" w14:textId="77777777" w:rsidR="002556C4" w:rsidRPr="00DD0643" w:rsidRDefault="002556C4" w:rsidP="00F64A4A">
            <w:pPr>
              <w:jc w:val="right"/>
            </w:pPr>
            <w:r w:rsidRPr="00DD0643">
              <w:t>2204</w:t>
            </w:r>
          </w:p>
        </w:tc>
        <w:tc>
          <w:tcPr>
            <w:tcW w:w="1418" w:type="dxa"/>
            <w:shd w:val="clear" w:color="auto" w:fill="auto"/>
            <w:noWrap/>
            <w:vAlign w:val="bottom"/>
            <w:hideMark/>
          </w:tcPr>
          <w:p w14:paraId="0F1223F2" w14:textId="77777777" w:rsidR="002556C4" w:rsidRPr="00DD0643" w:rsidRDefault="002556C4" w:rsidP="00DD0643">
            <w:r w:rsidRPr="00DD0643">
              <w:t>Agriculture</w:t>
            </w:r>
          </w:p>
        </w:tc>
      </w:tr>
      <w:tr w:rsidR="002556C4" w:rsidRPr="00DD0643" w14:paraId="45B8B6FD" w14:textId="77777777" w:rsidTr="00426B8A">
        <w:trPr>
          <w:trHeight w:val="292"/>
        </w:trPr>
        <w:tc>
          <w:tcPr>
            <w:tcW w:w="3823" w:type="dxa"/>
            <w:shd w:val="clear" w:color="auto" w:fill="auto"/>
            <w:noWrap/>
            <w:vAlign w:val="bottom"/>
            <w:hideMark/>
          </w:tcPr>
          <w:p w14:paraId="14D258F4" w14:textId="77777777" w:rsidR="002556C4" w:rsidRPr="00DD0643" w:rsidRDefault="002556C4" w:rsidP="00DD0643">
            <w:r w:rsidRPr="00DD0643">
              <w:t>Raw cotton</w:t>
            </w:r>
          </w:p>
        </w:tc>
        <w:tc>
          <w:tcPr>
            <w:tcW w:w="1701" w:type="dxa"/>
            <w:shd w:val="clear" w:color="auto" w:fill="auto"/>
            <w:noWrap/>
            <w:vAlign w:val="bottom"/>
            <w:hideMark/>
          </w:tcPr>
          <w:p w14:paraId="64AB4B1A" w14:textId="77777777" w:rsidR="002556C4" w:rsidRPr="00DD0643" w:rsidRDefault="002556C4" w:rsidP="00F64A4A">
            <w:pPr>
              <w:jc w:val="right"/>
            </w:pPr>
            <w:r w:rsidRPr="00DD0643">
              <w:t>1310117376</w:t>
            </w:r>
          </w:p>
        </w:tc>
        <w:tc>
          <w:tcPr>
            <w:tcW w:w="1275" w:type="dxa"/>
            <w:shd w:val="clear" w:color="auto" w:fill="auto"/>
            <w:noWrap/>
            <w:vAlign w:val="bottom"/>
            <w:hideMark/>
          </w:tcPr>
          <w:p w14:paraId="1A6D02B5" w14:textId="77777777" w:rsidR="002556C4" w:rsidRPr="00DD0643" w:rsidRDefault="002556C4" w:rsidP="00F64A4A">
            <w:pPr>
              <w:jc w:val="right"/>
            </w:pPr>
            <w:r w:rsidRPr="00DD0643">
              <w:t>0.338961</w:t>
            </w:r>
          </w:p>
        </w:tc>
        <w:tc>
          <w:tcPr>
            <w:tcW w:w="1134" w:type="dxa"/>
            <w:shd w:val="clear" w:color="auto" w:fill="auto"/>
            <w:noWrap/>
            <w:vAlign w:val="bottom"/>
            <w:hideMark/>
          </w:tcPr>
          <w:p w14:paraId="630DA08F" w14:textId="77777777" w:rsidR="002556C4" w:rsidRPr="00DD0643" w:rsidRDefault="002556C4" w:rsidP="00F64A4A">
            <w:pPr>
              <w:jc w:val="right"/>
            </w:pPr>
            <w:r w:rsidRPr="00DD0643">
              <w:t>5201</w:t>
            </w:r>
          </w:p>
        </w:tc>
        <w:tc>
          <w:tcPr>
            <w:tcW w:w="1418" w:type="dxa"/>
            <w:shd w:val="clear" w:color="auto" w:fill="auto"/>
            <w:noWrap/>
            <w:vAlign w:val="bottom"/>
            <w:hideMark/>
          </w:tcPr>
          <w:p w14:paraId="1CD580BE" w14:textId="77777777" w:rsidR="002556C4" w:rsidRPr="00DD0643" w:rsidRDefault="002556C4" w:rsidP="00DD0643">
            <w:r w:rsidRPr="00DD0643">
              <w:t>Textiles</w:t>
            </w:r>
          </w:p>
        </w:tc>
      </w:tr>
      <w:tr w:rsidR="002556C4" w:rsidRPr="00DD0643" w14:paraId="74DFD63D" w14:textId="77777777" w:rsidTr="00426B8A">
        <w:trPr>
          <w:trHeight w:val="292"/>
        </w:trPr>
        <w:tc>
          <w:tcPr>
            <w:tcW w:w="3823" w:type="dxa"/>
            <w:shd w:val="clear" w:color="auto" w:fill="auto"/>
            <w:noWrap/>
            <w:vAlign w:val="bottom"/>
            <w:hideMark/>
          </w:tcPr>
          <w:p w14:paraId="5A50EA11" w14:textId="77777777" w:rsidR="002556C4" w:rsidRPr="00DD0643" w:rsidRDefault="002556C4" w:rsidP="00DD0643">
            <w:r w:rsidRPr="00DD0643">
              <w:t>Legumes, dried</w:t>
            </w:r>
          </w:p>
        </w:tc>
        <w:tc>
          <w:tcPr>
            <w:tcW w:w="1701" w:type="dxa"/>
            <w:shd w:val="clear" w:color="auto" w:fill="auto"/>
            <w:noWrap/>
            <w:vAlign w:val="bottom"/>
            <w:hideMark/>
          </w:tcPr>
          <w:p w14:paraId="6D306610" w14:textId="77777777" w:rsidR="002556C4" w:rsidRPr="00DD0643" w:rsidRDefault="002556C4" w:rsidP="00F64A4A">
            <w:pPr>
              <w:jc w:val="right"/>
            </w:pPr>
            <w:r w:rsidRPr="00DD0643">
              <w:t>1305161344</w:t>
            </w:r>
          </w:p>
        </w:tc>
        <w:tc>
          <w:tcPr>
            <w:tcW w:w="1275" w:type="dxa"/>
            <w:shd w:val="clear" w:color="auto" w:fill="auto"/>
            <w:noWrap/>
            <w:vAlign w:val="bottom"/>
            <w:hideMark/>
          </w:tcPr>
          <w:p w14:paraId="74C8767C" w14:textId="77777777" w:rsidR="002556C4" w:rsidRPr="00DD0643" w:rsidRDefault="002556C4" w:rsidP="00F64A4A">
            <w:pPr>
              <w:jc w:val="right"/>
            </w:pPr>
            <w:r w:rsidRPr="00DD0643">
              <w:t>0.337679</w:t>
            </w:r>
          </w:p>
        </w:tc>
        <w:tc>
          <w:tcPr>
            <w:tcW w:w="1134" w:type="dxa"/>
            <w:shd w:val="clear" w:color="auto" w:fill="auto"/>
            <w:noWrap/>
            <w:vAlign w:val="bottom"/>
            <w:hideMark/>
          </w:tcPr>
          <w:p w14:paraId="49766ADB" w14:textId="77777777" w:rsidR="002556C4" w:rsidRPr="00DD0643" w:rsidRDefault="002556C4" w:rsidP="00F64A4A">
            <w:pPr>
              <w:jc w:val="right"/>
            </w:pPr>
            <w:r w:rsidRPr="00DD0643">
              <w:t>713</w:t>
            </w:r>
          </w:p>
        </w:tc>
        <w:tc>
          <w:tcPr>
            <w:tcW w:w="1418" w:type="dxa"/>
            <w:shd w:val="clear" w:color="auto" w:fill="auto"/>
            <w:noWrap/>
            <w:vAlign w:val="bottom"/>
            <w:hideMark/>
          </w:tcPr>
          <w:p w14:paraId="5EEE3E7B" w14:textId="77777777" w:rsidR="002556C4" w:rsidRPr="00DD0643" w:rsidRDefault="002556C4" w:rsidP="00DD0643">
            <w:r w:rsidRPr="00DD0643">
              <w:t>Agriculture</w:t>
            </w:r>
          </w:p>
        </w:tc>
      </w:tr>
      <w:tr w:rsidR="002556C4" w:rsidRPr="00DD0643" w14:paraId="0D133A9D" w14:textId="77777777" w:rsidTr="00426B8A">
        <w:trPr>
          <w:trHeight w:val="292"/>
        </w:trPr>
        <w:tc>
          <w:tcPr>
            <w:tcW w:w="3823" w:type="dxa"/>
            <w:shd w:val="clear" w:color="auto" w:fill="auto"/>
            <w:noWrap/>
            <w:vAlign w:val="bottom"/>
            <w:hideMark/>
          </w:tcPr>
          <w:p w14:paraId="4A2ACF08" w14:textId="77777777" w:rsidR="002556C4" w:rsidRPr="00DD0643" w:rsidRDefault="002556C4" w:rsidP="00DD0643">
            <w:r w:rsidRPr="00DD0643">
              <w:t>Manganese &gt; 47% by weight</w:t>
            </w:r>
          </w:p>
        </w:tc>
        <w:tc>
          <w:tcPr>
            <w:tcW w:w="1701" w:type="dxa"/>
            <w:shd w:val="clear" w:color="auto" w:fill="auto"/>
            <w:noWrap/>
            <w:vAlign w:val="bottom"/>
            <w:hideMark/>
          </w:tcPr>
          <w:p w14:paraId="67553CE5" w14:textId="77777777" w:rsidR="002556C4" w:rsidRPr="00DD0643" w:rsidRDefault="002556C4" w:rsidP="00F64A4A">
            <w:pPr>
              <w:jc w:val="right"/>
            </w:pPr>
            <w:r w:rsidRPr="00DD0643">
              <w:t>1302127104</w:t>
            </w:r>
          </w:p>
        </w:tc>
        <w:tc>
          <w:tcPr>
            <w:tcW w:w="1275" w:type="dxa"/>
            <w:shd w:val="clear" w:color="auto" w:fill="auto"/>
            <w:noWrap/>
            <w:vAlign w:val="bottom"/>
            <w:hideMark/>
          </w:tcPr>
          <w:p w14:paraId="4C0E18F9" w14:textId="77777777" w:rsidR="002556C4" w:rsidRPr="00DD0643" w:rsidRDefault="002556C4" w:rsidP="00F64A4A">
            <w:pPr>
              <w:jc w:val="right"/>
            </w:pPr>
            <w:r w:rsidRPr="00DD0643">
              <w:t>0.336894</w:t>
            </w:r>
          </w:p>
        </w:tc>
        <w:tc>
          <w:tcPr>
            <w:tcW w:w="1134" w:type="dxa"/>
            <w:shd w:val="clear" w:color="auto" w:fill="auto"/>
            <w:noWrap/>
            <w:vAlign w:val="bottom"/>
            <w:hideMark/>
          </w:tcPr>
          <w:p w14:paraId="53E0E4FE" w14:textId="77777777" w:rsidR="002556C4" w:rsidRPr="00DD0643" w:rsidRDefault="002556C4" w:rsidP="00F64A4A">
            <w:pPr>
              <w:jc w:val="right"/>
            </w:pPr>
            <w:r w:rsidRPr="00DD0643">
              <w:t>2602</w:t>
            </w:r>
          </w:p>
        </w:tc>
        <w:tc>
          <w:tcPr>
            <w:tcW w:w="1418" w:type="dxa"/>
            <w:shd w:val="clear" w:color="auto" w:fill="auto"/>
            <w:noWrap/>
            <w:vAlign w:val="bottom"/>
            <w:hideMark/>
          </w:tcPr>
          <w:p w14:paraId="75BDCA9F" w14:textId="77777777" w:rsidR="002556C4" w:rsidRPr="00DD0643" w:rsidRDefault="002556C4" w:rsidP="00DD0643">
            <w:r w:rsidRPr="00DD0643">
              <w:t>Minerals</w:t>
            </w:r>
          </w:p>
        </w:tc>
      </w:tr>
      <w:tr w:rsidR="002556C4" w:rsidRPr="00DD0643" w14:paraId="034BC9DA" w14:textId="77777777" w:rsidTr="00426B8A">
        <w:trPr>
          <w:trHeight w:val="292"/>
        </w:trPr>
        <w:tc>
          <w:tcPr>
            <w:tcW w:w="3823" w:type="dxa"/>
            <w:shd w:val="clear" w:color="auto" w:fill="auto"/>
            <w:noWrap/>
            <w:vAlign w:val="bottom"/>
            <w:hideMark/>
          </w:tcPr>
          <w:p w14:paraId="35BC4E76" w14:textId="77777777" w:rsidR="002556C4" w:rsidRPr="00DD0643" w:rsidRDefault="002556C4" w:rsidP="00DD0643">
            <w:r w:rsidRPr="00DD0643">
              <w:t>Precious metal ores</w:t>
            </w:r>
          </w:p>
        </w:tc>
        <w:tc>
          <w:tcPr>
            <w:tcW w:w="1701" w:type="dxa"/>
            <w:shd w:val="clear" w:color="auto" w:fill="auto"/>
            <w:noWrap/>
            <w:vAlign w:val="bottom"/>
            <w:hideMark/>
          </w:tcPr>
          <w:p w14:paraId="141ACBE7" w14:textId="77777777" w:rsidR="002556C4" w:rsidRPr="00DD0643" w:rsidRDefault="002556C4" w:rsidP="00F64A4A">
            <w:pPr>
              <w:jc w:val="right"/>
            </w:pPr>
            <w:r w:rsidRPr="00DD0643">
              <w:t>1251644032</w:t>
            </w:r>
          </w:p>
        </w:tc>
        <w:tc>
          <w:tcPr>
            <w:tcW w:w="1275" w:type="dxa"/>
            <w:shd w:val="clear" w:color="auto" w:fill="auto"/>
            <w:noWrap/>
            <w:vAlign w:val="bottom"/>
            <w:hideMark/>
          </w:tcPr>
          <w:p w14:paraId="630D17E2" w14:textId="77777777" w:rsidR="002556C4" w:rsidRPr="00DD0643" w:rsidRDefault="002556C4" w:rsidP="00F64A4A">
            <w:pPr>
              <w:jc w:val="right"/>
            </w:pPr>
            <w:r w:rsidRPr="00DD0643">
              <w:t>0.323833</w:t>
            </w:r>
          </w:p>
        </w:tc>
        <w:tc>
          <w:tcPr>
            <w:tcW w:w="1134" w:type="dxa"/>
            <w:shd w:val="clear" w:color="auto" w:fill="auto"/>
            <w:noWrap/>
            <w:vAlign w:val="bottom"/>
            <w:hideMark/>
          </w:tcPr>
          <w:p w14:paraId="085A376F" w14:textId="77777777" w:rsidR="002556C4" w:rsidRPr="00DD0643" w:rsidRDefault="002556C4" w:rsidP="00F64A4A">
            <w:pPr>
              <w:jc w:val="right"/>
            </w:pPr>
            <w:r w:rsidRPr="00DD0643">
              <w:t>2616</w:t>
            </w:r>
          </w:p>
        </w:tc>
        <w:tc>
          <w:tcPr>
            <w:tcW w:w="1418" w:type="dxa"/>
            <w:shd w:val="clear" w:color="auto" w:fill="auto"/>
            <w:noWrap/>
            <w:vAlign w:val="bottom"/>
            <w:hideMark/>
          </w:tcPr>
          <w:p w14:paraId="080D5A3F" w14:textId="77777777" w:rsidR="002556C4" w:rsidRPr="00DD0643" w:rsidRDefault="002556C4" w:rsidP="00DD0643">
            <w:r w:rsidRPr="00DD0643">
              <w:t>Minerals</w:t>
            </w:r>
          </w:p>
        </w:tc>
      </w:tr>
      <w:tr w:rsidR="002556C4" w:rsidRPr="00DD0643" w14:paraId="40B25BC8" w14:textId="77777777" w:rsidTr="00426B8A">
        <w:trPr>
          <w:trHeight w:val="292"/>
        </w:trPr>
        <w:tc>
          <w:tcPr>
            <w:tcW w:w="3823" w:type="dxa"/>
            <w:shd w:val="clear" w:color="auto" w:fill="auto"/>
            <w:noWrap/>
            <w:vAlign w:val="bottom"/>
            <w:hideMark/>
          </w:tcPr>
          <w:p w14:paraId="0D8B750F" w14:textId="77777777" w:rsidR="002556C4" w:rsidRPr="00DD0643" w:rsidRDefault="002556C4" w:rsidP="00DD0643">
            <w:r w:rsidRPr="00DD0643">
              <w:t>Sugarcane and sucrose</w:t>
            </w:r>
          </w:p>
        </w:tc>
        <w:tc>
          <w:tcPr>
            <w:tcW w:w="1701" w:type="dxa"/>
            <w:shd w:val="clear" w:color="auto" w:fill="auto"/>
            <w:noWrap/>
            <w:vAlign w:val="bottom"/>
            <w:hideMark/>
          </w:tcPr>
          <w:p w14:paraId="3A167128" w14:textId="77777777" w:rsidR="002556C4" w:rsidRPr="00DD0643" w:rsidRDefault="002556C4" w:rsidP="00F64A4A">
            <w:pPr>
              <w:jc w:val="right"/>
            </w:pPr>
            <w:r w:rsidRPr="00DD0643">
              <w:t>1159001344</w:t>
            </w:r>
          </w:p>
        </w:tc>
        <w:tc>
          <w:tcPr>
            <w:tcW w:w="1275" w:type="dxa"/>
            <w:shd w:val="clear" w:color="auto" w:fill="auto"/>
            <w:noWrap/>
            <w:vAlign w:val="bottom"/>
            <w:hideMark/>
          </w:tcPr>
          <w:p w14:paraId="09FFD890" w14:textId="77777777" w:rsidR="002556C4" w:rsidRPr="00DD0643" w:rsidRDefault="002556C4" w:rsidP="00F64A4A">
            <w:pPr>
              <w:jc w:val="right"/>
            </w:pPr>
            <w:r w:rsidRPr="00DD0643">
              <w:t>0.299864</w:t>
            </w:r>
          </w:p>
        </w:tc>
        <w:tc>
          <w:tcPr>
            <w:tcW w:w="1134" w:type="dxa"/>
            <w:shd w:val="clear" w:color="auto" w:fill="auto"/>
            <w:noWrap/>
            <w:vAlign w:val="bottom"/>
            <w:hideMark/>
          </w:tcPr>
          <w:p w14:paraId="3723B54D" w14:textId="77777777" w:rsidR="002556C4" w:rsidRPr="00DD0643" w:rsidRDefault="002556C4" w:rsidP="00F64A4A">
            <w:pPr>
              <w:jc w:val="right"/>
            </w:pPr>
            <w:r w:rsidRPr="00DD0643">
              <w:t>1701</w:t>
            </w:r>
          </w:p>
        </w:tc>
        <w:tc>
          <w:tcPr>
            <w:tcW w:w="1418" w:type="dxa"/>
            <w:shd w:val="clear" w:color="auto" w:fill="auto"/>
            <w:noWrap/>
            <w:vAlign w:val="bottom"/>
            <w:hideMark/>
          </w:tcPr>
          <w:p w14:paraId="6FEF0C28" w14:textId="77777777" w:rsidR="002556C4" w:rsidRPr="00DD0643" w:rsidRDefault="002556C4" w:rsidP="00DD0643">
            <w:r w:rsidRPr="00DD0643">
              <w:t>Agriculture</w:t>
            </w:r>
          </w:p>
        </w:tc>
      </w:tr>
      <w:tr w:rsidR="002556C4" w:rsidRPr="00DD0643" w14:paraId="5E2B69AC" w14:textId="77777777" w:rsidTr="00426B8A">
        <w:trPr>
          <w:trHeight w:val="292"/>
        </w:trPr>
        <w:tc>
          <w:tcPr>
            <w:tcW w:w="3823" w:type="dxa"/>
            <w:shd w:val="clear" w:color="auto" w:fill="auto"/>
            <w:noWrap/>
            <w:vAlign w:val="bottom"/>
            <w:hideMark/>
          </w:tcPr>
          <w:p w14:paraId="1577EE3C" w14:textId="77777777" w:rsidR="002556C4" w:rsidRPr="00DD0643" w:rsidRDefault="002556C4" w:rsidP="00DD0643">
            <w:r w:rsidRPr="00DD0643">
              <w:t>Mineral substances not elsewhere classified (</w:t>
            </w:r>
            <w:proofErr w:type="spellStart"/>
            <w:r w:rsidRPr="00DD0643">
              <w:t>n.e.c.</w:t>
            </w:r>
            <w:proofErr w:type="spellEnd"/>
            <w:r w:rsidRPr="00DD0643">
              <w:t>)</w:t>
            </w:r>
          </w:p>
        </w:tc>
        <w:tc>
          <w:tcPr>
            <w:tcW w:w="1701" w:type="dxa"/>
            <w:shd w:val="clear" w:color="auto" w:fill="auto"/>
            <w:noWrap/>
            <w:vAlign w:val="bottom"/>
            <w:hideMark/>
          </w:tcPr>
          <w:p w14:paraId="34FB40D3" w14:textId="77777777" w:rsidR="002556C4" w:rsidRPr="00DD0643" w:rsidRDefault="002556C4" w:rsidP="00F64A4A">
            <w:pPr>
              <w:jc w:val="right"/>
            </w:pPr>
            <w:r w:rsidRPr="00DD0643">
              <w:t>1119385984</w:t>
            </w:r>
          </w:p>
        </w:tc>
        <w:tc>
          <w:tcPr>
            <w:tcW w:w="1275" w:type="dxa"/>
            <w:shd w:val="clear" w:color="auto" w:fill="auto"/>
            <w:noWrap/>
            <w:vAlign w:val="bottom"/>
            <w:hideMark/>
          </w:tcPr>
          <w:p w14:paraId="25F2AE01" w14:textId="77777777" w:rsidR="002556C4" w:rsidRPr="00DD0643" w:rsidRDefault="002556C4" w:rsidP="00F64A4A">
            <w:pPr>
              <w:jc w:val="right"/>
            </w:pPr>
            <w:r w:rsidRPr="00DD0643">
              <w:t>0.289614</w:t>
            </w:r>
          </w:p>
        </w:tc>
        <w:tc>
          <w:tcPr>
            <w:tcW w:w="1134" w:type="dxa"/>
            <w:shd w:val="clear" w:color="auto" w:fill="auto"/>
            <w:noWrap/>
            <w:vAlign w:val="bottom"/>
            <w:hideMark/>
          </w:tcPr>
          <w:p w14:paraId="6A0A1D8C" w14:textId="77777777" w:rsidR="002556C4" w:rsidRPr="00DD0643" w:rsidRDefault="002556C4" w:rsidP="00F64A4A">
            <w:pPr>
              <w:jc w:val="right"/>
            </w:pPr>
            <w:r w:rsidRPr="00DD0643">
              <w:t>2530</w:t>
            </w:r>
          </w:p>
        </w:tc>
        <w:tc>
          <w:tcPr>
            <w:tcW w:w="1418" w:type="dxa"/>
            <w:shd w:val="clear" w:color="auto" w:fill="auto"/>
            <w:noWrap/>
            <w:vAlign w:val="bottom"/>
            <w:hideMark/>
          </w:tcPr>
          <w:p w14:paraId="211C851D" w14:textId="77777777" w:rsidR="002556C4" w:rsidRPr="00DD0643" w:rsidRDefault="002556C4" w:rsidP="00DD0643">
            <w:r w:rsidRPr="00DD0643">
              <w:t>Minerals</w:t>
            </w:r>
          </w:p>
        </w:tc>
      </w:tr>
      <w:tr w:rsidR="002556C4" w:rsidRPr="00DD0643" w14:paraId="10E367A5" w14:textId="77777777" w:rsidTr="00426B8A">
        <w:trPr>
          <w:trHeight w:val="292"/>
        </w:trPr>
        <w:tc>
          <w:tcPr>
            <w:tcW w:w="3823" w:type="dxa"/>
            <w:shd w:val="clear" w:color="auto" w:fill="auto"/>
            <w:noWrap/>
            <w:vAlign w:val="bottom"/>
            <w:hideMark/>
          </w:tcPr>
          <w:p w14:paraId="4281D7E8" w14:textId="77777777" w:rsidR="002556C4" w:rsidRPr="00DD0643" w:rsidRDefault="002556C4" w:rsidP="00DD0643">
            <w:r w:rsidRPr="00DD0643">
              <w:t>Aluminium ore</w:t>
            </w:r>
          </w:p>
        </w:tc>
        <w:tc>
          <w:tcPr>
            <w:tcW w:w="1701" w:type="dxa"/>
            <w:shd w:val="clear" w:color="auto" w:fill="auto"/>
            <w:noWrap/>
            <w:vAlign w:val="bottom"/>
            <w:hideMark/>
          </w:tcPr>
          <w:p w14:paraId="0A44B2C1" w14:textId="77777777" w:rsidR="002556C4" w:rsidRPr="00DD0643" w:rsidRDefault="002556C4" w:rsidP="00F64A4A">
            <w:pPr>
              <w:jc w:val="right"/>
            </w:pPr>
            <w:r w:rsidRPr="00DD0643">
              <w:t>1109920512</w:t>
            </w:r>
          </w:p>
        </w:tc>
        <w:tc>
          <w:tcPr>
            <w:tcW w:w="1275" w:type="dxa"/>
            <w:shd w:val="clear" w:color="auto" w:fill="auto"/>
            <w:noWrap/>
            <w:vAlign w:val="bottom"/>
            <w:hideMark/>
          </w:tcPr>
          <w:p w14:paraId="088A56EE" w14:textId="77777777" w:rsidR="002556C4" w:rsidRPr="00DD0643" w:rsidRDefault="002556C4" w:rsidP="00F64A4A">
            <w:pPr>
              <w:jc w:val="right"/>
            </w:pPr>
            <w:r w:rsidRPr="00DD0643">
              <w:t>0.287165</w:t>
            </w:r>
          </w:p>
        </w:tc>
        <w:tc>
          <w:tcPr>
            <w:tcW w:w="1134" w:type="dxa"/>
            <w:shd w:val="clear" w:color="auto" w:fill="auto"/>
            <w:noWrap/>
            <w:vAlign w:val="bottom"/>
            <w:hideMark/>
          </w:tcPr>
          <w:p w14:paraId="3E35A082" w14:textId="77777777" w:rsidR="002556C4" w:rsidRPr="00DD0643" w:rsidRDefault="002556C4" w:rsidP="00F64A4A">
            <w:pPr>
              <w:jc w:val="right"/>
            </w:pPr>
            <w:r w:rsidRPr="00DD0643">
              <w:t>2606</w:t>
            </w:r>
          </w:p>
        </w:tc>
        <w:tc>
          <w:tcPr>
            <w:tcW w:w="1418" w:type="dxa"/>
            <w:shd w:val="clear" w:color="auto" w:fill="auto"/>
            <w:noWrap/>
            <w:vAlign w:val="bottom"/>
            <w:hideMark/>
          </w:tcPr>
          <w:p w14:paraId="2A5B6FF9" w14:textId="77777777" w:rsidR="002556C4" w:rsidRPr="00DD0643" w:rsidRDefault="002556C4" w:rsidP="00DD0643">
            <w:r w:rsidRPr="00DD0643">
              <w:t>Minerals</w:t>
            </w:r>
          </w:p>
        </w:tc>
      </w:tr>
      <w:tr w:rsidR="002556C4" w:rsidRPr="00DD0643" w14:paraId="5DE7237E" w14:textId="77777777" w:rsidTr="00426B8A">
        <w:trPr>
          <w:trHeight w:val="292"/>
        </w:trPr>
        <w:tc>
          <w:tcPr>
            <w:tcW w:w="3823" w:type="dxa"/>
            <w:shd w:val="clear" w:color="auto" w:fill="auto"/>
            <w:noWrap/>
            <w:vAlign w:val="bottom"/>
            <w:hideMark/>
          </w:tcPr>
          <w:p w14:paraId="7F0BE3A7" w14:textId="77777777" w:rsidR="002556C4" w:rsidRPr="00DD0643" w:rsidRDefault="002556C4" w:rsidP="00DD0643">
            <w:r w:rsidRPr="00DD0643">
              <w:t>Medicaments, packaged</w:t>
            </w:r>
          </w:p>
        </w:tc>
        <w:tc>
          <w:tcPr>
            <w:tcW w:w="1701" w:type="dxa"/>
            <w:shd w:val="clear" w:color="auto" w:fill="auto"/>
            <w:noWrap/>
            <w:vAlign w:val="bottom"/>
            <w:hideMark/>
          </w:tcPr>
          <w:p w14:paraId="06297F26" w14:textId="77777777" w:rsidR="002556C4" w:rsidRPr="00DD0643" w:rsidRDefault="002556C4" w:rsidP="00F64A4A">
            <w:pPr>
              <w:jc w:val="right"/>
            </w:pPr>
            <w:r w:rsidRPr="00DD0643">
              <w:t>1097484928</w:t>
            </w:r>
          </w:p>
        </w:tc>
        <w:tc>
          <w:tcPr>
            <w:tcW w:w="1275" w:type="dxa"/>
            <w:shd w:val="clear" w:color="auto" w:fill="auto"/>
            <w:noWrap/>
            <w:vAlign w:val="bottom"/>
            <w:hideMark/>
          </w:tcPr>
          <w:p w14:paraId="00FF837D" w14:textId="77777777" w:rsidR="002556C4" w:rsidRPr="00DD0643" w:rsidRDefault="002556C4" w:rsidP="00F64A4A">
            <w:pPr>
              <w:jc w:val="right"/>
            </w:pPr>
            <w:r w:rsidRPr="00DD0643">
              <w:t>0.283948</w:t>
            </w:r>
          </w:p>
        </w:tc>
        <w:tc>
          <w:tcPr>
            <w:tcW w:w="1134" w:type="dxa"/>
            <w:shd w:val="clear" w:color="auto" w:fill="auto"/>
            <w:noWrap/>
            <w:vAlign w:val="bottom"/>
            <w:hideMark/>
          </w:tcPr>
          <w:p w14:paraId="65640C1A" w14:textId="77777777" w:rsidR="002556C4" w:rsidRPr="00DD0643" w:rsidRDefault="002556C4" w:rsidP="00F64A4A">
            <w:pPr>
              <w:jc w:val="right"/>
            </w:pPr>
            <w:r w:rsidRPr="00DD0643">
              <w:t>3004</w:t>
            </w:r>
          </w:p>
        </w:tc>
        <w:tc>
          <w:tcPr>
            <w:tcW w:w="1418" w:type="dxa"/>
            <w:shd w:val="clear" w:color="auto" w:fill="auto"/>
            <w:noWrap/>
            <w:vAlign w:val="bottom"/>
            <w:hideMark/>
          </w:tcPr>
          <w:p w14:paraId="4A313C67" w14:textId="77777777" w:rsidR="002556C4" w:rsidRPr="00DD0643" w:rsidRDefault="002556C4" w:rsidP="00DD0643">
            <w:r w:rsidRPr="00DD0643">
              <w:t>Chemicals</w:t>
            </w:r>
          </w:p>
        </w:tc>
      </w:tr>
      <w:tr w:rsidR="002556C4" w:rsidRPr="00DD0643" w14:paraId="155A590A" w14:textId="77777777" w:rsidTr="00426B8A">
        <w:trPr>
          <w:trHeight w:val="292"/>
        </w:trPr>
        <w:tc>
          <w:tcPr>
            <w:tcW w:w="3823" w:type="dxa"/>
            <w:shd w:val="clear" w:color="auto" w:fill="auto"/>
            <w:noWrap/>
            <w:vAlign w:val="bottom"/>
            <w:hideMark/>
          </w:tcPr>
          <w:p w14:paraId="07497E15" w14:textId="77777777" w:rsidR="002556C4" w:rsidRPr="00DD0643" w:rsidRDefault="002556C4" w:rsidP="00DD0643">
            <w:r w:rsidRPr="00DD0643">
              <w:t>Unwrought zinc</w:t>
            </w:r>
          </w:p>
        </w:tc>
        <w:tc>
          <w:tcPr>
            <w:tcW w:w="1701" w:type="dxa"/>
            <w:shd w:val="clear" w:color="auto" w:fill="auto"/>
            <w:noWrap/>
            <w:vAlign w:val="bottom"/>
            <w:hideMark/>
          </w:tcPr>
          <w:p w14:paraId="29768EEC" w14:textId="77777777" w:rsidR="002556C4" w:rsidRPr="00DD0643" w:rsidRDefault="002556C4" w:rsidP="00F64A4A">
            <w:pPr>
              <w:jc w:val="right"/>
            </w:pPr>
            <w:r w:rsidRPr="00DD0643">
              <w:t>1094065920</w:t>
            </w:r>
          </w:p>
        </w:tc>
        <w:tc>
          <w:tcPr>
            <w:tcW w:w="1275" w:type="dxa"/>
            <w:shd w:val="clear" w:color="auto" w:fill="auto"/>
            <w:noWrap/>
            <w:vAlign w:val="bottom"/>
            <w:hideMark/>
          </w:tcPr>
          <w:p w14:paraId="4455BC6A" w14:textId="77777777" w:rsidR="002556C4" w:rsidRPr="00DD0643" w:rsidRDefault="002556C4" w:rsidP="00F64A4A">
            <w:pPr>
              <w:jc w:val="right"/>
            </w:pPr>
            <w:r w:rsidRPr="00DD0643">
              <w:t>0.283063</w:t>
            </w:r>
          </w:p>
        </w:tc>
        <w:tc>
          <w:tcPr>
            <w:tcW w:w="1134" w:type="dxa"/>
            <w:shd w:val="clear" w:color="auto" w:fill="auto"/>
            <w:noWrap/>
            <w:vAlign w:val="bottom"/>
            <w:hideMark/>
          </w:tcPr>
          <w:p w14:paraId="282A0FB1" w14:textId="77777777" w:rsidR="002556C4" w:rsidRPr="00DD0643" w:rsidRDefault="002556C4" w:rsidP="00F64A4A">
            <w:pPr>
              <w:jc w:val="right"/>
            </w:pPr>
            <w:r w:rsidRPr="00DD0643">
              <w:t>7901</w:t>
            </w:r>
          </w:p>
        </w:tc>
        <w:tc>
          <w:tcPr>
            <w:tcW w:w="1418" w:type="dxa"/>
            <w:shd w:val="clear" w:color="auto" w:fill="auto"/>
            <w:noWrap/>
            <w:vAlign w:val="bottom"/>
            <w:hideMark/>
          </w:tcPr>
          <w:p w14:paraId="70A8C354" w14:textId="77777777" w:rsidR="002556C4" w:rsidRPr="00DD0643" w:rsidRDefault="002556C4" w:rsidP="00DD0643">
            <w:r w:rsidRPr="00DD0643">
              <w:t>Metals</w:t>
            </w:r>
          </w:p>
        </w:tc>
      </w:tr>
      <w:tr w:rsidR="002556C4" w:rsidRPr="00DD0643" w14:paraId="5FB2C161" w14:textId="77777777" w:rsidTr="00426B8A">
        <w:trPr>
          <w:trHeight w:val="292"/>
        </w:trPr>
        <w:tc>
          <w:tcPr>
            <w:tcW w:w="3823" w:type="dxa"/>
            <w:shd w:val="clear" w:color="auto" w:fill="auto"/>
            <w:noWrap/>
            <w:vAlign w:val="bottom"/>
            <w:hideMark/>
          </w:tcPr>
          <w:p w14:paraId="4616A149" w14:textId="77777777" w:rsidR="002556C4" w:rsidRPr="00DD0643" w:rsidRDefault="002556C4" w:rsidP="00DD0643">
            <w:r w:rsidRPr="00DD0643">
              <w:t>Bovine</w:t>
            </w:r>
          </w:p>
        </w:tc>
        <w:tc>
          <w:tcPr>
            <w:tcW w:w="1701" w:type="dxa"/>
            <w:shd w:val="clear" w:color="auto" w:fill="auto"/>
            <w:noWrap/>
            <w:vAlign w:val="bottom"/>
            <w:hideMark/>
          </w:tcPr>
          <w:p w14:paraId="6D364063" w14:textId="77777777" w:rsidR="002556C4" w:rsidRPr="00DD0643" w:rsidRDefault="002556C4" w:rsidP="00F64A4A">
            <w:pPr>
              <w:jc w:val="right"/>
            </w:pPr>
            <w:r w:rsidRPr="00DD0643">
              <w:t>1092241408</w:t>
            </w:r>
          </w:p>
        </w:tc>
        <w:tc>
          <w:tcPr>
            <w:tcW w:w="1275" w:type="dxa"/>
            <w:shd w:val="clear" w:color="auto" w:fill="auto"/>
            <w:noWrap/>
            <w:vAlign w:val="bottom"/>
            <w:hideMark/>
          </w:tcPr>
          <w:p w14:paraId="5551121F" w14:textId="77777777" w:rsidR="002556C4" w:rsidRPr="00DD0643" w:rsidRDefault="002556C4" w:rsidP="00F64A4A">
            <w:pPr>
              <w:jc w:val="right"/>
            </w:pPr>
            <w:r w:rsidRPr="00DD0643">
              <w:t>0.282591</w:t>
            </w:r>
          </w:p>
        </w:tc>
        <w:tc>
          <w:tcPr>
            <w:tcW w:w="1134" w:type="dxa"/>
            <w:shd w:val="clear" w:color="auto" w:fill="auto"/>
            <w:noWrap/>
            <w:vAlign w:val="bottom"/>
            <w:hideMark/>
          </w:tcPr>
          <w:p w14:paraId="2231085B" w14:textId="77777777" w:rsidR="002556C4" w:rsidRPr="00DD0643" w:rsidRDefault="002556C4" w:rsidP="00F64A4A">
            <w:pPr>
              <w:jc w:val="right"/>
            </w:pPr>
            <w:r w:rsidRPr="00DD0643">
              <w:t>102</w:t>
            </w:r>
          </w:p>
        </w:tc>
        <w:tc>
          <w:tcPr>
            <w:tcW w:w="1418" w:type="dxa"/>
            <w:shd w:val="clear" w:color="auto" w:fill="auto"/>
            <w:noWrap/>
            <w:vAlign w:val="bottom"/>
            <w:hideMark/>
          </w:tcPr>
          <w:p w14:paraId="4E1A3D69" w14:textId="77777777" w:rsidR="002556C4" w:rsidRPr="00DD0643" w:rsidRDefault="002556C4" w:rsidP="00DD0643">
            <w:r w:rsidRPr="00DD0643">
              <w:t>Agriculture</w:t>
            </w:r>
          </w:p>
        </w:tc>
      </w:tr>
      <w:tr w:rsidR="002556C4" w:rsidRPr="00DD0643" w14:paraId="2AFB53BF" w14:textId="77777777" w:rsidTr="00426B8A">
        <w:trPr>
          <w:trHeight w:val="292"/>
        </w:trPr>
        <w:tc>
          <w:tcPr>
            <w:tcW w:w="3823" w:type="dxa"/>
            <w:shd w:val="clear" w:color="auto" w:fill="auto"/>
            <w:noWrap/>
            <w:vAlign w:val="bottom"/>
            <w:hideMark/>
          </w:tcPr>
          <w:p w14:paraId="67B19714" w14:textId="77777777" w:rsidR="002556C4" w:rsidRPr="00DD0643" w:rsidRDefault="002556C4" w:rsidP="00DD0643">
            <w:r w:rsidRPr="00DD0643">
              <w:t>Serums and vaccines</w:t>
            </w:r>
          </w:p>
        </w:tc>
        <w:tc>
          <w:tcPr>
            <w:tcW w:w="1701" w:type="dxa"/>
            <w:shd w:val="clear" w:color="auto" w:fill="auto"/>
            <w:noWrap/>
            <w:vAlign w:val="bottom"/>
            <w:hideMark/>
          </w:tcPr>
          <w:p w14:paraId="22FDC93D" w14:textId="77777777" w:rsidR="002556C4" w:rsidRPr="00DD0643" w:rsidRDefault="002556C4" w:rsidP="00F64A4A">
            <w:pPr>
              <w:jc w:val="right"/>
            </w:pPr>
            <w:r w:rsidRPr="00DD0643">
              <w:t>1027634816</w:t>
            </w:r>
          </w:p>
        </w:tc>
        <w:tc>
          <w:tcPr>
            <w:tcW w:w="1275" w:type="dxa"/>
            <w:shd w:val="clear" w:color="auto" w:fill="auto"/>
            <w:noWrap/>
            <w:vAlign w:val="bottom"/>
            <w:hideMark/>
          </w:tcPr>
          <w:p w14:paraId="7D1DDD02" w14:textId="77777777" w:rsidR="002556C4" w:rsidRPr="00DD0643" w:rsidRDefault="002556C4" w:rsidP="00F64A4A">
            <w:pPr>
              <w:jc w:val="right"/>
            </w:pPr>
            <w:r w:rsidRPr="00DD0643">
              <w:t>0.265876</w:t>
            </w:r>
          </w:p>
        </w:tc>
        <w:tc>
          <w:tcPr>
            <w:tcW w:w="1134" w:type="dxa"/>
            <w:shd w:val="clear" w:color="auto" w:fill="auto"/>
            <w:noWrap/>
            <w:vAlign w:val="bottom"/>
            <w:hideMark/>
          </w:tcPr>
          <w:p w14:paraId="7DB48A3D" w14:textId="77777777" w:rsidR="002556C4" w:rsidRPr="00DD0643" w:rsidRDefault="002556C4" w:rsidP="00F64A4A">
            <w:pPr>
              <w:jc w:val="right"/>
            </w:pPr>
            <w:r w:rsidRPr="00DD0643">
              <w:t>3002</w:t>
            </w:r>
          </w:p>
        </w:tc>
        <w:tc>
          <w:tcPr>
            <w:tcW w:w="1418" w:type="dxa"/>
            <w:shd w:val="clear" w:color="auto" w:fill="auto"/>
            <w:noWrap/>
            <w:vAlign w:val="bottom"/>
            <w:hideMark/>
          </w:tcPr>
          <w:p w14:paraId="12283163" w14:textId="77777777" w:rsidR="002556C4" w:rsidRPr="00DD0643" w:rsidRDefault="002556C4" w:rsidP="00DD0643">
            <w:r w:rsidRPr="00DD0643">
              <w:t>Chemicals</w:t>
            </w:r>
          </w:p>
        </w:tc>
      </w:tr>
      <w:tr w:rsidR="002556C4" w:rsidRPr="00DD0643" w14:paraId="3A6443B9" w14:textId="77777777" w:rsidTr="00426B8A">
        <w:trPr>
          <w:trHeight w:val="292"/>
        </w:trPr>
        <w:tc>
          <w:tcPr>
            <w:tcW w:w="3823" w:type="dxa"/>
            <w:shd w:val="clear" w:color="auto" w:fill="auto"/>
            <w:noWrap/>
            <w:vAlign w:val="bottom"/>
            <w:hideMark/>
          </w:tcPr>
          <w:p w14:paraId="06C88362" w14:textId="77777777" w:rsidR="002556C4" w:rsidRPr="00DD0643" w:rsidRDefault="002556C4" w:rsidP="00DD0643">
            <w:r w:rsidRPr="00DD0643">
              <w:t>Milk, concentrated</w:t>
            </w:r>
          </w:p>
        </w:tc>
        <w:tc>
          <w:tcPr>
            <w:tcW w:w="1701" w:type="dxa"/>
            <w:shd w:val="clear" w:color="auto" w:fill="auto"/>
            <w:noWrap/>
            <w:vAlign w:val="bottom"/>
            <w:hideMark/>
          </w:tcPr>
          <w:p w14:paraId="5564F488" w14:textId="77777777" w:rsidR="002556C4" w:rsidRPr="00DD0643" w:rsidRDefault="002556C4" w:rsidP="00F64A4A">
            <w:pPr>
              <w:jc w:val="right"/>
            </w:pPr>
            <w:r w:rsidRPr="00DD0643">
              <w:t>931701376</w:t>
            </w:r>
          </w:p>
        </w:tc>
        <w:tc>
          <w:tcPr>
            <w:tcW w:w="1275" w:type="dxa"/>
            <w:shd w:val="clear" w:color="auto" w:fill="auto"/>
            <w:noWrap/>
            <w:vAlign w:val="bottom"/>
            <w:hideMark/>
          </w:tcPr>
          <w:p w14:paraId="1D05EC83" w14:textId="77777777" w:rsidR="002556C4" w:rsidRPr="00DD0643" w:rsidRDefault="002556C4" w:rsidP="00F64A4A">
            <w:pPr>
              <w:jc w:val="right"/>
            </w:pPr>
            <w:r w:rsidRPr="00DD0643">
              <w:t>0.241055</w:t>
            </w:r>
          </w:p>
        </w:tc>
        <w:tc>
          <w:tcPr>
            <w:tcW w:w="1134" w:type="dxa"/>
            <w:shd w:val="clear" w:color="auto" w:fill="auto"/>
            <w:noWrap/>
            <w:vAlign w:val="bottom"/>
            <w:hideMark/>
          </w:tcPr>
          <w:p w14:paraId="074F0EAC" w14:textId="77777777" w:rsidR="002556C4" w:rsidRPr="00DD0643" w:rsidRDefault="002556C4" w:rsidP="00F64A4A">
            <w:pPr>
              <w:jc w:val="right"/>
            </w:pPr>
            <w:r w:rsidRPr="00DD0643">
              <w:t>402</w:t>
            </w:r>
          </w:p>
        </w:tc>
        <w:tc>
          <w:tcPr>
            <w:tcW w:w="1418" w:type="dxa"/>
            <w:shd w:val="clear" w:color="auto" w:fill="auto"/>
            <w:noWrap/>
            <w:vAlign w:val="bottom"/>
            <w:hideMark/>
          </w:tcPr>
          <w:p w14:paraId="7EF28EFC" w14:textId="77777777" w:rsidR="002556C4" w:rsidRPr="00DD0643" w:rsidRDefault="002556C4" w:rsidP="00DD0643">
            <w:r w:rsidRPr="00DD0643">
              <w:t>Agriculture</w:t>
            </w:r>
          </w:p>
        </w:tc>
      </w:tr>
      <w:tr w:rsidR="002556C4" w:rsidRPr="00DD0643" w14:paraId="77E3213B" w14:textId="77777777" w:rsidTr="00426B8A">
        <w:trPr>
          <w:trHeight w:val="292"/>
        </w:trPr>
        <w:tc>
          <w:tcPr>
            <w:tcW w:w="3823" w:type="dxa"/>
            <w:shd w:val="clear" w:color="auto" w:fill="auto"/>
            <w:noWrap/>
            <w:vAlign w:val="bottom"/>
            <w:hideMark/>
          </w:tcPr>
          <w:p w14:paraId="3386D285" w14:textId="77777777" w:rsidR="002556C4" w:rsidRPr="00DD0643" w:rsidRDefault="002556C4" w:rsidP="00DD0643">
            <w:r w:rsidRPr="00DD0643">
              <w:t>Ferrous waste and scrap</w:t>
            </w:r>
          </w:p>
        </w:tc>
        <w:tc>
          <w:tcPr>
            <w:tcW w:w="1701" w:type="dxa"/>
            <w:shd w:val="clear" w:color="auto" w:fill="auto"/>
            <w:noWrap/>
            <w:vAlign w:val="bottom"/>
            <w:hideMark/>
          </w:tcPr>
          <w:p w14:paraId="564708A3" w14:textId="77777777" w:rsidR="002556C4" w:rsidRPr="00DD0643" w:rsidRDefault="002556C4" w:rsidP="00F64A4A">
            <w:pPr>
              <w:jc w:val="right"/>
            </w:pPr>
            <w:r w:rsidRPr="00DD0643">
              <w:t>905879808</w:t>
            </w:r>
          </w:p>
        </w:tc>
        <w:tc>
          <w:tcPr>
            <w:tcW w:w="1275" w:type="dxa"/>
            <w:shd w:val="clear" w:color="auto" w:fill="auto"/>
            <w:noWrap/>
            <w:vAlign w:val="bottom"/>
            <w:hideMark/>
          </w:tcPr>
          <w:p w14:paraId="7E234AA0" w14:textId="77777777" w:rsidR="002556C4" w:rsidRPr="00DD0643" w:rsidRDefault="002556C4" w:rsidP="00F64A4A">
            <w:pPr>
              <w:jc w:val="right"/>
            </w:pPr>
            <w:r w:rsidRPr="00DD0643">
              <w:t>0.234375</w:t>
            </w:r>
          </w:p>
        </w:tc>
        <w:tc>
          <w:tcPr>
            <w:tcW w:w="1134" w:type="dxa"/>
            <w:shd w:val="clear" w:color="auto" w:fill="auto"/>
            <w:noWrap/>
            <w:vAlign w:val="bottom"/>
            <w:hideMark/>
          </w:tcPr>
          <w:p w14:paraId="2AF2CE2B" w14:textId="77777777" w:rsidR="002556C4" w:rsidRPr="00DD0643" w:rsidRDefault="002556C4" w:rsidP="00F64A4A">
            <w:pPr>
              <w:jc w:val="right"/>
            </w:pPr>
            <w:r w:rsidRPr="00DD0643">
              <w:t>7204</w:t>
            </w:r>
          </w:p>
        </w:tc>
        <w:tc>
          <w:tcPr>
            <w:tcW w:w="1418" w:type="dxa"/>
            <w:shd w:val="clear" w:color="auto" w:fill="auto"/>
            <w:noWrap/>
            <w:vAlign w:val="bottom"/>
            <w:hideMark/>
          </w:tcPr>
          <w:p w14:paraId="3FDC0CC8" w14:textId="77777777" w:rsidR="002556C4" w:rsidRPr="00DD0643" w:rsidRDefault="002556C4" w:rsidP="00DD0643">
            <w:r w:rsidRPr="00DD0643">
              <w:t>Metals</w:t>
            </w:r>
          </w:p>
        </w:tc>
      </w:tr>
      <w:tr w:rsidR="002556C4" w:rsidRPr="00DD0643" w14:paraId="400CBEAE" w14:textId="77777777" w:rsidTr="00426B8A">
        <w:trPr>
          <w:trHeight w:val="292"/>
        </w:trPr>
        <w:tc>
          <w:tcPr>
            <w:tcW w:w="3823" w:type="dxa"/>
            <w:shd w:val="clear" w:color="auto" w:fill="auto"/>
            <w:noWrap/>
            <w:vAlign w:val="bottom"/>
            <w:hideMark/>
          </w:tcPr>
          <w:p w14:paraId="5F7EC6B3" w14:textId="3350B78B" w:rsidR="002556C4" w:rsidRPr="00DD0643" w:rsidRDefault="002556C4" w:rsidP="00DD0643">
            <w:r w:rsidRPr="00DD0643">
              <w:t xml:space="preserve">Food preparations </w:t>
            </w:r>
            <w:r w:rsidR="00243FA5" w:rsidRPr="00DD0643">
              <w:t>not elsewhere classified (</w:t>
            </w:r>
            <w:proofErr w:type="spellStart"/>
            <w:r w:rsidR="00243FA5" w:rsidRPr="00DD0643">
              <w:t>n.e.c.</w:t>
            </w:r>
            <w:proofErr w:type="spellEnd"/>
            <w:r w:rsidR="00243FA5" w:rsidRPr="00DD0643">
              <w:t>)</w:t>
            </w:r>
          </w:p>
        </w:tc>
        <w:tc>
          <w:tcPr>
            <w:tcW w:w="1701" w:type="dxa"/>
            <w:shd w:val="clear" w:color="auto" w:fill="auto"/>
            <w:noWrap/>
            <w:vAlign w:val="bottom"/>
            <w:hideMark/>
          </w:tcPr>
          <w:p w14:paraId="1D999B05" w14:textId="77777777" w:rsidR="002556C4" w:rsidRPr="00DD0643" w:rsidRDefault="002556C4" w:rsidP="00F64A4A">
            <w:pPr>
              <w:jc w:val="right"/>
            </w:pPr>
            <w:r w:rsidRPr="00DD0643">
              <w:t>875422080</w:t>
            </w:r>
          </w:p>
        </w:tc>
        <w:tc>
          <w:tcPr>
            <w:tcW w:w="1275" w:type="dxa"/>
            <w:shd w:val="clear" w:color="auto" w:fill="auto"/>
            <w:noWrap/>
            <w:vAlign w:val="bottom"/>
            <w:hideMark/>
          </w:tcPr>
          <w:p w14:paraId="28DCC810" w14:textId="77777777" w:rsidR="002556C4" w:rsidRPr="00DD0643" w:rsidRDefault="002556C4" w:rsidP="00F64A4A">
            <w:pPr>
              <w:jc w:val="right"/>
            </w:pPr>
            <w:r w:rsidRPr="00DD0643">
              <w:t>0.226494</w:t>
            </w:r>
          </w:p>
        </w:tc>
        <w:tc>
          <w:tcPr>
            <w:tcW w:w="1134" w:type="dxa"/>
            <w:shd w:val="clear" w:color="auto" w:fill="auto"/>
            <w:noWrap/>
            <w:vAlign w:val="bottom"/>
            <w:hideMark/>
          </w:tcPr>
          <w:p w14:paraId="38F3DEF6" w14:textId="77777777" w:rsidR="002556C4" w:rsidRPr="00DD0643" w:rsidRDefault="002556C4" w:rsidP="00F64A4A">
            <w:pPr>
              <w:jc w:val="right"/>
            </w:pPr>
            <w:r w:rsidRPr="00DD0643">
              <w:t>2106</w:t>
            </w:r>
          </w:p>
        </w:tc>
        <w:tc>
          <w:tcPr>
            <w:tcW w:w="1418" w:type="dxa"/>
            <w:shd w:val="clear" w:color="auto" w:fill="auto"/>
            <w:noWrap/>
            <w:vAlign w:val="bottom"/>
            <w:hideMark/>
          </w:tcPr>
          <w:p w14:paraId="7EBD5257" w14:textId="77777777" w:rsidR="002556C4" w:rsidRPr="00DD0643" w:rsidRDefault="002556C4" w:rsidP="00DD0643">
            <w:r w:rsidRPr="00DD0643">
              <w:t>Agriculture</w:t>
            </w:r>
          </w:p>
        </w:tc>
      </w:tr>
      <w:tr w:rsidR="002556C4" w:rsidRPr="00DD0643" w14:paraId="0B417ED0" w14:textId="77777777" w:rsidTr="00426B8A">
        <w:trPr>
          <w:trHeight w:val="292"/>
        </w:trPr>
        <w:tc>
          <w:tcPr>
            <w:tcW w:w="3823" w:type="dxa"/>
            <w:shd w:val="clear" w:color="auto" w:fill="auto"/>
            <w:noWrap/>
            <w:vAlign w:val="bottom"/>
            <w:hideMark/>
          </w:tcPr>
          <w:p w14:paraId="43FBE26A" w14:textId="77777777" w:rsidR="002556C4" w:rsidRPr="00DD0643" w:rsidRDefault="002556C4" w:rsidP="00DD0643">
            <w:r w:rsidRPr="00DD0643">
              <w:t>Orthopaedic appliances</w:t>
            </w:r>
          </w:p>
        </w:tc>
        <w:tc>
          <w:tcPr>
            <w:tcW w:w="1701" w:type="dxa"/>
            <w:shd w:val="clear" w:color="auto" w:fill="auto"/>
            <w:noWrap/>
            <w:vAlign w:val="bottom"/>
            <w:hideMark/>
          </w:tcPr>
          <w:p w14:paraId="3129E81B" w14:textId="77777777" w:rsidR="002556C4" w:rsidRPr="00DD0643" w:rsidRDefault="002556C4" w:rsidP="00F64A4A">
            <w:pPr>
              <w:jc w:val="right"/>
            </w:pPr>
            <w:r w:rsidRPr="00DD0643">
              <w:t>826512128</w:t>
            </w:r>
          </w:p>
        </w:tc>
        <w:tc>
          <w:tcPr>
            <w:tcW w:w="1275" w:type="dxa"/>
            <w:shd w:val="clear" w:color="auto" w:fill="auto"/>
            <w:noWrap/>
            <w:vAlign w:val="bottom"/>
            <w:hideMark/>
          </w:tcPr>
          <w:p w14:paraId="2FBA275B" w14:textId="77777777" w:rsidR="002556C4" w:rsidRPr="00DD0643" w:rsidRDefault="002556C4" w:rsidP="00F64A4A">
            <w:pPr>
              <w:jc w:val="right"/>
            </w:pPr>
            <w:r w:rsidRPr="00DD0643">
              <w:t>0.21384</w:t>
            </w:r>
          </w:p>
        </w:tc>
        <w:tc>
          <w:tcPr>
            <w:tcW w:w="1134" w:type="dxa"/>
            <w:shd w:val="clear" w:color="auto" w:fill="auto"/>
            <w:noWrap/>
            <w:vAlign w:val="bottom"/>
            <w:hideMark/>
          </w:tcPr>
          <w:p w14:paraId="138495D8" w14:textId="77777777" w:rsidR="002556C4" w:rsidRPr="00DD0643" w:rsidRDefault="002556C4" w:rsidP="00F64A4A">
            <w:pPr>
              <w:jc w:val="right"/>
            </w:pPr>
            <w:r w:rsidRPr="00DD0643">
              <w:t>9021</w:t>
            </w:r>
          </w:p>
        </w:tc>
        <w:tc>
          <w:tcPr>
            <w:tcW w:w="1418" w:type="dxa"/>
            <w:shd w:val="clear" w:color="auto" w:fill="auto"/>
            <w:noWrap/>
            <w:vAlign w:val="bottom"/>
            <w:hideMark/>
          </w:tcPr>
          <w:p w14:paraId="60753364" w14:textId="77777777" w:rsidR="002556C4" w:rsidRPr="00DD0643" w:rsidRDefault="002556C4" w:rsidP="00DD0643">
            <w:r w:rsidRPr="00DD0643">
              <w:t>Machinery</w:t>
            </w:r>
          </w:p>
        </w:tc>
      </w:tr>
    </w:tbl>
    <w:p w14:paraId="66F2113C" w14:textId="77777777" w:rsidR="002556C4" w:rsidRDefault="002556C4">
      <w:pPr>
        <w:pStyle w:val="Heading4"/>
        <w:rPr>
          <w:rFonts w:eastAsia="Times New Roman"/>
          <w:lang w:eastAsia="en-AU"/>
        </w:rPr>
      </w:pPr>
      <w:bookmarkStart w:id="116" w:name="_Figure_2_data"/>
      <w:bookmarkEnd w:id="116"/>
      <w:r>
        <w:t xml:space="preserve">Figure 2 data </w:t>
      </w:r>
      <w:r w:rsidRPr="002556C4">
        <w:t xml:space="preserve">table: </w:t>
      </w:r>
      <w:r w:rsidRPr="002556C4">
        <w:rPr>
          <w:rFonts w:eastAsia="Times New Roman"/>
          <w:lang w:eastAsia="en-AU"/>
        </w:rPr>
        <w:t>Germany’s export complexity in 2023 - (E</w:t>
      </w:r>
      <w:r>
        <w:rPr>
          <w:rFonts w:eastAsia="Times New Roman"/>
          <w:lang w:eastAsia="en-AU"/>
        </w:rPr>
        <w:t xml:space="preserve">conomic Complexity Index (ECI) </w:t>
      </w:r>
      <w:r w:rsidRPr="002556C4">
        <w:rPr>
          <w:rFonts w:eastAsia="Times New Roman"/>
          <w:lang w:eastAsia="en-AU"/>
        </w:rPr>
        <w:t>Ranking = 4th of 133)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559"/>
        <w:gridCol w:w="1276"/>
        <w:gridCol w:w="1134"/>
        <w:gridCol w:w="1701"/>
      </w:tblGrid>
      <w:tr w:rsidR="002556C4" w:rsidRPr="009F6DEE" w14:paraId="79C5759C" w14:textId="77777777" w:rsidTr="00426B8A">
        <w:trPr>
          <w:trHeight w:val="380"/>
          <w:tblHeader/>
        </w:trPr>
        <w:tc>
          <w:tcPr>
            <w:tcW w:w="3681" w:type="dxa"/>
            <w:shd w:val="clear" w:color="auto" w:fill="E5E5FF"/>
            <w:noWrap/>
            <w:vAlign w:val="center"/>
            <w:hideMark/>
          </w:tcPr>
          <w:p w14:paraId="65F249D6" w14:textId="77777777" w:rsidR="002556C4" w:rsidRPr="009F6DEE" w:rsidRDefault="002556C4" w:rsidP="009F6DEE">
            <w:pPr>
              <w:rPr>
                <w:b/>
                <w:bCs/>
              </w:rPr>
            </w:pPr>
            <w:r w:rsidRPr="009F6DEE">
              <w:rPr>
                <w:b/>
                <w:bCs/>
              </w:rPr>
              <w:t>Name</w:t>
            </w:r>
          </w:p>
        </w:tc>
        <w:tc>
          <w:tcPr>
            <w:tcW w:w="1559" w:type="dxa"/>
            <w:shd w:val="clear" w:color="auto" w:fill="E5E5FF"/>
            <w:noWrap/>
            <w:vAlign w:val="center"/>
            <w:hideMark/>
          </w:tcPr>
          <w:p w14:paraId="1B07862A" w14:textId="77777777" w:rsidR="002556C4" w:rsidRPr="009F6DEE" w:rsidRDefault="002556C4" w:rsidP="009F6DEE">
            <w:pPr>
              <w:jc w:val="right"/>
              <w:rPr>
                <w:b/>
                <w:bCs/>
              </w:rPr>
            </w:pPr>
            <w:r w:rsidRPr="009F6DEE">
              <w:rPr>
                <w:b/>
                <w:bCs/>
              </w:rPr>
              <w:t>Gross Export</w:t>
            </w:r>
          </w:p>
        </w:tc>
        <w:tc>
          <w:tcPr>
            <w:tcW w:w="1276" w:type="dxa"/>
            <w:shd w:val="clear" w:color="auto" w:fill="E5E5FF"/>
            <w:noWrap/>
            <w:vAlign w:val="center"/>
            <w:hideMark/>
          </w:tcPr>
          <w:p w14:paraId="0AB2B08F" w14:textId="77777777" w:rsidR="002556C4" w:rsidRPr="009F6DEE" w:rsidRDefault="002556C4" w:rsidP="009F6DEE">
            <w:pPr>
              <w:jc w:val="right"/>
              <w:rPr>
                <w:b/>
                <w:bCs/>
              </w:rPr>
            </w:pPr>
            <w:r w:rsidRPr="009F6DEE">
              <w:rPr>
                <w:b/>
                <w:bCs/>
              </w:rPr>
              <w:t>Share</w:t>
            </w:r>
          </w:p>
        </w:tc>
        <w:tc>
          <w:tcPr>
            <w:tcW w:w="1134" w:type="dxa"/>
            <w:shd w:val="clear" w:color="auto" w:fill="E5E5FF"/>
            <w:noWrap/>
            <w:vAlign w:val="center"/>
            <w:hideMark/>
          </w:tcPr>
          <w:p w14:paraId="042C1361" w14:textId="77777777" w:rsidR="002556C4" w:rsidRPr="009F6DEE" w:rsidRDefault="002556C4" w:rsidP="009F6DEE">
            <w:pPr>
              <w:jc w:val="right"/>
              <w:rPr>
                <w:b/>
                <w:bCs/>
              </w:rPr>
            </w:pPr>
            <w:r w:rsidRPr="009F6DEE">
              <w:rPr>
                <w:b/>
                <w:bCs/>
              </w:rPr>
              <w:t>Code</w:t>
            </w:r>
          </w:p>
        </w:tc>
        <w:tc>
          <w:tcPr>
            <w:tcW w:w="1701" w:type="dxa"/>
            <w:shd w:val="clear" w:color="auto" w:fill="E5E5FF"/>
            <w:noWrap/>
            <w:vAlign w:val="center"/>
            <w:hideMark/>
          </w:tcPr>
          <w:p w14:paraId="29F010E9" w14:textId="77777777" w:rsidR="002556C4" w:rsidRPr="009F6DEE" w:rsidRDefault="002556C4" w:rsidP="009F6DEE">
            <w:pPr>
              <w:rPr>
                <w:b/>
                <w:bCs/>
              </w:rPr>
            </w:pPr>
            <w:r w:rsidRPr="009F6DEE">
              <w:rPr>
                <w:b/>
                <w:bCs/>
              </w:rPr>
              <w:t>Sector</w:t>
            </w:r>
          </w:p>
        </w:tc>
      </w:tr>
      <w:tr w:rsidR="002556C4" w:rsidRPr="009F6DEE" w14:paraId="050E9755" w14:textId="77777777" w:rsidTr="00426B8A">
        <w:trPr>
          <w:trHeight w:val="386"/>
        </w:trPr>
        <w:tc>
          <w:tcPr>
            <w:tcW w:w="3681" w:type="dxa"/>
            <w:shd w:val="clear" w:color="auto" w:fill="auto"/>
            <w:noWrap/>
            <w:vAlign w:val="bottom"/>
            <w:hideMark/>
          </w:tcPr>
          <w:p w14:paraId="273DE001" w14:textId="77777777" w:rsidR="002556C4" w:rsidRPr="009F6DEE" w:rsidRDefault="002556C4" w:rsidP="009F6DEE">
            <w:r w:rsidRPr="009F6DEE">
              <w:t>Information and communications technology (ICT)</w:t>
            </w:r>
          </w:p>
        </w:tc>
        <w:tc>
          <w:tcPr>
            <w:tcW w:w="1559" w:type="dxa"/>
            <w:shd w:val="clear" w:color="auto" w:fill="auto"/>
            <w:noWrap/>
            <w:vAlign w:val="bottom"/>
            <w:hideMark/>
          </w:tcPr>
          <w:p w14:paraId="0BC7436F" w14:textId="77777777" w:rsidR="002556C4" w:rsidRPr="009F6DEE" w:rsidRDefault="002556C4" w:rsidP="009F6DEE">
            <w:pPr>
              <w:jc w:val="right"/>
            </w:pPr>
            <w:r w:rsidRPr="009F6DEE">
              <w:t>235181162496</w:t>
            </w:r>
          </w:p>
        </w:tc>
        <w:tc>
          <w:tcPr>
            <w:tcW w:w="1276" w:type="dxa"/>
            <w:shd w:val="clear" w:color="auto" w:fill="auto"/>
            <w:noWrap/>
            <w:vAlign w:val="bottom"/>
            <w:hideMark/>
          </w:tcPr>
          <w:p w14:paraId="7672AE38" w14:textId="77777777" w:rsidR="002556C4" w:rsidRPr="009F6DEE" w:rsidRDefault="002556C4" w:rsidP="009F6DEE">
            <w:pPr>
              <w:jc w:val="right"/>
            </w:pPr>
            <w:r w:rsidRPr="009F6DEE">
              <w:t>11.62934</w:t>
            </w:r>
          </w:p>
        </w:tc>
        <w:tc>
          <w:tcPr>
            <w:tcW w:w="1134" w:type="dxa"/>
            <w:shd w:val="clear" w:color="auto" w:fill="auto"/>
            <w:noWrap/>
            <w:vAlign w:val="bottom"/>
            <w:hideMark/>
          </w:tcPr>
          <w:p w14:paraId="2892A3B0" w14:textId="77777777" w:rsidR="002556C4" w:rsidRPr="009F6DEE" w:rsidRDefault="002556C4" w:rsidP="009F6DEE">
            <w:pPr>
              <w:jc w:val="right"/>
            </w:pPr>
            <w:proofErr w:type="spellStart"/>
            <w:r w:rsidRPr="009F6DEE">
              <w:t>ict</w:t>
            </w:r>
            <w:proofErr w:type="spellEnd"/>
          </w:p>
        </w:tc>
        <w:tc>
          <w:tcPr>
            <w:tcW w:w="1701" w:type="dxa"/>
            <w:shd w:val="clear" w:color="auto" w:fill="auto"/>
            <w:noWrap/>
            <w:vAlign w:val="bottom"/>
            <w:hideMark/>
          </w:tcPr>
          <w:p w14:paraId="1C9E6ED5" w14:textId="77777777" w:rsidR="002556C4" w:rsidRPr="009F6DEE" w:rsidRDefault="002556C4" w:rsidP="009F6DEE">
            <w:r w:rsidRPr="009F6DEE">
              <w:t>Services</w:t>
            </w:r>
          </w:p>
        </w:tc>
      </w:tr>
      <w:tr w:rsidR="002556C4" w:rsidRPr="009F6DEE" w14:paraId="3AA546BB" w14:textId="77777777" w:rsidTr="00426B8A">
        <w:trPr>
          <w:trHeight w:val="386"/>
        </w:trPr>
        <w:tc>
          <w:tcPr>
            <w:tcW w:w="3681" w:type="dxa"/>
            <w:shd w:val="clear" w:color="auto" w:fill="auto"/>
            <w:noWrap/>
            <w:vAlign w:val="bottom"/>
            <w:hideMark/>
          </w:tcPr>
          <w:p w14:paraId="1BD042F7" w14:textId="77777777" w:rsidR="002556C4" w:rsidRPr="009F6DEE" w:rsidRDefault="002556C4" w:rsidP="009F6DEE">
            <w:r w:rsidRPr="009F6DEE">
              <w:t>Cars</w:t>
            </w:r>
          </w:p>
        </w:tc>
        <w:tc>
          <w:tcPr>
            <w:tcW w:w="1559" w:type="dxa"/>
            <w:shd w:val="clear" w:color="auto" w:fill="auto"/>
            <w:noWrap/>
            <w:vAlign w:val="bottom"/>
            <w:hideMark/>
          </w:tcPr>
          <w:p w14:paraId="1FA5C238" w14:textId="77777777" w:rsidR="002556C4" w:rsidRPr="009F6DEE" w:rsidRDefault="002556C4" w:rsidP="009F6DEE">
            <w:pPr>
              <w:jc w:val="right"/>
            </w:pPr>
            <w:r w:rsidRPr="009F6DEE">
              <w:t>136822571008</w:t>
            </w:r>
          </w:p>
        </w:tc>
        <w:tc>
          <w:tcPr>
            <w:tcW w:w="1276" w:type="dxa"/>
            <w:shd w:val="clear" w:color="auto" w:fill="auto"/>
            <w:noWrap/>
            <w:vAlign w:val="bottom"/>
            <w:hideMark/>
          </w:tcPr>
          <w:p w14:paraId="35189292" w14:textId="77777777" w:rsidR="002556C4" w:rsidRPr="009F6DEE" w:rsidRDefault="002556C4" w:rsidP="009F6DEE">
            <w:pPr>
              <w:jc w:val="right"/>
            </w:pPr>
            <w:r w:rsidRPr="009F6DEE">
              <w:t>6.765663</w:t>
            </w:r>
          </w:p>
        </w:tc>
        <w:tc>
          <w:tcPr>
            <w:tcW w:w="1134" w:type="dxa"/>
            <w:shd w:val="clear" w:color="auto" w:fill="auto"/>
            <w:noWrap/>
            <w:vAlign w:val="bottom"/>
            <w:hideMark/>
          </w:tcPr>
          <w:p w14:paraId="0ABBB5AC" w14:textId="77777777" w:rsidR="002556C4" w:rsidRPr="009F6DEE" w:rsidRDefault="002556C4" w:rsidP="009F6DEE">
            <w:pPr>
              <w:jc w:val="right"/>
            </w:pPr>
            <w:r w:rsidRPr="009F6DEE">
              <w:t>8703</w:t>
            </w:r>
          </w:p>
        </w:tc>
        <w:tc>
          <w:tcPr>
            <w:tcW w:w="1701" w:type="dxa"/>
            <w:shd w:val="clear" w:color="auto" w:fill="auto"/>
            <w:noWrap/>
            <w:vAlign w:val="bottom"/>
            <w:hideMark/>
          </w:tcPr>
          <w:p w14:paraId="5E3537A9" w14:textId="77777777" w:rsidR="002556C4" w:rsidRPr="009F6DEE" w:rsidRDefault="002556C4" w:rsidP="009F6DEE">
            <w:r w:rsidRPr="009F6DEE">
              <w:t>Vehicles</w:t>
            </w:r>
          </w:p>
        </w:tc>
      </w:tr>
      <w:tr w:rsidR="002556C4" w:rsidRPr="009F6DEE" w14:paraId="7BCE34F7" w14:textId="77777777" w:rsidTr="00426B8A">
        <w:trPr>
          <w:trHeight w:val="386"/>
        </w:trPr>
        <w:tc>
          <w:tcPr>
            <w:tcW w:w="3681" w:type="dxa"/>
            <w:shd w:val="clear" w:color="auto" w:fill="auto"/>
            <w:noWrap/>
            <w:vAlign w:val="bottom"/>
            <w:hideMark/>
          </w:tcPr>
          <w:p w14:paraId="719742D5" w14:textId="77777777" w:rsidR="002556C4" w:rsidRPr="009F6DEE" w:rsidRDefault="002556C4" w:rsidP="009F6DEE">
            <w:r w:rsidRPr="009F6DEE">
              <w:t>Transport</w:t>
            </w:r>
          </w:p>
        </w:tc>
        <w:tc>
          <w:tcPr>
            <w:tcW w:w="1559" w:type="dxa"/>
            <w:shd w:val="clear" w:color="auto" w:fill="auto"/>
            <w:noWrap/>
            <w:vAlign w:val="bottom"/>
            <w:hideMark/>
          </w:tcPr>
          <w:p w14:paraId="52EBC97B" w14:textId="77777777" w:rsidR="002556C4" w:rsidRPr="009F6DEE" w:rsidRDefault="002556C4" w:rsidP="009F6DEE">
            <w:pPr>
              <w:jc w:val="right"/>
            </w:pPr>
            <w:r w:rsidRPr="009F6DEE">
              <w:t>80087252992</w:t>
            </w:r>
          </w:p>
        </w:tc>
        <w:tc>
          <w:tcPr>
            <w:tcW w:w="1276" w:type="dxa"/>
            <w:shd w:val="clear" w:color="auto" w:fill="auto"/>
            <w:noWrap/>
            <w:vAlign w:val="bottom"/>
            <w:hideMark/>
          </w:tcPr>
          <w:p w14:paraId="3A9D674C" w14:textId="77777777" w:rsidR="002556C4" w:rsidRPr="009F6DEE" w:rsidRDefault="002556C4" w:rsidP="009F6DEE">
            <w:pPr>
              <w:jc w:val="right"/>
            </w:pPr>
            <w:r w:rsidRPr="009F6DEE">
              <w:t>3.96019</w:t>
            </w:r>
          </w:p>
        </w:tc>
        <w:tc>
          <w:tcPr>
            <w:tcW w:w="1134" w:type="dxa"/>
            <w:shd w:val="clear" w:color="auto" w:fill="auto"/>
            <w:noWrap/>
            <w:vAlign w:val="bottom"/>
            <w:hideMark/>
          </w:tcPr>
          <w:p w14:paraId="4390B2DD" w14:textId="77777777" w:rsidR="002556C4" w:rsidRPr="009F6DEE" w:rsidRDefault="002556C4" w:rsidP="009F6DEE">
            <w:pPr>
              <w:jc w:val="right"/>
            </w:pPr>
            <w:r w:rsidRPr="009F6DEE">
              <w:t>transport</w:t>
            </w:r>
          </w:p>
        </w:tc>
        <w:tc>
          <w:tcPr>
            <w:tcW w:w="1701" w:type="dxa"/>
            <w:shd w:val="clear" w:color="auto" w:fill="auto"/>
            <w:noWrap/>
            <w:vAlign w:val="bottom"/>
            <w:hideMark/>
          </w:tcPr>
          <w:p w14:paraId="212AA37A" w14:textId="77777777" w:rsidR="002556C4" w:rsidRPr="009F6DEE" w:rsidRDefault="002556C4" w:rsidP="009F6DEE">
            <w:r w:rsidRPr="009F6DEE">
              <w:t>Services</w:t>
            </w:r>
          </w:p>
        </w:tc>
      </w:tr>
      <w:tr w:rsidR="002556C4" w:rsidRPr="009F6DEE" w14:paraId="38325A04" w14:textId="77777777" w:rsidTr="00426B8A">
        <w:trPr>
          <w:trHeight w:val="386"/>
        </w:trPr>
        <w:tc>
          <w:tcPr>
            <w:tcW w:w="3681" w:type="dxa"/>
            <w:shd w:val="clear" w:color="auto" w:fill="auto"/>
            <w:noWrap/>
            <w:vAlign w:val="bottom"/>
            <w:hideMark/>
          </w:tcPr>
          <w:p w14:paraId="30D2EA08" w14:textId="77777777" w:rsidR="002556C4" w:rsidRPr="009F6DEE" w:rsidRDefault="002556C4" w:rsidP="009F6DEE">
            <w:r w:rsidRPr="009F6DEE">
              <w:t>Parts of motor vehicles</w:t>
            </w:r>
          </w:p>
        </w:tc>
        <w:tc>
          <w:tcPr>
            <w:tcW w:w="1559" w:type="dxa"/>
            <w:shd w:val="clear" w:color="auto" w:fill="auto"/>
            <w:noWrap/>
            <w:vAlign w:val="bottom"/>
            <w:hideMark/>
          </w:tcPr>
          <w:p w14:paraId="266909F4" w14:textId="77777777" w:rsidR="002556C4" w:rsidRPr="009F6DEE" w:rsidRDefault="002556C4" w:rsidP="009F6DEE">
            <w:pPr>
              <w:jc w:val="right"/>
            </w:pPr>
            <w:r w:rsidRPr="009F6DEE">
              <w:t>64115601408</w:t>
            </w:r>
          </w:p>
        </w:tc>
        <w:tc>
          <w:tcPr>
            <w:tcW w:w="1276" w:type="dxa"/>
            <w:shd w:val="clear" w:color="auto" w:fill="auto"/>
            <w:noWrap/>
            <w:vAlign w:val="bottom"/>
            <w:hideMark/>
          </w:tcPr>
          <w:p w14:paraId="26AF8F56" w14:textId="77777777" w:rsidR="002556C4" w:rsidRPr="009F6DEE" w:rsidRDefault="002556C4" w:rsidP="009F6DEE">
            <w:pPr>
              <w:jc w:val="right"/>
            </w:pPr>
            <w:r w:rsidRPr="009F6DEE">
              <w:t>3.170417</w:t>
            </w:r>
          </w:p>
        </w:tc>
        <w:tc>
          <w:tcPr>
            <w:tcW w:w="1134" w:type="dxa"/>
            <w:shd w:val="clear" w:color="auto" w:fill="auto"/>
            <w:noWrap/>
            <w:vAlign w:val="bottom"/>
            <w:hideMark/>
          </w:tcPr>
          <w:p w14:paraId="381AAAD6" w14:textId="77777777" w:rsidR="002556C4" w:rsidRPr="009F6DEE" w:rsidRDefault="002556C4" w:rsidP="009F6DEE">
            <w:pPr>
              <w:jc w:val="right"/>
            </w:pPr>
            <w:r w:rsidRPr="009F6DEE">
              <w:t>8708</w:t>
            </w:r>
          </w:p>
        </w:tc>
        <w:tc>
          <w:tcPr>
            <w:tcW w:w="1701" w:type="dxa"/>
            <w:shd w:val="clear" w:color="auto" w:fill="auto"/>
            <w:noWrap/>
            <w:vAlign w:val="bottom"/>
            <w:hideMark/>
          </w:tcPr>
          <w:p w14:paraId="7218B05A" w14:textId="77777777" w:rsidR="002556C4" w:rsidRPr="009F6DEE" w:rsidRDefault="002556C4" w:rsidP="009F6DEE">
            <w:r w:rsidRPr="009F6DEE">
              <w:t>Vehicles</w:t>
            </w:r>
          </w:p>
        </w:tc>
      </w:tr>
      <w:tr w:rsidR="002556C4" w:rsidRPr="009F6DEE" w14:paraId="234A4719" w14:textId="77777777" w:rsidTr="00426B8A">
        <w:trPr>
          <w:trHeight w:val="386"/>
        </w:trPr>
        <w:tc>
          <w:tcPr>
            <w:tcW w:w="3681" w:type="dxa"/>
            <w:shd w:val="clear" w:color="auto" w:fill="auto"/>
            <w:noWrap/>
            <w:vAlign w:val="bottom"/>
            <w:hideMark/>
          </w:tcPr>
          <w:p w14:paraId="7EB425E3" w14:textId="77777777" w:rsidR="002556C4" w:rsidRPr="009F6DEE" w:rsidRDefault="002556C4" w:rsidP="009F6DEE">
            <w:r w:rsidRPr="009F6DEE">
              <w:t>Medicaments, packaged</w:t>
            </w:r>
          </w:p>
        </w:tc>
        <w:tc>
          <w:tcPr>
            <w:tcW w:w="1559" w:type="dxa"/>
            <w:shd w:val="clear" w:color="auto" w:fill="auto"/>
            <w:noWrap/>
            <w:vAlign w:val="bottom"/>
            <w:hideMark/>
          </w:tcPr>
          <w:p w14:paraId="601E7EE2" w14:textId="77777777" w:rsidR="002556C4" w:rsidRPr="009F6DEE" w:rsidRDefault="002556C4" w:rsidP="009F6DEE">
            <w:pPr>
              <w:jc w:val="right"/>
            </w:pPr>
            <w:r w:rsidRPr="009F6DEE">
              <w:t>63414431744</w:t>
            </w:r>
          </w:p>
        </w:tc>
        <w:tc>
          <w:tcPr>
            <w:tcW w:w="1276" w:type="dxa"/>
            <w:shd w:val="clear" w:color="auto" w:fill="auto"/>
            <w:noWrap/>
            <w:vAlign w:val="bottom"/>
            <w:hideMark/>
          </w:tcPr>
          <w:p w14:paraId="0CF6830A" w14:textId="77777777" w:rsidR="002556C4" w:rsidRPr="009F6DEE" w:rsidRDefault="002556C4" w:rsidP="009F6DEE">
            <w:pPr>
              <w:jc w:val="right"/>
            </w:pPr>
            <w:r w:rsidRPr="009F6DEE">
              <w:t>3.135745</w:t>
            </w:r>
          </w:p>
        </w:tc>
        <w:tc>
          <w:tcPr>
            <w:tcW w:w="1134" w:type="dxa"/>
            <w:shd w:val="clear" w:color="auto" w:fill="auto"/>
            <w:noWrap/>
            <w:vAlign w:val="bottom"/>
            <w:hideMark/>
          </w:tcPr>
          <w:p w14:paraId="680DCF6D" w14:textId="77777777" w:rsidR="002556C4" w:rsidRPr="009F6DEE" w:rsidRDefault="002556C4" w:rsidP="009F6DEE">
            <w:pPr>
              <w:jc w:val="right"/>
            </w:pPr>
            <w:r w:rsidRPr="009F6DEE">
              <w:t>3004</w:t>
            </w:r>
          </w:p>
        </w:tc>
        <w:tc>
          <w:tcPr>
            <w:tcW w:w="1701" w:type="dxa"/>
            <w:shd w:val="clear" w:color="auto" w:fill="auto"/>
            <w:noWrap/>
            <w:vAlign w:val="bottom"/>
            <w:hideMark/>
          </w:tcPr>
          <w:p w14:paraId="74DB7CA9" w14:textId="77777777" w:rsidR="002556C4" w:rsidRPr="009F6DEE" w:rsidRDefault="002556C4" w:rsidP="009F6DEE">
            <w:r w:rsidRPr="009F6DEE">
              <w:t>Chemicals</w:t>
            </w:r>
          </w:p>
        </w:tc>
      </w:tr>
      <w:tr w:rsidR="002556C4" w:rsidRPr="009F6DEE" w14:paraId="7156DC28" w14:textId="77777777" w:rsidTr="00426B8A">
        <w:trPr>
          <w:trHeight w:val="386"/>
        </w:trPr>
        <w:tc>
          <w:tcPr>
            <w:tcW w:w="3681" w:type="dxa"/>
            <w:shd w:val="clear" w:color="auto" w:fill="auto"/>
            <w:noWrap/>
            <w:vAlign w:val="bottom"/>
            <w:hideMark/>
          </w:tcPr>
          <w:p w14:paraId="73964C8A" w14:textId="77777777" w:rsidR="002556C4" w:rsidRPr="009F6DEE" w:rsidRDefault="002556C4" w:rsidP="009F6DEE">
            <w:r w:rsidRPr="009F6DEE">
              <w:t>Insurance and finance</w:t>
            </w:r>
          </w:p>
        </w:tc>
        <w:tc>
          <w:tcPr>
            <w:tcW w:w="1559" w:type="dxa"/>
            <w:shd w:val="clear" w:color="auto" w:fill="auto"/>
            <w:noWrap/>
            <w:vAlign w:val="bottom"/>
            <w:hideMark/>
          </w:tcPr>
          <w:p w14:paraId="68034EC1" w14:textId="77777777" w:rsidR="002556C4" w:rsidRPr="009F6DEE" w:rsidRDefault="002556C4" w:rsidP="009F6DEE">
            <w:pPr>
              <w:jc w:val="right"/>
            </w:pPr>
            <w:r w:rsidRPr="009F6DEE">
              <w:t>49327812608</w:t>
            </w:r>
          </w:p>
        </w:tc>
        <w:tc>
          <w:tcPr>
            <w:tcW w:w="1276" w:type="dxa"/>
            <w:shd w:val="clear" w:color="auto" w:fill="auto"/>
            <w:noWrap/>
            <w:vAlign w:val="bottom"/>
            <w:hideMark/>
          </w:tcPr>
          <w:p w14:paraId="61F12F6F" w14:textId="77777777" w:rsidR="002556C4" w:rsidRPr="009F6DEE" w:rsidRDefault="002556C4" w:rsidP="009F6DEE">
            <w:pPr>
              <w:jc w:val="right"/>
            </w:pPr>
            <w:r w:rsidRPr="009F6DEE">
              <w:t>2.439184</w:t>
            </w:r>
          </w:p>
        </w:tc>
        <w:tc>
          <w:tcPr>
            <w:tcW w:w="1134" w:type="dxa"/>
            <w:shd w:val="clear" w:color="auto" w:fill="auto"/>
            <w:noWrap/>
            <w:vAlign w:val="bottom"/>
            <w:hideMark/>
          </w:tcPr>
          <w:p w14:paraId="7CB58FAF" w14:textId="77777777" w:rsidR="002556C4" w:rsidRPr="009F6DEE" w:rsidRDefault="002556C4" w:rsidP="009F6DEE">
            <w:pPr>
              <w:jc w:val="right"/>
            </w:pPr>
            <w:r w:rsidRPr="009F6DEE">
              <w:t>financial</w:t>
            </w:r>
          </w:p>
        </w:tc>
        <w:tc>
          <w:tcPr>
            <w:tcW w:w="1701" w:type="dxa"/>
            <w:shd w:val="clear" w:color="auto" w:fill="auto"/>
            <w:noWrap/>
            <w:vAlign w:val="bottom"/>
            <w:hideMark/>
          </w:tcPr>
          <w:p w14:paraId="5C562F06" w14:textId="77777777" w:rsidR="002556C4" w:rsidRPr="009F6DEE" w:rsidRDefault="002556C4" w:rsidP="009F6DEE">
            <w:r w:rsidRPr="009F6DEE">
              <w:t>Services</w:t>
            </w:r>
          </w:p>
        </w:tc>
      </w:tr>
      <w:tr w:rsidR="002556C4" w:rsidRPr="009F6DEE" w14:paraId="0E3E4695" w14:textId="77777777" w:rsidTr="00426B8A">
        <w:trPr>
          <w:trHeight w:val="386"/>
        </w:trPr>
        <w:tc>
          <w:tcPr>
            <w:tcW w:w="3681" w:type="dxa"/>
            <w:shd w:val="clear" w:color="auto" w:fill="auto"/>
            <w:noWrap/>
            <w:vAlign w:val="bottom"/>
            <w:hideMark/>
          </w:tcPr>
          <w:p w14:paraId="2C48E8B6" w14:textId="77777777" w:rsidR="002556C4" w:rsidRPr="009F6DEE" w:rsidRDefault="002556C4" w:rsidP="009F6DEE">
            <w:r w:rsidRPr="009F6DEE">
              <w:t>Serums and vaccines</w:t>
            </w:r>
          </w:p>
        </w:tc>
        <w:tc>
          <w:tcPr>
            <w:tcW w:w="1559" w:type="dxa"/>
            <w:shd w:val="clear" w:color="auto" w:fill="auto"/>
            <w:noWrap/>
            <w:vAlign w:val="bottom"/>
            <w:hideMark/>
          </w:tcPr>
          <w:p w14:paraId="04146377" w14:textId="77777777" w:rsidR="002556C4" w:rsidRPr="009F6DEE" w:rsidRDefault="002556C4" w:rsidP="009F6DEE">
            <w:pPr>
              <w:jc w:val="right"/>
            </w:pPr>
            <w:r w:rsidRPr="009F6DEE">
              <w:t>48981532672</w:t>
            </w:r>
          </w:p>
        </w:tc>
        <w:tc>
          <w:tcPr>
            <w:tcW w:w="1276" w:type="dxa"/>
            <w:shd w:val="clear" w:color="auto" w:fill="auto"/>
            <w:noWrap/>
            <w:vAlign w:val="bottom"/>
            <w:hideMark/>
          </w:tcPr>
          <w:p w14:paraId="1D387B70" w14:textId="77777777" w:rsidR="002556C4" w:rsidRPr="009F6DEE" w:rsidRDefault="002556C4" w:rsidP="009F6DEE">
            <w:pPr>
              <w:jc w:val="right"/>
            </w:pPr>
            <w:r w:rsidRPr="009F6DEE">
              <w:t>2.422061</w:t>
            </w:r>
          </w:p>
        </w:tc>
        <w:tc>
          <w:tcPr>
            <w:tcW w:w="1134" w:type="dxa"/>
            <w:shd w:val="clear" w:color="auto" w:fill="auto"/>
            <w:noWrap/>
            <w:vAlign w:val="bottom"/>
            <w:hideMark/>
          </w:tcPr>
          <w:p w14:paraId="1AE43BCD" w14:textId="77777777" w:rsidR="002556C4" w:rsidRPr="009F6DEE" w:rsidRDefault="002556C4" w:rsidP="009F6DEE">
            <w:pPr>
              <w:jc w:val="right"/>
            </w:pPr>
            <w:r w:rsidRPr="009F6DEE">
              <w:t>3002</w:t>
            </w:r>
          </w:p>
        </w:tc>
        <w:tc>
          <w:tcPr>
            <w:tcW w:w="1701" w:type="dxa"/>
            <w:shd w:val="clear" w:color="auto" w:fill="auto"/>
            <w:noWrap/>
            <w:vAlign w:val="bottom"/>
            <w:hideMark/>
          </w:tcPr>
          <w:p w14:paraId="40D6DF38" w14:textId="77777777" w:rsidR="002556C4" w:rsidRPr="009F6DEE" w:rsidRDefault="002556C4" w:rsidP="009F6DEE">
            <w:r w:rsidRPr="009F6DEE">
              <w:t>Chemicals</w:t>
            </w:r>
          </w:p>
        </w:tc>
      </w:tr>
      <w:tr w:rsidR="002556C4" w:rsidRPr="009F6DEE" w14:paraId="141EA0F6" w14:textId="77777777" w:rsidTr="00426B8A">
        <w:trPr>
          <w:trHeight w:val="386"/>
        </w:trPr>
        <w:tc>
          <w:tcPr>
            <w:tcW w:w="3681" w:type="dxa"/>
            <w:shd w:val="clear" w:color="auto" w:fill="auto"/>
            <w:noWrap/>
            <w:vAlign w:val="bottom"/>
            <w:hideMark/>
          </w:tcPr>
          <w:p w14:paraId="06267070" w14:textId="77777777" w:rsidR="002556C4" w:rsidRPr="009F6DEE" w:rsidRDefault="002556C4" w:rsidP="009F6DEE">
            <w:r w:rsidRPr="009F6DEE">
              <w:t>Commodities not specified according to kind</w:t>
            </w:r>
          </w:p>
        </w:tc>
        <w:tc>
          <w:tcPr>
            <w:tcW w:w="1559" w:type="dxa"/>
            <w:shd w:val="clear" w:color="auto" w:fill="auto"/>
            <w:noWrap/>
            <w:vAlign w:val="bottom"/>
            <w:hideMark/>
          </w:tcPr>
          <w:p w14:paraId="0BB435E8" w14:textId="77777777" w:rsidR="002556C4" w:rsidRPr="009F6DEE" w:rsidRDefault="002556C4" w:rsidP="009F6DEE">
            <w:pPr>
              <w:jc w:val="right"/>
            </w:pPr>
            <w:r w:rsidRPr="009F6DEE">
              <w:t>46654033920</w:t>
            </w:r>
          </w:p>
        </w:tc>
        <w:tc>
          <w:tcPr>
            <w:tcW w:w="1276" w:type="dxa"/>
            <w:shd w:val="clear" w:color="auto" w:fill="auto"/>
            <w:noWrap/>
            <w:vAlign w:val="bottom"/>
            <w:hideMark/>
          </w:tcPr>
          <w:p w14:paraId="1B84C81F" w14:textId="77777777" w:rsidR="002556C4" w:rsidRPr="009F6DEE" w:rsidRDefault="002556C4" w:rsidP="009F6DEE">
            <w:pPr>
              <w:jc w:val="right"/>
            </w:pPr>
            <w:r w:rsidRPr="009F6DEE">
              <w:t>2.306969</w:t>
            </w:r>
          </w:p>
        </w:tc>
        <w:tc>
          <w:tcPr>
            <w:tcW w:w="1134" w:type="dxa"/>
            <w:shd w:val="clear" w:color="auto" w:fill="auto"/>
            <w:noWrap/>
            <w:vAlign w:val="bottom"/>
            <w:hideMark/>
          </w:tcPr>
          <w:p w14:paraId="4FFE01A3" w14:textId="77777777" w:rsidR="002556C4" w:rsidRPr="009F6DEE" w:rsidRDefault="002556C4" w:rsidP="009F6DEE">
            <w:pPr>
              <w:jc w:val="right"/>
            </w:pPr>
            <w:r w:rsidRPr="009F6DEE">
              <w:t>9999</w:t>
            </w:r>
          </w:p>
        </w:tc>
        <w:tc>
          <w:tcPr>
            <w:tcW w:w="1701" w:type="dxa"/>
            <w:shd w:val="clear" w:color="auto" w:fill="auto"/>
            <w:noWrap/>
            <w:vAlign w:val="bottom"/>
            <w:hideMark/>
          </w:tcPr>
          <w:p w14:paraId="5E91A2C7" w14:textId="77777777" w:rsidR="002556C4" w:rsidRPr="009F6DEE" w:rsidRDefault="002556C4" w:rsidP="009F6DEE">
            <w:r w:rsidRPr="009F6DEE">
              <w:t>Other</w:t>
            </w:r>
          </w:p>
        </w:tc>
      </w:tr>
      <w:tr w:rsidR="002556C4" w:rsidRPr="009F6DEE" w14:paraId="59C4C910" w14:textId="77777777" w:rsidTr="00426B8A">
        <w:trPr>
          <w:trHeight w:val="386"/>
        </w:trPr>
        <w:tc>
          <w:tcPr>
            <w:tcW w:w="3681" w:type="dxa"/>
            <w:shd w:val="clear" w:color="auto" w:fill="auto"/>
            <w:noWrap/>
            <w:vAlign w:val="bottom"/>
            <w:hideMark/>
          </w:tcPr>
          <w:p w14:paraId="7611A9B9" w14:textId="77777777" w:rsidR="002556C4" w:rsidRPr="009F6DEE" w:rsidRDefault="002556C4" w:rsidP="009F6DEE">
            <w:r w:rsidRPr="009F6DEE">
              <w:t>Trade data discrepancies</w:t>
            </w:r>
          </w:p>
        </w:tc>
        <w:tc>
          <w:tcPr>
            <w:tcW w:w="1559" w:type="dxa"/>
            <w:shd w:val="clear" w:color="auto" w:fill="auto"/>
            <w:noWrap/>
            <w:vAlign w:val="bottom"/>
            <w:hideMark/>
          </w:tcPr>
          <w:p w14:paraId="1EA90C6E" w14:textId="77777777" w:rsidR="002556C4" w:rsidRPr="009F6DEE" w:rsidRDefault="002556C4" w:rsidP="009F6DEE">
            <w:pPr>
              <w:jc w:val="right"/>
            </w:pPr>
            <w:r w:rsidRPr="009F6DEE">
              <w:t>36316119040</w:t>
            </w:r>
          </w:p>
        </w:tc>
        <w:tc>
          <w:tcPr>
            <w:tcW w:w="1276" w:type="dxa"/>
            <w:shd w:val="clear" w:color="auto" w:fill="auto"/>
            <w:noWrap/>
            <w:vAlign w:val="bottom"/>
            <w:hideMark/>
          </w:tcPr>
          <w:p w14:paraId="564E92EE" w14:textId="77777777" w:rsidR="002556C4" w:rsidRPr="009F6DEE" w:rsidRDefault="002556C4" w:rsidP="009F6DEE">
            <w:pPr>
              <w:jc w:val="right"/>
            </w:pPr>
            <w:r w:rsidRPr="009F6DEE">
              <w:t>1.795776</w:t>
            </w:r>
          </w:p>
        </w:tc>
        <w:tc>
          <w:tcPr>
            <w:tcW w:w="1134" w:type="dxa"/>
            <w:shd w:val="clear" w:color="auto" w:fill="auto"/>
            <w:noWrap/>
            <w:vAlign w:val="bottom"/>
            <w:hideMark/>
          </w:tcPr>
          <w:p w14:paraId="1F678C6E" w14:textId="5535F3E0" w:rsidR="002556C4" w:rsidRPr="009F6DEE" w:rsidRDefault="00776BF7" w:rsidP="009F6DEE">
            <w:pPr>
              <w:jc w:val="right"/>
            </w:pPr>
            <w:r>
              <w:t>No data</w:t>
            </w:r>
          </w:p>
        </w:tc>
        <w:tc>
          <w:tcPr>
            <w:tcW w:w="1701" w:type="dxa"/>
            <w:shd w:val="clear" w:color="auto" w:fill="auto"/>
            <w:noWrap/>
            <w:vAlign w:val="bottom"/>
            <w:hideMark/>
          </w:tcPr>
          <w:p w14:paraId="628314E0" w14:textId="77777777" w:rsidR="002556C4" w:rsidRPr="009F6DEE" w:rsidRDefault="002556C4" w:rsidP="009F6DEE">
            <w:r w:rsidRPr="009F6DEE">
              <w:t>Other</w:t>
            </w:r>
          </w:p>
        </w:tc>
      </w:tr>
      <w:tr w:rsidR="002556C4" w:rsidRPr="009F6DEE" w14:paraId="6DCDD433" w14:textId="77777777" w:rsidTr="00426B8A">
        <w:trPr>
          <w:trHeight w:val="386"/>
        </w:trPr>
        <w:tc>
          <w:tcPr>
            <w:tcW w:w="3681" w:type="dxa"/>
            <w:shd w:val="clear" w:color="auto" w:fill="auto"/>
            <w:noWrap/>
            <w:vAlign w:val="bottom"/>
            <w:hideMark/>
          </w:tcPr>
          <w:p w14:paraId="6D625608" w14:textId="77777777" w:rsidR="002556C4" w:rsidRPr="009F6DEE" w:rsidRDefault="002556C4" w:rsidP="009F6DEE">
            <w:r w:rsidRPr="009F6DEE">
              <w:t>Travel and tourism</w:t>
            </w:r>
          </w:p>
        </w:tc>
        <w:tc>
          <w:tcPr>
            <w:tcW w:w="1559" w:type="dxa"/>
            <w:shd w:val="clear" w:color="auto" w:fill="auto"/>
            <w:noWrap/>
            <w:vAlign w:val="bottom"/>
            <w:hideMark/>
          </w:tcPr>
          <w:p w14:paraId="708B6E55" w14:textId="77777777" w:rsidR="002556C4" w:rsidRPr="009F6DEE" w:rsidRDefault="002556C4" w:rsidP="009F6DEE">
            <w:pPr>
              <w:jc w:val="right"/>
            </w:pPr>
            <w:r w:rsidRPr="009F6DEE">
              <w:t>22112786432</w:t>
            </w:r>
          </w:p>
        </w:tc>
        <w:tc>
          <w:tcPr>
            <w:tcW w:w="1276" w:type="dxa"/>
            <w:shd w:val="clear" w:color="auto" w:fill="auto"/>
            <w:noWrap/>
            <w:vAlign w:val="bottom"/>
            <w:hideMark/>
          </w:tcPr>
          <w:p w14:paraId="3014B5C8" w14:textId="77777777" w:rsidR="002556C4" w:rsidRPr="009F6DEE" w:rsidRDefault="002556C4" w:rsidP="009F6DEE">
            <w:pPr>
              <w:jc w:val="right"/>
            </w:pPr>
            <w:r w:rsidRPr="009F6DEE">
              <w:t>1.093443</w:t>
            </w:r>
          </w:p>
        </w:tc>
        <w:tc>
          <w:tcPr>
            <w:tcW w:w="1134" w:type="dxa"/>
            <w:shd w:val="clear" w:color="auto" w:fill="auto"/>
            <w:noWrap/>
            <w:vAlign w:val="bottom"/>
            <w:hideMark/>
          </w:tcPr>
          <w:p w14:paraId="258E79B9" w14:textId="77777777" w:rsidR="002556C4" w:rsidRPr="009F6DEE" w:rsidRDefault="002556C4" w:rsidP="009F6DEE">
            <w:pPr>
              <w:jc w:val="right"/>
            </w:pPr>
            <w:r w:rsidRPr="009F6DEE">
              <w:t>travel</w:t>
            </w:r>
          </w:p>
        </w:tc>
        <w:tc>
          <w:tcPr>
            <w:tcW w:w="1701" w:type="dxa"/>
            <w:shd w:val="clear" w:color="auto" w:fill="auto"/>
            <w:noWrap/>
            <w:vAlign w:val="bottom"/>
            <w:hideMark/>
          </w:tcPr>
          <w:p w14:paraId="65E06D4B" w14:textId="77777777" w:rsidR="002556C4" w:rsidRPr="009F6DEE" w:rsidRDefault="002556C4" w:rsidP="009F6DEE">
            <w:r w:rsidRPr="009F6DEE">
              <w:t>Services</w:t>
            </w:r>
          </w:p>
        </w:tc>
      </w:tr>
      <w:tr w:rsidR="002556C4" w:rsidRPr="009F6DEE" w14:paraId="447AE4D8" w14:textId="77777777" w:rsidTr="00426B8A">
        <w:trPr>
          <w:trHeight w:val="386"/>
        </w:trPr>
        <w:tc>
          <w:tcPr>
            <w:tcW w:w="3681" w:type="dxa"/>
            <w:shd w:val="clear" w:color="auto" w:fill="auto"/>
            <w:noWrap/>
            <w:vAlign w:val="bottom"/>
            <w:hideMark/>
          </w:tcPr>
          <w:p w14:paraId="0C528F55" w14:textId="77777777" w:rsidR="002556C4" w:rsidRPr="009F6DEE" w:rsidRDefault="002556C4" w:rsidP="009F6DEE">
            <w:r w:rsidRPr="009F6DEE">
              <w:t>Other aircraft and spacecraft</w:t>
            </w:r>
          </w:p>
        </w:tc>
        <w:tc>
          <w:tcPr>
            <w:tcW w:w="1559" w:type="dxa"/>
            <w:shd w:val="clear" w:color="auto" w:fill="auto"/>
            <w:noWrap/>
            <w:vAlign w:val="bottom"/>
            <w:hideMark/>
          </w:tcPr>
          <w:p w14:paraId="56516B72" w14:textId="77777777" w:rsidR="002556C4" w:rsidRPr="009F6DEE" w:rsidRDefault="002556C4" w:rsidP="009F6DEE">
            <w:pPr>
              <w:jc w:val="right"/>
            </w:pPr>
            <w:r w:rsidRPr="009F6DEE">
              <w:t>20686764032</w:t>
            </w:r>
          </w:p>
        </w:tc>
        <w:tc>
          <w:tcPr>
            <w:tcW w:w="1276" w:type="dxa"/>
            <w:shd w:val="clear" w:color="auto" w:fill="auto"/>
            <w:noWrap/>
            <w:vAlign w:val="bottom"/>
            <w:hideMark/>
          </w:tcPr>
          <w:p w14:paraId="0C93DDC4" w14:textId="77777777" w:rsidR="002556C4" w:rsidRPr="009F6DEE" w:rsidRDefault="002556C4" w:rsidP="009F6DEE">
            <w:pPr>
              <w:jc w:val="right"/>
            </w:pPr>
            <w:r w:rsidRPr="009F6DEE">
              <w:t>1.022928</w:t>
            </w:r>
          </w:p>
        </w:tc>
        <w:tc>
          <w:tcPr>
            <w:tcW w:w="1134" w:type="dxa"/>
            <w:shd w:val="clear" w:color="auto" w:fill="auto"/>
            <w:noWrap/>
            <w:vAlign w:val="bottom"/>
            <w:hideMark/>
          </w:tcPr>
          <w:p w14:paraId="1FAF6A84" w14:textId="77777777" w:rsidR="002556C4" w:rsidRPr="009F6DEE" w:rsidRDefault="002556C4" w:rsidP="009F6DEE">
            <w:pPr>
              <w:jc w:val="right"/>
            </w:pPr>
            <w:r w:rsidRPr="009F6DEE">
              <w:t>8802</w:t>
            </w:r>
          </w:p>
        </w:tc>
        <w:tc>
          <w:tcPr>
            <w:tcW w:w="1701" w:type="dxa"/>
            <w:shd w:val="clear" w:color="auto" w:fill="auto"/>
            <w:noWrap/>
            <w:vAlign w:val="bottom"/>
            <w:hideMark/>
          </w:tcPr>
          <w:p w14:paraId="27961A47" w14:textId="77777777" w:rsidR="002556C4" w:rsidRPr="009F6DEE" w:rsidRDefault="002556C4" w:rsidP="009F6DEE">
            <w:r w:rsidRPr="009F6DEE">
              <w:t>Vehicles</w:t>
            </w:r>
          </w:p>
        </w:tc>
      </w:tr>
      <w:tr w:rsidR="002556C4" w:rsidRPr="009F6DEE" w14:paraId="1A08D8B3" w14:textId="77777777" w:rsidTr="00426B8A">
        <w:trPr>
          <w:trHeight w:val="386"/>
        </w:trPr>
        <w:tc>
          <w:tcPr>
            <w:tcW w:w="3681" w:type="dxa"/>
            <w:shd w:val="clear" w:color="auto" w:fill="auto"/>
            <w:noWrap/>
            <w:vAlign w:val="bottom"/>
            <w:hideMark/>
          </w:tcPr>
          <w:p w14:paraId="39A9FE26" w14:textId="77777777" w:rsidR="002556C4" w:rsidRPr="009F6DEE" w:rsidRDefault="002556C4" w:rsidP="009F6DEE">
            <w:r w:rsidRPr="009F6DEE">
              <w:t>Machines not elsewhere classified (</w:t>
            </w:r>
            <w:proofErr w:type="spellStart"/>
            <w:r w:rsidRPr="009F6DEE">
              <w:t>n.e.c.</w:t>
            </w:r>
            <w:proofErr w:type="spellEnd"/>
            <w:r w:rsidRPr="009F6DEE">
              <w:t>)</w:t>
            </w:r>
          </w:p>
        </w:tc>
        <w:tc>
          <w:tcPr>
            <w:tcW w:w="1559" w:type="dxa"/>
            <w:shd w:val="clear" w:color="auto" w:fill="auto"/>
            <w:noWrap/>
            <w:vAlign w:val="bottom"/>
            <w:hideMark/>
          </w:tcPr>
          <w:p w14:paraId="4987BCD0" w14:textId="77777777" w:rsidR="002556C4" w:rsidRPr="009F6DEE" w:rsidRDefault="002556C4" w:rsidP="009F6DEE">
            <w:pPr>
              <w:jc w:val="right"/>
            </w:pPr>
            <w:r w:rsidRPr="009F6DEE">
              <w:t>20677120000</w:t>
            </w:r>
          </w:p>
        </w:tc>
        <w:tc>
          <w:tcPr>
            <w:tcW w:w="1276" w:type="dxa"/>
            <w:shd w:val="clear" w:color="auto" w:fill="auto"/>
            <w:noWrap/>
            <w:vAlign w:val="bottom"/>
            <w:hideMark/>
          </w:tcPr>
          <w:p w14:paraId="77635C90" w14:textId="77777777" w:rsidR="002556C4" w:rsidRPr="009F6DEE" w:rsidRDefault="002556C4" w:rsidP="009F6DEE">
            <w:pPr>
              <w:jc w:val="right"/>
            </w:pPr>
            <w:r w:rsidRPr="009F6DEE">
              <w:t>1.022451</w:t>
            </w:r>
          </w:p>
        </w:tc>
        <w:tc>
          <w:tcPr>
            <w:tcW w:w="1134" w:type="dxa"/>
            <w:shd w:val="clear" w:color="auto" w:fill="auto"/>
            <w:noWrap/>
            <w:vAlign w:val="bottom"/>
            <w:hideMark/>
          </w:tcPr>
          <w:p w14:paraId="39E2FAD2" w14:textId="77777777" w:rsidR="002556C4" w:rsidRPr="009F6DEE" w:rsidRDefault="002556C4" w:rsidP="009F6DEE">
            <w:pPr>
              <w:jc w:val="right"/>
            </w:pPr>
            <w:r w:rsidRPr="009F6DEE">
              <w:t>8479</w:t>
            </w:r>
          </w:p>
        </w:tc>
        <w:tc>
          <w:tcPr>
            <w:tcW w:w="1701" w:type="dxa"/>
            <w:shd w:val="clear" w:color="auto" w:fill="auto"/>
            <w:noWrap/>
            <w:vAlign w:val="bottom"/>
            <w:hideMark/>
          </w:tcPr>
          <w:p w14:paraId="53BD2387" w14:textId="77777777" w:rsidR="002556C4" w:rsidRPr="009F6DEE" w:rsidRDefault="002556C4" w:rsidP="009F6DEE">
            <w:r w:rsidRPr="009F6DEE">
              <w:t>Machinery</w:t>
            </w:r>
          </w:p>
        </w:tc>
      </w:tr>
      <w:tr w:rsidR="002556C4" w:rsidRPr="009F6DEE" w14:paraId="05E355C6" w14:textId="77777777" w:rsidTr="00426B8A">
        <w:trPr>
          <w:trHeight w:val="386"/>
        </w:trPr>
        <w:tc>
          <w:tcPr>
            <w:tcW w:w="3681" w:type="dxa"/>
            <w:shd w:val="clear" w:color="auto" w:fill="auto"/>
            <w:noWrap/>
            <w:vAlign w:val="bottom"/>
            <w:hideMark/>
          </w:tcPr>
          <w:p w14:paraId="606DF8A8" w14:textId="77777777" w:rsidR="002556C4" w:rsidRPr="009F6DEE" w:rsidRDefault="002556C4" w:rsidP="009F6DEE">
            <w:r w:rsidRPr="009F6DEE">
              <w:t>Medical instruments</w:t>
            </w:r>
          </w:p>
        </w:tc>
        <w:tc>
          <w:tcPr>
            <w:tcW w:w="1559" w:type="dxa"/>
            <w:shd w:val="clear" w:color="auto" w:fill="auto"/>
            <w:noWrap/>
            <w:vAlign w:val="bottom"/>
            <w:hideMark/>
          </w:tcPr>
          <w:p w14:paraId="75E9369F" w14:textId="77777777" w:rsidR="002556C4" w:rsidRPr="009F6DEE" w:rsidRDefault="002556C4" w:rsidP="009F6DEE">
            <w:pPr>
              <w:jc w:val="right"/>
            </w:pPr>
            <w:r w:rsidRPr="009F6DEE">
              <w:t>18660915200</w:t>
            </w:r>
          </w:p>
        </w:tc>
        <w:tc>
          <w:tcPr>
            <w:tcW w:w="1276" w:type="dxa"/>
            <w:shd w:val="clear" w:color="auto" w:fill="auto"/>
            <w:noWrap/>
            <w:vAlign w:val="bottom"/>
            <w:hideMark/>
          </w:tcPr>
          <w:p w14:paraId="0EE159B1" w14:textId="77777777" w:rsidR="002556C4" w:rsidRPr="009F6DEE" w:rsidRDefault="002556C4" w:rsidP="009F6DEE">
            <w:pPr>
              <w:jc w:val="right"/>
            </w:pPr>
            <w:r w:rsidRPr="009F6DEE">
              <w:t>0.922753</w:t>
            </w:r>
          </w:p>
        </w:tc>
        <w:tc>
          <w:tcPr>
            <w:tcW w:w="1134" w:type="dxa"/>
            <w:shd w:val="clear" w:color="auto" w:fill="auto"/>
            <w:noWrap/>
            <w:vAlign w:val="bottom"/>
            <w:hideMark/>
          </w:tcPr>
          <w:p w14:paraId="763A8C60" w14:textId="77777777" w:rsidR="002556C4" w:rsidRPr="009F6DEE" w:rsidRDefault="002556C4" w:rsidP="009F6DEE">
            <w:pPr>
              <w:jc w:val="right"/>
            </w:pPr>
            <w:r w:rsidRPr="009F6DEE">
              <w:t>9018</w:t>
            </w:r>
          </w:p>
        </w:tc>
        <w:tc>
          <w:tcPr>
            <w:tcW w:w="1701" w:type="dxa"/>
            <w:shd w:val="clear" w:color="auto" w:fill="auto"/>
            <w:noWrap/>
            <w:vAlign w:val="bottom"/>
            <w:hideMark/>
          </w:tcPr>
          <w:p w14:paraId="3F283E1B" w14:textId="77777777" w:rsidR="002556C4" w:rsidRPr="009F6DEE" w:rsidRDefault="002556C4" w:rsidP="009F6DEE">
            <w:r w:rsidRPr="009F6DEE">
              <w:t>Machinery</w:t>
            </w:r>
          </w:p>
        </w:tc>
      </w:tr>
      <w:tr w:rsidR="002556C4" w:rsidRPr="009F6DEE" w14:paraId="5B5E8E8E" w14:textId="77777777" w:rsidTr="00426B8A">
        <w:trPr>
          <w:trHeight w:val="386"/>
        </w:trPr>
        <w:tc>
          <w:tcPr>
            <w:tcW w:w="3681" w:type="dxa"/>
            <w:shd w:val="clear" w:color="auto" w:fill="auto"/>
            <w:noWrap/>
            <w:vAlign w:val="bottom"/>
            <w:hideMark/>
          </w:tcPr>
          <w:p w14:paraId="7D5E36BC" w14:textId="77777777" w:rsidR="002556C4" w:rsidRPr="009F6DEE" w:rsidRDefault="002556C4" w:rsidP="009F6DEE">
            <w:r w:rsidRPr="009F6DEE">
              <w:t>Electrical apparatus for &lt; 1k volts</w:t>
            </w:r>
          </w:p>
        </w:tc>
        <w:tc>
          <w:tcPr>
            <w:tcW w:w="1559" w:type="dxa"/>
            <w:shd w:val="clear" w:color="auto" w:fill="auto"/>
            <w:noWrap/>
            <w:vAlign w:val="bottom"/>
            <w:hideMark/>
          </w:tcPr>
          <w:p w14:paraId="2266D823" w14:textId="77777777" w:rsidR="002556C4" w:rsidRPr="009F6DEE" w:rsidRDefault="002556C4" w:rsidP="009F6DEE">
            <w:pPr>
              <w:jc w:val="right"/>
            </w:pPr>
            <w:r w:rsidRPr="009F6DEE">
              <w:t>16202498048</w:t>
            </w:r>
          </w:p>
        </w:tc>
        <w:tc>
          <w:tcPr>
            <w:tcW w:w="1276" w:type="dxa"/>
            <w:shd w:val="clear" w:color="auto" w:fill="auto"/>
            <w:noWrap/>
            <w:vAlign w:val="bottom"/>
            <w:hideMark/>
          </w:tcPr>
          <w:p w14:paraId="5E7E8AB5" w14:textId="77777777" w:rsidR="002556C4" w:rsidRPr="009F6DEE" w:rsidRDefault="002556C4" w:rsidP="009F6DEE">
            <w:pPr>
              <w:jc w:val="right"/>
            </w:pPr>
            <w:r w:rsidRPr="009F6DEE">
              <w:t>0.801188</w:t>
            </w:r>
          </w:p>
        </w:tc>
        <w:tc>
          <w:tcPr>
            <w:tcW w:w="1134" w:type="dxa"/>
            <w:shd w:val="clear" w:color="auto" w:fill="auto"/>
            <w:noWrap/>
            <w:vAlign w:val="bottom"/>
            <w:hideMark/>
          </w:tcPr>
          <w:p w14:paraId="379C3359" w14:textId="77777777" w:rsidR="002556C4" w:rsidRPr="009F6DEE" w:rsidRDefault="002556C4" w:rsidP="009F6DEE">
            <w:pPr>
              <w:jc w:val="right"/>
            </w:pPr>
            <w:r w:rsidRPr="009F6DEE">
              <w:t>8536</w:t>
            </w:r>
          </w:p>
        </w:tc>
        <w:tc>
          <w:tcPr>
            <w:tcW w:w="1701" w:type="dxa"/>
            <w:shd w:val="clear" w:color="auto" w:fill="auto"/>
            <w:noWrap/>
            <w:vAlign w:val="bottom"/>
            <w:hideMark/>
          </w:tcPr>
          <w:p w14:paraId="7E6A9EE4" w14:textId="77777777" w:rsidR="002556C4" w:rsidRPr="009F6DEE" w:rsidRDefault="002556C4" w:rsidP="009F6DEE">
            <w:r w:rsidRPr="009F6DEE">
              <w:t>Electronics</w:t>
            </w:r>
          </w:p>
        </w:tc>
      </w:tr>
      <w:tr w:rsidR="002556C4" w:rsidRPr="009F6DEE" w14:paraId="5A2D72BE" w14:textId="77777777" w:rsidTr="00426B8A">
        <w:trPr>
          <w:trHeight w:val="386"/>
        </w:trPr>
        <w:tc>
          <w:tcPr>
            <w:tcW w:w="3681" w:type="dxa"/>
            <w:shd w:val="clear" w:color="auto" w:fill="auto"/>
            <w:noWrap/>
            <w:vAlign w:val="bottom"/>
            <w:hideMark/>
          </w:tcPr>
          <w:p w14:paraId="558FD5FF" w14:textId="77777777" w:rsidR="002556C4" w:rsidRPr="009F6DEE" w:rsidRDefault="002556C4" w:rsidP="009F6DEE">
            <w:r w:rsidRPr="009F6DEE">
              <w:t>Electronic integrated circuits</w:t>
            </w:r>
          </w:p>
        </w:tc>
        <w:tc>
          <w:tcPr>
            <w:tcW w:w="1559" w:type="dxa"/>
            <w:shd w:val="clear" w:color="auto" w:fill="auto"/>
            <w:noWrap/>
            <w:vAlign w:val="bottom"/>
            <w:hideMark/>
          </w:tcPr>
          <w:p w14:paraId="0A116D82" w14:textId="77777777" w:rsidR="002556C4" w:rsidRPr="009F6DEE" w:rsidRDefault="002556C4" w:rsidP="009F6DEE">
            <w:pPr>
              <w:jc w:val="right"/>
            </w:pPr>
            <w:r w:rsidRPr="009F6DEE">
              <w:t>15972835328</w:t>
            </w:r>
          </w:p>
        </w:tc>
        <w:tc>
          <w:tcPr>
            <w:tcW w:w="1276" w:type="dxa"/>
            <w:shd w:val="clear" w:color="auto" w:fill="auto"/>
            <w:noWrap/>
            <w:vAlign w:val="bottom"/>
            <w:hideMark/>
          </w:tcPr>
          <w:p w14:paraId="59A2CDD8" w14:textId="77777777" w:rsidR="002556C4" w:rsidRPr="009F6DEE" w:rsidRDefault="002556C4" w:rsidP="009F6DEE">
            <w:pPr>
              <w:jc w:val="right"/>
            </w:pPr>
            <w:r w:rsidRPr="009F6DEE">
              <w:t>0.789832</w:t>
            </w:r>
          </w:p>
        </w:tc>
        <w:tc>
          <w:tcPr>
            <w:tcW w:w="1134" w:type="dxa"/>
            <w:shd w:val="clear" w:color="auto" w:fill="auto"/>
            <w:noWrap/>
            <w:vAlign w:val="bottom"/>
            <w:hideMark/>
          </w:tcPr>
          <w:p w14:paraId="55BFCB75" w14:textId="77777777" w:rsidR="002556C4" w:rsidRPr="009F6DEE" w:rsidRDefault="002556C4" w:rsidP="009F6DEE">
            <w:pPr>
              <w:jc w:val="right"/>
            </w:pPr>
            <w:r w:rsidRPr="009F6DEE">
              <w:t>8542</w:t>
            </w:r>
          </w:p>
        </w:tc>
        <w:tc>
          <w:tcPr>
            <w:tcW w:w="1701" w:type="dxa"/>
            <w:shd w:val="clear" w:color="auto" w:fill="auto"/>
            <w:noWrap/>
            <w:vAlign w:val="bottom"/>
            <w:hideMark/>
          </w:tcPr>
          <w:p w14:paraId="39ED283D" w14:textId="77777777" w:rsidR="002556C4" w:rsidRPr="009F6DEE" w:rsidRDefault="002556C4" w:rsidP="009F6DEE">
            <w:r w:rsidRPr="009F6DEE">
              <w:t>Electronics</w:t>
            </w:r>
          </w:p>
        </w:tc>
      </w:tr>
      <w:tr w:rsidR="002556C4" w:rsidRPr="009F6DEE" w14:paraId="0550368E" w14:textId="77777777" w:rsidTr="00426B8A">
        <w:trPr>
          <w:trHeight w:val="386"/>
        </w:trPr>
        <w:tc>
          <w:tcPr>
            <w:tcW w:w="3681" w:type="dxa"/>
            <w:shd w:val="clear" w:color="auto" w:fill="auto"/>
            <w:noWrap/>
            <w:vAlign w:val="bottom"/>
            <w:hideMark/>
          </w:tcPr>
          <w:p w14:paraId="1C97C0E9" w14:textId="77777777" w:rsidR="002556C4" w:rsidRPr="009F6DEE" w:rsidRDefault="002556C4" w:rsidP="009F6DEE">
            <w:r w:rsidRPr="009F6DEE">
              <w:t>Centrifuges</w:t>
            </w:r>
          </w:p>
        </w:tc>
        <w:tc>
          <w:tcPr>
            <w:tcW w:w="1559" w:type="dxa"/>
            <w:shd w:val="clear" w:color="auto" w:fill="auto"/>
            <w:noWrap/>
            <w:vAlign w:val="bottom"/>
            <w:hideMark/>
          </w:tcPr>
          <w:p w14:paraId="04D074FA" w14:textId="77777777" w:rsidR="002556C4" w:rsidRPr="009F6DEE" w:rsidRDefault="002556C4" w:rsidP="009F6DEE">
            <w:pPr>
              <w:jc w:val="right"/>
            </w:pPr>
            <w:r w:rsidRPr="009F6DEE">
              <w:t>15869719552</w:t>
            </w:r>
          </w:p>
        </w:tc>
        <w:tc>
          <w:tcPr>
            <w:tcW w:w="1276" w:type="dxa"/>
            <w:shd w:val="clear" w:color="auto" w:fill="auto"/>
            <w:noWrap/>
            <w:vAlign w:val="bottom"/>
            <w:hideMark/>
          </w:tcPr>
          <w:p w14:paraId="4C24557D" w14:textId="77777777" w:rsidR="002556C4" w:rsidRPr="009F6DEE" w:rsidRDefault="002556C4" w:rsidP="009F6DEE">
            <w:pPr>
              <w:jc w:val="right"/>
            </w:pPr>
            <w:r w:rsidRPr="009F6DEE">
              <w:t>0.784733</w:t>
            </w:r>
          </w:p>
        </w:tc>
        <w:tc>
          <w:tcPr>
            <w:tcW w:w="1134" w:type="dxa"/>
            <w:shd w:val="clear" w:color="auto" w:fill="auto"/>
            <w:noWrap/>
            <w:vAlign w:val="bottom"/>
            <w:hideMark/>
          </w:tcPr>
          <w:p w14:paraId="28F07EDE" w14:textId="77777777" w:rsidR="002556C4" w:rsidRPr="009F6DEE" w:rsidRDefault="002556C4" w:rsidP="009F6DEE">
            <w:pPr>
              <w:jc w:val="right"/>
            </w:pPr>
            <w:r w:rsidRPr="009F6DEE">
              <w:t>8421</w:t>
            </w:r>
          </w:p>
        </w:tc>
        <w:tc>
          <w:tcPr>
            <w:tcW w:w="1701" w:type="dxa"/>
            <w:shd w:val="clear" w:color="auto" w:fill="auto"/>
            <w:noWrap/>
            <w:vAlign w:val="bottom"/>
            <w:hideMark/>
          </w:tcPr>
          <w:p w14:paraId="2D3FD80D" w14:textId="77777777" w:rsidR="002556C4" w:rsidRPr="009F6DEE" w:rsidRDefault="002556C4" w:rsidP="009F6DEE">
            <w:r w:rsidRPr="009F6DEE">
              <w:t>Machinery</w:t>
            </w:r>
          </w:p>
        </w:tc>
      </w:tr>
      <w:tr w:rsidR="002556C4" w:rsidRPr="009F6DEE" w14:paraId="659F0C37" w14:textId="77777777" w:rsidTr="00426B8A">
        <w:trPr>
          <w:trHeight w:val="386"/>
        </w:trPr>
        <w:tc>
          <w:tcPr>
            <w:tcW w:w="3681" w:type="dxa"/>
            <w:shd w:val="clear" w:color="auto" w:fill="auto"/>
            <w:noWrap/>
            <w:vAlign w:val="bottom"/>
            <w:hideMark/>
          </w:tcPr>
          <w:p w14:paraId="7149922A" w14:textId="77777777" w:rsidR="002556C4" w:rsidRPr="009F6DEE" w:rsidRDefault="002556C4" w:rsidP="009F6DEE">
            <w:r w:rsidRPr="009F6DEE">
              <w:t>Appliances for thermostatically controlled valves</w:t>
            </w:r>
          </w:p>
        </w:tc>
        <w:tc>
          <w:tcPr>
            <w:tcW w:w="1559" w:type="dxa"/>
            <w:shd w:val="clear" w:color="auto" w:fill="auto"/>
            <w:noWrap/>
            <w:vAlign w:val="bottom"/>
            <w:hideMark/>
          </w:tcPr>
          <w:p w14:paraId="2E795862" w14:textId="77777777" w:rsidR="002556C4" w:rsidRPr="009F6DEE" w:rsidRDefault="002556C4" w:rsidP="009F6DEE">
            <w:pPr>
              <w:jc w:val="right"/>
            </w:pPr>
            <w:r w:rsidRPr="009F6DEE">
              <w:t>15007036416</w:t>
            </w:r>
          </w:p>
        </w:tc>
        <w:tc>
          <w:tcPr>
            <w:tcW w:w="1276" w:type="dxa"/>
            <w:shd w:val="clear" w:color="auto" w:fill="auto"/>
            <w:noWrap/>
            <w:vAlign w:val="bottom"/>
            <w:hideMark/>
          </w:tcPr>
          <w:p w14:paraId="00407CA6" w14:textId="77777777" w:rsidR="002556C4" w:rsidRPr="009F6DEE" w:rsidRDefault="002556C4" w:rsidP="009F6DEE">
            <w:pPr>
              <w:jc w:val="right"/>
            </w:pPr>
            <w:r w:rsidRPr="009F6DEE">
              <w:t>0.742075</w:t>
            </w:r>
          </w:p>
        </w:tc>
        <w:tc>
          <w:tcPr>
            <w:tcW w:w="1134" w:type="dxa"/>
            <w:shd w:val="clear" w:color="auto" w:fill="auto"/>
            <w:noWrap/>
            <w:vAlign w:val="bottom"/>
            <w:hideMark/>
          </w:tcPr>
          <w:p w14:paraId="44FAA600" w14:textId="77777777" w:rsidR="002556C4" w:rsidRPr="009F6DEE" w:rsidRDefault="002556C4" w:rsidP="009F6DEE">
            <w:pPr>
              <w:jc w:val="right"/>
            </w:pPr>
            <w:r w:rsidRPr="009F6DEE">
              <w:t>8481</w:t>
            </w:r>
          </w:p>
        </w:tc>
        <w:tc>
          <w:tcPr>
            <w:tcW w:w="1701" w:type="dxa"/>
            <w:shd w:val="clear" w:color="auto" w:fill="auto"/>
            <w:noWrap/>
            <w:vAlign w:val="bottom"/>
            <w:hideMark/>
          </w:tcPr>
          <w:p w14:paraId="5EBF2298" w14:textId="77777777" w:rsidR="002556C4" w:rsidRPr="009F6DEE" w:rsidRDefault="002556C4" w:rsidP="009F6DEE">
            <w:r w:rsidRPr="009F6DEE">
              <w:t>Machinery</w:t>
            </w:r>
          </w:p>
        </w:tc>
      </w:tr>
      <w:tr w:rsidR="002556C4" w:rsidRPr="009F6DEE" w14:paraId="40B0A015" w14:textId="77777777" w:rsidTr="00426B8A">
        <w:trPr>
          <w:trHeight w:val="386"/>
        </w:trPr>
        <w:tc>
          <w:tcPr>
            <w:tcW w:w="3681" w:type="dxa"/>
            <w:shd w:val="clear" w:color="auto" w:fill="auto"/>
            <w:noWrap/>
            <w:vAlign w:val="bottom"/>
            <w:hideMark/>
          </w:tcPr>
          <w:p w14:paraId="21A48282" w14:textId="77777777" w:rsidR="002556C4" w:rsidRPr="009F6DEE" w:rsidRDefault="002556C4" w:rsidP="009F6DEE">
            <w:r w:rsidRPr="009F6DEE">
              <w:t>Petroleum oils, refined</w:t>
            </w:r>
          </w:p>
        </w:tc>
        <w:tc>
          <w:tcPr>
            <w:tcW w:w="1559" w:type="dxa"/>
            <w:shd w:val="clear" w:color="auto" w:fill="auto"/>
            <w:noWrap/>
            <w:vAlign w:val="bottom"/>
            <w:hideMark/>
          </w:tcPr>
          <w:p w14:paraId="3F2F779D" w14:textId="77777777" w:rsidR="002556C4" w:rsidRPr="009F6DEE" w:rsidRDefault="002556C4" w:rsidP="009F6DEE">
            <w:pPr>
              <w:jc w:val="right"/>
            </w:pPr>
            <w:r w:rsidRPr="009F6DEE">
              <w:t>14968847360</w:t>
            </w:r>
          </w:p>
        </w:tc>
        <w:tc>
          <w:tcPr>
            <w:tcW w:w="1276" w:type="dxa"/>
            <w:shd w:val="clear" w:color="auto" w:fill="auto"/>
            <w:noWrap/>
            <w:vAlign w:val="bottom"/>
            <w:hideMark/>
          </w:tcPr>
          <w:p w14:paraId="1B0C9954" w14:textId="77777777" w:rsidR="002556C4" w:rsidRPr="009F6DEE" w:rsidRDefault="002556C4" w:rsidP="009F6DEE">
            <w:pPr>
              <w:jc w:val="right"/>
            </w:pPr>
            <w:r w:rsidRPr="009F6DEE">
              <w:t>0.740186</w:t>
            </w:r>
          </w:p>
        </w:tc>
        <w:tc>
          <w:tcPr>
            <w:tcW w:w="1134" w:type="dxa"/>
            <w:shd w:val="clear" w:color="auto" w:fill="auto"/>
            <w:noWrap/>
            <w:vAlign w:val="bottom"/>
            <w:hideMark/>
          </w:tcPr>
          <w:p w14:paraId="4D62F672" w14:textId="77777777" w:rsidR="002556C4" w:rsidRPr="009F6DEE" w:rsidRDefault="002556C4" w:rsidP="009F6DEE">
            <w:pPr>
              <w:jc w:val="right"/>
            </w:pPr>
            <w:r w:rsidRPr="009F6DEE">
              <w:t>2710</w:t>
            </w:r>
          </w:p>
        </w:tc>
        <w:tc>
          <w:tcPr>
            <w:tcW w:w="1701" w:type="dxa"/>
            <w:shd w:val="clear" w:color="auto" w:fill="auto"/>
            <w:noWrap/>
            <w:vAlign w:val="bottom"/>
            <w:hideMark/>
          </w:tcPr>
          <w:p w14:paraId="68953F77" w14:textId="77777777" w:rsidR="002556C4" w:rsidRPr="009F6DEE" w:rsidRDefault="002556C4" w:rsidP="009F6DEE">
            <w:r w:rsidRPr="009F6DEE">
              <w:t>Minerals</w:t>
            </w:r>
          </w:p>
        </w:tc>
      </w:tr>
      <w:tr w:rsidR="002556C4" w:rsidRPr="009F6DEE" w14:paraId="174248E4" w14:textId="77777777" w:rsidTr="00426B8A">
        <w:trPr>
          <w:trHeight w:val="386"/>
        </w:trPr>
        <w:tc>
          <w:tcPr>
            <w:tcW w:w="3681" w:type="dxa"/>
            <w:shd w:val="clear" w:color="auto" w:fill="auto"/>
            <w:noWrap/>
            <w:vAlign w:val="bottom"/>
            <w:hideMark/>
          </w:tcPr>
          <w:p w14:paraId="52FA1607" w14:textId="77777777" w:rsidR="002556C4" w:rsidRPr="009F6DEE" w:rsidRDefault="002556C4" w:rsidP="009F6DEE">
            <w:r w:rsidRPr="009F6DEE">
              <w:t>Computers</w:t>
            </w:r>
          </w:p>
        </w:tc>
        <w:tc>
          <w:tcPr>
            <w:tcW w:w="1559" w:type="dxa"/>
            <w:shd w:val="clear" w:color="auto" w:fill="auto"/>
            <w:noWrap/>
            <w:vAlign w:val="bottom"/>
            <w:hideMark/>
          </w:tcPr>
          <w:p w14:paraId="5F2BE08F" w14:textId="77777777" w:rsidR="002556C4" w:rsidRPr="009F6DEE" w:rsidRDefault="002556C4" w:rsidP="009F6DEE">
            <w:pPr>
              <w:jc w:val="right"/>
            </w:pPr>
            <w:r w:rsidRPr="009F6DEE">
              <w:t>13723910144</w:t>
            </w:r>
          </w:p>
        </w:tc>
        <w:tc>
          <w:tcPr>
            <w:tcW w:w="1276" w:type="dxa"/>
            <w:shd w:val="clear" w:color="auto" w:fill="auto"/>
            <w:noWrap/>
            <w:vAlign w:val="bottom"/>
            <w:hideMark/>
          </w:tcPr>
          <w:p w14:paraId="3152BBDF" w14:textId="77777777" w:rsidR="002556C4" w:rsidRPr="009F6DEE" w:rsidRDefault="002556C4" w:rsidP="009F6DEE">
            <w:pPr>
              <w:jc w:val="right"/>
            </w:pPr>
            <w:r w:rsidRPr="009F6DEE">
              <w:t>0.678626</w:t>
            </w:r>
          </w:p>
        </w:tc>
        <w:tc>
          <w:tcPr>
            <w:tcW w:w="1134" w:type="dxa"/>
            <w:shd w:val="clear" w:color="auto" w:fill="auto"/>
            <w:noWrap/>
            <w:vAlign w:val="bottom"/>
            <w:hideMark/>
          </w:tcPr>
          <w:p w14:paraId="4DFE1F65" w14:textId="77777777" w:rsidR="002556C4" w:rsidRPr="009F6DEE" w:rsidRDefault="002556C4" w:rsidP="009F6DEE">
            <w:pPr>
              <w:jc w:val="right"/>
            </w:pPr>
            <w:r w:rsidRPr="009F6DEE">
              <w:t>8471</w:t>
            </w:r>
          </w:p>
        </w:tc>
        <w:tc>
          <w:tcPr>
            <w:tcW w:w="1701" w:type="dxa"/>
            <w:shd w:val="clear" w:color="auto" w:fill="auto"/>
            <w:noWrap/>
            <w:vAlign w:val="bottom"/>
            <w:hideMark/>
          </w:tcPr>
          <w:p w14:paraId="2907472D" w14:textId="77777777" w:rsidR="002556C4" w:rsidRPr="009F6DEE" w:rsidRDefault="002556C4" w:rsidP="009F6DEE">
            <w:r w:rsidRPr="009F6DEE">
              <w:t>Machinery</w:t>
            </w:r>
          </w:p>
        </w:tc>
      </w:tr>
      <w:tr w:rsidR="002556C4" w:rsidRPr="009F6DEE" w14:paraId="686241B7" w14:textId="77777777" w:rsidTr="00426B8A">
        <w:trPr>
          <w:trHeight w:val="386"/>
        </w:trPr>
        <w:tc>
          <w:tcPr>
            <w:tcW w:w="3681" w:type="dxa"/>
            <w:shd w:val="clear" w:color="auto" w:fill="auto"/>
            <w:noWrap/>
            <w:vAlign w:val="bottom"/>
            <w:hideMark/>
          </w:tcPr>
          <w:p w14:paraId="64F30780" w14:textId="77777777" w:rsidR="002556C4" w:rsidRPr="009F6DEE" w:rsidRDefault="002556C4" w:rsidP="009F6DEE">
            <w:r w:rsidRPr="009F6DEE">
              <w:t>Transmission shafts</w:t>
            </w:r>
          </w:p>
        </w:tc>
        <w:tc>
          <w:tcPr>
            <w:tcW w:w="1559" w:type="dxa"/>
            <w:shd w:val="clear" w:color="auto" w:fill="auto"/>
            <w:noWrap/>
            <w:vAlign w:val="bottom"/>
            <w:hideMark/>
          </w:tcPr>
          <w:p w14:paraId="5A73ADF0" w14:textId="77777777" w:rsidR="002556C4" w:rsidRPr="009F6DEE" w:rsidRDefault="002556C4" w:rsidP="009F6DEE">
            <w:pPr>
              <w:jc w:val="right"/>
            </w:pPr>
            <w:r w:rsidRPr="009F6DEE">
              <w:t>12940678144</w:t>
            </w:r>
          </w:p>
        </w:tc>
        <w:tc>
          <w:tcPr>
            <w:tcW w:w="1276" w:type="dxa"/>
            <w:shd w:val="clear" w:color="auto" w:fill="auto"/>
            <w:noWrap/>
            <w:vAlign w:val="bottom"/>
            <w:hideMark/>
          </w:tcPr>
          <w:p w14:paraId="22E4B45E" w14:textId="77777777" w:rsidR="002556C4" w:rsidRPr="009F6DEE" w:rsidRDefault="002556C4" w:rsidP="009F6DEE">
            <w:pPr>
              <w:jc w:val="right"/>
            </w:pPr>
            <w:r w:rsidRPr="009F6DEE">
              <w:t>0.639896</w:t>
            </w:r>
          </w:p>
        </w:tc>
        <w:tc>
          <w:tcPr>
            <w:tcW w:w="1134" w:type="dxa"/>
            <w:shd w:val="clear" w:color="auto" w:fill="auto"/>
            <w:noWrap/>
            <w:vAlign w:val="bottom"/>
            <w:hideMark/>
          </w:tcPr>
          <w:p w14:paraId="3AE84E5E" w14:textId="77777777" w:rsidR="002556C4" w:rsidRPr="009F6DEE" w:rsidRDefault="002556C4" w:rsidP="009F6DEE">
            <w:pPr>
              <w:jc w:val="right"/>
            </w:pPr>
            <w:r w:rsidRPr="009F6DEE">
              <w:t>8483</w:t>
            </w:r>
          </w:p>
        </w:tc>
        <w:tc>
          <w:tcPr>
            <w:tcW w:w="1701" w:type="dxa"/>
            <w:shd w:val="clear" w:color="auto" w:fill="auto"/>
            <w:noWrap/>
            <w:vAlign w:val="bottom"/>
            <w:hideMark/>
          </w:tcPr>
          <w:p w14:paraId="7D134C47" w14:textId="77777777" w:rsidR="002556C4" w:rsidRPr="009F6DEE" w:rsidRDefault="002556C4" w:rsidP="009F6DEE">
            <w:r w:rsidRPr="009F6DEE">
              <w:t>Machinery</w:t>
            </w:r>
          </w:p>
        </w:tc>
      </w:tr>
      <w:tr w:rsidR="002556C4" w:rsidRPr="009F6DEE" w14:paraId="32D88B47" w14:textId="77777777" w:rsidTr="00426B8A">
        <w:trPr>
          <w:trHeight w:val="386"/>
        </w:trPr>
        <w:tc>
          <w:tcPr>
            <w:tcW w:w="3681" w:type="dxa"/>
            <w:shd w:val="clear" w:color="auto" w:fill="auto"/>
            <w:noWrap/>
            <w:vAlign w:val="bottom"/>
            <w:hideMark/>
          </w:tcPr>
          <w:p w14:paraId="1C80087D" w14:textId="77777777" w:rsidR="002556C4" w:rsidRPr="009F6DEE" w:rsidRDefault="002556C4" w:rsidP="009F6DEE">
            <w:r w:rsidRPr="009F6DEE">
              <w:t>Parts suitable for use with spark-ignition engines</w:t>
            </w:r>
          </w:p>
        </w:tc>
        <w:tc>
          <w:tcPr>
            <w:tcW w:w="1559" w:type="dxa"/>
            <w:shd w:val="clear" w:color="auto" w:fill="auto"/>
            <w:noWrap/>
            <w:vAlign w:val="bottom"/>
            <w:hideMark/>
          </w:tcPr>
          <w:p w14:paraId="76D25250" w14:textId="77777777" w:rsidR="002556C4" w:rsidRPr="009F6DEE" w:rsidRDefault="002556C4" w:rsidP="009F6DEE">
            <w:pPr>
              <w:jc w:val="right"/>
            </w:pPr>
            <w:r w:rsidRPr="009F6DEE">
              <w:t>12887880704</w:t>
            </w:r>
          </w:p>
        </w:tc>
        <w:tc>
          <w:tcPr>
            <w:tcW w:w="1276" w:type="dxa"/>
            <w:shd w:val="clear" w:color="auto" w:fill="auto"/>
            <w:noWrap/>
            <w:vAlign w:val="bottom"/>
            <w:hideMark/>
          </w:tcPr>
          <w:p w14:paraId="7DACBC06" w14:textId="77777777" w:rsidR="002556C4" w:rsidRPr="009F6DEE" w:rsidRDefault="002556C4" w:rsidP="009F6DEE">
            <w:pPr>
              <w:jc w:val="right"/>
            </w:pPr>
            <w:r w:rsidRPr="009F6DEE">
              <w:t>0.637286</w:t>
            </w:r>
          </w:p>
        </w:tc>
        <w:tc>
          <w:tcPr>
            <w:tcW w:w="1134" w:type="dxa"/>
            <w:shd w:val="clear" w:color="auto" w:fill="auto"/>
            <w:noWrap/>
            <w:vAlign w:val="bottom"/>
            <w:hideMark/>
          </w:tcPr>
          <w:p w14:paraId="66B620D9" w14:textId="77777777" w:rsidR="002556C4" w:rsidRPr="009F6DEE" w:rsidRDefault="002556C4" w:rsidP="009F6DEE">
            <w:pPr>
              <w:jc w:val="right"/>
            </w:pPr>
            <w:r w:rsidRPr="009F6DEE">
              <w:t>8409</w:t>
            </w:r>
          </w:p>
        </w:tc>
        <w:tc>
          <w:tcPr>
            <w:tcW w:w="1701" w:type="dxa"/>
            <w:shd w:val="clear" w:color="auto" w:fill="auto"/>
            <w:noWrap/>
            <w:vAlign w:val="bottom"/>
            <w:hideMark/>
          </w:tcPr>
          <w:p w14:paraId="7417099C" w14:textId="77777777" w:rsidR="002556C4" w:rsidRPr="009F6DEE" w:rsidRDefault="002556C4" w:rsidP="009F6DEE">
            <w:r w:rsidRPr="009F6DEE">
              <w:t>Machinery</w:t>
            </w:r>
          </w:p>
        </w:tc>
      </w:tr>
      <w:tr w:rsidR="002556C4" w:rsidRPr="009F6DEE" w14:paraId="17A12E2F" w14:textId="77777777" w:rsidTr="00426B8A">
        <w:trPr>
          <w:trHeight w:val="386"/>
        </w:trPr>
        <w:tc>
          <w:tcPr>
            <w:tcW w:w="3681" w:type="dxa"/>
            <w:shd w:val="clear" w:color="auto" w:fill="auto"/>
            <w:noWrap/>
            <w:vAlign w:val="bottom"/>
            <w:hideMark/>
          </w:tcPr>
          <w:p w14:paraId="3863E1F5" w14:textId="77777777" w:rsidR="002556C4" w:rsidRPr="009F6DEE" w:rsidRDefault="002556C4" w:rsidP="009F6DEE">
            <w:r w:rsidRPr="009F6DEE">
              <w:t>Electrical boards</w:t>
            </w:r>
          </w:p>
        </w:tc>
        <w:tc>
          <w:tcPr>
            <w:tcW w:w="1559" w:type="dxa"/>
            <w:shd w:val="clear" w:color="auto" w:fill="auto"/>
            <w:noWrap/>
            <w:vAlign w:val="bottom"/>
            <w:hideMark/>
          </w:tcPr>
          <w:p w14:paraId="6AE05290" w14:textId="77777777" w:rsidR="002556C4" w:rsidRPr="009F6DEE" w:rsidRDefault="002556C4" w:rsidP="009F6DEE">
            <w:pPr>
              <w:jc w:val="right"/>
            </w:pPr>
            <w:r w:rsidRPr="009F6DEE">
              <w:t>12564934656</w:t>
            </w:r>
          </w:p>
        </w:tc>
        <w:tc>
          <w:tcPr>
            <w:tcW w:w="1276" w:type="dxa"/>
            <w:shd w:val="clear" w:color="auto" w:fill="auto"/>
            <w:noWrap/>
            <w:vAlign w:val="bottom"/>
            <w:hideMark/>
          </w:tcPr>
          <w:p w14:paraId="3ACC40FE" w14:textId="77777777" w:rsidR="002556C4" w:rsidRPr="009F6DEE" w:rsidRDefault="002556C4" w:rsidP="009F6DEE">
            <w:pPr>
              <w:jc w:val="right"/>
            </w:pPr>
            <w:r w:rsidRPr="009F6DEE">
              <w:t>0.621316</w:t>
            </w:r>
          </w:p>
        </w:tc>
        <w:tc>
          <w:tcPr>
            <w:tcW w:w="1134" w:type="dxa"/>
            <w:shd w:val="clear" w:color="auto" w:fill="auto"/>
            <w:noWrap/>
            <w:vAlign w:val="bottom"/>
            <w:hideMark/>
          </w:tcPr>
          <w:p w14:paraId="48E632A7" w14:textId="77777777" w:rsidR="002556C4" w:rsidRPr="009F6DEE" w:rsidRDefault="002556C4" w:rsidP="009F6DEE">
            <w:pPr>
              <w:jc w:val="right"/>
            </w:pPr>
            <w:r w:rsidRPr="009F6DEE">
              <w:t>8537</w:t>
            </w:r>
          </w:p>
        </w:tc>
        <w:tc>
          <w:tcPr>
            <w:tcW w:w="1701" w:type="dxa"/>
            <w:shd w:val="clear" w:color="auto" w:fill="auto"/>
            <w:noWrap/>
            <w:vAlign w:val="bottom"/>
            <w:hideMark/>
          </w:tcPr>
          <w:p w14:paraId="42321D77" w14:textId="77777777" w:rsidR="002556C4" w:rsidRPr="009F6DEE" w:rsidRDefault="002556C4" w:rsidP="009F6DEE">
            <w:r w:rsidRPr="009F6DEE">
              <w:t>Electronics</w:t>
            </w:r>
          </w:p>
        </w:tc>
      </w:tr>
      <w:tr w:rsidR="002556C4" w:rsidRPr="009F6DEE" w14:paraId="7AC70D9D" w14:textId="77777777" w:rsidTr="00426B8A">
        <w:trPr>
          <w:trHeight w:val="386"/>
        </w:trPr>
        <w:tc>
          <w:tcPr>
            <w:tcW w:w="3681" w:type="dxa"/>
            <w:shd w:val="clear" w:color="auto" w:fill="auto"/>
            <w:noWrap/>
            <w:vAlign w:val="bottom"/>
            <w:hideMark/>
          </w:tcPr>
          <w:p w14:paraId="1D756D49" w14:textId="77777777" w:rsidR="002556C4" w:rsidRPr="009F6DEE" w:rsidRDefault="002556C4" w:rsidP="009F6DEE">
            <w:r w:rsidRPr="009F6DEE">
              <w:t>Pumps for liquids</w:t>
            </w:r>
          </w:p>
        </w:tc>
        <w:tc>
          <w:tcPr>
            <w:tcW w:w="1559" w:type="dxa"/>
            <w:shd w:val="clear" w:color="auto" w:fill="auto"/>
            <w:noWrap/>
            <w:vAlign w:val="bottom"/>
            <w:hideMark/>
          </w:tcPr>
          <w:p w14:paraId="3CEE4371" w14:textId="77777777" w:rsidR="002556C4" w:rsidRPr="009F6DEE" w:rsidRDefault="002556C4" w:rsidP="009F6DEE">
            <w:pPr>
              <w:jc w:val="right"/>
            </w:pPr>
            <w:r w:rsidRPr="009F6DEE">
              <w:t>11533106176</w:t>
            </w:r>
          </w:p>
        </w:tc>
        <w:tc>
          <w:tcPr>
            <w:tcW w:w="1276" w:type="dxa"/>
            <w:shd w:val="clear" w:color="auto" w:fill="auto"/>
            <w:noWrap/>
            <w:vAlign w:val="bottom"/>
            <w:hideMark/>
          </w:tcPr>
          <w:p w14:paraId="1B9E0930" w14:textId="77777777" w:rsidR="002556C4" w:rsidRPr="009F6DEE" w:rsidRDefault="002556C4" w:rsidP="009F6DEE">
            <w:pPr>
              <w:jc w:val="right"/>
            </w:pPr>
            <w:r w:rsidRPr="009F6DEE">
              <w:t>0.570294</w:t>
            </w:r>
          </w:p>
        </w:tc>
        <w:tc>
          <w:tcPr>
            <w:tcW w:w="1134" w:type="dxa"/>
            <w:shd w:val="clear" w:color="auto" w:fill="auto"/>
            <w:noWrap/>
            <w:vAlign w:val="bottom"/>
            <w:hideMark/>
          </w:tcPr>
          <w:p w14:paraId="18D346B0" w14:textId="77777777" w:rsidR="002556C4" w:rsidRPr="009F6DEE" w:rsidRDefault="002556C4" w:rsidP="009F6DEE">
            <w:pPr>
              <w:jc w:val="right"/>
            </w:pPr>
            <w:r w:rsidRPr="009F6DEE">
              <w:t>8413</w:t>
            </w:r>
          </w:p>
        </w:tc>
        <w:tc>
          <w:tcPr>
            <w:tcW w:w="1701" w:type="dxa"/>
            <w:shd w:val="clear" w:color="auto" w:fill="auto"/>
            <w:noWrap/>
            <w:vAlign w:val="bottom"/>
            <w:hideMark/>
          </w:tcPr>
          <w:p w14:paraId="7C4B9604" w14:textId="77777777" w:rsidR="002556C4" w:rsidRPr="009F6DEE" w:rsidRDefault="002556C4" w:rsidP="009F6DEE">
            <w:r w:rsidRPr="009F6DEE">
              <w:t>Machinery</w:t>
            </w:r>
          </w:p>
        </w:tc>
      </w:tr>
      <w:tr w:rsidR="002556C4" w:rsidRPr="009F6DEE" w14:paraId="78EF5D60" w14:textId="77777777" w:rsidTr="00426B8A">
        <w:trPr>
          <w:trHeight w:val="386"/>
        </w:trPr>
        <w:tc>
          <w:tcPr>
            <w:tcW w:w="3681" w:type="dxa"/>
            <w:shd w:val="clear" w:color="auto" w:fill="auto"/>
            <w:noWrap/>
            <w:vAlign w:val="bottom"/>
            <w:hideMark/>
          </w:tcPr>
          <w:p w14:paraId="41622B1C" w14:textId="77777777" w:rsidR="002556C4" w:rsidRPr="009F6DEE" w:rsidRDefault="002556C4" w:rsidP="009F6DEE">
            <w:r w:rsidRPr="009F6DEE">
              <w:t>Electrical transformers</w:t>
            </w:r>
          </w:p>
        </w:tc>
        <w:tc>
          <w:tcPr>
            <w:tcW w:w="1559" w:type="dxa"/>
            <w:shd w:val="clear" w:color="auto" w:fill="auto"/>
            <w:noWrap/>
            <w:vAlign w:val="bottom"/>
            <w:hideMark/>
          </w:tcPr>
          <w:p w14:paraId="6E1C9A60" w14:textId="77777777" w:rsidR="002556C4" w:rsidRPr="009F6DEE" w:rsidRDefault="002556C4" w:rsidP="009F6DEE">
            <w:pPr>
              <w:jc w:val="right"/>
            </w:pPr>
            <w:r w:rsidRPr="009F6DEE">
              <w:t>11349756928</w:t>
            </w:r>
          </w:p>
        </w:tc>
        <w:tc>
          <w:tcPr>
            <w:tcW w:w="1276" w:type="dxa"/>
            <w:shd w:val="clear" w:color="auto" w:fill="auto"/>
            <w:noWrap/>
            <w:vAlign w:val="bottom"/>
            <w:hideMark/>
          </w:tcPr>
          <w:p w14:paraId="5A5B4079" w14:textId="77777777" w:rsidR="002556C4" w:rsidRPr="009F6DEE" w:rsidRDefault="002556C4" w:rsidP="009F6DEE">
            <w:pPr>
              <w:jc w:val="right"/>
            </w:pPr>
            <w:r w:rsidRPr="009F6DEE">
              <w:t>0.561228</w:t>
            </w:r>
          </w:p>
        </w:tc>
        <w:tc>
          <w:tcPr>
            <w:tcW w:w="1134" w:type="dxa"/>
            <w:shd w:val="clear" w:color="auto" w:fill="auto"/>
            <w:noWrap/>
            <w:vAlign w:val="bottom"/>
            <w:hideMark/>
          </w:tcPr>
          <w:p w14:paraId="79C53580" w14:textId="77777777" w:rsidR="002556C4" w:rsidRPr="009F6DEE" w:rsidRDefault="002556C4" w:rsidP="009F6DEE">
            <w:pPr>
              <w:jc w:val="right"/>
            </w:pPr>
            <w:r w:rsidRPr="009F6DEE">
              <w:t>8504</w:t>
            </w:r>
          </w:p>
        </w:tc>
        <w:tc>
          <w:tcPr>
            <w:tcW w:w="1701" w:type="dxa"/>
            <w:shd w:val="clear" w:color="auto" w:fill="auto"/>
            <w:noWrap/>
            <w:vAlign w:val="bottom"/>
            <w:hideMark/>
          </w:tcPr>
          <w:p w14:paraId="1DA25DA6" w14:textId="77777777" w:rsidR="002556C4" w:rsidRPr="009F6DEE" w:rsidRDefault="002556C4" w:rsidP="009F6DEE">
            <w:r w:rsidRPr="009F6DEE">
              <w:t>Electronics</w:t>
            </w:r>
          </w:p>
        </w:tc>
      </w:tr>
      <w:tr w:rsidR="002556C4" w:rsidRPr="009F6DEE" w14:paraId="706547BF" w14:textId="77777777" w:rsidTr="00426B8A">
        <w:trPr>
          <w:trHeight w:val="386"/>
        </w:trPr>
        <w:tc>
          <w:tcPr>
            <w:tcW w:w="3681" w:type="dxa"/>
            <w:shd w:val="clear" w:color="auto" w:fill="auto"/>
            <w:noWrap/>
            <w:vAlign w:val="bottom"/>
            <w:hideMark/>
          </w:tcPr>
          <w:p w14:paraId="11DE354C" w14:textId="77777777" w:rsidR="002556C4" w:rsidRPr="009F6DEE" w:rsidRDefault="002556C4" w:rsidP="009F6DEE">
            <w:r w:rsidRPr="009F6DEE">
              <w:t>Other articles of plastic</w:t>
            </w:r>
          </w:p>
        </w:tc>
        <w:tc>
          <w:tcPr>
            <w:tcW w:w="1559" w:type="dxa"/>
            <w:shd w:val="clear" w:color="auto" w:fill="auto"/>
            <w:noWrap/>
            <w:vAlign w:val="bottom"/>
            <w:hideMark/>
          </w:tcPr>
          <w:p w14:paraId="14AF5D2F" w14:textId="77777777" w:rsidR="002556C4" w:rsidRPr="009F6DEE" w:rsidRDefault="002556C4" w:rsidP="009F6DEE">
            <w:pPr>
              <w:jc w:val="right"/>
            </w:pPr>
            <w:r w:rsidRPr="009F6DEE">
              <w:t>11294741504</w:t>
            </w:r>
          </w:p>
        </w:tc>
        <w:tc>
          <w:tcPr>
            <w:tcW w:w="1276" w:type="dxa"/>
            <w:shd w:val="clear" w:color="auto" w:fill="auto"/>
            <w:noWrap/>
            <w:vAlign w:val="bottom"/>
            <w:hideMark/>
          </w:tcPr>
          <w:p w14:paraId="26968CDF" w14:textId="77777777" w:rsidR="002556C4" w:rsidRPr="009F6DEE" w:rsidRDefault="002556C4" w:rsidP="009F6DEE">
            <w:pPr>
              <w:jc w:val="right"/>
            </w:pPr>
            <w:r w:rsidRPr="009F6DEE">
              <w:t>0.558507</w:t>
            </w:r>
          </w:p>
        </w:tc>
        <w:tc>
          <w:tcPr>
            <w:tcW w:w="1134" w:type="dxa"/>
            <w:shd w:val="clear" w:color="auto" w:fill="auto"/>
            <w:noWrap/>
            <w:vAlign w:val="bottom"/>
            <w:hideMark/>
          </w:tcPr>
          <w:p w14:paraId="78A714B6" w14:textId="77777777" w:rsidR="002556C4" w:rsidRPr="009F6DEE" w:rsidRDefault="002556C4" w:rsidP="009F6DEE">
            <w:pPr>
              <w:jc w:val="right"/>
            </w:pPr>
            <w:r w:rsidRPr="009F6DEE">
              <w:t>3926</w:t>
            </w:r>
          </w:p>
        </w:tc>
        <w:tc>
          <w:tcPr>
            <w:tcW w:w="1701" w:type="dxa"/>
            <w:shd w:val="clear" w:color="auto" w:fill="auto"/>
            <w:noWrap/>
            <w:vAlign w:val="bottom"/>
            <w:hideMark/>
          </w:tcPr>
          <w:p w14:paraId="3CD271D2" w14:textId="77777777" w:rsidR="002556C4" w:rsidRPr="009F6DEE" w:rsidRDefault="002556C4" w:rsidP="009F6DEE">
            <w:r w:rsidRPr="009F6DEE">
              <w:t>Chemicals</w:t>
            </w:r>
          </w:p>
        </w:tc>
      </w:tr>
      <w:tr w:rsidR="002556C4" w:rsidRPr="009F6DEE" w14:paraId="4A6CF138" w14:textId="77777777" w:rsidTr="00426B8A">
        <w:trPr>
          <w:trHeight w:val="386"/>
        </w:trPr>
        <w:tc>
          <w:tcPr>
            <w:tcW w:w="3681" w:type="dxa"/>
            <w:shd w:val="clear" w:color="auto" w:fill="auto"/>
            <w:noWrap/>
            <w:vAlign w:val="bottom"/>
            <w:hideMark/>
          </w:tcPr>
          <w:p w14:paraId="787E6F02" w14:textId="77777777" w:rsidR="002556C4" w:rsidRPr="009F6DEE" w:rsidRDefault="002556C4" w:rsidP="009F6DEE">
            <w:r w:rsidRPr="009F6DEE">
              <w:t xml:space="preserve">Transmission apparatus for radio, </w:t>
            </w:r>
            <w:proofErr w:type="gramStart"/>
            <w:r w:rsidRPr="009F6DEE">
              <w:t>telephone</w:t>
            </w:r>
            <w:proofErr w:type="gramEnd"/>
            <w:r w:rsidRPr="009F6DEE">
              <w:t xml:space="preserve"> and TV</w:t>
            </w:r>
          </w:p>
        </w:tc>
        <w:tc>
          <w:tcPr>
            <w:tcW w:w="1559" w:type="dxa"/>
            <w:shd w:val="clear" w:color="auto" w:fill="auto"/>
            <w:noWrap/>
            <w:vAlign w:val="bottom"/>
            <w:hideMark/>
          </w:tcPr>
          <w:p w14:paraId="25758D0D" w14:textId="77777777" w:rsidR="002556C4" w:rsidRPr="009F6DEE" w:rsidRDefault="002556C4" w:rsidP="009F6DEE">
            <w:pPr>
              <w:jc w:val="right"/>
            </w:pPr>
            <w:r w:rsidRPr="009F6DEE">
              <w:t>11065155584</w:t>
            </w:r>
          </w:p>
        </w:tc>
        <w:tc>
          <w:tcPr>
            <w:tcW w:w="1276" w:type="dxa"/>
            <w:shd w:val="clear" w:color="auto" w:fill="auto"/>
            <w:noWrap/>
            <w:vAlign w:val="bottom"/>
            <w:hideMark/>
          </w:tcPr>
          <w:p w14:paraId="29B0DFCD" w14:textId="77777777" w:rsidR="002556C4" w:rsidRPr="009F6DEE" w:rsidRDefault="002556C4" w:rsidP="009F6DEE">
            <w:pPr>
              <w:jc w:val="right"/>
            </w:pPr>
            <w:r w:rsidRPr="009F6DEE">
              <w:t>0.547155</w:t>
            </w:r>
          </w:p>
        </w:tc>
        <w:tc>
          <w:tcPr>
            <w:tcW w:w="1134" w:type="dxa"/>
            <w:shd w:val="clear" w:color="auto" w:fill="auto"/>
            <w:noWrap/>
            <w:vAlign w:val="bottom"/>
            <w:hideMark/>
          </w:tcPr>
          <w:p w14:paraId="0186782B" w14:textId="77777777" w:rsidR="002556C4" w:rsidRPr="009F6DEE" w:rsidRDefault="002556C4" w:rsidP="009F6DEE">
            <w:pPr>
              <w:jc w:val="right"/>
            </w:pPr>
            <w:r w:rsidRPr="009F6DEE">
              <w:t>8525</w:t>
            </w:r>
          </w:p>
        </w:tc>
        <w:tc>
          <w:tcPr>
            <w:tcW w:w="1701" w:type="dxa"/>
            <w:shd w:val="clear" w:color="auto" w:fill="auto"/>
            <w:noWrap/>
            <w:vAlign w:val="bottom"/>
            <w:hideMark/>
          </w:tcPr>
          <w:p w14:paraId="1EBCC20B" w14:textId="77777777" w:rsidR="002556C4" w:rsidRPr="009F6DEE" w:rsidRDefault="002556C4" w:rsidP="009F6DEE">
            <w:r w:rsidRPr="009F6DEE">
              <w:t>Electronics</w:t>
            </w:r>
          </w:p>
        </w:tc>
      </w:tr>
      <w:tr w:rsidR="002556C4" w:rsidRPr="009F6DEE" w14:paraId="71F28634" w14:textId="77777777" w:rsidTr="00426B8A">
        <w:trPr>
          <w:trHeight w:val="386"/>
        </w:trPr>
        <w:tc>
          <w:tcPr>
            <w:tcW w:w="3681" w:type="dxa"/>
            <w:shd w:val="clear" w:color="auto" w:fill="auto"/>
            <w:noWrap/>
            <w:vAlign w:val="bottom"/>
            <w:hideMark/>
          </w:tcPr>
          <w:p w14:paraId="506ED2CA" w14:textId="77777777" w:rsidR="002556C4" w:rsidRPr="009F6DEE" w:rsidRDefault="002556C4" w:rsidP="009F6DEE">
            <w:r w:rsidRPr="009F6DEE">
              <w:t>Parts and accessories for office machines</w:t>
            </w:r>
          </w:p>
        </w:tc>
        <w:tc>
          <w:tcPr>
            <w:tcW w:w="1559" w:type="dxa"/>
            <w:shd w:val="clear" w:color="auto" w:fill="auto"/>
            <w:noWrap/>
            <w:vAlign w:val="bottom"/>
            <w:hideMark/>
          </w:tcPr>
          <w:p w14:paraId="46995EA8" w14:textId="77777777" w:rsidR="002556C4" w:rsidRPr="009F6DEE" w:rsidRDefault="002556C4" w:rsidP="009F6DEE">
            <w:pPr>
              <w:jc w:val="right"/>
            </w:pPr>
            <w:r w:rsidRPr="009F6DEE">
              <w:t>11044149248</w:t>
            </w:r>
          </w:p>
        </w:tc>
        <w:tc>
          <w:tcPr>
            <w:tcW w:w="1276" w:type="dxa"/>
            <w:shd w:val="clear" w:color="auto" w:fill="auto"/>
            <w:noWrap/>
            <w:vAlign w:val="bottom"/>
            <w:hideMark/>
          </w:tcPr>
          <w:p w14:paraId="04D1339E" w14:textId="77777777" w:rsidR="002556C4" w:rsidRPr="009F6DEE" w:rsidRDefault="002556C4" w:rsidP="009F6DEE">
            <w:pPr>
              <w:jc w:val="right"/>
            </w:pPr>
            <w:r w:rsidRPr="009F6DEE">
              <w:t>0.546116</w:t>
            </w:r>
          </w:p>
        </w:tc>
        <w:tc>
          <w:tcPr>
            <w:tcW w:w="1134" w:type="dxa"/>
            <w:shd w:val="clear" w:color="auto" w:fill="auto"/>
            <w:noWrap/>
            <w:vAlign w:val="bottom"/>
            <w:hideMark/>
          </w:tcPr>
          <w:p w14:paraId="68B5ED0B" w14:textId="77777777" w:rsidR="002556C4" w:rsidRPr="009F6DEE" w:rsidRDefault="002556C4" w:rsidP="009F6DEE">
            <w:pPr>
              <w:jc w:val="right"/>
            </w:pPr>
            <w:r w:rsidRPr="009F6DEE">
              <w:t>8473</w:t>
            </w:r>
          </w:p>
        </w:tc>
        <w:tc>
          <w:tcPr>
            <w:tcW w:w="1701" w:type="dxa"/>
            <w:shd w:val="clear" w:color="auto" w:fill="auto"/>
            <w:noWrap/>
            <w:vAlign w:val="bottom"/>
            <w:hideMark/>
          </w:tcPr>
          <w:p w14:paraId="2653A520" w14:textId="77777777" w:rsidR="002556C4" w:rsidRPr="009F6DEE" w:rsidRDefault="002556C4" w:rsidP="009F6DEE">
            <w:r w:rsidRPr="009F6DEE">
              <w:t>Machinery</w:t>
            </w:r>
          </w:p>
        </w:tc>
      </w:tr>
      <w:tr w:rsidR="002556C4" w:rsidRPr="009F6DEE" w14:paraId="1A418A54" w14:textId="77777777" w:rsidTr="00426B8A">
        <w:trPr>
          <w:trHeight w:val="386"/>
        </w:trPr>
        <w:tc>
          <w:tcPr>
            <w:tcW w:w="3681" w:type="dxa"/>
            <w:shd w:val="clear" w:color="auto" w:fill="auto"/>
            <w:noWrap/>
            <w:vAlign w:val="bottom"/>
            <w:hideMark/>
          </w:tcPr>
          <w:p w14:paraId="001360F8" w14:textId="77777777" w:rsidR="002556C4" w:rsidRPr="009F6DEE" w:rsidRDefault="002556C4" w:rsidP="009F6DEE">
            <w:r w:rsidRPr="009F6DEE">
              <w:t>Motor vehicles for transporting goods</w:t>
            </w:r>
          </w:p>
        </w:tc>
        <w:tc>
          <w:tcPr>
            <w:tcW w:w="1559" w:type="dxa"/>
            <w:shd w:val="clear" w:color="auto" w:fill="auto"/>
            <w:noWrap/>
            <w:vAlign w:val="bottom"/>
            <w:hideMark/>
          </w:tcPr>
          <w:p w14:paraId="027BC91D" w14:textId="77777777" w:rsidR="002556C4" w:rsidRPr="009F6DEE" w:rsidRDefault="002556C4" w:rsidP="009F6DEE">
            <w:pPr>
              <w:jc w:val="right"/>
            </w:pPr>
            <w:r w:rsidRPr="009F6DEE">
              <w:t>10679434240</w:t>
            </w:r>
          </w:p>
        </w:tc>
        <w:tc>
          <w:tcPr>
            <w:tcW w:w="1276" w:type="dxa"/>
            <w:shd w:val="clear" w:color="auto" w:fill="auto"/>
            <w:noWrap/>
            <w:vAlign w:val="bottom"/>
            <w:hideMark/>
          </w:tcPr>
          <w:p w14:paraId="61DF07CB" w14:textId="77777777" w:rsidR="002556C4" w:rsidRPr="009F6DEE" w:rsidRDefault="002556C4" w:rsidP="009F6DEE">
            <w:pPr>
              <w:jc w:val="right"/>
            </w:pPr>
            <w:r w:rsidRPr="009F6DEE">
              <w:t>0.528081</w:t>
            </w:r>
          </w:p>
        </w:tc>
        <w:tc>
          <w:tcPr>
            <w:tcW w:w="1134" w:type="dxa"/>
            <w:shd w:val="clear" w:color="auto" w:fill="auto"/>
            <w:noWrap/>
            <w:vAlign w:val="bottom"/>
            <w:hideMark/>
          </w:tcPr>
          <w:p w14:paraId="443AEF53" w14:textId="77777777" w:rsidR="002556C4" w:rsidRPr="009F6DEE" w:rsidRDefault="002556C4" w:rsidP="009F6DEE">
            <w:pPr>
              <w:jc w:val="right"/>
            </w:pPr>
            <w:r w:rsidRPr="009F6DEE">
              <w:t>8704</w:t>
            </w:r>
          </w:p>
        </w:tc>
        <w:tc>
          <w:tcPr>
            <w:tcW w:w="1701" w:type="dxa"/>
            <w:shd w:val="clear" w:color="auto" w:fill="auto"/>
            <w:noWrap/>
            <w:vAlign w:val="bottom"/>
            <w:hideMark/>
          </w:tcPr>
          <w:p w14:paraId="23FC1F17" w14:textId="77777777" w:rsidR="002556C4" w:rsidRPr="009F6DEE" w:rsidRDefault="002556C4" w:rsidP="009F6DEE">
            <w:r w:rsidRPr="009F6DEE">
              <w:t>Vehicles</w:t>
            </w:r>
          </w:p>
        </w:tc>
      </w:tr>
      <w:tr w:rsidR="002556C4" w:rsidRPr="009F6DEE" w14:paraId="7D47DA29" w14:textId="77777777" w:rsidTr="00426B8A">
        <w:trPr>
          <w:trHeight w:val="386"/>
        </w:trPr>
        <w:tc>
          <w:tcPr>
            <w:tcW w:w="3681" w:type="dxa"/>
            <w:shd w:val="clear" w:color="auto" w:fill="auto"/>
            <w:noWrap/>
            <w:vAlign w:val="bottom"/>
            <w:hideMark/>
          </w:tcPr>
          <w:p w14:paraId="5F646B3E" w14:textId="77777777" w:rsidR="002556C4" w:rsidRPr="009F6DEE" w:rsidRDefault="002556C4" w:rsidP="009F6DEE">
            <w:r w:rsidRPr="009F6DEE">
              <w:t>Pumps, compressors, fans, etc.</w:t>
            </w:r>
          </w:p>
        </w:tc>
        <w:tc>
          <w:tcPr>
            <w:tcW w:w="1559" w:type="dxa"/>
            <w:shd w:val="clear" w:color="auto" w:fill="auto"/>
            <w:noWrap/>
            <w:vAlign w:val="bottom"/>
            <w:hideMark/>
          </w:tcPr>
          <w:p w14:paraId="2A73023D" w14:textId="77777777" w:rsidR="002556C4" w:rsidRPr="009F6DEE" w:rsidRDefault="002556C4" w:rsidP="009F6DEE">
            <w:pPr>
              <w:jc w:val="right"/>
            </w:pPr>
            <w:r w:rsidRPr="009F6DEE">
              <w:t>10123230208</w:t>
            </w:r>
          </w:p>
        </w:tc>
        <w:tc>
          <w:tcPr>
            <w:tcW w:w="1276" w:type="dxa"/>
            <w:shd w:val="clear" w:color="auto" w:fill="auto"/>
            <w:noWrap/>
            <w:vAlign w:val="bottom"/>
            <w:hideMark/>
          </w:tcPr>
          <w:p w14:paraId="1929BA66" w14:textId="77777777" w:rsidR="002556C4" w:rsidRPr="009F6DEE" w:rsidRDefault="002556C4" w:rsidP="009F6DEE">
            <w:pPr>
              <w:jc w:val="right"/>
            </w:pPr>
            <w:r w:rsidRPr="009F6DEE">
              <w:t>0.500578</w:t>
            </w:r>
          </w:p>
        </w:tc>
        <w:tc>
          <w:tcPr>
            <w:tcW w:w="1134" w:type="dxa"/>
            <w:shd w:val="clear" w:color="auto" w:fill="auto"/>
            <w:noWrap/>
            <w:vAlign w:val="bottom"/>
            <w:hideMark/>
          </w:tcPr>
          <w:p w14:paraId="70E0A588" w14:textId="77777777" w:rsidR="002556C4" w:rsidRPr="009F6DEE" w:rsidRDefault="002556C4" w:rsidP="009F6DEE">
            <w:pPr>
              <w:jc w:val="right"/>
            </w:pPr>
            <w:r w:rsidRPr="009F6DEE">
              <w:t>8414</w:t>
            </w:r>
          </w:p>
        </w:tc>
        <w:tc>
          <w:tcPr>
            <w:tcW w:w="1701" w:type="dxa"/>
            <w:shd w:val="clear" w:color="auto" w:fill="auto"/>
            <w:noWrap/>
            <w:vAlign w:val="bottom"/>
            <w:hideMark/>
          </w:tcPr>
          <w:p w14:paraId="753B415F" w14:textId="77777777" w:rsidR="002556C4" w:rsidRPr="009F6DEE" w:rsidRDefault="002556C4" w:rsidP="009F6DEE">
            <w:r w:rsidRPr="009F6DEE">
              <w:t>Machinery</w:t>
            </w:r>
          </w:p>
        </w:tc>
      </w:tr>
      <w:tr w:rsidR="002556C4" w:rsidRPr="009F6DEE" w14:paraId="6A557630" w14:textId="77777777" w:rsidTr="00426B8A">
        <w:trPr>
          <w:trHeight w:val="386"/>
        </w:trPr>
        <w:tc>
          <w:tcPr>
            <w:tcW w:w="3681" w:type="dxa"/>
            <w:shd w:val="clear" w:color="auto" w:fill="auto"/>
            <w:noWrap/>
            <w:vAlign w:val="bottom"/>
            <w:hideMark/>
          </w:tcPr>
          <w:p w14:paraId="48895273" w14:textId="77777777" w:rsidR="002556C4" w:rsidRPr="009F6DEE" w:rsidRDefault="002556C4" w:rsidP="009F6DEE">
            <w:r w:rsidRPr="009F6DEE">
              <w:t>Industrial monocarboxylic fatty acids</w:t>
            </w:r>
          </w:p>
        </w:tc>
        <w:tc>
          <w:tcPr>
            <w:tcW w:w="1559" w:type="dxa"/>
            <w:shd w:val="clear" w:color="auto" w:fill="auto"/>
            <w:noWrap/>
            <w:vAlign w:val="bottom"/>
            <w:hideMark/>
          </w:tcPr>
          <w:p w14:paraId="572CF3D9" w14:textId="77777777" w:rsidR="002556C4" w:rsidRPr="009F6DEE" w:rsidRDefault="002556C4" w:rsidP="009F6DEE">
            <w:pPr>
              <w:jc w:val="right"/>
            </w:pPr>
            <w:r w:rsidRPr="009F6DEE">
              <w:t>10080464896</w:t>
            </w:r>
          </w:p>
        </w:tc>
        <w:tc>
          <w:tcPr>
            <w:tcW w:w="1276" w:type="dxa"/>
            <w:shd w:val="clear" w:color="auto" w:fill="auto"/>
            <w:noWrap/>
            <w:vAlign w:val="bottom"/>
            <w:hideMark/>
          </w:tcPr>
          <w:p w14:paraId="72939F26" w14:textId="77777777" w:rsidR="002556C4" w:rsidRPr="009F6DEE" w:rsidRDefault="002556C4" w:rsidP="009F6DEE">
            <w:pPr>
              <w:jc w:val="right"/>
            </w:pPr>
            <w:r w:rsidRPr="009F6DEE">
              <w:t>0.498463</w:t>
            </w:r>
          </w:p>
        </w:tc>
        <w:tc>
          <w:tcPr>
            <w:tcW w:w="1134" w:type="dxa"/>
            <w:shd w:val="clear" w:color="auto" w:fill="auto"/>
            <w:noWrap/>
            <w:vAlign w:val="bottom"/>
            <w:hideMark/>
          </w:tcPr>
          <w:p w14:paraId="244D7469" w14:textId="77777777" w:rsidR="002556C4" w:rsidRPr="009F6DEE" w:rsidRDefault="002556C4" w:rsidP="009F6DEE">
            <w:pPr>
              <w:jc w:val="right"/>
            </w:pPr>
            <w:r w:rsidRPr="009F6DEE">
              <w:t>3823</w:t>
            </w:r>
          </w:p>
        </w:tc>
        <w:tc>
          <w:tcPr>
            <w:tcW w:w="1701" w:type="dxa"/>
            <w:shd w:val="clear" w:color="auto" w:fill="auto"/>
            <w:noWrap/>
            <w:vAlign w:val="bottom"/>
            <w:hideMark/>
          </w:tcPr>
          <w:p w14:paraId="4A77A082" w14:textId="77777777" w:rsidR="002556C4" w:rsidRPr="009F6DEE" w:rsidRDefault="002556C4" w:rsidP="009F6DEE">
            <w:r w:rsidRPr="009F6DEE">
              <w:t>Chemicals</w:t>
            </w:r>
          </w:p>
        </w:tc>
      </w:tr>
      <w:tr w:rsidR="002556C4" w:rsidRPr="009F6DEE" w14:paraId="1155894D" w14:textId="77777777" w:rsidTr="00426B8A">
        <w:trPr>
          <w:trHeight w:val="386"/>
        </w:trPr>
        <w:tc>
          <w:tcPr>
            <w:tcW w:w="3681" w:type="dxa"/>
            <w:shd w:val="clear" w:color="auto" w:fill="auto"/>
            <w:noWrap/>
            <w:vAlign w:val="bottom"/>
            <w:hideMark/>
          </w:tcPr>
          <w:p w14:paraId="6BA3FCE8" w14:textId="77777777" w:rsidR="002556C4" w:rsidRPr="009F6DEE" w:rsidRDefault="002556C4" w:rsidP="009F6DEE">
            <w:r w:rsidRPr="009F6DEE">
              <w:t>Tractors</w:t>
            </w:r>
          </w:p>
        </w:tc>
        <w:tc>
          <w:tcPr>
            <w:tcW w:w="1559" w:type="dxa"/>
            <w:shd w:val="clear" w:color="auto" w:fill="auto"/>
            <w:noWrap/>
            <w:vAlign w:val="bottom"/>
            <w:hideMark/>
          </w:tcPr>
          <w:p w14:paraId="0D2A3896" w14:textId="77777777" w:rsidR="002556C4" w:rsidRPr="009F6DEE" w:rsidRDefault="002556C4" w:rsidP="009F6DEE">
            <w:pPr>
              <w:jc w:val="right"/>
            </w:pPr>
            <w:r w:rsidRPr="009F6DEE">
              <w:t>9906710528</w:t>
            </w:r>
          </w:p>
        </w:tc>
        <w:tc>
          <w:tcPr>
            <w:tcW w:w="1276" w:type="dxa"/>
            <w:shd w:val="clear" w:color="auto" w:fill="auto"/>
            <w:noWrap/>
            <w:vAlign w:val="bottom"/>
            <w:hideMark/>
          </w:tcPr>
          <w:p w14:paraId="27C97FFA" w14:textId="77777777" w:rsidR="002556C4" w:rsidRPr="009F6DEE" w:rsidRDefault="002556C4" w:rsidP="009F6DEE">
            <w:pPr>
              <w:jc w:val="right"/>
            </w:pPr>
            <w:r w:rsidRPr="009F6DEE">
              <w:t>0.489871</w:t>
            </w:r>
          </w:p>
        </w:tc>
        <w:tc>
          <w:tcPr>
            <w:tcW w:w="1134" w:type="dxa"/>
            <w:shd w:val="clear" w:color="auto" w:fill="auto"/>
            <w:noWrap/>
            <w:vAlign w:val="bottom"/>
            <w:hideMark/>
          </w:tcPr>
          <w:p w14:paraId="783F571C" w14:textId="77777777" w:rsidR="002556C4" w:rsidRPr="009F6DEE" w:rsidRDefault="002556C4" w:rsidP="009F6DEE">
            <w:pPr>
              <w:jc w:val="right"/>
            </w:pPr>
            <w:r w:rsidRPr="009F6DEE">
              <w:t>8701</w:t>
            </w:r>
          </w:p>
        </w:tc>
        <w:tc>
          <w:tcPr>
            <w:tcW w:w="1701" w:type="dxa"/>
            <w:shd w:val="clear" w:color="auto" w:fill="auto"/>
            <w:noWrap/>
            <w:vAlign w:val="bottom"/>
            <w:hideMark/>
          </w:tcPr>
          <w:p w14:paraId="30FDBD57" w14:textId="77777777" w:rsidR="002556C4" w:rsidRPr="009F6DEE" w:rsidRDefault="002556C4" w:rsidP="009F6DEE">
            <w:r w:rsidRPr="009F6DEE">
              <w:t>Vehicles</w:t>
            </w:r>
          </w:p>
        </w:tc>
      </w:tr>
      <w:tr w:rsidR="002556C4" w:rsidRPr="009F6DEE" w14:paraId="7D1CD8E3" w14:textId="77777777" w:rsidTr="00426B8A">
        <w:trPr>
          <w:trHeight w:val="386"/>
        </w:trPr>
        <w:tc>
          <w:tcPr>
            <w:tcW w:w="3681" w:type="dxa"/>
            <w:shd w:val="clear" w:color="auto" w:fill="auto"/>
            <w:noWrap/>
            <w:vAlign w:val="bottom"/>
            <w:hideMark/>
          </w:tcPr>
          <w:p w14:paraId="19810885" w14:textId="77777777" w:rsidR="002556C4" w:rsidRPr="009F6DEE" w:rsidRDefault="002556C4" w:rsidP="009F6DEE">
            <w:r w:rsidRPr="009F6DEE">
              <w:t>Electrical energy</w:t>
            </w:r>
          </w:p>
        </w:tc>
        <w:tc>
          <w:tcPr>
            <w:tcW w:w="1559" w:type="dxa"/>
            <w:shd w:val="clear" w:color="auto" w:fill="auto"/>
            <w:noWrap/>
            <w:vAlign w:val="bottom"/>
            <w:hideMark/>
          </w:tcPr>
          <w:p w14:paraId="06309CFA" w14:textId="77777777" w:rsidR="002556C4" w:rsidRPr="009F6DEE" w:rsidRDefault="002556C4" w:rsidP="009F6DEE">
            <w:pPr>
              <w:jc w:val="right"/>
            </w:pPr>
            <w:r w:rsidRPr="009F6DEE">
              <w:t>9613609984</w:t>
            </w:r>
          </w:p>
        </w:tc>
        <w:tc>
          <w:tcPr>
            <w:tcW w:w="1276" w:type="dxa"/>
            <w:shd w:val="clear" w:color="auto" w:fill="auto"/>
            <w:noWrap/>
            <w:vAlign w:val="bottom"/>
            <w:hideMark/>
          </w:tcPr>
          <w:p w14:paraId="1202E150" w14:textId="77777777" w:rsidR="002556C4" w:rsidRPr="009F6DEE" w:rsidRDefault="002556C4" w:rsidP="009F6DEE">
            <w:pPr>
              <w:jc w:val="right"/>
            </w:pPr>
            <w:r w:rsidRPr="009F6DEE">
              <w:t>0.475378</w:t>
            </w:r>
          </w:p>
        </w:tc>
        <w:tc>
          <w:tcPr>
            <w:tcW w:w="1134" w:type="dxa"/>
            <w:shd w:val="clear" w:color="auto" w:fill="auto"/>
            <w:noWrap/>
            <w:vAlign w:val="bottom"/>
            <w:hideMark/>
          </w:tcPr>
          <w:p w14:paraId="138A8046" w14:textId="77777777" w:rsidR="002556C4" w:rsidRPr="009F6DEE" w:rsidRDefault="002556C4" w:rsidP="009F6DEE">
            <w:pPr>
              <w:jc w:val="right"/>
            </w:pPr>
            <w:r w:rsidRPr="009F6DEE">
              <w:t>2716</w:t>
            </w:r>
          </w:p>
        </w:tc>
        <w:tc>
          <w:tcPr>
            <w:tcW w:w="1701" w:type="dxa"/>
            <w:shd w:val="clear" w:color="auto" w:fill="auto"/>
            <w:noWrap/>
            <w:vAlign w:val="bottom"/>
            <w:hideMark/>
          </w:tcPr>
          <w:p w14:paraId="4367B879" w14:textId="77777777" w:rsidR="002556C4" w:rsidRPr="009F6DEE" w:rsidRDefault="002556C4" w:rsidP="009F6DEE">
            <w:r w:rsidRPr="009F6DEE">
              <w:t>Minerals</w:t>
            </w:r>
          </w:p>
        </w:tc>
      </w:tr>
      <w:tr w:rsidR="002556C4" w:rsidRPr="009F6DEE" w14:paraId="277A3069" w14:textId="77777777" w:rsidTr="00426B8A">
        <w:trPr>
          <w:trHeight w:val="386"/>
        </w:trPr>
        <w:tc>
          <w:tcPr>
            <w:tcW w:w="3681" w:type="dxa"/>
            <w:shd w:val="clear" w:color="auto" w:fill="auto"/>
            <w:noWrap/>
            <w:vAlign w:val="bottom"/>
            <w:hideMark/>
          </w:tcPr>
          <w:p w14:paraId="56B981FC" w14:textId="77777777" w:rsidR="002556C4" w:rsidRPr="009F6DEE" w:rsidRDefault="002556C4" w:rsidP="009F6DEE">
            <w:r w:rsidRPr="009F6DEE">
              <w:t>Insulated electrical wire</w:t>
            </w:r>
          </w:p>
        </w:tc>
        <w:tc>
          <w:tcPr>
            <w:tcW w:w="1559" w:type="dxa"/>
            <w:shd w:val="clear" w:color="auto" w:fill="auto"/>
            <w:noWrap/>
            <w:vAlign w:val="bottom"/>
            <w:hideMark/>
          </w:tcPr>
          <w:p w14:paraId="25BC94C3" w14:textId="77777777" w:rsidR="002556C4" w:rsidRPr="009F6DEE" w:rsidRDefault="002556C4" w:rsidP="009F6DEE">
            <w:pPr>
              <w:jc w:val="right"/>
            </w:pPr>
            <w:r w:rsidRPr="009F6DEE">
              <w:t>9515483136</w:t>
            </w:r>
          </w:p>
        </w:tc>
        <w:tc>
          <w:tcPr>
            <w:tcW w:w="1276" w:type="dxa"/>
            <w:shd w:val="clear" w:color="auto" w:fill="auto"/>
            <w:noWrap/>
            <w:vAlign w:val="bottom"/>
            <w:hideMark/>
          </w:tcPr>
          <w:p w14:paraId="4EA3CC1D" w14:textId="77777777" w:rsidR="002556C4" w:rsidRPr="009F6DEE" w:rsidRDefault="002556C4" w:rsidP="009F6DEE">
            <w:pPr>
              <w:jc w:val="right"/>
            </w:pPr>
            <w:r w:rsidRPr="009F6DEE">
              <w:t>0.470526</w:t>
            </w:r>
          </w:p>
        </w:tc>
        <w:tc>
          <w:tcPr>
            <w:tcW w:w="1134" w:type="dxa"/>
            <w:shd w:val="clear" w:color="auto" w:fill="auto"/>
            <w:noWrap/>
            <w:vAlign w:val="bottom"/>
            <w:hideMark/>
          </w:tcPr>
          <w:p w14:paraId="7CDA551D" w14:textId="77777777" w:rsidR="002556C4" w:rsidRPr="009F6DEE" w:rsidRDefault="002556C4" w:rsidP="009F6DEE">
            <w:pPr>
              <w:jc w:val="right"/>
            </w:pPr>
            <w:r w:rsidRPr="009F6DEE">
              <w:t>8544</w:t>
            </w:r>
          </w:p>
        </w:tc>
        <w:tc>
          <w:tcPr>
            <w:tcW w:w="1701" w:type="dxa"/>
            <w:shd w:val="clear" w:color="auto" w:fill="auto"/>
            <w:noWrap/>
            <w:vAlign w:val="bottom"/>
            <w:hideMark/>
          </w:tcPr>
          <w:p w14:paraId="5F003EE8" w14:textId="77777777" w:rsidR="002556C4" w:rsidRPr="009F6DEE" w:rsidRDefault="002556C4" w:rsidP="009F6DEE">
            <w:r w:rsidRPr="009F6DEE">
              <w:t>Electronics</w:t>
            </w:r>
          </w:p>
        </w:tc>
      </w:tr>
      <w:tr w:rsidR="002556C4" w:rsidRPr="009F6DEE" w14:paraId="157FD89B" w14:textId="77777777" w:rsidTr="00426B8A">
        <w:trPr>
          <w:trHeight w:val="386"/>
        </w:trPr>
        <w:tc>
          <w:tcPr>
            <w:tcW w:w="3681" w:type="dxa"/>
            <w:shd w:val="clear" w:color="auto" w:fill="auto"/>
            <w:noWrap/>
            <w:vAlign w:val="bottom"/>
            <w:hideMark/>
          </w:tcPr>
          <w:p w14:paraId="159FF5BA" w14:textId="77777777" w:rsidR="002556C4" w:rsidRPr="009F6DEE" w:rsidRDefault="002556C4" w:rsidP="009F6DEE">
            <w:r w:rsidRPr="009F6DEE">
              <w:t>Instruments for physical or chemical analysis</w:t>
            </w:r>
          </w:p>
        </w:tc>
        <w:tc>
          <w:tcPr>
            <w:tcW w:w="1559" w:type="dxa"/>
            <w:shd w:val="clear" w:color="auto" w:fill="auto"/>
            <w:noWrap/>
            <w:vAlign w:val="bottom"/>
            <w:hideMark/>
          </w:tcPr>
          <w:p w14:paraId="34A2A249" w14:textId="77777777" w:rsidR="002556C4" w:rsidRPr="009F6DEE" w:rsidRDefault="002556C4" w:rsidP="009F6DEE">
            <w:pPr>
              <w:jc w:val="right"/>
            </w:pPr>
            <w:r w:rsidRPr="009F6DEE">
              <w:t>9383811072</w:t>
            </w:r>
          </w:p>
        </w:tc>
        <w:tc>
          <w:tcPr>
            <w:tcW w:w="1276" w:type="dxa"/>
            <w:shd w:val="clear" w:color="auto" w:fill="auto"/>
            <w:noWrap/>
            <w:vAlign w:val="bottom"/>
            <w:hideMark/>
          </w:tcPr>
          <w:p w14:paraId="5E388975" w14:textId="77777777" w:rsidR="002556C4" w:rsidRPr="009F6DEE" w:rsidRDefault="002556C4" w:rsidP="009F6DEE">
            <w:pPr>
              <w:jc w:val="right"/>
            </w:pPr>
            <w:r w:rsidRPr="009F6DEE">
              <w:t>0.464015</w:t>
            </w:r>
          </w:p>
        </w:tc>
        <w:tc>
          <w:tcPr>
            <w:tcW w:w="1134" w:type="dxa"/>
            <w:shd w:val="clear" w:color="auto" w:fill="auto"/>
            <w:noWrap/>
            <w:vAlign w:val="bottom"/>
            <w:hideMark/>
          </w:tcPr>
          <w:p w14:paraId="39FE3D86" w14:textId="77777777" w:rsidR="002556C4" w:rsidRPr="009F6DEE" w:rsidRDefault="002556C4" w:rsidP="009F6DEE">
            <w:pPr>
              <w:jc w:val="right"/>
            </w:pPr>
            <w:r w:rsidRPr="009F6DEE">
              <w:t>9027</w:t>
            </w:r>
          </w:p>
        </w:tc>
        <w:tc>
          <w:tcPr>
            <w:tcW w:w="1701" w:type="dxa"/>
            <w:shd w:val="clear" w:color="auto" w:fill="auto"/>
            <w:noWrap/>
            <w:vAlign w:val="bottom"/>
            <w:hideMark/>
          </w:tcPr>
          <w:p w14:paraId="698B065C" w14:textId="77777777" w:rsidR="002556C4" w:rsidRPr="009F6DEE" w:rsidRDefault="002556C4" w:rsidP="009F6DEE">
            <w:r w:rsidRPr="009F6DEE">
              <w:t>Machinery</w:t>
            </w:r>
          </w:p>
        </w:tc>
      </w:tr>
      <w:tr w:rsidR="002556C4" w:rsidRPr="009F6DEE" w14:paraId="591856CB" w14:textId="77777777" w:rsidTr="00426B8A">
        <w:trPr>
          <w:trHeight w:val="386"/>
        </w:trPr>
        <w:tc>
          <w:tcPr>
            <w:tcW w:w="3681" w:type="dxa"/>
            <w:shd w:val="clear" w:color="auto" w:fill="auto"/>
            <w:noWrap/>
            <w:vAlign w:val="bottom"/>
            <w:hideMark/>
          </w:tcPr>
          <w:p w14:paraId="64A57C56" w14:textId="77777777" w:rsidR="002556C4" w:rsidRPr="009F6DEE" w:rsidRDefault="002556C4" w:rsidP="009F6DEE">
            <w:r w:rsidRPr="009F6DEE">
              <w:t>Measuring instruments</w:t>
            </w:r>
          </w:p>
        </w:tc>
        <w:tc>
          <w:tcPr>
            <w:tcW w:w="1559" w:type="dxa"/>
            <w:shd w:val="clear" w:color="auto" w:fill="auto"/>
            <w:noWrap/>
            <w:vAlign w:val="bottom"/>
            <w:hideMark/>
          </w:tcPr>
          <w:p w14:paraId="3B9FDAC4" w14:textId="77777777" w:rsidR="002556C4" w:rsidRPr="009F6DEE" w:rsidRDefault="002556C4" w:rsidP="009F6DEE">
            <w:pPr>
              <w:jc w:val="right"/>
            </w:pPr>
            <w:r w:rsidRPr="009F6DEE">
              <w:t>9039950848</w:t>
            </w:r>
          </w:p>
        </w:tc>
        <w:tc>
          <w:tcPr>
            <w:tcW w:w="1276" w:type="dxa"/>
            <w:shd w:val="clear" w:color="auto" w:fill="auto"/>
            <w:noWrap/>
            <w:vAlign w:val="bottom"/>
            <w:hideMark/>
          </w:tcPr>
          <w:p w14:paraId="7E985DC7" w14:textId="77777777" w:rsidR="002556C4" w:rsidRPr="009F6DEE" w:rsidRDefault="002556C4" w:rsidP="009F6DEE">
            <w:pPr>
              <w:jc w:val="right"/>
            </w:pPr>
            <w:r w:rsidRPr="009F6DEE">
              <w:t>0.447012</w:t>
            </w:r>
          </w:p>
        </w:tc>
        <w:tc>
          <w:tcPr>
            <w:tcW w:w="1134" w:type="dxa"/>
            <w:shd w:val="clear" w:color="auto" w:fill="auto"/>
            <w:noWrap/>
            <w:vAlign w:val="bottom"/>
            <w:hideMark/>
          </w:tcPr>
          <w:p w14:paraId="36528D8F" w14:textId="77777777" w:rsidR="002556C4" w:rsidRPr="009F6DEE" w:rsidRDefault="002556C4" w:rsidP="009F6DEE">
            <w:pPr>
              <w:jc w:val="right"/>
            </w:pPr>
            <w:r w:rsidRPr="009F6DEE">
              <w:t>9031</w:t>
            </w:r>
          </w:p>
        </w:tc>
        <w:tc>
          <w:tcPr>
            <w:tcW w:w="1701" w:type="dxa"/>
            <w:shd w:val="clear" w:color="auto" w:fill="auto"/>
            <w:noWrap/>
            <w:vAlign w:val="bottom"/>
            <w:hideMark/>
          </w:tcPr>
          <w:p w14:paraId="180D80F1" w14:textId="77777777" w:rsidR="002556C4" w:rsidRPr="009F6DEE" w:rsidRDefault="002556C4" w:rsidP="009F6DEE">
            <w:r w:rsidRPr="009F6DEE">
              <w:t>Machinery</w:t>
            </w:r>
          </w:p>
        </w:tc>
      </w:tr>
      <w:tr w:rsidR="002556C4" w:rsidRPr="009F6DEE" w14:paraId="55115511" w14:textId="77777777" w:rsidTr="00426B8A">
        <w:trPr>
          <w:trHeight w:val="386"/>
        </w:trPr>
        <w:tc>
          <w:tcPr>
            <w:tcW w:w="3681" w:type="dxa"/>
            <w:shd w:val="clear" w:color="auto" w:fill="auto"/>
            <w:noWrap/>
            <w:vAlign w:val="bottom"/>
            <w:hideMark/>
          </w:tcPr>
          <w:p w14:paraId="15C6A142" w14:textId="77777777" w:rsidR="002556C4" w:rsidRPr="009F6DEE" w:rsidRDefault="002556C4" w:rsidP="009F6DEE">
            <w:r w:rsidRPr="009F6DEE">
              <w:t>Other furniture and parts</w:t>
            </w:r>
          </w:p>
        </w:tc>
        <w:tc>
          <w:tcPr>
            <w:tcW w:w="1559" w:type="dxa"/>
            <w:shd w:val="clear" w:color="auto" w:fill="auto"/>
            <w:noWrap/>
            <w:vAlign w:val="bottom"/>
            <w:hideMark/>
          </w:tcPr>
          <w:p w14:paraId="00252FF5" w14:textId="77777777" w:rsidR="002556C4" w:rsidRPr="009F6DEE" w:rsidRDefault="002556C4" w:rsidP="009F6DEE">
            <w:pPr>
              <w:jc w:val="right"/>
            </w:pPr>
            <w:r w:rsidRPr="009F6DEE">
              <w:t>8834463744</w:t>
            </w:r>
          </w:p>
        </w:tc>
        <w:tc>
          <w:tcPr>
            <w:tcW w:w="1276" w:type="dxa"/>
            <w:shd w:val="clear" w:color="auto" w:fill="auto"/>
            <w:noWrap/>
            <w:vAlign w:val="bottom"/>
            <w:hideMark/>
          </w:tcPr>
          <w:p w14:paraId="2DAD685A" w14:textId="77777777" w:rsidR="002556C4" w:rsidRPr="009F6DEE" w:rsidRDefault="002556C4" w:rsidP="009F6DEE">
            <w:pPr>
              <w:jc w:val="right"/>
            </w:pPr>
            <w:r w:rsidRPr="009F6DEE">
              <w:t>0.436851</w:t>
            </w:r>
          </w:p>
        </w:tc>
        <w:tc>
          <w:tcPr>
            <w:tcW w:w="1134" w:type="dxa"/>
            <w:shd w:val="clear" w:color="auto" w:fill="auto"/>
            <w:noWrap/>
            <w:vAlign w:val="bottom"/>
            <w:hideMark/>
          </w:tcPr>
          <w:p w14:paraId="70890DD3" w14:textId="77777777" w:rsidR="002556C4" w:rsidRPr="009F6DEE" w:rsidRDefault="002556C4" w:rsidP="009F6DEE">
            <w:pPr>
              <w:jc w:val="right"/>
            </w:pPr>
            <w:r w:rsidRPr="009F6DEE">
              <w:t>9403</w:t>
            </w:r>
          </w:p>
        </w:tc>
        <w:tc>
          <w:tcPr>
            <w:tcW w:w="1701" w:type="dxa"/>
            <w:shd w:val="clear" w:color="auto" w:fill="auto"/>
            <w:noWrap/>
            <w:vAlign w:val="bottom"/>
            <w:hideMark/>
          </w:tcPr>
          <w:p w14:paraId="54E44AAB" w14:textId="77777777" w:rsidR="002556C4" w:rsidRPr="009F6DEE" w:rsidRDefault="002556C4" w:rsidP="009F6DEE">
            <w:r w:rsidRPr="009F6DEE">
              <w:t>Textiles</w:t>
            </w:r>
          </w:p>
        </w:tc>
      </w:tr>
      <w:tr w:rsidR="002556C4" w:rsidRPr="009F6DEE" w14:paraId="2895D510" w14:textId="77777777" w:rsidTr="00426B8A">
        <w:trPr>
          <w:trHeight w:val="386"/>
        </w:trPr>
        <w:tc>
          <w:tcPr>
            <w:tcW w:w="3681" w:type="dxa"/>
            <w:shd w:val="clear" w:color="auto" w:fill="auto"/>
            <w:noWrap/>
            <w:vAlign w:val="bottom"/>
            <w:hideMark/>
          </w:tcPr>
          <w:p w14:paraId="14F949F1" w14:textId="77777777" w:rsidR="002556C4" w:rsidRPr="009F6DEE" w:rsidRDefault="002556C4" w:rsidP="009F6DEE">
            <w:r w:rsidRPr="009F6DEE">
              <w:t>Electric motors and generators</w:t>
            </w:r>
          </w:p>
        </w:tc>
        <w:tc>
          <w:tcPr>
            <w:tcW w:w="1559" w:type="dxa"/>
            <w:shd w:val="clear" w:color="auto" w:fill="auto"/>
            <w:noWrap/>
            <w:vAlign w:val="bottom"/>
            <w:hideMark/>
          </w:tcPr>
          <w:p w14:paraId="3A965115" w14:textId="77777777" w:rsidR="002556C4" w:rsidRPr="009F6DEE" w:rsidRDefault="002556C4" w:rsidP="009F6DEE">
            <w:pPr>
              <w:jc w:val="right"/>
            </w:pPr>
            <w:r w:rsidRPr="009F6DEE">
              <w:t>8322554880</w:t>
            </w:r>
          </w:p>
        </w:tc>
        <w:tc>
          <w:tcPr>
            <w:tcW w:w="1276" w:type="dxa"/>
            <w:shd w:val="clear" w:color="auto" w:fill="auto"/>
            <w:noWrap/>
            <w:vAlign w:val="bottom"/>
            <w:hideMark/>
          </w:tcPr>
          <w:p w14:paraId="33B164C0" w14:textId="77777777" w:rsidR="002556C4" w:rsidRPr="009F6DEE" w:rsidRDefault="002556C4" w:rsidP="009F6DEE">
            <w:pPr>
              <w:jc w:val="right"/>
            </w:pPr>
            <w:r w:rsidRPr="009F6DEE">
              <w:t>0.411537</w:t>
            </w:r>
          </w:p>
        </w:tc>
        <w:tc>
          <w:tcPr>
            <w:tcW w:w="1134" w:type="dxa"/>
            <w:shd w:val="clear" w:color="auto" w:fill="auto"/>
            <w:noWrap/>
            <w:vAlign w:val="bottom"/>
            <w:hideMark/>
          </w:tcPr>
          <w:p w14:paraId="3772F696" w14:textId="77777777" w:rsidR="002556C4" w:rsidRPr="009F6DEE" w:rsidRDefault="002556C4" w:rsidP="009F6DEE">
            <w:pPr>
              <w:jc w:val="right"/>
            </w:pPr>
            <w:r w:rsidRPr="009F6DEE">
              <w:t>8501</w:t>
            </w:r>
          </w:p>
        </w:tc>
        <w:tc>
          <w:tcPr>
            <w:tcW w:w="1701" w:type="dxa"/>
            <w:shd w:val="clear" w:color="auto" w:fill="auto"/>
            <w:noWrap/>
            <w:vAlign w:val="bottom"/>
            <w:hideMark/>
          </w:tcPr>
          <w:p w14:paraId="506AB45B" w14:textId="77777777" w:rsidR="002556C4" w:rsidRPr="009F6DEE" w:rsidRDefault="002556C4" w:rsidP="009F6DEE">
            <w:r w:rsidRPr="009F6DEE">
              <w:t>Electronics</w:t>
            </w:r>
          </w:p>
        </w:tc>
      </w:tr>
      <w:tr w:rsidR="002556C4" w:rsidRPr="009F6DEE" w14:paraId="11E0464E" w14:textId="77777777" w:rsidTr="00426B8A">
        <w:trPr>
          <w:trHeight w:val="386"/>
        </w:trPr>
        <w:tc>
          <w:tcPr>
            <w:tcW w:w="3681" w:type="dxa"/>
            <w:shd w:val="clear" w:color="auto" w:fill="auto"/>
            <w:noWrap/>
            <w:vAlign w:val="bottom"/>
            <w:hideMark/>
          </w:tcPr>
          <w:p w14:paraId="171B7DAA" w14:textId="77777777" w:rsidR="002556C4" w:rsidRPr="009F6DEE" w:rsidRDefault="002556C4" w:rsidP="009F6DEE">
            <w:r w:rsidRPr="009F6DEE">
              <w:t>Dish washing machines</w:t>
            </w:r>
          </w:p>
        </w:tc>
        <w:tc>
          <w:tcPr>
            <w:tcW w:w="1559" w:type="dxa"/>
            <w:shd w:val="clear" w:color="auto" w:fill="auto"/>
            <w:noWrap/>
            <w:vAlign w:val="bottom"/>
            <w:hideMark/>
          </w:tcPr>
          <w:p w14:paraId="14B094BD" w14:textId="77777777" w:rsidR="002556C4" w:rsidRPr="009F6DEE" w:rsidRDefault="002556C4" w:rsidP="009F6DEE">
            <w:pPr>
              <w:jc w:val="right"/>
            </w:pPr>
            <w:r w:rsidRPr="009F6DEE">
              <w:t>8201611776</w:t>
            </w:r>
          </w:p>
        </w:tc>
        <w:tc>
          <w:tcPr>
            <w:tcW w:w="1276" w:type="dxa"/>
            <w:shd w:val="clear" w:color="auto" w:fill="auto"/>
            <w:noWrap/>
            <w:vAlign w:val="bottom"/>
            <w:hideMark/>
          </w:tcPr>
          <w:p w14:paraId="5546D00E" w14:textId="77777777" w:rsidR="002556C4" w:rsidRPr="009F6DEE" w:rsidRDefault="002556C4" w:rsidP="009F6DEE">
            <w:pPr>
              <w:jc w:val="right"/>
            </w:pPr>
            <w:r w:rsidRPr="009F6DEE">
              <w:t>0.405557</w:t>
            </w:r>
          </w:p>
        </w:tc>
        <w:tc>
          <w:tcPr>
            <w:tcW w:w="1134" w:type="dxa"/>
            <w:shd w:val="clear" w:color="auto" w:fill="auto"/>
            <w:noWrap/>
            <w:vAlign w:val="bottom"/>
            <w:hideMark/>
          </w:tcPr>
          <w:p w14:paraId="18A8882C" w14:textId="77777777" w:rsidR="002556C4" w:rsidRPr="009F6DEE" w:rsidRDefault="002556C4" w:rsidP="009F6DEE">
            <w:pPr>
              <w:jc w:val="right"/>
            </w:pPr>
            <w:r w:rsidRPr="009F6DEE">
              <w:t>8422</w:t>
            </w:r>
          </w:p>
        </w:tc>
        <w:tc>
          <w:tcPr>
            <w:tcW w:w="1701" w:type="dxa"/>
            <w:shd w:val="clear" w:color="auto" w:fill="auto"/>
            <w:noWrap/>
            <w:vAlign w:val="bottom"/>
            <w:hideMark/>
          </w:tcPr>
          <w:p w14:paraId="147CC6B8" w14:textId="77777777" w:rsidR="002556C4" w:rsidRPr="009F6DEE" w:rsidRDefault="002556C4" w:rsidP="009F6DEE">
            <w:r w:rsidRPr="009F6DEE">
              <w:t>Machinery</w:t>
            </w:r>
          </w:p>
        </w:tc>
      </w:tr>
      <w:tr w:rsidR="002556C4" w:rsidRPr="009F6DEE" w14:paraId="7F48E952" w14:textId="77777777" w:rsidTr="00426B8A">
        <w:trPr>
          <w:trHeight w:val="386"/>
        </w:trPr>
        <w:tc>
          <w:tcPr>
            <w:tcW w:w="3681" w:type="dxa"/>
            <w:shd w:val="clear" w:color="auto" w:fill="auto"/>
            <w:noWrap/>
            <w:vAlign w:val="bottom"/>
            <w:hideMark/>
          </w:tcPr>
          <w:p w14:paraId="63F5E06C" w14:textId="77777777" w:rsidR="002556C4" w:rsidRPr="009F6DEE" w:rsidRDefault="002556C4" w:rsidP="009F6DEE">
            <w:r w:rsidRPr="009F6DEE">
              <w:t>Semiconductor devices</w:t>
            </w:r>
          </w:p>
        </w:tc>
        <w:tc>
          <w:tcPr>
            <w:tcW w:w="1559" w:type="dxa"/>
            <w:shd w:val="clear" w:color="auto" w:fill="auto"/>
            <w:noWrap/>
            <w:vAlign w:val="bottom"/>
            <w:hideMark/>
          </w:tcPr>
          <w:p w14:paraId="6AAF7103" w14:textId="77777777" w:rsidR="002556C4" w:rsidRPr="009F6DEE" w:rsidRDefault="002556C4" w:rsidP="009F6DEE">
            <w:pPr>
              <w:jc w:val="right"/>
            </w:pPr>
            <w:r w:rsidRPr="009F6DEE">
              <w:t>7951966720</w:t>
            </w:r>
          </w:p>
        </w:tc>
        <w:tc>
          <w:tcPr>
            <w:tcW w:w="1276" w:type="dxa"/>
            <w:shd w:val="clear" w:color="auto" w:fill="auto"/>
            <w:noWrap/>
            <w:vAlign w:val="bottom"/>
            <w:hideMark/>
          </w:tcPr>
          <w:p w14:paraId="678F81DD" w14:textId="77777777" w:rsidR="002556C4" w:rsidRPr="009F6DEE" w:rsidRDefault="002556C4" w:rsidP="009F6DEE">
            <w:pPr>
              <w:jc w:val="right"/>
            </w:pPr>
            <w:r w:rsidRPr="009F6DEE">
              <w:t>0.393212</w:t>
            </w:r>
          </w:p>
        </w:tc>
        <w:tc>
          <w:tcPr>
            <w:tcW w:w="1134" w:type="dxa"/>
            <w:shd w:val="clear" w:color="auto" w:fill="auto"/>
            <w:noWrap/>
            <w:vAlign w:val="bottom"/>
            <w:hideMark/>
          </w:tcPr>
          <w:p w14:paraId="0775EC35" w14:textId="77777777" w:rsidR="002556C4" w:rsidRPr="009F6DEE" w:rsidRDefault="002556C4" w:rsidP="009F6DEE">
            <w:pPr>
              <w:jc w:val="right"/>
            </w:pPr>
            <w:r w:rsidRPr="009F6DEE">
              <w:t>8541</w:t>
            </w:r>
          </w:p>
        </w:tc>
        <w:tc>
          <w:tcPr>
            <w:tcW w:w="1701" w:type="dxa"/>
            <w:shd w:val="clear" w:color="auto" w:fill="auto"/>
            <w:noWrap/>
            <w:vAlign w:val="bottom"/>
            <w:hideMark/>
          </w:tcPr>
          <w:p w14:paraId="51F35677" w14:textId="77777777" w:rsidR="002556C4" w:rsidRPr="009F6DEE" w:rsidRDefault="002556C4" w:rsidP="009F6DEE">
            <w:r w:rsidRPr="009F6DEE">
              <w:t>Electronics</w:t>
            </w:r>
          </w:p>
        </w:tc>
      </w:tr>
      <w:tr w:rsidR="002556C4" w:rsidRPr="009F6DEE" w14:paraId="52DD4748" w14:textId="77777777" w:rsidTr="00426B8A">
        <w:trPr>
          <w:trHeight w:val="386"/>
        </w:trPr>
        <w:tc>
          <w:tcPr>
            <w:tcW w:w="3681" w:type="dxa"/>
            <w:shd w:val="clear" w:color="auto" w:fill="auto"/>
            <w:noWrap/>
            <w:vAlign w:val="bottom"/>
            <w:hideMark/>
          </w:tcPr>
          <w:p w14:paraId="2B2BE3AE" w14:textId="77777777" w:rsidR="002556C4" w:rsidRPr="009F6DEE" w:rsidRDefault="002556C4" w:rsidP="009F6DEE">
            <w:r w:rsidRPr="009F6DEE">
              <w:t>Batteries</w:t>
            </w:r>
          </w:p>
        </w:tc>
        <w:tc>
          <w:tcPr>
            <w:tcW w:w="1559" w:type="dxa"/>
            <w:shd w:val="clear" w:color="auto" w:fill="auto"/>
            <w:noWrap/>
            <w:vAlign w:val="bottom"/>
            <w:hideMark/>
          </w:tcPr>
          <w:p w14:paraId="4DCA4B79" w14:textId="77777777" w:rsidR="002556C4" w:rsidRPr="009F6DEE" w:rsidRDefault="002556C4" w:rsidP="009F6DEE">
            <w:pPr>
              <w:jc w:val="right"/>
            </w:pPr>
            <w:r w:rsidRPr="009F6DEE">
              <w:t>7921974272</w:t>
            </w:r>
          </w:p>
        </w:tc>
        <w:tc>
          <w:tcPr>
            <w:tcW w:w="1276" w:type="dxa"/>
            <w:shd w:val="clear" w:color="auto" w:fill="auto"/>
            <w:noWrap/>
            <w:vAlign w:val="bottom"/>
            <w:hideMark/>
          </w:tcPr>
          <w:p w14:paraId="64BE42D0" w14:textId="77777777" w:rsidR="002556C4" w:rsidRPr="009F6DEE" w:rsidRDefault="002556C4" w:rsidP="009F6DEE">
            <w:pPr>
              <w:jc w:val="right"/>
            </w:pPr>
            <w:r w:rsidRPr="009F6DEE">
              <w:t>0.391729</w:t>
            </w:r>
          </w:p>
        </w:tc>
        <w:tc>
          <w:tcPr>
            <w:tcW w:w="1134" w:type="dxa"/>
            <w:shd w:val="clear" w:color="auto" w:fill="auto"/>
            <w:noWrap/>
            <w:vAlign w:val="bottom"/>
            <w:hideMark/>
          </w:tcPr>
          <w:p w14:paraId="721607F1" w14:textId="77777777" w:rsidR="002556C4" w:rsidRPr="009F6DEE" w:rsidRDefault="002556C4" w:rsidP="009F6DEE">
            <w:pPr>
              <w:jc w:val="right"/>
            </w:pPr>
            <w:r w:rsidRPr="009F6DEE">
              <w:t>8507</w:t>
            </w:r>
          </w:p>
        </w:tc>
        <w:tc>
          <w:tcPr>
            <w:tcW w:w="1701" w:type="dxa"/>
            <w:shd w:val="clear" w:color="auto" w:fill="auto"/>
            <w:noWrap/>
            <w:vAlign w:val="bottom"/>
            <w:hideMark/>
          </w:tcPr>
          <w:p w14:paraId="523B9559" w14:textId="77777777" w:rsidR="002556C4" w:rsidRPr="009F6DEE" w:rsidRDefault="002556C4" w:rsidP="009F6DEE">
            <w:r w:rsidRPr="009F6DEE">
              <w:t>Electronics</w:t>
            </w:r>
          </w:p>
        </w:tc>
      </w:tr>
    </w:tbl>
    <w:p w14:paraId="59744F6F" w14:textId="77777777" w:rsidR="00426B8A" w:rsidRDefault="00426B8A" w:rsidP="00C35D33">
      <w:pPr>
        <w:pStyle w:val="Heading4"/>
      </w:pPr>
      <w:bookmarkStart w:id="117" w:name="_Chart_4_data"/>
      <w:bookmarkEnd w:id="117"/>
    </w:p>
    <w:p w14:paraId="63BBCE90" w14:textId="77777777" w:rsidR="00426B8A" w:rsidRDefault="00426B8A">
      <w:pPr>
        <w:rPr>
          <w:rFonts w:asciiTheme="majorHAnsi" w:eastAsiaTheme="majorEastAsia" w:hAnsiTheme="majorHAnsi" w:cstheme="majorBidi"/>
          <w:iCs/>
          <w:color w:val="60014C" w:themeColor="accent4" w:themeShade="80"/>
          <w:sz w:val="28"/>
          <w:szCs w:val="28"/>
        </w:rPr>
      </w:pPr>
      <w:r>
        <w:br w:type="page"/>
      </w:r>
    </w:p>
    <w:p w14:paraId="7BFFCB1F" w14:textId="5E18427E" w:rsidR="009D6957" w:rsidRDefault="009D6957" w:rsidP="00C35D33">
      <w:pPr>
        <w:pStyle w:val="Heading4"/>
      </w:pPr>
      <w:r>
        <w:t xml:space="preserve">Chart 4 data table: Revealed Comparative </w:t>
      </w:r>
      <w:r w:rsidRPr="009D6957">
        <w:t xml:space="preserve">Advantage </w:t>
      </w:r>
      <w:r w:rsidRPr="009D6957">
        <w:rPr>
          <w:rFonts w:eastAsia="Times New Roman"/>
          <w:lang w:eastAsia="en-AU"/>
        </w:rPr>
        <w:t>and import penetration in manufacturing industries linked to Government priority areas</w:t>
      </w:r>
      <w:r>
        <w:t xml:space="preserve"> </w:t>
      </w:r>
    </w:p>
    <w:tbl>
      <w:tblPr>
        <w:tblW w:w="5000" w:type="pct"/>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189"/>
        <w:gridCol w:w="2209"/>
        <w:gridCol w:w="1571"/>
        <w:gridCol w:w="1037"/>
      </w:tblGrid>
      <w:tr w:rsidR="009D6957" w:rsidRPr="009D6957" w14:paraId="42B7C3AE" w14:textId="77777777" w:rsidTr="00426B8A">
        <w:trPr>
          <w:trHeight w:val="20"/>
          <w:tblHeader/>
        </w:trPr>
        <w:tc>
          <w:tcPr>
            <w:tcW w:w="2326" w:type="pct"/>
            <w:tcBorders>
              <w:top w:val="single" w:sz="8" w:space="0" w:color="A3A3A3"/>
              <w:left w:val="single" w:sz="8" w:space="0" w:color="A3A3A3"/>
              <w:bottom w:val="single" w:sz="8" w:space="0" w:color="A3A3A3"/>
              <w:right w:val="single" w:sz="8" w:space="0" w:color="A3A3A3"/>
            </w:tcBorders>
            <w:shd w:val="clear" w:color="auto" w:fill="E5E5FF"/>
            <w:tcMar>
              <w:top w:w="80" w:type="dxa"/>
              <w:left w:w="80" w:type="dxa"/>
              <w:bottom w:w="80" w:type="dxa"/>
              <w:right w:w="80" w:type="dxa"/>
            </w:tcMar>
            <w:hideMark/>
          </w:tcPr>
          <w:p w14:paraId="48FCEF58" w14:textId="77777777" w:rsidR="009D6957" w:rsidRPr="009D6957" w:rsidRDefault="009D6957" w:rsidP="00E4374E">
            <w:pPr>
              <w:spacing w:after="0" w:line="240" w:lineRule="auto"/>
              <w:rPr>
                <w:rFonts w:ascii="Calibri" w:eastAsia="Times New Roman" w:hAnsi="Calibri" w:cs="Calibri"/>
                <w:b/>
                <w:bCs/>
                <w:lang w:eastAsia="en-AU"/>
              </w:rPr>
            </w:pPr>
            <w:r w:rsidRPr="009D6957">
              <w:rPr>
                <w:rFonts w:ascii="Calibri" w:eastAsia="Times New Roman" w:hAnsi="Calibri" w:cs="Calibri"/>
                <w:b/>
                <w:bCs/>
                <w:lang w:eastAsia="en-AU"/>
              </w:rPr>
              <w:t>Industry</w:t>
            </w:r>
          </w:p>
        </w:tc>
        <w:tc>
          <w:tcPr>
            <w:tcW w:w="1227" w:type="pct"/>
            <w:tcBorders>
              <w:top w:val="single" w:sz="8" w:space="0" w:color="A3A3A3"/>
              <w:left w:val="single" w:sz="8" w:space="0" w:color="A3A3A3"/>
              <w:bottom w:val="single" w:sz="8" w:space="0" w:color="A3A3A3"/>
              <w:right w:val="single" w:sz="8" w:space="0" w:color="A3A3A3"/>
            </w:tcBorders>
            <w:shd w:val="clear" w:color="auto" w:fill="E5E5FF"/>
            <w:tcMar>
              <w:top w:w="80" w:type="dxa"/>
              <w:left w:w="80" w:type="dxa"/>
              <w:bottom w:w="80" w:type="dxa"/>
              <w:right w:w="80" w:type="dxa"/>
            </w:tcMar>
            <w:hideMark/>
          </w:tcPr>
          <w:p w14:paraId="2A76E8A6" w14:textId="77777777" w:rsidR="009D6957" w:rsidRPr="009D6957" w:rsidRDefault="009D6957" w:rsidP="00E4374E">
            <w:pPr>
              <w:spacing w:after="0" w:line="240" w:lineRule="auto"/>
              <w:rPr>
                <w:rFonts w:ascii="Calibri" w:eastAsia="Times New Roman" w:hAnsi="Calibri" w:cs="Calibri"/>
                <w:b/>
                <w:bCs/>
                <w:lang w:eastAsia="en-AU"/>
              </w:rPr>
            </w:pPr>
            <w:r w:rsidRPr="009D6957">
              <w:rPr>
                <w:rFonts w:ascii="Calibri" w:eastAsia="Times New Roman" w:hAnsi="Calibri" w:cs="Calibri"/>
                <w:b/>
                <w:bCs/>
                <w:lang w:eastAsia="en-AU"/>
              </w:rPr>
              <w:t>Revealed comparative advantage</w:t>
            </w:r>
          </w:p>
        </w:tc>
        <w:tc>
          <w:tcPr>
            <w:tcW w:w="872" w:type="pct"/>
            <w:tcBorders>
              <w:top w:val="single" w:sz="8" w:space="0" w:color="A3A3A3"/>
              <w:left w:val="single" w:sz="8" w:space="0" w:color="A3A3A3"/>
              <w:bottom w:val="single" w:sz="8" w:space="0" w:color="A3A3A3"/>
              <w:right w:val="single" w:sz="8" w:space="0" w:color="A3A3A3"/>
            </w:tcBorders>
            <w:shd w:val="clear" w:color="auto" w:fill="E5E5FF"/>
            <w:tcMar>
              <w:top w:w="80" w:type="dxa"/>
              <w:left w:w="80" w:type="dxa"/>
              <w:bottom w:w="80" w:type="dxa"/>
              <w:right w:w="80" w:type="dxa"/>
            </w:tcMar>
            <w:hideMark/>
          </w:tcPr>
          <w:p w14:paraId="2EC7EE70" w14:textId="77777777" w:rsidR="009D6957" w:rsidRPr="00BF4FC1" w:rsidRDefault="009D6957" w:rsidP="00BF4FC1">
            <w:pPr>
              <w:rPr>
                <w:b/>
                <w:bCs/>
              </w:rPr>
            </w:pPr>
            <w:r w:rsidRPr="00BF4FC1">
              <w:rPr>
                <w:b/>
                <w:bCs/>
              </w:rPr>
              <w:t>Import penetration</w:t>
            </w:r>
          </w:p>
        </w:tc>
        <w:tc>
          <w:tcPr>
            <w:tcW w:w="576" w:type="pct"/>
            <w:tcBorders>
              <w:top w:val="single" w:sz="8" w:space="0" w:color="A3A3A3"/>
              <w:left w:val="single" w:sz="8" w:space="0" w:color="A3A3A3"/>
              <w:bottom w:val="single" w:sz="8" w:space="0" w:color="A3A3A3"/>
              <w:right w:val="single" w:sz="8" w:space="0" w:color="A3A3A3"/>
            </w:tcBorders>
            <w:shd w:val="clear" w:color="auto" w:fill="E5E5FF"/>
            <w:tcMar>
              <w:top w:w="80" w:type="dxa"/>
              <w:left w:w="80" w:type="dxa"/>
              <w:bottom w:w="80" w:type="dxa"/>
              <w:right w:w="80" w:type="dxa"/>
            </w:tcMar>
            <w:hideMark/>
          </w:tcPr>
          <w:p w14:paraId="47131920" w14:textId="77777777" w:rsidR="009D6957" w:rsidRPr="009D6957" w:rsidRDefault="009D6957" w:rsidP="00E4374E">
            <w:pPr>
              <w:spacing w:after="0" w:line="240" w:lineRule="auto"/>
              <w:rPr>
                <w:rFonts w:ascii="Calibri" w:eastAsia="Times New Roman" w:hAnsi="Calibri" w:cs="Calibri"/>
                <w:b/>
                <w:bCs/>
                <w:lang w:eastAsia="en-AU"/>
              </w:rPr>
            </w:pPr>
            <w:r w:rsidRPr="009D6957">
              <w:rPr>
                <w:rFonts w:ascii="Calibri" w:eastAsia="Times New Roman" w:hAnsi="Calibri" w:cs="Calibri"/>
                <w:b/>
                <w:bCs/>
                <w:lang w:eastAsia="en-AU"/>
              </w:rPr>
              <w:t>Quadrant</w:t>
            </w:r>
          </w:p>
        </w:tc>
      </w:tr>
      <w:tr w:rsidR="009D6957" w:rsidRPr="009D6957" w14:paraId="4B671EAA"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EDAC8FF"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2131-Alumina Production</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A5DAFDC"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20.951</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3060DE" w14:textId="77777777" w:rsidR="009D6957" w:rsidRPr="00BF4FC1" w:rsidRDefault="009D6957" w:rsidP="00BF4FC1">
            <w:r w:rsidRPr="00BF4FC1">
              <w:t>0.164</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600E53C"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w:t>
            </w:r>
          </w:p>
        </w:tc>
      </w:tr>
      <w:tr w:rsidR="009D6957" w:rsidRPr="009D6957" w14:paraId="3D517E67"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1040DD"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2132-Aluminium Smelting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9547B5"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3.154</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ECDA65" w14:textId="77777777" w:rsidR="009D6957" w:rsidRPr="00BF4FC1" w:rsidRDefault="009D6957" w:rsidP="00BF4FC1">
            <w:r w:rsidRPr="00BF4FC1">
              <w:t>4.582</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834741"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w:t>
            </w:r>
          </w:p>
        </w:tc>
      </w:tr>
      <w:tr w:rsidR="009D6957" w:rsidRPr="009D6957" w14:paraId="1E687A27"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6AFD92"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2133-Copper, Silver, Lead and Zinc Smelting and Refining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58EC72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1.992</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7BA3A7" w14:textId="77777777" w:rsidR="009D6957" w:rsidRPr="00BF4FC1" w:rsidRDefault="009D6957" w:rsidP="00BF4FC1">
            <w:r w:rsidRPr="00BF4FC1">
              <w:t>8.433</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1E7D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w:t>
            </w:r>
          </w:p>
        </w:tc>
      </w:tr>
      <w:tr w:rsidR="009D6957" w:rsidRPr="009D6957" w14:paraId="501F2088"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922F506"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2139-Other Basic Non-Ferrous Metal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1EAC44"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5.763</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C3724F" w14:textId="77777777" w:rsidR="009D6957" w:rsidRPr="00BF4FC1" w:rsidRDefault="009D6957" w:rsidP="00BF4FC1">
            <w:r w:rsidRPr="00BF4FC1">
              <w:t>1.967</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053716"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w:t>
            </w:r>
          </w:p>
        </w:tc>
      </w:tr>
      <w:tr w:rsidR="009D6957" w:rsidRPr="009D6957" w14:paraId="2A76BA92"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2FDD91"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1111-Meat Processing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53ED8D"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4.199</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CD06F3" w14:textId="77777777" w:rsidR="009D6957" w:rsidRPr="00BF4FC1" w:rsidRDefault="009D6957" w:rsidP="00BF4FC1">
            <w:r w:rsidRPr="00BF4FC1">
              <w:t>3.66</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290721D"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w:t>
            </w:r>
          </w:p>
        </w:tc>
      </w:tr>
      <w:tr w:rsidR="009D6957" w:rsidRPr="009D6957" w14:paraId="777E3BE9"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E04C95"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1131-Milk and Cream Processing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2E6A5ED"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1.172</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785EF9" w14:textId="77777777" w:rsidR="009D6957" w:rsidRPr="00BF4FC1" w:rsidRDefault="009D6957" w:rsidP="00BF4FC1">
            <w:r w:rsidRPr="00BF4FC1">
              <w:t>1.093</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E0432F"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w:t>
            </w:r>
          </w:p>
        </w:tc>
      </w:tr>
      <w:tr w:rsidR="009D6957" w:rsidRPr="009D6957" w14:paraId="5ADDE50B"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CD51AE"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1192-Prepared Animal and Bird Feed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FC359C1"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1.076</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456F6EA" w14:textId="77777777" w:rsidR="009D6957" w:rsidRPr="00BF4FC1" w:rsidRDefault="009D6957" w:rsidP="00BF4FC1">
            <w:r w:rsidRPr="00BF4FC1">
              <w:t>12.322</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4B3285"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w:t>
            </w:r>
          </w:p>
        </w:tc>
      </w:tr>
      <w:tr w:rsidR="009D6957" w:rsidRPr="009D6957" w14:paraId="3BF2C769"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B0D7"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1214-Wine and Other Alcoholic Beverage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B94D36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1.651</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7F62E6" w14:textId="77777777" w:rsidR="009D6957" w:rsidRPr="00BF4FC1" w:rsidRDefault="009D6957" w:rsidP="00BF4FC1">
            <w:r w:rsidRPr="00BF4FC1">
              <w:t>16.012</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D01DFC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w:t>
            </w:r>
          </w:p>
        </w:tc>
      </w:tr>
      <w:tr w:rsidR="009D6957" w:rsidRPr="009D6957" w14:paraId="507706EE"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8D31F"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1311-Wool Scouring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282D24"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1.878</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58B909" w14:textId="77777777" w:rsidR="009D6957" w:rsidRPr="00BF4FC1" w:rsidRDefault="009D6957" w:rsidP="00BF4FC1">
            <w:r w:rsidRPr="00BF4FC1">
              <w:t>8.917</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BF6AF5"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w:t>
            </w:r>
          </w:p>
        </w:tc>
      </w:tr>
      <w:tr w:rsidR="009D6957" w:rsidRPr="009D6957" w14:paraId="7E73450F"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1AEB5"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1412-Wood Chipping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80BDA"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4.501</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DB8995" w14:textId="77777777" w:rsidR="009D6957" w:rsidRPr="00BF4FC1" w:rsidRDefault="009D6957" w:rsidP="00BF4FC1">
            <w:r w:rsidRPr="00BF4FC1">
              <w:t>0.353</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339E0D6"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w:t>
            </w:r>
          </w:p>
        </w:tc>
      </w:tr>
      <w:tr w:rsidR="009D6957" w:rsidRPr="009D6957" w14:paraId="366BED4A"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2D500E"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2121-Iron and Steel Casting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64E974"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1.298</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5CBBBE" w14:textId="77777777" w:rsidR="009D6957" w:rsidRPr="00BF4FC1" w:rsidRDefault="009D6957" w:rsidP="00BF4FC1">
            <w:r w:rsidRPr="00BF4FC1">
              <w:t>71.002</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29B2F22"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w:t>
            </w:r>
          </w:p>
        </w:tc>
      </w:tr>
      <w:tr w:rsidR="009D6957" w:rsidRPr="009D6957" w14:paraId="540D6036"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57B03BA"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1811-Industrial Gas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4ADA3A"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0.399</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A2ACE0" w14:textId="77777777" w:rsidR="009D6957" w:rsidRPr="00BF4FC1" w:rsidRDefault="009D6957" w:rsidP="00BF4FC1">
            <w:r w:rsidRPr="00BF4FC1">
              <w:t>2.661</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CEE3FF"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7AFB05F9"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30E8C3"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1821-Synthetic Resin and Synthetic Rubber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5E3EF5"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0.034</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DA206BC" w14:textId="77777777" w:rsidR="009D6957" w:rsidRPr="00BF4FC1" w:rsidRDefault="009D6957" w:rsidP="00BF4FC1">
            <w:r w:rsidRPr="00BF4FC1">
              <w:t>46.805</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929F2"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1A6ACADD"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21123A"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1892-Explosive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EC4FCC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0.181</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2269F6" w14:textId="77777777" w:rsidR="009D6957" w:rsidRPr="00BF4FC1" w:rsidRDefault="009D6957" w:rsidP="00BF4FC1">
            <w:r w:rsidRPr="00BF4FC1">
              <w:t>14.979</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147CC05"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58C97835"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F53B1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1912-Rigid and Semi-Rigid Polymer Product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3E944D7"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0.096</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02B143" w14:textId="77777777" w:rsidR="009D6957" w:rsidRPr="00BF4FC1" w:rsidRDefault="009D6957" w:rsidP="00BF4FC1">
            <w:r w:rsidRPr="00BF4FC1">
              <w:t>44.153</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74A4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57262F4B"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415711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1915-Adhesive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A0E936"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0.167</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F6C46" w14:textId="77777777" w:rsidR="009D6957" w:rsidRPr="00BF4FC1" w:rsidRDefault="009D6957" w:rsidP="00BF4FC1">
            <w:r w:rsidRPr="00BF4FC1">
              <w:t>20.25</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58980FD"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3CFC544C"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F131BA"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2031-Cement and Lime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0D927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0.013</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B906FF" w14:textId="77777777" w:rsidR="009D6957" w:rsidRPr="00BF4FC1" w:rsidRDefault="009D6957" w:rsidP="00BF4FC1">
            <w:r w:rsidRPr="00BF4FC1">
              <w:t>14.128</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24E32B6"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20834148"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3ABBE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2110-Iron Smelting and Steel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477404"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0.121</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73ABB42" w14:textId="77777777" w:rsidR="009D6957" w:rsidRPr="00BF4FC1" w:rsidRDefault="009D6957" w:rsidP="00BF4FC1">
            <w:r w:rsidRPr="00BF4FC1">
              <w:t>17.558</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2EABD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2C52F6B9"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66C2964"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2141-Non-Ferrous Metal Casting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E7CD10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0.005</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56C8C87" w14:textId="77777777" w:rsidR="009D6957" w:rsidRPr="00BF4FC1" w:rsidRDefault="009D6957" w:rsidP="00BF4FC1">
            <w:r w:rsidRPr="00BF4FC1">
              <w:t>45.833</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808B5"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71B82256"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CFF16D"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2149-Other Basic Non-Ferrous Metal Product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56D8A63"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0.385</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62BCC0" w14:textId="77777777" w:rsidR="009D6957" w:rsidRPr="00BF4FC1" w:rsidRDefault="009D6957" w:rsidP="00BF4FC1">
            <w:r w:rsidRPr="00BF4FC1">
              <w:t>42.142</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EFE1D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02E1761E"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0A3BA6"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1112-Poultry Processing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9F1343"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0.127</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B2E7E0" w14:textId="77777777" w:rsidR="009D6957" w:rsidRPr="00BF4FC1" w:rsidRDefault="009D6957" w:rsidP="00BF4FC1">
            <w:r w:rsidRPr="00BF4FC1">
              <w:t>0.201</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7663DA"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1D32BC2A"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E7D212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1113-Cured Meat and Smallgoods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6DE795"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0.069</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05A06C3" w14:textId="77777777" w:rsidR="009D6957" w:rsidRPr="00BF4FC1" w:rsidRDefault="009D6957" w:rsidP="00BF4FC1">
            <w:r w:rsidRPr="00BF4FC1">
              <w:t>2.324</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C23332"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13279D71"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69572C"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1132-Ice Cream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A420A80"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0.281</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99B056" w14:textId="77777777" w:rsidR="009D6957" w:rsidRPr="00BF4FC1" w:rsidRDefault="009D6957" w:rsidP="00BF4FC1">
            <w:r w:rsidRPr="00BF4FC1">
              <w:t>3.981</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D0E92EE"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5AF12374"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CFAE85"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1133-Cheese and Other Dairy Product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767268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0.799</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3E70A5" w14:textId="77777777" w:rsidR="009D6957" w:rsidRPr="00BF4FC1" w:rsidRDefault="009D6957" w:rsidP="00BF4FC1">
            <w:r w:rsidRPr="00BF4FC1">
              <w:t>0.369</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74551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402AD44B"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E9F9A5"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1140-Fruit and Vegetable Processing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1B2D5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0.757</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3A7734A" w14:textId="77777777" w:rsidR="009D6957" w:rsidRPr="00BF4FC1" w:rsidRDefault="009D6957" w:rsidP="00BF4FC1">
            <w:r w:rsidRPr="00BF4FC1">
              <w:t>31.742</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FED47E"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583D9EE6"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1F1817"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1150-Oil and Fat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1EBF1D7"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0.116</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3A98385" w14:textId="77777777" w:rsidR="009D6957" w:rsidRPr="00BF4FC1" w:rsidRDefault="009D6957" w:rsidP="00BF4FC1">
            <w:r w:rsidRPr="00BF4FC1">
              <w:t>31.375</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276AE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297DAB67"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05BC1D"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1161-Grain Mill Product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0E873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0.965</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662B4A" w14:textId="77777777" w:rsidR="009D6957" w:rsidRPr="00BF4FC1" w:rsidRDefault="009D6957" w:rsidP="00BF4FC1">
            <w:r w:rsidRPr="00BF4FC1">
              <w:t>15.948</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C97755A"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65FB2B17"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25609D"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 xml:space="preserve">1162-Cereal, </w:t>
            </w:r>
            <w:proofErr w:type="gramStart"/>
            <w:r w:rsidRPr="009D6957">
              <w:rPr>
                <w:rFonts w:ascii="Calibri" w:eastAsia="Times New Roman" w:hAnsi="Calibri" w:cs="Calibri"/>
                <w:lang w:eastAsia="en-AU"/>
              </w:rPr>
              <w:t>Pasta</w:t>
            </w:r>
            <w:proofErr w:type="gramEnd"/>
            <w:r w:rsidRPr="009D6957">
              <w:rPr>
                <w:rFonts w:ascii="Calibri" w:eastAsia="Times New Roman" w:hAnsi="Calibri" w:cs="Calibri"/>
                <w:lang w:eastAsia="en-AU"/>
              </w:rPr>
              <w:t xml:space="preserve"> and Baking Mix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5F84AD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0.46</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5BF1D8" w14:textId="77777777" w:rsidR="009D6957" w:rsidRPr="00BF4FC1" w:rsidRDefault="009D6957" w:rsidP="00BF4FC1">
            <w:r w:rsidRPr="00BF4FC1">
              <w:t>18.935</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59E034"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00090540"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B10977"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1171-Bread Manufacturing (Factory based)</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5C4FA96"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0.242</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CE3D1D" w14:textId="77777777" w:rsidR="009D6957" w:rsidRPr="00BF4FC1" w:rsidRDefault="009D6957" w:rsidP="00BF4FC1">
            <w:r w:rsidRPr="00BF4FC1">
              <w:t>2.678</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30B3550"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507BC20A"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51B0ACA"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1172-Cake and Pastry Manufacturing (Factory based)</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979DD7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0.098</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3323669" w14:textId="77777777" w:rsidR="009D6957" w:rsidRPr="00BF4FC1" w:rsidRDefault="009D6957" w:rsidP="00BF4FC1">
            <w:r w:rsidRPr="00BF4FC1">
              <w:t>1.392</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5E309C"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2D29EC46"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CFCCB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1173-Biscuit Manufacturing (Factory based)</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EDE644"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0.204</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DA7B1B8" w14:textId="77777777" w:rsidR="009D6957" w:rsidRPr="00BF4FC1" w:rsidRDefault="009D6957" w:rsidP="00BF4FC1">
            <w:r w:rsidRPr="00BF4FC1">
              <w:t>22.647</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559B2B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5DD58BF8"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5A1272"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1181-Sugar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682712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0.197</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3C1241" w14:textId="77777777" w:rsidR="009D6957" w:rsidRPr="00BF4FC1" w:rsidRDefault="009D6957" w:rsidP="00BF4FC1">
            <w:r w:rsidRPr="00BF4FC1">
              <w:t>3.932</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9511B7"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3BD2CC02"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6797E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1182-Confectionery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53BB84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0.271</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99EEA" w14:textId="77777777" w:rsidR="009D6957" w:rsidRPr="00BF4FC1" w:rsidRDefault="009D6957" w:rsidP="00BF4FC1">
            <w:r w:rsidRPr="00BF4FC1">
              <w:t>23.349</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F23B1E"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686890A4"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E947F6"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 xml:space="preserve">1199-Other Food Product Manufacturing </w:t>
            </w:r>
            <w:proofErr w:type="spellStart"/>
            <w:r w:rsidRPr="009D6957">
              <w:rPr>
                <w:rFonts w:ascii="Calibri" w:eastAsia="Times New Roman" w:hAnsi="Calibri" w:cs="Calibri"/>
                <w:lang w:eastAsia="en-AU"/>
              </w:rPr>
              <w:t>n.e.c.</w:t>
            </w:r>
            <w:proofErr w:type="spellEnd"/>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07A7D0A"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0.488</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61BA5D9" w14:textId="77777777" w:rsidR="009D6957" w:rsidRPr="00BF4FC1" w:rsidRDefault="009D6957" w:rsidP="00BF4FC1">
            <w:r w:rsidRPr="00BF4FC1">
              <w:t>36.4</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DB65F0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67566FB4"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E81E283"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1211-Soft Drink, Cordial and Syrup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DB6387"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0.183</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8604C4" w14:textId="77777777" w:rsidR="009D6957" w:rsidRPr="00BF4FC1" w:rsidRDefault="009D6957" w:rsidP="00BF4FC1">
            <w:r w:rsidRPr="00BF4FC1">
              <w:t>9.18</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719B0E"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12973BEC"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0843E6"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1212-Beer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21C3E5"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0.04</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64ED0C" w14:textId="77777777" w:rsidR="009D6957" w:rsidRPr="00BF4FC1" w:rsidRDefault="009D6957" w:rsidP="00BF4FC1">
            <w:r w:rsidRPr="00BF4FC1">
              <w:t>8.851</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E6E2C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34220AC7"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E28CCC"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1213-Spirit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40538F"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0.112</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D292E8" w14:textId="77777777" w:rsidR="009D6957" w:rsidRPr="00BF4FC1" w:rsidRDefault="009D6957" w:rsidP="00BF4FC1">
            <w:r w:rsidRPr="00BF4FC1">
              <w:t>49.875</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5A8EB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67E72EE9"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904374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1331-Textile Floor Covering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C9877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0.07</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5ED6EB" w14:textId="77777777" w:rsidR="009D6957" w:rsidRPr="00BF4FC1" w:rsidRDefault="009D6957" w:rsidP="00BF4FC1">
            <w:r w:rsidRPr="00BF4FC1">
              <w:t>23.806</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67C46C"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41B40E47"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FF8C05"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1411-Log Sawmilling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AB5A75"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0.092</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BA0EA6" w14:textId="77777777" w:rsidR="009D6957" w:rsidRPr="00BF4FC1" w:rsidRDefault="009D6957" w:rsidP="00BF4FC1">
            <w:r w:rsidRPr="00BF4FC1">
              <w:t>1.245</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CD0CF7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60D3AA8B"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9491E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1413-Timber Resawing and Dressing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5AE627F"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0.004</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058D95" w14:textId="77777777" w:rsidR="009D6957" w:rsidRPr="00BF4FC1" w:rsidRDefault="009D6957" w:rsidP="00BF4FC1">
            <w:r w:rsidRPr="00BF4FC1">
              <w:t>32.355</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615791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486F7ED3"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427701"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1491-Prefabricated Wooden Building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DC396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0.13</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930EAA" w14:textId="77777777" w:rsidR="009D6957" w:rsidRPr="00BF4FC1" w:rsidRDefault="009D6957" w:rsidP="00BF4FC1">
            <w:r w:rsidRPr="00BF4FC1">
              <w:t>0</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A67F55"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735599EA"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13F2A"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1492-Wooden Structural Fitting and Component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C12F4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0.056</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F3FD545" w14:textId="77777777" w:rsidR="009D6957" w:rsidRPr="00BF4FC1" w:rsidRDefault="009D6957" w:rsidP="00BF4FC1">
            <w:r w:rsidRPr="00BF4FC1">
              <w:t>5.466</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E5720F"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68CD04D5"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FE9893"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1494-Reconstituted Wood Product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3300EE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0.032</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5B8830A" w14:textId="77777777" w:rsidR="009D6957" w:rsidRPr="00BF4FC1" w:rsidRDefault="009D6957" w:rsidP="00BF4FC1">
            <w:r w:rsidRPr="00BF4FC1">
              <w:t>25.996</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2880FA4"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045427F7"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3F3BC5"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1499-Other Wood Product Manufacturing not elsewhere classified (</w:t>
            </w:r>
            <w:proofErr w:type="spellStart"/>
            <w:r w:rsidRPr="009D6957">
              <w:rPr>
                <w:rFonts w:ascii="Calibri" w:eastAsia="Times New Roman" w:hAnsi="Calibri" w:cs="Calibri"/>
                <w:lang w:eastAsia="en-AU"/>
              </w:rPr>
              <w:t>n.e.c.</w:t>
            </w:r>
            <w:proofErr w:type="spellEnd"/>
            <w:r w:rsidRPr="009D6957">
              <w:rPr>
                <w:rFonts w:ascii="Calibri" w:eastAsia="Times New Roman" w:hAnsi="Calibri" w:cs="Calibri"/>
                <w:lang w:eastAsia="en-AU"/>
              </w:rPr>
              <w:t>)</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E4A69E"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0.031</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ED8E221" w14:textId="77777777" w:rsidR="009D6957" w:rsidRPr="00BF4FC1" w:rsidRDefault="009D6957" w:rsidP="00BF4FC1">
            <w:r w:rsidRPr="00BF4FC1">
              <w:t>21.541</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67C09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5AF13B60"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8DF0AC"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 xml:space="preserve">1510-Pulp, </w:t>
            </w:r>
            <w:proofErr w:type="gramStart"/>
            <w:r w:rsidRPr="009D6957">
              <w:rPr>
                <w:rFonts w:ascii="Calibri" w:eastAsia="Times New Roman" w:hAnsi="Calibri" w:cs="Calibri"/>
                <w:lang w:eastAsia="en-AU"/>
              </w:rPr>
              <w:t>Paper</w:t>
            </w:r>
            <w:proofErr w:type="gramEnd"/>
            <w:r w:rsidRPr="009D6957">
              <w:rPr>
                <w:rFonts w:ascii="Calibri" w:eastAsia="Times New Roman" w:hAnsi="Calibri" w:cs="Calibri"/>
                <w:lang w:eastAsia="en-AU"/>
              </w:rPr>
              <w:t xml:space="preserve"> and Paperboard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56AF76"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0.281</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962C87" w14:textId="77777777" w:rsidR="009D6957" w:rsidRPr="00BF4FC1" w:rsidRDefault="009D6957" w:rsidP="00BF4FC1">
            <w:r w:rsidRPr="00BF4FC1">
              <w:t>38.49</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37136F"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14A3A75A"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37FB89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1521-Corrugated Paperboard and Paperboard Container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D9C6EA"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0.011</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EB09FE8" w14:textId="77777777" w:rsidR="009D6957" w:rsidRPr="00BF4FC1" w:rsidRDefault="009D6957" w:rsidP="00BF4FC1">
            <w:r w:rsidRPr="00BF4FC1">
              <w:t>10.473</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F330C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78595063"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557E5BC"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1522-Paper Bag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15466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0.188</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3B7101" w14:textId="77777777" w:rsidR="009D6957" w:rsidRPr="00BF4FC1" w:rsidRDefault="009D6957" w:rsidP="00BF4FC1">
            <w:r w:rsidRPr="00BF4FC1">
              <w:t>15</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6B1032"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32D19772"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56DDA7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1523-Paper Stationery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63658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0.106</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B5C90" w14:textId="77777777" w:rsidR="009D6957" w:rsidRPr="00BF4FC1" w:rsidRDefault="009D6957" w:rsidP="00BF4FC1">
            <w:r w:rsidRPr="00BF4FC1">
              <w:t>49.838</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5ADCB3"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3AF68B4E"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DABB0C7"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1524-Sanitary Paper Product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A99D42"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0.05</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2B416" w14:textId="77777777" w:rsidR="009D6957" w:rsidRPr="00BF4FC1" w:rsidRDefault="009D6957" w:rsidP="00BF4FC1">
            <w:r w:rsidRPr="00BF4FC1">
              <w:t>24.066</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C371EE"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35B61CDA"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F4B12FE"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1831-Fertiliser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E246415"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0.338</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52029E1" w14:textId="77777777" w:rsidR="009D6957" w:rsidRPr="00BF4FC1" w:rsidRDefault="009D6957" w:rsidP="00BF4FC1">
            <w:r w:rsidRPr="00BF4FC1">
              <w:t>39.113</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F39C0A"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77644433"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7D9C5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1832-Pesticide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41BA3"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0.198</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05081E" w14:textId="77777777" w:rsidR="009D6957" w:rsidRPr="00BF4FC1" w:rsidRDefault="009D6957" w:rsidP="00BF4FC1">
            <w:r w:rsidRPr="00BF4FC1">
              <w:t>32.937</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11540D1"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5B5E56BA"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99542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2312-Motor Vehicle Body and Trailer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3E77A6"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0.096</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480CB1C" w14:textId="77777777" w:rsidR="009D6957" w:rsidRPr="00BF4FC1" w:rsidRDefault="009D6957" w:rsidP="00BF4FC1">
            <w:r w:rsidRPr="00BF4FC1">
              <w:t>13.156</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CC6AA"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620F96A2"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D31F7DC"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2391-Shipbuilding and Repair Services</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FE880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0.067</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B5CEAA" w14:textId="77777777" w:rsidR="009D6957" w:rsidRPr="00BF4FC1" w:rsidRDefault="009D6957" w:rsidP="00BF4FC1">
            <w:r w:rsidRPr="00BF4FC1">
              <w:t>36.234</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C5F9DE"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72D445CC"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12AEA7"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2392-Boatbuilding and Repair Services</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6C3026D"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0.713</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240ED8E" w14:textId="77777777" w:rsidR="009D6957" w:rsidRPr="00BF4FC1" w:rsidRDefault="009D6957" w:rsidP="00BF4FC1">
            <w:r w:rsidRPr="00BF4FC1">
              <w:t>13.518</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E6583E"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3CF75A91"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48685F0"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2393-Railway Rolling Stock Manufacturing and Repair Services</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7CD3881"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0.059</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FD916B" w14:textId="77777777" w:rsidR="009D6957" w:rsidRPr="00BF4FC1" w:rsidRDefault="009D6957" w:rsidP="00BF4FC1">
            <w:r w:rsidRPr="00BF4FC1">
              <w:t>22.001</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C08691"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419C31F5"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5A4A1C"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1841-Human Pharmaceutical and Medicinal Product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ADA016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0.172</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875396A" w14:textId="77777777" w:rsidR="009D6957" w:rsidRPr="00BF4FC1" w:rsidRDefault="009D6957" w:rsidP="00BF4FC1">
            <w:r w:rsidRPr="00BF4FC1">
              <w:t>47.991</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42885A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3</w:t>
            </w:r>
          </w:p>
        </w:tc>
      </w:tr>
      <w:tr w:rsidR="009D6957" w:rsidRPr="009D6957" w14:paraId="2A12D3CC"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355920"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1813-Basic Inorganic Chemical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A8E14A"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0.461</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ED7A45C" w14:textId="77777777" w:rsidR="009D6957" w:rsidRPr="00BF4FC1" w:rsidRDefault="009D6957" w:rsidP="00BF4FC1">
            <w:r w:rsidRPr="00BF4FC1">
              <w:t>57.139</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C9140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47161532"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53FEDE"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1829-Other Basic Polymer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465689C"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0.257</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6AF9F9" w14:textId="77777777" w:rsidR="009D6957" w:rsidRPr="00BF4FC1" w:rsidRDefault="009D6957" w:rsidP="00BF4FC1">
            <w:r w:rsidRPr="00BF4FC1">
              <w:t>81.418</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0047C02"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79D3A132"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37F48B" w14:textId="352B4E80"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1899-Other Basic Chemical Product Manufacturing</w:t>
            </w:r>
            <w:r w:rsidR="00C073C8">
              <w:rPr>
                <w:rFonts w:ascii="Calibri" w:eastAsia="Times New Roman" w:hAnsi="Calibri" w:cs="Calibri"/>
                <w:lang w:eastAsia="en-AU"/>
              </w:rPr>
              <w:t xml:space="preserve"> not </w:t>
            </w:r>
            <w:r w:rsidR="00923C9A">
              <w:rPr>
                <w:rFonts w:ascii="Calibri" w:eastAsia="Times New Roman" w:hAnsi="Calibri" w:cs="Calibri"/>
                <w:lang w:eastAsia="en-AU"/>
              </w:rPr>
              <w:t>elsewhere</w:t>
            </w:r>
            <w:r w:rsidR="00C073C8">
              <w:rPr>
                <w:rFonts w:ascii="Calibri" w:eastAsia="Times New Roman" w:hAnsi="Calibri" w:cs="Calibri"/>
                <w:lang w:eastAsia="en-AU"/>
              </w:rPr>
              <w:t xml:space="preserve"> classified</w:t>
            </w:r>
            <w:r w:rsidRPr="009D6957">
              <w:rPr>
                <w:rFonts w:ascii="Calibri" w:eastAsia="Times New Roman" w:hAnsi="Calibri" w:cs="Calibri"/>
                <w:lang w:eastAsia="en-AU"/>
              </w:rPr>
              <w:t xml:space="preserve"> </w:t>
            </w:r>
            <w:r w:rsidR="00C073C8">
              <w:rPr>
                <w:rFonts w:ascii="Calibri" w:eastAsia="Times New Roman" w:hAnsi="Calibri" w:cs="Calibri"/>
                <w:lang w:eastAsia="en-AU"/>
              </w:rPr>
              <w:t>(</w:t>
            </w:r>
            <w:proofErr w:type="spellStart"/>
            <w:r w:rsidRPr="009D6957">
              <w:rPr>
                <w:rFonts w:ascii="Calibri" w:eastAsia="Times New Roman" w:hAnsi="Calibri" w:cs="Calibri"/>
                <w:lang w:eastAsia="en-AU"/>
              </w:rPr>
              <w:t>n.e.c.</w:t>
            </w:r>
            <w:proofErr w:type="spellEnd"/>
            <w:r w:rsidR="00C073C8">
              <w:rPr>
                <w:rFonts w:ascii="Calibri" w:eastAsia="Times New Roman" w:hAnsi="Calibri" w:cs="Calibri"/>
                <w:lang w:eastAsia="en-AU"/>
              </w:rPr>
              <w:t>)</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AD5016"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0.084</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9E642CC" w14:textId="77777777" w:rsidR="009D6957" w:rsidRPr="00BF4FC1" w:rsidRDefault="009D6957" w:rsidP="00BF4FC1">
            <w:r w:rsidRPr="00BF4FC1">
              <w:t>75.072</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19D47AE"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48D37EDA"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DBE3D7"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1911-Polymer Film and Sheet Packaging Material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CC07F80"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0.038</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E84DE1" w14:textId="77777777" w:rsidR="009D6957" w:rsidRPr="00BF4FC1" w:rsidRDefault="009D6957" w:rsidP="00BF4FC1">
            <w:r w:rsidRPr="00BF4FC1">
              <w:t>56.936</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E009EA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79C2A6E3"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B659A4"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1914-Tyre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99F0BA"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0.021</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B4C4B2" w14:textId="77777777" w:rsidR="009D6957" w:rsidRPr="00BF4FC1" w:rsidRDefault="009D6957" w:rsidP="00BF4FC1">
            <w:r w:rsidRPr="00BF4FC1">
              <w:t>98.251</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EAB22F"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0AE65E1C"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894F4C"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1919-Other Polymer Product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B3E1C4"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0.052</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E8D6CD" w14:textId="77777777" w:rsidR="009D6957" w:rsidRPr="00BF4FC1" w:rsidRDefault="009D6957" w:rsidP="00BF4FC1">
            <w:r w:rsidRPr="00BF4FC1">
              <w:t>58.174</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52B9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4CF11460"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B4FD43"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2122-Steel Pipe and Tube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64C9CF"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0.045</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99ED535" w14:textId="77777777" w:rsidR="009D6957" w:rsidRPr="00BF4FC1" w:rsidRDefault="009D6957" w:rsidP="00BF4FC1">
            <w:r w:rsidRPr="00BF4FC1">
              <w:t>58.084</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D65FEE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13D910D3"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7A777B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2142-Aluminium Rolling, Drawing, Extruding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A8CDAC"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0.315</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E714AE" w14:textId="77777777" w:rsidR="009D6957" w:rsidRPr="00BF4FC1" w:rsidRDefault="009D6957" w:rsidP="00BF4FC1">
            <w:r w:rsidRPr="00BF4FC1">
              <w:t>75.365</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111ED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7069FCFB"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6725A7"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2462-Mining and Construction Machinery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1C3795"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0.191</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D26A5" w14:textId="77777777" w:rsidR="009D6957" w:rsidRPr="00BF4FC1" w:rsidRDefault="009D6957" w:rsidP="00BF4FC1">
            <w:r w:rsidRPr="00BF4FC1">
              <w:t>68.677</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067C6"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038F8858"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D1B122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2491-Lifting and Material Handling Equipment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9474CF"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0.071</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51C85F" w14:textId="77777777" w:rsidR="009D6957" w:rsidRPr="00BF4FC1" w:rsidRDefault="009D6957" w:rsidP="00BF4FC1">
            <w:r w:rsidRPr="00BF4FC1">
              <w:t>77.851</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80AD92"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304AD8B7"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6E4454"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1120-Seafood Processing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401260"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0.23</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DA7C6" w14:textId="77777777" w:rsidR="009D6957" w:rsidRPr="00BF4FC1" w:rsidRDefault="009D6957" w:rsidP="00BF4FC1">
            <w:r w:rsidRPr="00BF4FC1">
              <w:t>57.364</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4EA0190"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2B99FA2D"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68B16F"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1220-Cigarette and Tobacco Product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6BB7B4"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36010" w14:textId="77777777" w:rsidR="009D6957" w:rsidRPr="00BF4FC1" w:rsidRDefault="009D6957" w:rsidP="00BF4FC1">
            <w:r w:rsidRPr="00BF4FC1">
              <w:t>100</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5392053"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683D6850"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D1F6B16"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1312-Natural Textile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95C038F"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0.01</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A01533F" w14:textId="77777777" w:rsidR="009D6957" w:rsidRPr="00BF4FC1" w:rsidRDefault="009D6957" w:rsidP="00BF4FC1">
            <w:r w:rsidRPr="00BF4FC1">
              <w:t>77.078</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E390F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0FDF43D2"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D7A652"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1313-Synthetic Textile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A1468C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0.012</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04CE6C" w14:textId="77777777" w:rsidR="009D6957" w:rsidRPr="00BF4FC1" w:rsidRDefault="009D6957" w:rsidP="00BF4FC1">
            <w:r w:rsidRPr="00BF4FC1">
              <w:t>79.679</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6FD22F"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2D5F9ED5"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339949A"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1320-Leather Tanning, Fur Dressing and Leather Product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068C1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0.263</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395EBF" w14:textId="77777777" w:rsidR="009D6957" w:rsidRPr="00BF4FC1" w:rsidRDefault="009D6957" w:rsidP="00BF4FC1">
            <w:r w:rsidRPr="00BF4FC1">
              <w:t>70.62</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F490B0"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2C7E16F2"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85D24A0"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1332-Rope, Cordage and Twine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52E066"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0.076</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E776D76" w14:textId="77777777" w:rsidR="009D6957" w:rsidRPr="00BF4FC1" w:rsidRDefault="009D6957" w:rsidP="00BF4FC1">
            <w:r w:rsidRPr="00BF4FC1">
              <w:t>82.56</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AF41DA"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2D65CF13"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C431814"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1333-Cut and Sewn Textile Product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FFB320"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0.027</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878FD7" w14:textId="77777777" w:rsidR="009D6957" w:rsidRPr="00BF4FC1" w:rsidRDefault="009D6957" w:rsidP="00BF4FC1">
            <w:r w:rsidRPr="00BF4FC1">
              <w:t>91.6</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A6144D"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2306DAEA"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C5E48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1334-Textile Finishing and Other Textile Product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3DD7DC5"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0.065</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2E96CD" w14:textId="77777777" w:rsidR="009D6957" w:rsidRPr="00BF4FC1" w:rsidRDefault="009D6957" w:rsidP="00BF4FC1">
            <w:r w:rsidRPr="00BF4FC1">
              <w:t>81.285</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5C2512"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2E158AEB"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08FF66"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1340-Knitted Product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93AD554"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0.013</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16D938" w14:textId="77777777" w:rsidR="009D6957" w:rsidRPr="00BF4FC1" w:rsidRDefault="009D6957" w:rsidP="00BF4FC1">
            <w:r w:rsidRPr="00BF4FC1">
              <w:t>93.42</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983427"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7DBE9EC6"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F2F8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1351-Clothing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94F96A1"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0.033</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525BA1" w14:textId="77777777" w:rsidR="009D6957" w:rsidRPr="00BF4FC1" w:rsidRDefault="009D6957" w:rsidP="00BF4FC1">
            <w:r w:rsidRPr="00BF4FC1">
              <w:t>94.171</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9211B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65612622"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DE1774"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1352-Footwear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368AFE"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0.021</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27F018B" w14:textId="77777777" w:rsidR="009D6957" w:rsidRPr="00BF4FC1" w:rsidRDefault="009D6957" w:rsidP="00BF4FC1">
            <w:r w:rsidRPr="00BF4FC1">
              <w:t>87.848</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6B3872"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175D2389"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00D372"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1493-Veneer and Plywood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9BCA83C"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0.026</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58EEE3F" w14:textId="77777777" w:rsidR="009D6957" w:rsidRPr="00BF4FC1" w:rsidRDefault="009D6957" w:rsidP="00BF4FC1">
            <w:r w:rsidRPr="00BF4FC1">
              <w:t>64.569</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56C8A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3BA95E90"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290952"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1529-Other Converted Paper Product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5784BA"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0.016</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88BA9D0" w14:textId="77777777" w:rsidR="009D6957" w:rsidRPr="00BF4FC1" w:rsidRDefault="009D6957" w:rsidP="00BF4FC1">
            <w:r w:rsidRPr="00BF4FC1">
              <w:t>64.069</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0FE6D07"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231450BC"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9D9CE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1842-Veterinary Pharmaceutical and Medicinal Product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99CA2D"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0.419</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EEDDBEA" w14:textId="77777777" w:rsidR="009D6957" w:rsidRPr="00BF4FC1" w:rsidRDefault="009D6957" w:rsidP="00BF4FC1">
            <w:r w:rsidRPr="00BF4FC1">
              <w:t>76.364</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61A895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66ED9E7C"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D6A0C9E"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2461-Agricultural Machinery and Equipment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872FED0"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0.03</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A63D3D" w14:textId="77777777" w:rsidR="009D6957" w:rsidRPr="00BF4FC1" w:rsidRDefault="009D6957" w:rsidP="00BF4FC1">
            <w:r w:rsidRPr="00BF4FC1">
              <w:t>74.783</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A88388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1F2CBE4C"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4E5D62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2311-Motor Vehicle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5B7F0"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0.013</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7E523F" w14:textId="77777777" w:rsidR="009D6957" w:rsidRPr="00BF4FC1" w:rsidRDefault="009D6957" w:rsidP="00BF4FC1">
            <w:r w:rsidRPr="00BF4FC1">
              <w:t>93.433</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260F7C"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0557A39A"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8D3092"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2313-Automotive Electrical Component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D8D050A"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0.029</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072CB8" w14:textId="77777777" w:rsidR="009D6957" w:rsidRPr="00BF4FC1" w:rsidRDefault="009D6957" w:rsidP="00BF4FC1">
            <w:r w:rsidRPr="00BF4FC1">
              <w:t>62.506</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4B71C0"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67F84406"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E2BFE0D"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2319-Other Motor Vehicle Parts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8BDE78D"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0.098</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68FA38" w14:textId="77777777" w:rsidR="009D6957" w:rsidRPr="00BF4FC1" w:rsidRDefault="009D6957" w:rsidP="00BF4FC1">
            <w:r w:rsidRPr="00BF4FC1">
              <w:t>73.774</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5402B2"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5102B108"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A568075"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2394-Aircraft Manufacturing and Repair Services</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38AE006"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0.131</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1C0FFA7" w14:textId="77777777" w:rsidR="009D6957" w:rsidRPr="00BF4FC1" w:rsidRDefault="009D6957" w:rsidP="00BF4FC1">
            <w:r w:rsidRPr="00BF4FC1">
              <w:t>58.45</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1C695C"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4AFBF3ED"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4E6C1A" w14:textId="0E68623E"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2399-Other Transport Equipment Manufacturing</w:t>
            </w:r>
            <w:r w:rsidR="00923C9A">
              <w:rPr>
                <w:rFonts w:ascii="Calibri" w:eastAsia="Times New Roman" w:hAnsi="Calibri" w:cs="Calibri"/>
                <w:lang w:eastAsia="en-AU"/>
              </w:rPr>
              <w:t xml:space="preserve"> not elsewhere classified</w:t>
            </w:r>
            <w:r w:rsidRPr="009D6957">
              <w:rPr>
                <w:rFonts w:ascii="Calibri" w:eastAsia="Times New Roman" w:hAnsi="Calibri" w:cs="Calibri"/>
                <w:lang w:eastAsia="en-AU"/>
              </w:rPr>
              <w:t xml:space="preserve"> </w:t>
            </w:r>
            <w:r w:rsidR="00923C9A">
              <w:rPr>
                <w:rFonts w:ascii="Calibri" w:eastAsia="Times New Roman" w:hAnsi="Calibri" w:cs="Calibri"/>
                <w:lang w:eastAsia="en-AU"/>
              </w:rPr>
              <w:t>(</w:t>
            </w:r>
            <w:proofErr w:type="spellStart"/>
            <w:r w:rsidRPr="009D6957">
              <w:rPr>
                <w:rFonts w:ascii="Calibri" w:eastAsia="Times New Roman" w:hAnsi="Calibri" w:cs="Calibri"/>
                <w:lang w:eastAsia="en-AU"/>
              </w:rPr>
              <w:t>n.e.c.</w:t>
            </w:r>
            <w:proofErr w:type="spellEnd"/>
            <w:r w:rsidR="00923C9A">
              <w:rPr>
                <w:rFonts w:ascii="Calibri" w:eastAsia="Times New Roman" w:hAnsi="Calibri" w:cs="Calibri"/>
                <w:lang w:eastAsia="en-AU"/>
              </w:rPr>
              <w:t>)</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960660"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0.033</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7F5E20" w14:textId="77777777" w:rsidR="009D6957" w:rsidRPr="00BF4FC1" w:rsidRDefault="009D6957" w:rsidP="00BF4FC1">
            <w:r w:rsidRPr="00BF4FC1">
              <w:t>63.058</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D4AD5E1"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5A88EC56"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C9A71C"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2411-Photographic, Optical and Ophthalmic Equipment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1CB91C"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0.037</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F63C24" w14:textId="77777777" w:rsidR="009D6957" w:rsidRPr="00BF4FC1" w:rsidRDefault="009D6957" w:rsidP="00BF4FC1">
            <w:r w:rsidRPr="00BF4FC1">
              <w:t>88.337</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6E0A2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5AB887A6"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DF7B7A"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2412-Medical and Surgical Equipment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90E82B"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0.256</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3275BDE" w14:textId="77777777" w:rsidR="009D6957" w:rsidRPr="00BF4FC1" w:rsidRDefault="009D6957" w:rsidP="00BF4FC1">
            <w:r w:rsidRPr="00BF4FC1">
              <w:t>67.54</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FC0780"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7287E508"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38D673"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2439-Other Electrical Equipment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387F03D"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0.058</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1834BE" w14:textId="77777777" w:rsidR="009D6957" w:rsidRPr="00BF4FC1" w:rsidRDefault="009D6957" w:rsidP="00BF4FC1">
            <w:r w:rsidRPr="00BF4FC1">
              <w:t>80.017</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AC3C0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61395EE4"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26A53D9" w14:textId="213E77E4"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 xml:space="preserve">2499-Other Machinery and Equipment Manufacturing </w:t>
            </w:r>
            <w:r w:rsidR="00923C9A">
              <w:rPr>
                <w:rFonts w:ascii="Calibri" w:eastAsia="Times New Roman" w:hAnsi="Calibri" w:cs="Calibri"/>
                <w:lang w:eastAsia="en-AU"/>
              </w:rPr>
              <w:t>not elsewhere classified</w:t>
            </w:r>
            <w:r w:rsidR="00923C9A" w:rsidRPr="009D6957">
              <w:rPr>
                <w:rFonts w:ascii="Calibri" w:eastAsia="Times New Roman" w:hAnsi="Calibri" w:cs="Calibri"/>
                <w:lang w:eastAsia="en-AU"/>
              </w:rPr>
              <w:t xml:space="preserve"> </w:t>
            </w:r>
            <w:r w:rsidR="00923C9A">
              <w:rPr>
                <w:rFonts w:ascii="Calibri" w:eastAsia="Times New Roman" w:hAnsi="Calibri" w:cs="Calibri"/>
                <w:lang w:eastAsia="en-AU"/>
              </w:rPr>
              <w:t>(</w:t>
            </w:r>
            <w:proofErr w:type="spellStart"/>
            <w:r w:rsidR="00923C9A" w:rsidRPr="009D6957">
              <w:rPr>
                <w:rFonts w:ascii="Calibri" w:eastAsia="Times New Roman" w:hAnsi="Calibri" w:cs="Calibri"/>
                <w:lang w:eastAsia="en-AU"/>
              </w:rPr>
              <w:t>n.e.c.</w:t>
            </w:r>
            <w:proofErr w:type="spellEnd"/>
            <w:r w:rsidR="00923C9A">
              <w:rPr>
                <w:rFonts w:ascii="Calibri" w:eastAsia="Times New Roman" w:hAnsi="Calibri" w:cs="Calibri"/>
                <w:lang w:eastAsia="en-AU"/>
              </w:rPr>
              <w:t>)</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41F940F"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0.084</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A7FD053" w14:textId="77777777" w:rsidR="009D6957" w:rsidRPr="00BF4FC1" w:rsidRDefault="009D6957" w:rsidP="00BF4FC1">
            <w:r w:rsidRPr="00BF4FC1">
              <w:t>70.928</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467E7EE"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2DAC2290"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0FA2AF7"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2469-Other Specialised Machinery and Equipment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84F3347"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0.11</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16EF3DA" w14:textId="77777777" w:rsidR="009D6957" w:rsidRPr="00BF4FC1" w:rsidRDefault="009D6957" w:rsidP="00BF4FC1">
            <w:r w:rsidRPr="00BF4FC1">
              <w:t>67.207</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8DA97E"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6FC23DEB"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B6B55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2463-Machine Tool and Parts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57D24D"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0.061</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72BABF0" w14:textId="77777777" w:rsidR="009D6957" w:rsidRPr="00BF4FC1" w:rsidRDefault="009D6957" w:rsidP="00BF4FC1">
            <w:r w:rsidRPr="00BF4FC1">
              <w:t>80.477</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6FF977"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11ED0C99"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CE4B9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2452-Fixed Space Heating, Cooling and Ventilation Equipment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A36DD5C"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0.049</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D6F5C7" w14:textId="77777777" w:rsidR="009D6957" w:rsidRPr="00BF4FC1" w:rsidRDefault="009D6957" w:rsidP="00BF4FC1">
            <w:r w:rsidRPr="00BF4FC1">
              <w:t>59.547</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9FA797"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30C10523"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08FAA9"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2451-Pump and Compressor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984FE42"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0.134</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E1B1427" w14:textId="77777777" w:rsidR="009D6957" w:rsidRPr="00BF4FC1" w:rsidRDefault="009D6957" w:rsidP="00BF4FC1">
            <w:r w:rsidRPr="00BF4FC1">
              <w:t>67.015</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E0DE68"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1374A7AE"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EEE2E2"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2421-Computer and Electronic Office Equipment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282E9C5"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0.027</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34EF32D" w14:textId="77777777" w:rsidR="009D6957" w:rsidRPr="00BF4FC1" w:rsidRDefault="009D6957" w:rsidP="00BF4FC1">
            <w:r w:rsidRPr="00BF4FC1">
              <w:t>86.505</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6D3B932"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9D6957" w14:paraId="2BF8AF84"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D5182FE"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2422-Communication Equipment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1B40BC"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0.03</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F8F4CE2" w14:textId="77777777" w:rsidR="009D6957" w:rsidRPr="00BF4FC1" w:rsidRDefault="009D6957" w:rsidP="00BF4FC1">
            <w:r w:rsidRPr="00BF4FC1">
              <w:t>92.765</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78532BF"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r w:rsidR="009D6957" w:rsidRPr="003232F4" w14:paraId="25A1D01F" w14:textId="77777777" w:rsidTr="009D6957">
        <w:trPr>
          <w:trHeight w:val="20"/>
        </w:trPr>
        <w:tc>
          <w:tcPr>
            <w:tcW w:w="232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722487"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2429-Other Electronic Equipment Manufacturing</w:t>
            </w:r>
          </w:p>
        </w:tc>
        <w:tc>
          <w:tcPr>
            <w:tcW w:w="12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F05D7A" w14:textId="77777777" w:rsidR="009D6957" w:rsidRPr="009D6957"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0.015</w:t>
            </w:r>
          </w:p>
        </w:tc>
        <w:tc>
          <w:tcPr>
            <w:tcW w:w="87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3F1D10" w14:textId="77777777" w:rsidR="009D6957" w:rsidRPr="00BF4FC1" w:rsidRDefault="009D6957" w:rsidP="00BF4FC1">
            <w:r w:rsidRPr="00BF4FC1">
              <w:t>84.852</w:t>
            </w:r>
          </w:p>
        </w:tc>
        <w:tc>
          <w:tcPr>
            <w:tcW w:w="57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34ABF83" w14:textId="77777777" w:rsidR="009D6957" w:rsidRPr="003232F4" w:rsidRDefault="009D6957" w:rsidP="00E4374E">
            <w:pPr>
              <w:spacing w:after="0" w:line="240" w:lineRule="auto"/>
              <w:rPr>
                <w:rFonts w:ascii="Calibri" w:eastAsia="Times New Roman" w:hAnsi="Calibri" w:cs="Calibri"/>
                <w:lang w:eastAsia="en-AU"/>
              </w:rPr>
            </w:pPr>
            <w:r w:rsidRPr="009D6957">
              <w:rPr>
                <w:rFonts w:ascii="Calibri" w:eastAsia="Times New Roman" w:hAnsi="Calibri" w:cs="Calibri"/>
                <w:lang w:eastAsia="en-AU"/>
              </w:rPr>
              <w:t>4</w:t>
            </w:r>
          </w:p>
        </w:tc>
      </w:tr>
    </w:tbl>
    <w:p w14:paraId="53CECB06" w14:textId="55EF469B" w:rsidR="002556C4" w:rsidRDefault="000E586C" w:rsidP="00C35D33">
      <w:pPr>
        <w:pStyle w:val="Heading4"/>
        <w:rPr>
          <w:rFonts w:eastAsia="Times New Roman"/>
          <w:lang w:eastAsia="en-AU"/>
        </w:rPr>
      </w:pPr>
      <w:bookmarkStart w:id="118" w:name="_Chart_6:_Percentage"/>
      <w:bookmarkEnd w:id="118"/>
      <w:r w:rsidRPr="000E586C">
        <w:t xml:space="preserve">Chart 6: </w:t>
      </w:r>
      <w:r w:rsidRPr="000E586C">
        <w:rPr>
          <w:rFonts w:eastAsia="Times New Roman"/>
          <w:lang w:eastAsia="en-AU"/>
        </w:rPr>
        <w:t xml:space="preserve">Percentage of businesses introducing innovation – Australia ranks 8th out of 27 </w:t>
      </w:r>
      <w:r w:rsidRPr="000E586C">
        <w:t>Organization for Economic Cooperation and Development (</w:t>
      </w:r>
      <w:r w:rsidRPr="000E586C">
        <w:rPr>
          <w:rFonts w:eastAsia="Times New Roman"/>
          <w:lang w:eastAsia="en-AU"/>
        </w:rPr>
        <w:t>OECD) countries</w:t>
      </w:r>
    </w:p>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969"/>
      </w:tblGrid>
      <w:tr w:rsidR="000E586C" w:rsidRPr="00BB59AB" w14:paraId="5A62EA76" w14:textId="77777777" w:rsidTr="00426B8A">
        <w:trPr>
          <w:trHeight w:val="643"/>
          <w:tblHeader/>
        </w:trPr>
        <w:tc>
          <w:tcPr>
            <w:tcW w:w="2122" w:type="dxa"/>
            <w:shd w:val="clear" w:color="auto" w:fill="E5E5FF"/>
            <w:noWrap/>
            <w:vAlign w:val="center"/>
            <w:hideMark/>
          </w:tcPr>
          <w:p w14:paraId="2F2EAD83" w14:textId="77777777" w:rsidR="000E586C" w:rsidRPr="00BB59AB" w:rsidRDefault="000E586C" w:rsidP="00E4374E">
            <w:pPr>
              <w:spacing w:after="0" w:line="240" w:lineRule="auto"/>
              <w:jc w:val="center"/>
              <w:rPr>
                <w:rFonts w:ascii="Arial" w:eastAsia="Times New Roman" w:hAnsi="Arial" w:cs="Arial"/>
                <w:b/>
                <w:bCs/>
                <w:sz w:val="20"/>
                <w:szCs w:val="20"/>
                <w:lang w:eastAsia="en-AU"/>
              </w:rPr>
            </w:pPr>
            <w:r w:rsidRPr="00BB59AB">
              <w:rPr>
                <w:rFonts w:ascii="Arial" w:eastAsia="Times New Roman" w:hAnsi="Arial" w:cs="Arial"/>
                <w:b/>
                <w:bCs/>
                <w:sz w:val="20"/>
                <w:szCs w:val="20"/>
                <w:lang w:eastAsia="en-AU"/>
              </w:rPr>
              <w:t>Country</w:t>
            </w:r>
          </w:p>
        </w:tc>
        <w:tc>
          <w:tcPr>
            <w:tcW w:w="3969" w:type="dxa"/>
            <w:shd w:val="clear" w:color="auto" w:fill="E5E5FF"/>
            <w:noWrap/>
            <w:vAlign w:val="center"/>
            <w:hideMark/>
          </w:tcPr>
          <w:p w14:paraId="2CC3460B" w14:textId="77777777" w:rsidR="000E586C" w:rsidRPr="00BB59AB" w:rsidRDefault="000E586C" w:rsidP="00E4374E">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Percentage of businesses introducing innovation </w:t>
            </w:r>
          </w:p>
        </w:tc>
      </w:tr>
      <w:tr w:rsidR="000E586C" w:rsidRPr="00BB59AB" w14:paraId="5EE2F7A7" w14:textId="77777777" w:rsidTr="00426B8A">
        <w:trPr>
          <w:trHeight w:val="397"/>
        </w:trPr>
        <w:tc>
          <w:tcPr>
            <w:tcW w:w="2122" w:type="dxa"/>
            <w:shd w:val="clear" w:color="auto" w:fill="auto"/>
            <w:noWrap/>
            <w:vAlign w:val="bottom"/>
            <w:hideMark/>
          </w:tcPr>
          <w:p w14:paraId="1FC9A23C" w14:textId="77777777" w:rsidR="000E586C" w:rsidRPr="00BB59AB" w:rsidRDefault="000E586C" w:rsidP="00E4374E">
            <w:pPr>
              <w:spacing w:after="0" w:line="240" w:lineRule="auto"/>
              <w:rPr>
                <w:rFonts w:ascii="Calibri" w:eastAsia="Times New Roman" w:hAnsi="Calibri" w:cs="Calibri"/>
                <w:lang w:eastAsia="en-AU"/>
              </w:rPr>
            </w:pPr>
            <w:r w:rsidRPr="00BB59AB">
              <w:rPr>
                <w:rFonts w:ascii="Calibri" w:eastAsia="Times New Roman" w:hAnsi="Calibri" w:cs="Calibri"/>
                <w:lang w:eastAsia="en-AU"/>
              </w:rPr>
              <w:t>C</w:t>
            </w:r>
            <w:r>
              <w:rPr>
                <w:rFonts w:ascii="Calibri" w:eastAsia="Times New Roman" w:hAnsi="Calibri" w:cs="Calibri"/>
                <w:lang w:eastAsia="en-AU"/>
              </w:rPr>
              <w:t>anada</w:t>
            </w:r>
          </w:p>
        </w:tc>
        <w:tc>
          <w:tcPr>
            <w:tcW w:w="3969" w:type="dxa"/>
            <w:shd w:val="clear" w:color="auto" w:fill="auto"/>
            <w:noWrap/>
            <w:vAlign w:val="bottom"/>
            <w:hideMark/>
          </w:tcPr>
          <w:p w14:paraId="1561AAD2"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80</w:t>
            </w:r>
          </w:p>
        </w:tc>
      </w:tr>
      <w:tr w:rsidR="000E586C" w:rsidRPr="00BB59AB" w14:paraId="56425B31" w14:textId="77777777" w:rsidTr="00426B8A">
        <w:trPr>
          <w:trHeight w:val="397"/>
        </w:trPr>
        <w:tc>
          <w:tcPr>
            <w:tcW w:w="2122" w:type="dxa"/>
            <w:shd w:val="clear" w:color="auto" w:fill="auto"/>
            <w:noWrap/>
            <w:vAlign w:val="bottom"/>
            <w:hideMark/>
          </w:tcPr>
          <w:p w14:paraId="4443B8CE"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Estonia</w:t>
            </w:r>
          </w:p>
        </w:tc>
        <w:tc>
          <w:tcPr>
            <w:tcW w:w="3969" w:type="dxa"/>
            <w:shd w:val="clear" w:color="auto" w:fill="auto"/>
            <w:noWrap/>
            <w:vAlign w:val="bottom"/>
            <w:hideMark/>
          </w:tcPr>
          <w:p w14:paraId="75158954"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66</w:t>
            </w:r>
          </w:p>
        </w:tc>
      </w:tr>
      <w:tr w:rsidR="000E586C" w:rsidRPr="00BB59AB" w14:paraId="7EB294C5" w14:textId="77777777" w:rsidTr="00426B8A">
        <w:trPr>
          <w:trHeight w:val="397"/>
        </w:trPr>
        <w:tc>
          <w:tcPr>
            <w:tcW w:w="2122" w:type="dxa"/>
            <w:shd w:val="clear" w:color="auto" w:fill="auto"/>
            <w:noWrap/>
            <w:vAlign w:val="bottom"/>
            <w:hideMark/>
          </w:tcPr>
          <w:p w14:paraId="4AB1546C"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Germany</w:t>
            </w:r>
          </w:p>
        </w:tc>
        <w:tc>
          <w:tcPr>
            <w:tcW w:w="3969" w:type="dxa"/>
            <w:shd w:val="clear" w:color="auto" w:fill="auto"/>
            <w:noWrap/>
            <w:vAlign w:val="bottom"/>
            <w:hideMark/>
          </w:tcPr>
          <w:p w14:paraId="1000831C"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64</w:t>
            </w:r>
          </w:p>
        </w:tc>
      </w:tr>
      <w:tr w:rsidR="000E586C" w:rsidRPr="00BB59AB" w14:paraId="6BDA3C21" w14:textId="77777777" w:rsidTr="00426B8A">
        <w:trPr>
          <w:trHeight w:val="397"/>
        </w:trPr>
        <w:tc>
          <w:tcPr>
            <w:tcW w:w="2122" w:type="dxa"/>
            <w:shd w:val="clear" w:color="auto" w:fill="auto"/>
            <w:noWrap/>
            <w:vAlign w:val="bottom"/>
            <w:hideMark/>
          </w:tcPr>
          <w:p w14:paraId="24025456"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Belgium</w:t>
            </w:r>
          </w:p>
        </w:tc>
        <w:tc>
          <w:tcPr>
            <w:tcW w:w="3969" w:type="dxa"/>
            <w:shd w:val="clear" w:color="auto" w:fill="auto"/>
            <w:noWrap/>
            <w:vAlign w:val="bottom"/>
            <w:hideMark/>
          </w:tcPr>
          <w:p w14:paraId="086A2A02"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62</w:t>
            </w:r>
          </w:p>
        </w:tc>
      </w:tr>
      <w:tr w:rsidR="000E586C" w:rsidRPr="00BB59AB" w14:paraId="6AE2A60F" w14:textId="77777777" w:rsidTr="00426B8A">
        <w:trPr>
          <w:trHeight w:val="397"/>
        </w:trPr>
        <w:tc>
          <w:tcPr>
            <w:tcW w:w="2122" w:type="dxa"/>
            <w:shd w:val="clear" w:color="auto" w:fill="auto"/>
            <w:noWrap/>
            <w:vAlign w:val="bottom"/>
            <w:hideMark/>
          </w:tcPr>
          <w:p w14:paraId="2E41C10A"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Sweden</w:t>
            </w:r>
          </w:p>
        </w:tc>
        <w:tc>
          <w:tcPr>
            <w:tcW w:w="3969" w:type="dxa"/>
            <w:shd w:val="clear" w:color="auto" w:fill="auto"/>
            <w:noWrap/>
            <w:vAlign w:val="bottom"/>
            <w:hideMark/>
          </w:tcPr>
          <w:p w14:paraId="2B976AA2"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61</w:t>
            </w:r>
          </w:p>
        </w:tc>
      </w:tr>
      <w:tr w:rsidR="000E586C" w:rsidRPr="00BB59AB" w14:paraId="7404AA0D" w14:textId="77777777" w:rsidTr="00426B8A">
        <w:trPr>
          <w:trHeight w:val="397"/>
        </w:trPr>
        <w:tc>
          <w:tcPr>
            <w:tcW w:w="2122" w:type="dxa"/>
            <w:shd w:val="clear" w:color="auto" w:fill="auto"/>
            <w:noWrap/>
            <w:vAlign w:val="bottom"/>
            <w:hideMark/>
          </w:tcPr>
          <w:p w14:paraId="14098C28"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Austria</w:t>
            </w:r>
          </w:p>
        </w:tc>
        <w:tc>
          <w:tcPr>
            <w:tcW w:w="3969" w:type="dxa"/>
            <w:shd w:val="clear" w:color="auto" w:fill="auto"/>
            <w:noWrap/>
            <w:vAlign w:val="bottom"/>
            <w:hideMark/>
          </w:tcPr>
          <w:p w14:paraId="4D529400"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60</w:t>
            </w:r>
          </w:p>
        </w:tc>
      </w:tr>
      <w:tr w:rsidR="000E586C" w:rsidRPr="00BB59AB" w14:paraId="7B6339CB" w14:textId="77777777" w:rsidTr="00426B8A">
        <w:trPr>
          <w:trHeight w:val="397"/>
        </w:trPr>
        <w:tc>
          <w:tcPr>
            <w:tcW w:w="2122" w:type="dxa"/>
            <w:tcBorders>
              <w:bottom w:val="single" w:sz="4" w:space="0" w:color="auto"/>
            </w:tcBorders>
            <w:shd w:val="clear" w:color="auto" w:fill="auto"/>
            <w:noWrap/>
            <w:vAlign w:val="bottom"/>
            <w:hideMark/>
          </w:tcPr>
          <w:p w14:paraId="71FC9DB2"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Greece</w:t>
            </w:r>
          </w:p>
        </w:tc>
        <w:tc>
          <w:tcPr>
            <w:tcW w:w="3969" w:type="dxa"/>
            <w:tcBorders>
              <w:bottom w:val="single" w:sz="4" w:space="0" w:color="auto"/>
            </w:tcBorders>
            <w:shd w:val="clear" w:color="auto" w:fill="auto"/>
            <w:noWrap/>
            <w:vAlign w:val="bottom"/>
            <w:hideMark/>
          </w:tcPr>
          <w:p w14:paraId="033AA1F1"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58</w:t>
            </w:r>
          </w:p>
        </w:tc>
      </w:tr>
      <w:tr w:rsidR="000E586C" w:rsidRPr="00BB59AB" w14:paraId="00D0FB29" w14:textId="77777777" w:rsidTr="00426B8A">
        <w:trPr>
          <w:trHeight w:val="397"/>
        </w:trPr>
        <w:tc>
          <w:tcPr>
            <w:tcW w:w="2122" w:type="dxa"/>
            <w:shd w:val="clear" w:color="auto" w:fill="FEFCC0" w:themeFill="accent5" w:themeFillTint="33"/>
            <w:noWrap/>
            <w:vAlign w:val="bottom"/>
            <w:hideMark/>
          </w:tcPr>
          <w:p w14:paraId="28AD1723" w14:textId="77777777" w:rsidR="000E586C" w:rsidRPr="00BB59AB" w:rsidRDefault="000E586C" w:rsidP="00C35D33">
            <w:pPr>
              <w:spacing w:after="0" w:line="240" w:lineRule="auto"/>
              <w:rPr>
                <w:rFonts w:ascii="Arial" w:eastAsia="Times New Roman" w:hAnsi="Arial" w:cs="Arial"/>
                <w:sz w:val="20"/>
                <w:szCs w:val="20"/>
                <w:lang w:eastAsia="en-AU"/>
              </w:rPr>
            </w:pPr>
            <w:r>
              <w:rPr>
                <w:rFonts w:ascii="Arial" w:eastAsia="Times New Roman" w:hAnsi="Arial" w:cs="Arial"/>
                <w:sz w:val="20"/>
                <w:szCs w:val="20"/>
                <w:lang w:eastAsia="en-AU"/>
              </w:rPr>
              <w:t>Australia</w:t>
            </w:r>
          </w:p>
        </w:tc>
        <w:tc>
          <w:tcPr>
            <w:tcW w:w="3969" w:type="dxa"/>
            <w:shd w:val="clear" w:color="auto" w:fill="FEFCC0" w:themeFill="accent5" w:themeFillTint="33"/>
            <w:noWrap/>
            <w:vAlign w:val="bottom"/>
            <w:hideMark/>
          </w:tcPr>
          <w:p w14:paraId="135D63F9"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57</w:t>
            </w:r>
          </w:p>
        </w:tc>
      </w:tr>
      <w:tr w:rsidR="000E586C" w:rsidRPr="00BB59AB" w14:paraId="2F2ED66B" w14:textId="77777777" w:rsidTr="00426B8A">
        <w:trPr>
          <w:trHeight w:val="397"/>
        </w:trPr>
        <w:tc>
          <w:tcPr>
            <w:tcW w:w="2122" w:type="dxa"/>
            <w:shd w:val="clear" w:color="auto" w:fill="auto"/>
            <w:noWrap/>
            <w:vAlign w:val="bottom"/>
            <w:hideMark/>
          </w:tcPr>
          <w:p w14:paraId="6C40141B"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Denmark</w:t>
            </w:r>
          </w:p>
        </w:tc>
        <w:tc>
          <w:tcPr>
            <w:tcW w:w="3969" w:type="dxa"/>
            <w:shd w:val="clear" w:color="auto" w:fill="auto"/>
            <w:noWrap/>
            <w:vAlign w:val="bottom"/>
            <w:hideMark/>
          </w:tcPr>
          <w:p w14:paraId="71504332"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57</w:t>
            </w:r>
          </w:p>
        </w:tc>
      </w:tr>
      <w:tr w:rsidR="000E586C" w:rsidRPr="00BB59AB" w14:paraId="39B5A32B" w14:textId="77777777" w:rsidTr="00426B8A">
        <w:trPr>
          <w:trHeight w:val="397"/>
        </w:trPr>
        <w:tc>
          <w:tcPr>
            <w:tcW w:w="2122" w:type="dxa"/>
            <w:shd w:val="clear" w:color="auto" w:fill="auto"/>
            <w:noWrap/>
            <w:vAlign w:val="bottom"/>
            <w:hideMark/>
          </w:tcPr>
          <w:p w14:paraId="32E48716"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Italy</w:t>
            </w:r>
          </w:p>
        </w:tc>
        <w:tc>
          <w:tcPr>
            <w:tcW w:w="3969" w:type="dxa"/>
            <w:shd w:val="clear" w:color="auto" w:fill="auto"/>
            <w:noWrap/>
            <w:vAlign w:val="bottom"/>
            <w:hideMark/>
          </w:tcPr>
          <w:p w14:paraId="041F2406"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57</w:t>
            </w:r>
          </w:p>
        </w:tc>
      </w:tr>
      <w:tr w:rsidR="000E586C" w:rsidRPr="00BB59AB" w14:paraId="1A21037F" w14:textId="77777777" w:rsidTr="00426B8A">
        <w:trPr>
          <w:trHeight w:val="397"/>
        </w:trPr>
        <w:tc>
          <w:tcPr>
            <w:tcW w:w="2122" w:type="dxa"/>
            <w:shd w:val="clear" w:color="auto" w:fill="auto"/>
            <w:noWrap/>
            <w:vAlign w:val="bottom"/>
            <w:hideMark/>
          </w:tcPr>
          <w:p w14:paraId="084169D0"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Finland</w:t>
            </w:r>
          </w:p>
        </w:tc>
        <w:tc>
          <w:tcPr>
            <w:tcW w:w="3969" w:type="dxa"/>
            <w:shd w:val="clear" w:color="auto" w:fill="auto"/>
            <w:noWrap/>
            <w:vAlign w:val="bottom"/>
            <w:hideMark/>
          </w:tcPr>
          <w:p w14:paraId="50850516"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56</w:t>
            </w:r>
          </w:p>
        </w:tc>
      </w:tr>
      <w:tr w:rsidR="000E586C" w:rsidRPr="00BB59AB" w14:paraId="3498682E" w14:textId="77777777" w:rsidTr="00426B8A">
        <w:trPr>
          <w:trHeight w:val="397"/>
        </w:trPr>
        <w:tc>
          <w:tcPr>
            <w:tcW w:w="2122" w:type="dxa"/>
            <w:shd w:val="clear" w:color="auto" w:fill="auto"/>
            <w:noWrap/>
            <w:vAlign w:val="bottom"/>
            <w:hideMark/>
          </w:tcPr>
          <w:p w14:paraId="7F8FE531"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Lithuania</w:t>
            </w:r>
          </w:p>
        </w:tc>
        <w:tc>
          <w:tcPr>
            <w:tcW w:w="3969" w:type="dxa"/>
            <w:shd w:val="clear" w:color="auto" w:fill="auto"/>
            <w:noWrap/>
            <w:vAlign w:val="bottom"/>
            <w:hideMark/>
          </w:tcPr>
          <w:p w14:paraId="4E5882A2"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48</w:t>
            </w:r>
          </w:p>
        </w:tc>
      </w:tr>
      <w:tr w:rsidR="000E586C" w:rsidRPr="00BB59AB" w14:paraId="418CAD8E" w14:textId="77777777" w:rsidTr="00426B8A">
        <w:trPr>
          <w:trHeight w:val="397"/>
        </w:trPr>
        <w:tc>
          <w:tcPr>
            <w:tcW w:w="2122" w:type="dxa"/>
            <w:shd w:val="clear" w:color="auto" w:fill="auto"/>
            <w:noWrap/>
            <w:vAlign w:val="bottom"/>
            <w:hideMark/>
          </w:tcPr>
          <w:p w14:paraId="55E172B1"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France</w:t>
            </w:r>
          </w:p>
        </w:tc>
        <w:tc>
          <w:tcPr>
            <w:tcW w:w="3969" w:type="dxa"/>
            <w:shd w:val="clear" w:color="auto" w:fill="auto"/>
            <w:noWrap/>
            <w:vAlign w:val="bottom"/>
            <w:hideMark/>
          </w:tcPr>
          <w:p w14:paraId="44F9E32A"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47</w:t>
            </w:r>
          </w:p>
        </w:tc>
      </w:tr>
      <w:tr w:rsidR="000E586C" w:rsidRPr="00BB59AB" w14:paraId="4CEFCF55" w14:textId="77777777" w:rsidTr="00426B8A">
        <w:trPr>
          <w:trHeight w:val="397"/>
        </w:trPr>
        <w:tc>
          <w:tcPr>
            <w:tcW w:w="2122" w:type="dxa"/>
            <w:shd w:val="clear" w:color="auto" w:fill="auto"/>
            <w:noWrap/>
            <w:vAlign w:val="bottom"/>
            <w:hideMark/>
          </w:tcPr>
          <w:p w14:paraId="4CEAFE9F"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Switzerland</w:t>
            </w:r>
          </w:p>
        </w:tc>
        <w:tc>
          <w:tcPr>
            <w:tcW w:w="3969" w:type="dxa"/>
            <w:shd w:val="clear" w:color="auto" w:fill="auto"/>
            <w:noWrap/>
            <w:vAlign w:val="bottom"/>
            <w:hideMark/>
          </w:tcPr>
          <w:p w14:paraId="6E36F206"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47</w:t>
            </w:r>
          </w:p>
        </w:tc>
      </w:tr>
      <w:tr w:rsidR="000E586C" w:rsidRPr="00BB59AB" w14:paraId="4A88E491" w14:textId="77777777" w:rsidTr="00426B8A">
        <w:trPr>
          <w:trHeight w:val="397"/>
        </w:trPr>
        <w:tc>
          <w:tcPr>
            <w:tcW w:w="2122" w:type="dxa"/>
            <w:shd w:val="clear" w:color="auto" w:fill="auto"/>
            <w:noWrap/>
            <w:vAlign w:val="bottom"/>
            <w:hideMark/>
          </w:tcPr>
          <w:p w14:paraId="26F1D329"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New Zealand</w:t>
            </w:r>
          </w:p>
        </w:tc>
        <w:tc>
          <w:tcPr>
            <w:tcW w:w="3969" w:type="dxa"/>
            <w:shd w:val="clear" w:color="auto" w:fill="auto"/>
            <w:noWrap/>
            <w:vAlign w:val="bottom"/>
            <w:hideMark/>
          </w:tcPr>
          <w:p w14:paraId="263E9939"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47</w:t>
            </w:r>
          </w:p>
        </w:tc>
      </w:tr>
      <w:tr w:rsidR="000E586C" w:rsidRPr="00BB59AB" w14:paraId="70BBC28F" w14:textId="77777777" w:rsidTr="00426B8A">
        <w:trPr>
          <w:trHeight w:val="397"/>
        </w:trPr>
        <w:tc>
          <w:tcPr>
            <w:tcW w:w="2122" w:type="dxa"/>
            <w:shd w:val="clear" w:color="auto" w:fill="auto"/>
            <w:noWrap/>
            <w:vAlign w:val="bottom"/>
            <w:hideMark/>
          </w:tcPr>
          <w:p w14:paraId="00B565BF"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United Kingdom</w:t>
            </w:r>
          </w:p>
        </w:tc>
        <w:tc>
          <w:tcPr>
            <w:tcW w:w="3969" w:type="dxa"/>
            <w:shd w:val="clear" w:color="auto" w:fill="auto"/>
            <w:noWrap/>
            <w:vAlign w:val="bottom"/>
            <w:hideMark/>
          </w:tcPr>
          <w:p w14:paraId="4A0D0669"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43</w:t>
            </w:r>
          </w:p>
        </w:tc>
      </w:tr>
      <w:tr w:rsidR="000E586C" w:rsidRPr="00BB59AB" w14:paraId="3D144504" w14:textId="77777777" w:rsidTr="00426B8A">
        <w:trPr>
          <w:trHeight w:val="397"/>
        </w:trPr>
        <w:tc>
          <w:tcPr>
            <w:tcW w:w="2122" w:type="dxa"/>
            <w:shd w:val="clear" w:color="auto" w:fill="auto"/>
            <w:noWrap/>
            <w:vAlign w:val="bottom"/>
            <w:hideMark/>
          </w:tcPr>
          <w:p w14:paraId="6E23DA23"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United States of America</w:t>
            </w:r>
          </w:p>
        </w:tc>
        <w:tc>
          <w:tcPr>
            <w:tcW w:w="3969" w:type="dxa"/>
            <w:shd w:val="clear" w:color="auto" w:fill="auto"/>
            <w:noWrap/>
            <w:vAlign w:val="bottom"/>
            <w:hideMark/>
          </w:tcPr>
          <w:p w14:paraId="70746A05"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38</w:t>
            </w:r>
          </w:p>
        </w:tc>
      </w:tr>
      <w:tr w:rsidR="000E586C" w:rsidRPr="00BB59AB" w14:paraId="73785FB2" w14:textId="77777777" w:rsidTr="00426B8A">
        <w:trPr>
          <w:trHeight w:val="397"/>
        </w:trPr>
        <w:tc>
          <w:tcPr>
            <w:tcW w:w="2122" w:type="dxa"/>
            <w:shd w:val="clear" w:color="auto" w:fill="auto"/>
            <w:noWrap/>
            <w:vAlign w:val="bottom"/>
            <w:hideMark/>
          </w:tcPr>
          <w:p w14:paraId="4DA88664"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Portugal</w:t>
            </w:r>
          </w:p>
        </w:tc>
        <w:tc>
          <w:tcPr>
            <w:tcW w:w="3969" w:type="dxa"/>
            <w:shd w:val="clear" w:color="auto" w:fill="auto"/>
            <w:noWrap/>
            <w:vAlign w:val="bottom"/>
            <w:hideMark/>
          </w:tcPr>
          <w:p w14:paraId="55387F4C"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36</w:t>
            </w:r>
          </w:p>
        </w:tc>
      </w:tr>
      <w:tr w:rsidR="000E586C" w:rsidRPr="00BB59AB" w14:paraId="64AED3E4" w14:textId="77777777" w:rsidTr="00426B8A">
        <w:trPr>
          <w:trHeight w:val="397"/>
        </w:trPr>
        <w:tc>
          <w:tcPr>
            <w:tcW w:w="2122" w:type="dxa"/>
            <w:shd w:val="clear" w:color="auto" w:fill="auto"/>
            <w:noWrap/>
            <w:vAlign w:val="bottom"/>
            <w:hideMark/>
          </w:tcPr>
          <w:p w14:paraId="6BFC2EBD"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Japan</w:t>
            </w:r>
          </w:p>
        </w:tc>
        <w:tc>
          <w:tcPr>
            <w:tcW w:w="3969" w:type="dxa"/>
            <w:shd w:val="clear" w:color="auto" w:fill="auto"/>
            <w:noWrap/>
            <w:vAlign w:val="bottom"/>
            <w:hideMark/>
          </w:tcPr>
          <w:p w14:paraId="449A0B43"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33</w:t>
            </w:r>
          </w:p>
        </w:tc>
      </w:tr>
      <w:tr w:rsidR="000E586C" w:rsidRPr="00BB59AB" w14:paraId="352DB223" w14:textId="77777777" w:rsidTr="00426B8A">
        <w:trPr>
          <w:trHeight w:val="397"/>
        </w:trPr>
        <w:tc>
          <w:tcPr>
            <w:tcW w:w="2122" w:type="dxa"/>
            <w:shd w:val="clear" w:color="auto" w:fill="auto"/>
            <w:noWrap/>
            <w:vAlign w:val="bottom"/>
            <w:hideMark/>
          </w:tcPr>
          <w:p w14:paraId="2203C7C4"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Latvia</w:t>
            </w:r>
          </w:p>
        </w:tc>
        <w:tc>
          <w:tcPr>
            <w:tcW w:w="3969" w:type="dxa"/>
            <w:shd w:val="clear" w:color="auto" w:fill="auto"/>
            <w:noWrap/>
            <w:vAlign w:val="bottom"/>
            <w:hideMark/>
          </w:tcPr>
          <w:p w14:paraId="0613804D"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31</w:t>
            </w:r>
          </w:p>
        </w:tc>
      </w:tr>
      <w:tr w:rsidR="000E586C" w:rsidRPr="00BB59AB" w14:paraId="33D9783B" w14:textId="77777777" w:rsidTr="00426B8A">
        <w:trPr>
          <w:trHeight w:val="397"/>
        </w:trPr>
        <w:tc>
          <w:tcPr>
            <w:tcW w:w="2122" w:type="dxa"/>
            <w:shd w:val="clear" w:color="auto" w:fill="auto"/>
            <w:noWrap/>
            <w:vAlign w:val="bottom"/>
            <w:hideMark/>
          </w:tcPr>
          <w:p w14:paraId="3517A9FA"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Turkey</w:t>
            </w:r>
          </w:p>
        </w:tc>
        <w:tc>
          <w:tcPr>
            <w:tcW w:w="3969" w:type="dxa"/>
            <w:shd w:val="clear" w:color="auto" w:fill="auto"/>
            <w:noWrap/>
            <w:vAlign w:val="bottom"/>
            <w:hideMark/>
          </w:tcPr>
          <w:p w14:paraId="67E0BDAD"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30</w:t>
            </w:r>
          </w:p>
        </w:tc>
      </w:tr>
      <w:tr w:rsidR="000E586C" w:rsidRPr="00BB59AB" w14:paraId="7EB9A126" w14:textId="77777777" w:rsidTr="00426B8A">
        <w:trPr>
          <w:trHeight w:val="397"/>
        </w:trPr>
        <w:tc>
          <w:tcPr>
            <w:tcW w:w="2122" w:type="dxa"/>
            <w:shd w:val="clear" w:color="auto" w:fill="auto"/>
            <w:noWrap/>
            <w:vAlign w:val="bottom"/>
            <w:hideMark/>
          </w:tcPr>
          <w:p w14:paraId="38E635DE"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Spain</w:t>
            </w:r>
          </w:p>
        </w:tc>
        <w:tc>
          <w:tcPr>
            <w:tcW w:w="3969" w:type="dxa"/>
            <w:shd w:val="clear" w:color="auto" w:fill="auto"/>
            <w:noWrap/>
            <w:vAlign w:val="bottom"/>
            <w:hideMark/>
          </w:tcPr>
          <w:p w14:paraId="72AD5598"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27</w:t>
            </w:r>
          </w:p>
        </w:tc>
      </w:tr>
      <w:tr w:rsidR="000E586C" w:rsidRPr="00BB59AB" w14:paraId="590B35B1" w14:textId="77777777" w:rsidTr="00426B8A">
        <w:trPr>
          <w:trHeight w:val="397"/>
        </w:trPr>
        <w:tc>
          <w:tcPr>
            <w:tcW w:w="2122" w:type="dxa"/>
            <w:shd w:val="clear" w:color="auto" w:fill="auto"/>
            <w:noWrap/>
            <w:vAlign w:val="bottom"/>
            <w:hideMark/>
          </w:tcPr>
          <w:p w14:paraId="3268359A"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Slovakia</w:t>
            </w:r>
          </w:p>
        </w:tc>
        <w:tc>
          <w:tcPr>
            <w:tcW w:w="3969" w:type="dxa"/>
            <w:shd w:val="clear" w:color="auto" w:fill="auto"/>
            <w:noWrap/>
            <w:vAlign w:val="bottom"/>
            <w:hideMark/>
          </w:tcPr>
          <w:p w14:paraId="62DD2617"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27</w:t>
            </w:r>
          </w:p>
        </w:tc>
      </w:tr>
      <w:tr w:rsidR="000E586C" w:rsidRPr="00BB59AB" w14:paraId="6978C8FD" w14:textId="77777777" w:rsidTr="00426B8A">
        <w:trPr>
          <w:trHeight w:val="397"/>
        </w:trPr>
        <w:tc>
          <w:tcPr>
            <w:tcW w:w="2122" w:type="dxa"/>
            <w:shd w:val="clear" w:color="auto" w:fill="auto"/>
            <w:noWrap/>
            <w:vAlign w:val="bottom"/>
            <w:hideMark/>
          </w:tcPr>
          <w:p w14:paraId="1E17B260"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Hungary</w:t>
            </w:r>
          </w:p>
        </w:tc>
        <w:tc>
          <w:tcPr>
            <w:tcW w:w="3969" w:type="dxa"/>
            <w:shd w:val="clear" w:color="auto" w:fill="auto"/>
            <w:noWrap/>
            <w:vAlign w:val="bottom"/>
            <w:hideMark/>
          </w:tcPr>
          <w:p w14:paraId="0E22D602"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26</w:t>
            </w:r>
          </w:p>
        </w:tc>
      </w:tr>
      <w:tr w:rsidR="000E586C" w:rsidRPr="00BB59AB" w14:paraId="49EAAFD0" w14:textId="77777777" w:rsidTr="00426B8A">
        <w:trPr>
          <w:trHeight w:val="397"/>
        </w:trPr>
        <w:tc>
          <w:tcPr>
            <w:tcW w:w="2122" w:type="dxa"/>
            <w:shd w:val="clear" w:color="auto" w:fill="auto"/>
            <w:noWrap/>
            <w:vAlign w:val="bottom"/>
            <w:hideMark/>
          </w:tcPr>
          <w:p w14:paraId="59C38FF0"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Poland</w:t>
            </w:r>
          </w:p>
        </w:tc>
        <w:tc>
          <w:tcPr>
            <w:tcW w:w="3969" w:type="dxa"/>
            <w:shd w:val="clear" w:color="auto" w:fill="auto"/>
            <w:noWrap/>
            <w:vAlign w:val="bottom"/>
            <w:hideMark/>
          </w:tcPr>
          <w:p w14:paraId="3E75D7F5"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22</w:t>
            </w:r>
          </w:p>
        </w:tc>
      </w:tr>
      <w:tr w:rsidR="000E586C" w:rsidRPr="00BB59AB" w14:paraId="0FD7F192" w14:textId="77777777" w:rsidTr="00426B8A">
        <w:trPr>
          <w:trHeight w:val="397"/>
        </w:trPr>
        <w:tc>
          <w:tcPr>
            <w:tcW w:w="2122" w:type="dxa"/>
            <w:shd w:val="clear" w:color="auto" w:fill="auto"/>
            <w:noWrap/>
            <w:vAlign w:val="bottom"/>
            <w:hideMark/>
          </w:tcPr>
          <w:p w14:paraId="4B67A849"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Chile</w:t>
            </w:r>
          </w:p>
        </w:tc>
        <w:tc>
          <w:tcPr>
            <w:tcW w:w="3969" w:type="dxa"/>
            <w:shd w:val="clear" w:color="auto" w:fill="auto"/>
            <w:noWrap/>
            <w:vAlign w:val="bottom"/>
            <w:hideMark/>
          </w:tcPr>
          <w:p w14:paraId="62AFDDAC"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21</w:t>
            </w:r>
          </w:p>
        </w:tc>
      </w:tr>
      <w:tr w:rsidR="000E586C" w:rsidRPr="00BB59AB" w14:paraId="71E11886" w14:textId="77777777" w:rsidTr="00426B8A">
        <w:trPr>
          <w:trHeight w:val="397"/>
        </w:trPr>
        <w:tc>
          <w:tcPr>
            <w:tcW w:w="2122" w:type="dxa"/>
            <w:shd w:val="clear" w:color="auto" w:fill="auto"/>
            <w:noWrap/>
            <w:vAlign w:val="bottom"/>
            <w:hideMark/>
          </w:tcPr>
          <w:p w14:paraId="6A5B1899" w14:textId="77777777" w:rsidR="000E586C" w:rsidRPr="00BB59AB" w:rsidRDefault="000E586C" w:rsidP="00E4374E">
            <w:pPr>
              <w:spacing w:after="0" w:line="240" w:lineRule="auto"/>
              <w:rPr>
                <w:rFonts w:ascii="Calibri" w:eastAsia="Times New Roman" w:hAnsi="Calibri" w:cs="Calibri"/>
                <w:lang w:eastAsia="en-AU"/>
              </w:rPr>
            </w:pPr>
            <w:r>
              <w:rPr>
                <w:rFonts w:ascii="Calibri" w:eastAsia="Times New Roman" w:hAnsi="Calibri" w:cs="Calibri"/>
                <w:lang w:eastAsia="en-AU"/>
              </w:rPr>
              <w:t>Republic of Korea</w:t>
            </w:r>
          </w:p>
        </w:tc>
        <w:tc>
          <w:tcPr>
            <w:tcW w:w="3969" w:type="dxa"/>
            <w:shd w:val="clear" w:color="auto" w:fill="auto"/>
            <w:noWrap/>
            <w:vAlign w:val="bottom"/>
            <w:hideMark/>
          </w:tcPr>
          <w:p w14:paraId="43CB8604" w14:textId="77777777" w:rsidR="000E586C" w:rsidRPr="00BB59AB" w:rsidRDefault="000E586C" w:rsidP="00E4374E">
            <w:pPr>
              <w:spacing w:after="0" w:line="240" w:lineRule="auto"/>
              <w:jc w:val="right"/>
              <w:rPr>
                <w:rFonts w:ascii="Calibri" w:eastAsia="Times New Roman" w:hAnsi="Calibri" w:cs="Calibri"/>
                <w:lang w:eastAsia="en-AU"/>
              </w:rPr>
            </w:pPr>
            <w:r w:rsidRPr="00BB59AB">
              <w:rPr>
                <w:rFonts w:ascii="Calibri" w:eastAsia="Times New Roman" w:hAnsi="Calibri" w:cs="Calibri"/>
                <w:lang w:eastAsia="en-AU"/>
              </w:rPr>
              <w:t>18</w:t>
            </w:r>
          </w:p>
        </w:tc>
      </w:tr>
    </w:tbl>
    <w:p w14:paraId="7538F9C0" w14:textId="77777777" w:rsidR="00FF2584" w:rsidRDefault="00FF2584" w:rsidP="00C35D33">
      <w:pPr>
        <w:pStyle w:val="Heading4"/>
      </w:pPr>
      <w:bookmarkStart w:id="119" w:name="_Chart_7:_Percentage"/>
      <w:bookmarkEnd w:id="119"/>
      <w:r>
        <w:t xml:space="preserve">Chart 7: </w:t>
      </w:r>
      <w:r w:rsidRPr="003232F4">
        <w:rPr>
          <w:rFonts w:eastAsia="Times New Roman"/>
          <w:lang w:eastAsia="en-AU"/>
        </w:rPr>
        <w:t>Percentage of businesses introducing new to market goods and services innovation – Australia ranks 26 out of 34 OECD countries</w:t>
      </w:r>
      <w:r>
        <w:t xml:space="preserve"> </w:t>
      </w: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543"/>
      </w:tblGrid>
      <w:tr w:rsidR="00FF2584" w:rsidRPr="00923C9A" w14:paraId="7A0689A4" w14:textId="77777777" w:rsidTr="00426B8A">
        <w:trPr>
          <w:trHeight w:val="498"/>
          <w:tblHeader/>
        </w:trPr>
        <w:tc>
          <w:tcPr>
            <w:tcW w:w="2122" w:type="dxa"/>
            <w:shd w:val="clear" w:color="auto" w:fill="E5E5FF"/>
            <w:noWrap/>
            <w:vAlign w:val="center"/>
            <w:hideMark/>
          </w:tcPr>
          <w:p w14:paraId="25D226F3" w14:textId="77777777" w:rsidR="00FF2584" w:rsidRPr="00923C9A" w:rsidRDefault="00FF2584" w:rsidP="00E4374E">
            <w:pPr>
              <w:spacing w:after="0" w:line="240" w:lineRule="auto"/>
              <w:rPr>
                <w:rFonts w:asciiTheme="majorHAnsi" w:eastAsia="Times New Roman" w:hAnsiTheme="majorHAnsi" w:cstheme="majorHAnsi"/>
                <w:b/>
                <w:bCs/>
                <w:lang w:eastAsia="en-AU"/>
              </w:rPr>
            </w:pPr>
            <w:r w:rsidRPr="00923C9A">
              <w:rPr>
                <w:rFonts w:asciiTheme="majorHAnsi" w:eastAsia="Times New Roman" w:hAnsiTheme="majorHAnsi" w:cstheme="majorHAnsi"/>
                <w:b/>
                <w:bCs/>
                <w:lang w:eastAsia="en-AU"/>
              </w:rPr>
              <w:t>Country</w:t>
            </w:r>
          </w:p>
        </w:tc>
        <w:tc>
          <w:tcPr>
            <w:tcW w:w="3543" w:type="dxa"/>
            <w:shd w:val="clear" w:color="auto" w:fill="E5E5FF"/>
            <w:noWrap/>
            <w:vAlign w:val="center"/>
            <w:hideMark/>
          </w:tcPr>
          <w:p w14:paraId="0A2CF6D9" w14:textId="77777777" w:rsidR="00FF2584" w:rsidRPr="00923C9A" w:rsidRDefault="00FF2584" w:rsidP="00E4374E">
            <w:pPr>
              <w:spacing w:after="0" w:line="240" w:lineRule="auto"/>
              <w:rPr>
                <w:rFonts w:asciiTheme="majorHAnsi" w:eastAsia="Times New Roman" w:hAnsiTheme="majorHAnsi" w:cstheme="majorHAnsi"/>
                <w:b/>
                <w:bCs/>
                <w:lang w:eastAsia="en-AU"/>
              </w:rPr>
            </w:pPr>
            <w:r w:rsidRPr="00923C9A">
              <w:rPr>
                <w:rFonts w:asciiTheme="majorHAnsi" w:eastAsia="Times New Roman" w:hAnsiTheme="majorHAnsi" w:cstheme="majorHAnsi"/>
                <w:b/>
                <w:bCs/>
                <w:lang w:eastAsia="en-AU"/>
              </w:rPr>
              <w:t>Percentage of businesses introducing new-to-market goods and services innovation</w:t>
            </w:r>
          </w:p>
        </w:tc>
      </w:tr>
      <w:tr w:rsidR="00FF2584" w:rsidRPr="00923C9A" w14:paraId="477AD0BF" w14:textId="77777777" w:rsidTr="00426B8A">
        <w:trPr>
          <w:trHeight w:val="340"/>
        </w:trPr>
        <w:tc>
          <w:tcPr>
            <w:tcW w:w="2122" w:type="dxa"/>
            <w:shd w:val="clear" w:color="auto" w:fill="auto"/>
            <w:noWrap/>
            <w:vAlign w:val="bottom"/>
            <w:hideMark/>
          </w:tcPr>
          <w:p w14:paraId="67DB5C3A"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Norway</w:t>
            </w:r>
          </w:p>
        </w:tc>
        <w:tc>
          <w:tcPr>
            <w:tcW w:w="3543" w:type="dxa"/>
            <w:shd w:val="clear" w:color="auto" w:fill="auto"/>
            <w:noWrap/>
            <w:vAlign w:val="bottom"/>
            <w:hideMark/>
          </w:tcPr>
          <w:p w14:paraId="656DFC74"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26</w:t>
            </w:r>
          </w:p>
        </w:tc>
      </w:tr>
      <w:tr w:rsidR="00FF2584" w:rsidRPr="00923C9A" w14:paraId="4190E33A" w14:textId="77777777" w:rsidTr="00426B8A">
        <w:trPr>
          <w:trHeight w:val="340"/>
        </w:trPr>
        <w:tc>
          <w:tcPr>
            <w:tcW w:w="2122" w:type="dxa"/>
            <w:shd w:val="clear" w:color="auto" w:fill="auto"/>
            <w:noWrap/>
            <w:vAlign w:val="bottom"/>
            <w:hideMark/>
          </w:tcPr>
          <w:p w14:paraId="4DA70AB9"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Finland</w:t>
            </w:r>
          </w:p>
        </w:tc>
        <w:tc>
          <w:tcPr>
            <w:tcW w:w="3543" w:type="dxa"/>
            <w:shd w:val="clear" w:color="auto" w:fill="auto"/>
            <w:noWrap/>
            <w:vAlign w:val="bottom"/>
            <w:hideMark/>
          </w:tcPr>
          <w:p w14:paraId="1C534528"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25</w:t>
            </w:r>
          </w:p>
        </w:tc>
      </w:tr>
      <w:tr w:rsidR="00FF2584" w:rsidRPr="00923C9A" w14:paraId="132F51E8" w14:textId="77777777" w:rsidTr="00426B8A">
        <w:trPr>
          <w:trHeight w:val="340"/>
        </w:trPr>
        <w:tc>
          <w:tcPr>
            <w:tcW w:w="2122" w:type="dxa"/>
            <w:shd w:val="clear" w:color="auto" w:fill="auto"/>
            <w:noWrap/>
            <w:vAlign w:val="bottom"/>
            <w:hideMark/>
          </w:tcPr>
          <w:p w14:paraId="6E69FDC9"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France</w:t>
            </w:r>
          </w:p>
        </w:tc>
        <w:tc>
          <w:tcPr>
            <w:tcW w:w="3543" w:type="dxa"/>
            <w:shd w:val="clear" w:color="auto" w:fill="auto"/>
            <w:noWrap/>
            <w:vAlign w:val="bottom"/>
            <w:hideMark/>
          </w:tcPr>
          <w:p w14:paraId="733A006D"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24</w:t>
            </w:r>
          </w:p>
        </w:tc>
      </w:tr>
      <w:tr w:rsidR="00FF2584" w:rsidRPr="00923C9A" w14:paraId="47DF2FF3" w14:textId="77777777" w:rsidTr="00426B8A">
        <w:trPr>
          <w:trHeight w:val="340"/>
        </w:trPr>
        <w:tc>
          <w:tcPr>
            <w:tcW w:w="2122" w:type="dxa"/>
            <w:shd w:val="clear" w:color="auto" w:fill="auto"/>
            <w:noWrap/>
            <w:vAlign w:val="bottom"/>
            <w:hideMark/>
          </w:tcPr>
          <w:p w14:paraId="1965F1F2"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Belgium</w:t>
            </w:r>
          </w:p>
        </w:tc>
        <w:tc>
          <w:tcPr>
            <w:tcW w:w="3543" w:type="dxa"/>
            <w:shd w:val="clear" w:color="auto" w:fill="auto"/>
            <w:noWrap/>
            <w:vAlign w:val="bottom"/>
            <w:hideMark/>
          </w:tcPr>
          <w:p w14:paraId="76FFA162"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24</w:t>
            </w:r>
          </w:p>
        </w:tc>
      </w:tr>
      <w:tr w:rsidR="00FF2584" w:rsidRPr="00923C9A" w14:paraId="271F9E08" w14:textId="77777777" w:rsidTr="00426B8A">
        <w:trPr>
          <w:trHeight w:val="340"/>
        </w:trPr>
        <w:tc>
          <w:tcPr>
            <w:tcW w:w="2122" w:type="dxa"/>
            <w:shd w:val="clear" w:color="auto" w:fill="auto"/>
            <w:noWrap/>
            <w:vAlign w:val="bottom"/>
            <w:hideMark/>
          </w:tcPr>
          <w:p w14:paraId="583F6726"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Austria</w:t>
            </w:r>
          </w:p>
        </w:tc>
        <w:tc>
          <w:tcPr>
            <w:tcW w:w="3543" w:type="dxa"/>
            <w:shd w:val="clear" w:color="auto" w:fill="auto"/>
            <w:noWrap/>
            <w:vAlign w:val="bottom"/>
            <w:hideMark/>
          </w:tcPr>
          <w:p w14:paraId="13650FE6"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23</w:t>
            </w:r>
          </w:p>
        </w:tc>
      </w:tr>
      <w:tr w:rsidR="00FF2584" w:rsidRPr="00923C9A" w14:paraId="6DD991C2" w14:textId="77777777" w:rsidTr="00426B8A">
        <w:trPr>
          <w:trHeight w:val="340"/>
        </w:trPr>
        <w:tc>
          <w:tcPr>
            <w:tcW w:w="2122" w:type="dxa"/>
            <w:shd w:val="clear" w:color="auto" w:fill="auto"/>
            <w:noWrap/>
            <w:vAlign w:val="bottom"/>
            <w:hideMark/>
          </w:tcPr>
          <w:p w14:paraId="02FE6A95"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Canada</w:t>
            </w:r>
          </w:p>
        </w:tc>
        <w:tc>
          <w:tcPr>
            <w:tcW w:w="3543" w:type="dxa"/>
            <w:shd w:val="clear" w:color="auto" w:fill="auto"/>
            <w:noWrap/>
            <w:vAlign w:val="bottom"/>
            <w:hideMark/>
          </w:tcPr>
          <w:p w14:paraId="754B8927"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22</w:t>
            </w:r>
          </w:p>
        </w:tc>
      </w:tr>
      <w:tr w:rsidR="00FF2584" w:rsidRPr="00923C9A" w14:paraId="55323D39" w14:textId="77777777" w:rsidTr="00426B8A">
        <w:trPr>
          <w:trHeight w:val="340"/>
        </w:trPr>
        <w:tc>
          <w:tcPr>
            <w:tcW w:w="2122" w:type="dxa"/>
            <w:shd w:val="clear" w:color="auto" w:fill="auto"/>
            <w:noWrap/>
            <w:vAlign w:val="bottom"/>
            <w:hideMark/>
          </w:tcPr>
          <w:p w14:paraId="4EB9A24E"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Luxembourg</w:t>
            </w:r>
          </w:p>
        </w:tc>
        <w:tc>
          <w:tcPr>
            <w:tcW w:w="3543" w:type="dxa"/>
            <w:shd w:val="clear" w:color="auto" w:fill="auto"/>
            <w:noWrap/>
            <w:vAlign w:val="bottom"/>
            <w:hideMark/>
          </w:tcPr>
          <w:p w14:paraId="42947AA7"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20</w:t>
            </w:r>
          </w:p>
        </w:tc>
      </w:tr>
      <w:tr w:rsidR="00FF2584" w:rsidRPr="00923C9A" w14:paraId="48649522" w14:textId="77777777" w:rsidTr="00426B8A">
        <w:trPr>
          <w:trHeight w:val="340"/>
        </w:trPr>
        <w:tc>
          <w:tcPr>
            <w:tcW w:w="2122" w:type="dxa"/>
            <w:shd w:val="clear" w:color="auto" w:fill="auto"/>
            <w:noWrap/>
            <w:vAlign w:val="bottom"/>
            <w:hideMark/>
          </w:tcPr>
          <w:p w14:paraId="03638469"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Greece</w:t>
            </w:r>
          </w:p>
        </w:tc>
        <w:tc>
          <w:tcPr>
            <w:tcW w:w="3543" w:type="dxa"/>
            <w:shd w:val="clear" w:color="auto" w:fill="auto"/>
            <w:noWrap/>
            <w:vAlign w:val="bottom"/>
            <w:hideMark/>
          </w:tcPr>
          <w:p w14:paraId="1BDB5550"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19</w:t>
            </w:r>
          </w:p>
        </w:tc>
      </w:tr>
      <w:tr w:rsidR="00FF2584" w:rsidRPr="00923C9A" w14:paraId="5CE4ED07" w14:textId="77777777" w:rsidTr="00426B8A">
        <w:trPr>
          <w:trHeight w:val="340"/>
        </w:trPr>
        <w:tc>
          <w:tcPr>
            <w:tcW w:w="2122" w:type="dxa"/>
            <w:shd w:val="clear" w:color="auto" w:fill="auto"/>
            <w:noWrap/>
            <w:vAlign w:val="bottom"/>
            <w:hideMark/>
          </w:tcPr>
          <w:p w14:paraId="55BA2699"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Lithuania</w:t>
            </w:r>
          </w:p>
        </w:tc>
        <w:tc>
          <w:tcPr>
            <w:tcW w:w="3543" w:type="dxa"/>
            <w:shd w:val="clear" w:color="auto" w:fill="auto"/>
            <w:noWrap/>
            <w:vAlign w:val="bottom"/>
            <w:hideMark/>
          </w:tcPr>
          <w:p w14:paraId="61678EFA"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18</w:t>
            </w:r>
          </w:p>
        </w:tc>
      </w:tr>
      <w:tr w:rsidR="00FF2584" w:rsidRPr="00923C9A" w14:paraId="1C7B6623" w14:textId="77777777" w:rsidTr="00426B8A">
        <w:trPr>
          <w:trHeight w:val="340"/>
        </w:trPr>
        <w:tc>
          <w:tcPr>
            <w:tcW w:w="2122" w:type="dxa"/>
            <w:shd w:val="clear" w:color="auto" w:fill="auto"/>
            <w:noWrap/>
            <w:vAlign w:val="bottom"/>
            <w:hideMark/>
          </w:tcPr>
          <w:p w14:paraId="55660813"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Sweden</w:t>
            </w:r>
          </w:p>
        </w:tc>
        <w:tc>
          <w:tcPr>
            <w:tcW w:w="3543" w:type="dxa"/>
            <w:shd w:val="clear" w:color="auto" w:fill="auto"/>
            <w:noWrap/>
            <w:vAlign w:val="bottom"/>
            <w:hideMark/>
          </w:tcPr>
          <w:p w14:paraId="46509546"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18</w:t>
            </w:r>
          </w:p>
        </w:tc>
      </w:tr>
      <w:tr w:rsidR="00FF2584" w:rsidRPr="00923C9A" w14:paraId="1947ABE2" w14:textId="77777777" w:rsidTr="00426B8A">
        <w:trPr>
          <w:trHeight w:val="340"/>
        </w:trPr>
        <w:tc>
          <w:tcPr>
            <w:tcW w:w="2122" w:type="dxa"/>
            <w:shd w:val="clear" w:color="auto" w:fill="auto"/>
            <w:noWrap/>
            <w:vAlign w:val="bottom"/>
            <w:hideMark/>
          </w:tcPr>
          <w:p w14:paraId="450A2009"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Slovenia</w:t>
            </w:r>
          </w:p>
        </w:tc>
        <w:tc>
          <w:tcPr>
            <w:tcW w:w="3543" w:type="dxa"/>
            <w:shd w:val="clear" w:color="auto" w:fill="auto"/>
            <w:noWrap/>
            <w:vAlign w:val="bottom"/>
            <w:hideMark/>
          </w:tcPr>
          <w:p w14:paraId="307BD283"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18</w:t>
            </w:r>
          </w:p>
        </w:tc>
      </w:tr>
      <w:tr w:rsidR="00FF2584" w:rsidRPr="00923C9A" w14:paraId="63D5319A" w14:textId="77777777" w:rsidTr="00426B8A">
        <w:trPr>
          <w:trHeight w:val="340"/>
        </w:trPr>
        <w:tc>
          <w:tcPr>
            <w:tcW w:w="2122" w:type="dxa"/>
            <w:shd w:val="clear" w:color="auto" w:fill="auto"/>
            <w:noWrap/>
            <w:vAlign w:val="bottom"/>
            <w:hideMark/>
          </w:tcPr>
          <w:p w14:paraId="6D99AABB"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Iceland</w:t>
            </w:r>
          </w:p>
        </w:tc>
        <w:tc>
          <w:tcPr>
            <w:tcW w:w="3543" w:type="dxa"/>
            <w:shd w:val="clear" w:color="auto" w:fill="auto"/>
            <w:noWrap/>
            <w:vAlign w:val="bottom"/>
            <w:hideMark/>
          </w:tcPr>
          <w:p w14:paraId="3B37B987"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18</w:t>
            </w:r>
          </w:p>
        </w:tc>
      </w:tr>
      <w:tr w:rsidR="00FF2584" w:rsidRPr="00923C9A" w14:paraId="3BC0BB52" w14:textId="77777777" w:rsidTr="00426B8A">
        <w:trPr>
          <w:trHeight w:val="340"/>
        </w:trPr>
        <w:tc>
          <w:tcPr>
            <w:tcW w:w="2122" w:type="dxa"/>
            <w:shd w:val="clear" w:color="auto" w:fill="auto"/>
            <w:noWrap/>
            <w:vAlign w:val="bottom"/>
            <w:hideMark/>
          </w:tcPr>
          <w:p w14:paraId="04DCDEAE"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Denmark</w:t>
            </w:r>
          </w:p>
        </w:tc>
        <w:tc>
          <w:tcPr>
            <w:tcW w:w="3543" w:type="dxa"/>
            <w:shd w:val="clear" w:color="auto" w:fill="auto"/>
            <w:noWrap/>
            <w:vAlign w:val="bottom"/>
            <w:hideMark/>
          </w:tcPr>
          <w:p w14:paraId="285764BF"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18</w:t>
            </w:r>
          </w:p>
        </w:tc>
      </w:tr>
      <w:tr w:rsidR="00FF2584" w:rsidRPr="00923C9A" w14:paraId="6BD5AD6B" w14:textId="77777777" w:rsidTr="00426B8A">
        <w:trPr>
          <w:trHeight w:val="340"/>
        </w:trPr>
        <w:tc>
          <w:tcPr>
            <w:tcW w:w="2122" w:type="dxa"/>
            <w:shd w:val="clear" w:color="auto" w:fill="auto"/>
            <w:noWrap/>
            <w:vAlign w:val="bottom"/>
            <w:hideMark/>
          </w:tcPr>
          <w:p w14:paraId="6BDEFAA6"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Netherlands</w:t>
            </w:r>
          </w:p>
        </w:tc>
        <w:tc>
          <w:tcPr>
            <w:tcW w:w="3543" w:type="dxa"/>
            <w:shd w:val="clear" w:color="auto" w:fill="auto"/>
            <w:noWrap/>
            <w:vAlign w:val="bottom"/>
            <w:hideMark/>
          </w:tcPr>
          <w:p w14:paraId="6442A58B"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17</w:t>
            </w:r>
          </w:p>
        </w:tc>
      </w:tr>
      <w:tr w:rsidR="00FF2584" w:rsidRPr="00923C9A" w14:paraId="1DC72E38" w14:textId="77777777" w:rsidTr="00426B8A">
        <w:trPr>
          <w:trHeight w:val="340"/>
        </w:trPr>
        <w:tc>
          <w:tcPr>
            <w:tcW w:w="2122" w:type="dxa"/>
            <w:shd w:val="clear" w:color="auto" w:fill="auto"/>
            <w:noWrap/>
            <w:vAlign w:val="bottom"/>
            <w:hideMark/>
          </w:tcPr>
          <w:p w14:paraId="7F6ADF99"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Ireland</w:t>
            </w:r>
          </w:p>
        </w:tc>
        <w:tc>
          <w:tcPr>
            <w:tcW w:w="3543" w:type="dxa"/>
            <w:shd w:val="clear" w:color="auto" w:fill="auto"/>
            <w:noWrap/>
            <w:vAlign w:val="bottom"/>
            <w:hideMark/>
          </w:tcPr>
          <w:p w14:paraId="4210E8FE"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17</w:t>
            </w:r>
          </w:p>
        </w:tc>
      </w:tr>
      <w:tr w:rsidR="00FF2584" w:rsidRPr="00923C9A" w14:paraId="089E93B4" w14:textId="77777777" w:rsidTr="00426B8A">
        <w:trPr>
          <w:trHeight w:val="340"/>
        </w:trPr>
        <w:tc>
          <w:tcPr>
            <w:tcW w:w="2122" w:type="dxa"/>
            <w:shd w:val="clear" w:color="auto" w:fill="auto"/>
            <w:noWrap/>
            <w:vAlign w:val="bottom"/>
            <w:hideMark/>
          </w:tcPr>
          <w:p w14:paraId="7D44DAEE"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Czechoslovakia</w:t>
            </w:r>
          </w:p>
        </w:tc>
        <w:tc>
          <w:tcPr>
            <w:tcW w:w="3543" w:type="dxa"/>
            <w:shd w:val="clear" w:color="auto" w:fill="auto"/>
            <w:noWrap/>
            <w:vAlign w:val="bottom"/>
            <w:hideMark/>
          </w:tcPr>
          <w:p w14:paraId="558FCC54"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15</w:t>
            </w:r>
          </w:p>
        </w:tc>
      </w:tr>
      <w:tr w:rsidR="00FF2584" w:rsidRPr="00923C9A" w14:paraId="1524C540" w14:textId="77777777" w:rsidTr="00426B8A">
        <w:trPr>
          <w:trHeight w:val="340"/>
        </w:trPr>
        <w:tc>
          <w:tcPr>
            <w:tcW w:w="2122" w:type="dxa"/>
            <w:shd w:val="clear" w:color="auto" w:fill="auto"/>
            <w:noWrap/>
            <w:vAlign w:val="bottom"/>
            <w:hideMark/>
          </w:tcPr>
          <w:p w14:paraId="4695040E"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Estonia</w:t>
            </w:r>
          </w:p>
        </w:tc>
        <w:tc>
          <w:tcPr>
            <w:tcW w:w="3543" w:type="dxa"/>
            <w:shd w:val="clear" w:color="auto" w:fill="auto"/>
            <w:noWrap/>
            <w:vAlign w:val="bottom"/>
            <w:hideMark/>
          </w:tcPr>
          <w:p w14:paraId="5DC9789B"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15</w:t>
            </w:r>
          </w:p>
        </w:tc>
      </w:tr>
      <w:tr w:rsidR="00FF2584" w:rsidRPr="00923C9A" w14:paraId="62913C44" w14:textId="77777777" w:rsidTr="00426B8A">
        <w:trPr>
          <w:trHeight w:val="340"/>
        </w:trPr>
        <w:tc>
          <w:tcPr>
            <w:tcW w:w="2122" w:type="dxa"/>
            <w:shd w:val="clear" w:color="auto" w:fill="auto"/>
            <w:noWrap/>
            <w:vAlign w:val="bottom"/>
            <w:hideMark/>
          </w:tcPr>
          <w:p w14:paraId="3EAFF427"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New Zealand</w:t>
            </w:r>
          </w:p>
        </w:tc>
        <w:tc>
          <w:tcPr>
            <w:tcW w:w="3543" w:type="dxa"/>
            <w:shd w:val="clear" w:color="auto" w:fill="auto"/>
            <w:noWrap/>
            <w:vAlign w:val="bottom"/>
            <w:hideMark/>
          </w:tcPr>
          <w:p w14:paraId="7F365614"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15</w:t>
            </w:r>
          </w:p>
        </w:tc>
      </w:tr>
      <w:tr w:rsidR="00FF2584" w:rsidRPr="00923C9A" w14:paraId="3E7295BE" w14:textId="77777777" w:rsidTr="00426B8A">
        <w:trPr>
          <w:trHeight w:val="340"/>
        </w:trPr>
        <w:tc>
          <w:tcPr>
            <w:tcW w:w="2122" w:type="dxa"/>
            <w:shd w:val="clear" w:color="auto" w:fill="auto"/>
            <w:noWrap/>
            <w:vAlign w:val="bottom"/>
            <w:hideMark/>
          </w:tcPr>
          <w:p w14:paraId="78C1F868"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Portugal</w:t>
            </w:r>
          </w:p>
        </w:tc>
        <w:tc>
          <w:tcPr>
            <w:tcW w:w="3543" w:type="dxa"/>
            <w:shd w:val="clear" w:color="auto" w:fill="auto"/>
            <w:noWrap/>
            <w:vAlign w:val="bottom"/>
            <w:hideMark/>
          </w:tcPr>
          <w:p w14:paraId="4463A9B6"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14</w:t>
            </w:r>
          </w:p>
        </w:tc>
      </w:tr>
      <w:tr w:rsidR="00FF2584" w:rsidRPr="00923C9A" w14:paraId="7AFE69CD" w14:textId="77777777" w:rsidTr="00426B8A">
        <w:trPr>
          <w:trHeight w:val="340"/>
        </w:trPr>
        <w:tc>
          <w:tcPr>
            <w:tcW w:w="2122" w:type="dxa"/>
            <w:shd w:val="clear" w:color="auto" w:fill="auto"/>
            <w:noWrap/>
            <w:vAlign w:val="bottom"/>
            <w:hideMark/>
          </w:tcPr>
          <w:p w14:paraId="4CE75FB5"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Switzerland</w:t>
            </w:r>
          </w:p>
        </w:tc>
        <w:tc>
          <w:tcPr>
            <w:tcW w:w="3543" w:type="dxa"/>
            <w:shd w:val="clear" w:color="auto" w:fill="auto"/>
            <w:noWrap/>
            <w:vAlign w:val="bottom"/>
            <w:hideMark/>
          </w:tcPr>
          <w:p w14:paraId="634F79BE"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13</w:t>
            </w:r>
          </w:p>
        </w:tc>
      </w:tr>
      <w:tr w:rsidR="00FF2584" w:rsidRPr="00923C9A" w14:paraId="527D16A4" w14:textId="77777777" w:rsidTr="00426B8A">
        <w:trPr>
          <w:trHeight w:val="340"/>
        </w:trPr>
        <w:tc>
          <w:tcPr>
            <w:tcW w:w="2122" w:type="dxa"/>
            <w:shd w:val="clear" w:color="auto" w:fill="auto"/>
            <w:noWrap/>
            <w:vAlign w:val="bottom"/>
            <w:hideMark/>
          </w:tcPr>
          <w:p w14:paraId="0D2DE060"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Germany</w:t>
            </w:r>
          </w:p>
        </w:tc>
        <w:tc>
          <w:tcPr>
            <w:tcW w:w="3543" w:type="dxa"/>
            <w:shd w:val="clear" w:color="auto" w:fill="auto"/>
            <w:noWrap/>
            <w:vAlign w:val="bottom"/>
            <w:hideMark/>
          </w:tcPr>
          <w:p w14:paraId="340582F1"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13</w:t>
            </w:r>
          </w:p>
        </w:tc>
      </w:tr>
      <w:tr w:rsidR="00FF2584" w:rsidRPr="00923C9A" w14:paraId="0D357A2B" w14:textId="77777777" w:rsidTr="00426B8A">
        <w:trPr>
          <w:trHeight w:val="340"/>
        </w:trPr>
        <w:tc>
          <w:tcPr>
            <w:tcW w:w="2122" w:type="dxa"/>
            <w:shd w:val="clear" w:color="auto" w:fill="auto"/>
            <w:noWrap/>
            <w:vAlign w:val="bottom"/>
            <w:hideMark/>
          </w:tcPr>
          <w:p w14:paraId="23DA692C"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Latvia</w:t>
            </w:r>
          </w:p>
        </w:tc>
        <w:tc>
          <w:tcPr>
            <w:tcW w:w="3543" w:type="dxa"/>
            <w:shd w:val="clear" w:color="auto" w:fill="auto"/>
            <w:noWrap/>
            <w:vAlign w:val="bottom"/>
            <w:hideMark/>
          </w:tcPr>
          <w:p w14:paraId="0D017D6D"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13</w:t>
            </w:r>
          </w:p>
        </w:tc>
      </w:tr>
      <w:tr w:rsidR="00FF2584" w:rsidRPr="00923C9A" w14:paraId="273223DF" w14:textId="77777777" w:rsidTr="00426B8A">
        <w:trPr>
          <w:trHeight w:val="340"/>
        </w:trPr>
        <w:tc>
          <w:tcPr>
            <w:tcW w:w="2122" w:type="dxa"/>
            <w:shd w:val="clear" w:color="auto" w:fill="auto"/>
            <w:noWrap/>
            <w:vAlign w:val="bottom"/>
            <w:hideMark/>
          </w:tcPr>
          <w:p w14:paraId="579C869B"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Turkey</w:t>
            </w:r>
          </w:p>
        </w:tc>
        <w:tc>
          <w:tcPr>
            <w:tcW w:w="3543" w:type="dxa"/>
            <w:shd w:val="clear" w:color="auto" w:fill="auto"/>
            <w:noWrap/>
            <w:vAlign w:val="bottom"/>
            <w:hideMark/>
          </w:tcPr>
          <w:p w14:paraId="2AE4D0FC"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13</w:t>
            </w:r>
          </w:p>
        </w:tc>
      </w:tr>
      <w:tr w:rsidR="00FF2584" w:rsidRPr="00923C9A" w14:paraId="375AACC9" w14:textId="77777777" w:rsidTr="00426B8A">
        <w:trPr>
          <w:trHeight w:val="340"/>
        </w:trPr>
        <w:tc>
          <w:tcPr>
            <w:tcW w:w="2122" w:type="dxa"/>
            <w:shd w:val="clear" w:color="auto" w:fill="auto"/>
            <w:noWrap/>
            <w:vAlign w:val="bottom"/>
            <w:hideMark/>
          </w:tcPr>
          <w:p w14:paraId="4996F110"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United Kingdom</w:t>
            </w:r>
          </w:p>
        </w:tc>
        <w:tc>
          <w:tcPr>
            <w:tcW w:w="3543" w:type="dxa"/>
            <w:shd w:val="clear" w:color="auto" w:fill="auto"/>
            <w:noWrap/>
            <w:vAlign w:val="bottom"/>
            <w:hideMark/>
          </w:tcPr>
          <w:p w14:paraId="3EAABE7E"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12</w:t>
            </w:r>
          </w:p>
        </w:tc>
      </w:tr>
      <w:tr w:rsidR="00FF2584" w:rsidRPr="00923C9A" w14:paraId="2DBD934D" w14:textId="77777777" w:rsidTr="00426B8A">
        <w:trPr>
          <w:trHeight w:val="340"/>
        </w:trPr>
        <w:tc>
          <w:tcPr>
            <w:tcW w:w="2122" w:type="dxa"/>
            <w:tcBorders>
              <w:bottom w:val="single" w:sz="4" w:space="0" w:color="auto"/>
            </w:tcBorders>
            <w:shd w:val="clear" w:color="auto" w:fill="auto"/>
            <w:noWrap/>
            <w:vAlign w:val="bottom"/>
            <w:hideMark/>
          </w:tcPr>
          <w:p w14:paraId="2CA359A9"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Hungary</w:t>
            </w:r>
          </w:p>
        </w:tc>
        <w:tc>
          <w:tcPr>
            <w:tcW w:w="3543" w:type="dxa"/>
            <w:tcBorders>
              <w:bottom w:val="single" w:sz="4" w:space="0" w:color="auto"/>
            </w:tcBorders>
            <w:shd w:val="clear" w:color="auto" w:fill="auto"/>
            <w:noWrap/>
            <w:vAlign w:val="bottom"/>
            <w:hideMark/>
          </w:tcPr>
          <w:p w14:paraId="11B37C8B"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12</w:t>
            </w:r>
          </w:p>
        </w:tc>
      </w:tr>
      <w:tr w:rsidR="00FF2584" w:rsidRPr="00923C9A" w14:paraId="5B07D5A3" w14:textId="77777777" w:rsidTr="00426B8A">
        <w:trPr>
          <w:trHeight w:val="340"/>
        </w:trPr>
        <w:tc>
          <w:tcPr>
            <w:tcW w:w="2122" w:type="dxa"/>
            <w:shd w:val="clear" w:color="auto" w:fill="FEFCC0" w:themeFill="accent5" w:themeFillTint="33"/>
            <w:noWrap/>
            <w:vAlign w:val="center"/>
            <w:hideMark/>
          </w:tcPr>
          <w:p w14:paraId="5CC8AA4B"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Australia</w:t>
            </w:r>
          </w:p>
        </w:tc>
        <w:tc>
          <w:tcPr>
            <w:tcW w:w="3543" w:type="dxa"/>
            <w:shd w:val="clear" w:color="auto" w:fill="FEFCC0" w:themeFill="accent5" w:themeFillTint="33"/>
            <w:noWrap/>
            <w:vAlign w:val="bottom"/>
            <w:hideMark/>
          </w:tcPr>
          <w:p w14:paraId="1939D75D"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11</w:t>
            </w:r>
          </w:p>
        </w:tc>
      </w:tr>
      <w:tr w:rsidR="00FF2584" w:rsidRPr="00923C9A" w14:paraId="24330A2D" w14:textId="77777777" w:rsidTr="00426B8A">
        <w:trPr>
          <w:trHeight w:val="340"/>
        </w:trPr>
        <w:tc>
          <w:tcPr>
            <w:tcW w:w="2122" w:type="dxa"/>
            <w:shd w:val="clear" w:color="auto" w:fill="auto"/>
            <w:noWrap/>
            <w:vAlign w:val="bottom"/>
            <w:hideMark/>
          </w:tcPr>
          <w:p w14:paraId="569BB9A9"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Italy</w:t>
            </w:r>
          </w:p>
        </w:tc>
        <w:tc>
          <w:tcPr>
            <w:tcW w:w="3543" w:type="dxa"/>
            <w:shd w:val="clear" w:color="auto" w:fill="auto"/>
            <w:noWrap/>
            <w:vAlign w:val="bottom"/>
            <w:hideMark/>
          </w:tcPr>
          <w:p w14:paraId="2F2E745E"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11</w:t>
            </w:r>
          </w:p>
        </w:tc>
      </w:tr>
      <w:tr w:rsidR="00FF2584" w:rsidRPr="00923C9A" w14:paraId="18443CFB" w14:textId="77777777" w:rsidTr="00426B8A">
        <w:trPr>
          <w:trHeight w:val="340"/>
        </w:trPr>
        <w:tc>
          <w:tcPr>
            <w:tcW w:w="2122" w:type="dxa"/>
            <w:shd w:val="clear" w:color="auto" w:fill="auto"/>
            <w:noWrap/>
            <w:vAlign w:val="bottom"/>
            <w:hideMark/>
          </w:tcPr>
          <w:p w14:paraId="551A1386"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Slovakia</w:t>
            </w:r>
          </w:p>
        </w:tc>
        <w:tc>
          <w:tcPr>
            <w:tcW w:w="3543" w:type="dxa"/>
            <w:shd w:val="clear" w:color="auto" w:fill="auto"/>
            <w:noWrap/>
            <w:vAlign w:val="bottom"/>
            <w:hideMark/>
          </w:tcPr>
          <w:p w14:paraId="646BD7D7"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9</w:t>
            </w:r>
          </w:p>
        </w:tc>
      </w:tr>
      <w:tr w:rsidR="00FF2584" w:rsidRPr="00923C9A" w14:paraId="37E037B8" w14:textId="77777777" w:rsidTr="00426B8A">
        <w:trPr>
          <w:trHeight w:val="340"/>
        </w:trPr>
        <w:tc>
          <w:tcPr>
            <w:tcW w:w="2122" w:type="dxa"/>
            <w:shd w:val="clear" w:color="auto" w:fill="auto"/>
            <w:noWrap/>
            <w:vAlign w:val="bottom"/>
            <w:hideMark/>
          </w:tcPr>
          <w:p w14:paraId="0CE435EA"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United States of America</w:t>
            </w:r>
          </w:p>
        </w:tc>
        <w:tc>
          <w:tcPr>
            <w:tcW w:w="3543" w:type="dxa"/>
            <w:shd w:val="clear" w:color="auto" w:fill="auto"/>
            <w:noWrap/>
            <w:vAlign w:val="bottom"/>
            <w:hideMark/>
          </w:tcPr>
          <w:p w14:paraId="29F5057C"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8</w:t>
            </w:r>
          </w:p>
        </w:tc>
      </w:tr>
      <w:tr w:rsidR="00FF2584" w:rsidRPr="00923C9A" w14:paraId="0412ACF0" w14:textId="77777777" w:rsidTr="00426B8A">
        <w:trPr>
          <w:trHeight w:val="340"/>
        </w:trPr>
        <w:tc>
          <w:tcPr>
            <w:tcW w:w="2122" w:type="dxa"/>
            <w:shd w:val="clear" w:color="auto" w:fill="auto"/>
            <w:noWrap/>
            <w:vAlign w:val="bottom"/>
            <w:hideMark/>
          </w:tcPr>
          <w:p w14:paraId="2FC6673C"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Japan</w:t>
            </w:r>
          </w:p>
        </w:tc>
        <w:tc>
          <w:tcPr>
            <w:tcW w:w="3543" w:type="dxa"/>
            <w:shd w:val="clear" w:color="auto" w:fill="auto"/>
            <w:noWrap/>
            <w:vAlign w:val="bottom"/>
            <w:hideMark/>
          </w:tcPr>
          <w:p w14:paraId="69733705"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7</w:t>
            </w:r>
          </w:p>
        </w:tc>
      </w:tr>
      <w:tr w:rsidR="00FF2584" w:rsidRPr="00923C9A" w14:paraId="01BAE495" w14:textId="77777777" w:rsidTr="00426B8A">
        <w:trPr>
          <w:trHeight w:val="340"/>
        </w:trPr>
        <w:tc>
          <w:tcPr>
            <w:tcW w:w="2122" w:type="dxa"/>
            <w:shd w:val="clear" w:color="auto" w:fill="auto"/>
            <w:noWrap/>
            <w:vAlign w:val="bottom"/>
            <w:hideMark/>
          </w:tcPr>
          <w:p w14:paraId="5B8118CD"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Spain</w:t>
            </w:r>
          </w:p>
        </w:tc>
        <w:tc>
          <w:tcPr>
            <w:tcW w:w="3543" w:type="dxa"/>
            <w:shd w:val="clear" w:color="auto" w:fill="auto"/>
            <w:noWrap/>
            <w:vAlign w:val="bottom"/>
            <w:hideMark/>
          </w:tcPr>
          <w:p w14:paraId="02A1515C"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7</w:t>
            </w:r>
          </w:p>
        </w:tc>
      </w:tr>
      <w:tr w:rsidR="00FF2584" w:rsidRPr="00923C9A" w14:paraId="0F698911" w14:textId="77777777" w:rsidTr="00426B8A">
        <w:trPr>
          <w:trHeight w:val="340"/>
        </w:trPr>
        <w:tc>
          <w:tcPr>
            <w:tcW w:w="2122" w:type="dxa"/>
            <w:shd w:val="clear" w:color="auto" w:fill="auto"/>
            <w:noWrap/>
            <w:vAlign w:val="bottom"/>
            <w:hideMark/>
          </w:tcPr>
          <w:p w14:paraId="79DFD768"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Poland</w:t>
            </w:r>
          </w:p>
        </w:tc>
        <w:tc>
          <w:tcPr>
            <w:tcW w:w="3543" w:type="dxa"/>
            <w:shd w:val="clear" w:color="auto" w:fill="auto"/>
            <w:noWrap/>
            <w:vAlign w:val="bottom"/>
            <w:hideMark/>
          </w:tcPr>
          <w:p w14:paraId="1B57B939"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6</w:t>
            </w:r>
          </w:p>
        </w:tc>
      </w:tr>
      <w:tr w:rsidR="00FF2584" w:rsidRPr="00923C9A" w14:paraId="6C01AEB9" w14:textId="77777777" w:rsidTr="00426B8A">
        <w:trPr>
          <w:trHeight w:val="340"/>
        </w:trPr>
        <w:tc>
          <w:tcPr>
            <w:tcW w:w="2122" w:type="dxa"/>
            <w:shd w:val="clear" w:color="auto" w:fill="auto"/>
            <w:noWrap/>
            <w:vAlign w:val="bottom"/>
            <w:hideMark/>
          </w:tcPr>
          <w:p w14:paraId="5EBBFDFB"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Chile</w:t>
            </w:r>
          </w:p>
        </w:tc>
        <w:tc>
          <w:tcPr>
            <w:tcW w:w="3543" w:type="dxa"/>
            <w:shd w:val="clear" w:color="auto" w:fill="auto"/>
            <w:noWrap/>
            <w:vAlign w:val="bottom"/>
            <w:hideMark/>
          </w:tcPr>
          <w:p w14:paraId="6D0B77D9"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3</w:t>
            </w:r>
          </w:p>
        </w:tc>
      </w:tr>
      <w:tr w:rsidR="00FF2584" w:rsidRPr="00923C9A" w14:paraId="09CE84D0" w14:textId="77777777" w:rsidTr="00426B8A">
        <w:trPr>
          <w:trHeight w:val="340"/>
        </w:trPr>
        <w:tc>
          <w:tcPr>
            <w:tcW w:w="2122" w:type="dxa"/>
            <w:shd w:val="clear" w:color="auto" w:fill="auto"/>
            <w:noWrap/>
            <w:vAlign w:val="bottom"/>
            <w:hideMark/>
          </w:tcPr>
          <w:p w14:paraId="1798E8D2" w14:textId="77777777" w:rsidR="00FF2584" w:rsidRPr="00923C9A" w:rsidRDefault="00FF2584" w:rsidP="00E4374E">
            <w:pPr>
              <w:spacing w:after="0" w:line="240" w:lineRule="auto"/>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Republic of Korea</w:t>
            </w:r>
          </w:p>
        </w:tc>
        <w:tc>
          <w:tcPr>
            <w:tcW w:w="3543" w:type="dxa"/>
            <w:shd w:val="clear" w:color="auto" w:fill="auto"/>
            <w:noWrap/>
            <w:vAlign w:val="bottom"/>
            <w:hideMark/>
          </w:tcPr>
          <w:p w14:paraId="60286C45" w14:textId="77777777" w:rsidR="00FF2584" w:rsidRPr="00923C9A" w:rsidRDefault="00FF2584" w:rsidP="00E4374E">
            <w:pPr>
              <w:spacing w:after="0" w:line="240" w:lineRule="auto"/>
              <w:jc w:val="right"/>
              <w:rPr>
                <w:rFonts w:asciiTheme="majorHAnsi" w:eastAsia="Times New Roman" w:hAnsiTheme="majorHAnsi" w:cstheme="majorHAnsi"/>
                <w:lang w:eastAsia="en-AU"/>
              </w:rPr>
            </w:pPr>
            <w:r w:rsidRPr="00923C9A">
              <w:rPr>
                <w:rFonts w:asciiTheme="majorHAnsi" w:eastAsia="Times New Roman" w:hAnsiTheme="majorHAnsi" w:cstheme="majorHAnsi"/>
                <w:lang w:eastAsia="en-AU"/>
              </w:rPr>
              <w:t>3</w:t>
            </w:r>
          </w:p>
        </w:tc>
      </w:tr>
    </w:tbl>
    <w:p w14:paraId="34F98503" w14:textId="77777777" w:rsidR="008E7C2A" w:rsidRDefault="008E7C2A" w:rsidP="00C35D33">
      <w:pPr>
        <w:pStyle w:val="Heading4"/>
        <w:sectPr w:rsidR="008E7C2A" w:rsidSect="002A1501">
          <w:pgSz w:w="11906" w:h="16838"/>
          <w:pgMar w:top="1276" w:right="1440" w:bottom="1440" w:left="1440" w:header="851" w:footer="708" w:gutter="0"/>
          <w:cols w:space="708"/>
          <w:titlePg/>
          <w:docGrid w:linePitch="360"/>
        </w:sectPr>
      </w:pPr>
      <w:bookmarkStart w:id="120" w:name="_Chart_8:_Composition"/>
      <w:bookmarkStart w:id="121" w:name="_Chart_10_data"/>
      <w:bookmarkEnd w:id="120"/>
      <w:bookmarkEnd w:id="121"/>
    </w:p>
    <w:p w14:paraId="2CFAD10E" w14:textId="77777777" w:rsidR="008E7C2A" w:rsidRDefault="008E7C2A" w:rsidP="00C35D33">
      <w:pPr>
        <w:pStyle w:val="Heading4"/>
      </w:pPr>
      <w:bookmarkStart w:id="122" w:name="_Chart_11_data"/>
      <w:bookmarkEnd w:id="122"/>
      <w:r>
        <w:t xml:space="preserve">Chart 10 </w:t>
      </w:r>
      <w:r w:rsidRPr="00D11253">
        <w:t xml:space="preserve">data table: </w:t>
      </w:r>
      <w:r w:rsidRPr="00D11253">
        <w:rPr>
          <w:rFonts w:eastAsia="Times New Roman"/>
          <w:lang w:eastAsia="en-AU"/>
        </w:rPr>
        <w:t>Australian businesses patent co-filling applications with the research sector as percentage of all Australian business filings</w:t>
      </w:r>
      <w:r>
        <w:t xml:space="preserve"> </w:t>
      </w:r>
    </w:p>
    <w:tbl>
      <w:tblPr>
        <w:tblW w:w="4770" w:type="pct"/>
        <w:tblCellMar>
          <w:left w:w="0" w:type="dxa"/>
          <w:right w:w="0" w:type="dxa"/>
        </w:tblCellMar>
        <w:tblLook w:val="04A0" w:firstRow="1" w:lastRow="0" w:firstColumn="1" w:lastColumn="0" w:noHBand="0" w:noVBand="1"/>
      </w:tblPr>
      <w:tblGrid>
        <w:gridCol w:w="3487"/>
        <w:gridCol w:w="632"/>
        <w:gridCol w:w="681"/>
        <w:gridCol w:w="681"/>
        <w:gridCol w:w="681"/>
        <w:gridCol w:w="681"/>
        <w:gridCol w:w="681"/>
        <w:gridCol w:w="681"/>
        <w:gridCol w:w="681"/>
        <w:gridCol w:w="685"/>
        <w:gridCol w:w="685"/>
        <w:gridCol w:w="685"/>
        <w:gridCol w:w="686"/>
        <w:gridCol w:w="859"/>
        <w:gridCol w:w="859"/>
        <w:gridCol w:w="859"/>
        <w:gridCol w:w="859"/>
        <w:gridCol w:w="859"/>
        <w:gridCol w:w="859"/>
        <w:gridCol w:w="859"/>
        <w:gridCol w:w="686"/>
        <w:gridCol w:w="686"/>
        <w:gridCol w:w="1094"/>
      </w:tblGrid>
      <w:tr w:rsidR="00691CAA" w:rsidRPr="00D11253" w14:paraId="2D10BCF7" w14:textId="77777777" w:rsidTr="00806A5D">
        <w:trPr>
          <w:cantSplit/>
          <w:trHeight w:val="510"/>
        </w:trPr>
        <w:tc>
          <w:tcPr>
            <w:tcW w:w="853" w:type="pct"/>
            <w:tcBorders>
              <w:top w:val="single" w:sz="4" w:space="0" w:color="auto"/>
              <w:left w:val="single" w:sz="8" w:space="0" w:color="auto"/>
              <w:bottom w:val="single" w:sz="8" w:space="0" w:color="auto"/>
              <w:right w:val="single" w:sz="4" w:space="0" w:color="auto"/>
            </w:tcBorders>
            <w:shd w:val="clear" w:color="auto" w:fill="E5E5FF"/>
            <w:noWrap/>
            <w:vAlign w:val="center"/>
            <w:hideMark/>
          </w:tcPr>
          <w:p w14:paraId="2D32D91C" w14:textId="1C857794" w:rsidR="008E7C2A" w:rsidRPr="00D11253" w:rsidRDefault="008E7C2A" w:rsidP="00426B8A">
            <w:pPr>
              <w:spacing w:after="0" w:line="240" w:lineRule="auto"/>
              <w:ind w:left="57"/>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Category</w:t>
            </w:r>
          </w:p>
        </w:tc>
        <w:tc>
          <w:tcPr>
            <w:tcW w:w="158" w:type="pct"/>
            <w:tcBorders>
              <w:top w:val="single" w:sz="4" w:space="0" w:color="auto"/>
              <w:left w:val="nil"/>
              <w:bottom w:val="single" w:sz="8" w:space="0" w:color="auto"/>
              <w:right w:val="single" w:sz="4" w:space="0" w:color="auto"/>
            </w:tcBorders>
            <w:shd w:val="clear" w:color="auto" w:fill="E5E5FF"/>
            <w:noWrap/>
            <w:vAlign w:val="center"/>
            <w:hideMark/>
          </w:tcPr>
          <w:p w14:paraId="12BFC48B" w14:textId="77777777" w:rsidR="008E7C2A" w:rsidRPr="00D11253" w:rsidRDefault="008E7C2A" w:rsidP="00806A5D">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2000</w:t>
            </w:r>
          </w:p>
        </w:tc>
        <w:tc>
          <w:tcPr>
            <w:tcW w:w="170" w:type="pct"/>
            <w:tcBorders>
              <w:top w:val="single" w:sz="4" w:space="0" w:color="auto"/>
              <w:left w:val="nil"/>
              <w:bottom w:val="single" w:sz="8" w:space="0" w:color="auto"/>
              <w:right w:val="single" w:sz="4" w:space="0" w:color="auto"/>
            </w:tcBorders>
            <w:shd w:val="clear" w:color="auto" w:fill="E5E5FF"/>
            <w:noWrap/>
            <w:vAlign w:val="center"/>
            <w:hideMark/>
          </w:tcPr>
          <w:p w14:paraId="61E3B2E7" w14:textId="77777777" w:rsidR="008E7C2A" w:rsidRPr="00D11253" w:rsidRDefault="008E7C2A" w:rsidP="00806A5D">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2001</w:t>
            </w:r>
          </w:p>
        </w:tc>
        <w:tc>
          <w:tcPr>
            <w:tcW w:w="170" w:type="pct"/>
            <w:tcBorders>
              <w:top w:val="single" w:sz="4" w:space="0" w:color="auto"/>
              <w:left w:val="nil"/>
              <w:bottom w:val="single" w:sz="8" w:space="0" w:color="auto"/>
              <w:right w:val="single" w:sz="4" w:space="0" w:color="auto"/>
            </w:tcBorders>
            <w:shd w:val="clear" w:color="auto" w:fill="E5E5FF"/>
            <w:noWrap/>
            <w:vAlign w:val="center"/>
            <w:hideMark/>
          </w:tcPr>
          <w:p w14:paraId="775340C6" w14:textId="77777777" w:rsidR="008E7C2A" w:rsidRPr="00D11253" w:rsidRDefault="008E7C2A" w:rsidP="00806A5D">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2002</w:t>
            </w:r>
          </w:p>
        </w:tc>
        <w:tc>
          <w:tcPr>
            <w:tcW w:w="170" w:type="pct"/>
            <w:tcBorders>
              <w:top w:val="single" w:sz="4" w:space="0" w:color="auto"/>
              <w:left w:val="nil"/>
              <w:bottom w:val="single" w:sz="8" w:space="0" w:color="auto"/>
              <w:right w:val="single" w:sz="4" w:space="0" w:color="auto"/>
            </w:tcBorders>
            <w:shd w:val="clear" w:color="auto" w:fill="E5E5FF"/>
            <w:noWrap/>
            <w:vAlign w:val="center"/>
            <w:hideMark/>
          </w:tcPr>
          <w:p w14:paraId="4FE8EB9B" w14:textId="77777777" w:rsidR="008E7C2A" w:rsidRPr="00D11253" w:rsidRDefault="008E7C2A" w:rsidP="00806A5D">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2003</w:t>
            </w:r>
          </w:p>
        </w:tc>
        <w:tc>
          <w:tcPr>
            <w:tcW w:w="170" w:type="pct"/>
            <w:tcBorders>
              <w:top w:val="single" w:sz="4" w:space="0" w:color="auto"/>
              <w:left w:val="nil"/>
              <w:bottom w:val="single" w:sz="8" w:space="0" w:color="auto"/>
              <w:right w:val="single" w:sz="4" w:space="0" w:color="auto"/>
            </w:tcBorders>
            <w:shd w:val="clear" w:color="auto" w:fill="E5E5FF"/>
            <w:noWrap/>
            <w:vAlign w:val="center"/>
            <w:hideMark/>
          </w:tcPr>
          <w:p w14:paraId="35A386EE" w14:textId="77777777" w:rsidR="008E7C2A" w:rsidRPr="00D11253" w:rsidRDefault="008E7C2A" w:rsidP="00806A5D">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2004</w:t>
            </w:r>
          </w:p>
        </w:tc>
        <w:tc>
          <w:tcPr>
            <w:tcW w:w="170" w:type="pct"/>
            <w:tcBorders>
              <w:top w:val="single" w:sz="4" w:space="0" w:color="auto"/>
              <w:left w:val="nil"/>
              <w:bottom w:val="single" w:sz="8" w:space="0" w:color="auto"/>
              <w:right w:val="single" w:sz="4" w:space="0" w:color="auto"/>
            </w:tcBorders>
            <w:shd w:val="clear" w:color="auto" w:fill="E5E5FF"/>
            <w:noWrap/>
            <w:vAlign w:val="center"/>
            <w:hideMark/>
          </w:tcPr>
          <w:p w14:paraId="5D7C2855" w14:textId="77777777" w:rsidR="008E7C2A" w:rsidRPr="00D11253" w:rsidRDefault="008E7C2A" w:rsidP="00806A5D">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2005</w:t>
            </w:r>
          </w:p>
        </w:tc>
        <w:tc>
          <w:tcPr>
            <w:tcW w:w="170" w:type="pct"/>
            <w:tcBorders>
              <w:top w:val="single" w:sz="4" w:space="0" w:color="auto"/>
              <w:left w:val="nil"/>
              <w:bottom w:val="single" w:sz="8" w:space="0" w:color="auto"/>
              <w:right w:val="single" w:sz="4" w:space="0" w:color="auto"/>
            </w:tcBorders>
            <w:shd w:val="clear" w:color="auto" w:fill="E5E5FF"/>
            <w:noWrap/>
            <w:vAlign w:val="center"/>
            <w:hideMark/>
          </w:tcPr>
          <w:p w14:paraId="7F2436D7" w14:textId="77777777" w:rsidR="008E7C2A" w:rsidRPr="00D11253" w:rsidRDefault="008E7C2A" w:rsidP="00806A5D">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2006</w:t>
            </w:r>
          </w:p>
        </w:tc>
        <w:tc>
          <w:tcPr>
            <w:tcW w:w="170" w:type="pct"/>
            <w:tcBorders>
              <w:top w:val="single" w:sz="4" w:space="0" w:color="auto"/>
              <w:left w:val="nil"/>
              <w:bottom w:val="single" w:sz="8" w:space="0" w:color="auto"/>
              <w:right w:val="single" w:sz="4" w:space="0" w:color="auto"/>
            </w:tcBorders>
            <w:shd w:val="clear" w:color="auto" w:fill="E5E5FF"/>
            <w:noWrap/>
            <w:vAlign w:val="center"/>
            <w:hideMark/>
          </w:tcPr>
          <w:p w14:paraId="2B58E0E0" w14:textId="77777777" w:rsidR="008E7C2A" w:rsidRPr="00D11253" w:rsidRDefault="008E7C2A" w:rsidP="00806A5D">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2007</w:t>
            </w:r>
          </w:p>
        </w:tc>
        <w:tc>
          <w:tcPr>
            <w:tcW w:w="171" w:type="pct"/>
            <w:tcBorders>
              <w:top w:val="single" w:sz="4" w:space="0" w:color="auto"/>
              <w:left w:val="nil"/>
              <w:bottom w:val="single" w:sz="8" w:space="0" w:color="auto"/>
              <w:right w:val="single" w:sz="4" w:space="0" w:color="auto"/>
            </w:tcBorders>
            <w:shd w:val="clear" w:color="auto" w:fill="E5E5FF"/>
            <w:noWrap/>
            <w:vAlign w:val="center"/>
            <w:hideMark/>
          </w:tcPr>
          <w:p w14:paraId="0BB7B424" w14:textId="77777777" w:rsidR="008E7C2A" w:rsidRPr="00D11253" w:rsidRDefault="008E7C2A" w:rsidP="00806A5D">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2008</w:t>
            </w:r>
          </w:p>
        </w:tc>
        <w:tc>
          <w:tcPr>
            <w:tcW w:w="171" w:type="pct"/>
            <w:tcBorders>
              <w:top w:val="single" w:sz="4" w:space="0" w:color="auto"/>
              <w:left w:val="nil"/>
              <w:bottom w:val="single" w:sz="8" w:space="0" w:color="auto"/>
              <w:right w:val="single" w:sz="4" w:space="0" w:color="auto"/>
            </w:tcBorders>
            <w:shd w:val="clear" w:color="auto" w:fill="E5E5FF"/>
            <w:noWrap/>
            <w:vAlign w:val="center"/>
            <w:hideMark/>
          </w:tcPr>
          <w:p w14:paraId="2186767D" w14:textId="77777777" w:rsidR="008E7C2A" w:rsidRPr="00D11253" w:rsidRDefault="008E7C2A" w:rsidP="00806A5D">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2009</w:t>
            </w:r>
          </w:p>
        </w:tc>
        <w:tc>
          <w:tcPr>
            <w:tcW w:w="171" w:type="pct"/>
            <w:tcBorders>
              <w:top w:val="single" w:sz="4" w:space="0" w:color="auto"/>
              <w:left w:val="nil"/>
              <w:bottom w:val="single" w:sz="8" w:space="0" w:color="auto"/>
              <w:right w:val="single" w:sz="4" w:space="0" w:color="auto"/>
            </w:tcBorders>
            <w:shd w:val="clear" w:color="auto" w:fill="E5E5FF"/>
            <w:noWrap/>
            <w:vAlign w:val="center"/>
            <w:hideMark/>
          </w:tcPr>
          <w:p w14:paraId="3E7C4FBC" w14:textId="77777777" w:rsidR="008E7C2A" w:rsidRPr="00D11253" w:rsidRDefault="008E7C2A" w:rsidP="00806A5D">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2010</w:t>
            </w:r>
          </w:p>
        </w:tc>
        <w:tc>
          <w:tcPr>
            <w:tcW w:w="171" w:type="pct"/>
            <w:tcBorders>
              <w:top w:val="single" w:sz="4" w:space="0" w:color="auto"/>
              <w:left w:val="nil"/>
              <w:bottom w:val="single" w:sz="8" w:space="0" w:color="auto"/>
              <w:right w:val="single" w:sz="4" w:space="0" w:color="auto"/>
            </w:tcBorders>
            <w:shd w:val="clear" w:color="auto" w:fill="E5E5FF"/>
            <w:noWrap/>
            <w:vAlign w:val="center"/>
            <w:hideMark/>
          </w:tcPr>
          <w:p w14:paraId="420BAD39" w14:textId="77777777" w:rsidR="008E7C2A" w:rsidRPr="00D11253" w:rsidRDefault="008E7C2A" w:rsidP="00806A5D">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2011</w:t>
            </w:r>
          </w:p>
        </w:tc>
        <w:tc>
          <w:tcPr>
            <w:tcW w:w="214" w:type="pct"/>
            <w:tcBorders>
              <w:top w:val="single" w:sz="4" w:space="0" w:color="auto"/>
              <w:left w:val="nil"/>
              <w:bottom w:val="single" w:sz="8" w:space="0" w:color="auto"/>
              <w:right w:val="single" w:sz="4" w:space="0" w:color="auto"/>
            </w:tcBorders>
            <w:shd w:val="clear" w:color="auto" w:fill="E5E5FF"/>
            <w:noWrap/>
            <w:vAlign w:val="center"/>
            <w:hideMark/>
          </w:tcPr>
          <w:p w14:paraId="550139F3" w14:textId="77777777" w:rsidR="008E7C2A" w:rsidRPr="00D11253" w:rsidRDefault="008E7C2A" w:rsidP="00806A5D">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2012</w:t>
            </w:r>
          </w:p>
        </w:tc>
        <w:tc>
          <w:tcPr>
            <w:tcW w:w="214" w:type="pct"/>
            <w:tcBorders>
              <w:top w:val="single" w:sz="4" w:space="0" w:color="auto"/>
              <w:left w:val="nil"/>
              <w:bottom w:val="single" w:sz="8" w:space="0" w:color="auto"/>
              <w:right w:val="single" w:sz="4" w:space="0" w:color="auto"/>
            </w:tcBorders>
            <w:shd w:val="clear" w:color="auto" w:fill="E5E5FF"/>
            <w:noWrap/>
            <w:vAlign w:val="center"/>
            <w:hideMark/>
          </w:tcPr>
          <w:p w14:paraId="2B18FBBE" w14:textId="77777777" w:rsidR="008E7C2A" w:rsidRPr="00D11253" w:rsidRDefault="008E7C2A" w:rsidP="00806A5D">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2013</w:t>
            </w:r>
          </w:p>
        </w:tc>
        <w:tc>
          <w:tcPr>
            <w:tcW w:w="214" w:type="pct"/>
            <w:tcBorders>
              <w:top w:val="single" w:sz="4" w:space="0" w:color="auto"/>
              <w:left w:val="nil"/>
              <w:bottom w:val="single" w:sz="8" w:space="0" w:color="auto"/>
              <w:right w:val="single" w:sz="4" w:space="0" w:color="auto"/>
            </w:tcBorders>
            <w:shd w:val="clear" w:color="auto" w:fill="E5E5FF"/>
            <w:noWrap/>
            <w:vAlign w:val="center"/>
            <w:hideMark/>
          </w:tcPr>
          <w:p w14:paraId="787E610A" w14:textId="77777777" w:rsidR="008E7C2A" w:rsidRPr="00D11253" w:rsidRDefault="008E7C2A" w:rsidP="00806A5D">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2014</w:t>
            </w:r>
          </w:p>
        </w:tc>
        <w:tc>
          <w:tcPr>
            <w:tcW w:w="214" w:type="pct"/>
            <w:tcBorders>
              <w:top w:val="single" w:sz="4" w:space="0" w:color="auto"/>
              <w:left w:val="nil"/>
              <w:bottom w:val="single" w:sz="8" w:space="0" w:color="auto"/>
              <w:right w:val="single" w:sz="4" w:space="0" w:color="auto"/>
            </w:tcBorders>
            <w:shd w:val="clear" w:color="auto" w:fill="E5E5FF"/>
            <w:noWrap/>
            <w:vAlign w:val="center"/>
            <w:hideMark/>
          </w:tcPr>
          <w:p w14:paraId="235DC59B" w14:textId="77777777" w:rsidR="008E7C2A" w:rsidRPr="00D11253" w:rsidRDefault="008E7C2A" w:rsidP="00806A5D">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2015</w:t>
            </w:r>
          </w:p>
        </w:tc>
        <w:tc>
          <w:tcPr>
            <w:tcW w:w="214" w:type="pct"/>
            <w:tcBorders>
              <w:top w:val="single" w:sz="4" w:space="0" w:color="auto"/>
              <w:left w:val="nil"/>
              <w:bottom w:val="single" w:sz="8" w:space="0" w:color="auto"/>
              <w:right w:val="single" w:sz="4" w:space="0" w:color="auto"/>
            </w:tcBorders>
            <w:shd w:val="clear" w:color="auto" w:fill="E5E5FF"/>
            <w:noWrap/>
            <w:vAlign w:val="center"/>
            <w:hideMark/>
          </w:tcPr>
          <w:p w14:paraId="5F728048" w14:textId="77777777" w:rsidR="008E7C2A" w:rsidRPr="00D11253" w:rsidRDefault="008E7C2A" w:rsidP="00806A5D">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2016</w:t>
            </w:r>
          </w:p>
        </w:tc>
        <w:tc>
          <w:tcPr>
            <w:tcW w:w="214" w:type="pct"/>
            <w:tcBorders>
              <w:top w:val="single" w:sz="4" w:space="0" w:color="auto"/>
              <w:left w:val="nil"/>
              <w:bottom w:val="single" w:sz="8" w:space="0" w:color="auto"/>
              <w:right w:val="single" w:sz="4" w:space="0" w:color="auto"/>
            </w:tcBorders>
            <w:shd w:val="clear" w:color="auto" w:fill="E5E5FF"/>
            <w:noWrap/>
            <w:vAlign w:val="center"/>
            <w:hideMark/>
          </w:tcPr>
          <w:p w14:paraId="46B0341B" w14:textId="77777777" w:rsidR="008E7C2A" w:rsidRPr="00D11253" w:rsidRDefault="008E7C2A" w:rsidP="00806A5D">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2017</w:t>
            </w:r>
          </w:p>
        </w:tc>
        <w:tc>
          <w:tcPr>
            <w:tcW w:w="214" w:type="pct"/>
            <w:tcBorders>
              <w:top w:val="single" w:sz="4" w:space="0" w:color="auto"/>
              <w:left w:val="nil"/>
              <w:bottom w:val="single" w:sz="8" w:space="0" w:color="auto"/>
              <w:right w:val="single" w:sz="4" w:space="0" w:color="auto"/>
            </w:tcBorders>
            <w:shd w:val="clear" w:color="auto" w:fill="E5E5FF"/>
            <w:noWrap/>
            <w:vAlign w:val="center"/>
            <w:hideMark/>
          </w:tcPr>
          <w:p w14:paraId="70CBC380" w14:textId="77777777" w:rsidR="008E7C2A" w:rsidRPr="00D11253" w:rsidRDefault="008E7C2A" w:rsidP="00806A5D">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2018</w:t>
            </w:r>
          </w:p>
        </w:tc>
        <w:tc>
          <w:tcPr>
            <w:tcW w:w="171" w:type="pct"/>
            <w:tcBorders>
              <w:top w:val="single" w:sz="4" w:space="0" w:color="auto"/>
              <w:left w:val="nil"/>
              <w:bottom w:val="single" w:sz="8" w:space="0" w:color="auto"/>
              <w:right w:val="single" w:sz="4" w:space="0" w:color="auto"/>
            </w:tcBorders>
            <w:shd w:val="clear" w:color="auto" w:fill="E5E5FF"/>
            <w:noWrap/>
            <w:vAlign w:val="center"/>
            <w:hideMark/>
          </w:tcPr>
          <w:p w14:paraId="54180195" w14:textId="77777777" w:rsidR="008E7C2A" w:rsidRPr="00D11253" w:rsidRDefault="008E7C2A" w:rsidP="00806A5D">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2020</w:t>
            </w:r>
          </w:p>
        </w:tc>
        <w:tc>
          <w:tcPr>
            <w:tcW w:w="171" w:type="pct"/>
            <w:tcBorders>
              <w:top w:val="single" w:sz="4" w:space="0" w:color="auto"/>
              <w:left w:val="nil"/>
              <w:bottom w:val="single" w:sz="8" w:space="0" w:color="auto"/>
              <w:right w:val="single" w:sz="4" w:space="0" w:color="auto"/>
            </w:tcBorders>
            <w:shd w:val="clear" w:color="auto" w:fill="E5E5FF"/>
            <w:noWrap/>
            <w:vAlign w:val="center"/>
            <w:hideMark/>
          </w:tcPr>
          <w:p w14:paraId="3801832D" w14:textId="77777777" w:rsidR="008E7C2A" w:rsidRPr="00D11253" w:rsidRDefault="008E7C2A" w:rsidP="00806A5D">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2021</w:t>
            </w:r>
          </w:p>
        </w:tc>
        <w:tc>
          <w:tcPr>
            <w:tcW w:w="272" w:type="pct"/>
            <w:tcBorders>
              <w:top w:val="single" w:sz="4" w:space="0" w:color="auto"/>
              <w:left w:val="nil"/>
              <w:bottom w:val="single" w:sz="8" w:space="0" w:color="auto"/>
              <w:right w:val="single" w:sz="8" w:space="0" w:color="auto"/>
            </w:tcBorders>
            <w:shd w:val="clear" w:color="auto" w:fill="E5E5FF"/>
            <w:noWrap/>
            <w:vAlign w:val="center"/>
            <w:hideMark/>
          </w:tcPr>
          <w:p w14:paraId="2D122B38" w14:textId="77777777" w:rsidR="008E7C2A" w:rsidRPr="00D11253" w:rsidRDefault="008E7C2A" w:rsidP="00426B8A">
            <w:pPr>
              <w:spacing w:after="0" w:line="240" w:lineRule="auto"/>
              <w:jc w:val="right"/>
              <w:rPr>
                <w:rFonts w:ascii="Calibri" w:eastAsia="Times New Roman" w:hAnsi="Calibri" w:cs="Calibri"/>
                <w:b/>
                <w:bCs/>
                <w:color w:val="000000"/>
                <w:lang w:eastAsia="en-AU"/>
              </w:rPr>
            </w:pPr>
            <w:r w:rsidRPr="00D11253">
              <w:rPr>
                <w:rFonts w:ascii="Calibri" w:eastAsia="Times New Roman" w:hAnsi="Calibri" w:cs="Calibri"/>
                <w:b/>
                <w:bCs/>
                <w:color w:val="000000"/>
                <w:lang w:eastAsia="en-AU"/>
              </w:rPr>
              <w:t>Grand Total</w:t>
            </w:r>
          </w:p>
        </w:tc>
      </w:tr>
      <w:tr w:rsidR="00691CAA" w:rsidRPr="00D11253" w14:paraId="6FA875D1" w14:textId="77777777" w:rsidTr="00806A5D">
        <w:trPr>
          <w:trHeight w:val="680"/>
        </w:trPr>
        <w:tc>
          <w:tcPr>
            <w:tcW w:w="853" w:type="pct"/>
            <w:tcBorders>
              <w:top w:val="nil"/>
              <w:left w:val="single" w:sz="8" w:space="0" w:color="auto"/>
              <w:bottom w:val="single" w:sz="8" w:space="0" w:color="auto"/>
              <w:right w:val="single" w:sz="4" w:space="0" w:color="auto"/>
            </w:tcBorders>
            <w:shd w:val="clear" w:color="auto" w:fill="auto"/>
            <w:vAlign w:val="center"/>
            <w:hideMark/>
          </w:tcPr>
          <w:p w14:paraId="762E1D5A" w14:textId="74729EB2" w:rsidR="008E7C2A" w:rsidRPr="00D11253" w:rsidRDefault="008E7C2A" w:rsidP="00426B8A">
            <w:pPr>
              <w:spacing w:after="0" w:line="240" w:lineRule="auto"/>
              <w:ind w:left="57"/>
              <w:rPr>
                <w:rFonts w:ascii="Calibri" w:eastAsia="Times New Roman" w:hAnsi="Calibri" w:cs="Calibri"/>
                <w:color w:val="000000"/>
                <w:lang w:eastAsia="en-AU"/>
              </w:rPr>
            </w:pPr>
            <w:r w:rsidRPr="00D11253">
              <w:rPr>
                <w:rFonts w:ascii="Calibri" w:eastAsia="Times New Roman" w:hAnsi="Calibri" w:cs="Calibri"/>
                <w:color w:val="000000"/>
                <w:lang w:eastAsia="en-AU"/>
              </w:rPr>
              <w:t>AU Company filings</w:t>
            </w:r>
          </w:p>
        </w:tc>
        <w:tc>
          <w:tcPr>
            <w:tcW w:w="158" w:type="pct"/>
            <w:tcBorders>
              <w:top w:val="nil"/>
              <w:left w:val="nil"/>
              <w:bottom w:val="single" w:sz="8" w:space="0" w:color="auto"/>
              <w:right w:val="single" w:sz="4" w:space="0" w:color="auto"/>
            </w:tcBorders>
            <w:shd w:val="clear" w:color="auto" w:fill="auto"/>
            <w:noWrap/>
            <w:vAlign w:val="bottom"/>
            <w:hideMark/>
          </w:tcPr>
          <w:p w14:paraId="62290CC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3190</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5BDC8E67"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3030</w:t>
            </w:r>
          </w:p>
        </w:tc>
        <w:tc>
          <w:tcPr>
            <w:tcW w:w="170" w:type="pct"/>
            <w:tcBorders>
              <w:top w:val="nil"/>
              <w:left w:val="nil"/>
              <w:bottom w:val="single" w:sz="8" w:space="0" w:color="auto"/>
              <w:right w:val="single" w:sz="4" w:space="0" w:color="auto"/>
            </w:tcBorders>
            <w:shd w:val="clear" w:color="auto" w:fill="auto"/>
            <w:noWrap/>
            <w:vAlign w:val="bottom"/>
            <w:hideMark/>
          </w:tcPr>
          <w:p w14:paraId="374FEA4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3150</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0FDB45A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3209</w:t>
            </w:r>
          </w:p>
        </w:tc>
        <w:tc>
          <w:tcPr>
            <w:tcW w:w="170" w:type="pct"/>
            <w:tcBorders>
              <w:top w:val="nil"/>
              <w:left w:val="nil"/>
              <w:bottom w:val="single" w:sz="8" w:space="0" w:color="auto"/>
              <w:right w:val="single" w:sz="4" w:space="0" w:color="auto"/>
            </w:tcBorders>
            <w:shd w:val="clear" w:color="auto" w:fill="auto"/>
            <w:noWrap/>
            <w:vAlign w:val="bottom"/>
            <w:hideMark/>
          </w:tcPr>
          <w:p w14:paraId="6A0B5F9F"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3523</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516035B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3617</w:t>
            </w:r>
          </w:p>
        </w:tc>
        <w:tc>
          <w:tcPr>
            <w:tcW w:w="170" w:type="pct"/>
            <w:tcBorders>
              <w:top w:val="nil"/>
              <w:left w:val="nil"/>
              <w:bottom w:val="single" w:sz="8" w:space="0" w:color="auto"/>
              <w:right w:val="single" w:sz="4" w:space="0" w:color="auto"/>
            </w:tcBorders>
            <w:shd w:val="clear" w:color="auto" w:fill="auto"/>
            <w:noWrap/>
            <w:vAlign w:val="bottom"/>
            <w:hideMark/>
          </w:tcPr>
          <w:p w14:paraId="72F8CCD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3712</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4DD6885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3328</w:t>
            </w:r>
          </w:p>
        </w:tc>
        <w:tc>
          <w:tcPr>
            <w:tcW w:w="171" w:type="pct"/>
            <w:tcBorders>
              <w:top w:val="nil"/>
              <w:left w:val="nil"/>
              <w:bottom w:val="single" w:sz="8" w:space="0" w:color="auto"/>
              <w:right w:val="single" w:sz="4" w:space="0" w:color="auto"/>
            </w:tcBorders>
            <w:shd w:val="clear" w:color="auto" w:fill="auto"/>
            <w:noWrap/>
            <w:vAlign w:val="bottom"/>
            <w:hideMark/>
          </w:tcPr>
          <w:p w14:paraId="3A39CC7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3411</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5666076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3274</w:t>
            </w:r>
          </w:p>
        </w:tc>
        <w:tc>
          <w:tcPr>
            <w:tcW w:w="171" w:type="pct"/>
            <w:tcBorders>
              <w:top w:val="nil"/>
              <w:left w:val="nil"/>
              <w:bottom w:val="single" w:sz="8" w:space="0" w:color="auto"/>
              <w:right w:val="single" w:sz="4" w:space="0" w:color="auto"/>
            </w:tcBorders>
            <w:shd w:val="clear" w:color="auto" w:fill="auto"/>
            <w:noWrap/>
            <w:vAlign w:val="bottom"/>
            <w:hideMark/>
          </w:tcPr>
          <w:p w14:paraId="23363B1B"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3373</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728641FD"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3646</w:t>
            </w:r>
          </w:p>
        </w:tc>
        <w:tc>
          <w:tcPr>
            <w:tcW w:w="214" w:type="pct"/>
            <w:tcBorders>
              <w:top w:val="nil"/>
              <w:left w:val="nil"/>
              <w:bottom w:val="single" w:sz="8" w:space="0" w:color="auto"/>
              <w:right w:val="single" w:sz="4" w:space="0" w:color="auto"/>
            </w:tcBorders>
            <w:shd w:val="clear" w:color="auto" w:fill="auto"/>
            <w:noWrap/>
            <w:vAlign w:val="bottom"/>
            <w:hideMark/>
          </w:tcPr>
          <w:p w14:paraId="239E762E"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3587.621</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1128928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3620.807</w:t>
            </w:r>
          </w:p>
        </w:tc>
        <w:tc>
          <w:tcPr>
            <w:tcW w:w="214" w:type="pct"/>
            <w:tcBorders>
              <w:top w:val="nil"/>
              <w:left w:val="nil"/>
              <w:bottom w:val="single" w:sz="8" w:space="0" w:color="auto"/>
              <w:right w:val="single" w:sz="4" w:space="0" w:color="auto"/>
            </w:tcBorders>
            <w:shd w:val="clear" w:color="auto" w:fill="auto"/>
            <w:noWrap/>
            <w:vAlign w:val="bottom"/>
            <w:hideMark/>
          </w:tcPr>
          <w:p w14:paraId="5C89703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3653.992</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1FA3233C"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3687.177</w:t>
            </w:r>
          </w:p>
        </w:tc>
        <w:tc>
          <w:tcPr>
            <w:tcW w:w="214" w:type="pct"/>
            <w:tcBorders>
              <w:top w:val="nil"/>
              <w:left w:val="nil"/>
              <w:bottom w:val="single" w:sz="8" w:space="0" w:color="auto"/>
              <w:right w:val="single" w:sz="4" w:space="0" w:color="auto"/>
            </w:tcBorders>
            <w:shd w:val="clear" w:color="auto" w:fill="auto"/>
            <w:noWrap/>
            <w:vAlign w:val="bottom"/>
            <w:hideMark/>
          </w:tcPr>
          <w:p w14:paraId="508B772F"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3720.362</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11681D5E"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3753.548</w:t>
            </w:r>
          </w:p>
        </w:tc>
        <w:tc>
          <w:tcPr>
            <w:tcW w:w="214" w:type="pct"/>
            <w:tcBorders>
              <w:top w:val="nil"/>
              <w:left w:val="nil"/>
              <w:bottom w:val="single" w:sz="8" w:space="0" w:color="auto"/>
              <w:right w:val="single" w:sz="4" w:space="0" w:color="auto"/>
            </w:tcBorders>
            <w:shd w:val="clear" w:color="auto" w:fill="auto"/>
            <w:noWrap/>
            <w:vAlign w:val="bottom"/>
            <w:hideMark/>
          </w:tcPr>
          <w:p w14:paraId="623B6A1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3786.733</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1C614D5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1553</w:t>
            </w:r>
          </w:p>
        </w:tc>
        <w:tc>
          <w:tcPr>
            <w:tcW w:w="171" w:type="pct"/>
            <w:tcBorders>
              <w:top w:val="nil"/>
              <w:left w:val="nil"/>
              <w:bottom w:val="single" w:sz="8" w:space="0" w:color="auto"/>
              <w:right w:val="single" w:sz="4" w:space="0" w:color="auto"/>
            </w:tcBorders>
            <w:shd w:val="clear" w:color="auto" w:fill="auto"/>
            <w:noWrap/>
            <w:vAlign w:val="bottom"/>
            <w:hideMark/>
          </w:tcPr>
          <w:p w14:paraId="5BE0044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421</w:t>
            </w:r>
          </w:p>
        </w:tc>
        <w:tc>
          <w:tcPr>
            <w:tcW w:w="272" w:type="pct"/>
            <w:tcBorders>
              <w:top w:val="nil"/>
              <w:left w:val="nil"/>
              <w:bottom w:val="single" w:sz="8" w:space="0" w:color="auto"/>
              <w:right w:val="single" w:sz="4" w:space="0" w:color="auto"/>
            </w:tcBorders>
            <w:shd w:val="clear" w:color="auto" w:fill="auto"/>
            <w:noWrap/>
            <w:vAlign w:val="bottom"/>
            <w:hideMark/>
          </w:tcPr>
          <w:p w14:paraId="3C10E831"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68860</w:t>
            </w:r>
          </w:p>
        </w:tc>
      </w:tr>
      <w:tr w:rsidR="00426B8A" w:rsidRPr="00D11253" w14:paraId="1C0AD6A7" w14:textId="77777777" w:rsidTr="00426B8A">
        <w:trPr>
          <w:trHeight w:val="680"/>
        </w:trPr>
        <w:tc>
          <w:tcPr>
            <w:tcW w:w="853"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2CBCC0D9" w14:textId="77777777" w:rsidR="008E7C2A" w:rsidRPr="00D11253" w:rsidRDefault="008E7C2A" w:rsidP="00426B8A">
            <w:pPr>
              <w:spacing w:after="0" w:line="240" w:lineRule="auto"/>
              <w:ind w:left="57"/>
              <w:rPr>
                <w:rFonts w:ascii="Calibri" w:eastAsia="Times New Roman" w:hAnsi="Calibri" w:cs="Calibri"/>
                <w:color w:val="000000"/>
                <w:lang w:eastAsia="en-AU"/>
              </w:rPr>
            </w:pPr>
            <w:r w:rsidRPr="00D11253">
              <w:rPr>
                <w:rFonts w:ascii="Calibri" w:eastAsia="Times New Roman" w:hAnsi="Calibri" w:cs="Calibri"/>
                <w:color w:val="000000"/>
                <w:lang w:eastAsia="en-AU"/>
              </w:rPr>
              <w:t>Co-filed with all entities</w:t>
            </w:r>
          </w:p>
        </w:tc>
        <w:tc>
          <w:tcPr>
            <w:tcW w:w="158" w:type="pct"/>
            <w:tcBorders>
              <w:top w:val="single" w:sz="8" w:space="0" w:color="auto"/>
              <w:left w:val="nil"/>
              <w:bottom w:val="single" w:sz="4" w:space="0" w:color="auto"/>
              <w:right w:val="single" w:sz="4" w:space="0" w:color="auto"/>
            </w:tcBorders>
            <w:shd w:val="clear" w:color="auto" w:fill="auto"/>
            <w:noWrap/>
            <w:vAlign w:val="bottom"/>
            <w:hideMark/>
          </w:tcPr>
          <w:p w14:paraId="603F0A4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179</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6D7AA15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177</w:t>
            </w:r>
          </w:p>
        </w:tc>
        <w:tc>
          <w:tcPr>
            <w:tcW w:w="170" w:type="pct"/>
            <w:tcBorders>
              <w:top w:val="single" w:sz="8" w:space="0" w:color="auto"/>
              <w:left w:val="nil"/>
              <w:bottom w:val="single" w:sz="4" w:space="0" w:color="auto"/>
              <w:right w:val="single" w:sz="4" w:space="0" w:color="auto"/>
            </w:tcBorders>
            <w:shd w:val="clear" w:color="auto" w:fill="auto"/>
            <w:noWrap/>
            <w:vAlign w:val="bottom"/>
            <w:hideMark/>
          </w:tcPr>
          <w:p w14:paraId="148C1BA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190</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5E0DFDE1"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205</w:t>
            </w:r>
          </w:p>
        </w:tc>
        <w:tc>
          <w:tcPr>
            <w:tcW w:w="170" w:type="pct"/>
            <w:tcBorders>
              <w:top w:val="single" w:sz="8" w:space="0" w:color="auto"/>
              <w:left w:val="nil"/>
              <w:bottom w:val="single" w:sz="4" w:space="0" w:color="auto"/>
              <w:right w:val="single" w:sz="4" w:space="0" w:color="auto"/>
            </w:tcBorders>
            <w:shd w:val="clear" w:color="auto" w:fill="auto"/>
            <w:noWrap/>
            <w:vAlign w:val="bottom"/>
            <w:hideMark/>
          </w:tcPr>
          <w:p w14:paraId="59D1989F"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178</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58D8FD9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209</w:t>
            </w:r>
          </w:p>
        </w:tc>
        <w:tc>
          <w:tcPr>
            <w:tcW w:w="170" w:type="pct"/>
            <w:tcBorders>
              <w:top w:val="single" w:sz="8" w:space="0" w:color="auto"/>
              <w:left w:val="nil"/>
              <w:bottom w:val="single" w:sz="4" w:space="0" w:color="auto"/>
              <w:right w:val="single" w:sz="4" w:space="0" w:color="auto"/>
            </w:tcBorders>
            <w:shd w:val="clear" w:color="auto" w:fill="auto"/>
            <w:noWrap/>
            <w:vAlign w:val="bottom"/>
            <w:hideMark/>
          </w:tcPr>
          <w:p w14:paraId="1784ED3C"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212</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618DE1CC"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188</w:t>
            </w:r>
          </w:p>
        </w:tc>
        <w:tc>
          <w:tcPr>
            <w:tcW w:w="171" w:type="pct"/>
            <w:tcBorders>
              <w:top w:val="single" w:sz="8" w:space="0" w:color="auto"/>
              <w:left w:val="nil"/>
              <w:bottom w:val="single" w:sz="4" w:space="0" w:color="auto"/>
              <w:right w:val="single" w:sz="4" w:space="0" w:color="auto"/>
            </w:tcBorders>
            <w:shd w:val="clear" w:color="auto" w:fill="auto"/>
            <w:noWrap/>
            <w:vAlign w:val="bottom"/>
            <w:hideMark/>
          </w:tcPr>
          <w:p w14:paraId="1B1C487F"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184</w:t>
            </w:r>
          </w:p>
        </w:tc>
        <w:tc>
          <w:tcPr>
            <w:tcW w:w="171"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2715ED81"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174</w:t>
            </w:r>
          </w:p>
        </w:tc>
        <w:tc>
          <w:tcPr>
            <w:tcW w:w="171" w:type="pct"/>
            <w:tcBorders>
              <w:top w:val="single" w:sz="8" w:space="0" w:color="auto"/>
              <w:left w:val="nil"/>
              <w:bottom w:val="single" w:sz="4" w:space="0" w:color="auto"/>
              <w:right w:val="single" w:sz="4" w:space="0" w:color="auto"/>
            </w:tcBorders>
            <w:shd w:val="clear" w:color="auto" w:fill="auto"/>
            <w:noWrap/>
            <w:vAlign w:val="bottom"/>
            <w:hideMark/>
          </w:tcPr>
          <w:p w14:paraId="0F453EA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163</w:t>
            </w:r>
          </w:p>
        </w:tc>
        <w:tc>
          <w:tcPr>
            <w:tcW w:w="171"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6E80C5B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150</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5D2DB06E"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169.7879</w:t>
            </w:r>
          </w:p>
        </w:tc>
        <w:tc>
          <w:tcPr>
            <w:tcW w:w="214"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3CD6599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167.5886</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0637790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165.3893</w:t>
            </w:r>
          </w:p>
        </w:tc>
        <w:tc>
          <w:tcPr>
            <w:tcW w:w="214"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1929E6F8"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163.19</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778E762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160.9907</w:t>
            </w:r>
          </w:p>
        </w:tc>
        <w:tc>
          <w:tcPr>
            <w:tcW w:w="214"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2F56DF7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158.7914</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32C81F2B"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156.5921</w:t>
            </w:r>
          </w:p>
        </w:tc>
        <w:tc>
          <w:tcPr>
            <w:tcW w:w="171"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426071E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163</w:t>
            </w:r>
          </w:p>
        </w:tc>
        <w:tc>
          <w:tcPr>
            <w:tcW w:w="171" w:type="pct"/>
            <w:tcBorders>
              <w:top w:val="single" w:sz="8" w:space="0" w:color="auto"/>
              <w:left w:val="nil"/>
              <w:bottom w:val="single" w:sz="4" w:space="0" w:color="auto"/>
              <w:right w:val="single" w:sz="4" w:space="0" w:color="auto"/>
            </w:tcBorders>
            <w:shd w:val="clear" w:color="auto" w:fill="auto"/>
            <w:noWrap/>
            <w:vAlign w:val="bottom"/>
            <w:hideMark/>
          </w:tcPr>
          <w:p w14:paraId="08FEE7D1"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39</w:t>
            </w:r>
          </w:p>
        </w:tc>
        <w:tc>
          <w:tcPr>
            <w:tcW w:w="272" w:type="pct"/>
            <w:tcBorders>
              <w:top w:val="single" w:sz="8" w:space="0" w:color="auto"/>
              <w:left w:val="nil"/>
              <w:bottom w:val="single" w:sz="4" w:space="0" w:color="auto"/>
              <w:right w:val="single" w:sz="4" w:space="0" w:color="auto"/>
            </w:tcBorders>
            <w:shd w:val="clear" w:color="auto" w:fill="auto"/>
            <w:noWrap/>
            <w:vAlign w:val="bottom"/>
            <w:hideMark/>
          </w:tcPr>
          <w:p w14:paraId="360FED2E"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3910</w:t>
            </w:r>
          </w:p>
        </w:tc>
      </w:tr>
      <w:tr w:rsidR="00691CAA" w:rsidRPr="00D11253" w14:paraId="47EAFBBD" w14:textId="77777777" w:rsidTr="00806A5D">
        <w:trPr>
          <w:trHeight w:val="680"/>
        </w:trPr>
        <w:tc>
          <w:tcPr>
            <w:tcW w:w="853" w:type="pct"/>
            <w:tcBorders>
              <w:top w:val="nil"/>
              <w:left w:val="single" w:sz="8" w:space="0" w:color="auto"/>
              <w:bottom w:val="single" w:sz="8" w:space="0" w:color="auto"/>
              <w:right w:val="single" w:sz="4" w:space="0" w:color="auto"/>
            </w:tcBorders>
            <w:shd w:val="clear" w:color="auto" w:fill="auto"/>
            <w:vAlign w:val="center"/>
            <w:hideMark/>
          </w:tcPr>
          <w:p w14:paraId="66D98F72" w14:textId="77777777" w:rsidR="008E7C2A" w:rsidRPr="00D11253" w:rsidRDefault="008E7C2A" w:rsidP="00426B8A">
            <w:pPr>
              <w:spacing w:after="0" w:line="240" w:lineRule="auto"/>
              <w:ind w:left="57"/>
              <w:rPr>
                <w:rFonts w:ascii="Calibri" w:eastAsia="Times New Roman" w:hAnsi="Calibri" w:cs="Calibri"/>
                <w:color w:val="000000"/>
                <w:lang w:eastAsia="en-AU"/>
              </w:rPr>
            </w:pPr>
            <w:r w:rsidRPr="00D11253">
              <w:rPr>
                <w:rFonts w:ascii="Calibri" w:eastAsia="Times New Roman" w:hAnsi="Calibri" w:cs="Calibri"/>
                <w:color w:val="000000"/>
                <w:lang w:eastAsia="en-AU"/>
              </w:rPr>
              <w:t>Percentage of co-filing over all filings</w:t>
            </w:r>
          </w:p>
        </w:tc>
        <w:tc>
          <w:tcPr>
            <w:tcW w:w="158" w:type="pct"/>
            <w:tcBorders>
              <w:top w:val="nil"/>
              <w:left w:val="nil"/>
              <w:bottom w:val="single" w:sz="8" w:space="0" w:color="auto"/>
              <w:right w:val="single" w:sz="4" w:space="0" w:color="auto"/>
            </w:tcBorders>
            <w:shd w:val="clear" w:color="auto" w:fill="auto"/>
            <w:noWrap/>
            <w:vAlign w:val="bottom"/>
            <w:hideMark/>
          </w:tcPr>
          <w:p w14:paraId="4360ECE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5.6%</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786CD6EB"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5.8%</w:t>
            </w:r>
          </w:p>
        </w:tc>
        <w:tc>
          <w:tcPr>
            <w:tcW w:w="170" w:type="pct"/>
            <w:tcBorders>
              <w:top w:val="nil"/>
              <w:left w:val="nil"/>
              <w:bottom w:val="single" w:sz="8" w:space="0" w:color="auto"/>
              <w:right w:val="single" w:sz="4" w:space="0" w:color="auto"/>
            </w:tcBorders>
            <w:shd w:val="clear" w:color="auto" w:fill="auto"/>
            <w:noWrap/>
            <w:vAlign w:val="bottom"/>
            <w:hideMark/>
          </w:tcPr>
          <w:p w14:paraId="027DEB6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6.0%</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33BBEBBD"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6.4%</w:t>
            </w:r>
          </w:p>
        </w:tc>
        <w:tc>
          <w:tcPr>
            <w:tcW w:w="170" w:type="pct"/>
            <w:tcBorders>
              <w:top w:val="nil"/>
              <w:left w:val="nil"/>
              <w:bottom w:val="single" w:sz="8" w:space="0" w:color="auto"/>
              <w:right w:val="single" w:sz="4" w:space="0" w:color="auto"/>
            </w:tcBorders>
            <w:shd w:val="clear" w:color="auto" w:fill="auto"/>
            <w:noWrap/>
            <w:vAlign w:val="bottom"/>
            <w:hideMark/>
          </w:tcPr>
          <w:p w14:paraId="4B4F830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5.1%</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4462C4C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5.8%</w:t>
            </w:r>
          </w:p>
        </w:tc>
        <w:tc>
          <w:tcPr>
            <w:tcW w:w="170" w:type="pct"/>
            <w:tcBorders>
              <w:top w:val="nil"/>
              <w:left w:val="nil"/>
              <w:bottom w:val="single" w:sz="8" w:space="0" w:color="auto"/>
              <w:right w:val="single" w:sz="4" w:space="0" w:color="auto"/>
            </w:tcBorders>
            <w:shd w:val="clear" w:color="auto" w:fill="auto"/>
            <w:noWrap/>
            <w:vAlign w:val="bottom"/>
            <w:hideMark/>
          </w:tcPr>
          <w:p w14:paraId="1C244F07"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5.7%</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37F88A9F"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5.6%</w:t>
            </w:r>
          </w:p>
        </w:tc>
        <w:tc>
          <w:tcPr>
            <w:tcW w:w="171" w:type="pct"/>
            <w:tcBorders>
              <w:top w:val="nil"/>
              <w:left w:val="nil"/>
              <w:bottom w:val="single" w:sz="8" w:space="0" w:color="auto"/>
              <w:right w:val="single" w:sz="4" w:space="0" w:color="auto"/>
            </w:tcBorders>
            <w:shd w:val="clear" w:color="auto" w:fill="auto"/>
            <w:noWrap/>
            <w:vAlign w:val="bottom"/>
            <w:hideMark/>
          </w:tcPr>
          <w:p w14:paraId="54EACFC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5.4%</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4F30D85C"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5.3%</w:t>
            </w:r>
          </w:p>
        </w:tc>
        <w:tc>
          <w:tcPr>
            <w:tcW w:w="171" w:type="pct"/>
            <w:tcBorders>
              <w:top w:val="nil"/>
              <w:left w:val="nil"/>
              <w:bottom w:val="single" w:sz="8" w:space="0" w:color="auto"/>
              <w:right w:val="single" w:sz="4" w:space="0" w:color="auto"/>
            </w:tcBorders>
            <w:shd w:val="clear" w:color="auto" w:fill="auto"/>
            <w:noWrap/>
            <w:vAlign w:val="bottom"/>
            <w:hideMark/>
          </w:tcPr>
          <w:p w14:paraId="1FE9129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4.8%</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4B7A3A0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4.1%</w:t>
            </w:r>
          </w:p>
        </w:tc>
        <w:tc>
          <w:tcPr>
            <w:tcW w:w="214" w:type="pct"/>
            <w:tcBorders>
              <w:top w:val="nil"/>
              <w:left w:val="nil"/>
              <w:bottom w:val="single" w:sz="8" w:space="0" w:color="auto"/>
              <w:right w:val="single" w:sz="4" w:space="0" w:color="auto"/>
            </w:tcBorders>
            <w:shd w:val="clear" w:color="auto" w:fill="auto"/>
            <w:noWrap/>
            <w:vAlign w:val="bottom"/>
            <w:hideMark/>
          </w:tcPr>
          <w:p w14:paraId="2B10702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4.7%</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30ABC46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4.6%</w:t>
            </w:r>
          </w:p>
        </w:tc>
        <w:tc>
          <w:tcPr>
            <w:tcW w:w="214" w:type="pct"/>
            <w:tcBorders>
              <w:top w:val="nil"/>
              <w:left w:val="nil"/>
              <w:bottom w:val="single" w:sz="8" w:space="0" w:color="auto"/>
              <w:right w:val="single" w:sz="4" w:space="0" w:color="auto"/>
            </w:tcBorders>
            <w:shd w:val="clear" w:color="auto" w:fill="auto"/>
            <w:noWrap/>
            <w:vAlign w:val="bottom"/>
            <w:hideMark/>
          </w:tcPr>
          <w:p w14:paraId="4899EE98"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4.5%</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546314E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4.4%</w:t>
            </w:r>
          </w:p>
        </w:tc>
        <w:tc>
          <w:tcPr>
            <w:tcW w:w="214" w:type="pct"/>
            <w:tcBorders>
              <w:top w:val="nil"/>
              <w:left w:val="nil"/>
              <w:bottom w:val="single" w:sz="8" w:space="0" w:color="auto"/>
              <w:right w:val="single" w:sz="4" w:space="0" w:color="auto"/>
            </w:tcBorders>
            <w:shd w:val="clear" w:color="auto" w:fill="auto"/>
            <w:noWrap/>
            <w:vAlign w:val="bottom"/>
            <w:hideMark/>
          </w:tcPr>
          <w:p w14:paraId="78250FDE"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4.2%</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40DEBBD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4.1%</w:t>
            </w:r>
          </w:p>
        </w:tc>
        <w:tc>
          <w:tcPr>
            <w:tcW w:w="214" w:type="pct"/>
            <w:tcBorders>
              <w:top w:val="nil"/>
              <w:left w:val="nil"/>
              <w:bottom w:val="single" w:sz="8" w:space="0" w:color="auto"/>
              <w:right w:val="single" w:sz="4" w:space="0" w:color="auto"/>
            </w:tcBorders>
            <w:shd w:val="clear" w:color="auto" w:fill="auto"/>
            <w:noWrap/>
            <w:vAlign w:val="bottom"/>
            <w:hideMark/>
          </w:tcPr>
          <w:p w14:paraId="3BD8510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4.0%</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74A8C53D"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10.5%</w:t>
            </w:r>
          </w:p>
        </w:tc>
        <w:tc>
          <w:tcPr>
            <w:tcW w:w="171" w:type="pct"/>
            <w:tcBorders>
              <w:top w:val="nil"/>
              <w:left w:val="nil"/>
              <w:bottom w:val="single" w:sz="8" w:space="0" w:color="auto"/>
              <w:right w:val="single" w:sz="4" w:space="0" w:color="auto"/>
            </w:tcBorders>
            <w:shd w:val="clear" w:color="auto" w:fill="auto"/>
            <w:noWrap/>
            <w:vAlign w:val="bottom"/>
            <w:hideMark/>
          </w:tcPr>
          <w:p w14:paraId="09A3BD9C"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9.3%</w:t>
            </w:r>
          </w:p>
        </w:tc>
        <w:tc>
          <w:tcPr>
            <w:tcW w:w="272" w:type="pct"/>
            <w:tcBorders>
              <w:top w:val="nil"/>
              <w:left w:val="nil"/>
              <w:bottom w:val="single" w:sz="8" w:space="0" w:color="auto"/>
              <w:right w:val="single" w:sz="8" w:space="0" w:color="auto"/>
            </w:tcBorders>
            <w:shd w:val="clear" w:color="auto" w:fill="auto"/>
            <w:noWrap/>
            <w:vAlign w:val="bottom"/>
            <w:hideMark/>
          </w:tcPr>
          <w:p w14:paraId="69ADB44E"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5.7%</w:t>
            </w:r>
          </w:p>
        </w:tc>
      </w:tr>
      <w:tr w:rsidR="00426B8A" w:rsidRPr="00D11253" w14:paraId="796439CA" w14:textId="77777777" w:rsidTr="00426B8A">
        <w:trPr>
          <w:trHeight w:val="680"/>
        </w:trPr>
        <w:tc>
          <w:tcPr>
            <w:tcW w:w="853"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CC84E9D" w14:textId="77777777" w:rsidR="008E7C2A" w:rsidRPr="00D11253" w:rsidRDefault="008E7C2A" w:rsidP="00426B8A">
            <w:pPr>
              <w:spacing w:after="0" w:line="240" w:lineRule="auto"/>
              <w:ind w:left="57"/>
              <w:rPr>
                <w:rFonts w:ascii="Calibri" w:eastAsia="Times New Roman" w:hAnsi="Calibri" w:cs="Calibri"/>
                <w:color w:val="000000"/>
                <w:lang w:eastAsia="en-AU"/>
              </w:rPr>
            </w:pPr>
            <w:r w:rsidRPr="00D11253">
              <w:rPr>
                <w:rFonts w:ascii="Calibri" w:eastAsia="Times New Roman" w:hAnsi="Calibri" w:cs="Calibri"/>
                <w:color w:val="000000"/>
                <w:lang w:eastAsia="en-AU"/>
              </w:rPr>
              <w:t>Co-filed with all companies</w:t>
            </w:r>
          </w:p>
        </w:tc>
        <w:tc>
          <w:tcPr>
            <w:tcW w:w="158" w:type="pct"/>
            <w:tcBorders>
              <w:top w:val="single" w:sz="8" w:space="0" w:color="auto"/>
              <w:left w:val="nil"/>
              <w:bottom w:val="single" w:sz="4" w:space="0" w:color="auto"/>
              <w:right w:val="single" w:sz="4" w:space="0" w:color="auto"/>
            </w:tcBorders>
            <w:shd w:val="clear" w:color="auto" w:fill="auto"/>
            <w:noWrap/>
            <w:vAlign w:val="bottom"/>
            <w:hideMark/>
          </w:tcPr>
          <w:p w14:paraId="4B7CA56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126</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07E2BF2F"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120</w:t>
            </w:r>
          </w:p>
        </w:tc>
        <w:tc>
          <w:tcPr>
            <w:tcW w:w="170" w:type="pct"/>
            <w:tcBorders>
              <w:top w:val="single" w:sz="8" w:space="0" w:color="auto"/>
              <w:left w:val="nil"/>
              <w:bottom w:val="single" w:sz="4" w:space="0" w:color="auto"/>
              <w:right w:val="single" w:sz="4" w:space="0" w:color="auto"/>
            </w:tcBorders>
            <w:shd w:val="clear" w:color="auto" w:fill="auto"/>
            <w:noWrap/>
            <w:vAlign w:val="bottom"/>
            <w:hideMark/>
          </w:tcPr>
          <w:p w14:paraId="20CD223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142</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78A6CEB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150</w:t>
            </w:r>
          </w:p>
        </w:tc>
        <w:tc>
          <w:tcPr>
            <w:tcW w:w="170" w:type="pct"/>
            <w:tcBorders>
              <w:top w:val="single" w:sz="8" w:space="0" w:color="auto"/>
              <w:left w:val="nil"/>
              <w:bottom w:val="single" w:sz="4" w:space="0" w:color="auto"/>
              <w:right w:val="single" w:sz="4" w:space="0" w:color="auto"/>
            </w:tcBorders>
            <w:shd w:val="clear" w:color="auto" w:fill="auto"/>
            <w:noWrap/>
            <w:vAlign w:val="bottom"/>
            <w:hideMark/>
          </w:tcPr>
          <w:p w14:paraId="3255B69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134</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1D4ADD5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171</w:t>
            </w:r>
          </w:p>
        </w:tc>
        <w:tc>
          <w:tcPr>
            <w:tcW w:w="170" w:type="pct"/>
            <w:tcBorders>
              <w:top w:val="single" w:sz="8" w:space="0" w:color="auto"/>
              <w:left w:val="nil"/>
              <w:bottom w:val="single" w:sz="4" w:space="0" w:color="auto"/>
              <w:right w:val="single" w:sz="4" w:space="0" w:color="auto"/>
            </w:tcBorders>
            <w:shd w:val="clear" w:color="auto" w:fill="auto"/>
            <w:noWrap/>
            <w:vAlign w:val="bottom"/>
            <w:hideMark/>
          </w:tcPr>
          <w:p w14:paraId="5C19BFDF"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145</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62E2BE7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127</w:t>
            </w:r>
          </w:p>
        </w:tc>
        <w:tc>
          <w:tcPr>
            <w:tcW w:w="171" w:type="pct"/>
            <w:tcBorders>
              <w:top w:val="single" w:sz="8" w:space="0" w:color="auto"/>
              <w:left w:val="nil"/>
              <w:bottom w:val="single" w:sz="4" w:space="0" w:color="auto"/>
              <w:right w:val="single" w:sz="4" w:space="0" w:color="auto"/>
            </w:tcBorders>
            <w:shd w:val="clear" w:color="auto" w:fill="auto"/>
            <w:noWrap/>
            <w:vAlign w:val="bottom"/>
            <w:hideMark/>
          </w:tcPr>
          <w:p w14:paraId="2FB240D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142</w:t>
            </w:r>
          </w:p>
        </w:tc>
        <w:tc>
          <w:tcPr>
            <w:tcW w:w="171"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646D340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116</w:t>
            </w:r>
          </w:p>
        </w:tc>
        <w:tc>
          <w:tcPr>
            <w:tcW w:w="171" w:type="pct"/>
            <w:tcBorders>
              <w:top w:val="single" w:sz="8" w:space="0" w:color="auto"/>
              <w:left w:val="nil"/>
              <w:bottom w:val="single" w:sz="4" w:space="0" w:color="auto"/>
              <w:right w:val="single" w:sz="4" w:space="0" w:color="auto"/>
            </w:tcBorders>
            <w:shd w:val="clear" w:color="auto" w:fill="auto"/>
            <w:noWrap/>
            <w:vAlign w:val="bottom"/>
            <w:hideMark/>
          </w:tcPr>
          <w:p w14:paraId="4C717018"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123</w:t>
            </w:r>
          </w:p>
        </w:tc>
        <w:tc>
          <w:tcPr>
            <w:tcW w:w="171"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36E61F1D"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104</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35445F9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122.3333</w:t>
            </w:r>
          </w:p>
        </w:tc>
        <w:tc>
          <w:tcPr>
            <w:tcW w:w="214"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1B133B2F"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120.641</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4BD23711"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118.9487</w:t>
            </w:r>
          </w:p>
        </w:tc>
        <w:tc>
          <w:tcPr>
            <w:tcW w:w="214"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5A975B78"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117.2564</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7B9CF1B1"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115.5641</w:t>
            </w:r>
          </w:p>
        </w:tc>
        <w:tc>
          <w:tcPr>
            <w:tcW w:w="214"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4EF1111B"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113.8718</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112A11C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112.1795</w:t>
            </w:r>
          </w:p>
        </w:tc>
        <w:tc>
          <w:tcPr>
            <w:tcW w:w="171"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15F7BD88"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148</w:t>
            </w:r>
          </w:p>
        </w:tc>
        <w:tc>
          <w:tcPr>
            <w:tcW w:w="171" w:type="pct"/>
            <w:tcBorders>
              <w:top w:val="single" w:sz="8" w:space="0" w:color="auto"/>
              <w:left w:val="nil"/>
              <w:bottom w:val="single" w:sz="4" w:space="0" w:color="auto"/>
              <w:right w:val="single" w:sz="4" w:space="0" w:color="auto"/>
            </w:tcBorders>
            <w:shd w:val="clear" w:color="auto" w:fill="auto"/>
            <w:noWrap/>
            <w:vAlign w:val="bottom"/>
            <w:hideMark/>
          </w:tcPr>
          <w:p w14:paraId="5C2EC88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36</w:t>
            </w:r>
          </w:p>
        </w:tc>
        <w:tc>
          <w:tcPr>
            <w:tcW w:w="272" w:type="pct"/>
            <w:tcBorders>
              <w:top w:val="single" w:sz="8" w:space="0" w:color="auto"/>
              <w:left w:val="nil"/>
              <w:bottom w:val="single" w:sz="4" w:space="0" w:color="auto"/>
              <w:right w:val="single" w:sz="4" w:space="0" w:color="auto"/>
            </w:tcBorders>
            <w:shd w:val="clear" w:color="auto" w:fill="auto"/>
            <w:noWrap/>
            <w:vAlign w:val="bottom"/>
            <w:hideMark/>
          </w:tcPr>
          <w:p w14:paraId="09CF866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2970</w:t>
            </w:r>
          </w:p>
        </w:tc>
      </w:tr>
      <w:tr w:rsidR="00691CAA" w:rsidRPr="00D11253" w14:paraId="1D7A5D4B" w14:textId="77777777" w:rsidTr="00806A5D">
        <w:trPr>
          <w:trHeight w:val="680"/>
        </w:trPr>
        <w:tc>
          <w:tcPr>
            <w:tcW w:w="853" w:type="pct"/>
            <w:tcBorders>
              <w:top w:val="nil"/>
              <w:left w:val="single" w:sz="8" w:space="0" w:color="auto"/>
              <w:bottom w:val="single" w:sz="8" w:space="0" w:color="auto"/>
              <w:right w:val="single" w:sz="4" w:space="0" w:color="auto"/>
            </w:tcBorders>
            <w:shd w:val="clear" w:color="auto" w:fill="auto"/>
            <w:vAlign w:val="center"/>
            <w:hideMark/>
          </w:tcPr>
          <w:p w14:paraId="1509FDCF" w14:textId="77777777" w:rsidR="008E7C2A" w:rsidRPr="00D11253" w:rsidRDefault="008E7C2A" w:rsidP="00426B8A">
            <w:pPr>
              <w:spacing w:after="0" w:line="240" w:lineRule="auto"/>
              <w:ind w:left="57"/>
              <w:rPr>
                <w:rFonts w:ascii="Calibri" w:eastAsia="Times New Roman" w:hAnsi="Calibri" w:cs="Calibri"/>
                <w:color w:val="000000"/>
                <w:lang w:eastAsia="en-AU"/>
              </w:rPr>
            </w:pPr>
            <w:r w:rsidRPr="00D11253">
              <w:rPr>
                <w:rFonts w:ascii="Calibri" w:eastAsia="Times New Roman" w:hAnsi="Calibri" w:cs="Calibri"/>
                <w:color w:val="000000"/>
                <w:lang w:eastAsia="en-AU"/>
              </w:rPr>
              <w:t>Percentage of co-filing over all filings</w:t>
            </w:r>
          </w:p>
        </w:tc>
        <w:tc>
          <w:tcPr>
            <w:tcW w:w="158" w:type="pct"/>
            <w:tcBorders>
              <w:top w:val="nil"/>
              <w:left w:val="nil"/>
              <w:bottom w:val="single" w:sz="8" w:space="0" w:color="auto"/>
              <w:right w:val="single" w:sz="4" w:space="0" w:color="auto"/>
            </w:tcBorders>
            <w:shd w:val="clear" w:color="auto" w:fill="auto"/>
            <w:noWrap/>
            <w:vAlign w:val="bottom"/>
            <w:hideMark/>
          </w:tcPr>
          <w:p w14:paraId="3B5AB8C1"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3.9%</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226E93B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4.0%</w:t>
            </w:r>
          </w:p>
        </w:tc>
        <w:tc>
          <w:tcPr>
            <w:tcW w:w="170" w:type="pct"/>
            <w:tcBorders>
              <w:top w:val="nil"/>
              <w:left w:val="nil"/>
              <w:bottom w:val="single" w:sz="8" w:space="0" w:color="auto"/>
              <w:right w:val="single" w:sz="4" w:space="0" w:color="auto"/>
            </w:tcBorders>
            <w:shd w:val="clear" w:color="auto" w:fill="auto"/>
            <w:noWrap/>
            <w:vAlign w:val="bottom"/>
            <w:hideMark/>
          </w:tcPr>
          <w:p w14:paraId="07249D0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4.5%</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22A90A6F"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4.7%</w:t>
            </w:r>
          </w:p>
        </w:tc>
        <w:tc>
          <w:tcPr>
            <w:tcW w:w="170" w:type="pct"/>
            <w:tcBorders>
              <w:top w:val="nil"/>
              <w:left w:val="nil"/>
              <w:bottom w:val="single" w:sz="8" w:space="0" w:color="auto"/>
              <w:right w:val="single" w:sz="4" w:space="0" w:color="auto"/>
            </w:tcBorders>
            <w:shd w:val="clear" w:color="auto" w:fill="auto"/>
            <w:noWrap/>
            <w:vAlign w:val="bottom"/>
            <w:hideMark/>
          </w:tcPr>
          <w:p w14:paraId="4A02059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3.8%</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4A9D2D5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4.7%</w:t>
            </w:r>
          </w:p>
        </w:tc>
        <w:tc>
          <w:tcPr>
            <w:tcW w:w="170" w:type="pct"/>
            <w:tcBorders>
              <w:top w:val="nil"/>
              <w:left w:val="nil"/>
              <w:bottom w:val="single" w:sz="8" w:space="0" w:color="auto"/>
              <w:right w:val="single" w:sz="4" w:space="0" w:color="auto"/>
            </w:tcBorders>
            <w:shd w:val="clear" w:color="auto" w:fill="auto"/>
            <w:noWrap/>
            <w:vAlign w:val="bottom"/>
            <w:hideMark/>
          </w:tcPr>
          <w:p w14:paraId="0AE191B7"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3.9%</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0A9FDFEB"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3.8%</w:t>
            </w:r>
          </w:p>
        </w:tc>
        <w:tc>
          <w:tcPr>
            <w:tcW w:w="171" w:type="pct"/>
            <w:tcBorders>
              <w:top w:val="nil"/>
              <w:left w:val="nil"/>
              <w:bottom w:val="single" w:sz="8" w:space="0" w:color="auto"/>
              <w:right w:val="single" w:sz="4" w:space="0" w:color="auto"/>
            </w:tcBorders>
            <w:shd w:val="clear" w:color="auto" w:fill="auto"/>
            <w:noWrap/>
            <w:vAlign w:val="bottom"/>
            <w:hideMark/>
          </w:tcPr>
          <w:p w14:paraId="325DE3F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4.2%</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56FF009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3.5%</w:t>
            </w:r>
          </w:p>
        </w:tc>
        <w:tc>
          <w:tcPr>
            <w:tcW w:w="171" w:type="pct"/>
            <w:tcBorders>
              <w:top w:val="nil"/>
              <w:left w:val="nil"/>
              <w:bottom w:val="single" w:sz="8" w:space="0" w:color="auto"/>
              <w:right w:val="single" w:sz="4" w:space="0" w:color="auto"/>
            </w:tcBorders>
            <w:shd w:val="clear" w:color="auto" w:fill="auto"/>
            <w:noWrap/>
            <w:vAlign w:val="bottom"/>
            <w:hideMark/>
          </w:tcPr>
          <w:p w14:paraId="0FC5E7B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3.6%</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36560E1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2.9%</w:t>
            </w:r>
          </w:p>
        </w:tc>
        <w:tc>
          <w:tcPr>
            <w:tcW w:w="214" w:type="pct"/>
            <w:tcBorders>
              <w:top w:val="nil"/>
              <w:left w:val="nil"/>
              <w:bottom w:val="single" w:sz="8" w:space="0" w:color="auto"/>
              <w:right w:val="single" w:sz="4" w:space="0" w:color="auto"/>
            </w:tcBorders>
            <w:shd w:val="clear" w:color="auto" w:fill="auto"/>
            <w:noWrap/>
            <w:vAlign w:val="bottom"/>
            <w:hideMark/>
          </w:tcPr>
          <w:p w14:paraId="1E66BF27"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3.4%</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66C0033F"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3.3%</w:t>
            </w:r>
          </w:p>
        </w:tc>
        <w:tc>
          <w:tcPr>
            <w:tcW w:w="214" w:type="pct"/>
            <w:tcBorders>
              <w:top w:val="nil"/>
              <w:left w:val="nil"/>
              <w:bottom w:val="single" w:sz="8" w:space="0" w:color="auto"/>
              <w:right w:val="single" w:sz="4" w:space="0" w:color="auto"/>
            </w:tcBorders>
            <w:shd w:val="clear" w:color="auto" w:fill="auto"/>
            <w:noWrap/>
            <w:vAlign w:val="bottom"/>
            <w:hideMark/>
          </w:tcPr>
          <w:p w14:paraId="6F497E0C"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3.2%</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71757D5B"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3.1%</w:t>
            </w:r>
          </w:p>
        </w:tc>
        <w:tc>
          <w:tcPr>
            <w:tcW w:w="214" w:type="pct"/>
            <w:tcBorders>
              <w:top w:val="nil"/>
              <w:left w:val="nil"/>
              <w:bottom w:val="single" w:sz="8" w:space="0" w:color="auto"/>
              <w:right w:val="single" w:sz="4" w:space="0" w:color="auto"/>
            </w:tcBorders>
            <w:shd w:val="clear" w:color="auto" w:fill="auto"/>
            <w:noWrap/>
            <w:vAlign w:val="bottom"/>
            <w:hideMark/>
          </w:tcPr>
          <w:p w14:paraId="4356F49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3.0%</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79F1E0F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3.0%</w:t>
            </w:r>
          </w:p>
        </w:tc>
        <w:tc>
          <w:tcPr>
            <w:tcW w:w="214" w:type="pct"/>
            <w:tcBorders>
              <w:top w:val="nil"/>
              <w:left w:val="nil"/>
              <w:bottom w:val="single" w:sz="8" w:space="0" w:color="auto"/>
              <w:right w:val="single" w:sz="4" w:space="0" w:color="auto"/>
            </w:tcBorders>
            <w:shd w:val="clear" w:color="auto" w:fill="auto"/>
            <w:noWrap/>
            <w:vAlign w:val="bottom"/>
            <w:hideMark/>
          </w:tcPr>
          <w:p w14:paraId="4F4FCEE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2.9%</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43C13AE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9.5%</w:t>
            </w:r>
          </w:p>
        </w:tc>
        <w:tc>
          <w:tcPr>
            <w:tcW w:w="171" w:type="pct"/>
            <w:tcBorders>
              <w:top w:val="nil"/>
              <w:left w:val="nil"/>
              <w:bottom w:val="single" w:sz="8" w:space="0" w:color="auto"/>
              <w:right w:val="single" w:sz="4" w:space="0" w:color="auto"/>
            </w:tcBorders>
            <w:shd w:val="clear" w:color="auto" w:fill="auto"/>
            <w:noWrap/>
            <w:vAlign w:val="bottom"/>
            <w:hideMark/>
          </w:tcPr>
          <w:p w14:paraId="66FC7DBD"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8.6%</w:t>
            </w:r>
          </w:p>
        </w:tc>
        <w:tc>
          <w:tcPr>
            <w:tcW w:w="272" w:type="pct"/>
            <w:tcBorders>
              <w:top w:val="nil"/>
              <w:left w:val="nil"/>
              <w:bottom w:val="single" w:sz="8" w:space="0" w:color="auto"/>
              <w:right w:val="single" w:sz="8" w:space="0" w:color="auto"/>
            </w:tcBorders>
            <w:shd w:val="clear" w:color="auto" w:fill="auto"/>
            <w:noWrap/>
            <w:vAlign w:val="bottom"/>
            <w:hideMark/>
          </w:tcPr>
          <w:p w14:paraId="7F7097BE"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4.3%</w:t>
            </w:r>
          </w:p>
        </w:tc>
      </w:tr>
      <w:tr w:rsidR="00426B8A" w:rsidRPr="00D11253" w14:paraId="38A84EBD" w14:textId="77777777" w:rsidTr="00426B8A">
        <w:trPr>
          <w:trHeight w:val="680"/>
        </w:trPr>
        <w:tc>
          <w:tcPr>
            <w:tcW w:w="853"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A59D717" w14:textId="77777777" w:rsidR="008E7C2A" w:rsidRPr="00D11253" w:rsidRDefault="008E7C2A" w:rsidP="00426B8A">
            <w:pPr>
              <w:spacing w:after="0" w:line="240" w:lineRule="auto"/>
              <w:ind w:left="57"/>
              <w:rPr>
                <w:rFonts w:ascii="Calibri" w:eastAsia="Times New Roman" w:hAnsi="Calibri" w:cs="Calibri"/>
                <w:color w:val="000000"/>
                <w:lang w:eastAsia="en-AU"/>
              </w:rPr>
            </w:pPr>
            <w:r w:rsidRPr="00D11253">
              <w:rPr>
                <w:rFonts w:ascii="Calibri" w:eastAsia="Times New Roman" w:hAnsi="Calibri" w:cs="Calibri"/>
                <w:color w:val="000000"/>
                <w:lang w:eastAsia="en-AU"/>
              </w:rPr>
              <w:t>Co-filed with AU companies</w:t>
            </w:r>
          </w:p>
        </w:tc>
        <w:tc>
          <w:tcPr>
            <w:tcW w:w="158" w:type="pct"/>
            <w:tcBorders>
              <w:top w:val="single" w:sz="8" w:space="0" w:color="auto"/>
              <w:left w:val="nil"/>
              <w:bottom w:val="single" w:sz="4" w:space="0" w:color="auto"/>
              <w:right w:val="single" w:sz="4" w:space="0" w:color="auto"/>
            </w:tcBorders>
            <w:shd w:val="clear" w:color="auto" w:fill="auto"/>
            <w:noWrap/>
            <w:vAlign w:val="bottom"/>
            <w:hideMark/>
          </w:tcPr>
          <w:p w14:paraId="639D8D2E"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58</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2E3E196B"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49</w:t>
            </w:r>
          </w:p>
        </w:tc>
        <w:tc>
          <w:tcPr>
            <w:tcW w:w="170" w:type="pct"/>
            <w:tcBorders>
              <w:top w:val="single" w:sz="8" w:space="0" w:color="auto"/>
              <w:left w:val="nil"/>
              <w:bottom w:val="single" w:sz="4" w:space="0" w:color="auto"/>
              <w:right w:val="single" w:sz="4" w:space="0" w:color="auto"/>
            </w:tcBorders>
            <w:shd w:val="clear" w:color="auto" w:fill="auto"/>
            <w:noWrap/>
            <w:vAlign w:val="bottom"/>
            <w:hideMark/>
          </w:tcPr>
          <w:p w14:paraId="1F61F371"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49</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0BC4FA2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66</w:t>
            </w:r>
          </w:p>
        </w:tc>
        <w:tc>
          <w:tcPr>
            <w:tcW w:w="170" w:type="pct"/>
            <w:tcBorders>
              <w:top w:val="single" w:sz="8" w:space="0" w:color="auto"/>
              <w:left w:val="nil"/>
              <w:bottom w:val="single" w:sz="4" w:space="0" w:color="auto"/>
              <w:right w:val="single" w:sz="4" w:space="0" w:color="auto"/>
            </w:tcBorders>
            <w:shd w:val="clear" w:color="auto" w:fill="auto"/>
            <w:noWrap/>
            <w:vAlign w:val="bottom"/>
            <w:hideMark/>
          </w:tcPr>
          <w:p w14:paraId="1EBDD50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53</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73A16698"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88</w:t>
            </w:r>
          </w:p>
        </w:tc>
        <w:tc>
          <w:tcPr>
            <w:tcW w:w="170" w:type="pct"/>
            <w:tcBorders>
              <w:top w:val="single" w:sz="8" w:space="0" w:color="auto"/>
              <w:left w:val="nil"/>
              <w:bottom w:val="single" w:sz="4" w:space="0" w:color="auto"/>
              <w:right w:val="single" w:sz="4" w:space="0" w:color="auto"/>
            </w:tcBorders>
            <w:shd w:val="clear" w:color="auto" w:fill="auto"/>
            <w:noWrap/>
            <w:vAlign w:val="bottom"/>
            <w:hideMark/>
          </w:tcPr>
          <w:p w14:paraId="11E9D041"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64</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51E70AFB"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59</w:t>
            </w:r>
          </w:p>
        </w:tc>
        <w:tc>
          <w:tcPr>
            <w:tcW w:w="171" w:type="pct"/>
            <w:tcBorders>
              <w:top w:val="single" w:sz="8" w:space="0" w:color="auto"/>
              <w:left w:val="nil"/>
              <w:bottom w:val="single" w:sz="4" w:space="0" w:color="auto"/>
              <w:right w:val="single" w:sz="4" w:space="0" w:color="auto"/>
            </w:tcBorders>
            <w:shd w:val="clear" w:color="auto" w:fill="auto"/>
            <w:noWrap/>
            <w:vAlign w:val="bottom"/>
            <w:hideMark/>
          </w:tcPr>
          <w:p w14:paraId="279D0FF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50</w:t>
            </w:r>
          </w:p>
        </w:tc>
        <w:tc>
          <w:tcPr>
            <w:tcW w:w="171"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4F79FC8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51</w:t>
            </w:r>
          </w:p>
        </w:tc>
        <w:tc>
          <w:tcPr>
            <w:tcW w:w="171" w:type="pct"/>
            <w:tcBorders>
              <w:top w:val="single" w:sz="8" w:space="0" w:color="auto"/>
              <w:left w:val="nil"/>
              <w:bottom w:val="single" w:sz="4" w:space="0" w:color="auto"/>
              <w:right w:val="single" w:sz="4" w:space="0" w:color="auto"/>
            </w:tcBorders>
            <w:shd w:val="clear" w:color="auto" w:fill="auto"/>
            <w:noWrap/>
            <w:vAlign w:val="bottom"/>
            <w:hideMark/>
          </w:tcPr>
          <w:p w14:paraId="15D893D1"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50</w:t>
            </w:r>
          </w:p>
        </w:tc>
        <w:tc>
          <w:tcPr>
            <w:tcW w:w="171"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30AB802F"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52</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3E615AF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54.48485</w:t>
            </w:r>
          </w:p>
        </w:tc>
        <w:tc>
          <w:tcPr>
            <w:tcW w:w="214"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37EAE7E1"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54.0338</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49CE872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53.58275</w:t>
            </w:r>
          </w:p>
        </w:tc>
        <w:tc>
          <w:tcPr>
            <w:tcW w:w="214"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1323593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53.1317</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4E21F3A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52.68065</w:t>
            </w:r>
          </w:p>
        </w:tc>
        <w:tc>
          <w:tcPr>
            <w:tcW w:w="214"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078D771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52.2296</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591E2E8E"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51.77855</w:t>
            </w:r>
          </w:p>
        </w:tc>
        <w:tc>
          <w:tcPr>
            <w:tcW w:w="171"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75ECD3D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w:t>
            </w:r>
          </w:p>
        </w:tc>
        <w:tc>
          <w:tcPr>
            <w:tcW w:w="171" w:type="pct"/>
            <w:tcBorders>
              <w:top w:val="single" w:sz="8" w:space="0" w:color="auto"/>
              <w:left w:val="nil"/>
              <w:bottom w:val="single" w:sz="4" w:space="0" w:color="auto"/>
              <w:right w:val="single" w:sz="4" w:space="0" w:color="auto"/>
            </w:tcBorders>
            <w:shd w:val="clear" w:color="auto" w:fill="auto"/>
            <w:noWrap/>
            <w:vAlign w:val="bottom"/>
            <w:hideMark/>
          </w:tcPr>
          <w:p w14:paraId="1987487B"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w:t>
            </w:r>
          </w:p>
        </w:tc>
        <w:tc>
          <w:tcPr>
            <w:tcW w:w="272" w:type="pct"/>
            <w:tcBorders>
              <w:top w:val="single" w:sz="8" w:space="0" w:color="auto"/>
              <w:left w:val="nil"/>
              <w:bottom w:val="single" w:sz="4" w:space="0" w:color="auto"/>
              <w:right w:val="single" w:sz="4" w:space="0" w:color="auto"/>
            </w:tcBorders>
            <w:shd w:val="clear" w:color="auto" w:fill="auto"/>
            <w:noWrap/>
            <w:vAlign w:val="bottom"/>
            <w:hideMark/>
          </w:tcPr>
          <w:p w14:paraId="75F44FD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1092</w:t>
            </w:r>
          </w:p>
        </w:tc>
      </w:tr>
      <w:tr w:rsidR="00691CAA" w:rsidRPr="00D11253" w14:paraId="423692D2" w14:textId="77777777" w:rsidTr="00806A5D">
        <w:trPr>
          <w:trHeight w:val="680"/>
        </w:trPr>
        <w:tc>
          <w:tcPr>
            <w:tcW w:w="853" w:type="pct"/>
            <w:tcBorders>
              <w:top w:val="nil"/>
              <w:left w:val="single" w:sz="8" w:space="0" w:color="auto"/>
              <w:bottom w:val="single" w:sz="8" w:space="0" w:color="auto"/>
              <w:right w:val="single" w:sz="4" w:space="0" w:color="auto"/>
            </w:tcBorders>
            <w:shd w:val="clear" w:color="auto" w:fill="auto"/>
            <w:vAlign w:val="center"/>
            <w:hideMark/>
          </w:tcPr>
          <w:p w14:paraId="2BE17BE8" w14:textId="77777777" w:rsidR="008E7C2A" w:rsidRPr="00D11253" w:rsidRDefault="008E7C2A" w:rsidP="00426B8A">
            <w:pPr>
              <w:spacing w:after="0" w:line="240" w:lineRule="auto"/>
              <w:ind w:left="57"/>
              <w:rPr>
                <w:rFonts w:ascii="Calibri" w:eastAsia="Times New Roman" w:hAnsi="Calibri" w:cs="Calibri"/>
                <w:color w:val="000000"/>
                <w:lang w:eastAsia="en-AU"/>
              </w:rPr>
            </w:pPr>
            <w:r w:rsidRPr="00D11253">
              <w:rPr>
                <w:rFonts w:ascii="Calibri" w:eastAsia="Times New Roman" w:hAnsi="Calibri" w:cs="Calibri"/>
                <w:color w:val="000000"/>
                <w:lang w:eastAsia="en-AU"/>
              </w:rPr>
              <w:t>Percentage AU co-filing over all filings</w:t>
            </w:r>
          </w:p>
        </w:tc>
        <w:tc>
          <w:tcPr>
            <w:tcW w:w="158" w:type="pct"/>
            <w:tcBorders>
              <w:top w:val="nil"/>
              <w:left w:val="nil"/>
              <w:bottom w:val="single" w:sz="8" w:space="0" w:color="auto"/>
              <w:right w:val="single" w:sz="4" w:space="0" w:color="auto"/>
            </w:tcBorders>
            <w:shd w:val="clear" w:color="auto" w:fill="auto"/>
            <w:noWrap/>
            <w:vAlign w:val="bottom"/>
            <w:hideMark/>
          </w:tcPr>
          <w:p w14:paraId="045B458E"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1.8%</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3C881CFF"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1.6%</w:t>
            </w:r>
          </w:p>
        </w:tc>
        <w:tc>
          <w:tcPr>
            <w:tcW w:w="170" w:type="pct"/>
            <w:tcBorders>
              <w:top w:val="nil"/>
              <w:left w:val="nil"/>
              <w:bottom w:val="single" w:sz="8" w:space="0" w:color="auto"/>
              <w:right w:val="single" w:sz="4" w:space="0" w:color="auto"/>
            </w:tcBorders>
            <w:shd w:val="clear" w:color="auto" w:fill="auto"/>
            <w:noWrap/>
            <w:vAlign w:val="bottom"/>
            <w:hideMark/>
          </w:tcPr>
          <w:p w14:paraId="4CCD364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1.6%</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77A750B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2.1%</w:t>
            </w:r>
          </w:p>
        </w:tc>
        <w:tc>
          <w:tcPr>
            <w:tcW w:w="170" w:type="pct"/>
            <w:tcBorders>
              <w:top w:val="nil"/>
              <w:left w:val="nil"/>
              <w:bottom w:val="single" w:sz="8" w:space="0" w:color="auto"/>
              <w:right w:val="single" w:sz="4" w:space="0" w:color="auto"/>
            </w:tcBorders>
            <w:shd w:val="clear" w:color="auto" w:fill="auto"/>
            <w:noWrap/>
            <w:vAlign w:val="bottom"/>
            <w:hideMark/>
          </w:tcPr>
          <w:p w14:paraId="68D0C5BC"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1.5%</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2C3EB94E"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2.4%</w:t>
            </w:r>
          </w:p>
        </w:tc>
        <w:tc>
          <w:tcPr>
            <w:tcW w:w="170" w:type="pct"/>
            <w:tcBorders>
              <w:top w:val="nil"/>
              <w:left w:val="nil"/>
              <w:bottom w:val="single" w:sz="8" w:space="0" w:color="auto"/>
              <w:right w:val="single" w:sz="4" w:space="0" w:color="auto"/>
            </w:tcBorders>
            <w:shd w:val="clear" w:color="auto" w:fill="auto"/>
            <w:noWrap/>
            <w:vAlign w:val="bottom"/>
            <w:hideMark/>
          </w:tcPr>
          <w:p w14:paraId="7D57B06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1.7%</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2817AC8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1.8%</w:t>
            </w:r>
          </w:p>
        </w:tc>
        <w:tc>
          <w:tcPr>
            <w:tcW w:w="171" w:type="pct"/>
            <w:tcBorders>
              <w:top w:val="nil"/>
              <w:left w:val="nil"/>
              <w:bottom w:val="single" w:sz="8" w:space="0" w:color="auto"/>
              <w:right w:val="single" w:sz="4" w:space="0" w:color="auto"/>
            </w:tcBorders>
            <w:shd w:val="clear" w:color="auto" w:fill="auto"/>
            <w:noWrap/>
            <w:vAlign w:val="bottom"/>
            <w:hideMark/>
          </w:tcPr>
          <w:p w14:paraId="2F4163D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1.5%</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7A9F4767"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1.6%</w:t>
            </w:r>
          </w:p>
        </w:tc>
        <w:tc>
          <w:tcPr>
            <w:tcW w:w="171" w:type="pct"/>
            <w:tcBorders>
              <w:top w:val="nil"/>
              <w:left w:val="nil"/>
              <w:bottom w:val="single" w:sz="8" w:space="0" w:color="auto"/>
              <w:right w:val="single" w:sz="4" w:space="0" w:color="auto"/>
            </w:tcBorders>
            <w:shd w:val="clear" w:color="auto" w:fill="auto"/>
            <w:noWrap/>
            <w:vAlign w:val="bottom"/>
            <w:hideMark/>
          </w:tcPr>
          <w:p w14:paraId="4B832BA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1.5%</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022DD161"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1.4%</w:t>
            </w:r>
          </w:p>
        </w:tc>
        <w:tc>
          <w:tcPr>
            <w:tcW w:w="214" w:type="pct"/>
            <w:tcBorders>
              <w:top w:val="nil"/>
              <w:left w:val="nil"/>
              <w:bottom w:val="single" w:sz="8" w:space="0" w:color="auto"/>
              <w:right w:val="single" w:sz="4" w:space="0" w:color="auto"/>
            </w:tcBorders>
            <w:shd w:val="clear" w:color="auto" w:fill="auto"/>
            <w:noWrap/>
            <w:vAlign w:val="bottom"/>
            <w:hideMark/>
          </w:tcPr>
          <w:p w14:paraId="32C61C7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1.5%</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753E5A0B"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1.5%</w:t>
            </w:r>
          </w:p>
        </w:tc>
        <w:tc>
          <w:tcPr>
            <w:tcW w:w="214" w:type="pct"/>
            <w:tcBorders>
              <w:top w:val="nil"/>
              <w:left w:val="nil"/>
              <w:bottom w:val="single" w:sz="8" w:space="0" w:color="auto"/>
              <w:right w:val="single" w:sz="4" w:space="0" w:color="auto"/>
            </w:tcBorders>
            <w:shd w:val="clear" w:color="auto" w:fill="auto"/>
            <w:noWrap/>
            <w:vAlign w:val="bottom"/>
            <w:hideMark/>
          </w:tcPr>
          <w:p w14:paraId="741148E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1.5%</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562708A8"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1.4%</w:t>
            </w:r>
          </w:p>
        </w:tc>
        <w:tc>
          <w:tcPr>
            <w:tcW w:w="214" w:type="pct"/>
            <w:tcBorders>
              <w:top w:val="nil"/>
              <w:left w:val="nil"/>
              <w:bottom w:val="single" w:sz="8" w:space="0" w:color="auto"/>
              <w:right w:val="single" w:sz="4" w:space="0" w:color="auto"/>
            </w:tcBorders>
            <w:shd w:val="clear" w:color="auto" w:fill="auto"/>
            <w:noWrap/>
            <w:vAlign w:val="bottom"/>
            <w:hideMark/>
          </w:tcPr>
          <w:p w14:paraId="3283F22B"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1.4%</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0AEE2CFF"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1.4%</w:t>
            </w:r>
          </w:p>
        </w:tc>
        <w:tc>
          <w:tcPr>
            <w:tcW w:w="214" w:type="pct"/>
            <w:tcBorders>
              <w:top w:val="nil"/>
              <w:left w:val="nil"/>
              <w:bottom w:val="single" w:sz="8" w:space="0" w:color="auto"/>
              <w:right w:val="single" w:sz="4" w:space="0" w:color="auto"/>
            </w:tcBorders>
            <w:shd w:val="clear" w:color="auto" w:fill="auto"/>
            <w:noWrap/>
            <w:vAlign w:val="bottom"/>
            <w:hideMark/>
          </w:tcPr>
          <w:p w14:paraId="6E40F02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1.3%</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4C49E6E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0.4%</w:t>
            </w:r>
          </w:p>
        </w:tc>
        <w:tc>
          <w:tcPr>
            <w:tcW w:w="171" w:type="pct"/>
            <w:tcBorders>
              <w:top w:val="nil"/>
              <w:left w:val="nil"/>
              <w:bottom w:val="single" w:sz="8" w:space="0" w:color="auto"/>
              <w:right w:val="single" w:sz="4" w:space="0" w:color="auto"/>
            </w:tcBorders>
            <w:shd w:val="clear" w:color="auto" w:fill="auto"/>
            <w:noWrap/>
            <w:vAlign w:val="bottom"/>
            <w:hideMark/>
          </w:tcPr>
          <w:p w14:paraId="4A2B0FFE"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0.5%</w:t>
            </w:r>
          </w:p>
        </w:tc>
        <w:tc>
          <w:tcPr>
            <w:tcW w:w="272" w:type="pct"/>
            <w:tcBorders>
              <w:top w:val="nil"/>
              <w:left w:val="nil"/>
              <w:bottom w:val="single" w:sz="8" w:space="0" w:color="auto"/>
              <w:right w:val="single" w:sz="8" w:space="0" w:color="auto"/>
            </w:tcBorders>
            <w:shd w:val="clear" w:color="auto" w:fill="auto"/>
            <w:noWrap/>
            <w:vAlign w:val="bottom"/>
            <w:hideMark/>
          </w:tcPr>
          <w:p w14:paraId="71115D5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1.6%</w:t>
            </w:r>
          </w:p>
        </w:tc>
      </w:tr>
      <w:tr w:rsidR="00426B8A" w:rsidRPr="00D11253" w14:paraId="30BE29D3" w14:textId="77777777" w:rsidTr="00426B8A">
        <w:trPr>
          <w:trHeight w:val="680"/>
        </w:trPr>
        <w:tc>
          <w:tcPr>
            <w:tcW w:w="853"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2AB4F64" w14:textId="77777777" w:rsidR="008E7C2A" w:rsidRPr="00D11253" w:rsidRDefault="008E7C2A" w:rsidP="00426B8A">
            <w:pPr>
              <w:spacing w:after="0" w:line="240" w:lineRule="auto"/>
              <w:ind w:left="57"/>
              <w:rPr>
                <w:rFonts w:ascii="Calibri" w:eastAsia="Times New Roman" w:hAnsi="Calibri" w:cs="Calibri"/>
                <w:color w:val="000000"/>
                <w:lang w:eastAsia="en-AU"/>
              </w:rPr>
            </w:pPr>
            <w:r w:rsidRPr="00D11253">
              <w:rPr>
                <w:rFonts w:ascii="Calibri" w:eastAsia="Times New Roman" w:hAnsi="Calibri" w:cs="Calibri"/>
                <w:color w:val="000000"/>
                <w:lang w:eastAsia="en-AU"/>
              </w:rPr>
              <w:t>Co-filed with non-AU companies</w:t>
            </w:r>
          </w:p>
        </w:tc>
        <w:tc>
          <w:tcPr>
            <w:tcW w:w="158" w:type="pct"/>
            <w:tcBorders>
              <w:top w:val="single" w:sz="8" w:space="0" w:color="auto"/>
              <w:left w:val="nil"/>
              <w:bottom w:val="single" w:sz="4" w:space="0" w:color="auto"/>
              <w:right w:val="single" w:sz="4" w:space="0" w:color="auto"/>
            </w:tcBorders>
            <w:shd w:val="clear" w:color="auto" w:fill="auto"/>
            <w:noWrap/>
            <w:vAlign w:val="bottom"/>
            <w:hideMark/>
          </w:tcPr>
          <w:p w14:paraId="411185A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58</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5840EE5F"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63</w:t>
            </w:r>
          </w:p>
        </w:tc>
        <w:tc>
          <w:tcPr>
            <w:tcW w:w="170" w:type="pct"/>
            <w:tcBorders>
              <w:top w:val="single" w:sz="8" w:space="0" w:color="auto"/>
              <w:left w:val="nil"/>
              <w:bottom w:val="single" w:sz="4" w:space="0" w:color="auto"/>
              <w:right w:val="single" w:sz="4" w:space="0" w:color="auto"/>
            </w:tcBorders>
            <w:shd w:val="clear" w:color="auto" w:fill="auto"/>
            <w:noWrap/>
            <w:vAlign w:val="bottom"/>
            <w:hideMark/>
          </w:tcPr>
          <w:p w14:paraId="4E058DC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81</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461CC7E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91</w:t>
            </w:r>
          </w:p>
        </w:tc>
        <w:tc>
          <w:tcPr>
            <w:tcW w:w="170" w:type="pct"/>
            <w:tcBorders>
              <w:top w:val="single" w:sz="8" w:space="0" w:color="auto"/>
              <w:left w:val="nil"/>
              <w:bottom w:val="single" w:sz="4" w:space="0" w:color="auto"/>
              <w:right w:val="single" w:sz="4" w:space="0" w:color="auto"/>
            </w:tcBorders>
            <w:shd w:val="clear" w:color="auto" w:fill="auto"/>
            <w:noWrap/>
            <w:vAlign w:val="bottom"/>
            <w:hideMark/>
          </w:tcPr>
          <w:p w14:paraId="592E0D7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71</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56C73D3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81</w:t>
            </w:r>
          </w:p>
        </w:tc>
        <w:tc>
          <w:tcPr>
            <w:tcW w:w="170" w:type="pct"/>
            <w:tcBorders>
              <w:top w:val="single" w:sz="8" w:space="0" w:color="auto"/>
              <w:left w:val="nil"/>
              <w:bottom w:val="single" w:sz="4" w:space="0" w:color="auto"/>
              <w:right w:val="single" w:sz="4" w:space="0" w:color="auto"/>
            </w:tcBorders>
            <w:shd w:val="clear" w:color="auto" w:fill="auto"/>
            <w:noWrap/>
            <w:vAlign w:val="bottom"/>
            <w:hideMark/>
          </w:tcPr>
          <w:p w14:paraId="3484163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76</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4A53F38C"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68</w:t>
            </w:r>
          </w:p>
        </w:tc>
        <w:tc>
          <w:tcPr>
            <w:tcW w:w="171" w:type="pct"/>
            <w:tcBorders>
              <w:top w:val="single" w:sz="8" w:space="0" w:color="auto"/>
              <w:left w:val="nil"/>
              <w:bottom w:val="single" w:sz="4" w:space="0" w:color="auto"/>
              <w:right w:val="single" w:sz="4" w:space="0" w:color="auto"/>
            </w:tcBorders>
            <w:shd w:val="clear" w:color="auto" w:fill="auto"/>
            <w:noWrap/>
            <w:vAlign w:val="bottom"/>
            <w:hideMark/>
          </w:tcPr>
          <w:p w14:paraId="11B31FF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89</w:t>
            </w:r>
          </w:p>
        </w:tc>
        <w:tc>
          <w:tcPr>
            <w:tcW w:w="171"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1FDE4C5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64</w:t>
            </w:r>
          </w:p>
        </w:tc>
        <w:tc>
          <w:tcPr>
            <w:tcW w:w="171" w:type="pct"/>
            <w:tcBorders>
              <w:top w:val="single" w:sz="8" w:space="0" w:color="auto"/>
              <w:left w:val="nil"/>
              <w:bottom w:val="single" w:sz="4" w:space="0" w:color="auto"/>
              <w:right w:val="single" w:sz="4" w:space="0" w:color="auto"/>
            </w:tcBorders>
            <w:shd w:val="clear" w:color="auto" w:fill="auto"/>
            <w:noWrap/>
            <w:vAlign w:val="bottom"/>
            <w:hideMark/>
          </w:tcPr>
          <w:p w14:paraId="2E23073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66</w:t>
            </w:r>
          </w:p>
        </w:tc>
        <w:tc>
          <w:tcPr>
            <w:tcW w:w="171"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10D779A8"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58</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3562E4DE"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69.5303</w:t>
            </w:r>
          </w:p>
        </w:tc>
        <w:tc>
          <w:tcPr>
            <w:tcW w:w="214"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2DF2F36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69.12471</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5C6FF587"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68.71911</w:t>
            </w:r>
          </w:p>
        </w:tc>
        <w:tc>
          <w:tcPr>
            <w:tcW w:w="214"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4E2B30B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68.31352</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69F8627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67.90793</w:t>
            </w:r>
          </w:p>
        </w:tc>
        <w:tc>
          <w:tcPr>
            <w:tcW w:w="214"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78E6AA2C"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67.50233</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441B619B"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67.09674</w:t>
            </w:r>
          </w:p>
        </w:tc>
        <w:tc>
          <w:tcPr>
            <w:tcW w:w="171"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697C487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110</w:t>
            </w:r>
          </w:p>
        </w:tc>
        <w:tc>
          <w:tcPr>
            <w:tcW w:w="171" w:type="pct"/>
            <w:tcBorders>
              <w:top w:val="single" w:sz="8" w:space="0" w:color="auto"/>
              <w:left w:val="nil"/>
              <w:bottom w:val="single" w:sz="4" w:space="0" w:color="auto"/>
              <w:right w:val="single" w:sz="4" w:space="0" w:color="auto"/>
            </w:tcBorders>
            <w:shd w:val="clear" w:color="auto" w:fill="auto"/>
            <w:noWrap/>
            <w:vAlign w:val="bottom"/>
            <w:hideMark/>
          </w:tcPr>
          <w:p w14:paraId="5FF47F7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14</w:t>
            </w:r>
          </w:p>
        </w:tc>
        <w:tc>
          <w:tcPr>
            <w:tcW w:w="272" w:type="pct"/>
            <w:tcBorders>
              <w:top w:val="single" w:sz="8" w:space="0" w:color="auto"/>
              <w:left w:val="nil"/>
              <w:bottom w:val="single" w:sz="4" w:space="0" w:color="auto"/>
              <w:right w:val="single" w:sz="4" w:space="0" w:color="auto"/>
            </w:tcBorders>
            <w:shd w:val="clear" w:color="auto" w:fill="auto"/>
            <w:noWrap/>
            <w:vAlign w:val="bottom"/>
            <w:hideMark/>
          </w:tcPr>
          <w:p w14:paraId="41CB566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1586</w:t>
            </w:r>
          </w:p>
        </w:tc>
      </w:tr>
      <w:tr w:rsidR="00691CAA" w:rsidRPr="00D11253" w14:paraId="3EBAF907" w14:textId="77777777" w:rsidTr="00806A5D">
        <w:trPr>
          <w:trHeight w:val="680"/>
        </w:trPr>
        <w:tc>
          <w:tcPr>
            <w:tcW w:w="853" w:type="pct"/>
            <w:tcBorders>
              <w:top w:val="nil"/>
              <w:left w:val="single" w:sz="8" w:space="0" w:color="auto"/>
              <w:bottom w:val="single" w:sz="8" w:space="0" w:color="auto"/>
              <w:right w:val="single" w:sz="4" w:space="0" w:color="auto"/>
            </w:tcBorders>
            <w:shd w:val="clear" w:color="auto" w:fill="auto"/>
            <w:vAlign w:val="center"/>
            <w:hideMark/>
          </w:tcPr>
          <w:p w14:paraId="0A5741EC" w14:textId="77777777" w:rsidR="008E7C2A" w:rsidRPr="00D11253" w:rsidRDefault="008E7C2A" w:rsidP="00426B8A">
            <w:pPr>
              <w:spacing w:after="0" w:line="240" w:lineRule="auto"/>
              <w:ind w:left="57"/>
              <w:rPr>
                <w:rFonts w:ascii="Calibri" w:eastAsia="Times New Roman" w:hAnsi="Calibri" w:cs="Calibri"/>
                <w:color w:val="000000"/>
                <w:lang w:eastAsia="en-AU"/>
              </w:rPr>
            </w:pPr>
            <w:r w:rsidRPr="00D11253">
              <w:rPr>
                <w:rFonts w:ascii="Calibri" w:eastAsia="Times New Roman" w:hAnsi="Calibri" w:cs="Calibri"/>
                <w:color w:val="000000"/>
                <w:lang w:eastAsia="en-AU"/>
              </w:rPr>
              <w:t>Percentage non-AU co-filing over all filings</w:t>
            </w:r>
          </w:p>
        </w:tc>
        <w:tc>
          <w:tcPr>
            <w:tcW w:w="158" w:type="pct"/>
            <w:tcBorders>
              <w:top w:val="nil"/>
              <w:left w:val="nil"/>
              <w:bottom w:val="single" w:sz="8" w:space="0" w:color="auto"/>
              <w:right w:val="single" w:sz="4" w:space="0" w:color="auto"/>
            </w:tcBorders>
            <w:shd w:val="clear" w:color="auto" w:fill="auto"/>
            <w:noWrap/>
            <w:vAlign w:val="bottom"/>
            <w:hideMark/>
          </w:tcPr>
          <w:p w14:paraId="5088AC0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1.8%</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263CC30B"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2.1%</w:t>
            </w:r>
          </w:p>
        </w:tc>
        <w:tc>
          <w:tcPr>
            <w:tcW w:w="170" w:type="pct"/>
            <w:tcBorders>
              <w:top w:val="nil"/>
              <w:left w:val="nil"/>
              <w:bottom w:val="single" w:sz="8" w:space="0" w:color="auto"/>
              <w:right w:val="single" w:sz="4" w:space="0" w:color="auto"/>
            </w:tcBorders>
            <w:shd w:val="clear" w:color="auto" w:fill="auto"/>
            <w:noWrap/>
            <w:vAlign w:val="bottom"/>
            <w:hideMark/>
          </w:tcPr>
          <w:p w14:paraId="0413347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2.6%</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6FCFBCC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2.8%</w:t>
            </w:r>
          </w:p>
        </w:tc>
        <w:tc>
          <w:tcPr>
            <w:tcW w:w="170" w:type="pct"/>
            <w:tcBorders>
              <w:top w:val="nil"/>
              <w:left w:val="nil"/>
              <w:bottom w:val="single" w:sz="8" w:space="0" w:color="auto"/>
              <w:right w:val="single" w:sz="4" w:space="0" w:color="auto"/>
            </w:tcBorders>
            <w:shd w:val="clear" w:color="auto" w:fill="auto"/>
            <w:noWrap/>
            <w:vAlign w:val="bottom"/>
            <w:hideMark/>
          </w:tcPr>
          <w:p w14:paraId="0F89DD1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2.0%</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36F350DC"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2.2%</w:t>
            </w:r>
          </w:p>
        </w:tc>
        <w:tc>
          <w:tcPr>
            <w:tcW w:w="170" w:type="pct"/>
            <w:tcBorders>
              <w:top w:val="nil"/>
              <w:left w:val="nil"/>
              <w:bottom w:val="single" w:sz="8" w:space="0" w:color="auto"/>
              <w:right w:val="single" w:sz="4" w:space="0" w:color="auto"/>
            </w:tcBorders>
            <w:shd w:val="clear" w:color="auto" w:fill="auto"/>
            <w:noWrap/>
            <w:vAlign w:val="bottom"/>
            <w:hideMark/>
          </w:tcPr>
          <w:p w14:paraId="2F71E6C8"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2.0%</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3FAF5ED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2.0%</w:t>
            </w:r>
          </w:p>
        </w:tc>
        <w:tc>
          <w:tcPr>
            <w:tcW w:w="171" w:type="pct"/>
            <w:tcBorders>
              <w:top w:val="nil"/>
              <w:left w:val="nil"/>
              <w:bottom w:val="single" w:sz="8" w:space="0" w:color="auto"/>
              <w:right w:val="single" w:sz="4" w:space="0" w:color="auto"/>
            </w:tcBorders>
            <w:shd w:val="clear" w:color="auto" w:fill="auto"/>
            <w:noWrap/>
            <w:vAlign w:val="bottom"/>
            <w:hideMark/>
          </w:tcPr>
          <w:p w14:paraId="45D67CA7"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2.6%</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5078F9FE"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2.0%</w:t>
            </w:r>
          </w:p>
        </w:tc>
        <w:tc>
          <w:tcPr>
            <w:tcW w:w="171" w:type="pct"/>
            <w:tcBorders>
              <w:top w:val="nil"/>
              <w:left w:val="nil"/>
              <w:bottom w:val="single" w:sz="8" w:space="0" w:color="auto"/>
              <w:right w:val="single" w:sz="4" w:space="0" w:color="auto"/>
            </w:tcBorders>
            <w:shd w:val="clear" w:color="auto" w:fill="auto"/>
            <w:noWrap/>
            <w:vAlign w:val="bottom"/>
            <w:hideMark/>
          </w:tcPr>
          <w:p w14:paraId="4C1B719F"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2.0%</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53E2AD4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1.6%</w:t>
            </w:r>
          </w:p>
        </w:tc>
        <w:tc>
          <w:tcPr>
            <w:tcW w:w="214" w:type="pct"/>
            <w:tcBorders>
              <w:top w:val="nil"/>
              <w:left w:val="nil"/>
              <w:bottom w:val="single" w:sz="8" w:space="0" w:color="auto"/>
              <w:right w:val="single" w:sz="4" w:space="0" w:color="auto"/>
            </w:tcBorders>
            <w:shd w:val="clear" w:color="auto" w:fill="auto"/>
            <w:noWrap/>
            <w:vAlign w:val="bottom"/>
            <w:hideMark/>
          </w:tcPr>
          <w:p w14:paraId="3A1DCEA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1.9%</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248D214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1.9%</w:t>
            </w:r>
          </w:p>
        </w:tc>
        <w:tc>
          <w:tcPr>
            <w:tcW w:w="214" w:type="pct"/>
            <w:tcBorders>
              <w:top w:val="nil"/>
              <w:left w:val="nil"/>
              <w:bottom w:val="single" w:sz="8" w:space="0" w:color="auto"/>
              <w:right w:val="single" w:sz="4" w:space="0" w:color="auto"/>
            </w:tcBorders>
            <w:shd w:val="clear" w:color="auto" w:fill="auto"/>
            <w:noWrap/>
            <w:vAlign w:val="bottom"/>
            <w:hideMark/>
          </w:tcPr>
          <w:p w14:paraId="55416C8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1.9%</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49ECDCBE"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1.8%</w:t>
            </w:r>
          </w:p>
        </w:tc>
        <w:tc>
          <w:tcPr>
            <w:tcW w:w="214" w:type="pct"/>
            <w:tcBorders>
              <w:top w:val="nil"/>
              <w:left w:val="nil"/>
              <w:bottom w:val="single" w:sz="8" w:space="0" w:color="auto"/>
              <w:right w:val="single" w:sz="4" w:space="0" w:color="auto"/>
            </w:tcBorders>
            <w:shd w:val="clear" w:color="auto" w:fill="auto"/>
            <w:noWrap/>
            <w:vAlign w:val="bottom"/>
            <w:hideMark/>
          </w:tcPr>
          <w:p w14:paraId="1EDD483B"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1.8%</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2A28C5CB"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1.8%</w:t>
            </w:r>
          </w:p>
        </w:tc>
        <w:tc>
          <w:tcPr>
            <w:tcW w:w="214" w:type="pct"/>
            <w:tcBorders>
              <w:top w:val="nil"/>
              <w:left w:val="nil"/>
              <w:bottom w:val="single" w:sz="8" w:space="0" w:color="auto"/>
              <w:right w:val="single" w:sz="4" w:space="0" w:color="auto"/>
            </w:tcBorders>
            <w:shd w:val="clear" w:color="auto" w:fill="auto"/>
            <w:noWrap/>
            <w:vAlign w:val="bottom"/>
            <w:hideMark/>
          </w:tcPr>
          <w:p w14:paraId="7938C5B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1.7%</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1206474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7.1%</w:t>
            </w:r>
          </w:p>
        </w:tc>
        <w:tc>
          <w:tcPr>
            <w:tcW w:w="171" w:type="pct"/>
            <w:tcBorders>
              <w:top w:val="nil"/>
              <w:left w:val="nil"/>
              <w:bottom w:val="single" w:sz="8" w:space="0" w:color="auto"/>
              <w:right w:val="single" w:sz="4" w:space="0" w:color="auto"/>
            </w:tcBorders>
            <w:shd w:val="clear" w:color="auto" w:fill="auto"/>
            <w:noWrap/>
            <w:vAlign w:val="bottom"/>
            <w:hideMark/>
          </w:tcPr>
          <w:p w14:paraId="15E8B55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3.3%</w:t>
            </w:r>
          </w:p>
        </w:tc>
        <w:tc>
          <w:tcPr>
            <w:tcW w:w="272" w:type="pct"/>
            <w:tcBorders>
              <w:top w:val="nil"/>
              <w:left w:val="nil"/>
              <w:bottom w:val="single" w:sz="8" w:space="0" w:color="auto"/>
              <w:right w:val="single" w:sz="8" w:space="0" w:color="auto"/>
            </w:tcBorders>
            <w:shd w:val="clear" w:color="auto" w:fill="auto"/>
            <w:noWrap/>
            <w:vAlign w:val="bottom"/>
            <w:hideMark/>
          </w:tcPr>
          <w:p w14:paraId="1B80FEC8"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2.3%</w:t>
            </w:r>
          </w:p>
        </w:tc>
      </w:tr>
      <w:tr w:rsidR="00426B8A" w:rsidRPr="00D11253" w14:paraId="425D3B08" w14:textId="77777777" w:rsidTr="00426B8A">
        <w:trPr>
          <w:trHeight w:val="680"/>
        </w:trPr>
        <w:tc>
          <w:tcPr>
            <w:tcW w:w="853"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5F04821" w14:textId="77777777" w:rsidR="008E7C2A" w:rsidRPr="00D11253" w:rsidRDefault="008E7C2A" w:rsidP="00426B8A">
            <w:pPr>
              <w:spacing w:after="0" w:line="240" w:lineRule="auto"/>
              <w:ind w:left="57"/>
              <w:rPr>
                <w:rFonts w:ascii="Calibri" w:eastAsia="Times New Roman" w:hAnsi="Calibri" w:cs="Calibri"/>
                <w:color w:val="000000"/>
                <w:lang w:eastAsia="en-AU"/>
              </w:rPr>
            </w:pPr>
            <w:r w:rsidRPr="00D11253">
              <w:rPr>
                <w:rFonts w:ascii="Calibri" w:eastAsia="Times New Roman" w:hAnsi="Calibri" w:cs="Calibri"/>
                <w:color w:val="000000"/>
                <w:lang w:eastAsia="en-AU"/>
              </w:rPr>
              <w:t>Co-filed with all research entities</w:t>
            </w:r>
          </w:p>
        </w:tc>
        <w:tc>
          <w:tcPr>
            <w:tcW w:w="158" w:type="pct"/>
            <w:tcBorders>
              <w:top w:val="single" w:sz="8" w:space="0" w:color="auto"/>
              <w:left w:val="nil"/>
              <w:bottom w:val="single" w:sz="4" w:space="0" w:color="auto"/>
              <w:right w:val="single" w:sz="4" w:space="0" w:color="auto"/>
            </w:tcBorders>
            <w:shd w:val="clear" w:color="auto" w:fill="auto"/>
            <w:noWrap/>
            <w:vAlign w:val="bottom"/>
            <w:hideMark/>
          </w:tcPr>
          <w:p w14:paraId="0E0BD18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75</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767158E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73</w:t>
            </w:r>
          </w:p>
        </w:tc>
        <w:tc>
          <w:tcPr>
            <w:tcW w:w="170" w:type="pct"/>
            <w:tcBorders>
              <w:top w:val="single" w:sz="8" w:space="0" w:color="auto"/>
              <w:left w:val="nil"/>
              <w:bottom w:val="single" w:sz="4" w:space="0" w:color="auto"/>
              <w:right w:val="single" w:sz="4" w:space="0" w:color="auto"/>
            </w:tcBorders>
            <w:shd w:val="clear" w:color="auto" w:fill="auto"/>
            <w:noWrap/>
            <w:vAlign w:val="bottom"/>
            <w:hideMark/>
          </w:tcPr>
          <w:p w14:paraId="756D106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59</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741B21F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68</w:t>
            </w:r>
          </w:p>
        </w:tc>
        <w:tc>
          <w:tcPr>
            <w:tcW w:w="170" w:type="pct"/>
            <w:tcBorders>
              <w:top w:val="single" w:sz="8" w:space="0" w:color="auto"/>
              <w:left w:val="nil"/>
              <w:bottom w:val="single" w:sz="4" w:space="0" w:color="auto"/>
              <w:right w:val="single" w:sz="4" w:space="0" w:color="auto"/>
            </w:tcBorders>
            <w:shd w:val="clear" w:color="auto" w:fill="auto"/>
            <w:noWrap/>
            <w:vAlign w:val="bottom"/>
            <w:hideMark/>
          </w:tcPr>
          <w:p w14:paraId="4FF23BB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55</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1AE9F6F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54</w:t>
            </w:r>
          </w:p>
        </w:tc>
        <w:tc>
          <w:tcPr>
            <w:tcW w:w="170" w:type="pct"/>
            <w:tcBorders>
              <w:top w:val="single" w:sz="8" w:space="0" w:color="auto"/>
              <w:left w:val="nil"/>
              <w:bottom w:val="single" w:sz="4" w:space="0" w:color="auto"/>
              <w:right w:val="single" w:sz="4" w:space="0" w:color="auto"/>
            </w:tcBorders>
            <w:shd w:val="clear" w:color="auto" w:fill="auto"/>
            <w:noWrap/>
            <w:vAlign w:val="bottom"/>
            <w:hideMark/>
          </w:tcPr>
          <w:p w14:paraId="1CB3EB2D"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76</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3D51CC7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67</w:t>
            </w:r>
          </w:p>
        </w:tc>
        <w:tc>
          <w:tcPr>
            <w:tcW w:w="171" w:type="pct"/>
            <w:tcBorders>
              <w:top w:val="single" w:sz="8" w:space="0" w:color="auto"/>
              <w:left w:val="nil"/>
              <w:bottom w:val="single" w:sz="4" w:space="0" w:color="auto"/>
              <w:right w:val="single" w:sz="4" w:space="0" w:color="auto"/>
            </w:tcBorders>
            <w:shd w:val="clear" w:color="auto" w:fill="auto"/>
            <w:noWrap/>
            <w:vAlign w:val="bottom"/>
            <w:hideMark/>
          </w:tcPr>
          <w:p w14:paraId="061E47D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47</w:t>
            </w:r>
          </w:p>
        </w:tc>
        <w:tc>
          <w:tcPr>
            <w:tcW w:w="171"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52B64BE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64</w:t>
            </w:r>
          </w:p>
        </w:tc>
        <w:tc>
          <w:tcPr>
            <w:tcW w:w="171" w:type="pct"/>
            <w:tcBorders>
              <w:top w:val="single" w:sz="8" w:space="0" w:color="auto"/>
              <w:left w:val="nil"/>
              <w:bottom w:val="single" w:sz="4" w:space="0" w:color="auto"/>
              <w:right w:val="single" w:sz="4" w:space="0" w:color="auto"/>
            </w:tcBorders>
            <w:shd w:val="clear" w:color="auto" w:fill="auto"/>
            <w:noWrap/>
            <w:vAlign w:val="bottom"/>
            <w:hideMark/>
          </w:tcPr>
          <w:p w14:paraId="3689FBF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46</w:t>
            </w:r>
          </w:p>
        </w:tc>
        <w:tc>
          <w:tcPr>
            <w:tcW w:w="171"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6693E48E"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50</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52B413C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49.12121</w:t>
            </w:r>
          </w:p>
        </w:tc>
        <w:tc>
          <w:tcPr>
            <w:tcW w:w="214"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616753E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47.26807</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540A3E2C"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45.41492</w:t>
            </w:r>
          </w:p>
        </w:tc>
        <w:tc>
          <w:tcPr>
            <w:tcW w:w="214"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280010D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43.56177</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2593402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41.70862</w:t>
            </w:r>
          </w:p>
        </w:tc>
        <w:tc>
          <w:tcPr>
            <w:tcW w:w="214"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1D101007"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39.85548</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0C438E7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38.00233</w:t>
            </w:r>
          </w:p>
        </w:tc>
        <w:tc>
          <w:tcPr>
            <w:tcW w:w="171"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16BC843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16</w:t>
            </w:r>
          </w:p>
        </w:tc>
        <w:tc>
          <w:tcPr>
            <w:tcW w:w="171" w:type="pct"/>
            <w:tcBorders>
              <w:top w:val="single" w:sz="8" w:space="0" w:color="auto"/>
              <w:left w:val="nil"/>
              <w:bottom w:val="single" w:sz="4" w:space="0" w:color="auto"/>
              <w:right w:val="single" w:sz="4" w:space="0" w:color="auto"/>
            </w:tcBorders>
            <w:shd w:val="clear" w:color="auto" w:fill="auto"/>
            <w:noWrap/>
            <w:vAlign w:val="bottom"/>
            <w:hideMark/>
          </w:tcPr>
          <w:p w14:paraId="5928A218"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w:t>
            </w:r>
          </w:p>
        </w:tc>
        <w:tc>
          <w:tcPr>
            <w:tcW w:w="272" w:type="pct"/>
            <w:tcBorders>
              <w:top w:val="single" w:sz="8" w:space="0" w:color="auto"/>
              <w:left w:val="nil"/>
              <w:bottom w:val="single" w:sz="4" w:space="0" w:color="auto"/>
              <w:right w:val="single" w:sz="4" w:space="0" w:color="auto"/>
            </w:tcBorders>
            <w:shd w:val="clear" w:color="auto" w:fill="auto"/>
            <w:noWrap/>
            <w:vAlign w:val="bottom"/>
            <w:hideMark/>
          </w:tcPr>
          <w:p w14:paraId="06DF5F7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1117</w:t>
            </w:r>
          </w:p>
        </w:tc>
      </w:tr>
      <w:tr w:rsidR="00691CAA" w:rsidRPr="00D11253" w14:paraId="0E8A21D4" w14:textId="77777777" w:rsidTr="00806A5D">
        <w:trPr>
          <w:trHeight w:val="680"/>
        </w:trPr>
        <w:tc>
          <w:tcPr>
            <w:tcW w:w="853" w:type="pct"/>
            <w:tcBorders>
              <w:top w:val="nil"/>
              <w:left w:val="single" w:sz="8" w:space="0" w:color="auto"/>
              <w:bottom w:val="single" w:sz="8" w:space="0" w:color="auto"/>
              <w:right w:val="single" w:sz="4" w:space="0" w:color="auto"/>
            </w:tcBorders>
            <w:shd w:val="clear" w:color="auto" w:fill="auto"/>
            <w:vAlign w:val="center"/>
            <w:hideMark/>
          </w:tcPr>
          <w:p w14:paraId="0DAE789A" w14:textId="77777777" w:rsidR="008E7C2A" w:rsidRPr="00D11253" w:rsidRDefault="008E7C2A" w:rsidP="00426B8A">
            <w:pPr>
              <w:spacing w:after="0" w:line="240" w:lineRule="auto"/>
              <w:ind w:left="57"/>
              <w:rPr>
                <w:rFonts w:ascii="Calibri" w:eastAsia="Times New Roman" w:hAnsi="Calibri" w:cs="Calibri"/>
                <w:color w:val="000000"/>
                <w:lang w:eastAsia="en-AU"/>
              </w:rPr>
            </w:pPr>
            <w:r w:rsidRPr="00D11253">
              <w:rPr>
                <w:rFonts w:ascii="Calibri" w:eastAsia="Times New Roman" w:hAnsi="Calibri" w:cs="Calibri"/>
                <w:color w:val="000000"/>
                <w:lang w:eastAsia="en-AU"/>
              </w:rPr>
              <w:t>Percentage of co-filing over all filings</w:t>
            </w:r>
          </w:p>
        </w:tc>
        <w:tc>
          <w:tcPr>
            <w:tcW w:w="158" w:type="pct"/>
            <w:tcBorders>
              <w:top w:val="nil"/>
              <w:left w:val="nil"/>
              <w:bottom w:val="single" w:sz="8" w:space="0" w:color="auto"/>
              <w:right w:val="single" w:sz="4" w:space="0" w:color="auto"/>
            </w:tcBorders>
            <w:shd w:val="clear" w:color="auto" w:fill="auto"/>
            <w:noWrap/>
            <w:vAlign w:val="bottom"/>
            <w:hideMark/>
          </w:tcPr>
          <w:p w14:paraId="7955657D"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2.4%</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5C23596E"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2.4%</w:t>
            </w:r>
          </w:p>
        </w:tc>
        <w:tc>
          <w:tcPr>
            <w:tcW w:w="170" w:type="pct"/>
            <w:tcBorders>
              <w:top w:val="nil"/>
              <w:left w:val="nil"/>
              <w:bottom w:val="single" w:sz="8" w:space="0" w:color="auto"/>
              <w:right w:val="single" w:sz="4" w:space="0" w:color="auto"/>
            </w:tcBorders>
            <w:shd w:val="clear" w:color="auto" w:fill="auto"/>
            <w:noWrap/>
            <w:vAlign w:val="bottom"/>
            <w:hideMark/>
          </w:tcPr>
          <w:p w14:paraId="532AB5E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1.9%</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2890B90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2.1%</w:t>
            </w:r>
          </w:p>
        </w:tc>
        <w:tc>
          <w:tcPr>
            <w:tcW w:w="170" w:type="pct"/>
            <w:tcBorders>
              <w:top w:val="nil"/>
              <w:left w:val="nil"/>
              <w:bottom w:val="single" w:sz="8" w:space="0" w:color="auto"/>
              <w:right w:val="single" w:sz="4" w:space="0" w:color="auto"/>
            </w:tcBorders>
            <w:shd w:val="clear" w:color="auto" w:fill="auto"/>
            <w:noWrap/>
            <w:vAlign w:val="bottom"/>
            <w:hideMark/>
          </w:tcPr>
          <w:p w14:paraId="531638A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1.6%</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1688179E"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1.5%</w:t>
            </w:r>
          </w:p>
        </w:tc>
        <w:tc>
          <w:tcPr>
            <w:tcW w:w="170" w:type="pct"/>
            <w:tcBorders>
              <w:top w:val="nil"/>
              <w:left w:val="nil"/>
              <w:bottom w:val="single" w:sz="8" w:space="0" w:color="auto"/>
              <w:right w:val="single" w:sz="4" w:space="0" w:color="auto"/>
            </w:tcBorders>
            <w:shd w:val="clear" w:color="auto" w:fill="auto"/>
            <w:noWrap/>
            <w:vAlign w:val="bottom"/>
            <w:hideMark/>
          </w:tcPr>
          <w:p w14:paraId="7DFEBDAB"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2.0%</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30BF4EF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2.0%</w:t>
            </w:r>
          </w:p>
        </w:tc>
        <w:tc>
          <w:tcPr>
            <w:tcW w:w="171" w:type="pct"/>
            <w:tcBorders>
              <w:top w:val="nil"/>
              <w:left w:val="nil"/>
              <w:bottom w:val="single" w:sz="8" w:space="0" w:color="auto"/>
              <w:right w:val="single" w:sz="4" w:space="0" w:color="auto"/>
            </w:tcBorders>
            <w:shd w:val="clear" w:color="auto" w:fill="auto"/>
            <w:noWrap/>
            <w:vAlign w:val="bottom"/>
            <w:hideMark/>
          </w:tcPr>
          <w:p w14:paraId="36445D47"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1.4%</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77BB2B9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2.0%</w:t>
            </w:r>
          </w:p>
        </w:tc>
        <w:tc>
          <w:tcPr>
            <w:tcW w:w="171" w:type="pct"/>
            <w:tcBorders>
              <w:top w:val="nil"/>
              <w:left w:val="nil"/>
              <w:bottom w:val="single" w:sz="8" w:space="0" w:color="auto"/>
              <w:right w:val="single" w:sz="4" w:space="0" w:color="auto"/>
            </w:tcBorders>
            <w:shd w:val="clear" w:color="auto" w:fill="auto"/>
            <w:noWrap/>
            <w:vAlign w:val="bottom"/>
            <w:hideMark/>
          </w:tcPr>
          <w:p w14:paraId="6283D53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1.4%</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7697499D"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1.4%</w:t>
            </w:r>
          </w:p>
        </w:tc>
        <w:tc>
          <w:tcPr>
            <w:tcW w:w="214" w:type="pct"/>
            <w:tcBorders>
              <w:top w:val="nil"/>
              <w:left w:val="nil"/>
              <w:bottom w:val="single" w:sz="8" w:space="0" w:color="auto"/>
              <w:right w:val="single" w:sz="4" w:space="0" w:color="auto"/>
            </w:tcBorders>
            <w:shd w:val="clear" w:color="auto" w:fill="auto"/>
            <w:noWrap/>
            <w:vAlign w:val="bottom"/>
            <w:hideMark/>
          </w:tcPr>
          <w:p w14:paraId="24EFF37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1.3%</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245ADCA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1.3%</w:t>
            </w:r>
          </w:p>
        </w:tc>
        <w:tc>
          <w:tcPr>
            <w:tcW w:w="214" w:type="pct"/>
            <w:tcBorders>
              <w:top w:val="nil"/>
              <w:left w:val="nil"/>
              <w:bottom w:val="single" w:sz="8" w:space="0" w:color="auto"/>
              <w:right w:val="single" w:sz="4" w:space="0" w:color="auto"/>
            </w:tcBorders>
            <w:shd w:val="clear" w:color="auto" w:fill="auto"/>
            <w:noWrap/>
            <w:vAlign w:val="bottom"/>
            <w:hideMark/>
          </w:tcPr>
          <w:p w14:paraId="4CCF47F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1.2%</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47086DAD"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1.1%</w:t>
            </w:r>
          </w:p>
        </w:tc>
        <w:tc>
          <w:tcPr>
            <w:tcW w:w="214" w:type="pct"/>
            <w:tcBorders>
              <w:top w:val="nil"/>
              <w:left w:val="nil"/>
              <w:bottom w:val="single" w:sz="8" w:space="0" w:color="auto"/>
              <w:right w:val="single" w:sz="4" w:space="0" w:color="auto"/>
            </w:tcBorders>
            <w:shd w:val="clear" w:color="auto" w:fill="auto"/>
            <w:noWrap/>
            <w:vAlign w:val="bottom"/>
            <w:hideMark/>
          </w:tcPr>
          <w:p w14:paraId="2964605D"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1.0%</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0AD1937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1.0%</w:t>
            </w:r>
          </w:p>
        </w:tc>
        <w:tc>
          <w:tcPr>
            <w:tcW w:w="214" w:type="pct"/>
            <w:tcBorders>
              <w:top w:val="nil"/>
              <w:left w:val="nil"/>
              <w:bottom w:val="single" w:sz="8" w:space="0" w:color="auto"/>
              <w:right w:val="single" w:sz="4" w:space="0" w:color="auto"/>
            </w:tcBorders>
            <w:shd w:val="clear" w:color="auto" w:fill="auto"/>
            <w:noWrap/>
            <w:vAlign w:val="bottom"/>
            <w:hideMark/>
          </w:tcPr>
          <w:p w14:paraId="2512571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0.9%</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4BA36BDD"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1.0%</w:t>
            </w:r>
          </w:p>
        </w:tc>
        <w:tc>
          <w:tcPr>
            <w:tcW w:w="171" w:type="pct"/>
            <w:tcBorders>
              <w:top w:val="nil"/>
              <w:left w:val="nil"/>
              <w:bottom w:val="single" w:sz="8" w:space="0" w:color="auto"/>
              <w:right w:val="single" w:sz="4" w:space="0" w:color="auto"/>
            </w:tcBorders>
            <w:shd w:val="clear" w:color="auto" w:fill="auto"/>
            <w:noWrap/>
            <w:vAlign w:val="bottom"/>
            <w:hideMark/>
          </w:tcPr>
          <w:p w14:paraId="576DCFB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0.7%</w:t>
            </w:r>
          </w:p>
        </w:tc>
        <w:tc>
          <w:tcPr>
            <w:tcW w:w="272" w:type="pct"/>
            <w:tcBorders>
              <w:top w:val="nil"/>
              <w:left w:val="nil"/>
              <w:bottom w:val="single" w:sz="8" w:space="0" w:color="auto"/>
              <w:right w:val="single" w:sz="8" w:space="0" w:color="auto"/>
            </w:tcBorders>
            <w:shd w:val="clear" w:color="auto" w:fill="auto"/>
            <w:noWrap/>
            <w:vAlign w:val="bottom"/>
            <w:hideMark/>
          </w:tcPr>
          <w:p w14:paraId="2AC6251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1.6%</w:t>
            </w:r>
          </w:p>
        </w:tc>
      </w:tr>
      <w:tr w:rsidR="00426B8A" w:rsidRPr="00D11253" w14:paraId="0681FFFA" w14:textId="77777777" w:rsidTr="00426B8A">
        <w:trPr>
          <w:trHeight w:val="680"/>
        </w:trPr>
        <w:tc>
          <w:tcPr>
            <w:tcW w:w="853"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4406B26" w14:textId="77777777" w:rsidR="008E7C2A" w:rsidRPr="00D11253" w:rsidRDefault="008E7C2A" w:rsidP="00426B8A">
            <w:pPr>
              <w:spacing w:after="0" w:line="240" w:lineRule="auto"/>
              <w:ind w:left="57"/>
              <w:rPr>
                <w:rFonts w:ascii="Calibri" w:eastAsia="Times New Roman" w:hAnsi="Calibri" w:cs="Calibri"/>
                <w:color w:val="000000"/>
                <w:lang w:eastAsia="en-AU"/>
              </w:rPr>
            </w:pPr>
            <w:r w:rsidRPr="00D11253">
              <w:rPr>
                <w:rFonts w:ascii="Calibri" w:eastAsia="Times New Roman" w:hAnsi="Calibri" w:cs="Calibri"/>
                <w:color w:val="000000"/>
                <w:lang w:eastAsia="en-AU"/>
              </w:rPr>
              <w:t>Co-filed with AU research entities</w:t>
            </w:r>
          </w:p>
        </w:tc>
        <w:tc>
          <w:tcPr>
            <w:tcW w:w="158" w:type="pct"/>
            <w:tcBorders>
              <w:top w:val="single" w:sz="8" w:space="0" w:color="auto"/>
              <w:left w:val="nil"/>
              <w:bottom w:val="single" w:sz="4" w:space="0" w:color="auto"/>
              <w:right w:val="single" w:sz="4" w:space="0" w:color="auto"/>
            </w:tcBorders>
            <w:shd w:val="clear" w:color="auto" w:fill="auto"/>
            <w:noWrap/>
            <w:vAlign w:val="bottom"/>
            <w:hideMark/>
          </w:tcPr>
          <w:p w14:paraId="165B864C"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61</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503BBDE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61</w:t>
            </w:r>
          </w:p>
        </w:tc>
        <w:tc>
          <w:tcPr>
            <w:tcW w:w="170" w:type="pct"/>
            <w:tcBorders>
              <w:top w:val="single" w:sz="8" w:space="0" w:color="auto"/>
              <w:left w:val="nil"/>
              <w:bottom w:val="single" w:sz="4" w:space="0" w:color="auto"/>
              <w:right w:val="single" w:sz="4" w:space="0" w:color="auto"/>
            </w:tcBorders>
            <w:shd w:val="clear" w:color="auto" w:fill="auto"/>
            <w:noWrap/>
            <w:vAlign w:val="bottom"/>
            <w:hideMark/>
          </w:tcPr>
          <w:p w14:paraId="1EF0BB1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46</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1445D3A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52</w:t>
            </w:r>
          </w:p>
        </w:tc>
        <w:tc>
          <w:tcPr>
            <w:tcW w:w="170" w:type="pct"/>
            <w:tcBorders>
              <w:top w:val="single" w:sz="8" w:space="0" w:color="auto"/>
              <w:left w:val="nil"/>
              <w:bottom w:val="single" w:sz="4" w:space="0" w:color="auto"/>
              <w:right w:val="single" w:sz="4" w:space="0" w:color="auto"/>
            </w:tcBorders>
            <w:shd w:val="clear" w:color="auto" w:fill="auto"/>
            <w:noWrap/>
            <w:vAlign w:val="bottom"/>
            <w:hideMark/>
          </w:tcPr>
          <w:p w14:paraId="55D5319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42</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6EDB4C3C"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47</w:t>
            </w:r>
          </w:p>
        </w:tc>
        <w:tc>
          <w:tcPr>
            <w:tcW w:w="170" w:type="pct"/>
            <w:tcBorders>
              <w:top w:val="single" w:sz="8" w:space="0" w:color="auto"/>
              <w:left w:val="nil"/>
              <w:bottom w:val="single" w:sz="4" w:space="0" w:color="auto"/>
              <w:right w:val="single" w:sz="4" w:space="0" w:color="auto"/>
            </w:tcBorders>
            <w:shd w:val="clear" w:color="auto" w:fill="auto"/>
            <w:noWrap/>
            <w:vAlign w:val="bottom"/>
            <w:hideMark/>
          </w:tcPr>
          <w:p w14:paraId="6E087B5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58</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567118B7"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56</w:t>
            </w:r>
          </w:p>
        </w:tc>
        <w:tc>
          <w:tcPr>
            <w:tcW w:w="171" w:type="pct"/>
            <w:tcBorders>
              <w:top w:val="single" w:sz="8" w:space="0" w:color="auto"/>
              <w:left w:val="nil"/>
              <w:bottom w:val="single" w:sz="4" w:space="0" w:color="auto"/>
              <w:right w:val="single" w:sz="4" w:space="0" w:color="auto"/>
            </w:tcBorders>
            <w:shd w:val="clear" w:color="auto" w:fill="auto"/>
            <w:noWrap/>
            <w:vAlign w:val="bottom"/>
            <w:hideMark/>
          </w:tcPr>
          <w:p w14:paraId="4BCE096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39</w:t>
            </w:r>
          </w:p>
        </w:tc>
        <w:tc>
          <w:tcPr>
            <w:tcW w:w="171"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3A4BCE5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47</w:t>
            </w:r>
          </w:p>
        </w:tc>
        <w:tc>
          <w:tcPr>
            <w:tcW w:w="171" w:type="pct"/>
            <w:tcBorders>
              <w:top w:val="single" w:sz="8" w:space="0" w:color="auto"/>
              <w:left w:val="nil"/>
              <w:bottom w:val="single" w:sz="4" w:space="0" w:color="auto"/>
              <w:right w:val="single" w:sz="4" w:space="0" w:color="auto"/>
            </w:tcBorders>
            <w:shd w:val="clear" w:color="auto" w:fill="auto"/>
            <w:noWrap/>
            <w:vAlign w:val="bottom"/>
            <w:hideMark/>
          </w:tcPr>
          <w:p w14:paraId="0936FD1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32</w:t>
            </w:r>
          </w:p>
        </w:tc>
        <w:tc>
          <w:tcPr>
            <w:tcW w:w="171"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1D97A137"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42</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5D107041"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37.78788</w:t>
            </w:r>
          </w:p>
        </w:tc>
        <w:tc>
          <w:tcPr>
            <w:tcW w:w="214"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5AAF4D1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36.12704</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122C951E"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34.4662</w:t>
            </w:r>
          </w:p>
        </w:tc>
        <w:tc>
          <w:tcPr>
            <w:tcW w:w="214"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536150C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32.80536</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5763C01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31.14452</w:t>
            </w:r>
          </w:p>
        </w:tc>
        <w:tc>
          <w:tcPr>
            <w:tcW w:w="214"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28CC691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29.48368</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44E7E561"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27.82284</w:t>
            </w:r>
          </w:p>
        </w:tc>
        <w:tc>
          <w:tcPr>
            <w:tcW w:w="171"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0F578E2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13</w:t>
            </w:r>
          </w:p>
        </w:tc>
        <w:tc>
          <w:tcPr>
            <w:tcW w:w="171" w:type="pct"/>
            <w:tcBorders>
              <w:top w:val="single" w:sz="8" w:space="0" w:color="auto"/>
              <w:left w:val="nil"/>
              <w:bottom w:val="single" w:sz="4" w:space="0" w:color="auto"/>
              <w:right w:val="single" w:sz="4" w:space="0" w:color="auto"/>
            </w:tcBorders>
            <w:shd w:val="clear" w:color="auto" w:fill="auto"/>
            <w:noWrap/>
            <w:vAlign w:val="bottom"/>
            <w:hideMark/>
          </w:tcPr>
          <w:p w14:paraId="2CF57F28"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w:t>
            </w:r>
          </w:p>
        </w:tc>
        <w:tc>
          <w:tcPr>
            <w:tcW w:w="272" w:type="pct"/>
            <w:tcBorders>
              <w:top w:val="single" w:sz="8" w:space="0" w:color="auto"/>
              <w:left w:val="nil"/>
              <w:bottom w:val="single" w:sz="4" w:space="0" w:color="auto"/>
              <w:right w:val="single" w:sz="4" w:space="0" w:color="auto"/>
            </w:tcBorders>
            <w:shd w:val="clear" w:color="auto" w:fill="auto"/>
            <w:noWrap/>
            <w:vAlign w:val="bottom"/>
            <w:hideMark/>
          </w:tcPr>
          <w:p w14:paraId="611BE73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872</w:t>
            </w:r>
          </w:p>
        </w:tc>
      </w:tr>
      <w:tr w:rsidR="00691CAA" w:rsidRPr="00D11253" w14:paraId="47749E72" w14:textId="77777777" w:rsidTr="00806A5D">
        <w:trPr>
          <w:trHeight w:val="680"/>
        </w:trPr>
        <w:tc>
          <w:tcPr>
            <w:tcW w:w="853" w:type="pct"/>
            <w:tcBorders>
              <w:top w:val="nil"/>
              <w:left w:val="single" w:sz="8" w:space="0" w:color="auto"/>
              <w:bottom w:val="single" w:sz="8" w:space="0" w:color="auto"/>
              <w:right w:val="single" w:sz="4" w:space="0" w:color="auto"/>
            </w:tcBorders>
            <w:shd w:val="clear" w:color="auto" w:fill="auto"/>
            <w:vAlign w:val="center"/>
            <w:hideMark/>
          </w:tcPr>
          <w:p w14:paraId="4445C8E0" w14:textId="77777777" w:rsidR="008E7C2A" w:rsidRPr="00D11253" w:rsidRDefault="008E7C2A" w:rsidP="00426B8A">
            <w:pPr>
              <w:spacing w:after="0" w:line="240" w:lineRule="auto"/>
              <w:ind w:left="57"/>
              <w:rPr>
                <w:rFonts w:ascii="Calibri" w:eastAsia="Times New Roman" w:hAnsi="Calibri" w:cs="Calibri"/>
                <w:color w:val="000000"/>
                <w:lang w:eastAsia="en-AU"/>
              </w:rPr>
            </w:pPr>
            <w:r w:rsidRPr="00D11253">
              <w:rPr>
                <w:rFonts w:ascii="Calibri" w:eastAsia="Times New Roman" w:hAnsi="Calibri" w:cs="Calibri"/>
                <w:color w:val="000000"/>
                <w:lang w:eastAsia="en-AU"/>
              </w:rPr>
              <w:t>Percentage AU co-filing over all filings</w:t>
            </w:r>
          </w:p>
        </w:tc>
        <w:tc>
          <w:tcPr>
            <w:tcW w:w="158" w:type="pct"/>
            <w:tcBorders>
              <w:top w:val="nil"/>
              <w:left w:val="nil"/>
              <w:bottom w:val="single" w:sz="8" w:space="0" w:color="auto"/>
              <w:right w:val="single" w:sz="4" w:space="0" w:color="auto"/>
            </w:tcBorders>
            <w:shd w:val="clear" w:color="auto" w:fill="auto"/>
            <w:noWrap/>
            <w:vAlign w:val="bottom"/>
            <w:hideMark/>
          </w:tcPr>
          <w:p w14:paraId="443815E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1.9%</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36AD71FF"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2.0%</w:t>
            </w:r>
          </w:p>
        </w:tc>
        <w:tc>
          <w:tcPr>
            <w:tcW w:w="170" w:type="pct"/>
            <w:tcBorders>
              <w:top w:val="nil"/>
              <w:left w:val="nil"/>
              <w:bottom w:val="single" w:sz="8" w:space="0" w:color="auto"/>
              <w:right w:val="single" w:sz="4" w:space="0" w:color="auto"/>
            </w:tcBorders>
            <w:shd w:val="clear" w:color="auto" w:fill="auto"/>
            <w:noWrap/>
            <w:vAlign w:val="bottom"/>
            <w:hideMark/>
          </w:tcPr>
          <w:p w14:paraId="36FB221F"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1.5%</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5B58DAF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1.6%</w:t>
            </w:r>
          </w:p>
        </w:tc>
        <w:tc>
          <w:tcPr>
            <w:tcW w:w="170" w:type="pct"/>
            <w:tcBorders>
              <w:top w:val="nil"/>
              <w:left w:val="nil"/>
              <w:bottom w:val="single" w:sz="8" w:space="0" w:color="auto"/>
              <w:right w:val="single" w:sz="4" w:space="0" w:color="auto"/>
            </w:tcBorders>
            <w:shd w:val="clear" w:color="auto" w:fill="auto"/>
            <w:noWrap/>
            <w:vAlign w:val="bottom"/>
            <w:hideMark/>
          </w:tcPr>
          <w:p w14:paraId="7AD568E1"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1.2%</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68258B8D"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1.3%</w:t>
            </w:r>
          </w:p>
        </w:tc>
        <w:tc>
          <w:tcPr>
            <w:tcW w:w="170" w:type="pct"/>
            <w:tcBorders>
              <w:top w:val="nil"/>
              <w:left w:val="nil"/>
              <w:bottom w:val="single" w:sz="8" w:space="0" w:color="auto"/>
              <w:right w:val="single" w:sz="4" w:space="0" w:color="auto"/>
            </w:tcBorders>
            <w:shd w:val="clear" w:color="auto" w:fill="auto"/>
            <w:noWrap/>
            <w:vAlign w:val="bottom"/>
            <w:hideMark/>
          </w:tcPr>
          <w:p w14:paraId="03679E5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1.6%</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3931CAE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1.7%</w:t>
            </w:r>
          </w:p>
        </w:tc>
        <w:tc>
          <w:tcPr>
            <w:tcW w:w="171" w:type="pct"/>
            <w:tcBorders>
              <w:top w:val="nil"/>
              <w:left w:val="nil"/>
              <w:bottom w:val="single" w:sz="8" w:space="0" w:color="auto"/>
              <w:right w:val="single" w:sz="4" w:space="0" w:color="auto"/>
            </w:tcBorders>
            <w:shd w:val="clear" w:color="auto" w:fill="auto"/>
            <w:noWrap/>
            <w:vAlign w:val="bottom"/>
            <w:hideMark/>
          </w:tcPr>
          <w:p w14:paraId="4641668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1.1%</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5606C00D"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1.4%</w:t>
            </w:r>
          </w:p>
        </w:tc>
        <w:tc>
          <w:tcPr>
            <w:tcW w:w="171" w:type="pct"/>
            <w:tcBorders>
              <w:top w:val="nil"/>
              <w:left w:val="nil"/>
              <w:bottom w:val="single" w:sz="8" w:space="0" w:color="auto"/>
              <w:right w:val="single" w:sz="4" w:space="0" w:color="auto"/>
            </w:tcBorders>
            <w:shd w:val="clear" w:color="auto" w:fill="auto"/>
            <w:noWrap/>
            <w:vAlign w:val="bottom"/>
            <w:hideMark/>
          </w:tcPr>
          <w:p w14:paraId="5C02945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0.9%</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6A023488"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1.2%</w:t>
            </w:r>
          </w:p>
        </w:tc>
        <w:tc>
          <w:tcPr>
            <w:tcW w:w="214" w:type="pct"/>
            <w:tcBorders>
              <w:top w:val="nil"/>
              <w:left w:val="nil"/>
              <w:bottom w:val="single" w:sz="8" w:space="0" w:color="auto"/>
              <w:right w:val="single" w:sz="4" w:space="0" w:color="auto"/>
            </w:tcBorders>
            <w:shd w:val="clear" w:color="auto" w:fill="auto"/>
            <w:noWrap/>
            <w:vAlign w:val="bottom"/>
            <w:hideMark/>
          </w:tcPr>
          <w:p w14:paraId="71A63E9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1.0%</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11BB0F81"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1.0%</w:t>
            </w:r>
          </w:p>
        </w:tc>
        <w:tc>
          <w:tcPr>
            <w:tcW w:w="214" w:type="pct"/>
            <w:tcBorders>
              <w:top w:val="nil"/>
              <w:left w:val="nil"/>
              <w:bottom w:val="single" w:sz="8" w:space="0" w:color="auto"/>
              <w:right w:val="single" w:sz="4" w:space="0" w:color="auto"/>
            </w:tcBorders>
            <w:shd w:val="clear" w:color="auto" w:fill="auto"/>
            <w:noWrap/>
            <w:vAlign w:val="bottom"/>
            <w:hideMark/>
          </w:tcPr>
          <w:p w14:paraId="504E7EA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0.9%</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6E5D049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0.8%</w:t>
            </w:r>
          </w:p>
        </w:tc>
        <w:tc>
          <w:tcPr>
            <w:tcW w:w="214" w:type="pct"/>
            <w:tcBorders>
              <w:top w:val="nil"/>
              <w:left w:val="nil"/>
              <w:bottom w:val="single" w:sz="8" w:space="0" w:color="auto"/>
              <w:right w:val="single" w:sz="4" w:space="0" w:color="auto"/>
            </w:tcBorders>
            <w:shd w:val="clear" w:color="auto" w:fill="auto"/>
            <w:noWrap/>
            <w:vAlign w:val="bottom"/>
            <w:hideMark/>
          </w:tcPr>
          <w:p w14:paraId="0185D26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0.8%</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05E4654D"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0.7%</w:t>
            </w:r>
          </w:p>
        </w:tc>
        <w:tc>
          <w:tcPr>
            <w:tcW w:w="214" w:type="pct"/>
            <w:tcBorders>
              <w:top w:val="nil"/>
              <w:left w:val="nil"/>
              <w:bottom w:val="single" w:sz="8" w:space="0" w:color="auto"/>
              <w:right w:val="single" w:sz="4" w:space="0" w:color="auto"/>
            </w:tcBorders>
            <w:shd w:val="clear" w:color="auto" w:fill="auto"/>
            <w:noWrap/>
            <w:vAlign w:val="bottom"/>
            <w:hideMark/>
          </w:tcPr>
          <w:p w14:paraId="260EE5D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0.6%</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2493FDD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0.8%</w:t>
            </w:r>
          </w:p>
        </w:tc>
        <w:tc>
          <w:tcPr>
            <w:tcW w:w="171" w:type="pct"/>
            <w:tcBorders>
              <w:top w:val="nil"/>
              <w:left w:val="nil"/>
              <w:bottom w:val="single" w:sz="8" w:space="0" w:color="auto"/>
              <w:right w:val="single" w:sz="4" w:space="0" w:color="auto"/>
            </w:tcBorders>
            <w:shd w:val="clear" w:color="auto" w:fill="auto"/>
            <w:noWrap/>
            <w:vAlign w:val="bottom"/>
            <w:hideMark/>
          </w:tcPr>
          <w:p w14:paraId="5C7D28E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0.7%</w:t>
            </w:r>
          </w:p>
        </w:tc>
        <w:tc>
          <w:tcPr>
            <w:tcW w:w="272" w:type="pct"/>
            <w:tcBorders>
              <w:top w:val="nil"/>
              <w:left w:val="nil"/>
              <w:bottom w:val="single" w:sz="8" w:space="0" w:color="auto"/>
              <w:right w:val="single" w:sz="8" w:space="0" w:color="auto"/>
            </w:tcBorders>
            <w:shd w:val="clear" w:color="auto" w:fill="auto"/>
            <w:noWrap/>
            <w:vAlign w:val="bottom"/>
            <w:hideMark/>
          </w:tcPr>
          <w:p w14:paraId="48964227"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1.3%</w:t>
            </w:r>
          </w:p>
        </w:tc>
      </w:tr>
      <w:tr w:rsidR="00426B8A" w:rsidRPr="00D11253" w14:paraId="21640AF3" w14:textId="77777777" w:rsidTr="00426B8A">
        <w:trPr>
          <w:trHeight w:val="680"/>
        </w:trPr>
        <w:tc>
          <w:tcPr>
            <w:tcW w:w="853"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EF51CE" w14:textId="77777777" w:rsidR="008E7C2A" w:rsidRPr="00D11253" w:rsidRDefault="008E7C2A" w:rsidP="00426B8A">
            <w:pPr>
              <w:spacing w:after="0" w:line="240" w:lineRule="auto"/>
              <w:ind w:left="57"/>
              <w:rPr>
                <w:rFonts w:ascii="Calibri" w:eastAsia="Times New Roman" w:hAnsi="Calibri" w:cs="Calibri"/>
                <w:color w:val="000000"/>
                <w:lang w:eastAsia="en-AU"/>
              </w:rPr>
            </w:pPr>
            <w:r w:rsidRPr="00D11253">
              <w:rPr>
                <w:rFonts w:ascii="Calibri" w:eastAsia="Times New Roman" w:hAnsi="Calibri" w:cs="Calibri"/>
                <w:color w:val="000000"/>
                <w:lang w:eastAsia="en-AU"/>
              </w:rPr>
              <w:t>Co-filed with non-AU research entities</w:t>
            </w:r>
          </w:p>
        </w:tc>
        <w:tc>
          <w:tcPr>
            <w:tcW w:w="158" w:type="pct"/>
            <w:tcBorders>
              <w:top w:val="single" w:sz="8" w:space="0" w:color="auto"/>
              <w:left w:val="nil"/>
              <w:bottom w:val="single" w:sz="4" w:space="0" w:color="auto"/>
              <w:right w:val="single" w:sz="4" w:space="0" w:color="auto"/>
            </w:tcBorders>
            <w:shd w:val="clear" w:color="auto" w:fill="auto"/>
            <w:noWrap/>
            <w:vAlign w:val="bottom"/>
            <w:hideMark/>
          </w:tcPr>
          <w:p w14:paraId="7B22363B"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12</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6A8772F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5</w:t>
            </w:r>
          </w:p>
        </w:tc>
        <w:tc>
          <w:tcPr>
            <w:tcW w:w="170" w:type="pct"/>
            <w:tcBorders>
              <w:top w:val="single" w:sz="8" w:space="0" w:color="auto"/>
              <w:left w:val="nil"/>
              <w:bottom w:val="single" w:sz="4" w:space="0" w:color="auto"/>
              <w:right w:val="single" w:sz="4" w:space="0" w:color="auto"/>
            </w:tcBorders>
            <w:shd w:val="clear" w:color="auto" w:fill="auto"/>
            <w:noWrap/>
            <w:vAlign w:val="bottom"/>
            <w:hideMark/>
          </w:tcPr>
          <w:p w14:paraId="6951449D"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11</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6DC23CA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10</w:t>
            </w:r>
          </w:p>
        </w:tc>
        <w:tc>
          <w:tcPr>
            <w:tcW w:w="170" w:type="pct"/>
            <w:tcBorders>
              <w:top w:val="single" w:sz="8" w:space="0" w:color="auto"/>
              <w:left w:val="nil"/>
              <w:bottom w:val="single" w:sz="4" w:space="0" w:color="auto"/>
              <w:right w:val="single" w:sz="4" w:space="0" w:color="auto"/>
            </w:tcBorders>
            <w:shd w:val="clear" w:color="auto" w:fill="auto"/>
            <w:noWrap/>
            <w:vAlign w:val="bottom"/>
            <w:hideMark/>
          </w:tcPr>
          <w:p w14:paraId="4F9E026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8</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7BCDF4C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4</w:t>
            </w:r>
          </w:p>
        </w:tc>
        <w:tc>
          <w:tcPr>
            <w:tcW w:w="170" w:type="pct"/>
            <w:tcBorders>
              <w:top w:val="single" w:sz="8" w:space="0" w:color="auto"/>
              <w:left w:val="nil"/>
              <w:bottom w:val="single" w:sz="4" w:space="0" w:color="auto"/>
              <w:right w:val="single" w:sz="4" w:space="0" w:color="auto"/>
            </w:tcBorders>
            <w:shd w:val="clear" w:color="auto" w:fill="auto"/>
            <w:noWrap/>
            <w:vAlign w:val="bottom"/>
            <w:hideMark/>
          </w:tcPr>
          <w:p w14:paraId="2733DF8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9</w:t>
            </w:r>
          </w:p>
        </w:tc>
        <w:tc>
          <w:tcPr>
            <w:tcW w:w="170"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0C129C67"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9</w:t>
            </w:r>
          </w:p>
        </w:tc>
        <w:tc>
          <w:tcPr>
            <w:tcW w:w="171" w:type="pct"/>
            <w:tcBorders>
              <w:top w:val="single" w:sz="8" w:space="0" w:color="auto"/>
              <w:left w:val="nil"/>
              <w:bottom w:val="single" w:sz="4" w:space="0" w:color="auto"/>
              <w:right w:val="single" w:sz="4" w:space="0" w:color="auto"/>
            </w:tcBorders>
            <w:shd w:val="clear" w:color="auto" w:fill="auto"/>
            <w:noWrap/>
            <w:vAlign w:val="bottom"/>
            <w:hideMark/>
          </w:tcPr>
          <w:p w14:paraId="4106DFE7"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7</w:t>
            </w:r>
          </w:p>
        </w:tc>
        <w:tc>
          <w:tcPr>
            <w:tcW w:w="171"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3FC87B8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15</w:t>
            </w:r>
          </w:p>
        </w:tc>
        <w:tc>
          <w:tcPr>
            <w:tcW w:w="171" w:type="pct"/>
            <w:tcBorders>
              <w:top w:val="single" w:sz="8" w:space="0" w:color="auto"/>
              <w:left w:val="nil"/>
              <w:bottom w:val="single" w:sz="4" w:space="0" w:color="auto"/>
              <w:right w:val="single" w:sz="4" w:space="0" w:color="auto"/>
            </w:tcBorders>
            <w:shd w:val="clear" w:color="auto" w:fill="auto"/>
            <w:noWrap/>
            <w:vAlign w:val="bottom"/>
            <w:hideMark/>
          </w:tcPr>
          <w:p w14:paraId="0936F4DC"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9</w:t>
            </w:r>
          </w:p>
        </w:tc>
        <w:tc>
          <w:tcPr>
            <w:tcW w:w="171"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1C5C4C1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7</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1BE0536B"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8.878788</w:t>
            </w:r>
          </w:p>
        </w:tc>
        <w:tc>
          <w:tcPr>
            <w:tcW w:w="214"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07ECFEC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8.885781</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29F6AFAC"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8.892774</w:t>
            </w:r>
          </w:p>
        </w:tc>
        <w:tc>
          <w:tcPr>
            <w:tcW w:w="214"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77BE26BB"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8.899767</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54E0DE8D"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8.90676</w:t>
            </w:r>
          </w:p>
        </w:tc>
        <w:tc>
          <w:tcPr>
            <w:tcW w:w="214"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51C6A28F"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8.913753</w:t>
            </w:r>
          </w:p>
        </w:tc>
        <w:tc>
          <w:tcPr>
            <w:tcW w:w="214" w:type="pct"/>
            <w:tcBorders>
              <w:top w:val="single" w:sz="8" w:space="0" w:color="auto"/>
              <w:left w:val="nil"/>
              <w:bottom w:val="single" w:sz="4" w:space="0" w:color="auto"/>
              <w:right w:val="single" w:sz="4" w:space="0" w:color="auto"/>
            </w:tcBorders>
            <w:shd w:val="clear" w:color="auto" w:fill="auto"/>
            <w:noWrap/>
            <w:vAlign w:val="bottom"/>
            <w:hideMark/>
          </w:tcPr>
          <w:p w14:paraId="4C5731E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8.920746</w:t>
            </w:r>
          </w:p>
        </w:tc>
        <w:tc>
          <w:tcPr>
            <w:tcW w:w="171" w:type="pct"/>
            <w:tcBorders>
              <w:top w:val="single" w:sz="8" w:space="0" w:color="auto"/>
              <w:left w:val="nil"/>
              <w:bottom w:val="single" w:sz="4" w:space="0" w:color="auto"/>
              <w:right w:val="single" w:sz="4" w:space="0" w:color="auto"/>
            </w:tcBorders>
            <w:shd w:val="clear" w:color="auto" w:fill="E0E0E0" w:themeFill="text2" w:themeFillTint="33"/>
            <w:noWrap/>
            <w:vAlign w:val="bottom"/>
            <w:hideMark/>
          </w:tcPr>
          <w:p w14:paraId="4822184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3</w:t>
            </w:r>
          </w:p>
        </w:tc>
        <w:tc>
          <w:tcPr>
            <w:tcW w:w="171" w:type="pct"/>
            <w:tcBorders>
              <w:top w:val="single" w:sz="8" w:space="0" w:color="auto"/>
              <w:left w:val="nil"/>
              <w:bottom w:val="single" w:sz="4" w:space="0" w:color="auto"/>
              <w:right w:val="single" w:sz="4" w:space="0" w:color="auto"/>
            </w:tcBorders>
            <w:shd w:val="clear" w:color="auto" w:fill="auto"/>
            <w:noWrap/>
            <w:vAlign w:val="bottom"/>
            <w:hideMark/>
          </w:tcPr>
          <w:p w14:paraId="5F0924F7"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w:t>
            </w:r>
          </w:p>
        </w:tc>
        <w:tc>
          <w:tcPr>
            <w:tcW w:w="272" w:type="pct"/>
            <w:tcBorders>
              <w:top w:val="single" w:sz="8" w:space="0" w:color="auto"/>
              <w:left w:val="nil"/>
              <w:bottom w:val="single" w:sz="4" w:space="0" w:color="auto"/>
              <w:right w:val="single" w:sz="4" w:space="0" w:color="auto"/>
            </w:tcBorders>
            <w:shd w:val="clear" w:color="auto" w:fill="auto"/>
            <w:noWrap/>
            <w:vAlign w:val="bottom"/>
            <w:hideMark/>
          </w:tcPr>
          <w:p w14:paraId="7CDC102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199</w:t>
            </w:r>
          </w:p>
        </w:tc>
      </w:tr>
      <w:tr w:rsidR="00691CAA" w:rsidRPr="00D11253" w14:paraId="0BF69A48" w14:textId="77777777" w:rsidTr="00806A5D">
        <w:trPr>
          <w:trHeight w:val="680"/>
        </w:trPr>
        <w:tc>
          <w:tcPr>
            <w:tcW w:w="853" w:type="pct"/>
            <w:tcBorders>
              <w:top w:val="nil"/>
              <w:left w:val="single" w:sz="8" w:space="0" w:color="auto"/>
              <w:bottom w:val="single" w:sz="8" w:space="0" w:color="auto"/>
              <w:right w:val="single" w:sz="4" w:space="0" w:color="auto"/>
            </w:tcBorders>
            <w:shd w:val="clear" w:color="auto" w:fill="auto"/>
            <w:vAlign w:val="center"/>
            <w:hideMark/>
          </w:tcPr>
          <w:p w14:paraId="1604C60D" w14:textId="77777777" w:rsidR="008E7C2A" w:rsidRPr="00D11253" w:rsidRDefault="008E7C2A" w:rsidP="00426B8A">
            <w:pPr>
              <w:spacing w:after="0" w:line="240" w:lineRule="auto"/>
              <w:ind w:left="57"/>
              <w:rPr>
                <w:rFonts w:ascii="Calibri" w:eastAsia="Times New Roman" w:hAnsi="Calibri" w:cs="Calibri"/>
                <w:color w:val="000000"/>
                <w:lang w:eastAsia="en-AU"/>
              </w:rPr>
            </w:pPr>
            <w:r w:rsidRPr="00D11253">
              <w:rPr>
                <w:rFonts w:ascii="Calibri" w:eastAsia="Times New Roman" w:hAnsi="Calibri" w:cs="Calibri"/>
                <w:color w:val="000000"/>
                <w:lang w:eastAsia="en-AU"/>
              </w:rPr>
              <w:t>Percentage non-AU co-filing over all filings</w:t>
            </w:r>
          </w:p>
        </w:tc>
        <w:tc>
          <w:tcPr>
            <w:tcW w:w="158" w:type="pct"/>
            <w:tcBorders>
              <w:top w:val="nil"/>
              <w:left w:val="nil"/>
              <w:bottom w:val="single" w:sz="8" w:space="0" w:color="auto"/>
              <w:right w:val="single" w:sz="4" w:space="0" w:color="auto"/>
            </w:tcBorders>
            <w:shd w:val="clear" w:color="auto" w:fill="auto"/>
            <w:noWrap/>
            <w:vAlign w:val="bottom"/>
            <w:hideMark/>
          </w:tcPr>
          <w:p w14:paraId="502E95EC"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0.38%</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263A573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0.17%</w:t>
            </w:r>
          </w:p>
        </w:tc>
        <w:tc>
          <w:tcPr>
            <w:tcW w:w="170" w:type="pct"/>
            <w:tcBorders>
              <w:top w:val="nil"/>
              <w:left w:val="nil"/>
              <w:bottom w:val="single" w:sz="8" w:space="0" w:color="auto"/>
              <w:right w:val="single" w:sz="4" w:space="0" w:color="auto"/>
            </w:tcBorders>
            <w:shd w:val="clear" w:color="auto" w:fill="auto"/>
            <w:noWrap/>
            <w:vAlign w:val="bottom"/>
            <w:hideMark/>
          </w:tcPr>
          <w:p w14:paraId="27311367"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0.35%</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20C22D4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0.31%</w:t>
            </w:r>
          </w:p>
        </w:tc>
        <w:tc>
          <w:tcPr>
            <w:tcW w:w="170" w:type="pct"/>
            <w:tcBorders>
              <w:top w:val="nil"/>
              <w:left w:val="nil"/>
              <w:bottom w:val="single" w:sz="8" w:space="0" w:color="auto"/>
              <w:right w:val="single" w:sz="4" w:space="0" w:color="auto"/>
            </w:tcBorders>
            <w:shd w:val="clear" w:color="auto" w:fill="auto"/>
            <w:noWrap/>
            <w:vAlign w:val="bottom"/>
            <w:hideMark/>
          </w:tcPr>
          <w:p w14:paraId="544F2AD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0.23%</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7C2A9F1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0.11%</w:t>
            </w:r>
          </w:p>
        </w:tc>
        <w:tc>
          <w:tcPr>
            <w:tcW w:w="170" w:type="pct"/>
            <w:tcBorders>
              <w:top w:val="nil"/>
              <w:left w:val="nil"/>
              <w:bottom w:val="single" w:sz="8" w:space="0" w:color="auto"/>
              <w:right w:val="single" w:sz="4" w:space="0" w:color="auto"/>
            </w:tcBorders>
            <w:shd w:val="clear" w:color="auto" w:fill="auto"/>
            <w:noWrap/>
            <w:vAlign w:val="bottom"/>
            <w:hideMark/>
          </w:tcPr>
          <w:p w14:paraId="0A2534C8"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0.24%</w:t>
            </w:r>
          </w:p>
        </w:tc>
        <w:tc>
          <w:tcPr>
            <w:tcW w:w="170" w:type="pct"/>
            <w:tcBorders>
              <w:top w:val="nil"/>
              <w:left w:val="nil"/>
              <w:bottom w:val="single" w:sz="8" w:space="0" w:color="auto"/>
              <w:right w:val="single" w:sz="4" w:space="0" w:color="auto"/>
            </w:tcBorders>
            <w:shd w:val="clear" w:color="auto" w:fill="E0E0E0" w:themeFill="text2" w:themeFillTint="33"/>
            <w:noWrap/>
            <w:vAlign w:val="bottom"/>
            <w:hideMark/>
          </w:tcPr>
          <w:p w14:paraId="50669BD2"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0.27%</w:t>
            </w:r>
          </w:p>
        </w:tc>
        <w:tc>
          <w:tcPr>
            <w:tcW w:w="171" w:type="pct"/>
            <w:tcBorders>
              <w:top w:val="nil"/>
              <w:left w:val="nil"/>
              <w:bottom w:val="single" w:sz="8" w:space="0" w:color="auto"/>
              <w:right w:val="single" w:sz="4" w:space="0" w:color="auto"/>
            </w:tcBorders>
            <w:shd w:val="clear" w:color="auto" w:fill="auto"/>
            <w:noWrap/>
            <w:vAlign w:val="bottom"/>
            <w:hideMark/>
          </w:tcPr>
          <w:p w14:paraId="0B74A5D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0.21%</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150B588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0.46%</w:t>
            </w:r>
          </w:p>
        </w:tc>
        <w:tc>
          <w:tcPr>
            <w:tcW w:w="171" w:type="pct"/>
            <w:tcBorders>
              <w:top w:val="nil"/>
              <w:left w:val="nil"/>
              <w:bottom w:val="single" w:sz="8" w:space="0" w:color="auto"/>
              <w:right w:val="single" w:sz="4" w:space="0" w:color="auto"/>
            </w:tcBorders>
            <w:shd w:val="clear" w:color="auto" w:fill="auto"/>
            <w:noWrap/>
            <w:vAlign w:val="bottom"/>
            <w:hideMark/>
          </w:tcPr>
          <w:p w14:paraId="6F4F7BE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0.27%</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5750E605"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0.19%</w:t>
            </w:r>
          </w:p>
        </w:tc>
        <w:tc>
          <w:tcPr>
            <w:tcW w:w="214" w:type="pct"/>
            <w:tcBorders>
              <w:top w:val="nil"/>
              <w:left w:val="nil"/>
              <w:bottom w:val="single" w:sz="8" w:space="0" w:color="auto"/>
              <w:right w:val="single" w:sz="4" w:space="0" w:color="auto"/>
            </w:tcBorders>
            <w:shd w:val="clear" w:color="auto" w:fill="auto"/>
            <w:noWrap/>
            <w:vAlign w:val="bottom"/>
            <w:hideMark/>
          </w:tcPr>
          <w:p w14:paraId="559521F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0.25%</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5544B388"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0.25%</w:t>
            </w:r>
          </w:p>
        </w:tc>
        <w:tc>
          <w:tcPr>
            <w:tcW w:w="214" w:type="pct"/>
            <w:tcBorders>
              <w:top w:val="nil"/>
              <w:left w:val="nil"/>
              <w:bottom w:val="single" w:sz="8" w:space="0" w:color="auto"/>
              <w:right w:val="single" w:sz="4" w:space="0" w:color="auto"/>
            </w:tcBorders>
            <w:shd w:val="clear" w:color="auto" w:fill="auto"/>
            <w:noWrap/>
            <w:vAlign w:val="bottom"/>
            <w:hideMark/>
          </w:tcPr>
          <w:p w14:paraId="47A84817"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0.25%</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1DE27279"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0.24%</w:t>
            </w:r>
          </w:p>
        </w:tc>
        <w:tc>
          <w:tcPr>
            <w:tcW w:w="214" w:type="pct"/>
            <w:tcBorders>
              <w:top w:val="nil"/>
              <w:left w:val="nil"/>
              <w:bottom w:val="single" w:sz="8" w:space="0" w:color="auto"/>
              <w:right w:val="single" w:sz="4" w:space="0" w:color="auto"/>
            </w:tcBorders>
            <w:shd w:val="clear" w:color="auto" w:fill="auto"/>
            <w:noWrap/>
            <w:vAlign w:val="bottom"/>
            <w:hideMark/>
          </w:tcPr>
          <w:p w14:paraId="134E56D0"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0.24%</w:t>
            </w:r>
          </w:p>
        </w:tc>
        <w:tc>
          <w:tcPr>
            <w:tcW w:w="214" w:type="pct"/>
            <w:tcBorders>
              <w:top w:val="nil"/>
              <w:left w:val="nil"/>
              <w:bottom w:val="single" w:sz="8" w:space="0" w:color="auto"/>
              <w:right w:val="single" w:sz="4" w:space="0" w:color="auto"/>
            </w:tcBorders>
            <w:shd w:val="clear" w:color="auto" w:fill="E0E0E0" w:themeFill="text2" w:themeFillTint="33"/>
            <w:noWrap/>
            <w:vAlign w:val="bottom"/>
            <w:hideMark/>
          </w:tcPr>
          <w:p w14:paraId="3F652EA6"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0.24%</w:t>
            </w:r>
          </w:p>
        </w:tc>
        <w:tc>
          <w:tcPr>
            <w:tcW w:w="214" w:type="pct"/>
            <w:tcBorders>
              <w:top w:val="nil"/>
              <w:left w:val="nil"/>
              <w:bottom w:val="single" w:sz="8" w:space="0" w:color="auto"/>
              <w:right w:val="single" w:sz="4" w:space="0" w:color="auto"/>
            </w:tcBorders>
            <w:shd w:val="clear" w:color="auto" w:fill="auto"/>
            <w:noWrap/>
            <w:vAlign w:val="bottom"/>
            <w:hideMark/>
          </w:tcPr>
          <w:p w14:paraId="27BB5BEA"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0.24%</w:t>
            </w:r>
          </w:p>
        </w:tc>
        <w:tc>
          <w:tcPr>
            <w:tcW w:w="171" w:type="pct"/>
            <w:tcBorders>
              <w:top w:val="nil"/>
              <w:left w:val="nil"/>
              <w:bottom w:val="single" w:sz="8" w:space="0" w:color="auto"/>
              <w:right w:val="single" w:sz="4" w:space="0" w:color="auto"/>
            </w:tcBorders>
            <w:shd w:val="clear" w:color="auto" w:fill="E0E0E0" w:themeFill="text2" w:themeFillTint="33"/>
            <w:noWrap/>
            <w:vAlign w:val="bottom"/>
            <w:hideMark/>
          </w:tcPr>
          <w:p w14:paraId="59C1F008"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0.19%</w:t>
            </w:r>
          </w:p>
        </w:tc>
        <w:tc>
          <w:tcPr>
            <w:tcW w:w="171" w:type="pct"/>
            <w:tcBorders>
              <w:top w:val="nil"/>
              <w:left w:val="nil"/>
              <w:bottom w:val="single" w:sz="8" w:space="0" w:color="auto"/>
              <w:right w:val="single" w:sz="4" w:space="0" w:color="auto"/>
            </w:tcBorders>
            <w:shd w:val="clear" w:color="auto" w:fill="auto"/>
            <w:noWrap/>
            <w:vAlign w:val="bottom"/>
            <w:hideMark/>
          </w:tcPr>
          <w:p w14:paraId="00223C73"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0.00%</w:t>
            </w:r>
          </w:p>
        </w:tc>
        <w:tc>
          <w:tcPr>
            <w:tcW w:w="272" w:type="pct"/>
            <w:tcBorders>
              <w:top w:val="nil"/>
              <w:left w:val="nil"/>
              <w:bottom w:val="single" w:sz="8" w:space="0" w:color="auto"/>
              <w:right w:val="single" w:sz="8" w:space="0" w:color="auto"/>
            </w:tcBorders>
            <w:shd w:val="clear" w:color="auto" w:fill="auto"/>
            <w:noWrap/>
            <w:vAlign w:val="bottom"/>
            <w:hideMark/>
          </w:tcPr>
          <w:p w14:paraId="3C75BD94" w14:textId="77777777" w:rsidR="008E7C2A" w:rsidRPr="00D11253" w:rsidRDefault="008E7C2A" w:rsidP="00D631A5">
            <w:pPr>
              <w:spacing w:after="0" w:line="240" w:lineRule="auto"/>
              <w:jc w:val="right"/>
              <w:rPr>
                <w:rFonts w:ascii="Calibri" w:eastAsia="Times New Roman" w:hAnsi="Calibri" w:cs="Calibri"/>
                <w:color w:val="000000"/>
                <w:lang w:eastAsia="en-AU"/>
              </w:rPr>
            </w:pPr>
            <w:r w:rsidRPr="00D11253">
              <w:rPr>
                <w:rFonts w:ascii="Calibri" w:eastAsia="Times New Roman" w:hAnsi="Calibri" w:cs="Calibri"/>
                <w:color w:val="000000"/>
                <w:lang w:eastAsia="en-AU"/>
              </w:rPr>
              <w:t>0.3%</w:t>
            </w:r>
          </w:p>
        </w:tc>
      </w:tr>
    </w:tbl>
    <w:p w14:paraId="7F61F5F9" w14:textId="42BBF3AD" w:rsidR="008E7C2A" w:rsidRPr="008E7C2A" w:rsidRDefault="008E7C2A" w:rsidP="008E7C2A">
      <w:pPr>
        <w:sectPr w:rsidR="008E7C2A" w:rsidRPr="008E7C2A" w:rsidSect="00293A03">
          <w:pgSz w:w="23811" w:h="16838" w:orient="landscape" w:code="8"/>
          <w:pgMar w:top="1440" w:right="1276" w:bottom="1440" w:left="1440" w:header="851" w:footer="708" w:gutter="0"/>
          <w:cols w:space="708"/>
          <w:titlePg/>
          <w:docGrid w:linePitch="360"/>
        </w:sectPr>
      </w:pPr>
    </w:p>
    <w:p w14:paraId="7ED0C34E" w14:textId="5D81D752" w:rsidR="008E7C2A" w:rsidRDefault="008E7C2A" w:rsidP="008E7C2A">
      <w:pPr>
        <w:pStyle w:val="Heading2"/>
      </w:pPr>
      <w:bookmarkStart w:id="123" w:name="_Reference_materials"/>
      <w:bookmarkStart w:id="124" w:name="_Toc152165439"/>
      <w:bookmarkStart w:id="125" w:name="_Toc144387332"/>
      <w:bookmarkEnd w:id="110"/>
      <w:bookmarkEnd w:id="113"/>
      <w:bookmarkEnd w:id="123"/>
      <w:r w:rsidRPr="09F0E515">
        <w:t>Reference materials</w:t>
      </w:r>
      <w:bookmarkEnd w:id="124"/>
    </w:p>
    <w:p w14:paraId="6430ACD5" w14:textId="66BD9641" w:rsidR="00300B53" w:rsidRPr="007137C6" w:rsidRDefault="00300B53" w:rsidP="00F6694F">
      <w:pPr>
        <w:pStyle w:val="Heading3"/>
      </w:pPr>
      <w:bookmarkStart w:id="126" w:name="_Toc152165440"/>
      <w:r w:rsidRPr="007137C6">
        <w:t>Australian Government materials</w:t>
      </w:r>
      <w:bookmarkEnd w:id="125"/>
      <w:bookmarkEnd w:id="126"/>
    </w:p>
    <w:p w14:paraId="3A63541A" w14:textId="599D6C6A" w:rsidR="00300B53" w:rsidRPr="00300B53" w:rsidRDefault="009B1D68" w:rsidP="00CE481E">
      <w:pPr>
        <w:spacing w:after="0" w:line="240" w:lineRule="auto"/>
        <w:rPr>
          <w:rFonts w:ascii="Calibri" w:eastAsia="Calibri" w:hAnsi="Calibri" w:cs="Calibri"/>
          <w:color w:val="000000"/>
        </w:rPr>
      </w:pPr>
      <w:hyperlink r:id="rId48" w:history="1">
        <w:r w:rsidR="00300B53" w:rsidRPr="00300B53">
          <w:rPr>
            <w:rFonts w:ascii="Calibri" w:eastAsia="Calibri" w:hAnsi="Calibri" w:cs="Calibri"/>
            <w:color w:val="000000"/>
          </w:rPr>
          <w:t xml:space="preserve">Industry Innovation and Science Australia </w:t>
        </w:r>
      </w:hyperlink>
      <w:r w:rsidR="00300B53" w:rsidRPr="00300B53">
        <w:rPr>
          <w:rFonts w:ascii="Calibri" w:eastAsia="Calibri" w:hAnsi="Calibri" w:cs="Calibri"/>
          <w:color w:val="000000"/>
        </w:rPr>
        <w:t xml:space="preserve">(2021) </w:t>
      </w:r>
      <w:r w:rsidR="00DF0851">
        <w:rPr>
          <w:i/>
          <w:iCs/>
        </w:rPr>
        <w:t>I</w:t>
      </w:r>
      <w:r w:rsidR="00300B53" w:rsidRPr="00300B53">
        <w:rPr>
          <w:i/>
          <w:iCs/>
        </w:rPr>
        <w:t xml:space="preserve">nvestment, </w:t>
      </w:r>
      <w:proofErr w:type="gramStart"/>
      <w:r w:rsidR="00300B53" w:rsidRPr="00300B53">
        <w:rPr>
          <w:i/>
          <w:iCs/>
        </w:rPr>
        <w:t>innovation</w:t>
      </w:r>
      <w:proofErr w:type="gramEnd"/>
      <w:r w:rsidR="00300B53" w:rsidRPr="00300B53">
        <w:rPr>
          <w:i/>
          <w:iCs/>
        </w:rPr>
        <w:t xml:space="preserve"> and success: how Australian businesses are creating value (un-published),</w:t>
      </w:r>
      <w:r w:rsidR="00300B53" w:rsidRPr="00300B53">
        <w:rPr>
          <w:rFonts w:ascii="Calibri" w:eastAsia="Calibri" w:hAnsi="Calibri" w:cs="Calibri"/>
          <w:i/>
          <w:iCs/>
          <w:color w:val="000000"/>
        </w:rPr>
        <w:t xml:space="preserve"> </w:t>
      </w:r>
      <w:r w:rsidR="00300B53" w:rsidRPr="00300B53">
        <w:rPr>
          <w:rFonts w:ascii="Calibri" w:eastAsia="Calibri" w:hAnsi="Calibri" w:cs="Calibri"/>
        </w:rPr>
        <w:t xml:space="preserve">Department of Industry, Science and Resources, </w:t>
      </w:r>
      <w:r w:rsidR="00300B53" w:rsidRPr="00300B53">
        <w:rPr>
          <w:rFonts w:ascii="Calibri" w:eastAsia="Calibri" w:hAnsi="Calibri" w:cs="Calibri"/>
          <w:color w:val="000000"/>
        </w:rPr>
        <w:t>Australian Government</w:t>
      </w:r>
    </w:p>
    <w:p w14:paraId="0F9E326E" w14:textId="77777777" w:rsidR="00300B53" w:rsidRPr="00300B53" w:rsidRDefault="00300B53" w:rsidP="00CE481E">
      <w:pPr>
        <w:spacing w:after="0" w:line="240" w:lineRule="auto"/>
        <w:rPr>
          <w:rFonts w:ascii="Calibri" w:eastAsia="Calibri" w:hAnsi="Calibri" w:cs="Calibri"/>
        </w:rPr>
      </w:pPr>
    </w:p>
    <w:p w14:paraId="4301564A" w14:textId="4F0060B3" w:rsidR="00300B53" w:rsidRPr="00300B53" w:rsidRDefault="009B1D68" w:rsidP="00CE481E">
      <w:pPr>
        <w:spacing w:after="0" w:line="240" w:lineRule="auto"/>
        <w:rPr>
          <w:rFonts w:ascii="Calibri" w:eastAsia="Calibri" w:hAnsi="Calibri" w:cs="Calibri"/>
          <w:color w:val="000000"/>
        </w:rPr>
      </w:pPr>
      <w:hyperlink r:id="rId49" w:history="1">
        <w:r w:rsidR="00300B53" w:rsidRPr="00300B53">
          <w:rPr>
            <w:rFonts w:ascii="Calibri" w:eastAsia="Calibri" w:hAnsi="Calibri" w:cs="Calibri"/>
            <w:color w:val="000000"/>
          </w:rPr>
          <w:t xml:space="preserve">Industry Innovation and Science Australia </w:t>
        </w:r>
      </w:hyperlink>
      <w:r w:rsidR="00300B53" w:rsidRPr="00300B53">
        <w:rPr>
          <w:rFonts w:ascii="Calibri" w:eastAsia="Calibri" w:hAnsi="Calibri" w:cs="Calibri"/>
          <w:color w:val="000000"/>
        </w:rPr>
        <w:t xml:space="preserve">(2021) </w:t>
      </w:r>
      <w:hyperlink r:id="rId50" w:history="1">
        <w:r w:rsidR="00300B53" w:rsidRPr="00300B53">
          <w:rPr>
            <w:rFonts w:ascii="Calibri" w:eastAsia="Calibri" w:hAnsi="Calibri" w:cs="Calibri"/>
            <w:i/>
            <w:iCs/>
            <w:color w:val="0000FF"/>
            <w:u w:val="single"/>
          </w:rPr>
          <w:t>Driving effective Government investment in innovation, science and research</w:t>
        </w:r>
      </w:hyperlink>
      <w:r w:rsidR="002258C3" w:rsidRPr="00A8630A">
        <w:rPr>
          <w:rFonts w:ascii="Calibri" w:eastAsia="Calibri" w:hAnsi="Calibri" w:cs="Calibri"/>
          <w:color w:val="0000FF"/>
        </w:rPr>
        <w:t>,</w:t>
      </w:r>
      <w:r w:rsidR="00300B53" w:rsidRPr="00300B53">
        <w:rPr>
          <w:rFonts w:ascii="Calibri" w:eastAsia="Calibri" w:hAnsi="Calibri" w:cs="Calibri"/>
          <w:i/>
          <w:iCs/>
          <w:color w:val="000000"/>
        </w:rPr>
        <w:t xml:space="preserve"> </w:t>
      </w:r>
      <w:r w:rsidR="00300B53" w:rsidRPr="00300B53">
        <w:rPr>
          <w:rFonts w:ascii="Calibri" w:eastAsia="Calibri" w:hAnsi="Calibri" w:cs="Calibri"/>
        </w:rPr>
        <w:t xml:space="preserve">Department of Industry, Science and Resources, </w:t>
      </w:r>
      <w:r w:rsidR="00300B53" w:rsidRPr="00300B53">
        <w:rPr>
          <w:rFonts w:ascii="Calibri" w:eastAsia="Calibri" w:hAnsi="Calibri" w:cs="Calibri"/>
          <w:color w:val="000000"/>
        </w:rPr>
        <w:t>Australian Government</w:t>
      </w:r>
    </w:p>
    <w:p w14:paraId="255834CB" w14:textId="77777777" w:rsidR="00300B53" w:rsidRPr="00300B53" w:rsidRDefault="00300B53" w:rsidP="00CE481E">
      <w:pPr>
        <w:spacing w:after="0" w:line="240" w:lineRule="auto"/>
        <w:rPr>
          <w:rFonts w:ascii="Calibri" w:eastAsia="Calibri" w:hAnsi="Calibri" w:cs="Calibri"/>
        </w:rPr>
      </w:pPr>
    </w:p>
    <w:p w14:paraId="43EE1667" w14:textId="1AE791D7" w:rsidR="00300B53" w:rsidRPr="00300B53" w:rsidRDefault="009B1D68" w:rsidP="00CE481E">
      <w:pPr>
        <w:spacing w:after="0" w:line="240" w:lineRule="auto"/>
        <w:rPr>
          <w:rFonts w:ascii="Calibri" w:eastAsia="Calibri" w:hAnsi="Calibri" w:cs="Calibri"/>
        </w:rPr>
      </w:pPr>
      <w:hyperlink r:id="rId51" w:history="1">
        <w:hyperlink r:id="rId52" w:history="1">
          <w:r w:rsidR="00300B53" w:rsidRPr="00300B53">
            <w:rPr>
              <w:rFonts w:ascii="Calibri" w:eastAsia="Calibri" w:hAnsi="Calibri" w:cs="Calibri"/>
              <w:color w:val="000000"/>
            </w:rPr>
            <w:t xml:space="preserve">Industry Innovation and Science Australia </w:t>
          </w:r>
        </w:hyperlink>
        <w:r w:rsidR="00300B53" w:rsidRPr="00300B53">
          <w:rPr>
            <w:rFonts w:ascii="Calibri" w:eastAsia="Calibri" w:hAnsi="Calibri" w:cs="Calibri"/>
            <w:color w:val="000000"/>
          </w:rPr>
          <w:t xml:space="preserve">(2020) </w:t>
        </w:r>
        <w:r w:rsidR="00300B53" w:rsidRPr="00300B53">
          <w:rPr>
            <w:rFonts w:ascii="Calibri" w:eastAsia="Calibri" w:hAnsi="Calibri" w:cs="Calibri"/>
            <w:i/>
            <w:iCs/>
            <w:color w:val="0000FF"/>
            <w:u w:val="single"/>
          </w:rPr>
          <w:t>Stimulating business investment in innovation</w:t>
        </w:r>
      </w:hyperlink>
      <w:r w:rsidR="00300B53" w:rsidRPr="00300B53">
        <w:rPr>
          <w:rFonts w:ascii="Calibri" w:eastAsia="Calibri" w:hAnsi="Calibri" w:cs="Calibri"/>
        </w:rPr>
        <w:t xml:space="preserve">, Department of Industry, Science and Resources, </w:t>
      </w:r>
      <w:r w:rsidR="00300B53" w:rsidRPr="00300B53">
        <w:rPr>
          <w:rFonts w:ascii="Calibri" w:eastAsia="Calibri" w:hAnsi="Calibri" w:cs="Calibri"/>
          <w:color w:val="000000"/>
        </w:rPr>
        <w:t>Australian Government</w:t>
      </w:r>
    </w:p>
    <w:p w14:paraId="1FDE5246" w14:textId="77777777" w:rsidR="00300B53" w:rsidRPr="00300B53" w:rsidRDefault="00300B53" w:rsidP="00CE481E">
      <w:pPr>
        <w:spacing w:after="0" w:line="240" w:lineRule="auto"/>
        <w:rPr>
          <w:rFonts w:ascii="Calibri" w:eastAsia="Calibri" w:hAnsi="Calibri" w:cs="Calibri"/>
        </w:rPr>
      </w:pPr>
    </w:p>
    <w:p w14:paraId="2F070DA4" w14:textId="274EDE9A" w:rsidR="00300B53" w:rsidRPr="00300B53" w:rsidRDefault="009B1D68" w:rsidP="00CE481E">
      <w:pPr>
        <w:spacing w:after="0" w:line="240" w:lineRule="auto"/>
        <w:rPr>
          <w:rFonts w:ascii="Calibri" w:eastAsia="Calibri" w:hAnsi="Calibri" w:cs="Calibri"/>
          <w:color w:val="000000"/>
        </w:rPr>
      </w:pPr>
      <w:hyperlink r:id="rId53" w:history="1">
        <w:hyperlink r:id="rId54" w:history="1">
          <w:r w:rsidR="00300B53" w:rsidRPr="00300B53">
            <w:rPr>
              <w:rFonts w:ascii="Calibri" w:eastAsia="Calibri" w:hAnsi="Calibri" w:cs="Calibri"/>
              <w:color w:val="000000"/>
            </w:rPr>
            <w:t xml:space="preserve">Industry Innovation and Science Australia </w:t>
          </w:r>
        </w:hyperlink>
        <w:r w:rsidR="00300B53" w:rsidRPr="00300B53">
          <w:rPr>
            <w:rFonts w:ascii="Calibri" w:eastAsia="Calibri" w:hAnsi="Calibri" w:cs="Calibri"/>
            <w:color w:val="000000"/>
          </w:rPr>
          <w:t xml:space="preserve">(2017) </w:t>
        </w:r>
        <w:r w:rsidR="00300B53" w:rsidRPr="00300B53">
          <w:rPr>
            <w:rFonts w:ascii="Calibri" w:eastAsia="Calibri" w:hAnsi="Calibri" w:cs="Calibri"/>
            <w:i/>
            <w:iCs/>
            <w:color w:val="0000FF"/>
            <w:u w:val="single"/>
          </w:rPr>
          <w:t>Australia 2030: prosperity through innovation</w:t>
        </w:r>
      </w:hyperlink>
      <w:r w:rsidR="00300B53" w:rsidRPr="00300B53">
        <w:rPr>
          <w:rFonts w:ascii="Calibri" w:eastAsia="Calibri" w:hAnsi="Calibri" w:cs="Calibri"/>
          <w:i/>
          <w:iCs/>
          <w:color w:val="000000"/>
        </w:rPr>
        <w:t xml:space="preserve">, </w:t>
      </w:r>
      <w:r w:rsidR="00300B53" w:rsidRPr="00300B53">
        <w:rPr>
          <w:rFonts w:ascii="Calibri" w:eastAsia="Calibri" w:hAnsi="Calibri" w:cs="Calibri"/>
        </w:rPr>
        <w:t xml:space="preserve">Department of Industry, Science and Resources, </w:t>
      </w:r>
      <w:r w:rsidR="00300B53" w:rsidRPr="00300B53">
        <w:rPr>
          <w:rFonts w:ascii="Calibri" w:eastAsia="Calibri" w:hAnsi="Calibri" w:cs="Calibri"/>
          <w:color w:val="000000"/>
        </w:rPr>
        <w:t>Australian Government</w:t>
      </w:r>
    </w:p>
    <w:p w14:paraId="3CA3079F" w14:textId="77777777" w:rsidR="00300B53" w:rsidRPr="00300B53" w:rsidRDefault="00300B53" w:rsidP="00CE481E">
      <w:pPr>
        <w:spacing w:after="0" w:line="240" w:lineRule="auto"/>
        <w:rPr>
          <w:rFonts w:ascii="Calibri" w:eastAsia="Calibri" w:hAnsi="Calibri" w:cs="Calibri"/>
        </w:rPr>
      </w:pPr>
    </w:p>
    <w:p w14:paraId="55683DB2" w14:textId="7FEF0E97"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Office of the Chief Scientist (2018) </w:t>
      </w:r>
      <w:hyperlink r:id="rId55" w:history="1">
        <w:r w:rsidRPr="00300B53">
          <w:rPr>
            <w:rFonts w:ascii="Calibri" w:eastAsia="Calibri" w:hAnsi="Calibri" w:cs="Calibri"/>
            <w:i/>
            <w:iCs/>
            <w:color w:val="0000FF"/>
            <w:u w:val="single"/>
          </w:rPr>
          <w:t xml:space="preserve">Global Production Sharing and Australian Manufacturing </w:t>
        </w:r>
      </w:hyperlink>
      <w:r w:rsidRPr="00300B53">
        <w:rPr>
          <w:rFonts w:ascii="Calibri" w:eastAsia="Calibri" w:hAnsi="Calibri" w:cs="Calibri"/>
          <w:color w:val="0000FF"/>
          <w:u w:val="single"/>
        </w:rPr>
        <w:t>,</w:t>
      </w:r>
      <w:r w:rsidRPr="00300B53">
        <w:rPr>
          <w:rFonts w:ascii="Calibri" w:eastAsia="Calibri" w:hAnsi="Calibri" w:cs="Calibri"/>
          <w:color w:val="000000"/>
        </w:rPr>
        <w:t xml:space="preserve"> </w:t>
      </w:r>
      <w:r w:rsidRPr="00300B53">
        <w:rPr>
          <w:rFonts w:ascii="Calibri" w:eastAsia="Calibri" w:hAnsi="Calibri" w:cs="Calibri"/>
        </w:rPr>
        <w:t xml:space="preserve">Department of Industry, Science and Resources, </w:t>
      </w:r>
      <w:r w:rsidRPr="00300B53">
        <w:rPr>
          <w:rFonts w:ascii="Calibri" w:eastAsia="Calibri" w:hAnsi="Calibri" w:cs="Calibri"/>
          <w:color w:val="000000"/>
        </w:rPr>
        <w:t>Australian Government</w:t>
      </w:r>
    </w:p>
    <w:p w14:paraId="1B13B4D3" w14:textId="77777777" w:rsidR="00300B53" w:rsidRPr="00300B53" w:rsidRDefault="00300B53" w:rsidP="00CE481E">
      <w:pPr>
        <w:spacing w:after="0" w:line="240" w:lineRule="auto"/>
        <w:rPr>
          <w:rFonts w:ascii="Calibri" w:eastAsia="Calibri" w:hAnsi="Calibri" w:cs="Calibri"/>
        </w:rPr>
      </w:pPr>
    </w:p>
    <w:p w14:paraId="5E0CD05A" w14:textId="16DF6101" w:rsidR="00300B53" w:rsidRPr="00300B53" w:rsidRDefault="00300B53" w:rsidP="00CE481E">
      <w:pPr>
        <w:spacing w:after="0" w:line="240" w:lineRule="auto"/>
        <w:rPr>
          <w:rFonts w:ascii="Calibri" w:eastAsia="Calibri" w:hAnsi="Calibri" w:cs="Calibri"/>
          <w:color w:val="3F3B3B"/>
        </w:rPr>
      </w:pPr>
      <w:r w:rsidRPr="00300B53">
        <w:rPr>
          <w:rFonts w:ascii="Calibri" w:eastAsia="Calibri" w:hAnsi="Calibri" w:cs="Calibri"/>
        </w:rPr>
        <w:t xml:space="preserve">Office of the Chief Economist (2020) </w:t>
      </w:r>
      <w:hyperlink r:id="rId56" w:history="1">
        <w:r w:rsidRPr="00300B53">
          <w:rPr>
            <w:rFonts w:ascii="Calibri" w:eastAsia="Calibri" w:hAnsi="Calibri" w:cs="Calibri"/>
            <w:i/>
            <w:iCs/>
            <w:color w:val="0000FF"/>
            <w:spacing w:val="5"/>
            <w:u w:val="single"/>
          </w:rPr>
          <w:t>International entrepreneurship: evidence on Australian-born global firms</w:t>
        </w:r>
      </w:hyperlink>
      <w:r w:rsidRPr="00300B53">
        <w:rPr>
          <w:rFonts w:ascii="Calibri" w:eastAsia="Calibri" w:hAnsi="Calibri" w:cs="Calibri"/>
          <w:i/>
          <w:iCs/>
          <w:color w:val="0000FF"/>
          <w:spacing w:val="5"/>
          <w:u w:val="single"/>
        </w:rPr>
        <w:t>,</w:t>
      </w:r>
      <w:r w:rsidRPr="00300B53">
        <w:rPr>
          <w:rFonts w:ascii="Calibri" w:eastAsia="Calibri" w:hAnsi="Calibri" w:cs="Calibri"/>
          <w:color w:val="0000FF"/>
          <w:spacing w:val="5"/>
          <w:u w:val="single"/>
        </w:rPr>
        <w:t xml:space="preserve"> </w:t>
      </w:r>
      <w:r w:rsidRPr="00300B53">
        <w:rPr>
          <w:rFonts w:ascii="Calibri" w:eastAsia="Calibri" w:hAnsi="Calibri" w:cs="Calibri"/>
        </w:rPr>
        <w:t xml:space="preserve">Department of Industry, Science and Resources, </w:t>
      </w:r>
      <w:r w:rsidRPr="00300B53">
        <w:rPr>
          <w:rFonts w:ascii="Calibri" w:eastAsia="Calibri" w:hAnsi="Calibri" w:cs="Calibri"/>
          <w:color w:val="000000"/>
        </w:rPr>
        <w:t>Australian Government</w:t>
      </w:r>
    </w:p>
    <w:p w14:paraId="2CA1F466" w14:textId="77777777" w:rsidR="00300B53" w:rsidRPr="00300B53" w:rsidRDefault="00300B53" w:rsidP="00CE481E">
      <w:pPr>
        <w:spacing w:after="0" w:line="240" w:lineRule="auto"/>
        <w:rPr>
          <w:rFonts w:ascii="Calibri" w:eastAsia="Calibri" w:hAnsi="Calibri" w:cs="Calibri"/>
          <w:color w:val="3F3B3B"/>
        </w:rPr>
      </w:pPr>
    </w:p>
    <w:p w14:paraId="5C29AF84" w14:textId="0AC86BAE" w:rsidR="00300B53" w:rsidRPr="00300B53" w:rsidRDefault="00300B53" w:rsidP="00CE481E">
      <w:pPr>
        <w:spacing w:after="0" w:line="240" w:lineRule="auto"/>
        <w:rPr>
          <w:rFonts w:ascii="Calibri" w:eastAsia="Calibri" w:hAnsi="Calibri" w:cs="Calibri"/>
          <w:color w:val="3F3B3B"/>
        </w:rPr>
      </w:pPr>
      <w:r w:rsidRPr="00300B53">
        <w:rPr>
          <w:rFonts w:ascii="Calibri" w:eastAsia="Calibri" w:hAnsi="Calibri" w:cs="Calibri"/>
        </w:rPr>
        <w:t xml:space="preserve">Office of the Chief Economist (2020) </w:t>
      </w:r>
      <w:hyperlink r:id="rId57" w:history="1">
        <w:r w:rsidRPr="00300B53">
          <w:rPr>
            <w:rFonts w:ascii="Calibri" w:eastAsia="Calibri" w:hAnsi="Calibri" w:cs="Calibri"/>
            <w:i/>
            <w:iCs/>
            <w:color w:val="0000FF"/>
            <w:spacing w:val="5"/>
            <w:u w:val="single"/>
          </w:rPr>
          <w:t>Market power and entrepreneurship change: the case for Australia</w:t>
        </w:r>
      </w:hyperlink>
      <w:r w:rsidRPr="00300B53">
        <w:rPr>
          <w:rFonts w:ascii="Calibri" w:eastAsia="Calibri" w:hAnsi="Calibri" w:cs="Calibri"/>
          <w:color w:val="0000FF"/>
          <w:spacing w:val="5"/>
          <w:u w:val="single"/>
        </w:rPr>
        <w:t xml:space="preserve">, </w:t>
      </w:r>
      <w:r w:rsidRPr="00300B53">
        <w:rPr>
          <w:rFonts w:ascii="Calibri" w:eastAsia="Calibri" w:hAnsi="Calibri" w:cs="Calibri"/>
        </w:rPr>
        <w:t xml:space="preserve">Department of Industry, Science and Resources, </w:t>
      </w:r>
      <w:r w:rsidRPr="00300B53">
        <w:rPr>
          <w:rFonts w:ascii="Calibri" w:eastAsia="Calibri" w:hAnsi="Calibri" w:cs="Calibri"/>
          <w:color w:val="000000"/>
        </w:rPr>
        <w:t>Australian Government</w:t>
      </w:r>
    </w:p>
    <w:p w14:paraId="463F3936" w14:textId="77777777" w:rsidR="00300B53" w:rsidRPr="00300B53" w:rsidRDefault="00300B53" w:rsidP="00CE481E">
      <w:pPr>
        <w:spacing w:after="0" w:line="240" w:lineRule="auto"/>
        <w:rPr>
          <w:rFonts w:ascii="Calibri" w:eastAsia="Calibri" w:hAnsi="Calibri" w:cs="Calibri"/>
          <w:color w:val="3F3B3B"/>
        </w:rPr>
      </w:pPr>
    </w:p>
    <w:p w14:paraId="0282B9CB" w14:textId="58C3D2CB" w:rsidR="00300B53" w:rsidRPr="00300B53" w:rsidRDefault="00300B53" w:rsidP="00CE481E">
      <w:pPr>
        <w:spacing w:after="0" w:line="240" w:lineRule="auto"/>
        <w:rPr>
          <w:rFonts w:ascii="Calibri" w:eastAsia="Calibri" w:hAnsi="Calibri" w:cs="Calibri"/>
          <w:color w:val="A44D8E"/>
          <w:spacing w:val="5"/>
          <w:u w:val="single"/>
        </w:rPr>
      </w:pPr>
      <w:r w:rsidRPr="00300B53">
        <w:rPr>
          <w:rFonts w:ascii="Calibri" w:eastAsia="Calibri" w:hAnsi="Calibri" w:cs="Calibri"/>
        </w:rPr>
        <w:t xml:space="preserve">Office of the Chief Economist (2020) </w:t>
      </w:r>
      <w:hyperlink r:id="rId58" w:history="1">
        <w:r w:rsidRPr="00300B53">
          <w:rPr>
            <w:rFonts w:ascii="Calibri" w:eastAsia="Calibri" w:hAnsi="Calibri" w:cs="Calibri"/>
            <w:i/>
            <w:iCs/>
            <w:color w:val="A44D8E"/>
            <w:spacing w:val="5"/>
            <w:u w:val="single"/>
          </w:rPr>
          <w:t>Impact of Commercialisation Australia on business performance</w:t>
        </w:r>
      </w:hyperlink>
      <w:r w:rsidRPr="00300B53">
        <w:rPr>
          <w:rFonts w:ascii="Calibri" w:eastAsia="Calibri" w:hAnsi="Calibri" w:cs="Calibri"/>
          <w:color w:val="A44D8E"/>
          <w:spacing w:val="5"/>
          <w:u w:val="single"/>
        </w:rPr>
        <w:t>,</w:t>
      </w:r>
      <w:r w:rsidRPr="00300B53">
        <w:rPr>
          <w:rFonts w:ascii="Calibri" w:eastAsia="Calibri" w:hAnsi="Calibri" w:cs="Calibri"/>
          <w:color w:val="000000"/>
        </w:rPr>
        <w:t xml:space="preserve"> </w:t>
      </w:r>
      <w:r w:rsidRPr="00300B53">
        <w:rPr>
          <w:rFonts w:ascii="Calibri" w:eastAsia="Calibri" w:hAnsi="Calibri" w:cs="Calibri"/>
        </w:rPr>
        <w:t xml:space="preserve">Department of Industry, Science and Resources, </w:t>
      </w:r>
      <w:r w:rsidRPr="00300B53">
        <w:rPr>
          <w:rFonts w:ascii="Calibri" w:eastAsia="Calibri" w:hAnsi="Calibri" w:cs="Calibri"/>
          <w:color w:val="000000"/>
        </w:rPr>
        <w:t>Australian Government</w:t>
      </w:r>
    </w:p>
    <w:p w14:paraId="6C1E46CF" w14:textId="77777777" w:rsidR="00300B53" w:rsidRPr="00F6694F" w:rsidRDefault="00300B53" w:rsidP="00CE481E">
      <w:pPr>
        <w:spacing w:after="0" w:line="240" w:lineRule="auto"/>
        <w:rPr>
          <w:rFonts w:ascii="Calibri" w:eastAsia="Calibri" w:hAnsi="Calibri" w:cs="Calibri"/>
          <w:sz w:val="10"/>
          <w:szCs w:val="10"/>
        </w:rPr>
      </w:pPr>
    </w:p>
    <w:p w14:paraId="608F5787" w14:textId="7C300BCA"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rPr>
        <w:t xml:space="preserve">Office of the Chief Economist (2020) </w:t>
      </w:r>
      <w:hyperlink r:id="rId59" w:history="1">
        <w:r w:rsidRPr="00300B53">
          <w:rPr>
            <w:rFonts w:ascii="Calibri" w:eastAsia="Calibri" w:hAnsi="Calibri" w:cs="Calibri"/>
            <w:i/>
            <w:iCs/>
            <w:color w:val="A44D8E"/>
            <w:spacing w:val="5"/>
            <w:u w:val="single"/>
          </w:rPr>
          <w:t>Business performance of Enterprise Connect participants</w:t>
        </w:r>
      </w:hyperlink>
      <w:r w:rsidRPr="00300B53">
        <w:rPr>
          <w:rFonts w:ascii="Calibri" w:eastAsia="Calibri" w:hAnsi="Calibri" w:cs="Calibri"/>
          <w:color w:val="A44D8E"/>
          <w:spacing w:val="5"/>
          <w:u w:val="single"/>
        </w:rPr>
        <w:t xml:space="preserve"> </w:t>
      </w:r>
      <w:r w:rsidRPr="00300B53">
        <w:rPr>
          <w:rFonts w:ascii="Calibri" w:eastAsia="Calibri" w:hAnsi="Calibri" w:cs="Calibri"/>
        </w:rPr>
        <w:t xml:space="preserve">Department of Industry, Science and Resources, </w:t>
      </w:r>
      <w:r w:rsidRPr="00300B53">
        <w:rPr>
          <w:rFonts w:ascii="Calibri" w:eastAsia="Calibri" w:hAnsi="Calibri" w:cs="Calibri"/>
          <w:color w:val="000000"/>
        </w:rPr>
        <w:t>Australian Government</w:t>
      </w:r>
    </w:p>
    <w:p w14:paraId="761DCF33" w14:textId="77777777" w:rsidR="00300B53" w:rsidRPr="00F6694F" w:rsidRDefault="00300B53" w:rsidP="00CE481E">
      <w:pPr>
        <w:spacing w:after="0" w:line="240" w:lineRule="auto"/>
        <w:rPr>
          <w:rFonts w:ascii="Calibri" w:eastAsia="Calibri" w:hAnsi="Calibri" w:cs="Calibri"/>
          <w:sz w:val="20"/>
          <w:szCs w:val="20"/>
        </w:rPr>
      </w:pPr>
    </w:p>
    <w:p w14:paraId="70A2CCB6" w14:textId="6206FC92"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rPr>
        <w:t xml:space="preserve">Office of the Chief Economist (2019) </w:t>
      </w:r>
      <w:hyperlink r:id="rId60" w:history="1">
        <w:r w:rsidRPr="00300B53">
          <w:rPr>
            <w:rFonts w:ascii="Calibri" w:eastAsia="Calibri" w:hAnsi="Calibri" w:cs="Calibri"/>
            <w:i/>
            <w:iCs/>
            <w:color w:val="A44D8E"/>
            <w:spacing w:val="5"/>
            <w:u w:val="single"/>
          </w:rPr>
          <w:t>Updates on entrepreneurship dynamics in Australia</w:t>
        </w:r>
      </w:hyperlink>
      <w:r w:rsidRPr="00300B53">
        <w:rPr>
          <w:rFonts w:ascii="Calibri" w:eastAsia="Calibri" w:hAnsi="Calibri" w:cs="Calibri"/>
          <w:i/>
          <w:iCs/>
          <w:color w:val="A44D8E"/>
          <w:spacing w:val="5"/>
          <w:u w:val="single"/>
        </w:rPr>
        <w:t>,</w:t>
      </w:r>
      <w:r w:rsidRPr="00300B53">
        <w:rPr>
          <w:rFonts w:ascii="Calibri" w:eastAsia="Calibri" w:hAnsi="Calibri" w:cs="Calibri"/>
          <w:color w:val="A44D8E"/>
          <w:spacing w:val="5"/>
          <w:u w:val="single"/>
        </w:rPr>
        <w:t xml:space="preserve"> </w:t>
      </w:r>
      <w:r w:rsidRPr="00300B53">
        <w:rPr>
          <w:rFonts w:ascii="Calibri" w:eastAsia="Calibri" w:hAnsi="Calibri" w:cs="Calibri"/>
        </w:rPr>
        <w:t xml:space="preserve">Department of Industry, Science and Resources, </w:t>
      </w:r>
      <w:r w:rsidRPr="00300B53">
        <w:rPr>
          <w:rFonts w:ascii="Calibri" w:eastAsia="Calibri" w:hAnsi="Calibri" w:cs="Calibri"/>
          <w:color w:val="000000"/>
        </w:rPr>
        <w:t>Australian Government,</w:t>
      </w:r>
    </w:p>
    <w:p w14:paraId="3094659E" w14:textId="77777777" w:rsidR="00300B53" w:rsidRPr="00F6694F" w:rsidRDefault="00300B53" w:rsidP="00CE481E">
      <w:pPr>
        <w:spacing w:after="0" w:line="240" w:lineRule="auto"/>
        <w:rPr>
          <w:rFonts w:ascii="Calibri" w:eastAsia="Calibri" w:hAnsi="Calibri" w:cs="Calibri"/>
          <w:sz w:val="20"/>
          <w:szCs w:val="20"/>
        </w:rPr>
      </w:pPr>
    </w:p>
    <w:p w14:paraId="480B2FD8" w14:textId="6BA00B8D"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rPr>
        <w:t>Office of the Chief Economist (2019)</w:t>
      </w:r>
      <w:r w:rsidRPr="00300B53">
        <w:rPr>
          <w:rFonts w:ascii="Calibri" w:eastAsia="Calibri" w:hAnsi="Calibri" w:cs="Calibri"/>
          <w:i/>
          <w:iCs/>
        </w:rPr>
        <w:t xml:space="preserve"> </w:t>
      </w:r>
      <w:hyperlink r:id="rId61" w:history="1">
        <w:r w:rsidRPr="00300B53">
          <w:rPr>
            <w:rFonts w:ascii="Calibri" w:eastAsia="Calibri" w:hAnsi="Calibri" w:cs="Calibri"/>
            <w:i/>
            <w:iCs/>
            <w:color w:val="0000FF"/>
            <w:spacing w:val="5"/>
            <w:u w:val="single"/>
          </w:rPr>
          <w:t>Do manufacturing entrepreneurs in Australia have (or develop) a productivity advantage?</w:t>
        </w:r>
      </w:hyperlink>
      <w:r w:rsidRPr="00300B53">
        <w:rPr>
          <w:rFonts w:ascii="Calibri" w:eastAsia="Calibri" w:hAnsi="Calibri" w:cs="Calibri"/>
          <w:i/>
          <w:iCs/>
          <w:color w:val="0000FF"/>
          <w:spacing w:val="5"/>
          <w:u w:val="single"/>
        </w:rPr>
        <w:t xml:space="preserve">, </w:t>
      </w:r>
      <w:r w:rsidRPr="00300B53">
        <w:rPr>
          <w:rFonts w:ascii="Calibri" w:eastAsia="Calibri" w:hAnsi="Calibri" w:cs="Calibri"/>
        </w:rPr>
        <w:t xml:space="preserve">Department of Industry, Science and Resources, </w:t>
      </w:r>
      <w:r w:rsidRPr="00300B53">
        <w:rPr>
          <w:rFonts w:ascii="Calibri" w:eastAsia="Calibri" w:hAnsi="Calibri" w:cs="Calibri"/>
          <w:color w:val="000000"/>
        </w:rPr>
        <w:t>Australian Government</w:t>
      </w:r>
    </w:p>
    <w:p w14:paraId="70375C50" w14:textId="77777777" w:rsidR="00300B53" w:rsidRPr="00F6694F" w:rsidRDefault="00300B53" w:rsidP="00CE481E">
      <w:pPr>
        <w:spacing w:after="0" w:line="240" w:lineRule="auto"/>
        <w:rPr>
          <w:rFonts w:ascii="Calibri" w:eastAsia="Calibri" w:hAnsi="Calibri" w:cs="Calibri"/>
          <w:sz w:val="20"/>
          <w:szCs w:val="20"/>
        </w:rPr>
      </w:pPr>
    </w:p>
    <w:p w14:paraId="16DD6A04" w14:textId="27C9A102" w:rsidR="00300B53" w:rsidRPr="00300B53" w:rsidRDefault="00300B53" w:rsidP="00CE481E">
      <w:pPr>
        <w:spacing w:after="0" w:line="240" w:lineRule="auto"/>
        <w:rPr>
          <w:rFonts w:ascii="Calibri" w:eastAsia="Calibri" w:hAnsi="Calibri" w:cs="Calibri"/>
          <w:color w:val="A44D8E"/>
          <w:spacing w:val="5"/>
          <w:u w:val="single"/>
        </w:rPr>
      </w:pPr>
      <w:r w:rsidRPr="00300B53">
        <w:rPr>
          <w:rFonts w:ascii="Calibri" w:eastAsia="Calibri" w:hAnsi="Calibri" w:cs="Calibri"/>
        </w:rPr>
        <w:t>Office of the Chief Economist (2019)</w:t>
      </w:r>
      <w:r w:rsidRPr="00300B53">
        <w:rPr>
          <w:rFonts w:ascii="Calibri" w:eastAsia="Calibri" w:hAnsi="Calibri" w:cs="Calibri"/>
          <w:i/>
          <w:iCs/>
        </w:rPr>
        <w:t xml:space="preserve"> </w:t>
      </w:r>
      <w:hyperlink r:id="rId62" w:history="1">
        <w:r w:rsidRPr="00300B53">
          <w:rPr>
            <w:rFonts w:ascii="Calibri" w:eastAsia="Calibri" w:hAnsi="Calibri" w:cs="Calibri"/>
            <w:i/>
            <w:iCs/>
            <w:color w:val="A44D8E"/>
            <w:spacing w:val="5"/>
            <w:u w:val="single"/>
          </w:rPr>
          <w:t>The characteristics and performance of 457 migrant visa sponsoring businesses</w:t>
        </w:r>
      </w:hyperlink>
      <w:r w:rsidRPr="00300B53">
        <w:rPr>
          <w:rFonts w:ascii="Calibri" w:eastAsia="Calibri" w:hAnsi="Calibri" w:cs="Calibri"/>
          <w:i/>
          <w:iCs/>
          <w:color w:val="A44D8E"/>
          <w:spacing w:val="5"/>
          <w:u w:val="single"/>
        </w:rPr>
        <w:t xml:space="preserve">, </w:t>
      </w:r>
      <w:r w:rsidRPr="00300B53">
        <w:rPr>
          <w:rFonts w:ascii="Calibri" w:eastAsia="Calibri" w:hAnsi="Calibri" w:cs="Calibri"/>
        </w:rPr>
        <w:t xml:space="preserve">Department of Industry, Science and Resources, </w:t>
      </w:r>
      <w:r w:rsidRPr="00300B53">
        <w:rPr>
          <w:rFonts w:ascii="Calibri" w:eastAsia="Calibri" w:hAnsi="Calibri" w:cs="Calibri"/>
          <w:color w:val="000000"/>
        </w:rPr>
        <w:t>Australian Government,</w:t>
      </w:r>
    </w:p>
    <w:p w14:paraId="4738E628" w14:textId="77777777" w:rsidR="00300B53" w:rsidRPr="00F6694F" w:rsidRDefault="00300B53" w:rsidP="00CE481E">
      <w:pPr>
        <w:spacing w:after="0" w:line="240" w:lineRule="auto"/>
        <w:rPr>
          <w:rFonts w:ascii="Calibri" w:eastAsia="Calibri" w:hAnsi="Calibri" w:cs="Calibri"/>
          <w:sz w:val="20"/>
          <w:szCs w:val="20"/>
        </w:rPr>
      </w:pPr>
    </w:p>
    <w:p w14:paraId="6CE26A0A" w14:textId="12BAB9CB"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rPr>
        <w:t xml:space="preserve">Office of the Chief Economist (2019) </w:t>
      </w:r>
      <w:hyperlink r:id="rId63" w:history="1">
        <w:r w:rsidRPr="00300B53">
          <w:rPr>
            <w:rFonts w:ascii="Calibri" w:eastAsia="Calibri" w:hAnsi="Calibri" w:cs="Calibri"/>
            <w:i/>
            <w:iCs/>
            <w:color w:val="0000FF"/>
            <w:u w:val="single"/>
          </w:rPr>
          <w:t>Trends in Market Concentration of Australian Industries</w:t>
        </w:r>
      </w:hyperlink>
      <w:r w:rsidRPr="00300B53">
        <w:rPr>
          <w:rFonts w:ascii="Calibri" w:eastAsia="Calibri" w:hAnsi="Calibri" w:cs="Calibri"/>
          <w:i/>
          <w:iCs/>
          <w:color w:val="000000"/>
        </w:rPr>
        <w:t xml:space="preserve">, </w:t>
      </w:r>
      <w:r w:rsidRPr="00300B53">
        <w:rPr>
          <w:rFonts w:ascii="Calibri" w:eastAsia="Calibri" w:hAnsi="Calibri" w:cs="Calibri"/>
        </w:rPr>
        <w:t xml:space="preserve">Department of Industry, Science and Resources, </w:t>
      </w:r>
      <w:r w:rsidRPr="00300B53">
        <w:rPr>
          <w:rFonts w:ascii="Calibri" w:eastAsia="Calibri" w:hAnsi="Calibri" w:cs="Calibri"/>
          <w:color w:val="000000"/>
        </w:rPr>
        <w:t>Australian Government</w:t>
      </w:r>
    </w:p>
    <w:p w14:paraId="450AF5D9" w14:textId="77777777" w:rsidR="00300B53" w:rsidRPr="00F6694F" w:rsidRDefault="00300B53" w:rsidP="00CE481E">
      <w:pPr>
        <w:spacing w:after="0" w:line="240" w:lineRule="auto"/>
        <w:rPr>
          <w:rFonts w:ascii="Calibri" w:eastAsia="Calibri" w:hAnsi="Calibri" w:cs="Calibri"/>
          <w:color w:val="000000"/>
          <w:sz w:val="20"/>
          <w:szCs w:val="20"/>
        </w:rPr>
      </w:pPr>
    </w:p>
    <w:p w14:paraId="5086552E" w14:textId="6CC88BDF"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rPr>
        <w:t xml:space="preserve">Office of the Chief Economist (2018) </w:t>
      </w:r>
      <w:hyperlink r:id="rId64" w:history="1">
        <w:r w:rsidRPr="00300B53">
          <w:rPr>
            <w:rFonts w:ascii="Calibri" w:eastAsia="Calibri" w:hAnsi="Calibri" w:cs="Calibri"/>
            <w:i/>
            <w:iCs/>
            <w:color w:val="0000FF"/>
            <w:spacing w:val="5"/>
            <w:u w:val="single"/>
          </w:rPr>
          <w:t>The impact of persistent innovation on business growth</w:t>
        </w:r>
      </w:hyperlink>
      <w:r w:rsidRPr="00300B53">
        <w:rPr>
          <w:rFonts w:ascii="Calibri" w:eastAsia="Calibri" w:hAnsi="Calibri" w:cs="Calibri"/>
          <w:color w:val="0000FF"/>
          <w:spacing w:val="5"/>
          <w:u w:val="single"/>
        </w:rPr>
        <w:t xml:space="preserve">, </w:t>
      </w:r>
      <w:r w:rsidRPr="00300B53">
        <w:rPr>
          <w:rFonts w:ascii="Calibri" w:eastAsia="Calibri" w:hAnsi="Calibri" w:cs="Calibri"/>
        </w:rPr>
        <w:t xml:space="preserve">Department of Industry, Science and Resources, </w:t>
      </w:r>
      <w:r w:rsidRPr="00300B53">
        <w:rPr>
          <w:rFonts w:ascii="Calibri" w:eastAsia="Calibri" w:hAnsi="Calibri" w:cs="Calibri"/>
          <w:color w:val="000000"/>
        </w:rPr>
        <w:t>Australian Government</w:t>
      </w:r>
    </w:p>
    <w:p w14:paraId="4C7EAD43" w14:textId="77777777" w:rsidR="00300B53" w:rsidRPr="00F6694F" w:rsidRDefault="00300B53" w:rsidP="00CE481E">
      <w:pPr>
        <w:spacing w:after="0" w:line="240" w:lineRule="auto"/>
        <w:rPr>
          <w:rFonts w:ascii="Calibri" w:eastAsia="Calibri" w:hAnsi="Calibri" w:cs="Calibri"/>
          <w:spacing w:val="5"/>
          <w:sz w:val="20"/>
          <w:szCs w:val="20"/>
        </w:rPr>
      </w:pPr>
    </w:p>
    <w:p w14:paraId="32C9BE3B" w14:textId="77777777"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rPr>
        <w:t>Office of the Chief Economist (2016)</w:t>
      </w:r>
      <w:r w:rsidRPr="00300B53">
        <w:rPr>
          <w:rFonts w:ascii="Calibri" w:eastAsia="Calibri" w:hAnsi="Calibri" w:cs="Calibri"/>
          <w:i/>
          <w:iCs/>
        </w:rPr>
        <w:t xml:space="preserve"> </w:t>
      </w:r>
      <w:hyperlink r:id="rId65" w:history="1">
        <w:r w:rsidRPr="00300B53">
          <w:rPr>
            <w:rFonts w:ascii="Calibri" w:eastAsia="Calibri" w:hAnsi="Calibri" w:cs="Calibri"/>
            <w:i/>
            <w:iCs/>
            <w:color w:val="0000FF"/>
            <w:spacing w:val="5"/>
            <w:u w:val="single"/>
          </w:rPr>
          <w:t>Australian geography of innovative entrepreneurship</w:t>
        </w:r>
      </w:hyperlink>
      <w:r w:rsidRPr="00300B53">
        <w:rPr>
          <w:rFonts w:ascii="Calibri" w:eastAsia="Calibri" w:hAnsi="Calibri" w:cs="Calibri"/>
          <w:color w:val="0000FF"/>
          <w:spacing w:val="5"/>
          <w:u w:val="single"/>
        </w:rPr>
        <w:t xml:space="preserve">, </w:t>
      </w:r>
      <w:r w:rsidRPr="00300B53">
        <w:rPr>
          <w:rFonts w:ascii="Calibri" w:eastAsia="Calibri" w:hAnsi="Calibri" w:cs="Calibri"/>
        </w:rPr>
        <w:t xml:space="preserve">Department of Industry, Science and Resources, </w:t>
      </w:r>
      <w:r w:rsidRPr="00300B53">
        <w:rPr>
          <w:rFonts w:ascii="Calibri" w:eastAsia="Calibri" w:hAnsi="Calibri" w:cs="Calibri"/>
          <w:color w:val="000000"/>
        </w:rPr>
        <w:t>Australian Government, accessed 25 August 2023</w:t>
      </w:r>
    </w:p>
    <w:p w14:paraId="3A10D676" w14:textId="07AF425C" w:rsidR="00300B53" w:rsidRPr="00300B53" w:rsidRDefault="00300B53" w:rsidP="00CE481E">
      <w:pPr>
        <w:spacing w:after="0" w:line="240" w:lineRule="auto"/>
        <w:rPr>
          <w:rFonts w:ascii="Calibri" w:eastAsia="Calibri" w:hAnsi="Calibri" w:cs="Calibri"/>
          <w:lang w:val="en-US"/>
        </w:rPr>
      </w:pPr>
      <w:bookmarkStart w:id="127" w:name="_Hlk135214509"/>
      <w:r w:rsidRPr="00300B53">
        <w:rPr>
          <w:rFonts w:ascii="Calibri" w:eastAsia="Calibri" w:hAnsi="Calibri" w:cs="Calibri"/>
        </w:rPr>
        <w:t xml:space="preserve">Department of Industry, Science and Resources (2023) </w:t>
      </w:r>
      <w:hyperlink r:id="rId66" w:history="1">
        <w:r w:rsidRPr="00300B53">
          <w:rPr>
            <w:rFonts w:ascii="Calibri" w:eastAsia="Calibri" w:hAnsi="Calibri" w:cs="Calibri"/>
            <w:i/>
            <w:iCs/>
            <w:color w:val="0000FF"/>
            <w:u w:val="single"/>
          </w:rPr>
          <w:t>National Science and Research Priorities and National Science Statement</w:t>
        </w:r>
      </w:hyperlink>
      <w:bookmarkEnd w:id="127"/>
      <w:r w:rsidRPr="00300B53">
        <w:rPr>
          <w:rFonts w:ascii="Calibri" w:eastAsia="Calibri" w:hAnsi="Calibri" w:cs="Calibri"/>
        </w:rPr>
        <w:t xml:space="preserve">, </w:t>
      </w:r>
      <w:r w:rsidRPr="00300B53">
        <w:rPr>
          <w:rFonts w:ascii="Calibri" w:eastAsia="Calibri" w:hAnsi="Calibri" w:cs="Calibri"/>
          <w:color w:val="000000"/>
        </w:rPr>
        <w:t>Australian Government</w:t>
      </w:r>
    </w:p>
    <w:p w14:paraId="33004057" w14:textId="77777777" w:rsidR="00300B53" w:rsidRPr="00F6694F" w:rsidRDefault="00300B53" w:rsidP="00CE481E">
      <w:pPr>
        <w:spacing w:after="0" w:line="240" w:lineRule="auto"/>
        <w:rPr>
          <w:rFonts w:ascii="Calibri" w:eastAsia="Calibri" w:hAnsi="Calibri" w:cs="Calibri"/>
          <w:sz w:val="20"/>
          <w:szCs w:val="20"/>
        </w:rPr>
      </w:pPr>
    </w:p>
    <w:p w14:paraId="2BB115E2" w14:textId="0A046454"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Department of Industry, Science and Resources (2019) </w:t>
      </w:r>
      <w:hyperlink r:id="rId67" w:history="1">
        <w:r w:rsidRPr="00300B53">
          <w:rPr>
            <w:rFonts w:ascii="Calibri" w:eastAsia="Calibri" w:hAnsi="Calibri" w:cs="Calibri"/>
            <w:i/>
            <w:iCs/>
            <w:color w:val="0000FF"/>
            <w:u w:val="single"/>
          </w:rPr>
          <w:t>Business Research Collaboration User Centred Design Project</w:t>
        </w:r>
      </w:hyperlink>
      <w:r w:rsidRPr="00300B53">
        <w:rPr>
          <w:rFonts w:ascii="Calibri" w:eastAsia="Calibri" w:hAnsi="Calibri" w:cs="Calibri"/>
          <w:i/>
          <w:iCs/>
          <w:color w:val="000000"/>
        </w:rPr>
        <w:t xml:space="preserve">, </w:t>
      </w:r>
      <w:r w:rsidRPr="00300B53">
        <w:rPr>
          <w:rFonts w:ascii="Calibri" w:eastAsia="Calibri" w:hAnsi="Calibri" w:cs="Calibri"/>
          <w:color w:val="000000"/>
        </w:rPr>
        <w:t>Australian Government</w:t>
      </w:r>
    </w:p>
    <w:p w14:paraId="29C148F7" w14:textId="77777777" w:rsidR="002A1501" w:rsidRPr="00F6694F" w:rsidRDefault="002A1501" w:rsidP="00CE481E">
      <w:pPr>
        <w:spacing w:after="0" w:line="240" w:lineRule="auto"/>
        <w:rPr>
          <w:rFonts w:ascii="Calibri" w:eastAsia="Calibri" w:hAnsi="Calibri" w:cs="Calibri"/>
          <w:sz w:val="20"/>
          <w:szCs w:val="20"/>
        </w:rPr>
      </w:pPr>
    </w:p>
    <w:p w14:paraId="1F59AD2D" w14:textId="6C67C078"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Department of Industry, Science and Resources and Department for Education (2013) </w:t>
      </w:r>
      <w:hyperlink r:id="rId68" w:history="1">
        <w:r w:rsidRPr="00300B53">
          <w:rPr>
            <w:rFonts w:ascii="Calibri" w:eastAsia="Calibri" w:hAnsi="Calibri" w:cs="Calibri"/>
            <w:i/>
            <w:iCs/>
            <w:color w:val="0000FF"/>
            <w:u w:val="single"/>
          </w:rPr>
          <w:t>Discussion paper: Boosting the commercial returns from research</w:t>
        </w:r>
      </w:hyperlink>
      <w:r w:rsidRPr="00300B53">
        <w:rPr>
          <w:rFonts w:ascii="Calibri" w:eastAsia="Calibri" w:hAnsi="Calibri" w:cs="Calibri"/>
        </w:rPr>
        <w:t xml:space="preserve">, </w:t>
      </w:r>
      <w:r w:rsidRPr="00300B53">
        <w:rPr>
          <w:rFonts w:ascii="Calibri" w:eastAsia="Calibri" w:hAnsi="Calibri" w:cs="Calibri"/>
          <w:color w:val="000000"/>
        </w:rPr>
        <w:t>Australian Government</w:t>
      </w:r>
    </w:p>
    <w:p w14:paraId="4E554820" w14:textId="77777777" w:rsidR="00300B53" w:rsidRPr="00300B53" w:rsidRDefault="00300B53" w:rsidP="00CE481E">
      <w:pPr>
        <w:spacing w:after="0" w:line="240" w:lineRule="auto"/>
        <w:rPr>
          <w:rFonts w:ascii="Calibri" w:eastAsia="Calibri" w:hAnsi="Calibri" w:cs="Calibri"/>
        </w:rPr>
      </w:pPr>
    </w:p>
    <w:p w14:paraId="38BCD6FB" w14:textId="00CB2224"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Department of Industry, Science and Resources (2018) </w:t>
      </w:r>
      <w:hyperlink r:id="rId69" w:history="1">
        <w:r w:rsidRPr="00300B53">
          <w:rPr>
            <w:rFonts w:ascii="Calibri" w:eastAsia="Calibri" w:hAnsi="Calibri" w:cs="Calibri"/>
            <w:i/>
            <w:iCs/>
            <w:color w:val="0000FF"/>
            <w:u w:val="single"/>
            <w:shd w:val="clear" w:color="auto" w:fill="FFFFFF"/>
          </w:rPr>
          <w:t>Partnering with Australia on Innovation, Science and Research profiles</w:t>
        </w:r>
      </w:hyperlink>
      <w:r w:rsidRPr="00300B53">
        <w:rPr>
          <w:rFonts w:ascii="Calibri" w:eastAsia="Calibri" w:hAnsi="Calibri" w:cs="Calibri"/>
        </w:rPr>
        <w:t xml:space="preserve">, </w:t>
      </w:r>
      <w:r w:rsidRPr="00300B53">
        <w:rPr>
          <w:rFonts w:ascii="Calibri" w:eastAsia="Calibri" w:hAnsi="Calibri" w:cs="Calibri"/>
          <w:color w:val="000000"/>
        </w:rPr>
        <w:t>Australian Government</w:t>
      </w:r>
    </w:p>
    <w:p w14:paraId="3F902F7A" w14:textId="77777777" w:rsidR="00300B53" w:rsidRPr="00300B53" w:rsidRDefault="00300B53" w:rsidP="00CE481E">
      <w:pPr>
        <w:spacing w:after="0" w:line="240" w:lineRule="auto"/>
        <w:rPr>
          <w:rFonts w:ascii="Calibri" w:eastAsia="Calibri" w:hAnsi="Calibri" w:cs="Calibri"/>
        </w:rPr>
      </w:pPr>
    </w:p>
    <w:p w14:paraId="197A426D" w14:textId="1355C05C"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Department of Industry, Science and Resources (2015) </w:t>
      </w:r>
      <w:hyperlink r:id="rId70" w:history="1">
        <w:r w:rsidRPr="00300B53">
          <w:rPr>
            <w:rFonts w:ascii="Calibri" w:eastAsia="Calibri" w:hAnsi="Calibri" w:cs="Calibri"/>
            <w:i/>
            <w:iCs/>
            <w:color w:val="0000FF"/>
            <w:u w:val="single"/>
          </w:rPr>
          <w:t>Survey of Research Service Providers registered under the R&amp;D Tax Incentive Programme</w:t>
        </w:r>
      </w:hyperlink>
      <w:r w:rsidRPr="00300B53">
        <w:rPr>
          <w:rFonts w:ascii="Calibri" w:eastAsia="Calibri" w:hAnsi="Calibri" w:cs="Calibri"/>
        </w:rPr>
        <w:t xml:space="preserve">, </w:t>
      </w:r>
      <w:r w:rsidRPr="00300B53">
        <w:rPr>
          <w:rFonts w:ascii="Calibri" w:eastAsia="Calibri" w:hAnsi="Calibri" w:cs="Calibri"/>
          <w:color w:val="000000"/>
        </w:rPr>
        <w:t>Australian Government</w:t>
      </w:r>
    </w:p>
    <w:p w14:paraId="025300AE" w14:textId="77777777" w:rsidR="00300B53" w:rsidRPr="00300B53" w:rsidRDefault="00300B53" w:rsidP="00CE481E">
      <w:pPr>
        <w:spacing w:after="0" w:line="240" w:lineRule="auto"/>
        <w:rPr>
          <w:rFonts w:ascii="Calibri" w:eastAsia="Calibri" w:hAnsi="Calibri" w:cs="Calibri"/>
        </w:rPr>
      </w:pPr>
    </w:p>
    <w:p w14:paraId="454DC5B6" w14:textId="21EC26E7"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rPr>
        <w:t xml:space="preserve">Department of Industry, Innovation, Science, Research and Tertiary Education (2012) </w:t>
      </w:r>
      <w:hyperlink r:id="rId71" w:history="1">
        <w:r w:rsidRPr="00300B53">
          <w:rPr>
            <w:rFonts w:ascii="Calibri" w:eastAsia="Calibri" w:hAnsi="Calibri" w:cs="Calibri"/>
            <w:i/>
            <w:iCs/>
            <w:color w:val="0000FF"/>
            <w:u w:val="single"/>
          </w:rPr>
          <w:t>Australian Small Business Key Statistics and Analysis</w:t>
        </w:r>
      </w:hyperlink>
      <w:r w:rsidRPr="00300B53">
        <w:rPr>
          <w:rFonts w:ascii="Calibri" w:eastAsia="Calibri" w:hAnsi="Calibri" w:cs="Calibri"/>
          <w:color w:val="000000"/>
        </w:rPr>
        <w:t>, Australian Government</w:t>
      </w:r>
    </w:p>
    <w:p w14:paraId="53A6C14B" w14:textId="77777777" w:rsidR="00300B53" w:rsidRPr="00300B53" w:rsidRDefault="00300B53" w:rsidP="00CE481E">
      <w:pPr>
        <w:spacing w:after="0" w:line="240" w:lineRule="auto"/>
        <w:rPr>
          <w:rFonts w:ascii="Calibri" w:eastAsia="Calibri" w:hAnsi="Calibri" w:cs="Calibri"/>
          <w:i/>
          <w:iCs/>
        </w:rPr>
      </w:pPr>
    </w:p>
    <w:p w14:paraId="3F52337C" w14:textId="57820393" w:rsidR="00300B53" w:rsidRPr="00300B53" w:rsidRDefault="00300B53" w:rsidP="00CE481E">
      <w:pPr>
        <w:spacing w:after="0" w:line="240" w:lineRule="auto"/>
        <w:rPr>
          <w:rFonts w:ascii="Calibri" w:eastAsia="Calibri" w:hAnsi="Calibri" w:cs="Calibri"/>
        </w:rPr>
      </w:pPr>
      <w:bookmarkStart w:id="128" w:name="_Hlk145073802"/>
      <w:r w:rsidRPr="00300B53">
        <w:rPr>
          <w:rFonts w:ascii="Calibri" w:eastAsia="Calibri" w:hAnsi="Calibri" w:cs="Calibri"/>
        </w:rPr>
        <w:t xml:space="preserve">Department of Education (2022) </w:t>
      </w:r>
      <w:hyperlink r:id="rId72" w:history="1">
        <w:r w:rsidRPr="00300B53">
          <w:rPr>
            <w:rFonts w:ascii="Calibri" w:eastAsia="Calibri" w:hAnsi="Calibri" w:cs="Calibri"/>
            <w:i/>
            <w:iCs/>
            <w:color w:val="0000FF"/>
            <w:u w:val="single"/>
          </w:rPr>
          <w:t>University Research Commercialisation Action Plan</w:t>
        </w:r>
      </w:hyperlink>
      <w:r w:rsidRPr="00300B53">
        <w:rPr>
          <w:rFonts w:ascii="Calibri" w:eastAsia="Calibri" w:hAnsi="Calibri" w:cs="Calibri"/>
          <w:i/>
          <w:iCs/>
          <w:color w:val="000000"/>
        </w:rPr>
        <w:t xml:space="preserve">, </w:t>
      </w:r>
      <w:r w:rsidRPr="00300B53">
        <w:rPr>
          <w:rFonts w:ascii="Calibri" w:eastAsia="Calibri" w:hAnsi="Calibri" w:cs="Calibri"/>
          <w:color w:val="000000"/>
        </w:rPr>
        <w:t>Australian Government</w:t>
      </w:r>
    </w:p>
    <w:bookmarkEnd w:id="128"/>
    <w:p w14:paraId="4F8E02B3" w14:textId="77777777" w:rsidR="00300B53" w:rsidRPr="00300B53" w:rsidRDefault="00300B53" w:rsidP="00CE481E">
      <w:pPr>
        <w:spacing w:after="0" w:line="240" w:lineRule="auto"/>
        <w:rPr>
          <w:rFonts w:ascii="Calibri" w:eastAsia="Calibri" w:hAnsi="Calibri" w:cs="Calibri"/>
        </w:rPr>
      </w:pPr>
    </w:p>
    <w:p w14:paraId="160A6106" w14:textId="603B3095"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Department of Education (2021) </w:t>
      </w:r>
      <w:hyperlink r:id="rId73" w:history="1">
        <w:r w:rsidRPr="00300B53">
          <w:rPr>
            <w:rFonts w:ascii="Calibri" w:eastAsia="Calibri" w:hAnsi="Calibri" w:cs="Calibri"/>
            <w:i/>
            <w:iCs/>
            <w:color w:val="0000FF"/>
            <w:u w:val="single"/>
          </w:rPr>
          <w:t>U</w:t>
        </w:r>
        <w:r w:rsidR="00CD557D">
          <w:rPr>
            <w:rFonts w:ascii="Calibri" w:eastAsia="Calibri" w:hAnsi="Calibri" w:cs="Calibri"/>
            <w:i/>
            <w:iCs/>
            <w:color w:val="0000FF"/>
            <w:u w:val="single"/>
          </w:rPr>
          <w:t xml:space="preserve">niversity </w:t>
        </w:r>
        <w:r w:rsidRPr="00300B53">
          <w:rPr>
            <w:rFonts w:ascii="Calibri" w:eastAsia="Calibri" w:hAnsi="Calibri" w:cs="Calibri"/>
            <w:i/>
            <w:iCs/>
            <w:color w:val="0000FF"/>
            <w:u w:val="single"/>
          </w:rPr>
          <w:t>R</w:t>
        </w:r>
        <w:r w:rsidR="00CD557D">
          <w:rPr>
            <w:rFonts w:ascii="Calibri" w:eastAsia="Calibri" w:hAnsi="Calibri" w:cs="Calibri"/>
            <w:i/>
            <w:iCs/>
            <w:color w:val="0000FF"/>
            <w:u w:val="single"/>
          </w:rPr>
          <w:t xml:space="preserve">esearch </w:t>
        </w:r>
        <w:r w:rsidRPr="00300B53">
          <w:rPr>
            <w:rFonts w:ascii="Calibri" w:eastAsia="Calibri" w:hAnsi="Calibri" w:cs="Calibri"/>
            <w:i/>
            <w:iCs/>
            <w:color w:val="0000FF"/>
            <w:u w:val="single"/>
          </w:rPr>
          <w:t>C</w:t>
        </w:r>
        <w:r w:rsidR="00CD557D">
          <w:rPr>
            <w:rFonts w:ascii="Calibri" w:eastAsia="Calibri" w:hAnsi="Calibri" w:cs="Calibri"/>
            <w:i/>
            <w:iCs/>
            <w:color w:val="0000FF"/>
            <w:u w:val="single"/>
          </w:rPr>
          <w:t>ommercialisation</w:t>
        </w:r>
        <w:r w:rsidRPr="00300B53">
          <w:rPr>
            <w:rFonts w:ascii="Calibri" w:eastAsia="Calibri" w:hAnsi="Calibri" w:cs="Calibri"/>
            <w:i/>
            <w:iCs/>
            <w:color w:val="0000FF"/>
            <w:u w:val="single"/>
          </w:rPr>
          <w:t xml:space="preserve"> Consultation Paper</w:t>
        </w:r>
      </w:hyperlink>
      <w:r w:rsidRPr="00300B53">
        <w:rPr>
          <w:rFonts w:ascii="Calibri" w:eastAsia="Calibri" w:hAnsi="Calibri" w:cs="Calibri"/>
        </w:rPr>
        <w:t xml:space="preserve">, </w:t>
      </w:r>
      <w:r w:rsidRPr="00300B53">
        <w:rPr>
          <w:rFonts w:ascii="Calibri" w:eastAsia="Calibri" w:hAnsi="Calibri" w:cs="Calibri"/>
          <w:color w:val="000000"/>
        </w:rPr>
        <w:t>Australian Government</w:t>
      </w:r>
    </w:p>
    <w:p w14:paraId="2738EE69" w14:textId="77777777" w:rsidR="00300B53" w:rsidRPr="00300B53" w:rsidRDefault="00300B53" w:rsidP="00CE481E">
      <w:pPr>
        <w:spacing w:after="0" w:line="240" w:lineRule="auto"/>
        <w:rPr>
          <w:rFonts w:ascii="Calibri" w:eastAsia="Calibri" w:hAnsi="Calibri" w:cs="Calibri"/>
          <w:lang w:val="en-US"/>
        </w:rPr>
      </w:pPr>
    </w:p>
    <w:p w14:paraId="4E1EF3B5" w14:textId="77777777"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rPr>
        <w:t xml:space="preserve">Department of Education (2023) </w:t>
      </w:r>
      <w:hyperlink r:id="rId74" w:history="1">
        <w:r w:rsidRPr="00300B53">
          <w:rPr>
            <w:rFonts w:ascii="Calibri" w:eastAsia="Calibri" w:hAnsi="Calibri" w:cs="Calibri"/>
            <w:i/>
            <w:iCs/>
            <w:color w:val="0000FF"/>
            <w:u w:val="single"/>
          </w:rPr>
          <w:t>Universities Accord Discussion paper</w:t>
        </w:r>
      </w:hyperlink>
      <w:r w:rsidRPr="00300B53">
        <w:rPr>
          <w:rFonts w:ascii="Calibri" w:eastAsia="Calibri" w:hAnsi="Calibri" w:cs="Calibri"/>
        </w:rPr>
        <w:t xml:space="preserve">, </w:t>
      </w:r>
      <w:r w:rsidRPr="00300B53">
        <w:rPr>
          <w:rFonts w:ascii="Calibri" w:eastAsia="Calibri" w:hAnsi="Calibri" w:cs="Calibri"/>
          <w:color w:val="000000"/>
        </w:rPr>
        <w:t>Australian Government, accessed 25 August 2023</w:t>
      </w:r>
    </w:p>
    <w:p w14:paraId="2B47034C" w14:textId="77777777" w:rsidR="00CD557D" w:rsidRDefault="00CD557D" w:rsidP="00CE481E">
      <w:pPr>
        <w:spacing w:after="0" w:line="240" w:lineRule="auto"/>
        <w:rPr>
          <w:rFonts w:ascii="Calibri" w:eastAsia="Calibri" w:hAnsi="Calibri" w:cs="Calibri"/>
        </w:rPr>
      </w:pPr>
    </w:p>
    <w:p w14:paraId="14783E20" w14:textId="6B3354BF"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Department of Education (2021) </w:t>
      </w:r>
      <w:hyperlink r:id="rId75" w:history="1">
        <w:r w:rsidRPr="00300B53">
          <w:rPr>
            <w:rFonts w:ascii="Calibri" w:eastAsia="Calibri" w:hAnsi="Calibri" w:cs="Calibri"/>
            <w:i/>
            <w:iCs/>
            <w:color w:val="0000FF"/>
            <w:u w:val="single"/>
          </w:rPr>
          <w:t>2021 NRI Roadmap public consultation paper on industry engagement</w:t>
        </w:r>
      </w:hyperlink>
      <w:r w:rsidRPr="00300B53">
        <w:rPr>
          <w:rFonts w:ascii="Calibri" w:eastAsia="Calibri" w:hAnsi="Calibri" w:cs="Calibri"/>
          <w:i/>
          <w:iCs/>
        </w:rPr>
        <w:t>,</w:t>
      </w:r>
      <w:r w:rsidRPr="00300B53">
        <w:rPr>
          <w:rFonts w:ascii="Calibri" w:eastAsia="Calibri" w:hAnsi="Calibri" w:cs="Calibri"/>
        </w:rPr>
        <w:t xml:space="preserve"> </w:t>
      </w:r>
      <w:r w:rsidRPr="00300B53">
        <w:rPr>
          <w:rFonts w:ascii="Calibri" w:eastAsia="Calibri" w:hAnsi="Calibri" w:cs="Calibri"/>
          <w:color w:val="000000"/>
        </w:rPr>
        <w:t>Australian Government</w:t>
      </w:r>
    </w:p>
    <w:p w14:paraId="63F3FD28" w14:textId="77777777" w:rsidR="00300B53" w:rsidRPr="00300B53" w:rsidRDefault="00300B53" w:rsidP="00CE481E">
      <w:pPr>
        <w:spacing w:after="0" w:line="240" w:lineRule="auto"/>
        <w:rPr>
          <w:rFonts w:ascii="Calibri" w:eastAsia="Calibri" w:hAnsi="Calibri" w:cs="Calibri"/>
        </w:rPr>
      </w:pPr>
    </w:p>
    <w:p w14:paraId="2243D5D4" w14:textId="6E12B209"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Department of Education (2021)</w:t>
      </w:r>
      <w:r w:rsidRPr="00300B53">
        <w:rPr>
          <w:rFonts w:ascii="Calibri" w:eastAsia="Calibri" w:hAnsi="Calibri" w:cs="Calibri"/>
          <w:i/>
          <w:iCs/>
        </w:rPr>
        <w:t xml:space="preserve"> </w:t>
      </w:r>
      <w:hyperlink r:id="rId76" w:history="1">
        <w:r w:rsidRPr="00300B53">
          <w:rPr>
            <w:rFonts w:ascii="Calibri" w:eastAsia="Calibri" w:hAnsi="Calibri" w:cs="Calibri"/>
            <w:i/>
            <w:iCs/>
            <w:color w:val="0000FF"/>
            <w:u w:val="single"/>
          </w:rPr>
          <w:t>2021 NRI Roadmap industry engagement ideas jam summary report</w:t>
        </w:r>
      </w:hyperlink>
      <w:r w:rsidRPr="00300B53">
        <w:rPr>
          <w:rFonts w:ascii="Calibri" w:eastAsia="Calibri" w:hAnsi="Calibri" w:cs="Calibri"/>
          <w:i/>
          <w:iCs/>
        </w:rPr>
        <w:t>,</w:t>
      </w:r>
      <w:r w:rsidRPr="00300B53">
        <w:rPr>
          <w:rFonts w:ascii="Calibri" w:eastAsia="Calibri" w:hAnsi="Calibri" w:cs="Calibri"/>
        </w:rPr>
        <w:t xml:space="preserve"> </w:t>
      </w:r>
      <w:r w:rsidRPr="00300B53">
        <w:rPr>
          <w:rFonts w:ascii="Calibri" w:eastAsia="Calibri" w:hAnsi="Calibri" w:cs="Calibri"/>
          <w:color w:val="000000"/>
        </w:rPr>
        <w:t>Australian Government</w:t>
      </w:r>
    </w:p>
    <w:p w14:paraId="1F6EE7E1" w14:textId="77777777" w:rsidR="00300B53" w:rsidRPr="00300B53" w:rsidRDefault="00300B53" w:rsidP="00CE481E">
      <w:pPr>
        <w:spacing w:after="0" w:line="240" w:lineRule="auto"/>
        <w:rPr>
          <w:rFonts w:ascii="Calibri" w:eastAsia="Calibri" w:hAnsi="Calibri" w:cs="Calibri"/>
          <w:spacing w:val="5"/>
          <w:u w:val="single"/>
        </w:rPr>
      </w:pPr>
    </w:p>
    <w:p w14:paraId="7CC26F9C" w14:textId="23A41256"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Department of the Treasury (2022) </w:t>
      </w:r>
      <w:hyperlink r:id="rId77" w:history="1">
        <w:r w:rsidRPr="00300B53">
          <w:rPr>
            <w:rFonts w:ascii="Calibri" w:eastAsia="Calibri" w:hAnsi="Calibri" w:cs="Calibri"/>
            <w:i/>
            <w:iCs/>
            <w:color w:val="0000FF"/>
            <w:u w:val="single"/>
          </w:rPr>
          <w:t xml:space="preserve">Reaching for the stars: Australian </w:t>
        </w:r>
        <w:r w:rsidR="00671080">
          <w:rPr>
            <w:rFonts w:ascii="Calibri" w:eastAsia="Calibri" w:hAnsi="Calibri" w:cs="Calibri"/>
            <w:i/>
            <w:iCs/>
            <w:color w:val="0000FF"/>
            <w:u w:val="single"/>
          </w:rPr>
          <w:t>businesses</w:t>
        </w:r>
        <w:r w:rsidRPr="00300B53">
          <w:rPr>
            <w:rFonts w:ascii="Calibri" w:eastAsia="Calibri" w:hAnsi="Calibri" w:cs="Calibri"/>
            <w:i/>
            <w:iCs/>
            <w:color w:val="0000FF"/>
            <w:u w:val="single"/>
          </w:rPr>
          <w:t xml:space="preserve"> and the global productivity frontier</w:t>
        </w:r>
      </w:hyperlink>
      <w:r w:rsidRPr="00300B53">
        <w:rPr>
          <w:rFonts w:ascii="Calibri" w:eastAsia="Calibri" w:hAnsi="Calibri" w:cs="Calibri"/>
          <w:i/>
          <w:iCs/>
        </w:rPr>
        <w:t>,</w:t>
      </w:r>
      <w:r w:rsidRPr="00300B53">
        <w:rPr>
          <w:rFonts w:ascii="Calibri" w:eastAsia="Calibri" w:hAnsi="Calibri" w:cs="Calibri"/>
        </w:rPr>
        <w:t xml:space="preserve"> </w:t>
      </w:r>
      <w:r w:rsidRPr="00300B53">
        <w:rPr>
          <w:rFonts w:ascii="Calibri" w:eastAsia="Calibri" w:hAnsi="Calibri" w:cs="Calibri"/>
          <w:color w:val="000000"/>
        </w:rPr>
        <w:t>Australian Government</w:t>
      </w:r>
      <w:r w:rsidRPr="00300B53">
        <w:rPr>
          <w:rFonts w:ascii="Calibri" w:eastAsia="Calibri" w:hAnsi="Calibri" w:cs="Calibri"/>
        </w:rPr>
        <w:t xml:space="preserve">, </w:t>
      </w:r>
      <w:r w:rsidRPr="00300B53">
        <w:rPr>
          <w:rFonts w:ascii="Calibri" w:eastAsia="Calibri" w:hAnsi="Calibri" w:cs="Calibri"/>
          <w:color w:val="000000"/>
        </w:rPr>
        <w:t>accessed 25 August 2023</w:t>
      </w:r>
    </w:p>
    <w:p w14:paraId="4A40C1CF" w14:textId="77777777" w:rsidR="00300B53" w:rsidRPr="00300B53" w:rsidRDefault="00300B53" w:rsidP="00CE481E">
      <w:pPr>
        <w:spacing w:after="0" w:line="240" w:lineRule="auto"/>
        <w:rPr>
          <w:rFonts w:ascii="Calibri" w:eastAsia="Calibri" w:hAnsi="Calibri" w:cs="Calibri"/>
        </w:rPr>
      </w:pPr>
    </w:p>
    <w:p w14:paraId="31581212" w14:textId="15393206"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Department of the Treasury (2017) </w:t>
      </w:r>
      <w:hyperlink r:id="rId78" w:history="1">
        <w:r w:rsidRPr="00300B53">
          <w:rPr>
            <w:rFonts w:ascii="Calibri" w:eastAsia="Calibri" w:hAnsi="Calibri" w:cs="Calibri"/>
            <w:i/>
            <w:iCs/>
            <w:color w:val="0000FF"/>
            <w:u w:val="single"/>
          </w:rPr>
          <w:t>Australian productivity trends and the effect of structural change</w:t>
        </w:r>
      </w:hyperlink>
      <w:r w:rsidRPr="00300B53">
        <w:rPr>
          <w:rFonts w:ascii="Calibri" w:eastAsia="Calibri" w:hAnsi="Calibri" w:cs="Calibri"/>
          <w:i/>
          <w:iCs/>
        </w:rPr>
        <w:t>,</w:t>
      </w:r>
      <w:r w:rsidRPr="00300B53">
        <w:rPr>
          <w:rFonts w:ascii="Calibri" w:eastAsia="Calibri" w:hAnsi="Calibri" w:cs="Calibri"/>
        </w:rPr>
        <w:t xml:space="preserve"> </w:t>
      </w:r>
      <w:r w:rsidRPr="00300B53">
        <w:rPr>
          <w:rFonts w:ascii="Calibri" w:eastAsia="Calibri" w:hAnsi="Calibri" w:cs="Calibri"/>
          <w:color w:val="000000"/>
        </w:rPr>
        <w:t>Australian Government</w:t>
      </w:r>
    </w:p>
    <w:p w14:paraId="1AB9F749" w14:textId="77777777" w:rsidR="00300B53" w:rsidRPr="00300B53" w:rsidRDefault="00300B53" w:rsidP="00CE481E">
      <w:pPr>
        <w:spacing w:after="0" w:line="240" w:lineRule="auto"/>
        <w:rPr>
          <w:rFonts w:ascii="Calibri" w:eastAsia="Calibri" w:hAnsi="Calibri" w:cs="Calibri"/>
        </w:rPr>
      </w:pPr>
    </w:p>
    <w:p w14:paraId="6B506E94" w14:textId="249F0137"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Productivity Commission (2020) </w:t>
      </w:r>
      <w:hyperlink r:id="rId79" w:history="1">
        <w:r w:rsidRPr="00300B53">
          <w:rPr>
            <w:rFonts w:ascii="Calibri" w:eastAsia="Calibri" w:hAnsi="Calibri" w:cs="Calibri"/>
            <w:i/>
            <w:iCs/>
            <w:color w:val="0000FF"/>
            <w:u w:val="single"/>
          </w:rPr>
          <w:t>Can Australia be a productivity leader?</w:t>
        </w:r>
      </w:hyperlink>
      <w:r w:rsidRPr="00300B53">
        <w:rPr>
          <w:rFonts w:ascii="Calibri" w:eastAsia="Calibri" w:hAnsi="Calibri" w:cs="Calibri"/>
        </w:rPr>
        <w:t xml:space="preserve">, Department of the Treasury, </w:t>
      </w:r>
      <w:r w:rsidRPr="00300B53">
        <w:rPr>
          <w:rFonts w:ascii="Calibri" w:eastAsia="Calibri" w:hAnsi="Calibri" w:cs="Calibri"/>
          <w:color w:val="000000"/>
        </w:rPr>
        <w:t>Australian Government</w:t>
      </w:r>
    </w:p>
    <w:p w14:paraId="07AF136A" w14:textId="77777777" w:rsidR="00300B53" w:rsidRPr="00300B53" w:rsidRDefault="00300B53" w:rsidP="00CE481E">
      <w:pPr>
        <w:spacing w:after="0" w:line="240" w:lineRule="auto"/>
        <w:rPr>
          <w:rFonts w:ascii="Calibri" w:eastAsia="Calibri" w:hAnsi="Calibri" w:cs="Calibri"/>
          <w:bdr w:val="none" w:sz="0" w:space="0" w:color="auto" w:frame="1"/>
        </w:rPr>
      </w:pPr>
    </w:p>
    <w:p w14:paraId="62886F7F" w14:textId="743C6BD5"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bdr w:val="none" w:sz="0" w:space="0" w:color="auto" w:frame="1"/>
        </w:rPr>
        <w:t xml:space="preserve">Noble, David; Charles, Michael B.; </w:t>
      </w:r>
      <w:proofErr w:type="spellStart"/>
      <w:r w:rsidRPr="00300B53">
        <w:rPr>
          <w:rFonts w:ascii="Calibri" w:eastAsia="Calibri" w:hAnsi="Calibri" w:cs="Calibri"/>
          <w:bdr w:val="none" w:sz="0" w:space="0" w:color="auto" w:frame="1"/>
        </w:rPr>
        <w:t>Keast</w:t>
      </w:r>
      <w:proofErr w:type="spellEnd"/>
      <w:r w:rsidRPr="00300B53">
        <w:rPr>
          <w:rFonts w:ascii="Calibri" w:eastAsia="Calibri" w:hAnsi="Calibri" w:cs="Calibri"/>
          <w:bdr w:val="none" w:sz="0" w:space="0" w:color="auto" w:frame="1"/>
        </w:rPr>
        <w:t>, Robyn. </w:t>
      </w:r>
      <w:hyperlink r:id="rId80" w:anchor="db=bth&amp;jid=5JH" w:history="1">
        <w:r w:rsidRPr="00300B53">
          <w:rPr>
            <w:rFonts w:ascii="Calibri" w:eastAsia="Calibri" w:hAnsi="Calibri" w:cs="Calibri"/>
            <w:i/>
            <w:iCs/>
            <w:color w:val="0000FF"/>
            <w:u w:val="single"/>
            <w:bdr w:val="none" w:sz="0" w:space="0" w:color="auto" w:frame="1"/>
          </w:rPr>
          <w:t>Australian Economic Papers March 2023:</w:t>
        </w:r>
      </w:hyperlink>
      <w:r w:rsidRPr="00300B53">
        <w:rPr>
          <w:rFonts w:ascii="Calibri" w:eastAsia="Calibri" w:hAnsi="Calibri" w:cs="Calibri"/>
          <w:i/>
          <w:iCs/>
          <w:bdr w:val="none" w:sz="0" w:space="0" w:color="auto" w:frame="1"/>
        </w:rPr>
        <w:t xml:space="preserve"> </w:t>
      </w:r>
      <w:hyperlink r:id="rId81" w:anchor="db=bth&amp;jid=5JH" w:history="1">
        <w:r w:rsidRPr="00300B53">
          <w:rPr>
            <w:rFonts w:ascii="Calibri" w:eastAsia="Calibri" w:hAnsi="Calibri" w:cs="Calibri"/>
            <w:i/>
            <w:iCs/>
            <w:color w:val="0000FF"/>
            <w:u w:val="single"/>
          </w:rPr>
          <w:t>Valuing intangible outcomes of Cooperative Research Centres</w:t>
        </w:r>
      </w:hyperlink>
      <w:r w:rsidRPr="00300B53">
        <w:rPr>
          <w:rFonts w:ascii="Calibri" w:eastAsia="Calibri" w:hAnsi="Calibri" w:cs="Calibri"/>
          <w:i/>
          <w:iCs/>
          <w:bdr w:val="none" w:sz="0" w:space="0" w:color="auto" w:frame="1"/>
        </w:rPr>
        <w:t xml:space="preserve"> </w:t>
      </w:r>
      <w:hyperlink r:id="rId82" w:anchor="db=bth&amp;jid=5JH" w:history="1">
        <w:r w:rsidRPr="00300B53">
          <w:rPr>
            <w:rFonts w:ascii="Calibri" w:eastAsia="Calibri" w:hAnsi="Calibri" w:cs="Calibri"/>
            <w:i/>
            <w:iCs/>
            <w:color w:val="0000FF"/>
            <w:u w:val="single"/>
            <w:bdr w:val="none" w:sz="0" w:space="0" w:color="auto" w:frame="1"/>
          </w:rPr>
          <w:t>Vol. 62 Issue 1</w:t>
        </w:r>
      </w:hyperlink>
      <w:r w:rsidRPr="00300B53">
        <w:rPr>
          <w:rFonts w:ascii="Calibri" w:eastAsia="Calibri" w:hAnsi="Calibri" w:cs="Calibri"/>
          <w:i/>
          <w:iCs/>
          <w:color w:val="000000"/>
        </w:rPr>
        <w:t xml:space="preserve">, </w:t>
      </w:r>
      <w:r w:rsidRPr="00300B53">
        <w:rPr>
          <w:rFonts w:ascii="Calibri" w:eastAsia="Calibri" w:hAnsi="Calibri" w:cs="Calibri"/>
        </w:rPr>
        <w:t xml:space="preserve">Department of the Treasury, </w:t>
      </w:r>
      <w:r w:rsidRPr="00300B53">
        <w:rPr>
          <w:rFonts w:ascii="Calibri" w:eastAsia="Calibri" w:hAnsi="Calibri" w:cs="Calibri"/>
          <w:color w:val="000000"/>
        </w:rPr>
        <w:t>Australian Government</w:t>
      </w:r>
    </w:p>
    <w:p w14:paraId="272A3880" w14:textId="77777777" w:rsidR="00300B53" w:rsidRPr="00300B53" w:rsidRDefault="00300B53" w:rsidP="00CE481E">
      <w:pPr>
        <w:spacing w:after="0" w:line="240" w:lineRule="auto"/>
        <w:rPr>
          <w:rFonts w:ascii="Calibri" w:eastAsia="Calibri" w:hAnsi="Calibri" w:cs="Calibri"/>
        </w:rPr>
      </w:pPr>
    </w:p>
    <w:p w14:paraId="19C6466B" w14:textId="57A34BF0"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rPr>
        <w:t xml:space="preserve">Australian Consumer Competition Commission (24 April 2023) </w:t>
      </w:r>
      <w:hyperlink r:id="rId83" w:history="1">
        <w:r w:rsidRPr="00300B53">
          <w:rPr>
            <w:rFonts w:ascii="Calibri" w:eastAsia="Calibri" w:hAnsi="Calibri" w:cs="Calibri"/>
            <w:i/>
            <w:iCs/>
            <w:color w:val="0000FF"/>
            <w:u w:val="single"/>
          </w:rPr>
          <w:t>Submission to the Australian Parliament, House of Representatives Inquiry into Promoting Economic Dynamism, Competition and Business formation</w:t>
        </w:r>
      </w:hyperlink>
      <w:r w:rsidRPr="00300B53">
        <w:rPr>
          <w:rFonts w:ascii="Calibri" w:eastAsia="Calibri" w:hAnsi="Calibri" w:cs="Calibri"/>
          <w:i/>
          <w:iCs/>
          <w:color w:val="000000"/>
        </w:rPr>
        <w:t xml:space="preserve">, </w:t>
      </w:r>
      <w:r w:rsidRPr="00300B53">
        <w:rPr>
          <w:rFonts w:ascii="Calibri" w:eastAsia="Calibri" w:hAnsi="Calibri" w:cs="Calibri"/>
        </w:rPr>
        <w:t xml:space="preserve">Department of the Treasury, </w:t>
      </w:r>
      <w:r w:rsidRPr="00300B53">
        <w:rPr>
          <w:rFonts w:ascii="Calibri" w:eastAsia="Calibri" w:hAnsi="Calibri" w:cs="Calibri"/>
          <w:color w:val="000000"/>
        </w:rPr>
        <w:t>Australian Government</w:t>
      </w:r>
    </w:p>
    <w:p w14:paraId="66882806" w14:textId="77777777" w:rsidR="00300B53" w:rsidRPr="00300B53" w:rsidRDefault="00300B53" w:rsidP="00CE481E">
      <w:pPr>
        <w:spacing w:after="0" w:line="240" w:lineRule="auto"/>
        <w:rPr>
          <w:rFonts w:ascii="Calibri" w:eastAsia="Calibri" w:hAnsi="Calibri" w:cs="Calibri"/>
          <w:u w:val="single"/>
        </w:rPr>
      </w:pPr>
    </w:p>
    <w:p w14:paraId="10744E04" w14:textId="11E55A5C"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rPr>
        <w:t xml:space="preserve">Australian National Audit Office (2023) </w:t>
      </w:r>
      <w:hyperlink r:id="rId84" w:anchor=":~:text=Seven%20GBEs%20are%20Commonwealth%20companies,Limited%20and%20WSA%20Co%20Limited." w:history="1">
        <w:r w:rsidRPr="00300B53">
          <w:rPr>
            <w:rFonts w:ascii="Calibri" w:eastAsia="Calibri" w:hAnsi="Calibri" w:cs="Calibri"/>
            <w:i/>
            <w:iCs/>
            <w:color w:val="0000FF"/>
            <w:u w:val="single"/>
          </w:rPr>
          <w:t>Potential Audit of the Administration of the Government Business Enterprise (GBE) governance and accountability framework</w:t>
        </w:r>
      </w:hyperlink>
      <w:r w:rsidRPr="00300B53">
        <w:rPr>
          <w:rFonts w:ascii="Calibri" w:eastAsia="Calibri" w:hAnsi="Calibri" w:cs="Calibri"/>
          <w:i/>
          <w:iCs/>
          <w:color w:val="000000"/>
        </w:rPr>
        <w:t xml:space="preserve">, </w:t>
      </w:r>
      <w:r w:rsidRPr="00300B53">
        <w:rPr>
          <w:rFonts w:ascii="Calibri" w:eastAsia="Calibri" w:hAnsi="Calibri" w:cs="Calibri"/>
          <w:color w:val="000000"/>
        </w:rPr>
        <w:t>Australian Government</w:t>
      </w:r>
    </w:p>
    <w:p w14:paraId="58E1AF24" w14:textId="256084A5" w:rsidR="00300B53" w:rsidRPr="007137C6" w:rsidRDefault="00300B53" w:rsidP="00F6694F">
      <w:pPr>
        <w:pStyle w:val="Heading3"/>
      </w:pPr>
      <w:bookmarkStart w:id="129" w:name="_Toc144387333"/>
      <w:bookmarkStart w:id="130" w:name="_Toc152165441"/>
      <w:r w:rsidRPr="007137C6">
        <w:t>Reports for the Australian Government</w:t>
      </w:r>
      <w:bookmarkEnd w:id="129"/>
      <w:bookmarkEnd w:id="130"/>
    </w:p>
    <w:p w14:paraId="6508E10D" w14:textId="26C82B87" w:rsidR="00300B53" w:rsidRPr="00300B53" w:rsidRDefault="00300B53" w:rsidP="00CE481E">
      <w:pPr>
        <w:spacing w:after="0" w:line="240" w:lineRule="auto"/>
        <w:rPr>
          <w:rFonts w:ascii="Calibri" w:eastAsia="Calibri" w:hAnsi="Calibri" w:cs="Calibri"/>
          <w:color w:val="000000"/>
        </w:rPr>
      </w:pPr>
      <w:proofErr w:type="spellStart"/>
      <w:r w:rsidRPr="00300B53">
        <w:rPr>
          <w:rFonts w:ascii="Calibri" w:eastAsia="Calibri" w:hAnsi="Calibri" w:cs="Calibri"/>
        </w:rPr>
        <w:t>Acil</w:t>
      </w:r>
      <w:proofErr w:type="spellEnd"/>
      <w:r w:rsidRPr="00300B53">
        <w:rPr>
          <w:rFonts w:ascii="Calibri" w:eastAsia="Calibri" w:hAnsi="Calibri" w:cs="Calibri"/>
        </w:rPr>
        <w:t xml:space="preserve"> Allen (2023) </w:t>
      </w:r>
      <w:hyperlink r:id="rId85" w:history="1">
        <w:r w:rsidRPr="00300B53">
          <w:rPr>
            <w:rFonts w:ascii="Calibri" w:eastAsia="Calibri" w:hAnsi="Calibri" w:cs="Calibri"/>
            <w:i/>
            <w:iCs/>
            <w:color w:val="0000FF"/>
            <w:u w:val="single"/>
          </w:rPr>
          <w:t>Cooperative Research Centres Program impact evaluation</w:t>
        </w:r>
      </w:hyperlink>
      <w:r w:rsidRPr="00300B53">
        <w:rPr>
          <w:rFonts w:ascii="Calibri" w:eastAsia="Calibri" w:hAnsi="Calibri" w:cs="Calibri"/>
          <w:i/>
          <w:iCs/>
          <w:color w:val="0000FF"/>
          <w:u w:val="single"/>
        </w:rPr>
        <w:t>,</w:t>
      </w:r>
      <w:r w:rsidRPr="00300B53">
        <w:rPr>
          <w:rFonts w:ascii="Calibri" w:eastAsia="Calibri" w:hAnsi="Calibri" w:cs="Calibri"/>
          <w:color w:val="0000FF"/>
          <w:u w:val="single"/>
        </w:rPr>
        <w:t xml:space="preserve"> </w:t>
      </w:r>
      <w:r w:rsidRPr="00300B53">
        <w:rPr>
          <w:rFonts w:ascii="Calibri" w:eastAsia="Calibri" w:hAnsi="Calibri" w:cs="Calibri"/>
          <w:color w:val="000000"/>
        </w:rPr>
        <w:t>report to the Australian Government, Department of Industry, Science and Resources</w:t>
      </w:r>
    </w:p>
    <w:p w14:paraId="20AE9BEC" w14:textId="77777777" w:rsidR="00300B53" w:rsidRPr="00300B53" w:rsidRDefault="00300B53" w:rsidP="00CE481E">
      <w:pPr>
        <w:spacing w:after="0" w:line="240" w:lineRule="auto"/>
        <w:rPr>
          <w:rFonts w:ascii="Calibri" w:eastAsia="Calibri" w:hAnsi="Calibri" w:cs="Calibri"/>
        </w:rPr>
      </w:pPr>
    </w:p>
    <w:p w14:paraId="65A06B4C" w14:textId="2CDA9062" w:rsidR="00300B53" w:rsidRPr="00300B53" w:rsidRDefault="00300B53" w:rsidP="00CE481E">
      <w:pPr>
        <w:spacing w:after="0" w:line="240" w:lineRule="auto"/>
        <w:rPr>
          <w:rFonts w:ascii="Calibri" w:eastAsia="Calibri" w:hAnsi="Calibri" w:cs="Calibri"/>
          <w:color w:val="000000"/>
        </w:rPr>
      </w:pPr>
      <w:proofErr w:type="spellStart"/>
      <w:r w:rsidRPr="00300B53">
        <w:rPr>
          <w:rFonts w:ascii="Calibri" w:eastAsia="Calibri" w:hAnsi="Calibri" w:cs="Calibri"/>
        </w:rPr>
        <w:t>Acil</w:t>
      </w:r>
      <w:proofErr w:type="spellEnd"/>
      <w:r w:rsidRPr="00300B53">
        <w:rPr>
          <w:rFonts w:ascii="Calibri" w:eastAsia="Calibri" w:hAnsi="Calibri" w:cs="Calibri"/>
        </w:rPr>
        <w:t xml:space="preserve"> Allen (2021) </w:t>
      </w:r>
      <w:hyperlink r:id="rId86" w:history="1">
        <w:r w:rsidRPr="00300B53">
          <w:rPr>
            <w:rFonts w:ascii="Calibri" w:eastAsia="Calibri" w:hAnsi="Calibri" w:cs="Calibri"/>
            <w:i/>
            <w:iCs/>
            <w:color w:val="0000FF"/>
            <w:u w:val="single"/>
          </w:rPr>
          <w:t xml:space="preserve">Industry Growth Centres Initiative: initial impact evaluation, </w:t>
        </w:r>
      </w:hyperlink>
      <w:r w:rsidRPr="00300B53">
        <w:rPr>
          <w:rFonts w:ascii="Calibri" w:eastAsia="Calibri" w:hAnsi="Calibri" w:cs="Calibri"/>
          <w:color w:val="000000"/>
        </w:rPr>
        <w:t xml:space="preserve"> report to the Australian Government, Department of Industry, Science and Resources</w:t>
      </w:r>
    </w:p>
    <w:p w14:paraId="56413626" w14:textId="77777777" w:rsidR="00300B53" w:rsidRPr="00300B53" w:rsidRDefault="00300B53" w:rsidP="00CE481E">
      <w:pPr>
        <w:spacing w:after="0" w:line="240" w:lineRule="auto"/>
        <w:rPr>
          <w:rFonts w:ascii="Calibri" w:eastAsia="Calibri" w:hAnsi="Calibri" w:cs="Calibri"/>
          <w:color w:val="000000"/>
        </w:rPr>
      </w:pPr>
    </w:p>
    <w:p w14:paraId="1EC72D18" w14:textId="0A1B46DF"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Allen + Clarke Consulting (2020)</w:t>
      </w:r>
      <w:hyperlink r:id="rId87" w:history="1">
        <w:r w:rsidRPr="00300B53">
          <w:rPr>
            <w:rFonts w:ascii="Calibri" w:eastAsia="Calibri" w:hAnsi="Calibri" w:cs="Calibri"/>
            <w:i/>
            <w:iCs/>
            <w:color w:val="0000FF"/>
            <w:u w:val="single"/>
          </w:rPr>
          <w:t xml:space="preserve"> Medical Research Commercialisation Landscape</w:t>
        </w:r>
      </w:hyperlink>
      <w:r w:rsidRPr="00300B53">
        <w:rPr>
          <w:rFonts w:ascii="Calibri" w:eastAsia="Calibri" w:hAnsi="Calibri" w:cs="Calibri"/>
        </w:rPr>
        <w:t xml:space="preserve">, </w:t>
      </w:r>
      <w:r w:rsidRPr="00300B53">
        <w:rPr>
          <w:rFonts w:ascii="Calibri" w:eastAsia="Calibri" w:hAnsi="Calibri" w:cs="Calibri"/>
          <w:color w:val="000000"/>
        </w:rPr>
        <w:t>report to the Australian Government, Department of Health</w:t>
      </w:r>
    </w:p>
    <w:p w14:paraId="5A19AAAA" w14:textId="6B6BBD59" w:rsidR="00300B53" w:rsidRPr="007137C6" w:rsidRDefault="00300B53" w:rsidP="00F6694F">
      <w:pPr>
        <w:pStyle w:val="Heading3"/>
      </w:pPr>
      <w:bookmarkStart w:id="131" w:name="_Toc144387334"/>
      <w:bookmarkStart w:id="132" w:name="_Toc152165442"/>
      <w:r w:rsidRPr="007137C6">
        <w:t>Federal Parliamentary enquiries and submissions</w:t>
      </w:r>
      <w:bookmarkEnd w:id="131"/>
      <w:bookmarkEnd w:id="132"/>
      <w:r w:rsidRPr="007137C6">
        <w:t xml:space="preserve"> </w:t>
      </w:r>
    </w:p>
    <w:p w14:paraId="25B51766" w14:textId="66139ABB"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rPr>
        <w:t xml:space="preserve">Australian Senate (2022) </w:t>
      </w:r>
      <w:hyperlink r:id="rId88" w:history="1">
        <w:r w:rsidRPr="00300B53">
          <w:rPr>
            <w:rFonts w:ascii="Calibri" w:eastAsia="Calibri" w:hAnsi="Calibri" w:cs="Calibri"/>
            <w:i/>
            <w:iCs/>
            <w:color w:val="0000FF"/>
            <w:u w:val="single"/>
          </w:rPr>
          <w:t>Senate Economics References Committee: The Australian manufacturing industry</w:t>
        </w:r>
      </w:hyperlink>
      <w:r w:rsidRPr="00300B53">
        <w:rPr>
          <w:rFonts w:ascii="Calibri" w:eastAsia="Calibri" w:hAnsi="Calibri" w:cs="Calibri"/>
          <w:i/>
          <w:iCs/>
          <w:color w:val="0000FF"/>
          <w:u w:val="single"/>
        </w:rPr>
        <w:t>,</w:t>
      </w:r>
      <w:r w:rsidRPr="00300B53">
        <w:rPr>
          <w:rFonts w:ascii="Calibri" w:eastAsia="Calibri" w:hAnsi="Calibri" w:cs="Calibri"/>
        </w:rPr>
        <w:t xml:space="preserve"> Australian Government</w:t>
      </w:r>
    </w:p>
    <w:p w14:paraId="2F4F5D27" w14:textId="77777777" w:rsidR="00300B53" w:rsidRPr="00300B53" w:rsidRDefault="00300B53" w:rsidP="00CE481E">
      <w:pPr>
        <w:spacing w:after="0" w:line="240" w:lineRule="auto"/>
        <w:rPr>
          <w:rFonts w:ascii="Calibri" w:eastAsia="Calibri" w:hAnsi="Calibri" w:cs="Calibri"/>
        </w:rPr>
      </w:pPr>
    </w:p>
    <w:p w14:paraId="12B56462" w14:textId="1274D997"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Australian Senate (2022) </w:t>
      </w:r>
      <w:hyperlink r:id="rId89" w:history="1">
        <w:r w:rsidRPr="00300B53">
          <w:rPr>
            <w:rFonts w:ascii="Calibri" w:eastAsia="Calibri" w:hAnsi="Calibri" w:cs="Calibri"/>
            <w:i/>
            <w:iCs/>
            <w:color w:val="0000FF"/>
            <w:u w:val="single"/>
          </w:rPr>
          <w:t>Enquiry into the Australian manufacturing industry: submission from the Advanced Manufacturing Growth Centre</w:t>
        </w:r>
      </w:hyperlink>
      <w:r w:rsidRPr="00300B53">
        <w:rPr>
          <w:rFonts w:ascii="Calibri" w:eastAsia="Calibri" w:hAnsi="Calibri" w:cs="Calibri"/>
        </w:rPr>
        <w:t>, Australian Government</w:t>
      </w:r>
    </w:p>
    <w:p w14:paraId="53D8B474" w14:textId="0BD81433"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Australian Senate (2022) </w:t>
      </w:r>
      <w:hyperlink r:id="rId90" w:history="1">
        <w:r w:rsidRPr="00300B53">
          <w:rPr>
            <w:rFonts w:ascii="Calibri" w:eastAsia="Calibri" w:hAnsi="Calibri" w:cs="Calibri"/>
            <w:i/>
            <w:iCs/>
            <w:color w:val="0000FF"/>
            <w:u w:val="single"/>
          </w:rPr>
          <w:t>Enquiry into the Australian manufacturing industry: joint submission Ai Group</w:t>
        </w:r>
      </w:hyperlink>
      <w:r w:rsidRPr="00300B53">
        <w:rPr>
          <w:rFonts w:ascii="Calibri" w:eastAsia="Calibri" w:hAnsi="Calibri" w:cs="Calibri"/>
          <w:i/>
          <w:iCs/>
          <w:color w:val="0000FF"/>
          <w:u w:val="single"/>
        </w:rPr>
        <w:t xml:space="preserve"> and Engineers Australia</w:t>
      </w:r>
      <w:r w:rsidRPr="00300B53">
        <w:rPr>
          <w:rFonts w:ascii="Calibri" w:eastAsia="Calibri" w:hAnsi="Calibri" w:cs="Calibri"/>
        </w:rPr>
        <w:t>, Australian Government</w:t>
      </w:r>
    </w:p>
    <w:p w14:paraId="3B8FB077" w14:textId="77777777" w:rsidR="00300B53" w:rsidRPr="00300B53" w:rsidRDefault="00300B53" w:rsidP="00CE481E">
      <w:pPr>
        <w:spacing w:after="0" w:line="240" w:lineRule="auto"/>
        <w:rPr>
          <w:rFonts w:ascii="Calibri" w:eastAsia="Calibri" w:hAnsi="Calibri" w:cs="Calibri"/>
        </w:rPr>
      </w:pPr>
    </w:p>
    <w:p w14:paraId="12719568" w14:textId="3659DF1F"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Australian Senate (2022) </w:t>
      </w:r>
      <w:hyperlink r:id="rId91" w:history="1">
        <w:r w:rsidRPr="00300B53">
          <w:rPr>
            <w:rFonts w:ascii="Calibri" w:eastAsia="Calibri" w:hAnsi="Calibri" w:cs="Calibri"/>
            <w:i/>
            <w:iCs/>
            <w:color w:val="0000FF"/>
            <w:u w:val="single"/>
          </w:rPr>
          <w:t>Enquiry into the Australian manufacturing industry: submission from the Productivity Commission</w:t>
        </w:r>
      </w:hyperlink>
      <w:r w:rsidRPr="00300B53">
        <w:rPr>
          <w:rFonts w:ascii="Calibri" w:eastAsia="Calibri" w:hAnsi="Calibri" w:cs="Calibri"/>
        </w:rPr>
        <w:t>, Australian Government</w:t>
      </w:r>
    </w:p>
    <w:p w14:paraId="2A7D77E5" w14:textId="77777777" w:rsidR="00300B53" w:rsidRPr="00300B53" w:rsidRDefault="00300B53" w:rsidP="00CE481E">
      <w:pPr>
        <w:spacing w:after="0" w:line="240" w:lineRule="auto"/>
        <w:rPr>
          <w:rFonts w:ascii="Calibri" w:eastAsia="Calibri" w:hAnsi="Calibri" w:cs="Calibri"/>
        </w:rPr>
      </w:pPr>
    </w:p>
    <w:p w14:paraId="2A6D601D" w14:textId="6FEEF752"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Australian Senate (2022) </w:t>
      </w:r>
      <w:hyperlink r:id="rId92" w:history="1">
        <w:r w:rsidRPr="00300B53">
          <w:rPr>
            <w:rFonts w:ascii="Calibri" w:eastAsia="Calibri" w:hAnsi="Calibri" w:cs="Calibri"/>
            <w:i/>
            <w:iCs/>
            <w:color w:val="0000FF"/>
            <w:u w:val="single"/>
          </w:rPr>
          <w:t>Enquiry into the Australian manufacturing industry: submission from the Department of Industry, Science, Energy and Resources</w:t>
        </w:r>
      </w:hyperlink>
      <w:r w:rsidRPr="00300B53">
        <w:rPr>
          <w:rFonts w:ascii="Calibri" w:eastAsia="Calibri" w:hAnsi="Calibri" w:cs="Calibri"/>
          <w:i/>
          <w:iCs/>
          <w:color w:val="0000FF"/>
          <w:u w:val="single"/>
        </w:rPr>
        <w:t>,</w:t>
      </w:r>
      <w:r w:rsidRPr="00300B53">
        <w:rPr>
          <w:rFonts w:ascii="Calibri" w:eastAsia="Calibri" w:hAnsi="Calibri" w:cs="Calibri"/>
        </w:rPr>
        <w:t xml:space="preserve"> Australian Government</w:t>
      </w:r>
    </w:p>
    <w:p w14:paraId="410CFCCC" w14:textId="54CA8D94" w:rsidR="00300B53" w:rsidRPr="007137C6" w:rsidRDefault="00300B53" w:rsidP="00F6694F">
      <w:pPr>
        <w:pStyle w:val="Heading3"/>
      </w:pPr>
      <w:bookmarkStart w:id="133" w:name="_Toc144387335"/>
      <w:bookmarkStart w:id="134" w:name="_Toc152165443"/>
      <w:r w:rsidRPr="007137C6">
        <w:t>International institutions and government reports</w:t>
      </w:r>
      <w:bookmarkEnd w:id="133"/>
      <w:bookmarkEnd w:id="134"/>
    </w:p>
    <w:p w14:paraId="2A4AE3CB" w14:textId="77777777" w:rsidR="00300B53" w:rsidRPr="00300B53" w:rsidRDefault="009B1D68" w:rsidP="00CE481E">
      <w:pPr>
        <w:spacing w:after="0" w:line="240" w:lineRule="auto"/>
        <w:rPr>
          <w:rFonts w:ascii="Calibri" w:eastAsia="Calibri" w:hAnsi="Calibri" w:cs="Calibri"/>
        </w:rPr>
      </w:pPr>
      <w:hyperlink r:id="rId93" w:history="1">
        <w:r w:rsidR="00300B53" w:rsidRPr="00300B53">
          <w:rPr>
            <w:rFonts w:ascii="Calibri" w:eastAsia="Calibri" w:hAnsi="Calibri" w:cs="Calibri"/>
            <w:color w:val="000000"/>
          </w:rPr>
          <w:t xml:space="preserve">Dan </w:t>
        </w:r>
        <w:proofErr w:type="spellStart"/>
        <w:r w:rsidR="00300B53" w:rsidRPr="00300B53">
          <w:rPr>
            <w:rFonts w:ascii="Calibri" w:eastAsia="Calibri" w:hAnsi="Calibri" w:cs="Calibri"/>
            <w:color w:val="000000"/>
          </w:rPr>
          <w:t>Breznitz</w:t>
        </w:r>
        <w:proofErr w:type="spellEnd"/>
        <w:r w:rsidR="00300B53" w:rsidRPr="00300B53">
          <w:rPr>
            <w:rFonts w:ascii="Calibri" w:eastAsia="Calibri" w:hAnsi="Calibri" w:cs="Calibri"/>
            <w:color w:val="000000"/>
          </w:rPr>
          <w:t xml:space="preserve"> (2022) </w:t>
        </w:r>
        <w:r w:rsidR="00300B53" w:rsidRPr="00300B53">
          <w:rPr>
            <w:rFonts w:ascii="Calibri" w:eastAsia="Calibri" w:hAnsi="Calibri" w:cs="Calibri"/>
            <w:i/>
            <w:iCs/>
            <w:color w:val="0000FF"/>
            <w:u w:val="single"/>
          </w:rPr>
          <w:t>Innovation in real Places: Strategies for Prosperity in an Unforgiving World</w:t>
        </w:r>
      </w:hyperlink>
      <w:r w:rsidR="00300B53" w:rsidRPr="00300B53">
        <w:rPr>
          <w:rFonts w:ascii="Calibri" w:eastAsia="Calibri" w:hAnsi="Calibri" w:cs="Calibri"/>
          <w:color w:val="0000FF"/>
          <w:u w:val="single"/>
        </w:rPr>
        <w:t xml:space="preserve">, </w:t>
      </w:r>
      <w:r w:rsidR="00300B53" w:rsidRPr="00300B53">
        <w:rPr>
          <w:rFonts w:ascii="Calibri" w:eastAsia="Calibri" w:hAnsi="Calibri" w:cs="Calibri"/>
        </w:rPr>
        <w:t>OECD accessed 25 August 2023</w:t>
      </w:r>
    </w:p>
    <w:p w14:paraId="1611B9BE" w14:textId="77777777" w:rsidR="00300B53" w:rsidRPr="00300B53" w:rsidRDefault="00300B53" w:rsidP="00CE481E">
      <w:pPr>
        <w:spacing w:after="0" w:line="240" w:lineRule="auto"/>
        <w:rPr>
          <w:rFonts w:ascii="Calibri" w:eastAsia="Calibri" w:hAnsi="Calibri" w:cs="Calibri"/>
        </w:rPr>
      </w:pPr>
    </w:p>
    <w:p w14:paraId="410F5D14" w14:textId="4D080C73" w:rsidR="00300B53" w:rsidRPr="00300B53" w:rsidRDefault="009B1D68" w:rsidP="00CE481E">
      <w:pPr>
        <w:spacing w:after="0" w:line="240" w:lineRule="auto"/>
        <w:rPr>
          <w:rFonts w:ascii="Calibri" w:eastAsia="Calibri" w:hAnsi="Calibri" w:cs="Calibri"/>
        </w:rPr>
      </w:pPr>
      <w:hyperlink r:id="rId94" w:history="1">
        <w:r w:rsidR="00300B53" w:rsidRPr="00300B53">
          <w:rPr>
            <w:rFonts w:ascii="Calibri" w:eastAsia="Calibri" w:hAnsi="Calibri" w:cs="Calibri"/>
          </w:rPr>
          <w:t xml:space="preserve">OECD (2021) </w:t>
        </w:r>
        <w:r w:rsidR="00300B53" w:rsidRPr="00300B53">
          <w:rPr>
            <w:rFonts w:ascii="Calibri" w:eastAsia="Calibri" w:hAnsi="Calibri" w:cs="Calibri"/>
            <w:i/>
            <w:iCs/>
            <w:color w:val="0000FF"/>
            <w:u w:val="single"/>
          </w:rPr>
          <w:t>The missing entrepreneurs: policies for inclusive entrepreneurship and self-employment</w:t>
        </w:r>
      </w:hyperlink>
    </w:p>
    <w:p w14:paraId="0572A4CE" w14:textId="77777777" w:rsidR="00300B53" w:rsidRPr="00300B53" w:rsidRDefault="00300B53" w:rsidP="00CE481E">
      <w:pPr>
        <w:spacing w:after="0" w:line="240" w:lineRule="auto"/>
        <w:rPr>
          <w:rFonts w:ascii="Calibri" w:eastAsia="Calibri" w:hAnsi="Calibri" w:cs="Calibri"/>
        </w:rPr>
      </w:pPr>
    </w:p>
    <w:p w14:paraId="1A2932D4" w14:textId="4DA25D75"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OECD (2019) </w:t>
      </w:r>
      <w:hyperlink r:id="rId95" w:history="1">
        <w:r w:rsidRPr="00300B53">
          <w:rPr>
            <w:rFonts w:ascii="Calibri" w:eastAsia="Calibri" w:hAnsi="Calibri" w:cs="Calibri"/>
            <w:i/>
            <w:iCs/>
            <w:color w:val="0000FF"/>
            <w:u w:val="single"/>
          </w:rPr>
          <w:t>University-Industry Collaboration - New Evidence and Policy Options</w:t>
        </w:r>
      </w:hyperlink>
    </w:p>
    <w:p w14:paraId="398FA723" w14:textId="77777777" w:rsidR="00300B53" w:rsidRPr="00300B53" w:rsidRDefault="00300B53" w:rsidP="00CE481E">
      <w:pPr>
        <w:spacing w:after="0" w:line="240" w:lineRule="auto"/>
        <w:rPr>
          <w:rFonts w:ascii="Calibri" w:eastAsia="Calibri" w:hAnsi="Calibri" w:cs="Calibri"/>
        </w:rPr>
      </w:pPr>
    </w:p>
    <w:p w14:paraId="570BC56D" w14:textId="7F98B362"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OECD (2013) </w:t>
      </w:r>
      <w:hyperlink r:id="rId96" w:history="1">
        <w:r w:rsidRPr="00300B53">
          <w:rPr>
            <w:rFonts w:ascii="Calibri" w:eastAsia="Calibri" w:hAnsi="Calibri" w:cs="Calibri"/>
            <w:i/>
            <w:iCs/>
            <w:color w:val="0000FF"/>
            <w:u w:val="single"/>
          </w:rPr>
          <w:t>Commercialising Public Research: New trends and strategies</w:t>
        </w:r>
      </w:hyperlink>
    </w:p>
    <w:p w14:paraId="79A1CD05" w14:textId="77777777" w:rsidR="00300B53" w:rsidRPr="00300B53" w:rsidRDefault="00300B53" w:rsidP="00CE481E">
      <w:pPr>
        <w:spacing w:after="0" w:line="240" w:lineRule="auto"/>
        <w:rPr>
          <w:rFonts w:ascii="Calibri" w:eastAsia="Calibri" w:hAnsi="Calibri" w:cs="Calibri"/>
        </w:rPr>
      </w:pPr>
    </w:p>
    <w:p w14:paraId="4F4344A2" w14:textId="07EF5235"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World Economic Forum (2015) </w:t>
      </w:r>
      <w:hyperlink r:id="rId97" w:history="1">
        <w:r w:rsidRPr="00300B53">
          <w:rPr>
            <w:rFonts w:ascii="Calibri" w:eastAsia="Calibri" w:hAnsi="Calibri" w:cs="Calibri"/>
            <w:i/>
            <w:iCs/>
            <w:color w:val="0000FF"/>
            <w:u w:val="single"/>
          </w:rPr>
          <w:t>Collaborative Innovation – Transforming Business, Driving Growth</w:t>
        </w:r>
      </w:hyperlink>
    </w:p>
    <w:p w14:paraId="62ACD297" w14:textId="77777777" w:rsidR="00300B53" w:rsidRPr="00300B53" w:rsidRDefault="00300B53" w:rsidP="00CE481E">
      <w:pPr>
        <w:spacing w:after="0" w:line="240" w:lineRule="auto"/>
        <w:rPr>
          <w:rFonts w:ascii="Calibri" w:eastAsia="Calibri" w:hAnsi="Calibri" w:cs="Calibri"/>
        </w:rPr>
      </w:pPr>
    </w:p>
    <w:p w14:paraId="1B17DF99" w14:textId="1B7761D7" w:rsidR="00300B53" w:rsidRPr="00300B53" w:rsidRDefault="00300B53" w:rsidP="00CE481E">
      <w:pPr>
        <w:spacing w:after="0" w:line="240" w:lineRule="auto"/>
        <w:rPr>
          <w:rFonts w:ascii="Calibri" w:eastAsia="Calibri" w:hAnsi="Calibri" w:cs="Calibri"/>
          <w:color w:val="0000FF"/>
          <w:u w:val="single"/>
        </w:rPr>
      </w:pPr>
      <w:r w:rsidRPr="00300B53">
        <w:rPr>
          <w:rFonts w:ascii="Calibri" w:eastAsia="Calibri" w:hAnsi="Calibri" w:cs="Calibri"/>
        </w:rPr>
        <w:t xml:space="preserve">World Intellectual Property Organisation (2022) </w:t>
      </w:r>
      <w:hyperlink r:id="rId98" w:history="1">
        <w:r w:rsidRPr="00300B53">
          <w:rPr>
            <w:rFonts w:ascii="Calibri" w:eastAsia="Calibri" w:hAnsi="Calibri" w:cs="Calibri"/>
            <w:i/>
            <w:iCs/>
            <w:color w:val="0000FF"/>
            <w:u w:val="single"/>
          </w:rPr>
          <w:t>Global Innovation Index 2022: What is the future of innovation driven growth?</w:t>
        </w:r>
      </w:hyperlink>
    </w:p>
    <w:p w14:paraId="6CF3A9D8" w14:textId="77777777" w:rsidR="001C48AA" w:rsidRDefault="001C48AA" w:rsidP="00CE481E">
      <w:pPr>
        <w:spacing w:after="0" w:line="240" w:lineRule="auto"/>
        <w:rPr>
          <w:rFonts w:ascii="Calibri" w:eastAsia="Calibri" w:hAnsi="Calibri" w:cs="Calibri"/>
        </w:rPr>
      </w:pPr>
    </w:p>
    <w:p w14:paraId="7DE9A3E8" w14:textId="3ABBF93E" w:rsidR="00300B53" w:rsidRPr="00300B53" w:rsidRDefault="00300B53" w:rsidP="00CE481E">
      <w:pPr>
        <w:spacing w:after="0" w:line="240" w:lineRule="auto"/>
        <w:rPr>
          <w:rFonts w:ascii="Calibri" w:eastAsia="Calibri" w:hAnsi="Calibri" w:cs="Calibri"/>
          <w:color w:val="0000FF"/>
          <w:u w:val="single"/>
        </w:rPr>
      </w:pPr>
      <w:r w:rsidRPr="00300B53">
        <w:rPr>
          <w:rFonts w:ascii="Calibri" w:eastAsia="Calibri" w:hAnsi="Calibri" w:cs="Calibri"/>
        </w:rPr>
        <w:t xml:space="preserve">Department for Business, Energy &amp; Industrial Strategy (2019) </w:t>
      </w:r>
      <w:hyperlink r:id="rId99" w:history="1">
        <w:r w:rsidRPr="00300B53">
          <w:rPr>
            <w:rFonts w:ascii="Calibri" w:eastAsia="Calibri" w:hAnsi="Calibri" w:cs="Calibri"/>
            <w:i/>
            <w:iCs/>
            <w:color w:val="0000FF"/>
            <w:u w:val="single"/>
          </w:rPr>
          <w:t>Business Basics Programme progress report</w:t>
        </w:r>
        <w:r w:rsidRPr="00300B53">
          <w:rPr>
            <w:rFonts w:ascii="Calibri" w:eastAsia="Calibri" w:hAnsi="Calibri" w:cs="Calibri"/>
            <w:i/>
            <w:iCs/>
          </w:rPr>
          <w:t>,</w:t>
        </w:r>
        <w:r w:rsidRPr="00300B53">
          <w:rPr>
            <w:rFonts w:ascii="Calibri" w:eastAsia="Calibri" w:hAnsi="Calibri" w:cs="Calibri"/>
          </w:rPr>
          <w:t xml:space="preserve"> United Kingdom Government</w:t>
        </w:r>
      </w:hyperlink>
    </w:p>
    <w:p w14:paraId="0741E562" w14:textId="77777777" w:rsidR="00300B53" w:rsidRPr="00300B53" w:rsidRDefault="00300B53" w:rsidP="00CE481E">
      <w:pPr>
        <w:spacing w:after="0" w:line="240" w:lineRule="auto"/>
        <w:rPr>
          <w:rFonts w:ascii="Calibri" w:eastAsia="Calibri" w:hAnsi="Calibri" w:cs="Calibri"/>
        </w:rPr>
      </w:pPr>
    </w:p>
    <w:p w14:paraId="06099BE0" w14:textId="60965013" w:rsid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The Royal Academy of Engineering (2012) </w:t>
      </w:r>
      <w:hyperlink r:id="rId100" w:history="1">
        <w:r w:rsidRPr="00300B53">
          <w:rPr>
            <w:rFonts w:ascii="Calibri" w:eastAsia="Calibri" w:hAnsi="Calibri" w:cs="Calibri"/>
            <w:i/>
            <w:iCs/>
            <w:color w:val="0000FF"/>
            <w:u w:val="single"/>
          </w:rPr>
          <w:t>Bridging the valley of death: improving the commercialisation of research: The Royal Academy of Engineering, Institute of Chemical Engineers, The Institute of Engineering and Technology and Engineer UK response</w:t>
        </w:r>
      </w:hyperlink>
      <w:r w:rsidRPr="00300B53">
        <w:rPr>
          <w:rFonts w:ascii="Calibri" w:eastAsia="Calibri" w:hAnsi="Calibri" w:cs="Calibri"/>
        </w:rPr>
        <w:t>, United Kingdom</w:t>
      </w:r>
    </w:p>
    <w:p w14:paraId="018ADB79" w14:textId="77777777" w:rsidR="00CD557D" w:rsidRPr="00300B53" w:rsidRDefault="00CD557D" w:rsidP="00CE481E">
      <w:pPr>
        <w:spacing w:after="0" w:line="240" w:lineRule="auto"/>
        <w:rPr>
          <w:rFonts w:ascii="Calibri" w:eastAsia="Calibri" w:hAnsi="Calibri" w:cs="Calibri"/>
        </w:rPr>
      </w:pPr>
    </w:p>
    <w:p w14:paraId="39AD877D" w14:textId="2669C01C" w:rsidR="00300B53" w:rsidRPr="007137C6" w:rsidRDefault="00300B53" w:rsidP="00F6694F">
      <w:pPr>
        <w:pStyle w:val="Heading3"/>
      </w:pPr>
      <w:bookmarkStart w:id="135" w:name="_Toc144387336"/>
      <w:bookmarkStart w:id="136" w:name="_Toc152165444"/>
      <w:r w:rsidRPr="007137C6">
        <w:t>Reports by State and Territory governments</w:t>
      </w:r>
      <w:bookmarkEnd w:id="135"/>
      <w:bookmarkEnd w:id="136"/>
    </w:p>
    <w:p w14:paraId="51339935" w14:textId="771A397C"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South Australian Productivity Commission report (2023) </w:t>
      </w:r>
      <w:hyperlink r:id="rId101" w:history="1">
        <w:r w:rsidRPr="00300B53">
          <w:rPr>
            <w:rFonts w:ascii="Calibri" w:eastAsia="Calibri" w:hAnsi="Calibri" w:cs="Calibri"/>
            <w:i/>
            <w:iCs/>
            <w:color w:val="0000FF"/>
            <w:u w:val="single"/>
          </w:rPr>
          <w:t>Turning Research into Economic Competitiveness</w:t>
        </w:r>
      </w:hyperlink>
      <w:r w:rsidRPr="00300B53">
        <w:rPr>
          <w:rFonts w:ascii="Calibri" w:eastAsia="Calibri" w:hAnsi="Calibri" w:cs="Calibri"/>
          <w:i/>
          <w:iCs/>
        </w:rPr>
        <w:t>,</w:t>
      </w:r>
      <w:r w:rsidRPr="00300B53">
        <w:rPr>
          <w:rFonts w:ascii="Calibri" w:eastAsia="Calibri" w:hAnsi="Calibri" w:cs="Calibri"/>
        </w:rPr>
        <w:t xml:space="preserve"> South Australian Government</w:t>
      </w:r>
    </w:p>
    <w:p w14:paraId="43895514" w14:textId="77777777" w:rsidR="00300B53" w:rsidRPr="00300B53" w:rsidRDefault="00300B53" w:rsidP="00CE481E">
      <w:pPr>
        <w:spacing w:after="0" w:line="240" w:lineRule="auto"/>
        <w:rPr>
          <w:rFonts w:ascii="Calibri" w:eastAsia="Calibri" w:hAnsi="Calibri" w:cs="Calibri"/>
          <w:highlight w:val="yellow"/>
        </w:rPr>
      </w:pPr>
    </w:p>
    <w:p w14:paraId="0691BD68" w14:textId="0AFD7AB9"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South Australian Productivity Commission report (2023) </w:t>
      </w:r>
      <w:hyperlink r:id="rId102" w:history="1">
        <w:r w:rsidRPr="00300B53">
          <w:rPr>
            <w:rFonts w:ascii="Calibri" w:eastAsia="Calibri" w:hAnsi="Calibri" w:cs="Calibri"/>
            <w:i/>
            <w:iCs/>
            <w:color w:val="0000FF"/>
            <w:u w:val="single"/>
          </w:rPr>
          <w:t>Productivity Commission 5 Year Review: Advancing Prosperity</w:t>
        </w:r>
      </w:hyperlink>
      <w:r w:rsidRPr="00300B53">
        <w:rPr>
          <w:rFonts w:ascii="Calibri" w:eastAsia="Calibri" w:hAnsi="Calibri" w:cs="Calibri"/>
          <w:i/>
          <w:iCs/>
        </w:rPr>
        <w:t xml:space="preserve"> </w:t>
      </w:r>
      <w:hyperlink r:id="rId103" w:history="1">
        <w:r w:rsidRPr="00300B53">
          <w:rPr>
            <w:rFonts w:ascii="Calibri" w:eastAsia="Calibri" w:hAnsi="Calibri" w:cs="Calibri"/>
            <w:i/>
            <w:iCs/>
            <w:color w:val="0000FF"/>
            <w:u w:val="single"/>
          </w:rPr>
          <w:t>(Volume 3: A competitive, dynamic and sustainable and Volume 5: Innovation for the 98%),</w:t>
        </w:r>
      </w:hyperlink>
      <w:r w:rsidRPr="00300B53">
        <w:rPr>
          <w:rFonts w:ascii="Calibri" w:eastAsia="Calibri" w:hAnsi="Calibri" w:cs="Calibri"/>
        </w:rPr>
        <w:t xml:space="preserve"> South Australian Government</w:t>
      </w:r>
    </w:p>
    <w:p w14:paraId="201BE9CB" w14:textId="77777777" w:rsidR="00300B53" w:rsidRPr="00300B53" w:rsidRDefault="00300B53" w:rsidP="00CE481E">
      <w:pPr>
        <w:spacing w:after="0" w:line="240" w:lineRule="auto"/>
        <w:rPr>
          <w:rFonts w:ascii="Calibri" w:eastAsia="Calibri" w:hAnsi="Calibri" w:cs="Calibri"/>
          <w:u w:val="single"/>
        </w:rPr>
      </w:pPr>
    </w:p>
    <w:p w14:paraId="69E4CE43" w14:textId="44F79A19"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Accelerating R&amp;D in NSW Advisory Council (2021) </w:t>
      </w:r>
      <w:hyperlink r:id="rId104" w:history="1">
        <w:r w:rsidRPr="00300B53">
          <w:rPr>
            <w:rFonts w:ascii="Calibri" w:eastAsia="Calibri" w:hAnsi="Calibri" w:cs="Calibri"/>
            <w:i/>
            <w:iCs/>
            <w:color w:val="002664"/>
            <w:u w:val="single"/>
          </w:rPr>
          <w:t>Turning ideas into jobs: Accelerating R&amp;D in NSW Action Plan</w:t>
        </w:r>
      </w:hyperlink>
      <w:r w:rsidRPr="00300B53">
        <w:rPr>
          <w:rFonts w:ascii="Calibri" w:eastAsia="Calibri" w:hAnsi="Calibri" w:cs="Calibri"/>
          <w:color w:val="002664"/>
          <w:u w:val="single"/>
        </w:rPr>
        <w:t xml:space="preserve"> </w:t>
      </w:r>
      <w:r w:rsidRPr="00300B53">
        <w:rPr>
          <w:rFonts w:ascii="Calibri" w:eastAsia="Calibri" w:hAnsi="Calibri" w:cs="Calibri"/>
          <w:i/>
          <w:iCs/>
          <w:color w:val="000000"/>
        </w:rPr>
        <w:t xml:space="preserve">, </w:t>
      </w:r>
      <w:r w:rsidRPr="00300B53">
        <w:rPr>
          <w:rFonts w:ascii="Calibri" w:eastAsia="Calibri" w:hAnsi="Calibri" w:cs="Calibri"/>
          <w:color w:val="000000"/>
        </w:rPr>
        <w:t>NSW Government</w:t>
      </w:r>
    </w:p>
    <w:p w14:paraId="09C9BF0E" w14:textId="77777777" w:rsidR="00300B53" w:rsidRPr="00300B53" w:rsidRDefault="00300B53" w:rsidP="00CE481E">
      <w:pPr>
        <w:spacing w:after="0" w:line="240" w:lineRule="auto"/>
        <w:rPr>
          <w:rFonts w:ascii="Calibri" w:eastAsia="Calibri" w:hAnsi="Calibri" w:cs="Calibri"/>
        </w:rPr>
      </w:pPr>
    </w:p>
    <w:p w14:paraId="1BB31FFB" w14:textId="3E7FC150"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rPr>
        <w:t xml:space="preserve">NSW Chief Scientist &amp; Engineer (2022) </w:t>
      </w:r>
      <w:hyperlink r:id="rId105" w:history="1">
        <w:r w:rsidRPr="00300B53">
          <w:rPr>
            <w:rFonts w:ascii="Calibri" w:eastAsia="Calibri" w:hAnsi="Calibri" w:cs="Calibri"/>
            <w:i/>
            <w:iCs/>
            <w:color w:val="0000FF"/>
            <w:u w:val="single"/>
          </w:rPr>
          <w:t>NSW 20-year R&amp;D Roadmap</w:t>
        </w:r>
      </w:hyperlink>
      <w:r w:rsidRPr="00300B53">
        <w:rPr>
          <w:rFonts w:ascii="Calibri" w:eastAsia="Calibri" w:hAnsi="Calibri" w:cs="Calibri"/>
        </w:rPr>
        <w:t>, NSW Government</w:t>
      </w:r>
    </w:p>
    <w:p w14:paraId="41DE93E2" w14:textId="77777777" w:rsidR="00300B53" w:rsidRPr="00300B53" w:rsidRDefault="00300B53" w:rsidP="00CE481E">
      <w:pPr>
        <w:spacing w:after="0" w:line="240" w:lineRule="auto"/>
        <w:contextualSpacing/>
        <w:rPr>
          <w:rFonts w:ascii="Calibri" w:eastAsia="Calibri" w:hAnsi="Calibri" w:cs="Calibri"/>
        </w:rPr>
      </w:pPr>
    </w:p>
    <w:p w14:paraId="12DC2BAE" w14:textId="06ECC946" w:rsidR="00300B53" w:rsidRPr="00300B53" w:rsidRDefault="00300B53" w:rsidP="00CE481E">
      <w:pPr>
        <w:spacing w:after="0" w:line="240" w:lineRule="auto"/>
        <w:rPr>
          <w:rFonts w:ascii="Calibri" w:eastAsia="Calibri" w:hAnsi="Calibri" w:cs="Calibri"/>
          <w:color w:val="0000FF"/>
          <w:u w:val="single"/>
        </w:rPr>
      </w:pPr>
      <w:r w:rsidRPr="00300B53">
        <w:rPr>
          <w:rFonts w:ascii="Calibri" w:eastAsia="Calibri" w:hAnsi="Calibri" w:cs="Calibri"/>
        </w:rPr>
        <w:t xml:space="preserve">NSW Chief Scientist &amp; Engineer (2023) </w:t>
      </w:r>
      <w:hyperlink r:id="rId106" w:history="1">
        <w:r w:rsidRPr="00300B53">
          <w:rPr>
            <w:rFonts w:ascii="Calibri" w:eastAsia="Calibri" w:hAnsi="Calibri" w:cs="Calibri"/>
            <w:i/>
            <w:iCs/>
            <w:color w:val="0000FF"/>
            <w:u w:val="single"/>
          </w:rPr>
          <w:t>NSW 20-year R&amp;D Roadmap Supplement</w:t>
        </w:r>
      </w:hyperlink>
      <w:r w:rsidRPr="00300B53">
        <w:rPr>
          <w:rFonts w:ascii="Calibri" w:eastAsia="Calibri" w:hAnsi="Calibri" w:cs="Calibri"/>
          <w:i/>
          <w:iCs/>
          <w:color w:val="000000"/>
        </w:rPr>
        <w:t xml:space="preserve">, </w:t>
      </w:r>
      <w:r w:rsidRPr="00300B53">
        <w:rPr>
          <w:rFonts w:ascii="Calibri" w:eastAsia="Calibri" w:hAnsi="Calibri" w:cs="Calibri"/>
        </w:rPr>
        <w:t>NSW Government</w:t>
      </w:r>
    </w:p>
    <w:p w14:paraId="23847F3D" w14:textId="77777777" w:rsidR="00300B53" w:rsidRPr="00300B53" w:rsidRDefault="00300B53" w:rsidP="00CE481E">
      <w:pPr>
        <w:spacing w:after="0" w:line="240" w:lineRule="auto"/>
        <w:rPr>
          <w:rFonts w:ascii="Calibri" w:eastAsia="Calibri" w:hAnsi="Calibri" w:cs="Calibri"/>
          <w:u w:val="single"/>
        </w:rPr>
      </w:pPr>
    </w:p>
    <w:p w14:paraId="2D121683" w14:textId="1A9ABC00"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Investment NSW (2018-2022)</w:t>
      </w:r>
      <w:r w:rsidRPr="00300B53">
        <w:rPr>
          <w:rFonts w:ascii="Calibri" w:eastAsia="Calibri" w:hAnsi="Calibri" w:cs="Calibri"/>
          <w:i/>
          <w:iCs/>
        </w:rPr>
        <w:t xml:space="preserve"> </w:t>
      </w:r>
      <w:hyperlink r:id="rId107" w:history="1">
        <w:r w:rsidRPr="00300B53">
          <w:rPr>
            <w:rFonts w:ascii="Calibri" w:eastAsia="Calibri" w:hAnsi="Calibri" w:cs="Calibri"/>
            <w:i/>
            <w:iCs/>
            <w:color w:val="0000FF"/>
            <w:u w:val="single"/>
          </w:rPr>
          <w:t>NSW Innovation and Productivity Scorecards</w:t>
        </w:r>
      </w:hyperlink>
      <w:r w:rsidRPr="00300B53">
        <w:rPr>
          <w:rFonts w:ascii="Calibri" w:eastAsia="Calibri" w:hAnsi="Calibri" w:cs="Calibri"/>
          <w:color w:val="0000FF"/>
          <w:u w:val="single"/>
        </w:rPr>
        <w:t>,</w:t>
      </w:r>
      <w:r w:rsidRPr="00300B53">
        <w:rPr>
          <w:rFonts w:ascii="Calibri" w:eastAsia="Calibri" w:hAnsi="Calibri" w:cs="Calibri"/>
        </w:rPr>
        <w:t xml:space="preserve"> NSW Government</w:t>
      </w:r>
    </w:p>
    <w:p w14:paraId="29F660C7" w14:textId="77777777" w:rsidR="00300B53" w:rsidRPr="00300B53" w:rsidRDefault="00300B53" w:rsidP="00CE481E">
      <w:pPr>
        <w:spacing w:after="0" w:line="240" w:lineRule="auto"/>
        <w:rPr>
          <w:rFonts w:ascii="Calibri" w:eastAsia="Calibri" w:hAnsi="Calibri" w:cs="Calibri"/>
        </w:rPr>
      </w:pPr>
    </w:p>
    <w:p w14:paraId="6BEB8D2E" w14:textId="4C41D9B6"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Investment NSW (2022)</w:t>
      </w:r>
      <w:r w:rsidRPr="00300B53">
        <w:rPr>
          <w:rFonts w:ascii="Calibri" w:eastAsia="Calibri" w:hAnsi="Calibri" w:cs="Calibri"/>
          <w:i/>
          <w:iCs/>
        </w:rPr>
        <w:t xml:space="preserve"> </w:t>
      </w:r>
      <w:hyperlink r:id="rId108" w:tooltip="NSW Modern Manufacturing Taskforce I Making it in NSW Report " w:history="1">
        <w:r w:rsidRPr="00300B53">
          <w:rPr>
            <w:rFonts w:ascii="Calibri" w:eastAsia="Calibri" w:hAnsi="Calibri" w:cs="Calibri"/>
            <w:i/>
            <w:iCs/>
            <w:color w:val="002664"/>
            <w:u w:val="single"/>
          </w:rPr>
          <w:t>NSW Modern Manufacturing Taskforce I Making it in NSW Report</w:t>
        </w:r>
      </w:hyperlink>
      <w:r w:rsidRPr="00300B53">
        <w:rPr>
          <w:rFonts w:ascii="Calibri" w:eastAsia="Calibri" w:hAnsi="Calibri" w:cs="Calibri"/>
          <w:i/>
          <w:iCs/>
          <w:color w:val="000000"/>
        </w:rPr>
        <w:t xml:space="preserve">, </w:t>
      </w:r>
      <w:r w:rsidRPr="00300B53">
        <w:rPr>
          <w:rFonts w:ascii="Calibri" w:eastAsia="Calibri" w:hAnsi="Calibri" w:cs="Calibri"/>
        </w:rPr>
        <w:t>NSW Government</w:t>
      </w:r>
    </w:p>
    <w:p w14:paraId="46940436" w14:textId="77777777" w:rsidR="00300B53" w:rsidRPr="00300B53" w:rsidRDefault="00300B53" w:rsidP="00CE481E">
      <w:pPr>
        <w:spacing w:after="0" w:line="240" w:lineRule="auto"/>
        <w:rPr>
          <w:rFonts w:ascii="Calibri" w:eastAsia="Calibri" w:hAnsi="Calibri" w:cs="Calibri"/>
        </w:rPr>
      </w:pPr>
    </w:p>
    <w:p w14:paraId="3772780A" w14:textId="54A585E1"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rPr>
        <w:t xml:space="preserve">NSW Innovation and Productivity Council (2019) </w:t>
      </w:r>
      <w:hyperlink r:id="rId109" w:history="1">
        <w:r w:rsidRPr="00300B53">
          <w:rPr>
            <w:rFonts w:ascii="Calibri" w:eastAsia="Calibri" w:hAnsi="Calibri" w:cs="Calibri"/>
            <w:i/>
            <w:iCs/>
            <w:color w:val="0000FF"/>
            <w:u w:val="single"/>
          </w:rPr>
          <w:t>Business Size Report</w:t>
        </w:r>
      </w:hyperlink>
      <w:r w:rsidRPr="00300B53">
        <w:rPr>
          <w:rFonts w:ascii="Calibri" w:eastAsia="Calibri" w:hAnsi="Calibri" w:cs="Calibri"/>
          <w:i/>
          <w:iCs/>
          <w:color w:val="000000"/>
        </w:rPr>
        <w:t xml:space="preserve">, </w:t>
      </w:r>
      <w:r w:rsidRPr="00300B53">
        <w:rPr>
          <w:rFonts w:ascii="Calibri" w:eastAsia="Calibri" w:hAnsi="Calibri" w:cs="Calibri"/>
        </w:rPr>
        <w:t>NSW Government</w:t>
      </w:r>
    </w:p>
    <w:p w14:paraId="3D73EB1A" w14:textId="77777777" w:rsidR="00300B53" w:rsidRPr="00300B53" w:rsidRDefault="00300B53" w:rsidP="00CE481E">
      <w:pPr>
        <w:spacing w:after="0" w:line="240" w:lineRule="auto"/>
        <w:rPr>
          <w:rFonts w:ascii="Calibri" w:eastAsia="Calibri" w:hAnsi="Calibri" w:cs="Calibri"/>
        </w:rPr>
      </w:pPr>
    </w:p>
    <w:p w14:paraId="230F2BA0" w14:textId="475B6937"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Investment NSW (2018) </w:t>
      </w:r>
      <w:hyperlink r:id="rId110" w:history="1">
        <w:r w:rsidRPr="00300B53">
          <w:rPr>
            <w:rFonts w:ascii="Calibri" w:eastAsia="Calibri" w:hAnsi="Calibri" w:cs="Calibri"/>
            <w:i/>
            <w:iCs/>
            <w:color w:val="0000FF"/>
            <w:u w:val="single"/>
          </w:rPr>
          <w:t>The Innovation Economy: Implications and Imperatives for States and Regions</w:t>
        </w:r>
      </w:hyperlink>
      <w:r w:rsidRPr="00300B53">
        <w:rPr>
          <w:rFonts w:ascii="Calibri" w:eastAsia="Calibri" w:hAnsi="Calibri" w:cs="Calibri"/>
          <w:i/>
          <w:iCs/>
        </w:rPr>
        <w:t>,</w:t>
      </w:r>
      <w:r w:rsidRPr="00300B53">
        <w:rPr>
          <w:rFonts w:ascii="Calibri" w:eastAsia="Calibri" w:hAnsi="Calibri" w:cs="Calibri"/>
          <w:i/>
          <w:iCs/>
          <w:color w:val="000000"/>
        </w:rPr>
        <w:t xml:space="preserve"> </w:t>
      </w:r>
      <w:r w:rsidRPr="00300B53">
        <w:rPr>
          <w:rFonts w:ascii="Calibri" w:eastAsia="Calibri" w:hAnsi="Calibri" w:cs="Calibri"/>
        </w:rPr>
        <w:t>NSW Government</w:t>
      </w:r>
    </w:p>
    <w:p w14:paraId="1809512D" w14:textId="77777777" w:rsidR="00300B53" w:rsidRPr="00300B53" w:rsidRDefault="00300B53" w:rsidP="00CE481E">
      <w:pPr>
        <w:spacing w:after="0" w:line="240" w:lineRule="auto"/>
        <w:rPr>
          <w:rFonts w:ascii="Calibri" w:eastAsia="Calibri" w:hAnsi="Calibri" w:cs="Calibri"/>
          <w:u w:val="single"/>
        </w:rPr>
      </w:pPr>
    </w:p>
    <w:p w14:paraId="387BD9BB" w14:textId="12AD3283" w:rsidR="00300B53" w:rsidRPr="00300B53" w:rsidRDefault="00300B53" w:rsidP="00CE481E">
      <w:pPr>
        <w:rPr>
          <w:rFonts w:ascii="Calibri" w:eastAsia="Calibri" w:hAnsi="Calibri" w:cs="Calibri"/>
          <w:color w:val="0000FF"/>
          <w:u w:val="single"/>
        </w:rPr>
      </w:pPr>
      <w:r w:rsidRPr="00300B53">
        <w:rPr>
          <w:rFonts w:ascii="Calibri" w:eastAsia="Calibri" w:hAnsi="Calibri" w:cs="Calibri"/>
        </w:rPr>
        <w:t xml:space="preserve">Nous Group, for the Queensland Department of Tourism, Innovation and Sport (2022) </w:t>
      </w:r>
      <w:hyperlink r:id="rId111" w:history="1">
        <w:r w:rsidRPr="00300B53">
          <w:rPr>
            <w:rFonts w:ascii="Calibri" w:eastAsia="Calibri" w:hAnsi="Calibri" w:cs="Calibri"/>
            <w:i/>
            <w:iCs/>
            <w:color w:val="0000FF"/>
            <w:u w:val="single"/>
          </w:rPr>
          <w:t>Macro-level Evaluation 2 of Advance Queensland, Final Report</w:t>
        </w:r>
      </w:hyperlink>
    </w:p>
    <w:p w14:paraId="1DBA33BF" w14:textId="77777777" w:rsidR="00950B8F" w:rsidRPr="00950B8F" w:rsidRDefault="00950B8F" w:rsidP="00CE481E">
      <w:bookmarkStart w:id="137" w:name="_Toc144387337"/>
      <w:bookmarkStart w:id="138" w:name="_Toc144825195"/>
    </w:p>
    <w:p w14:paraId="025C9F1F" w14:textId="7B5EE433" w:rsidR="00300B53" w:rsidRPr="00300B53" w:rsidRDefault="00300B53" w:rsidP="00F6694F">
      <w:pPr>
        <w:pStyle w:val="Heading3"/>
      </w:pPr>
      <w:bookmarkStart w:id="139" w:name="_Toc152165445"/>
      <w:r w:rsidRPr="00300B53">
        <w:t>Association and institute reports</w:t>
      </w:r>
      <w:bookmarkEnd w:id="137"/>
      <w:bookmarkEnd w:id="138"/>
      <w:bookmarkEnd w:id="139"/>
    </w:p>
    <w:p w14:paraId="365126FA" w14:textId="1949B5BA"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rPr>
        <w:t xml:space="preserve">Australian Banking Association (2022) </w:t>
      </w:r>
      <w:hyperlink r:id="rId112" w:history="1">
        <w:r w:rsidRPr="00300B53">
          <w:rPr>
            <w:rFonts w:ascii="Calibri" w:eastAsia="Calibri" w:hAnsi="Calibri" w:cs="Calibri"/>
            <w:i/>
            <w:iCs/>
            <w:color w:val="0000FF"/>
            <w:u w:val="single"/>
          </w:rPr>
          <w:t>SME Lending Report</w:t>
        </w:r>
      </w:hyperlink>
    </w:p>
    <w:p w14:paraId="62511FEF" w14:textId="77777777" w:rsidR="00300B53" w:rsidRPr="00300B53" w:rsidRDefault="00300B53" w:rsidP="00CE481E">
      <w:pPr>
        <w:spacing w:after="0" w:line="240" w:lineRule="auto"/>
        <w:rPr>
          <w:rFonts w:ascii="Calibri" w:eastAsia="Calibri" w:hAnsi="Calibri" w:cs="Calibri"/>
          <w:color w:val="000000"/>
        </w:rPr>
      </w:pPr>
    </w:p>
    <w:p w14:paraId="5D42FFDF" w14:textId="536DF05F" w:rsidR="00300B53" w:rsidRPr="00300B53" w:rsidRDefault="00300B53" w:rsidP="00CE481E">
      <w:pPr>
        <w:spacing w:after="0" w:line="240" w:lineRule="auto"/>
        <w:rPr>
          <w:rFonts w:ascii="Calibri" w:eastAsia="Calibri" w:hAnsi="Calibri" w:cs="Calibri"/>
          <w:color w:val="0000FF"/>
          <w:u w:val="single"/>
        </w:rPr>
      </w:pPr>
      <w:r w:rsidRPr="00300B53">
        <w:rPr>
          <w:rFonts w:ascii="Calibri" w:eastAsia="Calibri" w:hAnsi="Calibri" w:cs="Calibri"/>
        </w:rPr>
        <w:t xml:space="preserve">The Australia Industry Group (2016) </w:t>
      </w:r>
      <w:hyperlink r:id="rId113" w:history="1">
        <w:r w:rsidRPr="00300B53">
          <w:rPr>
            <w:rFonts w:ascii="Calibri" w:eastAsia="Calibri" w:hAnsi="Calibri" w:cs="Calibri"/>
            <w:i/>
            <w:iCs/>
            <w:color w:val="0000FF"/>
            <w:u w:val="single"/>
          </w:rPr>
          <w:t>The Australian Industry Group: Joining Forces – Innovation Success Through Partnerships</w:t>
        </w:r>
      </w:hyperlink>
      <w:r w:rsidRPr="00300B53">
        <w:rPr>
          <w:rFonts w:ascii="Calibri" w:eastAsia="Calibri" w:hAnsi="Calibri" w:cs="Calibri"/>
          <w:i/>
          <w:iCs/>
          <w:color w:val="000000"/>
        </w:rPr>
        <w:t xml:space="preserve">, </w:t>
      </w:r>
    </w:p>
    <w:p w14:paraId="6E5EE500" w14:textId="77777777" w:rsidR="00300B53" w:rsidRPr="00300B53" w:rsidRDefault="00300B53" w:rsidP="00CE481E">
      <w:pPr>
        <w:spacing w:after="0" w:line="240" w:lineRule="auto"/>
        <w:rPr>
          <w:rFonts w:ascii="Calibri" w:eastAsia="Calibri" w:hAnsi="Calibri" w:cs="Calibri"/>
        </w:rPr>
      </w:pPr>
    </w:p>
    <w:p w14:paraId="49842CC8" w14:textId="2889CE31"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rPr>
        <w:t xml:space="preserve">Small Business Association of Australia (2023) </w:t>
      </w:r>
      <w:hyperlink r:id="rId114" w:history="1">
        <w:r w:rsidRPr="00300B53">
          <w:rPr>
            <w:rFonts w:ascii="Calibri" w:eastAsia="Calibri" w:hAnsi="Calibri" w:cs="Calibri"/>
            <w:i/>
            <w:iCs/>
            <w:color w:val="0000FF"/>
            <w:u w:val="single"/>
          </w:rPr>
          <w:t>Pre-Budget Submission</w:t>
        </w:r>
      </w:hyperlink>
    </w:p>
    <w:p w14:paraId="6EB6D131" w14:textId="77777777" w:rsidR="00300B53" w:rsidRPr="00300B53" w:rsidRDefault="00300B53" w:rsidP="00CE481E">
      <w:pPr>
        <w:spacing w:after="0" w:line="240" w:lineRule="auto"/>
        <w:rPr>
          <w:rFonts w:ascii="Calibri" w:eastAsia="Calibri" w:hAnsi="Calibri" w:cs="Calibri"/>
          <w:u w:val="single"/>
        </w:rPr>
      </w:pPr>
    </w:p>
    <w:p w14:paraId="76842B26" w14:textId="283B28DD"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Council of Small Business Organisations of Australia (2023) </w:t>
      </w:r>
      <w:hyperlink r:id="rId115" w:tgtFrame="_blank" w:history="1">
        <w:r w:rsidRPr="00300B53">
          <w:rPr>
            <w:rFonts w:ascii="Calibri" w:eastAsia="Calibri" w:hAnsi="Calibri" w:cs="Calibri"/>
            <w:i/>
            <w:iCs/>
            <w:color w:val="0000FF"/>
            <w:u w:val="single"/>
            <w:bdr w:val="none" w:sz="0" w:space="0" w:color="auto" w:frame="1"/>
          </w:rPr>
          <w:t>National Reconstruction Fund Submission</w:t>
        </w:r>
      </w:hyperlink>
    </w:p>
    <w:p w14:paraId="626AAA60" w14:textId="77777777" w:rsidR="001C48AA" w:rsidRDefault="001C48AA" w:rsidP="00CE481E">
      <w:pPr>
        <w:spacing w:after="0" w:line="240" w:lineRule="auto"/>
        <w:rPr>
          <w:rFonts w:ascii="Calibri" w:eastAsia="Calibri" w:hAnsi="Calibri" w:cs="Calibri"/>
        </w:rPr>
      </w:pPr>
    </w:p>
    <w:p w14:paraId="477855CD" w14:textId="12C7AA1F"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Business Council of Australia (2023) </w:t>
      </w:r>
      <w:hyperlink r:id="rId116" w:history="1">
        <w:r w:rsidRPr="00300B53">
          <w:rPr>
            <w:rFonts w:ascii="Calibri" w:eastAsia="Calibri" w:hAnsi="Calibri" w:cs="Calibri"/>
            <w:i/>
            <w:iCs/>
            <w:color w:val="0000FF"/>
            <w:u w:val="single"/>
          </w:rPr>
          <w:t>Australia’s investment drought and what to do about it</w:t>
        </w:r>
      </w:hyperlink>
    </w:p>
    <w:p w14:paraId="6E808332" w14:textId="77777777" w:rsidR="00300B53" w:rsidRPr="00300B53" w:rsidRDefault="00300B53" w:rsidP="00CE481E">
      <w:pPr>
        <w:spacing w:after="0" w:line="240" w:lineRule="auto"/>
        <w:rPr>
          <w:rFonts w:ascii="Calibri" w:eastAsia="Calibri" w:hAnsi="Calibri" w:cs="Calibri"/>
        </w:rPr>
      </w:pPr>
    </w:p>
    <w:p w14:paraId="5335FA51" w14:textId="33BE451E"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NSW Business Chamber (2014) </w:t>
      </w:r>
      <w:hyperlink r:id="rId117" w:history="1">
        <w:r w:rsidRPr="00300B53">
          <w:rPr>
            <w:rFonts w:ascii="Calibri" w:eastAsia="Calibri" w:hAnsi="Calibri" w:cs="Calibri"/>
            <w:i/>
            <w:iCs/>
            <w:color w:val="0000FF"/>
            <w:u w:val="single"/>
          </w:rPr>
          <w:t>NSW Business Chamber: Industry Research Collaboration Discussion Paper</w:t>
        </w:r>
      </w:hyperlink>
    </w:p>
    <w:p w14:paraId="58D0D7A8" w14:textId="77777777" w:rsidR="00300B53" w:rsidRPr="00300B53" w:rsidRDefault="00300B53" w:rsidP="00CE481E">
      <w:pPr>
        <w:spacing w:after="0" w:line="240" w:lineRule="auto"/>
        <w:rPr>
          <w:rFonts w:ascii="Calibri" w:eastAsia="Calibri" w:hAnsi="Calibri" w:cs="Calibri"/>
        </w:rPr>
      </w:pPr>
    </w:p>
    <w:p w14:paraId="5EEE26E4" w14:textId="161814A4" w:rsidR="00300B53" w:rsidRPr="00300B53" w:rsidRDefault="00300B53" w:rsidP="00CE481E">
      <w:pPr>
        <w:spacing w:after="0" w:line="240" w:lineRule="auto"/>
        <w:rPr>
          <w:rFonts w:ascii="Calibri" w:eastAsia="Calibri" w:hAnsi="Calibri" w:cs="Calibri"/>
          <w:bdr w:val="none" w:sz="0" w:space="0" w:color="auto" w:frame="1"/>
        </w:rPr>
      </w:pPr>
      <w:r w:rsidRPr="00300B53">
        <w:rPr>
          <w:rFonts w:ascii="Calibri" w:eastAsia="Calibri" w:hAnsi="Calibri" w:cs="Calibri"/>
        </w:rPr>
        <w:t xml:space="preserve">COSBOA (2022) </w:t>
      </w:r>
      <w:hyperlink r:id="rId118" w:tgtFrame="_blank" w:history="1">
        <w:r w:rsidRPr="00300B53">
          <w:rPr>
            <w:rFonts w:ascii="Calibri" w:eastAsia="Calibri" w:hAnsi="Calibri" w:cs="Calibri"/>
            <w:i/>
            <w:iCs/>
            <w:color w:val="0000FF"/>
            <w:u w:val="single"/>
            <w:bdr w:val="none" w:sz="0" w:space="0" w:color="auto" w:frame="1"/>
          </w:rPr>
          <w:t>Beyond Survival: Small business development and growth in the post-pandemic world. A snapshot of three policy and program issues</w:t>
        </w:r>
      </w:hyperlink>
    </w:p>
    <w:p w14:paraId="7156D104" w14:textId="77777777" w:rsidR="00300B53" w:rsidRPr="00300B53" w:rsidRDefault="00300B53" w:rsidP="00CE481E">
      <w:pPr>
        <w:spacing w:after="0" w:line="240" w:lineRule="auto"/>
        <w:rPr>
          <w:rFonts w:ascii="Calibri" w:eastAsia="Calibri" w:hAnsi="Calibri" w:cs="Calibri"/>
        </w:rPr>
      </w:pPr>
    </w:p>
    <w:p w14:paraId="2A9D7EA4" w14:textId="4E03C651"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rPr>
        <w:t xml:space="preserve">COSBOA (2022) </w:t>
      </w:r>
      <w:hyperlink r:id="rId119" w:tgtFrame="_blank" w:history="1">
        <w:r w:rsidRPr="00300B53">
          <w:rPr>
            <w:rFonts w:ascii="Calibri" w:eastAsia="Calibri" w:hAnsi="Calibri" w:cs="Calibri"/>
            <w:i/>
            <w:iCs/>
            <w:color w:val="0000FF"/>
            <w:u w:val="single"/>
            <w:bdr w:val="none" w:sz="0" w:space="0" w:color="auto" w:frame="1"/>
          </w:rPr>
          <w:t>Submission to the NSW Small Business Strategy 2022-2025</w:t>
        </w:r>
      </w:hyperlink>
    </w:p>
    <w:p w14:paraId="77101A8A" w14:textId="77777777" w:rsidR="00300B53" w:rsidRPr="00300B53" w:rsidRDefault="00300B53" w:rsidP="00CE481E">
      <w:pPr>
        <w:spacing w:after="0" w:line="240" w:lineRule="auto"/>
        <w:rPr>
          <w:rFonts w:ascii="Calibri" w:eastAsia="Calibri" w:hAnsi="Calibri" w:cs="Calibri"/>
        </w:rPr>
      </w:pPr>
    </w:p>
    <w:p w14:paraId="3FD70C7B" w14:textId="3E15461D" w:rsidR="00300B53" w:rsidRPr="00300B53" w:rsidRDefault="00300B53" w:rsidP="00CE481E">
      <w:pPr>
        <w:spacing w:after="0" w:line="240" w:lineRule="auto"/>
        <w:rPr>
          <w:rFonts w:ascii="Calibri" w:eastAsia="Calibri" w:hAnsi="Calibri" w:cs="Calibri"/>
          <w:color w:val="0000FF"/>
          <w:u w:val="single"/>
        </w:rPr>
      </w:pPr>
      <w:r w:rsidRPr="00300B53">
        <w:rPr>
          <w:rFonts w:ascii="Calibri" w:eastAsia="Calibri" w:hAnsi="Calibri" w:cs="Calibri"/>
        </w:rPr>
        <w:t xml:space="preserve">CEDA (2023) </w:t>
      </w:r>
      <w:hyperlink r:id="rId120" w:history="1">
        <w:r w:rsidRPr="00300B53">
          <w:rPr>
            <w:rFonts w:ascii="Calibri" w:eastAsia="Calibri" w:hAnsi="Calibri" w:cs="Calibri"/>
            <w:i/>
            <w:iCs/>
            <w:color w:val="0000FF"/>
            <w:u w:val="single"/>
          </w:rPr>
          <w:t>Dynamic Capabilities: how Australian firms can survive and thrive in uncertain times</w:t>
        </w:r>
      </w:hyperlink>
    </w:p>
    <w:p w14:paraId="38069756" w14:textId="77777777" w:rsidR="00300B53" w:rsidRPr="00300B53" w:rsidRDefault="00300B53" w:rsidP="00CE481E">
      <w:pPr>
        <w:spacing w:after="0" w:line="240" w:lineRule="auto"/>
        <w:rPr>
          <w:rFonts w:ascii="Calibri" w:eastAsia="Calibri" w:hAnsi="Calibri" w:cs="Calibri"/>
          <w:u w:val="single"/>
        </w:rPr>
      </w:pPr>
    </w:p>
    <w:p w14:paraId="6FE8911C" w14:textId="2EBFB36D" w:rsidR="00300B53" w:rsidRPr="00300B53" w:rsidRDefault="00300B53" w:rsidP="00CE481E">
      <w:pPr>
        <w:spacing w:after="0" w:line="240" w:lineRule="auto"/>
        <w:rPr>
          <w:rFonts w:ascii="Calibri" w:eastAsia="Calibri" w:hAnsi="Calibri" w:cs="Calibri"/>
          <w:lang w:val="en-US"/>
        </w:rPr>
      </w:pPr>
      <w:r w:rsidRPr="00300B53">
        <w:rPr>
          <w:rFonts w:ascii="Calibri" w:eastAsia="Calibri" w:hAnsi="Calibri" w:cs="Calibri"/>
        </w:rPr>
        <w:t xml:space="preserve">CEDA (2021) </w:t>
      </w:r>
      <w:hyperlink r:id="rId121" w:history="1">
        <w:r w:rsidRPr="00300B53">
          <w:rPr>
            <w:rFonts w:ascii="Calibri" w:eastAsia="Calibri" w:hAnsi="Calibri" w:cs="Calibri"/>
            <w:i/>
            <w:iCs/>
            <w:color w:val="0000FF"/>
            <w:u w:val="single"/>
            <w:lang w:val="en-US"/>
          </w:rPr>
          <w:t xml:space="preserve">Submission to the University Research </w:t>
        </w:r>
        <w:proofErr w:type="spellStart"/>
        <w:r w:rsidRPr="00300B53">
          <w:rPr>
            <w:rFonts w:ascii="Calibri" w:eastAsia="Calibri" w:hAnsi="Calibri" w:cs="Calibri"/>
            <w:i/>
            <w:iCs/>
            <w:color w:val="0000FF"/>
            <w:u w:val="single"/>
            <w:lang w:val="en-US"/>
          </w:rPr>
          <w:t>Commercialisation</w:t>
        </w:r>
        <w:proofErr w:type="spellEnd"/>
        <w:r w:rsidRPr="00300B53">
          <w:rPr>
            <w:rFonts w:ascii="Calibri" w:eastAsia="Calibri" w:hAnsi="Calibri" w:cs="Calibri"/>
            <w:i/>
            <w:iCs/>
            <w:color w:val="0000FF"/>
            <w:u w:val="single"/>
            <w:lang w:val="en-US"/>
          </w:rPr>
          <w:t xml:space="preserve"> scoping work</w:t>
        </w:r>
      </w:hyperlink>
    </w:p>
    <w:p w14:paraId="4813DB54" w14:textId="77777777" w:rsidR="00300B53" w:rsidRPr="00300B53" w:rsidRDefault="00300B53" w:rsidP="00CE481E">
      <w:pPr>
        <w:spacing w:after="0" w:line="240" w:lineRule="auto"/>
        <w:rPr>
          <w:rFonts w:ascii="Calibri" w:eastAsia="Calibri" w:hAnsi="Calibri" w:cs="Calibri"/>
          <w:u w:val="single"/>
        </w:rPr>
      </w:pPr>
    </w:p>
    <w:p w14:paraId="3CD1FE9B" w14:textId="0B5316AC"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The Australia Institute (2022) </w:t>
      </w:r>
      <w:hyperlink r:id="rId122" w:history="1">
        <w:r w:rsidRPr="00300B53">
          <w:rPr>
            <w:rFonts w:ascii="Calibri" w:eastAsia="Calibri" w:hAnsi="Calibri" w:cs="Calibri"/>
            <w:i/>
            <w:iCs/>
            <w:color w:val="0000FF"/>
            <w:u w:val="single"/>
          </w:rPr>
          <w:t>A Fair Share for Australian Manufacturing: manufacturing renewal for the post-COVID economy</w:t>
        </w:r>
      </w:hyperlink>
      <w:r w:rsidRPr="00300B53">
        <w:rPr>
          <w:rFonts w:ascii="Calibri" w:eastAsia="Calibri" w:hAnsi="Calibri" w:cs="Calibri"/>
        </w:rPr>
        <w:t xml:space="preserve">, </w:t>
      </w:r>
    </w:p>
    <w:p w14:paraId="5F215906" w14:textId="77777777" w:rsidR="00300B53" w:rsidRPr="00300B53" w:rsidRDefault="00300B53" w:rsidP="00CE481E">
      <w:pPr>
        <w:spacing w:after="0" w:line="240" w:lineRule="auto"/>
        <w:rPr>
          <w:rFonts w:ascii="Calibri" w:eastAsia="Calibri" w:hAnsi="Calibri" w:cs="Calibri"/>
          <w:u w:val="single"/>
        </w:rPr>
      </w:pPr>
    </w:p>
    <w:p w14:paraId="1D61176B" w14:textId="524B992B" w:rsidR="00300B53" w:rsidRPr="00300B53" w:rsidRDefault="00300B53" w:rsidP="00CE481E">
      <w:pPr>
        <w:spacing w:after="0" w:line="240" w:lineRule="auto"/>
        <w:rPr>
          <w:rFonts w:ascii="Calibri" w:eastAsia="Calibri" w:hAnsi="Calibri" w:cs="Calibri"/>
          <w:i/>
          <w:iCs/>
        </w:rPr>
      </w:pPr>
      <w:r w:rsidRPr="00300B53">
        <w:rPr>
          <w:rFonts w:ascii="Calibri" w:eastAsia="Calibri" w:hAnsi="Calibri" w:cs="Calibri"/>
        </w:rPr>
        <w:t xml:space="preserve">The Grattan Institute (2022) </w:t>
      </w:r>
      <w:hyperlink r:id="rId123" w:history="1">
        <w:r w:rsidRPr="00300B53">
          <w:rPr>
            <w:rFonts w:ascii="Calibri" w:eastAsia="Calibri" w:hAnsi="Calibri" w:cs="Calibri"/>
            <w:i/>
            <w:iCs/>
            <w:color w:val="0000FF"/>
            <w:u w:val="single"/>
          </w:rPr>
          <w:t>The next industrial revolution: transforming Australia to flourish in a net-zero world</w:t>
        </w:r>
      </w:hyperlink>
    </w:p>
    <w:p w14:paraId="30CC2E5A" w14:textId="77777777" w:rsidR="00300B53" w:rsidRPr="00300B53" w:rsidRDefault="00300B53" w:rsidP="00CE481E">
      <w:pPr>
        <w:spacing w:after="0" w:line="240" w:lineRule="auto"/>
        <w:rPr>
          <w:rFonts w:ascii="Calibri" w:eastAsia="Calibri" w:hAnsi="Calibri" w:cs="Calibri"/>
        </w:rPr>
      </w:pPr>
    </w:p>
    <w:p w14:paraId="241AFB4E" w14:textId="65C61BAE"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The Grattan Institute (2017), </w:t>
      </w:r>
      <w:hyperlink r:id="rId124" w:history="1">
        <w:r w:rsidRPr="00300B53">
          <w:rPr>
            <w:rFonts w:ascii="Calibri" w:eastAsia="Calibri" w:hAnsi="Calibri" w:cs="Calibri"/>
            <w:i/>
            <w:iCs/>
            <w:color w:val="0000FF"/>
            <w:u w:val="single"/>
          </w:rPr>
          <w:t>Stagnation Nation? Australian investment in a low-growth world</w:t>
        </w:r>
      </w:hyperlink>
    </w:p>
    <w:p w14:paraId="3A279330" w14:textId="77777777" w:rsidR="00300B53" w:rsidRPr="00300B53" w:rsidRDefault="00300B53" w:rsidP="00CE481E">
      <w:pPr>
        <w:spacing w:after="0" w:line="240" w:lineRule="auto"/>
        <w:rPr>
          <w:rFonts w:ascii="Calibri" w:eastAsia="Calibri" w:hAnsi="Calibri" w:cs="Calibri"/>
        </w:rPr>
      </w:pPr>
    </w:p>
    <w:p w14:paraId="1B466697" w14:textId="4489F870" w:rsidR="00300B53" w:rsidRPr="00300B53" w:rsidRDefault="00300B53" w:rsidP="00CE481E">
      <w:pPr>
        <w:spacing w:after="0" w:line="240" w:lineRule="auto"/>
        <w:rPr>
          <w:rFonts w:ascii="Calibri" w:eastAsia="Calibri" w:hAnsi="Calibri" w:cs="Calibri"/>
        </w:rPr>
      </w:pPr>
      <w:proofErr w:type="spellStart"/>
      <w:r w:rsidRPr="00300B53">
        <w:rPr>
          <w:rFonts w:ascii="Calibri" w:eastAsia="Calibri" w:hAnsi="Calibri" w:cs="Calibri"/>
        </w:rPr>
        <w:t>InnovationAus</w:t>
      </w:r>
      <w:proofErr w:type="spellEnd"/>
      <w:r w:rsidRPr="00300B53">
        <w:rPr>
          <w:rFonts w:ascii="Calibri" w:eastAsia="Calibri" w:hAnsi="Calibri" w:cs="Calibri"/>
        </w:rPr>
        <w:t xml:space="preserve"> (2022) </w:t>
      </w:r>
      <w:hyperlink r:id="rId125" w:history="1">
        <w:r w:rsidRPr="00300B53">
          <w:rPr>
            <w:rFonts w:ascii="Calibri" w:eastAsia="Calibri" w:hAnsi="Calibri" w:cs="Calibri"/>
            <w:i/>
            <w:iCs/>
            <w:color w:val="0000FF"/>
            <w:u w:val="single"/>
          </w:rPr>
          <w:t>The Innovation Papers</w:t>
        </w:r>
      </w:hyperlink>
    </w:p>
    <w:p w14:paraId="76DA73A3" w14:textId="5D2B5F62" w:rsidR="00300B53" w:rsidRPr="00300B53" w:rsidRDefault="00300B53" w:rsidP="00F6694F">
      <w:pPr>
        <w:pStyle w:val="Heading3"/>
      </w:pPr>
      <w:bookmarkStart w:id="140" w:name="_Toc144387338"/>
      <w:bookmarkStart w:id="141" w:name="_Toc152165446"/>
      <w:r w:rsidRPr="00300B53">
        <w:t>Private sector reports</w:t>
      </w:r>
      <w:bookmarkEnd w:id="140"/>
      <w:bookmarkEnd w:id="141"/>
    </w:p>
    <w:p w14:paraId="35932AAD" w14:textId="6664C673" w:rsidR="00300B53" w:rsidRPr="00300B53" w:rsidRDefault="00300B53" w:rsidP="00CE481E">
      <w:pPr>
        <w:spacing w:after="0"/>
        <w:rPr>
          <w:rFonts w:ascii="Calibri" w:eastAsia="Calibri" w:hAnsi="Calibri" w:cs="Calibri"/>
        </w:rPr>
      </w:pPr>
      <w:r w:rsidRPr="00300B53">
        <w:rPr>
          <w:rFonts w:ascii="Calibri" w:eastAsia="Calibri" w:hAnsi="Calibri" w:cs="Calibri"/>
        </w:rPr>
        <w:t xml:space="preserve">PwC (2022) </w:t>
      </w:r>
      <w:hyperlink r:id="rId126" w:history="1">
        <w:r w:rsidRPr="00300B53">
          <w:rPr>
            <w:rFonts w:ascii="Calibri" w:eastAsia="Calibri" w:hAnsi="Calibri" w:cs="Calibri"/>
            <w:i/>
            <w:iCs/>
            <w:color w:val="0000FF"/>
            <w:u w:val="single"/>
          </w:rPr>
          <w:t>PWC Connecting Australian Research with the World</w:t>
        </w:r>
      </w:hyperlink>
    </w:p>
    <w:p w14:paraId="69D90F6E" w14:textId="77777777" w:rsidR="00300B53" w:rsidRPr="00300B53" w:rsidRDefault="00300B53" w:rsidP="00CE481E">
      <w:pPr>
        <w:spacing w:after="0" w:line="240" w:lineRule="auto"/>
        <w:rPr>
          <w:rFonts w:ascii="Calibri" w:eastAsia="Calibri" w:hAnsi="Calibri" w:cs="Calibri"/>
        </w:rPr>
      </w:pPr>
    </w:p>
    <w:p w14:paraId="4731CDF8" w14:textId="7731D45F" w:rsidR="00300B53" w:rsidRPr="00300B53" w:rsidRDefault="009B1D68" w:rsidP="00CE481E">
      <w:pPr>
        <w:spacing w:after="0"/>
        <w:rPr>
          <w:rFonts w:ascii="Calibri" w:eastAsia="Calibri" w:hAnsi="Calibri" w:cs="Calibri"/>
        </w:rPr>
      </w:pPr>
      <w:hyperlink r:id="rId127" w:history="1">
        <w:r w:rsidR="00300B53" w:rsidRPr="00300B53">
          <w:rPr>
            <w:rFonts w:ascii="Calibri" w:eastAsia="Calibri" w:hAnsi="Calibri" w:cs="Calibri"/>
            <w:color w:val="000000"/>
          </w:rPr>
          <w:t>Nous Group (2019)</w:t>
        </w:r>
        <w:r w:rsidR="00300B53" w:rsidRPr="00300B53">
          <w:rPr>
            <w:rFonts w:ascii="Calibri" w:eastAsia="Calibri" w:hAnsi="Calibri" w:cs="Calibri"/>
            <w:color w:val="0000FF"/>
            <w:u w:val="single"/>
          </w:rPr>
          <w:t xml:space="preserve"> </w:t>
        </w:r>
        <w:r w:rsidR="00300B53" w:rsidRPr="00300B53">
          <w:rPr>
            <w:rFonts w:ascii="Calibri" w:eastAsia="Calibri" w:hAnsi="Calibri" w:cs="Calibri"/>
            <w:i/>
            <w:iCs/>
            <w:color w:val="0000FF"/>
            <w:u w:val="single"/>
          </w:rPr>
          <w:t>Policy directions to increase business investment in innovation</w:t>
        </w:r>
      </w:hyperlink>
    </w:p>
    <w:p w14:paraId="5CB78938" w14:textId="77777777" w:rsidR="00300B53" w:rsidRPr="00300B53" w:rsidRDefault="00300B53" w:rsidP="00CE481E">
      <w:pPr>
        <w:spacing w:after="0" w:line="240" w:lineRule="auto"/>
        <w:rPr>
          <w:rFonts w:ascii="Calibri" w:eastAsia="Calibri" w:hAnsi="Calibri" w:cs="Calibri"/>
          <w:lang w:val="en-US"/>
        </w:rPr>
      </w:pPr>
    </w:p>
    <w:p w14:paraId="0818194A" w14:textId="39381403" w:rsidR="00300B53" w:rsidRPr="00300B53" w:rsidRDefault="009B1D68" w:rsidP="00CE481E">
      <w:pPr>
        <w:spacing w:after="0"/>
        <w:rPr>
          <w:rFonts w:ascii="Calibri" w:eastAsia="Calibri" w:hAnsi="Calibri" w:cs="Calibri"/>
          <w:color w:val="000000"/>
        </w:rPr>
      </w:pPr>
      <w:hyperlink r:id="rId128" w:history="1">
        <w:r w:rsidR="00300B53" w:rsidRPr="00300B53">
          <w:rPr>
            <w:rFonts w:ascii="Calibri" w:eastAsia="Calibri" w:hAnsi="Calibri" w:cs="Calibri"/>
          </w:rPr>
          <w:t xml:space="preserve">Nous Group (2023) </w:t>
        </w:r>
        <w:r w:rsidR="00300B53" w:rsidRPr="00300B53">
          <w:rPr>
            <w:rFonts w:ascii="Calibri" w:eastAsia="Calibri" w:hAnsi="Calibri" w:cs="Calibri"/>
            <w:i/>
            <w:iCs/>
            <w:color w:val="0000FF"/>
            <w:u w:val="single"/>
          </w:rPr>
          <w:t>Summary of submissions on priorities for the Australian Universities Accord</w:t>
        </w:r>
      </w:hyperlink>
    </w:p>
    <w:p w14:paraId="1F8EED99" w14:textId="77777777" w:rsidR="00300B53" w:rsidRPr="00300B53" w:rsidRDefault="00300B53" w:rsidP="00CE481E">
      <w:pPr>
        <w:spacing w:after="0" w:line="240" w:lineRule="auto"/>
        <w:rPr>
          <w:rFonts w:ascii="Calibri" w:eastAsia="Calibri" w:hAnsi="Calibri" w:cs="Calibri"/>
        </w:rPr>
      </w:pPr>
    </w:p>
    <w:p w14:paraId="493DC586" w14:textId="26416158" w:rsidR="00300B53" w:rsidRPr="00300B53" w:rsidRDefault="009B1D68" w:rsidP="00CE481E">
      <w:pPr>
        <w:spacing w:after="0"/>
        <w:rPr>
          <w:rFonts w:ascii="Calibri" w:eastAsia="Calibri" w:hAnsi="Calibri" w:cs="Calibri"/>
        </w:rPr>
      </w:pPr>
      <w:hyperlink r:id="rId129" w:history="1">
        <w:proofErr w:type="spellStart"/>
        <w:r w:rsidR="00300B53" w:rsidRPr="00300B53">
          <w:rPr>
            <w:rFonts w:ascii="Calibri" w:eastAsia="Calibri" w:hAnsi="Calibri" w:cs="Calibri"/>
            <w:color w:val="000000"/>
          </w:rPr>
          <w:t>AlphaBeta</w:t>
        </w:r>
        <w:proofErr w:type="spellEnd"/>
        <w:r w:rsidR="00300B53" w:rsidRPr="00300B53">
          <w:rPr>
            <w:rFonts w:ascii="Calibri" w:eastAsia="Calibri" w:hAnsi="Calibri" w:cs="Calibri"/>
            <w:color w:val="000000"/>
          </w:rPr>
          <w:t xml:space="preserve"> Advisors</w:t>
        </w:r>
      </w:hyperlink>
      <w:r w:rsidR="00300B53" w:rsidRPr="00300B53">
        <w:rPr>
          <w:rFonts w:ascii="Calibri" w:eastAsia="Calibri" w:hAnsi="Calibri" w:cs="Calibri"/>
        </w:rPr>
        <w:t xml:space="preserve"> (2020) </w:t>
      </w:r>
      <w:hyperlink r:id="rId130" w:history="1">
        <w:r w:rsidR="00300B53" w:rsidRPr="00300B53">
          <w:rPr>
            <w:rFonts w:ascii="Calibri" w:eastAsia="Calibri" w:hAnsi="Calibri" w:cs="Calibri"/>
            <w:i/>
            <w:iCs/>
            <w:color w:val="0000FF"/>
            <w:u w:val="single"/>
          </w:rPr>
          <w:t>Australian business investment in innovation, levels, trends and drivers</w:t>
        </w:r>
      </w:hyperlink>
    </w:p>
    <w:p w14:paraId="61CF6F55" w14:textId="77777777" w:rsidR="00300B53" w:rsidRPr="00300B53" w:rsidRDefault="00300B53" w:rsidP="00CE481E">
      <w:pPr>
        <w:spacing w:after="0" w:line="240" w:lineRule="auto"/>
        <w:rPr>
          <w:rFonts w:ascii="Calibri" w:eastAsia="Calibri" w:hAnsi="Calibri" w:cs="Calibri"/>
        </w:rPr>
      </w:pPr>
    </w:p>
    <w:p w14:paraId="6DEEFEEC" w14:textId="7BA49EFE" w:rsidR="00300B53" w:rsidRPr="00300B53" w:rsidRDefault="00300B53" w:rsidP="00CE481E">
      <w:pPr>
        <w:spacing w:after="0"/>
        <w:rPr>
          <w:rFonts w:ascii="Calibri" w:eastAsia="Calibri" w:hAnsi="Calibri" w:cs="Calibri"/>
          <w:color w:val="0000FF"/>
          <w:u w:val="single"/>
        </w:rPr>
      </w:pPr>
      <w:r w:rsidRPr="00300B53">
        <w:rPr>
          <w:rFonts w:ascii="Calibri" w:eastAsia="Calibri" w:hAnsi="Calibri" w:cs="Calibri"/>
        </w:rPr>
        <w:t>McKinsey</w:t>
      </w:r>
      <w:r w:rsidRPr="00300B53">
        <w:rPr>
          <w:rFonts w:ascii="Calibri" w:eastAsia="Calibri" w:hAnsi="Calibri" w:cs="Calibri"/>
          <w:i/>
          <w:iCs/>
        </w:rPr>
        <w:t xml:space="preserve"> </w:t>
      </w:r>
      <w:r w:rsidRPr="00300B53">
        <w:rPr>
          <w:rFonts w:ascii="Calibri" w:eastAsia="Calibri" w:hAnsi="Calibri" w:cs="Calibri"/>
        </w:rPr>
        <w:t xml:space="preserve">(2020) </w:t>
      </w:r>
      <w:hyperlink r:id="rId131" w:anchor="/download/%2F~%2Fmedia%2Fmckinsey%2Fbusiness%20functions%2Foperations%2Four%20insights%2Fdigital%20collaboration%20for%20a%20connected%20manufacturing%20workforce%2Fdigital-collaboration-for-a-connected-manufacturing-workforce.pdf" w:history="1">
        <w:r w:rsidRPr="00300B53">
          <w:rPr>
            <w:rFonts w:ascii="Calibri" w:eastAsia="Calibri" w:hAnsi="Calibri" w:cs="Calibri"/>
            <w:color w:val="0000FF"/>
            <w:u w:val="single"/>
          </w:rPr>
          <w:t>Digital collaboration for a connected manufacturing workforce</w:t>
        </w:r>
      </w:hyperlink>
    </w:p>
    <w:p w14:paraId="04B684EC" w14:textId="77777777" w:rsidR="00300B53" w:rsidRPr="00300B53" w:rsidRDefault="00300B53" w:rsidP="00CE481E">
      <w:pPr>
        <w:spacing w:after="0" w:line="240" w:lineRule="auto"/>
        <w:rPr>
          <w:rFonts w:ascii="Calibri" w:eastAsia="Calibri" w:hAnsi="Calibri" w:cs="Calibri"/>
          <w:u w:val="single"/>
        </w:rPr>
      </w:pPr>
    </w:p>
    <w:p w14:paraId="6915F579" w14:textId="64C4561A"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rPr>
        <w:t xml:space="preserve">Deloitte (2021) </w:t>
      </w:r>
      <w:hyperlink r:id="rId132" w:history="1">
        <w:r w:rsidRPr="00300B53">
          <w:rPr>
            <w:rFonts w:ascii="Calibri" w:eastAsia="Calibri" w:hAnsi="Calibri" w:cs="Calibri"/>
            <w:i/>
            <w:iCs/>
            <w:color w:val="0000FF"/>
            <w:u w:val="single"/>
          </w:rPr>
          <w:t>Deloitte The path forward for commercialising university research</w:t>
        </w:r>
      </w:hyperlink>
    </w:p>
    <w:p w14:paraId="0A771573" w14:textId="77777777" w:rsidR="00300B53" w:rsidRPr="00300B53" w:rsidRDefault="00300B53" w:rsidP="00CE481E">
      <w:pPr>
        <w:spacing w:after="0" w:line="240" w:lineRule="auto"/>
        <w:rPr>
          <w:rFonts w:ascii="Calibri" w:eastAsia="Calibri" w:hAnsi="Calibri" w:cs="Calibri"/>
          <w:u w:val="single"/>
        </w:rPr>
      </w:pPr>
    </w:p>
    <w:p w14:paraId="157EA53C" w14:textId="6C1E927D"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Deloitte Access Economics (2014) </w:t>
      </w:r>
      <w:hyperlink r:id="rId133" w:history="1">
        <w:r w:rsidRPr="00300B53">
          <w:rPr>
            <w:rFonts w:ascii="Calibri" w:eastAsia="Calibri" w:hAnsi="Calibri" w:cs="Calibri"/>
            <w:i/>
            <w:iCs/>
            <w:color w:val="0000FF"/>
            <w:u w:val="single"/>
          </w:rPr>
          <w:t>The Collaborative Economy</w:t>
        </w:r>
      </w:hyperlink>
    </w:p>
    <w:p w14:paraId="3695BB13" w14:textId="77777777" w:rsidR="00300B53" w:rsidRPr="00300B53" w:rsidRDefault="00300B53" w:rsidP="00CE481E">
      <w:pPr>
        <w:spacing w:after="0" w:line="240" w:lineRule="auto"/>
        <w:rPr>
          <w:rFonts w:ascii="Calibri" w:eastAsia="Calibri" w:hAnsi="Calibri" w:cs="Calibri"/>
        </w:rPr>
      </w:pPr>
    </w:p>
    <w:p w14:paraId="29369E4C" w14:textId="77777777"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The Boston Consulting Group (2013)</w:t>
      </w:r>
      <w:hyperlink r:id="rId134" w:history="1">
        <w:r w:rsidRPr="00300B53">
          <w:rPr>
            <w:rFonts w:ascii="Calibri" w:eastAsia="Calibri" w:hAnsi="Calibri" w:cs="Calibri"/>
            <w:i/>
            <w:iCs/>
            <w:color w:val="0000FF"/>
            <w:u w:val="single"/>
          </w:rPr>
          <w:t xml:space="preserve"> Optimizing Collaboration’s Strategic Potential</w:t>
        </w:r>
      </w:hyperlink>
      <w:r w:rsidRPr="00300B53">
        <w:rPr>
          <w:rFonts w:ascii="Calibri" w:eastAsia="Calibri" w:hAnsi="Calibri" w:cs="Calibri"/>
          <w:i/>
          <w:iCs/>
        </w:rPr>
        <w:t xml:space="preserve">, </w:t>
      </w:r>
      <w:r w:rsidRPr="00300B53">
        <w:rPr>
          <w:rFonts w:ascii="Calibri" w:eastAsia="Calibri" w:hAnsi="Calibri" w:cs="Calibri"/>
        </w:rPr>
        <w:t>accessed 25 August 2023</w:t>
      </w:r>
    </w:p>
    <w:p w14:paraId="2F638DA5" w14:textId="12C1E486" w:rsidR="00300B53" w:rsidRPr="00300B53" w:rsidRDefault="00300B53" w:rsidP="00CE481E">
      <w:pPr>
        <w:rPr>
          <w:rFonts w:ascii="Calibri" w:eastAsia="Calibri" w:hAnsi="Calibri" w:cs="Calibri"/>
          <w:color w:val="000000"/>
        </w:rPr>
      </w:pPr>
      <w:r w:rsidRPr="00300B53">
        <w:rPr>
          <w:rFonts w:ascii="Calibri" w:eastAsia="Calibri" w:hAnsi="Calibri" w:cs="Calibri"/>
        </w:rPr>
        <w:t>PwC (2008)</w:t>
      </w:r>
      <w:r w:rsidRPr="00300B53">
        <w:rPr>
          <w:rFonts w:ascii="Calibri" w:eastAsia="Calibri" w:hAnsi="Calibri" w:cs="Calibri"/>
          <w:i/>
          <w:iCs/>
        </w:rPr>
        <w:t xml:space="preserve"> </w:t>
      </w:r>
      <w:hyperlink r:id="rId135" w:history="1">
        <w:r w:rsidRPr="00300B53">
          <w:rPr>
            <w:rFonts w:ascii="Calibri" w:eastAsia="Calibri" w:hAnsi="Calibri" w:cs="Calibri"/>
            <w:i/>
            <w:iCs/>
            <w:color w:val="0000FF"/>
            <w:u w:val="single"/>
          </w:rPr>
          <w:t>Managing the risks and rewards of collaboration</w:t>
        </w:r>
      </w:hyperlink>
      <w:r w:rsidRPr="00300B53">
        <w:rPr>
          <w:rFonts w:ascii="Calibri" w:eastAsia="Calibri" w:hAnsi="Calibri" w:cs="Calibri"/>
          <w:i/>
          <w:iCs/>
          <w:color w:val="0000FF"/>
          <w:u w:val="single"/>
        </w:rPr>
        <w:t>: Industry Views, technology executive connections</w:t>
      </w:r>
    </w:p>
    <w:p w14:paraId="193DCA16" w14:textId="346FC779" w:rsidR="00300B53" w:rsidRPr="007137C6" w:rsidRDefault="00300B53" w:rsidP="00F6694F">
      <w:pPr>
        <w:pStyle w:val="Heading3"/>
      </w:pPr>
      <w:bookmarkStart w:id="142" w:name="_Toc144387339"/>
      <w:bookmarkStart w:id="143" w:name="_Toc152165447"/>
      <w:r w:rsidRPr="007137C6">
        <w:t>CSIRO and university reports</w:t>
      </w:r>
      <w:bookmarkEnd w:id="142"/>
      <w:bookmarkEnd w:id="143"/>
    </w:p>
    <w:p w14:paraId="727E6AFB" w14:textId="52017C42"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CSIRO and RMIT (2021) </w:t>
      </w:r>
      <w:hyperlink r:id="rId136" w:history="1">
        <w:r w:rsidRPr="00300B53">
          <w:rPr>
            <w:rFonts w:ascii="Calibri" w:eastAsia="Calibri" w:hAnsi="Calibri" w:cs="Calibri"/>
            <w:i/>
            <w:iCs/>
            <w:color w:val="0000FF"/>
            <w:u w:val="single"/>
          </w:rPr>
          <w:t>Enablers and barriers to industry-research collaboration, an SME perspective</w:t>
        </w:r>
      </w:hyperlink>
    </w:p>
    <w:p w14:paraId="76DB19D7" w14:textId="77777777" w:rsidR="00300B53" w:rsidRPr="00300B53" w:rsidRDefault="00300B53" w:rsidP="00CE481E">
      <w:pPr>
        <w:spacing w:after="0" w:line="240" w:lineRule="auto"/>
        <w:rPr>
          <w:rFonts w:ascii="Calibri" w:eastAsia="Calibri" w:hAnsi="Calibri" w:cs="Calibri"/>
        </w:rPr>
      </w:pPr>
    </w:p>
    <w:p w14:paraId="4E7B3448" w14:textId="54D0EA77"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CSIRO (2023) </w:t>
      </w:r>
      <w:hyperlink r:id="rId137" w:history="1">
        <w:r w:rsidRPr="00300B53">
          <w:rPr>
            <w:rFonts w:ascii="Calibri" w:eastAsia="Calibri" w:hAnsi="Calibri" w:cs="Calibri"/>
            <w:i/>
            <w:iCs/>
            <w:color w:val="0000FF"/>
            <w:u w:val="single"/>
          </w:rPr>
          <w:t>CSIRO Collaboration Readiness Levels</w:t>
        </w:r>
      </w:hyperlink>
      <w:r w:rsidRPr="00300B53">
        <w:rPr>
          <w:rFonts w:ascii="Calibri" w:eastAsia="Calibri" w:hAnsi="Calibri" w:cs="Calibri"/>
        </w:rPr>
        <w:t xml:space="preserve"> (online tool and PDF report available on the webpage)</w:t>
      </w:r>
    </w:p>
    <w:p w14:paraId="67918CA4" w14:textId="77777777" w:rsidR="00300B53" w:rsidRPr="00300B53" w:rsidRDefault="00300B53" w:rsidP="00CE481E">
      <w:pPr>
        <w:spacing w:after="0" w:line="240" w:lineRule="auto"/>
        <w:rPr>
          <w:rFonts w:ascii="Calibri" w:eastAsia="Calibri" w:hAnsi="Calibri" w:cs="Calibri"/>
        </w:rPr>
      </w:pPr>
    </w:p>
    <w:p w14:paraId="55CD4B4A" w14:textId="6DBC73ED"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rPr>
        <w:t>CSIRO and Business Council of Australia (2021),</w:t>
      </w:r>
      <w:r w:rsidRPr="00300B53">
        <w:rPr>
          <w:rFonts w:ascii="Calibri" w:eastAsia="Calibri" w:hAnsi="Calibri" w:cs="Calibri"/>
          <w:i/>
          <w:iCs/>
        </w:rPr>
        <w:t xml:space="preserve"> </w:t>
      </w:r>
      <w:hyperlink r:id="rId138" w:history="1">
        <w:r w:rsidRPr="00300B53">
          <w:rPr>
            <w:rFonts w:ascii="Calibri" w:eastAsia="Calibri" w:hAnsi="Calibri" w:cs="Calibri"/>
            <w:i/>
            <w:iCs/>
            <w:color w:val="0000FF"/>
            <w:u w:val="single"/>
          </w:rPr>
          <w:t>Unlocking the innovation potential of Australian companies,</w:t>
        </w:r>
      </w:hyperlink>
    </w:p>
    <w:p w14:paraId="3FCE3C4F" w14:textId="77777777" w:rsidR="00300B53" w:rsidRPr="00300B53" w:rsidRDefault="00300B53" w:rsidP="00CE481E">
      <w:pPr>
        <w:spacing w:after="0" w:line="240" w:lineRule="auto"/>
        <w:rPr>
          <w:rFonts w:ascii="Calibri" w:eastAsia="Calibri" w:hAnsi="Calibri" w:cs="Calibri"/>
        </w:rPr>
      </w:pPr>
    </w:p>
    <w:p w14:paraId="65EC8826" w14:textId="2B4A3799"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Australian National University (2022)</w:t>
      </w:r>
      <w:hyperlink r:id="rId139" w:history="1">
        <w:r w:rsidRPr="00300B53">
          <w:rPr>
            <w:rFonts w:ascii="Calibri" w:eastAsia="Calibri" w:hAnsi="Calibri" w:cs="Calibri"/>
            <w:i/>
            <w:iCs/>
          </w:rPr>
          <w:t xml:space="preserve"> </w:t>
        </w:r>
        <w:proofErr w:type="spellStart"/>
        <w:r w:rsidRPr="00300B53">
          <w:rPr>
            <w:rFonts w:ascii="Calibri" w:eastAsia="Calibri" w:hAnsi="Calibri" w:cs="Calibri"/>
            <w:i/>
            <w:iCs/>
            <w:color w:val="0000FF"/>
            <w:u w:val="single"/>
          </w:rPr>
          <w:t>Marramarra</w:t>
        </w:r>
        <w:proofErr w:type="spellEnd"/>
        <w:r w:rsidRPr="00300B53">
          <w:rPr>
            <w:rFonts w:ascii="Calibri" w:eastAsia="Calibri" w:hAnsi="Calibri" w:cs="Calibri"/>
            <w:i/>
            <w:iCs/>
            <w:color w:val="0000FF"/>
            <w:u w:val="single"/>
          </w:rPr>
          <w:t xml:space="preserve"> </w:t>
        </w:r>
        <w:proofErr w:type="spellStart"/>
        <w:r w:rsidRPr="00300B53">
          <w:rPr>
            <w:rFonts w:ascii="Calibri" w:eastAsia="Calibri" w:hAnsi="Calibri" w:cs="Calibri"/>
            <w:i/>
            <w:iCs/>
            <w:color w:val="0000FF"/>
            <w:u w:val="single"/>
          </w:rPr>
          <w:t>murra</w:t>
        </w:r>
        <w:proofErr w:type="spellEnd"/>
        <w:r w:rsidRPr="00300B53">
          <w:rPr>
            <w:rFonts w:ascii="Calibri" w:eastAsia="Calibri" w:hAnsi="Calibri" w:cs="Calibri"/>
            <w:i/>
            <w:iCs/>
            <w:color w:val="0000FF"/>
            <w:u w:val="single"/>
          </w:rPr>
          <w:t xml:space="preserve"> (creating pathways) First</w:t>
        </w:r>
      </w:hyperlink>
      <w:r w:rsidRPr="00300B53">
        <w:rPr>
          <w:rFonts w:ascii="Calibri" w:eastAsia="Calibri" w:hAnsi="Calibri" w:cs="Calibri"/>
          <w:i/>
          <w:iCs/>
          <w:color w:val="0000FF"/>
          <w:u w:val="single"/>
        </w:rPr>
        <w:t xml:space="preserve"> Nations Wealth Forum and Economic Development Symposium</w:t>
      </w:r>
    </w:p>
    <w:p w14:paraId="3E3017C2" w14:textId="77777777" w:rsidR="00300B53" w:rsidRPr="00300B53" w:rsidRDefault="00300B53" w:rsidP="00CE481E">
      <w:pPr>
        <w:spacing w:after="0" w:line="240" w:lineRule="auto"/>
        <w:rPr>
          <w:rFonts w:ascii="Calibri" w:eastAsia="Calibri" w:hAnsi="Calibri" w:cs="Calibri"/>
          <w:bdr w:val="none" w:sz="0" w:space="0" w:color="auto" w:frame="1"/>
        </w:rPr>
      </w:pPr>
    </w:p>
    <w:p w14:paraId="560C5447" w14:textId="17587CFA" w:rsidR="00300B53" w:rsidRPr="00300B53" w:rsidRDefault="00300B53" w:rsidP="00CE481E">
      <w:pPr>
        <w:spacing w:after="0" w:line="240" w:lineRule="auto"/>
        <w:rPr>
          <w:rFonts w:ascii="Calibri" w:eastAsia="Calibri" w:hAnsi="Calibri" w:cs="Calibri"/>
        </w:rPr>
      </w:pPr>
      <w:r w:rsidRPr="00300B53">
        <w:rPr>
          <w:rFonts w:ascii="Calibri" w:eastAsia="Calibri" w:hAnsi="Calibri" w:cs="Calibri"/>
        </w:rPr>
        <w:t xml:space="preserve">Universities Australia (2019) </w:t>
      </w:r>
      <w:hyperlink r:id="rId140" w:history="1">
        <w:r w:rsidRPr="00300B53">
          <w:rPr>
            <w:rFonts w:ascii="Calibri" w:eastAsia="Calibri" w:hAnsi="Calibri" w:cs="Calibri"/>
            <w:i/>
            <w:iCs/>
            <w:color w:val="0000FF"/>
            <w:u w:val="single"/>
          </w:rPr>
          <w:t>Universities Australia: Clever collaborations – the strong business case for partnering with universitie</w:t>
        </w:r>
        <w:r w:rsidRPr="00300B53">
          <w:rPr>
            <w:rFonts w:ascii="Calibri" w:eastAsia="Calibri" w:hAnsi="Calibri" w:cs="Calibri"/>
            <w:color w:val="0000FF"/>
            <w:u w:val="single"/>
          </w:rPr>
          <w:t>s</w:t>
        </w:r>
      </w:hyperlink>
      <w:r w:rsidRPr="00300B53">
        <w:rPr>
          <w:rFonts w:ascii="Calibri" w:eastAsia="Calibri" w:hAnsi="Calibri" w:cs="Calibri"/>
        </w:rPr>
        <w:t xml:space="preserve">, </w:t>
      </w:r>
    </w:p>
    <w:p w14:paraId="320A09BA" w14:textId="47AAA3DD" w:rsidR="00300B53" w:rsidRPr="007137C6" w:rsidRDefault="00300B53" w:rsidP="00F6694F">
      <w:pPr>
        <w:pStyle w:val="Heading3"/>
      </w:pPr>
      <w:bookmarkStart w:id="144" w:name="_Toc144387340"/>
      <w:bookmarkStart w:id="145" w:name="_Toc152165448"/>
      <w:r w:rsidRPr="007137C6">
        <w:t>Academic papers</w:t>
      </w:r>
      <w:bookmarkEnd w:id="144"/>
      <w:bookmarkEnd w:id="145"/>
    </w:p>
    <w:p w14:paraId="4623E78E" w14:textId="77777777" w:rsidR="00300B53" w:rsidRPr="00300B53" w:rsidRDefault="00300B53" w:rsidP="00CE481E">
      <w:pPr>
        <w:shd w:val="clear" w:color="auto" w:fill="FFFFFF"/>
        <w:spacing w:after="0" w:line="240" w:lineRule="auto"/>
        <w:rPr>
          <w:rFonts w:ascii="Calibri" w:eastAsia="Calibri" w:hAnsi="Calibri" w:cs="Times New Roman"/>
        </w:rPr>
      </w:pPr>
      <w:proofErr w:type="spellStart"/>
      <w:r w:rsidRPr="00300B53">
        <w:rPr>
          <w:rFonts w:ascii="Calibri" w:eastAsia="Calibri" w:hAnsi="Calibri" w:cs="Times New Roman"/>
        </w:rPr>
        <w:t>Roos</w:t>
      </w:r>
      <w:proofErr w:type="spellEnd"/>
      <w:r w:rsidRPr="00300B53">
        <w:rPr>
          <w:rFonts w:ascii="Calibri" w:eastAsia="Calibri" w:hAnsi="Calibri" w:cs="Times New Roman"/>
        </w:rPr>
        <w:t xml:space="preserve"> G and Pike S (2011) The relationship between university and firm innovation, </w:t>
      </w:r>
      <w:r w:rsidRPr="00300B53">
        <w:rPr>
          <w:rFonts w:ascii="Calibri" w:eastAsia="Calibri" w:hAnsi="Calibri" w:cs="Times New Roman"/>
          <w:i/>
          <w:iCs/>
        </w:rPr>
        <w:t>The Institute of Chartered Accountants in Australia &amp; Centre for Accounting, Governance and Sustainability</w:t>
      </w:r>
      <w:r w:rsidRPr="00300B53">
        <w:rPr>
          <w:rFonts w:ascii="Calibri" w:eastAsia="Calibri" w:hAnsi="Calibri" w:cs="Times New Roman"/>
        </w:rPr>
        <w:t>, University of South Australia</w:t>
      </w:r>
    </w:p>
    <w:p w14:paraId="6A771B42" w14:textId="77777777" w:rsidR="00300B53" w:rsidRPr="00300B53" w:rsidRDefault="00300B53" w:rsidP="00CE481E">
      <w:pPr>
        <w:spacing w:after="0" w:line="240" w:lineRule="auto"/>
        <w:rPr>
          <w:rFonts w:ascii="Calibri" w:eastAsia="Calibri" w:hAnsi="Calibri" w:cs="Times New Roman"/>
        </w:rPr>
      </w:pPr>
    </w:p>
    <w:p w14:paraId="765DA9A9" w14:textId="77777777" w:rsidR="00300B53" w:rsidRPr="00300B53" w:rsidRDefault="00300B53" w:rsidP="00CE481E">
      <w:pPr>
        <w:spacing w:after="0" w:line="240" w:lineRule="auto"/>
        <w:rPr>
          <w:rFonts w:ascii="Calibri" w:eastAsia="Calibri" w:hAnsi="Calibri" w:cs="Times New Roman"/>
        </w:rPr>
      </w:pPr>
      <w:proofErr w:type="spellStart"/>
      <w:r w:rsidRPr="00300B53">
        <w:rPr>
          <w:rFonts w:ascii="Calibri" w:eastAsia="Calibri" w:hAnsi="Calibri" w:cs="Times New Roman"/>
        </w:rPr>
        <w:t>Roos</w:t>
      </w:r>
      <w:proofErr w:type="spellEnd"/>
      <w:r w:rsidRPr="00300B53">
        <w:rPr>
          <w:rFonts w:ascii="Calibri" w:eastAsia="Calibri" w:hAnsi="Calibri" w:cs="Times New Roman"/>
        </w:rPr>
        <w:t xml:space="preserve"> G (2010) Review of the Innovation Readiness of SMEs, </w:t>
      </w:r>
      <w:r w:rsidRPr="00300B53">
        <w:rPr>
          <w:rFonts w:ascii="Calibri" w:eastAsia="Calibri" w:hAnsi="Calibri" w:cs="Times New Roman"/>
          <w:i/>
          <w:iCs/>
        </w:rPr>
        <w:t>Danish Agency for Science, Technology and Innovation</w:t>
      </w:r>
      <w:r w:rsidRPr="00300B53">
        <w:rPr>
          <w:rFonts w:ascii="Calibri" w:eastAsia="Calibri" w:hAnsi="Calibri" w:cs="Times New Roman"/>
        </w:rPr>
        <w:t>, Copenhagen, Denmark</w:t>
      </w:r>
    </w:p>
    <w:p w14:paraId="0242ADD0" w14:textId="77777777" w:rsidR="00300B53" w:rsidRPr="00300B53" w:rsidRDefault="00300B53" w:rsidP="00CE481E">
      <w:pPr>
        <w:spacing w:after="0" w:line="240" w:lineRule="auto"/>
        <w:rPr>
          <w:rFonts w:ascii="Calibri" w:eastAsia="Calibri" w:hAnsi="Calibri" w:cs="Times New Roman"/>
        </w:rPr>
      </w:pPr>
    </w:p>
    <w:p w14:paraId="5312A9F3" w14:textId="77777777" w:rsidR="00300B53" w:rsidRPr="00300B53" w:rsidRDefault="00300B53" w:rsidP="00CE481E">
      <w:pPr>
        <w:spacing w:after="0" w:line="240" w:lineRule="auto"/>
        <w:rPr>
          <w:rFonts w:ascii="Calibri" w:eastAsia="Calibri" w:hAnsi="Calibri" w:cs="Times New Roman"/>
        </w:rPr>
      </w:pPr>
      <w:proofErr w:type="spellStart"/>
      <w:r w:rsidRPr="00300B53">
        <w:rPr>
          <w:rFonts w:ascii="Calibri" w:eastAsia="Calibri" w:hAnsi="Calibri" w:cs="Times New Roman"/>
        </w:rPr>
        <w:t>Brnjas</w:t>
      </w:r>
      <w:proofErr w:type="spellEnd"/>
      <w:r w:rsidRPr="00300B53">
        <w:rPr>
          <w:rFonts w:ascii="Calibri" w:eastAsia="Calibri" w:hAnsi="Calibri" w:cs="Times New Roman"/>
        </w:rPr>
        <w:t xml:space="preserve">, Z., </w:t>
      </w:r>
      <w:proofErr w:type="spellStart"/>
      <w:r w:rsidRPr="00300B53">
        <w:rPr>
          <w:rFonts w:ascii="Calibri" w:eastAsia="Calibri" w:hAnsi="Calibri" w:cs="Times New Roman"/>
        </w:rPr>
        <w:t>Vulićević</w:t>
      </w:r>
      <w:proofErr w:type="spellEnd"/>
      <w:r w:rsidRPr="00300B53">
        <w:rPr>
          <w:rFonts w:ascii="Calibri" w:eastAsia="Calibri" w:hAnsi="Calibri" w:cs="Times New Roman"/>
        </w:rPr>
        <w:t xml:space="preserve">, V., &amp; </w:t>
      </w:r>
      <w:proofErr w:type="spellStart"/>
      <w:r w:rsidRPr="00300B53">
        <w:rPr>
          <w:rFonts w:ascii="Calibri" w:eastAsia="Calibri" w:hAnsi="Calibri" w:cs="Times New Roman"/>
        </w:rPr>
        <w:t>Čanaićević</w:t>
      </w:r>
      <w:proofErr w:type="spellEnd"/>
      <w:r w:rsidRPr="00300B53">
        <w:rPr>
          <w:rFonts w:ascii="Calibri" w:eastAsia="Calibri" w:hAnsi="Calibri" w:cs="Times New Roman"/>
        </w:rPr>
        <w:t>, D. (2015) Importance and role of fast-growing companies–Gazelles in modern economies,</w:t>
      </w:r>
      <w:r w:rsidRPr="00300B53">
        <w:rPr>
          <w:rFonts w:ascii="Calibri" w:eastAsia="Calibri" w:hAnsi="Calibri" w:cs="Times New Roman"/>
          <w:i/>
          <w:iCs/>
        </w:rPr>
        <w:t xml:space="preserve"> Institute of Economic Sciences</w:t>
      </w:r>
      <w:r w:rsidRPr="00300B53">
        <w:rPr>
          <w:rFonts w:ascii="Calibri" w:eastAsia="Calibri" w:hAnsi="Calibri" w:cs="Times New Roman"/>
        </w:rPr>
        <w:t xml:space="preserve"> 48(3-4), 44-61</w:t>
      </w:r>
    </w:p>
    <w:p w14:paraId="0E0EC1A0" w14:textId="77777777" w:rsidR="00300B53" w:rsidRPr="00300B53" w:rsidRDefault="00300B53" w:rsidP="00CE481E">
      <w:pPr>
        <w:spacing w:after="0" w:line="240" w:lineRule="auto"/>
        <w:rPr>
          <w:rFonts w:ascii="Calibri" w:eastAsia="Calibri" w:hAnsi="Calibri" w:cs="Times New Roman"/>
        </w:rPr>
      </w:pPr>
    </w:p>
    <w:p w14:paraId="6726C248" w14:textId="77777777" w:rsidR="00300B53" w:rsidRPr="00300B53" w:rsidRDefault="00300B53" w:rsidP="00CE481E">
      <w:pPr>
        <w:spacing w:after="0" w:line="240" w:lineRule="auto"/>
        <w:rPr>
          <w:rFonts w:ascii="Calibri" w:eastAsia="Calibri" w:hAnsi="Calibri" w:cs="Calibri"/>
        </w:rPr>
      </w:pPr>
      <w:proofErr w:type="spellStart"/>
      <w:r w:rsidRPr="00300B53">
        <w:rPr>
          <w:rFonts w:ascii="Calibri" w:eastAsia="Calibri" w:hAnsi="Calibri" w:cs="Times New Roman"/>
        </w:rPr>
        <w:t>Ferrantino</w:t>
      </w:r>
      <w:proofErr w:type="spellEnd"/>
      <w:r w:rsidRPr="00300B53">
        <w:rPr>
          <w:rFonts w:ascii="Calibri" w:eastAsia="Calibri" w:hAnsi="Calibri" w:cs="Times New Roman"/>
        </w:rPr>
        <w:t xml:space="preserve">, M. J., Mukim, M., Pearson, A., &amp; Snow, N. D. (2012) Gazelles and </w:t>
      </w:r>
      <w:proofErr w:type="spellStart"/>
      <w:r w:rsidRPr="00300B53">
        <w:rPr>
          <w:rFonts w:ascii="Calibri" w:eastAsia="Calibri" w:hAnsi="Calibri" w:cs="Times New Roman"/>
        </w:rPr>
        <w:t>Gazillas</w:t>
      </w:r>
      <w:proofErr w:type="spellEnd"/>
      <w:r w:rsidRPr="00300B53">
        <w:rPr>
          <w:rFonts w:ascii="Calibri" w:eastAsia="Calibri" w:hAnsi="Calibri" w:cs="Times New Roman"/>
        </w:rPr>
        <w:t xml:space="preserve"> in China and India, Available at SSRN 2167303.</w:t>
      </w:r>
    </w:p>
    <w:p w14:paraId="54F835F9" w14:textId="602D2F58" w:rsidR="00300B53" w:rsidRPr="007137C6" w:rsidRDefault="00300B53" w:rsidP="00F6694F">
      <w:pPr>
        <w:pStyle w:val="Heading3"/>
      </w:pPr>
      <w:bookmarkStart w:id="146" w:name="_Toc144387341"/>
      <w:bookmarkStart w:id="147" w:name="_Toc152165449"/>
      <w:r w:rsidRPr="007137C6">
        <w:t>Newspaper articles</w:t>
      </w:r>
      <w:bookmarkEnd w:id="146"/>
      <w:bookmarkEnd w:id="147"/>
    </w:p>
    <w:p w14:paraId="513B67EC" w14:textId="7D5206F6"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rPr>
        <w:t xml:space="preserve">Voelker N (22 March 2023) </w:t>
      </w:r>
      <w:hyperlink r:id="rId141" w:history="1">
        <w:r w:rsidRPr="00300B53">
          <w:rPr>
            <w:rFonts w:ascii="Calibri" w:eastAsia="Calibri" w:hAnsi="Calibri" w:cs="Calibri"/>
            <w:color w:val="0000FF"/>
            <w:u w:val="single"/>
          </w:rPr>
          <w:t>Victoria drops the ball on research</w:t>
        </w:r>
      </w:hyperlink>
      <w:r w:rsidRPr="00300B53">
        <w:rPr>
          <w:rFonts w:ascii="Calibri" w:eastAsia="Calibri" w:hAnsi="Calibri" w:cs="Calibri"/>
        </w:rPr>
        <w:t xml:space="preserve"> </w:t>
      </w:r>
      <w:r w:rsidRPr="00300B53">
        <w:rPr>
          <w:rFonts w:ascii="Calibri" w:eastAsia="Calibri" w:hAnsi="Calibri" w:cs="Calibri"/>
          <w:i/>
          <w:iCs/>
        </w:rPr>
        <w:t>The Australian</w:t>
      </w:r>
    </w:p>
    <w:p w14:paraId="6F0EBA19" w14:textId="77777777" w:rsidR="00300B53" w:rsidRPr="00300B53" w:rsidRDefault="00300B53" w:rsidP="00CE481E">
      <w:pPr>
        <w:spacing w:after="0" w:line="240" w:lineRule="auto"/>
        <w:rPr>
          <w:rFonts w:ascii="Calibri" w:eastAsia="Calibri" w:hAnsi="Calibri" w:cs="Calibri"/>
          <w:color w:val="000000"/>
        </w:rPr>
      </w:pPr>
    </w:p>
    <w:p w14:paraId="23064A78" w14:textId="6689653C"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rPr>
        <w:t xml:space="preserve">Gittins R (28 February 2018) </w:t>
      </w:r>
      <w:hyperlink r:id="rId142" w:history="1">
        <w:r w:rsidRPr="00300B53">
          <w:rPr>
            <w:rFonts w:ascii="Calibri" w:eastAsia="Calibri" w:hAnsi="Calibri" w:cs="Calibri"/>
            <w:color w:val="0000FF"/>
            <w:u w:val="single"/>
          </w:rPr>
          <w:t>Why outgoing competition boss Rod Sims fears for the future of the market econom</w:t>
        </w:r>
        <w:r w:rsidRPr="00300B53">
          <w:rPr>
            <w:rFonts w:ascii="Calibri" w:eastAsia="Calibri" w:hAnsi="Calibri" w:cs="Calibri"/>
            <w:i/>
            <w:iCs/>
            <w:color w:val="0000FF"/>
            <w:u w:val="single"/>
          </w:rPr>
          <w:t>y</w:t>
        </w:r>
      </w:hyperlink>
      <w:r w:rsidRPr="00300B53">
        <w:rPr>
          <w:rFonts w:ascii="Calibri" w:eastAsia="Calibri" w:hAnsi="Calibri" w:cs="Calibri"/>
        </w:rPr>
        <w:t xml:space="preserve"> </w:t>
      </w:r>
      <w:r w:rsidRPr="00300B53">
        <w:rPr>
          <w:rFonts w:ascii="Calibri" w:eastAsia="Calibri" w:hAnsi="Calibri" w:cs="Calibri"/>
          <w:i/>
          <w:iCs/>
        </w:rPr>
        <w:t>The Sydney Morning Herald</w:t>
      </w:r>
    </w:p>
    <w:p w14:paraId="43639AF6" w14:textId="77777777" w:rsidR="00300B53" w:rsidRPr="00300B53" w:rsidRDefault="00300B53" w:rsidP="00CE481E">
      <w:pPr>
        <w:spacing w:after="0" w:line="240" w:lineRule="auto"/>
        <w:rPr>
          <w:rFonts w:ascii="Calibri" w:eastAsia="Calibri" w:hAnsi="Calibri" w:cs="Calibri"/>
          <w:color w:val="000000"/>
        </w:rPr>
      </w:pPr>
    </w:p>
    <w:p w14:paraId="5F3CA023" w14:textId="3FFDA15D" w:rsidR="00300B53" w:rsidRPr="00300B53" w:rsidRDefault="00300B53" w:rsidP="00CE481E">
      <w:pPr>
        <w:spacing w:after="0" w:line="240" w:lineRule="auto"/>
        <w:rPr>
          <w:rFonts w:ascii="Calibri" w:eastAsia="Calibri" w:hAnsi="Calibri" w:cs="Calibri"/>
          <w:color w:val="000000"/>
        </w:rPr>
      </w:pPr>
      <w:r w:rsidRPr="00300B53">
        <w:rPr>
          <w:rFonts w:ascii="Calibri" w:eastAsia="Calibri" w:hAnsi="Calibri" w:cs="Calibri"/>
        </w:rPr>
        <w:t xml:space="preserve">Smith P (7 June 2023) </w:t>
      </w:r>
      <w:hyperlink r:id="rId143" w:history="1">
        <w:r w:rsidRPr="00300B53">
          <w:rPr>
            <w:rFonts w:ascii="Calibri" w:eastAsia="Calibri" w:hAnsi="Calibri" w:cs="Calibri"/>
            <w:color w:val="0000FF"/>
            <w:u w:val="single"/>
          </w:rPr>
          <w:t>Start-ups face walking dead scenario</w:t>
        </w:r>
      </w:hyperlink>
      <w:r w:rsidRPr="00300B53">
        <w:rPr>
          <w:rFonts w:ascii="Calibri" w:eastAsia="Calibri" w:hAnsi="Calibri" w:cs="Calibri"/>
        </w:rPr>
        <w:t xml:space="preserve"> </w:t>
      </w:r>
      <w:r w:rsidRPr="00300B53">
        <w:rPr>
          <w:rFonts w:ascii="Calibri" w:eastAsia="Calibri" w:hAnsi="Calibri" w:cs="Calibri"/>
          <w:i/>
          <w:iCs/>
        </w:rPr>
        <w:t>Australian Financial Review</w:t>
      </w:r>
      <w:r w:rsidRPr="00300B53">
        <w:rPr>
          <w:rFonts w:ascii="Calibri" w:eastAsia="Calibri" w:hAnsi="Calibri" w:cs="Calibri"/>
        </w:rPr>
        <w:t xml:space="preserve">, </w:t>
      </w:r>
    </w:p>
    <w:p w14:paraId="33D85793" w14:textId="47C49895" w:rsidR="00300B53" w:rsidRPr="007137C6" w:rsidRDefault="0058461A" w:rsidP="00F6694F">
      <w:pPr>
        <w:pStyle w:val="Heading3"/>
      </w:pPr>
      <w:bookmarkStart w:id="148" w:name="_Toc144387342"/>
      <w:bookmarkStart w:id="149" w:name="_Toc152165450"/>
      <w:r>
        <w:t>Office of Industry Innovation and Science Australia (</w:t>
      </w:r>
      <w:r w:rsidR="00300B53" w:rsidRPr="007137C6">
        <w:t>OIISA</w:t>
      </w:r>
      <w:r>
        <w:t>)</w:t>
      </w:r>
      <w:r w:rsidR="00300B53" w:rsidRPr="007137C6">
        <w:t xml:space="preserve"> </w:t>
      </w:r>
      <w:r w:rsidR="00D375DF">
        <w:t>i</w:t>
      </w:r>
      <w:r w:rsidR="00300B53" w:rsidRPr="007137C6">
        <w:t>nterviews</w:t>
      </w:r>
      <w:bookmarkEnd w:id="148"/>
      <w:r w:rsidR="00300B53" w:rsidRPr="007137C6">
        <w:t xml:space="preserve"> </w:t>
      </w:r>
      <w:bookmarkEnd w:id="149"/>
    </w:p>
    <w:p w14:paraId="0DA47BB8" w14:textId="77777777" w:rsidR="00300B53" w:rsidRPr="00300B53" w:rsidRDefault="00300B53" w:rsidP="00300B53">
      <w:pPr>
        <w:spacing w:after="0" w:line="240" w:lineRule="auto"/>
        <w:rPr>
          <w:rFonts w:ascii="Calibri" w:eastAsia="Calibri" w:hAnsi="Calibri" w:cs="Calibri"/>
        </w:rPr>
      </w:pPr>
      <w:r w:rsidRPr="00300B53">
        <w:rPr>
          <w:rFonts w:ascii="Calibri" w:eastAsia="Calibri" w:hAnsi="Calibri" w:cs="Calibri"/>
        </w:rPr>
        <w:t>Industry Innovation and Science Australia interview with Fortescue Future Industries, conducted on 1 August 2023</w:t>
      </w:r>
    </w:p>
    <w:p w14:paraId="7A2B0919" w14:textId="77777777" w:rsidR="00300B53" w:rsidRPr="00300B53" w:rsidRDefault="00300B53" w:rsidP="00300B53">
      <w:pPr>
        <w:spacing w:after="0" w:line="240" w:lineRule="auto"/>
        <w:rPr>
          <w:rFonts w:ascii="Calibri" w:eastAsia="Calibri" w:hAnsi="Calibri" w:cs="Calibri"/>
        </w:rPr>
      </w:pPr>
    </w:p>
    <w:p w14:paraId="6008FA51" w14:textId="010DA966" w:rsidR="00300B53" w:rsidRPr="00300B53" w:rsidRDefault="00300B53" w:rsidP="00300B53">
      <w:pPr>
        <w:spacing w:after="0" w:line="240" w:lineRule="auto"/>
        <w:rPr>
          <w:rFonts w:ascii="Calibri" w:eastAsia="Calibri" w:hAnsi="Calibri" w:cs="Calibri"/>
        </w:rPr>
      </w:pPr>
      <w:r w:rsidRPr="00300B53">
        <w:rPr>
          <w:rFonts w:ascii="Calibri" w:eastAsia="Calibri" w:hAnsi="Calibri" w:cs="Calibri"/>
        </w:rPr>
        <w:t>Industry Innovation and Science Australia interview with Archer, conducted on 2</w:t>
      </w:r>
      <w:r w:rsidR="00950B8F">
        <w:rPr>
          <w:rFonts w:ascii="Calibri" w:eastAsia="Calibri" w:hAnsi="Calibri" w:cs="Calibri"/>
        </w:rPr>
        <w:t> </w:t>
      </w:r>
      <w:r w:rsidRPr="00300B53">
        <w:rPr>
          <w:rFonts w:ascii="Calibri" w:eastAsia="Calibri" w:hAnsi="Calibri" w:cs="Calibri"/>
        </w:rPr>
        <w:t>August</w:t>
      </w:r>
      <w:r w:rsidR="00950B8F">
        <w:rPr>
          <w:rFonts w:ascii="Calibri" w:eastAsia="Calibri" w:hAnsi="Calibri" w:cs="Calibri"/>
        </w:rPr>
        <w:t> </w:t>
      </w:r>
      <w:r w:rsidRPr="00300B53">
        <w:rPr>
          <w:rFonts w:ascii="Calibri" w:eastAsia="Calibri" w:hAnsi="Calibri" w:cs="Calibri"/>
        </w:rPr>
        <w:t>2023</w:t>
      </w:r>
    </w:p>
    <w:p w14:paraId="7235DD73" w14:textId="77777777" w:rsidR="00300B53" w:rsidRDefault="00300B53" w:rsidP="00300B53">
      <w:pPr>
        <w:spacing w:after="0" w:line="240" w:lineRule="auto"/>
        <w:rPr>
          <w:rFonts w:ascii="Calibri" w:eastAsia="Calibri" w:hAnsi="Calibri" w:cs="Calibri"/>
        </w:rPr>
      </w:pPr>
    </w:p>
    <w:p w14:paraId="5377E78A" w14:textId="68602057" w:rsidR="00300B53" w:rsidRPr="00300B53" w:rsidRDefault="00300B53" w:rsidP="00300B53">
      <w:pPr>
        <w:spacing w:after="0" w:line="240" w:lineRule="auto"/>
        <w:rPr>
          <w:rFonts w:ascii="Calibri" w:eastAsia="Calibri" w:hAnsi="Calibri" w:cs="Calibri"/>
        </w:rPr>
      </w:pPr>
      <w:r w:rsidRPr="00300B53">
        <w:rPr>
          <w:rFonts w:ascii="Calibri" w:eastAsia="Calibri" w:hAnsi="Calibri" w:cs="Calibri"/>
        </w:rPr>
        <w:t xml:space="preserve">Industry Innovation and Science Australia interview with </w:t>
      </w:r>
      <w:proofErr w:type="spellStart"/>
      <w:r w:rsidRPr="00300B53">
        <w:rPr>
          <w:rFonts w:ascii="Calibri" w:eastAsia="Calibri" w:hAnsi="Calibri" w:cs="Calibri"/>
        </w:rPr>
        <w:t>FLINTPro</w:t>
      </w:r>
      <w:proofErr w:type="spellEnd"/>
      <w:r w:rsidRPr="00300B53">
        <w:rPr>
          <w:rFonts w:ascii="Calibri" w:eastAsia="Calibri" w:hAnsi="Calibri" w:cs="Calibri"/>
        </w:rPr>
        <w:t>, conducted on 2</w:t>
      </w:r>
      <w:r w:rsidR="00950B8F">
        <w:rPr>
          <w:rFonts w:ascii="Calibri" w:eastAsia="Calibri" w:hAnsi="Calibri" w:cs="Calibri"/>
        </w:rPr>
        <w:t> </w:t>
      </w:r>
      <w:r w:rsidRPr="00300B53">
        <w:rPr>
          <w:rFonts w:ascii="Calibri" w:eastAsia="Calibri" w:hAnsi="Calibri" w:cs="Calibri"/>
        </w:rPr>
        <w:t>August 2023</w:t>
      </w:r>
    </w:p>
    <w:p w14:paraId="39FA8B79" w14:textId="77777777" w:rsidR="00300B53" w:rsidRPr="00300B53" w:rsidRDefault="00300B53" w:rsidP="00300B53">
      <w:pPr>
        <w:spacing w:after="0" w:line="240" w:lineRule="auto"/>
        <w:rPr>
          <w:rFonts w:ascii="Calibri" w:eastAsia="Calibri" w:hAnsi="Calibri" w:cs="Calibri"/>
        </w:rPr>
      </w:pPr>
    </w:p>
    <w:p w14:paraId="5BC581D7" w14:textId="4AC5A529" w:rsidR="00300B53" w:rsidRPr="00300B53" w:rsidRDefault="00300B53" w:rsidP="00300B53">
      <w:pPr>
        <w:spacing w:after="0" w:line="240" w:lineRule="auto"/>
        <w:rPr>
          <w:rFonts w:ascii="Calibri" w:eastAsia="Calibri" w:hAnsi="Calibri" w:cs="Calibri"/>
        </w:rPr>
      </w:pPr>
      <w:r w:rsidRPr="00300B53">
        <w:rPr>
          <w:rFonts w:ascii="Calibri" w:eastAsia="Calibri" w:hAnsi="Calibri" w:cs="Calibri"/>
        </w:rPr>
        <w:t xml:space="preserve">Industry Innovation and Science Australia interview with </w:t>
      </w:r>
      <w:proofErr w:type="spellStart"/>
      <w:r w:rsidRPr="00300B53">
        <w:rPr>
          <w:rFonts w:ascii="Calibri" w:eastAsia="Calibri" w:hAnsi="Calibri" w:cs="Calibri"/>
        </w:rPr>
        <w:t>Tindo</w:t>
      </w:r>
      <w:proofErr w:type="spellEnd"/>
      <w:r w:rsidRPr="00300B53">
        <w:rPr>
          <w:rFonts w:ascii="Calibri" w:eastAsia="Calibri" w:hAnsi="Calibri" w:cs="Calibri"/>
        </w:rPr>
        <w:t xml:space="preserve"> Solar, conducted on 3</w:t>
      </w:r>
      <w:r w:rsidR="00950B8F">
        <w:rPr>
          <w:rFonts w:ascii="Calibri" w:eastAsia="Calibri" w:hAnsi="Calibri" w:cs="Calibri"/>
        </w:rPr>
        <w:t> </w:t>
      </w:r>
      <w:r w:rsidRPr="00300B53">
        <w:rPr>
          <w:rFonts w:ascii="Calibri" w:eastAsia="Calibri" w:hAnsi="Calibri" w:cs="Calibri"/>
        </w:rPr>
        <w:t>August 2023</w:t>
      </w:r>
    </w:p>
    <w:p w14:paraId="1F87FC62" w14:textId="77777777" w:rsidR="00300B53" w:rsidRDefault="00300B53" w:rsidP="00300B53">
      <w:pPr>
        <w:spacing w:after="0" w:line="240" w:lineRule="auto"/>
        <w:rPr>
          <w:rFonts w:ascii="Calibri" w:eastAsia="Calibri" w:hAnsi="Calibri" w:cs="Calibri"/>
        </w:rPr>
      </w:pPr>
    </w:p>
    <w:p w14:paraId="4312E9A0" w14:textId="2F95C3DF" w:rsidR="00300B53" w:rsidRPr="00300B53" w:rsidRDefault="00300B53" w:rsidP="00300B53">
      <w:pPr>
        <w:spacing w:after="0" w:line="240" w:lineRule="auto"/>
        <w:rPr>
          <w:rFonts w:ascii="Calibri" w:eastAsia="Calibri" w:hAnsi="Calibri" w:cs="Calibri"/>
        </w:rPr>
      </w:pPr>
      <w:r w:rsidRPr="00300B53">
        <w:rPr>
          <w:rFonts w:ascii="Calibri" w:eastAsia="Calibri" w:hAnsi="Calibri" w:cs="Calibri"/>
        </w:rPr>
        <w:t>Industry Innovation and Science Australia interview with Professor Ken-</w:t>
      </w:r>
      <w:proofErr w:type="spellStart"/>
      <w:r w:rsidRPr="00300B53">
        <w:rPr>
          <w:rFonts w:ascii="Calibri" w:eastAsia="Calibri" w:hAnsi="Calibri" w:cs="Calibri"/>
        </w:rPr>
        <w:t>Tye</w:t>
      </w:r>
      <w:proofErr w:type="spellEnd"/>
      <w:r w:rsidRPr="00300B53">
        <w:rPr>
          <w:rFonts w:ascii="Calibri" w:eastAsia="Calibri" w:hAnsi="Calibri" w:cs="Calibri"/>
        </w:rPr>
        <w:t xml:space="preserve"> Young conducted on 4 August 2023</w:t>
      </w:r>
    </w:p>
    <w:p w14:paraId="479974C5" w14:textId="77777777" w:rsidR="00300B53" w:rsidRPr="00300B53" w:rsidRDefault="00300B53" w:rsidP="00300B53">
      <w:pPr>
        <w:spacing w:after="0" w:line="240" w:lineRule="auto"/>
        <w:rPr>
          <w:rFonts w:ascii="Calibri" w:eastAsia="Calibri" w:hAnsi="Calibri" w:cs="Calibri"/>
        </w:rPr>
      </w:pPr>
    </w:p>
    <w:p w14:paraId="652174A5" w14:textId="00C80E2F" w:rsidR="00300B53" w:rsidRPr="00300B53" w:rsidRDefault="00300B53" w:rsidP="00300B53">
      <w:pPr>
        <w:spacing w:after="0" w:line="240" w:lineRule="auto"/>
        <w:rPr>
          <w:rFonts w:ascii="Calibri" w:eastAsia="Calibri" w:hAnsi="Calibri" w:cs="Calibri"/>
        </w:rPr>
      </w:pPr>
      <w:r w:rsidRPr="00300B53">
        <w:rPr>
          <w:rFonts w:ascii="Calibri" w:eastAsia="Calibri" w:hAnsi="Calibri" w:cs="Calibri"/>
        </w:rPr>
        <w:t xml:space="preserve">Industry Innovation and Science Australia interview with </w:t>
      </w:r>
      <w:proofErr w:type="spellStart"/>
      <w:r w:rsidRPr="00300B53">
        <w:rPr>
          <w:rFonts w:ascii="Calibri" w:eastAsia="Calibri" w:hAnsi="Calibri" w:cs="Calibri"/>
        </w:rPr>
        <w:t>Nexxis</w:t>
      </w:r>
      <w:proofErr w:type="spellEnd"/>
      <w:r w:rsidRPr="00300B53">
        <w:rPr>
          <w:rFonts w:ascii="Calibri" w:eastAsia="Calibri" w:hAnsi="Calibri" w:cs="Calibri"/>
        </w:rPr>
        <w:t>, conducted on 4</w:t>
      </w:r>
      <w:r w:rsidR="00950B8F">
        <w:rPr>
          <w:rFonts w:ascii="Calibri" w:eastAsia="Calibri" w:hAnsi="Calibri" w:cs="Calibri"/>
        </w:rPr>
        <w:t> </w:t>
      </w:r>
      <w:r w:rsidRPr="00300B53">
        <w:rPr>
          <w:rFonts w:ascii="Calibri" w:eastAsia="Calibri" w:hAnsi="Calibri" w:cs="Calibri"/>
        </w:rPr>
        <w:t>August</w:t>
      </w:r>
      <w:r w:rsidR="00950B8F">
        <w:rPr>
          <w:rFonts w:ascii="Calibri" w:eastAsia="Calibri" w:hAnsi="Calibri" w:cs="Calibri"/>
        </w:rPr>
        <w:t> </w:t>
      </w:r>
      <w:r w:rsidRPr="00300B53">
        <w:rPr>
          <w:rFonts w:ascii="Calibri" w:eastAsia="Calibri" w:hAnsi="Calibri" w:cs="Calibri"/>
        </w:rPr>
        <w:t>2023</w:t>
      </w:r>
    </w:p>
    <w:p w14:paraId="4F84B7EE" w14:textId="77777777" w:rsidR="00300B53" w:rsidRPr="00300B53" w:rsidRDefault="00300B53" w:rsidP="00300B53">
      <w:pPr>
        <w:spacing w:after="0" w:line="240" w:lineRule="auto"/>
        <w:rPr>
          <w:rFonts w:ascii="Calibri" w:eastAsia="Calibri" w:hAnsi="Calibri" w:cs="Calibri"/>
        </w:rPr>
      </w:pPr>
    </w:p>
    <w:p w14:paraId="31910512" w14:textId="15D4D813" w:rsidR="00300B53" w:rsidRPr="00300B53" w:rsidRDefault="00300B53" w:rsidP="00300B53">
      <w:pPr>
        <w:spacing w:after="0" w:line="240" w:lineRule="auto"/>
        <w:rPr>
          <w:rFonts w:ascii="Calibri" w:eastAsia="Calibri" w:hAnsi="Calibri" w:cs="Calibri"/>
        </w:rPr>
      </w:pPr>
      <w:r w:rsidRPr="00300B53">
        <w:rPr>
          <w:rFonts w:ascii="Calibri" w:eastAsia="Calibri" w:hAnsi="Calibri" w:cs="Calibri"/>
        </w:rPr>
        <w:t xml:space="preserve">Industry Innovation and Science Australia interview with </w:t>
      </w:r>
      <w:proofErr w:type="spellStart"/>
      <w:r w:rsidRPr="00300B53">
        <w:rPr>
          <w:rFonts w:ascii="Calibri" w:eastAsia="Calibri" w:hAnsi="Calibri" w:cs="Calibri"/>
        </w:rPr>
        <w:t>Redarc</w:t>
      </w:r>
      <w:proofErr w:type="spellEnd"/>
      <w:r w:rsidRPr="00300B53">
        <w:rPr>
          <w:rFonts w:ascii="Calibri" w:eastAsia="Calibri" w:hAnsi="Calibri" w:cs="Calibri"/>
        </w:rPr>
        <w:t>, conducted on 7</w:t>
      </w:r>
      <w:r w:rsidR="00950B8F">
        <w:rPr>
          <w:rFonts w:ascii="Calibri" w:eastAsia="Calibri" w:hAnsi="Calibri" w:cs="Calibri"/>
        </w:rPr>
        <w:t> </w:t>
      </w:r>
      <w:r w:rsidRPr="00300B53">
        <w:rPr>
          <w:rFonts w:ascii="Calibri" w:eastAsia="Calibri" w:hAnsi="Calibri" w:cs="Calibri"/>
        </w:rPr>
        <w:t>August 2023</w:t>
      </w:r>
    </w:p>
    <w:p w14:paraId="237C54B0" w14:textId="77777777" w:rsidR="00300B53" w:rsidRPr="00300B53" w:rsidRDefault="00300B53" w:rsidP="00300B53">
      <w:pPr>
        <w:spacing w:after="0" w:line="240" w:lineRule="auto"/>
        <w:rPr>
          <w:rFonts w:ascii="Calibri" w:eastAsia="Calibri" w:hAnsi="Calibri" w:cs="Calibri"/>
        </w:rPr>
      </w:pPr>
    </w:p>
    <w:p w14:paraId="73C9B2E9" w14:textId="217210D2" w:rsidR="00300B53" w:rsidRPr="00300B53" w:rsidRDefault="00300B53" w:rsidP="00300B53">
      <w:pPr>
        <w:spacing w:after="0" w:line="240" w:lineRule="auto"/>
        <w:rPr>
          <w:rFonts w:ascii="Calibri" w:eastAsia="Calibri" w:hAnsi="Calibri" w:cs="Calibri"/>
        </w:rPr>
      </w:pPr>
      <w:r w:rsidRPr="00300B53">
        <w:rPr>
          <w:rFonts w:ascii="Calibri" w:eastAsia="Calibri" w:hAnsi="Calibri" w:cs="Calibri"/>
        </w:rPr>
        <w:t>Industry Innovation and Science Australia interview with Aria Research, conducted on 8</w:t>
      </w:r>
      <w:r w:rsidR="00950B8F">
        <w:rPr>
          <w:rFonts w:ascii="Calibri" w:eastAsia="Calibri" w:hAnsi="Calibri" w:cs="Calibri"/>
        </w:rPr>
        <w:t> </w:t>
      </w:r>
      <w:r w:rsidRPr="00300B53">
        <w:rPr>
          <w:rFonts w:ascii="Calibri" w:eastAsia="Calibri" w:hAnsi="Calibri" w:cs="Calibri"/>
        </w:rPr>
        <w:t>August 2023</w:t>
      </w:r>
    </w:p>
    <w:p w14:paraId="1BE17FB8" w14:textId="77777777" w:rsidR="00300B53" w:rsidRPr="00300B53" w:rsidRDefault="00300B53" w:rsidP="00300B53">
      <w:pPr>
        <w:spacing w:after="0" w:line="240" w:lineRule="auto"/>
        <w:rPr>
          <w:rFonts w:ascii="Calibri" w:eastAsia="Calibri" w:hAnsi="Calibri" w:cs="Calibri"/>
        </w:rPr>
      </w:pPr>
    </w:p>
    <w:p w14:paraId="34ED7F0D" w14:textId="77777777" w:rsidR="00300B53" w:rsidRPr="00300B53" w:rsidRDefault="00300B53" w:rsidP="00300B53">
      <w:pPr>
        <w:spacing w:after="0" w:line="240" w:lineRule="auto"/>
        <w:rPr>
          <w:rFonts w:ascii="Calibri" w:eastAsia="Calibri" w:hAnsi="Calibri" w:cs="Calibri"/>
        </w:rPr>
      </w:pPr>
      <w:r w:rsidRPr="00300B53">
        <w:rPr>
          <w:rFonts w:ascii="Calibri" w:eastAsia="Calibri" w:hAnsi="Calibri" w:cs="Calibri"/>
        </w:rPr>
        <w:t>Industry Innovation and Science Australia interview with Robotic Systems, conducted on 10 August 2023</w:t>
      </w:r>
    </w:p>
    <w:p w14:paraId="162FDAF6" w14:textId="77777777" w:rsidR="00300B53" w:rsidRPr="00300B53" w:rsidRDefault="00300B53" w:rsidP="00300B53">
      <w:pPr>
        <w:spacing w:after="0" w:line="240" w:lineRule="auto"/>
        <w:rPr>
          <w:rFonts w:ascii="Calibri" w:eastAsia="Calibri" w:hAnsi="Calibri" w:cs="Calibri"/>
        </w:rPr>
      </w:pPr>
    </w:p>
    <w:p w14:paraId="44EFBC8D" w14:textId="2FFC04F2" w:rsidR="00300B53" w:rsidRPr="00300B53" w:rsidRDefault="00300B53" w:rsidP="00300B53">
      <w:pPr>
        <w:spacing w:after="0" w:line="240" w:lineRule="auto"/>
        <w:rPr>
          <w:rFonts w:ascii="Calibri" w:eastAsia="Calibri" w:hAnsi="Calibri" w:cs="Calibri"/>
        </w:rPr>
      </w:pPr>
      <w:r w:rsidRPr="00300B53">
        <w:rPr>
          <w:rFonts w:ascii="Calibri" w:eastAsia="Calibri" w:hAnsi="Calibri" w:cs="Calibri"/>
        </w:rPr>
        <w:t xml:space="preserve">Industry Innovation and Science Australia interview with </w:t>
      </w:r>
      <w:proofErr w:type="spellStart"/>
      <w:r w:rsidRPr="00300B53">
        <w:rPr>
          <w:rFonts w:ascii="Calibri" w:eastAsia="Calibri" w:hAnsi="Calibri" w:cs="Calibri"/>
        </w:rPr>
        <w:t>VitalTrace</w:t>
      </w:r>
      <w:proofErr w:type="spellEnd"/>
      <w:r w:rsidRPr="00300B53">
        <w:rPr>
          <w:rFonts w:ascii="Calibri" w:eastAsia="Calibri" w:hAnsi="Calibri" w:cs="Calibri"/>
        </w:rPr>
        <w:t>, conducted on 10</w:t>
      </w:r>
      <w:r w:rsidR="00950B8F">
        <w:rPr>
          <w:rFonts w:ascii="Calibri" w:eastAsia="Calibri" w:hAnsi="Calibri" w:cs="Calibri"/>
        </w:rPr>
        <w:t> </w:t>
      </w:r>
      <w:r w:rsidRPr="00300B53">
        <w:rPr>
          <w:rFonts w:ascii="Calibri" w:eastAsia="Calibri" w:hAnsi="Calibri" w:cs="Calibri"/>
        </w:rPr>
        <w:t>August 2023</w:t>
      </w:r>
    </w:p>
    <w:p w14:paraId="3C213501" w14:textId="77777777" w:rsidR="00300B53" w:rsidRPr="00300B53" w:rsidRDefault="00300B53" w:rsidP="00300B53">
      <w:pPr>
        <w:spacing w:after="0" w:line="240" w:lineRule="auto"/>
        <w:rPr>
          <w:rFonts w:ascii="Calibri" w:eastAsia="Calibri" w:hAnsi="Calibri" w:cs="Calibri"/>
        </w:rPr>
      </w:pPr>
    </w:p>
    <w:p w14:paraId="60FB41A6" w14:textId="72568008" w:rsidR="00300B53" w:rsidRPr="00300B53" w:rsidRDefault="00300B53" w:rsidP="00300B53">
      <w:pPr>
        <w:spacing w:after="0" w:line="240" w:lineRule="auto"/>
        <w:rPr>
          <w:rFonts w:ascii="Calibri" w:eastAsia="Calibri" w:hAnsi="Calibri" w:cs="Calibri"/>
        </w:rPr>
      </w:pPr>
      <w:r w:rsidRPr="00300B53">
        <w:rPr>
          <w:rFonts w:ascii="Calibri" w:eastAsia="Calibri" w:hAnsi="Calibri" w:cs="Calibri"/>
        </w:rPr>
        <w:t xml:space="preserve">Industry Innovation and Science Australia interview with </w:t>
      </w:r>
      <w:proofErr w:type="spellStart"/>
      <w:r w:rsidRPr="00300B53">
        <w:rPr>
          <w:rFonts w:ascii="Calibri" w:eastAsia="Calibri" w:hAnsi="Calibri" w:cs="Calibri"/>
        </w:rPr>
        <w:t>Uniquest</w:t>
      </w:r>
      <w:proofErr w:type="spellEnd"/>
      <w:r w:rsidRPr="00300B53">
        <w:rPr>
          <w:rFonts w:ascii="Calibri" w:eastAsia="Calibri" w:hAnsi="Calibri" w:cs="Calibri"/>
        </w:rPr>
        <w:t>, conducted on 17</w:t>
      </w:r>
      <w:r w:rsidR="00950B8F">
        <w:rPr>
          <w:rFonts w:ascii="Calibri" w:eastAsia="Calibri" w:hAnsi="Calibri" w:cs="Calibri"/>
        </w:rPr>
        <w:t> </w:t>
      </w:r>
      <w:r w:rsidRPr="00300B53">
        <w:rPr>
          <w:rFonts w:ascii="Calibri" w:eastAsia="Calibri" w:hAnsi="Calibri" w:cs="Calibri"/>
        </w:rPr>
        <w:t>August 2023</w:t>
      </w:r>
    </w:p>
    <w:p w14:paraId="221278CA" w14:textId="77777777" w:rsidR="00300B53" w:rsidRPr="00300B53" w:rsidRDefault="00300B53" w:rsidP="00300B53">
      <w:pPr>
        <w:spacing w:after="0" w:line="240" w:lineRule="auto"/>
        <w:rPr>
          <w:rFonts w:ascii="Calibri" w:eastAsia="Calibri" w:hAnsi="Calibri" w:cs="Calibri"/>
        </w:rPr>
      </w:pPr>
    </w:p>
    <w:p w14:paraId="39B09E0C" w14:textId="7B7A995E" w:rsidR="00300B53" w:rsidRPr="00300B53" w:rsidRDefault="00300B53" w:rsidP="00300B53">
      <w:pPr>
        <w:spacing w:after="0" w:line="240" w:lineRule="auto"/>
        <w:rPr>
          <w:rFonts w:ascii="Calibri" w:eastAsia="Calibri" w:hAnsi="Calibri" w:cs="Calibri"/>
        </w:rPr>
      </w:pPr>
      <w:r w:rsidRPr="00300B53">
        <w:rPr>
          <w:rFonts w:ascii="Calibri" w:eastAsia="Calibri" w:hAnsi="Calibri" w:cs="Calibri"/>
        </w:rPr>
        <w:t>Industry Innovation and Science Australia interview with Micro-X, conducted on 17</w:t>
      </w:r>
      <w:r w:rsidR="00950B8F">
        <w:rPr>
          <w:rFonts w:ascii="Calibri" w:eastAsia="Calibri" w:hAnsi="Calibri" w:cs="Calibri"/>
        </w:rPr>
        <w:t> </w:t>
      </w:r>
      <w:r w:rsidRPr="00300B53">
        <w:rPr>
          <w:rFonts w:ascii="Calibri" w:eastAsia="Calibri" w:hAnsi="Calibri" w:cs="Calibri"/>
        </w:rPr>
        <w:t>August 2023</w:t>
      </w:r>
    </w:p>
    <w:p w14:paraId="47AC02D5" w14:textId="77777777" w:rsidR="00300B53" w:rsidRPr="00300B53" w:rsidRDefault="00300B53" w:rsidP="00300B53">
      <w:pPr>
        <w:spacing w:after="0" w:line="240" w:lineRule="auto"/>
        <w:rPr>
          <w:rFonts w:ascii="Calibri" w:eastAsia="Calibri" w:hAnsi="Calibri" w:cs="Calibri"/>
        </w:rPr>
      </w:pPr>
    </w:p>
    <w:p w14:paraId="2CF5825E" w14:textId="77777777" w:rsidR="00300B53" w:rsidRPr="00300B53" w:rsidRDefault="00300B53" w:rsidP="00300B53">
      <w:pPr>
        <w:spacing w:after="0" w:line="240" w:lineRule="auto"/>
        <w:rPr>
          <w:rFonts w:ascii="Calibri" w:eastAsia="Calibri" w:hAnsi="Calibri" w:cs="Calibri"/>
        </w:rPr>
      </w:pPr>
      <w:r w:rsidRPr="00300B53">
        <w:rPr>
          <w:rFonts w:ascii="Calibri" w:eastAsia="Calibri" w:hAnsi="Calibri" w:cs="Calibri"/>
        </w:rPr>
        <w:t xml:space="preserve">Industry Innovation and Science Australia interview with Boeing Australia, conducted on 18 August 2023 </w:t>
      </w:r>
    </w:p>
    <w:p w14:paraId="61971395" w14:textId="77777777" w:rsidR="00300B53" w:rsidRPr="00300B53" w:rsidRDefault="00300B53" w:rsidP="00300B53">
      <w:pPr>
        <w:spacing w:after="0" w:line="240" w:lineRule="auto"/>
        <w:rPr>
          <w:rFonts w:ascii="Calibri" w:eastAsia="Calibri" w:hAnsi="Calibri" w:cs="Calibri"/>
        </w:rPr>
      </w:pPr>
    </w:p>
    <w:p w14:paraId="7BD7273F" w14:textId="77777777" w:rsidR="00300B53" w:rsidRPr="00300B53" w:rsidRDefault="00300B53" w:rsidP="00300B53">
      <w:pPr>
        <w:spacing w:after="0" w:line="240" w:lineRule="auto"/>
        <w:rPr>
          <w:rFonts w:ascii="Calibri" w:eastAsia="Calibri" w:hAnsi="Calibri" w:cs="Calibri"/>
        </w:rPr>
      </w:pPr>
      <w:r w:rsidRPr="00300B53">
        <w:rPr>
          <w:rFonts w:ascii="Calibri" w:eastAsia="Calibri" w:hAnsi="Calibri" w:cs="Calibri"/>
        </w:rPr>
        <w:t xml:space="preserve">Industry Innovation and Science Australia interview with Professor Goran </w:t>
      </w:r>
      <w:proofErr w:type="spellStart"/>
      <w:r w:rsidRPr="00300B53">
        <w:rPr>
          <w:rFonts w:ascii="Calibri" w:eastAsia="Calibri" w:hAnsi="Calibri" w:cs="Calibri"/>
        </w:rPr>
        <w:t>Roos</w:t>
      </w:r>
      <w:proofErr w:type="spellEnd"/>
      <w:r w:rsidRPr="00300B53">
        <w:rPr>
          <w:rFonts w:ascii="Calibri" w:eastAsia="Calibri" w:hAnsi="Calibri" w:cs="Calibri"/>
        </w:rPr>
        <w:t>, conducted on 18 August 2023</w:t>
      </w:r>
    </w:p>
    <w:p w14:paraId="0A3903F0" w14:textId="77777777" w:rsidR="003B4847" w:rsidRDefault="003B4847" w:rsidP="004D7520">
      <w:pPr>
        <w:rPr>
          <w:rFonts w:ascii="Calibri" w:eastAsia="Calibri" w:hAnsi="Calibri" w:cs="Arial"/>
        </w:rPr>
        <w:sectPr w:rsidR="003B4847" w:rsidSect="008E7C2A">
          <w:pgSz w:w="11906" w:h="16838"/>
          <w:pgMar w:top="1276" w:right="1440" w:bottom="1440" w:left="1440" w:header="851" w:footer="708" w:gutter="0"/>
          <w:cols w:num="2" w:space="708"/>
          <w:titlePg/>
          <w:docGrid w:linePitch="360"/>
        </w:sectPr>
      </w:pPr>
    </w:p>
    <w:p w14:paraId="6A8B2782" w14:textId="77777777" w:rsidR="00300B53" w:rsidRPr="00A83633" w:rsidRDefault="00300B53" w:rsidP="004D7520">
      <w:pPr>
        <w:rPr>
          <w:rFonts w:ascii="Calibri" w:eastAsia="Calibri" w:hAnsi="Calibri" w:cs="Arial"/>
        </w:rPr>
      </w:pPr>
    </w:p>
    <w:sectPr w:rsidR="00300B53" w:rsidRPr="00A83633" w:rsidSect="003B4847">
      <w:type w:val="continuous"/>
      <w:pgSz w:w="11906" w:h="16838"/>
      <w:pgMar w:top="1276" w:right="1440" w:bottom="1440" w:left="1440" w:header="85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43D2C" w14:textId="77777777" w:rsidR="00517A05" w:rsidRDefault="00517A05" w:rsidP="00B251DB">
      <w:pPr>
        <w:spacing w:after="0" w:line="240" w:lineRule="auto"/>
      </w:pPr>
      <w:r>
        <w:separator/>
      </w:r>
    </w:p>
  </w:endnote>
  <w:endnote w:type="continuationSeparator" w:id="0">
    <w:p w14:paraId="7E0BA066" w14:textId="77777777" w:rsidR="00517A05" w:rsidRDefault="00517A05" w:rsidP="00B251DB">
      <w:pPr>
        <w:spacing w:after="0" w:line="240" w:lineRule="auto"/>
      </w:pPr>
      <w:r>
        <w:continuationSeparator/>
      </w:r>
    </w:p>
  </w:endnote>
  <w:endnote w:type="continuationNotice" w:id="1">
    <w:p w14:paraId="10DEB879" w14:textId="77777777" w:rsidR="00517A05" w:rsidRDefault="00517A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21566"/>
      <w:docPartObj>
        <w:docPartGallery w:val="Page Numbers (Bottom of Page)"/>
        <w:docPartUnique/>
      </w:docPartObj>
    </w:sdtPr>
    <w:sdtEndPr>
      <w:rPr>
        <w:noProof/>
      </w:rPr>
    </w:sdtEndPr>
    <w:sdtContent>
      <w:p w14:paraId="2F221325" w14:textId="65EC5AE2" w:rsidR="005D26D5" w:rsidRDefault="001B769E" w:rsidP="002408C2">
        <w:pPr>
          <w:pStyle w:val="Footer"/>
          <w:jc w:val="center"/>
        </w:pPr>
        <w:r>
          <w:t xml:space="preserve">Page |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983962"/>
      <w:docPartObj>
        <w:docPartGallery w:val="Page Numbers (Bottom of Page)"/>
        <w:docPartUnique/>
      </w:docPartObj>
    </w:sdtPr>
    <w:sdtEndPr>
      <w:rPr>
        <w:noProof/>
      </w:rPr>
    </w:sdtEndPr>
    <w:sdtContent>
      <w:p w14:paraId="18884DF0" w14:textId="77777777" w:rsidR="005D26D5" w:rsidRDefault="00DB11C8" w:rsidP="00D2799F">
        <w:pPr>
          <w:pStyle w:val="Footer"/>
          <w:jc w:val="center"/>
        </w:pPr>
        <w:r>
          <w:t xml:space="preserve">Page |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BB35C" w14:textId="43121431" w:rsidR="009B7D3F" w:rsidRPr="009B7D3F" w:rsidRDefault="009B7D3F" w:rsidP="009B7D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5678041"/>
      <w:docPartObj>
        <w:docPartGallery w:val="Page Numbers (Bottom of Page)"/>
        <w:docPartUnique/>
      </w:docPartObj>
    </w:sdtPr>
    <w:sdtEndPr>
      <w:rPr>
        <w:noProof/>
      </w:rPr>
    </w:sdtEndPr>
    <w:sdtContent>
      <w:p w14:paraId="598E4C4D" w14:textId="77777777" w:rsidR="009B7D3F" w:rsidRDefault="009B7D3F" w:rsidP="00D2799F">
        <w:pPr>
          <w:pStyle w:val="Footer"/>
          <w:jc w:val="center"/>
        </w:pPr>
        <w:r>
          <w:t xml:space="preserve">Page | </w:t>
        </w: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BC7F7" w14:textId="438BFF2A" w:rsidR="00274299" w:rsidRDefault="00DC4749" w:rsidP="003A53EA">
    <w:pPr>
      <w:pStyle w:val="Footer"/>
      <w:jc w:val="center"/>
    </w:pPr>
    <w:r>
      <w:rPr>
        <w:noProof/>
        <w:lang w:eastAsia="en-AU"/>
      </w:rPr>
      <w:drawing>
        <wp:anchor distT="0" distB="0" distL="114300" distR="114300" simplePos="0" relativeHeight="251658240" behindDoc="1" locked="0" layoutInCell="1" allowOverlap="1" wp14:anchorId="487475CC" wp14:editId="0D4AA586">
          <wp:simplePos x="0" y="0"/>
          <wp:positionH relativeFrom="page">
            <wp:posOffset>2794000</wp:posOffset>
          </wp:positionH>
          <wp:positionV relativeFrom="paragraph">
            <wp:posOffset>-2098040</wp:posOffset>
          </wp:positionV>
          <wp:extent cx="5320292" cy="2992001"/>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extLst>
                      <a:ext uri="{C183D7F6-B498-43B3-948B-1728B52AA6E4}">
                        <adec:decorative xmlns:adec="http://schemas.microsoft.com/office/drawing/2017/decorative" val="1"/>
                      </a:ext>
                    </a:extLst>
                  </pic:cNvPr>
                  <pic:cNvPicPr/>
                </pic:nvPicPr>
                <pic:blipFill>
                  <a:blip r:embed="rId1" cstate="print">
                    <a:alphaModFix/>
                    <a:extLst>
                      <a:ext uri="{BEBA8EAE-BF5A-486C-A8C5-ECC9F3942E4B}">
                        <a14:imgProps xmlns:a14="http://schemas.microsoft.com/office/drawing/2010/main">
                          <a14:imgLayer r:embed="rId2">
                            <a14:imgEffect>
                              <a14:sharpenSoften amount="100000"/>
                            </a14:imgEffect>
                            <a14:imgEffect>
                              <a14:saturation sat="400000"/>
                            </a14:imgEffect>
                            <a14:imgEffect>
                              <a14:brightnessContrast contrast="-27000"/>
                            </a14:imgEffect>
                          </a14:imgLayer>
                        </a14:imgProps>
                      </a:ext>
                      <a:ext uri="{28A0092B-C50C-407E-A947-70E740481C1C}">
                        <a14:useLocalDpi xmlns:a14="http://schemas.microsoft.com/office/drawing/2010/main" val="0"/>
                      </a:ext>
                    </a:extLst>
                  </a:blip>
                  <a:stretch>
                    <a:fillRect/>
                  </a:stretch>
                </pic:blipFill>
                <pic:spPr>
                  <a:xfrm>
                    <a:off x="0" y="0"/>
                    <a:ext cx="5320292" cy="2992001"/>
                  </a:xfrm>
                  <a:prstGeom prst="rect">
                    <a:avLst/>
                  </a:prstGeom>
                </pic:spPr>
              </pic:pic>
            </a:graphicData>
          </a:graphic>
          <wp14:sizeRelH relativeFrom="page">
            <wp14:pctWidth>0</wp14:pctWidth>
          </wp14:sizeRelH>
          <wp14:sizeRelV relativeFrom="page">
            <wp14:pctHeight>0</wp14:pctHeight>
          </wp14:sizeRelV>
        </wp:anchor>
      </w:drawing>
    </w:r>
    <w:sdt>
      <w:sdtPr>
        <w:id w:val="-1557469364"/>
        <w:docPartObj>
          <w:docPartGallery w:val="Page Numbers (Bottom of Page)"/>
          <w:docPartUnique/>
        </w:docPartObj>
      </w:sdtPr>
      <w:sdtEndPr>
        <w:rPr>
          <w:noProof/>
        </w:rPr>
      </w:sdtEndPr>
      <w:sdtContent>
        <w:r w:rsidR="001B769E">
          <w:t xml:space="preserve">Page | </w:t>
        </w:r>
        <w:r w:rsidR="001B769E">
          <w:fldChar w:fldCharType="begin"/>
        </w:r>
        <w:r w:rsidR="001B769E">
          <w:instrText xml:space="preserve"> PAGE   \* MERGEFORMAT </w:instrText>
        </w:r>
        <w:r w:rsidR="001B769E">
          <w:fldChar w:fldCharType="separate"/>
        </w:r>
        <w:r w:rsidR="001B769E">
          <w:t>48</w:t>
        </w:r>
        <w:r w:rsidR="001B769E">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0174179"/>
      <w:docPartObj>
        <w:docPartGallery w:val="Page Numbers (Bottom of Page)"/>
        <w:docPartUnique/>
      </w:docPartObj>
    </w:sdtPr>
    <w:sdtEndPr/>
    <w:sdtContent>
      <w:p w14:paraId="28BD7823" w14:textId="60D04EC9" w:rsidR="00DB11C8" w:rsidRDefault="00DB11C8" w:rsidP="00981D33">
        <w:pPr>
          <w:pStyle w:val="Footer"/>
          <w:jc w:val="center"/>
        </w:pPr>
        <w:r>
          <w:t xml:space="preserve">Page | </w:t>
        </w:r>
        <w:r>
          <w:fldChar w:fldCharType="begin"/>
        </w:r>
        <w:r>
          <w:instrText xml:space="preserve"> PAGE   \* MERGEFORMAT </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C2911" w14:textId="77777777" w:rsidR="00517A05" w:rsidRDefault="00517A05" w:rsidP="00B251DB">
      <w:pPr>
        <w:spacing w:after="0" w:line="240" w:lineRule="auto"/>
      </w:pPr>
      <w:r>
        <w:separator/>
      </w:r>
    </w:p>
  </w:footnote>
  <w:footnote w:type="continuationSeparator" w:id="0">
    <w:p w14:paraId="420684E1" w14:textId="77777777" w:rsidR="00517A05" w:rsidRDefault="00517A05" w:rsidP="00B251DB">
      <w:pPr>
        <w:spacing w:after="0" w:line="240" w:lineRule="auto"/>
      </w:pPr>
      <w:r>
        <w:continuationSeparator/>
      </w:r>
    </w:p>
  </w:footnote>
  <w:footnote w:type="continuationNotice" w:id="1">
    <w:p w14:paraId="0775CCD2" w14:textId="77777777" w:rsidR="00517A05" w:rsidRDefault="00517A05">
      <w:pPr>
        <w:spacing w:after="0" w:line="240" w:lineRule="auto"/>
      </w:pPr>
    </w:p>
  </w:footnote>
  <w:footnote w:id="2">
    <w:p w14:paraId="3FB2F68B" w14:textId="19482F59" w:rsidR="006E0EFD" w:rsidRPr="00FD79DB" w:rsidRDefault="006E0EFD" w:rsidP="006E0EFD">
      <w:pPr>
        <w:pStyle w:val="FootnoteText"/>
        <w:rPr>
          <w:sz w:val="18"/>
          <w:szCs w:val="18"/>
        </w:rPr>
      </w:pPr>
      <w:r w:rsidRPr="00FD79DB">
        <w:rPr>
          <w:rStyle w:val="FootnoteReference"/>
          <w:sz w:val="18"/>
          <w:szCs w:val="18"/>
        </w:rPr>
        <w:footnoteRef/>
      </w:r>
      <w:r w:rsidRPr="00FD79DB">
        <w:rPr>
          <w:sz w:val="18"/>
          <w:szCs w:val="18"/>
        </w:rPr>
        <w:t xml:space="preserve"> </w:t>
      </w:r>
      <w:r w:rsidR="007D433F" w:rsidRPr="007D433F">
        <w:rPr>
          <w:sz w:val="18"/>
          <w:szCs w:val="18"/>
        </w:rPr>
        <w:t xml:space="preserve">Department of Education (2022) </w:t>
      </w:r>
      <w:hyperlink r:id="rId1" w:history="1">
        <w:r w:rsidR="007D433F" w:rsidRPr="007D433F">
          <w:rPr>
            <w:rStyle w:val="Hyperlink"/>
            <w:i/>
            <w:iCs/>
            <w:sz w:val="18"/>
            <w:szCs w:val="18"/>
          </w:rPr>
          <w:t>University Research Commercialisation Action Plan</w:t>
        </w:r>
      </w:hyperlink>
      <w:r w:rsidR="007D433F" w:rsidRPr="007D433F">
        <w:rPr>
          <w:i/>
          <w:iCs/>
          <w:sz w:val="18"/>
          <w:szCs w:val="18"/>
        </w:rPr>
        <w:t xml:space="preserve">, </w:t>
      </w:r>
      <w:r w:rsidR="007D433F" w:rsidRPr="007D433F">
        <w:rPr>
          <w:sz w:val="18"/>
          <w:szCs w:val="18"/>
        </w:rPr>
        <w:t>Australian Government, accessed 25 August 2023</w:t>
      </w:r>
    </w:p>
  </w:footnote>
  <w:footnote w:id="3">
    <w:p w14:paraId="4FA8F688" w14:textId="77777777" w:rsidR="006E0EFD" w:rsidRPr="00531DC2" w:rsidRDefault="006E0EFD" w:rsidP="006E0EFD">
      <w:pPr>
        <w:pStyle w:val="FootnoteText"/>
        <w:rPr>
          <w:sz w:val="18"/>
          <w:szCs w:val="18"/>
        </w:rPr>
      </w:pPr>
      <w:r w:rsidRPr="00531DC2">
        <w:rPr>
          <w:rStyle w:val="FootnoteReference"/>
          <w:sz w:val="18"/>
          <w:szCs w:val="18"/>
        </w:rPr>
        <w:footnoteRef/>
      </w:r>
      <w:r w:rsidRPr="00531DC2">
        <w:rPr>
          <w:sz w:val="18"/>
          <w:szCs w:val="18"/>
        </w:rPr>
        <w:t xml:space="preserve"> See </w:t>
      </w:r>
      <w:r w:rsidRPr="00531DC2">
        <w:rPr>
          <w:b/>
          <w:bCs/>
          <w:sz w:val="18"/>
          <w:szCs w:val="18"/>
        </w:rPr>
        <w:t>Appendix 5</w:t>
      </w:r>
      <w:r w:rsidRPr="00531DC2">
        <w:rPr>
          <w:sz w:val="18"/>
          <w:szCs w:val="18"/>
        </w:rPr>
        <w:t xml:space="preserve"> for detail on </w:t>
      </w:r>
      <w:r>
        <w:rPr>
          <w:sz w:val="18"/>
          <w:szCs w:val="18"/>
        </w:rPr>
        <w:t xml:space="preserve">the changes in the composition of Commonwealth </w:t>
      </w:r>
      <w:r w:rsidRPr="00531DC2">
        <w:rPr>
          <w:sz w:val="18"/>
          <w:szCs w:val="18"/>
        </w:rPr>
        <w:t>Government expenditure on research and development by socio-economic</w:t>
      </w:r>
      <w:r>
        <w:rPr>
          <w:sz w:val="18"/>
          <w:szCs w:val="18"/>
        </w:rPr>
        <w:t xml:space="preserve"> objective</w:t>
      </w:r>
      <w:r w:rsidRPr="00531DC2">
        <w:rPr>
          <w:sz w:val="18"/>
          <w:szCs w:val="18"/>
        </w:rPr>
        <w:t xml:space="preserve"> </w:t>
      </w:r>
      <w:r>
        <w:rPr>
          <w:sz w:val="18"/>
          <w:szCs w:val="18"/>
        </w:rPr>
        <w:t>between 1993 and 2021.</w:t>
      </w:r>
    </w:p>
  </w:footnote>
  <w:footnote w:id="4">
    <w:p w14:paraId="2006968D" w14:textId="77777777" w:rsidR="006E0EFD" w:rsidRPr="00FD79DB" w:rsidRDefault="006E0EFD" w:rsidP="006E0EFD">
      <w:pPr>
        <w:pStyle w:val="FootnoteText"/>
        <w:rPr>
          <w:sz w:val="18"/>
          <w:szCs w:val="18"/>
        </w:rPr>
      </w:pPr>
      <w:r w:rsidRPr="00FD79DB">
        <w:rPr>
          <w:rStyle w:val="FootnoteReference"/>
          <w:sz w:val="18"/>
          <w:szCs w:val="18"/>
        </w:rPr>
        <w:footnoteRef/>
      </w:r>
      <w:r w:rsidRPr="00FD79DB">
        <w:rPr>
          <w:sz w:val="18"/>
          <w:szCs w:val="18"/>
        </w:rPr>
        <w:t xml:space="preserve"> Australia ranks last amongst OECD nations for industry-research collaboration. See </w:t>
      </w:r>
      <w:r w:rsidRPr="00167C4E">
        <w:rPr>
          <w:b/>
          <w:bCs/>
          <w:sz w:val="18"/>
          <w:szCs w:val="18"/>
        </w:rPr>
        <w:t>Appendix 4</w:t>
      </w:r>
      <w:r w:rsidRPr="00FD79DB">
        <w:rPr>
          <w:sz w:val="18"/>
          <w:szCs w:val="18"/>
        </w:rPr>
        <w:t xml:space="preserve">.  </w:t>
      </w:r>
    </w:p>
  </w:footnote>
  <w:footnote w:id="5">
    <w:p w14:paraId="37CA5C37" w14:textId="780AB276" w:rsidR="006E0EFD" w:rsidRPr="00FD79DB" w:rsidRDefault="006E0EFD" w:rsidP="006E0EFD">
      <w:pPr>
        <w:pStyle w:val="FootnoteText"/>
        <w:rPr>
          <w:sz w:val="18"/>
          <w:szCs w:val="18"/>
        </w:rPr>
      </w:pPr>
      <w:r w:rsidRPr="00FD79DB">
        <w:rPr>
          <w:rStyle w:val="FootnoteReference"/>
          <w:sz w:val="18"/>
          <w:szCs w:val="18"/>
        </w:rPr>
        <w:footnoteRef/>
      </w:r>
      <w:r w:rsidRPr="00FD79DB">
        <w:rPr>
          <w:sz w:val="18"/>
          <w:szCs w:val="18"/>
        </w:rPr>
        <w:t xml:space="preserve"> Quinn</w:t>
      </w:r>
      <w:r w:rsidR="00473176">
        <w:rPr>
          <w:sz w:val="18"/>
          <w:szCs w:val="18"/>
        </w:rPr>
        <w:t xml:space="preserve"> M (20 June 2019)</w:t>
      </w:r>
      <w:r w:rsidRPr="00FD79DB">
        <w:rPr>
          <w:sz w:val="18"/>
          <w:szCs w:val="18"/>
        </w:rPr>
        <w:t xml:space="preserve"> </w:t>
      </w:r>
      <w:hyperlink r:id="rId2" w:history="1">
        <w:r w:rsidRPr="00FD79DB">
          <w:rPr>
            <w:rStyle w:val="Hyperlink"/>
            <w:i/>
            <w:sz w:val="18"/>
            <w:szCs w:val="18"/>
          </w:rPr>
          <w:t>Keeping Pace with Technological Change: The Role of Capabilities and Dynamism</w:t>
        </w:r>
      </w:hyperlink>
      <w:r w:rsidRPr="00FD79DB">
        <w:rPr>
          <w:sz w:val="18"/>
          <w:szCs w:val="18"/>
        </w:rPr>
        <w:t xml:space="preserve"> [speech], Organisation for Economic Co-operation and Development (OECD) Global Forum on Productivity, 2019</w:t>
      </w:r>
      <w:r w:rsidR="00F04C36">
        <w:rPr>
          <w:sz w:val="18"/>
          <w:szCs w:val="18"/>
        </w:rPr>
        <w:t>, last accessed 23 November 2023.</w:t>
      </w:r>
    </w:p>
  </w:footnote>
  <w:footnote w:id="6">
    <w:p w14:paraId="69407E46" w14:textId="18FF83BE" w:rsidR="006E0EFD" w:rsidRPr="00E26C29" w:rsidRDefault="006E0EFD" w:rsidP="006E0EFD">
      <w:pPr>
        <w:pStyle w:val="FootnoteText"/>
      </w:pPr>
      <w:r w:rsidRPr="00FD79DB">
        <w:rPr>
          <w:rStyle w:val="FootnoteReference"/>
          <w:sz w:val="18"/>
          <w:szCs w:val="18"/>
        </w:rPr>
        <w:footnoteRef/>
      </w:r>
      <w:r w:rsidRPr="00FD79DB">
        <w:rPr>
          <w:sz w:val="18"/>
          <w:szCs w:val="18"/>
        </w:rPr>
        <w:t xml:space="preserve"> Productivity Commission (2023) </w:t>
      </w:r>
      <w:hyperlink r:id="rId3" w:history="1">
        <w:r w:rsidRPr="00167C4E">
          <w:rPr>
            <w:rStyle w:val="Hyperlink"/>
            <w:i/>
            <w:iCs/>
            <w:sz w:val="18"/>
            <w:szCs w:val="18"/>
          </w:rPr>
          <w:t>5-year Productivity Inquiry</w:t>
        </w:r>
        <w:r w:rsidR="00B94B4A">
          <w:rPr>
            <w:rStyle w:val="Hyperlink"/>
            <w:i/>
            <w:iCs/>
            <w:sz w:val="18"/>
            <w:szCs w:val="18"/>
          </w:rPr>
          <w:t xml:space="preserve"> </w:t>
        </w:r>
        <w:r w:rsidRPr="00167C4E">
          <w:rPr>
            <w:rStyle w:val="Hyperlink"/>
            <w:i/>
            <w:iCs/>
            <w:sz w:val="18"/>
            <w:szCs w:val="18"/>
          </w:rPr>
          <w:t>report</w:t>
        </w:r>
      </w:hyperlink>
      <w:r w:rsidRPr="00FD79DB">
        <w:rPr>
          <w:sz w:val="18"/>
          <w:szCs w:val="18"/>
        </w:rPr>
        <w:t xml:space="preserve">, </w:t>
      </w:r>
      <w:r w:rsidRPr="00167C4E">
        <w:rPr>
          <w:i/>
          <w:iCs/>
          <w:sz w:val="18"/>
          <w:szCs w:val="18"/>
        </w:rPr>
        <w:t>Volume 1: Advancing Prosperity</w:t>
      </w:r>
      <w:r w:rsidR="00134A02">
        <w:rPr>
          <w:sz w:val="18"/>
          <w:szCs w:val="18"/>
        </w:rPr>
        <w:t xml:space="preserve">, Productivity Commission, page 1, </w:t>
      </w:r>
      <w:r w:rsidR="00F04C36">
        <w:rPr>
          <w:sz w:val="18"/>
          <w:szCs w:val="18"/>
        </w:rPr>
        <w:t xml:space="preserve">last </w:t>
      </w:r>
      <w:r w:rsidR="00134A02">
        <w:rPr>
          <w:sz w:val="18"/>
          <w:szCs w:val="18"/>
        </w:rPr>
        <w:t>accessed 23 November 2023.</w:t>
      </w:r>
    </w:p>
  </w:footnote>
  <w:footnote w:id="7">
    <w:p w14:paraId="6A392A87" w14:textId="786DF72F" w:rsidR="006E0EFD" w:rsidRPr="00531DC2" w:rsidRDefault="006E0EFD" w:rsidP="006E0EFD">
      <w:pPr>
        <w:pStyle w:val="FootnoteText"/>
        <w:rPr>
          <w:sz w:val="18"/>
          <w:szCs w:val="18"/>
        </w:rPr>
      </w:pPr>
      <w:r w:rsidRPr="00A66A32">
        <w:rPr>
          <w:rStyle w:val="FootnoteReference"/>
          <w:sz w:val="18"/>
          <w:szCs w:val="18"/>
        </w:rPr>
        <w:footnoteRef/>
      </w:r>
      <w:r w:rsidRPr="00A66A32">
        <w:rPr>
          <w:sz w:val="18"/>
          <w:szCs w:val="18"/>
        </w:rPr>
        <w:t xml:space="preserve"> UNIDO’s C</w:t>
      </w:r>
      <w:r>
        <w:rPr>
          <w:sz w:val="18"/>
          <w:szCs w:val="18"/>
        </w:rPr>
        <w:t xml:space="preserve">ompetitive </w:t>
      </w:r>
      <w:r w:rsidRPr="00A66A32">
        <w:rPr>
          <w:sz w:val="18"/>
          <w:szCs w:val="18"/>
        </w:rPr>
        <w:t>I</w:t>
      </w:r>
      <w:r>
        <w:rPr>
          <w:sz w:val="18"/>
          <w:szCs w:val="18"/>
        </w:rPr>
        <w:t xml:space="preserve">ndustrial </w:t>
      </w:r>
      <w:r w:rsidRPr="00A66A32">
        <w:rPr>
          <w:sz w:val="18"/>
          <w:szCs w:val="18"/>
        </w:rPr>
        <w:t>P</w:t>
      </w:r>
      <w:r>
        <w:rPr>
          <w:sz w:val="18"/>
          <w:szCs w:val="18"/>
        </w:rPr>
        <w:t>erformance</w:t>
      </w:r>
      <w:r w:rsidRPr="00A66A32">
        <w:rPr>
          <w:sz w:val="18"/>
          <w:szCs w:val="18"/>
        </w:rPr>
        <w:t xml:space="preserve"> Index measures each country’s effectiveness in engaging with industrial production and can serve as a rough proxy for a country’s industrial capabilities. The Index </w:t>
      </w:r>
      <w:r w:rsidR="00746912">
        <w:rPr>
          <w:sz w:val="18"/>
          <w:szCs w:val="18"/>
        </w:rPr>
        <w:t>includes</w:t>
      </w:r>
      <w:r w:rsidR="00746912" w:rsidRPr="00A66A32">
        <w:rPr>
          <w:sz w:val="18"/>
          <w:szCs w:val="18"/>
        </w:rPr>
        <w:t xml:space="preserve"> </w:t>
      </w:r>
      <w:r w:rsidRPr="00A66A32">
        <w:rPr>
          <w:sz w:val="18"/>
          <w:szCs w:val="18"/>
        </w:rPr>
        <w:t>six indicators that cover three dimensions: a) Capacity to produce and export manufactures, b) Technological deepening and upgrading, and c)</w:t>
      </w:r>
      <w:r w:rsidR="00F149E0">
        <w:rPr>
          <w:sz w:val="18"/>
          <w:szCs w:val="18"/>
        </w:rPr>
        <w:t> </w:t>
      </w:r>
      <w:r w:rsidRPr="00A66A32">
        <w:rPr>
          <w:sz w:val="18"/>
          <w:szCs w:val="18"/>
        </w:rPr>
        <w:t>World impact</w:t>
      </w:r>
      <w:r>
        <w:rPr>
          <w:sz w:val="18"/>
          <w:szCs w:val="18"/>
        </w:rPr>
        <w:t>.</w:t>
      </w:r>
    </w:p>
  </w:footnote>
  <w:footnote w:id="8">
    <w:p w14:paraId="2E217AD9" w14:textId="45291BA1" w:rsidR="0073554B" w:rsidRPr="00531DC2" w:rsidRDefault="0073554B" w:rsidP="0073554B">
      <w:pPr>
        <w:pStyle w:val="FootnoteText"/>
        <w:rPr>
          <w:sz w:val="18"/>
          <w:szCs w:val="18"/>
        </w:rPr>
      </w:pPr>
      <w:r w:rsidRPr="00531DC2">
        <w:rPr>
          <w:rStyle w:val="FootnoteReference"/>
          <w:sz w:val="18"/>
          <w:szCs w:val="18"/>
        </w:rPr>
        <w:footnoteRef/>
      </w:r>
      <w:r w:rsidRPr="00531DC2">
        <w:rPr>
          <w:sz w:val="18"/>
          <w:szCs w:val="18"/>
        </w:rPr>
        <w:t xml:space="preserve"> As at 2022</w:t>
      </w:r>
      <w:r w:rsidR="00337612">
        <w:rPr>
          <w:rFonts w:ascii="Arial" w:hAnsi="Arial" w:cs="Arial"/>
          <w:color w:val="202124"/>
          <w:sz w:val="21"/>
          <w:szCs w:val="21"/>
          <w:shd w:val="clear" w:color="auto" w:fill="FFFFFF"/>
        </w:rPr>
        <w:t>–</w:t>
      </w:r>
      <w:r w:rsidRPr="00531DC2">
        <w:rPr>
          <w:sz w:val="18"/>
          <w:szCs w:val="18"/>
        </w:rPr>
        <w:t>23, Australia had a total of 2,589,873 registered businesses, of which 1,585,693 were non-employing (i.e., sole traders and partnerships without employees).  Of the employing businesses, 703,467 businesses employ 1</w:t>
      </w:r>
      <w:r w:rsidR="00337612">
        <w:rPr>
          <w:sz w:val="18"/>
          <w:szCs w:val="18"/>
        </w:rPr>
        <w:t xml:space="preserve"> to </w:t>
      </w:r>
      <w:r w:rsidRPr="00531DC2">
        <w:rPr>
          <w:sz w:val="18"/>
          <w:szCs w:val="18"/>
        </w:rPr>
        <w:t>4 people; 231,259 businesses employ 5</w:t>
      </w:r>
      <w:r w:rsidR="00337612">
        <w:rPr>
          <w:sz w:val="18"/>
          <w:szCs w:val="18"/>
        </w:rPr>
        <w:t xml:space="preserve"> to </w:t>
      </w:r>
      <w:r w:rsidRPr="00531DC2">
        <w:rPr>
          <w:sz w:val="18"/>
          <w:szCs w:val="18"/>
        </w:rPr>
        <w:t>19, 64,559 businesses employ 20</w:t>
      </w:r>
      <w:r w:rsidR="00337612">
        <w:rPr>
          <w:sz w:val="18"/>
          <w:szCs w:val="18"/>
        </w:rPr>
        <w:t xml:space="preserve"> to </w:t>
      </w:r>
      <w:r w:rsidRPr="00531DC2">
        <w:rPr>
          <w:sz w:val="18"/>
          <w:szCs w:val="18"/>
        </w:rPr>
        <w:t xml:space="preserve">199, and 4,895 employ </w:t>
      </w:r>
      <w:r w:rsidR="00337612">
        <w:rPr>
          <w:sz w:val="18"/>
          <w:szCs w:val="18"/>
        </w:rPr>
        <w:t>more than</w:t>
      </w:r>
      <w:r w:rsidR="00337612" w:rsidRPr="00531DC2">
        <w:rPr>
          <w:sz w:val="18"/>
          <w:szCs w:val="18"/>
        </w:rPr>
        <w:t xml:space="preserve"> </w:t>
      </w:r>
      <w:r w:rsidRPr="00531DC2">
        <w:rPr>
          <w:sz w:val="18"/>
          <w:szCs w:val="18"/>
        </w:rPr>
        <w:t xml:space="preserve">200 people. </w:t>
      </w:r>
      <w:r w:rsidRPr="00BB41AC">
        <w:rPr>
          <w:sz w:val="18"/>
          <w:szCs w:val="18"/>
        </w:rPr>
        <w:t>ABS</w:t>
      </w:r>
      <w:r w:rsidR="00BB41AC" w:rsidRPr="00BB41AC">
        <w:rPr>
          <w:sz w:val="18"/>
          <w:szCs w:val="18"/>
        </w:rPr>
        <w:t xml:space="preserve"> (2023)</w:t>
      </w:r>
      <w:r w:rsidRPr="00BB41AC">
        <w:rPr>
          <w:sz w:val="18"/>
          <w:szCs w:val="18"/>
        </w:rPr>
        <w:t xml:space="preserve">, </w:t>
      </w:r>
      <w:hyperlink r:id="rId4" w:anchor="data-downloads" w:history="1">
        <w:r w:rsidRPr="00AF1CE5">
          <w:rPr>
            <w:rStyle w:val="Hyperlink"/>
            <w:i/>
            <w:iCs/>
          </w:rPr>
          <w:t>Counts of Australian Businesses</w:t>
        </w:r>
        <w:r w:rsidR="00BB41AC" w:rsidRPr="00AF1CE5">
          <w:rPr>
            <w:rStyle w:val="Hyperlink"/>
            <w:i/>
            <w:iCs/>
          </w:rPr>
          <w:t>, including Entries and Exits</w:t>
        </w:r>
      </w:hyperlink>
      <w:r w:rsidR="00BB41AC" w:rsidRPr="00BB41AC">
        <w:rPr>
          <w:sz w:val="18"/>
          <w:szCs w:val="18"/>
        </w:rPr>
        <w:t>, Table 1</w:t>
      </w:r>
      <w:r w:rsidRPr="00BB41AC">
        <w:rPr>
          <w:sz w:val="18"/>
          <w:szCs w:val="18"/>
        </w:rPr>
        <w:t>.</w:t>
      </w:r>
      <w:r w:rsidRPr="00531DC2">
        <w:rPr>
          <w:sz w:val="18"/>
          <w:szCs w:val="18"/>
        </w:rPr>
        <w:t xml:space="preserve"> </w:t>
      </w:r>
      <w:r w:rsidR="00BB41AC">
        <w:rPr>
          <w:sz w:val="18"/>
          <w:szCs w:val="18"/>
        </w:rPr>
        <w:t>Cat. No 8165.0</w:t>
      </w:r>
      <w:r w:rsidR="00656660">
        <w:rPr>
          <w:sz w:val="18"/>
          <w:szCs w:val="18"/>
        </w:rPr>
        <w:t>, last accessed 24</w:t>
      </w:r>
      <w:r w:rsidR="003D7739">
        <w:rPr>
          <w:sz w:val="18"/>
          <w:szCs w:val="18"/>
        </w:rPr>
        <w:t> </w:t>
      </w:r>
      <w:r w:rsidR="00656660">
        <w:rPr>
          <w:sz w:val="18"/>
          <w:szCs w:val="18"/>
        </w:rPr>
        <w:t>November</w:t>
      </w:r>
      <w:r w:rsidR="003D7739">
        <w:rPr>
          <w:sz w:val="18"/>
          <w:szCs w:val="18"/>
        </w:rPr>
        <w:t> </w:t>
      </w:r>
      <w:r w:rsidR="00656660">
        <w:rPr>
          <w:sz w:val="18"/>
          <w:szCs w:val="18"/>
        </w:rPr>
        <w:t>2023.</w:t>
      </w:r>
    </w:p>
  </w:footnote>
  <w:footnote w:id="9">
    <w:p w14:paraId="78042C51" w14:textId="5CD6F498" w:rsidR="00C12098" w:rsidRPr="006F3FB0" w:rsidRDefault="00C12098">
      <w:pPr>
        <w:pStyle w:val="FootnoteText"/>
      </w:pPr>
      <w:r>
        <w:rPr>
          <w:rStyle w:val="FootnoteReference"/>
        </w:rPr>
        <w:footnoteRef/>
      </w:r>
      <w:r>
        <w:t xml:space="preserve"> </w:t>
      </w:r>
      <w:r w:rsidRPr="006F3FB0">
        <w:rPr>
          <w:sz w:val="18"/>
          <w:szCs w:val="18"/>
        </w:rPr>
        <w:t>Data drawn from</w:t>
      </w:r>
      <w:r w:rsidR="00133797" w:rsidRPr="006F3FB0">
        <w:rPr>
          <w:sz w:val="18"/>
          <w:szCs w:val="18"/>
        </w:rPr>
        <w:t xml:space="preserve"> Organisation for Economic Co-operation and Development (OECD)</w:t>
      </w:r>
      <w:r w:rsidRPr="006F3FB0">
        <w:rPr>
          <w:sz w:val="18"/>
          <w:szCs w:val="18"/>
        </w:rPr>
        <w:t xml:space="preserve"> </w:t>
      </w:r>
      <w:hyperlink r:id="rId5" w:history="1">
        <w:r w:rsidR="00133797" w:rsidRPr="006F3FB0">
          <w:rPr>
            <w:rStyle w:val="Hyperlink"/>
            <w:i/>
            <w:iCs/>
            <w:sz w:val="18"/>
            <w:szCs w:val="18"/>
          </w:rPr>
          <w:t>Enterprises by business size</w:t>
        </w:r>
      </w:hyperlink>
      <w:r w:rsidR="004B47D3" w:rsidRPr="006F3FB0">
        <w:rPr>
          <w:rStyle w:val="Hyperlink"/>
          <w:color w:val="auto"/>
          <w:sz w:val="18"/>
          <w:szCs w:val="18"/>
          <w:u w:val="none"/>
        </w:rPr>
        <w:t>,</w:t>
      </w:r>
      <w:r w:rsidR="00133797" w:rsidRPr="006F3FB0">
        <w:rPr>
          <w:rStyle w:val="Hyperlink"/>
          <w:color w:val="auto"/>
          <w:sz w:val="18"/>
          <w:szCs w:val="18"/>
          <w:u w:val="none"/>
        </w:rPr>
        <w:t xml:space="preserve"> </w:t>
      </w:r>
      <w:r w:rsidR="004B47D3" w:rsidRPr="006F3FB0">
        <w:rPr>
          <w:rStyle w:val="Hyperlink"/>
          <w:color w:val="auto"/>
          <w:sz w:val="18"/>
          <w:szCs w:val="18"/>
          <w:u w:val="none"/>
        </w:rPr>
        <w:t>OECD website, accessed 24 November 2023.</w:t>
      </w:r>
    </w:p>
  </w:footnote>
  <w:footnote w:id="10">
    <w:p w14:paraId="36609BF7" w14:textId="3D724C8D" w:rsidR="003935E7" w:rsidRPr="00242394" w:rsidRDefault="003935E7">
      <w:pPr>
        <w:pStyle w:val="FootnoteText"/>
        <w:rPr>
          <w:rStyle w:val="FootnoteReference"/>
          <w:sz w:val="18"/>
          <w:szCs w:val="18"/>
        </w:rPr>
      </w:pPr>
      <w:r w:rsidRPr="006F3FB0">
        <w:rPr>
          <w:rStyle w:val="FootnoteReference"/>
        </w:rPr>
        <w:footnoteRef/>
      </w:r>
      <w:r w:rsidRPr="006F3FB0">
        <w:t xml:space="preserve"> </w:t>
      </w:r>
      <w:r w:rsidR="00133797" w:rsidRPr="006F3FB0">
        <w:rPr>
          <w:sz w:val="18"/>
          <w:szCs w:val="18"/>
        </w:rPr>
        <w:t xml:space="preserve">Organisation for Economic Co-operation and Development (OECD) </w:t>
      </w:r>
      <w:hyperlink r:id="rId6" w:history="1">
        <w:r w:rsidR="00133797" w:rsidRPr="006F3FB0">
          <w:rPr>
            <w:rStyle w:val="Hyperlink"/>
            <w:i/>
            <w:iCs/>
            <w:sz w:val="18"/>
            <w:szCs w:val="18"/>
          </w:rPr>
          <w:t>Enterprises by business size</w:t>
        </w:r>
      </w:hyperlink>
      <w:r w:rsidR="00133797" w:rsidRPr="006F3FB0">
        <w:rPr>
          <w:rStyle w:val="Hyperlink"/>
          <w:color w:val="auto"/>
          <w:sz w:val="18"/>
          <w:szCs w:val="18"/>
          <w:u w:val="none"/>
        </w:rPr>
        <w:t>, OECD</w:t>
      </w:r>
      <w:r w:rsidR="004B47D3" w:rsidRPr="006F3FB0">
        <w:rPr>
          <w:rStyle w:val="Hyperlink"/>
          <w:color w:val="auto"/>
          <w:sz w:val="18"/>
          <w:szCs w:val="18"/>
          <w:u w:val="none"/>
        </w:rPr>
        <w:t xml:space="preserve"> website, accessed 24 November 2023.</w:t>
      </w:r>
    </w:p>
  </w:footnote>
  <w:footnote w:id="11">
    <w:p w14:paraId="4DC344EC" w14:textId="77777777" w:rsidR="00EF4895" w:rsidRPr="00167C4E" w:rsidRDefault="006E0EFD" w:rsidP="006E0EFD">
      <w:pPr>
        <w:pStyle w:val="FootnoteText"/>
        <w:rPr>
          <w:sz w:val="18"/>
          <w:szCs w:val="18"/>
        </w:rPr>
      </w:pPr>
      <w:r w:rsidRPr="00167C4E">
        <w:rPr>
          <w:rStyle w:val="FootnoteReference"/>
          <w:sz w:val="18"/>
          <w:szCs w:val="18"/>
        </w:rPr>
        <w:footnoteRef/>
      </w:r>
      <w:r w:rsidRPr="00167C4E">
        <w:rPr>
          <w:sz w:val="18"/>
          <w:szCs w:val="18"/>
        </w:rPr>
        <w:t xml:space="preserve"> Professor Goran Roos, interview conducted by IISA 18 August 2023. In addition, see: </w:t>
      </w:r>
    </w:p>
    <w:p w14:paraId="758E5713" w14:textId="53F81C12" w:rsidR="00EF4895" w:rsidRPr="00167C4E" w:rsidRDefault="00C93C1A" w:rsidP="000C75DD">
      <w:pPr>
        <w:pStyle w:val="FootnoteText"/>
        <w:rPr>
          <w:sz w:val="18"/>
          <w:szCs w:val="18"/>
        </w:rPr>
      </w:pPr>
      <w:r>
        <w:rPr>
          <w:sz w:val="18"/>
          <w:szCs w:val="18"/>
        </w:rPr>
        <w:t>ICS Ltd.</w:t>
      </w:r>
      <w:r w:rsidR="006E0EFD" w:rsidRPr="00167C4E">
        <w:rPr>
          <w:sz w:val="18"/>
          <w:szCs w:val="18"/>
        </w:rPr>
        <w:t xml:space="preserve"> (2010) </w:t>
      </w:r>
      <w:r w:rsidR="006E0EFD" w:rsidRPr="00AF1CE5">
        <w:rPr>
          <w:i/>
          <w:sz w:val="18"/>
          <w:szCs w:val="18"/>
        </w:rPr>
        <w:t>Review of the Innovation Readiness of SMEs. A Short Study Undertaken for the Danish Agency for Science, Technology and Innovation</w:t>
      </w:r>
      <w:r w:rsidR="00D86D8E">
        <w:rPr>
          <w:sz w:val="18"/>
          <w:szCs w:val="18"/>
        </w:rPr>
        <w:t>, Copenhagen, Denmark.</w:t>
      </w:r>
    </w:p>
    <w:p w14:paraId="305BA7FA" w14:textId="563B35B7" w:rsidR="00EF4895" w:rsidRPr="00167C4E" w:rsidRDefault="006E0EFD" w:rsidP="000C75DD">
      <w:pPr>
        <w:pStyle w:val="FootnoteText"/>
        <w:rPr>
          <w:sz w:val="18"/>
          <w:szCs w:val="18"/>
        </w:rPr>
      </w:pPr>
      <w:r w:rsidRPr="00167C4E">
        <w:rPr>
          <w:sz w:val="18"/>
          <w:szCs w:val="18"/>
        </w:rPr>
        <w:t xml:space="preserve">Brnjas Z, Vulićević V </w:t>
      </w:r>
      <w:r w:rsidR="001B330D">
        <w:rPr>
          <w:sz w:val="18"/>
          <w:szCs w:val="18"/>
        </w:rPr>
        <w:t>and</w:t>
      </w:r>
      <w:r w:rsidRPr="00167C4E">
        <w:rPr>
          <w:sz w:val="18"/>
          <w:szCs w:val="18"/>
        </w:rPr>
        <w:t xml:space="preserve"> Čanaićević, D (2015) </w:t>
      </w:r>
      <w:r w:rsidR="00EF4895" w:rsidRPr="00167C4E">
        <w:rPr>
          <w:sz w:val="18"/>
          <w:szCs w:val="18"/>
        </w:rPr>
        <w:t>‘</w:t>
      </w:r>
      <w:r w:rsidRPr="00167C4E">
        <w:rPr>
          <w:sz w:val="18"/>
          <w:szCs w:val="18"/>
        </w:rPr>
        <w:t>Importance and role of fast-growing companies–Gazelles in modern economies</w:t>
      </w:r>
      <w:r w:rsidR="00EF4895" w:rsidRPr="00167C4E">
        <w:rPr>
          <w:sz w:val="18"/>
          <w:szCs w:val="18"/>
        </w:rPr>
        <w:t>’,</w:t>
      </w:r>
      <w:r w:rsidRPr="00167C4E">
        <w:rPr>
          <w:sz w:val="18"/>
          <w:szCs w:val="18"/>
        </w:rPr>
        <w:t xml:space="preserve"> </w:t>
      </w:r>
      <w:r w:rsidRPr="00167C4E">
        <w:rPr>
          <w:i/>
          <w:sz w:val="18"/>
          <w:szCs w:val="18"/>
        </w:rPr>
        <w:t>Economic analysis</w:t>
      </w:r>
      <w:r w:rsidRPr="00167C4E">
        <w:rPr>
          <w:sz w:val="18"/>
          <w:szCs w:val="18"/>
        </w:rPr>
        <w:t>, 48(3-4)</w:t>
      </w:r>
      <w:r w:rsidR="00EF4895" w:rsidRPr="00167C4E">
        <w:rPr>
          <w:sz w:val="18"/>
          <w:szCs w:val="18"/>
        </w:rPr>
        <w:t>:</w:t>
      </w:r>
      <w:r w:rsidRPr="00167C4E">
        <w:rPr>
          <w:sz w:val="18"/>
          <w:szCs w:val="18"/>
        </w:rPr>
        <w:t>44-61</w:t>
      </w:r>
      <w:r w:rsidR="00EF4895" w:rsidRPr="00167C4E">
        <w:rPr>
          <w:sz w:val="18"/>
          <w:szCs w:val="18"/>
        </w:rPr>
        <w:t>.</w:t>
      </w:r>
    </w:p>
    <w:p w14:paraId="5572AFB2" w14:textId="3ED7BDD5" w:rsidR="006E0EFD" w:rsidRPr="00167C4E" w:rsidRDefault="006E0EFD" w:rsidP="000C75DD">
      <w:pPr>
        <w:pStyle w:val="FootnoteText"/>
        <w:rPr>
          <w:sz w:val="18"/>
          <w:szCs w:val="18"/>
          <w:highlight w:val="red"/>
        </w:rPr>
      </w:pPr>
      <w:r w:rsidRPr="000373BE">
        <w:rPr>
          <w:sz w:val="18"/>
          <w:szCs w:val="18"/>
        </w:rPr>
        <w:t>F</w:t>
      </w:r>
      <w:r w:rsidRPr="00167C4E">
        <w:rPr>
          <w:sz w:val="18"/>
          <w:szCs w:val="18"/>
        </w:rPr>
        <w:t xml:space="preserve">errantino MJ, Mukim M, Pearson A </w:t>
      </w:r>
      <w:r w:rsidR="00B55D5F">
        <w:rPr>
          <w:sz w:val="18"/>
          <w:szCs w:val="18"/>
        </w:rPr>
        <w:t>and</w:t>
      </w:r>
      <w:r w:rsidRPr="00167C4E">
        <w:rPr>
          <w:sz w:val="18"/>
          <w:szCs w:val="18"/>
        </w:rPr>
        <w:t xml:space="preserve"> Snow ND (2012) </w:t>
      </w:r>
      <w:r w:rsidR="00061CFC" w:rsidRPr="00167C4E">
        <w:rPr>
          <w:sz w:val="18"/>
          <w:szCs w:val="18"/>
        </w:rPr>
        <w:t>‘</w:t>
      </w:r>
      <w:r w:rsidRPr="00167C4E">
        <w:rPr>
          <w:sz w:val="18"/>
          <w:szCs w:val="18"/>
        </w:rPr>
        <w:t>Gazelles and Gazillas in China and India</w:t>
      </w:r>
      <w:r w:rsidR="00061CFC" w:rsidRPr="00167C4E">
        <w:rPr>
          <w:sz w:val="18"/>
          <w:szCs w:val="18"/>
        </w:rPr>
        <w:t xml:space="preserve">’, </w:t>
      </w:r>
      <w:r w:rsidR="001A7620" w:rsidRPr="00167C4E">
        <w:rPr>
          <w:sz w:val="18"/>
          <w:szCs w:val="18"/>
        </w:rPr>
        <w:t xml:space="preserve">Office of Economics Working Paper/US International Trade Commission, available at </w:t>
      </w:r>
      <w:r w:rsidR="00B0699D">
        <w:rPr>
          <w:sz w:val="18"/>
          <w:szCs w:val="18"/>
        </w:rPr>
        <w:t>h</w:t>
      </w:r>
      <w:r w:rsidR="001A7620" w:rsidRPr="00167C4E">
        <w:rPr>
          <w:sz w:val="18"/>
          <w:szCs w:val="18"/>
        </w:rPr>
        <w:t>ttps://papers.ssrn.com/sol3/papers.cfm?abstract_id=2167303.</w:t>
      </w:r>
    </w:p>
  </w:footnote>
  <w:footnote w:id="12">
    <w:p w14:paraId="783536D9" w14:textId="0B8E08E9" w:rsidR="00C7017D" w:rsidRPr="00C5119D" w:rsidRDefault="00C7017D" w:rsidP="00C7017D">
      <w:pPr>
        <w:pStyle w:val="FootnoteText"/>
        <w:rPr>
          <w:sz w:val="18"/>
          <w:szCs w:val="18"/>
        </w:rPr>
      </w:pPr>
      <w:r w:rsidRPr="00C5119D">
        <w:rPr>
          <w:rStyle w:val="FootnoteReference"/>
          <w:sz w:val="18"/>
          <w:szCs w:val="18"/>
        </w:rPr>
        <w:footnoteRef/>
      </w:r>
      <w:r w:rsidRPr="00C5119D">
        <w:rPr>
          <w:sz w:val="18"/>
          <w:szCs w:val="18"/>
        </w:rPr>
        <w:t xml:space="preserve"> </w:t>
      </w:r>
      <w:r w:rsidR="008B5408">
        <w:rPr>
          <w:sz w:val="18"/>
          <w:szCs w:val="18"/>
        </w:rPr>
        <w:t xml:space="preserve">United Nations Industrial Development Organisation (UNIDO) (2022) </w:t>
      </w:r>
      <w:hyperlink r:id="rId7" w:history="1">
        <w:r w:rsidR="008B5408">
          <w:rPr>
            <w:rStyle w:val="Hyperlink"/>
            <w:sz w:val="18"/>
            <w:szCs w:val="18"/>
          </w:rPr>
          <w:t>Building socio-economic resilience through industrial capabilities</w:t>
        </w:r>
      </w:hyperlink>
      <w:r w:rsidR="008B5408">
        <w:rPr>
          <w:sz w:val="18"/>
          <w:szCs w:val="18"/>
        </w:rPr>
        <w:t>, UNIDO</w:t>
      </w:r>
      <w:r w:rsidR="001D21FC">
        <w:rPr>
          <w:sz w:val="18"/>
          <w:szCs w:val="18"/>
        </w:rPr>
        <w:t xml:space="preserve"> website</w:t>
      </w:r>
      <w:r w:rsidR="008B5408">
        <w:rPr>
          <w:sz w:val="18"/>
          <w:szCs w:val="18"/>
        </w:rPr>
        <w:t xml:space="preserve">, </w:t>
      </w:r>
      <w:r w:rsidR="00572D7E">
        <w:rPr>
          <w:sz w:val="18"/>
          <w:szCs w:val="18"/>
        </w:rPr>
        <w:t xml:space="preserve">last </w:t>
      </w:r>
      <w:r w:rsidR="008B5408">
        <w:rPr>
          <w:sz w:val="18"/>
          <w:szCs w:val="18"/>
        </w:rPr>
        <w:t>accessed 24 November 2023.</w:t>
      </w:r>
    </w:p>
  </w:footnote>
  <w:footnote w:id="13">
    <w:p w14:paraId="686887B9" w14:textId="49F452C1" w:rsidR="00835472" w:rsidRPr="006D0F13" w:rsidRDefault="00835472">
      <w:pPr>
        <w:pStyle w:val="FootnoteText"/>
        <w:rPr>
          <w:sz w:val="18"/>
          <w:szCs w:val="18"/>
        </w:rPr>
      </w:pPr>
      <w:r>
        <w:rPr>
          <w:rStyle w:val="FootnoteReference"/>
        </w:rPr>
        <w:footnoteRef/>
      </w:r>
      <w:r>
        <w:t xml:space="preserve"> </w:t>
      </w:r>
      <w:r w:rsidR="00231C02" w:rsidRPr="00242394">
        <w:rPr>
          <w:sz w:val="18"/>
          <w:szCs w:val="18"/>
        </w:rPr>
        <w:t>Organisation for Economic Cooperation and Development (</w:t>
      </w:r>
      <w:r w:rsidRPr="00231C02">
        <w:rPr>
          <w:sz w:val="18"/>
          <w:szCs w:val="18"/>
        </w:rPr>
        <w:t>OECD</w:t>
      </w:r>
      <w:r w:rsidR="00231C02" w:rsidRPr="00231C02">
        <w:rPr>
          <w:sz w:val="18"/>
          <w:szCs w:val="18"/>
        </w:rPr>
        <w:t>)</w:t>
      </w:r>
      <w:r w:rsidRPr="00231C02">
        <w:rPr>
          <w:sz w:val="18"/>
          <w:szCs w:val="18"/>
        </w:rPr>
        <w:t xml:space="preserve"> </w:t>
      </w:r>
      <w:r w:rsidR="006D0F13" w:rsidRPr="00231C02">
        <w:rPr>
          <w:sz w:val="18"/>
          <w:szCs w:val="18"/>
        </w:rPr>
        <w:t>(</w:t>
      </w:r>
      <w:r w:rsidRPr="00231C02">
        <w:rPr>
          <w:sz w:val="18"/>
          <w:szCs w:val="18"/>
        </w:rPr>
        <w:t>2015</w:t>
      </w:r>
      <w:r w:rsidR="006D0F13" w:rsidRPr="00231C02">
        <w:rPr>
          <w:sz w:val="18"/>
          <w:szCs w:val="18"/>
        </w:rPr>
        <w:t xml:space="preserve">) </w:t>
      </w:r>
      <w:hyperlink r:id="rId8" w:anchor=":~:text=The%20worsening%20performance%20of%20Australian,in%20value%20added%20and%20employment." w:history="1">
        <w:r w:rsidR="006D0F13" w:rsidRPr="00242394">
          <w:rPr>
            <w:rStyle w:val="Hyperlink"/>
            <w:i/>
            <w:iCs/>
            <w:sz w:val="18"/>
            <w:szCs w:val="18"/>
          </w:rPr>
          <w:t xml:space="preserve">Australian manufacturing </w:t>
        </w:r>
        <w:r w:rsidR="00F5298D" w:rsidRPr="00242394">
          <w:rPr>
            <w:rStyle w:val="Hyperlink"/>
            <w:i/>
            <w:iCs/>
            <w:sz w:val="18"/>
            <w:szCs w:val="18"/>
          </w:rPr>
          <w:t>in</w:t>
        </w:r>
        <w:r w:rsidR="006D0F13" w:rsidRPr="00242394">
          <w:rPr>
            <w:rStyle w:val="Hyperlink"/>
            <w:i/>
            <w:iCs/>
            <w:sz w:val="18"/>
            <w:szCs w:val="18"/>
          </w:rPr>
          <w:t xml:space="preserve"> the global economy</w:t>
        </w:r>
      </w:hyperlink>
      <w:r w:rsidR="00F62B17" w:rsidRPr="00231C02">
        <w:rPr>
          <w:sz w:val="18"/>
          <w:szCs w:val="18"/>
        </w:rPr>
        <w:t xml:space="preserve"> [PDF 4.7MB], study for the Australian Government Department of Industry, Innovation, Science, Research and Tertiary Education, </w:t>
      </w:r>
      <w:r w:rsidR="00AB788B" w:rsidRPr="00231C02">
        <w:rPr>
          <w:sz w:val="18"/>
          <w:szCs w:val="18"/>
        </w:rPr>
        <w:t>OECD</w:t>
      </w:r>
      <w:r w:rsidR="001D21FC">
        <w:rPr>
          <w:sz w:val="18"/>
          <w:szCs w:val="18"/>
        </w:rPr>
        <w:t xml:space="preserve"> website</w:t>
      </w:r>
      <w:r w:rsidR="00AB788B" w:rsidRPr="00231C02">
        <w:rPr>
          <w:sz w:val="18"/>
          <w:szCs w:val="18"/>
        </w:rPr>
        <w:t xml:space="preserve">, </w:t>
      </w:r>
      <w:r w:rsidR="00846B28">
        <w:rPr>
          <w:sz w:val="18"/>
          <w:szCs w:val="18"/>
        </w:rPr>
        <w:t xml:space="preserve">last </w:t>
      </w:r>
      <w:r w:rsidR="00AB788B" w:rsidRPr="00231C02">
        <w:rPr>
          <w:sz w:val="18"/>
          <w:szCs w:val="18"/>
        </w:rPr>
        <w:t>accessed 23 November 2023.</w:t>
      </w:r>
    </w:p>
  </w:footnote>
  <w:footnote w:id="14">
    <w:p w14:paraId="7567991E" w14:textId="6FBF7D20" w:rsidR="000E0EF4" w:rsidRPr="00FD79DB" w:rsidRDefault="000E0EF4" w:rsidP="000E0EF4">
      <w:pPr>
        <w:pStyle w:val="FootnoteText"/>
        <w:rPr>
          <w:sz w:val="18"/>
          <w:szCs w:val="18"/>
        </w:rPr>
      </w:pPr>
      <w:r w:rsidRPr="00FD79DB">
        <w:rPr>
          <w:rStyle w:val="FootnoteReference"/>
          <w:sz w:val="18"/>
          <w:szCs w:val="18"/>
        </w:rPr>
        <w:footnoteRef/>
      </w:r>
      <w:r w:rsidRPr="00FD79DB">
        <w:rPr>
          <w:sz w:val="18"/>
          <w:szCs w:val="18"/>
        </w:rPr>
        <w:t xml:space="preserve"> </w:t>
      </w:r>
      <w:r w:rsidR="00713A5A">
        <w:rPr>
          <w:sz w:val="18"/>
          <w:szCs w:val="18"/>
        </w:rPr>
        <w:t>Felipe J</w:t>
      </w:r>
      <w:r w:rsidRPr="00FD79DB">
        <w:rPr>
          <w:sz w:val="18"/>
          <w:szCs w:val="18"/>
        </w:rPr>
        <w:t>, Kumar</w:t>
      </w:r>
      <w:r w:rsidR="00713A5A">
        <w:rPr>
          <w:sz w:val="18"/>
          <w:szCs w:val="18"/>
        </w:rPr>
        <w:t xml:space="preserve"> U</w:t>
      </w:r>
      <w:r w:rsidRPr="00FD79DB">
        <w:rPr>
          <w:sz w:val="18"/>
          <w:szCs w:val="18"/>
        </w:rPr>
        <w:t>, Abdon</w:t>
      </w:r>
      <w:r w:rsidR="00713A5A">
        <w:rPr>
          <w:sz w:val="18"/>
          <w:szCs w:val="18"/>
        </w:rPr>
        <w:t xml:space="preserve"> A </w:t>
      </w:r>
      <w:r w:rsidR="002803F2">
        <w:rPr>
          <w:sz w:val="18"/>
          <w:szCs w:val="18"/>
        </w:rPr>
        <w:t>and</w:t>
      </w:r>
      <w:r w:rsidRPr="00FD79DB">
        <w:rPr>
          <w:sz w:val="18"/>
          <w:szCs w:val="18"/>
        </w:rPr>
        <w:t xml:space="preserve"> Bacate</w:t>
      </w:r>
      <w:r w:rsidR="00713A5A">
        <w:rPr>
          <w:sz w:val="18"/>
          <w:szCs w:val="18"/>
        </w:rPr>
        <w:t xml:space="preserve"> M (2012)</w:t>
      </w:r>
      <w:r w:rsidRPr="00FD79DB">
        <w:rPr>
          <w:sz w:val="18"/>
          <w:szCs w:val="18"/>
        </w:rPr>
        <w:t xml:space="preserve"> </w:t>
      </w:r>
      <w:r w:rsidR="00713A5A">
        <w:rPr>
          <w:sz w:val="18"/>
          <w:szCs w:val="18"/>
        </w:rPr>
        <w:t>‘</w:t>
      </w:r>
      <w:r w:rsidRPr="00FD79DB">
        <w:rPr>
          <w:sz w:val="18"/>
          <w:szCs w:val="18"/>
        </w:rPr>
        <w:t>Product complexity and economic development</w:t>
      </w:r>
      <w:r w:rsidR="00713A5A">
        <w:rPr>
          <w:sz w:val="18"/>
          <w:szCs w:val="18"/>
        </w:rPr>
        <w:t>’</w:t>
      </w:r>
      <w:r w:rsidRPr="00FD79DB">
        <w:rPr>
          <w:sz w:val="18"/>
          <w:szCs w:val="18"/>
        </w:rPr>
        <w:t xml:space="preserve">, </w:t>
      </w:r>
      <w:r w:rsidRPr="00AA1140">
        <w:rPr>
          <w:i/>
          <w:sz w:val="18"/>
          <w:szCs w:val="18"/>
        </w:rPr>
        <w:t xml:space="preserve">Structural </w:t>
      </w:r>
      <w:r w:rsidR="00713A5A">
        <w:rPr>
          <w:i/>
          <w:iCs/>
          <w:sz w:val="18"/>
          <w:szCs w:val="18"/>
        </w:rPr>
        <w:t>c</w:t>
      </w:r>
      <w:r w:rsidRPr="00AA1140">
        <w:rPr>
          <w:i/>
          <w:iCs/>
          <w:sz w:val="18"/>
          <w:szCs w:val="18"/>
        </w:rPr>
        <w:t xml:space="preserve">hange and </w:t>
      </w:r>
      <w:r w:rsidR="00713A5A">
        <w:rPr>
          <w:i/>
          <w:iCs/>
          <w:sz w:val="18"/>
          <w:szCs w:val="18"/>
        </w:rPr>
        <w:t>e</w:t>
      </w:r>
      <w:r w:rsidRPr="00AA1140">
        <w:rPr>
          <w:i/>
          <w:iCs/>
          <w:sz w:val="18"/>
          <w:szCs w:val="18"/>
        </w:rPr>
        <w:t xml:space="preserve">conomic </w:t>
      </w:r>
      <w:r w:rsidR="00713A5A">
        <w:rPr>
          <w:i/>
          <w:iCs/>
          <w:sz w:val="18"/>
          <w:szCs w:val="18"/>
        </w:rPr>
        <w:t>d</w:t>
      </w:r>
      <w:r w:rsidRPr="00AA1140">
        <w:rPr>
          <w:i/>
          <w:iCs/>
          <w:sz w:val="18"/>
          <w:szCs w:val="18"/>
        </w:rPr>
        <w:t>ynamics</w:t>
      </w:r>
      <w:r w:rsidRPr="00FD79DB">
        <w:rPr>
          <w:sz w:val="18"/>
          <w:szCs w:val="18"/>
        </w:rPr>
        <w:t xml:space="preserve">, </w:t>
      </w:r>
      <w:r w:rsidR="00713A5A">
        <w:rPr>
          <w:sz w:val="18"/>
          <w:szCs w:val="18"/>
        </w:rPr>
        <w:t>23(1):36</w:t>
      </w:r>
      <w:r w:rsidR="00713A5A" w:rsidRPr="00713A5A">
        <w:rPr>
          <w:sz w:val="18"/>
          <w:szCs w:val="18"/>
        </w:rPr>
        <w:t>–</w:t>
      </w:r>
      <w:r w:rsidR="00713A5A">
        <w:rPr>
          <w:sz w:val="18"/>
          <w:szCs w:val="18"/>
        </w:rPr>
        <w:t xml:space="preserve">68. </w:t>
      </w:r>
    </w:p>
  </w:footnote>
  <w:footnote w:id="15">
    <w:p w14:paraId="462CF1E1" w14:textId="77777777" w:rsidR="00C43F1F" w:rsidRDefault="00C43F1F" w:rsidP="00C43F1F">
      <w:pPr>
        <w:pStyle w:val="FootnoteText"/>
      </w:pPr>
      <w:r w:rsidRPr="003800E1">
        <w:rPr>
          <w:rStyle w:val="FootnoteReference"/>
          <w:sz w:val="18"/>
          <w:szCs w:val="18"/>
        </w:rPr>
        <w:footnoteRef/>
      </w:r>
      <w:r w:rsidRPr="003800E1">
        <w:rPr>
          <w:sz w:val="18"/>
          <w:szCs w:val="18"/>
        </w:rPr>
        <w:t xml:space="preserve"> See </w:t>
      </w:r>
      <w:r w:rsidRPr="00AA1140">
        <w:rPr>
          <w:b/>
          <w:sz w:val="18"/>
          <w:szCs w:val="18"/>
        </w:rPr>
        <w:t>Appendix 5</w:t>
      </w:r>
      <w:r w:rsidRPr="003800E1">
        <w:rPr>
          <w:sz w:val="18"/>
          <w:szCs w:val="18"/>
        </w:rPr>
        <w:t xml:space="preserve"> for detail on the distribution of the R&amp;D refundable tax offset by manufacturing activities related to the National Reconstruction Fund priority areas</w:t>
      </w:r>
      <w:r>
        <w:rPr>
          <w:sz w:val="18"/>
          <w:szCs w:val="18"/>
        </w:rPr>
        <w:t>.</w:t>
      </w:r>
      <w:r>
        <w:t xml:space="preserve"> </w:t>
      </w:r>
    </w:p>
  </w:footnote>
  <w:footnote w:id="16">
    <w:p w14:paraId="32F15CE6" w14:textId="7A916120" w:rsidR="00ED5779" w:rsidRPr="00FD79DB" w:rsidRDefault="00ED5779" w:rsidP="00ED5779">
      <w:pPr>
        <w:pStyle w:val="FootnoteText"/>
        <w:rPr>
          <w:sz w:val="18"/>
          <w:szCs w:val="18"/>
        </w:rPr>
      </w:pPr>
      <w:r w:rsidRPr="00FD79DB">
        <w:rPr>
          <w:rStyle w:val="FootnoteReference"/>
          <w:sz w:val="18"/>
          <w:szCs w:val="18"/>
        </w:rPr>
        <w:footnoteRef/>
      </w:r>
      <w:r w:rsidRPr="00FD79DB">
        <w:rPr>
          <w:sz w:val="18"/>
          <w:szCs w:val="18"/>
        </w:rPr>
        <w:t xml:space="preserve"> Hidalgo </w:t>
      </w:r>
      <w:r w:rsidR="00423A34">
        <w:rPr>
          <w:sz w:val="18"/>
          <w:szCs w:val="18"/>
        </w:rPr>
        <w:t>CA</w:t>
      </w:r>
      <w:r w:rsidRPr="00FD79DB">
        <w:rPr>
          <w:sz w:val="18"/>
          <w:szCs w:val="18"/>
        </w:rPr>
        <w:t xml:space="preserve"> and Hausmann</w:t>
      </w:r>
      <w:r w:rsidR="00423A34">
        <w:rPr>
          <w:sz w:val="18"/>
          <w:szCs w:val="18"/>
        </w:rPr>
        <w:t xml:space="preserve"> R (</w:t>
      </w:r>
      <w:r w:rsidR="00423A34" w:rsidRPr="008B27C3">
        <w:rPr>
          <w:sz w:val="18"/>
          <w:szCs w:val="18"/>
        </w:rPr>
        <w:t>2009)</w:t>
      </w:r>
      <w:r w:rsidRPr="008B27C3">
        <w:rPr>
          <w:sz w:val="18"/>
          <w:szCs w:val="18"/>
        </w:rPr>
        <w:t xml:space="preserve"> </w:t>
      </w:r>
      <w:r w:rsidR="00423A34" w:rsidRPr="008B27C3">
        <w:rPr>
          <w:sz w:val="18"/>
          <w:szCs w:val="18"/>
        </w:rPr>
        <w:t>‘</w:t>
      </w:r>
      <w:r w:rsidRPr="008B27C3">
        <w:rPr>
          <w:sz w:val="18"/>
          <w:szCs w:val="18"/>
        </w:rPr>
        <w:t>The building blocks of economic complexity</w:t>
      </w:r>
      <w:r w:rsidR="00423A34" w:rsidRPr="008B27C3">
        <w:rPr>
          <w:sz w:val="18"/>
          <w:szCs w:val="18"/>
        </w:rPr>
        <w:t>’</w:t>
      </w:r>
      <w:r w:rsidRPr="00FD79DB">
        <w:rPr>
          <w:sz w:val="18"/>
          <w:szCs w:val="18"/>
        </w:rPr>
        <w:t xml:space="preserve">, </w:t>
      </w:r>
      <w:r w:rsidRPr="00AA1140">
        <w:rPr>
          <w:i/>
          <w:sz w:val="18"/>
          <w:szCs w:val="18"/>
        </w:rPr>
        <w:t>Proceedings of the National Academy of Sciences</w:t>
      </w:r>
      <w:r w:rsidR="00B432D5">
        <w:rPr>
          <w:sz w:val="18"/>
          <w:szCs w:val="18"/>
        </w:rPr>
        <w:t>,</w:t>
      </w:r>
      <w:r w:rsidR="00423A34">
        <w:rPr>
          <w:sz w:val="18"/>
          <w:szCs w:val="18"/>
        </w:rPr>
        <w:t xml:space="preserve"> 106(26)</w:t>
      </w:r>
      <w:r w:rsidR="009F5D9F">
        <w:rPr>
          <w:sz w:val="18"/>
          <w:szCs w:val="18"/>
        </w:rPr>
        <w:t>:10570</w:t>
      </w:r>
      <w:r w:rsidR="009F5D9F" w:rsidRPr="009F5D9F">
        <w:rPr>
          <w:sz w:val="18"/>
          <w:szCs w:val="18"/>
        </w:rPr>
        <w:t>–</w:t>
      </w:r>
      <w:r w:rsidR="009F5D9F">
        <w:rPr>
          <w:sz w:val="18"/>
          <w:szCs w:val="18"/>
        </w:rPr>
        <w:t>10575.</w:t>
      </w:r>
    </w:p>
  </w:footnote>
  <w:footnote w:id="17">
    <w:p w14:paraId="4A24762A" w14:textId="28B9AF2F" w:rsidR="002E6ABA" w:rsidRPr="00242394" w:rsidRDefault="002E6ABA">
      <w:pPr>
        <w:pStyle w:val="FootnoteText"/>
        <w:rPr>
          <w:i/>
          <w:iCs/>
          <w:sz w:val="18"/>
          <w:szCs w:val="18"/>
        </w:rPr>
      </w:pPr>
      <w:r w:rsidRPr="00382A5C">
        <w:rPr>
          <w:rStyle w:val="FootnoteReference"/>
          <w:sz w:val="18"/>
          <w:szCs w:val="18"/>
        </w:rPr>
        <w:footnoteRef/>
      </w:r>
      <w:r w:rsidRPr="00382A5C">
        <w:rPr>
          <w:sz w:val="18"/>
          <w:szCs w:val="18"/>
        </w:rPr>
        <w:t xml:space="preserve"> </w:t>
      </w:r>
      <w:r w:rsidR="00AC14CC" w:rsidRPr="00382A5C">
        <w:rPr>
          <w:sz w:val="18"/>
          <w:szCs w:val="18"/>
        </w:rPr>
        <w:t>Export shares source</w:t>
      </w:r>
      <w:r w:rsidR="00347C1E">
        <w:rPr>
          <w:sz w:val="18"/>
          <w:szCs w:val="18"/>
        </w:rPr>
        <w:t xml:space="preserve">d </w:t>
      </w:r>
      <w:r w:rsidR="000D5438">
        <w:rPr>
          <w:sz w:val="18"/>
          <w:szCs w:val="18"/>
        </w:rPr>
        <w:t xml:space="preserve">from </w:t>
      </w:r>
      <w:r w:rsidR="00347C1E">
        <w:rPr>
          <w:sz w:val="18"/>
          <w:szCs w:val="18"/>
        </w:rPr>
        <w:t>unpublished Department of Industry, Science and Resources data</w:t>
      </w:r>
      <w:r w:rsidRPr="00382A5C">
        <w:rPr>
          <w:sz w:val="18"/>
          <w:szCs w:val="18"/>
        </w:rPr>
        <w:t xml:space="preserve">. </w:t>
      </w:r>
      <w:r w:rsidR="00C766BF" w:rsidRPr="00382A5C">
        <w:rPr>
          <w:sz w:val="18"/>
          <w:szCs w:val="18"/>
        </w:rPr>
        <w:t>Export shares refer to 2021 year.</w:t>
      </w:r>
      <w:r w:rsidR="00AC14CC" w:rsidRPr="00382A5C">
        <w:rPr>
          <w:sz w:val="18"/>
          <w:szCs w:val="18"/>
        </w:rPr>
        <w:t xml:space="preserve"> Import </w:t>
      </w:r>
      <w:r w:rsidR="00AC14CC" w:rsidRPr="000C3322">
        <w:rPr>
          <w:sz w:val="18"/>
          <w:szCs w:val="18"/>
        </w:rPr>
        <w:t xml:space="preserve">penetration based </w:t>
      </w:r>
      <w:r w:rsidR="00AC14CC" w:rsidRPr="00F245CB">
        <w:rPr>
          <w:sz w:val="18"/>
          <w:szCs w:val="18"/>
        </w:rPr>
        <w:t xml:space="preserve">on </w:t>
      </w:r>
      <w:r w:rsidR="00421A60" w:rsidRPr="00F245CB">
        <w:rPr>
          <w:sz w:val="18"/>
          <w:szCs w:val="18"/>
        </w:rPr>
        <w:t>Australian Bureau of Statistics (ABS) (2023) (reference period 2020</w:t>
      </w:r>
      <w:r w:rsidR="00EA7AA0">
        <w:rPr>
          <w:sz w:val="18"/>
          <w:szCs w:val="18"/>
        </w:rPr>
        <w:t>–</w:t>
      </w:r>
      <w:r w:rsidR="00421A60" w:rsidRPr="00F245CB">
        <w:rPr>
          <w:sz w:val="18"/>
          <w:szCs w:val="18"/>
        </w:rPr>
        <w:t xml:space="preserve">21 financial year) </w:t>
      </w:r>
      <w:hyperlink r:id="rId9" w:history="1">
        <w:r w:rsidR="00421A60" w:rsidRPr="00AF1CE5">
          <w:rPr>
            <w:rStyle w:val="Hyperlink"/>
            <w:i/>
            <w:iCs/>
            <w:sz w:val="18"/>
            <w:szCs w:val="18"/>
          </w:rPr>
          <w:t>Australian National Accounts: Input-Output Tables</w:t>
        </w:r>
      </w:hyperlink>
      <w:r w:rsidR="00421A60" w:rsidRPr="00F245CB">
        <w:rPr>
          <w:i/>
          <w:iCs/>
          <w:sz w:val="18"/>
          <w:szCs w:val="18"/>
        </w:rPr>
        <w:t xml:space="preserve"> </w:t>
      </w:r>
      <w:r w:rsidR="00421A60" w:rsidRPr="00F245CB">
        <w:rPr>
          <w:sz w:val="18"/>
          <w:szCs w:val="18"/>
        </w:rPr>
        <w:t>[data set], ABS website, accessed 24</w:t>
      </w:r>
      <w:r w:rsidR="00421A60">
        <w:rPr>
          <w:sz w:val="18"/>
          <w:szCs w:val="18"/>
        </w:rPr>
        <w:t xml:space="preserve"> November 2023.</w:t>
      </w:r>
    </w:p>
  </w:footnote>
  <w:footnote w:id="18">
    <w:p w14:paraId="2B87BC8A" w14:textId="235AB47C" w:rsidR="00764F0B" w:rsidRPr="00382A5C" w:rsidRDefault="00764F0B">
      <w:pPr>
        <w:pStyle w:val="FootnoteText"/>
        <w:rPr>
          <w:sz w:val="18"/>
          <w:szCs w:val="18"/>
        </w:rPr>
      </w:pPr>
      <w:r w:rsidRPr="00382A5C">
        <w:rPr>
          <w:rStyle w:val="FootnoteReference"/>
          <w:sz w:val="18"/>
          <w:szCs w:val="18"/>
        </w:rPr>
        <w:footnoteRef/>
      </w:r>
      <w:r w:rsidRPr="00382A5C">
        <w:rPr>
          <w:sz w:val="18"/>
          <w:szCs w:val="18"/>
        </w:rPr>
        <w:t xml:space="preserve"> </w:t>
      </w:r>
      <w:r w:rsidRPr="00A14144">
        <w:rPr>
          <w:sz w:val="18"/>
          <w:szCs w:val="18"/>
        </w:rPr>
        <w:t>A</w:t>
      </w:r>
      <w:r w:rsidR="006175C6" w:rsidRPr="00A14144">
        <w:rPr>
          <w:sz w:val="18"/>
          <w:szCs w:val="18"/>
        </w:rPr>
        <w:t xml:space="preserve">ustralian Bureau of Statistics (Reference period: </w:t>
      </w:r>
      <w:r w:rsidR="008D68EF" w:rsidRPr="00A14144">
        <w:rPr>
          <w:sz w:val="18"/>
          <w:szCs w:val="18"/>
        </w:rPr>
        <w:t>2000 to 2022</w:t>
      </w:r>
      <w:r w:rsidR="006175C6" w:rsidRPr="00A14144">
        <w:rPr>
          <w:sz w:val="18"/>
          <w:szCs w:val="18"/>
        </w:rPr>
        <w:t>) ‘Table 12a. Australia’</w:t>
      </w:r>
      <w:r w:rsidR="00193E92" w:rsidRPr="00AF1CE5">
        <w:rPr>
          <w:sz w:val="18"/>
          <w:szCs w:val="18"/>
        </w:rPr>
        <w:t>,</w:t>
      </w:r>
      <w:r w:rsidRPr="00A14144">
        <w:rPr>
          <w:sz w:val="18"/>
          <w:szCs w:val="18"/>
        </w:rPr>
        <w:t xml:space="preserve"> </w:t>
      </w:r>
      <w:r w:rsidRPr="00A14144">
        <w:rPr>
          <w:i/>
          <w:sz w:val="18"/>
          <w:szCs w:val="18"/>
        </w:rPr>
        <w:t>International Trade in Goods and Services</w:t>
      </w:r>
      <w:r w:rsidR="009335CE" w:rsidRPr="00A14144">
        <w:rPr>
          <w:sz w:val="18"/>
          <w:szCs w:val="18"/>
        </w:rPr>
        <w:t>, Australian Bureau of Statistics, accessed 23 November 2023.</w:t>
      </w:r>
    </w:p>
  </w:footnote>
  <w:footnote w:id="19">
    <w:p w14:paraId="70D2B0B7" w14:textId="075C3E2A" w:rsidR="00586A1D" w:rsidRPr="00382A5C" w:rsidRDefault="00586A1D">
      <w:pPr>
        <w:pStyle w:val="FootnoteText"/>
        <w:rPr>
          <w:sz w:val="18"/>
          <w:szCs w:val="18"/>
        </w:rPr>
      </w:pPr>
      <w:r w:rsidRPr="00A14144">
        <w:rPr>
          <w:rStyle w:val="FootnoteReference"/>
          <w:sz w:val="18"/>
          <w:szCs w:val="18"/>
        </w:rPr>
        <w:footnoteRef/>
      </w:r>
      <w:r w:rsidRPr="00A14144">
        <w:rPr>
          <w:sz w:val="18"/>
          <w:szCs w:val="18"/>
        </w:rPr>
        <w:t xml:space="preserve"> </w:t>
      </w:r>
      <w:r w:rsidR="00D5388B" w:rsidRPr="00A14144">
        <w:rPr>
          <w:sz w:val="18"/>
          <w:szCs w:val="18"/>
        </w:rPr>
        <w:t>IP Australia</w:t>
      </w:r>
      <w:r w:rsidR="006175C6" w:rsidRPr="00A14144">
        <w:rPr>
          <w:sz w:val="18"/>
          <w:szCs w:val="18"/>
        </w:rPr>
        <w:t xml:space="preserve"> (2023)</w:t>
      </w:r>
      <w:r w:rsidR="00D5388B" w:rsidRPr="00A14144">
        <w:rPr>
          <w:sz w:val="18"/>
          <w:szCs w:val="18"/>
        </w:rPr>
        <w:t xml:space="preserve"> </w:t>
      </w:r>
      <w:hyperlink r:id="rId10" w:history="1">
        <w:r w:rsidRPr="00A14144">
          <w:rPr>
            <w:rStyle w:val="Hyperlink"/>
            <w:i/>
            <w:sz w:val="18"/>
            <w:szCs w:val="18"/>
          </w:rPr>
          <w:t>Australian I</w:t>
        </w:r>
        <w:r w:rsidR="00D5388B" w:rsidRPr="00A14144">
          <w:rPr>
            <w:rStyle w:val="Hyperlink"/>
            <w:i/>
            <w:sz w:val="18"/>
            <w:szCs w:val="18"/>
          </w:rPr>
          <w:t>ntellectual Property</w:t>
        </w:r>
        <w:r w:rsidRPr="00A14144">
          <w:rPr>
            <w:rStyle w:val="Hyperlink"/>
            <w:i/>
            <w:sz w:val="18"/>
            <w:szCs w:val="18"/>
          </w:rPr>
          <w:t xml:space="preserve"> Report 202</w:t>
        </w:r>
        <w:r w:rsidR="00D5388B" w:rsidRPr="00A14144">
          <w:rPr>
            <w:rStyle w:val="Hyperlink"/>
            <w:i/>
            <w:sz w:val="18"/>
            <w:szCs w:val="18"/>
          </w:rPr>
          <w:t>3</w:t>
        </w:r>
      </w:hyperlink>
      <w:r w:rsidR="00A14144">
        <w:rPr>
          <w:rStyle w:val="Hyperlink"/>
          <w:i/>
          <w:sz w:val="18"/>
          <w:szCs w:val="18"/>
        </w:rPr>
        <w:t>: Patents</w:t>
      </w:r>
      <w:r w:rsidR="006175C6" w:rsidRPr="00AF1CE5">
        <w:rPr>
          <w:rStyle w:val="Hyperlink"/>
          <w:color w:val="auto"/>
          <w:sz w:val="18"/>
          <w:szCs w:val="18"/>
          <w:u w:val="none"/>
        </w:rPr>
        <w:t>, IP Australia</w:t>
      </w:r>
      <w:r w:rsidR="00A14144" w:rsidRPr="00AF1CE5">
        <w:rPr>
          <w:rStyle w:val="Hyperlink"/>
          <w:color w:val="auto"/>
          <w:sz w:val="18"/>
          <w:szCs w:val="18"/>
          <w:u w:val="none"/>
        </w:rPr>
        <w:t>, last accessed 24 November 2023.</w:t>
      </w:r>
    </w:p>
  </w:footnote>
  <w:footnote w:id="20">
    <w:p w14:paraId="5773B648" w14:textId="2A96A370" w:rsidR="006C34C4" w:rsidRPr="00382A5C" w:rsidRDefault="006C34C4">
      <w:pPr>
        <w:pStyle w:val="FootnoteText"/>
        <w:rPr>
          <w:sz w:val="18"/>
          <w:szCs w:val="18"/>
        </w:rPr>
      </w:pPr>
      <w:r w:rsidRPr="00382A5C">
        <w:rPr>
          <w:rStyle w:val="FootnoteReference"/>
          <w:sz w:val="18"/>
          <w:szCs w:val="18"/>
        </w:rPr>
        <w:footnoteRef/>
      </w:r>
      <w:r w:rsidR="005B46C3">
        <w:rPr>
          <w:sz w:val="18"/>
          <w:szCs w:val="18"/>
        </w:rPr>
        <w:t xml:space="preserve"> Unpublished data, Department of Industry, Science and Resources</w:t>
      </w:r>
    </w:p>
  </w:footnote>
  <w:footnote w:id="21">
    <w:p w14:paraId="0B0FECC6" w14:textId="306A37D9" w:rsidR="00417390" w:rsidRPr="00417390" w:rsidRDefault="006218CF">
      <w:pPr>
        <w:pStyle w:val="FootnoteText"/>
        <w:rPr>
          <w:sz w:val="18"/>
          <w:szCs w:val="18"/>
        </w:rPr>
      </w:pPr>
      <w:r w:rsidRPr="00382A5C">
        <w:rPr>
          <w:rStyle w:val="FootnoteReference"/>
          <w:sz w:val="18"/>
          <w:szCs w:val="18"/>
        </w:rPr>
        <w:footnoteRef/>
      </w:r>
      <w:r w:rsidRPr="00382A5C">
        <w:rPr>
          <w:sz w:val="18"/>
          <w:szCs w:val="18"/>
        </w:rPr>
        <w:t xml:space="preserve"> </w:t>
      </w:r>
      <w:r w:rsidR="00417390">
        <w:rPr>
          <w:sz w:val="18"/>
          <w:szCs w:val="18"/>
        </w:rPr>
        <w:t xml:space="preserve">IBISWorld (2023) </w:t>
      </w:r>
      <w:hyperlink r:id="rId11" w:history="1">
        <w:r w:rsidR="00417390" w:rsidRPr="00417390">
          <w:rPr>
            <w:rStyle w:val="Hyperlink"/>
            <w:i/>
            <w:iCs/>
            <w:sz w:val="18"/>
            <w:szCs w:val="18"/>
          </w:rPr>
          <w:t>C2412 – Medical and Surgical Equipment Manufacturing in Australia</w:t>
        </w:r>
      </w:hyperlink>
      <w:r w:rsidR="00417390">
        <w:rPr>
          <w:sz w:val="18"/>
          <w:szCs w:val="18"/>
        </w:rPr>
        <w:t xml:space="preserve">, IBISWorld, last accessed </w:t>
      </w:r>
      <w:r w:rsidR="00971730">
        <w:rPr>
          <w:sz w:val="18"/>
          <w:szCs w:val="18"/>
        </w:rPr>
        <w:t>24 </w:t>
      </w:r>
      <w:r w:rsidR="00417390">
        <w:rPr>
          <w:sz w:val="18"/>
          <w:szCs w:val="18"/>
        </w:rPr>
        <w:t>November</w:t>
      </w:r>
      <w:r w:rsidR="00971730">
        <w:rPr>
          <w:sz w:val="18"/>
          <w:szCs w:val="18"/>
        </w:rPr>
        <w:t> </w:t>
      </w:r>
      <w:r w:rsidR="00417390">
        <w:rPr>
          <w:sz w:val="18"/>
          <w:szCs w:val="18"/>
        </w:rPr>
        <w:t>2023.</w:t>
      </w:r>
    </w:p>
  </w:footnote>
  <w:footnote w:id="22">
    <w:p w14:paraId="6C1DD01C" w14:textId="5ADCDB01" w:rsidR="00A83633" w:rsidRPr="00382A5C" w:rsidRDefault="00A83633" w:rsidP="00A83633">
      <w:pPr>
        <w:pStyle w:val="FootnoteText"/>
        <w:rPr>
          <w:sz w:val="18"/>
          <w:szCs w:val="18"/>
        </w:rPr>
      </w:pPr>
      <w:r w:rsidRPr="00382A5C">
        <w:rPr>
          <w:rStyle w:val="FootnoteReference"/>
          <w:sz w:val="18"/>
          <w:szCs w:val="18"/>
        </w:rPr>
        <w:footnoteRef/>
      </w:r>
      <w:r w:rsidRPr="00382A5C">
        <w:rPr>
          <w:sz w:val="18"/>
          <w:szCs w:val="18"/>
        </w:rPr>
        <w:t xml:space="preserve"> </w:t>
      </w:r>
      <w:r w:rsidRPr="00382A5C">
        <w:rPr>
          <w:rFonts w:eastAsia="Times New Roman"/>
          <w:sz w:val="18"/>
          <w:szCs w:val="18"/>
        </w:rPr>
        <w:t xml:space="preserve">Cuervo-Cazurra </w:t>
      </w:r>
      <w:r w:rsidR="006175C6" w:rsidRPr="00382A5C">
        <w:rPr>
          <w:rFonts w:eastAsia="Times New Roman"/>
          <w:sz w:val="18"/>
          <w:szCs w:val="18"/>
        </w:rPr>
        <w:t xml:space="preserve">A and Rui H </w:t>
      </w:r>
      <w:r w:rsidRPr="00382A5C">
        <w:rPr>
          <w:rFonts w:eastAsia="Times New Roman"/>
          <w:sz w:val="18"/>
          <w:szCs w:val="18"/>
        </w:rPr>
        <w:t xml:space="preserve">(2017) </w:t>
      </w:r>
      <w:r w:rsidR="006175C6" w:rsidRPr="00382A5C">
        <w:rPr>
          <w:rFonts w:eastAsia="Times New Roman"/>
          <w:sz w:val="18"/>
          <w:szCs w:val="18"/>
        </w:rPr>
        <w:t>‘</w:t>
      </w:r>
      <w:r w:rsidRPr="00382A5C">
        <w:rPr>
          <w:rFonts w:eastAsia="Times New Roman"/>
          <w:sz w:val="18"/>
          <w:szCs w:val="18"/>
        </w:rPr>
        <w:t>Barriers to absorptive capacity in emerging market firms</w:t>
      </w:r>
      <w:r w:rsidR="006175C6" w:rsidRPr="00382A5C">
        <w:rPr>
          <w:rFonts w:eastAsia="Times New Roman"/>
          <w:sz w:val="18"/>
          <w:szCs w:val="18"/>
        </w:rPr>
        <w:t xml:space="preserve">’, </w:t>
      </w:r>
      <w:r w:rsidR="006175C6" w:rsidRPr="00382A5C">
        <w:rPr>
          <w:rFonts w:eastAsia="Times New Roman"/>
          <w:i/>
          <w:sz w:val="18"/>
          <w:szCs w:val="18"/>
        </w:rPr>
        <w:t>Journal of World Business</w:t>
      </w:r>
      <w:r w:rsidR="006175C6" w:rsidRPr="00382A5C">
        <w:rPr>
          <w:rFonts w:eastAsia="Times New Roman"/>
          <w:sz w:val="18"/>
          <w:szCs w:val="18"/>
        </w:rPr>
        <w:t>, 52(6):</w:t>
      </w:r>
      <w:r w:rsidR="00CA140A" w:rsidRPr="00382A5C">
        <w:rPr>
          <w:sz w:val="18"/>
          <w:szCs w:val="18"/>
        </w:rPr>
        <w:t>727–742.</w:t>
      </w:r>
    </w:p>
  </w:footnote>
  <w:footnote w:id="23">
    <w:p w14:paraId="4EC5ACF6" w14:textId="65CA8A7B" w:rsidR="00A83633" w:rsidRPr="00975D29" w:rsidRDefault="00A83633" w:rsidP="00A83633">
      <w:pPr>
        <w:pStyle w:val="FootnoteText"/>
        <w:rPr>
          <w:sz w:val="18"/>
          <w:szCs w:val="18"/>
        </w:rPr>
      </w:pPr>
      <w:r w:rsidRPr="00382A5C">
        <w:rPr>
          <w:rStyle w:val="FootnoteReference"/>
          <w:sz w:val="18"/>
          <w:szCs w:val="18"/>
        </w:rPr>
        <w:footnoteRef/>
      </w:r>
      <w:r w:rsidRPr="00382A5C">
        <w:rPr>
          <w:sz w:val="18"/>
          <w:szCs w:val="18"/>
        </w:rPr>
        <w:t xml:space="preserve"> </w:t>
      </w:r>
      <w:r w:rsidRPr="00382A5C">
        <w:rPr>
          <w:rFonts w:eastAsia="Times New Roman"/>
          <w:sz w:val="18"/>
          <w:szCs w:val="18"/>
        </w:rPr>
        <w:t xml:space="preserve">Nobuaki and Isamu (2017), </w:t>
      </w:r>
      <w:r w:rsidR="00CA140A" w:rsidRPr="00382A5C">
        <w:rPr>
          <w:rFonts w:eastAsia="Times New Roman"/>
          <w:sz w:val="18"/>
          <w:szCs w:val="18"/>
        </w:rPr>
        <w:t>‘</w:t>
      </w:r>
      <w:r w:rsidRPr="00382A5C">
        <w:rPr>
          <w:rFonts w:eastAsia="Times New Roman"/>
          <w:sz w:val="18"/>
          <w:szCs w:val="18"/>
        </w:rPr>
        <w:t>Innovation responses of Japanese firms to Chinese import competition</w:t>
      </w:r>
      <w:r w:rsidR="00CA140A" w:rsidRPr="00382A5C">
        <w:rPr>
          <w:rFonts w:eastAsia="Times New Roman"/>
          <w:sz w:val="18"/>
          <w:szCs w:val="18"/>
        </w:rPr>
        <w:t xml:space="preserve">’, </w:t>
      </w:r>
      <w:r w:rsidR="00CA140A" w:rsidRPr="00382A5C">
        <w:rPr>
          <w:rFonts w:eastAsia="Times New Roman"/>
          <w:i/>
          <w:iCs/>
          <w:sz w:val="18"/>
          <w:szCs w:val="18"/>
        </w:rPr>
        <w:t>The World Economy</w:t>
      </w:r>
      <w:r w:rsidR="00CA140A" w:rsidRPr="00382A5C">
        <w:rPr>
          <w:rFonts w:eastAsia="Times New Roman"/>
          <w:sz w:val="18"/>
          <w:szCs w:val="18"/>
        </w:rPr>
        <w:t>, 43(1):60–80.</w:t>
      </w:r>
    </w:p>
  </w:footnote>
  <w:footnote w:id="24">
    <w:p w14:paraId="7524711F" w14:textId="4A4FA4F5" w:rsidR="00CF19E3" w:rsidRPr="00975D29" w:rsidRDefault="001B3F29">
      <w:pPr>
        <w:pStyle w:val="FootnoteText"/>
        <w:rPr>
          <w:sz w:val="18"/>
          <w:szCs w:val="18"/>
        </w:rPr>
      </w:pPr>
      <w:r w:rsidRPr="008D68EF">
        <w:rPr>
          <w:rStyle w:val="FootnoteReference"/>
          <w:sz w:val="18"/>
          <w:szCs w:val="18"/>
        </w:rPr>
        <w:footnoteRef/>
      </w:r>
      <w:r w:rsidRPr="008D68EF">
        <w:rPr>
          <w:sz w:val="18"/>
          <w:szCs w:val="18"/>
        </w:rPr>
        <w:t xml:space="preserve"> </w:t>
      </w:r>
      <w:r w:rsidR="00CF19E3" w:rsidRPr="008D68EF">
        <w:rPr>
          <w:sz w:val="18"/>
          <w:szCs w:val="18"/>
        </w:rPr>
        <w:t xml:space="preserve">Productivity Commission (2023) </w:t>
      </w:r>
      <w:hyperlink r:id="rId12" w:history="1">
        <w:r w:rsidR="00CF19E3" w:rsidRPr="008D68EF">
          <w:rPr>
            <w:rStyle w:val="Hyperlink"/>
            <w:i/>
            <w:iCs/>
            <w:sz w:val="18"/>
            <w:szCs w:val="18"/>
          </w:rPr>
          <w:t>5-year Productivity Inquiry report</w:t>
        </w:r>
      </w:hyperlink>
      <w:r w:rsidR="00CF19E3" w:rsidRPr="008D68EF">
        <w:rPr>
          <w:sz w:val="18"/>
          <w:szCs w:val="18"/>
        </w:rPr>
        <w:t xml:space="preserve">, </w:t>
      </w:r>
      <w:r w:rsidR="00CF19E3" w:rsidRPr="008D68EF">
        <w:rPr>
          <w:i/>
          <w:iCs/>
          <w:sz w:val="18"/>
          <w:szCs w:val="18"/>
        </w:rPr>
        <w:t>Volume 5: Innovation for the 98%</w:t>
      </w:r>
      <w:r w:rsidR="00CF19E3" w:rsidRPr="008D68EF">
        <w:rPr>
          <w:sz w:val="18"/>
          <w:szCs w:val="18"/>
        </w:rPr>
        <w:t>, Productivity Commission, page iv, accessed 24 November 2023</w:t>
      </w:r>
      <w:r w:rsidR="00F079F5">
        <w:rPr>
          <w:sz w:val="18"/>
          <w:szCs w:val="18"/>
        </w:rPr>
        <w:t>.</w:t>
      </w:r>
      <w:r w:rsidR="00CF19E3" w:rsidRPr="00975D29">
        <w:rPr>
          <w:sz w:val="18"/>
          <w:szCs w:val="18"/>
        </w:rPr>
        <w:t xml:space="preserve">  </w:t>
      </w:r>
    </w:p>
  </w:footnote>
  <w:footnote w:id="25">
    <w:p w14:paraId="7E275FC3" w14:textId="43C7C55B" w:rsidR="00A83633" w:rsidRPr="000A1903" w:rsidRDefault="00A83633" w:rsidP="00A83633">
      <w:pPr>
        <w:pStyle w:val="FootnoteText"/>
        <w:rPr>
          <w:sz w:val="18"/>
          <w:szCs w:val="18"/>
          <w:highlight w:val="red"/>
        </w:rPr>
      </w:pPr>
      <w:r w:rsidRPr="00975D29">
        <w:rPr>
          <w:rStyle w:val="FootnoteReference"/>
          <w:sz w:val="18"/>
          <w:szCs w:val="18"/>
        </w:rPr>
        <w:footnoteRef/>
      </w:r>
      <w:r w:rsidRPr="00975D29">
        <w:rPr>
          <w:sz w:val="18"/>
          <w:szCs w:val="18"/>
        </w:rPr>
        <w:t xml:space="preserve"> </w:t>
      </w:r>
      <w:r w:rsidR="00E718F8" w:rsidRPr="00FD79DB">
        <w:rPr>
          <w:sz w:val="18"/>
          <w:szCs w:val="18"/>
        </w:rPr>
        <w:t xml:space="preserve">Productivity Commission (2023) </w:t>
      </w:r>
      <w:hyperlink r:id="rId13" w:history="1">
        <w:r w:rsidR="00E718F8" w:rsidRPr="00DB2A3D">
          <w:rPr>
            <w:rStyle w:val="Hyperlink"/>
            <w:i/>
            <w:iCs/>
            <w:sz w:val="18"/>
            <w:szCs w:val="18"/>
          </w:rPr>
          <w:t>5-year Productivity Inquiry</w:t>
        </w:r>
        <w:r w:rsidR="00E718F8">
          <w:rPr>
            <w:rStyle w:val="Hyperlink"/>
            <w:i/>
            <w:iCs/>
            <w:sz w:val="18"/>
            <w:szCs w:val="18"/>
          </w:rPr>
          <w:t xml:space="preserve"> </w:t>
        </w:r>
        <w:r w:rsidR="00E718F8" w:rsidRPr="00DB2A3D">
          <w:rPr>
            <w:rStyle w:val="Hyperlink"/>
            <w:i/>
            <w:iCs/>
            <w:sz w:val="18"/>
            <w:szCs w:val="18"/>
          </w:rPr>
          <w:t>report</w:t>
        </w:r>
      </w:hyperlink>
      <w:r w:rsidR="00E718F8" w:rsidRPr="00FD79DB">
        <w:rPr>
          <w:sz w:val="18"/>
          <w:szCs w:val="18"/>
        </w:rPr>
        <w:t xml:space="preserve">, </w:t>
      </w:r>
      <w:r w:rsidR="00E718F8" w:rsidRPr="00DB2A3D">
        <w:rPr>
          <w:i/>
          <w:iCs/>
          <w:sz w:val="18"/>
          <w:szCs w:val="18"/>
        </w:rPr>
        <w:t xml:space="preserve">Volume </w:t>
      </w:r>
      <w:r w:rsidR="00E718F8">
        <w:rPr>
          <w:i/>
          <w:iCs/>
          <w:sz w:val="18"/>
          <w:szCs w:val="18"/>
        </w:rPr>
        <w:t>5</w:t>
      </w:r>
      <w:r w:rsidR="00E718F8" w:rsidRPr="00DB2A3D">
        <w:rPr>
          <w:i/>
          <w:iCs/>
          <w:sz w:val="18"/>
          <w:szCs w:val="18"/>
        </w:rPr>
        <w:t>:</w:t>
      </w:r>
      <w:r w:rsidR="00E718F8">
        <w:rPr>
          <w:i/>
          <w:iCs/>
          <w:sz w:val="18"/>
          <w:szCs w:val="18"/>
        </w:rPr>
        <w:t xml:space="preserve"> Innovation for the 98%</w:t>
      </w:r>
      <w:r w:rsidR="00E718F8">
        <w:rPr>
          <w:sz w:val="18"/>
          <w:szCs w:val="18"/>
        </w:rPr>
        <w:t xml:space="preserve">, Productivity Commission, page </w:t>
      </w:r>
      <w:r w:rsidR="00C24981">
        <w:rPr>
          <w:sz w:val="18"/>
          <w:szCs w:val="18"/>
        </w:rPr>
        <w:t>33</w:t>
      </w:r>
      <w:r w:rsidR="00C24981" w:rsidRPr="00C24981">
        <w:rPr>
          <w:sz w:val="18"/>
          <w:szCs w:val="18"/>
        </w:rPr>
        <w:t>–</w:t>
      </w:r>
      <w:r w:rsidR="00C24981">
        <w:rPr>
          <w:sz w:val="18"/>
          <w:szCs w:val="18"/>
        </w:rPr>
        <w:t>34</w:t>
      </w:r>
      <w:r w:rsidR="00E718F8">
        <w:rPr>
          <w:sz w:val="18"/>
          <w:szCs w:val="18"/>
        </w:rPr>
        <w:t xml:space="preserve">, accessed 24 November 2023. </w:t>
      </w:r>
    </w:p>
  </w:footnote>
  <w:footnote w:id="26">
    <w:p w14:paraId="4791BAD8" w14:textId="34607E2A" w:rsidR="00A83633" w:rsidRPr="000A1903" w:rsidRDefault="00A83633" w:rsidP="00A83633">
      <w:pPr>
        <w:pStyle w:val="FootnoteText"/>
        <w:rPr>
          <w:sz w:val="18"/>
          <w:szCs w:val="18"/>
        </w:rPr>
      </w:pPr>
      <w:r w:rsidRPr="000A1903">
        <w:rPr>
          <w:rStyle w:val="FootnoteReference"/>
          <w:sz w:val="18"/>
          <w:szCs w:val="18"/>
        </w:rPr>
        <w:footnoteRef/>
      </w:r>
      <w:r w:rsidRPr="000A1903">
        <w:rPr>
          <w:sz w:val="18"/>
          <w:szCs w:val="18"/>
        </w:rPr>
        <w:t xml:space="preserve"> </w:t>
      </w:r>
      <w:r w:rsidR="00950B8F" w:rsidRPr="000A1903">
        <w:rPr>
          <w:sz w:val="18"/>
          <w:szCs w:val="18"/>
        </w:rPr>
        <w:t>Professor Goran Roos, interview conducted by IISA 18 August 2023</w:t>
      </w:r>
      <w:r w:rsidR="00044602">
        <w:rPr>
          <w:sz w:val="18"/>
          <w:szCs w:val="18"/>
        </w:rPr>
        <w:t>.</w:t>
      </w:r>
    </w:p>
  </w:footnote>
  <w:footnote w:id="27">
    <w:p w14:paraId="3CB9C5D0" w14:textId="0AD229A4" w:rsidR="00A83633" w:rsidRPr="00975D29" w:rsidRDefault="00A83633" w:rsidP="00A83633">
      <w:pPr>
        <w:pStyle w:val="FootnoteText"/>
        <w:rPr>
          <w:sz w:val="18"/>
          <w:szCs w:val="18"/>
        </w:rPr>
      </w:pPr>
      <w:r w:rsidRPr="000A1903">
        <w:rPr>
          <w:rStyle w:val="FootnoteReference"/>
          <w:sz w:val="18"/>
          <w:szCs w:val="18"/>
        </w:rPr>
        <w:footnoteRef/>
      </w:r>
      <w:r w:rsidRPr="000A1903">
        <w:rPr>
          <w:sz w:val="18"/>
          <w:szCs w:val="18"/>
        </w:rPr>
        <w:t xml:space="preserve"> </w:t>
      </w:r>
      <w:r w:rsidR="00731F93" w:rsidRPr="000A1903">
        <w:rPr>
          <w:sz w:val="18"/>
          <w:szCs w:val="18"/>
        </w:rPr>
        <w:t xml:space="preserve">In an economy of scope, a business diversifies its product offerings. See </w:t>
      </w:r>
      <w:r w:rsidRPr="000A1903">
        <w:rPr>
          <w:sz w:val="18"/>
          <w:szCs w:val="18"/>
        </w:rPr>
        <w:t>Etemad</w:t>
      </w:r>
      <w:r w:rsidR="00731F93" w:rsidRPr="000A1903">
        <w:rPr>
          <w:sz w:val="18"/>
          <w:szCs w:val="18"/>
        </w:rPr>
        <w:t xml:space="preserve"> H, Wright RW and Dana LP</w:t>
      </w:r>
      <w:r w:rsidRPr="000A1903">
        <w:rPr>
          <w:sz w:val="18"/>
          <w:szCs w:val="18"/>
        </w:rPr>
        <w:t xml:space="preserve"> (2001) </w:t>
      </w:r>
      <w:r w:rsidR="00731F93" w:rsidRPr="000A1903">
        <w:rPr>
          <w:sz w:val="18"/>
          <w:szCs w:val="18"/>
        </w:rPr>
        <w:t>‘</w:t>
      </w:r>
      <w:r w:rsidRPr="000A1903">
        <w:rPr>
          <w:sz w:val="18"/>
          <w:szCs w:val="18"/>
        </w:rPr>
        <w:t>Symbiotic International Business Networks: Collaboration Between Small and Large Firms</w:t>
      </w:r>
      <w:r w:rsidR="00731F93" w:rsidRPr="000A1903">
        <w:rPr>
          <w:sz w:val="18"/>
          <w:szCs w:val="18"/>
        </w:rPr>
        <w:t xml:space="preserve">’, </w:t>
      </w:r>
      <w:r w:rsidR="00731F93" w:rsidRPr="000A1903">
        <w:rPr>
          <w:i/>
          <w:iCs/>
          <w:sz w:val="18"/>
          <w:szCs w:val="18"/>
        </w:rPr>
        <w:t>Thunderbird International Business Review</w:t>
      </w:r>
      <w:r w:rsidR="00731F93" w:rsidRPr="000A1903">
        <w:rPr>
          <w:sz w:val="18"/>
          <w:szCs w:val="18"/>
        </w:rPr>
        <w:t xml:space="preserve"> 43(4):481–499.</w:t>
      </w:r>
      <w:r w:rsidR="008840EB" w:rsidRPr="00731F93">
        <w:rPr>
          <w:sz w:val="18"/>
          <w:szCs w:val="18"/>
        </w:rPr>
        <w:t xml:space="preserve"> </w:t>
      </w:r>
    </w:p>
  </w:footnote>
  <w:footnote w:id="28">
    <w:p w14:paraId="3DE69222" w14:textId="5B3C70CE" w:rsidR="00A83633" w:rsidRPr="009F76FC" w:rsidRDefault="00A83633" w:rsidP="00A83633">
      <w:pPr>
        <w:pStyle w:val="FootnoteText"/>
        <w:rPr>
          <w:sz w:val="18"/>
          <w:szCs w:val="18"/>
        </w:rPr>
      </w:pPr>
      <w:r w:rsidRPr="000A1903">
        <w:rPr>
          <w:rStyle w:val="FootnoteReference"/>
          <w:rFonts w:eastAsia="Times New Roman"/>
          <w:sz w:val="18"/>
          <w:szCs w:val="18"/>
        </w:rPr>
        <w:footnoteRef/>
      </w:r>
      <w:r w:rsidRPr="000A1903">
        <w:rPr>
          <w:sz w:val="18"/>
          <w:szCs w:val="18"/>
        </w:rPr>
        <w:t xml:space="preserve"> </w:t>
      </w:r>
      <w:r w:rsidRPr="009F76FC">
        <w:rPr>
          <w:sz w:val="18"/>
          <w:szCs w:val="18"/>
        </w:rPr>
        <w:t>Calculations based on A</w:t>
      </w:r>
      <w:r w:rsidR="004D5189" w:rsidRPr="009F76FC">
        <w:rPr>
          <w:sz w:val="18"/>
          <w:szCs w:val="18"/>
        </w:rPr>
        <w:t xml:space="preserve">ustralian </w:t>
      </w:r>
      <w:r w:rsidRPr="009F76FC">
        <w:rPr>
          <w:sz w:val="18"/>
          <w:szCs w:val="18"/>
        </w:rPr>
        <w:t>B</w:t>
      </w:r>
      <w:r w:rsidR="004D5189" w:rsidRPr="009F76FC">
        <w:rPr>
          <w:sz w:val="18"/>
          <w:szCs w:val="18"/>
        </w:rPr>
        <w:t xml:space="preserve">ureau of </w:t>
      </w:r>
      <w:r w:rsidRPr="009F76FC">
        <w:rPr>
          <w:sz w:val="18"/>
          <w:szCs w:val="18"/>
        </w:rPr>
        <w:t>S</w:t>
      </w:r>
      <w:r w:rsidR="004D5189" w:rsidRPr="009F76FC">
        <w:rPr>
          <w:sz w:val="18"/>
          <w:szCs w:val="18"/>
        </w:rPr>
        <w:t>tatistics data collection</w:t>
      </w:r>
      <w:r w:rsidRPr="009F76FC">
        <w:rPr>
          <w:sz w:val="18"/>
          <w:szCs w:val="18"/>
        </w:rPr>
        <w:t xml:space="preserve"> </w:t>
      </w:r>
      <w:hyperlink r:id="rId14" w:history="1">
        <w:r w:rsidRPr="00AF1CE5">
          <w:rPr>
            <w:rStyle w:val="Hyperlink"/>
          </w:rPr>
          <w:t>Counts of Australian Businesses, including Entries and Exits</w:t>
        </w:r>
      </w:hyperlink>
      <w:r w:rsidR="00E14F27" w:rsidRPr="009F76FC">
        <w:rPr>
          <w:i/>
          <w:sz w:val="18"/>
          <w:szCs w:val="18"/>
        </w:rPr>
        <w:t xml:space="preserve"> </w:t>
      </w:r>
      <w:r w:rsidR="00E14F27" w:rsidRPr="009F76FC">
        <w:rPr>
          <w:iCs/>
          <w:sz w:val="18"/>
          <w:szCs w:val="18"/>
        </w:rPr>
        <w:t>(various years)</w:t>
      </w:r>
      <w:r w:rsidR="0027068A" w:rsidRPr="009F76FC">
        <w:rPr>
          <w:i/>
          <w:sz w:val="18"/>
          <w:szCs w:val="18"/>
        </w:rPr>
        <w:t>,</w:t>
      </w:r>
      <w:r w:rsidR="00E14F27" w:rsidRPr="009F76FC">
        <w:rPr>
          <w:iCs/>
          <w:sz w:val="18"/>
          <w:szCs w:val="18"/>
        </w:rPr>
        <w:t xml:space="preserve"> </w:t>
      </w:r>
      <w:r w:rsidR="0027068A" w:rsidRPr="00AF1CE5">
        <w:rPr>
          <w:sz w:val="18"/>
          <w:szCs w:val="18"/>
        </w:rPr>
        <w:t>Cat. No 8165.0</w:t>
      </w:r>
      <w:r w:rsidR="00E14F27" w:rsidRPr="009F76FC">
        <w:rPr>
          <w:sz w:val="18"/>
          <w:szCs w:val="18"/>
        </w:rPr>
        <w:t>, last accessed 24 November 2023.</w:t>
      </w:r>
    </w:p>
  </w:footnote>
  <w:footnote w:id="29">
    <w:p w14:paraId="4EA7C872" w14:textId="55D63BC6" w:rsidR="009E48DB" w:rsidRDefault="009E48DB">
      <w:pPr>
        <w:pStyle w:val="FootnoteText"/>
      </w:pPr>
      <w:r w:rsidRPr="009F76FC">
        <w:rPr>
          <w:rStyle w:val="FootnoteReference"/>
        </w:rPr>
        <w:footnoteRef/>
      </w:r>
      <w:r w:rsidRPr="009F76FC">
        <w:t xml:space="preserve"> </w:t>
      </w:r>
      <w:r w:rsidR="00E14F27" w:rsidRPr="00AF1CE5">
        <w:rPr>
          <w:sz w:val="18"/>
          <w:szCs w:val="18"/>
        </w:rPr>
        <w:t xml:space="preserve">Calculations based on Australian Bureau of Statistics data collection </w:t>
      </w:r>
      <w:hyperlink r:id="rId15" w:history="1">
        <w:r w:rsidR="00E14F27" w:rsidRPr="00AF1CE5">
          <w:rPr>
            <w:rStyle w:val="Hyperlink"/>
            <w:i/>
            <w:sz w:val="18"/>
            <w:szCs w:val="18"/>
          </w:rPr>
          <w:t>Counts of Australian Businesses, including Entries and Exits</w:t>
        </w:r>
      </w:hyperlink>
      <w:r w:rsidR="00E14F27" w:rsidRPr="009F76FC">
        <w:rPr>
          <w:i/>
          <w:sz w:val="18"/>
          <w:szCs w:val="18"/>
        </w:rPr>
        <w:t xml:space="preserve"> </w:t>
      </w:r>
      <w:r w:rsidR="00E14F27" w:rsidRPr="009F76FC">
        <w:rPr>
          <w:iCs/>
          <w:sz w:val="18"/>
          <w:szCs w:val="18"/>
        </w:rPr>
        <w:t>(various years)</w:t>
      </w:r>
      <w:r w:rsidR="00E14F27" w:rsidRPr="009F76FC">
        <w:rPr>
          <w:i/>
          <w:sz w:val="18"/>
          <w:szCs w:val="18"/>
        </w:rPr>
        <w:t>,</w:t>
      </w:r>
      <w:r w:rsidR="00E14F27" w:rsidRPr="009F76FC">
        <w:rPr>
          <w:iCs/>
          <w:sz w:val="18"/>
          <w:szCs w:val="18"/>
        </w:rPr>
        <w:t xml:space="preserve"> Data cube 1, </w:t>
      </w:r>
      <w:r w:rsidR="009F76FC">
        <w:rPr>
          <w:iCs/>
          <w:sz w:val="18"/>
          <w:szCs w:val="18"/>
        </w:rPr>
        <w:t xml:space="preserve">Table 14a, </w:t>
      </w:r>
      <w:r w:rsidR="00E14F27" w:rsidRPr="009F76FC">
        <w:rPr>
          <w:sz w:val="18"/>
          <w:szCs w:val="18"/>
        </w:rPr>
        <w:t>Cat. No 8165.0, last accessed 24 November 2023.</w:t>
      </w:r>
    </w:p>
  </w:footnote>
  <w:footnote w:id="30">
    <w:p w14:paraId="669F6CAA" w14:textId="558DCA69" w:rsidR="005860F3" w:rsidRPr="005860F3" w:rsidRDefault="005860F3">
      <w:pPr>
        <w:pStyle w:val="FootnoteText"/>
      </w:pPr>
      <w:r>
        <w:rPr>
          <w:rStyle w:val="FootnoteReference"/>
        </w:rPr>
        <w:footnoteRef/>
      </w:r>
      <w:r>
        <w:t xml:space="preserve"> </w:t>
      </w:r>
      <w:r w:rsidRPr="00242394">
        <w:rPr>
          <w:sz w:val="18"/>
          <w:szCs w:val="18"/>
        </w:rPr>
        <w:t xml:space="preserve">Organisation for Economic Cooperation and Development (OECD) (2021) </w:t>
      </w:r>
      <w:hyperlink r:id="rId16" w:history="1">
        <w:r w:rsidRPr="00242394">
          <w:rPr>
            <w:rStyle w:val="Hyperlink"/>
            <w:i/>
            <w:iCs/>
            <w:sz w:val="18"/>
            <w:szCs w:val="18"/>
          </w:rPr>
          <w:t xml:space="preserve">SME and Entrepreneurship Outlook: Country Profiles </w:t>
        </w:r>
        <w:r w:rsidRPr="00242394">
          <w:rPr>
            <w:rStyle w:val="Hyperlink"/>
            <w:sz w:val="18"/>
            <w:szCs w:val="18"/>
          </w:rPr>
          <w:t>[PDF 3.3MB]</w:t>
        </w:r>
      </w:hyperlink>
      <w:r w:rsidRPr="00242394">
        <w:rPr>
          <w:sz w:val="18"/>
          <w:szCs w:val="18"/>
        </w:rPr>
        <w:t xml:space="preserve">, OECD, </w:t>
      </w:r>
      <w:r w:rsidR="00031C80">
        <w:rPr>
          <w:sz w:val="18"/>
          <w:szCs w:val="18"/>
        </w:rPr>
        <w:t xml:space="preserve">last </w:t>
      </w:r>
      <w:r w:rsidRPr="00242394">
        <w:rPr>
          <w:sz w:val="18"/>
          <w:szCs w:val="18"/>
        </w:rPr>
        <w:t>accessed 24 November 2023.</w:t>
      </w:r>
    </w:p>
  </w:footnote>
  <w:footnote w:id="31">
    <w:p w14:paraId="5180E676" w14:textId="0E4F98F4" w:rsidR="00A83633" w:rsidRPr="000A1903" w:rsidRDefault="00A83633" w:rsidP="00A83633">
      <w:pPr>
        <w:pStyle w:val="FootnoteText"/>
        <w:rPr>
          <w:sz w:val="18"/>
          <w:szCs w:val="18"/>
          <w:highlight w:val="red"/>
        </w:rPr>
      </w:pPr>
      <w:r w:rsidRPr="00EE0321">
        <w:rPr>
          <w:rStyle w:val="FootnoteReference"/>
          <w:sz w:val="18"/>
          <w:szCs w:val="18"/>
        </w:rPr>
        <w:footnoteRef/>
      </w:r>
      <w:r w:rsidRPr="00EE0321">
        <w:rPr>
          <w:sz w:val="18"/>
          <w:szCs w:val="18"/>
        </w:rPr>
        <w:t xml:space="preserve"> </w:t>
      </w:r>
      <w:r w:rsidRPr="003D63A4">
        <w:rPr>
          <w:sz w:val="18"/>
          <w:szCs w:val="18"/>
        </w:rPr>
        <w:t xml:space="preserve">See for example Shefer D and Frenkel A (2005) </w:t>
      </w:r>
      <w:r w:rsidR="00F16442" w:rsidRPr="000A1903">
        <w:rPr>
          <w:sz w:val="18"/>
          <w:szCs w:val="18"/>
        </w:rPr>
        <w:t>‘</w:t>
      </w:r>
      <w:r w:rsidRPr="003D63A4">
        <w:rPr>
          <w:sz w:val="18"/>
          <w:szCs w:val="18"/>
        </w:rPr>
        <w:t>R&amp;D, Firm Size and Innovation: An Empirical Analysis</w:t>
      </w:r>
      <w:r w:rsidR="00F16442" w:rsidRPr="000A1903">
        <w:rPr>
          <w:sz w:val="18"/>
          <w:szCs w:val="18"/>
        </w:rPr>
        <w:t>’</w:t>
      </w:r>
      <w:r w:rsidRPr="003D63A4">
        <w:rPr>
          <w:sz w:val="18"/>
          <w:szCs w:val="18"/>
        </w:rPr>
        <w:t xml:space="preserve">, </w:t>
      </w:r>
      <w:r w:rsidRPr="000A1903">
        <w:rPr>
          <w:i/>
          <w:sz w:val="18"/>
          <w:szCs w:val="18"/>
        </w:rPr>
        <w:t>Technovation</w:t>
      </w:r>
      <w:r w:rsidRPr="003D63A4">
        <w:rPr>
          <w:sz w:val="18"/>
          <w:szCs w:val="18"/>
        </w:rPr>
        <w:t>, 25(1):25</w:t>
      </w:r>
      <w:r w:rsidR="00F16442" w:rsidRPr="003D63A4">
        <w:rPr>
          <w:sz w:val="18"/>
          <w:szCs w:val="18"/>
        </w:rPr>
        <w:t>–</w:t>
      </w:r>
      <w:r w:rsidRPr="003D63A4">
        <w:rPr>
          <w:sz w:val="18"/>
          <w:szCs w:val="18"/>
        </w:rPr>
        <w:t>32</w:t>
      </w:r>
      <w:r w:rsidR="00F16442" w:rsidRPr="000A1903">
        <w:rPr>
          <w:sz w:val="18"/>
          <w:szCs w:val="18"/>
        </w:rPr>
        <w:t>.</w:t>
      </w:r>
    </w:p>
  </w:footnote>
  <w:footnote w:id="32">
    <w:p w14:paraId="1EA895C2" w14:textId="16BFFF7C" w:rsidR="00A83633" w:rsidRPr="00291DA2" w:rsidRDefault="00A83633" w:rsidP="00A83633">
      <w:pPr>
        <w:pStyle w:val="FootnoteText"/>
        <w:rPr>
          <w:sz w:val="18"/>
          <w:szCs w:val="18"/>
        </w:rPr>
      </w:pPr>
      <w:r w:rsidRPr="00291DA2">
        <w:rPr>
          <w:rStyle w:val="FootnoteReference"/>
          <w:sz w:val="18"/>
          <w:szCs w:val="18"/>
        </w:rPr>
        <w:footnoteRef/>
      </w:r>
      <w:r w:rsidRPr="00291DA2">
        <w:rPr>
          <w:sz w:val="18"/>
          <w:szCs w:val="18"/>
        </w:rPr>
        <w:t xml:space="preserve"> Cully M (</w:t>
      </w:r>
      <w:r w:rsidR="00291DA2" w:rsidRPr="000A1903">
        <w:rPr>
          <w:sz w:val="18"/>
          <w:szCs w:val="18"/>
        </w:rPr>
        <w:t xml:space="preserve">8 </w:t>
      </w:r>
      <w:r w:rsidR="00291DA2" w:rsidRPr="00044602">
        <w:rPr>
          <w:sz w:val="18"/>
          <w:szCs w:val="18"/>
        </w:rPr>
        <w:t xml:space="preserve">September </w:t>
      </w:r>
      <w:r w:rsidRPr="00044602">
        <w:rPr>
          <w:sz w:val="18"/>
          <w:szCs w:val="18"/>
        </w:rPr>
        <w:t xml:space="preserve">2017) </w:t>
      </w:r>
      <w:hyperlink r:id="rId17" w:history="1">
        <w:r w:rsidR="00291DA2" w:rsidRPr="00044602">
          <w:rPr>
            <w:rStyle w:val="Hyperlink"/>
            <w:sz w:val="18"/>
            <w:szCs w:val="18"/>
          </w:rPr>
          <w:t>‘</w:t>
        </w:r>
        <w:r w:rsidRPr="00242394">
          <w:rPr>
            <w:rStyle w:val="Hyperlink"/>
            <w:sz w:val="18"/>
            <w:szCs w:val="18"/>
          </w:rPr>
          <w:t>Stuck in the middle? Mid-sized enterprises in Australia</w:t>
        </w:r>
        <w:r w:rsidR="00291DA2" w:rsidRPr="00044602">
          <w:rPr>
            <w:rStyle w:val="Hyperlink"/>
            <w:sz w:val="18"/>
            <w:szCs w:val="18"/>
          </w:rPr>
          <w:t>’,</w:t>
        </w:r>
        <w:r w:rsidRPr="00242394">
          <w:rPr>
            <w:rStyle w:val="Hyperlink"/>
            <w:sz w:val="18"/>
            <w:szCs w:val="18"/>
          </w:rPr>
          <w:t> </w:t>
        </w:r>
      </w:hyperlink>
      <w:r w:rsidRPr="00044602">
        <w:rPr>
          <w:sz w:val="18"/>
          <w:szCs w:val="18"/>
        </w:rPr>
        <w:t>Speech at the Global Access Partners 8th Annual Economic Summit on Midsize Business</w:t>
      </w:r>
      <w:r w:rsidR="00291DA2" w:rsidRPr="00044602">
        <w:rPr>
          <w:sz w:val="18"/>
          <w:szCs w:val="18"/>
        </w:rPr>
        <w:t>, Global Access Partners</w:t>
      </w:r>
      <w:r w:rsidR="00FC71FB">
        <w:rPr>
          <w:sz w:val="18"/>
          <w:szCs w:val="18"/>
        </w:rPr>
        <w:t>, last accessed 24 November 2023.</w:t>
      </w:r>
    </w:p>
  </w:footnote>
  <w:footnote w:id="33">
    <w:p w14:paraId="4485F0B1" w14:textId="5EB908BE" w:rsidR="00A83633" w:rsidRPr="000A1903" w:rsidRDefault="00A83633" w:rsidP="00A83633">
      <w:pPr>
        <w:pStyle w:val="FootnoteText"/>
        <w:rPr>
          <w:sz w:val="18"/>
          <w:szCs w:val="18"/>
          <w:highlight w:val="red"/>
        </w:rPr>
      </w:pPr>
      <w:r w:rsidRPr="00291DA2">
        <w:rPr>
          <w:rStyle w:val="FootnoteReference"/>
          <w:sz w:val="18"/>
          <w:szCs w:val="18"/>
        </w:rPr>
        <w:footnoteRef/>
      </w:r>
      <w:r w:rsidRPr="00291DA2">
        <w:rPr>
          <w:sz w:val="18"/>
          <w:szCs w:val="18"/>
        </w:rPr>
        <w:t xml:space="preserve"> </w:t>
      </w:r>
      <w:r w:rsidR="00291DA2" w:rsidRPr="00DB2A3D">
        <w:rPr>
          <w:sz w:val="18"/>
          <w:szCs w:val="18"/>
        </w:rPr>
        <w:t xml:space="preserve">Cully M (8 September 2017) </w:t>
      </w:r>
      <w:hyperlink r:id="rId18" w:history="1">
        <w:r w:rsidR="00291DA2" w:rsidRPr="00DB2A3D">
          <w:rPr>
            <w:rStyle w:val="Hyperlink"/>
            <w:sz w:val="18"/>
            <w:szCs w:val="18"/>
          </w:rPr>
          <w:t>‘Stuck in the middle? Mid-sized enterprises in Australia’,</w:t>
        </w:r>
        <w:r w:rsidR="00291DA2" w:rsidRPr="00DB2A3D">
          <w:rPr>
            <w:rStyle w:val="Hyperlink"/>
            <w:rFonts w:ascii="Open Sans" w:hAnsi="Open Sans" w:cs="Open Sans"/>
            <w:sz w:val="18"/>
            <w:szCs w:val="18"/>
            <w:bdr w:val="none" w:sz="0" w:space="0" w:color="auto" w:frame="1"/>
            <w:shd w:val="clear" w:color="auto" w:fill="FFFFFF"/>
          </w:rPr>
          <w:t> </w:t>
        </w:r>
      </w:hyperlink>
      <w:r w:rsidR="00291DA2" w:rsidRPr="00DB2A3D">
        <w:rPr>
          <w:sz w:val="18"/>
          <w:szCs w:val="18"/>
        </w:rPr>
        <w:t>Speech at the Global Access Partners 8th Annual Economic Summit on Midsize Business</w:t>
      </w:r>
      <w:r w:rsidR="00291DA2">
        <w:rPr>
          <w:sz w:val="18"/>
          <w:szCs w:val="18"/>
        </w:rPr>
        <w:t>, Global Access Partners</w:t>
      </w:r>
      <w:r w:rsidR="00FC71FB">
        <w:rPr>
          <w:sz w:val="18"/>
          <w:szCs w:val="18"/>
        </w:rPr>
        <w:t>, last accessed 24 November 2023.</w:t>
      </w:r>
    </w:p>
  </w:footnote>
  <w:footnote w:id="34">
    <w:p w14:paraId="54D84F44" w14:textId="6F7126AB" w:rsidR="0048237C" w:rsidRPr="00044602" w:rsidRDefault="0048237C">
      <w:pPr>
        <w:pStyle w:val="FootnoteText"/>
      </w:pPr>
      <w:r w:rsidRPr="00496FB5">
        <w:rPr>
          <w:rStyle w:val="FootnoteReference"/>
        </w:rPr>
        <w:footnoteRef/>
      </w:r>
      <w:r w:rsidRPr="00496FB5">
        <w:t xml:space="preserve"> </w:t>
      </w:r>
      <w:r w:rsidR="009F27E1" w:rsidRPr="00DB2A3D">
        <w:rPr>
          <w:sz w:val="18"/>
          <w:szCs w:val="18"/>
        </w:rPr>
        <w:t xml:space="preserve">Calculations based on Australian Bureau of Statistics data collection </w:t>
      </w:r>
      <w:hyperlink r:id="rId19" w:history="1">
        <w:r w:rsidR="009F27E1" w:rsidRPr="00DB2A3D">
          <w:rPr>
            <w:rStyle w:val="Hyperlink"/>
            <w:i/>
            <w:sz w:val="18"/>
            <w:szCs w:val="18"/>
          </w:rPr>
          <w:t>Counts of Australian Businesses, including Entries and Exits</w:t>
        </w:r>
      </w:hyperlink>
      <w:r w:rsidR="009F27E1" w:rsidRPr="009F76FC">
        <w:rPr>
          <w:i/>
          <w:sz w:val="18"/>
          <w:szCs w:val="18"/>
        </w:rPr>
        <w:t xml:space="preserve"> </w:t>
      </w:r>
      <w:r w:rsidR="009F27E1" w:rsidRPr="009F76FC">
        <w:rPr>
          <w:iCs/>
          <w:sz w:val="18"/>
          <w:szCs w:val="18"/>
        </w:rPr>
        <w:t>(various years)</w:t>
      </w:r>
      <w:r w:rsidR="009F27E1" w:rsidRPr="009F76FC">
        <w:rPr>
          <w:i/>
          <w:sz w:val="18"/>
          <w:szCs w:val="18"/>
        </w:rPr>
        <w:t>,</w:t>
      </w:r>
      <w:r w:rsidR="009F27E1" w:rsidRPr="009F76FC">
        <w:rPr>
          <w:iCs/>
          <w:sz w:val="18"/>
          <w:szCs w:val="18"/>
        </w:rPr>
        <w:t xml:space="preserve"> Data cube 1, </w:t>
      </w:r>
      <w:r w:rsidR="009F27E1">
        <w:rPr>
          <w:iCs/>
          <w:sz w:val="18"/>
          <w:szCs w:val="18"/>
        </w:rPr>
        <w:t xml:space="preserve">Table 14a, </w:t>
      </w:r>
      <w:r w:rsidR="009F27E1" w:rsidRPr="009F76FC">
        <w:rPr>
          <w:sz w:val="18"/>
          <w:szCs w:val="18"/>
        </w:rPr>
        <w:t>Cat. No 8165.0, last accessed 24 November 2023.</w:t>
      </w:r>
    </w:p>
  </w:footnote>
  <w:footnote w:id="35">
    <w:p w14:paraId="04207EDE" w14:textId="19FDE78C" w:rsidR="00A83633" w:rsidRPr="009D6F4C" w:rsidRDefault="00A83633" w:rsidP="00C35D33">
      <w:pPr>
        <w:pStyle w:val="Heading4"/>
        <w:rPr>
          <w:rFonts w:ascii="Open Sans" w:hAnsi="Open Sans" w:cs="Open Sans"/>
          <w:color w:val="000000"/>
        </w:rPr>
      </w:pPr>
      <w:r w:rsidRPr="00EE0321">
        <w:rPr>
          <w:rStyle w:val="FootnoteReference"/>
          <w:sz w:val="18"/>
          <w:szCs w:val="18"/>
        </w:rPr>
        <w:footnoteRef/>
      </w:r>
      <w:hyperlink r:id="rId20" w:history="1">
        <w:r w:rsidR="00475BAE" w:rsidRPr="00AF1CE5">
          <w:rPr>
            <w:rStyle w:val="Hyperlink"/>
            <w:i/>
            <w:color w:val="auto"/>
            <w:sz w:val="18"/>
            <w:szCs w:val="18"/>
          </w:rPr>
          <w:t>Characteristics of Australian Business</w:t>
        </w:r>
      </w:hyperlink>
      <w:r w:rsidR="00475BAE" w:rsidRPr="00AF1CE5">
        <w:rPr>
          <w:color w:val="auto"/>
          <w:sz w:val="18"/>
          <w:szCs w:val="18"/>
        </w:rPr>
        <w:t xml:space="preserve">, ABS website, </w:t>
      </w:r>
      <w:r w:rsidR="00F55010" w:rsidRPr="00AF1CE5">
        <w:rPr>
          <w:color w:val="auto"/>
          <w:sz w:val="18"/>
          <w:szCs w:val="18"/>
        </w:rPr>
        <w:t xml:space="preserve">last </w:t>
      </w:r>
      <w:r w:rsidR="00475BAE" w:rsidRPr="00AF1CE5">
        <w:rPr>
          <w:color w:val="auto"/>
          <w:sz w:val="18"/>
          <w:szCs w:val="18"/>
        </w:rPr>
        <w:t>accessed 24 November 2023.</w:t>
      </w:r>
    </w:p>
  </w:footnote>
  <w:footnote w:id="36">
    <w:p w14:paraId="7908B6E6" w14:textId="103EC450" w:rsidR="00931E04" w:rsidRPr="00242394" w:rsidRDefault="00931E04" w:rsidP="00931E04">
      <w:pPr>
        <w:pStyle w:val="FootnoteText"/>
        <w:rPr>
          <w:sz w:val="18"/>
          <w:szCs w:val="18"/>
        </w:rPr>
      </w:pPr>
      <w:r w:rsidRPr="00242394">
        <w:rPr>
          <w:rStyle w:val="FootnoteReference"/>
          <w:sz w:val="18"/>
          <w:szCs w:val="18"/>
        </w:rPr>
        <w:footnoteRef/>
      </w:r>
      <w:r w:rsidRPr="00242394">
        <w:rPr>
          <w:sz w:val="18"/>
          <w:szCs w:val="18"/>
        </w:rPr>
        <w:t xml:space="preserve"> Lundvall B</w:t>
      </w:r>
      <w:r w:rsidR="00927A55" w:rsidRPr="00242394">
        <w:rPr>
          <w:sz w:val="18"/>
          <w:szCs w:val="18"/>
        </w:rPr>
        <w:t xml:space="preserve"> (ed)</w:t>
      </w:r>
      <w:r w:rsidRPr="00242394">
        <w:rPr>
          <w:sz w:val="18"/>
          <w:szCs w:val="18"/>
        </w:rPr>
        <w:t xml:space="preserve"> (2010) </w:t>
      </w:r>
      <w:r w:rsidRPr="00242394">
        <w:rPr>
          <w:i/>
          <w:sz w:val="18"/>
          <w:szCs w:val="18"/>
        </w:rPr>
        <w:t>National Systems of Innovation: Toward a Theory of Innovation and Interactive Learning</w:t>
      </w:r>
      <w:r w:rsidR="00245109" w:rsidRPr="00242394">
        <w:rPr>
          <w:sz w:val="18"/>
          <w:szCs w:val="18"/>
        </w:rPr>
        <w:t>,</w:t>
      </w:r>
      <w:r w:rsidRPr="00242394">
        <w:rPr>
          <w:sz w:val="18"/>
          <w:szCs w:val="18"/>
        </w:rPr>
        <w:t xml:space="preserve"> </w:t>
      </w:r>
      <w:hyperlink r:id="rId21" w:history="1">
        <w:r w:rsidRPr="00242394">
          <w:rPr>
            <w:sz w:val="18"/>
            <w:szCs w:val="18"/>
          </w:rPr>
          <w:t>Anthem Press</w:t>
        </w:r>
      </w:hyperlink>
      <w:r w:rsidR="00245109" w:rsidRPr="00242394">
        <w:rPr>
          <w:sz w:val="18"/>
          <w:szCs w:val="18"/>
        </w:rPr>
        <w:t>,</w:t>
      </w:r>
      <w:r w:rsidR="003107D7">
        <w:rPr>
          <w:sz w:val="18"/>
          <w:szCs w:val="18"/>
        </w:rPr>
        <w:t xml:space="preserve"> online,</w:t>
      </w:r>
      <w:r w:rsidR="00245109" w:rsidRPr="00242394">
        <w:rPr>
          <w:sz w:val="18"/>
          <w:szCs w:val="18"/>
        </w:rPr>
        <w:t xml:space="preserve"> </w:t>
      </w:r>
      <w:hyperlink r:id="rId22" w:history="1">
        <w:r w:rsidR="00245109" w:rsidRPr="00C564EE">
          <w:rPr>
            <w:rStyle w:val="Hyperlink"/>
            <w:sz w:val="18"/>
            <w:szCs w:val="18"/>
          </w:rPr>
          <w:t>http://www.jstor.org/stable/j.ctt1gxp7cs</w:t>
        </w:r>
      </w:hyperlink>
      <w:r w:rsidR="00245109" w:rsidRPr="00C564EE">
        <w:rPr>
          <w:sz w:val="18"/>
          <w:szCs w:val="18"/>
        </w:rPr>
        <w:t xml:space="preserve">. </w:t>
      </w:r>
    </w:p>
  </w:footnote>
  <w:footnote w:id="37">
    <w:p w14:paraId="59FC0802" w14:textId="56F310F2" w:rsidR="009B38ED" w:rsidRPr="00242394" w:rsidRDefault="009B38ED">
      <w:pPr>
        <w:pStyle w:val="FootnoteText"/>
        <w:rPr>
          <w:sz w:val="18"/>
          <w:szCs w:val="18"/>
        </w:rPr>
      </w:pPr>
      <w:r w:rsidRPr="009F27E1">
        <w:rPr>
          <w:rStyle w:val="FootnoteReference"/>
          <w:sz w:val="18"/>
          <w:szCs w:val="18"/>
        </w:rPr>
        <w:footnoteRef/>
      </w:r>
      <w:r w:rsidRPr="009F27E1">
        <w:rPr>
          <w:sz w:val="18"/>
          <w:szCs w:val="18"/>
        </w:rPr>
        <w:t xml:space="preserve"> </w:t>
      </w:r>
      <w:r w:rsidRPr="00AF1CE5">
        <w:rPr>
          <w:sz w:val="18"/>
          <w:szCs w:val="18"/>
        </w:rPr>
        <w:t xml:space="preserve">OIISA analysis of the </w:t>
      </w:r>
      <w:r w:rsidRPr="00AF1CE5">
        <w:rPr>
          <w:i/>
          <w:iCs/>
          <w:sz w:val="18"/>
          <w:szCs w:val="18"/>
        </w:rPr>
        <w:t xml:space="preserve">ABS Business Characteristics Survey </w:t>
      </w:r>
      <w:r w:rsidRPr="00AF1CE5">
        <w:rPr>
          <w:sz w:val="18"/>
          <w:szCs w:val="18"/>
        </w:rPr>
        <w:t xml:space="preserve">data </w:t>
      </w:r>
      <w:r w:rsidR="0073612C" w:rsidRPr="00AF1CE5">
        <w:rPr>
          <w:sz w:val="18"/>
          <w:szCs w:val="18"/>
        </w:rPr>
        <w:t xml:space="preserve">collection </w:t>
      </w:r>
      <w:r w:rsidRPr="00AF1CE5">
        <w:rPr>
          <w:sz w:val="18"/>
          <w:szCs w:val="18"/>
        </w:rPr>
        <w:t>and customised</w:t>
      </w:r>
      <w:r w:rsidR="0073612C" w:rsidRPr="00AF1CE5">
        <w:rPr>
          <w:sz w:val="18"/>
          <w:szCs w:val="18"/>
        </w:rPr>
        <w:t xml:space="preserve"> analysis of</w:t>
      </w:r>
      <w:r w:rsidRPr="00AF1CE5">
        <w:rPr>
          <w:sz w:val="18"/>
          <w:szCs w:val="18"/>
        </w:rPr>
        <w:t xml:space="preserve"> </w:t>
      </w:r>
      <w:r w:rsidR="00FB478B" w:rsidRPr="009F27E1">
        <w:rPr>
          <w:sz w:val="18"/>
          <w:szCs w:val="18"/>
        </w:rPr>
        <w:t xml:space="preserve">unpublished </w:t>
      </w:r>
      <w:r w:rsidRPr="00AF1CE5">
        <w:rPr>
          <w:sz w:val="18"/>
          <w:szCs w:val="18"/>
        </w:rPr>
        <w:t>patenting and co-patenting data provided by IP</w:t>
      </w:r>
      <w:r w:rsidR="0073612C" w:rsidRPr="00AF1CE5">
        <w:rPr>
          <w:sz w:val="18"/>
          <w:szCs w:val="18"/>
        </w:rPr>
        <w:t xml:space="preserve"> </w:t>
      </w:r>
      <w:r w:rsidRPr="00AF1CE5">
        <w:rPr>
          <w:sz w:val="18"/>
          <w:szCs w:val="18"/>
        </w:rPr>
        <w:t>Australia</w:t>
      </w:r>
      <w:r w:rsidR="00996AE2" w:rsidRPr="009F27E1">
        <w:rPr>
          <w:sz w:val="18"/>
          <w:szCs w:val="18"/>
        </w:rPr>
        <w:t>.</w:t>
      </w:r>
    </w:p>
  </w:footnote>
  <w:footnote w:id="38">
    <w:p w14:paraId="5E5D81C0" w14:textId="7EDB261C" w:rsidR="00931E04" w:rsidRPr="00C564EE" w:rsidRDefault="00931E04" w:rsidP="00931E04">
      <w:pPr>
        <w:pStyle w:val="FootnoteText"/>
        <w:rPr>
          <w:sz w:val="18"/>
          <w:szCs w:val="18"/>
          <w:highlight w:val="red"/>
        </w:rPr>
      </w:pPr>
      <w:r w:rsidRPr="00242394">
        <w:rPr>
          <w:rStyle w:val="FootnoteReference"/>
          <w:sz w:val="18"/>
          <w:szCs w:val="18"/>
        </w:rPr>
        <w:footnoteRef/>
      </w:r>
      <w:r w:rsidRPr="00242394">
        <w:rPr>
          <w:sz w:val="18"/>
          <w:szCs w:val="18"/>
        </w:rPr>
        <w:t xml:space="preserve"> </w:t>
      </w:r>
      <w:r w:rsidR="00245109" w:rsidRPr="00C564EE">
        <w:rPr>
          <w:sz w:val="18"/>
          <w:szCs w:val="18"/>
        </w:rPr>
        <w:t xml:space="preserve">Rohan Nelson </w:t>
      </w:r>
      <w:r w:rsidRPr="00C564EE">
        <w:rPr>
          <w:sz w:val="18"/>
          <w:szCs w:val="18"/>
        </w:rPr>
        <w:t>(</w:t>
      </w:r>
      <w:r w:rsidR="00245109" w:rsidRPr="00C564EE">
        <w:rPr>
          <w:sz w:val="18"/>
          <w:szCs w:val="18"/>
        </w:rPr>
        <w:t xml:space="preserve">13 September </w:t>
      </w:r>
      <w:r w:rsidRPr="00C564EE">
        <w:rPr>
          <w:sz w:val="18"/>
          <w:szCs w:val="18"/>
        </w:rPr>
        <w:t>2022)</w:t>
      </w:r>
      <w:r w:rsidR="00245109" w:rsidRPr="00C564EE">
        <w:rPr>
          <w:sz w:val="18"/>
          <w:szCs w:val="18"/>
        </w:rPr>
        <w:t>, ‘</w:t>
      </w:r>
      <w:hyperlink r:id="rId23" w:history="1">
        <w:r w:rsidR="00245109" w:rsidRPr="00242394">
          <w:rPr>
            <w:rStyle w:val="Hyperlink"/>
            <w:sz w:val="18"/>
            <w:szCs w:val="18"/>
          </w:rPr>
          <w:t>ABARES support for innovation policy 140922</w:t>
        </w:r>
      </w:hyperlink>
      <w:r w:rsidR="00245109" w:rsidRPr="00C564EE">
        <w:rPr>
          <w:sz w:val="18"/>
          <w:szCs w:val="18"/>
        </w:rPr>
        <w:t xml:space="preserve">’, </w:t>
      </w:r>
      <w:r w:rsidR="00245109" w:rsidRPr="00C564EE">
        <w:rPr>
          <w:i/>
          <w:iCs/>
          <w:sz w:val="18"/>
          <w:szCs w:val="18"/>
        </w:rPr>
        <w:t>Rohan Nelson</w:t>
      </w:r>
      <w:r w:rsidR="00245109" w:rsidRPr="00C564EE">
        <w:rPr>
          <w:sz w:val="18"/>
          <w:szCs w:val="18"/>
        </w:rPr>
        <w:t xml:space="preserve">, </w:t>
      </w:r>
      <w:r w:rsidR="00917E09" w:rsidRPr="00C564EE">
        <w:rPr>
          <w:sz w:val="18"/>
          <w:szCs w:val="18"/>
        </w:rPr>
        <w:t xml:space="preserve">YouTube, </w:t>
      </w:r>
      <w:r w:rsidR="00F55010">
        <w:rPr>
          <w:sz w:val="18"/>
          <w:szCs w:val="18"/>
        </w:rPr>
        <w:t xml:space="preserve">last </w:t>
      </w:r>
      <w:r w:rsidR="00245109" w:rsidRPr="00C564EE">
        <w:rPr>
          <w:sz w:val="18"/>
          <w:szCs w:val="18"/>
        </w:rPr>
        <w:t>accessed 24 November 2023.</w:t>
      </w:r>
    </w:p>
  </w:footnote>
  <w:footnote w:id="39">
    <w:p w14:paraId="317C008F" w14:textId="4A8B2016" w:rsidR="00931E04" w:rsidRPr="00975D29" w:rsidRDefault="00931E04" w:rsidP="00931E04">
      <w:pPr>
        <w:pStyle w:val="FootnoteText"/>
        <w:rPr>
          <w:sz w:val="18"/>
          <w:szCs w:val="18"/>
        </w:rPr>
      </w:pPr>
      <w:r w:rsidRPr="00D04E82">
        <w:rPr>
          <w:rStyle w:val="FootnoteReference"/>
          <w:sz w:val="18"/>
          <w:szCs w:val="18"/>
        </w:rPr>
        <w:footnoteRef/>
      </w:r>
      <w:r w:rsidRPr="00D04E82">
        <w:rPr>
          <w:rStyle w:val="FootnoteReference"/>
          <w:sz w:val="18"/>
          <w:szCs w:val="18"/>
        </w:rPr>
        <w:t xml:space="preserve"> </w:t>
      </w:r>
      <w:r w:rsidRPr="00D04E82">
        <w:rPr>
          <w:sz w:val="18"/>
          <w:szCs w:val="18"/>
        </w:rPr>
        <w:t>Winter S</w:t>
      </w:r>
      <w:r w:rsidR="00826A0B" w:rsidRPr="000A1903">
        <w:rPr>
          <w:sz w:val="18"/>
          <w:szCs w:val="18"/>
        </w:rPr>
        <w:t>G</w:t>
      </w:r>
      <w:r w:rsidRPr="00D04E82">
        <w:rPr>
          <w:sz w:val="18"/>
          <w:szCs w:val="18"/>
        </w:rPr>
        <w:t xml:space="preserve"> (200</w:t>
      </w:r>
      <w:r w:rsidR="00826A0B" w:rsidRPr="000A1903">
        <w:rPr>
          <w:sz w:val="18"/>
          <w:szCs w:val="18"/>
        </w:rPr>
        <w:t>8</w:t>
      </w:r>
      <w:r w:rsidRPr="00D04E82">
        <w:rPr>
          <w:sz w:val="18"/>
          <w:szCs w:val="18"/>
        </w:rPr>
        <w:t xml:space="preserve">) </w:t>
      </w:r>
      <w:r w:rsidR="00826A0B" w:rsidRPr="000A1903">
        <w:rPr>
          <w:sz w:val="18"/>
          <w:szCs w:val="18"/>
        </w:rPr>
        <w:t>‘</w:t>
      </w:r>
      <w:r w:rsidRPr="00D04E82">
        <w:rPr>
          <w:sz w:val="18"/>
          <w:szCs w:val="18"/>
        </w:rPr>
        <w:t>Dynamic Capability as a Source of Change</w:t>
      </w:r>
      <w:r w:rsidR="00826A0B" w:rsidRPr="000A1903">
        <w:rPr>
          <w:sz w:val="18"/>
          <w:szCs w:val="18"/>
        </w:rPr>
        <w:t>’, in Beck N and Ebner A (eds)</w:t>
      </w:r>
      <w:r w:rsidRPr="000A1903">
        <w:rPr>
          <w:i/>
          <w:iCs/>
          <w:sz w:val="18"/>
          <w:szCs w:val="18"/>
        </w:rPr>
        <w:t xml:space="preserve"> The </w:t>
      </w:r>
      <w:r w:rsidR="00826A0B" w:rsidRPr="000A1903">
        <w:rPr>
          <w:i/>
          <w:iCs/>
          <w:sz w:val="18"/>
          <w:szCs w:val="18"/>
        </w:rPr>
        <w:t>i</w:t>
      </w:r>
      <w:r w:rsidRPr="000A1903">
        <w:rPr>
          <w:i/>
          <w:iCs/>
          <w:sz w:val="18"/>
          <w:szCs w:val="18"/>
        </w:rPr>
        <w:t xml:space="preserve">nstitutions of the </w:t>
      </w:r>
      <w:r w:rsidR="00826A0B" w:rsidRPr="000A1903">
        <w:rPr>
          <w:i/>
          <w:iCs/>
          <w:sz w:val="18"/>
          <w:szCs w:val="18"/>
        </w:rPr>
        <w:t>m</w:t>
      </w:r>
      <w:r w:rsidRPr="000A1903">
        <w:rPr>
          <w:i/>
          <w:iCs/>
          <w:sz w:val="18"/>
          <w:szCs w:val="18"/>
        </w:rPr>
        <w:t>arket</w:t>
      </w:r>
      <w:r w:rsidR="00826A0B" w:rsidRPr="000A1903">
        <w:rPr>
          <w:i/>
          <w:iCs/>
          <w:sz w:val="18"/>
          <w:szCs w:val="18"/>
        </w:rPr>
        <w:t>: organisations, social systems and governance</w:t>
      </w:r>
      <w:r w:rsidR="00826A0B" w:rsidRPr="000A1903">
        <w:rPr>
          <w:sz w:val="18"/>
          <w:szCs w:val="18"/>
        </w:rPr>
        <w:t xml:space="preserve">, Oxford </w:t>
      </w:r>
      <w:r w:rsidR="00826A0B" w:rsidRPr="00C564EE">
        <w:rPr>
          <w:sz w:val="18"/>
          <w:szCs w:val="18"/>
        </w:rPr>
        <w:t xml:space="preserve">University Press, </w:t>
      </w:r>
      <w:r w:rsidR="00826A0B" w:rsidRPr="00242394">
        <w:rPr>
          <w:sz w:val="18"/>
          <w:szCs w:val="18"/>
        </w:rPr>
        <w:t>Oxford.</w:t>
      </w:r>
    </w:p>
  </w:footnote>
  <w:footnote w:id="40">
    <w:p w14:paraId="3102C8D0" w14:textId="74D43D7E" w:rsidR="00A50AAF" w:rsidRPr="00242394" w:rsidRDefault="00A50AAF">
      <w:pPr>
        <w:pStyle w:val="FootnoteText"/>
        <w:rPr>
          <w:sz w:val="18"/>
          <w:szCs w:val="18"/>
        </w:rPr>
      </w:pPr>
      <w:r w:rsidRPr="00975D29">
        <w:rPr>
          <w:rStyle w:val="FootnoteReference"/>
          <w:sz w:val="18"/>
          <w:szCs w:val="18"/>
        </w:rPr>
        <w:footnoteRef/>
      </w:r>
      <w:r w:rsidRPr="00975D29">
        <w:rPr>
          <w:sz w:val="18"/>
          <w:szCs w:val="18"/>
        </w:rPr>
        <w:t xml:space="preserve"> </w:t>
      </w:r>
      <w:r w:rsidRPr="00242394">
        <w:rPr>
          <w:sz w:val="18"/>
          <w:szCs w:val="18"/>
        </w:rPr>
        <w:t>Germany’s definition of “Mitt</w:t>
      </w:r>
      <w:r w:rsidR="0032657E" w:rsidRPr="00242394">
        <w:rPr>
          <w:sz w:val="18"/>
          <w:szCs w:val="18"/>
        </w:rPr>
        <w:t>el</w:t>
      </w:r>
      <w:r w:rsidRPr="00242394">
        <w:rPr>
          <w:sz w:val="18"/>
          <w:szCs w:val="18"/>
        </w:rPr>
        <w:t>stand” (SMEs) differs compared to Australia</w:t>
      </w:r>
      <w:r w:rsidR="000266F3" w:rsidRPr="00242394">
        <w:rPr>
          <w:sz w:val="18"/>
          <w:szCs w:val="18"/>
        </w:rPr>
        <w:t>’s</w:t>
      </w:r>
      <w:r w:rsidRPr="00242394">
        <w:rPr>
          <w:sz w:val="18"/>
          <w:szCs w:val="18"/>
        </w:rPr>
        <w:t>. Medium-sized firms in Germany are those that employ between 50 and 249 persons, as opposed to 20</w:t>
      </w:r>
      <w:r w:rsidR="000266F3" w:rsidRPr="00242394">
        <w:rPr>
          <w:sz w:val="18"/>
          <w:szCs w:val="18"/>
        </w:rPr>
        <w:t xml:space="preserve"> to </w:t>
      </w:r>
      <w:r w:rsidRPr="00242394">
        <w:rPr>
          <w:sz w:val="18"/>
          <w:szCs w:val="18"/>
        </w:rPr>
        <w:t xml:space="preserve">199 in Australia. </w:t>
      </w:r>
    </w:p>
  </w:footnote>
  <w:footnote w:id="41">
    <w:p w14:paraId="72E54229" w14:textId="1814ABAF" w:rsidR="00F619F8" w:rsidRPr="00242394" w:rsidRDefault="00F619F8" w:rsidP="00F619F8">
      <w:pPr>
        <w:pStyle w:val="FootnoteText"/>
        <w:rPr>
          <w:sz w:val="18"/>
          <w:szCs w:val="18"/>
        </w:rPr>
      </w:pPr>
      <w:r w:rsidRPr="00242394">
        <w:rPr>
          <w:rStyle w:val="FootnoteReference"/>
          <w:sz w:val="18"/>
          <w:szCs w:val="18"/>
        </w:rPr>
        <w:footnoteRef/>
      </w:r>
      <w:r w:rsidRPr="00242394">
        <w:rPr>
          <w:sz w:val="18"/>
          <w:szCs w:val="18"/>
        </w:rPr>
        <w:t xml:space="preserve"> </w:t>
      </w:r>
      <w:r w:rsidRPr="00843BAB">
        <w:rPr>
          <w:sz w:val="18"/>
          <w:szCs w:val="18"/>
        </w:rPr>
        <w:t>Destatis – Statistisches Bundesamt</w:t>
      </w:r>
      <w:r w:rsidR="00202D59" w:rsidRPr="00843BAB">
        <w:rPr>
          <w:sz w:val="18"/>
          <w:szCs w:val="18"/>
        </w:rPr>
        <w:t xml:space="preserve"> (2021)</w:t>
      </w:r>
      <w:r w:rsidRPr="00843BAB">
        <w:rPr>
          <w:sz w:val="18"/>
          <w:szCs w:val="18"/>
        </w:rPr>
        <w:t xml:space="preserve"> </w:t>
      </w:r>
      <w:hyperlink r:id="rId24" w:history="1">
        <w:r w:rsidR="00202D59" w:rsidRPr="00843BAB">
          <w:rPr>
            <w:rStyle w:val="Hyperlink"/>
            <w:i/>
            <w:iCs/>
            <w:sz w:val="18"/>
            <w:szCs w:val="18"/>
          </w:rPr>
          <w:t>Shares of small and medium-sized enterprises in selected variables, 2021</w:t>
        </w:r>
      </w:hyperlink>
      <w:r w:rsidR="00202D59" w:rsidRPr="00843BAB">
        <w:rPr>
          <w:sz w:val="18"/>
          <w:szCs w:val="18"/>
        </w:rPr>
        <w:t xml:space="preserve">, Destatis website, </w:t>
      </w:r>
      <w:r w:rsidR="001477B6">
        <w:rPr>
          <w:sz w:val="18"/>
          <w:szCs w:val="18"/>
        </w:rPr>
        <w:t xml:space="preserve">last </w:t>
      </w:r>
      <w:r w:rsidR="00202D59" w:rsidRPr="00843BAB">
        <w:rPr>
          <w:sz w:val="18"/>
          <w:szCs w:val="18"/>
        </w:rPr>
        <w:t>accessed 24 November 2023.</w:t>
      </w:r>
    </w:p>
  </w:footnote>
  <w:footnote w:id="42">
    <w:p w14:paraId="0D953EA2" w14:textId="7F6B220B" w:rsidR="00BB2002" w:rsidRPr="00EE0321" w:rsidRDefault="00BB2002">
      <w:pPr>
        <w:pStyle w:val="FootnoteText"/>
        <w:rPr>
          <w:sz w:val="18"/>
          <w:szCs w:val="18"/>
        </w:rPr>
      </w:pPr>
      <w:r w:rsidRPr="00242394">
        <w:rPr>
          <w:rStyle w:val="FootnoteReference"/>
          <w:sz w:val="18"/>
          <w:szCs w:val="18"/>
        </w:rPr>
        <w:footnoteRef/>
      </w:r>
      <w:r w:rsidRPr="00242394">
        <w:rPr>
          <w:sz w:val="18"/>
          <w:szCs w:val="18"/>
        </w:rPr>
        <w:t xml:space="preserve"> Global Trade Alert</w:t>
      </w:r>
      <w:r w:rsidR="00A36711" w:rsidRPr="00242394">
        <w:rPr>
          <w:sz w:val="18"/>
          <w:szCs w:val="18"/>
        </w:rPr>
        <w:t xml:space="preserve"> (June 2021)</w:t>
      </w:r>
      <w:r w:rsidRPr="00242394">
        <w:rPr>
          <w:sz w:val="18"/>
          <w:szCs w:val="18"/>
        </w:rPr>
        <w:t xml:space="preserve"> </w:t>
      </w:r>
      <w:hyperlink r:id="rId25" w:history="1">
        <w:r w:rsidRPr="00242394">
          <w:rPr>
            <w:rStyle w:val="Hyperlink"/>
            <w:i/>
            <w:iCs/>
            <w:sz w:val="18"/>
            <w:szCs w:val="18"/>
          </w:rPr>
          <w:t xml:space="preserve">Germany: </w:t>
        </w:r>
        <w:r w:rsidR="00AB7C4C" w:rsidRPr="00242394">
          <w:rPr>
            <w:rStyle w:val="Hyperlink"/>
            <w:i/>
            <w:iCs/>
            <w:sz w:val="18"/>
            <w:szCs w:val="18"/>
          </w:rPr>
          <w:t>m</w:t>
        </w:r>
        <w:r w:rsidRPr="00242394">
          <w:rPr>
            <w:rStyle w:val="Hyperlink"/>
            <w:i/>
            <w:iCs/>
            <w:sz w:val="18"/>
            <w:szCs w:val="18"/>
          </w:rPr>
          <w:t>odification of Central Innovation Programme (ZIM) for SMEs</w:t>
        </w:r>
      </w:hyperlink>
      <w:r w:rsidRPr="00242394">
        <w:rPr>
          <w:sz w:val="18"/>
          <w:szCs w:val="18"/>
        </w:rPr>
        <w:t xml:space="preserve">, </w:t>
      </w:r>
      <w:r w:rsidR="00EA375F" w:rsidRPr="00242394">
        <w:rPr>
          <w:sz w:val="18"/>
          <w:szCs w:val="18"/>
        </w:rPr>
        <w:t>Global Trade Alert</w:t>
      </w:r>
      <w:r w:rsidR="00EA375F" w:rsidRPr="00843BAB">
        <w:rPr>
          <w:sz w:val="18"/>
          <w:szCs w:val="18"/>
        </w:rPr>
        <w:t xml:space="preserve">, </w:t>
      </w:r>
      <w:r w:rsidR="001477B6">
        <w:rPr>
          <w:sz w:val="18"/>
          <w:szCs w:val="18"/>
        </w:rPr>
        <w:t xml:space="preserve">last </w:t>
      </w:r>
      <w:r w:rsidR="00EA375F" w:rsidRPr="00843BAB">
        <w:rPr>
          <w:sz w:val="18"/>
          <w:szCs w:val="18"/>
        </w:rPr>
        <w:t>accessed 24 November 2023.</w:t>
      </w:r>
    </w:p>
  </w:footnote>
  <w:footnote w:id="43">
    <w:p w14:paraId="1DD28B49" w14:textId="5978A633" w:rsidR="00AA7538" w:rsidRPr="00535561" w:rsidRDefault="00AA7538">
      <w:pPr>
        <w:pStyle w:val="FootnoteText"/>
        <w:rPr>
          <w:u w:val="single"/>
        </w:rPr>
      </w:pPr>
      <w:r>
        <w:rPr>
          <w:rStyle w:val="FootnoteReference"/>
        </w:rPr>
        <w:footnoteRef/>
      </w:r>
      <w:r>
        <w:t xml:space="preserve"> </w:t>
      </w:r>
      <w:r w:rsidRPr="00AA7538">
        <w:rPr>
          <w:sz w:val="18"/>
          <w:szCs w:val="18"/>
        </w:rPr>
        <w:t>Fraunhofer</w:t>
      </w:r>
      <w:r w:rsidR="005C0731">
        <w:rPr>
          <w:sz w:val="18"/>
          <w:szCs w:val="18"/>
        </w:rPr>
        <w:t xml:space="preserve">-Gesellschaft (2023) </w:t>
      </w:r>
      <w:hyperlink r:id="rId26" w:history="1">
        <w:r w:rsidRPr="00535561">
          <w:rPr>
            <w:rStyle w:val="Hyperlink"/>
            <w:i/>
            <w:iCs/>
            <w:sz w:val="18"/>
            <w:szCs w:val="18"/>
          </w:rPr>
          <w:t>Annual Report 2022</w:t>
        </w:r>
      </w:hyperlink>
      <w:r w:rsidR="005C0731">
        <w:rPr>
          <w:sz w:val="18"/>
          <w:szCs w:val="18"/>
        </w:rPr>
        <w:t xml:space="preserve">, Fraunhofer-Gesellschaft, </w:t>
      </w:r>
      <w:r w:rsidR="001477B6">
        <w:rPr>
          <w:sz w:val="18"/>
          <w:szCs w:val="18"/>
        </w:rPr>
        <w:t xml:space="preserve">last </w:t>
      </w:r>
      <w:r w:rsidR="005C0731">
        <w:rPr>
          <w:sz w:val="18"/>
          <w:szCs w:val="18"/>
        </w:rPr>
        <w:t>accessed 24 November 2023.</w:t>
      </w:r>
    </w:p>
  </w:footnote>
  <w:footnote w:id="44">
    <w:p w14:paraId="193367F4" w14:textId="17D06BF2" w:rsidR="000A0E67" w:rsidRDefault="000A0E67">
      <w:pPr>
        <w:pStyle w:val="FootnoteText"/>
      </w:pPr>
      <w:r>
        <w:rPr>
          <w:rStyle w:val="FootnoteReference"/>
        </w:rPr>
        <w:footnoteRef/>
      </w:r>
      <w:r>
        <w:t xml:space="preserve"> </w:t>
      </w:r>
      <w:r w:rsidR="00AA7538" w:rsidRPr="00AA7538">
        <w:rPr>
          <w:sz w:val="18"/>
          <w:szCs w:val="18"/>
        </w:rPr>
        <w:t>Intarakumnerd</w:t>
      </w:r>
      <w:r w:rsidR="00F57C22">
        <w:rPr>
          <w:sz w:val="18"/>
          <w:szCs w:val="18"/>
        </w:rPr>
        <w:t xml:space="preserve"> P and Goto</w:t>
      </w:r>
      <w:r w:rsidR="00AA7538" w:rsidRPr="00AA7538">
        <w:rPr>
          <w:sz w:val="18"/>
          <w:szCs w:val="18"/>
        </w:rPr>
        <w:t xml:space="preserve"> A (2018) </w:t>
      </w:r>
      <w:r w:rsidR="00F57C22">
        <w:rPr>
          <w:sz w:val="18"/>
          <w:szCs w:val="18"/>
        </w:rPr>
        <w:t>‘</w:t>
      </w:r>
      <w:r w:rsidR="00AA7538" w:rsidRPr="00242394">
        <w:rPr>
          <w:sz w:val="18"/>
          <w:szCs w:val="18"/>
        </w:rPr>
        <w:t>Role of public research institutes in national innovation systems in industrialized countries: The cases of Fraunhofer, NIST, CSIRO, AIST, and ITRI</w:t>
      </w:r>
      <w:r w:rsidR="00F57C22">
        <w:rPr>
          <w:sz w:val="18"/>
          <w:szCs w:val="18"/>
        </w:rPr>
        <w:t>’</w:t>
      </w:r>
      <w:r w:rsidR="00AA7538" w:rsidRPr="00AA7538">
        <w:rPr>
          <w:sz w:val="18"/>
          <w:szCs w:val="18"/>
        </w:rPr>
        <w:t xml:space="preserve">, </w:t>
      </w:r>
      <w:r w:rsidR="00AA7538" w:rsidRPr="00242394">
        <w:rPr>
          <w:i/>
          <w:sz w:val="18"/>
          <w:szCs w:val="18"/>
        </w:rPr>
        <w:t>Research Policy</w:t>
      </w:r>
      <w:r w:rsidR="00F57C22">
        <w:rPr>
          <w:sz w:val="18"/>
          <w:szCs w:val="18"/>
        </w:rPr>
        <w:t xml:space="preserve"> </w:t>
      </w:r>
      <w:r w:rsidR="00F57C22" w:rsidRPr="00242394">
        <w:rPr>
          <w:sz w:val="18"/>
          <w:szCs w:val="18"/>
        </w:rPr>
        <w:t>47(7):1309</w:t>
      </w:r>
      <w:r w:rsidR="003A3AF8" w:rsidRPr="003A3AF8">
        <w:rPr>
          <w:sz w:val="18"/>
          <w:szCs w:val="18"/>
        </w:rPr>
        <w:t>–</w:t>
      </w:r>
      <w:r w:rsidR="00F57C22" w:rsidRPr="00242394">
        <w:rPr>
          <w:sz w:val="18"/>
          <w:szCs w:val="18"/>
        </w:rPr>
        <w:t>1320.</w:t>
      </w:r>
    </w:p>
  </w:footnote>
  <w:footnote w:id="45">
    <w:p w14:paraId="677AAD5B" w14:textId="77011617" w:rsidR="00D3268E" w:rsidRPr="00242394" w:rsidRDefault="00D3268E">
      <w:pPr>
        <w:pStyle w:val="FootnoteText"/>
      </w:pPr>
      <w:r>
        <w:rPr>
          <w:rStyle w:val="FootnoteReference"/>
        </w:rPr>
        <w:footnoteRef/>
      </w:r>
      <w:r>
        <w:t xml:space="preserve"> </w:t>
      </w:r>
      <w:r w:rsidRPr="00242394">
        <w:rPr>
          <w:sz w:val="18"/>
          <w:szCs w:val="18"/>
        </w:rPr>
        <w:t>CSIRO</w:t>
      </w:r>
      <w:r w:rsidR="009553B9" w:rsidRPr="00242394">
        <w:rPr>
          <w:sz w:val="18"/>
          <w:szCs w:val="18"/>
        </w:rPr>
        <w:t xml:space="preserve"> (2022)</w:t>
      </w:r>
      <w:r w:rsidRPr="00242394">
        <w:rPr>
          <w:sz w:val="18"/>
          <w:szCs w:val="18"/>
        </w:rPr>
        <w:t xml:space="preserve"> </w:t>
      </w:r>
      <w:hyperlink r:id="rId27" w:history="1">
        <w:r w:rsidRPr="00242394">
          <w:rPr>
            <w:rStyle w:val="Hyperlink"/>
            <w:i/>
            <w:iCs/>
            <w:sz w:val="18"/>
            <w:szCs w:val="18"/>
          </w:rPr>
          <w:t xml:space="preserve">Annual </w:t>
        </w:r>
        <w:r w:rsidR="009553B9" w:rsidRPr="00242394">
          <w:rPr>
            <w:rStyle w:val="Hyperlink"/>
            <w:i/>
            <w:iCs/>
            <w:sz w:val="18"/>
            <w:szCs w:val="18"/>
          </w:rPr>
          <w:t xml:space="preserve">report </w:t>
        </w:r>
        <w:r w:rsidRPr="00242394">
          <w:rPr>
            <w:rStyle w:val="Hyperlink"/>
            <w:i/>
            <w:iCs/>
            <w:sz w:val="18"/>
            <w:szCs w:val="18"/>
          </w:rPr>
          <w:t>2021</w:t>
        </w:r>
        <w:r w:rsidR="00343FD7" w:rsidRPr="00843BAB">
          <w:rPr>
            <w:rStyle w:val="Hyperlink"/>
            <w:i/>
            <w:iCs/>
            <w:sz w:val="18"/>
            <w:szCs w:val="18"/>
          </w:rPr>
          <w:t>–</w:t>
        </w:r>
        <w:r w:rsidRPr="00242394">
          <w:rPr>
            <w:rStyle w:val="Hyperlink"/>
            <w:i/>
            <w:iCs/>
            <w:sz w:val="18"/>
            <w:szCs w:val="18"/>
          </w:rPr>
          <w:t>22</w:t>
        </w:r>
      </w:hyperlink>
      <w:r w:rsidR="009553B9" w:rsidRPr="00242394">
        <w:rPr>
          <w:sz w:val="18"/>
          <w:szCs w:val="18"/>
        </w:rPr>
        <w:t xml:space="preserve">, CSIRO, </w:t>
      </w:r>
      <w:r w:rsidR="001477B6">
        <w:rPr>
          <w:sz w:val="18"/>
          <w:szCs w:val="18"/>
        </w:rPr>
        <w:t xml:space="preserve">last </w:t>
      </w:r>
      <w:r w:rsidR="009553B9" w:rsidRPr="00242394">
        <w:rPr>
          <w:sz w:val="18"/>
          <w:szCs w:val="18"/>
        </w:rPr>
        <w:t>accessed 24 November 2023.</w:t>
      </w:r>
    </w:p>
  </w:footnote>
  <w:footnote w:id="46">
    <w:p w14:paraId="4FA7715A" w14:textId="77777777" w:rsidR="00360E45" w:rsidRDefault="00360E45" w:rsidP="00360E45">
      <w:pPr>
        <w:pStyle w:val="FootnoteText"/>
      </w:pPr>
      <w:r>
        <w:rPr>
          <w:rStyle w:val="FootnoteReference"/>
        </w:rPr>
        <w:footnoteRef/>
      </w:r>
      <w:r>
        <w:t xml:space="preserve"> </w:t>
      </w:r>
      <w:r>
        <w:rPr>
          <w:sz w:val="18"/>
          <w:szCs w:val="18"/>
        </w:rPr>
        <w:t xml:space="preserve">Fraunhofer Research Institution for Battery Cell Production FFB (n.d.) </w:t>
      </w:r>
      <w:hyperlink r:id="rId28" w:history="1">
        <w:r w:rsidRPr="00937A04">
          <w:rPr>
            <w:rStyle w:val="Hyperlink"/>
            <w:i/>
            <w:iCs/>
            <w:sz w:val="18"/>
            <w:szCs w:val="18"/>
          </w:rPr>
          <w:t>About Us</w:t>
        </w:r>
      </w:hyperlink>
      <w:r>
        <w:rPr>
          <w:sz w:val="18"/>
          <w:szCs w:val="18"/>
        </w:rPr>
        <w:t>, Fraunhofer Research Institution for Battery Cell Production FFB, last accessed 24 November 2023.</w:t>
      </w:r>
    </w:p>
  </w:footnote>
  <w:footnote w:id="47">
    <w:p w14:paraId="7E78747E" w14:textId="4788A5AB" w:rsidR="00D25BD8" w:rsidRDefault="00D25BD8">
      <w:pPr>
        <w:pStyle w:val="FootnoteText"/>
      </w:pPr>
      <w:r w:rsidRPr="00242394">
        <w:rPr>
          <w:rStyle w:val="FootnoteReference"/>
        </w:rPr>
        <w:footnoteRef/>
      </w:r>
      <w:r w:rsidRPr="00242394">
        <w:t xml:space="preserve"> </w:t>
      </w:r>
      <w:r w:rsidRPr="00242394">
        <w:rPr>
          <w:sz w:val="18"/>
          <w:szCs w:val="18"/>
        </w:rPr>
        <w:t xml:space="preserve">Worrall L, Gamble H, Spoehr J </w:t>
      </w:r>
      <w:r w:rsidR="00843BAB">
        <w:rPr>
          <w:sz w:val="18"/>
          <w:szCs w:val="18"/>
        </w:rPr>
        <w:t>and</w:t>
      </w:r>
      <w:r w:rsidRPr="00242394">
        <w:rPr>
          <w:sz w:val="18"/>
          <w:szCs w:val="18"/>
        </w:rPr>
        <w:t xml:space="preserve"> Hordacre A </w:t>
      </w:r>
      <w:r w:rsidR="00140032" w:rsidRPr="00242394">
        <w:rPr>
          <w:sz w:val="18"/>
          <w:szCs w:val="18"/>
        </w:rPr>
        <w:t>(</w:t>
      </w:r>
      <w:r w:rsidRPr="000F1D5C">
        <w:rPr>
          <w:sz w:val="18"/>
          <w:szCs w:val="18"/>
        </w:rPr>
        <w:t>2021</w:t>
      </w:r>
      <w:r w:rsidR="00140032" w:rsidRPr="000F1D5C">
        <w:rPr>
          <w:sz w:val="18"/>
          <w:szCs w:val="18"/>
        </w:rPr>
        <w:t xml:space="preserve">), </w:t>
      </w:r>
      <w:r w:rsidR="00843BAB" w:rsidRPr="000F1D5C">
        <w:rPr>
          <w:sz w:val="18"/>
          <w:szCs w:val="18"/>
        </w:rPr>
        <w:t>‘</w:t>
      </w:r>
      <w:hyperlink r:id="rId29" w:history="1">
        <w:r w:rsidRPr="00AF1CE5">
          <w:rPr>
            <w:rStyle w:val="Hyperlink"/>
            <w:sz w:val="18"/>
            <w:szCs w:val="18"/>
          </w:rPr>
          <w:t xml:space="preserve">Australian </w:t>
        </w:r>
        <w:r w:rsidR="00843BAB" w:rsidRPr="000F1D5C">
          <w:rPr>
            <w:rStyle w:val="Hyperlink"/>
            <w:sz w:val="18"/>
            <w:szCs w:val="18"/>
          </w:rPr>
          <w:t xml:space="preserve">sovereign capability </w:t>
        </w:r>
        <w:r w:rsidRPr="00AF1CE5">
          <w:rPr>
            <w:rStyle w:val="Hyperlink"/>
            <w:sz w:val="18"/>
            <w:szCs w:val="18"/>
          </w:rPr>
          <w:t xml:space="preserve">and </w:t>
        </w:r>
        <w:r w:rsidR="00843BAB" w:rsidRPr="000F1D5C">
          <w:rPr>
            <w:rStyle w:val="Hyperlink"/>
            <w:sz w:val="18"/>
            <w:szCs w:val="18"/>
          </w:rPr>
          <w:t>supply chain resilience:</w:t>
        </w:r>
        <w:r w:rsidRPr="00AF1CE5">
          <w:rPr>
            <w:rStyle w:val="Hyperlink"/>
            <w:sz w:val="18"/>
            <w:szCs w:val="18"/>
          </w:rPr>
          <w:t xml:space="preserve"> </w:t>
        </w:r>
        <w:r w:rsidR="00843BAB" w:rsidRPr="000F1D5C">
          <w:rPr>
            <w:rStyle w:val="Hyperlink"/>
            <w:sz w:val="18"/>
            <w:szCs w:val="18"/>
          </w:rPr>
          <w:t xml:space="preserve">perspectives </w:t>
        </w:r>
        <w:r w:rsidRPr="00AF1CE5">
          <w:rPr>
            <w:rStyle w:val="Hyperlink"/>
            <w:sz w:val="18"/>
            <w:szCs w:val="18"/>
          </w:rPr>
          <w:t xml:space="preserve">and </w:t>
        </w:r>
        <w:r w:rsidR="00843BAB" w:rsidRPr="000F1D5C">
          <w:rPr>
            <w:rStyle w:val="Hyperlink"/>
            <w:sz w:val="18"/>
            <w:szCs w:val="18"/>
          </w:rPr>
          <w:t>options</w:t>
        </w:r>
      </w:hyperlink>
      <w:r w:rsidR="00843BAB">
        <w:rPr>
          <w:sz w:val="18"/>
          <w:szCs w:val="18"/>
        </w:rPr>
        <w:t>’</w:t>
      </w:r>
      <w:r w:rsidR="00140032" w:rsidRPr="00242394">
        <w:rPr>
          <w:sz w:val="18"/>
          <w:szCs w:val="18"/>
        </w:rPr>
        <w:t xml:space="preserve">, </w:t>
      </w:r>
      <w:r w:rsidRPr="00242394">
        <w:rPr>
          <w:sz w:val="18"/>
          <w:szCs w:val="18"/>
        </w:rPr>
        <w:t>Flinders University</w:t>
      </w:r>
      <w:r w:rsidR="00843BAB">
        <w:rPr>
          <w:sz w:val="18"/>
          <w:szCs w:val="18"/>
        </w:rPr>
        <w:t xml:space="preserve">, </w:t>
      </w:r>
      <w:r w:rsidR="001477B6">
        <w:rPr>
          <w:sz w:val="18"/>
          <w:szCs w:val="18"/>
        </w:rPr>
        <w:t xml:space="preserve">last </w:t>
      </w:r>
      <w:r w:rsidR="00843BAB">
        <w:rPr>
          <w:sz w:val="18"/>
          <w:szCs w:val="18"/>
        </w:rPr>
        <w:t>accessed 24 November 2023.</w:t>
      </w:r>
    </w:p>
  </w:footnote>
  <w:footnote w:id="48">
    <w:p w14:paraId="2F68AC8A" w14:textId="06354E70" w:rsidR="004051C8" w:rsidRPr="00EE0321" w:rsidRDefault="004051C8">
      <w:pPr>
        <w:pStyle w:val="FootnoteText"/>
        <w:rPr>
          <w:sz w:val="18"/>
          <w:szCs w:val="18"/>
        </w:rPr>
      </w:pPr>
      <w:r w:rsidRPr="00EE0321">
        <w:rPr>
          <w:rStyle w:val="FootnoteReference"/>
          <w:sz w:val="18"/>
          <w:szCs w:val="18"/>
        </w:rPr>
        <w:footnoteRef/>
      </w:r>
      <w:r w:rsidRPr="00EE0321">
        <w:rPr>
          <w:sz w:val="18"/>
          <w:szCs w:val="18"/>
        </w:rPr>
        <w:t xml:space="preserve"> </w:t>
      </w:r>
      <w:r w:rsidRPr="00242394">
        <w:rPr>
          <w:sz w:val="18"/>
          <w:szCs w:val="18"/>
        </w:rPr>
        <w:t>See for example: Business Council of Australia</w:t>
      </w:r>
      <w:r w:rsidR="002A4C34" w:rsidRPr="00242394">
        <w:rPr>
          <w:sz w:val="18"/>
          <w:szCs w:val="18"/>
        </w:rPr>
        <w:t xml:space="preserve"> (2021)</w:t>
      </w:r>
      <w:r w:rsidRPr="00242394">
        <w:rPr>
          <w:sz w:val="18"/>
          <w:szCs w:val="18"/>
        </w:rPr>
        <w:t xml:space="preserve"> </w:t>
      </w:r>
      <w:hyperlink r:id="rId30" w:history="1">
        <w:r w:rsidR="002A4C34" w:rsidRPr="00242394">
          <w:rPr>
            <w:rStyle w:val="Hyperlink"/>
            <w:i/>
            <w:iCs/>
            <w:sz w:val="18"/>
            <w:szCs w:val="18"/>
          </w:rPr>
          <w:t>Submission made to the HERC IP Framework first consultation</w:t>
        </w:r>
      </w:hyperlink>
      <w:r w:rsidR="002A4C34" w:rsidRPr="00242394">
        <w:rPr>
          <w:sz w:val="18"/>
          <w:szCs w:val="18"/>
        </w:rPr>
        <w:t xml:space="preserve"> [</w:t>
      </w:r>
      <w:r w:rsidRPr="00242394">
        <w:rPr>
          <w:sz w:val="18"/>
          <w:szCs w:val="18"/>
        </w:rPr>
        <w:t xml:space="preserve">Submission responding to the Department of Education, Skills and Employment consultation paper on the </w:t>
      </w:r>
      <w:r w:rsidRPr="00242394">
        <w:rPr>
          <w:i/>
          <w:iCs/>
          <w:sz w:val="18"/>
          <w:szCs w:val="18"/>
        </w:rPr>
        <w:t xml:space="preserve">Higher Education Research Commercialisation </w:t>
      </w:r>
      <w:r w:rsidR="002A4C34" w:rsidRPr="00242394">
        <w:rPr>
          <w:i/>
          <w:iCs/>
          <w:sz w:val="18"/>
          <w:szCs w:val="18"/>
        </w:rPr>
        <w:t xml:space="preserve">Intellectual Property </w:t>
      </w:r>
      <w:r w:rsidRPr="00242394">
        <w:rPr>
          <w:i/>
          <w:iCs/>
          <w:sz w:val="18"/>
          <w:szCs w:val="18"/>
        </w:rPr>
        <w:t>Framework</w:t>
      </w:r>
      <w:r w:rsidR="002A4C34" w:rsidRPr="00242394">
        <w:rPr>
          <w:sz w:val="18"/>
          <w:szCs w:val="18"/>
        </w:rPr>
        <w:t xml:space="preserve">], </w:t>
      </w:r>
      <w:r w:rsidR="009B3DCC">
        <w:rPr>
          <w:sz w:val="18"/>
          <w:szCs w:val="18"/>
        </w:rPr>
        <w:t xml:space="preserve">Australian Government </w:t>
      </w:r>
      <w:r w:rsidR="002A4C34" w:rsidRPr="00242394">
        <w:rPr>
          <w:sz w:val="18"/>
          <w:szCs w:val="18"/>
        </w:rPr>
        <w:t xml:space="preserve">Department of Education website, </w:t>
      </w:r>
      <w:r w:rsidR="001477B6">
        <w:rPr>
          <w:sz w:val="18"/>
          <w:szCs w:val="18"/>
        </w:rPr>
        <w:t xml:space="preserve">last </w:t>
      </w:r>
      <w:r w:rsidR="002A4C34" w:rsidRPr="00242394">
        <w:rPr>
          <w:sz w:val="18"/>
          <w:szCs w:val="18"/>
        </w:rPr>
        <w:t>accessed 24 November 2023;</w:t>
      </w:r>
      <w:r w:rsidRPr="00242394">
        <w:rPr>
          <w:sz w:val="18"/>
          <w:szCs w:val="18"/>
        </w:rPr>
        <w:t xml:space="preserve"> and Rio Tinto</w:t>
      </w:r>
      <w:r w:rsidR="002A4C34" w:rsidRPr="00242394">
        <w:rPr>
          <w:sz w:val="18"/>
          <w:szCs w:val="18"/>
        </w:rPr>
        <w:t xml:space="preserve"> (2021) </w:t>
      </w:r>
      <w:hyperlink r:id="rId31" w:history="1">
        <w:r w:rsidR="002A4C34" w:rsidRPr="00242394">
          <w:rPr>
            <w:rStyle w:val="Hyperlink"/>
            <w:i/>
            <w:iCs/>
            <w:sz w:val="18"/>
            <w:szCs w:val="18"/>
          </w:rPr>
          <w:t>Submission made to the HERC IP Framework first consultation</w:t>
        </w:r>
      </w:hyperlink>
      <w:r w:rsidR="002A4C34" w:rsidRPr="00242394">
        <w:rPr>
          <w:sz w:val="18"/>
          <w:szCs w:val="18"/>
        </w:rPr>
        <w:t xml:space="preserve"> [Submission responding to the Department of Education, Skills and Employment consultation paper on the </w:t>
      </w:r>
      <w:r w:rsidR="002A4C34" w:rsidRPr="00242394">
        <w:rPr>
          <w:i/>
          <w:iCs/>
          <w:sz w:val="18"/>
          <w:szCs w:val="18"/>
        </w:rPr>
        <w:t>Higher Education Research Commercialisation Intellectual Property Framework</w:t>
      </w:r>
      <w:r w:rsidR="002A4C34" w:rsidRPr="00242394">
        <w:rPr>
          <w:sz w:val="18"/>
          <w:szCs w:val="18"/>
        </w:rPr>
        <w:t>],</w:t>
      </w:r>
      <w:r w:rsidR="009B3DCC">
        <w:rPr>
          <w:sz w:val="18"/>
          <w:szCs w:val="18"/>
        </w:rPr>
        <w:t xml:space="preserve"> Australian Government</w:t>
      </w:r>
      <w:r w:rsidR="002A4C34" w:rsidRPr="00242394">
        <w:rPr>
          <w:sz w:val="18"/>
          <w:szCs w:val="18"/>
        </w:rPr>
        <w:t xml:space="preserve"> Department of Education website, </w:t>
      </w:r>
      <w:r w:rsidR="001477B6">
        <w:rPr>
          <w:sz w:val="18"/>
          <w:szCs w:val="18"/>
        </w:rPr>
        <w:t xml:space="preserve">last </w:t>
      </w:r>
      <w:r w:rsidR="002A4C34" w:rsidRPr="00242394">
        <w:rPr>
          <w:sz w:val="18"/>
          <w:szCs w:val="18"/>
        </w:rPr>
        <w:t>accessed 24 November 2023.</w:t>
      </w:r>
    </w:p>
  </w:footnote>
  <w:footnote w:id="49">
    <w:p w14:paraId="17EFF917" w14:textId="0F58E3EB" w:rsidR="00150CE7" w:rsidRPr="00975D29" w:rsidRDefault="00150CE7">
      <w:pPr>
        <w:pStyle w:val="FootnoteText"/>
        <w:rPr>
          <w:sz w:val="18"/>
          <w:szCs w:val="18"/>
        </w:rPr>
      </w:pPr>
      <w:r w:rsidRPr="00975D29">
        <w:rPr>
          <w:rStyle w:val="FootnoteReference"/>
          <w:sz w:val="18"/>
          <w:szCs w:val="18"/>
        </w:rPr>
        <w:footnoteRef/>
      </w:r>
      <w:r w:rsidRPr="00975D29">
        <w:rPr>
          <w:sz w:val="18"/>
          <w:szCs w:val="18"/>
        </w:rPr>
        <w:t xml:space="preserve"> CSIRO </w:t>
      </w:r>
      <w:r w:rsidR="00C9070A">
        <w:rPr>
          <w:sz w:val="18"/>
          <w:szCs w:val="18"/>
        </w:rPr>
        <w:t xml:space="preserve">and </w:t>
      </w:r>
      <w:r w:rsidRPr="00975D29">
        <w:rPr>
          <w:sz w:val="18"/>
          <w:szCs w:val="18"/>
        </w:rPr>
        <w:t>RMIT (</w:t>
      </w:r>
      <w:r w:rsidRPr="0094510C">
        <w:rPr>
          <w:sz w:val="18"/>
          <w:szCs w:val="18"/>
        </w:rPr>
        <w:t xml:space="preserve">2021) </w:t>
      </w:r>
      <w:hyperlink r:id="rId32" w:history="1">
        <w:r w:rsidRPr="00AF1CE5">
          <w:rPr>
            <w:rStyle w:val="Hyperlink"/>
            <w:i/>
            <w:iCs/>
            <w:sz w:val="18"/>
            <w:szCs w:val="18"/>
          </w:rPr>
          <w:t>SME Barriers and Enablers to Collaboration</w:t>
        </w:r>
      </w:hyperlink>
      <w:r w:rsidR="00C9070A" w:rsidRPr="0094510C">
        <w:rPr>
          <w:sz w:val="18"/>
          <w:szCs w:val="18"/>
        </w:rPr>
        <w:t>, CSIRO</w:t>
      </w:r>
      <w:r w:rsidR="008A7BED">
        <w:rPr>
          <w:sz w:val="18"/>
          <w:szCs w:val="18"/>
        </w:rPr>
        <w:t xml:space="preserve"> website</w:t>
      </w:r>
      <w:r w:rsidR="00C9070A">
        <w:rPr>
          <w:sz w:val="18"/>
          <w:szCs w:val="18"/>
        </w:rPr>
        <w:t>, accessed 1 June 2023.</w:t>
      </w:r>
    </w:p>
  </w:footnote>
  <w:footnote w:id="50">
    <w:p w14:paraId="6085C902" w14:textId="64999B39" w:rsidR="006852FF" w:rsidRPr="00975D29" w:rsidRDefault="006852FF" w:rsidP="006852FF">
      <w:pPr>
        <w:pStyle w:val="FootnoteText"/>
        <w:rPr>
          <w:sz w:val="18"/>
          <w:szCs w:val="18"/>
        </w:rPr>
      </w:pPr>
      <w:r w:rsidRPr="00975D29">
        <w:rPr>
          <w:rStyle w:val="FootnoteReference"/>
          <w:sz w:val="18"/>
          <w:szCs w:val="18"/>
        </w:rPr>
        <w:footnoteRef/>
      </w:r>
      <w:r w:rsidRPr="00975D29">
        <w:rPr>
          <w:sz w:val="18"/>
          <w:szCs w:val="18"/>
        </w:rPr>
        <w:t xml:space="preserve"> </w:t>
      </w:r>
      <w:r w:rsidR="00A30E3F" w:rsidRPr="00A30E3F">
        <w:rPr>
          <w:sz w:val="18"/>
          <w:szCs w:val="18"/>
        </w:rPr>
        <w:t xml:space="preserve">World Intellectual Property Organization </w:t>
      </w:r>
      <w:r w:rsidR="00A30E3F">
        <w:rPr>
          <w:sz w:val="18"/>
          <w:szCs w:val="18"/>
        </w:rPr>
        <w:t>(</w:t>
      </w:r>
      <w:r w:rsidRPr="00975D29">
        <w:rPr>
          <w:sz w:val="18"/>
          <w:szCs w:val="18"/>
        </w:rPr>
        <w:t>WIPO</w:t>
      </w:r>
      <w:r w:rsidR="00A30E3F">
        <w:rPr>
          <w:sz w:val="18"/>
          <w:szCs w:val="18"/>
        </w:rPr>
        <w:t>)</w:t>
      </w:r>
      <w:r w:rsidRPr="00975D29">
        <w:rPr>
          <w:sz w:val="18"/>
          <w:szCs w:val="18"/>
        </w:rPr>
        <w:t xml:space="preserve"> Global Innovation Index benchmarks 132 countries across 14 metrics under the </w:t>
      </w:r>
      <w:r w:rsidR="00B22B9B">
        <w:rPr>
          <w:sz w:val="18"/>
          <w:szCs w:val="18"/>
        </w:rPr>
        <w:t>“</w:t>
      </w:r>
      <w:r w:rsidRPr="00975D29">
        <w:rPr>
          <w:sz w:val="18"/>
          <w:szCs w:val="18"/>
        </w:rPr>
        <w:t>knowledge and technology outputs</w:t>
      </w:r>
      <w:r w:rsidR="00B22B9B">
        <w:rPr>
          <w:sz w:val="18"/>
          <w:szCs w:val="18"/>
        </w:rPr>
        <w:t>”</w:t>
      </w:r>
      <w:r w:rsidRPr="00975D29">
        <w:rPr>
          <w:sz w:val="18"/>
          <w:szCs w:val="18"/>
        </w:rPr>
        <w:t xml:space="preserve"> indicator, including but not limited to: Patents by origin, Scientific and technical articles, Citable documents H-index, new businesses/thousand pop, Intellectual property receipts, % total trade.</w:t>
      </w:r>
    </w:p>
  </w:footnote>
  <w:footnote w:id="51">
    <w:p w14:paraId="7425F61A" w14:textId="211C5C28" w:rsidR="00FC034E" w:rsidRPr="00FC034E" w:rsidRDefault="00A83633" w:rsidP="00A83633">
      <w:pPr>
        <w:rPr>
          <w:sz w:val="18"/>
          <w:szCs w:val="18"/>
        </w:rPr>
      </w:pPr>
      <w:r w:rsidRPr="00242394">
        <w:rPr>
          <w:rStyle w:val="FootnoteReference"/>
          <w:sz w:val="18"/>
          <w:szCs w:val="18"/>
        </w:rPr>
        <w:footnoteRef/>
      </w:r>
      <w:r w:rsidRPr="00242394">
        <w:rPr>
          <w:sz w:val="18"/>
          <w:szCs w:val="18"/>
        </w:rPr>
        <w:t xml:space="preserve"> </w:t>
      </w:r>
      <w:r w:rsidR="00926E54" w:rsidRPr="00242394">
        <w:rPr>
          <w:sz w:val="18"/>
          <w:szCs w:val="18"/>
        </w:rPr>
        <w:t>“</w:t>
      </w:r>
      <w:r w:rsidRPr="00242394">
        <w:rPr>
          <w:sz w:val="18"/>
          <w:szCs w:val="18"/>
        </w:rPr>
        <w:t>What you measure, you optimise</w:t>
      </w:r>
      <w:r w:rsidR="00343FE6" w:rsidRPr="00242394">
        <w:rPr>
          <w:sz w:val="18"/>
          <w:szCs w:val="18"/>
        </w:rPr>
        <w:t>.</w:t>
      </w:r>
      <w:r w:rsidR="00926E54" w:rsidRPr="00242394">
        <w:rPr>
          <w:sz w:val="18"/>
          <w:szCs w:val="18"/>
        </w:rPr>
        <w:t>”</w:t>
      </w:r>
      <w:r w:rsidRPr="00242394">
        <w:rPr>
          <w:sz w:val="18"/>
          <w:szCs w:val="18"/>
        </w:rPr>
        <w:t xml:space="preserve"> </w:t>
      </w:r>
      <w:r w:rsidR="00FC034E" w:rsidRPr="006B3E3B">
        <w:rPr>
          <w:sz w:val="18"/>
          <w:szCs w:val="18"/>
        </w:rPr>
        <w:t>Department</w:t>
      </w:r>
      <w:r w:rsidR="00FC034E">
        <w:rPr>
          <w:sz w:val="18"/>
          <w:szCs w:val="18"/>
        </w:rPr>
        <w:t xml:space="preserve"> of Industry, Science and Resources (DISR) (2022), </w:t>
      </w:r>
      <w:hyperlink r:id="rId33" w:history="1">
        <w:r w:rsidR="00FC034E" w:rsidRPr="00FC034E">
          <w:rPr>
            <w:rStyle w:val="Hyperlink"/>
            <w:i/>
            <w:iCs/>
            <w:sz w:val="18"/>
            <w:szCs w:val="18"/>
          </w:rPr>
          <w:t>Final report: improving innovation indicators</w:t>
        </w:r>
      </w:hyperlink>
      <w:r w:rsidR="00FC034E">
        <w:rPr>
          <w:sz w:val="18"/>
          <w:szCs w:val="18"/>
        </w:rPr>
        <w:t xml:space="preserve">, DISR, </w:t>
      </w:r>
      <w:r w:rsidR="006B3E3B">
        <w:rPr>
          <w:sz w:val="18"/>
          <w:szCs w:val="18"/>
        </w:rPr>
        <w:t xml:space="preserve">page 6, </w:t>
      </w:r>
      <w:r w:rsidR="00FC034E">
        <w:rPr>
          <w:sz w:val="18"/>
          <w:szCs w:val="18"/>
        </w:rPr>
        <w:t>accessed 24 November 2023.</w:t>
      </w:r>
    </w:p>
    <w:p w14:paraId="5CFC45C0" w14:textId="77777777" w:rsidR="00A83633" w:rsidRDefault="00A83633" w:rsidP="00A83633">
      <w:pPr>
        <w:pStyle w:val="FootnoteText"/>
      </w:pPr>
    </w:p>
  </w:footnote>
  <w:footnote w:id="52">
    <w:p w14:paraId="550CC2CC" w14:textId="34708B00" w:rsidR="00A83633" w:rsidRPr="000650BC" w:rsidRDefault="00A83633" w:rsidP="00343FE6">
      <w:pPr>
        <w:spacing w:after="0" w:line="240" w:lineRule="auto"/>
        <w:rPr>
          <w:sz w:val="18"/>
          <w:szCs w:val="18"/>
        </w:rPr>
      </w:pPr>
      <w:r w:rsidRPr="000650BC">
        <w:rPr>
          <w:rStyle w:val="FootnoteReference"/>
          <w:sz w:val="18"/>
          <w:szCs w:val="18"/>
        </w:rPr>
        <w:footnoteRef/>
      </w:r>
      <w:r w:rsidRPr="000650BC">
        <w:rPr>
          <w:sz w:val="18"/>
          <w:szCs w:val="18"/>
        </w:rPr>
        <w:t xml:space="preserve"> </w:t>
      </w:r>
      <w:r w:rsidR="002B00C8">
        <w:rPr>
          <w:sz w:val="18"/>
          <w:szCs w:val="18"/>
        </w:rPr>
        <w:t>Cohen WM</w:t>
      </w:r>
      <w:r w:rsidRPr="000650BC">
        <w:rPr>
          <w:sz w:val="18"/>
          <w:szCs w:val="18"/>
        </w:rPr>
        <w:t xml:space="preserve"> and Levinthal </w:t>
      </w:r>
      <w:r w:rsidR="002B00C8">
        <w:rPr>
          <w:sz w:val="18"/>
          <w:szCs w:val="18"/>
        </w:rPr>
        <w:t xml:space="preserve">DA </w:t>
      </w:r>
      <w:r w:rsidRPr="000650BC">
        <w:rPr>
          <w:sz w:val="18"/>
          <w:szCs w:val="18"/>
        </w:rPr>
        <w:t xml:space="preserve">(1990) </w:t>
      </w:r>
      <w:r w:rsidR="002B00C8">
        <w:rPr>
          <w:sz w:val="18"/>
          <w:szCs w:val="18"/>
        </w:rPr>
        <w:t>‘</w:t>
      </w:r>
      <w:r w:rsidRPr="000650BC">
        <w:rPr>
          <w:sz w:val="18"/>
          <w:szCs w:val="18"/>
        </w:rPr>
        <w:t xml:space="preserve">Absorptive </w:t>
      </w:r>
      <w:r w:rsidR="002B00C8" w:rsidRPr="000650BC">
        <w:rPr>
          <w:sz w:val="18"/>
          <w:szCs w:val="18"/>
        </w:rPr>
        <w:t>capacity</w:t>
      </w:r>
      <w:r w:rsidRPr="000650BC">
        <w:rPr>
          <w:sz w:val="18"/>
          <w:szCs w:val="18"/>
        </w:rPr>
        <w:t xml:space="preserve">: </w:t>
      </w:r>
      <w:r w:rsidR="002B00C8" w:rsidRPr="000650BC">
        <w:rPr>
          <w:sz w:val="18"/>
          <w:szCs w:val="18"/>
        </w:rPr>
        <w:t xml:space="preserve">a new perspective </w:t>
      </w:r>
      <w:r w:rsidRPr="000650BC">
        <w:rPr>
          <w:sz w:val="18"/>
          <w:szCs w:val="18"/>
        </w:rPr>
        <w:t xml:space="preserve">on </w:t>
      </w:r>
      <w:r w:rsidR="002B00C8" w:rsidRPr="000650BC">
        <w:rPr>
          <w:sz w:val="18"/>
          <w:szCs w:val="18"/>
        </w:rPr>
        <w:t xml:space="preserve">learning </w:t>
      </w:r>
      <w:r w:rsidRPr="000650BC">
        <w:rPr>
          <w:sz w:val="18"/>
          <w:szCs w:val="18"/>
        </w:rPr>
        <w:t xml:space="preserve">and </w:t>
      </w:r>
      <w:r w:rsidR="002B00C8" w:rsidRPr="000650BC">
        <w:rPr>
          <w:sz w:val="18"/>
          <w:szCs w:val="18"/>
        </w:rPr>
        <w:t>innovation’</w:t>
      </w:r>
      <w:r w:rsidR="002B00C8">
        <w:rPr>
          <w:sz w:val="18"/>
          <w:szCs w:val="18"/>
        </w:rPr>
        <w:t>,</w:t>
      </w:r>
      <w:r w:rsidRPr="000650BC">
        <w:rPr>
          <w:sz w:val="18"/>
          <w:szCs w:val="18"/>
        </w:rPr>
        <w:t xml:space="preserve"> </w:t>
      </w:r>
      <w:r w:rsidRPr="00242394">
        <w:rPr>
          <w:i/>
          <w:iCs/>
          <w:sz w:val="18"/>
          <w:szCs w:val="18"/>
        </w:rPr>
        <w:t>Administrative Science Quarterly</w:t>
      </w:r>
      <w:r w:rsidR="002B00C8">
        <w:rPr>
          <w:sz w:val="18"/>
          <w:szCs w:val="18"/>
        </w:rPr>
        <w:t xml:space="preserve"> 35(1):128—152. </w:t>
      </w:r>
      <w:hyperlink r:id="rId34" w:history="1">
        <w:r w:rsidRPr="000650BC">
          <w:rPr>
            <w:sz w:val="18"/>
            <w:szCs w:val="18"/>
          </w:rPr>
          <w:t xml:space="preserve"> </w:t>
        </w:r>
        <w:r w:rsidR="002B00C8">
          <w:rPr>
            <w:sz w:val="18"/>
            <w:szCs w:val="18"/>
          </w:rPr>
          <w:t>(</w:t>
        </w:r>
        <w:r w:rsidRPr="000650BC">
          <w:rPr>
            <w:sz w:val="18"/>
            <w:szCs w:val="18"/>
          </w:rPr>
          <w:t>Special Issue: Technology, Organizations, and Innovation (</w:t>
        </w:r>
        <w:r w:rsidR="00F5298D" w:rsidRPr="000650BC">
          <w:rPr>
            <w:sz w:val="18"/>
            <w:szCs w:val="18"/>
          </w:rPr>
          <w:t>Mar.</w:t>
        </w:r>
        <w:r w:rsidRPr="000650BC">
          <w:rPr>
            <w:sz w:val="18"/>
            <w:szCs w:val="18"/>
          </w:rPr>
          <w:t xml:space="preserve"> 1990)</w:t>
        </w:r>
      </w:hyperlink>
      <w:r w:rsidR="002B00C8">
        <w:rPr>
          <w:sz w:val="18"/>
          <w:szCs w:val="18"/>
        </w:rPr>
        <w:t>)</w:t>
      </w:r>
    </w:p>
  </w:footnote>
  <w:footnote w:id="53">
    <w:p w14:paraId="6599E319" w14:textId="4EF302D0" w:rsidR="00A83633" w:rsidRPr="000650BC" w:rsidRDefault="00A83633" w:rsidP="00A83633">
      <w:pPr>
        <w:pStyle w:val="FootnoteText"/>
        <w:rPr>
          <w:sz w:val="18"/>
          <w:szCs w:val="18"/>
        </w:rPr>
      </w:pPr>
      <w:r w:rsidRPr="000650BC">
        <w:rPr>
          <w:rStyle w:val="FootnoteReference"/>
          <w:sz w:val="18"/>
          <w:szCs w:val="18"/>
        </w:rPr>
        <w:footnoteRef/>
      </w:r>
      <w:r w:rsidRPr="000650BC">
        <w:rPr>
          <w:sz w:val="18"/>
          <w:szCs w:val="18"/>
        </w:rPr>
        <w:t xml:space="preserve"> OECD (2013) </w:t>
      </w:r>
      <w:r w:rsidRPr="00242394">
        <w:rPr>
          <w:i/>
          <w:iCs/>
          <w:sz w:val="18"/>
          <w:szCs w:val="18"/>
        </w:rPr>
        <w:t>Commercialising Public Research: New Trends and Strategies</w:t>
      </w:r>
      <w:r w:rsidR="002B00C8" w:rsidRPr="002B00C8">
        <w:rPr>
          <w:sz w:val="18"/>
          <w:szCs w:val="18"/>
        </w:rPr>
        <w:t>,</w:t>
      </w:r>
      <w:r w:rsidR="002B00C8">
        <w:rPr>
          <w:sz w:val="18"/>
          <w:szCs w:val="18"/>
        </w:rPr>
        <w:t xml:space="preserve"> OECD Publishing, Paris, page</w:t>
      </w:r>
      <w:r w:rsidRPr="000650BC">
        <w:rPr>
          <w:sz w:val="18"/>
          <w:szCs w:val="18"/>
        </w:rPr>
        <w:t xml:space="preserve"> 18.</w:t>
      </w:r>
    </w:p>
  </w:footnote>
  <w:footnote w:id="54">
    <w:p w14:paraId="5BAA31DD" w14:textId="4E4968A9" w:rsidR="00A83633" w:rsidRPr="000650BC" w:rsidRDefault="00A83633" w:rsidP="00A83633">
      <w:pPr>
        <w:pStyle w:val="FootnoteText"/>
        <w:rPr>
          <w:sz w:val="18"/>
          <w:szCs w:val="18"/>
        </w:rPr>
      </w:pPr>
      <w:r w:rsidRPr="000650BC">
        <w:rPr>
          <w:rStyle w:val="FootnoteReference"/>
          <w:sz w:val="18"/>
          <w:szCs w:val="18"/>
        </w:rPr>
        <w:footnoteRef/>
      </w:r>
      <w:r w:rsidRPr="000650BC">
        <w:rPr>
          <w:sz w:val="18"/>
          <w:szCs w:val="18"/>
        </w:rPr>
        <w:t xml:space="preserve"> Adapted from the </w:t>
      </w:r>
      <w:r w:rsidRPr="00242394">
        <w:rPr>
          <w:rStyle w:val="Hyperlink1"/>
          <w:color w:val="auto"/>
          <w:sz w:val="18"/>
          <w:szCs w:val="18"/>
          <w:u w:val="none"/>
        </w:rPr>
        <w:t>Australian Accounting Standards Board</w:t>
      </w:r>
      <w:r w:rsidR="005650F0">
        <w:rPr>
          <w:rStyle w:val="Hyperlink1"/>
          <w:color w:val="auto"/>
          <w:sz w:val="18"/>
          <w:szCs w:val="18"/>
          <w:u w:val="none"/>
        </w:rPr>
        <w:t xml:space="preserve"> (AASB) (2023)</w:t>
      </w:r>
      <w:r w:rsidRPr="00242394">
        <w:rPr>
          <w:rStyle w:val="Hyperlink1"/>
          <w:color w:val="auto"/>
          <w:sz w:val="18"/>
          <w:szCs w:val="18"/>
          <w:u w:val="none"/>
        </w:rPr>
        <w:t xml:space="preserve">, </w:t>
      </w:r>
      <w:r w:rsidRPr="000650BC">
        <w:rPr>
          <w:rStyle w:val="Hyperlink1"/>
          <w:sz w:val="18"/>
          <w:szCs w:val="18"/>
        </w:rPr>
        <w:t>‘</w:t>
      </w:r>
      <w:hyperlink r:id="rId35" w:history="1">
        <w:r w:rsidRPr="000650BC">
          <w:rPr>
            <w:rStyle w:val="Hyperlink1"/>
            <w:sz w:val="18"/>
            <w:szCs w:val="18"/>
          </w:rPr>
          <w:t>Accounting Standards, 138</w:t>
        </w:r>
      </w:hyperlink>
      <w:r w:rsidRPr="000650BC">
        <w:rPr>
          <w:rStyle w:val="Hyperlink1"/>
          <w:sz w:val="18"/>
          <w:szCs w:val="18"/>
        </w:rPr>
        <w:t>’</w:t>
      </w:r>
      <w:r w:rsidR="005650F0">
        <w:rPr>
          <w:sz w:val="18"/>
          <w:szCs w:val="18"/>
        </w:rPr>
        <w:t>, AASB, accessed 24 November 2023;</w:t>
      </w:r>
      <w:r w:rsidRPr="000650BC">
        <w:rPr>
          <w:sz w:val="18"/>
          <w:szCs w:val="18"/>
        </w:rPr>
        <w:t xml:space="preserve"> and Haskel </w:t>
      </w:r>
      <w:r w:rsidR="00282B49">
        <w:rPr>
          <w:sz w:val="18"/>
          <w:szCs w:val="18"/>
        </w:rPr>
        <w:t xml:space="preserve">J </w:t>
      </w:r>
      <w:r w:rsidRPr="000650BC">
        <w:rPr>
          <w:sz w:val="18"/>
          <w:szCs w:val="18"/>
        </w:rPr>
        <w:t>and Westlake</w:t>
      </w:r>
      <w:r w:rsidR="00282B49">
        <w:rPr>
          <w:sz w:val="18"/>
          <w:szCs w:val="18"/>
        </w:rPr>
        <w:t xml:space="preserve"> S (2017)</w:t>
      </w:r>
      <w:r w:rsidRPr="000650BC">
        <w:rPr>
          <w:sz w:val="18"/>
          <w:szCs w:val="18"/>
        </w:rPr>
        <w:t xml:space="preserve"> </w:t>
      </w:r>
      <w:r w:rsidRPr="000650BC">
        <w:rPr>
          <w:i/>
          <w:sz w:val="18"/>
          <w:szCs w:val="18"/>
        </w:rPr>
        <w:t>Capitalism without Capital: The rise of the intangible economy</w:t>
      </w:r>
      <w:r w:rsidRPr="000650BC">
        <w:rPr>
          <w:sz w:val="18"/>
          <w:szCs w:val="18"/>
        </w:rPr>
        <w:t>, Princeton University Press</w:t>
      </w:r>
      <w:r w:rsidR="00237A09">
        <w:rPr>
          <w:sz w:val="18"/>
          <w:szCs w:val="18"/>
        </w:rPr>
        <w:t>, Princeton</w:t>
      </w:r>
      <w:r w:rsidRPr="000650BC">
        <w:rPr>
          <w:sz w:val="18"/>
          <w:szCs w:val="18"/>
        </w:rPr>
        <w:t>.</w:t>
      </w:r>
    </w:p>
  </w:footnote>
  <w:footnote w:id="55">
    <w:p w14:paraId="2B47C7D3" w14:textId="02E067FE" w:rsidR="00A83633" w:rsidRPr="000A1903" w:rsidRDefault="00A83633" w:rsidP="00A83633">
      <w:pPr>
        <w:pStyle w:val="FootnoteText"/>
        <w:rPr>
          <w:sz w:val="18"/>
          <w:szCs w:val="18"/>
          <w:highlight w:val="red"/>
        </w:rPr>
      </w:pPr>
      <w:r w:rsidRPr="00242394">
        <w:rPr>
          <w:rStyle w:val="FootnoteReference"/>
          <w:sz w:val="18"/>
          <w:szCs w:val="18"/>
        </w:rPr>
        <w:footnoteRef/>
      </w:r>
      <w:r w:rsidRPr="00242394">
        <w:rPr>
          <w:sz w:val="18"/>
          <w:szCs w:val="18"/>
        </w:rPr>
        <w:t xml:space="preserve"> Adapted from Kale </w:t>
      </w:r>
      <w:r w:rsidR="00CD435D" w:rsidRPr="00242394">
        <w:rPr>
          <w:sz w:val="18"/>
          <w:szCs w:val="18"/>
        </w:rPr>
        <w:t xml:space="preserve">P </w:t>
      </w:r>
      <w:r w:rsidRPr="00242394">
        <w:rPr>
          <w:sz w:val="18"/>
          <w:szCs w:val="18"/>
        </w:rPr>
        <w:t>and Singh</w:t>
      </w:r>
      <w:r w:rsidR="00CD435D" w:rsidRPr="00242394">
        <w:rPr>
          <w:sz w:val="18"/>
          <w:szCs w:val="18"/>
        </w:rPr>
        <w:t xml:space="preserve"> H (2007)</w:t>
      </w:r>
      <w:r w:rsidRPr="00242394">
        <w:rPr>
          <w:sz w:val="18"/>
          <w:szCs w:val="18"/>
        </w:rPr>
        <w:t xml:space="preserve"> </w:t>
      </w:r>
      <w:r w:rsidR="00CD435D" w:rsidRPr="00242394">
        <w:rPr>
          <w:rStyle w:val="Hyperlink1"/>
          <w:color w:val="auto"/>
          <w:sz w:val="18"/>
          <w:szCs w:val="18"/>
          <w:u w:val="none"/>
        </w:rPr>
        <w:t>‘Building firm capabilities through learning: the role of the alliance learning process in alliance capability and firm-level alliance success’</w:t>
      </w:r>
      <w:r w:rsidRPr="00242394">
        <w:rPr>
          <w:sz w:val="18"/>
          <w:szCs w:val="18"/>
        </w:rPr>
        <w:t xml:space="preserve">, </w:t>
      </w:r>
      <w:r w:rsidRPr="00242394">
        <w:rPr>
          <w:i/>
          <w:sz w:val="18"/>
          <w:szCs w:val="18"/>
        </w:rPr>
        <w:t>Strategic Management Journal</w:t>
      </w:r>
      <w:r w:rsidR="00CD435D" w:rsidRPr="00242394">
        <w:rPr>
          <w:sz w:val="18"/>
          <w:szCs w:val="18"/>
        </w:rPr>
        <w:t xml:space="preserve"> 28(10):</w:t>
      </w:r>
      <w:r w:rsidRPr="00242394">
        <w:rPr>
          <w:sz w:val="18"/>
          <w:szCs w:val="18"/>
        </w:rPr>
        <w:t>981–1000.</w:t>
      </w:r>
    </w:p>
  </w:footnote>
  <w:footnote w:id="56">
    <w:p w14:paraId="216EF577" w14:textId="598C7C0F" w:rsidR="00B829B8" w:rsidRPr="00242394" w:rsidRDefault="00A83633" w:rsidP="00A83633">
      <w:pPr>
        <w:pStyle w:val="FootnoteText"/>
        <w:rPr>
          <w:sz w:val="18"/>
          <w:szCs w:val="18"/>
        </w:rPr>
      </w:pPr>
      <w:r w:rsidRPr="00242394">
        <w:rPr>
          <w:rStyle w:val="FootnoteReference"/>
          <w:sz w:val="18"/>
          <w:szCs w:val="18"/>
        </w:rPr>
        <w:footnoteRef/>
      </w:r>
      <w:r w:rsidRPr="00242394">
        <w:rPr>
          <w:sz w:val="18"/>
          <w:szCs w:val="18"/>
        </w:rPr>
        <w:t xml:space="preserve"> Based on </w:t>
      </w:r>
      <w:r w:rsidR="00B829B8" w:rsidRPr="00242394">
        <w:rPr>
          <w:sz w:val="18"/>
          <w:szCs w:val="18"/>
        </w:rPr>
        <w:t xml:space="preserve">Organisation for Economic Cooperation and Development (OECD) (2018) </w:t>
      </w:r>
      <w:hyperlink r:id="rId36" w:history="1">
        <w:r w:rsidR="00B829B8" w:rsidRPr="00242394">
          <w:rPr>
            <w:rStyle w:val="Hyperlink"/>
            <w:i/>
            <w:iCs/>
            <w:sz w:val="18"/>
            <w:szCs w:val="18"/>
          </w:rPr>
          <w:t xml:space="preserve">Oslo Manual 2018: </w:t>
        </w:r>
        <w:r w:rsidR="00B829B8" w:rsidRPr="00881CA2">
          <w:rPr>
            <w:rStyle w:val="Hyperlink"/>
            <w:i/>
            <w:iCs/>
            <w:sz w:val="18"/>
            <w:szCs w:val="18"/>
          </w:rPr>
          <w:t>Guidelines for Collecting, Reporting and Using Data on Innovation, 4th Edition</w:t>
        </w:r>
      </w:hyperlink>
      <w:r w:rsidR="00B829B8" w:rsidRPr="00881CA2">
        <w:rPr>
          <w:sz w:val="18"/>
          <w:szCs w:val="18"/>
        </w:rPr>
        <w:t xml:space="preserve">, OECD, </w:t>
      </w:r>
      <w:r w:rsidR="00EE6223">
        <w:rPr>
          <w:sz w:val="18"/>
          <w:szCs w:val="18"/>
        </w:rPr>
        <w:t xml:space="preserve">last </w:t>
      </w:r>
      <w:r w:rsidR="00B829B8" w:rsidRPr="00881CA2">
        <w:rPr>
          <w:sz w:val="18"/>
          <w:szCs w:val="18"/>
        </w:rPr>
        <w:t>accessed 24 November 2023.</w:t>
      </w:r>
    </w:p>
  </w:footnote>
  <w:footnote w:id="57">
    <w:p w14:paraId="027DD711" w14:textId="32BE74FD" w:rsidR="00A83633" w:rsidRPr="00242394" w:rsidRDefault="00A83633" w:rsidP="00343FE6">
      <w:pPr>
        <w:spacing w:after="0"/>
        <w:rPr>
          <w:sz w:val="18"/>
          <w:szCs w:val="18"/>
        </w:rPr>
      </w:pPr>
      <w:r w:rsidRPr="00242394">
        <w:rPr>
          <w:rStyle w:val="FootnoteReference"/>
          <w:sz w:val="18"/>
          <w:szCs w:val="18"/>
        </w:rPr>
        <w:footnoteRef/>
      </w:r>
      <w:r w:rsidRPr="00242394">
        <w:rPr>
          <w:sz w:val="18"/>
          <w:szCs w:val="18"/>
        </w:rPr>
        <w:t xml:space="preserve"> Leogrande A, Costantiello A</w:t>
      </w:r>
      <w:r w:rsidR="00525800" w:rsidRPr="00242394">
        <w:rPr>
          <w:sz w:val="18"/>
          <w:szCs w:val="18"/>
        </w:rPr>
        <w:t>,</w:t>
      </w:r>
      <w:r w:rsidRPr="00242394">
        <w:rPr>
          <w:sz w:val="18"/>
          <w:szCs w:val="18"/>
        </w:rPr>
        <w:t xml:space="preserve"> and Laureti L (2022) </w:t>
      </w:r>
      <w:r w:rsidRPr="00242394">
        <w:rPr>
          <w:i/>
          <w:iCs/>
          <w:sz w:val="18"/>
          <w:szCs w:val="18"/>
        </w:rPr>
        <w:t>The Role of Non-RD Expenditures in Promoting Innovation in Europe</w:t>
      </w:r>
      <w:r w:rsidR="00525800" w:rsidRPr="00242394">
        <w:rPr>
          <w:sz w:val="18"/>
          <w:szCs w:val="18"/>
        </w:rPr>
        <w:t xml:space="preserve">, </w:t>
      </w:r>
      <w:r w:rsidR="00525800" w:rsidRPr="00525800">
        <w:rPr>
          <w:sz w:val="18"/>
          <w:szCs w:val="18"/>
        </w:rPr>
        <w:t>available at SSRN: https://ssrn.com/abstract=4215981 or http://dx.doi.org/10.2139/ssrn.4215981</w:t>
      </w:r>
      <w:r w:rsidR="001932CD">
        <w:rPr>
          <w:sz w:val="18"/>
          <w:szCs w:val="18"/>
        </w:rPr>
        <w:t>.</w:t>
      </w:r>
    </w:p>
  </w:footnote>
  <w:footnote w:id="58">
    <w:p w14:paraId="30B05C9A" w14:textId="10BC4F0E" w:rsidR="00A83633" w:rsidRPr="00242394" w:rsidRDefault="00A83633" w:rsidP="00A83633">
      <w:pPr>
        <w:pStyle w:val="FootnoteText"/>
        <w:rPr>
          <w:sz w:val="18"/>
          <w:szCs w:val="18"/>
        </w:rPr>
      </w:pPr>
      <w:r w:rsidRPr="00242394">
        <w:rPr>
          <w:rStyle w:val="FootnoteReference"/>
          <w:sz w:val="18"/>
          <w:szCs w:val="18"/>
        </w:rPr>
        <w:footnoteRef/>
      </w:r>
      <w:r w:rsidRPr="00242394">
        <w:rPr>
          <w:sz w:val="18"/>
          <w:szCs w:val="18"/>
        </w:rPr>
        <w:t xml:space="preserve"> </w:t>
      </w:r>
      <w:r w:rsidR="00881CA2" w:rsidRPr="00242394">
        <w:rPr>
          <w:sz w:val="18"/>
          <w:szCs w:val="18"/>
        </w:rPr>
        <w:t xml:space="preserve">The National Skills Commission has developed ‘Skill Clusters’ to show groups of similar specialist transferable skills to describe day-to-day work within an occupation. See </w:t>
      </w:r>
      <w:r w:rsidRPr="00242394">
        <w:rPr>
          <w:sz w:val="18"/>
          <w:szCs w:val="18"/>
        </w:rPr>
        <w:t>National Skills Commission (NSC)</w:t>
      </w:r>
      <w:r w:rsidR="00881CA2" w:rsidRPr="00242394">
        <w:rPr>
          <w:sz w:val="18"/>
          <w:szCs w:val="18"/>
        </w:rPr>
        <w:t xml:space="preserve"> (n.d.), </w:t>
      </w:r>
      <w:hyperlink r:id="rId37" w:anchor="clusters" w:history="1">
        <w:r w:rsidR="00881CA2" w:rsidRPr="00242394">
          <w:rPr>
            <w:rStyle w:val="Hyperlink"/>
            <w:i/>
            <w:iCs/>
            <w:sz w:val="18"/>
            <w:szCs w:val="18"/>
          </w:rPr>
          <w:t>Australian Skills Classification</w:t>
        </w:r>
      </w:hyperlink>
      <w:r w:rsidR="00881CA2" w:rsidRPr="00242394">
        <w:rPr>
          <w:sz w:val="18"/>
          <w:szCs w:val="18"/>
        </w:rPr>
        <w:t xml:space="preserve">, NSC, </w:t>
      </w:r>
      <w:r w:rsidR="00EE6223">
        <w:rPr>
          <w:sz w:val="18"/>
          <w:szCs w:val="18"/>
        </w:rPr>
        <w:t xml:space="preserve">last </w:t>
      </w:r>
      <w:r w:rsidR="00881CA2" w:rsidRPr="00242394">
        <w:rPr>
          <w:sz w:val="18"/>
          <w:szCs w:val="18"/>
        </w:rPr>
        <w:t>accessed 24 November 2023.</w:t>
      </w:r>
      <w:r w:rsidRPr="00242394">
        <w:rPr>
          <w:sz w:val="18"/>
          <w:szCs w:val="18"/>
        </w:rPr>
        <w:t xml:space="preserve"> </w:t>
      </w:r>
    </w:p>
  </w:footnote>
  <w:footnote w:id="59">
    <w:p w14:paraId="78DD46FA" w14:textId="62E55C1D" w:rsidR="00A83633" w:rsidRPr="000A1903" w:rsidRDefault="00A83633" w:rsidP="00A83633">
      <w:pPr>
        <w:pStyle w:val="FootnoteText"/>
        <w:rPr>
          <w:sz w:val="18"/>
          <w:szCs w:val="18"/>
          <w:highlight w:val="red"/>
        </w:rPr>
      </w:pPr>
      <w:r w:rsidRPr="00242394">
        <w:rPr>
          <w:rStyle w:val="FootnoteReference"/>
          <w:sz w:val="18"/>
          <w:szCs w:val="18"/>
        </w:rPr>
        <w:footnoteRef/>
      </w:r>
      <w:r w:rsidRPr="00242394">
        <w:rPr>
          <w:sz w:val="18"/>
          <w:szCs w:val="18"/>
        </w:rPr>
        <w:t xml:space="preserve"> PricewaterhouseCoopers (PwC)</w:t>
      </w:r>
      <w:r w:rsidR="00881CA2" w:rsidRPr="00242394">
        <w:rPr>
          <w:sz w:val="18"/>
          <w:szCs w:val="18"/>
        </w:rPr>
        <w:t xml:space="preserve"> (2022)</w:t>
      </w:r>
      <w:r w:rsidRPr="00242394">
        <w:rPr>
          <w:sz w:val="18"/>
          <w:szCs w:val="18"/>
        </w:rPr>
        <w:t xml:space="preserve">, </w:t>
      </w:r>
      <w:r w:rsidRPr="00242394">
        <w:rPr>
          <w:i/>
          <w:sz w:val="18"/>
          <w:szCs w:val="18"/>
        </w:rPr>
        <w:t>Cross-cutting challenges facing Australian manufacturing businesses: Characteristics of successful Australian manufacturers</w:t>
      </w:r>
      <w:r w:rsidRPr="00242394">
        <w:rPr>
          <w:sz w:val="18"/>
          <w:szCs w:val="18"/>
        </w:rPr>
        <w:t>, report to IISA</w:t>
      </w:r>
      <w:r w:rsidR="00881CA2" w:rsidRPr="00242394">
        <w:rPr>
          <w:sz w:val="18"/>
          <w:szCs w:val="18"/>
        </w:rPr>
        <w:t xml:space="preserve">, </w:t>
      </w:r>
      <w:r w:rsidR="00EE6223">
        <w:rPr>
          <w:sz w:val="18"/>
          <w:szCs w:val="18"/>
        </w:rPr>
        <w:t>unpublished</w:t>
      </w:r>
      <w:r w:rsidR="00881CA2" w:rsidRPr="00242394">
        <w:rPr>
          <w:sz w:val="18"/>
          <w:szCs w:val="18"/>
        </w:rPr>
        <w:t>.</w:t>
      </w:r>
    </w:p>
  </w:footnote>
  <w:footnote w:id="60">
    <w:p w14:paraId="5BF8DD27" w14:textId="02759DC3" w:rsidR="00A83633" w:rsidRPr="000650BC" w:rsidRDefault="00A83633" w:rsidP="00A83633">
      <w:pPr>
        <w:pStyle w:val="FootnoteText"/>
        <w:rPr>
          <w:sz w:val="18"/>
          <w:szCs w:val="18"/>
        </w:rPr>
      </w:pPr>
      <w:r w:rsidRPr="00242394">
        <w:rPr>
          <w:rStyle w:val="FootnoteReference"/>
          <w:sz w:val="18"/>
          <w:szCs w:val="18"/>
        </w:rPr>
        <w:footnoteRef/>
      </w:r>
      <w:r w:rsidRPr="00242394">
        <w:rPr>
          <w:sz w:val="18"/>
          <w:szCs w:val="18"/>
        </w:rPr>
        <w:t xml:space="preserve"> Adapted from the </w:t>
      </w:r>
      <w:r w:rsidR="007D5CD2" w:rsidRPr="007D5CD2">
        <w:rPr>
          <w:rStyle w:val="Hyperlink1"/>
          <w:color w:val="auto"/>
          <w:sz w:val="18"/>
          <w:szCs w:val="18"/>
          <w:u w:val="none"/>
        </w:rPr>
        <w:t xml:space="preserve">Australian Accounting Standards Board (AASB) (2023), </w:t>
      </w:r>
      <w:r w:rsidR="007D5CD2" w:rsidRPr="007D5CD2">
        <w:rPr>
          <w:rStyle w:val="Hyperlink1"/>
          <w:sz w:val="18"/>
          <w:szCs w:val="18"/>
        </w:rPr>
        <w:t>‘</w:t>
      </w:r>
      <w:hyperlink r:id="rId38" w:history="1">
        <w:r w:rsidR="007D5CD2" w:rsidRPr="007D5CD2">
          <w:rPr>
            <w:rStyle w:val="Hyperlink1"/>
            <w:sz w:val="18"/>
            <w:szCs w:val="18"/>
          </w:rPr>
          <w:t>Accounting Standards, 1</w:t>
        </w:r>
      </w:hyperlink>
      <w:r w:rsidR="007D5CD2" w:rsidRPr="007D5CD2">
        <w:rPr>
          <w:rStyle w:val="Hyperlink1"/>
          <w:sz w:val="18"/>
          <w:szCs w:val="18"/>
        </w:rPr>
        <w:t>16’</w:t>
      </w:r>
      <w:r w:rsidR="007D5CD2" w:rsidRPr="007D5CD2">
        <w:rPr>
          <w:sz w:val="18"/>
          <w:szCs w:val="18"/>
        </w:rPr>
        <w:t>, AASB,</w:t>
      </w:r>
      <w:r w:rsidR="00EE6223">
        <w:rPr>
          <w:sz w:val="18"/>
          <w:szCs w:val="18"/>
        </w:rPr>
        <w:t xml:space="preserve"> last</w:t>
      </w:r>
      <w:r w:rsidR="007D5CD2" w:rsidRPr="007D5CD2">
        <w:rPr>
          <w:sz w:val="18"/>
          <w:szCs w:val="18"/>
        </w:rPr>
        <w:t xml:space="preserve"> accessed 24 November 2023</w:t>
      </w:r>
      <w:r w:rsidR="007D5CD2">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0D80C" w14:textId="60969AC1" w:rsidR="00855012" w:rsidRDefault="00855012">
    <w:pPr>
      <w:pStyle w:val="Header"/>
    </w:pPr>
  </w:p>
  <w:p w14:paraId="0CBBB63B" w14:textId="77777777" w:rsidR="00855012" w:rsidRDefault="008550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B552" w14:textId="0AACCFDB" w:rsidR="00487C43" w:rsidRPr="00097924" w:rsidRDefault="00487C43" w:rsidP="00097924">
    <w:pPr>
      <w:pStyle w:val="Header"/>
      <w:jc w:val="center"/>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63213" w14:textId="7471D93E" w:rsidR="001D7CAB" w:rsidRPr="008C3429" w:rsidRDefault="00641A0B" w:rsidP="00097924">
    <w:pPr>
      <w:pStyle w:val="Header"/>
      <w:rPr>
        <w:color w:val="FF0000"/>
      </w:rPr>
    </w:pPr>
    <w:r>
      <w:tab/>
    </w:r>
  </w:p>
  <w:p w14:paraId="1704FF41" w14:textId="13E5E2F4" w:rsidR="00806473" w:rsidRDefault="00641A0B" w:rsidP="00641A0B">
    <w:pPr>
      <w:pStyle w:val="Header"/>
      <w:tabs>
        <w:tab w:val="clear" w:pos="4513"/>
        <w:tab w:val="left" w:pos="592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31624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032B8"/>
    <w:multiLevelType w:val="multilevel"/>
    <w:tmpl w:val="899EDF6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02BB7675"/>
    <w:multiLevelType w:val="hybridMultilevel"/>
    <w:tmpl w:val="7520C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1370F2"/>
    <w:multiLevelType w:val="hybridMultilevel"/>
    <w:tmpl w:val="AEAA25B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 w15:restartNumberingAfterBreak="0">
    <w:nsid w:val="09ED0739"/>
    <w:multiLevelType w:val="hybridMultilevel"/>
    <w:tmpl w:val="4D80A3D6"/>
    <w:lvl w:ilvl="0" w:tplc="2828D4E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F6247A"/>
    <w:multiLevelType w:val="hybridMultilevel"/>
    <w:tmpl w:val="DBA4DB12"/>
    <w:lvl w:ilvl="0" w:tplc="029215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5E3A47"/>
    <w:multiLevelType w:val="hybridMultilevel"/>
    <w:tmpl w:val="75D856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D629DB"/>
    <w:multiLevelType w:val="multilevel"/>
    <w:tmpl w:val="01C4F7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2BB4FA8"/>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3DC0C8C"/>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60B5175"/>
    <w:multiLevelType w:val="multilevel"/>
    <w:tmpl w:val="DC0C6010"/>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166A0DF4"/>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17460E5D"/>
    <w:multiLevelType w:val="hybridMultilevel"/>
    <w:tmpl w:val="471C7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5519ED"/>
    <w:multiLevelType w:val="hybridMultilevel"/>
    <w:tmpl w:val="A14C6480"/>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E54CE0"/>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1D976B58"/>
    <w:multiLevelType w:val="hybridMultilevel"/>
    <w:tmpl w:val="BF220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B84E24"/>
    <w:multiLevelType w:val="multilevel"/>
    <w:tmpl w:val="0660DE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FD13E2D"/>
    <w:multiLevelType w:val="hybridMultilevel"/>
    <w:tmpl w:val="3E188248"/>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0685FAF"/>
    <w:multiLevelType w:val="multilevel"/>
    <w:tmpl w:val="0660DE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336172A"/>
    <w:multiLevelType w:val="hybridMultilevel"/>
    <w:tmpl w:val="BACE0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660C46"/>
    <w:multiLevelType w:val="hybridMultilevel"/>
    <w:tmpl w:val="26F61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6374F8"/>
    <w:multiLevelType w:val="hybridMultilevel"/>
    <w:tmpl w:val="19C87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33373C"/>
    <w:multiLevelType w:val="hybridMultilevel"/>
    <w:tmpl w:val="108AE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9D6F9D"/>
    <w:multiLevelType w:val="hybridMultilevel"/>
    <w:tmpl w:val="4176B7CA"/>
    <w:lvl w:ilvl="0" w:tplc="BB821776">
      <w:numFmt w:val="decimal"/>
      <w:lvlText w:val="4.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9CD5D87"/>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2A9D70E3"/>
    <w:multiLevelType w:val="hybridMultilevel"/>
    <w:tmpl w:val="0B480A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B2F6E77"/>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30FF653E"/>
    <w:multiLevelType w:val="hybridMultilevel"/>
    <w:tmpl w:val="B350982C"/>
    <w:lvl w:ilvl="0" w:tplc="207C9CD8">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4880A4A"/>
    <w:multiLevelType w:val="multilevel"/>
    <w:tmpl w:val="899EDF6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38C7658E"/>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39A05E2B"/>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39E71F09"/>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3AED5849"/>
    <w:multiLevelType w:val="hybridMultilevel"/>
    <w:tmpl w:val="79A673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B945F8E"/>
    <w:multiLevelType w:val="hybridMultilevel"/>
    <w:tmpl w:val="DD605680"/>
    <w:lvl w:ilvl="0" w:tplc="0C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34" w15:restartNumberingAfterBreak="0">
    <w:nsid w:val="3DAD48B8"/>
    <w:multiLevelType w:val="multilevel"/>
    <w:tmpl w:val="D8CCBB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421C7DE1"/>
    <w:multiLevelType w:val="hybridMultilevel"/>
    <w:tmpl w:val="82F09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2A1E5B"/>
    <w:multiLevelType w:val="multilevel"/>
    <w:tmpl w:val="899EDF6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49A508EC"/>
    <w:multiLevelType w:val="multilevel"/>
    <w:tmpl w:val="07B4D1B0"/>
    <w:lvl w:ilvl="0">
      <w:start w:val="1"/>
      <w:numFmt w:val="decimal"/>
      <w:lvlText w:val="%1"/>
      <w:lvlJc w:val="left"/>
      <w:pPr>
        <w:ind w:left="360" w:hanging="360"/>
      </w:pPr>
      <w:rPr>
        <w:rFonts w:ascii="Calibri" w:eastAsia="Calibri" w:hAnsi="Calibri" w:cs="Times New Roman" w:hint="default"/>
      </w:rPr>
    </w:lvl>
    <w:lvl w:ilvl="1">
      <w:start w:val="2"/>
      <w:numFmt w:val="decimal"/>
      <w:lvlText w:val="%1.%2"/>
      <w:lvlJc w:val="left"/>
      <w:pPr>
        <w:ind w:left="360" w:hanging="360"/>
      </w:pPr>
      <w:rPr>
        <w:rFonts w:ascii="Calibri" w:eastAsia="Calibri" w:hAnsi="Calibri" w:cs="Times New Roman" w:hint="default"/>
      </w:rPr>
    </w:lvl>
    <w:lvl w:ilvl="2">
      <w:start w:val="1"/>
      <w:numFmt w:val="decimal"/>
      <w:lvlText w:val="%1.%2.%3"/>
      <w:lvlJc w:val="left"/>
      <w:pPr>
        <w:ind w:left="720" w:hanging="720"/>
      </w:pPr>
      <w:rPr>
        <w:rFonts w:ascii="Calibri" w:eastAsia="Calibri" w:hAnsi="Calibri" w:cs="Times New Roman" w:hint="default"/>
      </w:rPr>
    </w:lvl>
    <w:lvl w:ilvl="3">
      <w:start w:val="1"/>
      <w:numFmt w:val="decimal"/>
      <w:lvlText w:val="%1.%2.%3.%4"/>
      <w:lvlJc w:val="left"/>
      <w:pPr>
        <w:ind w:left="720" w:hanging="720"/>
      </w:pPr>
      <w:rPr>
        <w:rFonts w:ascii="Calibri" w:eastAsia="Calibri" w:hAnsi="Calibri" w:cs="Times New Roman" w:hint="default"/>
      </w:rPr>
    </w:lvl>
    <w:lvl w:ilvl="4">
      <w:start w:val="1"/>
      <w:numFmt w:val="decimal"/>
      <w:lvlText w:val="%1.%2.%3.%4.%5"/>
      <w:lvlJc w:val="left"/>
      <w:pPr>
        <w:ind w:left="1080" w:hanging="1080"/>
      </w:pPr>
      <w:rPr>
        <w:rFonts w:ascii="Calibri" w:eastAsia="Calibri" w:hAnsi="Calibri" w:cs="Times New Roman" w:hint="default"/>
      </w:rPr>
    </w:lvl>
    <w:lvl w:ilvl="5">
      <w:start w:val="1"/>
      <w:numFmt w:val="decimal"/>
      <w:lvlText w:val="%1.%2.%3.%4.%5.%6"/>
      <w:lvlJc w:val="left"/>
      <w:pPr>
        <w:ind w:left="1080" w:hanging="1080"/>
      </w:pPr>
      <w:rPr>
        <w:rFonts w:ascii="Calibri" w:eastAsia="Calibri" w:hAnsi="Calibri" w:cs="Times New Roman" w:hint="default"/>
      </w:rPr>
    </w:lvl>
    <w:lvl w:ilvl="6">
      <w:start w:val="1"/>
      <w:numFmt w:val="decimal"/>
      <w:lvlText w:val="%1.%2.%3.%4.%5.%6.%7"/>
      <w:lvlJc w:val="left"/>
      <w:pPr>
        <w:ind w:left="1440" w:hanging="1440"/>
      </w:pPr>
      <w:rPr>
        <w:rFonts w:ascii="Calibri" w:eastAsia="Calibri" w:hAnsi="Calibri" w:cs="Times New Roman" w:hint="default"/>
      </w:rPr>
    </w:lvl>
    <w:lvl w:ilvl="7">
      <w:start w:val="1"/>
      <w:numFmt w:val="decimal"/>
      <w:lvlText w:val="%1.%2.%3.%4.%5.%6.%7.%8"/>
      <w:lvlJc w:val="left"/>
      <w:pPr>
        <w:ind w:left="1440" w:hanging="1440"/>
      </w:pPr>
      <w:rPr>
        <w:rFonts w:ascii="Calibri" w:eastAsia="Calibri" w:hAnsi="Calibri" w:cs="Times New Roman" w:hint="default"/>
      </w:rPr>
    </w:lvl>
    <w:lvl w:ilvl="8">
      <w:start w:val="1"/>
      <w:numFmt w:val="decimal"/>
      <w:lvlText w:val="%1.%2.%3.%4.%5.%6.%7.%8.%9"/>
      <w:lvlJc w:val="left"/>
      <w:pPr>
        <w:ind w:left="1440" w:hanging="1440"/>
      </w:pPr>
      <w:rPr>
        <w:rFonts w:ascii="Calibri" w:eastAsia="Calibri" w:hAnsi="Calibri" w:cs="Times New Roman" w:hint="default"/>
      </w:rPr>
    </w:lvl>
  </w:abstractNum>
  <w:abstractNum w:abstractNumId="38" w15:restartNumberingAfterBreak="0">
    <w:nsid w:val="4B6E08FD"/>
    <w:multiLevelType w:val="multilevel"/>
    <w:tmpl w:val="0660DE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CE47905"/>
    <w:multiLevelType w:val="multilevel"/>
    <w:tmpl w:val="003C48A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4FBA5AD9"/>
    <w:multiLevelType w:val="multilevel"/>
    <w:tmpl w:val="E6D291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537D385F"/>
    <w:multiLevelType w:val="multilevel"/>
    <w:tmpl w:val="1A129BBA"/>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541E4B49"/>
    <w:multiLevelType w:val="hybridMultilevel"/>
    <w:tmpl w:val="E75EA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4A21D0F"/>
    <w:multiLevelType w:val="multilevel"/>
    <w:tmpl w:val="F2649F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52E10FD"/>
    <w:multiLevelType w:val="hybridMultilevel"/>
    <w:tmpl w:val="A154A084"/>
    <w:lvl w:ilvl="0" w:tplc="A6EACFDA">
      <w:numFmt w:val="bullet"/>
      <w:pStyle w:val="ListParagraph"/>
      <w:lvlText w:val=""/>
      <w:lvlJc w:val="left"/>
      <w:pPr>
        <w:ind w:left="1080" w:hanging="360"/>
      </w:pPr>
      <w:rPr>
        <w:rFonts w:ascii="Symbol" w:eastAsiaTheme="minorHAnsi" w:hAnsi="Symbol" w:cstheme="minorBidi" w:hint="default"/>
      </w:rPr>
    </w:lvl>
    <w:lvl w:ilvl="1" w:tplc="E36889C0">
      <w:numFmt w:val="bullet"/>
      <w:lvlText w:val="-"/>
      <w:lvlJc w:val="left"/>
      <w:pPr>
        <w:ind w:left="1800" w:hanging="360"/>
      </w:pPr>
      <w:rPr>
        <w:rFonts w:ascii="Calibri" w:eastAsiaTheme="minorHAnsi" w:hAnsi="Calibri" w:cs="Calibr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5B550D76"/>
    <w:multiLevelType w:val="multilevel"/>
    <w:tmpl w:val="3DB8493C"/>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5CA14BFA"/>
    <w:multiLevelType w:val="hybridMultilevel"/>
    <w:tmpl w:val="2FA88DF4"/>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DD91A10"/>
    <w:multiLevelType w:val="multilevel"/>
    <w:tmpl w:val="F78E93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5F8B20B1"/>
    <w:multiLevelType w:val="hybridMultilevel"/>
    <w:tmpl w:val="572216F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01E2577"/>
    <w:multiLevelType w:val="hybridMultilevel"/>
    <w:tmpl w:val="0374C3B4"/>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25B03FC"/>
    <w:multiLevelType w:val="hybridMultilevel"/>
    <w:tmpl w:val="12E640CE"/>
    <w:lvl w:ilvl="0" w:tplc="0C090009">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6725339D"/>
    <w:multiLevelType w:val="multilevel"/>
    <w:tmpl w:val="CCF09BFC"/>
    <w:lvl w:ilvl="0">
      <w:start w:val="4"/>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2" w15:restartNumberingAfterBreak="0">
    <w:nsid w:val="68F3097F"/>
    <w:multiLevelType w:val="multilevel"/>
    <w:tmpl w:val="3F24CF3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3" w15:restartNumberingAfterBreak="0">
    <w:nsid w:val="6C647CA6"/>
    <w:multiLevelType w:val="hybridMultilevel"/>
    <w:tmpl w:val="7AAA3616"/>
    <w:lvl w:ilvl="0" w:tplc="6846A87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6D257283"/>
    <w:multiLevelType w:val="hybridMultilevel"/>
    <w:tmpl w:val="EBE8D216"/>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DBA392D"/>
    <w:multiLevelType w:val="hybridMultilevel"/>
    <w:tmpl w:val="D5B051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DD018E0"/>
    <w:multiLevelType w:val="hybridMultilevel"/>
    <w:tmpl w:val="2202E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12C7E96"/>
    <w:multiLevelType w:val="hybridMultilevel"/>
    <w:tmpl w:val="2A205ACE"/>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71C26B5F"/>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9" w15:restartNumberingAfterBreak="0">
    <w:nsid w:val="74D7388C"/>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0" w15:restartNumberingAfterBreak="0">
    <w:nsid w:val="752F5061"/>
    <w:multiLevelType w:val="multilevel"/>
    <w:tmpl w:val="0BDA2F7C"/>
    <w:lvl w:ilvl="0">
      <w:start w:val="1"/>
      <w:numFmt w:val="bullet"/>
      <w:lvlText w:val=""/>
      <w:lvlJc w:val="left"/>
      <w:pPr>
        <w:ind w:left="360" w:hanging="360"/>
      </w:pPr>
      <w:rPr>
        <w:rFonts w:ascii="Symbol" w:hAnsi="Symbol" w:hint="default"/>
        <w:sz w:val="24"/>
        <w:szCs w:val="24"/>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77F96C6D"/>
    <w:multiLevelType w:val="hybridMultilevel"/>
    <w:tmpl w:val="5B786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9AF0FB8"/>
    <w:multiLevelType w:val="multilevel"/>
    <w:tmpl w:val="899EDF6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3" w15:restartNumberingAfterBreak="0">
    <w:nsid w:val="7B6A5595"/>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4" w15:restartNumberingAfterBreak="0">
    <w:nsid w:val="7B71766D"/>
    <w:multiLevelType w:val="hybridMultilevel"/>
    <w:tmpl w:val="7EFAB58C"/>
    <w:lvl w:ilvl="0" w:tplc="D0CA632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7C6C1E91"/>
    <w:multiLevelType w:val="hybridMultilevel"/>
    <w:tmpl w:val="392CD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C742EC8"/>
    <w:multiLevelType w:val="hybridMultilevel"/>
    <w:tmpl w:val="D7068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C807D8E"/>
    <w:multiLevelType w:val="multilevel"/>
    <w:tmpl w:val="2A766A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7E490692"/>
    <w:multiLevelType w:val="multilevel"/>
    <w:tmpl w:val="91E237CC"/>
    <w:lvl w:ilvl="0">
      <w:start w:val="1"/>
      <w:numFmt w:val="decimal"/>
      <w:lvlText w:val="%1"/>
      <w:lvlJc w:val="left"/>
      <w:pPr>
        <w:ind w:left="360" w:hanging="360"/>
      </w:pPr>
      <w:rPr>
        <w:rFonts w:ascii="Calibri" w:eastAsia="Calibri" w:hAnsi="Calibri" w:cs="Times New Roman" w:hint="default"/>
      </w:rPr>
    </w:lvl>
    <w:lvl w:ilvl="1">
      <w:start w:val="2"/>
      <w:numFmt w:val="decimal"/>
      <w:lvlText w:val="%1.%2"/>
      <w:lvlJc w:val="left"/>
      <w:pPr>
        <w:ind w:left="360" w:hanging="360"/>
      </w:pPr>
      <w:rPr>
        <w:rFonts w:ascii="Calibri" w:eastAsia="Calibri" w:hAnsi="Calibri" w:cs="Times New Roman" w:hint="default"/>
      </w:rPr>
    </w:lvl>
    <w:lvl w:ilvl="2">
      <w:start w:val="1"/>
      <w:numFmt w:val="decimal"/>
      <w:lvlText w:val="%1.%2.%3"/>
      <w:lvlJc w:val="left"/>
      <w:pPr>
        <w:ind w:left="720" w:hanging="720"/>
      </w:pPr>
      <w:rPr>
        <w:rFonts w:ascii="Calibri" w:eastAsia="Calibri" w:hAnsi="Calibri" w:cs="Times New Roman" w:hint="default"/>
      </w:rPr>
    </w:lvl>
    <w:lvl w:ilvl="3">
      <w:start w:val="1"/>
      <w:numFmt w:val="decimal"/>
      <w:lvlText w:val="%1.%2.%3.%4"/>
      <w:lvlJc w:val="left"/>
      <w:pPr>
        <w:ind w:left="720" w:hanging="720"/>
      </w:pPr>
      <w:rPr>
        <w:rFonts w:ascii="Calibri" w:eastAsia="Calibri" w:hAnsi="Calibri" w:cs="Times New Roman" w:hint="default"/>
      </w:rPr>
    </w:lvl>
    <w:lvl w:ilvl="4">
      <w:start w:val="1"/>
      <w:numFmt w:val="decimal"/>
      <w:lvlText w:val="%1.%2.%3.%4.%5"/>
      <w:lvlJc w:val="left"/>
      <w:pPr>
        <w:ind w:left="1080" w:hanging="1080"/>
      </w:pPr>
      <w:rPr>
        <w:rFonts w:ascii="Calibri" w:eastAsia="Calibri" w:hAnsi="Calibri" w:cs="Times New Roman" w:hint="default"/>
      </w:rPr>
    </w:lvl>
    <w:lvl w:ilvl="5">
      <w:start w:val="1"/>
      <w:numFmt w:val="decimal"/>
      <w:lvlText w:val="%1.%2.%3.%4.%5.%6"/>
      <w:lvlJc w:val="left"/>
      <w:pPr>
        <w:ind w:left="1080" w:hanging="1080"/>
      </w:pPr>
      <w:rPr>
        <w:rFonts w:ascii="Calibri" w:eastAsia="Calibri" w:hAnsi="Calibri" w:cs="Times New Roman" w:hint="default"/>
      </w:rPr>
    </w:lvl>
    <w:lvl w:ilvl="6">
      <w:start w:val="1"/>
      <w:numFmt w:val="decimal"/>
      <w:lvlText w:val="%1.%2.%3.%4.%5.%6.%7"/>
      <w:lvlJc w:val="left"/>
      <w:pPr>
        <w:ind w:left="1440" w:hanging="1440"/>
      </w:pPr>
      <w:rPr>
        <w:rFonts w:ascii="Calibri" w:eastAsia="Calibri" w:hAnsi="Calibri" w:cs="Times New Roman" w:hint="default"/>
      </w:rPr>
    </w:lvl>
    <w:lvl w:ilvl="7">
      <w:start w:val="1"/>
      <w:numFmt w:val="decimal"/>
      <w:lvlText w:val="%1.%2.%3.%4.%5.%6.%7.%8"/>
      <w:lvlJc w:val="left"/>
      <w:pPr>
        <w:ind w:left="1440" w:hanging="1440"/>
      </w:pPr>
      <w:rPr>
        <w:rFonts w:ascii="Calibri" w:eastAsia="Calibri" w:hAnsi="Calibri" w:cs="Times New Roman" w:hint="default"/>
      </w:rPr>
    </w:lvl>
    <w:lvl w:ilvl="8">
      <w:start w:val="1"/>
      <w:numFmt w:val="decimal"/>
      <w:lvlText w:val="%1.%2.%3.%4.%5.%6.%7.%8.%9"/>
      <w:lvlJc w:val="left"/>
      <w:pPr>
        <w:ind w:left="1440" w:hanging="1440"/>
      </w:pPr>
      <w:rPr>
        <w:rFonts w:ascii="Calibri" w:eastAsia="Calibri" w:hAnsi="Calibri" w:cs="Times New Roman" w:hint="default"/>
      </w:rPr>
    </w:lvl>
  </w:abstractNum>
  <w:num w:numId="1" w16cid:durableId="1960141829">
    <w:abstractNumId w:val="44"/>
  </w:num>
  <w:num w:numId="2" w16cid:durableId="544291201">
    <w:abstractNumId w:val="12"/>
  </w:num>
  <w:num w:numId="3" w16cid:durableId="1317301857">
    <w:abstractNumId w:val="16"/>
  </w:num>
  <w:num w:numId="4" w16cid:durableId="1236629644">
    <w:abstractNumId w:val="36"/>
  </w:num>
  <w:num w:numId="5" w16cid:durableId="1049035641">
    <w:abstractNumId w:val="56"/>
  </w:num>
  <w:num w:numId="6" w16cid:durableId="1522087469">
    <w:abstractNumId w:val="21"/>
  </w:num>
  <w:num w:numId="7" w16cid:durableId="419527301">
    <w:abstractNumId w:val="65"/>
  </w:num>
  <w:num w:numId="8" w16cid:durableId="29384651">
    <w:abstractNumId w:val="61"/>
  </w:num>
  <w:num w:numId="9" w16cid:durableId="778112586">
    <w:abstractNumId w:val="2"/>
  </w:num>
  <w:num w:numId="10" w16cid:durableId="1877354586">
    <w:abstractNumId w:val="22"/>
  </w:num>
  <w:num w:numId="11" w16cid:durableId="823354005">
    <w:abstractNumId w:val="35"/>
  </w:num>
  <w:num w:numId="12" w16cid:durableId="2040742619">
    <w:abstractNumId w:val="17"/>
  </w:num>
  <w:num w:numId="13" w16cid:durableId="133642300">
    <w:abstractNumId w:val="57"/>
  </w:num>
  <w:num w:numId="14" w16cid:durableId="1086341180">
    <w:abstractNumId w:val="6"/>
  </w:num>
  <w:num w:numId="15" w16cid:durableId="887839024">
    <w:abstractNumId w:val="3"/>
  </w:num>
  <w:num w:numId="16" w16cid:durableId="1783647822">
    <w:abstractNumId w:val="42"/>
  </w:num>
  <w:num w:numId="17" w16cid:durableId="454718652">
    <w:abstractNumId w:val="19"/>
  </w:num>
  <w:num w:numId="18" w16cid:durableId="6948993">
    <w:abstractNumId w:val="66"/>
  </w:num>
  <w:num w:numId="19" w16cid:durableId="765346480">
    <w:abstractNumId w:val="5"/>
  </w:num>
  <w:num w:numId="20" w16cid:durableId="261567630">
    <w:abstractNumId w:val="48"/>
  </w:num>
  <w:num w:numId="21" w16cid:durableId="1308247151">
    <w:abstractNumId w:val="13"/>
  </w:num>
  <w:num w:numId="22" w16cid:durableId="662666215">
    <w:abstractNumId w:val="15"/>
  </w:num>
  <w:num w:numId="23" w16cid:durableId="1892155658">
    <w:abstractNumId w:val="0"/>
  </w:num>
  <w:num w:numId="24" w16cid:durableId="1762527869">
    <w:abstractNumId w:val="8"/>
  </w:num>
  <w:num w:numId="25" w16cid:durableId="721056357">
    <w:abstractNumId w:val="0"/>
  </w:num>
  <w:num w:numId="26" w16cid:durableId="909658838">
    <w:abstractNumId w:val="0"/>
  </w:num>
  <w:num w:numId="27" w16cid:durableId="645817711">
    <w:abstractNumId w:val="14"/>
  </w:num>
  <w:num w:numId="28" w16cid:durableId="1923370036">
    <w:abstractNumId w:val="31"/>
  </w:num>
  <w:num w:numId="29" w16cid:durableId="1441098155">
    <w:abstractNumId w:val="11"/>
  </w:num>
  <w:num w:numId="30" w16cid:durableId="541790109">
    <w:abstractNumId w:val="24"/>
  </w:num>
  <w:num w:numId="31" w16cid:durableId="2140948769">
    <w:abstractNumId w:val="29"/>
  </w:num>
  <w:num w:numId="32" w16cid:durableId="643238376">
    <w:abstractNumId w:val="44"/>
  </w:num>
  <w:num w:numId="33" w16cid:durableId="1612929849">
    <w:abstractNumId w:val="59"/>
  </w:num>
  <w:num w:numId="34" w16cid:durableId="1679653498">
    <w:abstractNumId w:val="63"/>
  </w:num>
  <w:num w:numId="35" w16cid:durableId="492795554">
    <w:abstractNumId w:val="44"/>
  </w:num>
  <w:num w:numId="36" w16cid:durableId="865630741">
    <w:abstractNumId w:val="44"/>
  </w:num>
  <w:num w:numId="37" w16cid:durableId="811868701">
    <w:abstractNumId w:val="58"/>
  </w:num>
  <w:num w:numId="38" w16cid:durableId="815605829">
    <w:abstractNumId w:val="44"/>
  </w:num>
  <w:num w:numId="39" w16cid:durableId="1863470788">
    <w:abstractNumId w:val="44"/>
  </w:num>
  <w:num w:numId="40" w16cid:durableId="189605927">
    <w:abstractNumId w:val="26"/>
  </w:num>
  <w:num w:numId="41" w16cid:durableId="1017386523">
    <w:abstractNumId w:val="44"/>
  </w:num>
  <w:num w:numId="42" w16cid:durableId="1263337507">
    <w:abstractNumId w:val="44"/>
  </w:num>
  <w:num w:numId="43" w16cid:durableId="1470706980">
    <w:abstractNumId w:val="44"/>
  </w:num>
  <w:num w:numId="44" w16cid:durableId="142939444">
    <w:abstractNumId w:val="44"/>
  </w:num>
  <w:num w:numId="45" w16cid:durableId="2089843507">
    <w:abstractNumId w:val="30"/>
  </w:num>
  <w:num w:numId="46" w16cid:durableId="1312979819">
    <w:abstractNumId w:val="9"/>
  </w:num>
  <w:num w:numId="47" w16cid:durableId="1301688170">
    <w:abstractNumId w:val="33"/>
  </w:num>
  <w:num w:numId="48" w16cid:durableId="863786351">
    <w:abstractNumId w:val="49"/>
  </w:num>
  <w:num w:numId="49" w16cid:durableId="991522596">
    <w:abstractNumId w:val="46"/>
  </w:num>
  <w:num w:numId="50" w16cid:durableId="2060203166">
    <w:abstractNumId w:val="54"/>
  </w:num>
  <w:num w:numId="51" w16cid:durableId="1293288069">
    <w:abstractNumId w:val="50"/>
  </w:num>
  <w:num w:numId="52" w16cid:durableId="1981182811">
    <w:abstractNumId w:val="68"/>
  </w:num>
  <w:num w:numId="53" w16cid:durableId="1955818317">
    <w:abstractNumId w:val="37"/>
  </w:num>
  <w:num w:numId="54" w16cid:durableId="1630865100">
    <w:abstractNumId w:val="60"/>
  </w:num>
  <w:num w:numId="55" w16cid:durableId="1974672434">
    <w:abstractNumId w:val="34"/>
  </w:num>
  <w:num w:numId="56" w16cid:durableId="655300530">
    <w:abstractNumId w:val="45"/>
  </w:num>
  <w:num w:numId="57" w16cid:durableId="33044323">
    <w:abstractNumId w:val="38"/>
  </w:num>
  <w:num w:numId="58" w16cid:durableId="2036038259">
    <w:abstractNumId w:val="1"/>
  </w:num>
  <w:num w:numId="59" w16cid:durableId="1115252208">
    <w:abstractNumId w:val="51"/>
  </w:num>
  <w:num w:numId="60" w16cid:durableId="2086413239">
    <w:abstractNumId w:val="7"/>
  </w:num>
  <w:num w:numId="61" w16cid:durableId="847984789">
    <w:abstractNumId w:val="62"/>
  </w:num>
  <w:num w:numId="62" w16cid:durableId="596409794">
    <w:abstractNumId w:val="43"/>
  </w:num>
  <w:num w:numId="63" w16cid:durableId="2039115170">
    <w:abstractNumId w:val="28"/>
  </w:num>
  <w:num w:numId="64" w16cid:durableId="332489859">
    <w:abstractNumId w:val="44"/>
  </w:num>
  <w:num w:numId="65" w16cid:durableId="1887985881">
    <w:abstractNumId w:val="52"/>
  </w:num>
  <w:num w:numId="66" w16cid:durableId="1274559084">
    <w:abstractNumId w:val="53"/>
  </w:num>
  <w:num w:numId="67" w16cid:durableId="167331849">
    <w:abstractNumId w:val="18"/>
  </w:num>
  <w:num w:numId="68" w16cid:durableId="199126563">
    <w:abstractNumId w:val="10"/>
  </w:num>
  <w:num w:numId="69" w16cid:durableId="1386488038">
    <w:abstractNumId w:val="44"/>
  </w:num>
  <w:num w:numId="70" w16cid:durableId="623732987">
    <w:abstractNumId w:val="20"/>
  </w:num>
  <w:num w:numId="71" w16cid:durableId="2045136024">
    <w:abstractNumId w:val="41"/>
  </w:num>
  <w:num w:numId="72" w16cid:durableId="805855351">
    <w:abstractNumId w:val="25"/>
  </w:num>
  <w:num w:numId="73" w16cid:durableId="167183384">
    <w:abstractNumId w:val="32"/>
  </w:num>
  <w:num w:numId="74" w16cid:durableId="1248274206">
    <w:abstractNumId w:val="40"/>
  </w:num>
  <w:num w:numId="75" w16cid:durableId="1937638849">
    <w:abstractNumId w:val="55"/>
  </w:num>
  <w:num w:numId="76" w16cid:durableId="298727409">
    <w:abstractNumId w:val="40"/>
    <w:lvlOverride w:ilvl="0">
      <w:startOverride w:val="4"/>
    </w:lvlOverride>
    <w:lvlOverride w:ilvl="1">
      <w:startOverride w:val="2"/>
    </w:lvlOverride>
  </w:num>
  <w:num w:numId="77" w16cid:durableId="333653047">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418097464">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919409925">
    <w:abstractNumId w:val="23"/>
  </w:num>
  <w:num w:numId="80" w16cid:durableId="79714795">
    <w:abstractNumId w:val="40"/>
    <w:lvlOverride w:ilvl="0">
      <w:startOverride w:val="4"/>
    </w:lvlOverride>
    <w:lvlOverride w:ilvl="1">
      <w:startOverride w:val="1"/>
    </w:lvlOverride>
  </w:num>
  <w:num w:numId="81" w16cid:durableId="1162500951">
    <w:abstractNumId w:val="40"/>
    <w:lvlOverride w:ilvl="0">
      <w:startOverride w:val="4"/>
    </w:lvlOverride>
    <w:lvlOverride w:ilvl="1">
      <w:startOverride w:val="1"/>
    </w:lvlOverride>
  </w:num>
  <w:num w:numId="82" w16cid:durableId="1961644125">
    <w:abstractNumId w:val="40"/>
    <w:lvlOverride w:ilvl="0">
      <w:startOverride w:val="4"/>
    </w:lvlOverride>
    <w:lvlOverride w:ilvl="1">
      <w:startOverride w:val="2"/>
    </w:lvlOverride>
  </w:num>
  <w:num w:numId="83" w16cid:durableId="1903246446">
    <w:abstractNumId w:val="40"/>
    <w:lvlOverride w:ilvl="0">
      <w:startOverride w:val="4"/>
    </w:lvlOverride>
    <w:lvlOverride w:ilvl="1">
      <w:startOverride w:val="1"/>
    </w:lvlOverride>
  </w:num>
  <w:num w:numId="84" w16cid:durableId="194999361">
    <w:abstractNumId w:val="67"/>
  </w:num>
  <w:num w:numId="85" w16cid:durableId="48069038">
    <w:abstractNumId w:val="47"/>
  </w:num>
  <w:num w:numId="86" w16cid:durableId="565381062">
    <w:abstractNumId w:val="39"/>
  </w:num>
  <w:num w:numId="87" w16cid:durableId="878082159">
    <w:abstractNumId w:val="27"/>
  </w:num>
  <w:num w:numId="88" w16cid:durableId="436873771">
    <w:abstractNumId w:val="64"/>
  </w:num>
  <w:num w:numId="89" w16cid:durableId="1593663811">
    <w:abstractNumId w:val="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CDB"/>
    <w:rsid w:val="00000958"/>
    <w:rsid w:val="00001060"/>
    <w:rsid w:val="00001888"/>
    <w:rsid w:val="00001E85"/>
    <w:rsid w:val="000032D6"/>
    <w:rsid w:val="00004BAF"/>
    <w:rsid w:val="000064CA"/>
    <w:rsid w:val="00010EFC"/>
    <w:rsid w:val="00011360"/>
    <w:rsid w:val="00011F51"/>
    <w:rsid w:val="000120FF"/>
    <w:rsid w:val="00013E2B"/>
    <w:rsid w:val="000162F2"/>
    <w:rsid w:val="0001707B"/>
    <w:rsid w:val="00017A66"/>
    <w:rsid w:val="00023563"/>
    <w:rsid w:val="00023F8A"/>
    <w:rsid w:val="0002585C"/>
    <w:rsid w:val="00026270"/>
    <w:rsid w:val="000266F3"/>
    <w:rsid w:val="00027E70"/>
    <w:rsid w:val="0003061F"/>
    <w:rsid w:val="00030A88"/>
    <w:rsid w:val="00030D52"/>
    <w:rsid w:val="00031C28"/>
    <w:rsid w:val="00031C80"/>
    <w:rsid w:val="00032160"/>
    <w:rsid w:val="00032995"/>
    <w:rsid w:val="000338BA"/>
    <w:rsid w:val="00036D44"/>
    <w:rsid w:val="000373BE"/>
    <w:rsid w:val="00037557"/>
    <w:rsid w:val="00037A4A"/>
    <w:rsid w:val="00037B3D"/>
    <w:rsid w:val="00040A83"/>
    <w:rsid w:val="0004235F"/>
    <w:rsid w:val="00042ADE"/>
    <w:rsid w:val="00043E9F"/>
    <w:rsid w:val="00044602"/>
    <w:rsid w:val="00045212"/>
    <w:rsid w:val="00046F13"/>
    <w:rsid w:val="000503C7"/>
    <w:rsid w:val="00052EBB"/>
    <w:rsid w:val="00053CD1"/>
    <w:rsid w:val="0005445D"/>
    <w:rsid w:val="00054BD8"/>
    <w:rsid w:val="000552B3"/>
    <w:rsid w:val="0005599C"/>
    <w:rsid w:val="0006165C"/>
    <w:rsid w:val="00061CFC"/>
    <w:rsid w:val="00062016"/>
    <w:rsid w:val="00062834"/>
    <w:rsid w:val="00063132"/>
    <w:rsid w:val="000639D2"/>
    <w:rsid w:val="000650BC"/>
    <w:rsid w:val="000673EB"/>
    <w:rsid w:val="000677F2"/>
    <w:rsid w:val="00067F6C"/>
    <w:rsid w:val="0007067B"/>
    <w:rsid w:val="00070D05"/>
    <w:rsid w:val="0007217A"/>
    <w:rsid w:val="00072ACB"/>
    <w:rsid w:val="000732A8"/>
    <w:rsid w:val="0007388D"/>
    <w:rsid w:val="000746B8"/>
    <w:rsid w:val="00075A15"/>
    <w:rsid w:val="00075BB5"/>
    <w:rsid w:val="00075D55"/>
    <w:rsid w:val="0007675E"/>
    <w:rsid w:val="0007698C"/>
    <w:rsid w:val="00080748"/>
    <w:rsid w:val="00080F92"/>
    <w:rsid w:val="00081D07"/>
    <w:rsid w:val="00081D5B"/>
    <w:rsid w:val="00081EC7"/>
    <w:rsid w:val="0008259D"/>
    <w:rsid w:val="00084D82"/>
    <w:rsid w:val="00085503"/>
    <w:rsid w:val="00085AF3"/>
    <w:rsid w:val="0008664F"/>
    <w:rsid w:val="000866FE"/>
    <w:rsid w:val="0009019D"/>
    <w:rsid w:val="000910A2"/>
    <w:rsid w:val="00091A00"/>
    <w:rsid w:val="00091BEC"/>
    <w:rsid w:val="000930BD"/>
    <w:rsid w:val="00097924"/>
    <w:rsid w:val="000A0734"/>
    <w:rsid w:val="000A08E1"/>
    <w:rsid w:val="000A0E67"/>
    <w:rsid w:val="000A1903"/>
    <w:rsid w:val="000A1A88"/>
    <w:rsid w:val="000A2136"/>
    <w:rsid w:val="000A639B"/>
    <w:rsid w:val="000A6617"/>
    <w:rsid w:val="000A6959"/>
    <w:rsid w:val="000A6A2F"/>
    <w:rsid w:val="000A7498"/>
    <w:rsid w:val="000A7B00"/>
    <w:rsid w:val="000B2B37"/>
    <w:rsid w:val="000B2B7C"/>
    <w:rsid w:val="000B2BA8"/>
    <w:rsid w:val="000B30B0"/>
    <w:rsid w:val="000B6FD3"/>
    <w:rsid w:val="000B7606"/>
    <w:rsid w:val="000B7C7A"/>
    <w:rsid w:val="000C2EA5"/>
    <w:rsid w:val="000C2ED1"/>
    <w:rsid w:val="000C3322"/>
    <w:rsid w:val="000C3494"/>
    <w:rsid w:val="000C705F"/>
    <w:rsid w:val="000C7513"/>
    <w:rsid w:val="000C75DD"/>
    <w:rsid w:val="000D2DCF"/>
    <w:rsid w:val="000D351A"/>
    <w:rsid w:val="000D5438"/>
    <w:rsid w:val="000D56F3"/>
    <w:rsid w:val="000D580B"/>
    <w:rsid w:val="000D5DC2"/>
    <w:rsid w:val="000D6AFE"/>
    <w:rsid w:val="000D7688"/>
    <w:rsid w:val="000D7EE0"/>
    <w:rsid w:val="000E0EF4"/>
    <w:rsid w:val="000E35B6"/>
    <w:rsid w:val="000E3B99"/>
    <w:rsid w:val="000E3E85"/>
    <w:rsid w:val="000E4BA7"/>
    <w:rsid w:val="000E54D9"/>
    <w:rsid w:val="000E586C"/>
    <w:rsid w:val="000E599A"/>
    <w:rsid w:val="000E796A"/>
    <w:rsid w:val="000F0B52"/>
    <w:rsid w:val="000F0D7D"/>
    <w:rsid w:val="000F1A68"/>
    <w:rsid w:val="000F1D5C"/>
    <w:rsid w:val="000F2564"/>
    <w:rsid w:val="000F2875"/>
    <w:rsid w:val="000F29B2"/>
    <w:rsid w:val="000F3568"/>
    <w:rsid w:val="000F4072"/>
    <w:rsid w:val="000F4BFB"/>
    <w:rsid w:val="00100046"/>
    <w:rsid w:val="00101E87"/>
    <w:rsid w:val="001026D4"/>
    <w:rsid w:val="00104565"/>
    <w:rsid w:val="00104680"/>
    <w:rsid w:val="00104B90"/>
    <w:rsid w:val="0010712A"/>
    <w:rsid w:val="0010775B"/>
    <w:rsid w:val="00107F8C"/>
    <w:rsid w:val="00110012"/>
    <w:rsid w:val="00115530"/>
    <w:rsid w:val="00115C22"/>
    <w:rsid w:val="00115D0F"/>
    <w:rsid w:val="00116DD1"/>
    <w:rsid w:val="00116E6D"/>
    <w:rsid w:val="0012026A"/>
    <w:rsid w:val="00120759"/>
    <w:rsid w:val="00120C5E"/>
    <w:rsid w:val="001235F1"/>
    <w:rsid w:val="00123F63"/>
    <w:rsid w:val="0012663D"/>
    <w:rsid w:val="00130F35"/>
    <w:rsid w:val="00133797"/>
    <w:rsid w:val="00133CE3"/>
    <w:rsid w:val="00134958"/>
    <w:rsid w:val="00134A02"/>
    <w:rsid w:val="00134D04"/>
    <w:rsid w:val="00134F7A"/>
    <w:rsid w:val="0013537A"/>
    <w:rsid w:val="001353D8"/>
    <w:rsid w:val="00137A53"/>
    <w:rsid w:val="00140032"/>
    <w:rsid w:val="001412A6"/>
    <w:rsid w:val="001418A4"/>
    <w:rsid w:val="00142BFB"/>
    <w:rsid w:val="00144AD0"/>
    <w:rsid w:val="00144D68"/>
    <w:rsid w:val="00144EE9"/>
    <w:rsid w:val="00145053"/>
    <w:rsid w:val="00146355"/>
    <w:rsid w:val="001469A7"/>
    <w:rsid w:val="001477B6"/>
    <w:rsid w:val="00150978"/>
    <w:rsid w:val="00150CE7"/>
    <w:rsid w:val="00152DE3"/>
    <w:rsid w:val="00153C15"/>
    <w:rsid w:val="001576C3"/>
    <w:rsid w:val="001577B7"/>
    <w:rsid w:val="001603FD"/>
    <w:rsid w:val="0016150C"/>
    <w:rsid w:val="00162392"/>
    <w:rsid w:val="00162408"/>
    <w:rsid w:val="00164C52"/>
    <w:rsid w:val="001651EA"/>
    <w:rsid w:val="001663AE"/>
    <w:rsid w:val="00167C4E"/>
    <w:rsid w:val="00167E6F"/>
    <w:rsid w:val="00170ECC"/>
    <w:rsid w:val="00171762"/>
    <w:rsid w:val="001717B2"/>
    <w:rsid w:val="0017194C"/>
    <w:rsid w:val="00171D5E"/>
    <w:rsid w:val="00173096"/>
    <w:rsid w:val="001745E8"/>
    <w:rsid w:val="00175163"/>
    <w:rsid w:val="001754CD"/>
    <w:rsid w:val="001755DC"/>
    <w:rsid w:val="00175A45"/>
    <w:rsid w:val="00176864"/>
    <w:rsid w:val="00176DD6"/>
    <w:rsid w:val="0017776A"/>
    <w:rsid w:val="00180098"/>
    <w:rsid w:val="0018025E"/>
    <w:rsid w:val="00180A3D"/>
    <w:rsid w:val="0018187C"/>
    <w:rsid w:val="001823B3"/>
    <w:rsid w:val="00184C49"/>
    <w:rsid w:val="00192295"/>
    <w:rsid w:val="001932CD"/>
    <w:rsid w:val="00193E92"/>
    <w:rsid w:val="00194179"/>
    <w:rsid w:val="0019689D"/>
    <w:rsid w:val="00197AC4"/>
    <w:rsid w:val="001A092A"/>
    <w:rsid w:val="001A1B94"/>
    <w:rsid w:val="001A2685"/>
    <w:rsid w:val="001A28CE"/>
    <w:rsid w:val="001A3107"/>
    <w:rsid w:val="001A366C"/>
    <w:rsid w:val="001A5940"/>
    <w:rsid w:val="001A62A5"/>
    <w:rsid w:val="001A6EFD"/>
    <w:rsid w:val="001A7620"/>
    <w:rsid w:val="001B072A"/>
    <w:rsid w:val="001B29B7"/>
    <w:rsid w:val="001B2E21"/>
    <w:rsid w:val="001B330D"/>
    <w:rsid w:val="001B3F29"/>
    <w:rsid w:val="001B5D68"/>
    <w:rsid w:val="001B5D79"/>
    <w:rsid w:val="001B769E"/>
    <w:rsid w:val="001B7931"/>
    <w:rsid w:val="001C0137"/>
    <w:rsid w:val="001C1067"/>
    <w:rsid w:val="001C36C0"/>
    <w:rsid w:val="001C48AA"/>
    <w:rsid w:val="001C4F20"/>
    <w:rsid w:val="001C565D"/>
    <w:rsid w:val="001C7290"/>
    <w:rsid w:val="001C779B"/>
    <w:rsid w:val="001D011E"/>
    <w:rsid w:val="001D021F"/>
    <w:rsid w:val="001D13E2"/>
    <w:rsid w:val="001D1D23"/>
    <w:rsid w:val="001D216A"/>
    <w:rsid w:val="001D21FC"/>
    <w:rsid w:val="001D2E82"/>
    <w:rsid w:val="001D33DA"/>
    <w:rsid w:val="001D41F8"/>
    <w:rsid w:val="001D475A"/>
    <w:rsid w:val="001D4F03"/>
    <w:rsid w:val="001D5396"/>
    <w:rsid w:val="001D6A63"/>
    <w:rsid w:val="001D72C6"/>
    <w:rsid w:val="001D7592"/>
    <w:rsid w:val="001D7A36"/>
    <w:rsid w:val="001D7CAB"/>
    <w:rsid w:val="001E24BF"/>
    <w:rsid w:val="001E2C65"/>
    <w:rsid w:val="001E5DE8"/>
    <w:rsid w:val="001E6C2A"/>
    <w:rsid w:val="001E7114"/>
    <w:rsid w:val="001E735C"/>
    <w:rsid w:val="001E7C2F"/>
    <w:rsid w:val="001F0402"/>
    <w:rsid w:val="001F0BDB"/>
    <w:rsid w:val="001F0CAF"/>
    <w:rsid w:val="001F5AB1"/>
    <w:rsid w:val="001F6598"/>
    <w:rsid w:val="001F75BF"/>
    <w:rsid w:val="00201A00"/>
    <w:rsid w:val="002021CF"/>
    <w:rsid w:val="00202D59"/>
    <w:rsid w:val="00203CBD"/>
    <w:rsid w:val="002042E8"/>
    <w:rsid w:val="002043A6"/>
    <w:rsid w:val="00204CB6"/>
    <w:rsid w:val="00205DF3"/>
    <w:rsid w:val="002066E6"/>
    <w:rsid w:val="002067AD"/>
    <w:rsid w:val="00206FF0"/>
    <w:rsid w:val="002071BF"/>
    <w:rsid w:val="002079ED"/>
    <w:rsid w:val="002128C8"/>
    <w:rsid w:val="00212DC4"/>
    <w:rsid w:val="00214B54"/>
    <w:rsid w:val="00217A5D"/>
    <w:rsid w:val="00220179"/>
    <w:rsid w:val="0022083E"/>
    <w:rsid w:val="002218E8"/>
    <w:rsid w:val="00221E2A"/>
    <w:rsid w:val="00222D0B"/>
    <w:rsid w:val="002234E1"/>
    <w:rsid w:val="00224C44"/>
    <w:rsid w:val="00225337"/>
    <w:rsid w:val="002258C3"/>
    <w:rsid w:val="00225C13"/>
    <w:rsid w:val="002266C8"/>
    <w:rsid w:val="002307CA"/>
    <w:rsid w:val="00231C02"/>
    <w:rsid w:val="002364B5"/>
    <w:rsid w:val="002366A7"/>
    <w:rsid w:val="00236F8A"/>
    <w:rsid w:val="00237A09"/>
    <w:rsid w:val="0024052C"/>
    <w:rsid w:val="002408C2"/>
    <w:rsid w:val="0024164D"/>
    <w:rsid w:val="00241D3D"/>
    <w:rsid w:val="00242394"/>
    <w:rsid w:val="00242CC0"/>
    <w:rsid w:val="00243C42"/>
    <w:rsid w:val="00243FA5"/>
    <w:rsid w:val="00245109"/>
    <w:rsid w:val="00246447"/>
    <w:rsid w:val="00247458"/>
    <w:rsid w:val="00247976"/>
    <w:rsid w:val="00247DBB"/>
    <w:rsid w:val="00251EB6"/>
    <w:rsid w:val="00252EFC"/>
    <w:rsid w:val="00253DEE"/>
    <w:rsid w:val="00254CB7"/>
    <w:rsid w:val="00254DA8"/>
    <w:rsid w:val="00254FF5"/>
    <w:rsid w:val="002556C4"/>
    <w:rsid w:val="00256604"/>
    <w:rsid w:val="00256935"/>
    <w:rsid w:val="00256F4A"/>
    <w:rsid w:val="002602E1"/>
    <w:rsid w:val="002606E9"/>
    <w:rsid w:val="00262E52"/>
    <w:rsid w:val="00264E35"/>
    <w:rsid w:val="00265AD9"/>
    <w:rsid w:val="00266D43"/>
    <w:rsid w:val="0027068A"/>
    <w:rsid w:val="00270839"/>
    <w:rsid w:val="00271CE4"/>
    <w:rsid w:val="00272B04"/>
    <w:rsid w:val="002735B1"/>
    <w:rsid w:val="00273E91"/>
    <w:rsid w:val="00273F8C"/>
    <w:rsid w:val="00274299"/>
    <w:rsid w:val="00274AAA"/>
    <w:rsid w:val="00274BDA"/>
    <w:rsid w:val="002803F2"/>
    <w:rsid w:val="00280401"/>
    <w:rsid w:val="00280968"/>
    <w:rsid w:val="002816F1"/>
    <w:rsid w:val="0028197B"/>
    <w:rsid w:val="00282536"/>
    <w:rsid w:val="00282B49"/>
    <w:rsid w:val="00283D9B"/>
    <w:rsid w:val="00284155"/>
    <w:rsid w:val="00284C5F"/>
    <w:rsid w:val="00285531"/>
    <w:rsid w:val="0028650C"/>
    <w:rsid w:val="00287794"/>
    <w:rsid w:val="00287E84"/>
    <w:rsid w:val="00287FAC"/>
    <w:rsid w:val="00291DA2"/>
    <w:rsid w:val="00292EFB"/>
    <w:rsid w:val="00293805"/>
    <w:rsid w:val="00293A03"/>
    <w:rsid w:val="00293F57"/>
    <w:rsid w:val="0029500B"/>
    <w:rsid w:val="00295867"/>
    <w:rsid w:val="0029600F"/>
    <w:rsid w:val="002966BF"/>
    <w:rsid w:val="00296D14"/>
    <w:rsid w:val="00297911"/>
    <w:rsid w:val="00297B8B"/>
    <w:rsid w:val="002A1501"/>
    <w:rsid w:val="002A17BB"/>
    <w:rsid w:val="002A336B"/>
    <w:rsid w:val="002A347A"/>
    <w:rsid w:val="002A3B88"/>
    <w:rsid w:val="002A43DA"/>
    <w:rsid w:val="002A4C34"/>
    <w:rsid w:val="002A6152"/>
    <w:rsid w:val="002A694F"/>
    <w:rsid w:val="002A6E06"/>
    <w:rsid w:val="002B00C8"/>
    <w:rsid w:val="002B2389"/>
    <w:rsid w:val="002B27CF"/>
    <w:rsid w:val="002B2E9C"/>
    <w:rsid w:val="002B32EE"/>
    <w:rsid w:val="002B5C69"/>
    <w:rsid w:val="002B5CBB"/>
    <w:rsid w:val="002B6645"/>
    <w:rsid w:val="002B6ACC"/>
    <w:rsid w:val="002B6EE0"/>
    <w:rsid w:val="002B71A0"/>
    <w:rsid w:val="002C325B"/>
    <w:rsid w:val="002C489E"/>
    <w:rsid w:val="002C79D3"/>
    <w:rsid w:val="002D084C"/>
    <w:rsid w:val="002D12C0"/>
    <w:rsid w:val="002D14DB"/>
    <w:rsid w:val="002D18B2"/>
    <w:rsid w:val="002D22C8"/>
    <w:rsid w:val="002D230B"/>
    <w:rsid w:val="002D4108"/>
    <w:rsid w:val="002D4781"/>
    <w:rsid w:val="002D4947"/>
    <w:rsid w:val="002D532C"/>
    <w:rsid w:val="002D55EC"/>
    <w:rsid w:val="002D5F62"/>
    <w:rsid w:val="002D60E1"/>
    <w:rsid w:val="002E136A"/>
    <w:rsid w:val="002E168B"/>
    <w:rsid w:val="002E189E"/>
    <w:rsid w:val="002E2489"/>
    <w:rsid w:val="002E3965"/>
    <w:rsid w:val="002E3C84"/>
    <w:rsid w:val="002E3F75"/>
    <w:rsid w:val="002E4939"/>
    <w:rsid w:val="002E4B87"/>
    <w:rsid w:val="002E51F2"/>
    <w:rsid w:val="002E6220"/>
    <w:rsid w:val="002E684C"/>
    <w:rsid w:val="002E6ABA"/>
    <w:rsid w:val="002F0C16"/>
    <w:rsid w:val="002F289C"/>
    <w:rsid w:val="002F2F0B"/>
    <w:rsid w:val="002F4F6D"/>
    <w:rsid w:val="002F52A0"/>
    <w:rsid w:val="002F5441"/>
    <w:rsid w:val="002F6931"/>
    <w:rsid w:val="002F7622"/>
    <w:rsid w:val="002F7907"/>
    <w:rsid w:val="002F798E"/>
    <w:rsid w:val="002F7B93"/>
    <w:rsid w:val="00300B53"/>
    <w:rsid w:val="00301D59"/>
    <w:rsid w:val="003024C7"/>
    <w:rsid w:val="00303201"/>
    <w:rsid w:val="00303295"/>
    <w:rsid w:val="003041D3"/>
    <w:rsid w:val="003047DB"/>
    <w:rsid w:val="00304EB0"/>
    <w:rsid w:val="003053AF"/>
    <w:rsid w:val="00305B9C"/>
    <w:rsid w:val="00307119"/>
    <w:rsid w:val="00310006"/>
    <w:rsid w:val="003107D7"/>
    <w:rsid w:val="00310AE8"/>
    <w:rsid w:val="003112E9"/>
    <w:rsid w:val="003118B4"/>
    <w:rsid w:val="00313414"/>
    <w:rsid w:val="00313A6B"/>
    <w:rsid w:val="00313B4C"/>
    <w:rsid w:val="0031434E"/>
    <w:rsid w:val="00316307"/>
    <w:rsid w:val="00317A12"/>
    <w:rsid w:val="00317F17"/>
    <w:rsid w:val="0032317D"/>
    <w:rsid w:val="0032583E"/>
    <w:rsid w:val="00325D0A"/>
    <w:rsid w:val="0032657E"/>
    <w:rsid w:val="00326585"/>
    <w:rsid w:val="00332A63"/>
    <w:rsid w:val="00333061"/>
    <w:rsid w:val="0033655C"/>
    <w:rsid w:val="00337612"/>
    <w:rsid w:val="00337E2E"/>
    <w:rsid w:val="00340197"/>
    <w:rsid w:val="00340509"/>
    <w:rsid w:val="003415B3"/>
    <w:rsid w:val="00341A8B"/>
    <w:rsid w:val="0034210E"/>
    <w:rsid w:val="00342A1E"/>
    <w:rsid w:val="00342F37"/>
    <w:rsid w:val="00343FD7"/>
    <w:rsid w:val="00343FE6"/>
    <w:rsid w:val="00344BEE"/>
    <w:rsid w:val="00346BCA"/>
    <w:rsid w:val="00347AA5"/>
    <w:rsid w:val="00347C1E"/>
    <w:rsid w:val="00350604"/>
    <w:rsid w:val="00352D4D"/>
    <w:rsid w:val="00354E91"/>
    <w:rsid w:val="00356152"/>
    <w:rsid w:val="00360E45"/>
    <w:rsid w:val="003611D7"/>
    <w:rsid w:val="00362E30"/>
    <w:rsid w:val="00363A68"/>
    <w:rsid w:val="00363F5E"/>
    <w:rsid w:val="00364256"/>
    <w:rsid w:val="00364A0C"/>
    <w:rsid w:val="00364F33"/>
    <w:rsid w:val="00365F36"/>
    <w:rsid w:val="00366B70"/>
    <w:rsid w:val="00370207"/>
    <w:rsid w:val="00370259"/>
    <w:rsid w:val="00370B35"/>
    <w:rsid w:val="0037189B"/>
    <w:rsid w:val="00371A47"/>
    <w:rsid w:val="00375610"/>
    <w:rsid w:val="00376130"/>
    <w:rsid w:val="003765C0"/>
    <w:rsid w:val="00376C09"/>
    <w:rsid w:val="003777C1"/>
    <w:rsid w:val="003828EF"/>
    <w:rsid w:val="00382A5C"/>
    <w:rsid w:val="0038300A"/>
    <w:rsid w:val="00384276"/>
    <w:rsid w:val="003874EB"/>
    <w:rsid w:val="00387876"/>
    <w:rsid w:val="0038797F"/>
    <w:rsid w:val="003909EA"/>
    <w:rsid w:val="003919FD"/>
    <w:rsid w:val="00391A89"/>
    <w:rsid w:val="003922E2"/>
    <w:rsid w:val="00392890"/>
    <w:rsid w:val="00392FE4"/>
    <w:rsid w:val="003935E7"/>
    <w:rsid w:val="00394512"/>
    <w:rsid w:val="00394678"/>
    <w:rsid w:val="00394755"/>
    <w:rsid w:val="00394DD3"/>
    <w:rsid w:val="00395D91"/>
    <w:rsid w:val="003A03DE"/>
    <w:rsid w:val="003A12F8"/>
    <w:rsid w:val="003A196B"/>
    <w:rsid w:val="003A3AF8"/>
    <w:rsid w:val="003A43F3"/>
    <w:rsid w:val="003A493B"/>
    <w:rsid w:val="003A53EA"/>
    <w:rsid w:val="003B0617"/>
    <w:rsid w:val="003B1175"/>
    <w:rsid w:val="003B20CF"/>
    <w:rsid w:val="003B2CAB"/>
    <w:rsid w:val="003B2E58"/>
    <w:rsid w:val="003B3B1F"/>
    <w:rsid w:val="003B4847"/>
    <w:rsid w:val="003B5B5E"/>
    <w:rsid w:val="003B6B57"/>
    <w:rsid w:val="003B6BBD"/>
    <w:rsid w:val="003B79D8"/>
    <w:rsid w:val="003C0E85"/>
    <w:rsid w:val="003C0EC5"/>
    <w:rsid w:val="003C1222"/>
    <w:rsid w:val="003C1E36"/>
    <w:rsid w:val="003C1EA9"/>
    <w:rsid w:val="003C4303"/>
    <w:rsid w:val="003C5CB0"/>
    <w:rsid w:val="003C75F0"/>
    <w:rsid w:val="003C7F4C"/>
    <w:rsid w:val="003D1386"/>
    <w:rsid w:val="003D16EA"/>
    <w:rsid w:val="003D2DFE"/>
    <w:rsid w:val="003D38ED"/>
    <w:rsid w:val="003D63A4"/>
    <w:rsid w:val="003D7461"/>
    <w:rsid w:val="003D7739"/>
    <w:rsid w:val="003D7E11"/>
    <w:rsid w:val="003E05DF"/>
    <w:rsid w:val="003E1107"/>
    <w:rsid w:val="003E2FFB"/>
    <w:rsid w:val="003E3C0D"/>
    <w:rsid w:val="003E3E8D"/>
    <w:rsid w:val="003E5255"/>
    <w:rsid w:val="003E5F6A"/>
    <w:rsid w:val="003E7073"/>
    <w:rsid w:val="003E73CE"/>
    <w:rsid w:val="003F09FD"/>
    <w:rsid w:val="003F34C7"/>
    <w:rsid w:val="003F358B"/>
    <w:rsid w:val="003F7122"/>
    <w:rsid w:val="003F752B"/>
    <w:rsid w:val="00400AA8"/>
    <w:rsid w:val="00401CEF"/>
    <w:rsid w:val="00402E4E"/>
    <w:rsid w:val="004051C8"/>
    <w:rsid w:val="004052D1"/>
    <w:rsid w:val="00405725"/>
    <w:rsid w:val="00405F51"/>
    <w:rsid w:val="00406691"/>
    <w:rsid w:val="00406C0C"/>
    <w:rsid w:val="00406FBF"/>
    <w:rsid w:val="00410B4D"/>
    <w:rsid w:val="004144B0"/>
    <w:rsid w:val="00415D18"/>
    <w:rsid w:val="00415E5F"/>
    <w:rsid w:val="00416673"/>
    <w:rsid w:val="00417390"/>
    <w:rsid w:val="00417FC3"/>
    <w:rsid w:val="004202EC"/>
    <w:rsid w:val="00420AE4"/>
    <w:rsid w:val="00421A60"/>
    <w:rsid w:val="00422A35"/>
    <w:rsid w:val="0042312A"/>
    <w:rsid w:val="00423938"/>
    <w:rsid w:val="00423A34"/>
    <w:rsid w:val="00423AF7"/>
    <w:rsid w:val="0042447F"/>
    <w:rsid w:val="004245B7"/>
    <w:rsid w:val="004256B8"/>
    <w:rsid w:val="00426B8A"/>
    <w:rsid w:val="0043059E"/>
    <w:rsid w:val="00430BFD"/>
    <w:rsid w:val="004329D7"/>
    <w:rsid w:val="0043314B"/>
    <w:rsid w:val="00436BA8"/>
    <w:rsid w:val="00436C66"/>
    <w:rsid w:val="00436E8D"/>
    <w:rsid w:val="0043773D"/>
    <w:rsid w:val="00441D43"/>
    <w:rsid w:val="004421B6"/>
    <w:rsid w:val="004431F4"/>
    <w:rsid w:val="0044402D"/>
    <w:rsid w:val="0045005D"/>
    <w:rsid w:val="004526EC"/>
    <w:rsid w:val="00452F47"/>
    <w:rsid w:val="00452FB0"/>
    <w:rsid w:val="004533A8"/>
    <w:rsid w:val="00455628"/>
    <w:rsid w:val="00456FEB"/>
    <w:rsid w:val="00457CD6"/>
    <w:rsid w:val="0046061A"/>
    <w:rsid w:val="0046101B"/>
    <w:rsid w:val="004632E9"/>
    <w:rsid w:val="00463471"/>
    <w:rsid w:val="00463937"/>
    <w:rsid w:val="00463B6D"/>
    <w:rsid w:val="00463EBF"/>
    <w:rsid w:val="00464974"/>
    <w:rsid w:val="00465354"/>
    <w:rsid w:val="00465AC2"/>
    <w:rsid w:val="004664B1"/>
    <w:rsid w:val="0046678C"/>
    <w:rsid w:val="00467934"/>
    <w:rsid w:val="00471933"/>
    <w:rsid w:val="00471A03"/>
    <w:rsid w:val="004725E3"/>
    <w:rsid w:val="00472AB3"/>
    <w:rsid w:val="00473176"/>
    <w:rsid w:val="004732FA"/>
    <w:rsid w:val="00473633"/>
    <w:rsid w:val="00473809"/>
    <w:rsid w:val="00473F4C"/>
    <w:rsid w:val="00475BAE"/>
    <w:rsid w:val="00477B51"/>
    <w:rsid w:val="00480A63"/>
    <w:rsid w:val="00480D38"/>
    <w:rsid w:val="0048108B"/>
    <w:rsid w:val="004810D6"/>
    <w:rsid w:val="0048183D"/>
    <w:rsid w:val="004818BD"/>
    <w:rsid w:val="00481D66"/>
    <w:rsid w:val="0048237C"/>
    <w:rsid w:val="0048292A"/>
    <w:rsid w:val="00483581"/>
    <w:rsid w:val="0048398F"/>
    <w:rsid w:val="00483DF4"/>
    <w:rsid w:val="004845C3"/>
    <w:rsid w:val="00487C43"/>
    <w:rsid w:val="00490322"/>
    <w:rsid w:val="00491348"/>
    <w:rsid w:val="0049157C"/>
    <w:rsid w:val="00492B81"/>
    <w:rsid w:val="00493A94"/>
    <w:rsid w:val="004949F1"/>
    <w:rsid w:val="00496FB5"/>
    <w:rsid w:val="00497F89"/>
    <w:rsid w:val="004A0089"/>
    <w:rsid w:val="004A06C1"/>
    <w:rsid w:val="004A11CB"/>
    <w:rsid w:val="004A1939"/>
    <w:rsid w:val="004A1B34"/>
    <w:rsid w:val="004A1C7B"/>
    <w:rsid w:val="004A3593"/>
    <w:rsid w:val="004A3703"/>
    <w:rsid w:val="004A3C8F"/>
    <w:rsid w:val="004A4519"/>
    <w:rsid w:val="004A64CB"/>
    <w:rsid w:val="004A6E30"/>
    <w:rsid w:val="004A7A34"/>
    <w:rsid w:val="004A7A91"/>
    <w:rsid w:val="004B01FA"/>
    <w:rsid w:val="004B0E3F"/>
    <w:rsid w:val="004B0E90"/>
    <w:rsid w:val="004B3B84"/>
    <w:rsid w:val="004B4254"/>
    <w:rsid w:val="004B47D3"/>
    <w:rsid w:val="004B49A2"/>
    <w:rsid w:val="004C0D69"/>
    <w:rsid w:val="004C274C"/>
    <w:rsid w:val="004C43F2"/>
    <w:rsid w:val="004C46E9"/>
    <w:rsid w:val="004C5909"/>
    <w:rsid w:val="004D1FCF"/>
    <w:rsid w:val="004D3B0F"/>
    <w:rsid w:val="004D3D1A"/>
    <w:rsid w:val="004D5189"/>
    <w:rsid w:val="004D597B"/>
    <w:rsid w:val="004D5A7B"/>
    <w:rsid w:val="004D719E"/>
    <w:rsid w:val="004D7520"/>
    <w:rsid w:val="004E101D"/>
    <w:rsid w:val="004E148B"/>
    <w:rsid w:val="004E1D42"/>
    <w:rsid w:val="004E2CBC"/>
    <w:rsid w:val="004E3535"/>
    <w:rsid w:val="004E396D"/>
    <w:rsid w:val="004E4066"/>
    <w:rsid w:val="004E4A39"/>
    <w:rsid w:val="004E5F60"/>
    <w:rsid w:val="004E61E9"/>
    <w:rsid w:val="004E663D"/>
    <w:rsid w:val="004E75D2"/>
    <w:rsid w:val="004E7682"/>
    <w:rsid w:val="004F0346"/>
    <w:rsid w:val="004F1D4E"/>
    <w:rsid w:val="004F4E37"/>
    <w:rsid w:val="004F5CDB"/>
    <w:rsid w:val="00500861"/>
    <w:rsid w:val="005016C7"/>
    <w:rsid w:val="005019C2"/>
    <w:rsid w:val="00502A53"/>
    <w:rsid w:val="00503996"/>
    <w:rsid w:val="00506FC7"/>
    <w:rsid w:val="00510904"/>
    <w:rsid w:val="00511553"/>
    <w:rsid w:val="00512026"/>
    <w:rsid w:val="00512283"/>
    <w:rsid w:val="00512526"/>
    <w:rsid w:val="00512EB9"/>
    <w:rsid w:val="00513403"/>
    <w:rsid w:val="00513C98"/>
    <w:rsid w:val="00514382"/>
    <w:rsid w:val="0051484B"/>
    <w:rsid w:val="00515419"/>
    <w:rsid w:val="005164F4"/>
    <w:rsid w:val="00516B0E"/>
    <w:rsid w:val="0051762E"/>
    <w:rsid w:val="00517A05"/>
    <w:rsid w:val="00520881"/>
    <w:rsid w:val="0052280F"/>
    <w:rsid w:val="00523319"/>
    <w:rsid w:val="00523D6A"/>
    <w:rsid w:val="005249E4"/>
    <w:rsid w:val="00524ACA"/>
    <w:rsid w:val="00524EC6"/>
    <w:rsid w:val="00525800"/>
    <w:rsid w:val="00526A22"/>
    <w:rsid w:val="005276A8"/>
    <w:rsid w:val="00531DC2"/>
    <w:rsid w:val="00532563"/>
    <w:rsid w:val="00532A3D"/>
    <w:rsid w:val="005337BB"/>
    <w:rsid w:val="00533C82"/>
    <w:rsid w:val="00533D87"/>
    <w:rsid w:val="00534356"/>
    <w:rsid w:val="00534B7B"/>
    <w:rsid w:val="005353DB"/>
    <w:rsid w:val="00535561"/>
    <w:rsid w:val="00536B51"/>
    <w:rsid w:val="00536D2D"/>
    <w:rsid w:val="00537084"/>
    <w:rsid w:val="00537E2D"/>
    <w:rsid w:val="005408E8"/>
    <w:rsid w:val="00541367"/>
    <w:rsid w:val="00542464"/>
    <w:rsid w:val="00542702"/>
    <w:rsid w:val="00542E2B"/>
    <w:rsid w:val="00543D23"/>
    <w:rsid w:val="00543EC3"/>
    <w:rsid w:val="005445B5"/>
    <w:rsid w:val="00546524"/>
    <w:rsid w:val="0055264B"/>
    <w:rsid w:val="00552A1E"/>
    <w:rsid w:val="00552DC2"/>
    <w:rsid w:val="00554026"/>
    <w:rsid w:val="0055473C"/>
    <w:rsid w:val="00554965"/>
    <w:rsid w:val="00554A16"/>
    <w:rsid w:val="00554EF9"/>
    <w:rsid w:val="005552FF"/>
    <w:rsid w:val="0056079A"/>
    <w:rsid w:val="00563A71"/>
    <w:rsid w:val="00563DC2"/>
    <w:rsid w:val="00564BB0"/>
    <w:rsid w:val="005650F0"/>
    <w:rsid w:val="00571273"/>
    <w:rsid w:val="005712BD"/>
    <w:rsid w:val="00572328"/>
    <w:rsid w:val="00572828"/>
    <w:rsid w:val="00572D7E"/>
    <w:rsid w:val="00574AAE"/>
    <w:rsid w:val="00574B33"/>
    <w:rsid w:val="005753BF"/>
    <w:rsid w:val="00575795"/>
    <w:rsid w:val="00575BF3"/>
    <w:rsid w:val="00576426"/>
    <w:rsid w:val="00576878"/>
    <w:rsid w:val="005776C4"/>
    <w:rsid w:val="00582DEF"/>
    <w:rsid w:val="0058461A"/>
    <w:rsid w:val="00584B74"/>
    <w:rsid w:val="00585180"/>
    <w:rsid w:val="00585197"/>
    <w:rsid w:val="005860F3"/>
    <w:rsid w:val="00586A1D"/>
    <w:rsid w:val="00586A49"/>
    <w:rsid w:val="00587316"/>
    <w:rsid w:val="00587358"/>
    <w:rsid w:val="0059053E"/>
    <w:rsid w:val="00590776"/>
    <w:rsid w:val="00591F30"/>
    <w:rsid w:val="005922FE"/>
    <w:rsid w:val="005929F1"/>
    <w:rsid w:val="00593451"/>
    <w:rsid w:val="00593CB8"/>
    <w:rsid w:val="00594805"/>
    <w:rsid w:val="00595480"/>
    <w:rsid w:val="005957B5"/>
    <w:rsid w:val="00595DCD"/>
    <w:rsid w:val="00595E5A"/>
    <w:rsid w:val="00596DF0"/>
    <w:rsid w:val="005A07A7"/>
    <w:rsid w:val="005A082D"/>
    <w:rsid w:val="005A1C55"/>
    <w:rsid w:val="005A3976"/>
    <w:rsid w:val="005A4B37"/>
    <w:rsid w:val="005A695B"/>
    <w:rsid w:val="005A73DB"/>
    <w:rsid w:val="005A774F"/>
    <w:rsid w:val="005A7850"/>
    <w:rsid w:val="005A7D00"/>
    <w:rsid w:val="005A7FEC"/>
    <w:rsid w:val="005B04E5"/>
    <w:rsid w:val="005B053C"/>
    <w:rsid w:val="005B1220"/>
    <w:rsid w:val="005B46C3"/>
    <w:rsid w:val="005B4D3D"/>
    <w:rsid w:val="005B5FF9"/>
    <w:rsid w:val="005B7785"/>
    <w:rsid w:val="005C0731"/>
    <w:rsid w:val="005C25CC"/>
    <w:rsid w:val="005C3AD0"/>
    <w:rsid w:val="005C50BC"/>
    <w:rsid w:val="005C5BBD"/>
    <w:rsid w:val="005C5E63"/>
    <w:rsid w:val="005C6A79"/>
    <w:rsid w:val="005C7185"/>
    <w:rsid w:val="005C79B8"/>
    <w:rsid w:val="005D26D5"/>
    <w:rsid w:val="005D7250"/>
    <w:rsid w:val="005E10A1"/>
    <w:rsid w:val="005E43F7"/>
    <w:rsid w:val="005E4DAD"/>
    <w:rsid w:val="005E5090"/>
    <w:rsid w:val="005E53F7"/>
    <w:rsid w:val="005E566E"/>
    <w:rsid w:val="005E57BF"/>
    <w:rsid w:val="005E6764"/>
    <w:rsid w:val="005F0236"/>
    <w:rsid w:val="005F02EF"/>
    <w:rsid w:val="005F1D58"/>
    <w:rsid w:val="005F25CA"/>
    <w:rsid w:val="005F293E"/>
    <w:rsid w:val="005F3920"/>
    <w:rsid w:val="005F3CC6"/>
    <w:rsid w:val="005F40D6"/>
    <w:rsid w:val="005F6328"/>
    <w:rsid w:val="005F6BC9"/>
    <w:rsid w:val="0060065D"/>
    <w:rsid w:val="00601899"/>
    <w:rsid w:val="00602172"/>
    <w:rsid w:val="00602890"/>
    <w:rsid w:val="00603180"/>
    <w:rsid w:val="00603AD7"/>
    <w:rsid w:val="00603DDF"/>
    <w:rsid w:val="006042B6"/>
    <w:rsid w:val="006045EC"/>
    <w:rsid w:val="00604A7C"/>
    <w:rsid w:val="006055B8"/>
    <w:rsid w:val="00606064"/>
    <w:rsid w:val="0060706D"/>
    <w:rsid w:val="00607148"/>
    <w:rsid w:val="00607188"/>
    <w:rsid w:val="00607337"/>
    <w:rsid w:val="00610790"/>
    <w:rsid w:val="00611EBB"/>
    <w:rsid w:val="00612034"/>
    <w:rsid w:val="006128D8"/>
    <w:rsid w:val="00613990"/>
    <w:rsid w:val="006149EF"/>
    <w:rsid w:val="0061659A"/>
    <w:rsid w:val="006175C6"/>
    <w:rsid w:val="006179B4"/>
    <w:rsid w:val="00620110"/>
    <w:rsid w:val="00621082"/>
    <w:rsid w:val="006216B9"/>
    <w:rsid w:val="006218CF"/>
    <w:rsid w:val="00624C00"/>
    <w:rsid w:val="006265DD"/>
    <w:rsid w:val="006306DD"/>
    <w:rsid w:val="00633074"/>
    <w:rsid w:val="00633C38"/>
    <w:rsid w:val="00635268"/>
    <w:rsid w:val="00635EDA"/>
    <w:rsid w:val="00636231"/>
    <w:rsid w:val="006366C0"/>
    <w:rsid w:val="00636D76"/>
    <w:rsid w:val="006375AE"/>
    <w:rsid w:val="006410BE"/>
    <w:rsid w:val="006416D1"/>
    <w:rsid w:val="00641A0B"/>
    <w:rsid w:val="006421EB"/>
    <w:rsid w:val="00643391"/>
    <w:rsid w:val="006440B7"/>
    <w:rsid w:val="006460E7"/>
    <w:rsid w:val="0064712F"/>
    <w:rsid w:val="006515AD"/>
    <w:rsid w:val="00651A4F"/>
    <w:rsid w:val="00652596"/>
    <w:rsid w:val="00653CB8"/>
    <w:rsid w:val="0065525F"/>
    <w:rsid w:val="0065621F"/>
    <w:rsid w:val="00656660"/>
    <w:rsid w:val="00656781"/>
    <w:rsid w:val="00657497"/>
    <w:rsid w:val="00657B2C"/>
    <w:rsid w:val="00660D7E"/>
    <w:rsid w:val="006618AE"/>
    <w:rsid w:val="00661A74"/>
    <w:rsid w:val="00661ACA"/>
    <w:rsid w:val="00662455"/>
    <w:rsid w:val="006627B0"/>
    <w:rsid w:val="00662933"/>
    <w:rsid w:val="00662A93"/>
    <w:rsid w:val="00663935"/>
    <w:rsid w:val="00663C66"/>
    <w:rsid w:val="0066467F"/>
    <w:rsid w:val="006647E6"/>
    <w:rsid w:val="006657E3"/>
    <w:rsid w:val="00667855"/>
    <w:rsid w:val="006707A3"/>
    <w:rsid w:val="00671080"/>
    <w:rsid w:val="00671D1D"/>
    <w:rsid w:val="00672FFC"/>
    <w:rsid w:val="0067315A"/>
    <w:rsid w:val="00674270"/>
    <w:rsid w:val="00675B9B"/>
    <w:rsid w:val="00680099"/>
    <w:rsid w:val="00680EBD"/>
    <w:rsid w:val="00680ED6"/>
    <w:rsid w:val="0068286F"/>
    <w:rsid w:val="00683DDA"/>
    <w:rsid w:val="006841B0"/>
    <w:rsid w:val="006852FF"/>
    <w:rsid w:val="0068560A"/>
    <w:rsid w:val="00687AA0"/>
    <w:rsid w:val="00691BC2"/>
    <w:rsid w:val="00691CAA"/>
    <w:rsid w:val="00693C0C"/>
    <w:rsid w:val="00694CEB"/>
    <w:rsid w:val="0069607F"/>
    <w:rsid w:val="00697567"/>
    <w:rsid w:val="006A1A00"/>
    <w:rsid w:val="006A25F8"/>
    <w:rsid w:val="006A78A8"/>
    <w:rsid w:val="006A7A0C"/>
    <w:rsid w:val="006B05A6"/>
    <w:rsid w:val="006B0606"/>
    <w:rsid w:val="006B11E7"/>
    <w:rsid w:val="006B2180"/>
    <w:rsid w:val="006B2400"/>
    <w:rsid w:val="006B3A26"/>
    <w:rsid w:val="006B3E3B"/>
    <w:rsid w:val="006B4186"/>
    <w:rsid w:val="006B469E"/>
    <w:rsid w:val="006B4F91"/>
    <w:rsid w:val="006B56EE"/>
    <w:rsid w:val="006B5715"/>
    <w:rsid w:val="006B7946"/>
    <w:rsid w:val="006C10AC"/>
    <w:rsid w:val="006C2544"/>
    <w:rsid w:val="006C34C4"/>
    <w:rsid w:val="006C4404"/>
    <w:rsid w:val="006C4C9C"/>
    <w:rsid w:val="006C5535"/>
    <w:rsid w:val="006C5E62"/>
    <w:rsid w:val="006C611B"/>
    <w:rsid w:val="006D0F13"/>
    <w:rsid w:val="006D12A9"/>
    <w:rsid w:val="006D2221"/>
    <w:rsid w:val="006D3016"/>
    <w:rsid w:val="006D36F8"/>
    <w:rsid w:val="006D5F71"/>
    <w:rsid w:val="006D63ED"/>
    <w:rsid w:val="006D65F2"/>
    <w:rsid w:val="006D777D"/>
    <w:rsid w:val="006D7846"/>
    <w:rsid w:val="006D7CF2"/>
    <w:rsid w:val="006E05E4"/>
    <w:rsid w:val="006E0B98"/>
    <w:rsid w:val="006E0EFD"/>
    <w:rsid w:val="006E11F3"/>
    <w:rsid w:val="006E1E6A"/>
    <w:rsid w:val="006E4001"/>
    <w:rsid w:val="006E4581"/>
    <w:rsid w:val="006E49C3"/>
    <w:rsid w:val="006E53D3"/>
    <w:rsid w:val="006E7757"/>
    <w:rsid w:val="006F001A"/>
    <w:rsid w:val="006F097C"/>
    <w:rsid w:val="006F1C92"/>
    <w:rsid w:val="006F36BE"/>
    <w:rsid w:val="006F3FB0"/>
    <w:rsid w:val="006F4FC2"/>
    <w:rsid w:val="006F58A5"/>
    <w:rsid w:val="006F6C77"/>
    <w:rsid w:val="006F7153"/>
    <w:rsid w:val="007020AF"/>
    <w:rsid w:val="00703B02"/>
    <w:rsid w:val="0070554C"/>
    <w:rsid w:val="0070572E"/>
    <w:rsid w:val="007057D1"/>
    <w:rsid w:val="00705F1C"/>
    <w:rsid w:val="00706532"/>
    <w:rsid w:val="00707664"/>
    <w:rsid w:val="007100C8"/>
    <w:rsid w:val="007101EA"/>
    <w:rsid w:val="00710481"/>
    <w:rsid w:val="00711349"/>
    <w:rsid w:val="00712981"/>
    <w:rsid w:val="007137C6"/>
    <w:rsid w:val="0071387F"/>
    <w:rsid w:val="0071388D"/>
    <w:rsid w:val="00713A5A"/>
    <w:rsid w:val="00713ADD"/>
    <w:rsid w:val="00714877"/>
    <w:rsid w:val="00714C55"/>
    <w:rsid w:val="00716022"/>
    <w:rsid w:val="00716C3E"/>
    <w:rsid w:val="0072125C"/>
    <w:rsid w:val="00721A4F"/>
    <w:rsid w:val="00722E24"/>
    <w:rsid w:val="0072329D"/>
    <w:rsid w:val="007236ED"/>
    <w:rsid w:val="00723C5D"/>
    <w:rsid w:val="0072516E"/>
    <w:rsid w:val="007263A0"/>
    <w:rsid w:val="0072775E"/>
    <w:rsid w:val="00727FD1"/>
    <w:rsid w:val="0073089E"/>
    <w:rsid w:val="00731783"/>
    <w:rsid w:val="00731F93"/>
    <w:rsid w:val="007337D6"/>
    <w:rsid w:val="00734E65"/>
    <w:rsid w:val="0073554B"/>
    <w:rsid w:val="00735DF8"/>
    <w:rsid w:val="0073612C"/>
    <w:rsid w:val="0073715C"/>
    <w:rsid w:val="00740E86"/>
    <w:rsid w:val="00741CF7"/>
    <w:rsid w:val="00742156"/>
    <w:rsid w:val="00742617"/>
    <w:rsid w:val="0074368E"/>
    <w:rsid w:val="007439E5"/>
    <w:rsid w:val="00746912"/>
    <w:rsid w:val="00746BC6"/>
    <w:rsid w:val="00750736"/>
    <w:rsid w:val="0075113F"/>
    <w:rsid w:val="0075206A"/>
    <w:rsid w:val="00752A2B"/>
    <w:rsid w:val="007550F8"/>
    <w:rsid w:val="007558A8"/>
    <w:rsid w:val="00756E0E"/>
    <w:rsid w:val="00761602"/>
    <w:rsid w:val="00762DFA"/>
    <w:rsid w:val="00764F0B"/>
    <w:rsid w:val="00765C89"/>
    <w:rsid w:val="00765EBA"/>
    <w:rsid w:val="0076618F"/>
    <w:rsid w:val="007704E0"/>
    <w:rsid w:val="00771FB6"/>
    <w:rsid w:val="0077212E"/>
    <w:rsid w:val="00772D7A"/>
    <w:rsid w:val="00776352"/>
    <w:rsid w:val="00776738"/>
    <w:rsid w:val="00776AE4"/>
    <w:rsid w:val="00776BF7"/>
    <w:rsid w:val="007808A0"/>
    <w:rsid w:val="007833EE"/>
    <w:rsid w:val="00786FAA"/>
    <w:rsid w:val="00787D76"/>
    <w:rsid w:val="00791856"/>
    <w:rsid w:val="00792C99"/>
    <w:rsid w:val="00792F57"/>
    <w:rsid w:val="007943A1"/>
    <w:rsid w:val="00794F98"/>
    <w:rsid w:val="00796640"/>
    <w:rsid w:val="007968A3"/>
    <w:rsid w:val="00797CA0"/>
    <w:rsid w:val="007A04C8"/>
    <w:rsid w:val="007A0D59"/>
    <w:rsid w:val="007A1CBD"/>
    <w:rsid w:val="007A289A"/>
    <w:rsid w:val="007A3B4B"/>
    <w:rsid w:val="007A4944"/>
    <w:rsid w:val="007A6D3B"/>
    <w:rsid w:val="007A6E3C"/>
    <w:rsid w:val="007B0D1A"/>
    <w:rsid w:val="007B229A"/>
    <w:rsid w:val="007B2646"/>
    <w:rsid w:val="007B2F2A"/>
    <w:rsid w:val="007B553F"/>
    <w:rsid w:val="007C002F"/>
    <w:rsid w:val="007C1FB8"/>
    <w:rsid w:val="007C5A0B"/>
    <w:rsid w:val="007C5BE3"/>
    <w:rsid w:val="007C6141"/>
    <w:rsid w:val="007C6578"/>
    <w:rsid w:val="007C71CB"/>
    <w:rsid w:val="007D095A"/>
    <w:rsid w:val="007D3141"/>
    <w:rsid w:val="007D33AD"/>
    <w:rsid w:val="007D39AD"/>
    <w:rsid w:val="007D405E"/>
    <w:rsid w:val="007D433F"/>
    <w:rsid w:val="007D51DA"/>
    <w:rsid w:val="007D5CD2"/>
    <w:rsid w:val="007D6043"/>
    <w:rsid w:val="007D65CD"/>
    <w:rsid w:val="007D697A"/>
    <w:rsid w:val="007E0F66"/>
    <w:rsid w:val="007E112A"/>
    <w:rsid w:val="007E15A7"/>
    <w:rsid w:val="007E1B3E"/>
    <w:rsid w:val="007E2307"/>
    <w:rsid w:val="007E3384"/>
    <w:rsid w:val="007E5DA8"/>
    <w:rsid w:val="007E6942"/>
    <w:rsid w:val="007E6D8C"/>
    <w:rsid w:val="007E6EC4"/>
    <w:rsid w:val="007E72F9"/>
    <w:rsid w:val="007E732E"/>
    <w:rsid w:val="007E773E"/>
    <w:rsid w:val="007F06C8"/>
    <w:rsid w:val="007F3860"/>
    <w:rsid w:val="007F405E"/>
    <w:rsid w:val="007F420E"/>
    <w:rsid w:val="007F4602"/>
    <w:rsid w:val="007F48EE"/>
    <w:rsid w:val="007F5BEC"/>
    <w:rsid w:val="007F5D11"/>
    <w:rsid w:val="007F7D4A"/>
    <w:rsid w:val="00800687"/>
    <w:rsid w:val="00801864"/>
    <w:rsid w:val="008022DB"/>
    <w:rsid w:val="00802FF8"/>
    <w:rsid w:val="0080515F"/>
    <w:rsid w:val="008052D4"/>
    <w:rsid w:val="00806473"/>
    <w:rsid w:val="00806A5D"/>
    <w:rsid w:val="00806DCA"/>
    <w:rsid w:val="00815698"/>
    <w:rsid w:val="00815F33"/>
    <w:rsid w:val="0081634A"/>
    <w:rsid w:val="00817BBB"/>
    <w:rsid w:val="0082210B"/>
    <w:rsid w:val="0082327D"/>
    <w:rsid w:val="0082515B"/>
    <w:rsid w:val="008254B5"/>
    <w:rsid w:val="00825A2D"/>
    <w:rsid w:val="0082602A"/>
    <w:rsid w:val="00826A0B"/>
    <w:rsid w:val="008275F7"/>
    <w:rsid w:val="00830406"/>
    <w:rsid w:val="008317AC"/>
    <w:rsid w:val="00832ED2"/>
    <w:rsid w:val="0083395F"/>
    <w:rsid w:val="00835472"/>
    <w:rsid w:val="00835CF4"/>
    <w:rsid w:val="008363CB"/>
    <w:rsid w:val="00837881"/>
    <w:rsid w:val="00840E9E"/>
    <w:rsid w:val="00841A34"/>
    <w:rsid w:val="008434C3"/>
    <w:rsid w:val="0084356B"/>
    <w:rsid w:val="00843BAB"/>
    <w:rsid w:val="00844B8E"/>
    <w:rsid w:val="00845140"/>
    <w:rsid w:val="00845470"/>
    <w:rsid w:val="00845520"/>
    <w:rsid w:val="00846829"/>
    <w:rsid w:val="00846B28"/>
    <w:rsid w:val="00847FA4"/>
    <w:rsid w:val="00850539"/>
    <w:rsid w:val="00851185"/>
    <w:rsid w:val="00853A7A"/>
    <w:rsid w:val="0085487D"/>
    <w:rsid w:val="00855012"/>
    <w:rsid w:val="00855DBA"/>
    <w:rsid w:val="00855EA1"/>
    <w:rsid w:val="008578F9"/>
    <w:rsid w:val="00860531"/>
    <w:rsid w:val="00860786"/>
    <w:rsid w:val="00861800"/>
    <w:rsid w:val="00861ACE"/>
    <w:rsid w:val="00861E53"/>
    <w:rsid w:val="00861ECA"/>
    <w:rsid w:val="0086572E"/>
    <w:rsid w:val="008664F1"/>
    <w:rsid w:val="00867EA9"/>
    <w:rsid w:val="00870124"/>
    <w:rsid w:val="00870ACD"/>
    <w:rsid w:val="008715C8"/>
    <w:rsid w:val="00872002"/>
    <w:rsid w:val="008723F0"/>
    <w:rsid w:val="0087386B"/>
    <w:rsid w:val="008742B9"/>
    <w:rsid w:val="00874CF9"/>
    <w:rsid w:val="00876C73"/>
    <w:rsid w:val="0087787B"/>
    <w:rsid w:val="0088084C"/>
    <w:rsid w:val="00881CA2"/>
    <w:rsid w:val="00882FB0"/>
    <w:rsid w:val="00883780"/>
    <w:rsid w:val="00883993"/>
    <w:rsid w:val="008840EB"/>
    <w:rsid w:val="008843B7"/>
    <w:rsid w:val="00885889"/>
    <w:rsid w:val="00892B6E"/>
    <w:rsid w:val="00894797"/>
    <w:rsid w:val="00894A85"/>
    <w:rsid w:val="0089559A"/>
    <w:rsid w:val="008A0B9F"/>
    <w:rsid w:val="008A1CD8"/>
    <w:rsid w:val="008A2B27"/>
    <w:rsid w:val="008A30B2"/>
    <w:rsid w:val="008A33B5"/>
    <w:rsid w:val="008A3933"/>
    <w:rsid w:val="008A3ABD"/>
    <w:rsid w:val="008A44EB"/>
    <w:rsid w:val="008A724F"/>
    <w:rsid w:val="008A7BED"/>
    <w:rsid w:val="008B019B"/>
    <w:rsid w:val="008B0799"/>
    <w:rsid w:val="008B1908"/>
    <w:rsid w:val="008B1EF9"/>
    <w:rsid w:val="008B27C3"/>
    <w:rsid w:val="008B399B"/>
    <w:rsid w:val="008B40BC"/>
    <w:rsid w:val="008B4E10"/>
    <w:rsid w:val="008B53EE"/>
    <w:rsid w:val="008B5408"/>
    <w:rsid w:val="008B54D4"/>
    <w:rsid w:val="008B5F31"/>
    <w:rsid w:val="008B6834"/>
    <w:rsid w:val="008B69FD"/>
    <w:rsid w:val="008B71EC"/>
    <w:rsid w:val="008B7414"/>
    <w:rsid w:val="008C02F2"/>
    <w:rsid w:val="008C03DD"/>
    <w:rsid w:val="008C1B0C"/>
    <w:rsid w:val="008C25CC"/>
    <w:rsid w:val="008C2D1B"/>
    <w:rsid w:val="008C33A5"/>
    <w:rsid w:val="008C3B6C"/>
    <w:rsid w:val="008C3BA0"/>
    <w:rsid w:val="008C4556"/>
    <w:rsid w:val="008C524D"/>
    <w:rsid w:val="008C59BE"/>
    <w:rsid w:val="008C6A89"/>
    <w:rsid w:val="008D0EEE"/>
    <w:rsid w:val="008D1986"/>
    <w:rsid w:val="008D2F1D"/>
    <w:rsid w:val="008D3900"/>
    <w:rsid w:val="008D3AFF"/>
    <w:rsid w:val="008D68EF"/>
    <w:rsid w:val="008D79A9"/>
    <w:rsid w:val="008D7A98"/>
    <w:rsid w:val="008E45D7"/>
    <w:rsid w:val="008E4AF4"/>
    <w:rsid w:val="008E5CDE"/>
    <w:rsid w:val="008E7C2A"/>
    <w:rsid w:val="008F0145"/>
    <w:rsid w:val="008F0D36"/>
    <w:rsid w:val="008F0E58"/>
    <w:rsid w:val="008F155D"/>
    <w:rsid w:val="008F2E0C"/>
    <w:rsid w:val="008F3DBE"/>
    <w:rsid w:val="008F52B7"/>
    <w:rsid w:val="008F5444"/>
    <w:rsid w:val="008F5DB7"/>
    <w:rsid w:val="008F6788"/>
    <w:rsid w:val="008F6E1F"/>
    <w:rsid w:val="00900E1C"/>
    <w:rsid w:val="0090205A"/>
    <w:rsid w:val="00902275"/>
    <w:rsid w:val="00904857"/>
    <w:rsid w:val="00904CCC"/>
    <w:rsid w:val="0090511A"/>
    <w:rsid w:val="0090556A"/>
    <w:rsid w:val="00905902"/>
    <w:rsid w:val="00906EE7"/>
    <w:rsid w:val="009079DD"/>
    <w:rsid w:val="009102F1"/>
    <w:rsid w:val="009103EC"/>
    <w:rsid w:val="00911128"/>
    <w:rsid w:val="00911CF4"/>
    <w:rsid w:val="00914835"/>
    <w:rsid w:val="00915900"/>
    <w:rsid w:val="00917E09"/>
    <w:rsid w:val="00921084"/>
    <w:rsid w:val="00923C9A"/>
    <w:rsid w:val="009240DA"/>
    <w:rsid w:val="00926DB7"/>
    <w:rsid w:val="00926E54"/>
    <w:rsid w:val="00926F68"/>
    <w:rsid w:val="00926F76"/>
    <w:rsid w:val="00926FDB"/>
    <w:rsid w:val="00927A55"/>
    <w:rsid w:val="00930511"/>
    <w:rsid w:val="009316FD"/>
    <w:rsid w:val="00931E04"/>
    <w:rsid w:val="0093213E"/>
    <w:rsid w:val="0093227F"/>
    <w:rsid w:val="009335CE"/>
    <w:rsid w:val="00933AEA"/>
    <w:rsid w:val="00933C6D"/>
    <w:rsid w:val="009347C2"/>
    <w:rsid w:val="00934B8A"/>
    <w:rsid w:val="009360FF"/>
    <w:rsid w:val="009373B5"/>
    <w:rsid w:val="00937A04"/>
    <w:rsid w:val="00937FC7"/>
    <w:rsid w:val="00937FED"/>
    <w:rsid w:val="00940045"/>
    <w:rsid w:val="0094179F"/>
    <w:rsid w:val="00941C12"/>
    <w:rsid w:val="00941ED5"/>
    <w:rsid w:val="00943CEA"/>
    <w:rsid w:val="0094510C"/>
    <w:rsid w:val="0094558D"/>
    <w:rsid w:val="00950B8F"/>
    <w:rsid w:val="00950D0A"/>
    <w:rsid w:val="009515A9"/>
    <w:rsid w:val="009515F9"/>
    <w:rsid w:val="00951E22"/>
    <w:rsid w:val="00952FCF"/>
    <w:rsid w:val="00954308"/>
    <w:rsid w:val="009553B9"/>
    <w:rsid w:val="009571A8"/>
    <w:rsid w:val="00960E09"/>
    <w:rsid w:val="00960EAE"/>
    <w:rsid w:val="00961A1B"/>
    <w:rsid w:val="00961AB4"/>
    <w:rsid w:val="00963ABB"/>
    <w:rsid w:val="00965E54"/>
    <w:rsid w:val="0096758A"/>
    <w:rsid w:val="00971730"/>
    <w:rsid w:val="00971D92"/>
    <w:rsid w:val="00972D49"/>
    <w:rsid w:val="00972DCA"/>
    <w:rsid w:val="00973C31"/>
    <w:rsid w:val="00973E71"/>
    <w:rsid w:val="00973EB6"/>
    <w:rsid w:val="0097463D"/>
    <w:rsid w:val="009752E0"/>
    <w:rsid w:val="009754E5"/>
    <w:rsid w:val="00975D29"/>
    <w:rsid w:val="00977F3D"/>
    <w:rsid w:val="009816E1"/>
    <w:rsid w:val="00981D33"/>
    <w:rsid w:val="00982E88"/>
    <w:rsid w:val="00986A71"/>
    <w:rsid w:val="00987157"/>
    <w:rsid w:val="00990578"/>
    <w:rsid w:val="009907E8"/>
    <w:rsid w:val="009911FD"/>
    <w:rsid w:val="00991255"/>
    <w:rsid w:val="00993381"/>
    <w:rsid w:val="00994A2E"/>
    <w:rsid w:val="00995360"/>
    <w:rsid w:val="00995BFF"/>
    <w:rsid w:val="00995E00"/>
    <w:rsid w:val="00996AE2"/>
    <w:rsid w:val="009972BA"/>
    <w:rsid w:val="009A006E"/>
    <w:rsid w:val="009A086B"/>
    <w:rsid w:val="009A0A59"/>
    <w:rsid w:val="009A29D9"/>
    <w:rsid w:val="009A4DBE"/>
    <w:rsid w:val="009A51B9"/>
    <w:rsid w:val="009A549D"/>
    <w:rsid w:val="009A5883"/>
    <w:rsid w:val="009A5F05"/>
    <w:rsid w:val="009A7942"/>
    <w:rsid w:val="009B1D68"/>
    <w:rsid w:val="009B38ED"/>
    <w:rsid w:val="009B3C90"/>
    <w:rsid w:val="009B3DCC"/>
    <w:rsid w:val="009B423A"/>
    <w:rsid w:val="009B4645"/>
    <w:rsid w:val="009B4B5E"/>
    <w:rsid w:val="009B4F1B"/>
    <w:rsid w:val="009B6D2F"/>
    <w:rsid w:val="009B7D3F"/>
    <w:rsid w:val="009C1A47"/>
    <w:rsid w:val="009C31AE"/>
    <w:rsid w:val="009C3C82"/>
    <w:rsid w:val="009C51F6"/>
    <w:rsid w:val="009C5918"/>
    <w:rsid w:val="009C627A"/>
    <w:rsid w:val="009C6F7D"/>
    <w:rsid w:val="009C7DAC"/>
    <w:rsid w:val="009C7E6A"/>
    <w:rsid w:val="009D1034"/>
    <w:rsid w:val="009D187F"/>
    <w:rsid w:val="009D263B"/>
    <w:rsid w:val="009D5C8F"/>
    <w:rsid w:val="009D5D6E"/>
    <w:rsid w:val="009D6957"/>
    <w:rsid w:val="009D6B96"/>
    <w:rsid w:val="009D6F4C"/>
    <w:rsid w:val="009E088A"/>
    <w:rsid w:val="009E25FA"/>
    <w:rsid w:val="009E3F67"/>
    <w:rsid w:val="009E3F8A"/>
    <w:rsid w:val="009E48DB"/>
    <w:rsid w:val="009E5AF0"/>
    <w:rsid w:val="009E5F8A"/>
    <w:rsid w:val="009E692E"/>
    <w:rsid w:val="009F1A45"/>
    <w:rsid w:val="009F2235"/>
    <w:rsid w:val="009F22A4"/>
    <w:rsid w:val="009F27E1"/>
    <w:rsid w:val="009F2C25"/>
    <w:rsid w:val="009F411B"/>
    <w:rsid w:val="009F45D7"/>
    <w:rsid w:val="009F485F"/>
    <w:rsid w:val="009F5676"/>
    <w:rsid w:val="009F5CC5"/>
    <w:rsid w:val="009F5D9F"/>
    <w:rsid w:val="009F62A7"/>
    <w:rsid w:val="009F6DEE"/>
    <w:rsid w:val="009F76FC"/>
    <w:rsid w:val="00A01728"/>
    <w:rsid w:val="00A020C8"/>
    <w:rsid w:val="00A02B9F"/>
    <w:rsid w:val="00A02F8C"/>
    <w:rsid w:val="00A0396C"/>
    <w:rsid w:val="00A050D4"/>
    <w:rsid w:val="00A065ED"/>
    <w:rsid w:val="00A070D5"/>
    <w:rsid w:val="00A11588"/>
    <w:rsid w:val="00A118A6"/>
    <w:rsid w:val="00A12198"/>
    <w:rsid w:val="00A12E66"/>
    <w:rsid w:val="00A13301"/>
    <w:rsid w:val="00A13ABC"/>
    <w:rsid w:val="00A13BEA"/>
    <w:rsid w:val="00A14144"/>
    <w:rsid w:val="00A15698"/>
    <w:rsid w:val="00A15FE8"/>
    <w:rsid w:val="00A17BA0"/>
    <w:rsid w:val="00A23C9F"/>
    <w:rsid w:val="00A2584A"/>
    <w:rsid w:val="00A2618D"/>
    <w:rsid w:val="00A27A0B"/>
    <w:rsid w:val="00A303E9"/>
    <w:rsid w:val="00A30599"/>
    <w:rsid w:val="00A30E3F"/>
    <w:rsid w:val="00A323F2"/>
    <w:rsid w:val="00A32BA6"/>
    <w:rsid w:val="00A34DF6"/>
    <w:rsid w:val="00A35D4D"/>
    <w:rsid w:val="00A36711"/>
    <w:rsid w:val="00A37055"/>
    <w:rsid w:val="00A37759"/>
    <w:rsid w:val="00A37C8C"/>
    <w:rsid w:val="00A4038F"/>
    <w:rsid w:val="00A403D9"/>
    <w:rsid w:val="00A41E85"/>
    <w:rsid w:val="00A42F85"/>
    <w:rsid w:val="00A43072"/>
    <w:rsid w:val="00A433DD"/>
    <w:rsid w:val="00A43905"/>
    <w:rsid w:val="00A43DE2"/>
    <w:rsid w:val="00A4420A"/>
    <w:rsid w:val="00A45032"/>
    <w:rsid w:val="00A46FDE"/>
    <w:rsid w:val="00A50AAF"/>
    <w:rsid w:val="00A525B2"/>
    <w:rsid w:val="00A52F3D"/>
    <w:rsid w:val="00A540AE"/>
    <w:rsid w:val="00A5438D"/>
    <w:rsid w:val="00A548CB"/>
    <w:rsid w:val="00A54AD7"/>
    <w:rsid w:val="00A55F2A"/>
    <w:rsid w:val="00A56D9D"/>
    <w:rsid w:val="00A56FBA"/>
    <w:rsid w:val="00A609CC"/>
    <w:rsid w:val="00A60EDC"/>
    <w:rsid w:val="00A6227C"/>
    <w:rsid w:val="00A63185"/>
    <w:rsid w:val="00A64BF6"/>
    <w:rsid w:val="00A65033"/>
    <w:rsid w:val="00A65BA0"/>
    <w:rsid w:val="00A65D30"/>
    <w:rsid w:val="00A66A32"/>
    <w:rsid w:val="00A66DC2"/>
    <w:rsid w:val="00A70285"/>
    <w:rsid w:val="00A70A83"/>
    <w:rsid w:val="00A71162"/>
    <w:rsid w:val="00A71404"/>
    <w:rsid w:val="00A73041"/>
    <w:rsid w:val="00A731BB"/>
    <w:rsid w:val="00A74A06"/>
    <w:rsid w:val="00A7584F"/>
    <w:rsid w:val="00A76F89"/>
    <w:rsid w:val="00A77A0E"/>
    <w:rsid w:val="00A77C80"/>
    <w:rsid w:val="00A8339A"/>
    <w:rsid w:val="00A83633"/>
    <w:rsid w:val="00A84DEF"/>
    <w:rsid w:val="00A85245"/>
    <w:rsid w:val="00A85764"/>
    <w:rsid w:val="00A8630A"/>
    <w:rsid w:val="00A8719B"/>
    <w:rsid w:val="00A87CFB"/>
    <w:rsid w:val="00A87F85"/>
    <w:rsid w:val="00A90E35"/>
    <w:rsid w:val="00A90F9E"/>
    <w:rsid w:val="00A91B15"/>
    <w:rsid w:val="00A92754"/>
    <w:rsid w:val="00A93332"/>
    <w:rsid w:val="00A95AB9"/>
    <w:rsid w:val="00A96417"/>
    <w:rsid w:val="00A973CC"/>
    <w:rsid w:val="00A9786E"/>
    <w:rsid w:val="00A979E1"/>
    <w:rsid w:val="00AA0542"/>
    <w:rsid w:val="00AA06DD"/>
    <w:rsid w:val="00AA1140"/>
    <w:rsid w:val="00AA11BC"/>
    <w:rsid w:val="00AA241F"/>
    <w:rsid w:val="00AA249A"/>
    <w:rsid w:val="00AA2897"/>
    <w:rsid w:val="00AA313B"/>
    <w:rsid w:val="00AA44C6"/>
    <w:rsid w:val="00AA587A"/>
    <w:rsid w:val="00AA5B3E"/>
    <w:rsid w:val="00AA5E52"/>
    <w:rsid w:val="00AA6073"/>
    <w:rsid w:val="00AA740C"/>
    <w:rsid w:val="00AA7538"/>
    <w:rsid w:val="00AA7544"/>
    <w:rsid w:val="00AA78A0"/>
    <w:rsid w:val="00AB2BD4"/>
    <w:rsid w:val="00AB3655"/>
    <w:rsid w:val="00AB3808"/>
    <w:rsid w:val="00AB3A88"/>
    <w:rsid w:val="00AB433D"/>
    <w:rsid w:val="00AB4A18"/>
    <w:rsid w:val="00AB788B"/>
    <w:rsid w:val="00AB7C4C"/>
    <w:rsid w:val="00AC14CC"/>
    <w:rsid w:val="00AC16C7"/>
    <w:rsid w:val="00AC1F1B"/>
    <w:rsid w:val="00AC2A6A"/>
    <w:rsid w:val="00AC3438"/>
    <w:rsid w:val="00AC35D4"/>
    <w:rsid w:val="00AC4360"/>
    <w:rsid w:val="00AC63F1"/>
    <w:rsid w:val="00AC657F"/>
    <w:rsid w:val="00AC6586"/>
    <w:rsid w:val="00AC699A"/>
    <w:rsid w:val="00AC69DA"/>
    <w:rsid w:val="00AC69FA"/>
    <w:rsid w:val="00AC74E6"/>
    <w:rsid w:val="00AD0DED"/>
    <w:rsid w:val="00AD1057"/>
    <w:rsid w:val="00AD3D2C"/>
    <w:rsid w:val="00AD452A"/>
    <w:rsid w:val="00AD4E32"/>
    <w:rsid w:val="00AD6146"/>
    <w:rsid w:val="00AE0309"/>
    <w:rsid w:val="00AE0D9C"/>
    <w:rsid w:val="00AE1C9B"/>
    <w:rsid w:val="00AE1CB7"/>
    <w:rsid w:val="00AE3B65"/>
    <w:rsid w:val="00AE4DAF"/>
    <w:rsid w:val="00AE5D50"/>
    <w:rsid w:val="00AE6868"/>
    <w:rsid w:val="00AE6BF7"/>
    <w:rsid w:val="00AF0E96"/>
    <w:rsid w:val="00AF1CE5"/>
    <w:rsid w:val="00AF22E0"/>
    <w:rsid w:val="00AF4E84"/>
    <w:rsid w:val="00AF562E"/>
    <w:rsid w:val="00B00717"/>
    <w:rsid w:val="00B022E5"/>
    <w:rsid w:val="00B03428"/>
    <w:rsid w:val="00B045FF"/>
    <w:rsid w:val="00B04837"/>
    <w:rsid w:val="00B050B1"/>
    <w:rsid w:val="00B05265"/>
    <w:rsid w:val="00B061EF"/>
    <w:rsid w:val="00B0699D"/>
    <w:rsid w:val="00B06E60"/>
    <w:rsid w:val="00B07DC5"/>
    <w:rsid w:val="00B1048A"/>
    <w:rsid w:val="00B10688"/>
    <w:rsid w:val="00B10A3D"/>
    <w:rsid w:val="00B10FEB"/>
    <w:rsid w:val="00B11640"/>
    <w:rsid w:val="00B11A09"/>
    <w:rsid w:val="00B129AA"/>
    <w:rsid w:val="00B13302"/>
    <w:rsid w:val="00B143FA"/>
    <w:rsid w:val="00B157E8"/>
    <w:rsid w:val="00B20010"/>
    <w:rsid w:val="00B22B9B"/>
    <w:rsid w:val="00B23044"/>
    <w:rsid w:val="00B23053"/>
    <w:rsid w:val="00B237DE"/>
    <w:rsid w:val="00B251DB"/>
    <w:rsid w:val="00B25877"/>
    <w:rsid w:val="00B26C25"/>
    <w:rsid w:val="00B270FE"/>
    <w:rsid w:val="00B31F88"/>
    <w:rsid w:val="00B320D7"/>
    <w:rsid w:val="00B34B11"/>
    <w:rsid w:val="00B35C0C"/>
    <w:rsid w:val="00B360F0"/>
    <w:rsid w:val="00B3782B"/>
    <w:rsid w:val="00B37F75"/>
    <w:rsid w:val="00B405A6"/>
    <w:rsid w:val="00B4075C"/>
    <w:rsid w:val="00B40E34"/>
    <w:rsid w:val="00B412FE"/>
    <w:rsid w:val="00B413AA"/>
    <w:rsid w:val="00B41455"/>
    <w:rsid w:val="00B41684"/>
    <w:rsid w:val="00B430C6"/>
    <w:rsid w:val="00B432D5"/>
    <w:rsid w:val="00B4516C"/>
    <w:rsid w:val="00B452B2"/>
    <w:rsid w:val="00B45D50"/>
    <w:rsid w:val="00B46092"/>
    <w:rsid w:val="00B5091D"/>
    <w:rsid w:val="00B513AB"/>
    <w:rsid w:val="00B51FA1"/>
    <w:rsid w:val="00B52D49"/>
    <w:rsid w:val="00B54D50"/>
    <w:rsid w:val="00B55D5F"/>
    <w:rsid w:val="00B56D5F"/>
    <w:rsid w:val="00B57784"/>
    <w:rsid w:val="00B613B2"/>
    <w:rsid w:val="00B6141F"/>
    <w:rsid w:val="00B61A35"/>
    <w:rsid w:val="00B62AD9"/>
    <w:rsid w:val="00B639F6"/>
    <w:rsid w:val="00B66AF9"/>
    <w:rsid w:val="00B66EE1"/>
    <w:rsid w:val="00B67320"/>
    <w:rsid w:val="00B67CD0"/>
    <w:rsid w:val="00B67CD9"/>
    <w:rsid w:val="00B67D96"/>
    <w:rsid w:val="00B70A12"/>
    <w:rsid w:val="00B72FF2"/>
    <w:rsid w:val="00B73E9F"/>
    <w:rsid w:val="00B73F2A"/>
    <w:rsid w:val="00B74B71"/>
    <w:rsid w:val="00B751E8"/>
    <w:rsid w:val="00B75CA6"/>
    <w:rsid w:val="00B763F6"/>
    <w:rsid w:val="00B772DB"/>
    <w:rsid w:val="00B77BF0"/>
    <w:rsid w:val="00B80812"/>
    <w:rsid w:val="00B8269C"/>
    <w:rsid w:val="00B82812"/>
    <w:rsid w:val="00B829B8"/>
    <w:rsid w:val="00B82B81"/>
    <w:rsid w:val="00B859D6"/>
    <w:rsid w:val="00B85C68"/>
    <w:rsid w:val="00B85F61"/>
    <w:rsid w:val="00B8633D"/>
    <w:rsid w:val="00B8667B"/>
    <w:rsid w:val="00B878B5"/>
    <w:rsid w:val="00B92C11"/>
    <w:rsid w:val="00B93344"/>
    <w:rsid w:val="00B9431D"/>
    <w:rsid w:val="00B94B4A"/>
    <w:rsid w:val="00B971A5"/>
    <w:rsid w:val="00BA24B2"/>
    <w:rsid w:val="00BA3052"/>
    <w:rsid w:val="00BA31BB"/>
    <w:rsid w:val="00BA40F5"/>
    <w:rsid w:val="00BA435C"/>
    <w:rsid w:val="00BA4F83"/>
    <w:rsid w:val="00BA6603"/>
    <w:rsid w:val="00BA6BCA"/>
    <w:rsid w:val="00BA7038"/>
    <w:rsid w:val="00BA70AE"/>
    <w:rsid w:val="00BB2002"/>
    <w:rsid w:val="00BB2794"/>
    <w:rsid w:val="00BB41AC"/>
    <w:rsid w:val="00BB433E"/>
    <w:rsid w:val="00BB518D"/>
    <w:rsid w:val="00BB61EF"/>
    <w:rsid w:val="00BB6A75"/>
    <w:rsid w:val="00BB6CEE"/>
    <w:rsid w:val="00BB74D5"/>
    <w:rsid w:val="00BB7CDB"/>
    <w:rsid w:val="00BC0D09"/>
    <w:rsid w:val="00BC4B2B"/>
    <w:rsid w:val="00BC5739"/>
    <w:rsid w:val="00BC5DCB"/>
    <w:rsid w:val="00BC6A6B"/>
    <w:rsid w:val="00BC6BA5"/>
    <w:rsid w:val="00BD0DB8"/>
    <w:rsid w:val="00BD0F8A"/>
    <w:rsid w:val="00BD1E08"/>
    <w:rsid w:val="00BD3219"/>
    <w:rsid w:val="00BD6564"/>
    <w:rsid w:val="00BD6D56"/>
    <w:rsid w:val="00BE03CF"/>
    <w:rsid w:val="00BE0420"/>
    <w:rsid w:val="00BE0DCA"/>
    <w:rsid w:val="00BE186B"/>
    <w:rsid w:val="00BE1DDE"/>
    <w:rsid w:val="00BE1EF3"/>
    <w:rsid w:val="00BE28A6"/>
    <w:rsid w:val="00BE39BB"/>
    <w:rsid w:val="00BE3B7D"/>
    <w:rsid w:val="00BE5F66"/>
    <w:rsid w:val="00BE6EEA"/>
    <w:rsid w:val="00BE6F7A"/>
    <w:rsid w:val="00BE7588"/>
    <w:rsid w:val="00BF01BF"/>
    <w:rsid w:val="00BF05AD"/>
    <w:rsid w:val="00BF0D66"/>
    <w:rsid w:val="00BF1514"/>
    <w:rsid w:val="00BF2E15"/>
    <w:rsid w:val="00BF39FC"/>
    <w:rsid w:val="00BF4FC1"/>
    <w:rsid w:val="00BF63F7"/>
    <w:rsid w:val="00BF681B"/>
    <w:rsid w:val="00C01F48"/>
    <w:rsid w:val="00C02020"/>
    <w:rsid w:val="00C03067"/>
    <w:rsid w:val="00C0373D"/>
    <w:rsid w:val="00C050D5"/>
    <w:rsid w:val="00C062C5"/>
    <w:rsid w:val="00C073C8"/>
    <w:rsid w:val="00C07416"/>
    <w:rsid w:val="00C10101"/>
    <w:rsid w:val="00C10389"/>
    <w:rsid w:val="00C113EA"/>
    <w:rsid w:val="00C11970"/>
    <w:rsid w:val="00C11A5F"/>
    <w:rsid w:val="00C12098"/>
    <w:rsid w:val="00C123EA"/>
    <w:rsid w:val="00C140F2"/>
    <w:rsid w:val="00C14F2E"/>
    <w:rsid w:val="00C15C01"/>
    <w:rsid w:val="00C17730"/>
    <w:rsid w:val="00C21A6B"/>
    <w:rsid w:val="00C23439"/>
    <w:rsid w:val="00C24981"/>
    <w:rsid w:val="00C24DB8"/>
    <w:rsid w:val="00C25337"/>
    <w:rsid w:val="00C25DA6"/>
    <w:rsid w:val="00C26A00"/>
    <w:rsid w:val="00C277BB"/>
    <w:rsid w:val="00C30780"/>
    <w:rsid w:val="00C30A71"/>
    <w:rsid w:val="00C30DDC"/>
    <w:rsid w:val="00C35D33"/>
    <w:rsid w:val="00C364D9"/>
    <w:rsid w:val="00C37A1F"/>
    <w:rsid w:val="00C40144"/>
    <w:rsid w:val="00C40B22"/>
    <w:rsid w:val="00C40E36"/>
    <w:rsid w:val="00C425F2"/>
    <w:rsid w:val="00C43F1F"/>
    <w:rsid w:val="00C44FC6"/>
    <w:rsid w:val="00C46A98"/>
    <w:rsid w:val="00C47C38"/>
    <w:rsid w:val="00C5009E"/>
    <w:rsid w:val="00C5033D"/>
    <w:rsid w:val="00C52DC4"/>
    <w:rsid w:val="00C5435F"/>
    <w:rsid w:val="00C54D5D"/>
    <w:rsid w:val="00C55155"/>
    <w:rsid w:val="00C563EB"/>
    <w:rsid w:val="00C564EE"/>
    <w:rsid w:val="00C56EFD"/>
    <w:rsid w:val="00C646BF"/>
    <w:rsid w:val="00C64ED4"/>
    <w:rsid w:val="00C659D4"/>
    <w:rsid w:val="00C7017D"/>
    <w:rsid w:val="00C707FF"/>
    <w:rsid w:val="00C71F15"/>
    <w:rsid w:val="00C72743"/>
    <w:rsid w:val="00C7282E"/>
    <w:rsid w:val="00C72A98"/>
    <w:rsid w:val="00C72F6D"/>
    <w:rsid w:val="00C7463F"/>
    <w:rsid w:val="00C75ADC"/>
    <w:rsid w:val="00C766BF"/>
    <w:rsid w:val="00C772A3"/>
    <w:rsid w:val="00C812F4"/>
    <w:rsid w:val="00C8174D"/>
    <w:rsid w:val="00C81968"/>
    <w:rsid w:val="00C82FC0"/>
    <w:rsid w:val="00C82FD7"/>
    <w:rsid w:val="00C83959"/>
    <w:rsid w:val="00C847A8"/>
    <w:rsid w:val="00C8613A"/>
    <w:rsid w:val="00C86963"/>
    <w:rsid w:val="00C87594"/>
    <w:rsid w:val="00C9070A"/>
    <w:rsid w:val="00C91106"/>
    <w:rsid w:val="00C91D97"/>
    <w:rsid w:val="00C92E52"/>
    <w:rsid w:val="00C9302F"/>
    <w:rsid w:val="00C93546"/>
    <w:rsid w:val="00C93582"/>
    <w:rsid w:val="00C93BA1"/>
    <w:rsid w:val="00C93C1A"/>
    <w:rsid w:val="00C93DB2"/>
    <w:rsid w:val="00C95E67"/>
    <w:rsid w:val="00C96730"/>
    <w:rsid w:val="00CA03ED"/>
    <w:rsid w:val="00CA140A"/>
    <w:rsid w:val="00CA225A"/>
    <w:rsid w:val="00CA2CE7"/>
    <w:rsid w:val="00CA4BD0"/>
    <w:rsid w:val="00CA4FCD"/>
    <w:rsid w:val="00CA52F2"/>
    <w:rsid w:val="00CA7330"/>
    <w:rsid w:val="00CB019D"/>
    <w:rsid w:val="00CB08F1"/>
    <w:rsid w:val="00CB1997"/>
    <w:rsid w:val="00CB19B6"/>
    <w:rsid w:val="00CB253A"/>
    <w:rsid w:val="00CB4D20"/>
    <w:rsid w:val="00CB569E"/>
    <w:rsid w:val="00CB6B2F"/>
    <w:rsid w:val="00CB7B0F"/>
    <w:rsid w:val="00CC0FC1"/>
    <w:rsid w:val="00CC11EC"/>
    <w:rsid w:val="00CC1431"/>
    <w:rsid w:val="00CC2A31"/>
    <w:rsid w:val="00CC5F96"/>
    <w:rsid w:val="00CC6767"/>
    <w:rsid w:val="00CC7487"/>
    <w:rsid w:val="00CD0422"/>
    <w:rsid w:val="00CD0442"/>
    <w:rsid w:val="00CD04F8"/>
    <w:rsid w:val="00CD10DF"/>
    <w:rsid w:val="00CD3EC5"/>
    <w:rsid w:val="00CD41B0"/>
    <w:rsid w:val="00CD435D"/>
    <w:rsid w:val="00CD557D"/>
    <w:rsid w:val="00CD6ECE"/>
    <w:rsid w:val="00CD7280"/>
    <w:rsid w:val="00CD7507"/>
    <w:rsid w:val="00CE0621"/>
    <w:rsid w:val="00CE16FA"/>
    <w:rsid w:val="00CE1C7A"/>
    <w:rsid w:val="00CE2051"/>
    <w:rsid w:val="00CE2D96"/>
    <w:rsid w:val="00CE439C"/>
    <w:rsid w:val="00CE481E"/>
    <w:rsid w:val="00CE4E47"/>
    <w:rsid w:val="00CE4F5A"/>
    <w:rsid w:val="00CE5160"/>
    <w:rsid w:val="00CE5FE9"/>
    <w:rsid w:val="00CE6196"/>
    <w:rsid w:val="00CE6F6A"/>
    <w:rsid w:val="00CF0854"/>
    <w:rsid w:val="00CF19E3"/>
    <w:rsid w:val="00CF19FE"/>
    <w:rsid w:val="00CF21D3"/>
    <w:rsid w:val="00CF25DD"/>
    <w:rsid w:val="00CF287F"/>
    <w:rsid w:val="00CF3120"/>
    <w:rsid w:val="00CF345D"/>
    <w:rsid w:val="00CF3F18"/>
    <w:rsid w:val="00CF40F7"/>
    <w:rsid w:val="00CF4490"/>
    <w:rsid w:val="00CF4E96"/>
    <w:rsid w:val="00D02EFD"/>
    <w:rsid w:val="00D03517"/>
    <w:rsid w:val="00D03B2F"/>
    <w:rsid w:val="00D040B4"/>
    <w:rsid w:val="00D04A25"/>
    <w:rsid w:val="00D04C28"/>
    <w:rsid w:val="00D04E82"/>
    <w:rsid w:val="00D05E2B"/>
    <w:rsid w:val="00D0623B"/>
    <w:rsid w:val="00D0717F"/>
    <w:rsid w:val="00D11253"/>
    <w:rsid w:val="00D12570"/>
    <w:rsid w:val="00D125C6"/>
    <w:rsid w:val="00D126A0"/>
    <w:rsid w:val="00D13300"/>
    <w:rsid w:val="00D14965"/>
    <w:rsid w:val="00D16C95"/>
    <w:rsid w:val="00D17A0B"/>
    <w:rsid w:val="00D220CF"/>
    <w:rsid w:val="00D221CA"/>
    <w:rsid w:val="00D226D8"/>
    <w:rsid w:val="00D24287"/>
    <w:rsid w:val="00D24483"/>
    <w:rsid w:val="00D25287"/>
    <w:rsid w:val="00D25BD8"/>
    <w:rsid w:val="00D2799F"/>
    <w:rsid w:val="00D30250"/>
    <w:rsid w:val="00D317C9"/>
    <w:rsid w:val="00D31F27"/>
    <w:rsid w:val="00D3240D"/>
    <w:rsid w:val="00D3268E"/>
    <w:rsid w:val="00D32E3E"/>
    <w:rsid w:val="00D36079"/>
    <w:rsid w:val="00D375DF"/>
    <w:rsid w:val="00D402EE"/>
    <w:rsid w:val="00D40882"/>
    <w:rsid w:val="00D41AD4"/>
    <w:rsid w:val="00D42E35"/>
    <w:rsid w:val="00D43EC1"/>
    <w:rsid w:val="00D44E00"/>
    <w:rsid w:val="00D46CAD"/>
    <w:rsid w:val="00D474C8"/>
    <w:rsid w:val="00D502D2"/>
    <w:rsid w:val="00D506A7"/>
    <w:rsid w:val="00D51DD0"/>
    <w:rsid w:val="00D52C0C"/>
    <w:rsid w:val="00D53494"/>
    <w:rsid w:val="00D5388B"/>
    <w:rsid w:val="00D5479C"/>
    <w:rsid w:val="00D570BD"/>
    <w:rsid w:val="00D62CCA"/>
    <w:rsid w:val="00D631A5"/>
    <w:rsid w:val="00D6340B"/>
    <w:rsid w:val="00D6417E"/>
    <w:rsid w:val="00D64695"/>
    <w:rsid w:val="00D66128"/>
    <w:rsid w:val="00D668E5"/>
    <w:rsid w:val="00D715FF"/>
    <w:rsid w:val="00D7181C"/>
    <w:rsid w:val="00D725C7"/>
    <w:rsid w:val="00D74183"/>
    <w:rsid w:val="00D74CF8"/>
    <w:rsid w:val="00D75798"/>
    <w:rsid w:val="00D75DF3"/>
    <w:rsid w:val="00D75E05"/>
    <w:rsid w:val="00D75EF7"/>
    <w:rsid w:val="00D7661B"/>
    <w:rsid w:val="00D77CA4"/>
    <w:rsid w:val="00D81191"/>
    <w:rsid w:val="00D813A6"/>
    <w:rsid w:val="00D83407"/>
    <w:rsid w:val="00D8388D"/>
    <w:rsid w:val="00D838D3"/>
    <w:rsid w:val="00D841E9"/>
    <w:rsid w:val="00D8589D"/>
    <w:rsid w:val="00D86D8E"/>
    <w:rsid w:val="00D872CB"/>
    <w:rsid w:val="00D873E3"/>
    <w:rsid w:val="00D87F3A"/>
    <w:rsid w:val="00D91C4D"/>
    <w:rsid w:val="00D92564"/>
    <w:rsid w:val="00D92DFC"/>
    <w:rsid w:val="00D93125"/>
    <w:rsid w:val="00D93FB8"/>
    <w:rsid w:val="00D9483E"/>
    <w:rsid w:val="00D94D23"/>
    <w:rsid w:val="00D95AE5"/>
    <w:rsid w:val="00DA0B0D"/>
    <w:rsid w:val="00DA29CB"/>
    <w:rsid w:val="00DA2C65"/>
    <w:rsid w:val="00DA3653"/>
    <w:rsid w:val="00DA4D05"/>
    <w:rsid w:val="00DA5450"/>
    <w:rsid w:val="00DA564F"/>
    <w:rsid w:val="00DA6C04"/>
    <w:rsid w:val="00DA6F93"/>
    <w:rsid w:val="00DA79B2"/>
    <w:rsid w:val="00DB010D"/>
    <w:rsid w:val="00DB11C8"/>
    <w:rsid w:val="00DB1EEB"/>
    <w:rsid w:val="00DB3A46"/>
    <w:rsid w:val="00DB76F3"/>
    <w:rsid w:val="00DC0B51"/>
    <w:rsid w:val="00DC0B85"/>
    <w:rsid w:val="00DC1525"/>
    <w:rsid w:val="00DC1558"/>
    <w:rsid w:val="00DC1AD6"/>
    <w:rsid w:val="00DC23E3"/>
    <w:rsid w:val="00DC36CD"/>
    <w:rsid w:val="00DC43A2"/>
    <w:rsid w:val="00DC4749"/>
    <w:rsid w:val="00DD02C7"/>
    <w:rsid w:val="00DD0643"/>
    <w:rsid w:val="00DD14A7"/>
    <w:rsid w:val="00DD38D5"/>
    <w:rsid w:val="00DD7BFB"/>
    <w:rsid w:val="00DD7EF5"/>
    <w:rsid w:val="00DE028F"/>
    <w:rsid w:val="00DE050E"/>
    <w:rsid w:val="00DE44A9"/>
    <w:rsid w:val="00DE44B5"/>
    <w:rsid w:val="00DE4AE8"/>
    <w:rsid w:val="00DE5F0C"/>
    <w:rsid w:val="00DF0851"/>
    <w:rsid w:val="00DF3846"/>
    <w:rsid w:val="00DF4424"/>
    <w:rsid w:val="00DF5065"/>
    <w:rsid w:val="00DF645E"/>
    <w:rsid w:val="00DF66CC"/>
    <w:rsid w:val="00DF70E4"/>
    <w:rsid w:val="00DF7465"/>
    <w:rsid w:val="00E01D7D"/>
    <w:rsid w:val="00E028BC"/>
    <w:rsid w:val="00E04911"/>
    <w:rsid w:val="00E04E3D"/>
    <w:rsid w:val="00E055DC"/>
    <w:rsid w:val="00E05677"/>
    <w:rsid w:val="00E07400"/>
    <w:rsid w:val="00E0795A"/>
    <w:rsid w:val="00E1201A"/>
    <w:rsid w:val="00E131E0"/>
    <w:rsid w:val="00E143D6"/>
    <w:rsid w:val="00E146AE"/>
    <w:rsid w:val="00E14AD0"/>
    <w:rsid w:val="00E14F27"/>
    <w:rsid w:val="00E14F47"/>
    <w:rsid w:val="00E15A8E"/>
    <w:rsid w:val="00E15B8F"/>
    <w:rsid w:val="00E162E6"/>
    <w:rsid w:val="00E16DA3"/>
    <w:rsid w:val="00E219F7"/>
    <w:rsid w:val="00E21DE4"/>
    <w:rsid w:val="00E21F6F"/>
    <w:rsid w:val="00E22677"/>
    <w:rsid w:val="00E2297D"/>
    <w:rsid w:val="00E230C1"/>
    <w:rsid w:val="00E257D0"/>
    <w:rsid w:val="00E259D5"/>
    <w:rsid w:val="00E26C29"/>
    <w:rsid w:val="00E27A1F"/>
    <w:rsid w:val="00E300FC"/>
    <w:rsid w:val="00E3027E"/>
    <w:rsid w:val="00E304B6"/>
    <w:rsid w:val="00E31E08"/>
    <w:rsid w:val="00E328B1"/>
    <w:rsid w:val="00E32ADD"/>
    <w:rsid w:val="00E33F1B"/>
    <w:rsid w:val="00E35ABE"/>
    <w:rsid w:val="00E37A27"/>
    <w:rsid w:val="00E37C44"/>
    <w:rsid w:val="00E400E6"/>
    <w:rsid w:val="00E40F5A"/>
    <w:rsid w:val="00E41CAC"/>
    <w:rsid w:val="00E456A3"/>
    <w:rsid w:val="00E47D8C"/>
    <w:rsid w:val="00E52224"/>
    <w:rsid w:val="00E53DDF"/>
    <w:rsid w:val="00E53EFC"/>
    <w:rsid w:val="00E563E6"/>
    <w:rsid w:val="00E575B3"/>
    <w:rsid w:val="00E614A2"/>
    <w:rsid w:val="00E636A1"/>
    <w:rsid w:val="00E65BC4"/>
    <w:rsid w:val="00E660CB"/>
    <w:rsid w:val="00E66A33"/>
    <w:rsid w:val="00E66F91"/>
    <w:rsid w:val="00E67F00"/>
    <w:rsid w:val="00E718F8"/>
    <w:rsid w:val="00E7241A"/>
    <w:rsid w:val="00E729BA"/>
    <w:rsid w:val="00E7376A"/>
    <w:rsid w:val="00E762BD"/>
    <w:rsid w:val="00E763DE"/>
    <w:rsid w:val="00E77527"/>
    <w:rsid w:val="00E80002"/>
    <w:rsid w:val="00E81A42"/>
    <w:rsid w:val="00E81FFF"/>
    <w:rsid w:val="00E841CA"/>
    <w:rsid w:val="00E844E9"/>
    <w:rsid w:val="00E84E01"/>
    <w:rsid w:val="00E84E39"/>
    <w:rsid w:val="00E872F0"/>
    <w:rsid w:val="00E8778C"/>
    <w:rsid w:val="00E919FC"/>
    <w:rsid w:val="00E923F3"/>
    <w:rsid w:val="00E940E0"/>
    <w:rsid w:val="00E94BED"/>
    <w:rsid w:val="00E9515D"/>
    <w:rsid w:val="00E955E5"/>
    <w:rsid w:val="00E9564E"/>
    <w:rsid w:val="00E95683"/>
    <w:rsid w:val="00E959BA"/>
    <w:rsid w:val="00E96A6C"/>
    <w:rsid w:val="00E97CA0"/>
    <w:rsid w:val="00EA1FEA"/>
    <w:rsid w:val="00EA2E3E"/>
    <w:rsid w:val="00EA375F"/>
    <w:rsid w:val="00EA3BFB"/>
    <w:rsid w:val="00EA4602"/>
    <w:rsid w:val="00EA644E"/>
    <w:rsid w:val="00EA7AA0"/>
    <w:rsid w:val="00EB00FE"/>
    <w:rsid w:val="00EB0D8F"/>
    <w:rsid w:val="00EB3EFA"/>
    <w:rsid w:val="00EB50DF"/>
    <w:rsid w:val="00EB5284"/>
    <w:rsid w:val="00EB6EDF"/>
    <w:rsid w:val="00EC0319"/>
    <w:rsid w:val="00EC06E6"/>
    <w:rsid w:val="00EC0F7E"/>
    <w:rsid w:val="00EC36DC"/>
    <w:rsid w:val="00EC389A"/>
    <w:rsid w:val="00EC5389"/>
    <w:rsid w:val="00EC594C"/>
    <w:rsid w:val="00EC5AC0"/>
    <w:rsid w:val="00EC61E5"/>
    <w:rsid w:val="00EC6D6F"/>
    <w:rsid w:val="00ED1F55"/>
    <w:rsid w:val="00ED22E7"/>
    <w:rsid w:val="00ED4850"/>
    <w:rsid w:val="00ED4C44"/>
    <w:rsid w:val="00ED4CE1"/>
    <w:rsid w:val="00ED5779"/>
    <w:rsid w:val="00ED6C0C"/>
    <w:rsid w:val="00EE0321"/>
    <w:rsid w:val="00EE06F7"/>
    <w:rsid w:val="00EE2A99"/>
    <w:rsid w:val="00EE2BF4"/>
    <w:rsid w:val="00EE446C"/>
    <w:rsid w:val="00EE4511"/>
    <w:rsid w:val="00EE6223"/>
    <w:rsid w:val="00EE75D9"/>
    <w:rsid w:val="00EF0331"/>
    <w:rsid w:val="00EF25A8"/>
    <w:rsid w:val="00EF43B7"/>
    <w:rsid w:val="00EF4654"/>
    <w:rsid w:val="00EF4895"/>
    <w:rsid w:val="00EF4B1B"/>
    <w:rsid w:val="00EF502C"/>
    <w:rsid w:val="00EF513B"/>
    <w:rsid w:val="00EF6FDA"/>
    <w:rsid w:val="00EF739B"/>
    <w:rsid w:val="00F028B0"/>
    <w:rsid w:val="00F033F2"/>
    <w:rsid w:val="00F03471"/>
    <w:rsid w:val="00F04C36"/>
    <w:rsid w:val="00F060A8"/>
    <w:rsid w:val="00F0792B"/>
    <w:rsid w:val="00F079F5"/>
    <w:rsid w:val="00F10809"/>
    <w:rsid w:val="00F12F48"/>
    <w:rsid w:val="00F132D3"/>
    <w:rsid w:val="00F133A1"/>
    <w:rsid w:val="00F133DD"/>
    <w:rsid w:val="00F144EC"/>
    <w:rsid w:val="00F149E0"/>
    <w:rsid w:val="00F16442"/>
    <w:rsid w:val="00F17E2C"/>
    <w:rsid w:val="00F2126B"/>
    <w:rsid w:val="00F213A9"/>
    <w:rsid w:val="00F22BB9"/>
    <w:rsid w:val="00F23635"/>
    <w:rsid w:val="00F239B5"/>
    <w:rsid w:val="00F245CB"/>
    <w:rsid w:val="00F24787"/>
    <w:rsid w:val="00F251C5"/>
    <w:rsid w:val="00F30B58"/>
    <w:rsid w:val="00F31605"/>
    <w:rsid w:val="00F340D7"/>
    <w:rsid w:val="00F34EAF"/>
    <w:rsid w:val="00F370DB"/>
    <w:rsid w:val="00F37633"/>
    <w:rsid w:val="00F37C53"/>
    <w:rsid w:val="00F37EAD"/>
    <w:rsid w:val="00F40812"/>
    <w:rsid w:val="00F41857"/>
    <w:rsid w:val="00F418A8"/>
    <w:rsid w:val="00F42708"/>
    <w:rsid w:val="00F42A6D"/>
    <w:rsid w:val="00F4304D"/>
    <w:rsid w:val="00F435C9"/>
    <w:rsid w:val="00F43B1D"/>
    <w:rsid w:val="00F448C0"/>
    <w:rsid w:val="00F449AA"/>
    <w:rsid w:val="00F44D9B"/>
    <w:rsid w:val="00F44F0A"/>
    <w:rsid w:val="00F45E95"/>
    <w:rsid w:val="00F4641F"/>
    <w:rsid w:val="00F47EC4"/>
    <w:rsid w:val="00F502E6"/>
    <w:rsid w:val="00F50C91"/>
    <w:rsid w:val="00F51040"/>
    <w:rsid w:val="00F5256B"/>
    <w:rsid w:val="00F52750"/>
    <w:rsid w:val="00F5298D"/>
    <w:rsid w:val="00F53E5F"/>
    <w:rsid w:val="00F54450"/>
    <w:rsid w:val="00F55010"/>
    <w:rsid w:val="00F55B13"/>
    <w:rsid w:val="00F57663"/>
    <w:rsid w:val="00F57C22"/>
    <w:rsid w:val="00F60A4E"/>
    <w:rsid w:val="00F612CF"/>
    <w:rsid w:val="00F619F8"/>
    <w:rsid w:val="00F61A8A"/>
    <w:rsid w:val="00F62783"/>
    <w:rsid w:val="00F627C8"/>
    <w:rsid w:val="00F62B17"/>
    <w:rsid w:val="00F639D7"/>
    <w:rsid w:val="00F6498A"/>
    <w:rsid w:val="00F64A4A"/>
    <w:rsid w:val="00F65514"/>
    <w:rsid w:val="00F6694F"/>
    <w:rsid w:val="00F67398"/>
    <w:rsid w:val="00F70484"/>
    <w:rsid w:val="00F717EF"/>
    <w:rsid w:val="00F71988"/>
    <w:rsid w:val="00F72A5D"/>
    <w:rsid w:val="00F72ED4"/>
    <w:rsid w:val="00F73824"/>
    <w:rsid w:val="00F73C9D"/>
    <w:rsid w:val="00F75063"/>
    <w:rsid w:val="00F75FA6"/>
    <w:rsid w:val="00F76106"/>
    <w:rsid w:val="00F80B7C"/>
    <w:rsid w:val="00F8231D"/>
    <w:rsid w:val="00F826EF"/>
    <w:rsid w:val="00F8286F"/>
    <w:rsid w:val="00F82C7A"/>
    <w:rsid w:val="00F83F2A"/>
    <w:rsid w:val="00F84B2F"/>
    <w:rsid w:val="00F84E4C"/>
    <w:rsid w:val="00F86530"/>
    <w:rsid w:val="00F86AF3"/>
    <w:rsid w:val="00F87136"/>
    <w:rsid w:val="00F918A9"/>
    <w:rsid w:val="00F946B6"/>
    <w:rsid w:val="00F9721A"/>
    <w:rsid w:val="00F97912"/>
    <w:rsid w:val="00F97CA0"/>
    <w:rsid w:val="00F97D9E"/>
    <w:rsid w:val="00FA0015"/>
    <w:rsid w:val="00FA0DC0"/>
    <w:rsid w:val="00FA29A2"/>
    <w:rsid w:val="00FA319A"/>
    <w:rsid w:val="00FA3392"/>
    <w:rsid w:val="00FA34B6"/>
    <w:rsid w:val="00FA4EAB"/>
    <w:rsid w:val="00FA5A61"/>
    <w:rsid w:val="00FA7569"/>
    <w:rsid w:val="00FB049E"/>
    <w:rsid w:val="00FB0C86"/>
    <w:rsid w:val="00FB19A6"/>
    <w:rsid w:val="00FB1FCC"/>
    <w:rsid w:val="00FB23D0"/>
    <w:rsid w:val="00FB3551"/>
    <w:rsid w:val="00FB3D34"/>
    <w:rsid w:val="00FB3F27"/>
    <w:rsid w:val="00FB478B"/>
    <w:rsid w:val="00FB4F9A"/>
    <w:rsid w:val="00FB54AD"/>
    <w:rsid w:val="00FB5A11"/>
    <w:rsid w:val="00FB6141"/>
    <w:rsid w:val="00FC02D0"/>
    <w:rsid w:val="00FC034E"/>
    <w:rsid w:val="00FC0594"/>
    <w:rsid w:val="00FC24D5"/>
    <w:rsid w:val="00FC2CD4"/>
    <w:rsid w:val="00FC5789"/>
    <w:rsid w:val="00FC59E9"/>
    <w:rsid w:val="00FC6F76"/>
    <w:rsid w:val="00FC71FB"/>
    <w:rsid w:val="00FD0468"/>
    <w:rsid w:val="00FD16F2"/>
    <w:rsid w:val="00FD4606"/>
    <w:rsid w:val="00FD5391"/>
    <w:rsid w:val="00FD5CEE"/>
    <w:rsid w:val="00FD6036"/>
    <w:rsid w:val="00FD79DB"/>
    <w:rsid w:val="00FE0CEC"/>
    <w:rsid w:val="00FE1549"/>
    <w:rsid w:val="00FE320B"/>
    <w:rsid w:val="00FE3FF0"/>
    <w:rsid w:val="00FE438F"/>
    <w:rsid w:val="00FE4620"/>
    <w:rsid w:val="00FE484D"/>
    <w:rsid w:val="00FE599B"/>
    <w:rsid w:val="00FE7AD5"/>
    <w:rsid w:val="00FE7DB2"/>
    <w:rsid w:val="00FE7F44"/>
    <w:rsid w:val="00FF1BBF"/>
    <w:rsid w:val="00FF1CC0"/>
    <w:rsid w:val="00FF2546"/>
    <w:rsid w:val="00FF2584"/>
    <w:rsid w:val="00FF3C38"/>
    <w:rsid w:val="00FF5E80"/>
    <w:rsid w:val="00FF6190"/>
    <w:rsid w:val="00FF6C3A"/>
    <w:rsid w:val="00FF7F5C"/>
    <w:rsid w:val="059F94A0"/>
    <w:rsid w:val="06BE0926"/>
    <w:rsid w:val="09F0E515"/>
    <w:rsid w:val="0D3D21F1"/>
    <w:rsid w:val="23D73E65"/>
    <w:rsid w:val="26920750"/>
    <w:rsid w:val="2A10A066"/>
    <w:rsid w:val="6A1858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DBD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4"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101"/>
  </w:style>
  <w:style w:type="paragraph" w:styleId="Heading1">
    <w:name w:val="heading 1"/>
    <w:basedOn w:val="Normal"/>
    <w:next w:val="Normal"/>
    <w:link w:val="Heading1Char"/>
    <w:autoRedefine/>
    <w:uiPriority w:val="9"/>
    <w:qFormat/>
    <w:rsid w:val="007E5DA8"/>
    <w:pPr>
      <w:keepNext/>
      <w:keepLines/>
      <w:spacing w:before="240" w:after="120"/>
      <w:outlineLvl w:val="0"/>
    </w:pPr>
    <w:rPr>
      <w:rFonts w:asciiTheme="majorHAnsi" w:eastAsiaTheme="majorEastAsia" w:hAnsiTheme="majorHAnsi" w:cstheme="majorBidi"/>
      <w:b/>
      <w:color w:val="003491" w:themeColor="text1"/>
      <w:sz w:val="48"/>
      <w:szCs w:val="32"/>
    </w:rPr>
  </w:style>
  <w:style w:type="paragraph" w:styleId="Heading2">
    <w:name w:val="heading 2"/>
    <w:basedOn w:val="Normal"/>
    <w:next w:val="Normal"/>
    <w:link w:val="Heading2Char"/>
    <w:autoRedefine/>
    <w:uiPriority w:val="9"/>
    <w:unhideWhenUsed/>
    <w:qFormat/>
    <w:rsid w:val="0018187C"/>
    <w:pPr>
      <w:keepNext/>
      <w:keepLines/>
      <w:spacing w:before="120" w:after="120"/>
      <w:ind w:right="-612"/>
      <w:outlineLvl w:val="1"/>
    </w:pPr>
    <w:rPr>
      <w:rFonts w:asciiTheme="majorHAnsi" w:eastAsia="Meiryo" w:hAnsiTheme="majorHAnsi" w:cstheme="majorBidi"/>
      <w:color w:val="003491" w:themeColor="text1"/>
      <w:sz w:val="32"/>
      <w:szCs w:val="32"/>
    </w:rPr>
  </w:style>
  <w:style w:type="paragraph" w:styleId="Heading3">
    <w:name w:val="heading 3"/>
    <w:basedOn w:val="Normal"/>
    <w:next w:val="Normal"/>
    <w:link w:val="Heading3Char"/>
    <w:autoRedefine/>
    <w:uiPriority w:val="9"/>
    <w:unhideWhenUsed/>
    <w:qFormat/>
    <w:rsid w:val="00F6694F"/>
    <w:pPr>
      <w:keepNext/>
      <w:keepLines/>
      <w:spacing w:before="120" w:after="120" w:line="240" w:lineRule="auto"/>
      <w:outlineLvl w:val="2"/>
    </w:pPr>
    <w:rPr>
      <w:rFonts w:asciiTheme="majorHAnsi" w:eastAsia="Meiryo" w:hAnsiTheme="majorHAnsi" w:cstheme="majorBidi"/>
      <w:i/>
      <w:iCs/>
      <w:color w:val="00266C" w:themeColor="text1" w:themeShade="BF"/>
      <w:sz w:val="32"/>
      <w:szCs w:val="40"/>
    </w:rPr>
  </w:style>
  <w:style w:type="paragraph" w:styleId="Heading4">
    <w:name w:val="heading 4"/>
    <w:basedOn w:val="Normal"/>
    <w:next w:val="Normal"/>
    <w:link w:val="Heading4Char"/>
    <w:autoRedefine/>
    <w:uiPriority w:val="9"/>
    <w:unhideWhenUsed/>
    <w:qFormat/>
    <w:rsid w:val="00C35D33"/>
    <w:pPr>
      <w:keepNext/>
      <w:keepLines/>
      <w:spacing w:before="240" w:after="120"/>
      <w:outlineLvl w:val="3"/>
    </w:pPr>
    <w:rPr>
      <w:rFonts w:asciiTheme="majorHAnsi" w:eastAsiaTheme="majorEastAsia" w:hAnsiTheme="majorHAnsi" w:cstheme="majorBidi"/>
      <w:iCs/>
      <w:color w:val="60014C" w:themeColor="accent4" w:themeShade="80"/>
      <w:sz w:val="28"/>
      <w:szCs w:val="28"/>
    </w:rPr>
  </w:style>
  <w:style w:type="paragraph" w:styleId="Heading5">
    <w:name w:val="heading 5"/>
    <w:basedOn w:val="Normal"/>
    <w:next w:val="Normal"/>
    <w:link w:val="Heading5Char"/>
    <w:autoRedefine/>
    <w:uiPriority w:val="9"/>
    <w:unhideWhenUsed/>
    <w:qFormat/>
    <w:rsid w:val="00417FC3"/>
    <w:pPr>
      <w:keepNext/>
      <w:keepLines/>
      <w:spacing w:before="40" w:after="120"/>
      <w:outlineLvl w:val="4"/>
    </w:pPr>
    <w:rPr>
      <w:rFonts w:asciiTheme="majorHAnsi" w:eastAsiaTheme="majorEastAsia" w:hAnsiTheme="majorHAnsi" w:cstheme="majorBidi"/>
      <w:i/>
      <w:color w:val="60014C" w:themeColor="accent4" w:themeShade="80"/>
      <w:sz w:val="24"/>
      <w:szCs w:val="26"/>
    </w:rPr>
  </w:style>
  <w:style w:type="paragraph" w:styleId="Heading6">
    <w:name w:val="heading 6"/>
    <w:basedOn w:val="Normal"/>
    <w:next w:val="Normal"/>
    <w:link w:val="Heading6Char"/>
    <w:uiPriority w:val="9"/>
    <w:unhideWhenUsed/>
    <w:qFormat/>
    <w:rsid w:val="00A34DF6"/>
    <w:pPr>
      <w:keepNext/>
      <w:keepLines/>
      <w:spacing w:before="40" w:after="0"/>
      <w:outlineLvl w:val="5"/>
    </w:pPr>
    <w:rPr>
      <w:rFonts w:asciiTheme="majorHAnsi" w:eastAsiaTheme="majorEastAsia" w:hAnsiTheme="majorHAnsi" w:cstheme="majorBidi"/>
      <w:color w:val="6334D8"/>
    </w:rPr>
  </w:style>
  <w:style w:type="paragraph" w:styleId="Heading7">
    <w:name w:val="heading 7"/>
    <w:basedOn w:val="Normal"/>
    <w:next w:val="Normal"/>
    <w:link w:val="Heading7Char"/>
    <w:uiPriority w:val="9"/>
    <w:semiHidden/>
    <w:unhideWhenUsed/>
    <w:qFormat/>
    <w:rsid w:val="00EF4654"/>
    <w:pPr>
      <w:keepNext/>
      <w:keepLines/>
      <w:spacing w:before="40" w:after="0"/>
      <w:outlineLvl w:val="6"/>
    </w:pPr>
    <w:rPr>
      <w:rFonts w:asciiTheme="majorHAnsi" w:eastAsiaTheme="majorEastAsia" w:hAnsiTheme="majorHAnsi" w:cstheme="majorBidi"/>
      <w:i/>
      <w:iCs/>
      <w:color w:val="4E4E4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7E5DA8"/>
    <w:rPr>
      <w:rFonts w:asciiTheme="majorHAnsi" w:eastAsiaTheme="majorEastAsia" w:hAnsiTheme="majorHAnsi" w:cstheme="majorBidi"/>
      <w:b/>
      <w:color w:val="003491" w:themeColor="text1"/>
      <w:sz w:val="48"/>
      <w:szCs w:val="32"/>
    </w:rPr>
  </w:style>
  <w:style w:type="paragraph" w:styleId="Title">
    <w:name w:val="Title"/>
    <w:basedOn w:val="Normal"/>
    <w:next w:val="Normal"/>
    <w:link w:val="TitleChar"/>
    <w:uiPriority w:val="10"/>
    <w:qFormat/>
    <w:rsid w:val="00A540AE"/>
    <w:pPr>
      <w:pBdr>
        <w:bottom w:val="single" w:sz="8" w:space="1" w:color="6334D8" w:themeColor="background1"/>
      </w:pBdr>
      <w:spacing w:before="3600" w:after="120" w:line="240" w:lineRule="auto"/>
      <w:contextualSpacing/>
      <w:outlineLvl w:val="0"/>
    </w:pPr>
    <w:rPr>
      <w:rFonts w:asciiTheme="majorHAnsi" w:eastAsiaTheme="majorEastAsia" w:hAnsiTheme="majorHAnsi" w:cstheme="majorBidi"/>
      <w:color w:val="6334D8" w:themeColor="background1"/>
      <w:spacing w:val="-10"/>
      <w:kern w:val="28"/>
      <w:sz w:val="72"/>
      <w:szCs w:val="72"/>
    </w:rPr>
  </w:style>
  <w:style w:type="character" w:customStyle="1" w:styleId="TitleChar">
    <w:name w:val="Title Char"/>
    <w:basedOn w:val="DefaultParagraphFont"/>
    <w:link w:val="Title"/>
    <w:uiPriority w:val="10"/>
    <w:rsid w:val="00A540AE"/>
    <w:rPr>
      <w:rFonts w:asciiTheme="majorHAnsi" w:eastAsiaTheme="majorEastAsia" w:hAnsiTheme="majorHAnsi" w:cstheme="majorBidi"/>
      <w:color w:val="6334D8" w:themeColor="background1"/>
      <w:spacing w:val="-10"/>
      <w:kern w:val="28"/>
      <w:sz w:val="72"/>
      <w:szCs w:val="72"/>
    </w:rPr>
  </w:style>
  <w:style w:type="paragraph" w:styleId="Subtitle">
    <w:name w:val="Subtitle"/>
    <w:basedOn w:val="Normal"/>
    <w:next w:val="Normal"/>
    <w:link w:val="SubtitleChar"/>
    <w:uiPriority w:val="11"/>
    <w:qFormat/>
    <w:rsid w:val="00A540AE"/>
    <w:pPr>
      <w:numPr>
        <w:ilvl w:val="1"/>
      </w:numPr>
    </w:pPr>
    <w:rPr>
      <w:rFonts w:eastAsiaTheme="minorEastAsia"/>
      <w:color w:val="6334D8" w:themeColor="background1"/>
      <w:sz w:val="40"/>
    </w:rPr>
  </w:style>
  <w:style w:type="character" w:customStyle="1" w:styleId="SubtitleChar">
    <w:name w:val="Subtitle Char"/>
    <w:basedOn w:val="DefaultParagraphFont"/>
    <w:link w:val="Subtitle"/>
    <w:uiPriority w:val="11"/>
    <w:rsid w:val="00A540AE"/>
    <w:rPr>
      <w:rFonts w:eastAsiaTheme="minorEastAsia"/>
      <w:color w:val="6334D8" w:themeColor="background1"/>
      <w:sz w:val="40"/>
    </w:rPr>
  </w:style>
  <w:style w:type="character" w:customStyle="1" w:styleId="Heading2Char">
    <w:name w:val="Heading 2 Char"/>
    <w:basedOn w:val="DefaultParagraphFont"/>
    <w:link w:val="Heading2"/>
    <w:uiPriority w:val="9"/>
    <w:rsid w:val="0018187C"/>
    <w:rPr>
      <w:rFonts w:asciiTheme="majorHAnsi" w:eastAsia="Meiryo" w:hAnsiTheme="majorHAnsi" w:cstheme="majorBidi"/>
      <w:color w:val="003491" w:themeColor="text1"/>
      <w:sz w:val="32"/>
      <w:szCs w:val="32"/>
    </w:rPr>
  </w:style>
  <w:style w:type="character" w:customStyle="1" w:styleId="Heading3Char">
    <w:name w:val="Heading 3 Char"/>
    <w:basedOn w:val="DefaultParagraphFont"/>
    <w:link w:val="Heading3"/>
    <w:uiPriority w:val="9"/>
    <w:rsid w:val="00F6694F"/>
    <w:rPr>
      <w:rFonts w:asciiTheme="majorHAnsi" w:eastAsia="Meiryo" w:hAnsiTheme="majorHAnsi" w:cstheme="majorBidi"/>
      <w:i/>
      <w:iCs/>
      <w:color w:val="00266C" w:themeColor="text1" w:themeShade="BF"/>
      <w:sz w:val="32"/>
      <w:szCs w:val="40"/>
    </w:rPr>
  </w:style>
  <w:style w:type="character" w:customStyle="1" w:styleId="Heading4Char">
    <w:name w:val="Heading 4 Char"/>
    <w:basedOn w:val="DefaultParagraphFont"/>
    <w:link w:val="Heading4"/>
    <w:uiPriority w:val="9"/>
    <w:rsid w:val="00C35D33"/>
    <w:rPr>
      <w:rFonts w:asciiTheme="majorHAnsi" w:eastAsiaTheme="majorEastAsia" w:hAnsiTheme="majorHAnsi" w:cstheme="majorBidi"/>
      <w:iCs/>
      <w:color w:val="60014C" w:themeColor="accent4" w:themeShade="80"/>
      <w:sz w:val="28"/>
      <w:szCs w:val="28"/>
    </w:rPr>
  </w:style>
  <w:style w:type="character" w:customStyle="1" w:styleId="Heading5Char">
    <w:name w:val="Heading 5 Char"/>
    <w:basedOn w:val="DefaultParagraphFont"/>
    <w:link w:val="Heading5"/>
    <w:uiPriority w:val="9"/>
    <w:rsid w:val="00417FC3"/>
    <w:rPr>
      <w:rFonts w:asciiTheme="majorHAnsi" w:eastAsiaTheme="majorEastAsia" w:hAnsiTheme="majorHAnsi" w:cstheme="majorBidi"/>
      <w:i/>
      <w:color w:val="60014C" w:themeColor="accent4" w:themeShade="80"/>
      <w:sz w:val="24"/>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3491" w:themeColor="text1"/>
      <w:szCs w:val="24"/>
    </w:rPr>
  </w:style>
  <w:style w:type="character" w:customStyle="1" w:styleId="QuoteChar">
    <w:name w:val="Quote Char"/>
    <w:basedOn w:val="DefaultParagraphFont"/>
    <w:link w:val="Quote"/>
    <w:uiPriority w:val="29"/>
    <w:rsid w:val="00BE6EEA"/>
    <w:rPr>
      <w:i/>
      <w:iCs/>
      <w:color w:val="003491"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721A4F"/>
    <w:rPr>
      <w:b/>
      <w:i/>
      <w:iCs/>
      <w:sz w:val="24"/>
    </w:rPr>
  </w:style>
  <w:style w:type="paragraph" w:styleId="ListParagraph">
    <w:name w:val="List Paragraph"/>
    <w:aliases w:val="List Paragraph1,Recommendation,List Paragraph11,L,bullet point list,1 heading,Bullet point,Dot point 1.5 line spacing,List Paragraph - bullets,NFP GP Bulleted List,Bullets,Content descriptions,DDM Gen Text,List Paragraph Number,NAST Quote"/>
    <w:basedOn w:val="Normal"/>
    <w:link w:val="ListParagraphChar"/>
    <w:uiPriority w:val="34"/>
    <w:qFormat/>
    <w:rsid w:val="004632E9"/>
    <w:pPr>
      <w:numPr>
        <w:numId w:val="1"/>
      </w:numPr>
      <w:contextualSpacing/>
    </w:pPr>
  </w:style>
  <w:style w:type="character" w:styleId="Hyperlink">
    <w:name w:val="Hyperlink"/>
    <w:basedOn w:val="DefaultParagraphFont"/>
    <w:uiPriority w:val="99"/>
    <w:unhideWhenUsed/>
    <w:qFormat/>
    <w:rsid w:val="00711349"/>
    <w:rPr>
      <w:color w:val="0070AE"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4789FF" w:themeColor="text1" w:themeTint="80"/>
        <w:bottom w:val="single" w:sz="4" w:space="0" w:color="4789FF" w:themeColor="text1" w:themeTint="80"/>
      </w:tblBorders>
    </w:tblPr>
    <w:tblStylePr w:type="firstRow">
      <w:rPr>
        <w:b/>
        <w:bCs/>
      </w:rPr>
      <w:tblPr/>
      <w:tcPr>
        <w:tcBorders>
          <w:bottom w:val="single" w:sz="4" w:space="0" w:color="4789FF" w:themeColor="text1" w:themeTint="80"/>
        </w:tcBorders>
      </w:tcPr>
    </w:tblStylePr>
    <w:tblStylePr w:type="lastRow">
      <w:rPr>
        <w:b/>
        <w:bCs/>
      </w:rPr>
      <w:tblPr/>
      <w:tcPr>
        <w:tcBorders>
          <w:top w:val="single" w:sz="4" w:space="0" w:color="4789FF" w:themeColor="text1" w:themeTint="80"/>
        </w:tcBorders>
      </w:tcPr>
    </w:tblStylePr>
    <w:tblStylePr w:type="firstCol">
      <w:rPr>
        <w:b/>
        <w:bCs/>
      </w:rPr>
    </w:tblStylePr>
    <w:tblStylePr w:type="lastCol">
      <w:rPr>
        <w:b/>
        <w:bCs/>
      </w:rPr>
    </w:tblStylePr>
    <w:tblStylePr w:type="band1Vert">
      <w:tblPr/>
      <w:tcPr>
        <w:tcBorders>
          <w:left w:val="single" w:sz="4" w:space="0" w:color="4789FF" w:themeColor="text1" w:themeTint="80"/>
          <w:right w:val="single" w:sz="4" w:space="0" w:color="4789FF" w:themeColor="text1" w:themeTint="80"/>
        </w:tcBorders>
      </w:tcPr>
    </w:tblStylePr>
    <w:tblStylePr w:type="band2Vert">
      <w:tblPr/>
      <w:tcPr>
        <w:tcBorders>
          <w:left w:val="single" w:sz="4" w:space="0" w:color="4789FF" w:themeColor="text1" w:themeTint="80"/>
          <w:right w:val="single" w:sz="4" w:space="0" w:color="4789FF" w:themeColor="text1" w:themeTint="80"/>
        </w:tcBorders>
      </w:tcPr>
    </w:tblStylePr>
    <w:tblStylePr w:type="band1Horz">
      <w:tblPr/>
      <w:tcPr>
        <w:tcBorders>
          <w:top w:val="single" w:sz="4" w:space="0" w:color="4789FF" w:themeColor="text1" w:themeTint="80"/>
          <w:bottom w:val="single" w:sz="4" w:space="0" w:color="4789F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6DA1FF" w:themeColor="text1" w:themeTint="66"/>
        <w:left w:val="single" w:sz="4" w:space="0" w:color="6DA1FF" w:themeColor="text1" w:themeTint="66"/>
        <w:bottom w:val="single" w:sz="4" w:space="0" w:color="6DA1FF" w:themeColor="text1" w:themeTint="66"/>
        <w:right w:val="single" w:sz="4" w:space="0" w:color="6DA1FF" w:themeColor="text1" w:themeTint="66"/>
        <w:insideH w:val="single" w:sz="4" w:space="0" w:color="6DA1FF" w:themeColor="text1" w:themeTint="66"/>
        <w:insideV w:val="single" w:sz="4" w:space="0" w:color="6DA1FF" w:themeColor="text1" w:themeTint="66"/>
      </w:tblBorders>
    </w:tblPr>
    <w:tblStylePr w:type="firstRow">
      <w:rPr>
        <w:b/>
        <w:bCs/>
      </w:rPr>
      <w:tblPr/>
      <w:tcPr>
        <w:tcBorders>
          <w:bottom w:val="single" w:sz="12" w:space="0" w:color="2472FF" w:themeColor="text1" w:themeTint="99"/>
        </w:tcBorders>
      </w:tcPr>
    </w:tblStylePr>
    <w:tblStylePr w:type="lastRow">
      <w:rPr>
        <w:b/>
        <w:bCs/>
      </w:rPr>
      <w:tblPr/>
      <w:tcPr>
        <w:tcBorders>
          <w:top w:val="double" w:sz="2" w:space="0" w:color="2472FF"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C3494"/>
    <w:pPr>
      <w:spacing w:after="120" w:line="240" w:lineRule="auto"/>
    </w:pPr>
    <w:rPr>
      <w:i/>
      <w:iCs/>
      <w:color w:val="686868" w:themeColor="text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E9515D"/>
    <w:pPr>
      <w:tabs>
        <w:tab w:val="right" w:leader="dot" w:pos="9016"/>
      </w:tabs>
      <w:spacing w:after="100"/>
    </w:pPr>
    <w:rPr>
      <w:rFonts w:eastAsia="Meiryo"/>
      <w:b/>
      <w:bCs/>
      <w:noProof/>
    </w:rPr>
  </w:style>
  <w:style w:type="paragraph" w:styleId="TOC2">
    <w:name w:val="toc 2"/>
    <w:basedOn w:val="Normal"/>
    <w:next w:val="Normal"/>
    <w:autoRedefine/>
    <w:uiPriority w:val="39"/>
    <w:unhideWhenUsed/>
    <w:rsid w:val="009C51F6"/>
    <w:pPr>
      <w:tabs>
        <w:tab w:val="right" w:leader="dot" w:pos="9016"/>
      </w:tabs>
      <w:spacing w:after="100"/>
      <w:ind w:left="220"/>
    </w:pPr>
  </w:style>
  <w:style w:type="paragraph" w:styleId="TOC3">
    <w:name w:val="toc 3"/>
    <w:basedOn w:val="Normal"/>
    <w:next w:val="Normal"/>
    <w:autoRedefine/>
    <w:uiPriority w:val="39"/>
    <w:unhideWhenUsed/>
    <w:rsid w:val="000F2564"/>
    <w:pPr>
      <w:spacing w:after="100"/>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009983" w:themeColor="accent2"/>
        <w:left w:val="single" w:sz="4" w:space="0" w:color="009983" w:themeColor="accent2"/>
        <w:bottom w:val="single" w:sz="4" w:space="0" w:color="009983" w:themeColor="accent2"/>
        <w:right w:val="single" w:sz="4" w:space="0" w:color="009983" w:themeColor="accent2"/>
      </w:tblBorders>
    </w:tblPr>
    <w:tblStylePr w:type="firstRow">
      <w:rPr>
        <w:b/>
        <w:bCs/>
        <w:color w:val="6334D8" w:themeColor="background1"/>
      </w:rPr>
      <w:tblPr/>
      <w:tcPr>
        <w:shd w:val="clear" w:color="auto" w:fill="009983" w:themeFill="accent2"/>
      </w:tcPr>
    </w:tblStylePr>
    <w:tblStylePr w:type="lastRow">
      <w:rPr>
        <w:b/>
        <w:bCs/>
      </w:rPr>
      <w:tblPr/>
      <w:tcPr>
        <w:tcBorders>
          <w:top w:val="double" w:sz="4" w:space="0" w:color="009983" w:themeColor="accent2"/>
        </w:tcBorders>
        <w:shd w:val="clear" w:color="auto" w:fill="6334D8" w:themeFill="background1"/>
      </w:tcPr>
    </w:tblStylePr>
    <w:tblStylePr w:type="firstCol">
      <w:rPr>
        <w:b/>
        <w:bCs/>
      </w:rPr>
      <w:tblPr/>
      <w:tcPr>
        <w:tcBorders>
          <w:right w:val="nil"/>
        </w:tcBorders>
        <w:shd w:val="clear" w:color="auto" w:fill="6334D8" w:themeFill="background1"/>
      </w:tcPr>
    </w:tblStylePr>
    <w:tblStylePr w:type="lastCol">
      <w:rPr>
        <w:b/>
        <w:bCs/>
      </w:rPr>
      <w:tblPr/>
      <w:tcPr>
        <w:tcBorders>
          <w:left w:val="nil"/>
        </w:tcBorders>
        <w:shd w:val="clear" w:color="auto" w:fill="6334D8" w:themeFill="background1"/>
      </w:tcPr>
    </w:tblStylePr>
    <w:tblStylePr w:type="band1Vert">
      <w:tblPr/>
      <w:tcPr>
        <w:tcBorders>
          <w:left w:val="single" w:sz="4" w:space="0" w:color="009983" w:themeColor="accent2"/>
          <w:right w:val="single" w:sz="4" w:space="0" w:color="009983" w:themeColor="accent2"/>
        </w:tcBorders>
      </w:tcPr>
    </w:tblStylePr>
    <w:tblStylePr w:type="band1Horz">
      <w:tblPr/>
      <w:tcPr>
        <w:tcBorders>
          <w:top w:val="single" w:sz="4" w:space="0" w:color="009983" w:themeColor="accent2"/>
          <w:bottom w:val="single" w:sz="4" w:space="0" w:color="00998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83" w:themeColor="accent2"/>
          <w:left w:val="nil"/>
        </w:tcBorders>
      </w:tcPr>
    </w:tblStylePr>
    <w:tblStylePr w:type="swCell">
      <w:tblPr/>
      <w:tcPr>
        <w:tcBorders>
          <w:top w:val="double" w:sz="4" w:space="0" w:color="009983"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E53803" w:themeColor="accent3"/>
        <w:left w:val="single" w:sz="4" w:space="0" w:color="E53803" w:themeColor="accent3"/>
        <w:bottom w:val="single" w:sz="4" w:space="0" w:color="E53803" w:themeColor="accent3"/>
        <w:right w:val="single" w:sz="4" w:space="0" w:color="E53803" w:themeColor="accent3"/>
      </w:tblBorders>
    </w:tblPr>
    <w:tblStylePr w:type="firstRow">
      <w:rPr>
        <w:b/>
        <w:bCs/>
        <w:color w:val="6334D8" w:themeColor="background1"/>
      </w:rPr>
      <w:tblPr/>
      <w:tcPr>
        <w:shd w:val="clear" w:color="auto" w:fill="E53803" w:themeFill="accent3"/>
      </w:tcPr>
    </w:tblStylePr>
    <w:tblStylePr w:type="lastRow">
      <w:rPr>
        <w:b/>
        <w:bCs/>
      </w:rPr>
      <w:tblPr/>
      <w:tcPr>
        <w:tcBorders>
          <w:top w:val="double" w:sz="4" w:space="0" w:color="E53803" w:themeColor="accent3"/>
        </w:tcBorders>
        <w:shd w:val="clear" w:color="auto" w:fill="6334D8" w:themeFill="background1"/>
      </w:tcPr>
    </w:tblStylePr>
    <w:tblStylePr w:type="firstCol">
      <w:rPr>
        <w:b/>
        <w:bCs/>
      </w:rPr>
      <w:tblPr/>
      <w:tcPr>
        <w:tcBorders>
          <w:right w:val="nil"/>
        </w:tcBorders>
        <w:shd w:val="clear" w:color="auto" w:fill="6334D8" w:themeFill="background1"/>
      </w:tcPr>
    </w:tblStylePr>
    <w:tblStylePr w:type="lastCol">
      <w:rPr>
        <w:b/>
        <w:bCs/>
      </w:rPr>
      <w:tblPr/>
      <w:tcPr>
        <w:tcBorders>
          <w:left w:val="nil"/>
        </w:tcBorders>
        <w:shd w:val="clear" w:color="auto" w:fill="6334D8" w:themeFill="background1"/>
      </w:tcPr>
    </w:tblStylePr>
    <w:tblStylePr w:type="band1Vert">
      <w:tblPr/>
      <w:tcPr>
        <w:tcBorders>
          <w:left w:val="single" w:sz="4" w:space="0" w:color="E53803" w:themeColor="accent3"/>
          <w:right w:val="single" w:sz="4" w:space="0" w:color="E53803" w:themeColor="accent3"/>
        </w:tcBorders>
      </w:tcPr>
    </w:tblStylePr>
    <w:tblStylePr w:type="band1Horz">
      <w:tblPr/>
      <w:tcPr>
        <w:tcBorders>
          <w:top w:val="single" w:sz="4" w:space="0" w:color="E53803" w:themeColor="accent3"/>
          <w:bottom w:val="single" w:sz="4" w:space="0" w:color="E5380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3803" w:themeColor="accent3"/>
          <w:left w:val="nil"/>
        </w:tcBorders>
      </w:tcPr>
    </w:tblStylePr>
    <w:tblStylePr w:type="swCell">
      <w:tblPr/>
      <w:tcPr>
        <w:tcBorders>
          <w:top w:val="double" w:sz="4" w:space="0" w:color="E53803" w:themeColor="accent3"/>
          <w:right w:val="nil"/>
        </w:tcBorders>
      </w:tcPr>
    </w:tblStylePr>
  </w:style>
  <w:style w:type="paragraph" w:styleId="IntenseQuote">
    <w:name w:val="Intense Quote"/>
    <w:basedOn w:val="Normal"/>
    <w:next w:val="Normal"/>
    <w:link w:val="IntenseQuoteChar"/>
    <w:uiPriority w:val="30"/>
    <w:qFormat/>
    <w:rsid w:val="004533A8"/>
    <w:pPr>
      <w:pBdr>
        <w:top w:val="single" w:sz="4" w:space="6" w:color="FEC0F1" w:themeColor="accent4" w:themeTint="33"/>
        <w:left w:val="single" w:sz="4" w:space="4" w:color="FEC0F1" w:themeColor="accent4" w:themeTint="33"/>
        <w:bottom w:val="single" w:sz="4" w:space="6" w:color="FEC0F1" w:themeColor="accent4" w:themeTint="33"/>
        <w:right w:val="single" w:sz="4" w:space="4" w:color="FEC0F1" w:themeColor="accent4" w:themeTint="33"/>
      </w:pBdr>
      <w:shd w:val="clear" w:color="auto" w:fill="D9F4FF"/>
      <w:spacing w:before="360" w:after="360"/>
      <w:ind w:left="864" w:right="864"/>
      <w:jc w:val="center"/>
    </w:pPr>
    <w:rPr>
      <w:rFonts w:cs="Times New Roman (Body CS)"/>
      <w:i/>
      <w:iCs/>
    </w:rPr>
  </w:style>
  <w:style w:type="character" w:customStyle="1" w:styleId="IntenseQuoteChar">
    <w:name w:val="Intense Quote Char"/>
    <w:basedOn w:val="DefaultParagraphFont"/>
    <w:link w:val="IntenseQuote"/>
    <w:uiPriority w:val="30"/>
    <w:rsid w:val="004533A8"/>
    <w:rPr>
      <w:rFonts w:cs="Times New Roman (Body CS)"/>
      <w:i/>
      <w:iCs/>
      <w:shd w:val="clear" w:color="auto" w:fill="D9F4FF"/>
    </w:rPr>
  </w:style>
  <w:style w:type="paragraph" w:customStyle="1" w:styleId="Calloutbox">
    <w:name w:val="Call out box"/>
    <w:basedOn w:val="Normal"/>
    <w:qFormat/>
    <w:rsid w:val="00C93DB2"/>
    <w:pPr>
      <w:pBdr>
        <w:top w:val="single" w:sz="4" w:space="6" w:color="FEC0F1" w:themeColor="accent4" w:themeTint="33"/>
        <w:left w:val="single" w:sz="4" w:space="4" w:color="FEC0F1" w:themeColor="accent4" w:themeTint="33"/>
        <w:bottom w:val="single" w:sz="4" w:space="6" w:color="FEC0F1" w:themeColor="accent4" w:themeTint="33"/>
        <w:right w:val="single" w:sz="4" w:space="4" w:color="FEC0F1" w:themeColor="accent4" w:themeTint="33"/>
      </w:pBdr>
      <w:shd w:val="clear" w:color="auto" w:fill="D9F4FF"/>
      <w:contextualSpacing/>
    </w:pPr>
  </w:style>
  <w:style w:type="character" w:customStyle="1" w:styleId="Heading6Char">
    <w:name w:val="Heading 6 Char"/>
    <w:basedOn w:val="DefaultParagraphFont"/>
    <w:link w:val="Heading6"/>
    <w:uiPriority w:val="9"/>
    <w:rsid w:val="00A34DF6"/>
    <w:rPr>
      <w:rFonts w:asciiTheme="majorHAnsi" w:eastAsiaTheme="majorEastAsia" w:hAnsiTheme="majorHAnsi" w:cstheme="majorBidi"/>
      <w:color w:val="6334D8"/>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28FFDF" w:themeColor="accent2" w:themeTint="99"/>
        <w:left w:val="single" w:sz="4" w:space="0" w:color="28FFDF" w:themeColor="accent2" w:themeTint="99"/>
        <w:bottom w:val="single" w:sz="4" w:space="0" w:color="28FFDF" w:themeColor="accent2" w:themeTint="99"/>
        <w:right w:val="single" w:sz="4" w:space="0" w:color="28FFDF" w:themeColor="accent2" w:themeTint="99"/>
        <w:insideH w:val="single" w:sz="4" w:space="0" w:color="28FFDF" w:themeColor="accent2" w:themeTint="99"/>
        <w:insideV w:val="single" w:sz="4" w:space="0" w:color="28FFDF" w:themeColor="accent2" w:themeTint="99"/>
      </w:tblBorders>
    </w:tblPr>
    <w:tblStylePr w:type="firstRow">
      <w:rPr>
        <w:b/>
        <w:bCs/>
        <w:color w:val="6334D8" w:themeColor="background1"/>
      </w:rPr>
      <w:tblPr/>
      <w:tcPr>
        <w:tcBorders>
          <w:top w:val="single" w:sz="4" w:space="0" w:color="009983" w:themeColor="accent2"/>
          <w:left w:val="single" w:sz="4" w:space="0" w:color="009983" w:themeColor="accent2"/>
          <w:bottom w:val="single" w:sz="4" w:space="0" w:color="009983" w:themeColor="accent2"/>
          <w:right w:val="single" w:sz="4" w:space="0" w:color="009983" w:themeColor="accent2"/>
          <w:insideH w:val="nil"/>
          <w:insideV w:val="nil"/>
        </w:tcBorders>
        <w:shd w:val="clear" w:color="auto" w:fill="009983" w:themeFill="accent2"/>
      </w:tcPr>
    </w:tblStylePr>
    <w:tblStylePr w:type="lastRow">
      <w:rPr>
        <w:b/>
        <w:bCs/>
      </w:rPr>
      <w:tblPr/>
      <w:tcPr>
        <w:tcBorders>
          <w:top w:val="double" w:sz="4" w:space="0" w:color="009983" w:themeColor="accent2"/>
        </w:tcBorders>
      </w:tcPr>
    </w:tblStylePr>
    <w:tblStylePr w:type="firstCol">
      <w:rPr>
        <w:b/>
        <w:bCs/>
      </w:rPr>
    </w:tblStylePr>
    <w:tblStylePr w:type="lastCol">
      <w:rPr>
        <w:b/>
        <w:bCs/>
      </w:rPr>
    </w:tblStylePr>
    <w:tblStylePr w:type="band1Vert">
      <w:tblPr/>
      <w:tcPr>
        <w:shd w:val="clear" w:color="auto" w:fill="B7FFF4" w:themeFill="accent2" w:themeFillTint="33"/>
      </w:tcPr>
    </w:tblStylePr>
    <w:tblStylePr w:type="band1Horz">
      <w:tblPr/>
      <w:tcPr>
        <w:shd w:val="clear" w:color="auto" w:fill="B7FFF4"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70FFEA" w:themeColor="accent2" w:themeTint="66"/>
        <w:left w:val="single" w:sz="4" w:space="0" w:color="70FFEA" w:themeColor="accent2" w:themeTint="66"/>
        <w:bottom w:val="single" w:sz="4" w:space="0" w:color="70FFEA" w:themeColor="accent2" w:themeTint="66"/>
        <w:right w:val="single" w:sz="4" w:space="0" w:color="70FFEA" w:themeColor="accent2" w:themeTint="66"/>
        <w:insideH w:val="single" w:sz="4" w:space="0" w:color="70FFEA" w:themeColor="accent2" w:themeTint="66"/>
        <w:insideV w:val="single" w:sz="4" w:space="0" w:color="70FFEA" w:themeColor="accent2" w:themeTint="66"/>
      </w:tblBorders>
    </w:tblPr>
    <w:tblStylePr w:type="firstRow">
      <w:rPr>
        <w:b/>
        <w:bCs/>
      </w:rPr>
      <w:tblPr/>
      <w:tcPr>
        <w:tcBorders>
          <w:bottom w:val="single" w:sz="12" w:space="0" w:color="28FFDF" w:themeColor="accent2" w:themeTint="99"/>
        </w:tcBorders>
      </w:tcPr>
    </w:tblStylePr>
    <w:tblStylePr w:type="lastRow">
      <w:rPr>
        <w:b/>
        <w:bCs/>
      </w:rPr>
      <w:tblPr/>
      <w:tcPr>
        <w:tcBorders>
          <w:top w:val="double" w:sz="2" w:space="0" w:color="28FFDF"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6334D8" w:themeColor="background1"/>
        <w:left w:val="single" w:sz="4" w:space="0" w:color="6334D8" w:themeColor="background1"/>
        <w:bottom w:val="single" w:sz="4" w:space="0" w:color="6334D8" w:themeColor="background1"/>
        <w:right w:val="single" w:sz="4" w:space="0" w:color="6334D8" w:themeColor="background1"/>
        <w:insideH w:val="single" w:sz="4" w:space="0" w:color="6334D8" w:themeColor="background1"/>
        <w:insideV w:val="single" w:sz="4" w:space="0" w:color="6334D8" w:themeColor="background1"/>
      </w:tblBorders>
    </w:tblPr>
    <w:tcPr>
      <w:shd w:val="clear" w:color="auto" w:fill="EBEBEB" w:themeFill="accent1" w:themeFillTint="33"/>
    </w:tcPr>
    <w:tblStylePr w:type="firstRow">
      <w:rPr>
        <w:b/>
        <w:bCs/>
        <w:color w:val="6334D8" w:themeColor="background1"/>
      </w:rPr>
      <w:tblPr/>
      <w:tcPr>
        <w:tcBorders>
          <w:top w:val="single" w:sz="4" w:space="0" w:color="6334D8" w:themeColor="background1"/>
          <w:left w:val="single" w:sz="4" w:space="0" w:color="6334D8" w:themeColor="background1"/>
          <w:right w:val="single" w:sz="4" w:space="0" w:color="6334D8" w:themeColor="background1"/>
          <w:insideH w:val="nil"/>
          <w:insideV w:val="nil"/>
        </w:tcBorders>
        <w:shd w:val="clear" w:color="auto" w:fill="9E9E9E" w:themeFill="accent1"/>
      </w:tcPr>
    </w:tblStylePr>
    <w:tblStylePr w:type="lastRow">
      <w:rPr>
        <w:b/>
        <w:bCs/>
        <w:color w:val="6334D8" w:themeColor="background1"/>
      </w:rPr>
      <w:tblPr/>
      <w:tcPr>
        <w:tcBorders>
          <w:left w:val="single" w:sz="4" w:space="0" w:color="6334D8" w:themeColor="background1"/>
          <w:bottom w:val="single" w:sz="4" w:space="0" w:color="6334D8" w:themeColor="background1"/>
          <w:right w:val="single" w:sz="4" w:space="0" w:color="6334D8" w:themeColor="background1"/>
          <w:insideH w:val="nil"/>
          <w:insideV w:val="nil"/>
        </w:tcBorders>
        <w:shd w:val="clear" w:color="auto" w:fill="9E9E9E" w:themeFill="accent1"/>
      </w:tcPr>
    </w:tblStylePr>
    <w:tblStylePr w:type="firstCol">
      <w:rPr>
        <w:b/>
        <w:bCs/>
        <w:color w:val="6334D8" w:themeColor="background1"/>
      </w:rPr>
      <w:tblPr/>
      <w:tcPr>
        <w:tcBorders>
          <w:top w:val="single" w:sz="4" w:space="0" w:color="6334D8" w:themeColor="background1"/>
          <w:left w:val="single" w:sz="4" w:space="0" w:color="6334D8" w:themeColor="background1"/>
          <w:bottom w:val="single" w:sz="4" w:space="0" w:color="6334D8" w:themeColor="background1"/>
          <w:insideV w:val="nil"/>
        </w:tcBorders>
        <w:shd w:val="clear" w:color="auto" w:fill="9E9E9E" w:themeFill="accent1"/>
      </w:tcPr>
    </w:tblStylePr>
    <w:tblStylePr w:type="lastCol">
      <w:rPr>
        <w:b/>
        <w:bCs/>
        <w:color w:val="6334D8" w:themeColor="background1"/>
      </w:rPr>
      <w:tblPr/>
      <w:tcPr>
        <w:tcBorders>
          <w:top w:val="single" w:sz="4" w:space="0" w:color="6334D8" w:themeColor="background1"/>
          <w:bottom w:val="single" w:sz="4" w:space="0" w:color="6334D8" w:themeColor="background1"/>
          <w:right w:val="single" w:sz="4" w:space="0" w:color="6334D8" w:themeColor="background1"/>
          <w:insideV w:val="nil"/>
        </w:tcBorders>
        <w:shd w:val="clear" w:color="auto" w:fill="9E9E9E" w:themeFill="accent1"/>
      </w:tcPr>
    </w:tblStylePr>
    <w:tblStylePr w:type="band1Vert">
      <w:tblPr/>
      <w:tcPr>
        <w:shd w:val="clear" w:color="auto" w:fill="D8D8D8" w:themeFill="accent1" w:themeFillTint="66"/>
      </w:tcPr>
    </w:tblStylePr>
    <w:tblStylePr w:type="band1Horz">
      <w:tblPr/>
      <w:tcPr>
        <w:shd w:val="clear" w:color="auto" w:fill="D8D8D8"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C4C4C4" w:themeColor="accent1" w:themeTint="99"/>
        <w:left w:val="single" w:sz="4" w:space="0" w:color="C4C4C4" w:themeColor="accent1" w:themeTint="99"/>
        <w:bottom w:val="single" w:sz="4" w:space="0" w:color="C4C4C4" w:themeColor="accent1" w:themeTint="99"/>
        <w:right w:val="single" w:sz="4" w:space="0" w:color="C4C4C4" w:themeColor="accent1" w:themeTint="99"/>
        <w:insideH w:val="single" w:sz="4" w:space="0" w:color="C4C4C4" w:themeColor="accent1" w:themeTint="99"/>
        <w:insideV w:val="single" w:sz="4" w:space="0" w:color="C4C4C4" w:themeColor="accent1" w:themeTint="99"/>
      </w:tblBorders>
    </w:tblPr>
    <w:tblStylePr w:type="firstRow">
      <w:rPr>
        <w:b/>
        <w:bCs/>
        <w:color w:val="6334D8" w:themeColor="background1"/>
      </w:rPr>
      <w:tblPr/>
      <w:tcPr>
        <w:tcBorders>
          <w:top w:val="single" w:sz="4" w:space="0" w:color="9E9E9E" w:themeColor="accent1"/>
          <w:left w:val="single" w:sz="4" w:space="0" w:color="9E9E9E" w:themeColor="accent1"/>
          <w:bottom w:val="single" w:sz="4" w:space="0" w:color="9E9E9E" w:themeColor="accent1"/>
          <w:right w:val="single" w:sz="4" w:space="0" w:color="9E9E9E" w:themeColor="accent1"/>
          <w:insideH w:val="nil"/>
          <w:insideV w:val="nil"/>
        </w:tcBorders>
        <w:shd w:val="clear" w:color="auto" w:fill="9E9E9E" w:themeFill="accent1"/>
      </w:tcPr>
    </w:tblStylePr>
    <w:tblStylePr w:type="lastRow">
      <w:rPr>
        <w:b/>
        <w:bCs/>
      </w:rPr>
      <w:tblPr/>
      <w:tcPr>
        <w:tcBorders>
          <w:top w:val="double" w:sz="4" w:space="0" w:color="9E9E9E" w:themeColor="accent1"/>
        </w:tcBorders>
      </w:tcPr>
    </w:tblStylePr>
    <w:tblStylePr w:type="firstCol">
      <w:rPr>
        <w:b/>
        <w:bCs/>
      </w:rPr>
    </w:tblStylePr>
    <w:tblStylePr w:type="lastCol">
      <w:rPr>
        <w:b/>
        <w:bCs/>
      </w:rPr>
    </w:tblStylePr>
    <w:tblStylePr w:type="band1Vert">
      <w:tblPr/>
      <w:tcPr>
        <w:shd w:val="clear" w:color="auto" w:fill="EBEBEB" w:themeFill="accent1" w:themeFillTint="33"/>
      </w:tcPr>
    </w:tblStylePr>
    <w:tblStylePr w:type="band1Horz">
      <w:tblPr/>
      <w:tcPr>
        <w:shd w:val="clear" w:color="auto" w:fill="EBEBEB"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FDF845" w:themeColor="accent5" w:themeTint="99"/>
        <w:left w:val="single" w:sz="4" w:space="0" w:color="FDF845" w:themeColor="accent5" w:themeTint="99"/>
        <w:bottom w:val="single" w:sz="4" w:space="0" w:color="FDF845" w:themeColor="accent5" w:themeTint="99"/>
        <w:right w:val="single" w:sz="4" w:space="0" w:color="FDF845" w:themeColor="accent5" w:themeTint="99"/>
        <w:insideH w:val="single" w:sz="4" w:space="0" w:color="FDF845" w:themeColor="accent5" w:themeTint="99"/>
        <w:insideV w:val="single" w:sz="4" w:space="0" w:color="FDF845" w:themeColor="accent5" w:themeTint="99"/>
      </w:tblBorders>
    </w:tblPr>
    <w:tblStylePr w:type="firstRow">
      <w:rPr>
        <w:b/>
        <w:bCs/>
        <w:color w:val="6334D8" w:themeColor="background1"/>
      </w:rPr>
      <w:tblPr/>
      <w:tcPr>
        <w:tcBorders>
          <w:top w:val="single" w:sz="4" w:space="0" w:color="C4BF02" w:themeColor="accent5"/>
          <w:left w:val="single" w:sz="4" w:space="0" w:color="C4BF02" w:themeColor="accent5"/>
          <w:bottom w:val="single" w:sz="4" w:space="0" w:color="C4BF02" w:themeColor="accent5"/>
          <w:right w:val="single" w:sz="4" w:space="0" w:color="C4BF02" w:themeColor="accent5"/>
          <w:insideH w:val="nil"/>
          <w:insideV w:val="nil"/>
        </w:tcBorders>
        <w:shd w:val="clear" w:color="auto" w:fill="C4BF02" w:themeFill="accent5"/>
      </w:tcPr>
    </w:tblStylePr>
    <w:tblStylePr w:type="lastRow">
      <w:rPr>
        <w:b/>
        <w:bCs/>
      </w:rPr>
      <w:tblPr/>
      <w:tcPr>
        <w:tcBorders>
          <w:top w:val="double" w:sz="4" w:space="0" w:color="C4BF02" w:themeColor="accent5"/>
        </w:tcBorders>
      </w:tcPr>
    </w:tblStylePr>
    <w:tblStylePr w:type="firstCol">
      <w:rPr>
        <w:b/>
        <w:bCs/>
      </w:rPr>
    </w:tblStylePr>
    <w:tblStylePr w:type="lastCol">
      <w:rPr>
        <w:b/>
        <w:bCs/>
      </w:rPr>
    </w:tblStylePr>
    <w:tblStylePr w:type="band1Vert">
      <w:tblPr/>
      <w:tcPr>
        <w:shd w:val="clear" w:color="auto" w:fill="FEFCC0" w:themeFill="accent5" w:themeFillTint="33"/>
      </w:tcPr>
    </w:tblStylePr>
    <w:tblStylePr w:type="band1Horz">
      <w:tblPr/>
      <w:tcPr>
        <w:shd w:val="clear" w:color="auto" w:fill="FEFCC0"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FD43D5" w:themeColor="accent4" w:themeTint="99"/>
        <w:left w:val="single" w:sz="4" w:space="0" w:color="FD43D5" w:themeColor="accent4" w:themeTint="99"/>
        <w:bottom w:val="single" w:sz="4" w:space="0" w:color="FD43D5" w:themeColor="accent4" w:themeTint="99"/>
        <w:right w:val="single" w:sz="4" w:space="0" w:color="FD43D5" w:themeColor="accent4" w:themeTint="99"/>
        <w:insideH w:val="single" w:sz="4" w:space="0" w:color="FD43D5" w:themeColor="accent4" w:themeTint="99"/>
        <w:insideV w:val="single" w:sz="4" w:space="0" w:color="FD43D5" w:themeColor="accent4" w:themeTint="99"/>
      </w:tblBorders>
    </w:tblPr>
    <w:tblStylePr w:type="firstRow">
      <w:rPr>
        <w:b/>
        <w:bCs/>
        <w:color w:val="6334D8" w:themeColor="background1"/>
      </w:rPr>
      <w:tblPr/>
      <w:tcPr>
        <w:tcBorders>
          <w:top w:val="single" w:sz="4" w:space="0" w:color="C10299" w:themeColor="accent4"/>
          <w:left w:val="single" w:sz="4" w:space="0" w:color="C10299" w:themeColor="accent4"/>
          <w:bottom w:val="single" w:sz="4" w:space="0" w:color="C10299" w:themeColor="accent4"/>
          <w:right w:val="single" w:sz="4" w:space="0" w:color="C10299" w:themeColor="accent4"/>
          <w:insideH w:val="nil"/>
          <w:insideV w:val="nil"/>
        </w:tcBorders>
        <w:shd w:val="clear" w:color="auto" w:fill="C10299" w:themeFill="accent4"/>
      </w:tcPr>
    </w:tblStylePr>
    <w:tblStylePr w:type="lastRow">
      <w:rPr>
        <w:b/>
        <w:bCs/>
      </w:rPr>
      <w:tblPr/>
      <w:tcPr>
        <w:tcBorders>
          <w:top w:val="double" w:sz="4" w:space="0" w:color="C10299" w:themeColor="accent4"/>
        </w:tcBorders>
      </w:tcPr>
    </w:tblStylePr>
    <w:tblStylePr w:type="firstCol">
      <w:rPr>
        <w:b/>
        <w:bCs/>
      </w:rPr>
    </w:tblStylePr>
    <w:tblStylePr w:type="lastCol">
      <w:rPr>
        <w:b/>
        <w:bCs/>
      </w:rPr>
    </w:tblStylePr>
    <w:tblStylePr w:type="band1Vert">
      <w:tblPr/>
      <w:tcPr>
        <w:shd w:val="clear" w:color="auto" w:fill="FEC0F1" w:themeFill="accent4" w:themeFillTint="33"/>
      </w:tcPr>
    </w:tblStylePr>
    <w:tblStylePr w:type="band1Horz">
      <w:tblPr/>
      <w:tcPr>
        <w:shd w:val="clear" w:color="auto" w:fill="FEC0F1"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FC7F5A" w:themeColor="accent3" w:themeTint="99"/>
        <w:left w:val="single" w:sz="4" w:space="0" w:color="FC7F5A" w:themeColor="accent3" w:themeTint="99"/>
        <w:bottom w:val="single" w:sz="4" w:space="0" w:color="FC7F5A" w:themeColor="accent3" w:themeTint="99"/>
        <w:right w:val="single" w:sz="4" w:space="0" w:color="FC7F5A" w:themeColor="accent3" w:themeTint="99"/>
        <w:insideH w:val="single" w:sz="4" w:space="0" w:color="FC7F5A" w:themeColor="accent3" w:themeTint="99"/>
        <w:insideV w:val="single" w:sz="4" w:space="0" w:color="FC7F5A" w:themeColor="accent3" w:themeTint="99"/>
      </w:tblBorders>
    </w:tblPr>
    <w:tblStylePr w:type="firstRow">
      <w:rPr>
        <w:b/>
        <w:bCs/>
        <w:color w:val="6334D8" w:themeColor="background1"/>
      </w:rPr>
      <w:tblPr/>
      <w:tcPr>
        <w:tcBorders>
          <w:top w:val="single" w:sz="4" w:space="0" w:color="E53803" w:themeColor="accent3"/>
          <w:left w:val="single" w:sz="4" w:space="0" w:color="E53803" w:themeColor="accent3"/>
          <w:bottom w:val="single" w:sz="4" w:space="0" w:color="E53803" w:themeColor="accent3"/>
          <w:right w:val="single" w:sz="4" w:space="0" w:color="E53803" w:themeColor="accent3"/>
          <w:insideH w:val="nil"/>
          <w:insideV w:val="nil"/>
        </w:tcBorders>
        <w:shd w:val="clear" w:color="auto" w:fill="E53803" w:themeFill="accent3"/>
      </w:tcPr>
    </w:tblStylePr>
    <w:tblStylePr w:type="lastRow">
      <w:rPr>
        <w:b/>
        <w:bCs/>
      </w:rPr>
      <w:tblPr/>
      <w:tcPr>
        <w:tcBorders>
          <w:top w:val="double" w:sz="4" w:space="0" w:color="E53803" w:themeColor="accent3"/>
        </w:tcBorders>
      </w:tcPr>
    </w:tblStylePr>
    <w:tblStylePr w:type="firstCol">
      <w:rPr>
        <w:b/>
        <w:bCs/>
      </w:rPr>
    </w:tblStylePr>
    <w:tblStylePr w:type="lastCol">
      <w:rPr>
        <w:b/>
        <w:bCs/>
      </w:rPr>
    </w:tblStylePr>
    <w:tblStylePr w:type="band1Vert">
      <w:tblPr/>
      <w:tcPr>
        <w:shd w:val="clear" w:color="auto" w:fill="FED4C8" w:themeFill="accent3" w:themeFillTint="33"/>
      </w:tcPr>
    </w:tblStylePr>
    <w:tblStylePr w:type="band1Horz">
      <w:tblPr/>
      <w:tcPr>
        <w:shd w:val="clear" w:color="auto" w:fill="FED4C8" w:themeFill="accent3" w:themeFillTint="33"/>
      </w:tcPr>
    </w:tblStylePr>
  </w:style>
  <w:style w:type="paragraph" w:customStyle="1" w:styleId="Authoranddate">
    <w:name w:val="Author and date"/>
    <w:basedOn w:val="Subtitle"/>
    <w:link w:val="AuthoranddateChar"/>
    <w:qFormat/>
    <w:rsid w:val="00FE7F44"/>
    <w:rPr>
      <w:szCs w:val="40"/>
    </w:rPr>
  </w:style>
  <w:style w:type="character" w:customStyle="1" w:styleId="AuthoranddateChar">
    <w:name w:val="Author and date Char"/>
    <w:basedOn w:val="SubtitleChar"/>
    <w:link w:val="Authoranddate"/>
    <w:rsid w:val="00FE7F44"/>
    <w:rPr>
      <w:rFonts w:eastAsiaTheme="minorEastAsia"/>
      <w:color w:val="6334D8" w:themeColor="background1"/>
      <w:sz w:val="40"/>
      <w:szCs w:val="40"/>
    </w:rPr>
  </w:style>
  <w:style w:type="character" w:styleId="CommentReference">
    <w:name w:val="annotation reference"/>
    <w:aliases w:val="CR-DO NOT USE"/>
    <w:basedOn w:val="DefaultParagraphFont"/>
    <w:uiPriority w:val="99"/>
    <w:rsid w:val="00641A0B"/>
    <w:rPr>
      <w:sz w:val="16"/>
      <w:szCs w:val="16"/>
    </w:rPr>
  </w:style>
  <w:style w:type="paragraph" w:styleId="CommentText">
    <w:name w:val="annotation text"/>
    <w:basedOn w:val="Normal"/>
    <w:link w:val="CommentTextChar"/>
    <w:uiPriority w:val="99"/>
    <w:unhideWhenUsed/>
    <w:rsid w:val="00641A0B"/>
    <w:pPr>
      <w:spacing w:line="240" w:lineRule="auto"/>
    </w:pPr>
    <w:rPr>
      <w:sz w:val="20"/>
      <w:szCs w:val="20"/>
    </w:rPr>
  </w:style>
  <w:style w:type="character" w:customStyle="1" w:styleId="CommentTextChar">
    <w:name w:val="Comment Text Char"/>
    <w:basedOn w:val="DefaultParagraphFont"/>
    <w:link w:val="CommentText"/>
    <w:uiPriority w:val="99"/>
    <w:rsid w:val="00641A0B"/>
    <w:rPr>
      <w:sz w:val="20"/>
      <w:szCs w:val="20"/>
    </w:rPr>
  </w:style>
  <w:style w:type="paragraph" w:styleId="FootnoteText">
    <w:name w:val="footnote text"/>
    <w:basedOn w:val="Normal"/>
    <w:link w:val="FootnoteTextChar"/>
    <w:uiPriority w:val="99"/>
    <w:unhideWhenUsed/>
    <w:rsid w:val="00E81A42"/>
    <w:pPr>
      <w:spacing w:after="0" w:line="240" w:lineRule="auto"/>
    </w:pPr>
    <w:rPr>
      <w:sz w:val="20"/>
      <w:szCs w:val="20"/>
    </w:rPr>
  </w:style>
  <w:style w:type="character" w:customStyle="1" w:styleId="FootnoteTextChar">
    <w:name w:val="Footnote Text Char"/>
    <w:basedOn w:val="DefaultParagraphFont"/>
    <w:link w:val="FootnoteText"/>
    <w:uiPriority w:val="99"/>
    <w:rsid w:val="00E81A42"/>
    <w:rPr>
      <w:sz w:val="20"/>
      <w:szCs w:val="20"/>
    </w:rPr>
  </w:style>
  <w:style w:type="character" w:styleId="FootnoteReference">
    <w:name w:val="footnote reference"/>
    <w:aliases w:val="Appel note de bas de p,Appel note de bas de p + 11 pt,Italic,Appel note de bas de p1,Appel note de bas de p2,Appel note de bas de p3,Footnote Reference/,Style 12,(NECG) Footnote Reference,Style 124,o,fr,Style 3,Appel n"/>
    <w:basedOn w:val="DefaultParagraphFont"/>
    <w:uiPriority w:val="99"/>
    <w:unhideWhenUsed/>
    <w:qFormat/>
    <w:rsid w:val="00E81A42"/>
    <w:rPr>
      <w:vertAlign w:val="superscript"/>
    </w:rPr>
  </w:style>
  <w:style w:type="character" w:customStyle="1" w:styleId="Heading7Char">
    <w:name w:val="Heading 7 Char"/>
    <w:basedOn w:val="DefaultParagraphFont"/>
    <w:link w:val="Heading7"/>
    <w:uiPriority w:val="9"/>
    <w:semiHidden/>
    <w:rsid w:val="00EF4654"/>
    <w:rPr>
      <w:rFonts w:asciiTheme="majorHAnsi" w:eastAsiaTheme="majorEastAsia" w:hAnsiTheme="majorHAnsi" w:cstheme="majorBidi"/>
      <w:i/>
      <w:iCs/>
      <w:color w:val="4E4E4E" w:themeColor="accent1" w:themeShade="7F"/>
    </w:rPr>
  </w:style>
  <w:style w:type="character" w:styleId="Mention">
    <w:name w:val="Mention"/>
    <w:basedOn w:val="DefaultParagraphFont"/>
    <w:uiPriority w:val="99"/>
    <w:unhideWhenUsed/>
    <w:rsid w:val="00716022"/>
    <w:rPr>
      <w:color w:val="2B579A"/>
      <w:shd w:val="clear" w:color="auto" w:fill="E6E6E6"/>
    </w:rPr>
  </w:style>
  <w:style w:type="character" w:customStyle="1" w:styleId="Hyperlink1">
    <w:name w:val="Hyperlink1"/>
    <w:basedOn w:val="DefaultParagraphFont"/>
    <w:uiPriority w:val="99"/>
    <w:unhideWhenUsed/>
    <w:qFormat/>
    <w:rsid w:val="00A83633"/>
    <w:rPr>
      <w:color w:val="0070AE"/>
      <w:u w:val="single"/>
    </w:rPr>
  </w:style>
  <w:style w:type="paragraph" w:styleId="Revision">
    <w:name w:val="Revision"/>
    <w:hidden/>
    <w:uiPriority w:val="99"/>
    <w:semiHidden/>
    <w:rsid w:val="009B4F1B"/>
    <w:pPr>
      <w:spacing w:after="0" w:line="240" w:lineRule="auto"/>
    </w:pPr>
  </w:style>
  <w:style w:type="paragraph" w:styleId="CommentSubject">
    <w:name w:val="annotation subject"/>
    <w:basedOn w:val="CommentText"/>
    <w:next w:val="CommentText"/>
    <w:link w:val="CommentSubjectChar"/>
    <w:uiPriority w:val="99"/>
    <w:semiHidden/>
    <w:unhideWhenUsed/>
    <w:rsid w:val="008578F9"/>
    <w:rPr>
      <w:b/>
      <w:bCs/>
    </w:rPr>
  </w:style>
  <w:style w:type="character" w:customStyle="1" w:styleId="CommentSubjectChar">
    <w:name w:val="Comment Subject Char"/>
    <w:basedOn w:val="CommentTextChar"/>
    <w:link w:val="CommentSubject"/>
    <w:uiPriority w:val="99"/>
    <w:semiHidden/>
    <w:rsid w:val="008578F9"/>
    <w:rPr>
      <w:b/>
      <w:bCs/>
      <w:sz w:val="20"/>
      <w:szCs w:val="20"/>
    </w:rPr>
  </w:style>
  <w:style w:type="character" w:customStyle="1" w:styleId="ListParagraphChar">
    <w:name w:val="List Paragraph Char"/>
    <w:aliases w:val="List Paragraph1 Char,Recommendation Char,List Paragraph11 Char,L Char,bullet point list Char,1 heading Char,Bullet point Char,Dot point 1.5 line spacing Char,List Paragraph - bullets Char,NFP GP Bulleted List Char,Bullets Char"/>
    <w:basedOn w:val="DefaultParagraphFont"/>
    <w:link w:val="ListParagraph"/>
    <w:uiPriority w:val="34"/>
    <w:locked/>
    <w:rsid w:val="00D92564"/>
  </w:style>
  <w:style w:type="paragraph" w:styleId="ListBullet">
    <w:name w:val="List Bullet"/>
    <w:basedOn w:val="Normal"/>
    <w:uiPriority w:val="99"/>
    <w:unhideWhenUsed/>
    <w:rsid w:val="003E2FFB"/>
    <w:pPr>
      <w:numPr>
        <w:numId w:val="23"/>
      </w:numPr>
      <w:contextualSpacing/>
    </w:pPr>
  </w:style>
  <w:style w:type="character" w:styleId="UnresolvedMention">
    <w:name w:val="Unresolved Mention"/>
    <w:basedOn w:val="DefaultParagraphFont"/>
    <w:uiPriority w:val="99"/>
    <w:semiHidden/>
    <w:unhideWhenUsed/>
    <w:rsid w:val="00BB2002"/>
    <w:rPr>
      <w:color w:val="605E5C"/>
      <w:shd w:val="clear" w:color="auto" w:fill="E1DFDD"/>
    </w:rPr>
  </w:style>
  <w:style w:type="table" w:styleId="TableGridLight">
    <w:name w:val="Grid Table Light"/>
    <w:basedOn w:val="TableNormal"/>
    <w:uiPriority w:val="40"/>
    <w:rsid w:val="000A7B00"/>
    <w:pPr>
      <w:spacing w:after="0" w:line="240" w:lineRule="auto"/>
    </w:pPr>
    <w:tblPr>
      <w:tblBorders>
        <w:top w:val="single" w:sz="4" w:space="0" w:color="4720A8" w:themeColor="background1" w:themeShade="BF"/>
        <w:left w:val="single" w:sz="4" w:space="0" w:color="4720A8" w:themeColor="background1" w:themeShade="BF"/>
        <w:bottom w:val="single" w:sz="4" w:space="0" w:color="4720A8" w:themeColor="background1" w:themeShade="BF"/>
        <w:right w:val="single" w:sz="4" w:space="0" w:color="4720A8" w:themeColor="background1" w:themeShade="BF"/>
        <w:insideH w:val="single" w:sz="4" w:space="0" w:color="4720A8" w:themeColor="background1" w:themeShade="BF"/>
        <w:insideV w:val="single" w:sz="4" w:space="0" w:color="4720A8" w:themeColor="background1" w:themeShade="BF"/>
      </w:tblBorders>
    </w:tblPr>
  </w:style>
  <w:style w:type="paragraph" w:styleId="ListNumber2">
    <w:name w:val="List Number 2"/>
    <w:basedOn w:val="ListNumber"/>
    <w:uiPriority w:val="4"/>
    <w:rsid w:val="001F0BDB"/>
    <w:pPr>
      <w:numPr>
        <w:ilvl w:val="1"/>
        <w:numId w:val="0"/>
      </w:numPr>
      <w:spacing w:after="120" w:line="260" w:lineRule="exact"/>
      <w:contextualSpacing w:val="0"/>
      <w:jc w:val="both"/>
    </w:pPr>
    <w:rPr>
      <w:rFonts w:ascii="Arial" w:eastAsiaTheme="minorEastAsia" w:hAnsi="Arial"/>
      <w:color w:val="373737"/>
      <w:sz w:val="20"/>
    </w:rPr>
  </w:style>
  <w:style w:type="paragraph" w:styleId="ListNumber">
    <w:name w:val="List Number"/>
    <w:basedOn w:val="Normal"/>
    <w:uiPriority w:val="99"/>
    <w:semiHidden/>
    <w:unhideWhenUsed/>
    <w:rsid w:val="001F0BDB"/>
    <w:pPr>
      <w:numPr>
        <w:numId w:val="56"/>
      </w:numPr>
      <w:contextualSpacing/>
    </w:pPr>
  </w:style>
  <w:style w:type="paragraph" w:styleId="BodyText">
    <w:name w:val="Body Text"/>
    <w:basedOn w:val="Normal"/>
    <w:link w:val="BodyTextChar"/>
    <w:uiPriority w:val="99"/>
    <w:semiHidden/>
    <w:unhideWhenUsed/>
    <w:rsid w:val="007D433F"/>
    <w:pPr>
      <w:spacing w:after="120"/>
    </w:pPr>
  </w:style>
  <w:style w:type="character" w:customStyle="1" w:styleId="BodyTextChar">
    <w:name w:val="Body Text Char"/>
    <w:basedOn w:val="DefaultParagraphFont"/>
    <w:link w:val="BodyText"/>
    <w:uiPriority w:val="99"/>
    <w:semiHidden/>
    <w:rsid w:val="007D433F"/>
  </w:style>
  <w:style w:type="character" w:styleId="FollowedHyperlink">
    <w:name w:val="FollowedHyperlink"/>
    <w:basedOn w:val="DefaultParagraphFont"/>
    <w:uiPriority w:val="99"/>
    <w:semiHidden/>
    <w:unhideWhenUsed/>
    <w:rsid w:val="00E7241A"/>
    <w:rPr>
      <w:color w:val="551A8B" w:themeColor="followedHyperlink"/>
      <w:u w:val="single"/>
    </w:rPr>
  </w:style>
  <w:style w:type="character" w:customStyle="1" w:styleId="cf01">
    <w:name w:val="cf01"/>
    <w:basedOn w:val="DefaultParagraphFont"/>
    <w:rsid w:val="007E0F66"/>
    <w:rPr>
      <w:rFonts w:ascii="Segoe UI" w:hAnsi="Segoe UI" w:cs="Segoe UI" w:hint="default"/>
      <w:sz w:val="18"/>
      <w:szCs w:val="18"/>
    </w:rPr>
  </w:style>
  <w:style w:type="paragraph" w:styleId="TOC4">
    <w:name w:val="toc 4"/>
    <w:basedOn w:val="Normal"/>
    <w:next w:val="Normal"/>
    <w:autoRedefine/>
    <w:uiPriority w:val="39"/>
    <w:unhideWhenUsed/>
    <w:rsid w:val="001353D8"/>
    <w:pPr>
      <w:spacing w:after="100"/>
      <w:ind w:left="660"/>
    </w:pPr>
  </w:style>
  <w:style w:type="paragraph" w:customStyle="1" w:styleId="pf0">
    <w:name w:val="pf0"/>
    <w:basedOn w:val="Normal"/>
    <w:rsid w:val="00BB61E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03291">
      <w:bodyDiv w:val="1"/>
      <w:marLeft w:val="0"/>
      <w:marRight w:val="0"/>
      <w:marTop w:val="0"/>
      <w:marBottom w:val="0"/>
      <w:divBdr>
        <w:top w:val="none" w:sz="0" w:space="0" w:color="auto"/>
        <w:left w:val="none" w:sz="0" w:space="0" w:color="auto"/>
        <w:bottom w:val="none" w:sz="0" w:space="0" w:color="auto"/>
        <w:right w:val="none" w:sz="0" w:space="0" w:color="auto"/>
      </w:divBdr>
    </w:div>
    <w:div w:id="428744591">
      <w:bodyDiv w:val="1"/>
      <w:marLeft w:val="0"/>
      <w:marRight w:val="0"/>
      <w:marTop w:val="0"/>
      <w:marBottom w:val="0"/>
      <w:divBdr>
        <w:top w:val="none" w:sz="0" w:space="0" w:color="auto"/>
        <w:left w:val="none" w:sz="0" w:space="0" w:color="auto"/>
        <w:bottom w:val="none" w:sz="0" w:space="0" w:color="auto"/>
        <w:right w:val="none" w:sz="0" w:space="0" w:color="auto"/>
      </w:divBdr>
    </w:div>
    <w:div w:id="655374627">
      <w:bodyDiv w:val="1"/>
      <w:marLeft w:val="0"/>
      <w:marRight w:val="0"/>
      <w:marTop w:val="0"/>
      <w:marBottom w:val="0"/>
      <w:divBdr>
        <w:top w:val="none" w:sz="0" w:space="0" w:color="auto"/>
        <w:left w:val="none" w:sz="0" w:space="0" w:color="auto"/>
        <w:bottom w:val="none" w:sz="0" w:space="0" w:color="auto"/>
        <w:right w:val="none" w:sz="0" w:space="0" w:color="auto"/>
      </w:divBdr>
    </w:div>
    <w:div w:id="689649768">
      <w:bodyDiv w:val="1"/>
      <w:marLeft w:val="0"/>
      <w:marRight w:val="0"/>
      <w:marTop w:val="0"/>
      <w:marBottom w:val="0"/>
      <w:divBdr>
        <w:top w:val="none" w:sz="0" w:space="0" w:color="auto"/>
        <w:left w:val="none" w:sz="0" w:space="0" w:color="auto"/>
        <w:bottom w:val="none" w:sz="0" w:space="0" w:color="auto"/>
        <w:right w:val="none" w:sz="0" w:space="0" w:color="auto"/>
      </w:divBdr>
    </w:div>
    <w:div w:id="877161527">
      <w:bodyDiv w:val="1"/>
      <w:marLeft w:val="0"/>
      <w:marRight w:val="0"/>
      <w:marTop w:val="0"/>
      <w:marBottom w:val="0"/>
      <w:divBdr>
        <w:top w:val="none" w:sz="0" w:space="0" w:color="auto"/>
        <w:left w:val="none" w:sz="0" w:space="0" w:color="auto"/>
        <w:bottom w:val="none" w:sz="0" w:space="0" w:color="auto"/>
        <w:right w:val="none" w:sz="0" w:space="0" w:color="auto"/>
      </w:divBdr>
    </w:div>
    <w:div w:id="986396187">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162888573">
      <w:bodyDiv w:val="1"/>
      <w:marLeft w:val="0"/>
      <w:marRight w:val="0"/>
      <w:marTop w:val="0"/>
      <w:marBottom w:val="0"/>
      <w:divBdr>
        <w:top w:val="none" w:sz="0" w:space="0" w:color="auto"/>
        <w:left w:val="none" w:sz="0" w:space="0" w:color="auto"/>
        <w:bottom w:val="none" w:sz="0" w:space="0" w:color="auto"/>
        <w:right w:val="none" w:sz="0" w:space="0" w:color="auto"/>
      </w:divBdr>
    </w:div>
    <w:div w:id="1217814494">
      <w:bodyDiv w:val="1"/>
      <w:marLeft w:val="0"/>
      <w:marRight w:val="0"/>
      <w:marTop w:val="0"/>
      <w:marBottom w:val="0"/>
      <w:divBdr>
        <w:top w:val="none" w:sz="0" w:space="0" w:color="auto"/>
        <w:left w:val="none" w:sz="0" w:space="0" w:color="auto"/>
        <w:bottom w:val="none" w:sz="0" w:space="0" w:color="auto"/>
        <w:right w:val="none" w:sz="0" w:space="0" w:color="auto"/>
      </w:divBdr>
    </w:div>
    <w:div w:id="1279293428">
      <w:bodyDiv w:val="1"/>
      <w:marLeft w:val="0"/>
      <w:marRight w:val="0"/>
      <w:marTop w:val="0"/>
      <w:marBottom w:val="0"/>
      <w:divBdr>
        <w:top w:val="none" w:sz="0" w:space="0" w:color="auto"/>
        <w:left w:val="none" w:sz="0" w:space="0" w:color="auto"/>
        <w:bottom w:val="none" w:sz="0" w:space="0" w:color="auto"/>
        <w:right w:val="none" w:sz="0" w:space="0" w:color="auto"/>
      </w:divBdr>
    </w:div>
    <w:div w:id="1374647577">
      <w:bodyDiv w:val="1"/>
      <w:marLeft w:val="0"/>
      <w:marRight w:val="0"/>
      <w:marTop w:val="0"/>
      <w:marBottom w:val="0"/>
      <w:divBdr>
        <w:top w:val="none" w:sz="0" w:space="0" w:color="auto"/>
        <w:left w:val="none" w:sz="0" w:space="0" w:color="auto"/>
        <w:bottom w:val="none" w:sz="0" w:space="0" w:color="auto"/>
        <w:right w:val="none" w:sz="0" w:space="0" w:color="auto"/>
      </w:divBdr>
    </w:div>
    <w:div w:id="1406563210">
      <w:bodyDiv w:val="1"/>
      <w:marLeft w:val="0"/>
      <w:marRight w:val="0"/>
      <w:marTop w:val="0"/>
      <w:marBottom w:val="0"/>
      <w:divBdr>
        <w:top w:val="none" w:sz="0" w:space="0" w:color="auto"/>
        <w:left w:val="none" w:sz="0" w:space="0" w:color="auto"/>
        <w:bottom w:val="none" w:sz="0" w:space="0" w:color="auto"/>
        <w:right w:val="none" w:sz="0" w:space="0" w:color="auto"/>
      </w:divBdr>
    </w:div>
    <w:div w:id="1833334162">
      <w:bodyDiv w:val="1"/>
      <w:marLeft w:val="0"/>
      <w:marRight w:val="0"/>
      <w:marTop w:val="0"/>
      <w:marBottom w:val="0"/>
      <w:divBdr>
        <w:top w:val="none" w:sz="0" w:space="0" w:color="auto"/>
        <w:left w:val="none" w:sz="0" w:space="0" w:color="auto"/>
        <w:bottom w:val="none" w:sz="0" w:space="0" w:color="auto"/>
        <w:right w:val="none" w:sz="0" w:space="0" w:color="auto"/>
      </w:divBdr>
    </w:div>
    <w:div w:id="1891107610">
      <w:bodyDiv w:val="1"/>
      <w:marLeft w:val="0"/>
      <w:marRight w:val="0"/>
      <w:marTop w:val="0"/>
      <w:marBottom w:val="0"/>
      <w:divBdr>
        <w:top w:val="none" w:sz="0" w:space="0" w:color="auto"/>
        <w:left w:val="none" w:sz="0" w:space="0" w:color="auto"/>
        <w:bottom w:val="none" w:sz="0" w:space="0" w:color="auto"/>
        <w:right w:val="none" w:sz="0" w:space="0" w:color="auto"/>
      </w:divBdr>
    </w:div>
    <w:div w:id="206189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businessnsw.com/content/dam/nswbc/businessnsw/pdf/Industry-Research-Collaboration.pdf" TargetMode="External"/><Relationship Id="rId21" Type="http://schemas.openxmlformats.org/officeDocument/2006/relationships/chart" Target="charts/chart2.xml"/><Relationship Id="rId42" Type="http://schemas.openxmlformats.org/officeDocument/2006/relationships/hyperlink" Target="https://www.oecd.org/innovation/inno/inno-stats.htm" TargetMode="External"/><Relationship Id="rId63" Type="http://schemas.openxmlformats.org/officeDocument/2006/relationships/hyperlink" Target="https://www.industry.gov.au/sites/default/files/2019-09/trends-in-market-concentration-of-australian-industries.pdf" TargetMode="External"/><Relationship Id="rId84" Type="http://schemas.openxmlformats.org/officeDocument/2006/relationships/hyperlink" Target="https://www.anao.gov.au/work/performance-audit/administration-the-government-business-enterprise-gbe-governance-and-accountability-framework" TargetMode="External"/><Relationship Id="rId138" Type="http://schemas.openxmlformats.org/officeDocument/2006/relationships/hyperlink" Target="https://www.csiro.au/en/work-with-us/services/consultancy-strategic-advice-services/CSIRO-futures/Innovation-Business-Growth/Unlocking-innovation-potential" TargetMode="External"/><Relationship Id="rId107" Type="http://schemas.openxmlformats.org/officeDocument/2006/relationships/hyperlink" Target="https://www.investment.nsw.gov.au/living-working-and-business/nsw-innovation-and-productivity-council/our-publications/nsw-innovation-and-productivity-scorecards/" TargetMode="External"/><Relationship Id="rId11" Type="http://schemas.openxmlformats.org/officeDocument/2006/relationships/footer" Target="footer1.xml"/><Relationship Id="rId32" Type="http://schemas.openxmlformats.org/officeDocument/2006/relationships/chart" Target="charts/chart7.xml"/><Relationship Id="rId53" Type="http://schemas.openxmlformats.org/officeDocument/2006/relationships/hyperlink" Target="https://www.industry.gov.au/publications/australia-2030-prosperity-through-innovation/" TargetMode="External"/><Relationship Id="rId74" Type="http://schemas.openxmlformats.org/officeDocument/2006/relationships/hyperlink" Target="https://www.education.gov.au/about-us/consultations/consultation-discussion-paper" TargetMode="External"/><Relationship Id="rId128" Type="http://schemas.openxmlformats.org/officeDocument/2006/relationships/hyperlink" Target="https://www.education.gov.au/australian-universities-accord/resources/nous-group-consultation-report" TargetMode="External"/><Relationship Id="rId5" Type="http://schemas.openxmlformats.org/officeDocument/2006/relationships/webSettings" Target="webSettings.xml"/><Relationship Id="rId90" Type="http://schemas.openxmlformats.org/officeDocument/2006/relationships/hyperlink" Target="https://www.aph.gov.au/DocumentStore.ashx?id=03a21322-1c00-400d-83f4-eeea287fab8d&amp;subId=713650" TargetMode="External"/><Relationship Id="rId95" Type="http://schemas.openxmlformats.org/officeDocument/2006/relationships/hyperlink" Target="https://read.oecd-ilibrary.org/science-and-technology/university-industry-collaboration_e9c1e648-en" TargetMode="External"/><Relationship Id="rId22" Type="http://schemas.openxmlformats.org/officeDocument/2006/relationships/footer" Target="footer4.xml"/><Relationship Id="rId27" Type="http://schemas.openxmlformats.org/officeDocument/2006/relationships/chart" Target="charts/chart4.xml"/><Relationship Id="rId43" Type="http://schemas.openxmlformats.org/officeDocument/2006/relationships/image" Target="media/image12.png"/><Relationship Id="rId48" Type="http://schemas.openxmlformats.org/officeDocument/2006/relationships/hyperlink" Target="https://www.industry.gov.au/publications/stimulating-business-investment-innovation" TargetMode="External"/><Relationship Id="rId64" Type="http://schemas.openxmlformats.org/officeDocument/2006/relationships/hyperlink" Target="https://www.industry.gov.au/publications/impact-persistent-innovation-business-growth" TargetMode="External"/><Relationship Id="rId69" Type="http://schemas.openxmlformats.org/officeDocument/2006/relationships/hyperlink" Target="https://www.industry.gov.au/news/find-australian-partner-innovation-science-and-research" TargetMode="External"/><Relationship Id="rId113" Type="http://schemas.openxmlformats.org/officeDocument/2006/relationships/hyperlink" Target="https://cdn.aigroup.com.au/Reports/2016/JoiningForces_Innovation_success_through_partnerships_Sept_2016.pdf" TargetMode="External"/><Relationship Id="rId118" Type="http://schemas.openxmlformats.org/officeDocument/2006/relationships/hyperlink" Target="https://www.cosboa.org.au/_files/ugd/c7ffff_99c1c9d7093b418c9312f80eb40a437f.pdf" TargetMode="External"/><Relationship Id="rId134" Type="http://schemas.openxmlformats.org/officeDocument/2006/relationships/hyperlink" Target="https://www.bcg.com/publications/2013/supply-chain-management-consumer-products-optimizing-collaborations-strategic-potential" TargetMode="External"/><Relationship Id="rId139" Type="http://schemas.openxmlformats.org/officeDocument/2006/relationships/hyperlink" Target="https://anufirstnations.com.au/wp-content/uploads/2022/10/20221017-Marramarra-Murru-Report-for-Sponsors-Final.pdf" TargetMode="External"/><Relationship Id="rId80" Type="http://schemas.openxmlformats.org/officeDocument/2006/relationships/hyperlink" Target="https://web.s.ebscohost.com/ehost/command/detail?vid=4&amp;sid=cab2d161-cc58-41e9-916d-6f8923a1e029%40redis&amp;bdata=JkF1dGhUeXBlPWNvb2tpZSxpcCx1cmwmc2l0ZT1laG9zdC1saXZl" TargetMode="External"/><Relationship Id="rId85" Type="http://schemas.openxmlformats.org/officeDocument/2006/relationships/hyperlink" Target="https://www.industry.gov.au/publications/cooperative-research-centres-program-impact-evaluation" TargetMode="External"/><Relationship Id="rId12" Type="http://schemas.openxmlformats.org/officeDocument/2006/relationships/header" Target="header2.xml"/><Relationship Id="rId17" Type="http://schemas.openxmlformats.org/officeDocument/2006/relationships/image" Target="media/image4.png"/><Relationship Id="rId33" Type="http://schemas.openxmlformats.org/officeDocument/2006/relationships/hyperlink" Target="https://www.oecd.org/industry/smes/SME-Outlook-2021-Country-profiles.pdf" TargetMode="External"/><Relationship Id="rId38" Type="http://schemas.openxmlformats.org/officeDocument/2006/relationships/chart" Target="charts/chart9.xml"/><Relationship Id="rId59" Type="http://schemas.openxmlformats.org/officeDocument/2006/relationships/hyperlink" Target="https://www.industry.gov.au/publications/business-performance-enterprise-connect-participants" TargetMode="External"/><Relationship Id="rId103" Type="http://schemas.openxmlformats.org/officeDocument/2006/relationships/hyperlink" Target="https://www.pc.gov.au/inquiries/completed/productivity/report" TargetMode="External"/><Relationship Id="rId108" Type="http://schemas.openxmlformats.org/officeDocument/2006/relationships/hyperlink" Target="https://www.investment.nsw.gov.au/assets/Uploads/Modern-Manufacturing-Taskforce-Report-v6.pdf" TargetMode="External"/><Relationship Id="rId124" Type="http://schemas.openxmlformats.org/officeDocument/2006/relationships/hyperlink" Target="https://grattan.edu.au/wp-content/uploads/2017/02/Stagnation-nation-Australian-investment-in-a-low-growth-world.pdf" TargetMode="External"/><Relationship Id="rId129" Type="http://schemas.openxmlformats.org/officeDocument/2006/relationships/hyperlink" Target="https://www.industry.gov.au/sites/default/files/2020-02/australian-business-investment-in-innovation-levels-trends-and-drivers.pdf" TargetMode="External"/><Relationship Id="rId54" Type="http://schemas.openxmlformats.org/officeDocument/2006/relationships/hyperlink" Target="https://www.industry.gov.au/publications/stimulating-business-investment-innovation" TargetMode="External"/><Relationship Id="rId70" Type="http://schemas.openxmlformats.org/officeDocument/2006/relationships/hyperlink" Target="https://www.industry.gov.au/sites/default/files/May%202018/document/extra/research-and-development-tax-incentive-review-survey-of-rsp-orima.pdf" TargetMode="External"/><Relationship Id="rId75" Type="http://schemas.openxmlformats.org/officeDocument/2006/relationships/hyperlink" Target="https://www.education.gov.au/national-research-infrastructure/resources/2021-national-research-infrastructure-roadmap" TargetMode="External"/><Relationship Id="rId91" Type="http://schemas.openxmlformats.org/officeDocument/2006/relationships/hyperlink" Target="https://www.aph.gov.au/DocumentStore.ashx?id=4decab0b-3b13-4b2c-b12e-716652c30f64&amp;subId=713968" TargetMode="External"/><Relationship Id="rId96" Type="http://schemas.openxmlformats.org/officeDocument/2006/relationships/hyperlink" Target="https://www.oecd.org/innovation/commercialising-public-research.htm" TargetMode="External"/><Relationship Id="rId140" Type="http://schemas.openxmlformats.org/officeDocument/2006/relationships/hyperlink" Target="https://www.universitiesaustralia.edu.au/wp-content/uploads/2019/06/Clever-Collaborations-FINAL.pdf"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hyperlink" Target="https://www.oecd.org/innovation/inno/inno-stats.htm" TargetMode="External"/><Relationship Id="rId49" Type="http://schemas.openxmlformats.org/officeDocument/2006/relationships/hyperlink" Target="https://www.industry.gov.au/publications/stimulating-business-investment-innovation" TargetMode="External"/><Relationship Id="rId114" Type="http://schemas.openxmlformats.org/officeDocument/2006/relationships/hyperlink" Target="https://smallbusinessassociation.com.au/sbaa-2023-2024-pre-budget-submission-for-small-business/?utm_source=sendgrid.com&amp;utm_medium=email&amp;utm_campaign=website" TargetMode="External"/><Relationship Id="rId119" Type="http://schemas.openxmlformats.org/officeDocument/2006/relationships/hyperlink" Target="https://www.cosboa.org.au/_files/ugd/c7ffff_54b10f3060ae4cd99e7723dd0cf1699a.pdf" TargetMode="External"/><Relationship Id="rId44" Type="http://schemas.openxmlformats.org/officeDocument/2006/relationships/image" Target="media/image13.png"/><Relationship Id="rId60" Type="http://schemas.openxmlformats.org/officeDocument/2006/relationships/hyperlink" Target="https://www.industry.gov.au/publications/updates-entrepreneurship-dynamics-australia" TargetMode="External"/><Relationship Id="rId65" Type="http://schemas.openxmlformats.org/officeDocument/2006/relationships/hyperlink" Target="https://www.industry.gov.au/publications/australian-geography-innovative-entrepreneurship" TargetMode="External"/><Relationship Id="rId81" Type="http://schemas.openxmlformats.org/officeDocument/2006/relationships/hyperlink" Target="https://web.s.ebscohost.com/ehost/command/detail?vid=4&amp;sid=cab2d161-cc58-41e9-916d-6f8923a1e029%40redis&amp;bdata=JkF1dGhUeXBlPWNvb2tpZSxpcCx1cmwmc2l0ZT1laG9zdC1saXZl" TargetMode="External"/><Relationship Id="rId86" Type="http://schemas.openxmlformats.org/officeDocument/2006/relationships/hyperlink" Target="https://www.industry.gov.au/publications/industry-growth-centres-initiative-initial-impact-evaluation" TargetMode="External"/><Relationship Id="rId130" Type="http://schemas.openxmlformats.org/officeDocument/2006/relationships/hyperlink" Target="https://www.industry.gov.au/sites/default/files/2020-02/australian-business-investment-in-innovation-levels-trends-and-drivers.pdf" TargetMode="External"/><Relationship Id="rId135" Type="http://schemas.openxmlformats.org/officeDocument/2006/relationships/hyperlink" Target="https://www.pwc.com/gx/en/technology/pdf/collaboration-appendix.pdf" TargetMode="External"/><Relationship Id="rId13" Type="http://schemas.openxmlformats.org/officeDocument/2006/relationships/footer" Target="footer2.xml"/><Relationship Id="rId18" Type="http://schemas.microsoft.com/office/2007/relationships/hdphoto" Target="media/hdphoto2.wdp"/><Relationship Id="rId39" Type="http://schemas.openxmlformats.org/officeDocument/2006/relationships/chart" Target="charts/chart10.xml"/><Relationship Id="rId109" Type="http://schemas.openxmlformats.org/officeDocument/2006/relationships/hyperlink" Target="https://www.investment.nsw.gov.au/assets/Uploads/files/IPC/Full-Report-Business-Size-Report.pdf" TargetMode="External"/><Relationship Id="rId34" Type="http://schemas.openxmlformats.org/officeDocument/2006/relationships/footer" Target="footer5.xml"/><Relationship Id="rId50" Type="http://schemas.openxmlformats.org/officeDocument/2006/relationships/hyperlink" Target="https://www.industry.gov.au/publications/driving-effective-government-investment-innovation-science-and-research" TargetMode="External"/><Relationship Id="rId55" Type="http://schemas.openxmlformats.org/officeDocument/2006/relationships/hyperlink" Target="https://www.industry.gov.au/publications/global-production-sharing-and-australian-manufacturing" TargetMode="External"/><Relationship Id="rId76" Type="http://schemas.openxmlformats.org/officeDocument/2006/relationships/hyperlink" Target="file://prod.protected.ind/User/user07/SB1157/Downloads/DESE_IDEAS_JAM_REPORT_V3%20(2).pdf" TargetMode="External"/><Relationship Id="rId97" Type="http://schemas.openxmlformats.org/officeDocument/2006/relationships/hyperlink" Target="https://www3.weforum.org/docs/WEF_Collaborative_Innovation_report_2015.pdf" TargetMode="External"/><Relationship Id="rId104" Type="http://schemas.openxmlformats.org/officeDocument/2006/relationships/hyperlink" Target="https://www.chiefscientist.nsw.gov.au/__data/assets/pdf_file/0009/395514/Accelerating-RD-in-NSW-Turning-ideas-into-jobs-web.pdf" TargetMode="External"/><Relationship Id="rId120" Type="http://schemas.openxmlformats.org/officeDocument/2006/relationships/hyperlink" Target="https://cedakenticomedia.blob.core.windows.net/cedamediacontainer/kentico/media/attachments/ceda-dynamic-capabilities-report.pdf" TargetMode="External"/><Relationship Id="rId125" Type="http://schemas.openxmlformats.org/officeDocument/2006/relationships/hyperlink" Target="https://www.innovationaus.com/category/the-innovation-papers/" TargetMode="External"/><Relationship Id="rId141" Type="http://schemas.openxmlformats.org/officeDocument/2006/relationships/hyperlink" Target="https://www.theaustralian.com.au/higher-education/victoria-fails-to-give-continuing-support-to-ncris/news-story/59d058ef73cc6469e91a5677bb99114c?btr=6ccf5c02342a7c014297ebcb3ad00450" TargetMode="External"/><Relationship Id="rId7" Type="http://schemas.openxmlformats.org/officeDocument/2006/relationships/endnotes" Target="endnotes.xml"/><Relationship Id="rId71" Type="http://schemas.openxmlformats.org/officeDocument/2006/relationships/hyperlink" Target="https://treasury.gov.au/sites/default/files/2019-03/AustralianSmallBusinessKeyStatisticsAndAnalysis.pdf" TargetMode="External"/><Relationship Id="rId92" Type="http://schemas.openxmlformats.org/officeDocument/2006/relationships/hyperlink" Target="https://www.aph.gov.au/DocumentStore.ashx?id=8a896104-d2e9-4da6-9b94-f2496608f91c&amp;subId=715226" TargetMode="Externa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s://www.abs.gov.au/AUSSTATS/abs@.nsf/DetailsPage/8109.01992-93?OpenDocument" TargetMode="External"/><Relationship Id="rId66" Type="http://schemas.openxmlformats.org/officeDocument/2006/relationships/hyperlink" Target="https://consult.industry.gov.au/sciencepriorities1" TargetMode="External"/><Relationship Id="rId87" Type="http://schemas.openxmlformats.org/officeDocument/2006/relationships/hyperlink" Target="https://www.health.gov.au/sites/default/files/documents/2020/12/medical-research-commercialisation-landscape-report.pdf" TargetMode="External"/><Relationship Id="rId110" Type="http://schemas.openxmlformats.org/officeDocument/2006/relationships/hyperlink" Target="https://www.investment.nsw.gov.au/assets/Uploads/files/IPC/Full-Report-IPC-The-Innovation-Economy-2018.pdf" TargetMode="External"/><Relationship Id="rId115" Type="http://schemas.openxmlformats.org/officeDocument/2006/relationships/hyperlink" Target="https://www.cosboa.org.au/_files/ugd/c7ffff_be18702d023d44a5bd68adc6e3c7e4ab.pdf" TargetMode="External"/><Relationship Id="rId131" Type="http://schemas.openxmlformats.org/officeDocument/2006/relationships/hyperlink" Target="https://www.mckinsey.com/capabilities/operations/our-insights/digital-collaboration-for-a-connected-manufacturing-workforce" TargetMode="External"/><Relationship Id="rId136" Type="http://schemas.openxmlformats.org/officeDocument/2006/relationships/hyperlink" Target="https://www.csiro.au/-/media/SME-Connect/21-00095_SER-SME_REPORT_IndustryUniCollaborators.pdf" TargetMode="External"/><Relationship Id="rId61" Type="http://schemas.openxmlformats.org/officeDocument/2006/relationships/hyperlink" Target="https://www.industry.gov.au/publications/do-manufacturing-entrepreneurs-australia-have-or-develop-productivity-advantage" TargetMode="External"/><Relationship Id="rId82" Type="http://schemas.openxmlformats.org/officeDocument/2006/relationships/hyperlink" Target="https://web.s.ebscohost.com/ehost/command/detail?vid=4&amp;sid=cab2d161-cc58-41e9-916d-6f8923a1e029%40redis&amp;bdata=JkF1dGhUeXBlPWNvb2tpZSxpcCx1cmwmc2l0ZT1laG9zdC1saXZl" TargetMode="External"/><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hyperlink" Target="https://www.oecd.org/innovation/inno/inno-stats.htm" TargetMode="External"/><Relationship Id="rId35" Type="http://schemas.openxmlformats.org/officeDocument/2006/relationships/header" Target="header3.xml"/><Relationship Id="rId56" Type="http://schemas.openxmlformats.org/officeDocument/2006/relationships/hyperlink" Target="https://www.industry.gov.au/publications/international-entrepreneurship-evidence-australian-born-global-firms" TargetMode="External"/><Relationship Id="rId77" Type="http://schemas.openxmlformats.org/officeDocument/2006/relationships/hyperlink" Target="https://treasury.gov.au/publication/p2022-243535" TargetMode="External"/><Relationship Id="rId100" Type="http://schemas.openxmlformats.org/officeDocument/2006/relationships/hyperlink" Target="https://raeng.org.uk/media/gaele1fj/bridging_the_valley_of_death_improving_the_commercialisation_of_research-2012.pdf" TargetMode="External"/><Relationship Id="rId105" Type="http://schemas.openxmlformats.org/officeDocument/2006/relationships/hyperlink" Target="https://www.chiefscientist.nsw.gov.au/rdnsw/nsw-20-year-r-and-d-roadmap" TargetMode="External"/><Relationship Id="rId126" Type="http://schemas.openxmlformats.org/officeDocument/2006/relationships/hyperlink" Target="https://www.pwc.com.au/government/government-matters/connecting-research-to-the-world.html" TargetMode="External"/><Relationship Id="rId8" Type="http://schemas.openxmlformats.org/officeDocument/2006/relationships/image" Target="media/image1.png"/><Relationship Id="rId51" Type="http://schemas.openxmlformats.org/officeDocument/2006/relationships/hyperlink" Target="https://www.industry.gov.au/publications/stimulating-business-investment-innovation" TargetMode="External"/><Relationship Id="rId72" Type="http://schemas.openxmlformats.org/officeDocument/2006/relationships/hyperlink" Target="https://www.education.gov.au/university-research-commercialisation-package" TargetMode="External"/><Relationship Id="rId93" Type="http://schemas.openxmlformats.org/officeDocument/2006/relationships/hyperlink" Target="https://www.oecd-forum.org/posts/innovation-in-real-places-strategies-for-prosperity-in-an-unforgiving-world-by-dan-breznitz" TargetMode="External"/><Relationship Id="rId98" Type="http://schemas.openxmlformats.org/officeDocument/2006/relationships/hyperlink" Target="https://www.globalinnovationindex.org/Home" TargetMode="External"/><Relationship Id="rId121" Type="http://schemas.openxmlformats.org/officeDocument/2006/relationships/hyperlink" Target="https://www.ceda.com.au/getmedia/130d8921-ec68-42f1-9c33-ab0be47d9e13/University-Research-Commercialisation-CEDA-submission-April-2021-(1).pdf" TargetMode="External"/><Relationship Id="rId142" Type="http://schemas.openxmlformats.org/officeDocument/2006/relationships/hyperlink" Target="https://www.smh.com.au/business/the-economy/why-outgoing-competition-boss-rod-sims-fears-for-the-future-of-the-market-economy-20220227-p5a01e.html" TargetMode="Externa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yperlink" Target="https://www.abs.gov.au/statistics/industry/technology-and-innovation/research-and-experimental-development-government-and-private-non-profit-organisations-australia/2020-21" TargetMode="External"/><Relationship Id="rId67" Type="http://schemas.openxmlformats.org/officeDocument/2006/relationships/hyperlink" Target="https://www.industry.gov.au/publications/business-research-collaboration-user-centred-design-project" TargetMode="External"/><Relationship Id="rId116" Type="http://schemas.openxmlformats.org/officeDocument/2006/relationships/hyperlink" Target="https://assets.nationbuilder.com/bca/pages/7189/attachments/original/1679280438/Australia's_investment_drought_-_190323.pdf?1679280438" TargetMode="External"/><Relationship Id="rId137" Type="http://schemas.openxmlformats.org/officeDocument/2006/relationships/hyperlink" Target="https://www.csiro.au/en/work-with-us/funding-programs/sme/collaboration-readiness-level" TargetMode="External"/><Relationship Id="rId20" Type="http://schemas.openxmlformats.org/officeDocument/2006/relationships/chart" Target="charts/chart1.xml"/><Relationship Id="rId41" Type="http://schemas.openxmlformats.org/officeDocument/2006/relationships/image" Target="media/image11.png"/><Relationship Id="rId62" Type="http://schemas.openxmlformats.org/officeDocument/2006/relationships/hyperlink" Target="https://www.industry.gov.au/publications/characteristics-and-performance-457-migrant-visa-sponsoring-businesses" TargetMode="External"/><Relationship Id="rId83" Type="http://schemas.openxmlformats.org/officeDocument/2006/relationships/hyperlink" Target="https://www.accc.gov.au/system/files/Submission%20-%20Economic%20Dynamism%2C%20Competition%20and%20Business%20Formation%20-%20ACCC.pdf" TargetMode="External"/><Relationship Id="rId88" Type="http://schemas.openxmlformats.org/officeDocument/2006/relationships/hyperlink" Target="https://www.aph.gov.au/Parliamentary_Business/Committees/Senate/Economics/REFSManufacturing/Report" TargetMode="External"/><Relationship Id="rId111" Type="http://schemas.openxmlformats.org/officeDocument/2006/relationships/hyperlink" Target="https://advance.qld.gov.au/sites/default/files/Macro-level%20Evaluation%202%20of%20Advance%20Queensland.pdf" TargetMode="External"/><Relationship Id="rId132" Type="http://schemas.openxmlformats.org/officeDocument/2006/relationships/hyperlink" Target="https://www2.deloitte.com/au/en/blog/economics-blog/2021/the-path-forward-commercialising-university-research.html" TargetMode="External"/><Relationship Id="rId15" Type="http://schemas.openxmlformats.org/officeDocument/2006/relationships/image" Target="media/image3.png"/><Relationship Id="rId36" Type="http://schemas.openxmlformats.org/officeDocument/2006/relationships/footer" Target="footer6.xml"/><Relationship Id="rId57" Type="http://schemas.openxmlformats.org/officeDocument/2006/relationships/hyperlink" Target="https://www.industry.gov.au/publications/market-power-and-entrepreneurship-change-case-australia" TargetMode="External"/><Relationship Id="rId106" Type="http://schemas.openxmlformats.org/officeDocument/2006/relationships/hyperlink" Target="https://www.chiefscientist.nsw.gov.au/__data/assets/pdf_file/0003/508836/FINAL-Report-20-Year-NSW-R-and-D-Roadmap-Supplement.pdf" TargetMode="External"/><Relationship Id="rId127" Type="http://schemas.openxmlformats.org/officeDocument/2006/relationships/hyperlink" Target="https://www.industry.gov.au/sites/default/files/2020-02/policy-directions-to-increase-business-investment-in-innovation.pdf" TargetMode="External"/><Relationship Id="rId10" Type="http://schemas.openxmlformats.org/officeDocument/2006/relationships/header" Target="header1.xml"/><Relationship Id="rId31" Type="http://schemas.openxmlformats.org/officeDocument/2006/relationships/chart" Target="charts/chart6.xml"/><Relationship Id="rId52" Type="http://schemas.openxmlformats.org/officeDocument/2006/relationships/hyperlink" Target="https://www.industry.gov.au/publications/stimulating-business-investment-innovation" TargetMode="External"/><Relationship Id="rId73" Type="http://schemas.openxmlformats.org/officeDocument/2006/relationships/hyperlink" Target="https://www.education.gov.au/university-research-commercialisation-package/resources/university-research-commercialisation-consultation-paper" TargetMode="External"/><Relationship Id="rId78" Type="http://schemas.openxmlformats.org/officeDocument/2006/relationships/hyperlink" Target="https://treasury.gov.au/sites/default/files/2019-03/p2017-t213722-Roundup_Productivity_trends_and_structural_change.pdf" TargetMode="External"/><Relationship Id="rId94" Type="http://schemas.openxmlformats.org/officeDocument/2006/relationships/hyperlink" Target="https://www.oecd-ilibrary.org/sites/71b7a9bb-en/index.html?itemId=/content/publication/71b7a9bb-en" TargetMode="External"/><Relationship Id="rId99" Type="http://schemas.openxmlformats.org/officeDocument/2006/relationships/hyperlink" Target="https://assets.publishing.service.gov.uk/government/uploads/system/uploads/attachment_data/file/838492/business-basics-programme-progress-report-october-2019.pdf" TargetMode="External"/><Relationship Id="rId101" Type="http://schemas.openxmlformats.org/officeDocument/2006/relationships/hyperlink" Target="https://www.sapc.sa.gov.au/inquiries/inquiries/turning-research-into-economic-competitiveness-for-south-australia/documents/Turning-research-into-economic-competitiveness-for-SA-Draft-Report-for-Publication.pdf" TargetMode="External"/><Relationship Id="rId122" Type="http://schemas.openxmlformats.org/officeDocument/2006/relationships/hyperlink" Target="https://futurework.org.au/report/a-fair-share-for-australian-manufacturing/" TargetMode="External"/><Relationship Id="rId143" Type="http://schemas.openxmlformats.org/officeDocument/2006/relationships/hyperlink" Target="https://www.afr.com/technology/survival-of-the-fittest-as-zombie-start-ups-stagger-through-winter-20230510-p5d7bd"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chart" Target="charts/chart3.xml"/><Relationship Id="rId47" Type="http://schemas.openxmlformats.org/officeDocument/2006/relationships/hyperlink" Target="https://data.gov.au/data/dataset/taxation-statistics-2020-21/resource/bf9cbddb-cecf-49eb-92ba-40cbca58c76c?inner_span=True" TargetMode="External"/><Relationship Id="rId68" Type="http://schemas.openxmlformats.org/officeDocument/2006/relationships/hyperlink" Target="https://www.education.gov.au/download/5035/discussion-paper-boosting-commercial-returns-research/7564/document/docx" TargetMode="External"/><Relationship Id="rId89" Type="http://schemas.openxmlformats.org/officeDocument/2006/relationships/hyperlink" Target="https://www.aph.gov.au/DocumentStore.ashx?id=7775bdbe-d41f-4038-b37f-5bfb311dad0d&amp;subId=713218" TargetMode="External"/><Relationship Id="rId112" Type="http://schemas.openxmlformats.org/officeDocument/2006/relationships/hyperlink" Target="https://www.ausbanking.org.au/wp-content/uploads/2022/11/ABA-SME-Lending-Report-2022.pdf" TargetMode="External"/><Relationship Id="rId133" Type="http://schemas.openxmlformats.org/officeDocument/2006/relationships/hyperlink" Target="https://www2.deloitte.com/content/dam/Deloitte/au/Documents/Economics/deloitte-au-economics-collaborative-economy-google-170614.pdf" TargetMode="External"/><Relationship Id="rId16" Type="http://schemas.microsoft.com/office/2007/relationships/hdphoto" Target="media/hdphoto1.wdp"/><Relationship Id="rId37" Type="http://schemas.openxmlformats.org/officeDocument/2006/relationships/chart" Target="charts/chart8.xml"/><Relationship Id="rId58" Type="http://schemas.openxmlformats.org/officeDocument/2006/relationships/hyperlink" Target="https://www.industry.gov.au/publications/impact-commercialisation-australia-business-performance" TargetMode="External"/><Relationship Id="rId79" Type="http://schemas.openxmlformats.org/officeDocument/2006/relationships/hyperlink" Target="https://www.pc.gov.au/ongoing/productivity-insights/australia-leader/productivity-insights-2020-australia-leader.pdf" TargetMode="External"/><Relationship Id="rId102" Type="http://schemas.openxmlformats.org/officeDocument/2006/relationships/hyperlink" Target="https://www.pc.gov.au/inquiries/completed/productivity/report" TargetMode="External"/><Relationship Id="rId123" Type="http://schemas.openxmlformats.org/officeDocument/2006/relationships/hyperlink" Target="https://grattan.edu.au/report/next-industrial-revolution/" TargetMode="External"/><Relationship Id="rId144" Type="http://schemas.openxmlformats.org/officeDocument/2006/relationships/fontTable" Target="fontTable.xml"/></Relationships>
</file>

<file path=word/_rels/footer5.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3" Type="http://schemas.openxmlformats.org/officeDocument/2006/relationships/hyperlink" Target="https://www.pc.gov.au/inquiries/completed/productivity/report" TargetMode="External"/><Relationship Id="rId18" Type="http://schemas.openxmlformats.org/officeDocument/2006/relationships/hyperlink" Target="https://www.openforum.com.au/stuck-in-the-middle-mid-sized-enterprises-in-australia/" TargetMode="External"/><Relationship Id="rId26" Type="http://schemas.openxmlformats.org/officeDocument/2006/relationships/hyperlink" Target="https://www.fraunhofer.de/en/media-center/publications/fraunhofer-annual-report/Annual-Report-2022.html" TargetMode="External"/><Relationship Id="rId21" Type="http://schemas.openxmlformats.org/officeDocument/2006/relationships/hyperlink" Target="https://www.jstor.org/publisher/anthemp" TargetMode="External"/><Relationship Id="rId34" Type="http://schemas.openxmlformats.org/officeDocument/2006/relationships/hyperlink" Target="https://www.jstor.org/stable/i341345" TargetMode="External"/><Relationship Id="rId7" Type="http://schemas.openxmlformats.org/officeDocument/2006/relationships/hyperlink" Target="https://iap.unido.org/articles/building-socio-economic-resilience-through-industrial-capabilities" TargetMode="External"/><Relationship Id="rId12" Type="http://schemas.openxmlformats.org/officeDocument/2006/relationships/hyperlink" Target="https://www.pc.gov.au/inquiries/completed/productivity/report" TargetMode="External"/><Relationship Id="rId17" Type="http://schemas.openxmlformats.org/officeDocument/2006/relationships/hyperlink" Target="https://www.openforum.com.au/stuck-in-the-middle-mid-sized-enterprises-in-australia/" TargetMode="External"/><Relationship Id="rId25" Type="http://schemas.openxmlformats.org/officeDocument/2006/relationships/hyperlink" Target="https://www.globaltradealert.org/state-act/73152/germany-modification-of-central-innovation-programme-zim-for-smes" TargetMode="External"/><Relationship Id="rId33" Type="http://schemas.openxmlformats.org/officeDocument/2006/relationships/hyperlink" Target="https://www.industry.gov.au/publications/innovation-metrics-review" TargetMode="External"/><Relationship Id="rId38" Type="http://schemas.openxmlformats.org/officeDocument/2006/relationships/hyperlink" Target="https://aasb.gov.au/pronouncements/accounting-standards/" TargetMode="External"/><Relationship Id="rId2" Type="http://schemas.openxmlformats.org/officeDocument/2006/relationships/hyperlink" Target="https://treasury.gov.au/speech/s2019-390085" TargetMode="External"/><Relationship Id="rId16" Type="http://schemas.openxmlformats.org/officeDocument/2006/relationships/hyperlink" Target="https://www.oecd.org/industry/smes/SME-Outlook-2021-Country-profiles.pdf" TargetMode="External"/><Relationship Id="rId20" Type="http://schemas.openxmlformats.org/officeDocument/2006/relationships/hyperlink" Target="https://www.abs.gov.au/statistics/industry/technology-and-innovation/characteristics-australian-business/latest-release" TargetMode="External"/><Relationship Id="rId29" Type="http://schemas.openxmlformats.org/officeDocument/2006/relationships/hyperlink" Target="https://apo.org.au/node/314013" TargetMode="External"/><Relationship Id="rId1" Type="http://schemas.openxmlformats.org/officeDocument/2006/relationships/hyperlink" Target="https://www.education.gov.au/university-research-commercialisation-package" TargetMode="External"/><Relationship Id="rId6" Type="http://schemas.openxmlformats.org/officeDocument/2006/relationships/hyperlink" Target="https://data.oecd.org/entrepreneur/enterprises-by-business-size.htm" TargetMode="External"/><Relationship Id="rId11" Type="http://schemas.openxmlformats.org/officeDocument/2006/relationships/hyperlink" Target="https://my.ibisworld.com/au/en/industry/c2412/companies" TargetMode="External"/><Relationship Id="rId24" Type="http://schemas.openxmlformats.org/officeDocument/2006/relationships/hyperlink" Target="https://www.destatis.de/EN/Themes/Economic-Sectors-Enterprises/Enterprises/Small-Sized-Enterprises-Medium-Sized-Enterprises/Tables/total-cik.html" TargetMode="External"/><Relationship Id="rId32" Type="http://schemas.openxmlformats.org/officeDocument/2006/relationships/hyperlink" Target="https://www.csiro.au/en/work-with-us/funding-programs/sme/enablers-and-barriers" TargetMode="External"/><Relationship Id="rId37" Type="http://schemas.openxmlformats.org/officeDocument/2006/relationships/hyperlink" Target="https://www.nationalskillscommission.gov.au/topics/australian-skills-classification" TargetMode="External"/><Relationship Id="rId5" Type="http://schemas.openxmlformats.org/officeDocument/2006/relationships/hyperlink" Target="https://data.oecd.org/entrepreneur/enterprises-by-business-size.htm" TargetMode="External"/><Relationship Id="rId15" Type="http://schemas.openxmlformats.org/officeDocument/2006/relationships/hyperlink" Target="https://www.abs.gov.au/statistics/economy/business-indicators/counts-australian-businesses-including-entries-and-exits/latest-release" TargetMode="External"/><Relationship Id="rId23" Type="http://schemas.openxmlformats.org/officeDocument/2006/relationships/hyperlink" Target="https://www.youtube.com/watch?v=1--Gq_SC3vg" TargetMode="External"/><Relationship Id="rId28" Type="http://schemas.openxmlformats.org/officeDocument/2006/relationships/hyperlink" Target="https://www.ffb.fraunhofer.de/en/about-us.html" TargetMode="External"/><Relationship Id="rId36" Type="http://schemas.openxmlformats.org/officeDocument/2006/relationships/hyperlink" Target="https://www.oecd.org/science/oslo-manual-2018-9789264304604-en.htm" TargetMode="External"/><Relationship Id="rId10" Type="http://schemas.openxmlformats.org/officeDocument/2006/relationships/hyperlink" Target="https://www.ipaustralia.gov.au/tools-and-research/professional-resources/data-research-and-reports/australian-ip-report/chapter-1-patents" TargetMode="External"/><Relationship Id="rId19" Type="http://schemas.openxmlformats.org/officeDocument/2006/relationships/hyperlink" Target="https://www.abs.gov.au/statistics/economy/business-indicators/counts-australian-businesses-including-entries-and-exits/latest-release" TargetMode="External"/><Relationship Id="rId31" Type="http://schemas.openxmlformats.org/officeDocument/2006/relationships/hyperlink" Target="https://www.education.gov.au/hercip/consultations/context-and-consultation-framework/submission/14707" TargetMode="External"/><Relationship Id="rId4" Type="http://schemas.openxmlformats.org/officeDocument/2006/relationships/hyperlink" Target="https://www.abs.gov.au/statistics/economy/business-indicators/counts-australian-businesses-including-entries-and-exits/latest-release" TargetMode="External"/><Relationship Id="rId9" Type="http://schemas.openxmlformats.org/officeDocument/2006/relationships/hyperlink" Target="https://www.abs.gov.au/statistics/economy/national-accounts/australian-national-accounts-input-output-tables/latest-release" TargetMode="External"/><Relationship Id="rId14" Type="http://schemas.openxmlformats.org/officeDocument/2006/relationships/hyperlink" Target="https://www.abs.gov.au/statistics/economy/business-indicators/counts-australian-businesses-including-entries-and-exits/latest-release" TargetMode="External"/><Relationship Id="rId22" Type="http://schemas.openxmlformats.org/officeDocument/2006/relationships/hyperlink" Target="http://www.jstor.org/stable/j.ctt1gxp7cs" TargetMode="External"/><Relationship Id="rId27" Type="http://schemas.openxmlformats.org/officeDocument/2006/relationships/hyperlink" Target="https://www.csiro.au/en/about/corporate-governance/annual-reports/21-22-annual-report" TargetMode="External"/><Relationship Id="rId30" Type="http://schemas.openxmlformats.org/officeDocument/2006/relationships/hyperlink" Target="https://www.education.gov.au/hercip/consultations/context-and-consultation-framework/submission/14725" TargetMode="External"/><Relationship Id="rId35" Type="http://schemas.openxmlformats.org/officeDocument/2006/relationships/hyperlink" Target="https://aasb.gov.au/pronouncements/accounting-standards/" TargetMode="External"/><Relationship Id="rId8" Type="http://schemas.openxmlformats.org/officeDocument/2006/relationships/hyperlink" Target="https://one.oecd.org/document/DSTI/IND(2012)20/FINAL/En/pdf" TargetMode="External"/><Relationship Id="rId3" Type="http://schemas.openxmlformats.org/officeDocument/2006/relationships/hyperlink" Target="https://www.pc.gov.au/inquiries/completed/productivity/repor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prod.protected.ind\user\User01\JRojas\desktop\Excel\Converlens%20survey%20target%20list%20and%20responses%20July%202023vs2.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2.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oleObject" Target="file:///\\prod.protected.ind\user\User01\JRojas\desktop\Excel\Converlens%20survey%20target%20list%20and%20responses%20July%202023vs2.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rgbClr val="003491"/>
              </a:solidFill>
              <a:ln w="9525">
                <a:solidFill>
                  <a:schemeClr val="accent1"/>
                </a:solidFill>
              </a:ln>
              <a:effectLst/>
            </c:spPr>
          </c:marker>
          <c:dPt>
            <c:idx val="0"/>
            <c:marker>
              <c:symbol val="circle"/>
              <c:size val="5"/>
              <c:spPr>
                <a:solidFill>
                  <a:srgbClr val="003491"/>
                </a:solidFill>
                <a:ln w="9525">
                  <a:noFill/>
                </a:ln>
                <a:effectLst/>
              </c:spPr>
            </c:marker>
            <c:bubble3D val="0"/>
            <c:extLst>
              <c:ext xmlns:c16="http://schemas.microsoft.com/office/drawing/2014/chart" uri="{C3380CC4-5D6E-409C-BE32-E72D297353CC}">
                <c16:uniqueId val="{00000000-5FE2-452E-9F9B-0C3836EA5F6D}"/>
              </c:ext>
            </c:extLst>
          </c:dPt>
          <c:dLbls>
            <c:dLbl>
              <c:idx val="0"/>
              <c:layout>
                <c:manualLayout>
                  <c:x val="-4.7042220392803404E-3"/>
                  <c:y val="-8.0851693704735569E-17"/>
                </c:manualLayout>
              </c:layout>
              <c:tx>
                <c:rich>
                  <a:bodyPr rot="0" spcFirstLastPara="1" vertOverflow="ellipsis" vert="horz" wrap="square" lIns="38100" tIns="19050" rIns="38100" bIns="19050" anchor="ctr" anchorCtr="1">
                    <a:spAutoFit/>
                  </a:bodyPr>
                  <a:lstStyle/>
                  <a:p>
                    <a:pPr>
                      <a:defRPr sz="800" b="1" i="1" u="none" strike="noStrike" kern="1200" baseline="0">
                        <a:solidFill>
                          <a:schemeClr val="tx1">
                            <a:lumMod val="75000"/>
                            <a:lumOff val="25000"/>
                          </a:schemeClr>
                        </a:solidFill>
                        <a:latin typeface="+mn-lt"/>
                        <a:ea typeface="+mn-ea"/>
                        <a:cs typeface="+mn-cs"/>
                      </a:defRPr>
                    </a:pPr>
                    <a:fld id="{7D9F8EF3-1C41-498D-BABF-F0756947B1BD}" type="CELLRANGE">
                      <a:rPr lang="en-US"/>
                      <a:pPr>
                        <a:defRPr sz="800" b="1" i="1"/>
                      </a:pPr>
                      <a:t>[CELLRANGE]</a:t>
                    </a:fld>
                    <a:endParaRPr lang="en-AU"/>
                  </a:p>
                </c:rich>
              </c:tx>
              <c:spPr>
                <a:solidFill>
                  <a:srgbClr val="00E29C"/>
                </a:solidFill>
                <a:ln>
                  <a:noFill/>
                </a:ln>
                <a:effectLst/>
              </c:spPr>
              <c:txPr>
                <a:bodyPr rot="0" spcFirstLastPara="1" vertOverflow="ellipsis" vert="horz" wrap="square" lIns="38100" tIns="19050" rIns="38100" bIns="19050" anchor="ctr" anchorCtr="1">
                  <a:spAutoFit/>
                </a:bodyPr>
                <a:lstStyle/>
                <a:p>
                  <a:pPr>
                    <a:defRPr sz="800" b="1" i="1"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FE2-452E-9F9B-0C3836EA5F6D}"/>
                </c:ext>
              </c:extLst>
            </c:dLbl>
            <c:dLbl>
              <c:idx val="1"/>
              <c:tx>
                <c:rich>
                  <a:bodyPr/>
                  <a:lstStyle/>
                  <a:p>
                    <a:fld id="{7C167EBF-2060-4636-BD1D-E9F1EF22E48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FE2-452E-9F9B-0C3836EA5F6D}"/>
                </c:ext>
              </c:extLst>
            </c:dLbl>
            <c:dLbl>
              <c:idx val="2"/>
              <c:tx>
                <c:rich>
                  <a:bodyPr/>
                  <a:lstStyle/>
                  <a:p>
                    <a:fld id="{E398F74D-CA30-4959-9396-890EBC667A4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FE2-452E-9F9B-0C3836EA5F6D}"/>
                </c:ext>
              </c:extLst>
            </c:dLbl>
            <c:dLbl>
              <c:idx val="3"/>
              <c:tx>
                <c:rich>
                  <a:bodyPr/>
                  <a:lstStyle/>
                  <a:p>
                    <a:fld id="{484BD168-3579-42DA-B2B9-6A7B6F8EFAE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FE2-452E-9F9B-0C3836EA5F6D}"/>
                </c:ext>
              </c:extLst>
            </c:dLbl>
            <c:dLbl>
              <c:idx val="4"/>
              <c:layout>
                <c:manualLayout>
                  <c:x val="-7.1856287425150576E-3"/>
                  <c:y val="3.2407407407407406E-2"/>
                </c:manualLayout>
              </c:layout>
              <c:tx>
                <c:rich>
                  <a:bodyPr/>
                  <a:lstStyle/>
                  <a:p>
                    <a:fld id="{13B75830-DEDA-49A2-BCD6-88F5E6BC7A0F}"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5FE2-452E-9F9B-0C3836EA5F6D}"/>
                </c:ext>
              </c:extLst>
            </c:dLbl>
            <c:dLbl>
              <c:idx val="5"/>
              <c:tx>
                <c:rich>
                  <a:bodyPr/>
                  <a:lstStyle/>
                  <a:p>
                    <a:fld id="{E1884598-1BCB-4530-967E-E87D418365A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FE2-452E-9F9B-0C3836EA5F6D}"/>
                </c:ext>
              </c:extLst>
            </c:dLbl>
            <c:dLbl>
              <c:idx val="6"/>
              <c:tx>
                <c:rich>
                  <a:bodyPr/>
                  <a:lstStyle/>
                  <a:p>
                    <a:fld id="{2715271B-31D4-41E5-ABB0-AE6FD2BA489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FE2-452E-9F9B-0C3836EA5F6D}"/>
                </c:ext>
              </c:extLst>
            </c:dLbl>
            <c:dLbl>
              <c:idx val="7"/>
              <c:tx>
                <c:rich>
                  <a:bodyPr/>
                  <a:lstStyle/>
                  <a:p>
                    <a:fld id="{DECE5FEF-2D55-44A2-BFFE-1723BB63A52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FE2-452E-9F9B-0C3836EA5F6D}"/>
                </c:ext>
              </c:extLst>
            </c:dLbl>
            <c:dLbl>
              <c:idx val="8"/>
              <c:tx>
                <c:rich>
                  <a:bodyPr/>
                  <a:lstStyle/>
                  <a:p>
                    <a:fld id="{AF9199F6-3862-4CE7-B681-A46B42DB227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FE2-452E-9F9B-0C3836EA5F6D}"/>
                </c:ext>
              </c:extLst>
            </c:dLbl>
            <c:dLbl>
              <c:idx val="9"/>
              <c:tx>
                <c:rich>
                  <a:bodyPr/>
                  <a:lstStyle/>
                  <a:p>
                    <a:fld id="{A4D93D97-4BE5-4D00-A270-52987378FD9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5FE2-452E-9F9B-0C3836EA5F6D}"/>
                </c:ext>
              </c:extLst>
            </c:dLbl>
            <c:dLbl>
              <c:idx val="10"/>
              <c:tx>
                <c:rich>
                  <a:bodyPr/>
                  <a:lstStyle/>
                  <a:p>
                    <a:fld id="{779BBE00-4BD5-4B95-B2EE-08F71026158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5FE2-452E-9F9B-0C3836EA5F6D}"/>
                </c:ext>
              </c:extLst>
            </c:dLbl>
            <c:dLbl>
              <c:idx val="11"/>
              <c:tx>
                <c:rich>
                  <a:bodyPr/>
                  <a:lstStyle/>
                  <a:p>
                    <a:fld id="{FDCBDCE1-73EA-40F3-8375-746A040B08D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5FE2-452E-9F9B-0C3836EA5F6D}"/>
                </c:ext>
              </c:extLst>
            </c:dLbl>
            <c:dLbl>
              <c:idx val="12"/>
              <c:tx>
                <c:rich>
                  <a:bodyPr/>
                  <a:lstStyle/>
                  <a:p>
                    <a:fld id="{B91647C5-E88D-4D00-9048-AE585295B0F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5FE2-452E-9F9B-0C3836EA5F6D}"/>
                </c:ext>
              </c:extLst>
            </c:dLbl>
            <c:dLbl>
              <c:idx val="13"/>
              <c:tx>
                <c:rich>
                  <a:bodyPr/>
                  <a:lstStyle/>
                  <a:p>
                    <a:fld id="{92CBBA80-7D04-494E-B045-A2EAC604478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5FE2-452E-9F9B-0C3836EA5F6D}"/>
                </c:ext>
              </c:extLst>
            </c:dLbl>
            <c:dLbl>
              <c:idx val="14"/>
              <c:tx>
                <c:rich>
                  <a:bodyPr/>
                  <a:lstStyle/>
                  <a:p>
                    <a:fld id="{70CFC305-EFB7-44DE-9A35-6C05A74FC46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5FE2-452E-9F9B-0C3836EA5F6D}"/>
                </c:ext>
              </c:extLst>
            </c:dLbl>
            <c:dLbl>
              <c:idx val="15"/>
              <c:tx>
                <c:rich>
                  <a:bodyPr/>
                  <a:lstStyle/>
                  <a:p>
                    <a:fld id="{FC27A8A8-212F-45C3-843A-531F7FFD73A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5FE2-452E-9F9B-0C3836EA5F6D}"/>
                </c:ext>
              </c:extLst>
            </c:dLbl>
            <c:dLbl>
              <c:idx val="16"/>
              <c:layout>
                <c:manualLayout>
                  <c:x val="-3.5555555555555597E-2"/>
                  <c:y val="5.1958433253397246E-2"/>
                </c:manualLayout>
              </c:layout>
              <c:tx>
                <c:rich>
                  <a:bodyPr/>
                  <a:lstStyle/>
                  <a:p>
                    <a:fld id="{C669CE99-4FA3-431A-93DE-02FEEDC0949B}"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5FE2-452E-9F9B-0C3836EA5F6D}"/>
                </c:ext>
              </c:extLst>
            </c:dLbl>
            <c:dLbl>
              <c:idx val="17"/>
              <c:tx>
                <c:rich>
                  <a:bodyPr/>
                  <a:lstStyle/>
                  <a:p>
                    <a:fld id="{F39B6BA7-E22D-42AE-96AE-1885499051D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5FE2-452E-9F9B-0C3836EA5F6D}"/>
                </c:ext>
              </c:extLst>
            </c:dLbl>
            <c:dLbl>
              <c:idx val="18"/>
              <c:layout>
                <c:manualLayout>
                  <c:x val="-6.2275449101796408E-2"/>
                  <c:y val="-3.7037037037037035E-2"/>
                </c:manualLayout>
              </c:layout>
              <c:tx>
                <c:rich>
                  <a:bodyPr/>
                  <a:lstStyle/>
                  <a:p>
                    <a:fld id="{06BD442C-9F70-467D-91CC-85B659C2DC1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5FE2-452E-9F9B-0C3836EA5F6D}"/>
                </c:ext>
              </c:extLst>
            </c:dLbl>
            <c:dLbl>
              <c:idx val="19"/>
              <c:tx>
                <c:rich>
                  <a:bodyPr/>
                  <a:lstStyle/>
                  <a:p>
                    <a:fld id="{4D51FC72-71FF-4228-A224-E1AA0942A94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5FE2-452E-9F9B-0C3836EA5F6D}"/>
                </c:ext>
              </c:extLst>
            </c:dLbl>
            <c:dLbl>
              <c:idx val="20"/>
              <c:tx>
                <c:rich>
                  <a:bodyPr/>
                  <a:lstStyle/>
                  <a:p>
                    <a:fld id="{F795541B-9B17-4117-B4F1-A1B11F6132D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5FE2-452E-9F9B-0C3836EA5F6D}"/>
                </c:ext>
              </c:extLst>
            </c:dLbl>
            <c:dLbl>
              <c:idx val="21"/>
              <c:layout>
                <c:manualLayout>
                  <c:x val="-1.090767298968157E-2"/>
                  <c:y val="6.1585820325551375E-3"/>
                </c:manualLayout>
              </c:layout>
              <c:tx>
                <c:rich>
                  <a:bodyPr/>
                  <a:lstStyle/>
                  <a:p>
                    <a:fld id="{412C4EDE-669C-4083-98CA-F7E9E996CD6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5FE2-452E-9F9B-0C3836EA5F6D}"/>
                </c:ext>
              </c:extLst>
            </c:dLbl>
            <c:dLbl>
              <c:idx val="22"/>
              <c:tx>
                <c:rich>
                  <a:bodyPr/>
                  <a:lstStyle/>
                  <a:p>
                    <a:fld id="{70DAC5C1-C0DC-4053-9FAC-7B496F56513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5FE2-452E-9F9B-0C3836EA5F6D}"/>
                </c:ext>
              </c:extLst>
            </c:dLbl>
            <c:dLbl>
              <c:idx val="23"/>
              <c:layout>
                <c:manualLayout>
                  <c:x val="-1.6776512881965248E-2"/>
                  <c:y val="2.7777777777777776E-2"/>
                </c:manualLayout>
              </c:layout>
              <c:tx>
                <c:rich>
                  <a:bodyPr/>
                  <a:lstStyle/>
                  <a:p>
                    <a:fld id="{DAE87760-6D1C-4C04-8A81-7122C636BD8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5FE2-452E-9F9B-0C3836EA5F6D}"/>
                </c:ext>
              </c:extLst>
            </c:dLbl>
            <c:dLbl>
              <c:idx val="24"/>
              <c:layout>
                <c:manualLayout>
                  <c:x val="-2.3952095808383233E-3"/>
                  <c:y val="-1.3888888888888888E-2"/>
                </c:manualLayout>
              </c:layout>
              <c:tx>
                <c:rich>
                  <a:bodyPr/>
                  <a:lstStyle/>
                  <a:p>
                    <a:fld id="{16ABC2D0-D24A-44D7-92AC-2E297E5167B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5FE2-452E-9F9B-0C3836EA5F6D}"/>
                </c:ext>
              </c:extLst>
            </c:dLbl>
            <c:dLbl>
              <c:idx val="25"/>
              <c:tx>
                <c:rich>
                  <a:bodyPr/>
                  <a:lstStyle/>
                  <a:p>
                    <a:fld id="{2C617025-7B90-4C17-8667-3CAD65C8952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5FE2-452E-9F9B-0C3836EA5F6D}"/>
                </c:ext>
              </c:extLst>
            </c:dLbl>
            <c:dLbl>
              <c:idx val="26"/>
              <c:tx>
                <c:rich>
                  <a:bodyPr/>
                  <a:lstStyle/>
                  <a:p>
                    <a:fld id="{DE828567-6DBC-4486-9EF7-9A120D8AA76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5FE2-452E-9F9B-0C3836EA5F6D}"/>
                </c:ext>
              </c:extLst>
            </c:dLbl>
            <c:dLbl>
              <c:idx val="27"/>
              <c:layout>
                <c:manualLayout>
                  <c:x val="-4.3139604553624922E-2"/>
                  <c:y val="-1.8518518518518604E-2"/>
                </c:manualLayout>
              </c:layout>
              <c:tx>
                <c:rich>
                  <a:bodyPr/>
                  <a:lstStyle/>
                  <a:p>
                    <a:fld id="{66EC4426-91F1-4FDF-8DF0-8B316C94B05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5FE2-452E-9F9B-0C3836EA5F6D}"/>
                </c:ext>
              </c:extLst>
            </c:dLbl>
            <c:dLbl>
              <c:idx val="28"/>
              <c:layout>
                <c:manualLayout>
                  <c:x val="-4.6747169955777969E-2"/>
                  <c:y val="-1.1290603296338342E-16"/>
                </c:manualLayout>
              </c:layout>
              <c:tx>
                <c:rich>
                  <a:bodyPr/>
                  <a:lstStyle/>
                  <a:p>
                    <a:fld id="{99F6700F-2F05-428A-B09A-8B11C4FE451A}"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5FE2-452E-9F9B-0C3836EA5F6D}"/>
                </c:ext>
              </c:extLst>
            </c:dLbl>
            <c:dLbl>
              <c:idx val="29"/>
              <c:delete val="1"/>
              <c:extLst>
                <c:ext xmlns:c15="http://schemas.microsoft.com/office/drawing/2012/chart" uri="{CE6537A1-D6FC-4f65-9D91-7224C49458BB}"/>
                <c:ext xmlns:c16="http://schemas.microsoft.com/office/drawing/2014/chart" uri="{C3380CC4-5D6E-409C-BE32-E72D297353CC}">
                  <c16:uniqueId val="{0000001D-5FE2-452E-9F9B-0C3836EA5F6D}"/>
                </c:ext>
              </c:extLst>
            </c:dLbl>
            <c:dLbl>
              <c:idx val="30"/>
              <c:delete val="1"/>
              <c:extLst>
                <c:ext xmlns:c15="http://schemas.microsoft.com/office/drawing/2012/chart" uri="{CE6537A1-D6FC-4f65-9D91-7224C49458BB}"/>
                <c:ext xmlns:c16="http://schemas.microsoft.com/office/drawing/2014/chart" uri="{C3380CC4-5D6E-409C-BE32-E72D297353CC}">
                  <c16:uniqueId val="{0000001E-5FE2-452E-9F9B-0C3836EA5F6D}"/>
                </c:ext>
              </c:extLst>
            </c:dLbl>
            <c:dLbl>
              <c:idx val="31"/>
              <c:tx>
                <c:rich>
                  <a:bodyPr/>
                  <a:lstStyle/>
                  <a:p>
                    <a:fld id="{0BFB7402-CF13-4D5F-9158-150283AE87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5FE2-452E-9F9B-0C3836EA5F6D}"/>
                </c:ext>
              </c:extLst>
            </c:dLbl>
            <c:dLbl>
              <c:idx val="32"/>
              <c:tx>
                <c:rich>
                  <a:bodyPr/>
                  <a:lstStyle/>
                  <a:p>
                    <a:fld id="{245ADD9A-9B18-4A2F-B0F3-D7DF41FD7B3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5FE2-452E-9F9B-0C3836EA5F6D}"/>
                </c:ext>
              </c:extLst>
            </c:dLbl>
            <c:dLbl>
              <c:idx val="34"/>
              <c:layout>
                <c:manualLayout>
                  <c:x val="-7.4237107419691167E-2"/>
                  <c:y val="2.3148148148148064E-2"/>
                </c:manualLayout>
              </c:layout>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21-5FE2-452E-9F9B-0C3836EA5F6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trendline>
            <c:spPr>
              <a:ln w="19050" cap="rnd">
                <a:solidFill>
                  <a:schemeClr val="accent1"/>
                </a:solidFill>
                <a:prstDash val="sysDot"/>
              </a:ln>
              <a:effectLst/>
            </c:spPr>
            <c:trendlineType val="poly"/>
            <c:order val="2"/>
            <c:dispRSqr val="0"/>
            <c:dispEq val="0"/>
          </c:trendline>
          <c:xVal>
            <c:numRef>
              <c:f>Graph!$D$2:$D$38</c:f>
              <c:numCache>
                <c:formatCode>0</c:formatCode>
                <c:ptCount val="33"/>
                <c:pt idx="0">
                  <c:v>64.062286841058537</c:v>
                </c:pt>
                <c:pt idx="1">
                  <c:v>49.095904388334574</c:v>
                </c:pt>
                <c:pt idx="2">
                  <c:v>46.166147286981321</c:v>
                </c:pt>
                <c:pt idx="3">
                  <c:v>57.244952324012807</c:v>
                </c:pt>
                <c:pt idx="4">
                  <c:v>47.007696464524926</c:v>
                </c:pt>
                <c:pt idx="5">
                  <c:v>33.886246924254856</c:v>
                </c:pt>
                <c:pt idx="6">
                  <c:v>46.898548495305583</c:v>
                </c:pt>
                <c:pt idx="7">
                  <c:v>50.560980976237225</c:v>
                </c:pt>
                <c:pt idx="8">
                  <c:v>34.821610271237454</c:v>
                </c:pt>
                <c:pt idx="9">
                  <c:v>49.346815803011523</c:v>
                </c:pt>
                <c:pt idx="10">
                  <c:v>30.392015042240249</c:v>
                </c:pt>
                <c:pt idx="11">
                  <c:v>56.00207057728062</c:v>
                </c:pt>
                <c:pt idx="12">
                  <c:v>62.394708001940103</c:v>
                </c:pt>
                <c:pt idx="13">
                  <c:v>67.364226460489718</c:v>
                </c:pt>
                <c:pt idx="14">
                  <c:v>29.470683840945966</c:v>
                </c:pt>
                <c:pt idx="15">
                  <c:v>42.262588634985967</c:v>
                </c:pt>
                <c:pt idx="16">
                  <c:v>16.800352259609319</c:v>
                </c:pt>
                <c:pt idx="17">
                  <c:v>19.594231456375034</c:v>
                </c:pt>
                <c:pt idx="18">
                  <c:v>80.567978331878592</c:v>
                </c:pt>
                <c:pt idx="19">
                  <c:v>54.13957423233424</c:v>
                </c:pt>
                <c:pt idx="20">
                  <c:v>63.839841183296286</c:v>
                </c:pt>
                <c:pt idx="21">
                  <c:v>48.268489363376858</c:v>
                </c:pt>
                <c:pt idx="22">
                  <c:v>44.566228554786477</c:v>
                </c:pt>
                <c:pt idx="23">
                  <c:v>40.821773519317084</c:v>
                </c:pt>
                <c:pt idx="24">
                  <c:v>67.805778986555566</c:v>
                </c:pt>
                <c:pt idx="25">
                  <c:v>45.855065903077907</c:v>
                </c:pt>
                <c:pt idx="26">
                  <c:v>49.510052005553661</c:v>
                </c:pt>
                <c:pt idx="27">
                  <c:v>38.524919964602745</c:v>
                </c:pt>
                <c:pt idx="28">
                  <c:v>46.686592521220291</c:v>
                </c:pt>
                <c:pt idx="29">
                  <c:v>39.264765589980257</c:v>
                </c:pt>
                <c:pt idx="30">
                  <c:v>34.308858512281383</c:v>
                </c:pt>
                <c:pt idx="31">
                  <c:v>52.142688467066655</c:v>
                </c:pt>
                <c:pt idx="32">
                  <c:v>29.344384789420946</c:v>
                </c:pt>
              </c:numCache>
            </c:numRef>
          </c:xVal>
          <c:yVal>
            <c:numRef>
              <c:f>Graph!$F$2:$F$38</c:f>
              <c:numCache>
                <c:formatCode>General</c:formatCode>
                <c:ptCount val="33"/>
                <c:pt idx="0">
                  <c:v>9.8505147259672604E-2</c:v>
                </c:pt>
                <c:pt idx="1">
                  <c:v>0.21545945433935401</c:v>
                </c:pt>
                <c:pt idx="2">
                  <c:v>0.21877947738657599</c:v>
                </c:pt>
                <c:pt idx="3">
                  <c:v>0.18844838467112501</c:v>
                </c:pt>
                <c:pt idx="4">
                  <c:v>6.19278623018081E-2</c:v>
                </c:pt>
                <c:pt idx="5">
                  <c:v>3.4621533713527101E-2</c:v>
                </c:pt>
                <c:pt idx="6">
                  <c:v>0.206710302352659</c:v>
                </c:pt>
                <c:pt idx="7">
                  <c:v>0.17594129071827899</c:v>
                </c:pt>
                <c:pt idx="8">
                  <c:v>0.14411051706881001</c:v>
                </c:pt>
                <c:pt idx="9">
                  <c:v>0.24802367634441499</c:v>
                </c:pt>
                <c:pt idx="10">
                  <c:v>0.487378146438391</c:v>
                </c:pt>
                <c:pt idx="11">
                  <c:v>6.0107846939923999E-2</c:v>
                </c:pt>
                <c:pt idx="12">
                  <c:v>0.14049938289248501</c:v>
                </c:pt>
                <c:pt idx="13">
                  <c:v>2.9383135080740402E-2</c:v>
                </c:pt>
                <c:pt idx="14">
                  <c:v>0.333950549202921</c:v>
                </c:pt>
                <c:pt idx="15">
                  <c:v>0.12671404364188299</c:v>
                </c:pt>
                <c:pt idx="16">
                  <c:v>0.36503249146724598</c:v>
                </c:pt>
                <c:pt idx="17">
                  <c:v>0.36927256877657599</c:v>
                </c:pt>
                <c:pt idx="18">
                  <c:v>4.8055573065393098E-2</c:v>
                </c:pt>
                <c:pt idx="19">
                  <c:v>8.0789216308963394E-2</c:v>
                </c:pt>
                <c:pt idx="20">
                  <c:v>6.5262808627101904E-2</c:v>
                </c:pt>
                <c:pt idx="21">
                  <c:v>0.173649964702805</c:v>
                </c:pt>
                <c:pt idx="22">
                  <c:v>0.26456139542814999</c:v>
                </c:pt>
                <c:pt idx="23">
                  <c:v>6.8929479120562007E-2</c:v>
                </c:pt>
                <c:pt idx="24">
                  <c:v>8.6092004324946403E-2</c:v>
                </c:pt>
                <c:pt idx="25">
                  <c:v>0.160746677266601</c:v>
                </c:pt>
                <c:pt idx="26">
                  <c:v>0.101792859745982</c:v>
                </c:pt>
                <c:pt idx="27">
                  <c:v>0.17582977202886399</c:v>
                </c:pt>
                <c:pt idx="28">
                  <c:v>0.202076369895764</c:v>
                </c:pt>
                <c:pt idx="29">
                  <c:v>0.32181941307818701</c:v>
                </c:pt>
                <c:pt idx="30">
                  <c:v>0.128511615622451</c:v>
                </c:pt>
                <c:pt idx="31">
                  <c:v>0.218960315970811</c:v>
                </c:pt>
                <c:pt idx="32">
                  <c:v>0.36558068673230198</c:v>
                </c:pt>
              </c:numCache>
            </c:numRef>
          </c:yVal>
          <c:smooth val="0"/>
          <c:extLst>
            <c:ext xmlns:c15="http://schemas.microsoft.com/office/drawing/2012/chart" uri="{02D57815-91ED-43cb-92C2-25804820EDAC}">
              <c15:datalabelsRange>
                <c15:f>Graph!$A$2:$A$38</c15:f>
                <c15:dlblRangeCache>
                  <c:ptCount val="33"/>
                  <c:pt idx="0">
                    <c:v>AUS</c:v>
                  </c:pt>
                  <c:pt idx="1">
                    <c:v>AUT</c:v>
                  </c:pt>
                  <c:pt idx="2">
                    <c:v>BEL</c:v>
                  </c:pt>
                  <c:pt idx="3">
                    <c:v>CAN</c:v>
                  </c:pt>
                  <c:pt idx="4">
                    <c:v>CHL</c:v>
                  </c:pt>
                  <c:pt idx="5">
                    <c:v>COL</c:v>
                  </c:pt>
                  <c:pt idx="6">
                    <c:v>CZE</c:v>
                  </c:pt>
                  <c:pt idx="7">
                    <c:v>DNK</c:v>
                  </c:pt>
                  <c:pt idx="8">
                    <c:v>FIN</c:v>
                  </c:pt>
                  <c:pt idx="9">
                    <c:v>FRA</c:v>
                  </c:pt>
                  <c:pt idx="10">
                    <c:v>DEU</c:v>
                  </c:pt>
                  <c:pt idx="11">
                    <c:v>GRC</c:v>
                  </c:pt>
                  <c:pt idx="12">
                    <c:v>HUN</c:v>
                  </c:pt>
                  <c:pt idx="13">
                    <c:v>ISL</c:v>
                  </c:pt>
                  <c:pt idx="14">
                    <c:v>IRL</c:v>
                  </c:pt>
                  <c:pt idx="15">
                    <c:v>ISR</c:v>
                  </c:pt>
                  <c:pt idx="16">
                    <c:v>JPN</c:v>
                  </c:pt>
                  <c:pt idx="17">
                    <c:v>KOR</c:v>
                  </c:pt>
                  <c:pt idx="18">
                    <c:v>LVA</c:v>
                  </c:pt>
                  <c:pt idx="19">
                    <c:v>LTU</c:v>
                  </c:pt>
                  <c:pt idx="20">
                    <c:v>LUX</c:v>
                  </c:pt>
                  <c:pt idx="21">
                    <c:v>MEX</c:v>
                  </c:pt>
                  <c:pt idx="22">
                    <c:v>NLD</c:v>
                  </c:pt>
                  <c:pt idx="23">
                    <c:v>NZL</c:v>
                  </c:pt>
                  <c:pt idx="24">
                    <c:v>NOR</c:v>
                  </c:pt>
                  <c:pt idx="25">
                    <c:v>POL</c:v>
                  </c:pt>
                  <c:pt idx="26">
                    <c:v>PRT</c:v>
                  </c:pt>
                  <c:pt idx="27">
                    <c:v>ESP</c:v>
                  </c:pt>
                  <c:pt idx="28">
                    <c:v>SWE</c:v>
                  </c:pt>
                  <c:pt idx="29">
                    <c:v>CHE</c:v>
                  </c:pt>
                  <c:pt idx="30">
                    <c:v>TUR</c:v>
                  </c:pt>
                  <c:pt idx="31">
                    <c:v>GBR</c:v>
                  </c:pt>
                  <c:pt idx="32">
                    <c:v>USA</c:v>
                  </c:pt>
                </c15:dlblRangeCache>
              </c15:datalabelsRange>
            </c:ext>
            <c:ext xmlns:c16="http://schemas.microsoft.com/office/drawing/2014/chart" uri="{C3380CC4-5D6E-409C-BE32-E72D297353CC}">
              <c16:uniqueId val="{00000023-5FE2-452E-9F9B-0C3836EA5F6D}"/>
            </c:ext>
          </c:extLst>
        </c:ser>
        <c:dLbls>
          <c:showLegendKey val="0"/>
          <c:showVal val="0"/>
          <c:showCatName val="0"/>
          <c:showSerName val="0"/>
          <c:showPercent val="0"/>
          <c:showBubbleSize val="0"/>
        </c:dLbls>
        <c:axId val="2100859711"/>
        <c:axId val="2100855551"/>
      </c:scatterChart>
      <c:valAx>
        <c:axId val="2100859711"/>
        <c:scaling>
          <c:orientation val="minMax"/>
          <c:min val="1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Import penetration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0855551"/>
        <c:crosses val="autoZero"/>
        <c:crossBetween val="midCat"/>
      </c:valAx>
      <c:valAx>
        <c:axId val="2100855551"/>
        <c:scaling>
          <c:orientation val="minMax"/>
          <c:max val="0.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CIP Index</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0859711"/>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3491"/>
            </a:solidFill>
            <a:ln>
              <a:noFill/>
            </a:ln>
            <a:effectLst/>
          </c:spPr>
          <c:invertIfNegative val="0"/>
          <c:cat>
            <c:strRef>
              <c:f>Tables!$A$103:$A$107</c:f>
              <c:strCache>
                <c:ptCount val="5"/>
                <c:pt idx="0">
                  <c:v>Strongly disagree</c:v>
                </c:pt>
                <c:pt idx="1">
                  <c:v>Disagree</c:v>
                </c:pt>
                <c:pt idx="2">
                  <c:v>Neutral</c:v>
                </c:pt>
                <c:pt idx="3">
                  <c:v>Agree</c:v>
                </c:pt>
                <c:pt idx="4">
                  <c:v>Strongly agree</c:v>
                </c:pt>
              </c:strCache>
            </c:strRef>
          </c:cat>
          <c:val>
            <c:numRef>
              <c:f>Tables!$C$103:$C$107</c:f>
              <c:numCache>
                <c:formatCode>0.0</c:formatCode>
                <c:ptCount val="5"/>
                <c:pt idx="0">
                  <c:v>7.4889867841409687</c:v>
                </c:pt>
                <c:pt idx="1">
                  <c:v>17.180616740088105</c:v>
                </c:pt>
                <c:pt idx="2">
                  <c:v>25.770925110132158</c:v>
                </c:pt>
                <c:pt idx="3">
                  <c:v>31.718061674008812</c:v>
                </c:pt>
                <c:pt idx="4">
                  <c:v>17.841409691629956</c:v>
                </c:pt>
              </c:numCache>
            </c:numRef>
          </c:val>
          <c:extLst>
            <c:ext xmlns:c16="http://schemas.microsoft.com/office/drawing/2014/chart" uri="{C3380CC4-5D6E-409C-BE32-E72D297353CC}">
              <c16:uniqueId val="{00000000-D70D-4788-8514-BB2BC73849E3}"/>
            </c:ext>
          </c:extLst>
        </c:ser>
        <c:dLbls>
          <c:showLegendKey val="0"/>
          <c:showVal val="0"/>
          <c:showCatName val="0"/>
          <c:showSerName val="0"/>
          <c:showPercent val="0"/>
          <c:showBubbleSize val="0"/>
        </c:dLbls>
        <c:gapWidth val="219"/>
        <c:overlap val="-27"/>
        <c:axId val="1171308736"/>
        <c:axId val="1171309152"/>
      </c:barChart>
      <c:catAx>
        <c:axId val="1171308736"/>
        <c:scaling>
          <c:orientation val="minMax"/>
        </c:scaling>
        <c:delete val="0"/>
        <c:axPos val="b"/>
        <c:numFmt formatCode="General" sourceLinked="1"/>
        <c:majorTickMark val="none"/>
        <c:minorTickMark val="none"/>
        <c:tickLblPos val="nextTo"/>
        <c:spPr>
          <a:noFill/>
          <a:ln w="9525" cap="flat" cmpd="sng" algn="ctr">
            <a:solidFill>
              <a:srgbClr val="9E9E9E"/>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1309152"/>
        <c:crosses val="autoZero"/>
        <c:auto val="1"/>
        <c:lblAlgn val="ctr"/>
        <c:lblOffset val="100"/>
        <c:noMultiLvlLbl val="0"/>
      </c:catAx>
      <c:valAx>
        <c:axId val="11713091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a:solidFill>
              <a:srgbClr val="9E9E9E"/>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13087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04839346062134"/>
          <c:y val="0.12764043575018316"/>
          <c:w val="0.79812807712761391"/>
          <c:h val="0.73234376152817982"/>
        </c:manualLayout>
      </c:layout>
      <c:barChart>
        <c:barDir val="col"/>
        <c:grouping val="clustered"/>
        <c:varyColors val="0"/>
        <c:ser>
          <c:idx val="0"/>
          <c:order val="0"/>
          <c:tx>
            <c:strRef>
              <c:f>Chart!$K$20</c:f>
              <c:strCache>
                <c:ptCount val="1"/>
                <c:pt idx="0">
                  <c:v>number of businesses</c:v>
                </c:pt>
              </c:strCache>
            </c:strRef>
          </c:tx>
          <c:spPr>
            <a:solidFill>
              <a:srgbClr val="003491"/>
            </a:solidFill>
            <a:ln>
              <a:noFill/>
            </a:ln>
            <a:effectLst/>
          </c:spPr>
          <c:invertIfNegative val="0"/>
          <c:dLbls>
            <c:dLbl>
              <c:idx val="0"/>
              <c:tx>
                <c:rich>
                  <a:bodyPr/>
                  <a:lstStyle/>
                  <a:p>
                    <a:r>
                      <a:rPr lang="en-US"/>
                      <a:t>70%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7BB-47CC-8761-4D0235BBC7B8}"/>
                </c:ext>
              </c:extLst>
            </c:dLbl>
            <c:dLbl>
              <c:idx val="1"/>
              <c:tx>
                <c:rich>
                  <a:bodyPr/>
                  <a:lstStyle/>
                  <a:p>
                    <a:r>
                      <a:rPr lang="en-US"/>
                      <a:t>23%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7BB-47CC-8761-4D0235BBC7B8}"/>
                </c:ext>
              </c:extLst>
            </c:dLbl>
            <c:dLbl>
              <c:idx val="2"/>
              <c:tx>
                <c:rich>
                  <a:bodyPr/>
                  <a:lstStyle/>
                  <a:p>
                    <a:r>
                      <a:rPr lang="en-US"/>
                      <a:t>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7BB-47CC-8761-4D0235BBC7B8}"/>
                </c:ext>
              </c:extLst>
            </c:dLbl>
            <c:dLbl>
              <c:idx val="3"/>
              <c:tx>
                <c:rich>
                  <a:bodyPr/>
                  <a:lstStyle/>
                  <a:p>
                    <a:r>
                      <a:rPr lang="en-US"/>
                      <a:t>0.5%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7BB-47CC-8761-4D0235BBC7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Chart!$J$21:$J$24</c:f>
              <c:strCache>
                <c:ptCount val="4"/>
                <c:pt idx="0">
                  <c:v>1–4</c:v>
                </c:pt>
                <c:pt idx="1">
                  <c:v>5–19</c:v>
                </c:pt>
                <c:pt idx="2">
                  <c:v>20–199</c:v>
                </c:pt>
                <c:pt idx="3">
                  <c:v>200+</c:v>
                </c:pt>
              </c:strCache>
            </c:strRef>
          </c:cat>
          <c:val>
            <c:numRef>
              <c:f>Chart!$K$21:$K$24</c:f>
              <c:numCache>
                <c:formatCode>#,##0</c:formatCode>
                <c:ptCount val="4"/>
                <c:pt idx="0">
                  <c:v>703467</c:v>
                </c:pt>
                <c:pt idx="1">
                  <c:v>231259</c:v>
                </c:pt>
                <c:pt idx="2">
                  <c:v>64559</c:v>
                </c:pt>
                <c:pt idx="3">
                  <c:v>4895</c:v>
                </c:pt>
              </c:numCache>
            </c:numRef>
          </c:val>
          <c:extLst>
            <c:ext xmlns:c16="http://schemas.microsoft.com/office/drawing/2014/chart" uri="{C3380CC4-5D6E-409C-BE32-E72D297353CC}">
              <c16:uniqueId val="{00000004-C7BB-47CC-8761-4D0235BBC7B8}"/>
            </c:ext>
          </c:extLst>
        </c:ser>
        <c:dLbls>
          <c:dLblPos val="outEnd"/>
          <c:showLegendKey val="0"/>
          <c:showVal val="1"/>
          <c:showCatName val="0"/>
          <c:showSerName val="0"/>
          <c:showPercent val="0"/>
          <c:showBubbleSize val="0"/>
        </c:dLbls>
        <c:gapWidth val="219"/>
        <c:overlap val="-27"/>
        <c:axId val="1308199904"/>
        <c:axId val="1231119264"/>
      </c:barChart>
      <c:catAx>
        <c:axId val="130819990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Size of business</a:t>
                </a:r>
                <a:r>
                  <a:rPr lang="en-AU" b="1" baseline="0">
                    <a:solidFill>
                      <a:sysClr val="windowText" lastClr="000000"/>
                    </a:solidFill>
                  </a:rPr>
                  <a:t> by number of employees</a:t>
                </a:r>
                <a:endParaRPr lang="en-AU"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1119264"/>
        <c:crosses val="autoZero"/>
        <c:auto val="1"/>
        <c:lblAlgn val="ctr"/>
        <c:lblOffset val="100"/>
        <c:noMultiLvlLbl val="0"/>
      </c:catAx>
      <c:valAx>
        <c:axId val="123111926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Number of business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solidFill>
              <a:srgbClr val="9E9E9E"/>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819990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 EO'!$C$2</c:f>
              <c:strCache>
                <c:ptCount val="1"/>
                <c:pt idx="0">
                  <c:v>Total</c:v>
                </c:pt>
              </c:strCache>
            </c:strRef>
          </c:tx>
          <c:spPr>
            <a:solidFill>
              <a:srgbClr val="00349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EO'!$B$3:$B$9</c:f>
              <c:strCache>
                <c:ptCount val="7"/>
                <c:pt idx="0">
                  <c:v>Often got involved in high risk/reward projects</c:v>
                </c:pt>
                <c:pt idx="1">
                  <c:v>Initiated change upon which its competitors reacted</c:v>
                </c:pt>
                <c:pt idx="2">
                  <c:v>Were usually the first in the market to innovate</c:v>
                </c:pt>
                <c:pt idx="3">
                  <c:v>Had the capacity to acquire and exploit information/knowledge external to the business</c:v>
                </c:pt>
                <c:pt idx="4">
                  <c:v>Had an innovation strategy as part of its business plan</c:v>
                </c:pt>
                <c:pt idx="5">
                  <c:v>Continually sought out new partners to collaborate with</c:v>
                </c:pt>
                <c:pt idx="6">
                  <c:v>Took a pro-active approach to market competition</c:v>
                </c:pt>
              </c:strCache>
            </c:strRef>
          </c:cat>
          <c:val>
            <c:numRef>
              <c:f>'Chart EO'!$C$3:$C$9</c:f>
              <c:numCache>
                <c:formatCode>0.0</c:formatCode>
                <c:ptCount val="7"/>
                <c:pt idx="0">
                  <c:v>7.7</c:v>
                </c:pt>
                <c:pt idx="1">
                  <c:v>9.6</c:v>
                </c:pt>
                <c:pt idx="2">
                  <c:v>10.5</c:v>
                </c:pt>
                <c:pt idx="3">
                  <c:v>15.1</c:v>
                </c:pt>
                <c:pt idx="4">
                  <c:v>16.3</c:v>
                </c:pt>
                <c:pt idx="5">
                  <c:v>22.6</c:v>
                </c:pt>
                <c:pt idx="6">
                  <c:v>28.5</c:v>
                </c:pt>
              </c:numCache>
            </c:numRef>
          </c:val>
          <c:extLst>
            <c:ext xmlns:c16="http://schemas.microsoft.com/office/drawing/2014/chart" uri="{C3380CC4-5D6E-409C-BE32-E72D297353CC}">
              <c16:uniqueId val="{00000000-86A7-4CC8-9F99-899C5C93CA32}"/>
            </c:ext>
          </c:extLst>
        </c:ser>
        <c:dLbls>
          <c:dLblPos val="inEnd"/>
          <c:showLegendKey val="0"/>
          <c:showVal val="1"/>
          <c:showCatName val="0"/>
          <c:showSerName val="0"/>
          <c:showPercent val="0"/>
          <c:showBubbleSize val="0"/>
        </c:dLbls>
        <c:gapWidth val="80"/>
        <c:axId val="445759600"/>
        <c:axId val="454187744"/>
      </c:barChart>
      <c:catAx>
        <c:axId val="445759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4187744"/>
        <c:crosses val="autoZero"/>
        <c:auto val="1"/>
        <c:lblAlgn val="ctr"/>
        <c:lblOffset val="100"/>
        <c:noMultiLvlLbl val="0"/>
      </c:catAx>
      <c:valAx>
        <c:axId val="45418774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a:t>
                </a:r>
              </a:p>
            </c:rich>
          </c:tx>
          <c:layout>
            <c:manualLayout>
              <c:xMode val="edge"/>
              <c:yMode val="edge"/>
              <c:x val="0.63075433070866138"/>
              <c:y val="0.9012535490900386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57596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INN_OSLO_XFRMTOT!$C$57</c:f>
              <c:strCache>
                <c:ptCount val="1"/>
                <c:pt idx="0">
                  <c:v>Innovating firms</c:v>
                </c:pt>
              </c:strCache>
            </c:strRef>
          </c:tx>
          <c:spPr>
            <a:solidFill>
              <a:srgbClr val="003491"/>
            </a:solidFill>
            <a:ln>
              <a:noFill/>
            </a:ln>
            <a:effectLst/>
          </c:spPr>
          <c:invertIfNegative val="0"/>
          <c:dPt>
            <c:idx val="7"/>
            <c:invertIfNegative val="0"/>
            <c:bubble3D val="0"/>
            <c:spPr>
              <a:solidFill>
                <a:srgbClr val="C10299"/>
              </a:solidFill>
              <a:ln>
                <a:noFill/>
              </a:ln>
              <a:effectLst/>
            </c:spPr>
            <c:extLst>
              <c:ext xmlns:c16="http://schemas.microsoft.com/office/drawing/2014/chart" uri="{C3380CC4-5D6E-409C-BE32-E72D297353CC}">
                <c16:uniqueId val="{00000001-302F-452B-B594-91A599F782EC}"/>
              </c:ext>
            </c:extLst>
          </c:dPt>
          <c:cat>
            <c:strRef>
              <c:f>INN_OSLO_XFRMTOT!$B$58:$B$84</c:f>
              <c:strCache>
                <c:ptCount val="27"/>
                <c:pt idx="0">
                  <c:v>CAN</c:v>
                </c:pt>
                <c:pt idx="1">
                  <c:v>EST</c:v>
                </c:pt>
                <c:pt idx="2">
                  <c:v>DEU</c:v>
                </c:pt>
                <c:pt idx="3">
                  <c:v>BEL</c:v>
                </c:pt>
                <c:pt idx="4">
                  <c:v>SWE</c:v>
                </c:pt>
                <c:pt idx="5">
                  <c:v>AUT</c:v>
                </c:pt>
                <c:pt idx="6">
                  <c:v>GRC</c:v>
                </c:pt>
                <c:pt idx="7">
                  <c:v>AUS</c:v>
                </c:pt>
                <c:pt idx="8">
                  <c:v>DNK</c:v>
                </c:pt>
                <c:pt idx="9">
                  <c:v>ITA</c:v>
                </c:pt>
                <c:pt idx="10">
                  <c:v>FIN</c:v>
                </c:pt>
                <c:pt idx="11">
                  <c:v>LTU</c:v>
                </c:pt>
                <c:pt idx="12">
                  <c:v>FRA</c:v>
                </c:pt>
                <c:pt idx="13">
                  <c:v>CHE</c:v>
                </c:pt>
                <c:pt idx="14">
                  <c:v>NZL</c:v>
                </c:pt>
                <c:pt idx="15">
                  <c:v>GBR</c:v>
                </c:pt>
                <c:pt idx="16">
                  <c:v>USA</c:v>
                </c:pt>
                <c:pt idx="17">
                  <c:v>PRT</c:v>
                </c:pt>
                <c:pt idx="18">
                  <c:v>JPN</c:v>
                </c:pt>
                <c:pt idx="19">
                  <c:v>LVA</c:v>
                </c:pt>
                <c:pt idx="20">
                  <c:v>TUR</c:v>
                </c:pt>
                <c:pt idx="21">
                  <c:v>ESP</c:v>
                </c:pt>
                <c:pt idx="22">
                  <c:v>SVK</c:v>
                </c:pt>
                <c:pt idx="23">
                  <c:v>HUN</c:v>
                </c:pt>
                <c:pt idx="24">
                  <c:v>POL</c:v>
                </c:pt>
                <c:pt idx="25">
                  <c:v>CHL</c:v>
                </c:pt>
                <c:pt idx="26">
                  <c:v>KOR</c:v>
                </c:pt>
              </c:strCache>
            </c:strRef>
          </c:cat>
          <c:val>
            <c:numRef>
              <c:f>INN_OSLO_XFRMTOT!$C$58:$C$84</c:f>
              <c:numCache>
                <c:formatCode>0</c:formatCode>
                <c:ptCount val="27"/>
                <c:pt idx="0">
                  <c:v>79.764785241886997</c:v>
                </c:pt>
                <c:pt idx="1">
                  <c:v>66.157661185069173</c:v>
                </c:pt>
                <c:pt idx="2">
                  <c:v>63.740317818068604</c:v>
                </c:pt>
                <c:pt idx="3">
                  <c:v>62.079187530141233</c:v>
                </c:pt>
                <c:pt idx="4">
                  <c:v>61.008137634731973</c:v>
                </c:pt>
                <c:pt idx="5">
                  <c:v>60.283962212032485</c:v>
                </c:pt>
                <c:pt idx="6">
                  <c:v>58.478670269385077</c:v>
                </c:pt>
                <c:pt idx="7">
                  <c:v>57.220704163085671</c:v>
                </c:pt>
                <c:pt idx="8">
                  <c:v>57.055214723926383</c:v>
                </c:pt>
                <c:pt idx="9">
                  <c:v>56.651352903421945</c:v>
                </c:pt>
                <c:pt idx="10">
                  <c:v>55.670221304896231</c:v>
                </c:pt>
                <c:pt idx="11">
                  <c:v>48.369214902668553</c:v>
                </c:pt>
                <c:pt idx="12">
                  <c:v>47.327431586839296</c:v>
                </c:pt>
                <c:pt idx="13">
                  <c:v>47.160416392960123</c:v>
                </c:pt>
                <c:pt idx="14">
                  <c:v>47.025628967787441</c:v>
                </c:pt>
                <c:pt idx="15">
                  <c:v>43.440989287251149</c:v>
                </c:pt>
                <c:pt idx="16">
                  <c:v>38.44104859825466</c:v>
                </c:pt>
                <c:pt idx="17">
                  <c:v>36.292738311625669</c:v>
                </c:pt>
                <c:pt idx="18">
                  <c:v>33.044946193695068</c:v>
                </c:pt>
                <c:pt idx="19">
                  <c:v>30.503631756756754</c:v>
                </c:pt>
                <c:pt idx="20">
                  <c:v>29.924409098187859</c:v>
                </c:pt>
                <c:pt idx="21">
                  <c:v>27.435434921084294</c:v>
                </c:pt>
                <c:pt idx="22">
                  <c:v>26.69295974650862</c:v>
                </c:pt>
                <c:pt idx="23">
                  <c:v>25.501432664756447</c:v>
                </c:pt>
                <c:pt idx="24">
                  <c:v>21.929796286745745</c:v>
                </c:pt>
                <c:pt idx="25">
                  <c:v>20.551453352233338</c:v>
                </c:pt>
                <c:pt idx="26">
                  <c:v>18.45783436733516</c:v>
                </c:pt>
              </c:numCache>
            </c:numRef>
          </c:val>
          <c:extLst>
            <c:ext xmlns:c16="http://schemas.microsoft.com/office/drawing/2014/chart" uri="{C3380CC4-5D6E-409C-BE32-E72D297353CC}">
              <c16:uniqueId val="{00000002-302F-452B-B594-91A599F782EC}"/>
            </c:ext>
          </c:extLst>
        </c:ser>
        <c:dLbls>
          <c:showLegendKey val="0"/>
          <c:showVal val="0"/>
          <c:showCatName val="0"/>
          <c:showSerName val="0"/>
          <c:showPercent val="0"/>
          <c:showBubbleSize val="0"/>
        </c:dLbls>
        <c:gapWidth val="150"/>
        <c:overlap val="-27"/>
        <c:axId val="1700953520"/>
        <c:axId val="1700949776"/>
      </c:barChart>
      <c:catAx>
        <c:axId val="170095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00949776"/>
        <c:crosses val="autoZero"/>
        <c:auto val="1"/>
        <c:lblAlgn val="ctr"/>
        <c:lblOffset val="100"/>
        <c:noMultiLvlLbl val="0"/>
      </c:catAx>
      <c:valAx>
        <c:axId val="170094977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0"/>
        <c:majorTickMark val="out"/>
        <c:minorTickMark val="none"/>
        <c:tickLblPos val="nextTo"/>
        <c:spPr>
          <a:noFill/>
          <a:ln>
            <a:solidFill>
              <a:srgbClr val="9E9E9E"/>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009535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Word]PRD_NEW_MKT_XFRMTOT'!$C$51</c:f>
              <c:strCache>
                <c:ptCount val="1"/>
                <c:pt idx="0">
                  <c:v>Percentage of firms introducing new to market good and services</c:v>
                </c:pt>
              </c:strCache>
            </c:strRef>
          </c:tx>
          <c:spPr>
            <a:solidFill>
              <a:srgbClr val="003491"/>
            </a:solidFill>
            <a:ln>
              <a:noFill/>
            </a:ln>
            <a:effectLst/>
          </c:spPr>
          <c:invertIfNegative val="0"/>
          <c:dPt>
            <c:idx val="25"/>
            <c:invertIfNegative val="0"/>
            <c:bubble3D val="0"/>
            <c:spPr>
              <a:solidFill>
                <a:srgbClr val="F900CA">
                  <a:lumMod val="75000"/>
                </a:srgbClr>
              </a:solidFill>
              <a:ln>
                <a:noFill/>
              </a:ln>
              <a:effectLst/>
            </c:spPr>
            <c:extLst>
              <c:ext xmlns:c16="http://schemas.microsoft.com/office/drawing/2014/chart" uri="{C3380CC4-5D6E-409C-BE32-E72D297353CC}">
                <c16:uniqueId val="{00000001-81B2-4B94-9FB7-63F7CF53A0EC}"/>
              </c:ext>
            </c:extLst>
          </c:dPt>
          <c:cat>
            <c:strRef>
              <c:f>'[Chart in Microsoft Word]PRD_NEW_MKT_XFRMTOT'!$B$52:$B$85</c:f>
              <c:strCache>
                <c:ptCount val="34"/>
                <c:pt idx="0">
                  <c:v>NOR</c:v>
                </c:pt>
                <c:pt idx="1">
                  <c:v>FIN</c:v>
                </c:pt>
                <c:pt idx="2">
                  <c:v>FRA</c:v>
                </c:pt>
                <c:pt idx="3">
                  <c:v>BEL</c:v>
                </c:pt>
                <c:pt idx="4">
                  <c:v>AUT</c:v>
                </c:pt>
                <c:pt idx="5">
                  <c:v>CAN</c:v>
                </c:pt>
                <c:pt idx="6">
                  <c:v>LUX</c:v>
                </c:pt>
                <c:pt idx="7">
                  <c:v>GRC</c:v>
                </c:pt>
                <c:pt idx="8">
                  <c:v>LTU</c:v>
                </c:pt>
                <c:pt idx="9">
                  <c:v>SWE</c:v>
                </c:pt>
                <c:pt idx="10">
                  <c:v>SVN</c:v>
                </c:pt>
                <c:pt idx="11">
                  <c:v>ISL</c:v>
                </c:pt>
                <c:pt idx="12">
                  <c:v>DNK</c:v>
                </c:pt>
                <c:pt idx="13">
                  <c:v>NLD</c:v>
                </c:pt>
                <c:pt idx="14">
                  <c:v>IRL</c:v>
                </c:pt>
                <c:pt idx="15">
                  <c:v>CZE</c:v>
                </c:pt>
                <c:pt idx="16">
                  <c:v>EST</c:v>
                </c:pt>
                <c:pt idx="17">
                  <c:v>NZL</c:v>
                </c:pt>
                <c:pt idx="18">
                  <c:v>PRT</c:v>
                </c:pt>
                <c:pt idx="19">
                  <c:v>CHE</c:v>
                </c:pt>
                <c:pt idx="20">
                  <c:v>DEU</c:v>
                </c:pt>
                <c:pt idx="21">
                  <c:v>LVA</c:v>
                </c:pt>
                <c:pt idx="22">
                  <c:v>TUR</c:v>
                </c:pt>
                <c:pt idx="23">
                  <c:v>GBR</c:v>
                </c:pt>
                <c:pt idx="24">
                  <c:v>HUN</c:v>
                </c:pt>
                <c:pt idx="25">
                  <c:v>AUS</c:v>
                </c:pt>
                <c:pt idx="26">
                  <c:v>ITA</c:v>
                </c:pt>
                <c:pt idx="27">
                  <c:v>SVK</c:v>
                </c:pt>
                <c:pt idx="28">
                  <c:v>USA</c:v>
                </c:pt>
                <c:pt idx="29">
                  <c:v>JPN</c:v>
                </c:pt>
                <c:pt idx="30">
                  <c:v>ESP</c:v>
                </c:pt>
                <c:pt idx="31">
                  <c:v>POL</c:v>
                </c:pt>
                <c:pt idx="32">
                  <c:v>CHL</c:v>
                </c:pt>
                <c:pt idx="33">
                  <c:v>KOR</c:v>
                </c:pt>
              </c:strCache>
            </c:strRef>
          </c:cat>
          <c:val>
            <c:numRef>
              <c:f>'[Chart in Microsoft Word]PRD_NEW_MKT_XFRMTOT'!$C$52:$C$85</c:f>
              <c:numCache>
                <c:formatCode>0</c:formatCode>
                <c:ptCount val="34"/>
                <c:pt idx="0">
                  <c:v>25.682559087204567</c:v>
                </c:pt>
                <c:pt idx="1">
                  <c:v>24.767801857585141</c:v>
                </c:pt>
                <c:pt idx="2">
                  <c:v>24.207733787018078</c:v>
                </c:pt>
                <c:pt idx="3">
                  <c:v>23.589390285911126</c:v>
                </c:pt>
                <c:pt idx="4">
                  <c:v>22.960057455389205</c:v>
                </c:pt>
                <c:pt idx="5">
                  <c:v>22.398193362955144</c:v>
                </c:pt>
                <c:pt idx="6">
                  <c:v>19.742268041237114</c:v>
                </c:pt>
                <c:pt idx="7">
                  <c:v>18.627691803815608</c:v>
                </c:pt>
                <c:pt idx="8">
                  <c:v>18.460745133427871</c:v>
                </c:pt>
                <c:pt idx="9">
                  <c:v>18.253061224489798</c:v>
                </c:pt>
                <c:pt idx="10">
                  <c:v>18.215460526315788</c:v>
                </c:pt>
                <c:pt idx="11">
                  <c:v>17.882352941176471</c:v>
                </c:pt>
                <c:pt idx="12">
                  <c:v>17.845226563340869</c:v>
                </c:pt>
                <c:pt idx="13">
                  <c:v>17.00407833339457</c:v>
                </c:pt>
                <c:pt idx="14">
                  <c:v>16.927260367097212</c:v>
                </c:pt>
                <c:pt idx="15">
                  <c:v>15.190603750257573</c:v>
                </c:pt>
                <c:pt idx="16">
                  <c:v>15.087444531453928</c:v>
                </c:pt>
                <c:pt idx="17">
                  <c:v>14.577944980014108</c:v>
                </c:pt>
                <c:pt idx="18">
                  <c:v>14.138929088277857</c:v>
                </c:pt>
                <c:pt idx="19">
                  <c:v>13.204705207287335</c:v>
                </c:pt>
                <c:pt idx="20">
                  <c:v>12.844564459694501</c:v>
                </c:pt>
                <c:pt idx="21">
                  <c:v>12.668918918918919</c:v>
                </c:pt>
                <c:pt idx="22">
                  <c:v>12.542060242429157</c:v>
                </c:pt>
                <c:pt idx="23">
                  <c:v>11.915385138042716</c:v>
                </c:pt>
                <c:pt idx="24">
                  <c:v>11.503104106972302</c:v>
                </c:pt>
                <c:pt idx="25">
                  <c:v>11.490549551500019</c:v>
                </c:pt>
                <c:pt idx="26">
                  <c:v>10.65854812012296</c:v>
                </c:pt>
                <c:pt idx="27">
                  <c:v>8.7783124046473411</c:v>
                </c:pt>
                <c:pt idx="28">
                  <c:v>7.7619839551497272</c:v>
                </c:pt>
                <c:pt idx="29">
                  <c:v>6.9784484803676605</c:v>
                </c:pt>
                <c:pt idx="30">
                  <c:v>6.5722981102696583</c:v>
                </c:pt>
                <c:pt idx="31">
                  <c:v>5.8922124806601337</c:v>
                </c:pt>
                <c:pt idx="32">
                  <c:v>3.0808180528560647</c:v>
                </c:pt>
                <c:pt idx="33">
                  <c:v>2.8152503246284808</c:v>
                </c:pt>
              </c:numCache>
            </c:numRef>
          </c:val>
          <c:extLst>
            <c:ext xmlns:c16="http://schemas.microsoft.com/office/drawing/2014/chart" uri="{C3380CC4-5D6E-409C-BE32-E72D297353CC}">
              <c16:uniqueId val="{00000002-81B2-4B94-9FB7-63F7CF53A0EC}"/>
            </c:ext>
          </c:extLst>
        </c:ser>
        <c:dLbls>
          <c:showLegendKey val="0"/>
          <c:showVal val="0"/>
          <c:showCatName val="0"/>
          <c:showSerName val="0"/>
          <c:showPercent val="0"/>
          <c:showBubbleSize val="0"/>
        </c:dLbls>
        <c:gapWidth val="150"/>
        <c:overlap val="-27"/>
        <c:axId val="1896797696"/>
        <c:axId val="1896796032"/>
      </c:barChart>
      <c:catAx>
        <c:axId val="189679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6796032"/>
        <c:crosses val="autoZero"/>
        <c:auto val="1"/>
        <c:lblAlgn val="ctr"/>
        <c:lblOffset val="100"/>
        <c:noMultiLvlLbl val="0"/>
      </c:catAx>
      <c:valAx>
        <c:axId val="189679603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solidFill>
              <a:srgbClr val="9E9E9E"/>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679769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1"/>
          <c:order val="1"/>
          <c:spPr>
            <a:solidFill>
              <a:schemeClr val="accent2">
                <a:alpha val="75000"/>
              </a:schemeClr>
            </a:solidFill>
            <a:ln>
              <a:noFill/>
            </a:ln>
            <a:effectLst/>
          </c:spPr>
          <c:invertIfNegative val="0"/>
          <c:dPt>
            <c:idx val="0"/>
            <c:invertIfNegative val="0"/>
            <c:bubble3D val="0"/>
            <c:spPr>
              <a:solidFill>
                <a:srgbClr val="009983"/>
              </a:solidFill>
              <a:ln>
                <a:noFill/>
              </a:ln>
              <a:effectLst/>
            </c:spPr>
            <c:extLst>
              <c:ext xmlns:c16="http://schemas.microsoft.com/office/drawing/2014/chart" uri="{C3380CC4-5D6E-409C-BE32-E72D297353CC}">
                <c16:uniqueId val="{00000001-DE9D-4189-A834-DBA4DB03B307}"/>
              </c:ext>
            </c:extLst>
          </c:dPt>
          <c:dPt>
            <c:idx val="1"/>
            <c:invertIfNegative val="0"/>
            <c:bubble3D val="0"/>
            <c:spPr>
              <a:solidFill>
                <a:srgbClr val="686868"/>
              </a:solidFill>
              <a:ln>
                <a:noFill/>
              </a:ln>
              <a:effectLst/>
            </c:spPr>
            <c:extLst>
              <c:ext xmlns:c16="http://schemas.microsoft.com/office/drawing/2014/chart" uri="{C3380CC4-5D6E-409C-BE32-E72D297353CC}">
                <c16:uniqueId val="{00000003-DE9D-4189-A834-DBA4DB03B307}"/>
              </c:ext>
            </c:extLst>
          </c:dPt>
          <c:dPt>
            <c:idx val="2"/>
            <c:invertIfNegative val="0"/>
            <c:bubble3D val="0"/>
            <c:spPr>
              <a:solidFill>
                <a:srgbClr val="00B4FF"/>
              </a:solidFill>
              <a:ln>
                <a:noFill/>
              </a:ln>
              <a:effectLst/>
            </c:spPr>
            <c:extLst>
              <c:ext xmlns:c16="http://schemas.microsoft.com/office/drawing/2014/chart" uri="{C3380CC4-5D6E-409C-BE32-E72D297353CC}">
                <c16:uniqueId val="{00000005-DE9D-4189-A834-DBA4DB03B307}"/>
              </c:ext>
            </c:extLst>
          </c:dPt>
          <c:dPt>
            <c:idx val="3"/>
            <c:invertIfNegative val="0"/>
            <c:bubble3D val="0"/>
            <c:spPr>
              <a:solidFill>
                <a:srgbClr val="6334D8"/>
              </a:solidFill>
              <a:ln>
                <a:noFill/>
              </a:ln>
              <a:effectLst/>
            </c:spPr>
            <c:extLst>
              <c:ext xmlns:c16="http://schemas.microsoft.com/office/drawing/2014/chart" uri="{C3380CC4-5D6E-409C-BE32-E72D297353CC}">
                <c16:uniqueId val="{00000007-DE9D-4189-A834-DBA4DB03B307}"/>
              </c:ext>
            </c:extLst>
          </c:dPt>
          <c:dPt>
            <c:idx val="4"/>
            <c:invertIfNegative val="0"/>
            <c:bubble3D val="0"/>
            <c:spPr>
              <a:solidFill>
                <a:srgbClr val="003491"/>
              </a:solidFill>
              <a:ln>
                <a:noFill/>
              </a:ln>
              <a:effectLst/>
            </c:spPr>
            <c:extLst>
              <c:ext xmlns:c16="http://schemas.microsoft.com/office/drawing/2014/chart" uri="{C3380CC4-5D6E-409C-BE32-E72D297353CC}">
                <c16:uniqueId val="{00000009-DE9D-4189-A834-DBA4DB03B307}"/>
              </c:ext>
            </c:extLst>
          </c:dPt>
          <c:dPt>
            <c:idx val="5"/>
            <c:invertIfNegative val="0"/>
            <c:bubble3D val="0"/>
            <c:spPr>
              <a:solidFill>
                <a:srgbClr val="9E9E9E"/>
              </a:solidFill>
              <a:ln>
                <a:noFill/>
              </a:ln>
              <a:effectLst/>
            </c:spPr>
            <c:extLst>
              <c:ext xmlns:c16="http://schemas.microsoft.com/office/drawing/2014/chart" uri="{C3380CC4-5D6E-409C-BE32-E72D297353CC}">
                <c16:uniqueId val="{0000000B-DE9D-4189-A834-DBA4DB03B307}"/>
              </c:ext>
            </c:extLst>
          </c:dPt>
          <c:dLbls>
            <c:dLbl>
              <c:idx val="0"/>
              <c:layout>
                <c:manualLayout>
                  <c:x val="-0.11400819725949907"/>
                  <c:y val="1.2653286362387264E-2"/>
                </c:manualLayout>
              </c:layout>
              <c:tx>
                <c:rich>
                  <a:bodyPr rot="0" spcFirstLastPara="1" vertOverflow="ellipsis" vert="horz" wrap="square" lIns="38100" tIns="19050" rIns="38100" bIns="19050" anchor="ctr" anchorCtr="0">
                    <a:noAutofit/>
                  </a:bodyPr>
                  <a:lstStyle/>
                  <a:p>
                    <a:pPr algn="ctr">
                      <a:defRPr sz="900" b="0" i="0" u="none" strike="noStrike" kern="1200" baseline="0">
                        <a:solidFill>
                          <a:schemeClr val="tx1">
                            <a:lumMod val="75000"/>
                            <a:lumOff val="25000"/>
                          </a:schemeClr>
                        </a:solidFill>
                        <a:latin typeface="+mn-lt"/>
                        <a:ea typeface="+mn-ea"/>
                        <a:cs typeface="+mn-cs"/>
                      </a:defRPr>
                    </a:pPr>
                    <a:r>
                      <a:rPr lang="en-US" b="1"/>
                      <a:t>VA</a:t>
                    </a:r>
                    <a:r>
                      <a:rPr lang="en-US" b="1" baseline="0"/>
                      <a:t>  Agriculture, forestry and fisheries</a:t>
                    </a:r>
                  </a:p>
                  <a:p>
                    <a:pPr algn="ctr">
                      <a:defRPr/>
                    </a:pPr>
                    <a:endParaRPr lang="en-US"/>
                  </a:p>
                </c:rich>
              </c:tx>
              <c:spPr>
                <a:noFill/>
                <a:ln>
                  <a:noFill/>
                </a:ln>
                <a:effectLst/>
              </c:spPr>
              <c:txPr>
                <a:bodyPr rot="0" spcFirstLastPara="1" vertOverflow="ellipsis" vert="horz" wrap="square" lIns="38100" tIns="19050" rIns="38100" bIns="19050" anchor="ctr" anchorCtr="0">
                  <a:noAutofit/>
                </a:bodyPr>
                <a:lstStyle/>
                <a:p>
                  <a:pPr algn="ct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15:layout>
                    <c:manualLayout>
                      <c:w val="0.13661596730788397"/>
                      <c:h val="0.1182883896269723"/>
                    </c:manualLayout>
                  </c15:layout>
                  <c15:showDataLabelsRange val="0"/>
                </c:ext>
                <c:ext xmlns:c16="http://schemas.microsoft.com/office/drawing/2014/chart" uri="{C3380CC4-5D6E-409C-BE32-E72D297353CC}">
                  <c16:uniqueId val="{00000001-DE9D-4189-A834-DBA4DB03B307}"/>
                </c:ext>
              </c:extLst>
            </c:dLbl>
            <c:dLbl>
              <c:idx val="1"/>
              <c:layout>
                <c:manualLayout>
                  <c:x val="-5.2730696798493445E-2"/>
                  <c:y val="-5.1185985472746137E-2"/>
                </c:manualLayout>
              </c:layout>
              <c:tx>
                <c:rich>
                  <a:bodyPr/>
                  <a:lstStyle/>
                  <a:p>
                    <a:r>
                      <a:rPr lang="en-US" b="1"/>
                      <a:t>VA</a:t>
                    </a:r>
                    <a:r>
                      <a:rPr lang="en-US" b="1" baseline="0"/>
                      <a:t> in </a:t>
                    </a:r>
                  </a:p>
                  <a:p>
                    <a:r>
                      <a:rPr lang="en-US" b="1" baseline="0"/>
                      <a:t> Resources</a:t>
                    </a:r>
                    <a:endParaRPr lang="en-US" b="1"/>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E9D-4189-A834-DBA4DB03B307}"/>
                </c:ext>
              </c:extLst>
            </c:dLbl>
            <c:dLbl>
              <c:idx val="2"/>
              <c:layout>
                <c:manualLayout>
                  <c:x val="-8.4388185654008744E-3"/>
                  <c:y val="-9.4379004105785278E-17"/>
                </c:manualLayout>
              </c:layout>
              <c:tx>
                <c:rich>
                  <a:bodyPr/>
                  <a:lstStyle/>
                  <a:p>
                    <a:r>
                      <a:rPr lang="en-US" b="1"/>
                      <a:t>Transport</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E9D-4189-A834-DBA4DB03B307}"/>
                </c:ext>
              </c:extLst>
            </c:dLbl>
            <c:dLbl>
              <c:idx val="3"/>
              <c:layout>
                <c:manualLayout>
                  <c:x val="-5.6425661982125667E-2"/>
                  <c:y val="4.9612379533639187E-2"/>
                </c:manualLayout>
              </c:layout>
              <c:tx>
                <c:rich>
                  <a:bodyPr/>
                  <a:lstStyle/>
                  <a:p>
                    <a:r>
                      <a:rPr lang="en-US" b="1"/>
                      <a:t>Medical</a:t>
                    </a:r>
                    <a:r>
                      <a:rPr lang="en-US" b="1" baseline="0"/>
                      <a:t> Science</a:t>
                    </a:r>
                    <a:endParaRPr lang="en-US" b="1"/>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E9D-4189-A834-DBA4DB03B307}"/>
                </c:ext>
              </c:extLst>
            </c:dLbl>
            <c:dLbl>
              <c:idx val="4"/>
              <c:layout>
                <c:manualLayout>
                  <c:x val="-4.4897438453104767E-2"/>
                  <c:y val="-3.7975455770731456E-2"/>
                </c:manualLayout>
              </c:layout>
              <c:tx>
                <c:rich>
                  <a:bodyPr/>
                  <a:lstStyle/>
                  <a:p>
                    <a:r>
                      <a:rPr lang="en-US" b="1"/>
                      <a:t>RLET</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E9D-4189-A834-DBA4DB03B307}"/>
                </c:ext>
              </c:extLst>
            </c:dLbl>
            <c:dLbl>
              <c:idx val="5"/>
              <c:layout>
                <c:manualLayout>
                  <c:x val="-0.10003661745617269"/>
                  <c:y val="-2.3928595167261731E-4"/>
                </c:manualLayout>
              </c:layout>
              <c:tx>
                <c:rich>
                  <a:bodyPr/>
                  <a:lstStyle/>
                  <a:p>
                    <a:r>
                      <a:rPr lang="en-US" b="1"/>
                      <a:t>Enabling</a:t>
                    </a:r>
                    <a:r>
                      <a:rPr lang="en-US" b="1" baseline="0"/>
                      <a:t> </a:t>
                    </a:r>
                  </a:p>
                  <a:p>
                    <a:r>
                      <a:rPr lang="en-US" b="1" baseline="0"/>
                      <a:t>Capabilities</a:t>
                    </a:r>
                    <a:endParaRPr lang="en-US" b="1"/>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E9D-4189-A834-DBA4DB03B3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chart!$C$9:$C$14</c:f>
              <c:numCache>
                <c:formatCode>#,##0</c:formatCode>
                <c:ptCount val="6"/>
                <c:pt idx="0">
                  <c:v>753202</c:v>
                </c:pt>
                <c:pt idx="1">
                  <c:v>123166</c:v>
                </c:pt>
                <c:pt idx="2">
                  <c:v>102853</c:v>
                </c:pt>
                <c:pt idx="3">
                  <c:v>34025</c:v>
                </c:pt>
                <c:pt idx="4">
                  <c:v>38000</c:v>
                </c:pt>
                <c:pt idx="5">
                  <c:v>317058</c:v>
                </c:pt>
              </c:numCache>
            </c:numRef>
          </c:xVal>
          <c:yVal>
            <c:numRef>
              <c:f>chart!$B$9:$B$14</c:f>
              <c:numCache>
                <c:formatCode>#,##0</c:formatCode>
                <c:ptCount val="6"/>
                <c:pt idx="0">
                  <c:v>65884</c:v>
                </c:pt>
                <c:pt idx="1">
                  <c:v>24560</c:v>
                </c:pt>
                <c:pt idx="2">
                  <c:v>14595</c:v>
                </c:pt>
                <c:pt idx="3">
                  <c:v>6798</c:v>
                </c:pt>
                <c:pt idx="4" formatCode="_-* #,##0_-;\-* #,##0_-;_-* &quot;-&quot;??_-;_-@_-">
                  <c:v>9740</c:v>
                </c:pt>
                <c:pt idx="5">
                  <c:v>41179</c:v>
                </c:pt>
              </c:numCache>
            </c:numRef>
          </c:yVal>
          <c:bubbleSize>
            <c:numRef>
              <c:f>chart!$D$9:$D$14</c:f>
              <c:numCache>
                <c:formatCode>#,##0</c:formatCode>
                <c:ptCount val="6"/>
                <c:pt idx="0">
                  <c:v>200747</c:v>
                </c:pt>
                <c:pt idx="1">
                  <c:v>7266</c:v>
                </c:pt>
                <c:pt idx="2">
                  <c:v>7322</c:v>
                </c:pt>
                <c:pt idx="3">
                  <c:v>12329</c:v>
                </c:pt>
                <c:pt idx="4">
                  <c:v>7090</c:v>
                </c:pt>
                <c:pt idx="5">
                  <c:v>103705</c:v>
                </c:pt>
              </c:numCache>
            </c:numRef>
          </c:bubbleSize>
          <c:bubble3D val="0"/>
          <c:extLst>
            <c:ext xmlns:c16="http://schemas.microsoft.com/office/drawing/2014/chart" uri="{C3380CC4-5D6E-409C-BE32-E72D297353CC}">
              <c16:uniqueId val="{0000000C-DE9D-4189-A834-DBA4DB03B307}"/>
            </c:ext>
          </c:extLst>
        </c:ser>
        <c:dLbls>
          <c:showLegendKey val="0"/>
          <c:showVal val="0"/>
          <c:showCatName val="0"/>
          <c:showSerName val="0"/>
          <c:showPercent val="0"/>
          <c:showBubbleSize val="0"/>
        </c:dLbls>
        <c:bubbleScale val="100"/>
        <c:showNegBubbles val="0"/>
        <c:axId val="1023092287"/>
        <c:axId val="1023088127"/>
        <c:extLst>
          <c:ext xmlns:c15="http://schemas.microsoft.com/office/drawing/2012/chart" uri="{02D57815-91ED-43cb-92C2-25804820EDAC}">
            <c15:filteredBubbleSeries>
              <c15:ser>
                <c:idx val="0"/>
                <c:order val="0"/>
                <c:spPr>
                  <a:solidFill>
                    <a:schemeClr val="accent1">
                      <a:alpha val="75000"/>
                    </a:schemeClr>
                  </a:solidFill>
                  <a:ln>
                    <a:noFill/>
                  </a:ln>
                  <a:effectLst/>
                </c:spPr>
                <c:invertIfNegative val="0"/>
                <c:xVal>
                  <c:strRef>
                    <c:extLst>
                      <c:ext uri="{02D57815-91ED-43cb-92C2-25804820EDAC}">
                        <c15:formulaRef>
                          <c15:sqref>chart!$B$8:$B$14</c15:sqref>
                        </c15:formulaRef>
                      </c:ext>
                    </c:extLst>
                    <c:strCache>
                      <c:ptCount val="7"/>
                      <c:pt idx="0">
                        <c:v>Industry value added</c:v>
                      </c:pt>
                      <c:pt idx="1">
                        <c:v>65,884</c:v>
                      </c:pt>
                      <c:pt idx="2">
                        <c:v>24,560</c:v>
                      </c:pt>
                      <c:pt idx="3">
                        <c:v>14,595</c:v>
                      </c:pt>
                      <c:pt idx="4">
                        <c:v>6,798</c:v>
                      </c:pt>
                      <c:pt idx="5">
                        <c:v> 9,740 </c:v>
                      </c:pt>
                      <c:pt idx="6">
                        <c:v>41,179</c:v>
                      </c:pt>
                    </c:strCache>
                  </c:strRef>
                </c:xVal>
                <c:yVal>
                  <c:numRef>
                    <c:extLst>
                      <c:ext uri="{02D57815-91ED-43cb-92C2-25804820EDAC}">
                        <c15:formulaRef>
                          <c15:sqref>chart!$C$8:$C$14</c15:sqref>
                        </c15:formulaRef>
                      </c:ext>
                    </c:extLst>
                    <c:numCache>
                      <c:formatCode>#,##0</c:formatCode>
                      <c:ptCount val="7"/>
                      <c:pt idx="0" formatCode="General">
                        <c:v>0</c:v>
                      </c:pt>
                      <c:pt idx="1">
                        <c:v>753202</c:v>
                      </c:pt>
                      <c:pt idx="2">
                        <c:v>123166</c:v>
                      </c:pt>
                      <c:pt idx="3">
                        <c:v>102853</c:v>
                      </c:pt>
                      <c:pt idx="4">
                        <c:v>34025</c:v>
                      </c:pt>
                      <c:pt idx="5">
                        <c:v>38000</c:v>
                      </c:pt>
                      <c:pt idx="6">
                        <c:v>317058</c:v>
                      </c:pt>
                    </c:numCache>
                  </c:numRef>
                </c:yVal>
                <c:bubbleSize>
                  <c:numRef>
                    <c:extLst>
                      <c:ext uri="{02D57815-91ED-43cb-92C2-25804820EDAC}">
                        <c15:formulaRef>
                          <c15:sqref>chart!$D$8:$D$14</c15:sqref>
                        </c15:formulaRef>
                      </c:ext>
                    </c:extLst>
                    <c:numCache>
                      <c:formatCode>#,##0</c:formatCode>
                      <c:ptCount val="7"/>
                      <c:pt idx="0" formatCode="General">
                        <c:v>0</c:v>
                      </c:pt>
                      <c:pt idx="1">
                        <c:v>200747</c:v>
                      </c:pt>
                      <c:pt idx="2">
                        <c:v>7266</c:v>
                      </c:pt>
                      <c:pt idx="3">
                        <c:v>7322</c:v>
                      </c:pt>
                      <c:pt idx="4">
                        <c:v>12329</c:v>
                      </c:pt>
                      <c:pt idx="5">
                        <c:v>7090</c:v>
                      </c:pt>
                      <c:pt idx="6">
                        <c:v>103705</c:v>
                      </c:pt>
                    </c:numCache>
                  </c:numRef>
                </c:bubbleSize>
                <c:bubble3D val="0"/>
                <c:extLst>
                  <c:ext xmlns:c16="http://schemas.microsoft.com/office/drawing/2014/chart" uri="{C3380CC4-5D6E-409C-BE32-E72D297353CC}">
                    <c16:uniqueId val="{0000000D-DE9D-4189-A834-DBA4DB03B307}"/>
                  </c:ext>
                </c:extLst>
              </c15:ser>
            </c15:filteredBubbleSeries>
          </c:ext>
        </c:extLst>
      </c:bubbleChart>
      <c:valAx>
        <c:axId val="1023092287"/>
        <c:scaling>
          <c:orientation val="minMax"/>
          <c:min val="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Employment</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088127"/>
        <c:crosses val="autoZero"/>
        <c:crossBetween val="midCat"/>
      </c:valAx>
      <c:valAx>
        <c:axId val="1023088127"/>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b="1">
                    <a:solidFill>
                      <a:sysClr val="windowText" lastClr="000000"/>
                    </a:solidFill>
                  </a:rPr>
                  <a:t>Value added</a:t>
                </a:r>
                <a:r>
                  <a:rPr lang="en-AU" b="1" baseline="0">
                    <a:solidFill>
                      <a:sysClr val="windowText" lastClr="000000"/>
                    </a:solidFill>
                  </a:rPr>
                  <a:t> ($AUD millions)</a:t>
                </a:r>
                <a:endParaRPr lang="en-AU"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0922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49811825288523"/>
          <c:y val="0.15472804695329617"/>
          <c:w val="0.84256859342583279"/>
          <c:h val="0.69010506388117632"/>
        </c:manualLayout>
      </c:layout>
      <c:barChart>
        <c:barDir val="col"/>
        <c:grouping val="stacked"/>
        <c:varyColors val="0"/>
        <c:ser>
          <c:idx val="0"/>
          <c:order val="0"/>
          <c:tx>
            <c:v>Employment</c:v>
          </c:tx>
          <c:spPr>
            <a:solidFill>
              <a:srgbClr val="003491"/>
            </a:solidFill>
            <a:ln w="6350" cmpd="sng">
              <a:noFill/>
            </a:ln>
            <a:effectLst/>
          </c:spPr>
          <c:invertIfNegative val="0"/>
          <c:cat>
            <c:strRef>
              <c:f>'g6-2'!$M$24:$N$31</c:f>
              <c:strCache>
                <c:ptCount val="8"/>
                <c:pt idx="1">
                  <c:v>Small</c:v>
                </c:pt>
                <c:pt idx="4">
                  <c:v>Medium</c:v>
                </c:pt>
                <c:pt idx="7">
                  <c:v>Large</c:v>
                </c:pt>
              </c:strCache>
            </c:strRef>
          </c:cat>
          <c:val>
            <c:numRef>
              <c:f>'g6-2'!$O$24:$O$31</c:f>
              <c:numCache>
                <c:formatCode>General</c:formatCode>
                <c:ptCount val="8"/>
                <c:pt idx="0" formatCode="0.00">
                  <c:v>43.662669999999999</c:v>
                </c:pt>
                <c:pt idx="3" formatCode="0.00">
                  <c:v>24.05095</c:v>
                </c:pt>
                <c:pt idx="6" formatCode="0.00">
                  <c:v>32.249290000000002</c:v>
                </c:pt>
              </c:numCache>
            </c:numRef>
          </c:val>
          <c:extLst>
            <c:ext xmlns:c16="http://schemas.microsoft.com/office/drawing/2014/chart" uri="{C3380CC4-5D6E-409C-BE32-E72D297353CC}">
              <c16:uniqueId val="{00000000-7D3E-4032-9C9A-E1120716FCAF}"/>
            </c:ext>
          </c:extLst>
        </c:ser>
        <c:ser>
          <c:idx val="1"/>
          <c:order val="1"/>
          <c:tx>
            <c:v>Value added</c:v>
          </c:tx>
          <c:spPr>
            <a:pattFill prst="wdUpDiag">
              <a:fgClr>
                <a:srgbClr val="FFFFFF"/>
              </a:fgClr>
              <a:bgClr>
                <a:srgbClr val="F900CA">
                  <a:lumMod val="50000"/>
                </a:srgbClr>
              </a:bgClr>
            </a:pattFill>
            <a:ln w="6350" cmpd="sng">
              <a:noFill/>
            </a:ln>
            <a:effectLst/>
          </c:spPr>
          <c:invertIfNegative val="0"/>
          <c:cat>
            <c:strRef>
              <c:f>'g6-2'!$M$24:$N$31</c:f>
              <c:strCache>
                <c:ptCount val="8"/>
                <c:pt idx="1">
                  <c:v>Small</c:v>
                </c:pt>
                <c:pt idx="4">
                  <c:v>Medium</c:v>
                </c:pt>
                <c:pt idx="7">
                  <c:v>Large</c:v>
                </c:pt>
              </c:strCache>
            </c:strRef>
          </c:cat>
          <c:val>
            <c:numRef>
              <c:f>'g6-2'!$P$24:$P$31</c:f>
              <c:numCache>
                <c:formatCode>0.00</c:formatCode>
                <c:ptCount val="8"/>
                <c:pt idx="1">
                  <c:v>30.944240000000001</c:v>
                </c:pt>
                <c:pt idx="4">
                  <c:v>22.04299</c:v>
                </c:pt>
                <c:pt idx="7">
                  <c:v>47.012540000000001</c:v>
                </c:pt>
              </c:numCache>
            </c:numRef>
          </c:val>
          <c:extLst>
            <c:ext xmlns:c16="http://schemas.microsoft.com/office/drawing/2014/chart" uri="{C3380CC4-5D6E-409C-BE32-E72D297353CC}">
              <c16:uniqueId val="{00000001-7D3E-4032-9C9A-E1120716FCAF}"/>
            </c:ext>
          </c:extLst>
        </c:ser>
        <c:dLbls>
          <c:showLegendKey val="0"/>
          <c:showVal val="0"/>
          <c:showCatName val="0"/>
          <c:showSerName val="0"/>
          <c:showPercent val="0"/>
          <c:showBubbleSize val="0"/>
        </c:dLbls>
        <c:gapWidth val="0"/>
        <c:overlap val="100"/>
        <c:axId val="563547072"/>
        <c:axId val="1"/>
      </c:barChart>
      <c:lineChart>
        <c:grouping val="standard"/>
        <c:varyColors val="0"/>
        <c:ser>
          <c:idx val="2"/>
          <c:order val="2"/>
          <c:tx>
            <c:v>OECD</c:v>
          </c:tx>
          <c:spPr>
            <a:ln w="19050">
              <a:noFill/>
            </a:ln>
          </c:spPr>
          <c:marker>
            <c:symbol val="diamond"/>
            <c:size val="10"/>
            <c:spPr>
              <a:solidFill>
                <a:srgbClr val="FFFFFF"/>
              </a:solidFill>
              <a:ln w="25400">
                <a:solidFill>
                  <a:srgbClr val="6334D8">
                    <a:lumMod val="50000"/>
                  </a:srgbClr>
                </a:solidFill>
                <a:prstDash val="solid"/>
              </a:ln>
              <a:effectLst/>
            </c:spPr>
          </c:marker>
          <c:cat>
            <c:strRef>
              <c:f>'g6-2'!$M$24:$N$31</c:f>
              <c:strCache>
                <c:ptCount val="8"/>
                <c:pt idx="1">
                  <c:v>Small</c:v>
                </c:pt>
                <c:pt idx="4">
                  <c:v>Medium</c:v>
                </c:pt>
                <c:pt idx="7">
                  <c:v>Large</c:v>
                </c:pt>
              </c:strCache>
            </c:strRef>
          </c:cat>
          <c:val>
            <c:numRef>
              <c:f>'g6-2'!$Q$24:$Q$31</c:f>
              <c:numCache>
                <c:formatCode>General</c:formatCode>
                <c:ptCount val="8"/>
                <c:pt idx="0">
                  <c:v>39.285758183209524</c:v>
                </c:pt>
                <c:pt idx="3">
                  <c:v>30.236548781835335</c:v>
                </c:pt>
                <c:pt idx="6">
                  <c:v>30.477693184414882</c:v>
                </c:pt>
              </c:numCache>
            </c:numRef>
          </c:val>
          <c:smooth val="0"/>
          <c:extLst>
            <c:ext xmlns:c16="http://schemas.microsoft.com/office/drawing/2014/chart" uri="{C3380CC4-5D6E-409C-BE32-E72D297353CC}">
              <c16:uniqueId val="{00000002-7D3E-4032-9C9A-E1120716FCAF}"/>
            </c:ext>
          </c:extLst>
        </c:ser>
        <c:ser>
          <c:idx val="3"/>
          <c:order val="3"/>
          <c:spPr>
            <a:ln w="19050">
              <a:noFill/>
            </a:ln>
          </c:spPr>
          <c:marker>
            <c:symbol val="diamond"/>
            <c:size val="10"/>
            <c:spPr>
              <a:solidFill>
                <a:srgbClr val="FFFFFF"/>
              </a:solidFill>
              <a:ln w="22225">
                <a:solidFill>
                  <a:srgbClr val="000000">
                    <a:alpha val="98000"/>
                  </a:srgbClr>
                </a:solidFill>
                <a:prstDash val="solid"/>
              </a:ln>
              <a:effectLst/>
            </c:spPr>
          </c:marker>
          <c:dPt>
            <c:idx val="4"/>
            <c:marker>
              <c:spPr>
                <a:solidFill>
                  <a:srgbClr val="FFFFFF"/>
                </a:solidFill>
                <a:ln w="22225">
                  <a:solidFill>
                    <a:srgbClr val="000000">
                      <a:alpha val="94000"/>
                    </a:srgbClr>
                  </a:solidFill>
                  <a:prstDash val="solid"/>
                </a:ln>
                <a:effectLst/>
              </c:spPr>
            </c:marker>
            <c:bubble3D val="0"/>
            <c:extLst>
              <c:ext xmlns:c16="http://schemas.microsoft.com/office/drawing/2014/chart" uri="{C3380CC4-5D6E-409C-BE32-E72D297353CC}">
                <c16:uniqueId val="{00000000-E0D1-48AA-9E79-7580F2E065C1}"/>
              </c:ext>
            </c:extLst>
          </c:dPt>
          <c:cat>
            <c:strRef>
              <c:f>'g6-2'!$M$24:$N$31</c:f>
              <c:strCache>
                <c:ptCount val="8"/>
                <c:pt idx="1">
                  <c:v>Small</c:v>
                </c:pt>
                <c:pt idx="4">
                  <c:v>Medium</c:v>
                </c:pt>
                <c:pt idx="7">
                  <c:v>Large</c:v>
                </c:pt>
              </c:strCache>
            </c:strRef>
          </c:cat>
          <c:val>
            <c:numRef>
              <c:f>'g6-2'!$R$24:$R$31</c:f>
              <c:numCache>
                <c:formatCode>General</c:formatCode>
                <c:ptCount val="8"/>
                <c:pt idx="1">
                  <c:v>28.022145568363008</c:v>
                </c:pt>
                <c:pt idx="4">
                  <c:v>31.332509879281954</c:v>
                </c:pt>
                <c:pt idx="7">
                  <c:v>40.645344545143104</c:v>
                </c:pt>
              </c:numCache>
            </c:numRef>
          </c:val>
          <c:smooth val="0"/>
          <c:extLst>
            <c:ext xmlns:c16="http://schemas.microsoft.com/office/drawing/2014/chart" uri="{C3380CC4-5D6E-409C-BE32-E72D297353CC}">
              <c16:uniqueId val="{00000003-7D3E-4032-9C9A-E1120716FCAF}"/>
            </c:ext>
          </c:extLst>
        </c:ser>
        <c:dLbls>
          <c:showLegendKey val="0"/>
          <c:showVal val="0"/>
          <c:showCatName val="0"/>
          <c:showSerName val="0"/>
          <c:showPercent val="0"/>
          <c:showBubbleSize val="0"/>
        </c:dLbls>
        <c:marker val="1"/>
        <c:smooth val="0"/>
        <c:axId val="563547072"/>
        <c:axId val="1"/>
      </c:lineChart>
      <c:catAx>
        <c:axId val="563547072"/>
        <c:scaling>
          <c:orientation val="minMax"/>
        </c:scaling>
        <c:delete val="0"/>
        <c:axPos val="b"/>
        <c:majorGridlines>
          <c:spPr>
            <a:ln w="3175">
              <a:solidFill>
                <a:srgbClr val="FFFFFF"/>
              </a:solidFill>
              <a:prstDash val="solid"/>
            </a:ln>
          </c:spPr>
        </c:majorGridlines>
        <c:numFmt formatCode="General" sourceLinked="1"/>
        <c:majorTickMark val="none"/>
        <c:minorTickMark val="none"/>
        <c:tickLblPos val="low"/>
        <c:spPr>
          <a:ln w="3175">
            <a:solidFill>
              <a:srgbClr val="000000"/>
            </a:solidFill>
            <a:prstDash val="solid"/>
          </a:ln>
        </c:spPr>
        <c:txPr>
          <a:bodyPr rot="-60000" vert="horz"/>
          <a:lstStyle/>
          <a:p>
            <a:pPr>
              <a:defRPr sz="900" b="0" i="0" u="none" strike="noStrike" baseline="0">
                <a:solidFill>
                  <a:srgbClr val="000000"/>
                </a:solidFill>
                <a:latin typeface="+mn-lt"/>
                <a:ea typeface="Arial Narrow"/>
                <a:cs typeface="Arial Narrow"/>
              </a:defRPr>
            </a:pPr>
            <a:endParaRPr lang="en-US"/>
          </a:p>
        </c:txPr>
        <c:crossAx val="1"/>
        <c:crosses val="autoZero"/>
        <c:auto val="1"/>
        <c:lblAlgn val="ctr"/>
        <c:lblOffset val="0"/>
        <c:tickLblSkip val="1"/>
        <c:noMultiLvlLbl val="0"/>
      </c:catAx>
      <c:valAx>
        <c:axId val="1"/>
        <c:scaling>
          <c:orientation val="minMax"/>
          <c:max val="50"/>
        </c:scaling>
        <c:delete val="0"/>
        <c:axPos val="l"/>
        <c:majorGridlines>
          <c:spPr>
            <a:ln w="3175">
              <a:solidFill>
                <a:srgbClr val="FFFFFF"/>
              </a:solidFill>
              <a:prstDash val="solid"/>
            </a:ln>
          </c:spPr>
        </c:majorGridlines>
        <c:title>
          <c:tx>
            <c:rich>
              <a:bodyPr/>
              <a:lstStyle/>
              <a:p>
                <a:pPr>
                  <a:defRPr sz="1000" b="1">
                    <a:solidFill>
                      <a:sysClr val="windowText" lastClr="000000"/>
                    </a:solidFill>
                    <a:latin typeface="+mn-lt"/>
                  </a:defRPr>
                </a:pPr>
                <a:r>
                  <a:rPr lang="en-US" sz="1000" b="1">
                    <a:solidFill>
                      <a:sysClr val="windowText" lastClr="000000"/>
                    </a:solidFill>
                    <a:latin typeface="+mn-lt"/>
                  </a:rPr>
                  <a:t>%</a:t>
                </a:r>
              </a:p>
            </c:rich>
          </c:tx>
          <c:overlay val="0"/>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ysClr val="windowText" lastClr="000000"/>
                </a:solidFill>
                <a:latin typeface="+mn-lt"/>
                <a:ea typeface="Arial Narrow"/>
                <a:cs typeface="Arial Narrow"/>
              </a:defRPr>
            </a:pPr>
            <a:endParaRPr lang="en-US"/>
          </a:p>
        </c:txPr>
        <c:crossAx val="563547072"/>
        <c:crosses val="autoZero"/>
        <c:crossBetween val="between"/>
        <c:majorUnit val="10"/>
      </c:valAx>
      <c:spPr>
        <a:noFill/>
        <a:ln w="9525">
          <a:noFill/>
        </a:ln>
        <a:effectLst/>
      </c:spPr>
    </c:plotArea>
    <c:legend>
      <c:legendPos val="b"/>
      <c:legendEntry>
        <c:idx val="3"/>
        <c:delete val="1"/>
      </c:legendEntry>
      <c:layout>
        <c:manualLayout>
          <c:xMode val="edge"/>
          <c:yMode val="edge"/>
          <c:x val="0.11204250150247431"/>
          <c:y val="0.897743893743286"/>
          <c:w val="0.79115621488972565"/>
          <c:h val="9.3093161344812589E-2"/>
        </c:manualLayout>
      </c:layout>
      <c:overlay val="1"/>
      <c:spPr>
        <a:noFill/>
        <a:ln w="25400">
          <a:noFill/>
        </a:ln>
      </c:spPr>
      <c:txPr>
        <a:bodyPr/>
        <a:lstStyle/>
        <a:p>
          <a:pPr>
            <a:defRPr sz="1000" b="1" i="0" u="none" strike="noStrike" baseline="0">
              <a:solidFill>
                <a:srgbClr val="000000"/>
              </a:solidFill>
              <a:latin typeface="+mn-lt"/>
              <a:ea typeface="Arial Narrow"/>
              <a:cs typeface="Arial Narrow"/>
            </a:defRPr>
          </a:pPr>
          <a:endParaRPr lang="en-US"/>
        </a:p>
      </c:txPr>
    </c:legend>
    <c:plotVisOnly val="1"/>
    <c:dispBlanksAs val="span"/>
    <c:showDLblsOverMax val="1"/>
  </c:chart>
  <c:spPr>
    <a:noFill/>
    <a:ln w="6350">
      <a:noFill/>
    </a:ln>
  </c:spPr>
  <c:txPr>
    <a:bodyPr/>
    <a:lstStyle/>
    <a:p>
      <a:pPr>
        <a:defRPr sz="800" b="0" i="0" u="none" strike="noStrike" baseline="0">
          <a:solidFill>
            <a:srgbClr val="000000"/>
          </a:solidFill>
          <a:latin typeface="Arial Narrow"/>
          <a:ea typeface="Arial Narrow"/>
          <a:cs typeface="Arial Narrow"/>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931568096574695E-2"/>
          <c:y val="4.124453934783575E-2"/>
          <c:w val="0.88330817953749474"/>
          <c:h val="0.82111375061168201"/>
        </c:manualLayout>
      </c:layout>
      <c:lineChart>
        <c:grouping val="standard"/>
        <c:varyColors val="0"/>
        <c:ser>
          <c:idx val="0"/>
          <c:order val="0"/>
          <c:tx>
            <c:strRef>
              <c:f>Sheet1!$B$1</c:f>
              <c:strCache>
                <c:ptCount val="1"/>
                <c:pt idx="0">
                  <c:v>Co-filed with all research entities</c:v>
                </c:pt>
              </c:strCache>
            </c:strRef>
          </c:tx>
          <c:spPr>
            <a:ln w="28575" cap="rnd">
              <a:solidFill>
                <a:srgbClr val="003491"/>
              </a:solidFill>
              <a:prstDash val="solid"/>
              <a:round/>
            </a:ln>
            <a:effectLst/>
          </c:spPr>
          <c:marker>
            <c:symbol val="none"/>
          </c:marker>
          <c:dPt>
            <c:idx val="8"/>
            <c:marker>
              <c:symbol val="none"/>
            </c:marker>
            <c:bubble3D val="0"/>
            <c:extLst>
              <c:ext xmlns:c16="http://schemas.microsoft.com/office/drawing/2014/chart" uri="{C3380CC4-5D6E-409C-BE32-E72D297353CC}">
                <c16:uniqueId val="{00000000-2761-4464-A319-85703539432E}"/>
              </c:ext>
            </c:extLst>
          </c:dPt>
          <c:cat>
            <c:numRef>
              <c:f>Sheet1!$A$2:$A$23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Sheet1!$B$2:$B$23</c:f>
              <c:numCache>
                <c:formatCode>0.0</c:formatCode>
                <c:ptCount val="22"/>
                <c:pt idx="0">
                  <c:v>2.3510971786833856</c:v>
                </c:pt>
                <c:pt idx="1">
                  <c:v>2.4092409240924093</c:v>
                </c:pt>
                <c:pt idx="2">
                  <c:v>1.8730158730158728</c:v>
                </c:pt>
                <c:pt idx="3">
                  <c:v>2.1190401994390777</c:v>
                </c:pt>
                <c:pt idx="4">
                  <c:v>1.5611694578484248</c:v>
                </c:pt>
                <c:pt idx="5">
                  <c:v>1.4929499585291679</c:v>
                </c:pt>
                <c:pt idx="6">
                  <c:v>2.0474137931034484</c:v>
                </c:pt>
                <c:pt idx="7">
                  <c:v>2.0132211538461542</c:v>
                </c:pt>
                <c:pt idx="8">
                  <c:v>1.3778950454412195</c:v>
                </c:pt>
                <c:pt idx="9">
                  <c:v>1.9547953573610264</c:v>
                </c:pt>
                <c:pt idx="10">
                  <c:v>1.3637711236288173</c:v>
                </c:pt>
                <c:pt idx="11">
                  <c:v>1.3713658804168951</c:v>
                </c:pt>
                <c:pt idx="12">
                  <c:v>1.5503875968992249</c:v>
                </c:pt>
                <c:pt idx="13">
                  <c:v>1.6717748676511563</c:v>
                </c:pt>
                <c:pt idx="14">
                  <c:v>1.354679802955665</c:v>
                </c:pt>
                <c:pt idx="15">
                  <c:v>1.5231400117164615</c:v>
                </c:pt>
                <c:pt idx="16">
                  <c:v>1.5610927649354547</c:v>
                </c:pt>
                <c:pt idx="17">
                  <c:v>1.3807285546415982</c:v>
                </c:pt>
                <c:pt idx="18">
                  <c:v>0.69645966337782939</c:v>
                </c:pt>
                <c:pt idx="19">
                  <c:v>1.2360446570972885</c:v>
                </c:pt>
                <c:pt idx="20">
                  <c:v>1.0302640051513201</c:v>
                </c:pt>
                <c:pt idx="21">
                  <c:v>0.71258907363420432</c:v>
                </c:pt>
              </c:numCache>
            </c:numRef>
          </c:val>
          <c:smooth val="0"/>
          <c:extLst>
            <c:ext xmlns:c16="http://schemas.microsoft.com/office/drawing/2014/chart" uri="{C3380CC4-5D6E-409C-BE32-E72D297353CC}">
              <c16:uniqueId val="{00000000-0AA1-4A46-998A-325BFF2117F0}"/>
            </c:ext>
          </c:extLst>
        </c:ser>
        <c:ser>
          <c:idx val="1"/>
          <c:order val="1"/>
          <c:tx>
            <c:strRef>
              <c:f>Sheet1!$C$1</c:f>
              <c:strCache>
                <c:ptCount val="1"/>
                <c:pt idx="0">
                  <c:v>Co-filed with Australian research entities</c:v>
                </c:pt>
              </c:strCache>
            </c:strRef>
          </c:tx>
          <c:spPr>
            <a:ln w="28575" cap="rnd">
              <a:solidFill>
                <a:srgbClr val="6334D8">
                  <a:lumMod val="75000"/>
                </a:srgbClr>
              </a:solidFill>
              <a:prstDash val="dash"/>
              <a:round/>
            </a:ln>
            <a:effectLst/>
          </c:spPr>
          <c:marker>
            <c:symbol val="none"/>
          </c:marker>
          <c:cat>
            <c:numRef>
              <c:f>Sheet1!$A$2:$A$23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Sheet1!$C$2:$C$23</c:f>
              <c:numCache>
                <c:formatCode>0.0</c:formatCode>
                <c:ptCount val="22"/>
                <c:pt idx="0">
                  <c:v>1.9122257053291534</c:v>
                </c:pt>
                <c:pt idx="1">
                  <c:v>2.0132013201320129</c:v>
                </c:pt>
                <c:pt idx="2">
                  <c:v>1.4603174603174605</c:v>
                </c:pt>
                <c:pt idx="3">
                  <c:v>1.6204425054534122</c:v>
                </c:pt>
                <c:pt idx="4">
                  <c:v>1.1921657678115243</c:v>
                </c:pt>
                <c:pt idx="5">
                  <c:v>1.299419408349461</c:v>
                </c:pt>
                <c:pt idx="6">
                  <c:v>1.5625</c:v>
                </c:pt>
                <c:pt idx="7">
                  <c:v>1.6826923076923077</c:v>
                </c:pt>
                <c:pt idx="8">
                  <c:v>1.1433597185576077</c:v>
                </c:pt>
                <c:pt idx="9">
                  <c:v>1.4355528405620037</c:v>
                </c:pt>
                <c:pt idx="10">
                  <c:v>0.94871034687222056</c:v>
                </c:pt>
                <c:pt idx="11">
                  <c:v>1.151947339550192</c:v>
                </c:pt>
                <c:pt idx="12">
                  <c:v>1.2632787826586276</c:v>
                </c:pt>
                <c:pt idx="13">
                  <c:v>1.198105321816662</c:v>
                </c:pt>
                <c:pt idx="14">
                  <c:v>1.1083743842364533</c:v>
                </c:pt>
                <c:pt idx="15">
                  <c:v>1.0544815465729349</c:v>
                </c:pt>
                <c:pt idx="16">
                  <c:v>1.2608826178324828</c:v>
                </c:pt>
                <c:pt idx="17">
                  <c:v>0.76380728554641597</c:v>
                </c:pt>
                <c:pt idx="18">
                  <c:v>0.60940220545560064</c:v>
                </c:pt>
                <c:pt idx="19">
                  <c:v>0.99681020733652315</c:v>
                </c:pt>
                <c:pt idx="20">
                  <c:v>0.83708950418544747</c:v>
                </c:pt>
                <c:pt idx="21">
                  <c:v>0.71258907363420432</c:v>
                </c:pt>
              </c:numCache>
            </c:numRef>
          </c:val>
          <c:smooth val="0"/>
          <c:extLst>
            <c:ext xmlns:c16="http://schemas.microsoft.com/office/drawing/2014/chart" uri="{C3380CC4-5D6E-409C-BE32-E72D297353CC}">
              <c16:uniqueId val="{00000001-0AA1-4A46-998A-325BFF2117F0}"/>
            </c:ext>
          </c:extLst>
        </c:ser>
        <c:ser>
          <c:idx val="2"/>
          <c:order val="2"/>
          <c:tx>
            <c:strRef>
              <c:f>Sheet1!$D$1</c:f>
              <c:strCache>
                <c:ptCount val="1"/>
                <c:pt idx="0">
                  <c:v>Co-filed with non-Australian research entities</c:v>
                </c:pt>
              </c:strCache>
            </c:strRef>
          </c:tx>
          <c:spPr>
            <a:ln w="28575" cap="rnd">
              <a:solidFill>
                <a:srgbClr val="686868">
                  <a:lumMod val="50000"/>
                </a:srgbClr>
              </a:solidFill>
              <a:prstDash val="sysDot"/>
              <a:round/>
            </a:ln>
            <a:effectLst/>
          </c:spPr>
          <c:marker>
            <c:symbol val="none"/>
          </c:marker>
          <c:cat>
            <c:numRef>
              <c:f>Sheet1!$A$2:$A$23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Sheet1!$D$2:$D$23</c:f>
              <c:numCache>
                <c:formatCode>0.0</c:formatCode>
                <c:ptCount val="22"/>
                <c:pt idx="0">
                  <c:v>0.37617554858934171</c:v>
                </c:pt>
                <c:pt idx="1">
                  <c:v>0.16501650165016502</c:v>
                </c:pt>
                <c:pt idx="2">
                  <c:v>0.34920634920634919</c:v>
                </c:pt>
                <c:pt idx="3">
                  <c:v>0.31162355874104081</c:v>
                </c:pt>
                <c:pt idx="4">
                  <c:v>0.22707919386886177</c:v>
                </c:pt>
                <c:pt idx="5">
                  <c:v>0.1105888858169754</c:v>
                </c:pt>
                <c:pt idx="6">
                  <c:v>0.24245689655172414</c:v>
                </c:pt>
                <c:pt idx="7">
                  <c:v>0.27043269230769229</c:v>
                </c:pt>
                <c:pt idx="8">
                  <c:v>0.20521841102316035</c:v>
                </c:pt>
                <c:pt idx="9">
                  <c:v>0.45815516188149052</c:v>
                </c:pt>
                <c:pt idx="10">
                  <c:v>0.26682478505781204</c:v>
                </c:pt>
                <c:pt idx="11">
                  <c:v>0.19199122325836532</c:v>
                </c:pt>
                <c:pt idx="12">
                  <c:v>0.2583979328165375</c:v>
                </c:pt>
                <c:pt idx="13">
                  <c:v>0.41794371691278909</c:v>
                </c:pt>
                <c:pt idx="14">
                  <c:v>0.36945812807881773</c:v>
                </c:pt>
                <c:pt idx="15">
                  <c:v>0.41007615700058581</c:v>
                </c:pt>
                <c:pt idx="16">
                  <c:v>0.27018913239267489</c:v>
                </c:pt>
                <c:pt idx="17">
                  <c:v>0.52878965922444188</c:v>
                </c:pt>
                <c:pt idx="18">
                  <c:v>0.14509576320371445</c:v>
                </c:pt>
                <c:pt idx="19">
                  <c:v>0.31897926634768742</c:v>
                </c:pt>
                <c:pt idx="20">
                  <c:v>0.19317450096587252</c:v>
                </c:pt>
                <c:pt idx="21">
                  <c:v>0</c:v>
                </c:pt>
              </c:numCache>
            </c:numRef>
          </c:val>
          <c:smooth val="0"/>
          <c:extLst>
            <c:ext xmlns:c16="http://schemas.microsoft.com/office/drawing/2014/chart" uri="{C3380CC4-5D6E-409C-BE32-E72D297353CC}">
              <c16:uniqueId val="{00000002-0AA1-4A46-998A-325BFF2117F0}"/>
            </c:ext>
          </c:extLst>
        </c:ser>
        <c:dLbls>
          <c:showLegendKey val="0"/>
          <c:showVal val="0"/>
          <c:showCatName val="0"/>
          <c:showSerName val="0"/>
          <c:showPercent val="0"/>
          <c:showBubbleSize val="0"/>
        </c:dLbls>
        <c:smooth val="0"/>
        <c:axId val="393582511"/>
        <c:axId val="386808271"/>
      </c:lineChart>
      <c:catAx>
        <c:axId val="393582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808271"/>
        <c:crosses val="autoZero"/>
        <c:auto val="1"/>
        <c:lblAlgn val="ctr"/>
        <c:lblOffset val="100"/>
        <c:noMultiLvlLbl val="0"/>
      </c:catAx>
      <c:valAx>
        <c:axId val="386808271"/>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582511"/>
        <c:crosses val="autoZero"/>
        <c:crossBetween val="between"/>
      </c:valAx>
      <c:spPr>
        <a:noFill/>
        <a:ln>
          <a:noFill/>
        </a:ln>
        <a:effectLst/>
      </c:spPr>
    </c:plotArea>
    <c:legend>
      <c:legendPos val="t"/>
      <c:layout>
        <c:manualLayout>
          <c:xMode val="edge"/>
          <c:yMode val="edge"/>
          <c:x val="0.50529859161926527"/>
          <c:y val="1.3559322033898305E-2"/>
          <c:w val="0.47899272212424548"/>
          <c:h val="0.362148494150095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3491"/>
            </a:solidFill>
            <a:ln>
              <a:noFill/>
            </a:ln>
            <a:effectLst/>
          </c:spPr>
          <c:invertIfNegative val="0"/>
          <c:cat>
            <c:strRef>
              <c:f>Tables!$A$119:$A$123</c:f>
              <c:strCache>
                <c:ptCount val="5"/>
                <c:pt idx="0">
                  <c:v>Strongly disagree</c:v>
                </c:pt>
                <c:pt idx="1">
                  <c:v>Disagree</c:v>
                </c:pt>
                <c:pt idx="2">
                  <c:v>Neutral</c:v>
                </c:pt>
                <c:pt idx="3">
                  <c:v>Agree</c:v>
                </c:pt>
                <c:pt idx="4">
                  <c:v>Strongly agree</c:v>
                </c:pt>
              </c:strCache>
            </c:strRef>
          </c:cat>
          <c:val>
            <c:numRef>
              <c:f>Tables!$C$119:$C$123</c:f>
              <c:numCache>
                <c:formatCode>0.0</c:formatCode>
                <c:ptCount val="5"/>
                <c:pt idx="0">
                  <c:v>3.5476718403547673</c:v>
                </c:pt>
                <c:pt idx="1">
                  <c:v>27.0509977827051</c:v>
                </c:pt>
                <c:pt idx="2">
                  <c:v>36.14190687361419</c:v>
                </c:pt>
                <c:pt idx="3">
                  <c:v>26.607538802660752</c:v>
                </c:pt>
                <c:pt idx="4">
                  <c:v>6.651884700665188</c:v>
                </c:pt>
              </c:numCache>
            </c:numRef>
          </c:val>
          <c:extLst>
            <c:ext xmlns:c16="http://schemas.microsoft.com/office/drawing/2014/chart" uri="{C3380CC4-5D6E-409C-BE32-E72D297353CC}">
              <c16:uniqueId val="{00000000-7BDE-47B7-A21D-64DFF15AF6E8}"/>
            </c:ext>
          </c:extLst>
        </c:ser>
        <c:dLbls>
          <c:showLegendKey val="0"/>
          <c:showVal val="0"/>
          <c:showCatName val="0"/>
          <c:showSerName val="0"/>
          <c:showPercent val="0"/>
          <c:showBubbleSize val="0"/>
        </c:dLbls>
        <c:gapWidth val="219"/>
        <c:overlap val="-27"/>
        <c:axId val="1177948064"/>
        <c:axId val="1177945984"/>
      </c:barChart>
      <c:catAx>
        <c:axId val="1177948064"/>
        <c:scaling>
          <c:orientation val="minMax"/>
        </c:scaling>
        <c:delete val="0"/>
        <c:axPos val="b"/>
        <c:numFmt formatCode="General" sourceLinked="1"/>
        <c:majorTickMark val="none"/>
        <c:minorTickMark val="none"/>
        <c:tickLblPos val="nextTo"/>
        <c:spPr>
          <a:noFill/>
          <a:ln w="9525" cap="flat" cmpd="sng" algn="ctr">
            <a:solidFill>
              <a:srgbClr val="9E9E9E"/>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7945984"/>
        <c:crosses val="autoZero"/>
        <c:auto val="1"/>
        <c:lblAlgn val="ctr"/>
        <c:lblOffset val="100"/>
        <c:noMultiLvlLbl val="0"/>
      </c:catAx>
      <c:valAx>
        <c:axId val="117794598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a:solidFill>
              <a:srgbClr val="9E9E9E"/>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79480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0.01042</cdr:x>
      <cdr:y>0.91493</cdr:y>
    </cdr:from>
    <cdr:to>
      <cdr:x>0.12292</cdr:x>
      <cdr:y>0.98611</cdr:y>
    </cdr:to>
    <cdr:sp macro="" textlink="">
      <cdr:nvSpPr>
        <cdr:cNvPr id="2" name="TextBox 1">
          <a:extLst xmlns:a="http://schemas.openxmlformats.org/drawingml/2006/main">
            <a:ext uri="{FF2B5EF4-FFF2-40B4-BE49-F238E27FC236}">
              <a16:creationId xmlns:a16="http://schemas.microsoft.com/office/drawing/2014/main" id="{63FB8CF0-8638-2313-2821-22590B092846}"/>
            </a:ext>
          </a:extLst>
        </cdr:cNvPr>
        <cdr:cNvSpPr txBox="1"/>
      </cdr:nvSpPr>
      <cdr:spPr>
        <a:xfrm xmlns:a="http://schemas.openxmlformats.org/drawingml/2006/main">
          <a:off x="47625" y="2509838"/>
          <a:ext cx="514350" cy="1952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drawings/drawing2.xml><?xml version="1.0" encoding="utf-8"?>
<c:userShapes xmlns:c="http://schemas.openxmlformats.org/drawingml/2006/chart">
  <cdr:relSizeAnchor xmlns:cdr="http://schemas.openxmlformats.org/drawingml/2006/chartDrawing">
    <cdr:from>
      <cdr:x>0.05932</cdr:x>
      <cdr:y>0.96279</cdr:y>
    </cdr:from>
    <cdr:to>
      <cdr:x>0.32062</cdr:x>
      <cdr:y>0.99767</cdr:y>
    </cdr:to>
    <cdr:sp macro="" textlink="">
      <cdr:nvSpPr>
        <cdr:cNvPr id="2" name="TextBox 1">
          <a:extLst xmlns:a="http://schemas.openxmlformats.org/drawingml/2006/main">
            <a:ext uri="{FF2B5EF4-FFF2-40B4-BE49-F238E27FC236}">
              <a16:creationId xmlns:a16="http://schemas.microsoft.com/office/drawing/2014/main" id="{B7F9AC9F-3F55-2813-9BD6-74DC0A278EF7}"/>
            </a:ext>
          </a:extLst>
        </cdr:cNvPr>
        <cdr:cNvSpPr txBox="1"/>
      </cdr:nvSpPr>
      <cdr:spPr>
        <a:xfrm xmlns:a="http://schemas.openxmlformats.org/drawingml/2006/main">
          <a:off x="400050" y="3943350"/>
          <a:ext cx="176212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0.13544</cdr:x>
      <cdr:y>0.65637</cdr:y>
    </cdr:from>
    <cdr:to>
      <cdr:x>0.13544</cdr:x>
      <cdr:y>0.73166</cdr:y>
    </cdr:to>
    <cdr:cxnSp macro="">
      <cdr:nvCxnSpPr>
        <cdr:cNvPr id="5" name="Straight Arrow Connector 4">
          <a:extLst xmlns:a="http://schemas.openxmlformats.org/drawingml/2006/main">
            <a:ext uri="{FF2B5EF4-FFF2-40B4-BE49-F238E27FC236}">
              <a16:creationId xmlns:a16="http://schemas.microsoft.com/office/drawing/2014/main" id="{E612DE91-B021-6995-1C9F-E7852882551B}"/>
            </a:ext>
          </a:extLst>
        </cdr:cNvPr>
        <cdr:cNvCxnSpPr/>
      </cdr:nvCxnSpPr>
      <cdr:spPr>
        <a:xfrm xmlns:a="http://schemas.openxmlformats.org/drawingml/2006/main" flipV="1">
          <a:off x="1019175" y="3238500"/>
          <a:ext cx="0" cy="37147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0.10886</cdr:x>
      <cdr:y>0.49228</cdr:y>
    </cdr:from>
    <cdr:to>
      <cdr:x>0.17975</cdr:x>
      <cdr:y>0.57915</cdr:y>
    </cdr:to>
    <cdr:sp macro="" textlink="">
      <cdr:nvSpPr>
        <cdr:cNvPr id="7" name="TextBox 6">
          <a:extLst xmlns:a="http://schemas.openxmlformats.org/drawingml/2006/main">
            <a:ext uri="{FF2B5EF4-FFF2-40B4-BE49-F238E27FC236}">
              <a16:creationId xmlns:a16="http://schemas.microsoft.com/office/drawing/2014/main" id="{AF71396A-C6CF-AC9B-D776-B7FA8B7BEAE3}"/>
            </a:ext>
          </a:extLst>
        </cdr:cNvPr>
        <cdr:cNvSpPr txBox="1"/>
      </cdr:nvSpPr>
      <cdr:spPr>
        <a:xfrm xmlns:a="http://schemas.openxmlformats.org/drawingml/2006/main">
          <a:off x="819150" y="2428875"/>
          <a:ext cx="533400"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0.70253</cdr:x>
      <cdr:y>0.19305</cdr:y>
    </cdr:from>
    <cdr:to>
      <cdr:x>0.73924</cdr:x>
      <cdr:y>0.19305</cdr:y>
    </cdr:to>
    <cdr:cxnSp macro="">
      <cdr:nvCxnSpPr>
        <cdr:cNvPr id="10" name="Straight Arrow Connector 9">
          <a:extLst xmlns:a="http://schemas.openxmlformats.org/drawingml/2006/main">
            <a:ext uri="{FF2B5EF4-FFF2-40B4-BE49-F238E27FC236}">
              <a16:creationId xmlns:a16="http://schemas.microsoft.com/office/drawing/2014/main" id="{CEA3129D-1A45-C129-70ED-8A7E3EB92B88}"/>
            </a:ext>
          </a:extLst>
        </cdr:cNvPr>
        <cdr:cNvCxnSpPr/>
      </cdr:nvCxnSpPr>
      <cdr:spPr>
        <a:xfrm xmlns:a="http://schemas.openxmlformats.org/drawingml/2006/main" flipH="1">
          <a:off x="5286375" y="952500"/>
          <a:ext cx="276225"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0.61899</cdr:x>
      <cdr:y>0.12741</cdr:y>
    </cdr:from>
    <cdr:to>
      <cdr:x>0.72532</cdr:x>
      <cdr:y>0.27027</cdr:y>
    </cdr:to>
    <cdr:sp macro="" textlink="">
      <cdr:nvSpPr>
        <cdr:cNvPr id="11" name="TextBox 10">
          <a:extLst xmlns:a="http://schemas.openxmlformats.org/drawingml/2006/main">
            <a:ext uri="{FF2B5EF4-FFF2-40B4-BE49-F238E27FC236}">
              <a16:creationId xmlns:a16="http://schemas.microsoft.com/office/drawing/2014/main" id="{7C65B346-84DD-09A6-5129-8A44B73570ED}"/>
            </a:ext>
          </a:extLst>
        </cdr:cNvPr>
        <cdr:cNvSpPr txBox="1"/>
      </cdr:nvSpPr>
      <cdr:spPr>
        <a:xfrm xmlns:a="http://schemas.openxmlformats.org/drawingml/2006/main">
          <a:off x="4657725" y="628650"/>
          <a:ext cx="800100" cy="704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L: 0.4%</a:t>
          </a:r>
        </a:p>
        <a:p xmlns:a="http://schemas.openxmlformats.org/drawingml/2006/main">
          <a:r>
            <a:rPr lang="en-AU" sz="1100"/>
            <a:t>M: 6.9%</a:t>
          </a:r>
        </a:p>
        <a:p xmlns:a="http://schemas.openxmlformats.org/drawingml/2006/main">
          <a:r>
            <a:rPr lang="en-AU" sz="1100"/>
            <a:t>S: 92.7%</a:t>
          </a:r>
        </a:p>
      </cdr:txBody>
    </cdr:sp>
  </cdr:relSizeAnchor>
  <cdr:relSizeAnchor xmlns:cdr="http://schemas.openxmlformats.org/drawingml/2006/chartDrawing">
    <cdr:from>
      <cdr:x>0.50042</cdr:x>
      <cdr:y>0.38288</cdr:y>
    </cdr:from>
    <cdr:to>
      <cdr:x>0.60675</cdr:x>
      <cdr:y>0.52574</cdr:y>
    </cdr:to>
    <cdr:sp macro="" textlink="">
      <cdr:nvSpPr>
        <cdr:cNvPr id="14" name="TextBox 1">
          <a:extLst xmlns:a="http://schemas.openxmlformats.org/drawingml/2006/main">
            <a:ext uri="{FF2B5EF4-FFF2-40B4-BE49-F238E27FC236}">
              <a16:creationId xmlns:a16="http://schemas.microsoft.com/office/drawing/2014/main" id="{8160584E-2C3F-D118-DB8E-0B34551A14B3}"/>
            </a:ext>
          </a:extLst>
        </cdr:cNvPr>
        <cdr:cNvSpPr txBox="1"/>
      </cdr:nvSpPr>
      <cdr:spPr>
        <a:xfrm xmlns:a="http://schemas.openxmlformats.org/drawingml/2006/main">
          <a:off x="3765550" y="1889125"/>
          <a:ext cx="800100" cy="704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L: 0.4%</a:t>
          </a:r>
        </a:p>
        <a:p xmlns:a="http://schemas.openxmlformats.org/drawingml/2006/main">
          <a:r>
            <a:rPr lang="en-AU" sz="1100"/>
            <a:t>M: 4.9%</a:t>
          </a:r>
        </a:p>
        <a:p xmlns:a="http://schemas.openxmlformats.org/drawingml/2006/main">
          <a:r>
            <a:rPr lang="en-AU" sz="1100"/>
            <a:t>S: 94.7%</a:t>
          </a:r>
        </a:p>
      </cdr:txBody>
    </cdr:sp>
  </cdr:relSizeAnchor>
  <cdr:relSizeAnchor xmlns:cdr="http://schemas.openxmlformats.org/drawingml/2006/chartDrawing">
    <cdr:from>
      <cdr:x>0.24051</cdr:x>
      <cdr:y>0.62355</cdr:y>
    </cdr:from>
    <cdr:to>
      <cdr:x>0.28734</cdr:x>
      <cdr:y>0.62355</cdr:y>
    </cdr:to>
    <cdr:cxnSp macro="">
      <cdr:nvCxnSpPr>
        <cdr:cNvPr id="16" name="Straight Arrow Connector 15">
          <a:extLst xmlns:a="http://schemas.openxmlformats.org/drawingml/2006/main">
            <a:ext uri="{FF2B5EF4-FFF2-40B4-BE49-F238E27FC236}">
              <a16:creationId xmlns:a16="http://schemas.microsoft.com/office/drawing/2014/main" id="{F666D5C1-F53F-7B4A-D86A-C2591E921406}"/>
            </a:ext>
          </a:extLst>
        </cdr:cNvPr>
        <cdr:cNvCxnSpPr/>
      </cdr:nvCxnSpPr>
      <cdr:spPr>
        <a:xfrm xmlns:a="http://schemas.openxmlformats.org/drawingml/2006/main">
          <a:off x="1809750" y="3076575"/>
          <a:ext cx="352425"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0.2865</cdr:x>
      <cdr:y>0.55084</cdr:y>
    </cdr:from>
    <cdr:to>
      <cdr:x>0.39283</cdr:x>
      <cdr:y>0.69369</cdr:y>
    </cdr:to>
    <cdr:sp macro="" textlink="">
      <cdr:nvSpPr>
        <cdr:cNvPr id="17" name="TextBox 1">
          <a:extLst xmlns:a="http://schemas.openxmlformats.org/drawingml/2006/main">
            <a:ext uri="{FF2B5EF4-FFF2-40B4-BE49-F238E27FC236}">
              <a16:creationId xmlns:a16="http://schemas.microsoft.com/office/drawing/2014/main" id="{6B88D638-F738-2F4F-3AAA-CC5F4097895E}"/>
            </a:ext>
          </a:extLst>
        </cdr:cNvPr>
        <cdr:cNvSpPr txBox="1"/>
      </cdr:nvSpPr>
      <cdr:spPr>
        <a:xfrm xmlns:a="http://schemas.openxmlformats.org/drawingml/2006/main">
          <a:off x="2155825" y="2717800"/>
          <a:ext cx="800100" cy="704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L: 1.5%</a:t>
          </a:r>
        </a:p>
        <a:p xmlns:a="http://schemas.openxmlformats.org/drawingml/2006/main">
          <a:r>
            <a:rPr lang="en-AU" sz="1100"/>
            <a:t>M: 17.6%</a:t>
          </a:r>
        </a:p>
        <a:p xmlns:a="http://schemas.openxmlformats.org/drawingml/2006/main">
          <a:r>
            <a:rPr lang="en-AU" sz="1100"/>
            <a:t>S: 80.9%</a:t>
          </a:r>
        </a:p>
      </cdr:txBody>
    </cdr:sp>
  </cdr:relSizeAnchor>
  <cdr:relSizeAnchor xmlns:cdr="http://schemas.openxmlformats.org/drawingml/2006/chartDrawing">
    <cdr:from>
      <cdr:x>0.28987</cdr:x>
      <cdr:y>0.7278</cdr:y>
    </cdr:from>
    <cdr:to>
      <cdr:x>0.32405</cdr:x>
      <cdr:y>0.7278</cdr:y>
    </cdr:to>
    <cdr:cxnSp macro="">
      <cdr:nvCxnSpPr>
        <cdr:cNvPr id="23" name="Straight Arrow Connector 22">
          <a:extLst xmlns:a="http://schemas.openxmlformats.org/drawingml/2006/main">
            <a:ext uri="{FF2B5EF4-FFF2-40B4-BE49-F238E27FC236}">
              <a16:creationId xmlns:a16="http://schemas.microsoft.com/office/drawing/2014/main" id="{9470C2AF-AFEB-90DB-9915-C819CFF068EA}"/>
            </a:ext>
          </a:extLst>
        </cdr:cNvPr>
        <cdr:cNvCxnSpPr/>
      </cdr:nvCxnSpPr>
      <cdr:spPr>
        <a:xfrm xmlns:a="http://schemas.openxmlformats.org/drawingml/2006/main">
          <a:off x="2181225" y="3590925"/>
          <a:ext cx="257175"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0.32574</cdr:x>
      <cdr:y>0.6686</cdr:y>
    </cdr:from>
    <cdr:to>
      <cdr:x>0.43207</cdr:x>
      <cdr:y>0.81145</cdr:y>
    </cdr:to>
    <cdr:sp macro="" textlink="">
      <cdr:nvSpPr>
        <cdr:cNvPr id="24" name="TextBox 1">
          <a:extLst xmlns:a="http://schemas.openxmlformats.org/drawingml/2006/main">
            <a:ext uri="{FF2B5EF4-FFF2-40B4-BE49-F238E27FC236}">
              <a16:creationId xmlns:a16="http://schemas.microsoft.com/office/drawing/2014/main" id="{B2A75070-C68F-0F38-75C9-729A86544D62}"/>
            </a:ext>
          </a:extLst>
        </cdr:cNvPr>
        <cdr:cNvSpPr txBox="1"/>
      </cdr:nvSpPr>
      <cdr:spPr>
        <a:xfrm xmlns:a="http://schemas.openxmlformats.org/drawingml/2006/main">
          <a:off x="2451100" y="3298825"/>
          <a:ext cx="800100" cy="704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L: 1.4%</a:t>
          </a:r>
        </a:p>
        <a:p xmlns:a="http://schemas.openxmlformats.org/drawingml/2006/main">
          <a:r>
            <a:rPr lang="en-AU" sz="1100"/>
            <a:t>M: 13.3%</a:t>
          </a:r>
        </a:p>
        <a:p xmlns:a="http://schemas.openxmlformats.org/drawingml/2006/main">
          <a:r>
            <a:rPr lang="en-AU" sz="1100"/>
            <a:t>S: 85.3%</a:t>
          </a:r>
        </a:p>
      </cdr:txBody>
    </cdr:sp>
  </cdr:relSizeAnchor>
  <cdr:relSizeAnchor xmlns:cdr="http://schemas.openxmlformats.org/drawingml/2006/chartDrawing">
    <cdr:from>
      <cdr:x>0.09789</cdr:x>
      <cdr:y>0.52574</cdr:y>
    </cdr:from>
    <cdr:to>
      <cdr:x>0.20422</cdr:x>
      <cdr:y>0.6686</cdr:y>
    </cdr:to>
    <cdr:sp macro="" textlink="">
      <cdr:nvSpPr>
        <cdr:cNvPr id="25" name="TextBox 1">
          <a:extLst xmlns:a="http://schemas.openxmlformats.org/drawingml/2006/main">
            <a:ext uri="{FF2B5EF4-FFF2-40B4-BE49-F238E27FC236}">
              <a16:creationId xmlns:a16="http://schemas.microsoft.com/office/drawing/2014/main" id="{F3767B29-B9BC-9673-02B6-379B6FC7BBF1}"/>
            </a:ext>
          </a:extLst>
        </cdr:cNvPr>
        <cdr:cNvSpPr txBox="1"/>
      </cdr:nvSpPr>
      <cdr:spPr>
        <a:xfrm xmlns:a="http://schemas.openxmlformats.org/drawingml/2006/main">
          <a:off x="736600" y="2593975"/>
          <a:ext cx="800100" cy="704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L: 1.2%</a:t>
          </a:r>
        </a:p>
        <a:p xmlns:a="http://schemas.openxmlformats.org/drawingml/2006/main">
          <a:r>
            <a:rPr lang="en-AU" sz="1100"/>
            <a:t>M: 7.7%</a:t>
          </a:r>
        </a:p>
        <a:p xmlns:a="http://schemas.openxmlformats.org/drawingml/2006/main">
          <a:r>
            <a:rPr lang="en-AU" sz="1100"/>
            <a:t>S: 91.1%</a:t>
          </a:r>
        </a:p>
      </cdr:txBody>
    </cdr:sp>
  </cdr:relSizeAnchor>
  <cdr:relSizeAnchor xmlns:cdr="http://schemas.openxmlformats.org/drawingml/2006/chartDrawing">
    <cdr:from>
      <cdr:x>0.20169</cdr:x>
      <cdr:y>0.74582</cdr:y>
    </cdr:from>
    <cdr:to>
      <cdr:x>0.30802</cdr:x>
      <cdr:y>0.88867</cdr:y>
    </cdr:to>
    <cdr:sp macro="" textlink="">
      <cdr:nvSpPr>
        <cdr:cNvPr id="26" name="TextBox 1">
          <a:extLst xmlns:a="http://schemas.openxmlformats.org/drawingml/2006/main">
            <a:ext uri="{FF2B5EF4-FFF2-40B4-BE49-F238E27FC236}">
              <a16:creationId xmlns:a16="http://schemas.microsoft.com/office/drawing/2014/main" id="{550497B4-B25E-2F10-979C-611E6679AD83}"/>
            </a:ext>
          </a:extLst>
        </cdr:cNvPr>
        <cdr:cNvSpPr txBox="1"/>
      </cdr:nvSpPr>
      <cdr:spPr>
        <a:xfrm xmlns:a="http://schemas.openxmlformats.org/drawingml/2006/main">
          <a:off x="1517650" y="3679825"/>
          <a:ext cx="800100" cy="704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L: 0.9%</a:t>
          </a:r>
        </a:p>
        <a:p xmlns:a="http://schemas.openxmlformats.org/drawingml/2006/main">
          <a:r>
            <a:rPr lang="en-AU" sz="1100"/>
            <a:t>M: 8.0%</a:t>
          </a:r>
        </a:p>
        <a:p xmlns:a="http://schemas.openxmlformats.org/drawingml/2006/main">
          <a:r>
            <a:rPr lang="en-AU" sz="1100"/>
            <a:t>S: 91.1%</a:t>
          </a:r>
        </a:p>
      </cdr:txBody>
    </cdr:sp>
  </cdr:relSizeAnchor>
  <cdr:relSizeAnchor xmlns:cdr="http://schemas.openxmlformats.org/drawingml/2006/chartDrawing">
    <cdr:from>
      <cdr:x>0.15918</cdr:x>
      <cdr:y>0.81725</cdr:y>
    </cdr:from>
    <cdr:to>
      <cdr:x>0.20085</cdr:x>
      <cdr:y>0.81725</cdr:y>
    </cdr:to>
    <cdr:cxnSp macro="">
      <cdr:nvCxnSpPr>
        <cdr:cNvPr id="3" name="Straight Arrow Connector 2"/>
        <cdr:cNvCxnSpPr/>
      </cdr:nvCxnSpPr>
      <cdr:spPr>
        <a:xfrm xmlns:a="http://schemas.openxmlformats.org/drawingml/2006/main">
          <a:off x="1260639" y="4118958"/>
          <a:ext cx="330036"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0.4574</cdr:x>
      <cdr:y>0.4522</cdr:y>
    </cdr:from>
    <cdr:to>
      <cdr:x>0.50423</cdr:x>
      <cdr:y>0.4522</cdr:y>
    </cdr:to>
    <cdr:cxnSp macro="">
      <cdr:nvCxnSpPr>
        <cdr:cNvPr id="6" name="Straight Arrow Connector 5"/>
        <cdr:cNvCxnSpPr/>
      </cdr:nvCxnSpPr>
      <cdr:spPr>
        <a:xfrm xmlns:a="http://schemas.openxmlformats.org/drawingml/2006/main">
          <a:off x="3622447" y="2279089"/>
          <a:ext cx="370880" cy="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Custom 1">
      <a:dk1>
        <a:srgbClr val="003491"/>
      </a:dk1>
      <a:lt1>
        <a:srgbClr val="6334D8"/>
      </a:lt1>
      <a:dk2>
        <a:srgbClr val="686868"/>
      </a:dk2>
      <a:lt2>
        <a:srgbClr val="00B0F0"/>
      </a:lt2>
      <a:accent1>
        <a:srgbClr val="9E9E9E"/>
      </a:accent1>
      <a:accent2>
        <a:srgbClr val="009983"/>
      </a:accent2>
      <a:accent3>
        <a:srgbClr val="E53803"/>
      </a:accent3>
      <a:accent4>
        <a:srgbClr val="C10299"/>
      </a:accent4>
      <a:accent5>
        <a:srgbClr val="C4BF02"/>
      </a:accent5>
      <a:accent6>
        <a:srgbClr val="F900CA"/>
      </a:accent6>
      <a:hlink>
        <a:srgbClr val="0070AE"/>
      </a:hlink>
      <a:folHlink>
        <a:srgbClr val="551A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F2A98-7374-4B63-82AB-CD762CB92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21117</Words>
  <Characters>120367</Characters>
  <Application>Microsoft Office Word</Application>
  <DocSecurity>0</DocSecurity>
  <Lines>1003</Lines>
  <Paragraphs>282</Paragraphs>
  <ScaleCrop>false</ScaleCrop>
  <Manager/>
  <Company/>
  <LinksUpToDate>false</LinksUpToDate>
  <CharactersWithSpaces>141202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2024-01-08T01:09:00Z</dcterms:created>
  <dcterms:modified xsi:type="dcterms:W3CDTF">2024-01-08T01:10:00Z</dcterms:modified>
  <cp:category/>
</cp:coreProperties>
</file>