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E7706" w14:textId="77777777" w:rsidR="00553398" w:rsidRPr="00886F1D" w:rsidRDefault="00553398" w:rsidP="00553398">
      <w:pPr>
        <w:adjustRightInd/>
        <w:snapToGrid/>
        <w:spacing w:before="360" w:after="0" w:line="240" w:lineRule="auto"/>
        <w:jc w:val="center"/>
        <w:rPr>
          <w:rFonts w:ascii="Times New Roman" w:eastAsia="Times New Roman" w:hAnsi="Times New Roman"/>
          <w:b/>
          <w:color w:val="auto"/>
          <w:sz w:val="36"/>
          <w:szCs w:val="32"/>
        </w:rPr>
      </w:pPr>
      <w:r w:rsidRPr="00886F1D">
        <w:rPr>
          <w:caps/>
          <w:noProof/>
          <w:color w:val="auto"/>
          <w:lang w:eastAsia="en-AU"/>
        </w:rPr>
        <w:drawing>
          <wp:inline distT="0" distB="0" distL="0" distR="0" wp14:anchorId="718E7957" wp14:editId="718E7958">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718E7707" w14:textId="77777777" w:rsidR="00553398" w:rsidRPr="00886F1D" w:rsidRDefault="00553398" w:rsidP="00553398">
      <w:pPr>
        <w:adjustRightInd/>
        <w:snapToGrid/>
        <w:spacing w:before="360" w:after="0" w:line="240" w:lineRule="auto"/>
        <w:jc w:val="center"/>
        <w:rPr>
          <w:rFonts w:ascii="Times New Roman" w:eastAsia="Times New Roman" w:hAnsi="Times New Roman"/>
          <w:b/>
          <w:color w:val="auto"/>
          <w:sz w:val="36"/>
          <w:szCs w:val="32"/>
        </w:rPr>
      </w:pPr>
    </w:p>
    <w:p w14:paraId="718E7708" w14:textId="77777777" w:rsidR="00553398" w:rsidRPr="00886F1D" w:rsidRDefault="00553398" w:rsidP="00553398">
      <w:pPr>
        <w:adjustRightInd/>
        <w:snapToGrid/>
        <w:spacing w:before="360" w:after="0" w:line="240" w:lineRule="auto"/>
        <w:jc w:val="center"/>
        <w:rPr>
          <w:rFonts w:ascii="Times New Roman" w:eastAsia="Times New Roman" w:hAnsi="Times New Roman"/>
          <w:b/>
          <w:color w:val="auto"/>
          <w:sz w:val="36"/>
          <w:szCs w:val="32"/>
        </w:rPr>
      </w:pPr>
      <w:r w:rsidRPr="00886F1D">
        <w:rPr>
          <w:rFonts w:ascii="Times New Roman" w:eastAsia="Times New Roman" w:hAnsi="Times New Roman"/>
          <w:b/>
          <w:color w:val="auto"/>
          <w:sz w:val="36"/>
          <w:szCs w:val="32"/>
        </w:rPr>
        <w:t>Australian Government response to the House of Representatives Standing Committee on Industry, Innovation, Science and Resources report:</w:t>
      </w:r>
    </w:p>
    <w:p w14:paraId="718E7709" w14:textId="77777777" w:rsidR="00553398" w:rsidRPr="00886F1D" w:rsidRDefault="00553398" w:rsidP="00553398">
      <w:pPr>
        <w:adjustRightInd/>
        <w:snapToGrid/>
        <w:spacing w:before="240" w:after="0" w:line="240" w:lineRule="auto"/>
        <w:jc w:val="center"/>
        <w:rPr>
          <w:rFonts w:ascii="Times New Roman" w:eastAsia="Times New Roman" w:hAnsi="Times New Roman"/>
          <w:b/>
          <w:color w:val="auto"/>
          <w:sz w:val="36"/>
          <w:szCs w:val="32"/>
        </w:rPr>
      </w:pPr>
    </w:p>
    <w:p w14:paraId="718E770A" w14:textId="77777777" w:rsidR="00553398" w:rsidRPr="00886F1D" w:rsidRDefault="00553398" w:rsidP="00553398">
      <w:pPr>
        <w:adjustRightInd/>
        <w:snapToGrid/>
        <w:spacing w:before="240" w:after="0" w:line="240" w:lineRule="auto"/>
        <w:jc w:val="center"/>
        <w:rPr>
          <w:rFonts w:ascii="Times New Roman" w:eastAsia="Times New Roman" w:hAnsi="Times New Roman"/>
          <w:b/>
          <w:color w:val="auto"/>
          <w:sz w:val="36"/>
          <w:szCs w:val="32"/>
        </w:rPr>
      </w:pPr>
    </w:p>
    <w:p w14:paraId="718E770B" w14:textId="77777777" w:rsidR="00553398" w:rsidRPr="00886F1D" w:rsidRDefault="00553398" w:rsidP="00553398">
      <w:pPr>
        <w:adjustRightInd/>
        <w:snapToGrid/>
        <w:spacing w:before="240" w:after="0" w:line="240" w:lineRule="auto"/>
        <w:jc w:val="center"/>
        <w:rPr>
          <w:rFonts w:ascii="Times New Roman" w:eastAsia="Times New Roman" w:hAnsi="Times New Roman"/>
          <w:b/>
          <w:color w:val="auto"/>
          <w:sz w:val="36"/>
          <w:szCs w:val="32"/>
        </w:rPr>
      </w:pPr>
    </w:p>
    <w:p w14:paraId="718E770C" w14:textId="77777777" w:rsidR="00553398" w:rsidRPr="00886F1D" w:rsidRDefault="00553398" w:rsidP="00553398">
      <w:pPr>
        <w:adjustRightInd/>
        <w:snapToGrid/>
        <w:spacing w:before="240" w:after="0" w:line="240" w:lineRule="auto"/>
        <w:jc w:val="center"/>
        <w:rPr>
          <w:rFonts w:ascii="Times New Roman" w:eastAsia="Times New Roman" w:hAnsi="Times New Roman"/>
          <w:b/>
          <w:color w:val="auto"/>
          <w:sz w:val="36"/>
          <w:szCs w:val="32"/>
        </w:rPr>
      </w:pPr>
      <w:r w:rsidRPr="00886F1D">
        <w:rPr>
          <w:rFonts w:ascii="Times New Roman" w:eastAsia="Times New Roman" w:hAnsi="Times New Roman"/>
          <w:b/>
          <w:color w:val="auto"/>
          <w:sz w:val="36"/>
          <w:szCs w:val="32"/>
        </w:rPr>
        <w:t>The Now Frontier: Developing Australia’s Space Industry</w:t>
      </w:r>
    </w:p>
    <w:p w14:paraId="718E770D" w14:textId="77777777" w:rsidR="00553398" w:rsidRPr="00886F1D" w:rsidRDefault="00553398" w:rsidP="00553398">
      <w:pPr>
        <w:adjustRightInd/>
        <w:snapToGrid/>
        <w:spacing w:before="240" w:after="0" w:line="240" w:lineRule="auto"/>
        <w:jc w:val="center"/>
        <w:rPr>
          <w:rFonts w:ascii="Times New Roman" w:eastAsia="Times New Roman" w:hAnsi="Times New Roman"/>
          <w:b/>
          <w:color w:val="auto"/>
          <w:sz w:val="32"/>
          <w:szCs w:val="32"/>
        </w:rPr>
      </w:pPr>
    </w:p>
    <w:p w14:paraId="718E770E" w14:textId="77777777" w:rsidR="00553398" w:rsidRPr="00886F1D" w:rsidRDefault="00553398" w:rsidP="00553398">
      <w:pPr>
        <w:adjustRightInd/>
        <w:snapToGrid/>
        <w:spacing w:before="240" w:after="0" w:line="240" w:lineRule="auto"/>
        <w:jc w:val="center"/>
        <w:rPr>
          <w:rFonts w:ascii="Times New Roman" w:eastAsia="Times New Roman" w:hAnsi="Times New Roman"/>
          <w:b/>
          <w:color w:val="auto"/>
          <w:sz w:val="32"/>
          <w:szCs w:val="32"/>
        </w:rPr>
      </w:pPr>
    </w:p>
    <w:p w14:paraId="718E770F" w14:textId="77777777" w:rsidR="00553398" w:rsidRPr="00886F1D" w:rsidRDefault="00553398" w:rsidP="00553398">
      <w:pPr>
        <w:adjustRightInd/>
        <w:snapToGrid/>
        <w:spacing w:before="240" w:after="0" w:line="240" w:lineRule="auto"/>
        <w:jc w:val="center"/>
        <w:rPr>
          <w:rFonts w:ascii="Times New Roman" w:eastAsia="Times New Roman" w:hAnsi="Times New Roman"/>
          <w:b/>
          <w:color w:val="auto"/>
          <w:sz w:val="32"/>
          <w:szCs w:val="32"/>
        </w:rPr>
      </w:pPr>
    </w:p>
    <w:p w14:paraId="718E7710" w14:textId="77777777" w:rsidR="00553398" w:rsidRPr="00886F1D" w:rsidRDefault="00553398" w:rsidP="00553398">
      <w:pPr>
        <w:adjustRightInd/>
        <w:snapToGrid/>
        <w:spacing w:before="240" w:after="0" w:line="240" w:lineRule="auto"/>
        <w:jc w:val="center"/>
        <w:rPr>
          <w:rFonts w:ascii="Times New Roman" w:eastAsia="Times New Roman" w:hAnsi="Times New Roman"/>
          <w:b/>
          <w:color w:val="auto"/>
          <w:sz w:val="32"/>
          <w:szCs w:val="32"/>
        </w:rPr>
      </w:pPr>
    </w:p>
    <w:p w14:paraId="718E7711" w14:textId="77777777" w:rsidR="00553398" w:rsidRPr="00886F1D" w:rsidRDefault="00553398" w:rsidP="00553398">
      <w:pPr>
        <w:adjustRightInd/>
        <w:snapToGrid/>
        <w:spacing w:before="240" w:after="0" w:line="240" w:lineRule="auto"/>
        <w:jc w:val="center"/>
        <w:rPr>
          <w:rFonts w:ascii="Times New Roman" w:eastAsia="Times New Roman" w:hAnsi="Times New Roman"/>
          <w:b/>
          <w:color w:val="auto"/>
          <w:sz w:val="32"/>
          <w:szCs w:val="32"/>
        </w:rPr>
      </w:pPr>
    </w:p>
    <w:p w14:paraId="718E7712" w14:textId="77777777" w:rsidR="00553398" w:rsidRPr="00886F1D" w:rsidRDefault="00553398" w:rsidP="00553398">
      <w:pPr>
        <w:adjustRightInd/>
        <w:snapToGrid/>
        <w:spacing w:before="240" w:after="0" w:line="240" w:lineRule="auto"/>
        <w:jc w:val="center"/>
        <w:rPr>
          <w:rFonts w:ascii="Times New Roman" w:eastAsia="Times New Roman" w:hAnsi="Times New Roman"/>
          <w:b/>
          <w:color w:val="auto"/>
          <w:sz w:val="32"/>
          <w:szCs w:val="32"/>
        </w:rPr>
      </w:pPr>
    </w:p>
    <w:p w14:paraId="718E7713" w14:textId="77777777" w:rsidR="00553398" w:rsidRPr="00886F1D" w:rsidRDefault="00553398" w:rsidP="00553398">
      <w:pPr>
        <w:adjustRightInd/>
        <w:snapToGrid/>
        <w:spacing w:before="240" w:after="0" w:line="240" w:lineRule="auto"/>
        <w:jc w:val="center"/>
        <w:rPr>
          <w:rFonts w:ascii="Times New Roman" w:eastAsia="Times New Roman" w:hAnsi="Times New Roman"/>
          <w:b/>
          <w:color w:val="auto"/>
          <w:sz w:val="32"/>
          <w:szCs w:val="32"/>
        </w:rPr>
      </w:pPr>
    </w:p>
    <w:p w14:paraId="718E7714" w14:textId="77777777" w:rsidR="00553398" w:rsidRPr="00886F1D" w:rsidRDefault="00553398" w:rsidP="00553398">
      <w:pPr>
        <w:adjustRightInd/>
        <w:snapToGrid/>
        <w:spacing w:before="240" w:after="0" w:line="240" w:lineRule="auto"/>
        <w:jc w:val="center"/>
        <w:rPr>
          <w:rFonts w:ascii="Times New Roman" w:eastAsia="Times New Roman" w:hAnsi="Times New Roman"/>
          <w:b/>
          <w:color w:val="auto"/>
          <w:sz w:val="32"/>
          <w:szCs w:val="32"/>
        </w:rPr>
      </w:pPr>
    </w:p>
    <w:p w14:paraId="718E7715" w14:textId="0F76AF12" w:rsidR="00553398" w:rsidRPr="00886F1D" w:rsidRDefault="00B94DFA" w:rsidP="00DA6F20">
      <w:pPr>
        <w:adjustRightInd/>
        <w:snapToGrid/>
        <w:spacing w:before="240" w:after="0" w:line="240" w:lineRule="auto"/>
        <w:jc w:val="right"/>
        <w:rPr>
          <w:rFonts w:ascii="Times New Roman" w:eastAsia="Times New Roman" w:hAnsi="Times New Roman"/>
          <w:b/>
          <w:color w:val="auto"/>
          <w:sz w:val="32"/>
          <w:szCs w:val="32"/>
        </w:rPr>
      </w:pPr>
      <w:r>
        <w:rPr>
          <w:rFonts w:ascii="Times New Roman" w:eastAsia="Times New Roman" w:hAnsi="Times New Roman"/>
          <w:b/>
          <w:color w:val="auto"/>
          <w:sz w:val="32"/>
          <w:szCs w:val="32"/>
        </w:rPr>
        <w:t>December</w:t>
      </w:r>
      <w:r w:rsidR="00853FE6" w:rsidRPr="00886F1D">
        <w:rPr>
          <w:rFonts w:ascii="Times New Roman" w:eastAsia="Times New Roman" w:hAnsi="Times New Roman"/>
          <w:b/>
          <w:color w:val="auto"/>
          <w:sz w:val="32"/>
          <w:szCs w:val="32"/>
        </w:rPr>
        <w:t xml:space="preserve"> 2022</w:t>
      </w:r>
    </w:p>
    <w:p w14:paraId="718E7717" w14:textId="094CDCB2" w:rsidR="00B52BE2" w:rsidRPr="00886F1D" w:rsidRDefault="00B52BE2" w:rsidP="00330ECA">
      <w:pPr>
        <w:adjustRightInd/>
        <w:snapToGrid/>
        <w:spacing w:after="160" w:line="259" w:lineRule="auto"/>
        <w:rPr>
          <w:color w:val="auto"/>
        </w:rPr>
      </w:pPr>
    </w:p>
    <w:p w14:paraId="718E7718" w14:textId="77777777" w:rsidR="00B52BE2" w:rsidRPr="00886F1D" w:rsidRDefault="00B52BE2" w:rsidP="00B52BE2">
      <w:pPr>
        <w:jc w:val="center"/>
        <w:rPr>
          <w:color w:val="auto"/>
        </w:rPr>
      </w:pPr>
    </w:p>
    <w:p w14:paraId="718E7719" w14:textId="77777777" w:rsidR="00B52BE2" w:rsidRPr="00886F1D" w:rsidRDefault="00B52BE2" w:rsidP="00B52BE2">
      <w:pPr>
        <w:jc w:val="center"/>
        <w:rPr>
          <w:color w:val="auto"/>
        </w:rPr>
      </w:pPr>
    </w:p>
    <w:p w14:paraId="718E771A" w14:textId="77777777" w:rsidR="00B52BE2" w:rsidRPr="00886F1D" w:rsidRDefault="00B52BE2" w:rsidP="00B52BE2">
      <w:pPr>
        <w:jc w:val="center"/>
        <w:rPr>
          <w:color w:val="auto"/>
        </w:rPr>
      </w:pPr>
    </w:p>
    <w:p w14:paraId="718E771C" w14:textId="77777777" w:rsidR="00B52BE2" w:rsidRPr="00886F1D" w:rsidRDefault="00B52BE2" w:rsidP="00B52BE2">
      <w:pPr>
        <w:jc w:val="center"/>
        <w:rPr>
          <w:color w:val="auto"/>
        </w:rPr>
      </w:pPr>
    </w:p>
    <w:p w14:paraId="718E771D" w14:textId="77777777" w:rsidR="00B52BE2" w:rsidRPr="00886F1D" w:rsidRDefault="00B52BE2" w:rsidP="00B52BE2">
      <w:pPr>
        <w:jc w:val="center"/>
        <w:rPr>
          <w:color w:val="auto"/>
        </w:rPr>
      </w:pPr>
    </w:p>
    <w:p w14:paraId="718E771E" w14:textId="77777777" w:rsidR="00B52BE2" w:rsidRPr="00886F1D" w:rsidRDefault="00B52BE2" w:rsidP="00B52BE2">
      <w:pPr>
        <w:jc w:val="center"/>
        <w:rPr>
          <w:color w:val="auto"/>
        </w:rPr>
      </w:pPr>
    </w:p>
    <w:p w14:paraId="718E771F" w14:textId="77777777" w:rsidR="00B52BE2" w:rsidRPr="00886F1D" w:rsidRDefault="00B52BE2" w:rsidP="00B52BE2">
      <w:pPr>
        <w:jc w:val="center"/>
        <w:rPr>
          <w:color w:val="auto"/>
        </w:rPr>
      </w:pPr>
    </w:p>
    <w:p w14:paraId="718E7720" w14:textId="77777777" w:rsidR="00B52BE2" w:rsidRPr="00886F1D" w:rsidRDefault="00B52BE2" w:rsidP="00B52BE2">
      <w:pPr>
        <w:jc w:val="center"/>
        <w:rPr>
          <w:color w:val="auto"/>
        </w:rPr>
      </w:pPr>
    </w:p>
    <w:p w14:paraId="718E7721" w14:textId="77777777" w:rsidR="00B52BE2" w:rsidRPr="00886F1D" w:rsidRDefault="00B52BE2" w:rsidP="00B52BE2">
      <w:pPr>
        <w:jc w:val="center"/>
        <w:rPr>
          <w:color w:val="auto"/>
        </w:rPr>
      </w:pPr>
    </w:p>
    <w:p w14:paraId="718E7722" w14:textId="77777777" w:rsidR="00B52BE2" w:rsidRPr="00886F1D" w:rsidRDefault="00B52BE2" w:rsidP="00B52BE2">
      <w:pPr>
        <w:jc w:val="center"/>
        <w:rPr>
          <w:color w:val="auto"/>
        </w:rPr>
      </w:pPr>
    </w:p>
    <w:p w14:paraId="718E7723" w14:textId="77777777" w:rsidR="00B52BE2" w:rsidRPr="00886F1D" w:rsidRDefault="00B52BE2" w:rsidP="00B52BE2">
      <w:pPr>
        <w:jc w:val="center"/>
        <w:rPr>
          <w:color w:val="auto"/>
        </w:rPr>
      </w:pPr>
    </w:p>
    <w:p w14:paraId="718E7724" w14:textId="77777777" w:rsidR="00B52BE2" w:rsidRPr="00886F1D" w:rsidRDefault="00B52BE2" w:rsidP="00B52BE2">
      <w:pPr>
        <w:jc w:val="center"/>
        <w:rPr>
          <w:color w:val="auto"/>
        </w:rPr>
      </w:pPr>
    </w:p>
    <w:p w14:paraId="718E7725" w14:textId="77777777" w:rsidR="00B52BE2" w:rsidRPr="00886F1D" w:rsidRDefault="00B52BE2" w:rsidP="00B52BE2">
      <w:pPr>
        <w:jc w:val="center"/>
        <w:rPr>
          <w:color w:val="auto"/>
        </w:rPr>
      </w:pPr>
    </w:p>
    <w:p w14:paraId="718E7726" w14:textId="77777777" w:rsidR="00B52BE2" w:rsidRPr="00886F1D" w:rsidRDefault="00B52BE2" w:rsidP="00B52BE2">
      <w:pPr>
        <w:jc w:val="center"/>
        <w:rPr>
          <w:color w:val="auto"/>
        </w:rPr>
      </w:pPr>
      <w:r w:rsidRPr="00886F1D">
        <w:rPr>
          <w:color w:val="auto"/>
        </w:rPr>
        <w:t>This page intentionally left blank</w:t>
      </w:r>
    </w:p>
    <w:p w14:paraId="718E7727" w14:textId="77777777" w:rsidR="00B52BE2" w:rsidRPr="00886F1D" w:rsidRDefault="00B52BE2">
      <w:pPr>
        <w:adjustRightInd/>
        <w:snapToGrid/>
        <w:spacing w:after="160" w:line="259" w:lineRule="auto"/>
        <w:rPr>
          <w:rFonts w:asciiTheme="majorHAnsi" w:eastAsiaTheme="majorEastAsia" w:hAnsiTheme="majorHAnsi" w:cstheme="majorBidi"/>
          <w:b/>
          <w:color w:val="auto"/>
          <w:sz w:val="32"/>
          <w:szCs w:val="32"/>
        </w:rPr>
      </w:pPr>
      <w:r w:rsidRPr="00886F1D">
        <w:rPr>
          <w:b/>
          <w:color w:val="auto"/>
        </w:rPr>
        <w:br w:type="page"/>
      </w:r>
    </w:p>
    <w:p w14:paraId="718E7728" w14:textId="77777777" w:rsidR="002E22AB" w:rsidRPr="00886F1D" w:rsidRDefault="00553398" w:rsidP="00DA6F20">
      <w:pPr>
        <w:pStyle w:val="Heading1"/>
        <w:rPr>
          <w:b/>
          <w:color w:val="auto"/>
        </w:rPr>
      </w:pPr>
      <w:r w:rsidRPr="00886F1D">
        <w:rPr>
          <w:b/>
          <w:color w:val="auto"/>
        </w:rPr>
        <w:lastRenderedPageBreak/>
        <w:t>Introduction</w:t>
      </w:r>
    </w:p>
    <w:p w14:paraId="718E7729" w14:textId="77777777" w:rsidR="00DE5654" w:rsidRPr="00886F1D" w:rsidRDefault="00553398" w:rsidP="00060BD8">
      <w:pPr>
        <w:spacing w:after="120" w:line="240" w:lineRule="auto"/>
        <w:rPr>
          <w:rFonts w:asciiTheme="majorHAnsi" w:hAnsiTheme="majorHAnsi" w:cstheme="majorHAnsi"/>
          <w:color w:val="auto"/>
          <w:lang w:val="en-US"/>
        </w:rPr>
      </w:pPr>
      <w:r w:rsidRPr="00886F1D">
        <w:rPr>
          <w:rFonts w:asciiTheme="majorHAnsi" w:hAnsiTheme="majorHAnsi" w:cstheme="majorHAnsi"/>
          <w:color w:val="auto"/>
          <w:lang w:val="en-US"/>
        </w:rPr>
        <w:t xml:space="preserve">The Australian Government welcomes the opportunity to respond to the </w:t>
      </w:r>
      <w:r w:rsidR="007C45C3" w:rsidRPr="00886F1D">
        <w:rPr>
          <w:rFonts w:asciiTheme="majorHAnsi" w:hAnsiTheme="majorHAnsi" w:cstheme="majorHAnsi"/>
          <w:color w:val="auto"/>
          <w:lang w:val="en-US"/>
        </w:rPr>
        <w:t xml:space="preserve">report </w:t>
      </w:r>
      <w:r w:rsidRPr="00886F1D">
        <w:rPr>
          <w:rFonts w:asciiTheme="majorHAnsi" w:hAnsiTheme="majorHAnsi" w:cstheme="majorHAnsi"/>
          <w:color w:val="auto"/>
          <w:lang w:val="en-US"/>
        </w:rPr>
        <w:t xml:space="preserve">of the House of Representatives </w:t>
      </w:r>
      <w:r w:rsidR="00726C93" w:rsidRPr="00886F1D">
        <w:rPr>
          <w:rFonts w:asciiTheme="majorHAnsi" w:hAnsiTheme="majorHAnsi" w:cstheme="majorHAnsi"/>
          <w:color w:val="auto"/>
          <w:lang w:val="en-US"/>
        </w:rPr>
        <w:t>Standing Committee o</w:t>
      </w:r>
      <w:r w:rsidR="0065716D" w:rsidRPr="00886F1D">
        <w:rPr>
          <w:rFonts w:asciiTheme="majorHAnsi" w:hAnsiTheme="majorHAnsi" w:cstheme="majorHAnsi"/>
          <w:color w:val="auto"/>
          <w:lang w:val="en-US"/>
        </w:rPr>
        <w:t>n</w:t>
      </w:r>
      <w:r w:rsidR="00726C93" w:rsidRPr="00886F1D">
        <w:rPr>
          <w:rFonts w:asciiTheme="majorHAnsi" w:hAnsiTheme="majorHAnsi" w:cstheme="majorHAnsi"/>
          <w:color w:val="auto"/>
          <w:lang w:val="en-US"/>
        </w:rPr>
        <w:t xml:space="preserve"> Industry,</w:t>
      </w:r>
      <w:r w:rsidR="0065716D" w:rsidRPr="00886F1D">
        <w:rPr>
          <w:rFonts w:asciiTheme="majorHAnsi" w:hAnsiTheme="majorHAnsi" w:cstheme="majorHAnsi"/>
          <w:color w:val="auto"/>
          <w:lang w:val="en-US"/>
        </w:rPr>
        <w:t xml:space="preserve"> Innovation,</w:t>
      </w:r>
      <w:r w:rsidR="00726C93" w:rsidRPr="00886F1D">
        <w:rPr>
          <w:rFonts w:asciiTheme="majorHAnsi" w:hAnsiTheme="majorHAnsi" w:cstheme="majorHAnsi"/>
          <w:color w:val="auto"/>
          <w:lang w:val="en-US"/>
        </w:rPr>
        <w:t xml:space="preserve"> Science and Resources’ </w:t>
      </w:r>
      <w:r w:rsidRPr="00886F1D">
        <w:rPr>
          <w:rFonts w:asciiTheme="majorHAnsi" w:hAnsiTheme="majorHAnsi" w:cstheme="majorHAnsi"/>
          <w:color w:val="auto"/>
          <w:lang w:val="en-US"/>
        </w:rPr>
        <w:t xml:space="preserve">Inquiry </w:t>
      </w:r>
      <w:r w:rsidR="007C45C3" w:rsidRPr="00886F1D">
        <w:rPr>
          <w:rFonts w:asciiTheme="majorHAnsi" w:hAnsiTheme="majorHAnsi" w:cstheme="majorHAnsi"/>
          <w:color w:val="auto"/>
          <w:lang w:val="en-US"/>
        </w:rPr>
        <w:t>into</w:t>
      </w:r>
      <w:r w:rsidRPr="00886F1D">
        <w:rPr>
          <w:rFonts w:asciiTheme="majorHAnsi" w:hAnsiTheme="majorHAnsi" w:cstheme="majorHAnsi"/>
          <w:color w:val="auto"/>
          <w:lang w:val="en-US"/>
        </w:rPr>
        <w:t xml:space="preserve"> developi</w:t>
      </w:r>
      <w:r w:rsidR="00D77A7F" w:rsidRPr="00886F1D">
        <w:rPr>
          <w:rFonts w:asciiTheme="majorHAnsi" w:hAnsiTheme="majorHAnsi" w:cstheme="majorHAnsi"/>
          <w:color w:val="auto"/>
          <w:lang w:val="en-US"/>
        </w:rPr>
        <w:t xml:space="preserve">ng Australia’s space industry, </w:t>
      </w:r>
      <w:r w:rsidRPr="00886F1D">
        <w:rPr>
          <w:rFonts w:asciiTheme="majorHAnsi" w:hAnsiTheme="majorHAnsi" w:cstheme="majorHAnsi"/>
          <w:i/>
          <w:color w:val="auto"/>
          <w:lang w:val="en-US"/>
        </w:rPr>
        <w:t>The Now Frontier: Develo</w:t>
      </w:r>
      <w:r w:rsidR="00D77A7F" w:rsidRPr="00886F1D">
        <w:rPr>
          <w:rFonts w:asciiTheme="majorHAnsi" w:hAnsiTheme="majorHAnsi" w:cstheme="majorHAnsi"/>
          <w:i/>
          <w:color w:val="auto"/>
          <w:lang w:val="en-US"/>
        </w:rPr>
        <w:t>ping Australia’s Space Industry</w:t>
      </w:r>
      <w:r w:rsidRPr="00886F1D">
        <w:rPr>
          <w:rFonts w:asciiTheme="majorHAnsi" w:hAnsiTheme="majorHAnsi" w:cstheme="majorHAnsi"/>
          <w:color w:val="auto"/>
          <w:lang w:val="en-US"/>
        </w:rPr>
        <w:t xml:space="preserve"> (the Inquiry Report).</w:t>
      </w:r>
      <w:r w:rsidR="007C45C3" w:rsidRPr="00886F1D">
        <w:rPr>
          <w:rFonts w:asciiTheme="majorHAnsi" w:hAnsiTheme="majorHAnsi" w:cstheme="majorHAnsi"/>
          <w:color w:val="auto"/>
          <w:lang w:val="en-US"/>
        </w:rPr>
        <w:t xml:space="preserve"> </w:t>
      </w:r>
      <w:r w:rsidR="00226E7C" w:rsidRPr="00886F1D">
        <w:rPr>
          <w:rFonts w:asciiTheme="majorHAnsi" w:hAnsiTheme="majorHAnsi" w:cstheme="majorHAnsi"/>
          <w:color w:val="auto"/>
          <w:lang w:val="en-US"/>
        </w:rPr>
        <w:t xml:space="preserve">The </w:t>
      </w:r>
      <w:r w:rsidR="00893D18" w:rsidRPr="00886F1D">
        <w:rPr>
          <w:rFonts w:asciiTheme="majorHAnsi" w:hAnsiTheme="majorHAnsi" w:cstheme="majorHAnsi"/>
          <w:color w:val="auto"/>
          <w:lang w:val="en-US"/>
        </w:rPr>
        <w:t xml:space="preserve">Australian </w:t>
      </w:r>
      <w:r w:rsidR="00226E7C" w:rsidRPr="00886F1D">
        <w:rPr>
          <w:rFonts w:asciiTheme="majorHAnsi" w:hAnsiTheme="majorHAnsi" w:cstheme="majorHAnsi"/>
          <w:color w:val="auto"/>
          <w:lang w:val="en-US"/>
        </w:rPr>
        <w:t xml:space="preserve">Government thanks the Committee for its work, and the wide range of </w:t>
      </w:r>
      <w:proofErr w:type="spellStart"/>
      <w:r w:rsidR="00226E7C" w:rsidRPr="00886F1D">
        <w:rPr>
          <w:rFonts w:asciiTheme="majorHAnsi" w:hAnsiTheme="majorHAnsi" w:cstheme="majorHAnsi"/>
          <w:color w:val="auto"/>
          <w:lang w:val="en-US"/>
        </w:rPr>
        <w:t>organisations</w:t>
      </w:r>
      <w:proofErr w:type="spellEnd"/>
      <w:r w:rsidR="00226E7C" w:rsidRPr="00886F1D">
        <w:rPr>
          <w:rFonts w:asciiTheme="majorHAnsi" w:hAnsiTheme="majorHAnsi" w:cstheme="majorHAnsi"/>
          <w:color w:val="auto"/>
          <w:lang w:val="en-US"/>
        </w:rPr>
        <w:t xml:space="preserve"> and individuals who made contributions to this </w:t>
      </w:r>
      <w:r w:rsidR="00185457" w:rsidRPr="00886F1D">
        <w:rPr>
          <w:rFonts w:asciiTheme="majorHAnsi" w:hAnsiTheme="majorHAnsi" w:cstheme="majorHAnsi"/>
          <w:color w:val="auto"/>
          <w:lang w:val="en-US"/>
        </w:rPr>
        <w:t>Inquiry</w:t>
      </w:r>
      <w:r w:rsidR="00DE5654" w:rsidRPr="00886F1D">
        <w:rPr>
          <w:rFonts w:asciiTheme="majorHAnsi" w:hAnsiTheme="majorHAnsi" w:cstheme="majorHAnsi"/>
          <w:color w:val="auto"/>
          <w:lang w:val="en-US"/>
        </w:rPr>
        <w:t>.</w:t>
      </w:r>
    </w:p>
    <w:p w14:paraId="718E772A" w14:textId="77777777" w:rsidR="006662B1" w:rsidRPr="00886F1D" w:rsidRDefault="006662B1" w:rsidP="00D417F2">
      <w:pPr>
        <w:spacing w:after="120" w:line="240" w:lineRule="auto"/>
        <w:rPr>
          <w:rFonts w:asciiTheme="majorHAnsi" w:hAnsiTheme="majorHAnsi" w:cstheme="majorHAnsi"/>
          <w:color w:val="auto"/>
          <w:lang w:val="en-US"/>
        </w:rPr>
      </w:pPr>
      <w:r w:rsidRPr="00886F1D">
        <w:rPr>
          <w:rFonts w:asciiTheme="majorHAnsi" w:hAnsiTheme="majorHAnsi" w:cstheme="majorHAnsi"/>
          <w:color w:val="auto"/>
          <w:lang w:val="en-US"/>
        </w:rPr>
        <w:t xml:space="preserve">The </w:t>
      </w:r>
      <w:r w:rsidR="009B2064" w:rsidRPr="00886F1D">
        <w:rPr>
          <w:rFonts w:asciiTheme="majorHAnsi" w:hAnsiTheme="majorHAnsi" w:cstheme="majorHAnsi"/>
          <w:color w:val="auto"/>
          <w:lang w:val="en-US"/>
        </w:rPr>
        <w:t>Inquiry Report</w:t>
      </w:r>
      <w:r w:rsidRPr="00886F1D">
        <w:rPr>
          <w:rFonts w:asciiTheme="majorHAnsi" w:hAnsiTheme="majorHAnsi" w:cstheme="majorHAnsi"/>
          <w:color w:val="auto"/>
          <w:lang w:val="en-US"/>
        </w:rPr>
        <w:t xml:space="preserve"> was tabled in the House of Representatives on 2 December 2021. </w:t>
      </w:r>
      <w:r w:rsidR="0053275B" w:rsidRPr="00886F1D">
        <w:rPr>
          <w:rFonts w:asciiTheme="majorHAnsi" w:hAnsiTheme="majorHAnsi" w:cstheme="majorHAnsi"/>
          <w:color w:val="auto"/>
          <w:lang w:val="en-US"/>
        </w:rPr>
        <w:t>I</w:t>
      </w:r>
      <w:r w:rsidRPr="00886F1D">
        <w:rPr>
          <w:rFonts w:asciiTheme="majorHAnsi" w:hAnsiTheme="majorHAnsi" w:cstheme="majorHAnsi"/>
          <w:color w:val="auto"/>
          <w:lang w:val="en-US"/>
        </w:rPr>
        <w:t xml:space="preserve">t made 38 recommendations for consideration </w:t>
      </w:r>
      <w:r w:rsidR="005B4CDB" w:rsidRPr="00886F1D">
        <w:rPr>
          <w:rFonts w:asciiTheme="majorHAnsi" w:hAnsiTheme="majorHAnsi" w:cstheme="majorHAnsi"/>
          <w:color w:val="auto"/>
          <w:lang w:val="en-US"/>
        </w:rPr>
        <w:t xml:space="preserve">of </w:t>
      </w:r>
      <w:r w:rsidRPr="00886F1D">
        <w:rPr>
          <w:rFonts w:asciiTheme="majorHAnsi" w:hAnsiTheme="majorHAnsi" w:cstheme="majorHAnsi"/>
          <w:color w:val="auto"/>
          <w:lang w:val="en-US"/>
        </w:rPr>
        <w:t>the Australian Government</w:t>
      </w:r>
      <w:r w:rsidR="0053275B" w:rsidRPr="00886F1D">
        <w:rPr>
          <w:rFonts w:asciiTheme="majorHAnsi" w:hAnsiTheme="majorHAnsi" w:cstheme="majorHAnsi"/>
          <w:color w:val="auto"/>
          <w:lang w:val="en-US"/>
        </w:rPr>
        <w:t xml:space="preserve">, </w:t>
      </w:r>
      <w:r w:rsidRPr="00886F1D">
        <w:rPr>
          <w:rFonts w:asciiTheme="majorHAnsi" w:hAnsiTheme="majorHAnsi" w:cstheme="majorHAnsi"/>
          <w:color w:val="auto"/>
          <w:lang w:val="en-US"/>
        </w:rPr>
        <w:t>encompass</w:t>
      </w:r>
      <w:r w:rsidR="0053275B" w:rsidRPr="00886F1D">
        <w:rPr>
          <w:rFonts w:asciiTheme="majorHAnsi" w:hAnsiTheme="majorHAnsi" w:cstheme="majorHAnsi"/>
          <w:color w:val="auto"/>
          <w:lang w:val="en-US"/>
        </w:rPr>
        <w:t>ing</w:t>
      </w:r>
      <w:r w:rsidR="005B4CDB" w:rsidRPr="00886F1D">
        <w:rPr>
          <w:rFonts w:asciiTheme="majorHAnsi" w:hAnsiTheme="majorHAnsi" w:cstheme="majorHAnsi"/>
          <w:color w:val="auto"/>
          <w:lang w:val="en-US"/>
        </w:rPr>
        <w:t xml:space="preserve"> coordination</w:t>
      </w:r>
      <w:r w:rsidR="0053275B" w:rsidRPr="00886F1D">
        <w:rPr>
          <w:rFonts w:asciiTheme="majorHAnsi" w:hAnsiTheme="majorHAnsi" w:cstheme="majorHAnsi"/>
          <w:color w:val="auto"/>
          <w:lang w:val="en-US"/>
        </w:rPr>
        <w:t xml:space="preserve"> </w:t>
      </w:r>
      <w:r w:rsidR="005B4CDB" w:rsidRPr="00886F1D">
        <w:rPr>
          <w:rFonts w:asciiTheme="majorHAnsi" w:hAnsiTheme="majorHAnsi" w:cstheme="majorHAnsi"/>
          <w:color w:val="auto"/>
          <w:lang w:val="en-US"/>
        </w:rPr>
        <w:t xml:space="preserve">of national space policy, regulation and sustainability of space activities, </w:t>
      </w:r>
      <w:r w:rsidRPr="00886F1D">
        <w:rPr>
          <w:rFonts w:asciiTheme="majorHAnsi" w:hAnsiTheme="majorHAnsi" w:cstheme="majorHAnsi"/>
          <w:color w:val="auto"/>
          <w:lang w:val="en-US"/>
        </w:rPr>
        <w:t>improving systems and processes, national priorities for investment</w:t>
      </w:r>
      <w:r w:rsidR="005B4CDB" w:rsidRPr="00886F1D">
        <w:rPr>
          <w:rFonts w:asciiTheme="majorHAnsi" w:hAnsiTheme="majorHAnsi" w:cstheme="majorHAnsi"/>
          <w:color w:val="auto"/>
          <w:lang w:val="en-US"/>
        </w:rPr>
        <w:t xml:space="preserve"> and resilience, international partnerships, space science, </w:t>
      </w:r>
      <w:r w:rsidR="00BF6761" w:rsidRPr="00886F1D">
        <w:rPr>
          <w:rFonts w:asciiTheme="majorHAnsi" w:hAnsiTheme="majorHAnsi" w:cstheme="majorHAnsi"/>
          <w:color w:val="auto"/>
          <w:lang w:val="en-US"/>
        </w:rPr>
        <w:t xml:space="preserve">workforce, </w:t>
      </w:r>
      <w:r w:rsidR="005B4CDB" w:rsidRPr="00886F1D">
        <w:rPr>
          <w:rFonts w:asciiTheme="majorHAnsi" w:hAnsiTheme="majorHAnsi" w:cstheme="majorHAnsi"/>
          <w:color w:val="auto"/>
          <w:lang w:val="en-US"/>
        </w:rPr>
        <w:t xml:space="preserve">and access to markets. </w:t>
      </w:r>
      <w:r w:rsidR="0064534D" w:rsidRPr="00886F1D">
        <w:rPr>
          <w:rFonts w:asciiTheme="majorHAnsi" w:hAnsiTheme="majorHAnsi" w:cstheme="majorHAnsi"/>
          <w:color w:val="auto"/>
          <w:lang w:val="en-US"/>
        </w:rPr>
        <w:t xml:space="preserve">The report also </w:t>
      </w:r>
      <w:proofErr w:type="spellStart"/>
      <w:r w:rsidR="0064534D" w:rsidRPr="00886F1D">
        <w:rPr>
          <w:rFonts w:asciiTheme="majorHAnsi" w:hAnsiTheme="majorHAnsi" w:cstheme="majorHAnsi"/>
          <w:color w:val="auto"/>
          <w:lang w:val="en-US"/>
        </w:rPr>
        <w:t>recognised</w:t>
      </w:r>
      <w:proofErr w:type="spellEnd"/>
      <w:r w:rsidR="0064534D" w:rsidRPr="00886F1D">
        <w:rPr>
          <w:rFonts w:asciiTheme="majorHAnsi" w:hAnsiTheme="majorHAnsi" w:cstheme="majorHAnsi"/>
          <w:color w:val="auto"/>
          <w:lang w:val="en-US"/>
        </w:rPr>
        <w:t xml:space="preserve"> </w:t>
      </w:r>
      <w:r w:rsidR="00BF6761" w:rsidRPr="00886F1D">
        <w:rPr>
          <w:rFonts w:asciiTheme="majorHAnsi" w:hAnsiTheme="majorHAnsi" w:cstheme="majorHAnsi"/>
          <w:color w:val="auto"/>
          <w:lang w:val="en-US"/>
        </w:rPr>
        <w:t xml:space="preserve">the </w:t>
      </w:r>
      <w:r w:rsidR="0064534D" w:rsidRPr="00886F1D">
        <w:rPr>
          <w:rFonts w:asciiTheme="majorHAnsi" w:hAnsiTheme="majorHAnsi" w:cstheme="majorHAnsi"/>
          <w:color w:val="auto"/>
          <w:lang w:val="en-US"/>
        </w:rPr>
        <w:t xml:space="preserve">role of space technologies in enabling a modern economy in Australia, as well as opportunities to </w:t>
      </w:r>
      <w:r w:rsidR="001849A2" w:rsidRPr="00886F1D">
        <w:rPr>
          <w:rFonts w:asciiTheme="majorHAnsi" w:hAnsiTheme="majorHAnsi" w:cstheme="majorHAnsi"/>
          <w:color w:val="auto"/>
          <w:lang w:val="en-US"/>
        </w:rPr>
        <w:t>derive</w:t>
      </w:r>
      <w:r w:rsidR="0064534D" w:rsidRPr="00886F1D">
        <w:rPr>
          <w:rFonts w:asciiTheme="majorHAnsi" w:hAnsiTheme="majorHAnsi" w:cstheme="majorHAnsi"/>
          <w:color w:val="auto"/>
          <w:lang w:val="en-US"/>
        </w:rPr>
        <w:t xml:space="preserve"> greater benefits.</w:t>
      </w:r>
    </w:p>
    <w:p w14:paraId="718E772B" w14:textId="77777777" w:rsidR="00510E9F" w:rsidRPr="00886F1D" w:rsidRDefault="00510E9F" w:rsidP="007C0339">
      <w:pPr>
        <w:spacing w:after="120" w:line="240" w:lineRule="auto"/>
        <w:rPr>
          <w:rFonts w:cstheme="majorHAnsi"/>
          <w:color w:val="auto"/>
          <w:lang w:val="en-US"/>
        </w:rPr>
      </w:pPr>
      <w:r w:rsidRPr="00886F1D">
        <w:rPr>
          <w:rFonts w:asciiTheme="majorHAnsi" w:hAnsiTheme="majorHAnsi" w:cstheme="majorHAnsi"/>
          <w:color w:val="auto"/>
          <w:lang w:val="en-US"/>
        </w:rPr>
        <w:t xml:space="preserve">The Australian Government is focused on building a </w:t>
      </w:r>
      <w:r w:rsidR="007C0339" w:rsidRPr="00886F1D">
        <w:rPr>
          <w:rFonts w:asciiTheme="majorHAnsi" w:hAnsiTheme="majorHAnsi" w:cstheme="majorHAnsi"/>
          <w:color w:val="auto"/>
          <w:lang w:val="en-US"/>
        </w:rPr>
        <w:t>high wage</w:t>
      </w:r>
      <w:r w:rsidR="0002718D" w:rsidRPr="00886F1D">
        <w:rPr>
          <w:rFonts w:asciiTheme="majorHAnsi" w:hAnsiTheme="majorHAnsi" w:cstheme="majorHAnsi"/>
          <w:color w:val="auto"/>
          <w:lang w:val="en-US"/>
        </w:rPr>
        <w:t xml:space="preserve">, </w:t>
      </w:r>
      <w:r w:rsidR="00C36FA8" w:rsidRPr="00886F1D">
        <w:rPr>
          <w:rFonts w:asciiTheme="majorHAnsi" w:hAnsiTheme="majorHAnsi" w:cstheme="majorHAnsi"/>
          <w:color w:val="auto"/>
          <w:lang w:val="en-US"/>
        </w:rPr>
        <w:t xml:space="preserve">high </w:t>
      </w:r>
      <w:r w:rsidR="00E63D06" w:rsidRPr="00886F1D">
        <w:rPr>
          <w:rFonts w:asciiTheme="majorHAnsi" w:hAnsiTheme="majorHAnsi" w:cstheme="majorHAnsi"/>
          <w:color w:val="auto"/>
          <w:lang w:val="en-US"/>
        </w:rPr>
        <w:t xml:space="preserve">productivity, and </w:t>
      </w:r>
      <w:r w:rsidR="0002718D" w:rsidRPr="00886F1D">
        <w:rPr>
          <w:rFonts w:asciiTheme="majorHAnsi" w:hAnsiTheme="majorHAnsi" w:cstheme="majorHAnsi"/>
          <w:color w:val="auto"/>
          <w:lang w:val="en-US"/>
        </w:rPr>
        <w:t>sustainable growth</w:t>
      </w:r>
      <w:r w:rsidR="00C87493" w:rsidRPr="00886F1D">
        <w:rPr>
          <w:rFonts w:asciiTheme="majorHAnsi" w:hAnsiTheme="majorHAnsi" w:cstheme="majorHAnsi"/>
          <w:color w:val="auto"/>
          <w:lang w:val="en-US"/>
        </w:rPr>
        <w:t xml:space="preserve"> </w:t>
      </w:r>
      <w:r w:rsidRPr="00886F1D">
        <w:rPr>
          <w:rFonts w:asciiTheme="majorHAnsi" w:hAnsiTheme="majorHAnsi" w:cstheme="majorHAnsi"/>
          <w:color w:val="auto"/>
          <w:lang w:val="en-US"/>
        </w:rPr>
        <w:t xml:space="preserve">economy. Central to this is Australia being a country that makes things and one where Australian research, innovation, design and technology is </w:t>
      </w:r>
      <w:proofErr w:type="spellStart"/>
      <w:r w:rsidRPr="00886F1D">
        <w:rPr>
          <w:rFonts w:asciiTheme="majorHAnsi" w:hAnsiTheme="majorHAnsi" w:cstheme="majorHAnsi"/>
          <w:color w:val="auto"/>
          <w:lang w:val="en-US"/>
        </w:rPr>
        <w:t>commercialised</w:t>
      </w:r>
      <w:proofErr w:type="spellEnd"/>
      <w:r w:rsidRPr="00886F1D">
        <w:rPr>
          <w:rFonts w:asciiTheme="majorHAnsi" w:hAnsiTheme="majorHAnsi" w:cstheme="majorHAnsi"/>
          <w:color w:val="auto"/>
          <w:lang w:val="en-US"/>
        </w:rPr>
        <w:t xml:space="preserve"> here, creates jobs and sovereign capability, and is exported to the world.</w:t>
      </w:r>
    </w:p>
    <w:p w14:paraId="718E772C" w14:textId="77777777" w:rsidR="00BE43DF" w:rsidRPr="00886F1D" w:rsidRDefault="00EC4574" w:rsidP="00FE04ED">
      <w:pPr>
        <w:rPr>
          <w:rFonts w:asciiTheme="majorHAnsi" w:hAnsiTheme="majorHAnsi" w:cstheme="majorHAnsi"/>
          <w:color w:val="auto"/>
          <w:lang w:val="en-US"/>
        </w:rPr>
      </w:pPr>
      <w:r w:rsidRPr="00886F1D">
        <w:rPr>
          <w:rFonts w:asciiTheme="majorHAnsi" w:hAnsiTheme="majorHAnsi" w:cstheme="majorHAnsi"/>
          <w:color w:val="auto"/>
          <w:szCs w:val="22"/>
        </w:rPr>
        <w:t xml:space="preserve">Space has become a critical enabler of modern economies, and as a consequence our dependency on space technologies has grown. The Australian Government welcomes this report’s contribution to the </w:t>
      </w:r>
      <w:r w:rsidR="00C26233" w:rsidRPr="00886F1D">
        <w:rPr>
          <w:rFonts w:asciiTheme="majorHAnsi" w:hAnsiTheme="majorHAnsi" w:cstheme="majorHAnsi"/>
          <w:color w:val="auto"/>
          <w:szCs w:val="22"/>
        </w:rPr>
        <w:t xml:space="preserve">Government’s future agenda on space. Part of that will be development of </w:t>
      </w:r>
      <w:r w:rsidR="0073692B" w:rsidRPr="00886F1D">
        <w:rPr>
          <w:rFonts w:asciiTheme="majorHAnsi" w:hAnsiTheme="majorHAnsi" w:cstheme="majorHAnsi"/>
          <w:color w:val="auto"/>
          <w:lang w:val="en-US"/>
        </w:rPr>
        <w:t>a</w:t>
      </w:r>
      <w:r w:rsidR="00D83A8E" w:rsidRPr="00886F1D">
        <w:rPr>
          <w:rFonts w:asciiTheme="majorHAnsi" w:hAnsiTheme="majorHAnsi" w:cstheme="majorHAnsi"/>
          <w:color w:val="auto"/>
          <w:lang w:val="en-US"/>
        </w:rPr>
        <w:t xml:space="preserve"> robust and resilient space sector </w:t>
      </w:r>
      <w:r w:rsidR="00C26233" w:rsidRPr="00886F1D">
        <w:rPr>
          <w:rFonts w:asciiTheme="majorHAnsi" w:hAnsiTheme="majorHAnsi" w:cstheme="majorHAnsi"/>
          <w:color w:val="auto"/>
          <w:lang w:val="en-US"/>
        </w:rPr>
        <w:t xml:space="preserve">that can help </w:t>
      </w:r>
      <w:r w:rsidR="00BD5739" w:rsidRPr="00886F1D">
        <w:rPr>
          <w:rFonts w:asciiTheme="majorHAnsi" w:hAnsiTheme="majorHAnsi" w:cstheme="majorHAnsi"/>
          <w:color w:val="auto"/>
          <w:lang w:val="en-US"/>
        </w:rPr>
        <w:t>achiev</w:t>
      </w:r>
      <w:r w:rsidR="00C26233" w:rsidRPr="00886F1D">
        <w:rPr>
          <w:rFonts w:asciiTheme="majorHAnsi" w:hAnsiTheme="majorHAnsi" w:cstheme="majorHAnsi"/>
          <w:color w:val="auto"/>
          <w:lang w:val="en-US"/>
        </w:rPr>
        <w:t>e</w:t>
      </w:r>
      <w:r w:rsidR="00D83A8E" w:rsidRPr="00886F1D">
        <w:rPr>
          <w:rFonts w:asciiTheme="majorHAnsi" w:hAnsiTheme="majorHAnsi" w:cstheme="majorHAnsi"/>
          <w:color w:val="auto"/>
          <w:lang w:val="en-US"/>
        </w:rPr>
        <w:t xml:space="preserve"> a future that is </w:t>
      </w:r>
      <w:r w:rsidR="009E3DB8" w:rsidRPr="00886F1D">
        <w:rPr>
          <w:rFonts w:asciiTheme="majorHAnsi" w:hAnsiTheme="majorHAnsi" w:cstheme="majorHAnsi"/>
          <w:color w:val="auto"/>
          <w:lang w:val="en-US"/>
        </w:rPr>
        <w:t>m</w:t>
      </w:r>
      <w:r w:rsidR="00D83A8E" w:rsidRPr="00886F1D">
        <w:rPr>
          <w:rFonts w:asciiTheme="majorHAnsi" w:hAnsiTheme="majorHAnsi" w:cstheme="majorHAnsi"/>
          <w:color w:val="auto"/>
          <w:lang w:val="en-US"/>
        </w:rPr>
        <w:t xml:space="preserve">ade in Australia. </w:t>
      </w:r>
      <w:r w:rsidR="00BD5739" w:rsidRPr="00886F1D">
        <w:rPr>
          <w:rFonts w:asciiTheme="majorHAnsi" w:hAnsiTheme="majorHAnsi" w:cstheme="majorHAnsi"/>
          <w:color w:val="auto"/>
          <w:lang w:val="en-US"/>
        </w:rPr>
        <w:t>T</w:t>
      </w:r>
      <w:r w:rsidR="00445DBE" w:rsidRPr="00886F1D">
        <w:rPr>
          <w:rFonts w:asciiTheme="majorHAnsi" w:hAnsiTheme="majorHAnsi" w:cstheme="majorHAnsi"/>
          <w:color w:val="auto"/>
          <w:lang w:val="en-US"/>
        </w:rPr>
        <w:t>he Inquiry Report draws out</w:t>
      </w:r>
      <w:r w:rsidR="00BD5739" w:rsidRPr="00886F1D">
        <w:rPr>
          <w:rFonts w:asciiTheme="majorHAnsi" w:hAnsiTheme="majorHAnsi" w:cstheme="majorHAnsi"/>
          <w:color w:val="auto"/>
          <w:lang w:val="en-US"/>
        </w:rPr>
        <w:t xml:space="preserve"> that </w:t>
      </w:r>
      <w:r w:rsidR="00445DBE" w:rsidRPr="00886F1D">
        <w:rPr>
          <w:rFonts w:asciiTheme="majorHAnsi" w:hAnsiTheme="majorHAnsi" w:cstheme="majorHAnsi"/>
          <w:color w:val="auto"/>
          <w:lang w:val="en-US"/>
        </w:rPr>
        <w:t>legacy approaches to growing the sector are no longer enough to assure a resilient, capable, and globally competitive space sector</w:t>
      </w:r>
      <w:r w:rsidR="00C9427E" w:rsidRPr="00886F1D">
        <w:rPr>
          <w:rFonts w:asciiTheme="majorHAnsi" w:hAnsiTheme="majorHAnsi" w:cstheme="majorHAnsi"/>
          <w:color w:val="auto"/>
          <w:lang w:val="en-US"/>
        </w:rPr>
        <w:t xml:space="preserve"> in</w:t>
      </w:r>
      <w:r w:rsidR="00445DBE" w:rsidRPr="00886F1D">
        <w:rPr>
          <w:rFonts w:asciiTheme="majorHAnsi" w:hAnsiTheme="majorHAnsi" w:cstheme="majorHAnsi"/>
          <w:color w:val="auto"/>
          <w:lang w:val="en-US"/>
        </w:rPr>
        <w:t xml:space="preserve"> Australia. </w:t>
      </w:r>
      <w:r w:rsidR="00510E9F" w:rsidRPr="00886F1D">
        <w:rPr>
          <w:rFonts w:asciiTheme="majorHAnsi" w:hAnsiTheme="majorHAnsi" w:cstheme="majorHAnsi"/>
          <w:color w:val="auto"/>
          <w:lang w:val="en-US"/>
        </w:rPr>
        <w:t xml:space="preserve">The </w:t>
      </w:r>
      <w:r w:rsidR="00893D18" w:rsidRPr="00886F1D">
        <w:rPr>
          <w:rFonts w:asciiTheme="majorHAnsi" w:hAnsiTheme="majorHAnsi" w:cstheme="majorHAnsi"/>
          <w:color w:val="auto"/>
          <w:lang w:val="en-US"/>
        </w:rPr>
        <w:t xml:space="preserve">Australian </w:t>
      </w:r>
      <w:r w:rsidR="00510E9F" w:rsidRPr="00886F1D">
        <w:rPr>
          <w:rFonts w:asciiTheme="majorHAnsi" w:hAnsiTheme="majorHAnsi" w:cstheme="majorHAnsi"/>
          <w:color w:val="auto"/>
          <w:lang w:val="en-US"/>
        </w:rPr>
        <w:t>Government, with key commitments including its Future Made in Australia Plan</w:t>
      </w:r>
      <w:r w:rsidR="00BD5739" w:rsidRPr="00886F1D">
        <w:rPr>
          <w:rFonts w:asciiTheme="majorHAnsi" w:hAnsiTheme="majorHAnsi" w:cstheme="majorHAnsi"/>
          <w:color w:val="auto"/>
          <w:lang w:val="en-US"/>
        </w:rPr>
        <w:t xml:space="preserve">, </w:t>
      </w:r>
      <w:r w:rsidR="00510E9F" w:rsidRPr="00886F1D">
        <w:rPr>
          <w:rFonts w:asciiTheme="majorHAnsi" w:hAnsiTheme="majorHAnsi" w:cstheme="majorHAnsi"/>
          <w:color w:val="auto"/>
          <w:lang w:val="en-US"/>
        </w:rPr>
        <w:t>the $</w:t>
      </w:r>
      <w:r w:rsidR="00BF6761" w:rsidRPr="00886F1D">
        <w:rPr>
          <w:rFonts w:asciiTheme="majorHAnsi" w:hAnsiTheme="majorHAnsi" w:cstheme="majorHAnsi"/>
          <w:color w:val="auto"/>
          <w:lang w:val="en-US"/>
        </w:rPr>
        <w:t>15 </w:t>
      </w:r>
      <w:r w:rsidR="00510E9F" w:rsidRPr="00886F1D">
        <w:rPr>
          <w:rFonts w:asciiTheme="majorHAnsi" w:hAnsiTheme="majorHAnsi" w:cstheme="majorHAnsi"/>
          <w:color w:val="auto"/>
          <w:lang w:val="en-US"/>
        </w:rPr>
        <w:t xml:space="preserve">billion National Reconstruction Fund and </w:t>
      </w:r>
      <w:r w:rsidR="00BD5739" w:rsidRPr="00886F1D">
        <w:rPr>
          <w:rFonts w:asciiTheme="majorHAnsi" w:hAnsiTheme="majorHAnsi" w:cstheme="majorHAnsi"/>
          <w:color w:val="auto"/>
          <w:lang w:val="en-US"/>
        </w:rPr>
        <w:t xml:space="preserve">the </w:t>
      </w:r>
      <w:r w:rsidR="00510E9F" w:rsidRPr="00886F1D">
        <w:rPr>
          <w:rFonts w:asciiTheme="majorHAnsi" w:hAnsiTheme="majorHAnsi" w:cstheme="majorHAnsi"/>
          <w:color w:val="auto"/>
          <w:lang w:val="en-US"/>
        </w:rPr>
        <w:t>Buy Australian Plan, is committed to ensuring a strong and sustainable domestic industry</w:t>
      </w:r>
      <w:r w:rsidR="0042330C" w:rsidRPr="00886F1D">
        <w:rPr>
          <w:rFonts w:asciiTheme="majorHAnsi" w:hAnsiTheme="majorHAnsi" w:cstheme="majorHAnsi"/>
          <w:color w:val="auto"/>
          <w:lang w:val="en-US"/>
        </w:rPr>
        <w:t>. In turn, the</w:t>
      </w:r>
      <w:r w:rsidR="00510E9F" w:rsidRPr="00886F1D">
        <w:rPr>
          <w:rFonts w:asciiTheme="majorHAnsi" w:hAnsiTheme="majorHAnsi" w:cstheme="majorHAnsi"/>
          <w:color w:val="auto"/>
          <w:lang w:val="en-US"/>
        </w:rPr>
        <w:t xml:space="preserve"> space sector </w:t>
      </w:r>
      <w:r w:rsidR="0042330C" w:rsidRPr="00886F1D">
        <w:rPr>
          <w:rFonts w:asciiTheme="majorHAnsi" w:hAnsiTheme="majorHAnsi" w:cstheme="majorHAnsi"/>
          <w:color w:val="auto"/>
          <w:lang w:val="en-US"/>
        </w:rPr>
        <w:t>can play an</w:t>
      </w:r>
      <w:r w:rsidR="00510E9F" w:rsidRPr="00886F1D">
        <w:rPr>
          <w:rFonts w:asciiTheme="majorHAnsi" w:hAnsiTheme="majorHAnsi" w:cstheme="majorHAnsi"/>
          <w:color w:val="auto"/>
          <w:lang w:val="en-US"/>
        </w:rPr>
        <w:t xml:space="preserve"> important role in achieving th</w:t>
      </w:r>
      <w:r w:rsidR="0042330C" w:rsidRPr="00886F1D">
        <w:rPr>
          <w:rFonts w:asciiTheme="majorHAnsi" w:hAnsiTheme="majorHAnsi" w:cstheme="majorHAnsi"/>
          <w:color w:val="auto"/>
          <w:lang w:val="en-US"/>
        </w:rPr>
        <w:t>e</w:t>
      </w:r>
      <w:r w:rsidR="00510E9F" w:rsidRPr="00886F1D">
        <w:rPr>
          <w:rFonts w:asciiTheme="majorHAnsi" w:hAnsiTheme="majorHAnsi" w:cstheme="majorHAnsi"/>
          <w:color w:val="auto"/>
          <w:lang w:val="en-US"/>
        </w:rPr>
        <w:t xml:space="preserve"> aim</w:t>
      </w:r>
      <w:r w:rsidR="0042330C" w:rsidRPr="00886F1D">
        <w:rPr>
          <w:rFonts w:asciiTheme="majorHAnsi" w:hAnsiTheme="majorHAnsi" w:cstheme="majorHAnsi"/>
          <w:color w:val="auto"/>
          <w:lang w:val="en-US"/>
        </w:rPr>
        <w:t>s of these programs</w:t>
      </w:r>
      <w:r w:rsidR="00510E9F" w:rsidRPr="00886F1D">
        <w:rPr>
          <w:rFonts w:asciiTheme="majorHAnsi" w:hAnsiTheme="majorHAnsi" w:cstheme="majorHAnsi"/>
          <w:color w:val="auto"/>
          <w:lang w:val="en-US"/>
        </w:rPr>
        <w:t xml:space="preserve">. </w:t>
      </w:r>
    </w:p>
    <w:p w14:paraId="718E772D" w14:textId="77777777" w:rsidR="00B724F1" w:rsidRPr="00886F1D" w:rsidRDefault="00B724F1" w:rsidP="00A827A2">
      <w:pPr>
        <w:rPr>
          <w:rFonts w:asciiTheme="majorHAnsi" w:hAnsiTheme="majorHAnsi" w:cstheme="majorHAnsi"/>
          <w:color w:val="auto"/>
          <w:szCs w:val="22"/>
          <w:lang w:eastAsia="en-AU"/>
        </w:rPr>
      </w:pPr>
    </w:p>
    <w:p w14:paraId="718E772E" w14:textId="77777777" w:rsidR="00784101" w:rsidRPr="00886F1D" w:rsidRDefault="00784101">
      <w:pPr>
        <w:rPr>
          <w:color w:val="auto"/>
        </w:rPr>
        <w:sectPr w:rsidR="00784101" w:rsidRPr="00886F1D" w:rsidSect="0078410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718E772F" w14:textId="77777777" w:rsidR="00354908" w:rsidRPr="00886F1D" w:rsidRDefault="008329E8" w:rsidP="00DA6F20">
      <w:pPr>
        <w:pStyle w:val="Heading1"/>
        <w:rPr>
          <w:rFonts w:cstheme="minorHAnsi"/>
          <w:b/>
          <w:color w:val="auto"/>
          <w:sz w:val="28"/>
          <w:szCs w:val="24"/>
        </w:rPr>
      </w:pPr>
      <w:r w:rsidRPr="00886F1D">
        <w:rPr>
          <w:rFonts w:cstheme="minorHAnsi"/>
          <w:b/>
          <w:color w:val="auto"/>
          <w:sz w:val="28"/>
          <w:szCs w:val="24"/>
        </w:rPr>
        <w:lastRenderedPageBreak/>
        <w:t xml:space="preserve">Australian </w:t>
      </w:r>
      <w:r w:rsidR="00354908" w:rsidRPr="00886F1D">
        <w:rPr>
          <w:rFonts w:cstheme="minorHAnsi"/>
          <w:b/>
          <w:color w:val="auto"/>
          <w:sz w:val="28"/>
          <w:szCs w:val="24"/>
        </w:rPr>
        <w:t>Government response</w:t>
      </w:r>
      <w:r w:rsidR="00722DEB" w:rsidRPr="00886F1D">
        <w:rPr>
          <w:rFonts w:cstheme="minorHAnsi"/>
          <w:b/>
          <w:color w:val="auto"/>
          <w:sz w:val="28"/>
          <w:szCs w:val="24"/>
        </w:rPr>
        <w:t>s</w:t>
      </w:r>
      <w:r w:rsidR="00354908" w:rsidRPr="00886F1D">
        <w:rPr>
          <w:rFonts w:cstheme="minorHAnsi"/>
          <w:b/>
          <w:color w:val="auto"/>
          <w:sz w:val="28"/>
          <w:szCs w:val="24"/>
        </w:rPr>
        <w:t xml:space="preserve"> to </w:t>
      </w:r>
      <w:r w:rsidR="004F7E01" w:rsidRPr="00886F1D">
        <w:rPr>
          <w:rFonts w:cstheme="minorHAnsi"/>
          <w:b/>
          <w:color w:val="auto"/>
          <w:sz w:val="28"/>
          <w:szCs w:val="24"/>
        </w:rPr>
        <w:t xml:space="preserve">Inquiry </w:t>
      </w:r>
      <w:r w:rsidR="00354908" w:rsidRPr="00886F1D">
        <w:rPr>
          <w:rFonts w:cstheme="minorHAnsi"/>
          <w:b/>
          <w:color w:val="auto"/>
          <w:sz w:val="28"/>
          <w:szCs w:val="24"/>
        </w:rPr>
        <w:t>recommendation</w:t>
      </w:r>
      <w:r w:rsidR="004F7E01" w:rsidRPr="00886F1D">
        <w:rPr>
          <w:rFonts w:cstheme="minorHAnsi"/>
          <w:b/>
          <w:color w:val="auto"/>
          <w:sz w:val="28"/>
          <w:szCs w:val="24"/>
        </w:rPr>
        <w:t>s</w:t>
      </w:r>
    </w:p>
    <w:p w14:paraId="718E7730" w14:textId="77777777" w:rsidR="00390E41" w:rsidRPr="00886F1D" w:rsidRDefault="00390E41" w:rsidP="00DA6F20">
      <w:pPr>
        <w:rPr>
          <w:color w:val="auto"/>
        </w:rPr>
      </w:pPr>
    </w:p>
    <w:tbl>
      <w:tblPr>
        <w:tblW w:w="95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3814"/>
        <w:gridCol w:w="4707"/>
      </w:tblGrid>
      <w:tr w:rsidR="00886F1D" w:rsidRPr="00886F1D" w14:paraId="718E7734" w14:textId="77777777" w:rsidTr="00B52BE2">
        <w:trPr>
          <w:cantSplit/>
          <w:trHeight w:val="470"/>
        </w:trPr>
        <w:tc>
          <w:tcPr>
            <w:tcW w:w="1077" w:type="dxa"/>
            <w:shd w:val="clear" w:color="auto" w:fill="auto"/>
            <w:vAlign w:val="center"/>
          </w:tcPr>
          <w:p w14:paraId="718E7731" w14:textId="77777777" w:rsidR="001460AC" w:rsidRPr="00886F1D" w:rsidRDefault="001460AC" w:rsidP="002657DF">
            <w:pPr>
              <w:spacing w:after="0" w:line="240" w:lineRule="auto"/>
              <w:jc w:val="center"/>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bCs/>
                <w:color w:val="auto"/>
                <w:sz w:val="20"/>
                <w:lang w:eastAsia="en-AU"/>
              </w:rPr>
              <w:t>Number</w:t>
            </w:r>
          </w:p>
        </w:tc>
        <w:tc>
          <w:tcPr>
            <w:tcW w:w="3814" w:type="dxa"/>
            <w:shd w:val="clear" w:color="auto" w:fill="auto"/>
            <w:vAlign w:val="center"/>
            <w:hideMark/>
          </w:tcPr>
          <w:p w14:paraId="718E7732" w14:textId="77777777" w:rsidR="001460AC" w:rsidRPr="00886F1D" w:rsidRDefault="001460AC" w:rsidP="002657DF">
            <w:pPr>
              <w:spacing w:after="0" w:line="240" w:lineRule="auto"/>
              <w:jc w:val="center"/>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Recommendation</w:t>
            </w:r>
          </w:p>
        </w:tc>
        <w:tc>
          <w:tcPr>
            <w:tcW w:w="4707" w:type="dxa"/>
            <w:vAlign w:val="center"/>
          </w:tcPr>
          <w:p w14:paraId="718E7733" w14:textId="77777777" w:rsidR="001460AC" w:rsidRPr="00886F1D" w:rsidRDefault="00065722" w:rsidP="00917ECB">
            <w:pPr>
              <w:spacing w:after="0" w:line="240" w:lineRule="auto"/>
              <w:jc w:val="center"/>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Australian Government Response</w:t>
            </w:r>
          </w:p>
        </w:tc>
      </w:tr>
      <w:tr w:rsidR="00886F1D" w:rsidRPr="00886F1D" w14:paraId="718E7742" w14:textId="77777777" w:rsidTr="00B52BE2">
        <w:trPr>
          <w:cantSplit/>
          <w:trHeight w:val="2420"/>
        </w:trPr>
        <w:tc>
          <w:tcPr>
            <w:tcW w:w="1077" w:type="dxa"/>
            <w:shd w:val="clear" w:color="auto" w:fill="auto"/>
            <w:hideMark/>
          </w:tcPr>
          <w:p w14:paraId="718E7735"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1 (</w:t>
            </w:r>
            <w:r w:rsidR="001460AC" w:rsidRPr="00886F1D">
              <w:rPr>
                <w:rFonts w:asciiTheme="majorHAnsi" w:eastAsia="Times New Roman" w:hAnsiTheme="majorHAnsi" w:cstheme="majorHAnsi"/>
                <w:color w:val="auto"/>
                <w:sz w:val="20"/>
                <w:lang w:eastAsia="en-AU"/>
              </w:rPr>
              <w:t>2.104</w:t>
            </w:r>
            <w:r w:rsidRPr="00886F1D">
              <w:rPr>
                <w:rFonts w:asciiTheme="majorHAnsi" w:eastAsia="Times New Roman" w:hAnsiTheme="majorHAnsi" w:cstheme="majorHAnsi"/>
                <w:color w:val="auto"/>
                <w:sz w:val="20"/>
                <w:lang w:eastAsia="en-AU"/>
              </w:rPr>
              <w:t>)</w:t>
            </w:r>
          </w:p>
          <w:p w14:paraId="718E7736"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37"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in consultation with industry seek to define:</w:t>
            </w:r>
          </w:p>
          <w:p w14:paraId="718E7738" w14:textId="77777777" w:rsidR="001460AC" w:rsidRPr="00886F1D" w:rsidRDefault="001460AC" w:rsidP="002657DF">
            <w:pPr>
              <w:pStyle w:val="ListParagraph"/>
              <w:numPr>
                <w:ilvl w:val="0"/>
                <w:numId w:val="1"/>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an overarching vision for the Australian space industry</w:t>
            </w:r>
          </w:p>
          <w:p w14:paraId="718E7739" w14:textId="77777777" w:rsidR="001460AC" w:rsidRPr="00886F1D" w:rsidRDefault="001460AC" w:rsidP="002657DF">
            <w:pPr>
              <w:pStyle w:val="ListParagraph"/>
              <w:numPr>
                <w:ilvl w:val="0"/>
                <w:numId w:val="1"/>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a set of long term national space priorities to guide and galvanise the Australian space industry</w:t>
            </w:r>
          </w:p>
          <w:p w14:paraId="718E773A"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with the aim of inspiring the Australian public, providing investment confidence, developing Australian space capabilities and positioning Australia as a globally competitive player</w:t>
            </w:r>
          </w:p>
          <w:p w14:paraId="718E773B"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4707" w:type="dxa"/>
          </w:tcPr>
          <w:p w14:paraId="718E773C" w14:textId="77777777" w:rsidR="000B2B5C" w:rsidRPr="00886F1D" w:rsidRDefault="001460AC"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Agreed</w:t>
            </w:r>
            <w:r w:rsidR="004467B4" w:rsidRPr="00886F1D">
              <w:rPr>
                <w:rFonts w:asciiTheme="majorHAnsi" w:eastAsia="Times New Roman" w:hAnsiTheme="majorHAnsi" w:cstheme="majorHAnsi"/>
                <w:b/>
                <w:color w:val="auto"/>
                <w:sz w:val="20"/>
                <w:lang w:eastAsia="en-AU"/>
              </w:rPr>
              <w:t xml:space="preserve"> </w:t>
            </w:r>
            <w:r w:rsidR="00A827A2" w:rsidRPr="00886F1D">
              <w:rPr>
                <w:rFonts w:asciiTheme="majorHAnsi" w:eastAsia="Times New Roman" w:hAnsiTheme="majorHAnsi" w:cstheme="majorHAnsi"/>
                <w:b/>
                <w:color w:val="auto"/>
                <w:sz w:val="20"/>
                <w:lang w:eastAsia="en-AU"/>
              </w:rPr>
              <w:t>in Principle</w:t>
            </w:r>
          </w:p>
          <w:p w14:paraId="718E773D"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p>
          <w:p w14:paraId="718E773E" w14:textId="77777777" w:rsidR="00A11D25" w:rsidRPr="00886F1D" w:rsidRDefault="0074042E" w:rsidP="00D341BC">
            <w:pPr>
              <w:spacing w:after="0" w:line="240" w:lineRule="auto"/>
              <w:rPr>
                <w:rFonts w:asciiTheme="majorHAnsi" w:hAnsiTheme="majorHAnsi" w:cstheme="majorHAnsi"/>
                <w:color w:val="auto"/>
                <w:sz w:val="20"/>
                <w:lang w:eastAsia="en-AU"/>
              </w:rPr>
            </w:pPr>
            <w:r w:rsidRPr="00886F1D" w:rsidDel="009E3528">
              <w:rPr>
                <w:rFonts w:asciiTheme="majorHAnsi" w:hAnsiTheme="majorHAnsi" w:cstheme="majorHAnsi"/>
                <w:color w:val="auto"/>
                <w:sz w:val="20"/>
                <w:lang w:eastAsia="en-AU"/>
              </w:rPr>
              <w:t xml:space="preserve">This recommendation </w:t>
            </w:r>
            <w:r w:rsidR="009177E1" w:rsidRPr="00886F1D">
              <w:rPr>
                <w:rFonts w:asciiTheme="majorHAnsi" w:hAnsiTheme="majorHAnsi" w:cstheme="majorHAnsi"/>
                <w:color w:val="auto"/>
                <w:sz w:val="20"/>
                <w:lang w:eastAsia="en-AU"/>
              </w:rPr>
              <w:t>will</w:t>
            </w:r>
            <w:r w:rsidR="009177E1" w:rsidRPr="00886F1D" w:rsidDel="009E3528">
              <w:rPr>
                <w:rFonts w:asciiTheme="majorHAnsi" w:hAnsiTheme="majorHAnsi" w:cstheme="majorHAnsi"/>
                <w:color w:val="auto"/>
                <w:sz w:val="20"/>
                <w:lang w:eastAsia="en-AU"/>
              </w:rPr>
              <w:t xml:space="preserve"> </w:t>
            </w:r>
            <w:r w:rsidRPr="00886F1D" w:rsidDel="009E3528">
              <w:rPr>
                <w:rFonts w:asciiTheme="majorHAnsi" w:hAnsiTheme="majorHAnsi" w:cstheme="majorHAnsi"/>
                <w:color w:val="auto"/>
                <w:sz w:val="20"/>
                <w:lang w:eastAsia="en-AU"/>
              </w:rPr>
              <w:t xml:space="preserve">be </w:t>
            </w:r>
            <w:r w:rsidR="005A3010" w:rsidRPr="00886F1D" w:rsidDel="009E3528">
              <w:rPr>
                <w:rFonts w:asciiTheme="majorHAnsi" w:hAnsiTheme="majorHAnsi" w:cstheme="majorHAnsi"/>
                <w:color w:val="auto"/>
                <w:sz w:val="20"/>
                <w:lang w:eastAsia="en-AU"/>
              </w:rPr>
              <w:t xml:space="preserve">considered </w:t>
            </w:r>
            <w:r w:rsidR="009177E1" w:rsidRPr="00886F1D">
              <w:rPr>
                <w:rFonts w:asciiTheme="majorHAnsi" w:hAnsiTheme="majorHAnsi" w:cstheme="majorHAnsi"/>
                <w:color w:val="auto"/>
                <w:sz w:val="20"/>
                <w:lang w:eastAsia="en-AU"/>
              </w:rPr>
              <w:t>in line with</w:t>
            </w:r>
            <w:r w:rsidR="005A3010" w:rsidRPr="00886F1D" w:rsidDel="009E3528">
              <w:rPr>
                <w:rFonts w:asciiTheme="majorHAnsi" w:hAnsiTheme="majorHAnsi" w:cstheme="majorHAnsi"/>
                <w:color w:val="auto"/>
                <w:sz w:val="20"/>
                <w:lang w:eastAsia="en-AU"/>
              </w:rPr>
              <w:t xml:space="preserve"> </w:t>
            </w:r>
            <w:r w:rsidR="002E0196" w:rsidRPr="00886F1D" w:rsidDel="009E3528">
              <w:rPr>
                <w:rFonts w:asciiTheme="majorHAnsi" w:hAnsiTheme="majorHAnsi" w:cstheme="majorHAnsi"/>
                <w:color w:val="auto"/>
                <w:sz w:val="20"/>
                <w:lang w:eastAsia="en-AU"/>
              </w:rPr>
              <w:t xml:space="preserve">the Australian </w:t>
            </w:r>
            <w:r w:rsidR="005A3010" w:rsidRPr="00886F1D" w:rsidDel="009E3528">
              <w:rPr>
                <w:rFonts w:asciiTheme="majorHAnsi" w:hAnsiTheme="majorHAnsi" w:cstheme="majorHAnsi"/>
                <w:color w:val="auto"/>
                <w:sz w:val="20"/>
                <w:lang w:eastAsia="en-AU"/>
              </w:rPr>
              <w:t>Government</w:t>
            </w:r>
            <w:r w:rsidR="009177E1" w:rsidRPr="00886F1D">
              <w:rPr>
                <w:rFonts w:asciiTheme="majorHAnsi" w:hAnsiTheme="majorHAnsi" w:cstheme="majorHAnsi"/>
                <w:color w:val="auto"/>
                <w:sz w:val="20"/>
                <w:lang w:eastAsia="en-AU"/>
              </w:rPr>
              <w:t>’s future agenda</w:t>
            </w:r>
            <w:r w:rsidR="00650620" w:rsidRPr="00886F1D">
              <w:rPr>
                <w:rFonts w:asciiTheme="majorHAnsi" w:hAnsiTheme="majorHAnsi" w:cstheme="majorHAnsi"/>
                <w:color w:val="auto"/>
                <w:sz w:val="20"/>
                <w:lang w:eastAsia="en-AU"/>
              </w:rPr>
              <w:t>.</w:t>
            </w:r>
            <w:r w:rsidR="00D341BC" w:rsidRPr="00886F1D" w:rsidDel="00664E33">
              <w:rPr>
                <w:rFonts w:asciiTheme="majorHAnsi" w:hAnsiTheme="majorHAnsi" w:cstheme="majorHAnsi"/>
                <w:color w:val="auto"/>
                <w:sz w:val="20"/>
                <w:lang w:eastAsia="en-AU"/>
              </w:rPr>
              <w:t xml:space="preserve"> </w:t>
            </w:r>
          </w:p>
          <w:p w14:paraId="718E773F" w14:textId="77777777" w:rsidR="00650620" w:rsidRPr="00886F1D" w:rsidRDefault="00650620" w:rsidP="00D341BC">
            <w:pPr>
              <w:spacing w:after="0" w:line="240" w:lineRule="auto"/>
              <w:rPr>
                <w:rFonts w:asciiTheme="majorHAnsi" w:hAnsiTheme="majorHAnsi" w:cstheme="majorHAnsi"/>
                <w:color w:val="auto"/>
                <w:sz w:val="20"/>
                <w:lang w:eastAsia="en-AU"/>
              </w:rPr>
            </w:pPr>
          </w:p>
          <w:p w14:paraId="718E7740" w14:textId="77777777" w:rsidR="00D341BC" w:rsidRPr="00886F1D" w:rsidRDefault="00553052" w:rsidP="00D341BC">
            <w:pPr>
              <w:spacing w:after="0" w:line="240" w:lineRule="auto"/>
              <w:rPr>
                <w:rFonts w:asciiTheme="majorHAnsi" w:eastAsia="Times New Roman" w:hAnsiTheme="majorHAnsi" w:cstheme="majorHAnsi"/>
                <w:color w:val="auto"/>
                <w:sz w:val="20"/>
                <w:lang w:eastAsia="en-AU"/>
              </w:rPr>
            </w:pPr>
            <w:r w:rsidRPr="00886F1D">
              <w:rPr>
                <w:rFonts w:asciiTheme="majorHAnsi" w:hAnsiTheme="majorHAnsi" w:cstheme="majorHAnsi"/>
                <w:color w:val="auto"/>
                <w:sz w:val="20"/>
                <w:lang w:eastAsia="en-AU"/>
              </w:rPr>
              <w:t xml:space="preserve">Consideration </w:t>
            </w:r>
            <w:r w:rsidR="009177E1" w:rsidRPr="00886F1D">
              <w:rPr>
                <w:rFonts w:asciiTheme="majorHAnsi" w:hAnsiTheme="majorHAnsi" w:cstheme="majorHAnsi"/>
                <w:color w:val="auto"/>
                <w:sz w:val="20"/>
                <w:lang w:eastAsia="en-AU"/>
              </w:rPr>
              <w:t>will</w:t>
            </w:r>
            <w:r w:rsidRPr="00886F1D">
              <w:rPr>
                <w:rFonts w:asciiTheme="majorHAnsi" w:hAnsiTheme="majorHAnsi" w:cstheme="majorHAnsi"/>
                <w:color w:val="auto"/>
                <w:sz w:val="20"/>
                <w:lang w:eastAsia="en-AU"/>
              </w:rPr>
              <w:t xml:space="preserve"> take</w:t>
            </w:r>
            <w:r w:rsidR="00D341BC" w:rsidRPr="00886F1D">
              <w:rPr>
                <w:rFonts w:asciiTheme="majorHAnsi" w:hAnsiTheme="majorHAnsi" w:cstheme="majorHAnsi"/>
                <w:color w:val="auto"/>
                <w:sz w:val="20"/>
                <w:lang w:eastAsia="en-AU"/>
              </w:rPr>
              <w:t xml:space="preserve"> into account </w:t>
            </w:r>
            <w:r w:rsidR="002E0196" w:rsidRPr="00886F1D">
              <w:rPr>
                <w:rFonts w:asciiTheme="majorHAnsi" w:hAnsiTheme="majorHAnsi" w:cstheme="majorHAnsi"/>
                <w:color w:val="auto"/>
                <w:sz w:val="20"/>
                <w:lang w:eastAsia="en-AU"/>
              </w:rPr>
              <w:t>g</w:t>
            </w:r>
            <w:r w:rsidR="00D341BC" w:rsidRPr="00886F1D">
              <w:rPr>
                <w:rFonts w:asciiTheme="majorHAnsi" w:hAnsiTheme="majorHAnsi" w:cstheme="majorHAnsi"/>
                <w:color w:val="auto"/>
                <w:sz w:val="20"/>
                <w:lang w:eastAsia="en-AU"/>
              </w:rPr>
              <w:t>overnment priorities including critical technology development (such as robotics, quantum computing and artificial intelligence) and relevant reviews such as the Defence Strategic Review.</w:t>
            </w:r>
          </w:p>
          <w:p w14:paraId="718E7741" w14:textId="77777777" w:rsidR="001460AC" w:rsidRPr="00886F1D" w:rsidRDefault="001460AC" w:rsidP="00642C2B">
            <w:pPr>
              <w:spacing w:after="0" w:line="240" w:lineRule="auto"/>
              <w:rPr>
                <w:rFonts w:asciiTheme="majorHAnsi" w:eastAsia="Times New Roman" w:hAnsiTheme="majorHAnsi" w:cstheme="majorHAnsi"/>
                <w:b/>
                <w:color w:val="auto"/>
                <w:sz w:val="20"/>
                <w:lang w:eastAsia="en-AU"/>
              </w:rPr>
            </w:pPr>
          </w:p>
        </w:tc>
      </w:tr>
      <w:tr w:rsidR="00886F1D" w:rsidRPr="00886F1D" w14:paraId="718E774A" w14:textId="77777777" w:rsidTr="00B52BE2">
        <w:trPr>
          <w:cantSplit/>
          <w:trHeight w:val="300"/>
        </w:trPr>
        <w:tc>
          <w:tcPr>
            <w:tcW w:w="1077" w:type="dxa"/>
            <w:shd w:val="clear" w:color="auto" w:fill="auto"/>
            <w:hideMark/>
          </w:tcPr>
          <w:p w14:paraId="718E7743"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1 (</w:t>
            </w:r>
            <w:r w:rsidR="001460AC" w:rsidRPr="00886F1D">
              <w:rPr>
                <w:rFonts w:asciiTheme="majorHAnsi" w:eastAsia="Times New Roman" w:hAnsiTheme="majorHAnsi" w:cstheme="majorHAnsi"/>
                <w:color w:val="auto"/>
                <w:sz w:val="20"/>
                <w:lang w:eastAsia="en-AU"/>
              </w:rPr>
              <w:t>2.105</w:t>
            </w:r>
            <w:r w:rsidRPr="00886F1D">
              <w:rPr>
                <w:rFonts w:asciiTheme="majorHAnsi" w:eastAsia="Times New Roman" w:hAnsiTheme="majorHAnsi" w:cstheme="majorHAnsi"/>
                <w:color w:val="auto"/>
                <w:sz w:val="20"/>
                <w:lang w:eastAsia="en-AU"/>
              </w:rPr>
              <w:t>)</w:t>
            </w:r>
          </w:p>
          <w:p w14:paraId="718E7744"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45"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these national missions be informed by the seven civil space priority roadmaps</w:t>
            </w:r>
          </w:p>
        </w:tc>
        <w:tc>
          <w:tcPr>
            <w:tcW w:w="4707" w:type="dxa"/>
          </w:tcPr>
          <w:p w14:paraId="718E7746" w14:textId="77777777" w:rsidR="00B80AFB" w:rsidRPr="00886F1D" w:rsidRDefault="00BE5AC8"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 xml:space="preserve">Agreed </w:t>
            </w:r>
          </w:p>
          <w:p w14:paraId="718E7747" w14:textId="77777777" w:rsidR="0093528E" w:rsidRPr="00886F1D" w:rsidRDefault="0093528E" w:rsidP="00917ECB">
            <w:pPr>
              <w:spacing w:after="0" w:line="240" w:lineRule="auto"/>
              <w:rPr>
                <w:rFonts w:asciiTheme="majorHAnsi" w:eastAsia="Times New Roman" w:hAnsiTheme="majorHAnsi" w:cstheme="majorHAnsi"/>
                <w:b/>
                <w:color w:val="auto"/>
                <w:sz w:val="20"/>
                <w:lang w:eastAsia="en-AU"/>
              </w:rPr>
            </w:pPr>
          </w:p>
          <w:p w14:paraId="718E7748" w14:textId="77777777" w:rsidR="00D341BC" w:rsidRPr="00886F1D" w:rsidRDefault="00693B84" w:rsidP="00C04365">
            <w:pPr>
              <w:pStyle w:val="CommentText"/>
            </w:pPr>
            <w:r w:rsidRPr="00886F1D">
              <w:rPr>
                <w:rFonts w:asciiTheme="majorHAnsi" w:hAnsiTheme="majorHAnsi" w:cstheme="majorHAnsi"/>
                <w:lang w:eastAsia="en-AU"/>
              </w:rPr>
              <w:t xml:space="preserve">The Australian Space Agency’s roadmaps present pathways for Australia’s space sector to capture international supply chain opportunities and support the capability needs of government. </w:t>
            </w:r>
            <w:r w:rsidR="00C04365" w:rsidRPr="00886F1D">
              <w:rPr>
                <w:rFonts w:asciiTheme="majorHAnsi" w:hAnsiTheme="majorHAnsi" w:cstheme="majorHAnsi"/>
                <w:lang w:eastAsia="en-AU"/>
              </w:rPr>
              <w:t xml:space="preserve">Roadmaps on </w:t>
            </w:r>
            <w:r w:rsidR="00C04365" w:rsidRPr="00886F1D">
              <w:rPr>
                <w:rFonts w:asciiTheme="majorHAnsi" w:hAnsiTheme="majorHAnsi" w:cstheme="majorHAnsi"/>
                <w:i/>
                <w:lang w:eastAsia="en-AU"/>
              </w:rPr>
              <w:t>Communications technologies and services</w:t>
            </w:r>
            <w:r w:rsidR="00C04365" w:rsidRPr="00886F1D">
              <w:rPr>
                <w:rFonts w:asciiTheme="majorHAnsi" w:hAnsiTheme="majorHAnsi" w:cstheme="majorHAnsi"/>
                <w:lang w:eastAsia="en-AU"/>
              </w:rPr>
              <w:t xml:space="preserve">, </w:t>
            </w:r>
            <w:r w:rsidR="00C04365" w:rsidRPr="00886F1D">
              <w:rPr>
                <w:rFonts w:asciiTheme="majorHAnsi" w:hAnsiTheme="majorHAnsi" w:cstheme="majorHAnsi"/>
                <w:i/>
                <w:lang w:eastAsia="en-AU"/>
              </w:rPr>
              <w:t>Earth observation from space</w:t>
            </w:r>
            <w:r w:rsidR="00C04365" w:rsidRPr="00886F1D">
              <w:rPr>
                <w:rFonts w:asciiTheme="majorHAnsi" w:hAnsiTheme="majorHAnsi" w:cstheme="majorHAnsi"/>
                <w:lang w:eastAsia="en-AU"/>
              </w:rPr>
              <w:t xml:space="preserve">, and </w:t>
            </w:r>
            <w:r w:rsidR="00C04365" w:rsidRPr="00886F1D">
              <w:rPr>
                <w:rFonts w:asciiTheme="majorHAnsi" w:hAnsiTheme="majorHAnsi" w:cstheme="majorHAnsi"/>
                <w:i/>
                <w:lang w:eastAsia="en-AU"/>
              </w:rPr>
              <w:t>Robotics and automation on earth and in space</w:t>
            </w:r>
            <w:r w:rsidR="00C04365" w:rsidRPr="00886F1D">
              <w:rPr>
                <w:rFonts w:asciiTheme="majorHAnsi" w:hAnsiTheme="majorHAnsi" w:cstheme="majorHAnsi"/>
                <w:lang w:eastAsia="en-AU"/>
              </w:rPr>
              <w:t xml:space="preserve"> are published and available at </w:t>
            </w:r>
            <w:hyperlink r:id="rId19" w:history="1">
              <w:r w:rsidR="00C04365" w:rsidRPr="00886F1D">
                <w:rPr>
                  <w:rStyle w:val="Hyperlink"/>
                  <w:rFonts w:asciiTheme="majorHAnsi" w:hAnsiTheme="majorHAnsi" w:cstheme="majorHAnsi"/>
                  <w:color w:val="auto"/>
                  <w:lang w:eastAsia="en-AU"/>
                </w:rPr>
                <w:t>https://www.industry.gov.au/australian-space-agency</w:t>
              </w:r>
            </w:hyperlink>
            <w:r w:rsidR="00C04365" w:rsidRPr="00886F1D">
              <w:rPr>
                <w:rFonts w:asciiTheme="majorHAnsi" w:hAnsiTheme="majorHAnsi" w:cstheme="majorHAnsi"/>
                <w:lang w:eastAsia="en-AU"/>
              </w:rPr>
              <w:t xml:space="preserve">. </w:t>
            </w:r>
          </w:p>
          <w:p w14:paraId="718E7749" w14:textId="77777777" w:rsidR="001460AC" w:rsidRPr="00886F1D" w:rsidRDefault="001460AC" w:rsidP="00D4331C">
            <w:pPr>
              <w:spacing w:after="0" w:line="240" w:lineRule="auto"/>
              <w:rPr>
                <w:rFonts w:asciiTheme="majorHAnsi" w:eastAsia="Times New Roman" w:hAnsiTheme="majorHAnsi" w:cstheme="majorHAnsi"/>
                <w:b/>
                <w:color w:val="auto"/>
                <w:sz w:val="20"/>
                <w:lang w:eastAsia="en-AU"/>
              </w:rPr>
            </w:pPr>
          </w:p>
        </w:tc>
      </w:tr>
      <w:tr w:rsidR="00886F1D" w:rsidRPr="00886F1D" w14:paraId="718E7757" w14:textId="77777777" w:rsidTr="00B52BE2">
        <w:trPr>
          <w:cantSplit/>
          <w:trHeight w:val="1408"/>
        </w:trPr>
        <w:tc>
          <w:tcPr>
            <w:tcW w:w="1077" w:type="dxa"/>
            <w:shd w:val="clear" w:color="auto" w:fill="auto"/>
            <w:hideMark/>
          </w:tcPr>
          <w:p w14:paraId="718E774B"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2 (</w:t>
            </w:r>
            <w:r w:rsidR="001460AC" w:rsidRPr="00886F1D">
              <w:rPr>
                <w:rFonts w:asciiTheme="majorHAnsi" w:eastAsia="Times New Roman" w:hAnsiTheme="majorHAnsi" w:cstheme="majorHAnsi"/>
                <w:color w:val="auto"/>
                <w:sz w:val="20"/>
                <w:lang w:eastAsia="en-AU"/>
              </w:rPr>
              <w:t>2.106</w:t>
            </w:r>
            <w:r w:rsidRPr="00886F1D">
              <w:rPr>
                <w:rFonts w:asciiTheme="majorHAnsi" w:eastAsia="Times New Roman" w:hAnsiTheme="majorHAnsi" w:cstheme="majorHAnsi"/>
                <w:color w:val="auto"/>
                <w:sz w:val="20"/>
                <w:lang w:eastAsia="en-AU"/>
              </w:rPr>
              <w:t>)</w:t>
            </w:r>
          </w:p>
          <w:p w14:paraId="718E774C"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4D"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review the way it delivers funding to the Australian space industry with a focus on the development of space capability and capacity. This includes:</w:t>
            </w:r>
          </w:p>
          <w:p w14:paraId="718E774E" w14:textId="77777777" w:rsidR="001460AC" w:rsidRPr="00886F1D" w:rsidRDefault="001460AC" w:rsidP="002657DF">
            <w:pPr>
              <w:pStyle w:val="ListParagraph"/>
              <w:numPr>
                <w:ilvl w:val="0"/>
                <w:numId w:val="9"/>
              </w:numPr>
              <w:adjustRightInd/>
              <w:snapToGrid/>
              <w:spacing w:after="0" w:line="240" w:lineRule="auto"/>
              <w:ind w:left="325" w:hanging="283"/>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broadening the funding streams to include contracts for specific space capability</w:t>
            </w:r>
          </w:p>
          <w:p w14:paraId="718E774F" w14:textId="77777777" w:rsidR="001460AC" w:rsidRPr="00886F1D" w:rsidRDefault="001460AC" w:rsidP="002657DF">
            <w:pPr>
              <w:pStyle w:val="ListParagraph"/>
              <w:numPr>
                <w:ilvl w:val="0"/>
                <w:numId w:val="9"/>
              </w:numPr>
              <w:adjustRightInd/>
              <w:snapToGrid/>
              <w:spacing w:after="0" w:line="240" w:lineRule="auto"/>
              <w:ind w:left="325" w:hanging="283"/>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necessity for industry co-funding where private entities are likely to be commercially disadvantaged</w:t>
            </w:r>
          </w:p>
          <w:p w14:paraId="718E7750" w14:textId="77777777" w:rsidR="001460AC" w:rsidRPr="00886F1D" w:rsidRDefault="001460AC" w:rsidP="005E4E29">
            <w:pPr>
              <w:spacing w:after="160" w:line="259" w:lineRule="auto"/>
              <w:rPr>
                <w:rFonts w:asciiTheme="majorHAnsi" w:eastAsia="Times New Roman" w:hAnsiTheme="majorHAnsi" w:cstheme="majorHAnsi"/>
                <w:color w:val="auto"/>
                <w:sz w:val="20"/>
                <w:lang w:eastAsia="en-AU"/>
              </w:rPr>
            </w:pPr>
          </w:p>
        </w:tc>
        <w:tc>
          <w:tcPr>
            <w:tcW w:w="4707" w:type="dxa"/>
          </w:tcPr>
          <w:p w14:paraId="718E7751" w14:textId="77777777" w:rsidR="001460AC" w:rsidRPr="00886F1D" w:rsidRDefault="003333A6"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 xml:space="preserve">Agreed in Principle </w:t>
            </w:r>
          </w:p>
          <w:p w14:paraId="718E7752" w14:textId="77777777" w:rsidR="000B2B5C" w:rsidRPr="00886F1D" w:rsidRDefault="000B2B5C" w:rsidP="00917ECB">
            <w:pPr>
              <w:spacing w:after="0" w:line="240" w:lineRule="auto"/>
              <w:rPr>
                <w:rFonts w:asciiTheme="majorHAnsi" w:eastAsia="Times New Roman" w:hAnsiTheme="majorHAnsi" w:cstheme="majorHAnsi"/>
                <w:color w:val="auto"/>
                <w:sz w:val="20"/>
                <w:lang w:eastAsia="en-AU"/>
              </w:rPr>
            </w:pPr>
          </w:p>
          <w:p w14:paraId="718E7753" w14:textId="77777777" w:rsidR="00B46316" w:rsidRPr="00886F1D" w:rsidRDefault="00B46316" w:rsidP="00140A35">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w:t>
            </w:r>
            <w:r w:rsidR="009B3A37" w:rsidRPr="00886F1D">
              <w:rPr>
                <w:rFonts w:asciiTheme="majorHAnsi" w:eastAsia="Times New Roman" w:hAnsiTheme="majorHAnsi" w:cstheme="majorHAnsi"/>
                <w:color w:val="auto"/>
                <w:sz w:val="20"/>
                <w:lang w:eastAsia="en-AU"/>
              </w:rPr>
              <w:t xml:space="preserve"> Australian</w:t>
            </w:r>
            <w:r w:rsidRPr="00886F1D">
              <w:rPr>
                <w:rFonts w:asciiTheme="majorHAnsi" w:eastAsia="Times New Roman" w:hAnsiTheme="majorHAnsi" w:cstheme="majorHAnsi"/>
                <w:color w:val="auto"/>
                <w:sz w:val="20"/>
                <w:lang w:eastAsia="en-AU"/>
              </w:rPr>
              <w:t xml:space="preserve"> Government has a clear economic plan and budget strategy</w:t>
            </w:r>
            <w:r w:rsidR="00EC1E6F" w:rsidRPr="00886F1D">
              <w:rPr>
                <w:rFonts w:asciiTheme="majorHAnsi" w:eastAsia="Times New Roman" w:hAnsiTheme="majorHAnsi" w:cstheme="majorHAnsi"/>
                <w:color w:val="auto"/>
                <w:sz w:val="20"/>
                <w:lang w:eastAsia="en-AU"/>
              </w:rPr>
              <w:t xml:space="preserve"> that will lift investment</w:t>
            </w:r>
            <w:r w:rsidRPr="00886F1D">
              <w:rPr>
                <w:rFonts w:asciiTheme="majorHAnsi" w:eastAsia="Times New Roman" w:hAnsiTheme="majorHAnsi" w:cstheme="majorHAnsi"/>
                <w:color w:val="auto"/>
                <w:sz w:val="20"/>
                <w:lang w:eastAsia="en-AU"/>
              </w:rPr>
              <w:t xml:space="preserve"> and </w:t>
            </w:r>
            <w:r w:rsidR="00EC1E6F" w:rsidRPr="00886F1D">
              <w:rPr>
                <w:rFonts w:asciiTheme="majorHAnsi" w:eastAsia="Times New Roman" w:hAnsiTheme="majorHAnsi" w:cstheme="majorHAnsi"/>
                <w:color w:val="auto"/>
                <w:sz w:val="20"/>
                <w:lang w:eastAsia="en-AU"/>
              </w:rPr>
              <w:t>build prosperity across the country.</w:t>
            </w:r>
            <w:r w:rsidR="0093528E" w:rsidRPr="00886F1D">
              <w:rPr>
                <w:rFonts w:asciiTheme="majorHAnsi" w:eastAsia="Times New Roman" w:hAnsiTheme="majorHAnsi" w:cstheme="majorHAnsi"/>
                <w:color w:val="auto"/>
                <w:sz w:val="20"/>
                <w:lang w:eastAsia="en-AU"/>
              </w:rPr>
              <w:t xml:space="preserve"> </w:t>
            </w:r>
            <w:r w:rsidR="00EC1E6F" w:rsidRPr="00886F1D">
              <w:rPr>
                <w:rFonts w:asciiTheme="majorHAnsi" w:eastAsia="Times New Roman" w:hAnsiTheme="majorHAnsi" w:cstheme="majorHAnsi"/>
                <w:color w:val="auto"/>
                <w:sz w:val="20"/>
                <w:lang w:eastAsia="en-AU"/>
              </w:rPr>
              <w:t>All</w:t>
            </w:r>
            <w:r w:rsidRPr="00886F1D">
              <w:rPr>
                <w:rFonts w:asciiTheme="majorHAnsi" w:eastAsia="Times New Roman" w:hAnsiTheme="majorHAnsi" w:cstheme="majorHAnsi"/>
                <w:color w:val="auto"/>
                <w:sz w:val="20"/>
                <w:lang w:eastAsia="en-AU"/>
              </w:rPr>
              <w:t xml:space="preserve"> Australian </w:t>
            </w:r>
            <w:r w:rsidR="001F48DE" w:rsidRPr="00886F1D">
              <w:rPr>
                <w:rFonts w:asciiTheme="majorHAnsi" w:eastAsia="Times New Roman" w:hAnsiTheme="majorHAnsi" w:cstheme="majorHAnsi"/>
                <w:color w:val="auto"/>
                <w:sz w:val="20"/>
                <w:lang w:eastAsia="en-AU"/>
              </w:rPr>
              <w:t>G</w:t>
            </w:r>
            <w:r w:rsidRPr="00886F1D">
              <w:rPr>
                <w:rFonts w:asciiTheme="majorHAnsi" w:eastAsia="Times New Roman" w:hAnsiTheme="majorHAnsi" w:cstheme="majorHAnsi"/>
                <w:color w:val="auto"/>
                <w:sz w:val="20"/>
                <w:lang w:eastAsia="en-AU"/>
              </w:rPr>
              <w:t xml:space="preserve">overnment departments are expected to focus their efforts and resourcing to prioritise investments which are smart, responsible and targeted to align with </w:t>
            </w:r>
            <w:r w:rsidR="001F2E0D" w:rsidRPr="00886F1D">
              <w:rPr>
                <w:rFonts w:asciiTheme="majorHAnsi" w:eastAsia="Times New Roman" w:hAnsiTheme="majorHAnsi" w:cstheme="majorHAnsi"/>
                <w:color w:val="auto"/>
                <w:sz w:val="20"/>
                <w:lang w:eastAsia="en-AU"/>
              </w:rPr>
              <w:t>g</w:t>
            </w:r>
            <w:r w:rsidRPr="00886F1D">
              <w:rPr>
                <w:rFonts w:asciiTheme="majorHAnsi" w:eastAsia="Times New Roman" w:hAnsiTheme="majorHAnsi" w:cstheme="majorHAnsi"/>
                <w:color w:val="auto"/>
                <w:sz w:val="20"/>
                <w:lang w:eastAsia="en-AU"/>
              </w:rPr>
              <w:t>overnment priorities.</w:t>
            </w:r>
          </w:p>
          <w:p w14:paraId="718E7754" w14:textId="77777777" w:rsidR="00B46316" w:rsidRPr="00886F1D" w:rsidRDefault="00B46316" w:rsidP="00140A35">
            <w:pPr>
              <w:spacing w:after="0" w:line="240" w:lineRule="auto"/>
              <w:rPr>
                <w:rFonts w:asciiTheme="majorHAnsi" w:hAnsiTheme="majorHAnsi" w:cstheme="majorHAnsi"/>
                <w:color w:val="auto"/>
                <w:lang w:eastAsia="en-AU"/>
              </w:rPr>
            </w:pPr>
          </w:p>
          <w:p w14:paraId="718E7755" w14:textId="77777777" w:rsidR="00140A35" w:rsidRPr="00886F1D" w:rsidRDefault="00140A35" w:rsidP="00140A35">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The $15 billion National Reconstruction Fund will</w:t>
            </w:r>
            <w:r w:rsidRPr="00886F1D">
              <w:rPr>
                <w:rFonts w:asciiTheme="majorHAnsi" w:hAnsiTheme="majorHAnsi" w:cstheme="majorHAnsi"/>
                <w:color w:val="auto"/>
                <w:lang w:eastAsia="en-AU"/>
              </w:rPr>
              <w:t xml:space="preserve"> </w:t>
            </w:r>
            <w:r w:rsidRPr="00886F1D">
              <w:rPr>
                <w:rFonts w:asciiTheme="majorHAnsi" w:hAnsiTheme="majorHAnsi" w:cstheme="majorHAnsi"/>
                <w:color w:val="auto"/>
                <w:sz w:val="20"/>
                <w:lang w:eastAsia="en-AU"/>
              </w:rPr>
              <w:t xml:space="preserve">diversify and transform Australia’s economy and industry, providing </w:t>
            </w:r>
            <w:r w:rsidR="00CE6B16" w:rsidRPr="00886F1D">
              <w:rPr>
                <w:rFonts w:asciiTheme="majorHAnsi" w:hAnsiTheme="majorHAnsi" w:cstheme="majorHAnsi"/>
                <w:color w:val="auto"/>
                <w:sz w:val="20"/>
                <w:lang w:eastAsia="en-AU"/>
              </w:rPr>
              <w:t>finance</w:t>
            </w:r>
            <w:r w:rsidRPr="00886F1D">
              <w:rPr>
                <w:rFonts w:asciiTheme="majorHAnsi" w:hAnsiTheme="majorHAnsi" w:cstheme="majorHAnsi"/>
                <w:color w:val="auto"/>
                <w:sz w:val="20"/>
                <w:lang w:eastAsia="en-AU"/>
              </w:rPr>
              <w:t xml:space="preserve"> to drive investments that add value and capability in seven priority areas. This will help</w:t>
            </w:r>
            <w:r w:rsidR="00CE6B16" w:rsidRPr="00886F1D">
              <w:rPr>
                <w:rFonts w:asciiTheme="majorHAnsi" w:hAnsiTheme="majorHAnsi" w:cstheme="majorHAnsi"/>
                <w:color w:val="auto"/>
                <w:sz w:val="20"/>
                <w:lang w:eastAsia="en-AU"/>
              </w:rPr>
              <w:t xml:space="preserve"> rebuild Australia’s industrial capability and</w:t>
            </w:r>
            <w:r w:rsidRPr="00886F1D">
              <w:rPr>
                <w:rFonts w:asciiTheme="majorHAnsi" w:hAnsiTheme="majorHAnsi" w:cstheme="majorHAnsi"/>
                <w:color w:val="auto"/>
                <w:sz w:val="20"/>
                <w:lang w:eastAsia="en-AU"/>
              </w:rPr>
              <w:t xml:space="preserve"> create secure, well paid jobs across the economy.</w:t>
            </w:r>
          </w:p>
          <w:p w14:paraId="718E7756" w14:textId="77777777" w:rsidR="000B2B5C" w:rsidRPr="00886F1D" w:rsidRDefault="000B2B5C" w:rsidP="00CE5EC9">
            <w:pPr>
              <w:spacing w:after="0" w:line="240" w:lineRule="auto"/>
              <w:rPr>
                <w:rFonts w:asciiTheme="majorHAnsi" w:hAnsiTheme="majorHAnsi" w:cstheme="majorHAnsi"/>
                <w:color w:val="auto"/>
                <w:sz w:val="20"/>
              </w:rPr>
            </w:pPr>
          </w:p>
        </w:tc>
      </w:tr>
      <w:tr w:rsidR="00886F1D" w:rsidRPr="00886F1D" w14:paraId="718E7762" w14:textId="77777777" w:rsidTr="00B52BE2">
        <w:trPr>
          <w:cantSplit/>
          <w:trHeight w:val="631"/>
        </w:trPr>
        <w:tc>
          <w:tcPr>
            <w:tcW w:w="1077" w:type="dxa"/>
            <w:shd w:val="clear" w:color="auto" w:fill="auto"/>
            <w:hideMark/>
          </w:tcPr>
          <w:p w14:paraId="718E7758"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lastRenderedPageBreak/>
              <w:t>3 (</w:t>
            </w:r>
            <w:r w:rsidR="001460AC" w:rsidRPr="00886F1D">
              <w:rPr>
                <w:rFonts w:asciiTheme="majorHAnsi" w:eastAsia="Times New Roman" w:hAnsiTheme="majorHAnsi" w:cstheme="majorHAnsi"/>
                <w:color w:val="auto"/>
                <w:sz w:val="20"/>
                <w:lang w:eastAsia="en-AU"/>
              </w:rPr>
              <w:t>2.107</w:t>
            </w:r>
            <w:r w:rsidRPr="00886F1D">
              <w:rPr>
                <w:rFonts w:asciiTheme="majorHAnsi" w:eastAsia="Times New Roman" w:hAnsiTheme="majorHAnsi" w:cstheme="majorHAnsi"/>
                <w:color w:val="auto"/>
                <w:sz w:val="20"/>
                <w:lang w:eastAsia="en-AU"/>
              </w:rPr>
              <w:t>)</w:t>
            </w:r>
          </w:p>
          <w:p w14:paraId="718E7759"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p w14:paraId="718E775A"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5B"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examine ways to better coordinate and align civil and defence space priorities and investment.</w:t>
            </w:r>
          </w:p>
        </w:tc>
        <w:tc>
          <w:tcPr>
            <w:tcW w:w="4707" w:type="dxa"/>
          </w:tcPr>
          <w:p w14:paraId="718E775C" w14:textId="77777777" w:rsidR="00666054" w:rsidRPr="00886F1D" w:rsidRDefault="00666054" w:rsidP="00666054">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 xml:space="preserve">Agreed </w:t>
            </w:r>
            <w:r w:rsidR="00177ACF" w:rsidRPr="00886F1D" w:rsidDel="00070A4B">
              <w:rPr>
                <w:rFonts w:asciiTheme="majorHAnsi" w:eastAsia="Times New Roman" w:hAnsiTheme="majorHAnsi" w:cstheme="majorHAnsi"/>
                <w:b/>
                <w:color w:val="auto"/>
                <w:sz w:val="20"/>
                <w:lang w:eastAsia="en-AU"/>
              </w:rPr>
              <w:t>in Principle</w:t>
            </w:r>
          </w:p>
          <w:p w14:paraId="718E775D" w14:textId="77777777" w:rsidR="00666054" w:rsidRPr="00886F1D" w:rsidRDefault="00666054" w:rsidP="00666054">
            <w:pPr>
              <w:spacing w:after="0" w:line="240" w:lineRule="auto"/>
              <w:rPr>
                <w:rFonts w:asciiTheme="majorHAnsi" w:eastAsia="Times New Roman" w:hAnsiTheme="majorHAnsi" w:cstheme="majorHAnsi"/>
                <w:color w:val="auto"/>
                <w:sz w:val="20"/>
                <w:lang w:eastAsia="en-AU"/>
              </w:rPr>
            </w:pPr>
          </w:p>
          <w:p w14:paraId="718E775E" w14:textId="77777777" w:rsidR="007F17E3" w:rsidRPr="00886F1D" w:rsidRDefault="00F018E7" w:rsidP="00917ECB">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The </w:t>
            </w:r>
            <w:r w:rsidR="004F37C0" w:rsidRPr="00886F1D">
              <w:rPr>
                <w:rFonts w:asciiTheme="majorHAnsi" w:eastAsia="Times New Roman" w:hAnsiTheme="majorHAnsi" w:cstheme="majorHAnsi"/>
                <w:color w:val="auto"/>
                <w:sz w:val="20"/>
                <w:lang w:eastAsia="en-AU"/>
              </w:rPr>
              <w:t xml:space="preserve">Australian </w:t>
            </w:r>
            <w:r w:rsidRPr="00886F1D">
              <w:rPr>
                <w:rFonts w:asciiTheme="majorHAnsi" w:eastAsia="Times New Roman" w:hAnsiTheme="majorHAnsi" w:cstheme="majorHAnsi"/>
                <w:color w:val="auto"/>
                <w:sz w:val="20"/>
                <w:lang w:eastAsia="en-AU"/>
              </w:rPr>
              <w:t>Government notes the Defence Strategic Review</w:t>
            </w:r>
            <w:r w:rsidR="0042330C" w:rsidRPr="00886F1D">
              <w:rPr>
                <w:rFonts w:asciiTheme="majorHAnsi" w:eastAsia="Times New Roman" w:hAnsiTheme="majorHAnsi" w:cstheme="majorHAnsi"/>
                <w:color w:val="auto"/>
                <w:sz w:val="20"/>
                <w:lang w:eastAsia="en-AU"/>
              </w:rPr>
              <w:t>,</w:t>
            </w:r>
            <w:r w:rsidRPr="00886F1D">
              <w:rPr>
                <w:rFonts w:asciiTheme="majorHAnsi" w:eastAsia="Times New Roman" w:hAnsiTheme="majorHAnsi" w:cstheme="majorHAnsi"/>
                <w:color w:val="auto"/>
                <w:sz w:val="20"/>
                <w:lang w:eastAsia="en-AU"/>
              </w:rPr>
              <w:t xml:space="preserve"> due</w:t>
            </w:r>
            <w:r w:rsidR="0042330C" w:rsidRPr="00886F1D">
              <w:rPr>
                <w:rFonts w:asciiTheme="majorHAnsi" w:eastAsia="Times New Roman" w:hAnsiTheme="majorHAnsi" w:cstheme="majorHAnsi"/>
                <w:color w:val="auto"/>
                <w:sz w:val="20"/>
                <w:lang w:eastAsia="en-AU"/>
              </w:rPr>
              <w:t xml:space="preserve"> to be delivered in</w:t>
            </w:r>
            <w:r w:rsidR="00322EAC" w:rsidRPr="00886F1D">
              <w:rPr>
                <w:rFonts w:asciiTheme="majorHAnsi" w:eastAsia="Times New Roman" w:hAnsiTheme="majorHAnsi" w:cstheme="majorHAnsi"/>
                <w:color w:val="auto"/>
                <w:sz w:val="20"/>
                <w:lang w:eastAsia="en-AU"/>
              </w:rPr>
              <w:t xml:space="preserve"> early</w:t>
            </w:r>
            <w:r w:rsidRPr="00886F1D">
              <w:rPr>
                <w:rFonts w:asciiTheme="majorHAnsi" w:eastAsia="Times New Roman" w:hAnsiTheme="majorHAnsi" w:cstheme="majorHAnsi"/>
                <w:color w:val="auto"/>
                <w:sz w:val="20"/>
                <w:lang w:eastAsia="en-AU"/>
              </w:rPr>
              <w:t xml:space="preserve"> 2023</w:t>
            </w:r>
            <w:r w:rsidR="0042330C" w:rsidRPr="00886F1D">
              <w:rPr>
                <w:rFonts w:asciiTheme="majorHAnsi" w:eastAsia="Times New Roman" w:hAnsiTheme="majorHAnsi" w:cstheme="majorHAnsi"/>
                <w:color w:val="auto"/>
                <w:sz w:val="20"/>
                <w:lang w:eastAsia="en-AU"/>
              </w:rPr>
              <w:t>,</w:t>
            </w:r>
            <w:r w:rsidRPr="00886F1D">
              <w:rPr>
                <w:rFonts w:asciiTheme="majorHAnsi" w:eastAsia="Times New Roman" w:hAnsiTheme="majorHAnsi" w:cstheme="majorHAnsi"/>
                <w:color w:val="auto"/>
                <w:sz w:val="20"/>
                <w:lang w:eastAsia="en-AU"/>
              </w:rPr>
              <w:t xml:space="preserve"> will </w:t>
            </w:r>
            <w:r w:rsidR="005C0317" w:rsidRPr="00886F1D">
              <w:rPr>
                <w:rFonts w:ascii="Calibri Light" w:hAnsi="Calibri Light" w:cs="Calibri Light"/>
                <w:color w:val="auto"/>
                <w:sz w:val="20"/>
              </w:rPr>
              <w:t>consider Defence's force posture and force structure and help Defence to better understand where it should prioritise investment, including</w:t>
            </w:r>
            <w:r w:rsidR="00666054" w:rsidRPr="00886F1D">
              <w:rPr>
                <w:rFonts w:asciiTheme="majorHAnsi" w:eastAsia="Times New Roman" w:hAnsiTheme="majorHAnsi" w:cstheme="majorHAnsi"/>
                <w:color w:val="auto"/>
                <w:sz w:val="20"/>
                <w:lang w:eastAsia="en-AU"/>
              </w:rPr>
              <w:t xml:space="preserve"> Defence capability investment broadly, and Defence space capability investment</w:t>
            </w:r>
            <w:r w:rsidR="007F17E3" w:rsidRPr="00886F1D">
              <w:rPr>
                <w:rFonts w:asciiTheme="majorHAnsi" w:eastAsia="Times New Roman" w:hAnsiTheme="majorHAnsi" w:cstheme="majorHAnsi"/>
                <w:color w:val="auto"/>
                <w:sz w:val="20"/>
                <w:lang w:eastAsia="en-AU"/>
              </w:rPr>
              <w:t xml:space="preserve">. </w:t>
            </w:r>
          </w:p>
          <w:p w14:paraId="718E775F" w14:textId="77777777" w:rsidR="007F17E3" w:rsidRPr="00886F1D" w:rsidRDefault="007F17E3" w:rsidP="00917ECB">
            <w:pPr>
              <w:spacing w:after="0" w:line="240" w:lineRule="auto"/>
              <w:rPr>
                <w:rFonts w:asciiTheme="majorHAnsi" w:eastAsia="Times New Roman" w:hAnsiTheme="majorHAnsi" w:cstheme="majorHAnsi"/>
                <w:color w:val="auto"/>
                <w:sz w:val="20"/>
                <w:lang w:eastAsia="en-AU"/>
              </w:rPr>
            </w:pPr>
          </w:p>
          <w:p w14:paraId="718E7760" w14:textId="77777777" w:rsidR="00AF439A" w:rsidRPr="00886F1D" w:rsidRDefault="007F17E3" w:rsidP="00917ECB">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w:t>
            </w:r>
            <w:r w:rsidR="001562D4" w:rsidRPr="00886F1D">
              <w:rPr>
                <w:rFonts w:asciiTheme="majorHAnsi" w:eastAsia="Times New Roman" w:hAnsiTheme="majorHAnsi" w:cstheme="majorHAnsi"/>
                <w:color w:val="auto"/>
                <w:sz w:val="20"/>
                <w:lang w:eastAsia="en-AU"/>
              </w:rPr>
              <w:t xml:space="preserve"> </w:t>
            </w:r>
            <w:r w:rsidR="004F37C0" w:rsidRPr="00886F1D">
              <w:rPr>
                <w:rFonts w:asciiTheme="majorHAnsi" w:eastAsia="Times New Roman" w:hAnsiTheme="majorHAnsi" w:cstheme="majorHAnsi"/>
                <w:color w:val="auto"/>
                <w:sz w:val="20"/>
                <w:lang w:eastAsia="en-AU"/>
              </w:rPr>
              <w:t xml:space="preserve">Australian </w:t>
            </w:r>
            <w:r w:rsidR="001562D4" w:rsidRPr="00886F1D">
              <w:rPr>
                <w:rFonts w:asciiTheme="majorHAnsi" w:eastAsia="Times New Roman" w:hAnsiTheme="majorHAnsi" w:cstheme="majorHAnsi"/>
                <w:color w:val="auto"/>
                <w:sz w:val="20"/>
                <w:lang w:eastAsia="en-AU"/>
              </w:rPr>
              <w:t xml:space="preserve">Government notes the multiple </w:t>
            </w:r>
            <w:r w:rsidR="009560A2" w:rsidRPr="00886F1D">
              <w:rPr>
                <w:rFonts w:asciiTheme="majorHAnsi" w:eastAsia="Times New Roman" w:hAnsiTheme="majorHAnsi" w:cstheme="majorHAnsi"/>
                <w:color w:val="auto"/>
                <w:sz w:val="20"/>
                <w:lang w:eastAsia="en-AU"/>
              </w:rPr>
              <w:t>existing</w:t>
            </w:r>
            <w:r w:rsidR="001562D4" w:rsidRPr="00886F1D">
              <w:rPr>
                <w:rFonts w:asciiTheme="majorHAnsi" w:eastAsia="Times New Roman" w:hAnsiTheme="majorHAnsi" w:cstheme="majorHAnsi"/>
                <w:color w:val="auto"/>
                <w:sz w:val="20"/>
                <w:lang w:eastAsia="en-AU"/>
              </w:rPr>
              <w:t xml:space="preserve"> linkages between Defence and the </w:t>
            </w:r>
            <w:r w:rsidR="00C53394" w:rsidRPr="00886F1D">
              <w:rPr>
                <w:rFonts w:asciiTheme="majorHAnsi" w:eastAsia="Times New Roman" w:hAnsiTheme="majorHAnsi" w:cstheme="majorHAnsi"/>
                <w:color w:val="auto"/>
                <w:sz w:val="20"/>
                <w:lang w:eastAsia="en-AU"/>
              </w:rPr>
              <w:t xml:space="preserve">Australian Space </w:t>
            </w:r>
            <w:r w:rsidR="001562D4" w:rsidRPr="00886F1D">
              <w:rPr>
                <w:rFonts w:asciiTheme="majorHAnsi" w:eastAsia="Times New Roman" w:hAnsiTheme="majorHAnsi" w:cstheme="majorHAnsi"/>
                <w:color w:val="auto"/>
                <w:sz w:val="20"/>
                <w:lang w:eastAsia="en-AU"/>
              </w:rPr>
              <w:t xml:space="preserve">Agency. </w:t>
            </w:r>
          </w:p>
          <w:p w14:paraId="718E7761" w14:textId="77777777" w:rsidR="001460AC" w:rsidRPr="00886F1D" w:rsidRDefault="001460AC" w:rsidP="001C101F">
            <w:pPr>
              <w:spacing w:after="0" w:line="240" w:lineRule="auto"/>
              <w:rPr>
                <w:rFonts w:asciiTheme="majorHAnsi" w:eastAsia="Times New Roman" w:hAnsiTheme="majorHAnsi" w:cstheme="majorHAnsi"/>
                <w:b/>
                <w:color w:val="auto"/>
                <w:sz w:val="20"/>
                <w:lang w:eastAsia="en-AU"/>
              </w:rPr>
            </w:pPr>
          </w:p>
        </w:tc>
      </w:tr>
      <w:tr w:rsidR="00886F1D" w:rsidRPr="00886F1D" w14:paraId="718E776A" w14:textId="77777777" w:rsidTr="00B52BE2">
        <w:trPr>
          <w:cantSplit/>
          <w:trHeight w:val="941"/>
        </w:trPr>
        <w:tc>
          <w:tcPr>
            <w:tcW w:w="1077" w:type="dxa"/>
            <w:shd w:val="clear" w:color="auto" w:fill="auto"/>
            <w:hideMark/>
          </w:tcPr>
          <w:p w14:paraId="718E7763"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3 (</w:t>
            </w:r>
            <w:r w:rsidR="001460AC" w:rsidRPr="00886F1D">
              <w:rPr>
                <w:rFonts w:asciiTheme="majorHAnsi" w:eastAsia="Times New Roman" w:hAnsiTheme="majorHAnsi" w:cstheme="majorHAnsi"/>
                <w:color w:val="auto"/>
                <w:sz w:val="20"/>
                <w:lang w:eastAsia="en-AU"/>
              </w:rPr>
              <w:t>2.108</w:t>
            </w:r>
            <w:r w:rsidRPr="00886F1D">
              <w:rPr>
                <w:rFonts w:asciiTheme="majorHAnsi" w:eastAsia="Times New Roman" w:hAnsiTheme="majorHAnsi" w:cstheme="majorHAnsi"/>
                <w:color w:val="auto"/>
                <w:sz w:val="20"/>
                <w:lang w:eastAsia="en-AU"/>
              </w:rPr>
              <w:t>)</w:t>
            </w:r>
          </w:p>
          <w:p w14:paraId="718E7764"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65"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work with industry to identify current and future opportunities for the civil space sector to support Australian defence space requirements, including on projects such as DEF 799.</w:t>
            </w:r>
          </w:p>
        </w:tc>
        <w:tc>
          <w:tcPr>
            <w:tcW w:w="4707" w:type="dxa"/>
          </w:tcPr>
          <w:p w14:paraId="718E7766" w14:textId="77777777" w:rsidR="00666054" w:rsidRPr="00886F1D" w:rsidRDefault="00E65B4B" w:rsidP="00666054">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Agreed in Principle</w:t>
            </w:r>
          </w:p>
          <w:p w14:paraId="718E7767" w14:textId="77777777" w:rsidR="00666054" w:rsidRPr="00886F1D" w:rsidRDefault="00666054" w:rsidP="00666054">
            <w:pPr>
              <w:spacing w:after="0" w:line="240" w:lineRule="auto"/>
              <w:rPr>
                <w:rFonts w:asciiTheme="majorHAnsi" w:eastAsia="Times New Roman" w:hAnsiTheme="majorHAnsi" w:cstheme="majorHAnsi"/>
                <w:color w:val="auto"/>
                <w:sz w:val="20"/>
                <w:lang w:eastAsia="en-AU"/>
              </w:rPr>
            </w:pPr>
          </w:p>
          <w:p w14:paraId="718E7768" w14:textId="77777777" w:rsidR="003C65BD" w:rsidRPr="00886F1D" w:rsidRDefault="00666054" w:rsidP="00CE1341">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Australian Defence space requirements </w:t>
            </w:r>
            <w:r w:rsidR="0000681C" w:rsidRPr="00886F1D">
              <w:rPr>
                <w:rFonts w:ascii="Calibri Light" w:hAnsi="Calibri Light" w:cs="Calibri Light"/>
                <w:color w:val="auto"/>
                <w:sz w:val="20"/>
              </w:rPr>
              <w:t xml:space="preserve">have been derived from existing strategic guidance and will be </w:t>
            </w:r>
            <w:r w:rsidR="00B277DD" w:rsidRPr="00886F1D">
              <w:rPr>
                <w:rFonts w:ascii="Calibri Light" w:hAnsi="Calibri Light" w:cs="Calibri Light"/>
                <w:color w:val="auto"/>
                <w:sz w:val="20"/>
              </w:rPr>
              <w:t xml:space="preserve">considered </w:t>
            </w:r>
            <w:r w:rsidR="0000681C" w:rsidRPr="00886F1D">
              <w:rPr>
                <w:rFonts w:ascii="Calibri Light" w:hAnsi="Calibri Light" w:cs="Calibri Light"/>
                <w:color w:val="auto"/>
                <w:sz w:val="20"/>
              </w:rPr>
              <w:t xml:space="preserve">through the </w:t>
            </w:r>
            <w:r w:rsidRPr="00886F1D">
              <w:rPr>
                <w:rFonts w:ascii="Calibri Light" w:hAnsi="Calibri Light" w:cs="Calibri Light"/>
                <w:color w:val="auto"/>
                <w:sz w:val="20"/>
              </w:rPr>
              <w:t>Defe</w:t>
            </w:r>
            <w:r w:rsidRPr="00886F1D">
              <w:rPr>
                <w:rFonts w:asciiTheme="majorHAnsi" w:eastAsia="Times New Roman" w:hAnsiTheme="majorHAnsi" w:cstheme="majorHAnsi"/>
                <w:color w:val="auto"/>
                <w:sz w:val="20"/>
                <w:lang w:eastAsia="en-AU"/>
              </w:rPr>
              <w:t>nce Strategic Review process</w:t>
            </w:r>
            <w:r w:rsidR="000C6442" w:rsidRPr="00886F1D">
              <w:rPr>
                <w:rFonts w:asciiTheme="majorHAnsi" w:eastAsia="Times New Roman" w:hAnsiTheme="majorHAnsi" w:cstheme="majorHAnsi"/>
                <w:color w:val="auto"/>
                <w:sz w:val="20"/>
                <w:lang w:eastAsia="en-AU"/>
              </w:rPr>
              <w:t xml:space="preserve">, </w:t>
            </w:r>
            <w:r w:rsidR="00322EAC" w:rsidRPr="00886F1D">
              <w:rPr>
                <w:rFonts w:asciiTheme="majorHAnsi" w:eastAsia="Times New Roman" w:hAnsiTheme="majorHAnsi" w:cstheme="majorHAnsi"/>
                <w:color w:val="auto"/>
                <w:sz w:val="20"/>
                <w:lang w:eastAsia="en-AU"/>
              </w:rPr>
              <w:t>due to be delivered in early 2023</w:t>
            </w:r>
            <w:r w:rsidRPr="00886F1D">
              <w:rPr>
                <w:rFonts w:asciiTheme="majorHAnsi" w:eastAsia="Times New Roman" w:hAnsiTheme="majorHAnsi" w:cstheme="majorHAnsi"/>
                <w:color w:val="auto"/>
                <w:sz w:val="20"/>
                <w:lang w:eastAsia="en-AU"/>
              </w:rPr>
              <w:t>. The Australian Space Agency</w:t>
            </w:r>
            <w:r w:rsidR="001C7A1E" w:rsidRPr="00886F1D">
              <w:rPr>
                <w:rFonts w:asciiTheme="majorHAnsi" w:eastAsia="Times New Roman" w:hAnsiTheme="majorHAnsi" w:cstheme="majorHAnsi"/>
                <w:color w:val="auto"/>
                <w:sz w:val="20"/>
                <w:lang w:eastAsia="en-AU"/>
              </w:rPr>
              <w:t xml:space="preserve"> </w:t>
            </w:r>
            <w:r w:rsidRPr="00886F1D">
              <w:rPr>
                <w:rFonts w:asciiTheme="majorHAnsi" w:eastAsia="Times New Roman" w:hAnsiTheme="majorHAnsi" w:cstheme="majorHAnsi"/>
                <w:color w:val="auto"/>
                <w:sz w:val="20"/>
                <w:lang w:eastAsia="en-AU"/>
              </w:rPr>
              <w:t>will work with Defence to understand those requirements and</w:t>
            </w:r>
            <w:r w:rsidR="00BE5AC8" w:rsidRPr="00886F1D">
              <w:rPr>
                <w:rFonts w:asciiTheme="majorHAnsi" w:eastAsia="Times New Roman" w:hAnsiTheme="majorHAnsi" w:cstheme="majorHAnsi"/>
                <w:color w:val="auto"/>
                <w:sz w:val="20"/>
                <w:lang w:eastAsia="en-AU"/>
              </w:rPr>
              <w:t xml:space="preserve"> consult industry to identify opportunities. </w:t>
            </w:r>
          </w:p>
          <w:p w14:paraId="718E7769"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p>
        </w:tc>
      </w:tr>
      <w:tr w:rsidR="00886F1D" w:rsidRPr="00886F1D" w14:paraId="718E7774" w14:textId="77777777" w:rsidTr="00B52BE2">
        <w:trPr>
          <w:cantSplit/>
          <w:trHeight w:val="1252"/>
        </w:trPr>
        <w:tc>
          <w:tcPr>
            <w:tcW w:w="1077" w:type="dxa"/>
            <w:shd w:val="clear" w:color="auto" w:fill="auto"/>
            <w:hideMark/>
          </w:tcPr>
          <w:p w14:paraId="718E776B"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4 (</w:t>
            </w:r>
            <w:r w:rsidR="001460AC" w:rsidRPr="00886F1D">
              <w:rPr>
                <w:rFonts w:asciiTheme="majorHAnsi" w:eastAsia="Times New Roman" w:hAnsiTheme="majorHAnsi" w:cstheme="majorHAnsi"/>
                <w:color w:val="auto"/>
                <w:sz w:val="20"/>
                <w:lang w:eastAsia="en-AU"/>
              </w:rPr>
              <w:t>2.109</w:t>
            </w:r>
            <w:r w:rsidRPr="00886F1D">
              <w:rPr>
                <w:rFonts w:asciiTheme="majorHAnsi" w:eastAsia="Times New Roman" w:hAnsiTheme="majorHAnsi" w:cstheme="majorHAnsi"/>
                <w:color w:val="auto"/>
                <w:sz w:val="20"/>
                <w:lang w:eastAsia="en-AU"/>
              </w:rPr>
              <w:t>)</w:t>
            </w:r>
          </w:p>
          <w:p w14:paraId="718E776C"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6D"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establish a whole of government Ministerial Council on Space that comprises representatives from Commonwealth and State and Territory governments, stakeholders and industry groups to oversee the further development and coordination of the Australian space industry as a whole.</w:t>
            </w:r>
          </w:p>
        </w:tc>
        <w:tc>
          <w:tcPr>
            <w:tcW w:w="4707" w:type="dxa"/>
          </w:tcPr>
          <w:p w14:paraId="718E776E"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 xml:space="preserve">Noted </w:t>
            </w:r>
          </w:p>
          <w:p w14:paraId="718E776F"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p>
          <w:p w14:paraId="718E7770" w14:textId="77777777" w:rsidR="00105A15" w:rsidRPr="00886F1D" w:rsidRDefault="00105A15" w:rsidP="00105A15">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3E03A1"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Government notes that a number of formal and ongoing consultative and representative bodies relating to Australia’s space industry are operating and are routinely reviewed with the objective of continuous improvement.</w:t>
            </w:r>
          </w:p>
          <w:p w14:paraId="718E7771" w14:textId="77777777" w:rsidR="00105A15" w:rsidRPr="00886F1D" w:rsidRDefault="00105A15" w:rsidP="00105A15">
            <w:pPr>
              <w:spacing w:after="0" w:line="240" w:lineRule="auto"/>
              <w:rPr>
                <w:rFonts w:asciiTheme="majorHAnsi" w:hAnsiTheme="majorHAnsi" w:cstheme="majorHAnsi"/>
                <w:color w:val="auto"/>
                <w:sz w:val="20"/>
                <w:lang w:eastAsia="en-AU"/>
              </w:rPr>
            </w:pPr>
          </w:p>
          <w:p w14:paraId="718E7772" w14:textId="77777777" w:rsidR="001460AC" w:rsidRPr="00886F1D" w:rsidRDefault="00986843" w:rsidP="00C11F52">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8C6D2D" w:rsidRPr="00886F1D">
              <w:rPr>
                <w:rFonts w:asciiTheme="majorHAnsi" w:hAnsiTheme="majorHAnsi" w:cstheme="majorHAnsi"/>
                <w:color w:val="auto"/>
                <w:sz w:val="20"/>
                <w:lang w:eastAsia="en-AU"/>
              </w:rPr>
              <w:t>Australian Space</w:t>
            </w:r>
            <w:r w:rsidRPr="00886F1D">
              <w:rPr>
                <w:rFonts w:asciiTheme="majorHAnsi" w:hAnsiTheme="majorHAnsi" w:cstheme="majorHAnsi"/>
                <w:color w:val="auto"/>
                <w:sz w:val="20"/>
                <w:lang w:eastAsia="en-AU"/>
              </w:rPr>
              <w:t xml:space="preserve"> Agency is consulting with state and territory governments on models to coordinate the development of Australia</w:t>
            </w:r>
            <w:r w:rsidR="00C11F52" w:rsidRPr="00886F1D">
              <w:rPr>
                <w:rFonts w:asciiTheme="majorHAnsi" w:hAnsiTheme="majorHAnsi" w:cstheme="majorHAnsi"/>
                <w:color w:val="auto"/>
                <w:sz w:val="20"/>
                <w:lang w:eastAsia="en-AU"/>
              </w:rPr>
              <w:t>’s</w:t>
            </w:r>
            <w:r w:rsidRPr="00886F1D">
              <w:rPr>
                <w:rFonts w:asciiTheme="majorHAnsi" w:hAnsiTheme="majorHAnsi" w:cstheme="majorHAnsi"/>
                <w:color w:val="auto"/>
                <w:sz w:val="20"/>
                <w:lang w:eastAsia="en-AU"/>
              </w:rPr>
              <w:t xml:space="preserve"> space industry. This includes consideration of high level bodies that would drive a national approach, as is the case in other nations with space capabilities.</w:t>
            </w:r>
            <w:r w:rsidR="006D710F" w:rsidRPr="00886F1D">
              <w:rPr>
                <w:rFonts w:asciiTheme="majorHAnsi" w:hAnsiTheme="majorHAnsi" w:cstheme="majorHAnsi"/>
                <w:color w:val="auto"/>
                <w:sz w:val="20"/>
                <w:lang w:eastAsia="en-AU"/>
              </w:rPr>
              <w:t xml:space="preserve"> </w:t>
            </w:r>
          </w:p>
          <w:p w14:paraId="718E7773" w14:textId="77777777" w:rsidR="001460AC" w:rsidRPr="00886F1D" w:rsidRDefault="001460AC" w:rsidP="00C11F52">
            <w:pPr>
              <w:spacing w:after="0" w:line="240" w:lineRule="auto"/>
              <w:rPr>
                <w:rFonts w:asciiTheme="majorHAnsi" w:eastAsia="Times New Roman" w:hAnsiTheme="majorHAnsi" w:cstheme="majorHAnsi"/>
                <w:b/>
                <w:color w:val="auto"/>
                <w:sz w:val="20"/>
                <w:lang w:eastAsia="en-AU"/>
              </w:rPr>
            </w:pPr>
          </w:p>
        </w:tc>
      </w:tr>
      <w:tr w:rsidR="00886F1D" w:rsidRPr="00886F1D" w14:paraId="718E7782" w14:textId="77777777" w:rsidTr="00B52BE2">
        <w:trPr>
          <w:cantSplit/>
          <w:trHeight w:val="941"/>
        </w:trPr>
        <w:tc>
          <w:tcPr>
            <w:tcW w:w="1077" w:type="dxa"/>
            <w:shd w:val="clear" w:color="auto" w:fill="auto"/>
            <w:hideMark/>
          </w:tcPr>
          <w:p w14:paraId="718E7775"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lastRenderedPageBreak/>
              <w:t>5 (</w:t>
            </w:r>
            <w:r w:rsidR="001460AC" w:rsidRPr="00886F1D">
              <w:rPr>
                <w:rFonts w:asciiTheme="majorHAnsi" w:eastAsia="Times New Roman" w:hAnsiTheme="majorHAnsi" w:cstheme="majorHAnsi"/>
                <w:color w:val="auto"/>
                <w:sz w:val="20"/>
                <w:lang w:eastAsia="en-AU"/>
              </w:rPr>
              <w:t>2.110</w:t>
            </w:r>
            <w:r w:rsidRPr="00886F1D">
              <w:rPr>
                <w:rFonts w:asciiTheme="majorHAnsi" w:eastAsia="Times New Roman" w:hAnsiTheme="majorHAnsi" w:cstheme="majorHAnsi"/>
                <w:color w:val="auto"/>
                <w:sz w:val="20"/>
                <w:lang w:eastAsia="en-AU"/>
              </w:rPr>
              <w:t>)</w:t>
            </w:r>
          </w:p>
          <w:p w14:paraId="718E7776"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77"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review or strengthen procurement policies and guidelines to ensure that Australian owned and operated space industry content is used where reasonably possible.</w:t>
            </w:r>
          </w:p>
        </w:tc>
        <w:tc>
          <w:tcPr>
            <w:tcW w:w="4707" w:type="dxa"/>
          </w:tcPr>
          <w:p w14:paraId="718E7778" w14:textId="77777777" w:rsidR="00C02649" w:rsidRPr="00886F1D" w:rsidRDefault="00B01152" w:rsidP="00C02649">
            <w:pPr>
              <w:pStyle w:val="CommentText"/>
              <w:spacing w:line="252" w:lineRule="auto"/>
              <w:rPr>
                <w:rFonts w:ascii="Calibri Light" w:hAnsi="Calibri Light" w:cs="Calibri Light"/>
                <w:b/>
                <w:bCs/>
                <w:lang w:eastAsia="en-AU"/>
              </w:rPr>
            </w:pPr>
            <w:r w:rsidRPr="00886F1D">
              <w:rPr>
                <w:rFonts w:ascii="Calibri Light" w:hAnsi="Calibri Light" w:cs="Calibri Light"/>
                <w:b/>
                <w:bCs/>
                <w:lang w:eastAsia="en-AU"/>
              </w:rPr>
              <w:t>Noted</w:t>
            </w:r>
          </w:p>
          <w:p w14:paraId="718E7779" w14:textId="77777777" w:rsidR="00C02649" w:rsidRPr="00886F1D" w:rsidRDefault="00C02649" w:rsidP="00C02649">
            <w:pPr>
              <w:pStyle w:val="CommentText"/>
              <w:spacing w:line="252" w:lineRule="auto"/>
              <w:rPr>
                <w:rFonts w:ascii="Calibri Light" w:hAnsi="Calibri Light" w:cs="Calibri Light"/>
              </w:rPr>
            </w:pPr>
          </w:p>
          <w:p w14:paraId="718E777A" w14:textId="77777777" w:rsidR="00B01152" w:rsidRPr="00886F1D" w:rsidRDefault="00B01152" w:rsidP="00C02649">
            <w:pPr>
              <w:pStyle w:val="CommentText"/>
              <w:spacing w:line="252" w:lineRule="auto"/>
              <w:rPr>
                <w:rFonts w:ascii="Calibri Light" w:hAnsi="Calibri Light" w:cs="Calibri Light"/>
              </w:rPr>
            </w:pPr>
            <w:r w:rsidRPr="00886F1D">
              <w:rPr>
                <w:rFonts w:ascii="Calibri Light" w:hAnsi="Calibri Light" w:cs="Calibri Light"/>
              </w:rPr>
              <w:t xml:space="preserve">The Australian Government supports the development of strong sovereign industry sectors that supply to critical national systems, and will continue to support Australian industries to be competitive on a domestic and international level. This can be seen through a range of initiatives including the 10 point </w:t>
            </w:r>
            <w:r w:rsidRPr="00886F1D">
              <w:rPr>
                <w:rFonts w:ascii="Calibri Light" w:hAnsi="Calibri Light" w:cs="Calibri Light"/>
                <w:i/>
              </w:rPr>
              <w:t>Buy Australian Plan</w:t>
            </w:r>
            <w:r w:rsidRPr="00886F1D">
              <w:rPr>
                <w:rFonts w:ascii="Calibri Light" w:hAnsi="Calibri Light" w:cs="Calibri Light"/>
              </w:rPr>
              <w:t>.</w:t>
            </w:r>
          </w:p>
          <w:p w14:paraId="718E777B" w14:textId="77777777" w:rsidR="00B01152" w:rsidRPr="00886F1D" w:rsidRDefault="00B01152" w:rsidP="00C02649">
            <w:pPr>
              <w:pStyle w:val="CommentText"/>
              <w:spacing w:line="252" w:lineRule="auto"/>
              <w:rPr>
                <w:rFonts w:ascii="Calibri Light" w:hAnsi="Calibri Light" w:cs="Calibri Light"/>
              </w:rPr>
            </w:pPr>
          </w:p>
          <w:p w14:paraId="718E777C" w14:textId="77777777" w:rsidR="00B01152" w:rsidRPr="00886F1D" w:rsidRDefault="00B01152" w:rsidP="00C02649">
            <w:pPr>
              <w:pStyle w:val="CommentText"/>
              <w:spacing w:line="252" w:lineRule="auto"/>
              <w:rPr>
                <w:rFonts w:ascii="Calibri Light" w:hAnsi="Calibri Light" w:cs="Calibri Light"/>
              </w:rPr>
            </w:pPr>
            <w:r w:rsidRPr="00886F1D">
              <w:rPr>
                <w:rFonts w:ascii="Calibri Light" w:hAnsi="Calibri Light" w:cs="Calibri Light"/>
              </w:rPr>
              <w:t xml:space="preserve">The </w:t>
            </w:r>
            <w:r w:rsidRPr="00886F1D">
              <w:rPr>
                <w:rFonts w:ascii="Calibri Light" w:hAnsi="Calibri Light" w:cs="Calibri Light"/>
                <w:i/>
              </w:rPr>
              <w:t>Buy Australian Plan</w:t>
            </w:r>
            <w:r w:rsidRPr="00886F1D">
              <w:rPr>
                <w:rFonts w:ascii="Calibri Light" w:hAnsi="Calibri Light" w:cs="Calibri Light"/>
              </w:rPr>
              <w:t xml:space="preserve"> is part of the Australian Government’s strategy to drive economic growth, rebuild and diversify Australia’s industrial base and leverage government procurement to create sustainable industries.</w:t>
            </w:r>
          </w:p>
          <w:p w14:paraId="718E777D" w14:textId="77777777" w:rsidR="00B01152" w:rsidRPr="00886F1D" w:rsidRDefault="00B01152" w:rsidP="00C02649">
            <w:pPr>
              <w:pStyle w:val="CommentText"/>
              <w:spacing w:line="252" w:lineRule="auto"/>
              <w:rPr>
                <w:rFonts w:ascii="Calibri Light" w:hAnsi="Calibri Light" w:cs="Calibri Light"/>
              </w:rPr>
            </w:pPr>
          </w:p>
          <w:p w14:paraId="718E777E" w14:textId="77777777" w:rsidR="00B01152" w:rsidRPr="00886F1D" w:rsidRDefault="00B01152" w:rsidP="00B01152">
            <w:pPr>
              <w:pStyle w:val="CommentText"/>
              <w:spacing w:line="252" w:lineRule="auto"/>
              <w:rPr>
                <w:rFonts w:ascii="Calibri Light" w:hAnsi="Calibri Light" w:cs="Calibri Light"/>
              </w:rPr>
            </w:pPr>
            <w:r w:rsidRPr="00886F1D">
              <w:rPr>
                <w:rFonts w:ascii="Calibri Light" w:hAnsi="Calibri Light" w:cs="Calibri Light"/>
              </w:rPr>
              <w:t xml:space="preserve">Building a more robust domestic industry capability, consistent with Australia’s international trade obligations, through the Government’s purchasing power will increase the nation’s supply chain resilience, encourage innovation, improve broader economic, social and environmental outcomes, and support business recovery from recent and future economic shocks, such as those caused by the COVID-19 pandemic. </w:t>
            </w:r>
          </w:p>
          <w:p w14:paraId="718E777F" w14:textId="77777777" w:rsidR="00C02649" w:rsidRPr="00886F1D" w:rsidRDefault="00C02649" w:rsidP="00C02649">
            <w:pPr>
              <w:pStyle w:val="CommentText"/>
              <w:spacing w:line="252" w:lineRule="auto"/>
              <w:rPr>
                <w:rFonts w:ascii="Calibri Light" w:hAnsi="Calibri Light" w:cs="Calibri Light"/>
              </w:rPr>
            </w:pPr>
          </w:p>
          <w:p w14:paraId="718E7780" w14:textId="77777777" w:rsidR="00C02649" w:rsidRPr="00886F1D" w:rsidRDefault="00C02649" w:rsidP="00C02649">
            <w:pPr>
              <w:pStyle w:val="CommentText"/>
              <w:spacing w:line="252" w:lineRule="auto"/>
              <w:rPr>
                <w:rFonts w:ascii="Calibri Light" w:hAnsi="Calibri Light" w:cs="Calibri Light"/>
              </w:rPr>
            </w:pPr>
            <w:r w:rsidRPr="00886F1D">
              <w:rPr>
                <w:rFonts w:ascii="Calibri Light" w:hAnsi="Calibri Light" w:cs="Calibri Light"/>
              </w:rPr>
              <w:t>Actions taken by Government in relation to procurement will consider and balance factors including international trade obligations, achieving value for money, the need to develop sovereign capability and mitigating supply chain vulnerabilities.</w:t>
            </w:r>
          </w:p>
          <w:p w14:paraId="718E7781" w14:textId="77777777" w:rsidR="001460AC" w:rsidRPr="00886F1D" w:rsidRDefault="001460AC" w:rsidP="008B35D1">
            <w:pPr>
              <w:pStyle w:val="CommentText"/>
              <w:rPr>
                <w:rFonts w:asciiTheme="majorHAnsi" w:hAnsiTheme="majorHAnsi" w:cstheme="majorHAnsi"/>
                <w:b/>
                <w:lang w:eastAsia="en-AU"/>
              </w:rPr>
            </w:pPr>
          </w:p>
        </w:tc>
      </w:tr>
      <w:tr w:rsidR="00886F1D" w:rsidRPr="00886F1D" w14:paraId="718E778A" w14:textId="77777777" w:rsidTr="00B52BE2">
        <w:trPr>
          <w:cantSplit/>
          <w:trHeight w:val="941"/>
        </w:trPr>
        <w:tc>
          <w:tcPr>
            <w:tcW w:w="1077" w:type="dxa"/>
            <w:shd w:val="clear" w:color="auto" w:fill="auto"/>
            <w:hideMark/>
          </w:tcPr>
          <w:p w14:paraId="718E7783"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5 (</w:t>
            </w:r>
            <w:r w:rsidR="001460AC" w:rsidRPr="00886F1D">
              <w:rPr>
                <w:rFonts w:asciiTheme="majorHAnsi" w:eastAsia="Times New Roman" w:hAnsiTheme="majorHAnsi" w:cstheme="majorHAnsi"/>
                <w:color w:val="auto"/>
                <w:sz w:val="20"/>
                <w:lang w:eastAsia="en-AU"/>
              </w:rPr>
              <w:t>2.111</w:t>
            </w:r>
            <w:r w:rsidRPr="00886F1D">
              <w:rPr>
                <w:rFonts w:asciiTheme="majorHAnsi" w:eastAsia="Times New Roman" w:hAnsiTheme="majorHAnsi" w:cstheme="majorHAnsi"/>
                <w:color w:val="auto"/>
                <w:sz w:val="20"/>
                <w:lang w:eastAsia="en-AU"/>
              </w:rPr>
              <w:t>)</w:t>
            </w:r>
          </w:p>
          <w:p w14:paraId="718E7784"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85"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As part of these procurement guidelines Australian Government departments and agencies be required to set out the rationale for procurement of any space products and services obtained from overseas, including why such a capability could not be sourced domestically.</w:t>
            </w:r>
          </w:p>
          <w:p w14:paraId="718E7786" w14:textId="77777777" w:rsidR="00B01152" w:rsidRPr="00886F1D" w:rsidRDefault="00B01152" w:rsidP="002657DF">
            <w:pPr>
              <w:spacing w:after="0" w:line="240" w:lineRule="auto"/>
              <w:rPr>
                <w:rFonts w:asciiTheme="majorHAnsi" w:eastAsia="Times New Roman" w:hAnsiTheme="majorHAnsi" w:cstheme="majorHAnsi"/>
                <w:color w:val="auto"/>
                <w:sz w:val="20"/>
                <w:lang w:eastAsia="en-AU"/>
              </w:rPr>
            </w:pPr>
          </w:p>
        </w:tc>
        <w:tc>
          <w:tcPr>
            <w:tcW w:w="4707" w:type="dxa"/>
          </w:tcPr>
          <w:p w14:paraId="718E7787" w14:textId="77777777" w:rsidR="00C02649" w:rsidRPr="00886F1D" w:rsidRDefault="00E77F00" w:rsidP="00C02649">
            <w:pPr>
              <w:pStyle w:val="CommentText"/>
              <w:spacing w:line="252" w:lineRule="auto"/>
              <w:rPr>
                <w:rFonts w:ascii="Calibri Light" w:hAnsi="Calibri Light" w:cs="Calibri Light"/>
                <w:b/>
                <w:bCs/>
                <w:lang w:eastAsia="en-AU"/>
              </w:rPr>
            </w:pPr>
            <w:r w:rsidRPr="00886F1D">
              <w:rPr>
                <w:rFonts w:ascii="Calibri Light" w:hAnsi="Calibri Light" w:cs="Calibri Light"/>
                <w:b/>
                <w:bCs/>
                <w:lang w:eastAsia="en-AU"/>
              </w:rPr>
              <w:t>Noted</w:t>
            </w:r>
          </w:p>
          <w:p w14:paraId="718E7788" w14:textId="77777777" w:rsidR="00C02649" w:rsidRPr="00886F1D" w:rsidRDefault="00C02649" w:rsidP="00C02649">
            <w:pPr>
              <w:rPr>
                <w:rFonts w:ascii="Calibri Light" w:hAnsi="Calibri Light" w:cs="Calibri Light"/>
                <w:color w:val="auto"/>
                <w:sz w:val="20"/>
                <w:lang w:eastAsia="en-AU"/>
              </w:rPr>
            </w:pPr>
          </w:p>
          <w:p w14:paraId="718E7789" w14:textId="77777777" w:rsidR="00177ACF" w:rsidRPr="00886F1D" w:rsidRDefault="00B01152" w:rsidP="00C02649">
            <w:pPr>
              <w:pStyle w:val="CommentText"/>
              <w:spacing w:line="252" w:lineRule="auto"/>
              <w:rPr>
                <w:rFonts w:ascii="Calibri Light" w:eastAsiaTheme="minorHAnsi" w:hAnsi="Calibri Light" w:cs="Calibri Light"/>
                <w:lang w:eastAsia="en-AU"/>
              </w:rPr>
            </w:pPr>
            <w:r w:rsidRPr="00886F1D">
              <w:rPr>
                <w:rFonts w:ascii="Calibri Light" w:hAnsi="Calibri Light" w:cs="Calibri Light"/>
              </w:rPr>
              <w:t>See response to recommendation 5 (2.110).</w:t>
            </w:r>
          </w:p>
        </w:tc>
      </w:tr>
      <w:tr w:rsidR="00886F1D" w:rsidRPr="00886F1D" w14:paraId="718E7792" w14:textId="77777777" w:rsidTr="00B52BE2">
        <w:trPr>
          <w:cantSplit/>
          <w:trHeight w:val="941"/>
        </w:trPr>
        <w:tc>
          <w:tcPr>
            <w:tcW w:w="1077" w:type="dxa"/>
            <w:shd w:val="clear" w:color="auto" w:fill="auto"/>
            <w:hideMark/>
          </w:tcPr>
          <w:p w14:paraId="718E778B"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5 (</w:t>
            </w:r>
            <w:r w:rsidR="001460AC" w:rsidRPr="00886F1D">
              <w:rPr>
                <w:rFonts w:asciiTheme="majorHAnsi" w:eastAsia="Times New Roman" w:hAnsiTheme="majorHAnsi" w:cstheme="majorHAnsi"/>
                <w:color w:val="auto"/>
                <w:sz w:val="20"/>
                <w:lang w:eastAsia="en-AU"/>
              </w:rPr>
              <w:t>2.112</w:t>
            </w:r>
            <w:r w:rsidRPr="00886F1D">
              <w:rPr>
                <w:rFonts w:asciiTheme="majorHAnsi" w:eastAsia="Times New Roman" w:hAnsiTheme="majorHAnsi" w:cstheme="majorHAnsi"/>
                <w:color w:val="auto"/>
                <w:sz w:val="20"/>
                <w:lang w:eastAsia="en-AU"/>
              </w:rPr>
              <w:t>)</w:t>
            </w:r>
          </w:p>
          <w:p w14:paraId="718E778C"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8D"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identify suitable points of contact within the Australian Space Agency or the broader Department of Industry, Science, Energy and Resources to assist industry navigate government procurement processes.</w:t>
            </w:r>
          </w:p>
        </w:tc>
        <w:tc>
          <w:tcPr>
            <w:tcW w:w="4707" w:type="dxa"/>
          </w:tcPr>
          <w:p w14:paraId="718E778E" w14:textId="77777777" w:rsidR="00212C09" w:rsidRPr="00886F1D" w:rsidRDefault="00A208AC"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Agreed in Principle</w:t>
            </w:r>
          </w:p>
          <w:p w14:paraId="718E778F" w14:textId="77777777" w:rsidR="00BC7A9B" w:rsidRPr="00886F1D" w:rsidRDefault="00BC7A9B" w:rsidP="00917ECB">
            <w:pPr>
              <w:spacing w:after="0" w:line="240" w:lineRule="auto"/>
              <w:rPr>
                <w:rFonts w:asciiTheme="majorHAnsi" w:eastAsia="Times New Roman" w:hAnsiTheme="majorHAnsi" w:cstheme="majorHAnsi"/>
                <w:b/>
                <w:color w:val="auto"/>
                <w:sz w:val="20"/>
                <w:lang w:eastAsia="en-AU"/>
              </w:rPr>
            </w:pPr>
          </w:p>
          <w:p w14:paraId="718E7790" w14:textId="77777777" w:rsidR="001460AC" w:rsidRPr="00886F1D" w:rsidRDefault="00823D77" w:rsidP="00A00C58">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The </w:t>
            </w:r>
            <w:r w:rsidR="00737047" w:rsidRPr="00886F1D">
              <w:rPr>
                <w:rFonts w:asciiTheme="majorHAnsi" w:eastAsia="Times New Roman" w:hAnsiTheme="majorHAnsi" w:cstheme="majorHAnsi"/>
                <w:color w:val="auto"/>
                <w:sz w:val="20"/>
                <w:lang w:eastAsia="en-AU"/>
              </w:rPr>
              <w:t xml:space="preserve">Business Information </w:t>
            </w:r>
            <w:r w:rsidRPr="00886F1D">
              <w:rPr>
                <w:rFonts w:asciiTheme="majorHAnsi" w:eastAsia="Times New Roman" w:hAnsiTheme="majorHAnsi" w:cstheme="majorHAnsi"/>
                <w:color w:val="auto"/>
                <w:sz w:val="20"/>
                <w:lang w:eastAsia="en-AU"/>
              </w:rPr>
              <w:t>Contact Centre</w:t>
            </w:r>
            <w:r w:rsidR="00737047" w:rsidRPr="00886F1D">
              <w:rPr>
                <w:rFonts w:asciiTheme="majorHAnsi" w:eastAsia="Times New Roman" w:hAnsiTheme="majorHAnsi" w:cstheme="majorHAnsi"/>
                <w:color w:val="auto"/>
                <w:sz w:val="20"/>
                <w:lang w:eastAsia="en-AU"/>
              </w:rPr>
              <w:t xml:space="preserve"> (</w:t>
            </w:r>
            <w:proofErr w:type="spellStart"/>
            <w:r w:rsidR="00737047" w:rsidRPr="00886F1D">
              <w:rPr>
                <w:rFonts w:asciiTheme="majorHAnsi" w:eastAsia="Times New Roman" w:hAnsiTheme="majorHAnsi" w:cstheme="majorHAnsi"/>
                <w:color w:val="auto"/>
                <w:sz w:val="20"/>
                <w:lang w:eastAsia="en-AU"/>
              </w:rPr>
              <w:t>AusIndustry</w:t>
            </w:r>
            <w:proofErr w:type="spellEnd"/>
            <w:r w:rsidR="00737047" w:rsidRPr="00886F1D">
              <w:rPr>
                <w:rFonts w:asciiTheme="majorHAnsi" w:eastAsia="Times New Roman" w:hAnsiTheme="majorHAnsi" w:cstheme="majorHAnsi"/>
                <w:color w:val="auto"/>
                <w:sz w:val="20"/>
                <w:lang w:eastAsia="en-AU"/>
              </w:rPr>
              <w:t>)</w:t>
            </w:r>
            <w:r w:rsidRPr="00886F1D">
              <w:rPr>
                <w:rFonts w:asciiTheme="majorHAnsi" w:eastAsia="Times New Roman" w:hAnsiTheme="majorHAnsi" w:cstheme="majorHAnsi"/>
                <w:color w:val="auto"/>
                <w:sz w:val="20"/>
                <w:lang w:eastAsia="en-AU"/>
              </w:rPr>
              <w:t xml:space="preserve">, in </w:t>
            </w:r>
            <w:r w:rsidR="00212C09" w:rsidRPr="00886F1D">
              <w:rPr>
                <w:rFonts w:asciiTheme="majorHAnsi" w:eastAsia="Times New Roman" w:hAnsiTheme="majorHAnsi" w:cstheme="majorHAnsi"/>
                <w:color w:val="auto"/>
                <w:sz w:val="20"/>
                <w:lang w:eastAsia="en-AU"/>
              </w:rPr>
              <w:t>the Department of Industry, Science and Resources</w:t>
            </w:r>
            <w:r w:rsidR="00A208AC" w:rsidRPr="00886F1D">
              <w:rPr>
                <w:rFonts w:asciiTheme="majorHAnsi" w:eastAsia="Times New Roman" w:hAnsiTheme="majorHAnsi" w:cstheme="majorHAnsi"/>
                <w:color w:val="auto"/>
                <w:sz w:val="20"/>
                <w:lang w:eastAsia="en-AU"/>
              </w:rPr>
              <w:t xml:space="preserve"> (DISR)</w:t>
            </w:r>
            <w:r w:rsidRPr="00886F1D">
              <w:rPr>
                <w:rFonts w:asciiTheme="majorHAnsi" w:eastAsia="Times New Roman" w:hAnsiTheme="majorHAnsi" w:cstheme="majorHAnsi"/>
                <w:color w:val="auto"/>
                <w:sz w:val="20"/>
                <w:lang w:eastAsia="en-AU"/>
              </w:rPr>
              <w:t xml:space="preserve">, is an integral part of the </w:t>
            </w:r>
            <w:r w:rsidR="008C6D2D" w:rsidRPr="00886F1D">
              <w:rPr>
                <w:rFonts w:asciiTheme="majorHAnsi" w:eastAsia="Times New Roman" w:hAnsiTheme="majorHAnsi" w:cstheme="majorHAnsi"/>
                <w:color w:val="auto"/>
                <w:sz w:val="20"/>
                <w:lang w:eastAsia="en-AU"/>
              </w:rPr>
              <w:t xml:space="preserve">Australian </w:t>
            </w:r>
            <w:r w:rsidR="000809C8" w:rsidRPr="00886F1D">
              <w:rPr>
                <w:rFonts w:asciiTheme="majorHAnsi" w:eastAsia="Times New Roman" w:hAnsiTheme="majorHAnsi" w:cstheme="majorHAnsi"/>
                <w:color w:val="auto"/>
                <w:sz w:val="20"/>
                <w:lang w:eastAsia="en-AU"/>
              </w:rPr>
              <w:t>G</w:t>
            </w:r>
            <w:r w:rsidRPr="00886F1D">
              <w:rPr>
                <w:rFonts w:asciiTheme="majorHAnsi" w:eastAsia="Times New Roman" w:hAnsiTheme="majorHAnsi" w:cstheme="majorHAnsi"/>
                <w:color w:val="auto"/>
                <w:sz w:val="20"/>
                <w:lang w:eastAsia="en-AU"/>
              </w:rPr>
              <w:t>overnment’s front door for business, providing support, advice and referrals.</w:t>
            </w:r>
            <w:r w:rsidR="00212C09" w:rsidRPr="00886F1D">
              <w:rPr>
                <w:rFonts w:asciiTheme="majorHAnsi" w:eastAsia="Times New Roman" w:hAnsiTheme="majorHAnsi" w:cstheme="majorHAnsi"/>
                <w:color w:val="auto"/>
                <w:sz w:val="20"/>
                <w:lang w:eastAsia="en-AU"/>
              </w:rPr>
              <w:t xml:space="preserve"> </w:t>
            </w:r>
            <w:r w:rsidRPr="00886F1D">
              <w:rPr>
                <w:rFonts w:asciiTheme="majorHAnsi" w:eastAsia="Times New Roman" w:hAnsiTheme="majorHAnsi" w:cstheme="majorHAnsi"/>
                <w:color w:val="auto"/>
                <w:sz w:val="20"/>
                <w:lang w:eastAsia="en-AU"/>
              </w:rPr>
              <w:t xml:space="preserve">The contact centre forms an important part of the </w:t>
            </w:r>
            <w:r w:rsidR="000809C8" w:rsidRPr="00886F1D">
              <w:rPr>
                <w:rFonts w:asciiTheme="majorHAnsi" w:eastAsia="Times New Roman" w:hAnsiTheme="majorHAnsi" w:cstheme="majorHAnsi"/>
                <w:color w:val="auto"/>
                <w:sz w:val="20"/>
                <w:lang w:eastAsia="en-AU"/>
              </w:rPr>
              <w:t>D</w:t>
            </w:r>
            <w:r w:rsidRPr="00886F1D">
              <w:rPr>
                <w:rFonts w:asciiTheme="majorHAnsi" w:eastAsia="Times New Roman" w:hAnsiTheme="majorHAnsi" w:cstheme="majorHAnsi"/>
                <w:color w:val="auto"/>
                <w:sz w:val="20"/>
                <w:lang w:eastAsia="en-AU"/>
              </w:rPr>
              <w:t>epartment's outreach function to business, including the space sector. These outreach functions include business.gov.au.</w:t>
            </w:r>
          </w:p>
          <w:p w14:paraId="718E7791" w14:textId="77777777" w:rsidR="00F927CB" w:rsidRPr="00886F1D" w:rsidRDefault="00F927CB" w:rsidP="00A00C58">
            <w:pPr>
              <w:spacing w:after="0" w:line="240" w:lineRule="auto"/>
              <w:rPr>
                <w:rFonts w:asciiTheme="majorHAnsi" w:eastAsia="Times New Roman" w:hAnsiTheme="majorHAnsi" w:cstheme="majorHAnsi"/>
                <w:color w:val="auto"/>
                <w:sz w:val="20"/>
                <w:lang w:eastAsia="en-AU"/>
              </w:rPr>
            </w:pPr>
          </w:p>
        </w:tc>
      </w:tr>
      <w:tr w:rsidR="00886F1D" w:rsidRPr="00886F1D" w14:paraId="718E779B" w14:textId="77777777" w:rsidTr="00B52BE2">
        <w:trPr>
          <w:cantSplit/>
          <w:trHeight w:val="941"/>
        </w:trPr>
        <w:tc>
          <w:tcPr>
            <w:tcW w:w="1077" w:type="dxa"/>
            <w:shd w:val="clear" w:color="auto" w:fill="auto"/>
            <w:hideMark/>
          </w:tcPr>
          <w:p w14:paraId="718E7793"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lastRenderedPageBreak/>
              <w:t>6 (</w:t>
            </w:r>
            <w:r w:rsidR="001460AC" w:rsidRPr="00886F1D">
              <w:rPr>
                <w:rFonts w:asciiTheme="majorHAnsi" w:eastAsia="Times New Roman" w:hAnsiTheme="majorHAnsi" w:cstheme="majorHAnsi"/>
                <w:color w:val="auto"/>
                <w:sz w:val="20"/>
                <w:lang w:eastAsia="en-AU"/>
              </w:rPr>
              <w:t>2.113</w:t>
            </w:r>
            <w:r w:rsidRPr="00886F1D">
              <w:rPr>
                <w:rFonts w:asciiTheme="majorHAnsi" w:eastAsia="Times New Roman" w:hAnsiTheme="majorHAnsi" w:cstheme="majorHAnsi"/>
                <w:color w:val="auto"/>
                <w:sz w:val="20"/>
                <w:lang w:eastAsia="en-AU"/>
              </w:rPr>
              <w:t>)</w:t>
            </w:r>
          </w:p>
          <w:p w14:paraId="718E7794"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95" w14:textId="77777777" w:rsidR="008042A6"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examine the feasibility of establishing an expert technical advisor, similar to the model adopted in the United States, to support government with procurement of space based products and services, and the development of national missions.</w:t>
            </w:r>
          </w:p>
          <w:p w14:paraId="718E7796"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4707" w:type="dxa"/>
          </w:tcPr>
          <w:p w14:paraId="718E7797"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 xml:space="preserve">Agreed in </w:t>
            </w:r>
            <w:r w:rsidR="00D417F2" w:rsidRPr="00886F1D">
              <w:rPr>
                <w:rFonts w:asciiTheme="majorHAnsi" w:eastAsia="Times New Roman" w:hAnsiTheme="majorHAnsi" w:cstheme="majorHAnsi"/>
                <w:b/>
                <w:color w:val="auto"/>
                <w:sz w:val="20"/>
                <w:lang w:eastAsia="en-AU"/>
              </w:rPr>
              <w:t>P</w:t>
            </w:r>
            <w:r w:rsidRPr="00886F1D">
              <w:rPr>
                <w:rFonts w:asciiTheme="majorHAnsi" w:eastAsia="Times New Roman" w:hAnsiTheme="majorHAnsi" w:cstheme="majorHAnsi"/>
                <w:b/>
                <w:color w:val="auto"/>
                <w:sz w:val="20"/>
                <w:lang w:eastAsia="en-AU"/>
              </w:rPr>
              <w:t>rinciple</w:t>
            </w:r>
          </w:p>
          <w:p w14:paraId="718E7798" w14:textId="77777777" w:rsidR="001460AC" w:rsidRPr="00886F1D" w:rsidRDefault="001460AC" w:rsidP="00917ECB">
            <w:pPr>
              <w:spacing w:after="0" w:line="240" w:lineRule="auto"/>
              <w:rPr>
                <w:rFonts w:asciiTheme="majorHAnsi" w:eastAsia="Times New Roman" w:hAnsiTheme="majorHAnsi" w:cstheme="majorHAnsi"/>
                <w:color w:val="auto"/>
                <w:sz w:val="20"/>
                <w:lang w:eastAsia="en-AU"/>
              </w:rPr>
            </w:pPr>
          </w:p>
          <w:p w14:paraId="718E7799" w14:textId="77777777" w:rsidR="006D710F" w:rsidRPr="00886F1D" w:rsidRDefault="001C101F" w:rsidP="006D710F">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Australian Government will consider </w:t>
            </w:r>
            <w:r w:rsidR="006D710F" w:rsidRPr="00886F1D" w:rsidDel="00A176CA">
              <w:rPr>
                <w:rFonts w:asciiTheme="majorHAnsi" w:hAnsiTheme="majorHAnsi" w:cstheme="majorHAnsi"/>
                <w:color w:val="auto"/>
                <w:sz w:val="20"/>
                <w:lang w:eastAsia="en-AU"/>
              </w:rPr>
              <w:t>the need for independent technical advice</w:t>
            </w:r>
            <w:r w:rsidR="00E9554E" w:rsidRPr="00886F1D">
              <w:rPr>
                <w:rFonts w:asciiTheme="majorHAnsi" w:hAnsiTheme="majorHAnsi" w:cstheme="majorHAnsi"/>
                <w:color w:val="auto"/>
                <w:sz w:val="20"/>
                <w:lang w:eastAsia="en-AU"/>
              </w:rPr>
              <w:t xml:space="preserve"> to inform procurement of space based products and services as part of its future agenda</w:t>
            </w:r>
            <w:r w:rsidR="006D710F" w:rsidRPr="00886F1D" w:rsidDel="00A176CA">
              <w:rPr>
                <w:rFonts w:asciiTheme="majorHAnsi" w:hAnsiTheme="majorHAnsi" w:cstheme="majorHAnsi"/>
                <w:color w:val="auto"/>
                <w:sz w:val="20"/>
                <w:lang w:eastAsia="en-AU"/>
              </w:rPr>
              <w:t xml:space="preserve">.  </w:t>
            </w:r>
          </w:p>
          <w:p w14:paraId="718E779A" w14:textId="77777777" w:rsidR="001460AC" w:rsidRPr="00886F1D" w:rsidRDefault="001460AC" w:rsidP="00DC6944">
            <w:pPr>
              <w:spacing w:after="0" w:line="240" w:lineRule="auto"/>
              <w:rPr>
                <w:rFonts w:asciiTheme="majorHAnsi" w:eastAsia="Times New Roman" w:hAnsiTheme="majorHAnsi" w:cstheme="majorHAnsi"/>
                <w:b/>
                <w:color w:val="auto"/>
                <w:sz w:val="20"/>
                <w:highlight w:val="yellow"/>
                <w:lang w:eastAsia="en-AU"/>
              </w:rPr>
            </w:pPr>
          </w:p>
        </w:tc>
      </w:tr>
      <w:tr w:rsidR="00886F1D" w:rsidRPr="00886F1D" w14:paraId="718E77B1" w14:textId="77777777" w:rsidTr="00B52BE2">
        <w:trPr>
          <w:cantSplit/>
          <w:trHeight w:val="983"/>
        </w:trPr>
        <w:tc>
          <w:tcPr>
            <w:tcW w:w="1077" w:type="dxa"/>
            <w:shd w:val="clear" w:color="auto" w:fill="auto"/>
            <w:hideMark/>
          </w:tcPr>
          <w:p w14:paraId="718E779C"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7 (</w:t>
            </w:r>
            <w:r w:rsidR="001460AC" w:rsidRPr="00886F1D">
              <w:rPr>
                <w:rFonts w:asciiTheme="majorHAnsi" w:eastAsia="Times New Roman" w:hAnsiTheme="majorHAnsi" w:cstheme="majorHAnsi"/>
                <w:color w:val="auto"/>
                <w:sz w:val="20"/>
                <w:lang w:eastAsia="en-AU"/>
              </w:rPr>
              <w:t>2.114</w:t>
            </w:r>
            <w:r w:rsidRPr="00886F1D">
              <w:rPr>
                <w:rFonts w:asciiTheme="majorHAnsi" w:eastAsia="Times New Roman" w:hAnsiTheme="majorHAnsi" w:cstheme="majorHAnsi"/>
                <w:color w:val="auto"/>
                <w:sz w:val="20"/>
                <w:lang w:eastAsia="en-AU"/>
              </w:rPr>
              <w:t>)</w:t>
            </w:r>
          </w:p>
          <w:p w14:paraId="718E779D"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9E"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examine options to increase the visibility of space across the Government and Parliament to emphasize its importance and communicate its relevance to Australians. This could include but not be limited to:</w:t>
            </w:r>
          </w:p>
          <w:p w14:paraId="718E779F" w14:textId="77777777" w:rsidR="001460AC" w:rsidRPr="00886F1D" w:rsidRDefault="001460AC" w:rsidP="002657DF">
            <w:pPr>
              <w:pStyle w:val="ListParagraph"/>
              <w:numPr>
                <w:ilvl w:val="0"/>
                <w:numId w:val="2"/>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(a) Incorporating space as a specific focus of a joint or house parliamentary committee, including in the name of the committee</w:t>
            </w:r>
          </w:p>
          <w:p w14:paraId="718E77A0" w14:textId="77777777" w:rsidR="001460AC" w:rsidRPr="00886F1D" w:rsidRDefault="001460AC" w:rsidP="002657DF">
            <w:pPr>
              <w:pStyle w:val="ListParagraph"/>
              <w:numPr>
                <w:ilvl w:val="0"/>
                <w:numId w:val="2"/>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(b) Ensuring that a research position within the Parliamentary Library covers space related issues to ensure that adequate research support is available to Members and Senators</w:t>
            </w:r>
          </w:p>
          <w:p w14:paraId="718E77A1" w14:textId="77777777" w:rsidR="001460AC" w:rsidRPr="00886F1D" w:rsidRDefault="001460AC" w:rsidP="002657DF">
            <w:pPr>
              <w:pStyle w:val="ListParagraph"/>
              <w:numPr>
                <w:ilvl w:val="0"/>
                <w:numId w:val="2"/>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(c) Ensuring that adequate positions across the Australian public service can cover the breadth of space related issued and matters as they relate to particular departments and agencies.</w:t>
            </w:r>
          </w:p>
        </w:tc>
        <w:tc>
          <w:tcPr>
            <w:tcW w:w="4707" w:type="dxa"/>
          </w:tcPr>
          <w:p w14:paraId="718E77A2" w14:textId="77777777" w:rsidR="00AB4C01" w:rsidRPr="00886F1D" w:rsidRDefault="006710A8" w:rsidP="00917ECB">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b/>
                <w:color w:val="auto"/>
                <w:sz w:val="20"/>
                <w:lang w:eastAsia="en-AU"/>
              </w:rPr>
              <w:t>Noted</w:t>
            </w:r>
          </w:p>
          <w:p w14:paraId="718E77A3" w14:textId="77777777" w:rsidR="00AB4C01" w:rsidRPr="00886F1D" w:rsidRDefault="00AB4C01" w:rsidP="00917ECB">
            <w:pPr>
              <w:spacing w:after="0" w:line="240" w:lineRule="auto"/>
              <w:rPr>
                <w:rFonts w:asciiTheme="majorHAnsi" w:eastAsia="Times New Roman" w:hAnsiTheme="majorHAnsi" w:cstheme="majorHAnsi"/>
                <w:color w:val="auto"/>
                <w:sz w:val="20"/>
                <w:lang w:eastAsia="en-AU"/>
              </w:rPr>
            </w:pPr>
          </w:p>
          <w:p w14:paraId="718E77A4" w14:textId="77777777" w:rsidR="00263CC5" w:rsidRPr="00886F1D" w:rsidRDefault="001460AC" w:rsidP="00917ECB">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The </w:t>
            </w:r>
            <w:r w:rsidR="003E03A1" w:rsidRPr="00886F1D">
              <w:rPr>
                <w:rFonts w:asciiTheme="majorHAnsi" w:eastAsia="Times New Roman" w:hAnsiTheme="majorHAnsi" w:cstheme="majorHAnsi"/>
                <w:color w:val="auto"/>
                <w:sz w:val="20"/>
                <w:lang w:eastAsia="en-AU"/>
              </w:rPr>
              <w:t xml:space="preserve">Australian </w:t>
            </w:r>
            <w:r w:rsidRPr="00886F1D">
              <w:rPr>
                <w:rFonts w:asciiTheme="majorHAnsi" w:eastAsia="Times New Roman" w:hAnsiTheme="majorHAnsi" w:cstheme="majorHAnsi"/>
                <w:color w:val="auto"/>
                <w:sz w:val="20"/>
                <w:lang w:eastAsia="en-AU"/>
              </w:rPr>
              <w:t xml:space="preserve">Government recognises the importance of communicating the relevance and benefits of space to Australians. </w:t>
            </w:r>
            <w:r w:rsidR="00AB4C01" w:rsidRPr="00886F1D">
              <w:rPr>
                <w:rFonts w:asciiTheme="majorHAnsi" w:eastAsia="Times New Roman" w:hAnsiTheme="majorHAnsi" w:cstheme="majorHAnsi"/>
                <w:color w:val="auto"/>
                <w:sz w:val="20"/>
                <w:lang w:eastAsia="en-AU"/>
              </w:rPr>
              <w:t>T</w:t>
            </w:r>
            <w:r w:rsidRPr="00886F1D">
              <w:rPr>
                <w:rFonts w:asciiTheme="majorHAnsi" w:eastAsia="Times New Roman" w:hAnsiTheme="majorHAnsi" w:cstheme="majorHAnsi"/>
                <w:color w:val="auto"/>
                <w:sz w:val="20"/>
                <w:lang w:eastAsia="en-AU"/>
              </w:rPr>
              <w:t xml:space="preserve">he </w:t>
            </w:r>
            <w:r w:rsidR="004E5D9E" w:rsidRPr="00886F1D">
              <w:rPr>
                <w:rFonts w:asciiTheme="majorHAnsi" w:eastAsia="Times New Roman" w:hAnsiTheme="majorHAnsi" w:cstheme="majorHAnsi"/>
                <w:color w:val="auto"/>
                <w:sz w:val="20"/>
                <w:lang w:eastAsia="en-AU"/>
              </w:rPr>
              <w:t>Australian Space</w:t>
            </w:r>
            <w:r w:rsidRPr="00886F1D">
              <w:rPr>
                <w:rFonts w:asciiTheme="majorHAnsi" w:eastAsia="Times New Roman" w:hAnsiTheme="majorHAnsi" w:cstheme="majorHAnsi"/>
                <w:color w:val="auto"/>
                <w:sz w:val="20"/>
                <w:lang w:eastAsia="en-AU"/>
              </w:rPr>
              <w:t xml:space="preserve"> Agency will continue to lead </w:t>
            </w:r>
            <w:r w:rsidR="00AB4C01" w:rsidRPr="00886F1D">
              <w:rPr>
                <w:rFonts w:asciiTheme="majorHAnsi" w:eastAsia="Times New Roman" w:hAnsiTheme="majorHAnsi" w:cstheme="majorHAnsi"/>
                <w:color w:val="auto"/>
                <w:sz w:val="20"/>
                <w:lang w:eastAsia="en-AU"/>
              </w:rPr>
              <w:t xml:space="preserve">the </w:t>
            </w:r>
            <w:r w:rsidRPr="00886F1D">
              <w:rPr>
                <w:rFonts w:asciiTheme="majorHAnsi" w:eastAsia="Times New Roman" w:hAnsiTheme="majorHAnsi" w:cstheme="majorHAnsi"/>
                <w:color w:val="auto"/>
                <w:sz w:val="20"/>
                <w:lang w:eastAsia="en-AU"/>
              </w:rPr>
              <w:t xml:space="preserve">coordination of space across the </w:t>
            </w:r>
            <w:r w:rsidR="003E03A1" w:rsidRPr="00886F1D">
              <w:rPr>
                <w:rFonts w:asciiTheme="majorHAnsi" w:eastAsia="Times New Roman" w:hAnsiTheme="majorHAnsi" w:cstheme="majorHAnsi"/>
                <w:color w:val="auto"/>
                <w:sz w:val="20"/>
                <w:lang w:eastAsia="en-AU"/>
              </w:rPr>
              <w:t xml:space="preserve">Australian </w:t>
            </w:r>
            <w:r w:rsidRPr="00886F1D">
              <w:rPr>
                <w:rFonts w:asciiTheme="majorHAnsi" w:eastAsia="Times New Roman" w:hAnsiTheme="majorHAnsi" w:cstheme="majorHAnsi"/>
                <w:color w:val="auto"/>
                <w:sz w:val="20"/>
                <w:lang w:eastAsia="en-AU"/>
              </w:rPr>
              <w:t>Government, Parliament, and the community more broadly.</w:t>
            </w:r>
            <w:r w:rsidR="001C101F" w:rsidRPr="00886F1D">
              <w:rPr>
                <w:rFonts w:asciiTheme="majorHAnsi" w:eastAsia="Times New Roman" w:hAnsiTheme="majorHAnsi" w:cstheme="majorHAnsi"/>
                <w:color w:val="auto"/>
                <w:sz w:val="20"/>
                <w:lang w:eastAsia="en-AU"/>
              </w:rPr>
              <w:t xml:space="preserve"> </w:t>
            </w:r>
          </w:p>
          <w:p w14:paraId="718E77A5" w14:textId="77777777" w:rsidR="001460AC" w:rsidRPr="00886F1D" w:rsidRDefault="001460AC" w:rsidP="00917ECB">
            <w:pPr>
              <w:spacing w:after="0" w:line="240" w:lineRule="auto"/>
              <w:rPr>
                <w:rFonts w:asciiTheme="majorHAnsi" w:eastAsia="Times New Roman" w:hAnsiTheme="majorHAnsi" w:cstheme="majorHAnsi"/>
                <w:color w:val="auto"/>
                <w:sz w:val="20"/>
                <w:lang w:eastAsia="en-AU"/>
              </w:rPr>
            </w:pPr>
          </w:p>
          <w:p w14:paraId="718E77A6"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 xml:space="preserve">Response provided against each sub-point of recommendation </w:t>
            </w:r>
            <w:r w:rsidR="009560A2" w:rsidRPr="00886F1D">
              <w:rPr>
                <w:rFonts w:asciiTheme="majorHAnsi" w:eastAsia="Times New Roman" w:hAnsiTheme="majorHAnsi" w:cstheme="majorHAnsi"/>
                <w:b/>
                <w:color w:val="auto"/>
                <w:sz w:val="20"/>
                <w:lang w:eastAsia="en-AU"/>
              </w:rPr>
              <w:t xml:space="preserve">7 (2.114) </w:t>
            </w:r>
            <w:r w:rsidRPr="00886F1D">
              <w:rPr>
                <w:rFonts w:asciiTheme="majorHAnsi" w:eastAsia="Times New Roman" w:hAnsiTheme="majorHAnsi" w:cstheme="majorHAnsi"/>
                <w:b/>
                <w:color w:val="auto"/>
                <w:sz w:val="20"/>
                <w:lang w:eastAsia="en-AU"/>
              </w:rPr>
              <w:t>below:</w:t>
            </w:r>
          </w:p>
          <w:p w14:paraId="718E77A7"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p>
          <w:p w14:paraId="718E77A8"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(a) Noted</w:t>
            </w:r>
          </w:p>
          <w:p w14:paraId="718E77A9" w14:textId="77777777" w:rsidR="001460AC" w:rsidRPr="00886F1D" w:rsidRDefault="001460AC" w:rsidP="00917ECB">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The </w:t>
            </w:r>
            <w:r w:rsidR="003E03A1" w:rsidRPr="00886F1D">
              <w:rPr>
                <w:rFonts w:asciiTheme="majorHAnsi" w:eastAsia="Times New Roman" w:hAnsiTheme="majorHAnsi" w:cstheme="majorHAnsi"/>
                <w:color w:val="auto"/>
                <w:sz w:val="20"/>
                <w:lang w:eastAsia="en-AU"/>
              </w:rPr>
              <w:t xml:space="preserve">Australian </w:t>
            </w:r>
            <w:r w:rsidRPr="00886F1D">
              <w:rPr>
                <w:rFonts w:asciiTheme="majorHAnsi" w:eastAsia="Times New Roman" w:hAnsiTheme="majorHAnsi" w:cstheme="majorHAnsi"/>
                <w:color w:val="auto"/>
                <w:sz w:val="20"/>
                <w:lang w:eastAsia="en-AU"/>
              </w:rPr>
              <w:t>Government notes that matters relating to joint or house parliamentary committees are a matter for consideration by Parliament.</w:t>
            </w:r>
          </w:p>
          <w:p w14:paraId="718E77AA" w14:textId="77777777" w:rsidR="001460AC" w:rsidRPr="00886F1D" w:rsidRDefault="001460AC" w:rsidP="00917ECB">
            <w:pPr>
              <w:spacing w:after="0" w:line="240" w:lineRule="auto"/>
              <w:rPr>
                <w:rFonts w:asciiTheme="majorHAnsi" w:eastAsia="Times New Roman" w:hAnsiTheme="majorHAnsi" w:cstheme="majorHAnsi"/>
                <w:color w:val="auto"/>
                <w:sz w:val="20"/>
                <w:lang w:eastAsia="en-AU"/>
              </w:rPr>
            </w:pPr>
          </w:p>
          <w:p w14:paraId="718E77AB"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(b) Noted</w:t>
            </w:r>
          </w:p>
          <w:p w14:paraId="718E77AC" w14:textId="77777777" w:rsidR="001460AC" w:rsidRPr="00886F1D" w:rsidRDefault="001460AC" w:rsidP="00917ECB">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The </w:t>
            </w:r>
            <w:r w:rsidR="003E03A1" w:rsidRPr="00886F1D">
              <w:rPr>
                <w:rFonts w:asciiTheme="majorHAnsi" w:eastAsia="Times New Roman" w:hAnsiTheme="majorHAnsi" w:cstheme="majorHAnsi"/>
                <w:color w:val="auto"/>
                <w:sz w:val="20"/>
                <w:lang w:eastAsia="en-AU"/>
              </w:rPr>
              <w:t xml:space="preserve">Australian </w:t>
            </w:r>
            <w:r w:rsidRPr="00886F1D">
              <w:rPr>
                <w:rFonts w:asciiTheme="majorHAnsi" w:eastAsia="Times New Roman" w:hAnsiTheme="majorHAnsi" w:cstheme="majorHAnsi"/>
                <w:color w:val="auto"/>
                <w:sz w:val="20"/>
                <w:lang w:eastAsia="en-AU"/>
              </w:rPr>
              <w:t>Government notes that this is a matter for the Parliamentary Librarian and the presiding officers to consider.</w:t>
            </w:r>
          </w:p>
          <w:p w14:paraId="718E77AD" w14:textId="77777777" w:rsidR="001460AC" w:rsidRPr="00886F1D" w:rsidRDefault="001460AC" w:rsidP="00917ECB">
            <w:pPr>
              <w:spacing w:after="0" w:line="240" w:lineRule="auto"/>
              <w:rPr>
                <w:rFonts w:asciiTheme="majorHAnsi" w:eastAsia="Times New Roman" w:hAnsiTheme="majorHAnsi" w:cstheme="majorHAnsi"/>
                <w:color w:val="auto"/>
                <w:sz w:val="20"/>
                <w:lang w:eastAsia="en-AU"/>
              </w:rPr>
            </w:pPr>
          </w:p>
          <w:p w14:paraId="718E77AE" w14:textId="77777777" w:rsidR="001460AC" w:rsidRPr="00886F1D" w:rsidRDefault="001460AC" w:rsidP="00917ECB">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b/>
                <w:color w:val="auto"/>
                <w:sz w:val="20"/>
                <w:lang w:eastAsia="en-AU"/>
              </w:rPr>
              <w:t>(c) Agreed in principle</w:t>
            </w:r>
          </w:p>
          <w:p w14:paraId="718E77AF" w14:textId="77777777" w:rsidR="00D4331C" w:rsidRPr="00886F1D" w:rsidRDefault="00F86623" w:rsidP="00D4331C">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Employment of appropriately skilled people in space-related roles and activities are a matter for the responsible departments and agencies</w:t>
            </w:r>
            <w:r w:rsidR="00D4331C" w:rsidRPr="00886F1D">
              <w:rPr>
                <w:rFonts w:asciiTheme="majorHAnsi" w:eastAsia="Times New Roman" w:hAnsiTheme="majorHAnsi" w:cstheme="majorHAnsi"/>
                <w:color w:val="auto"/>
                <w:sz w:val="20"/>
                <w:lang w:eastAsia="en-AU"/>
              </w:rPr>
              <w:t>.</w:t>
            </w:r>
          </w:p>
          <w:p w14:paraId="718E77B0" w14:textId="77777777" w:rsidR="001460AC" w:rsidRPr="00886F1D" w:rsidRDefault="001460AC" w:rsidP="00917ECB">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 </w:t>
            </w:r>
          </w:p>
        </w:tc>
      </w:tr>
      <w:tr w:rsidR="00886F1D" w:rsidRPr="00886F1D" w14:paraId="718E77BF" w14:textId="77777777" w:rsidTr="00B52BE2">
        <w:trPr>
          <w:cantSplit/>
          <w:trHeight w:val="3960"/>
        </w:trPr>
        <w:tc>
          <w:tcPr>
            <w:tcW w:w="1077" w:type="dxa"/>
            <w:shd w:val="clear" w:color="auto" w:fill="auto"/>
            <w:hideMark/>
          </w:tcPr>
          <w:p w14:paraId="718E77B2"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8 (</w:t>
            </w:r>
            <w:r w:rsidR="001460AC" w:rsidRPr="00886F1D">
              <w:rPr>
                <w:rFonts w:asciiTheme="majorHAnsi" w:eastAsia="Times New Roman" w:hAnsiTheme="majorHAnsi" w:cstheme="majorHAnsi"/>
                <w:color w:val="auto"/>
                <w:sz w:val="20"/>
                <w:lang w:eastAsia="en-AU"/>
              </w:rPr>
              <w:t>2.115</w:t>
            </w:r>
            <w:r w:rsidRPr="00886F1D">
              <w:rPr>
                <w:rFonts w:asciiTheme="majorHAnsi" w:eastAsia="Times New Roman" w:hAnsiTheme="majorHAnsi" w:cstheme="majorHAnsi"/>
                <w:color w:val="auto"/>
                <w:sz w:val="20"/>
                <w:lang w:eastAsia="en-AU"/>
              </w:rPr>
              <w:t>)</w:t>
            </w:r>
          </w:p>
          <w:p w14:paraId="718E77B3"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B4"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as part of the Australian Space Agency’s post operational review, the following matters be given careful consideration:</w:t>
            </w:r>
          </w:p>
          <w:p w14:paraId="718E77B5" w14:textId="77777777" w:rsidR="001460AC" w:rsidRPr="00886F1D" w:rsidRDefault="001460AC" w:rsidP="002657DF">
            <w:pPr>
              <w:pStyle w:val="ListParagraph"/>
              <w:numPr>
                <w:ilvl w:val="0"/>
                <w:numId w:val="3"/>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Establishing the Australian Space Agency as a statutory authority</w:t>
            </w:r>
          </w:p>
          <w:p w14:paraId="718E77B6" w14:textId="77777777" w:rsidR="001460AC" w:rsidRPr="00886F1D" w:rsidRDefault="001460AC" w:rsidP="002657DF">
            <w:pPr>
              <w:pStyle w:val="ListParagraph"/>
              <w:numPr>
                <w:ilvl w:val="0"/>
                <w:numId w:val="3"/>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Separating its industry engagement and regulatory functions</w:t>
            </w:r>
          </w:p>
          <w:p w14:paraId="718E77B7" w14:textId="77777777" w:rsidR="001460AC" w:rsidRPr="00886F1D" w:rsidRDefault="001460AC" w:rsidP="002657DF">
            <w:pPr>
              <w:pStyle w:val="ListParagraph"/>
              <w:numPr>
                <w:ilvl w:val="0"/>
                <w:numId w:val="3"/>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Future workforce requirements, including engaging more staff with industry experience and technical expertise as required</w:t>
            </w:r>
          </w:p>
          <w:p w14:paraId="718E77B8" w14:textId="77777777" w:rsidR="008042A6" w:rsidRPr="00886F1D" w:rsidRDefault="001460AC" w:rsidP="002657DF">
            <w:pPr>
              <w:pStyle w:val="ListParagraph"/>
              <w:numPr>
                <w:ilvl w:val="0"/>
                <w:numId w:val="3"/>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Budget and resourcing to ensure that it is adequately positioned to meet its stated goals and objectives.</w:t>
            </w:r>
          </w:p>
          <w:p w14:paraId="718E77B9" w14:textId="77777777" w:rsidR="001460AC" w:rsidRPr="00886F1D" w:rsidRDefault="001460AC" w:rsidP="00361AD7">
            <w:pPr>
              <w:pStyle w:val="ListParagraph"/>
              <w:adjustRightInd/>
              <w:snapToGrid/>
              <w:spacing w:after="0" w:line="240" w:lineRule="auto"/>
              <w:ind w:left="360"/>
              <w:rPr>
                <w:rFonts w:asciiTheme="majorHAnsi" w:eastAsia="Times New Roman" w:hAnsiTheme="majorHAnsi" w:cstheme="majorHAnsi"/>
                <w:color w:val="auto"/>
                <w:sz w:val="20"/>
                <w:lang w:eastAsia="en-AU"/>
              </w:rPr>
            </w:pPr>
          </w:p>
        </w:tc>
        <w:tc>
          <w:tcPr>
            <w:tcW w:w="4707" w:type="dxa"/>
          </w:tcPr>
          <w:p w14:paraId="718E77BA" w14:textId="77777777" w:rsidR="00156713" w:rsidRPr="00886F1D" w:rsidRDefault="0004037A"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 xml:space="preserve">Agreed </w:t>
            </w:r>
            <w:r w:rsidR="009F4657" w:rsidRPr="00886F1D" w:rsidDel="009F4657">
              <w:rPr>
                <w:rFonts w:asciiTheme="majorHAnsi" w:eastAsia="Times New Roman" w:hAnsiTheme="majorHAnsi" w:cstheme="majorHAnsi"/>
                <w:b/>
                <w:color w:val="auto"/>
                <w:sz w:val="20"/>
                <w:lang w:eastAsia="en-AU"/>
              </w:rPr>
              <w:t xml:space="preserve"> </w:t>
            </w:r>
          </w:p>
          <w:p w14:paraId="718E77BB" w14:textId="77777777" w:rsidR="00F927CB" w:rsidRPr="00886F1D" w:rsidRDefault="00F927CB">
            <w:pPr>
              <w:spacing w:after="0" w:line="240" w:lineRule="auto"/>
              <w:rPr>
                <w:rFonts w:asciiTheme="majorHAnsi" w:hAnsiTheme="majorHAnsi" w:cstheme="majorHAnsi"/>
                <w:color w:val="auto"/>
                <w:sz w:val="20"/>
                <w:lang w:eastAsia="en-AU"/>
              </w:rPr>
            </w:pPr>
          </w:p>
          <w:p w14:paraId="718E77BC" w14:textId="77777777" w:rsidR="001460AC" w:rsidRPr="00886F1D" w:rsidRDefault="001C101F">
            <w:pPr>
              <w:spacing w:after="0" w:line="240" w:lineRule="auto"/>
              <w:rPr>
                <w:rFonts w:asciiTheme="majorHAnsi" w:eastAsia="Times New Roman" w:hAnsiTheme="majorHAnsi" w:cstheme="majorHAnsi"/>
                <w:b/>
                <w:color w:val="auto"/>
                <w:sz w:val="20"/>
                <w:lang w:eastAsia="en-AU"/>
              </w:rPr>
            </w:pPr>
            <w:r w:rsidRPr="00886F1D">
              <w:rPr>
                <w:rFonts w:asciiTheme="majorHAnsi" w:hAnsiTheme="majorHAnsi" w:cstheme="majorHAnsi"/>
                <w:color w:val="auto"/>
                <w:sz w:val="20"/>
                <w:lang w:eastAsia="en-AU"/>
              </w:rPr>
              <w:t>The Australian Government agrees to give consideration to this recommendation.</w:t>
            </w:r>
          </w:p>
          <w:p w14:paraId="718E77BD" w14:textId="77777777" w:rsidR="00A42B71" w:rsidRPr="00886F1D" w:rsidRDefault="00A42B71" w:rsidP="00917ECB">
            <w:pPr>
              <w:spacing w:after="0" w:line="240" w:lineRule="auto"/>
              <w:rPr>
                <w:rFonts w:asciiTheme="majorHAnsi" w:eastAsia="Times New Roman" w:hAnsiTheme="majorHAnsi" w:cstheme="majorHAnsi"/>
                <w:b/>
                <w:color w:val="auto"/>
                <w:sz w:val="20"/>
                <w:lang w:eastAsia="en-AU"/>
              </w:rPr>
            </w:pPr>
          </w:p>
          <w:p w14:paraId="718E77BE" w14:textId="77777777" w:rsidR="001460AC" w:rsidRPr="00886F1D" w:rsidRDefault="001460AC" w:rsidP="00AB4C01">
            <w:pPr>
              <w:spacing w:after="0" w:line="240" w:lineRule="auto"/>
              <w:rPr>
                <w:rFonts w:asciiTheme="majorHAnsi" w:eastAsia="Times New Roman" w:hAnsiTheme="majorHAnsi" w:cstheme="majorHAnsi"/>
                <w:color w:val="auto"/>
                <w:sz w:val="20"/>
                <w:lang w:eastAsia="en-AU"/>
              </w:rPr>
            </w:pPr>
          </w:p>
        </w:tc>
      </w:tr>
      <w:tr w:rsidR="00886F1D" w:rsidRPr="00886F1D" w14:paraId="718E77C8" w14:textId="77777777" w:rsidTr="00B52BE2">
        <w:trPr>
          <w:cantSplit/>
          <w:trHeight w:val="941"/>
        </w:trPr>
        <w:tc>
          <w:tcPr>
            <w:tcW w:w="1077" w:type="dxa"/>
            <w:shd w:val="clear" w:color="auto" w:fill="auto"/>
            <w:hideMark/>
          </w:tcPr>
          <w:p w14:paraId="718E77C0"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lastRenderedPageBreak/>
              <w:t>9 (</w:t>
            </w:r>
            <w:r w:rsidR="001460AC" w:rsidRPr="00886F1D">
              <w:rPr>
                <w:rFonts w:asciiTheme="majorHAnsi" w:eastAsia="Times New Roman" w:hAnsiTheme="majorHAnsi" w:cstheme="majorHAnsi"/>
                <w:color w:val="auto"/>
                <w:sz w:val="20"/>
                <w:lang w:eastAsia="en-AU"/>
              </w:rPr>
              <w:t>3.136</w:t>
            </w:r>
            <w:r w:rsidRPr="00886F1D">
              <w:rPr>
                <w:rFonts w:asciiTheme="majorHAnsi" w:eastAsia="Times New Roman" w:hAnsiTheme="majorHAnsi" w:cstheme="majorHAnsi"/>
                <w:color w:val="auto"/>
                <w:sz w:val="20"/>
                <w:lang w:eastAsia="en-AU"/>
              </w:rPr>
              <w:t>)</w:t>
            </w:r>
          </w:p>
          <w:p w14:paraId="718E77C1"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C2"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define Australian sovereignty as it relates to the development of Australian space capability to ensure that Australia's space related interests are promoted and protected.</w:t>
            </w:r>
          </w:p>
        </w:tc>
        <w:tc>
          <w:tcPr>
            <w:tcW w:w="4707" w:type="dxa"/>
          </w:tcPr>
          <w:p w14:paraId="718E77C3"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 xml:space="preserve">Noted </w:t>
            </w:r>
          </w:p>
          <w:p w14:paraId="718E77C4"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p>
          <w:p w14:paraId="718E77C5" w14:textId="77777777" w:rsidR="008D19D0" w:rsidRPr="00886F1D" w:rsidRDefault="008D19D0" w:rsidP="008D19D0">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The </w:t>
            </w:r>
            <w:r w:rsidR="003E03A1" w:rsidRPr="00886F1D">
              <w:rPr>
                <w:rFonts w:asciiTheme="majorHAnsi" w:eastAsia="Times New Roman" w:hAnsiTheme="majorHAnsi" w:cstheme="majorHAnsi"/>
                <w:color w:val="auto"/>
                <w:sz w:val="20"/>
                <w:lang w:eastAsia="en-AU"/>
              </w:rPr>
              <w:t xml:space="preserve">Australian </w:t>
            </w:r>
            <w:r w:rsidRPr="00886F1D">
              <w:rPr>
                <w:rFonts w:asciiTheme="majorHAnsi" w:eastAsia="Times New Roman" w:hAnsiTheme="majorHAnsi" w:cstheme="majorHAnsi"/>
                <w:color w:val="auto"/>
                <w:sz w:val="20"/>
                <w:lang w:eastAsia="en-AU"/>
              </w:rPr>
              <w:t xml:space="preserve">Government recognises the importance of ensuring sovereignty in critical areas of the economy. </w:t>
            </w:r>
          </w:p>
          <w:p w14:paraId="718E77C6" w14:textId="77777777" w:rsidR="008D19D0" w:rsidRPr="00886F1D" w:rsidRDefault="008D19D0" w:rsidP="008D19D0">
            <w:pPr>
              <w:spacing w:after="0" w:line="240" w:lineRule="auto"/>
              <w:rPr>
                <w:rFonts w:asciiTheme="majorHAnsi" w:eastAsia="Times New Roman" w:hAnsiTheme="majorHAnsi" w:cstheme="majorHAnsi"/>
                <w:color w:val="auto"/>
                <w:sz w:val="20"/>
                <w:lang w:eastAsia="en-AU"/>
              </w:rPr>
            </w:pPr>
          </w:p>
          <w:p w14:paraId="718E77C7" w14:textId="77777777" w:rsidR="001460AC" w:rsidRPr="00886F1D" w:rsidRDefault="001460AC" w:rsidP="00CE18A5">
            <w:pPr>
              <w:pStyle w:val="CommentText"/>
              <w:rPr>
                <w:lang w:eastAsia="en-AU"/>
              </w:rPr>
            </w:pPr>
          </w:p>
        </w:tc>
      </w:tr>
      <w:tr w:rsidR="00886F1D" w:rsidRPr="00886F1D" w14:paraId="718E77D2" w14:textId="77777777" w:rsidTr="00B52BE2">
        <w:trPr>
          <w:cantSplit/>
          <w:trHeight w:val="2825"/>
        </w:trPr>
        <w:tc>
          <w:tcPr>
            <w:tcW w:w="1077" w:type="dxa"/>
            <w:shd w:val="clear" w:color="auto" w:fill="auto"/>
            <w:hideMark/>
          </w:tcPr>
          <w:p w14:paraId="718E77C9"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10 (</w:t>
            </w:r>
            <w:r w:rsidR="001460AC" w:rsidRPr="00886F1D">
              <w:rPr>
                <w:rFonts w:asciiTheme="majorHAnsi" w:eastAsia="Times New Roman" w:hAnsiTheme="majorHAnsi" w:cstheme="majorHAnsi"/>
                <w:color w:val="auto"/>
                <w:sz w:val="20"/>
                <w:lang w:eastAsia="en-AU"/>
              </w:rPr>
              <w:t>3.137</w:t>
            </w:r>
            <w:r w:rsidRPr="00886F1D">
              <w:rPr>
                <w:rFonts w:asciiTheme="majorHAnsi" w:eastAsia="Times New Roman" w:hAnsiTheme="majorHAnsi" w:cstheme="majorHAnsi"/>
                <w:color w:val="auto"/>
                <w:sz w:val="20"/>
                <w:lang w:eastAsia="en-AU"/>
              </w:rPr>
              <w:t>)</w:t>
            </w:r>
          </w:p>
          <w:p w14:paraId="718E77CA"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CB"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identify in consultation with the Australian space industry particular national space capabilities that can be designed, built and delivered by industry.</w:t>
            </w:r>
          </w:p>
        </w:tc>
        <w:tc>
          <w:tcPr>
            <w:tcW w:w="4707" w:type="dxa"/>
          </w:tcPr>
          <w:p w14:paraId="718E77CC"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 xml:space="preserve">Agreed </w:t>
            </w:r>
            <w:r w:rsidR="008D19D0" w:rsidRPr="00886F1D">
              <w:rPr>
                <w:rFonts w:asciiTheme="majorHAnsi" w:eastAsia="Times New Roman" w:hAnsiTheme="majorHAnsi" w:cstheme="majorHAnsi"/>
                <w:b/>
                <w:color w:val="auto"/>
                <w:sz w:val="20"/>
                <w:lang w:eastAsia="en-AU"/>
              </w:rPr>
              <w:t>in Principle</w:t>
            </w:r>
          </w:p>
          <w:p w14:paraId="718E77CD" w14:textId="77777777" w:rsidR="00C439A7" w:rsidRPr="00886F1D" w:rsidRDefault="00C439A7" w:rsidP="00917ECB">
            <w:pPr>
              <w:spacing w:after="0" w:line="240" w:lineRule="auto"/>
              <w:rPr>
                <w:rFonts w:asciiTheme="majorHAnsi" w:eastAsia="Times New Roman" w:hAnsiTheme="majorHAnsi" w:cstheme="majorHAnsi"/>
                <w:b/>
                <w:color w:val="auto"/>
                <w:sz w:val="20"/>
                <w:lang w:eastAsia="en-AU"/>
              </w:rPr>
            </w:pPr>
          </w:p>
          <w:p w14:paraId="718E77CE" w14:textId="77777777" w:rsidR="008D19D0" w:rsidRPr="00886F1D" w:rsidRDefault="001C101F" w:rsidP="008D19D0">
            <w:pPr>
              <w:spacing w:after="0" w:line="240" w:lineRule="auto"/>
              <w:rPr>
                <w:rFonts w:asciiTheme="majorHAnsi" w:eastAsia="Times New Roman" w:hAnsiTheme="majorHAnsi" w:cstheme="majorHAnsi"/>
                <w:color w:val="auto"/>
                <w:sz w:val="20"/>
                <w:lang w:eastAsia="en-AU"/>
              </w:rPr>
            </w:pPr>
            <w:r w:rsidRPr="00886F1D">
              <w:rPr>
                <w:rFonts w:asciiTheme="majorHAnsi" w:hAnsiTheme="majorHAnsi" w:cstheme="majorHAnsi"/>
                <w:color w:val="auto"/>
                <w:sz w:val="20"/>
                <w:lang w:eastAsia="en-AU"/>
              </w:rPr>
              <w:t>The Australian Government will consider this recommendation</w:t>
            </w:r>
            <w:r w:rsidR="009B41FB" w:rsidRPr="00886F1D">
              <w:rPr>
                <w:rFonts w:asciiTheme="majorHAnsi" w:hAnsiTheme="majorHAnsi" w:cstheme="majorHAnsi"/>
                <w:color w:val="auto"/>
                <w:sz w:val="20"/>
                <w:lang w:eastAsia="en-AU"/>
              </w:rPr>
              <w:t xml:space="preserve"> in line with its future agenda</w:t>
            </w:r>
            <w:r w:rsidR="006465BC" w:rsidRPr="00886F1D" w:rsidDel="009763DD">
              <w:rPr>
                <w:rFonts w:asciiTheme="majorHAnsi" w:hAnsiTheme="majorHAnsi" w:cstheme="majorHAnsi"/>
                <w:color w:val="auto"/>
                <w:sz w:val="20"/>
                <w:lang w:eastAsia="en-AU"/>
              </w:rPr>
              <w:t xml:space="preserve">, </w:t>
            </w:r>
            <w:r w:rsidR="009B41FB" w:rsidRPr="00886F1D">
              <w:rPr>
                <w:rFonts w:asciiTheme="majorHAnsi" w:eastAsia="Times New Roman" w:hAnsiTheme="majorHAnsi" w:cstheme="majorHAnsi"/>
                <w:color w:val="auto"/>
                <w:sz w:val="20"/>
                <w:lang w:eastAsia="en-AU"/>
              </w:rPr>
              <w:t>including</w:t>
            </w:r>
            <w:r w:rsidR="008D19D0" w:rsidRPr="00886F1D">
              <w:rPr>
                <w:rFonts w:asciiTheme="majorHAnsi" w:eastAsia="Times New Roman" w:hAnsiTheme="majorHAnsi" w:cstheme="majorHAnsi"/>
                <w:color w:val="auto"/>
                <w:sz w:val="20"/>
                <w:lang w:eastAsia="en-AU"/>
              </w:rPr>
              <w:t xml:space="preserve"> through </w:t>
            </w:r>
            <w:r w:rsidR="009B41FB" w:rsidRPr="00886F1D">
              <w:rPr>
                <w:rFonts w:asciiTheme="majorHAnsi" w:eastAsia="Times New Roman" w:hAnsiTheme="majorHAnsi" w:cstheme="majorHAnsi"/>
                <w:color w:val="auto"/>
                <w:sz w:val="20"/>
                <w:lang w:eastAsia="en-AU"/>
              </w:rPr>
              <w:t>the</w:t>
            </w:r>
            <w:r w:rsidR="008D19D0" w:rsidRPr="00886F1D">
              <w:rPr>
                <w:rFonts w:asciiTheme="majorHAnsi" w:eastAsia="Times New Roman" w:hAnsiTheme="majorHAnsi" w:cstheme="majorHAnsi"/>
                <w:color w:val="auto"/>
                <w:sz w:val="20"/>
                <w:lang w:eastAsia="en-AU"/>
              </w:rPr>
              <w:t xml:space="preserve"> National Reconstruction Fund.</w:t>
            </w:r>
          </w:p>
          <w:p w14:paraId="718E77CF" w14:textId="77777777" w:rsidR="008D19D0" w:rsidRPr="00886F1D" w:rsidRDefault="008D19D0" w:rsidP="008D19D0">
            <w:pPr>
              <w:pStyle w:val="CommentText"/>
            </w:pPr>
          </w:p>
          <w:p w14:paraId="718E77D0" w14:textId="77777777" w:rsidR="001460AC" w:rsidRPr="00886F1D" w:rsidRDefault="008D19D0" w:rsidP="000B1403">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The </w:t>
            </w:r>
            <w:r w:rsidR="00C1644F" w:rsidRPr="00886F1D">
              <w:rPr>
                <w:rFonts w:asciiTheme="majorHAnsi" w:eastAsia="Times New Roman" w:hAnsiTheme="majorHAnsi" w:cstheme="majorHAnsi"/>
                <w:color w:val="auto"/>
                <w:sz w:val="20"/>
                <w:lang w:eastAsia="en-AU"/>
              </w:rPr>
              <w:t>Australian Space Agency’s</w:t>
            </w:r>
            <w:r w:rsidRPr="00886F1D">
              <w:rPr>
                <w:rFonts w:asciiTheme="majorHAnsi" w:eastAsia="Times New Roman" w:hAnsiTheme="majorHAnsi" w:cstheme="majorHAnsi"/>
                <w:color w:val="auto"/>
                <w:sz w:val="20"/>
                <w:lang w:eastAsia="en-AU"/>
              </w:rPr>
              <w:t xml:space="preserve"> roadmaps </w:t>
            </w:r>
            <w:r w:rsidR="009B41FB" w:rsidRPr="00886F1D">
              <w:rPr>
                <w:rFonts w:asciiTheme="majorHAnsi" w:eastAsia="Times New Roman" w:hAnsiTheme="majorHAnsi" w:cstheme="majorHAnsi"/>
                <w:color w:val="auto"/>
                <w:sz w:val="20"/>
                <w:lang w:eastAsia="en-AU"/>
              </w:rPr>
              <w:t>inform</w:t>
            </w:r>
            <w:r w:rsidRPr="00886F1D">
              <w:rPr>
                <w:rFonts w:asciiTheme="majorHAnsi" w:eastAsia="Times New Roman" w:hAnsiTheme="majorHAnsi" w:cstheme="majorHAnsi"/>
                <w:color w:val="auto"/>
                <w:sz w:val="20"/>
                <w:lang w:eastAsia="en-AU"/>
              </w:rPr>
              <w:t xml:space="preserve"> pathways for Australia’s space sector to grow and capture supply chain opportunities that support Australia’s sovereign capability needs.</w:t>
            </w:r>
          </w:p>
          <w:p w14:paraId="718E77D1" w14:textId="77777777" w:rsidR="001460AC" w:rsidRPr="00886F1D" w:rsidRDefault="001460AC" w:rsidP="000B1403">
            <w:pPr>
              <w:spacing w:after="0" w:line="240" w:lineRule="auto"/>
              <w:rPr>
                <w:rFonts w:asciiTheme="majorHAnsi" w:eastAsia="Times New Roman" w:hAnsiTheme="majorHAnsi" w:cstheme="majorHAnsi"/>
                <w:b/>
                <w:color w:val="auto"/>
                <w:sz w:val="20"/>
                <w:lang w:eastAsia="en-AU"/>
              </w:rPr>
            </w:pPr>
          </w:p>
        </w:tc>
      </w:tr>
      <w:tr w:rsidR="00886F1D" w:rsidRPr="00886F1D" w14:paraId="718E77DB" w14:textId="77777777" w:rsidTr="00B52BE2">
        <w:trPr>
          <w:cantSplit/>
          <w:trHeight w:val="70"/>
        </w:trPr>
        <w:tc>
          <w:tcPr>
            <w:tcW w:w="1077" w:type="dxa"/>
            <w:shd w:val="clear" w:color="auto" w:fill="auto"/>
            <w:hideMark/>
          </w:tcPr>
          <w:p w14:paraId="718E77D3"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11 (</w:t>
            </w:r>
            <w:r w:rsidR="001460AC" w:rsidRPr="00886F1D">
              <w:rPr>
                <w:rFonts w:asciiTheme="majorHAnsi" w:eastAsia="Times New Roman" w:hAnsiTheme="majorHAnsi" w:cstheme="majorHAnsi"/>
                <w:color w:val="auto"/>
                <w:sz w:val="20"/>
                <w:lang w:eastAsia="en-AU"/>
              </w:rPr>
              <w:t>3.138</w:t>
            </w:r>
            <w:r w:rsidRPr="00886F1D">
              <w:rPr>
                <w:rFonts w:asciiTheme="majorHAnsi" w:eastAsia="Times New Roman" w:hAnsiTheme="majorHAnsi" w:cstheme="majorHAnsi"/>
                <w:color w:val="auto"/>
                <w:sz w:val="20"/>
                <w:lang w:eastAsia="en-AU"/>
              </w:rPr>
              <w:t>)</w:t>
            </w:r>
          </w:p>
          <w:p w14:paraId="718E77D4"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D5"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consider ways to encourage stronger commercially attractive partnerships between global space primes and Australian businesses. These strategies should seek to engage and prioritise those companies that can demonstrate a commitment to growing the Australian space sector.</w:t>
            </w:r>
          </w:p>
        </w:tc>
        <w:tc>
          <w:tcPr>
            <w:tcW w:w="4707" w:type="dxa"/>
          </w:tcPr>
          <w:p w14:paraId="718E77D6" w14:textId="77777777" w:rsidR="001460AC" w:rsidRPr="00886F1D" w:rsidRDefault="00101E38"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Agreed in Principle</w:t>
            </w:r>
          </w:p>
          <w:p w14:paraId="718E77D7" w14:textId="77777777" w:rsidR="001460AC" w:rsidRPr="00886F1D" w:rsidRDefault="001460AC" w:rsidP="00917ECB">
            <w:pPr>
              <w:spacing w:after="0" w:line="240" w:lineRule="auto"/>
              <w:rPr>
                <w:rFonts w:asciiTheme="majorHAnsi" w:hAnsiTheme="majorHAnsi" w:cstheme="majorHAnsi"/>
                <w:color w:val="auto"/>
                <w:sz w:val="20"/>
                <w:lang w:eastAsia="en-AU"/>
              </w:rPr>
            </w:pPr>
          </w:p>
          <w:p w14:paraId="718E77D8" w14:textId="77777777" w:rsidR="00931A91" w:rsidRPr="00886F1D" w:rsidRDefault="00931A91" w:rsidP="004D55F0">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The </w:t>
            </w:r>
            <w:r w:rsidR="003E03A1" w:rsidRPr="00886F1D">
              <w:rPr>
                <w:rFonts w:asciiTheme="majorHAnsi" w:eastAsia="Times New Roman" w:hAnsiTheme="majorHAnsi" w:cstheme="majorHAnsi"/>
                <w:color w:val="auto"/>
                <w:sz w:val="20"/>
                <w:lang w:eastAsia="en-AU"/>
              </w:rPr>
              <w:t xml:space="preserve">Australian </w:t>
            </w:r>
            <w:r w:rsidRPr="00886F1D">
              <w:rPr>
                <w:rFonts w:asciiTheme="majorHAnsi" w:eastAsia="Times New Roman" w:hAnsiTheme="majorHAnsi" w:cstheme="majorHAnsi"/>
                <w:color w:val="auto"/>
                <w:sz w:val="20"/>
                <w:lang w:eastAsia="en-AU"/>
              </w:rPr>
              <w:t xml:space="preserve">Government acknowledges the role of global space primes in transferring technical knowledge to Australian industry and integrating Australian small </w:t>
            </w:r>
            <w:r w:rsidR="00043368" w:rsidRPr="00886F1D">
              <w:rPr>
                <w:rFonts w:asciiTheme="majorHAnsi" w:eastAsia="Times New Roman" w:hAnsiTheme="majorHAnsi" w:cstheme="majorHAnsi"/>
                <w:color w:val="auto"/>
                <w:sz w:val="20"/>
                <w:lang w:eastAsia="en-AU"/>
              </w:rPr>
              <w:t xml:space="preserve">and medium enterprises (SMEs) </w:t>
            </w:r>
            <w:r w:rsidRPr="00886F1D">
              <w:rPr>
                <w:rFonts w:asciiTheme="majorHAnsi" w:eastAsia="Times New Roman" w:hAnsiTheme="majorHAnsi" w:cstheme="majorHAnsi"/>
                <w:color w:val="auto"/>
                <w:sz w:val="20"/>
                <w:lang w:eastAsia="en-AU"/>
              </w:rPr>
              <w:t>into global supply chains. The</w:t>
            </w:r>
            <w:r w:rsidR="003E03A1" w:rsidRPr="00886F1D">
              <w:rPr>
                <w:rFonts w:asciiTheme="majorHAnsi" w:eastAsia="Times New Roman" w:hAnsiTheme="majorHAnsi" w:cstheme="majorHAnsi"/>
                <w:color w:val="auto"/>
                <w:sz w:val="20"/>
                <w:lang w:eastAsia="en-AU"/>
              </w:rPr>
              <w:t xml:space="preserve"> Australian</w:t>
            </w:r>
            <w:r w:rsidRPr="00886F1D">
              <w:rPr>
                <w:rFonts w:asciiTheme="majorHAnsi" w:eastAsia="Times New Roman" w:hAnsiTheme="majorHAnsi" w:cstheme="majorHAnsi"/>
                <w:color w:val="auto"/>
                <w:sz w:val="20"/>
                <w:lang w:eastAsia="en-AU"/>
              </w:rPr>
              <w:t xml:space="preserve"> Government also recognises the strength of Australian ideas that, given the right access to capital, can be uplifted to contribute to national wellbeing.</w:t>
            </w:r>
          </w:p>
          <w:p w14:paraId="718E77D9" w14:textId="77777777" w:rsidR="004D55F0" w:rsidRPr="00886F1D" w:rsidRDefault="004D55F0" w:rsidP="004D55F0">
            <w:pPr>
              <w:spacing w:after="0" w:line="240" w:lineRule="auto"/>
              <w:rPr>
                <w:rFonts w:asciiTheme="majorHAnsi" w:eastAsia="Times New Roman" w:hAnsiTheme="majorHAnsi" w:cstheme="majorHAnsi"/>
                <w:color w:val="auto"/>
                <w:sz w:val="20"/>
                <w:lang w:eastAsia="en-AU"/>
              </w:rPr>
            </w:pPr>
          </w:p>
          <w:p w14:paraId="73D05A9F" w14:textId="77777777" w:rsidR="001460AC" w:rsidRDefault="001460AC">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3E03A1" w:rsidRPr="00886F1D">
              <w:rPr>
                <w:rFonts w:asciiTheme="majorHAnsi" w:hAnsiTheme="majorHAnsi" w:cstheme="majorHAnsi"/>
                <w:color w:val="auto"/>
                <w:sz w:val="20"/>
                <w:lang w:eastAsia="en-AU"/>
              </w:rPr>
              <w:t xml:space="preserve">Australian </w:t>
            </w:r>
            <w:r w:rsidR="007D63FB" w:rsidRPr="00886F1D">
              <w:rPr>
                <w:rFonts w:asciiTheme="majorHAnsi" w:hAnsiTheme="majorHAnsi" w:cstheme="majorHAnsi"/>
                <w:color w:val="auto"/>
                <w:sz w:val="20"/>
                <w:lang w:eastAsia="en-AU"/>
              </w:rPr>
              <w:t xml:space="preserve">Government operates </w:t>
            </w:r>
            <w:r w:rsidR="00E32EED" w:rsidRPr="00886F1D">
              <w:rPr>
                <w:rFonts w:asciiTheme="majorHAnsi" w:hAnsiTheme="majorHAnsi" w:cstheme="majorHAnsi"/>
                <w:color w:val="auto"/>
                <w:sz w:val="20"/>
                <w:lang w:eastAsia="en-AU"/>
              </w:rPr>
              <w:t>a number of</w:t>
            </w:r>
            <w:r w:rsidR="007D63FB" w:rsidRPr="00886F1D">
              <w:rPr>
                <w:rFonts w:asciiTheme="majorHAnsi" w:hAnsiTheme="majorHAnsi" w:cstheme="majorHAnsi"/>
                <w:color w:val="auto"/>
                <w:sz w:val="20"/>
                <w:lang w:eastAsia="en-AU"/>
              </w:rPr>
              <w:t xml:space="preserve"> programs to</w:t>
            </w:r>
            <w:r w:rsidR="00720F44" w:rsidRPr="00886F1D">
              <w:rPr>
                <w:rFonts w:asciiTheme="majorHAnsi" w:hAnsiTheme="majorHAnsi" w:cstheme="majorHAnsi"/>
                <w:color w:val="auto"/>
              </w:rPr>
              <w:t xml:space="preserve"> </w:t>
            </w:r>
            <w:r w:rsidR="00720F44" w:rsidRPr="00886F1D">
              <w:rPr>
                <w:rFonts w:asciiTheme="majorHAnsi" w:hAnsiTheme="majorHAnsi" w:cstheme="majorHAnsi"/>
                <w:color w:val="auto"/>
                <w:sz w:val="20"/>
                <w:lang w:eastAsia="en-AU"/>
              </w:rPr>
              <w:t>support Australian businesses to access international markets</w:t>
            </w:r>
            <w:r w:rsidR="00E32EED" w:rsidRPr="00886F1D">
              <w:rPr>
                <w:rFonts w:asciiTheme="majorHAnsi" w:hAnsiTheme="majorHAnsi" w:cstheme="majorHAnsi"/>
                <w:color w:val="auto"/>
                <w:sz w:val="20"/>
                <w:lang w:eastAsia="en-AU"/>
              </w:rPr>
              <w:t xml:space="preserve">, including through Austrade. </w:t>
            </w:r>
          </w:p>
          <w:p w14:paraId="718E77DA" w14:textId="77777777" w:rsidR="00886F1D" w:rsidRPr="00886F1D" w:rsidRDefault="00886F1D">
            <w:pPr>
              <w:spacing w:after="0" w:line="240" w:lineRule="auto"/>
              <w:rPr>
                <w:rFonts w:asciiTheme="majorHAnsi" w:eastAsia="Times New Roman" w:hAnsiTheme="majorHAnsi" w:cstheme="majorHAnsi"/>
                <w:color w:val="auto"/>
                <w:sz w:val="20"/>
                <w:lang w:eastAsia="en-AU"/>
              </w:rPr>
            </w:pPr>
          </w:p>
        </w:tc>
      </w:tr>
      <w:tr w:rsidR="00886F1D" w:rsidRPr="00886F1D" w14:paraId="718E77E4" w14:textId="77777777" w:rsidTr="00B52BE2">
        <w:trPr>
          <w:cantSplit/>
          <w:trHeight w:val="631"/>
        </w:trPr>
        <w:tc>
          <w:tcPr>
            <w:tcW w:w="1077" w:type="dxa"/>
            <w:shd w:val="clear" w:color="auto" w:fill="auto"/>
            <w:hideMark/>
          </w:tcPr>
          <w:p w14:paraId="718E77DC"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11 (</w:t>
            </w:r>
            <w:r w:rsidR="001460AC" w:rsidRPr="00886F1D">
              <w:rPr>
                <w:rFonts w:asciiTheme="majorHAnsi" w:eastAsia="Times New Roman" w:hAnsiTheme="majorHAnsi" w:cstheme="majorHAnsi"/>
                <w:color w:val="auto"/>
                <w:sz w:val="20"/>
                <w:lang w:eastAsia="en-AU"/>
              </w:rPr>
              <w:t>3.139</w:t>
            </w:r>
            <w:r w:rsidRPr="00886F1D">
              <w:rPr>
                <w:rFonts w:asciiTheme="majorHAnsi" w:eastAsia="Times New Roman" w:hAnsiTheme="majorHAnsi" w:cstheme="majorHAnsi"/>
                <w:color w:val="auto"/>
                <w:sz w:val="20"/>
                <w:lang w:eastAsia="en-AU"/>
              </w:rPr>
              <w:t>)</w:t>
            </w:r>
          </w:p>
          <w:p w14:paraId="718E77DD"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DE" w14:textId="77777777" w:rsidR="008042A6"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this includes establishing a program to assist SMEs connect with primes and navigate the broader global space industry more generally.</w:t>
            </w:r>
          </w:p>
          <w:p w14:paraId="718E77DF"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4707" w:type="dxa"/>
          </w:tcPr>
          <w:p w14:paraId="718E77E0"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 xml:space="preserve">Noted </w:t>
            </w:r>
          </w:p>
          <w:p w14:paraId="718E77E1" w14:textId="77777777" w:rsidR="00B67C2E" w:rsidRPr="00886F1D" w:rsidRDefault="00B67C2E" w:rsidP="00917ECB">
            <w:pPr>
              <w:spacing w:after="0" w:line="240" w:lineRule="auto"/>
              <w:rPr>
                <w:rFonts w:asciiTheme="majorHAnsi" w:eastAsia="Times New Roman" w:hAnsiTheme="majorHAnsi" w:cstheme="majorHAnsi"/>
                <w:b/>
                <w:color w:val="auto"/>
                <w:sz w:val="20"/>
                <w:lang w:eastAsia="en-AU"/>
              </w:rPr>
            </w:pPr>
          </w:p>
          <w:p w14:paraId="718E77E2" w14:textId="77777777" w:rsidR="000D1F85" w:rsidRPr="00886F1D" w:rsidRDefault="000D1F85" w:rsidP="000D1F85">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3E03A1"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Government is committed to supporting the growth of small to medium-sized enterprises (SMEs) and recognises the importance that expanding connections into global supply chains plays in achieving this.</w:t>
            </w:r>
          </w:p>
          <w:p w14:paraId="718E77E3" w14:textId="77777777" w:rsidR="001460AC" w:rsidRPr="00886F1D" w:rsidRDefault="001460AC" w:rsidP="00B67C2E">
            <w:pPr>
              <w:spacing w:after="0" w:line="240" w:lineRule="auto"/>
              <w:rPr>
                <w:rFonts w:asciiTheme="majorHAnsi" w:eastAsia="Times New Roman" w:hAnsiTheme="majorHAnsi" w:cstheme="majorHAnsi"/>
                <w:b/>
                <w:color w:val="auto"/>
                <w:sz w:val="20"/>
                <w:lang w:eastAsia="en-AU"/>
              </w:rPr>
            </w:pPr>
          </w:p>
        </w:tc>
      </w:tr>
      <w:tr w:rsidR="00886F1D" w:rsidRPr="00886F1D" w14:paraId="718E77F3" w14:textId="77777777" w:rsidTr="00B52BE2">
        <w:trPr>
          <w:cantSplit/>
          <w:trHeight w:val="941"/>
        </w:trPr>
        <w:tc>
          <w:tcPr>
            <w:tcW w:w="1077" w:type="dxa"/>
            <w:shd w:val="clear" w:color="auto" w:fill="auto"/>
            <w:hideMark/>
          </w:tcPr>
          <w:p w14:paraId="718E77E5"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lastRenderedPageBreak/>
              <w:t>12 (</w:t>
            </w:r>
            <w:r w:rsidR="001460AC" w:rsidRPr="00886F1D">
              <w:rPr>
                <w:rFonts w:asciiTheme="majorHAnsi" w:eastAsia="Times New Roman" w:hAnsiTheme="majorHAnsi" w:cstheme="majorHAnsi"/>
                <w:color w:val="auto"/>
                <w:sz w:val="20"/>
                <w:lang w:eastAsia="en-AU"/>
              </w:rPr>
              <w:t>3.140</w:t>
            </w:r>
            <w:r w:rsidRPr="00886F1D">
              <w:rPr>
                <w:rFonts w:asciiTheme="majorHAnsi" w:eastAsia="Times New Roman" w:hAnsiTheme="majorHAnsi" w:cstheme="majorHAnsi"/>
                <w:color w:val="auto"/>
                <w:sz w:val="20"/>
                <w:lang w:eastAsia="en-AU"/>
              </w:rPr>
              <w:t>)</w:t>
            </w:r>
          </w:p>
          <w:p w14:paraId="718E77E6"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E7" w14:textId="77777777" w:rsidR="008042A6"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pursue policy settings that incentivise private sector investment in industry development including such things as matched funding or co-funding, taxation incentives, and public and private partnerships.</w:t>
            </w:r>
          </w:p>
          <w:p w14:paraId="718E77E8"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4707" w:type="dxa"/>
          </w:tcPr>
          <w:p w14:paraId="718E77E9"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 xml:space="preserve">Agreed in </w:t>
            </w:r>
            <w:r w:rsidR="00D417F2" w:rsidRPr="00886F1D">
              <w:rPr>
                <w:rFonts w:asciiTheme="majorHAnsi" w:eastAsia="Times New Roman" w:hAnsiTheme="majorHAnsi" w:cstheme="majorHAnsi"/>
                <w:b/>
                <w:color w:val="auto"/>
                <w:sz w:val="20"/>
                <w:lang w:eastAsia="en-AU"/>
              </w:rPr>
              <w:t>P</w:t>
            </w:r>
            <w:r w:rsidRPr="00886F1D">
              <w:rPr>
                <w:rFonts w:asciiTheme="majorHAnsi" w:eastAsia="Times New Roman" w:hAnsiTheme="majorHAnsi" w:cstheme="majorHAnsi"/>
                <w:b/>
                <w:color w:val="auto"/>
                <w:sz w:val="20"/>
                <w:lang w:eastAsia="en-AU"/>
              </w:rPr>
              <w:t xml:space="preserve">rinciple </w:t>
            </w:r>
          </w:p>
          <w:p w14:paraId="718E77EA" w14:textId="77777777" w:rsidR="00975F1C" w:rsidRPr="00886F1D" w:rsidRDefault="00975F1C" w:rsidP="00917ECB">
            <w:pPr>
              <w:spacing w:after="0" w:line="240" w:lineRule="auto"/>
              <w:rPr>
                <w:rFonts w:asciiTheme="majorHAnsi" w:eastAsia="Times New Roman" w:hAnsiTheme="majorHAnsi" w:cstheme="majorHAnsi"/>
                <w:b/>
                <w:color w:val="auto"/>
                <w:sz w:val="20"/>
                <w:lang w:eastAsia="en-AU"/>
              </w:rPr>
            </w:pPr>
          </w:p>
          <w:p w14:paraId="718E77EB" w14:textId="77777777" w:rsidR="005C2431" w:rsidRPr="00886F1D" w:rsidRDefault="005C2431" w:rsidP="005C2431">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w:t>
            </w:r>
            <w:r w:rsidR="003E03A1" w:rsidRPr="00886F1D">
              <w:rPr>
                <w:rFonts w:asciiTheme="majorHAnsi" w:eastAsia="Times New Roman" w:hAnsiTheme="majorHAnsi" w:cstheme="majorHAnsi"/>
                <w:color w:val="auto"/>
                <w:sz w:val="20"/>
                <w:lang w:eastAsia="en-AU"/>
              </w:rPr>
              <w:t xml:space="preserve"> Australian</w:t>
            </w:r>
            <w:r w:rsidRPr="00886F1D">
              <w:rPr>
                <w:rFonts w:asciiTheme="majorHAnsi" w:eastAsia="Times New Roman" w:hAnsiTheme="majorHAnsi" w:cstheme="majorHAnsi"/>
                <w:color w:val="auto"/>
                <w:sz w:val="20"/>
                <w:lang w:eastAsia="en-AU"/>
              </w:rPr>
              <w:t xml:space="preserve"> Government’s $15 billion National Reconstruction Fund will diversify and transform Australia’s economy and industry, providing </w:t>
            </w:r>
            <w:r w:rsidR="00CE6B16" w:rsidRPr="00886F1D">
              <w:rPr>
                <w:rFonts w:asciiTheme="majorHAnsi" w:eastAsia="Times New Roman" w:hAnsiTheme="majorHAnsi" w:cstheme="majorHAnsi"/>
                <w:color w:val="auto"/>
                <w:sz w:val="20"/>
                <w:lang w:eastAsia="en-AU"/>
              </w:rPr>
              <w:t>finance</w:t>
            </w:r>
            <w:r w:rsidRPr="00886F1D">
              <w:rPr>
                <w:rFonts w:asciiTheme="majorHAnsi" w:eastAsia="Times New Roman" w:hAnsiTheme="majorHAnsi" w:cstheme="majorHAnsi"/>
                <w:color w:val="auto"/>
                <w:sz w:val="20"/>
                <w:lang w:eastAsia="en-AU"/>
              </w:rPr>
              <w:t xml:space="preserve"> to drive investments that add value and capability in seven priority areas. This will help </w:t>
            </w:r>
            <w:r w:rsidR="00CE6B16" w:rsidRPr="00886F1D">
              <w:rPr>
                <w:rFonts w:asciiTheme="majorHAnsi" w:eastAsia="Times New Roman" w:hAnsiTheme="majorHAnsi" w:cstheme="majorHAnsi"/>
                <w:color w:val="auto"/>
                <w:sz w:val="20"/>
                <w:lang w:eastAsia="en-AU"/>
              </w:rPr>
              <w:t xml:space="preserve">rebuild Australia’s industrial capability and </w:t>
            </w:r>
            <w:r w:rsidRPr="00886F1D">
              <w:rPr>
                <w:rFonts w:asciiTheme="majorHAnsi" w:eastAsia="Times New Roman" w:hAnsiTheme="majorHAnsi" w:cstheme="majorHAnsi"/>
                <w:color w:val="auto"/>
                <w:sz w:val="20"/>
                <w:lang w:eastAsia="en-AU"/>
              </w:rPr>
              <w:t>create secure, well paid jobs across the economy.</w:t>
            </w:r>
          </w:p>
          <w:p w14:paraId="718E77EC" w14:textId="77777777" w:rsidR="005C2431" w:rsidRPr="00886F1D" w:rsidRDefault="005C2431" w:rsidP="005C2431">
            <w:pPr>
              <w:spacing w:after="0" w:line="240" w:lineRule="auto"/>
              <w:rPr>
                <w:rFonts w:asciiTheme="majorHAnsi" w:eastAsia="Times New Roman" w:hAnsiTheme="majorHAnsi" w:cstheme="majorHAnsi"/>
                <w:color w:val="auto"/>
                <w:sz w:val="20"/>
                <w:lang w:eastAsia="en-AU"/>
              </w:rPr>
            </w:pPr>
          </w:p>
          <w:p w14:paraId="718E77ED" w14:textId="77777777" w:rsidR="001460AC" w:rsidRPr="00886F1D" w:rsidRDefault="005C2431" w:rsidP="005C2431">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Australian Space Agency will work with the Department of Industry, Science and Resources to explore mechanisms for supporting the Australian space sector through the </w:t>
            </w:r>
            <w:r w:rsidRPr="00886F1D">
              <w:rPr>
                <w:rFonts w:asciiTheme="majorHAnsi" w:eastAsia="Times New Roman" w:hAnsiTheme="majorHAnsi" w:cstheme="majorHAnsi"/>
                <w:color w:val="auto"/>
                <w:sz w:val="20"/>
                <w:lang w:eastAsia="en-AU"/>
              </w:rPr>
              <w:t>National Reconstruction Fund</w:t>
            </w:r>
            <w:r w:rsidRPr="00886F1D">
              <w:rPr>
                <w:rFonts w:asciiTheme="majorHAnsi" w:hAnsiTheme="majorHAnsi" w:cstheme="majorHAnsi"/>
                <w:color w:val="auto"/>
                <w:sz w:val="20"/>
                <w:lang w:eastAsia="en-AU"/>
              </w:rPr>
              <w:t>, noting the broad application of space technology, including defence enabling capabilities (e.g. robotics), critical technologies (e.g. quantum computing) and advanced manufacturing.</w:t>
            </w:r>
          </w:p>
          <w:p w14:paraId="718E77EE" w14:textId="77777777" w:rsidR="00DC5174" w:rsidRPr="00886F1D" w:rsidRDefault="00DC5174" w:rsidP="005C2431">
            <w:pPr>
              <w:spacing w:after="0" w:line="240" w:lineRule="auto"/>
              <w:rPr>
                <w:rFonts w:asciiTheme="majorHAnsi" w:eastAsia="Times New Roman" w:hAnsiTheme="majorHAnsi" w:cstheme="majorHAnsi"/>
                <w:b/>
                <w:color w:val="auto"/>
                <w:sz w:val="20"/>
                <w:lang w:eastAsia="en-AU"/>
              </w:rPr>
            </w:pPr>
          </w:p>
          <w:p w14:paraId="718E77EF" w14:textId="77777777" w:rsidR="00DC5174" w:rsidRPr="00886F1D" w:rsidRDefault="00DC5174" w:rsidP="005C2431">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color w:val="auto"/>
                <w:sz w:val="20"/>
                <w:lang w:eastAsia="en-AU"/>
              </w:rPr>
              <w:t xml:space="preserve">Additionally, the </w:t>
            </w:r>
            <w:r w:rsidR="000F7B22" w:rsidRPr="00886F1D">
              <w:rPr>
                <w:rFonts w:asciiTheme="majorHAnsi" w:eastAsia="Times New Roman" w:hAnsiTheme="majorHAnsi" w:cstheme="majorHAnsi"/>
                <w:color w:val="auto"/>
                <w:sz w:val="20"/>
                <w:lang w:eastAsia="en-AU"/>
              </w:rPr>
              <w:t xml:space="preserve">Australian </w:t>
            </w:r>
            <w:r w:rsidRPr="00886F1D">
              <w:rPr>
                <w:rFonts w:asciiTheme="majorHAnsi" w:eastAsia="Times New Roman" w:hAnsiTheme="majorHAnsi" w:cstheme="majorHAnsi"/>
                <w:color w:val="auto"/>
                <w:sz w:val="20"/>
                <w:lang w:eastAsia="en-AU"/>
              </w:rPr>
              <w:t>Government operates a number of programs aimed at attracting and supporting strategic international investment, led by Austrade.</w:t>
            </w:r>
          </w:p>
          <w:p w14:paraId="718E77F0" w14:textId="77777777" w:rsidR="005C2431" w:rsidRPr="00886F1D" w:rsidRDefault="005C2431" w:rsidP="00917ECB">
            <w:pPr>
              <w:spacing w:after="0" w:line="240" w:lineRule="auto"/>
              <w:rPr>
                <w:rFonts w:asciiTheme="majorHAnsi" w:eastAsia="Times New Roman" w:hAnsiTheme="majorHAnsi" w:cstheme="majorHAnsi"/>
                <w:b/>
                <w:color w:val="auto"/>
                <w:sz w:val="20"/>
                <w:lang w:eastAsia="en-AU"/>
              </w:rPr>
            </w:pPr>
          </w:p>
          <w:p w14:paraId="718E77F1" w14:textId="77777777" w:rsidR="001460AC" w:rsidRPr="00886F1D" w:rsidRDefault="001460AC" w:rsidP="00917ECB">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Refer to the response for </w:t>
            </w:r>
            <w:r w:rsidR="001C1DAF" w:rsidRPr="00886F1D">
              <w:rPr>
                <w:rFonts w:asciiTheme="majorHAnsi" w:eastAsia="Times New Roman" w:hAnsiTheme="majorHAnsi" w:cstheme="majorHAnsi"/>
                <w:color w:val="auto"/>
                <w:sz w:val="20"/>
                <w:lang w:eastAsia="en-AU"/>
              </w:rPr>
              <w:t>Recommendation</w:t>
            </w:r>
            <w:r w:rsidRPr="00886F1D">
              <w:rPr>
                <w:rFonts w:asciiTheme="majorHAnsi" w:eastAsia="Times New Roman" w:hAnsiTheme="majorHAnsi" w:cstheme="majorHAnsi"/>
                <w:color w:val="auto"/>
                <w:sz w:val="20"/>
                <w:lang w:eastAsia="en-AU"/>
              </w:rPr>
              <w:t xml:space="preserve"> 2 </w:t>
            </w:r>
            <w:r w:rsidR="001C1DAF" w:rsidRPr="00886F1D">
              <w:rPr>
                <w:rFonts w:asciiTheme="majorHAnsi" w:eastAsia="Times New Roman" w:hAnsiTheme="majorHAnsi" w:cstheme="majorHAnsi"/>
                <w:color w:val="auto"/>
                <w:sz w:val="20"/>
                <w:lang w:eastAsia="en-AU"/>
              </w:rPr>
              <w:t>(</w:t>
            </w:r>
            <w:r w:rsidRPr="00886F1D">
              <w:rPr>
                <w:rFonts w:asciiTheme="majorHAnsi" w:eastAsia="Times New Roman" w:hAnsiTheme="majorHAnsi" w:cstheme="majorHAnsi"/>
                <w:color w:val="auto"/>
                <w:sz w:val="20"/>
                <w:lang w:eastAsia="en-AU"/>
              </w:rPr>
              <w:t>2.106</w:t>
            </w:r>
            <w:r w:rsidR="001C1DAF" w:rsidRPr="00886F1D">
              <w:rPr>
                <w:rFonts w:asciiTheme="majorHAnsi" w:eastAsia="Times New Roman" w:hAnsiTheme="majorHAnsi" w:cstheme="majorHAnsi"/>
                <w:color w:val="auto"/>
                <w:sz w:val="20"/>
                <w:lang w:eastAsia="en-AU"/>
              </w:rPr>
              <w:t>)</w:t>
            </w:r>
            <w:r w:rsidR="008042A6" w:rsidRPr="00886F1D">
              <w:rPr>
                <w:rFonts w:asciiTheme="majorHAnsi" w:eastAsia="Times New Roman" w:hAnsiTheme="majorHAnsi" w:cstheme="majorHAnsi"/>
                <w:color w:val="auto"/>
                <w:sz w:val="20"/>
                <w:lang w:eastAsia="en-AU"/>
              </w:rPr>
              <w:t>.</w:t>
            </w:r>
          </w:p>
          <w:p w14:paraId="718E77F2" w14:textId="77777777" w:rsidR="001460AC" w:rsidRPr="00886F1D" w:rsidRDefault="001460AC" w:rsidP="00917ECB">
            <w:pPr>
              <w:spacing w:after="0" w:line="240" w:lineRule="auto"/>
              <w:rPr>
                <w:rFonts w:asciiTheme="majorHAnsi" w:eastAsia="Times New Roman" w:hAnsiTheme="majorHAnsi" w:cstheme="majorHAnsi"/>
                <w:color w:val="auto"/>
                <w:sz w:val="20"/>
                <w:lang w:eastAsia="en-AU"/>
              </w:rPr>
            </w:pPr>
          </w:p>
        </w:tc>
      </w:tr>
      <w:tr w:rsidR="00886F1D" w:rsidRPr="00886F1D" w14:paraId="718E77FD" w14:textId="77777777" w:rsidTr="00B52BE2">
        <w:trPr>
          <w:cantSplit/>
          <w:trHeight w:val="631"/>
        </w:trPr>
        <w:tc>
          <w:tcPr>
            <w:tcW w:w="1077" w:type="dxa"/>
            <w:shd w:val="clear" w:color="auto" w:fill="auto"/>
            <w:hideMark/>
          </w:tcPr>
          <w:p w14:paraId="718E77F4"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13 (</w:t>
            </w:r>
            <w:r w:rsidR="001460AC" w:rsidRPr="00886F1D">
              <w:rPr>
                <w:rFonts w:asciiTheme="majorHAnsi" w:eastAsia="Times New Roman" w:hAnsiTheme="majorHAnsi" w:cstheme="majorHAnsi"/>
                <w:color w:val="auto"/>
                <w:sz w:val="20"/>
                <w:lang w:eastAsia="en-AU"/>
              </w:rPr>
              <w:t>3.141</w:t>
            </w:r>
            <w:r w:rsidRPr="00886F1D">
              <w:rPr>
                <w:rFonts w:asciiTheme="majorHAnsi" w:eastAsia="Times New Roman" w:hAnsiTheme="majorHAnsi" w:cstheme="majorHAnsi"/>
                <w:color w:val="auto"/>
                <w:sz w:val="20"/>
                <w:lang w:eastAsia="en-AU"/>
              </w:rPr>
              <w:t>)</w:t>
            </w:r>
          </w:p>
          <w:p w14:paraId="718E77F5"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7F6"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expand support to SMEs to improve connections in global supply chains.</w:t>
            </w:r>
          </w:p>
        </w:tc>
        <w:tc>
          <w:tcPr>
            <w:tcW w:w="4707" w:type="dxa"/>
          </w:tcPr>
          <w:p w14:paraId="718E77F7"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 xml:space="preserve">Agreed in </w:t>
            </w:r>
            <w:r w:rsidR="00D417F2" w:rsidRPr="00886F1D">
              <w:rPr>
                <w:rFonts w:asciiTheme="majorHAnsi" w:eastAsia="Times New Roman" w:hAnsiTheme="majorHAnsi" w:cstheme="majorHAnsi"/>
                <w:b/>
                <w:color w:val="auto"/>
                <w:sz w:val="20"/>
                <w:lang w:eastAsia="en-AU"/>
              </w:rPr>
              <w:t>P</w:t>
            </w:r>
            <w:r w:rsidRPr="00886F1D">
              <w:rPr>
                <w:rFonts w:asciiTheme="majorHAnsi" w:eastAsia="Times New Roman" w:hAnsiTheme="majorHAnsi" w:cstheme="majorHAnsi"/>
                <w:b/>
                <w:color w:val="auto"/>
                <w:sz w:val="20"/>
                <w:lang w:eastAsia="en-AU"/>
              </w:rPr>
              <w:t xml:space="preserve">rinciple </w:t>
            </w:r>
          </w:p>
          <w:p w14:paraId="718E77F8" w14:textId="77777777" w:rsidR="00975F1C" w:rsidRPr="00886F1D" w:rsidRDefault="00975F1C" w:rsidP="00917ECB">
            <w:pPr>
              <w:spacing w:after="0" w:line="240" w:lineRule="auto"/>
              <w:rPr>
                <w:rFonts w:asciiTheme="majorHAnsi" w:eastAsia="Times New Roman" w:hAnsiTheme="majorHAnsi" w:cstheme="majorHAnsi"/>
                <w:b/>
                <w:color w:val="auto"/>
                <w:sz w:val="20"/>
                <w:lang w:eastAsia="en-AU"/>
              </w:rPr>
            </w:pPr>
          </w:p>
          <w:p w14:paraId="718E77F9" w14:textId="77777777" w:rsidR="006D1E9C" w:rsidRPr="00886F1D" w:rsidRDefault="006D1E9C" w:rsidP="006D1E9C">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3E03A1"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Government is committed to supporting the growth of SMEs and recognises the importance that expanding connections into global supply chains plays in achieving this.</w:t>
            </w:r>
            <w:r w:rsidR="006E452A" w:rsidRPr="00886F1D">
              <w:rPr>
                <w:rFonts w:asciiTheme="majorHAnsi" w:hAnsiTheme="majorHAnsi" w:cstheme="majorHAnsi"/>
                <w:color w:val="auto"/>
                <w:sz w:val="20"/>
                <w:lang w:eastAsia="en-AU"/>
              </w:rPr>
              <w:t xml:space="preserve"> Support for SMEs will be consistent with international agreements to open and non-discriminatory trade.</w:t>
            </w:r>
          </w:p>
          <w:p w14:paraId="718E77FA" w14:textId="77777777" w:rsidR="006D1E9C" w:rsidRPr="00886F1D" w:rsidRDefault="006D1E9C" w:rsidP="006D1E9C">
            <w:pPr>
              <w:spacing w:after="0" w:line="240" w:lineRule="auto"/>
              <w:rPr>
                <w:rFonts w:asciiTheme="majorHAnsi" w:hAnsiTheme="majorHAnsi" w:cstheme="majorHAnsi"/>
                <w:color w:val="auto"/>
                <w:sz w:val="20"/>
                <w:lang w:eastAsia="en-AU"/>
              </w:rPr>
            </w:pPr>
          </w:p>
          <w:p w14:paraId="718E77FB" w14:textId="77777777" w:rsidR="006D1E9C" w:rsidRPr="00886F1D" w:rsidRDefault="006D1E9C" w:rsidP="006D1E9C">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3E03A1"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 xml:space="preserve">Government operates </w:t>
            </w:r>
            <w:r w:rsidR="000959D0" w:rsidRPr="00886F1D">
              <w:rPr>
                <w:rFonts w:asciiTheme="majorHAnsi" w:hAnsiTheme="majorHAnsi" w:cstheme="majorHAnsi"/>
                <w:color w:val="auto"/>
                <w:sz w:val="20"/>
                <w:lang w:eastAsia="en-AU"/>
              </w:rPr>
              <w:t xml:space="preserve">a number of </w:t>
            </w:r>
            <w:r w:rsidRPr="00886F1D">
              <w:rPr>
                <w:rFonts w:asciiTheme="majorHAnsi" w:hAnsiTheme="majorHAnsi" w:cstheme="majorHAnsi"/>
                <w:color w:val="auto"/>
                <w:sz w:val="20"/>
                <w:lang w:eastAsia="en-AU"/>
              </w:rPr>
              <w:t>programs to</w:t>
            </w:r>
            <w:r w:rsidRPr="00886F1D" w:rsidDel="00720F44">
              <w:rPr>
                <w:rFonts w:asciiTheme="majorHAnsi" w:hAnsiTheme="majorHAnsi" w:cstheme="majorHAnsi"/>
                <w:color w:val="auto"/>
              </w:rPr>
              <w:t xml:space="preserve"> </w:t>
            </w:r>
            <w:r w:rsidRPr="00886F1D">
              <w:rPr>
                <w:rFonts w:asciiTheme="majorHAnsi" w:hAnsiTheme="majorHAnsi" w:cstheme="majorHAnsi"/>
                <w:color w:val="auto"/>
                <w:sz w:val="20"/>
                <w:lang w:eastAsia="en-AU"/>
              </w:rPr>
              <w:t>support Australian businesses to access international markets</w:t>
            </w:r>
            <w:r w:rsidR="000959D0" w:rsidRPr="00886F1D">
              <w:rPr>
                <w:rFonts w:asciiTheme="majorHAnsi" w:hAnsiTheme="majorHAnsi" w:cstheme="majorHAnsi"/>
                <w:color w:val="auto"/>
                <w:sz w:val="20"/>
                <w:lang w:eastAsia="en-AU"/>
              </w:rPr>
              <w:t>, including through Austrade</w:t>
            </w:r>
            <w:r w:rsidRPr="00886F1D">
              <w:rPr>
                <w:rFonts w:asciiTheme="majorHAnsi" w:hAnsiTheme="majorHAnsi" w:cstheme="majorHAnsi"/>
                <w:color w:val="auto"/>
                <w:sz w:val="20"/>
                <w:lang w:eastAsia="en-AU"/>
              </w:rPr>
              <w:t xml:space="preserve">. </w:t>
            </w:r>
          </w:p>
          <w:p w14:paraId="718E77FC" w14:textId="77777777" w:rsidR="001460AC" w:rsidRPr="00886F1D" w:rsidRDefault="001460AC" w:rsidP="00A9351A">
            <w:pPr>
              <w:spacing w:after="0" w:line="240" w:lineRule="auto"/>
              <w:rPr>
                <w:rFonts w:asciiTheme="majorHAnsi" w:eastAsia="Times New Roman" w:hAnsiTheme="majorHAnsi" w:cstheme="majorHAnsi"/>
                <w:color w:val="auto"/>
                <w:sz w:val="20"/>
                <w:lang w:eastAsia="en-AU"/>
              </w:rPr>
            </w:pPr>
          </w:p>
        </w:tc>
      </w:tr>
      <w:tr w:rsidR="00886F1D" w:rsidRPr="00886F1D" w14:paraId="718E7807" w14:textId="77777777" w:rsidTr="00B52BE2">
        <w:trPr>
          <w:cantSplit/>
          <w:trHeight w:val="631"/>
        </w:trPr>
        <w:tc>
          <w:tcPr>
            <w:tcW w:w="1077" w:type="dxa"/>
            <w:shd w:val="clear" w:color="auto" w:fill="auto"/>
            <w:hideMark/>
          </w:tcPr>
          <w:p w14:paraId="718E77FE"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13 (</w:t>
            </w:r>
            <w:r w:rsidR="001460AC" w:rsidRPr="00886F1D">
              <w:rPr>
                <w:rFonts w:asciiTheme="majorHAnsi" w:eastAsia="Times New Roman" w:hAnsiTheme="majorHAnsi" w:cstheme="majorHAnsi"/>
                <w:color w:val="auto"/>
                <w:sz w:val="20"/>
                <w:lang w:eastAsia="en-AU"/>
              </w:rPr>
              <w:t>3.142</w:t>
            </w:r>
            <w:r w:rsidRPr="00886F1D">
              <w:rPr>
                <w:rFonts w:asciiTheme="majorHAnsi" w:eastAsia="Times New Roman" w:hAnsiTheme="majorHAnsi" w:cstheme="majorHAnsi"/>
                <w:color w:val="auto"/>
                <w:sz w:val="20"/>
                <w:lang w:eastAsia="en-AU"/>
              </w:rPr>
              <w:t>)</w:t>
            </w:r>
          </w:p>
          <w:p w14:paraId="718E77FF"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00"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streamline access to funding mechanisms and increase efficiency of investment by reducing complexity and enhancing transparency.</w:t>
            </w:r>
          </w:p>
        </w:tc>
        <w:tc>
          <w:tcPr>
            <w:tcW w:w="4707" w:type="dxa"/>
          </w:tcPr>
          <w:p w14:paraId="718E7801" w14:textId="77777777" w:rsidR="00975F1C" w:rsidRPr="00886F1D" w:rsidRDefault="003718F7"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Agreed in Principle</w:t>
            </w:r>
          </w:p>
          <w:p w14:paraId="718E7802" w14:textId="77777777" w:rsidR="003C65BD" w:rsidRPr="00886F1D" w:rsidRDefault="003C65BD" w:rsidP="00917ECB">
            <w:pPr>
              <w:spacing w:after="0" w:line="240" w:lineRule="auto"/>
              <w:rPr>
                <w:rFonts w:asciiTheme="majorHAnsi" w:eastAsia="Times New Roman" w:hAnsiTheme="majorHAnsi" w:cstheme="majorHAnsi"/>
                <w:b/>
                <w:color w:val="auto"/>
                <w:sz w:val="20"/>
                <w:lang w:eastAsia="en-AU"/>
              </w:rPr>
            </w:pPr>
          </w:p>
          <w:p w14:paraId="718E7803" w14:textId="77777777" w:rsidR="003975D6" w:rsidRPr="00886F1D" w:rsidRDefault="003975D6" w:rsidP="003975D6">
            <w:pPr>
              <w:pStyle w:val="CommentText"/>
              <w:rPr>
                <w:rFonts w:asciiTheme="majorHAnsi" w:hAnsiTheme="majorHAnsi" w:cstheme="majorHAnsi"/>
                <w:lang w:eastAsia="en-AU"/>
              </w:rPr>
            </w:pPr>
            <w:r w:rsidRPr="00886F1D">
              <w:rPr>
                <w:rFonts w:asciiTheme="majorHAnsi" w:hAnsiTheme="majorHAnsi" w:cstheme="majorHAnsi"/>
                <w:lang w:eastAsia="en-AU"/>
              </w:rPr>
              <w:t xml:space="preserve">The </w:t>
            </w:r>
            <w:r w:rsidR="003E03A1" w:rsidRPr="00886F1D">
              <w:rPr>
                <w:rFonts w:asciiTheme="majorHAnsi" w:hAnsiTheme="majorHAnsi" w:cstheme="majorHAnsi"/>
                <w:lang w:eastAsia="en-AU"/>
              </w:rPr>
              <w:t xml:space="preserve">Australian </w:t>
            </w:r>
            <w:r w:rsidRPr="00886F1D">
              <w:rPr>
                <w:rFonts w:asciiTheme="majorHAnsi" w:hAnsiTheme="majorHAnsi" w:cstheme="majorHAnsi"/>
                <w:lang w:eastAsia="en-AU"/>
              </w:rPr>
              <w:t>Government is committed to reducing complexity and enhancing transparency in how it funds the support of Australian industry.</w:t>
            </w:r>
          </w:p>
          <w:p w14:paraId="718E7804" w14:textId="77777777" w:rsidR="003975D6" w:rsidRPr="00886F1D" w:rsidRDefault="003975D6" w:rsidP="00917ECB">
            <w:pPr>
              <w:spacing w:after="0" w:line="240" w:lineRule="auto"/>
              <w:rPr>
                <w:rFonts w:asciiTheme="majorHAnsi" w:eastAsia="Times New Roman" w:hAnsiTheme="majorHAnsi" w:cstheme="majorHAnsi"/>
                <w:b/>
                <w:color w:val="auto"/>
                <w:sz w:val="20"/>
                <w:lang w:eastAsia="en-AU"/>
              </w:rPr>
            </w:pPr>
          </w:p>
          <w:p w14:paraId="718E7805" w14:textId="77777777" w:rsidR="001460AC" w:rsidRPr="00886F1D" w:rsidRDefault="002401DF" w:rsidP="002401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The </w:t>
            </w:r>
            <w:r w:rsidR="003E03A1" w:rsidRPr="00886F1D">
              <w:rPr>
                <w:rFonts w:asciiTheme="majorHAnsi" w:eastAsia="Times New Roman" w:hAnsiTheme="majorHAnsi" w:cstheme="majorHAnsi"/>
                <w:color w:val="auto"/>
                <w:sz w:val="20"/>
                <w:lang w:eastAsia="en-AU"/>
              </w:rPr>
              <w:t xml:space="preserve">Australian </w:t>
            </w:r>
            <w:r w:rsidRPr="00886F1D">
              <w:rPr>
                <w:rFonts w:asciiTheme="majorHAnsi" w:eastAsia="Times New Roman" w:hAnsiTheme="majorHAnsi" w:cstheme="majorHAnsi"/>
                <w:color w:val="auto"/>
                <w:sz w:val="20"/>
                <w:lang w:eastAsia="en-AU"/>
              </w:rPr>
              <w:t>Government is establishing the N</w:t>
            </w:r>
            <w:r w:rsidR="00055908" w:rsidRPr="00886F1D">
              <w:rPr>
                <w:rFonts w:asciiTheme="majorHAnsi" w:eastAsia="Times New Roman" w:hAnsiTheme="majorHAnsi" w:cstheme="majorHAnsi"/>
                <w:color w:val="auto"/>
                <w:sz w:val="20"/>
                <w:lang w:eastAsia="en-AU"/>
              </w:rPr>
              <w:t>ational Reconstruction Fund</w:t>
            </w:r>
            <w:r w:rsidRPr="00886F1D">
              <w:rPr>
                <w:rFonts w:asciiTheme="majorHAnsi" w:eastAsia="Times New Roman" w:hAnsiTheme="majorHAnsi" w:cstheme="majorHAnsi"/>
                <w:color w:val="auto"/>
                <w:sz w:val="20"/>
                <w:lang w:eastAsia="en-AU"/>
              </w:rPr>
              <w:t xml:space="preserve">, which will provide investment to priority </w:t>
            </w:r>
            <w:r w:rsidR="00473833" w:rsidRPr="00886F1D">
              <w:rPr>
                <w:rFonts w:asciiTheme="majorHAnsi" w:eastAsia="Times New Roman" w:hAnsiTheme="majorHAnsi" w:cstheme="majorHAnsi"/>
                <w:color w:val="auto"/>
                <w:sz w:val="20"/>
                <w:lang w:eastAsia="en-AU"/>
              </w:rPr>
              <w:t xml:space="preserve">areas </w:t>
            </w:r>
            <w:r w:rsidRPr="00886F1D">
              <w:rPr>
                <w:rFonts w:asciiTheme="majorHAnsi" w:eastAsia="Times New Roman" w:hAnsiTheme="majorHAnsi" w:cstheme="majorHAnsi"/>
                <w:color w:val="auto"/>
                <w:sz w:val="20"/>
                <w:lang w:eastAsia="en-AU"/>
              </w:rPr>
              <w:t xml:space="preserve">to </w:t>
            </w:r>
            <w:r w:rsidR="00473833" w:rsidRPr="00886F1D">
              <w:rPr>
                <w:rFonts w:asciiTheme="majorHAnsi" w:eastAsia="Times New Roman" w:hAnsiTheme="majorHAnsi" w:cstheme="majorHAnsi"/>
                <w:color w:val="auto"/>
                <w:sz w:val="20"/>
                <w:lang w:eastAsia="en-AU"/>
              </w:rPr>
              <w:t xml:space="preserve">help </w:t>
            </w:r>
            <w:r w:rsidRPr="00886F1D">
              <w:rPr>
                <w:rFonts w:asciiTheme="majorHAnsi" w:eastAsia="Times New Roman" w:hAnsiTheme="majorHAnsi" w:cstheme="majorHAnsi"/>
                <w:color w:val="auto"/>
                <w:sz w:val="20"/>
                <w:lang w:eastAsia="en-AU"/>
              </w:rPr>
              <w:t>ensure Australian ideas are commercialised in Australia.</w:t>
            </w:r>
          </w:p>
          <w:p w14:paraId="718E7806"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p>
        </w:tc>
      </w:tr>
      <w:tr w:rsidR="00886F1D" w:rsidRPr="00886F1D" w14:paraId="718E7811" w14:textId="77777777" w:rsidTr="00B52BE2">
        <w:trPr>
          <w:cantSplit/>
          <w:trHeight w:val="941"/>
        </w:trPr>
        <w:tc>
          <w:tcPr>
            <w:tcW w:w="1077" w:type="dxa"/>
            <w:shd w:val="clear" w:color="auto" w:fill="auto"/>
            <w:hideMark/>
          </w:tcPr>
          <w:p w14:paraId="718E7808"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lastRenderedPageBreak/>
              <w:t>14 (</w:t>
            </w:r>
            <w:r w:rsidR="001460AC" w:rsidRPr="00886F1D">
              <w:rPr>
                <w:rFonts w:asciiTheme="majorHAnsi" w:eastAsia="Times New Roman" w:hAnsiTheme="majorHAnsi" w:cstheme="majorHAnsi"/>
                <w:color w:val="auto"/>
                <w:sz w:val="20"/>
                <w:lang w:eastAsia="en-AU"/>
              </w:rPr>
              <w:t>3.143</w:t>
            </w:r>
            <w:r w:rsidRPr="00886F1D">
              <w:rPr>
                <w:rFonts w:asciiTheme="majorHAnsi" w:eastAsia="Times New Roman" w:hAnsiTheme="majorHAnsi" w:cstheme="majorHAnsi"/>
                <w:color w:val="auto"/>
                <w:sz w:val="20"/>
                <w:lang w:eastAsia="en-AU"/>
              </w:rPr>
              <w:t>)</w:t>
            </w:r>
          </w:p>
          <w:p w14:paraId="718E7809"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0A"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space be identified as a key infrastructure priority area. It recommends a national assessment of Australia’s current and future space infrastructure requirements with particular emphasis on developing sovereign capability in identified areas.</w:t>
            </w:r>
          </w:p>
          <w:p w14:paraId="718E780B" w14:textId="77777777" w:rsidR="00F927CB" w:rsidRPr="00886F1D" w:rsidRDefault="00F927CB" w:rsidP="002657DF">
            <w:pPr>
              <w:spacing w:after="0" w:line="240" w:lineRule="auto"/>
              <w:rPr>
                <w:rFonts w:asciiTheme="majorHAnsi" w:eastAsia="Times New Roman" w:hAnsiTheme="majorHAnsi" w:cstheme="majorHAnsi"/>
                <w:color w:val="auto"/>
                <w:sz w:val="20"/>
                <w:lang w:eastAsia="en-AU"/>
              </w:rPr>
            </w:pPr>
          </w:p>
        </w:tc>
        <w:tc>
          <w:tcPr>
            <w:tcW w:w="4707" w:type="dxa"/>
          </w:tcPr>
          <w:p w14:paraId="718E780C" w14:textId="77777777" w:rsidR="001460AC" w:rsidRPr="00886F1D" w:rsidRDefault="00124CA5"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Noted</w:t>
            </w:r>
          </w:p>
          <w:p w14:paraId="718E780D" w14:textId="77777777" w:rsidR="001460AC" w:rsidRPr="00886F1D" w:rsidRDefault="001460AC" w:rsidP="00917ECB">
            <w:pPr>
              <w:spacing w:after="0" w:line="240" w:lineRule="auto"/>
              <w:rPr>
                <w:rFonts w:asciiTheme="majorHAnsi" w:eastAsia="Times New Roman" w:hAnsiTheme="majorHAnsi" w:cstheme="majorHAnsi"/>
                <w:color w:val="auto"/>
                <w:sz w:val="20"/>
                <w:lang w:eastAsia="en-AU"/>
              </w:rPr>
            </w:pPr>
          </w:p>
          <w:p w14:paraId="718E780E" w14:textId="77777777" w:rsidR="002F570A" w:rsidRPr="00886F1D" w:rsidRDefault="002F570A" w:rsidP="00632C9E">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3E03A1"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 xml:space="preserve">Government </w:t>
            </w:r>
            <w:r w:rsidR="001C101F" w:rsidRPr="00886F1D">
              <w:rPr>
                <w:rFonts w:asciiTheme="majorHAnsi" w:hAnsiTheme="majorHAnsi" w:cstheme="majorHAnsi"/>
                <w:color w:val="auto"/>
                <w:sz w:val="20"/>
                <w:lang w:eastAsia="en-AU"/>
              </w:rPr>
              <w:t>will give consideration to this recommendation</w:t>
            </w:r>
            <w:r w:rsidR="003718F7" w:rsidRPr="00886F1D">
              <w:rPr>
                <w:rFonts w:asciiTheme="majorHAnsi" w:hAnsiTheme="majorHAnsi" w:cstheme="majorHAnsi"/>
                <w:color w:val="auto"/>
                <w:sz w:val="20"/>
                <w:lang w:eastAsia="en-AU"/>
              </w:rPr>
              <w:t xml:space="preserve"> in line with its future agenda</w:t>
            </w:r>
            <w:r w:rsidR="00B76D08" w:rsidRPr="00886F1D">
              <w:rPr>
                <w:rFonts w:asciiTheme="majorHAnsi" w:hAnsiTheme="majorHAnsi" w:cstheme="majorHAnsi"/>
                <w:color w:val="auto"/>
                <w:sz w:val="20"/>
                <w:lang w:eastAsia="en-AU"/>
              </w:rPr>
              <w:t>.</w:t>
            </w:r>
          </w:p>
          <w:p w14:paraId="718E780F" w14:textId="77777777" w:rsidR="002F570A" w:rsidRPr="00886F1D" w:rsidRDefault="002F570A" w:rsidP="002F570A">
            <w:pPr>
              <w:spacing w:after="0" w:line="240" w:lineRule="auto"/>
              <w:rPr>
                <w:rFonts w:asciiTheme="majorHAnsi" w:hAnsiTheme="majorHAnsi" w:cstheme="majorHAnsi"/>
                <w:color w:val="auto"/>
                <w:sz w:val="20"/>
                <w:lang w:eastAsia="en-AU"/>
              </w:rPr>
            </w:pPr>
          </w:p>
          <w:p w14:paraId="718E7810" w14:textId="77777777" w:rsidR="001460AC" w:rsidRPr="00886F1D" w:rsidRDefault="001460AC" w:rsidP="00917ECB">
            <w:pPr>
              <w:spacing w:after="0" w:line="240" w:lineRule="auto"/>
              <w:rPr>
                <w:rFonts w:asciiTheme="majorHAnsi" w:hAnsiTheme="majorHAnsi" w:cstheme="majorHAnsi"/>
                <w:color w:val="auto"/>
                <w:sz w:val="20"/>
                <w:lang w:eastAsia="en-AU"/>
              </w:rPr>
            </w:pPr>
          </w:p>
        </w:tc>
      </w:tr>
      <w:tr w:rsidR="00886F1D" w:rsidRPr="00886F1D" w14:paraId="718E781B" w14:textId="77777777" w:rsidTr="00B52BE2">
        <w:trPr>
          <w:cantSplit/>
          <w:trHeight w:val="631"/>
        </w:trPr>
        <w:tc>
          <w:tcPr>
            <w:tcW w:w="1077" w:type="dxa"/>
            <w:shd w:val="clear" w:color="auto" w:fill="auto"/>
            <w:hideMark/>
          </w:tcPr>
          <w:p w14:paraId="718E7812"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14 (</w:t>
            </w:r>
            <w:r w:rsidR="001460AC" w:rsidRPr="00886F1D">
              <w:rPr>
                <w:rFonts w:asciiTheme="majorHAnsi" w:eastAsia="Times New Roman" w:hAnsiTheme="majorHAnsi" w:cstheme="majorHAnsi"/>
                <w:color w:val="auto"/>
                <w:sz w:val="20"/>
                <w:lang w:eastAsia="en-AU"/>
              </w:rPr>
              <w:t>3.144</w:t>
            </w:r>
            <w:r w:rsidRPr="00886F1D">
              <w:rPr>
                <w:rFonts w:asciiTheme="majorHAnsi" w:eastAsia="Times New Roman" w:hAnsiTheme="majorHAnsi" w:cstheme="majorHAnsi"/>
                <w:color w:val="auto"/>
                <w:sz w:val="20"/>
                <w:lang w:eastAsia="en-AU"/>
              </w:rPr>
              <w:t>)</w:t>
            </w:r>
          </w:p>
          <w:p w14:paraId="718E7813"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p w14:paraId="718E7814"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15" w14:textId="77777777" w:rsidR="008042A6"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This assessment should acknowledge the need for industry to access a range of infrastructure for research and development, and manufacture. It should build on the preliminary work set out by the </w:t>
            </w:r>
            <w:proofErr w:type="spellStart"/>
            <w:r w:rsidRPr="00886F1D">
              <w:rPr>
                <w:rFonts w:asciiTheme="majorHAnsi" w:eastAsia="Times New Roman" w:hAnsiTheme="majorHAnsi" w:cstheme="majorHAnsi"/>
                <w:color w:val="auto"/>
                <w:sz w:val="20"/>
                <w:lang w:eastAsia="en-AU"/>
              </w:rPr>
              <w:t>SmartSat</w:t>
            </w:r>
            <w:proofErr w:type="spellEnd"/>
            <w:r w:rsidRPr="00886F1D">
              <w:rPr>
                <w:rFonts w:asciiTheme="majorHAnsi" w:eastAsia="Times New Roman" w:hAnsiTheme="majorHAnsi" w:cstheme="majorHAnsi"/>
                <w:color w:val="auto"/>
                <w:sz w:val="20"/>
                <w:lang w:eastAsia="en-AU"/>
              </w:rPr>
              <w:t xml:space="preserve"> CRC.</w:t>
            </w:r>
          </w:p>
          <w:p w14:paraId="718E7816"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4707" w:type="dxa"/>
          </w:tcPr>
          <w:p w14:paraId="718E7817" w14:textId="77777777" w:rsidR="001460AC" w:rsidRPr="00886F1D" w:rsidRDefault="007D2168"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Noted</w:t>
            </w:r>
          </w:p>
          <w:p w14:paraId="718E7818" w14:textId="77777777" w:rsidR="00A257D6" w:rsidRPr="00886F1D" w:rsidRDefault="00A257D6" w:rsidP="00917ECB">
            <w:pPr>
              <w:spacing w:after="0" w:line="240" w:lineRule="auto"/>
              <w:rPr>
                <w:rFonts w:asciiTheme="majorHAnsi" w:eastAsia="Times New Roman" w:hAnsiTheme="majorHAnsi" w:cstheme="majorHAnsi"/>
                <w:b/>
                <w:color w:val="auto"/>
                <w:sz w:val="20"/>
                <w:lang w:eastAsia="en-AU"/>
              </w:rPr>
            </w:pPr>
          </w:p>
          <w:p w14:paraId="718E7819" w14:textId="77777777" w:rsidR="008F7906" w:rsidRPr="00886F1D" w:rsidRDefault="008F7906" w:rsidP="008F7906">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This recommendation </w:t>
            </w:r>
            <w:r w:rsidR="00136702" w:rsidRPr="00886F1D">
              <w:rPr>
                <w:rFonts w:asciiTheme="majorHAnsi" w:hAnsiTheme="majorHAnsi" w:cstheme="majorHAnsi"/>
                <w:color w:val="auto"/>
                <w:sz w:val="20"/>
                <w:lang w:eastAsia="en-AU"/>
              </w:rPr>
              <w:t xml:space="preserve">will </w:t>
            </w:r>
            <w:r w:rsidRPr="00886F1D">
              <w:rPr>
                <w:rFonts w:asciiTheme="majorHAnsi" w:hAnsiTheme="majorHAnsi" w:cstheme="majorHAnsi"/>
                <w:color w:val="auto"/>
                <w:sz w:val="20"/>
                <w:lang w:eastAsia="en-AU"/>
              </w:rPr>
              <w:t>be considered in</w:t>
            </w:r>
            <w:r w:rsidR="00863126" w:rsidRPr="00886F1D">
              <w:rPr>
                <w:rFonts w:asciiTheme="majorHAnsi" w:hAnsiTheme="majorHAnsi" w:cstheme="majorHAnsi"/>
                <w:color w:val="auto"/>
                <w:sz w:val="20"/>
                <w:lang w:eastAsia="en-AU"/>
              </w:rPr>
              <w:t xml:space="preserve"> line with</w:t>
            </w:r>
            <w:r w:rsidRPr="00886F1D">
              <w:rPr>
                <w:rFonts w:asciiTheme="majorHAnsi" w:hAnsiTheme="majorHAnsi" w:cstheme="majorHAnsi"/>
                <w:color w:val="auto"/>
                <w:sz w:val="20"/>
                <w:lang w:eastAsia="en-AU"/>
              </w:rPr>
              <w:t xml:space="preserve"> the Australian Government’s future agenda.  </w:t>
            </w:r>
            <w:r w:rsidRPr="00886F1D" w:rsidDel="008F7906">
              <w:rPr>
                <w:rFonts w:asciiTheme="majorHAnsi" w:hAnsiTheme="majorHAnsi" w:cstheme="majorHAnsi"/>
                <w:color w:val="auto"/>
                <w:sz w:val="20"/>
                <w:lang w:eastAsia="en-AU"/>
              </w:rPr>
              <w:t xml:space="preserve"> </w:t>
            </w:r>
          </w:p>
          <w:p w14:paraId="718E781A" w14:textId="77777777" w:rsidR="001460AC" w:rsidRPr="00886F1D" w:rsidRDefault="001460AC" w:rsidP="00443B68">
            <w:pPr>
              <w:spacing w:after="0" w:line="240" w:lineRule="auto"/>
              <w:rPr>
                <w:rFonts w:asciiTheme="majorHAnsi" w:eastAsia="Times New Roman" w:hAnsiTheme="majorHAnsi" w:cstheme="majorHAnsi"/>
                <w:color w:val="auto"/>
                <w:sz w:val="20"/>
                <w:lang w:eastAsia="en-AU"/>
              </w:rPr>
            </w:pPr>
          </w:p>
        </w:tc>
      </w:tr>
      <w:tr w:rsidR="00886F1D" w:rsidRPr="00886F1D" w14:paraId="718E7823" w14:textId="77777777" w:rsidTr="00B52BE2">
        <w:trPr>
          <w:cantSplit/>
          <w:trHeight w:val="631"/>
        </w:trPr>
        <w:tc>
          <w:tcPr>
            <w:tcW w:w="1077" w:type="dxa"/>
            <w:shd w:val="clear" w:color="auto" w:fill="auto"/>
            <w:hideMark/>
          </w:tcPr>
          <w:p w14:paraId="718E781C"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14 (</w:t>
            </w:r>
            <w:r w:rsidR="001460AC" w:rsidRPr="00886F1D">
              <w:rPr>
                <w:rFonts w:asciiTheme="majorHAnsi" w:eastAsia="Times New Roman" w:hAnsiTheme="majorHAnsi" w:cstheme="majorHAnsi"/>
                <w:color w:val="auto"/>
                <w:sz w:val="20"/>
                <w:lang w:eastAsia="en-AU"/>
              </w:rPr>
              <w:t>3.145</w:t>
            </w:r>
            <w:r w:rsidRPr="00886F1D">
              <w:rPr>
                <w:rFonts w:asciiTheme="majorHAnsi" w:eastAsia="Times New Roman" w:hAnsiTheme="majorHAnsi" w:cstheme="majorHAnsi"/>
                <w:color w:val="auto"/>
                <w:sz w:val="20"/>
                <w:lang w:eastAsia="en-AU"/>
              </w:rPr>
              <w:t>)</w:t>
            </w:r>
          </w:p>
          <w:p w14:paraId="718E781D"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1E"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further consultation with Infrastructure Australia to establish whether it is best placed to undertake this work in consultation with industry.</w:t>
            </w:r>
          </w:p>
        </w:tc>
        <w:tc>
          <w:tcPr>
            <w:tcW w:w="4707" w:type="dxa"/>
          </w:tcPr>
          <w:p w14:paraId="718E781F" w14:textId="77777777" w:rsidR="001460AC" w:rsidRPr="00886F1D" w:rsidRDefault="00170545"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Noted</w:t>
            </w:r>
          </w:p>
          <w:p w14:paraId="718E7820" w14:textId="77777777" w:rsidR="00A257D6" w:rsidRPr="00886F1D" w:rsidRDefault="00A257D6" w:rsidP="00917ECB">
            <w:pPr>
              <w:spacing w:after="0" w:line="240" w:lineRule="auto"/>
              <w:rPr>
                <w:rFonts w:asciiTheme="majorHAnsi" w:eastAsia="Times New Roman" w:hAnsiTheme="majorHAnsi" w:cstheme="majorHAnsi"/>
                <w:b/>
                <w:color w:val="auto"/>
                <w:sz w:val="20"/>
                <w:lang w:eastAsia="en-AU"/>
              </w:rPr>
            </w:pPr>
          </w:p>
          <w:p w14:paraId="718E7821" w14:textId="77777777" w:rsidR="00170545" w:rsidRPr="00886F1D" w:rsidRDefault="00427B0D" w:rsidP="3F0BAA6D">
            <w:pPr>
              <w:spacing w:after="0" w:line="240" w:lineRule="auto"/>
              <w:rPr>
                <w:rFonts w:asciiTheme="majorHAnsi" w:eastAsia="Times New Roman" w:hAnsiTheme="majorHAnsi" w:cstheme="majorBidi"/>
                <w:b/>
                <w:bCs/>
                <w:color w:val="auto"/>
                <w:sz w:val="20"/>
                <w:lang w:eastAsia="en-AU"/>
              </w:rPr>
            </w:pPr>
            <w:r w:rsidRPr="00886F1D">
              <w:rPr>
                <w:rFonts w:asciiTheme="majorHAnsi" w:eastAsia="Times New Roman" w:hAnsiTheme="majorHAnsi" w:cstheme="majorBidi"/>
                <w:color w:val="auto"/>
                <w:sz w:val="20"/>
                <w:lang w:eastAsia="en-AU"/>
              </w:rPr>
              <w:t xml:space="preserve">The </w:t>
            </w:r>
            <w:r w:rsidR="00DF2748" w:rsidRPr="00886F1D">
              <w:rPr>
                <w:rFonts w:asciiTheme="majorHAnsi" w:eastAsia="Times New Roman" w:hAnsiTheme="majorHAnsi" w:cstheme="majorBidi"/>
                <w:color w:val="auto"/>
                <w:sz w:val="20"/>
                <w:lang w:eastAsia="en-AU"/>
              </w:rPr>
              <w:t>Australian Space</w:t>
            </w:r>
            <w:r w:rsidRPr="00886F1D">
              <w:rPr>
                <w:rFonts w:asciiTheme="majorHAnsi" w:eastAsia="Times New Roman" w:hAnsiTheme="majorHAnsi" w:cstheme="majorBidi"/>
                <w:color w:val="auto"/>
                <w:sz w:val="20"/>
                <w:lang w:eastAsia="en-AU"/>
              </w:rPr>
              <w:t xml:space="preserve"> Agency consult</w:t>
            </w:r>
            <w:r w:rsidR="00823BC4" w:rsidRPr="00886F1D">
              <w:rPr>
                <w:rFonts w:asciiTheme="majorHAnsi" w:eastAsia="Times New Roman" w:hAnsiTheme="majorHAnsi" w:cstheme="majorBidi"/>
                <w:color w:val="auto"/>
                <w:sz w:val="20"/>
                <w:lang w:eastAsia="en-AU"/>
              </w:rPr>
              <w:t>s</w:t>
            </w:r>
            <w:r w:rsidRPr="00886F1D">
              <w:rPr>
                <w:rFonts w:asciiTheme="majorHAnsi" w:eastAsia="Times New Roman" w:hAnsiTheme="majorHAnsi" w:cstheme="majorBidi"/>
                <w:color w:val="auto"/>
                <w:sz w:val="20"/>
                <w:lang w:eastAsia="en-AU"/>
              </w:rPr>
              <w:t xml:space="preserve"> </w:t>
            </w:r>
            <w:r w:rsidR="00823BC4" w:rsidRPr="00886F1D">
              <w:rPr>
                <w:rFonts w:asciiTheme="majorHAnsi" w:eastAsia="Times New Roman" w:hAnsiTheme="majorHAnsi" w:cstheme="majorBidi"/>
                <w:color w:val="auto"/>
                <w:sz w:val="20"/>
                <w:lang w:eastAsia="en-AU"/>
              </w:rPr>
              <w:t xml:space="preserve">broadly </w:t>
            </w:r>
            <w:r w:rsidRPr="00886F1D">
              <w:rPr>
                <w:rFonts w:asciiTheme="majorHAnsi" w:eastAsia="Times New Roman" w:hAnsiTheme="majorHAnsi" w:cstheme="majorBidi"/>
                <w:color w:val="auto"/>
                <w:sz w:val="20"/>
                <w:lang w:eastAsia="en-AU"/>
              </w:rPr>
              <w:t xml:space="preserve">across </w:t>
            </w:r>
            <w:r w:rsidR="00823BC4" w:rsidRPr="00886F1D">
              <w:rPr>
                <w:rFonts w:asciiTheme="majorHAnsi" w:eastAsia="Times New Roman" w:hAnsiTheme="majorHAnsi" w:cstheme="majorBidi"/>
                <w:color w:val="auto"/>
                <w:sz w:val="20"/>
                <w:lang w:eastAsia="en-AU"/>
              </w:rPr>
              <w:t>g</w:t>
            </w:r>
            <w:r w:rsidRPr="00886F1D">
              <w:rPr>
                <w:rFonts w:asciiTheme="majorHAnsi" w:eastAsia="Times New Roman" w:hAnsiTheme="majorHAnsi" w:cstheme="majorBidi"/>
                <w:color w:val="auto"/>
                <w:sz w:val="20"/>
                <w:lang w:eastAsia="en-AU"/>
              </w:rPr>
              <w:t xml:space="preserve">overnment in relation to space related infrastructure, leveraging engagement mechanisms of various portfolios to support consultation with </w:t>
            </w:r>
            <w:r w:rsidR="00823BC4" w:rsidRPr="00886F1D">
              <w:rPr>
                <w:rFonts w:asciiTheme="majorHAnsi" w:eastAsia="Times New Roman" w:hAnsiTheme="majorHAnsi" w:cstheme="majorBidi"/>
                <w:color w:val="auto"/>
                <w:sz w:val="20"/>
                <w:lang w:eastAsia="en-AU"/>
              </w:rPr>
              <w:t>the space sector</w:t>
            </w:r>
            <w:r w:rsidRPr="00886F1D">
              <w:rPr>
                <w:rFonts w:asciiTheme="majorHAnsi" w:eastAsia="Times New Roman" w:hAnsiTheme="majorHAnsi" w:cstheme="majorBidi"/>
                <w:color w:val="auto"/>
                <w:sz w:val="20"/>
                <w:lang w:eastAsia="en-AU"/>
              </w:rPr>
              <w:t xml:space="preserve">. This includes the Department of Education in relation to </w:t>
            </w:r>
            <w:r w:rsidR="00E72965" w:rsidRPr="00886F1D">
              <w:rPr>
                <w:rFonts w:asciiTheme="majorHAnsi" w:eastAsia="Times New Roman" w:hAnsiTheme="majorHAnsi" w:cstheme="majorBidi"/>
                <w:color w:val="auto"/>
                <w:sz w:val="20"/>
                <w:lang w:eastAsia="en-AU"/>
              </w:rPr>
              <w:t>n</w:t>
            </w:r>
            <w:r w:rsidRPr="00886F1D">
              <w:rPr>
                <w:rFonts w:asciiTheme="majorHAnsi" w:eastAsia="Times New Roman" w:hAnsiTheme="majorHAnsi" w:cstheme="majorBidi"/>
                <w:color w:val="auto"/>
                <w:sz w:val="20"/>
                <w:lang w:eastAsia="en-AU"/>
              </w:rPr>
              <w:t xml:space="preserve">ational </w:t>
            </w:r>
            <w:r w:rsidR="00E72965" w:rsidRPr="00886F1D">
              <w:rPr>
                <w:rFonts w:asciiTheme="majorHAnsi" w:eastAsia="Times New Roman" w:hAnsiTheme="majorHAnsi" w:cstheme="majorBidi"/>
                <w:color w:val="auto"/>
                <w:sz w:val="20"/>
                <w:lang w:eastAsia="en-AU"/>
              </w:rPr>
              <w:t>r</w:t>
            </w:r>
            <w:r w:rsidRPr="00886F1D">
              <w:rPr>
                <w:rFonts w:asciiTheme="majorHAnsi" w:eastAsia="Times New Roman" w:hAnsiTheme="majorHAnsi" w:cstheme="majorBidi"/>
                <w:color w:val="auto"/>
                <w:sz w:val="20"/>
                <w:lang w:eastAsia="en-AU"/>
              </w:rPr>
              <w:t xml:space="preserve">esearch </w:t>
            </w:r>
            <w:r w:rsidR="00E72965" w:rsidRPr="00886F1D">
              <w:rPr>
                <w:rFonts w:asciiTheme="majorHAnsi" w:eastAsia="Times New Roman" w:hAnsiTheme="majorHAnsi" w:cstheme="majorBidi"/>
                <w:color w:val="auto"/>
                <w:sz w:val="20"/>
                <w:lang w:eastAsia="en-AU"/>
              </w:rPr>
              <w:t>i</w:t>
            </w:r>
            <w:r w:rsidRPr="00886F1D">
              <w:rPr>
                <w:rFonts w:asciiTheme="majorHAnsi" w:eastAsia="Times New Roman" w:hAnsiTheme="majorHAnsi" w:cstheme="majorBidi"/>
                <w:color w:val="auto"/>
                <w:sz w:val="20"/>
                <w:lang w:eastAsia="en-AU"/>
              </w:rPr>
              <w:t xml:space="preserve">nfrastructure, the Department of Infrastructure, Transport, Regional Development, Communications and the Arts and its portfolio agencies in relation to broader infrastructure, </w:t>
            </w:r>
            <w:r w:rsidR="174CC8C0" w:rsidRPr="00886F1D">
              <w:rPr>
                <w:rFonts w:asciiTheme="majorHAnsi" w:eastAsia="Times New Roman" w:hAnsiTheme="majorHAnsi" w:cstheme="majorBidi"/>
                <w:color w:val="auto"/>
                <w:sz w:val="20"/>
                <w:lang w:eastAsia="en-AU"/>
              </w:rPr>
              <w:t xml:space="preserve">and </w:t>
            </w:r>
            <w:r w:rsidRPr="00886F1D">
              <w:rPr>
                <w:rFonts w:asciiTheme="majorHAnsi" w:eastAsia="Times New Roman" w:hAnsiTheme="majorHAnsi" w:cstheme="majorBidi"/>
                <w:color w:val="auto"/>
                <w:sz w:val="20"/>
                <w:lang w:eastAsia="en-AU"/>
              </w:rPr>
              <w:t>the Department of Home Affairs</w:t>
            </w:r>
            <w:r w:rsidR="7AF58323" w:rsidRPr="00886F1D">
              <w:rPr>
                <w:rFonts w:asciiTheme="majorHAnsi" w:eastAsia="Times New Roman" w:hAnsiTheme="majorHAnsi" w:cstheme="majorBidi"/>
                <w:color w:val="auto"/>
                <w:sz w:val="20"/>
                <w:lang w:eastAsia="en-AU"/>
              </w:rPr>
              <w:t>,</w:t>
            </w:r>
            <w:r w:rsidRPr="00886F1D">
              <w:rPr>
                <w:rFonts w:asciiTheme="majorHAnsi" w:eastAsia="Times New Roman" w:hAnsiTheme="majorHAnsi" w:cstheme="majorBidi"/>
                <w:color w:val="auto"/>
                <w:sz w:val="20"/>
                <w:lang w:eastAsia="en-AU"/>
              </w:rPr>
              <w:t xml:space="preserve"> particularly </w:t>
            </w:r>
            <w:r w:rsidR="7EBA9AB2" w:rsidRPr="00886F1D">
              <w:rPr>
                <w:rFonts w:asciiTheme="majorHAnsi" w:eastAsia="Times New Roman" w:hAnsiTheme="majorHAnsi" w:cstheme="majorBidi"/>
                <w:color w:val="auto"/>
                <w:sz w:val="20"/>
                <w:lang w:eastAsia="en-AU"/>
              </w:rPr>
              <w:t xml:space="preserve">its </w:t>
            </w:r>
            <w:r w:rsidRPr="00886F1D">
              <w:rPr>
                <w:rFonts w:asciiTheme="majorHAnsi" w:eastAsia="Times New Roman" w:hAnsiTheme="majorHAnsi" w:cstheme="majorBidi"/>
                <w:color w:val="auto"/>
                <w:sz w:val="20"/>
                <w:lang w:eastAsia="en-AU"/>
              </w:rPr>
              <w:t xml:space="preserve">Cyber and Infrastructure Security Centre.   </w:t>
            </w:r>
          </w:p>
          <w:p w14:paraId="718E7822" w14:textId="77777777" w:rsidR="001460AC" w:rsidRPr="00886F1D" w:rsidRDefault="001460AC" w:rsidP="004672F5">
            <w:pPr>
              <w:spacing w:after="0" w:line="240" w:lineRule="auto"/>
              <w:rPr>
                <w:rFonts w:asciiTheme="majorHAnsi" w:eastAsia="Times New Roman" w:hAnsiTheme="majorHAnsi" w:cstheme="majorHAnsi"/>
                <w:b/>
                <w:color w:val="auto"/>
                <w:sz w:val="20"/>
                <w:lang w:eastAsia="en-AU"/>
              </w:rPr>
            </w:pPr>
          </w:p>
        </w:tc>
      </w:tr>
      <w:tr w:rsidR="00886F1D" w:rsidRPr="00886F1D" w14:paraId="718E782F" w14:textId="77777777" w:rsidTr="00B52BE2">
        <w:trPr>
          <w:cantSplit/>
          <w:trHeight w:val="941"/>
        </w:trPr>
        <w:tc>
          <w:tcPr>
            <w:tcW w:w="1077" w:type="dxa"/>
            <w:shd w:val="clear" w:color="auto" w:fill="auto"/>
            <w:hideMark/>
          </w:tcPr>
          <w:p w14:paraId="718E7824"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15 (</w:t>
            </w:r>
            <w:r w:rsidR="001460AC" w:rsidRPr="00886F1D">
              <w:rPr>
                <w:rFonts w:asciiTheme="majorHAnsi" w:eastAsia="Times New Roman" w:hAnsiTheme="majorHAnsi" w:cstheme="majorHAnsi"/>
                <w:color w:val="auto"/>
                <w:sz w:val="20"/>
                <w:lang w:eastAsia="en-AU"/>
              </w:rPr>
              <w:t>3.146</w:t>
            </w:r>
            <w:r w:rsidRPr="00886F1D">
              <w:rPr>
                <w:rFonts w:asciiTheme="majorHAnsi" w:eastAsia="Times New Roman" w:hAnsiTheme="majorHAnsi" w:cstheme="majorHAnsi"/>
                <w:color w:val="auto"/>
                <w:sz w:val="20"/>
                <w:lang w:eastAsia="en-AU"/>
              </w:rPr>
              <w:t>)</w:t>
            </w:r>
          </w:p>
          <w:p w14:paraId="718E7825"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26"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in consultation with industry, examine the requirement to use international standards such as those used by the European Space Agency and NASA for all Commonwealth space procurements.</w:t>
            </w:r>
          </w:p>
        </w:tc>
        <w:tc>
          <w:tcPr>
            <w:tcW w:w="4707" w:type="dxa"/>
          </w:tcPr>
          <w:p w14:paraId="718E7827" w14:textId="77777777" w:rsidR="001460AC" w:rsidRPr="00886F1D" w:rsidRDefault="001460AC" w:rsidP="00917EC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 xml:space="preserve">Agreed in </w:t>
            </w:r>
            <w:r w:rsidR="00D417F2" w:rsidRPr="00886F1D">
              <w:rPr>
                <w:rFonts w:asciiTheme="majorHAnsi" w:hAnsiTheme="majorHAnsi" w:cstheme="majorHAnsi"/>
                <w:b/>
                <w:color w:val="auto"/>
                <w:sz w:val="20"/>
                <w:lang w:eastAsia="en-AU"/>
              </w:rPr>
              <w:t>P</w:t>
            </w:r>
            <w:r w:rsidRPr="00886F1D">
              <w:rPr>
                <w:rFonts w:asciiTheme="majorHAnsi" w:hAnsiTheme="majorHAnsi" w:cstheme="majorHAnsi"/>
                <w:b/>
                <w:color w:val="auto"/>
                <w:sz w:val="20"/>
                <w:lang w:eastAsia="en-AU"/>
              </w:rPr>
              <w:t>rinciple</w:t>
            </w:r>
          </w:p>
          <w:p w14:paraId="718E7828" w14:textId="77777777" w:rsidR="001460AC" w:rsidRPr="00886F1D" w:rsidRDefault="001460AC" w:rsidP="00917ECB">
            <w:pPr>
              <w:spacing w:after="0" w:line="240" w:lineRule="auto"/>
              <w:rPr>
                <w:rFonts w:asciiTheme="majorHAnsi" w:hAnsiTheme="majorHAnsi" w:cstheme="majorHAnsi"/>
                <w:b/>
                <w:color w:val="auto"/>
                <w:sz w:val="20"/>
                <w:lang w:eastAsia="en-AU"/>
              </w:rPr>
            </w:pPr>
          </w:p>
          <w:p w14:paraId="718E7829" w14:textId="77777777" w:rsidR="001460AC" w:rsidRPr="00886F1D" w:rsidRDefault="001460AC" w:rsidP="00917ECB">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5755A4"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Government recognises the importance of international standards for accessing global supply chains and meeting the expectations of the international marketplace.</w:t>
            </w:r>
          </w:p>
          <w:p w14:paraId="718E782A" w14:textId="77777777" w:rsidR="001460AC" w:rsidRPr="00886F1D" w:rsidRDefault="001460AC" w:rsidP="00917ECB">
            <w:pPr>
              <w:spacing w:after="0" w:line="240" w:lineRule="auto"/>
              <w:rPr>
                <w:rFonts w:asciiTheme="majorHAnsi" w:hAnsiTheme="majorHAnsi" w:cstheme="majorHAnsi"/>
                <w:b/>
                <w:color w:val="auto"/>
                <w:sz w:val="20"/>
                <w:lang w:eastAsia="en-AU"/>
              </w:rPr>
            </w:pPr>
          </w:p>
          <w:p w14:paraId="718E782B" w14:textId="77777777" w:rsidR="0084577B" w:rsidRPr="00886F1D" w:rsidRDefault="001460AC" w:rsidP="0084577B">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543981" w:rsidRPr="00886F1D">
              <w:rPr>
                <w:rFonts w:asciiTheme="majorHAnsi" w:hAnsiTheme="majorHAnsi" w:cstheme="majorHAnsi"/>
                <w:color w:val="auto"/>
                <w:sz w:val="20"/>
                <w:lang w:eastAsia="en-AU"/>
              </w:rPr>
              <w:t>Australian Space</w:t>
            </w:r>
            <w:r w:rsidRPr="00886F1D">
              <w:rPr>
                <w:rFonts w:asciiTheme="majorHAnsi" w:hAnsiTheme="majorHAnsi" w:cstheme="majorHAnsi"/>
                <w:color w:val="auto"/>
                <w:sz w:val="20"/>
                <w:lang w:eastAsia="en-AU"/>
              </w:rPr>
              <w:t xml:space="preserve"> Agency is leading the Australian Government’s activities in regard to civil Australian space sector standards. </w:t>
            </w:r>
            <w:r w:rsidR="0084577B" w:rsidRPr="00886F1D">
              <w:rPr>
                <w:rFonts w:asciiTheme="majorHAnsi" w:hAnsiTheme="majorHAnsi" w:cstheme="majorHAnsi"/>
                <w:color w:val="auto"/>
                <w:sz w:val="20"/>
                <w:lang w:eastAsia="en-AU"/>
              </w:rPr>
              <w:t>Recent activities include the Agency commencing the process for Australia’s participation in the International Organization for Standardisation’s TC20 standard (relating to aircraft and space vehicles). Additionally, the Agency is an observer member of the international Interagency Operations Advisory Group (IOAG) which deals with global matters related to space communications with a focus on interagency interoperability and standards.</w:t>
            </w:r>
          </w:p>
          <w:p w14:paraId="718E782C" w14:textId="77777777" w:rsidR="0070349C" w:rsidRPr="00886F1D" w:rsidRDefault="0070349C" w:rsidP="0084577B">
            <w:pPr>
              <w:spacing w:after="0" w:line="240" w:lineRule="auto"/>
              <w:rPr>
                <w:rFonts w:asciiTheme="majorHAnsi" w:hAnsiTheme="majorHAnsi" w:cstheme="majorHAnsi"/>
                <w:color w:val="auto"/>
                <w:sz w:val="20"/>
                <w:lang w:eastAsia="en-AU"/>
              </w:rPr>
            </w:pPr>
          </w:p>
          <w:p w14:paraId="718E782D" w14:textId="77777777" w:rsidR="001460AC" w:rsidRPr="00886F1D" w:rsidRDefault="001460AC" w:rsidP="00917ECB">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5755A4" w:rsidRPr="00886F1D">
              <w:rPr>
                <w:rFonts w:asciiTheme="majorHAnsi" w:hAnsiTheme="majorHAnsi" w:cstheme="majorHAnsi"/>
                <w:color w:val="auto"/>
                <w:sz w:val="20"/>
                <w:lang w:eastAsia="en-AU"/>
              </w:rPr>
              <w:t xml:space="preserve">Australian </w:t>
            </w:r>
            <w:r w:rsidR="0070349C" w:rsidRPr="00886F1D">
              <w:rPr>
                <w:rFonts w:asciiTheme="majorHAnsi" w:hAnsiTheme="majorHAnsi" w:cstheme="majorHAnsi"/>
                <w:color w:val="auto"/>
                <w:sz w:val="20"/>
                <w:lang w:eastAsia="en-AU"/>
              </w:rPr>
              <w:t xml:space="preserve">Government </w:t>
            </w:r>
            <w:r w:rsidRPr="00886F1D">
              <w:rPr>
                <w:rFonts w:asciiTheme="majorHAnsi" w:hAnsiTheme="majorHAnsi" w:cstheme="majorHAnsi"/>
                <w:color w:val="auto"/>
                <w:sz w:val="20"/>
                <w:lang w:eastAsia="en-AU"/>
              </w:rPr>
              <w:t xml:space="preserve">will continue to consult extensively on this matter. </w:t>
            </w:r>
          </w:p>
          <w:p w14:paraId="718E782E" w14:textId="77777777" w:rsidR="001460AC" w:rsidRPr="00886F1D" w:rsidRDefault="001460AC" w:rsidP="00917ECB">
            <w:pPr>
              <w:spacing w:after="0" w:line="240" w:lineRule="auto"/>
              <w:rPr>
                <w:rFonts w:asciiTheme="majorHAnsi" w:hAnsiTheme="majorHAnsi" w:cstheme="majorHAnsi"/>
                <w:b/>
                <w:color w:val="auto"/>
                <w:sz w:val="20"/>
                <w:lang w:eastAsia="en-AU"/>
              </w:rPr>
            </w:pPr>
          </w:p>
        </w:tc>
      </w:tr>
      <w:tr w:rsidR="00886F1D" w:rsidRPr="00886F1D" w14:paraId="718E7839" w14:textId="77777777" w:rsidTr="00B52BE2">
        <w:trPr>
          <w:cantSplit/>
          <w:trHeight w:val="631"/>
        </w:trPr>
        <w:tc>
          <w:tcPr>
            <w:tcW w:w="1077" w:type="dxa"/>
            <w:shd w:val="clear" w:color="auto" w:fill="auto"/>
            <w:hideMark/>
          </w:tcPr>
          <w:p w14:paraId="718E7830"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lastRenderedPageBreak/>
              <w:t>16 (</w:t>
            </w:r>
            <w:r w:rsidR="001460AC" w:rsidRPr="00886F1D">
              <w:rPr>
                <w:rFonts w:asciiTheme="majorHAnsi" w:eastAsia="Times New Roman" w:hAnsiTheme="majorHAnsi" w:cstheme="majorHAnsi"/>
                <w:color w:val="auto"/>
                <w:sz w:val="20"/>
                <w:lang w:eastAsia="en-AU"/>
              </w:rPr>
              <w:t>3.147</w:t>
            </w:r>
            <w:r w:rsidRPr="00886F1D">
              <w:rPr>
                <w:rFonts w:asciiTheme="majorHAnsi" w:eastAsia="Times New Roman" w:hAnsiTheme="majorHAnsi" w:cstheme="majorHAnsi"/>
                <w:color w:val="auto"/>
                <w:sz w:val="20"/>
                <w:lang w:eastAsia="en-AU"/>
              </w:rPr>
              <w:t>)</w:t>
            </w:r>
          </w:p>
          <w:p w14:paraId="718E7831"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32"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develop a specific ABS classification to provide a more accurate picture of the size of the Australian space industry and to help track its value and grow</w:t>
            </w:r>
            <w:r w:rsidR="008C7FAF" w:rsidRPr="00886F1D">
              <w:rPr>
                <w:rFonts w:asciiTheme="majorHAnsi" w:eastAsia="Times New Roman" w:hAnsiTheme="majorHAnsi" w:cstheme="majorHAnsi"/>
                <w:color w:val="auto"/>
                <w:sz w:val="20"/>
                <w:lang w:eastAsia="en-AU"/>
              </w:rPr>
              <w:t>t</w:t>
            </w:r>
            <w:r w:rsidRPr="00886F1D">
              <w:rPr>
                <w:rFonts w:asciiTheme="majorHAnsi" w:eastAsia="Times New Roman" w:hAnsiTheme="majorHAnsi" w:cstheme="majorHAnsi"/>
                <w:color w:val="auto"/>
                <w:sz w:val="20"/>
                <w:lang w:eastAsia="en-AU"/>
              </w:rPr>
              <w:t>h.</w:t>
            </w:r>
          </w:p>
        </w:tc>
        <w:tc>
          <w:tcPr>
            <w:tcW w:w="4707" w:type="dxa"/>
          </w:tcPr>
          <w:p w14:paraId="718E7833" w14:textId="77777777" w:rsidR="001460AC" w:rsidRPr="00886F1D" w:rsidRDefault="00167C5B" w:rsidP="00917EC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Agreed in Principle</w:t>
            </w:r>
          </w:p>
          <w:p w14:paraId="718E7834" w14:textId="77777777" w:rsidR="00167C5B" w:rsidRPr="00886F1D" w:rsidRDefault="00167C5B" w:rsidP="00917ECB">
            <w:pPr>
              <w:spacing w:after="0" w:line="240" w:lineRule="auto"/>
              <w:rPr>
                <w:rFonts w:asciiTheme="majorHAnsi" w:hAnsiTheme="majorHAnsi" w:cstheme="majorHAnsi"/>
                <w:b/>
                <w:color w:val="auto"/>
                <w:sz w:val="20"/>
                <w:lang w:eastAsia="en-AU"/>
              </w:rPr>
            </w:pPr>
          </w:p>
          <w:p w14:paraId="718E7835" w14:textId="77777777" w:rsidR="00A347FD" w:rsidRPr="00886F1D" w:rsidRDefault="00A347FD" w:rsidP="00A347FD">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The Australian Space Agency reports on the size, growth and other metrics of the space sector biennially through publishing economic snapshot reports. </w:t>
            </w:r>
          </w:p>
          <w:p w14:paraId="718E7836" w14:textId="77777777" w:rsidR="00A347FD" w:rsidRPr="00886F1D" w:rsidRDefault="00A347FD" w:rsidP="00A347FD">
            <w:pPr>
              <w:spacing w:after="0" w:line="240" w:lineRule="auto"/>
              <w:rPr>
                <w:rFonts w:asciiTheme="majorHAnsi" w:eastAsia="Times New Roman" w:hAnsiTheme="majorHAnsi" w:cstheme="majorHAnsi"/>
                <w:color w:val="auto"/>
                <w:sz w:val="20"/>
                <w:lang w:eastAsia="en-AU"/>
              </w:rPr>
            </w:pPr>
          </w:p>
          <w:p w14:paraId="718E7837" w14:textId="77777777" w:rsidR="001460AC" w:rsidRPr="00886F1D" w:rsidRDefault="00A347FD" w:rsidP="00A347FD">
            <w:pPr>
              <w:spacing w:after="0" w:line="240" w:lineRule="auto"/>
              <w:rPr>
                <w:rFonts w:asciiTheme="majorHAnsi" w:hAnsiTheme="majorHAnsi" w:cstheme="majorHAnsi"/>
                <w:b/>
                <w:color w:val="auto"/>
                <w:sz w:val="20"/>
                <w:lang w:eastAsia="en-AU"/>
              </w:rPr>
            </w:pPr>
            <w:r w:rsidRPr="00886F1D">
              <w:rPr>
                <w:rFonts w:asciiTheme="majorHAnsi" w:hAnsiTheme="majorHAnsi" w:cstheme="majorHAnsi"/>
                <w:color w:val="auto"/>
                <w:sz w:val="20"/>
                <w:lang w:eastAsia="en-AU"/>
              </w:rPr>
              <w:t>The Agency, in consultation with the ABS, is working to improve the basis for data collection in measuring change and growth in the Australian space sector.</w:t>
            </w:r>
          </w:p>
          <w:p w14:paraId="718E7838" w14:textId="77777777" w:rsidR="001460AC" w:rsidRPr="00886F1D" w:rsidRDefault="001460AC" w:rsidP="00167C5B">
            <w:pPr>
              <w:spacing w:after="0" w:line="240" w:lineRule="auto"/>
              <w:rPr>
                <w:rFonts w:asciiTheme="majorHAnsi" w:hAnsiTheme="majorHAnsi" w:cstheme="majorHAnsi"/>
                <w:b/>
                <w:color w:val="auto"/>
                <w:sz w:val="20"/>
                <w:lang w:eastAsia="en-AU"/>
              </w:rPr>
            </w:pPr>
          </w:p>
        </w:tc>
      </w:tr>
      <w:tr w:rsidR="00886F1D" w:rsidRPr="00886F1D" w14:paraId="718E7841" w14:textId="77777777" w:rsidTr="00B52BE2">
        <w:trPr>
          <w:cantSplit/>
          <w:trHeight w:val="631"/>
        </w:trPr>
        <w:tc>
          <w:tcPr>
            <w:tcW w:w="1077" w:type="dxa"/>
            <w:shd w:val="clear" w:color="auto" w:fill="auto"/>
            <w:hideMark/>
          </w:tcPr>
          <w:p w14:paraId="718E783A"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17 (</w:t>
            </w:r>
            <w:r w:rsidR="001460AC" w:rsidRPr="00886F1D">
              <w:rPr>
                <w:rFonts w:asciiTheme="majorHAnsi" w:eastAsia="Times New Roman" w:hAnsiTheme="majorHAnsi" w:cstheme="majorHAnsi"/>
                <w:color w:val="auto"/>
                <w:sz w:val="20"/>
                <w:lang w:eastAsia="en-AU"/>
              </w:rPr>
              <w:t>3.148</w:t>
            </w:r>
            <w:r w:rsidRPr="00886F1D">
              <w:rPr>
                <w:rFonts w:asciiTheme="majorHAnsi" w:eastAsia="Times New Roman" w:hAnsiTheme="majorHAnsi" w:cstheme="majorHAnsi"/>
                <w:color w:val="auto"/>
                <w:sz w:val="20"/>
                <w:lang w:eastAsia="en-AU"/>
              </w:rPr>
              <w:t>)</w:t>
            </w:r>
          </w:p>
          <w:p w14:paraId="718E783B"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3C"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foster the growth of Earth Observation from space and data processing capabilities that benefit Australia across ever</w:t>
            </w:r>
            <w:r w:rsidR="00A44BA1" w:rsidRPr="00886F1D">
              <w:rPr>
                <w:rFonts w:asciiTheme="majorHAnsi" w:eastAsia="Times New Roman" w:hAnsiTheme="majorHAnsi" w:cstheme="majorHAnsi"/>
                <w:color w:val="auto"/>
                <w:sz w:val="20"/>
                <w:lang w:eastAsia="en-AU"/>
              </w:rPr>
              <w:t>y</w:t>
            </w:r>
            <w:r w:rsidRPr="00886F1D">
              <w:rPr>
                <w:rFonts w:asciiTheme="majorHAnsi" w:eastAsia="Times New Roman" w:hAnsiTheme="majorHAnsi" w:cstheme="majorHAnsi"/>
                <w:color w:val="auto"/>
                <w:sz w:val="20"/>
                <w:lang w:eastAsia="en-AU"/>
              </w:rPr>
              <w:t xml:space="preserve"> sector of the economy.</w:t>
            </w:r>
          </w:p>
        </w:tc>
        <w:tc>
          <w:tcPr>
            <w:tcW w:w="4707" w:type="dxa"/>
          </w:tcPr>
          <w:p w14:paraId="718E783D" w14:textId="77777777" w:rsidR="00E83EB5" w:rsidRPr="00886F1D" w:rsidRDefault="001460AC" w:rsidP="00917EC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 xml:space="preserve">Agreed </w:t>
            </w:r>
          </w:p>
          <w:p w14:paraId="718E783E" w14:textId="77777777" w:rsidR="001460AC" w:rsidRPr="00886F1D" w:rsidRDefault="001460AC" w:rsidP="00917ECB">
            <w:pPr>
              <w:spacing w:after="0" w:line="240" w:lineRule="auto"/>
              <w:rPr>
                <w:rFonts w:asciiTheme="majorHAnsi" w:hAnsiTheme="majorHAnsi" w:cstheme="majorHAnsi"/>
                <w:color w:val="auto"/>
                <w:sz w:val="20"/>
                <w:lang w:eastAsia="en-AU"/>
              </w:rPr>
            </w:pPr>
          </w:p>
          <w:p w14:paraId="718E783F" w14:textId="77777777" w:rsidR="00EC1D31" w:rsidRPr="00886F1D" w:rsidRDefault="001460AC" w:rsidP="00B2560C">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8E34A3" w:rsidRPr="00886F1D">
              <w:rPr>
                <w:rFonts w:asciiTheme="majorHAnsi" w:hAnsiTheme="majorHAnsi" w:cstheme="majorHAnsi"/>
                <w:color w:val="auto"/>
                <w:sz w:val="20"/>
                <w:lang w:eastAsia="en-AU"/>
              </w:rPr>
              <w:t xml:space="preserve">Australian </w:t>
            </w:r>
            <w:r w:rsidR="00FE04ED" w:rsidRPr="00886F1D">
              <w:rPr>
                <w:rFonts w:asciiTheme="majorHAnsi" w:hAnsiTheme="majorHAnsi" w:cstheme="majorHAnsi"/>
                <w:color w:val="auto"/>
                <w:sz w:val="20"/>
                <w:lang w:eastAsia="en-AU"/>
              </w:rPr>
              <w:t>Government</w:t>
            </w:r>
            <w:r w:rsidR="00E949F0" w:rsidRPr="00886F1D">
              <w:rPr>
                <w:rFonts w:asciiTheme="majorHAnsi" w:hAnsiTheme="majorHAnsi" w:cstheme="majorHAnsi"/>
                <w:color w:val="auto"/>
                <w:sz w:val="20"/>
                <w:lang w:eastAsia="en-AU"/>
              </w:rPr>
              <w:t xml:space="preserve"> recognises the </w:t>
            </w:r>
            <w:r w:rsidR="00FE04ED" w:rsidRPr="00886F1D">
              <w:rPr>
                <w:rFonts w:asciiTheme="majorHAnsi" w:hAnsiTheme="majorHAnsi" w:cstheme="majorHAnsi"/>
                <w:color w:val="auto"/>
                <w:sz w:val="20"/>
                <w:lang w:eastAsia="en-AU"/>
              </w:rPr>
              <w:t>importance</w:t>
            </w:r>
            <w:r w:rsidR="00E949F0" w:rsidRPr="00886F1D">
              <w:rPr>
                <w:rFonts w:asciiTheme="majorHAnsi" w:hAnsiTheme="majorHAnsi" w:cstheme="majorHAnsi"/>
                <w:color w:val="auto"/>
                <w:sz w:val="20"/>
                <w:lang w:eastAsia="en-AU"/>
              </w:rPr>
              <w:t xml:space="preserve"> of Earth Observation </w:t>
            </w:r>
            <w:r w:rsidR="00FE04ED" w:rsidRPr="00886F1D">
              <w:rPr>
                <w:rFonts w:asciiTheme="majorHAnsi" w:hAnsiTheme="majorHAnsi" w:cstheme="majorHAnsi"/>
                <w:color w:val="auto"/>
                <w:sz w:val="20"/>
                <w:lang w:eastAsia="en-AU"/>
              </w:rPr>
              <w:t>data to the Australian economy</w:t>
            </w:r>
            <w:r w:rsidR="00E949F0" w:rsidRPr="00886F1D">
              <w:rPr>
                <w:rFonts w:asciiTheme="majorHAnsi" w:hAnsiTheme="majorHAnsi" w:cstheme="majorHAnsi"/>
                <w:color w:val="auto"/>
                <w:sz w:val="20"/>
                <w:lang w:eastAsia="en-AU"/>
              </w:rPr>
              <w:t xml:space="preserve"> and</w:t>
            </w:r>
            <w:r w:rsidRPr="00886F1D">
              <w:rPr>
                <w:rFonts w:asciiTheme="majorHAnsi" w:hAnsiTheme="majorHAnsi" w:cstheme="majorHAnsi"/>
                <w:color w:val="auto"/>
                <w:sz w:val="20"/>
                <w:lang w:eastAsia="en-AU"/>
              </w:rPr>
              <w:t xml:space="preserve"> </w:t>
            </w:r>
            <w:r w:rsidR="00FE04ED" w:rsidRPr="00886F1D">
              <w:rPr>
                <w:rFonts w:asciiTheme="majorHAnsi" w:hAnsiTheme="majorHAnsi" w:cstheme="majorHAnsi"/>
                <w:color w:val="auto"/>
                <w:sz w:val="20"/>
                <w:lang w:eastAsia="en-AU"/>
              </w:rPr>
              <w:t xml:space="preserve">the Australian Space Agency </w:t>
            </w:r>
            <w:r w:rsidRPr="00886F1D">
              <w:rPr>
                <w:rFonts w:asciiTheme="majorHAnsi" w:hAnsiTheme="majorHAnsi" w:cstheme="majorHAnsi"/>
                <w:color w:val="auto"/>
                <w:sz w:val="20"/>
                <w:lang w:eastAsia="en-AU"/>
              </w:rPr>
              <w:t xml:space="preserve">released the space technology roadmap on </w:t>
            </w:r>
            <w:r w:rsidRPr="00886F1D">
              <w:rPr>
                <w:rFonts w:asciiTheme="majorHAnsi" w:hAnsiTheme="majorHAnsi" w:cstheme="majorHAnsi"/>
                <w:i/>
                <w:color w:val="auto"/>
                <w:sz w:val="20"/>
                <w:lang w:eastAsia="en-AU"/>
              </w:rPr>
              <w:t>Earth Observation From Space</w:t>
            </w:r>
            <w:r w:rsidR="008E34A3" w:rsidRPr="00886F1D">
              <w:rPr>
                <w:rFonts w:asciiTheme="majorHAnsi" w:hAnsiTheme="majorHAnsi" w:cstheme="majorHAnsi"/>
                <w:color w:val="auto"/>
                <w:sz w:val="20"/>
                <w:lang w:eastAsia="en-AU"/>
              </w:rPr>
              <w:t xml:space="preserve"> in November 2021</w:t>
            </w:r>
            <w:r w:rsidRPr="00886F1D">
              <w:rPr>
                <w:rFonts w:asciiTheme="majorHAnsi" w:hAnsiTheme="majorHAnsi" w:cstheme="majorHAnsi"/>
                <w:color w:val="auto"/>
                <w:sz w:val="20"/>
                <w:lang w:eastAsia="en-AU"/>
              </w:rPr>
              <w:t xml:space="preserve">. </w:t>
            </w:r>
          </w:p>
          <w:p w14:paraId="718E7840" w14:textId="77777777" w:rsidR="001460AC" w:rsidRPr="00886F1D" w:rsidRDefault="001460AC" w:rsidP="00917ECB">
            <w:pPr>
              <w:spacing w:after="0" w:line="240" w:lineRule="auto"/>
              <w:rPr>
                <w:rFonts w:asciiTheme="majorHAnsi" w:hAnsiTheme="majorHAnsi" w:cstheme="majorHAnsi"/>
                <w:color w:val="auto"/>
                <w:sz w:val="20"/>
                <w:lang w:eastAsia="en-AU"/>
              </w:rPr>
            </w:pPr>
          </w:p>
        </w:tc>
      </w:tr>
      <w:tr w:rsidR="00886F1D" w:rsidRPr="00886F1D" w14:paraId="718E784B" w14:textId="77777777" w:rsidTr="00B52BE2">
        <w:trPr>
          <w:cantSplit/>
          <w:trHeight w:val="631"/>
        </w:trPr>
        <w:tc>
          <w:tcPr>
            <w:tcW w:w="1077" w:type="dxa"/>
            <w:shd w:val="clear" w:color="auto" w:fill="auto"/>
            <w:hideMark/>
          </w:tcPr>
          <w:p w14:paraId="718E7842"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18 (</w:t>
            </w:r>
            <w:r w:rsidR="001460AC" w:rsidRPr="00886F1D">
              <w:rPr>
                <w:rFonts w:asciiTheme="majorHAnsi" w:eastAsia="Times New Roman" w:hAnsiTheme="majorHAnsi" w:cstheme="majorHAnsi"/>
                <w:color w:val="auto"/>
                <w:sz w:val="20"/>
                <w:lang w:eastAsia="en-AU"/>
              </w:rPr>
              <w:t>3.149</w:t>
            </w:r>
            <w:r w:rsidRPr="00886F1D">
              <w:rPr>
                <w:rFonts w:asciiTheme="majorHAnsi" w:eastAsia="Times New Roman" w:hAnsiTheme="majorHAnsi" w:cstheme="majorHAnsi"/>
                <w:color w:val="auto"/>
                <w:sz w:val="20"/>
                <w:lang w:eastAsia="en-AU"/>
              </w:rPr>
              <w:t>)</w:t>
            </w:r>
          </w:p>
          <w:p w14:paraId="718E7843"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44" w14:textId="77777777" w:rsidR="001460AC" w:rsidRPr="00886F1D" w:rsidRDefault="001460AC" w:rsidP="00861B7D">
            <w:pPr>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The Committee recommends that the Australia</w:t>
            </w:r>
            <w:r w:rsidR="00A44BA1" w:rsidRPr="00886F1D">
              <w:rPr>
                <w:rFonts w:asciiTheme="majorHAnsi" w:hAnsiTheme="majorHAnsi" w:cstheme="majorHAnsi"/>
                <w:color w:val="auto"/>
                <w:sz w:val="20"/>
                <w:lang w:eastAsia="en-AU"/>
              </w:rPr>
              <w:t>n</w:t>
            </w:r>
            <w:r w:rsidRPr="00886F1D">
              <w:rPr>
                <w:rFonts w:asciiTheme="majorHAnsi" w:hAnsiTheme="majorHAnsi" w:cstheme="majorHAnsi"/>
                <w:color w:val="auto"/>
                <w:sz w:val="20"/>
                <w:lang w:eastAsia="en-AU"/>
              </w:rPr>
              <w:t xml:space="preserve"> Government identify other off-Earth opportunities in partnership with international agencies.</w:t>
            </w:r>
          </w:p>
        </w:tc>
        <w:tc>
          <w:tcPr>
            <w:tcW w:w="4707" w:type="dxa"/>
          </w:tcPr>
          <w:p w14:paraId="718E7845" w14:textId="77777777" w:rsidR="00B14FD0" w:rsidRPr="00886F1D" w:rsidRDefault="00700726"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Agree</w:t>
            </w:r>
            <w:r w:rsidR="00DA14B2" w:rsidRPr="00886F1D">
              <w:rPr>
                <w:rFonts w:asciiTheme="majorHAnsi" w:eastAsia="Times New Roman" w:hAnsiTheme="majorHAnsi" w:cstheme="majorHAnsi"/>
                <w:b/>
                <w:color w:val="auto"/>
                <w:sz w:val="20"/>
                <w:lang w:eastAsia="en-AU"/>
              </w:rPr>
              <w:t>d</w:t>
            </w:r>
            <w:r w:rsidRPr="00886F1D">
              <w:rPr>
                <w:rFonts w:asciiTheme="majorHAnsi" w:eastAsia="Times New Roman" w:hAnsiTheme="majorHAnsi" w:cstheme="majorHAnsi"/>
                <w:b/>
                <w:color w:val="auto"/>
                <w:sz w:val="20"/>
                <w:lang w:eastAsia="en-AU"/>
              </w:rPr>
              <w:t xml:space="preserve"> in Principle </w:t>
            </w:r>
          </w:p>
          <w:p w14:paraId="718E7846" w14:textId="77777777" w:rsidR="00B14FD0" w:rsidRPr="00886F1D" w:rsidRDefault="00B14FD0" w:rsidP="00917ECB">
            <w:pPr>
              <w:spacing w:after="0" w:line="240" w:lineRule="auto"/>
              <w:rPr>
                <w:rFonts w:asciiTheme="majorHAnsi" w:hAnsiTheme="majorHAnsi" w:cstheme="majorHAnsi"/>
                <w:b/>
                <w:color w:val="auto"/>
                <w:sz w:val="20"/>
                <w:lang w:eastAsia="en-AU"/>
              </w:rPr>
            </w:pPr>
          </w:p>
          <w:p w14:paraId="718E7847" w14:textId="77777777" w:rsidR="00A01EE2" w:rsidRPr="00886F1D" w:rsidRDefault="00EE0699" w:rsidP="00917ECB">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Australian Space Agency, </w:t>
            </w:r>
            <w:r w:rsidR="00350FFC" w:rsidRPr="00886F1D">
              <w:rPr>
                <w:rFonts w:asciiTheme="majorHAnsi" w:hAnsiTheme="majorHAnsi" w:cstheme="majorHAnsi"/>
                <w:color w:val="auto"/>
                <w:sz w:val="20"/>
                <w:lang w:eastAsia="en-AU"/>
              </w:rPr>
              <w:t>and other Australian Government Agencies</w:t>
            </w:r>
            <w:r w:rsidRPr="00886F1D">
              <w:rPr>
                <w:rFonts w:asciiTheme="majorHAnsi" w:hAnsiTheme="majorHAnsi" w:cstheme="majorHAnsi"/>
                <w:color w:val="auto"/>
                <w:sz w:val="20"/>
                <w:lang w:eastAsia="en-AU"/>
              </w:rPr>
              <w:t xml:space="preserve">, engage with international </w:t>
            </w:r>
            <w:r w:rsidR="00E32ADD" w:rsidRPr="00886F1D">
              <w:rPr>
                <w:rFonts w:asciiTheme="majorHAnsi" w:hAnsiTheme="majorHAnsi" w:cstheme="majorHAnsi"/>
                <w:color w:val="auto"/>
                <w:sz w:val="20"/>
                <w:lang w:eastAsia="en-AU"/>
              </w:rPr>
              <w:t xml:space="preserve">counterparts </w:t>
            </w:r>
            <w:r w:rsidRPr="00886F1D">
              <w:rPr>
                <w:rFonts w:asciiTheme="majorHAnsi" w:hAnsiTheme="majorHAnsi" w:cstheme="majorHAnsi"/>
                <w:color w:val="auto"/>
                <w:sz w:val="20"/>
                <w:lang w:eastAsia="en-AU"/>
              </w:rPr>
              <w:t>to identify opportunities for partnerships and collaboration, including in relation to off-Earth activities.</w:t>
            </w:r>
          </w:p>
          <w:p w14:paraId="718E7848" w14:textId="77777777" w:rsidR="00EE0699" w:rsidRPr="00886F1D" w:rsidRDefault="00EE0699" w:rsidP="00917ECB">
            <w:pPr>
              <w:spacing w:after="0" w:line="240" w:lineRule="auto"/>
              <w:rPr>
                <w:rFonts w:asciiTheme="majorHAnsi" w:hAnsiTheme="majorHAnsi" w:cstheme="majorHAnsi"/>
                <w:color w:val="auto"/>
                <w:sz w:val="20"/>
                <w:lang w:eastAsia="en-AU"/>
              </w:rPr>
            </w:pPr>
          </w:p>
          <w:p w14:paraId="718E7849" w14:textId="77777777" w:rsidR="001460AC" w:rsidRPr="00886F1D" w:rsidRDefault="001460AC" w:rsidP="00257232">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Agency is currently partnering with international agencies to collaborate on off-Earth opportunities, such as NASA’s </w:t>
            </w:r>
            <w:r w:rsidR="00FE1CC8" w:rsidRPr="00886F1D">
              <w:rPr>
                <w:rFonts w:asciiTheme="majorHAnsi" w:hAnsiTheme="majorHAnsi" w:cstheme="majorHAnsi"/>
                <w:color w:val="auto"/>
                <w:sz w:val="20"/>
                <w:lang w:eastAsia="en-AU"/>
              </w:rPr>
              <w:t xml:space="preserve">return to the moon through the </w:t>
            </w:r>
            <w:r w:rsidRPr="00886F1D">
              <w:rPr>
                <w:rFonts w:asciiTheme="majorHAnsi" w:hAnsiTheme="majorHAnsi" w:cstheme="majorHAnsi"/>
                <w:color w:val="auto"/>
                <w:sz w:val="20"/>
                <w:lang w:eastAsia="en-AU"/>
              </w:rPr>
              <w:t>Artemis mission,</w:t>
            </w:r>
            <w:r w:rsidR="00FE1CC8" w:rsidRPr="00886F1D">
              <w:rPr>
                <w:rFonts w:asciiTheme="majorHAnsi" w:hAnsiTheme="majorHAnsi" w:cstheme="majorHAnsi"/>
                <w:color w:val="auto"/>
                <w:sz w:val="20"/>
                <w:lang w:eastAsia="en-AU"/>
              </w:rPr>
              <w:t xml:space="preserve"> </w:t>
            </w:r>
            <w:r w:rsidR="0026275D" w:rsidRPr="00886F1D">
              <w:rPr>
                <w:rFonts w:asciiTheme="majorHAnsi" w:hAnsiTheme="majorHAnsi" w:cstheme="majorHAnsi"/>
                <w:color w:val="auto"/>
                <w:sz w:val="20"/>
                <w:lang w:eastAsia="en-AU"/>
              </w:rPr>
              <w:t xml:space="preserve">and </w:t>
            </w:r>
            <w:r w:rsidR="00FE1CC8" w:rsidRPr="00886F1D">
              <w:rPr>
                <w:rFonts w:asciiTheme="majorHAnsi" w:hAnsiTheme="majorHAnsi" w:cstheme="majorHAnsi"/>
                <w:color w:val="auto"/>
                <w:sz w:val="20"/>
                <w:lang w:eastAsia="en-AU"/>
              </w:rPr>
              <w:t>the Indian Space Research Organisation’s</w:t>
            </w:r>
            <w:r w:rsidRPr="00886F1D">
              <w:rPr>
                <w:rFonts w:asciiTheme="majorHAnsi" w:hAnsiTheme="majorHAnsi" w:cstheme="majorHAnsi"/>
                <w:color w:val="auto"/>
                <w:sz w:val="20"/>
                <w:lang w:eastAsia="en-AU"/>
              </w:rPr>
              <w:t xml:space="preserve"> </w:t>
            </w:r>
            <w:r w:rsidR="00FE1CC8" w:rsidRPr="00886F1D">
              <w:rPr>
                <w:rFonts w:asciiTheme="majorHAnsi" w:hAnsiTheme="majorHAnsi" w:cstheme="majorHAnsi"/>
                <w:color w:val="auto"/>
                <w:sz w:val="20"/>
                <w:lang w:eastAsia="en-AU"/>
              </w:rPr>
              <w:t>(</w:t>
            </w:r>
            <w:r w:rsidRPr="00886F1D">
              <w:rPr>
                <w:rFonts w:asciiTheme="majorHAnsi" w:hAnsiTheme="majorHAnsi" w:cstheme="majorHAnsi"/>
                <w:color w:val="auto"/>
                <w:sz w:val="20"/>
                <w:lang w:eastAsia="en-AU"/>
              </w:rPr>
              <w:t>ISRO’</w:t>
            </w:r>
            <w:r w:rsidR="001E4BD8" w:rsidRPr="00886F1D">
              <w:rPr>
                <w:rFonts w:asciiTheme="majorHAnsi" w:hAnsiTheme="majorHAnsi" w:cstheme="majorHAnsi"/>
                <w:color w:val="auto"/>
                <w:sz w:val="20"/>
                <w:lang w:eastAsia="en-AU"/>
              </w:rPr>
              <w:t>s</w:t>
            </w:r>
            <w:r w:rsidR="00FE1CC8" w:rsidRPr="00886F1D">
              <w:rPr>
                <w:rFonts w:asciiTheme="majorHAnsi" w:hAnsiTheme="majorHAnsi" w:cstheme="majorHAnsi"/>
                <w:color w:val="auto"/>
                <w:sz w:val="20"/>
                <w:lang w:eastAsia="en-AU"/>
              </w:rPr>
              <w:t>)</w:t>
            </w:r>
            <w:r w:rsidRPr="00886F1D">
              <w:rPr>
                <w:rFonts w:asciiTheme="majorHAnsi" w:hAnsiTheme="majorHAnsi" w:cstheme="majorHAnsi"/>
                <w:color w:val="auto"/>
                <w:sz w:val="20"/>
                <w:lang w:eastAsia="en-AU"/>
              </w:rPr>
              <w:t xml:space="preserve"> </w:t>
            </w:r>
            <w:proofErr w:type="spellStart"/>
            <w:r w:rsidRPr="00886F1D">
              <w:rPr>
                <w:rFonts w:asciiTheme="majorHAnsi" w:hAnsiTheme="majorHAnsi" w:cstheme="majorHAnsi"/>
                <w:color w:val="auto"/>
                <w:sz w:val="20"/>
                <w:lang w:eastAsia="en-AU"/>
              </w:rPr>
              <w:t>Gaganyaan</w:t>
            </w:r>
            <w:proofErr w:type="spellEnd"/>
            <w:r w:rsidRPr="00886F1D">
              <w:rPr>
                <w:rFonts w:asciiTheme="majorHAnsi" w:hAnsiTheme="majorHAnsi" w:cstheme="majorHAnsi"/>
                <w:color w:val="auto"/>
                <w:sz w:val="20"/>
                <w:lang w:eastAsia="en-AU"/>
              </w:rPr>
              <w:t xml:space="preserve"> Human Spaceflight</w:t>
            </w:r>
            <w:r w:rsidR="00FE1CC8" w:rsidRPr="00886F1D">
              <w:rPr>
                <w:rFonts w:asciiTheme="majorHAnsi" w:hAnsiTheme="majorHAnsi" w:cstheme="majorHAnsi"/>
                <w:color w:val="auto"/>
                <w:sz w:val="20"/>
                <w:lang w:eastAsia="en-AU"/>
              </w:rPr>
              <w:t xml:space="preserve"> program</w:t>
            </w:r>
            <w:r w:rsidR="0026275D" w:rsidRPr="00886F1D">
              <w:rPr>
                <w:rFonts w:asciiTheme="majorHAnsi" w:hAnsiTheme="majorHAnsi" w:cstheme="majorHAnsi"/>
                <w:color w:val="auto"/>
                <w:sz w:val="20"/>
                <w:lang w:eastAsia="en-AU"/>
              </w:rPr>
              <w:t>.</w:t>
            </w:r>
            <w:r w:rsidR="00E32ADD" w:rsidRPr="00886F1D">
              <w:rPr>
                <w:rFonts w:asciiTheme="majorHAnsi" w:hAnsiTheme="majorHAnsi" w:cstheme="majorHAnsi"/>
                <w:color w:val="auto"/>
                <w:sz w:val="20"/>
                <w:lang w:eastAsia="en-AU"/>
              </w:rPr>
              <w:t xml:space="preserve"> </w:t>
            </w:r>
            <w:r w:rsidR="00350FFC" w:rsidRPr="00886F1D">
              <w:rPr>
                <w:rFonts w:asciiTheme="majorHAnsi" w:hAnsiTheme="majorHAnsi" w:cstheme="majorHAnsi"/>
                <w:color w:val="auto"/>
                <w:sz w:val="20"/>
                <w:lang w:eastAsia="en-AU"/>
              </w:rPr>
              <w:t xml:space="preserve">Other </w:t>
            </w:r>
            <w:r w:rsidR="00AA4DAC" w:rsidRPr="00886F1D">
              <w:rPr>
                <w:rFonts w:asciiTheme="majorHAnsi" w:hAnsiTheme="majorHAnsi" w:cstheme="majorHAnsi"/>
                <w:color w:val="auto"/>
                <w:sz w:val="20"/>
                <w:lang w:eastAsia="en-AU"/>
              </w:rPr>
              <w:t>international</w:t>
            </w:r>
            <w:r w:rsidR="00350FFC" w:rsidRPr="00886F1D">
              <w:rPr>
                <w:rFonts w:asciiTheme="majorHAnsi" w:hAnsiTheme="majorHAnsi" w:cstheme="majorHAnsi"/>
                <w:color w:val="auto"/>
                <w:sz w:val="20"/>
                <w:lang w:eastAsia="en-AU"/>
              </w:rPr>
              <w:t xml:space="preserve"> engagement</w:t>
            </w:r>
            <w:r w:rsidR="000A1BF0" w:rsidRPr="00886F1D">
              <w:rPr>
                <w:rFonts w:asciiTheme="majorHAnsi" w:hAnsiTheme="majorHAnsi" w:cstheme="majorHAnsi"/>
                <w:color w:val="auto"/>
                <w:sz w:val="20"/>
                <w:lang w:eastAsia="en-AU"/>
              </w:rPr>
              <w:t>s</w:t>
            </w:r>
            <w:r w:rsidR="00350FFC" w:rsidRPr="00886F1D">
              <w:rPr>
                <w:rFonts w:asciiTheme="majorHAnsi" w:hAnsiTheme="majorHAnsi" w:cstheme="majorHAnsi"/>
                <w:color w:val="auto"/>
                <w:sz w:val="20"/>
                <w:lang w:eastAsia="en-AU"/>
              </w:rPr>
              <w:t xml:space="preserve"> include the Bureau of Meteorology’s </w:t>
            </w:r>
            <w:r w:rsidR="00745804" w:rsidRPr="00886F1D">
              <w:rPr>
                <w:rFonts w:asciiTheme="majorHAnsi" w:hAnsiTheme="majorHAnsi" w:cstheme="majorHAnsi"/>
                <w:color w:val="auto"/>
                <w:sz w:val="20"/>
                <w:lang w:eastAsia="en-AU"/>
              </w:rPr>
              <w:t>collaboration</w:t>
            </w:r>
            <w:r w:rsidR="00350FFC" w:rsidRPr="00886F1D">
              <w:rPr>
                <w:rFonts w:asciiTheme="majorHAnsi" w:hAnsiTheme="majorHAnsi" w:cstheme="majorHAnsi"/>
                <w:color w:val="auto"/>
                <w:sz w:val="20"/>
                <w:lang w:eastAsia="en-AU"/>
              </w:rPr>
              <w:t xml:space="preserve"> with </w:t>
            </w:r>
            <w:r w:rsidR="00745804" w:rsidRPr="00886F1D">
              <w:rPr>
                <w:rFonts w:asciiTheme="majorHAnsi" w:hAnsiTheme="majorHAnsi" w:cstheme="majorHAnsi"/>
                <w:color w:val="auto"/>
                <w:sz w:val="20"/>
                <w:lang w:eastAsia="en-AU"/>
              </w:rPr>
              <w:t>various agencies on meteorological</w:t>
            </w:r>
            <w:r w:rsidR="00350FFC" w:rsidRPr="00886F1D">
              <w:rPr>
                <w:rFonts w:asciiTheme="majorHAnsi" w:hAnsiTheme="majorHAnsi" w:cstheme="majorHAnsi"/>
                <w:color w:val="auto"/>
                <w:sz w:val="20"/>
                <w:lang w:eastAsia="en-AU"/>
              </w:rPr>
              <w:t xml:space="preserve"> satellites</w:t>
            </w:r>
            <w:r w:rsidR="003D47D4" w:rsidRPr="00886F1D">
              <w:rPr>
                <w:rFonts w:asciiTheme="majorHAnsi" w:hAnsiTheme="majorHAnsi" w:cstheme="majorHAnsi"/>
                <w:color w:val="auto"/>
                <w:sz w:val="20"/>
                <w:lang w:eastAsia="en-AU"/>
              </w:rPr>
              <w:t>, and also with</w:t>
            </w:r>
            <w:r w:rsidR="00AA4DAC" w:rsidRPr="00886F1D">
              <w:rPr>
                <w:rFonts w:asciiTheme="majorHAnsi" w:hAnsiTheme="majorHAnsi" w:cstheme="majorHAnsi"/>
                <w:color w:val="auto"/>
                <w:sz w:val="20"/>
                <w:lang w:eastAsia="en-AU"/>
              </w:rPr>
              <w:t xml:space="preserve"> the Five Eyes Meteorological Community of Practice (the MET-5) including Canada, New Zealand, United Kingdom</w:t>
            </w:r>
            <w:r w:rsidR="00350FFC" w:rsidRPr="00886F1D">
              <w:rPr>
                <w:rFonts w:asciiTheme="majorHAnsi" w:hAnsiTheme="majorHAnsi" w:cstheme="majorHAnsi"/>
                <w:color w:val="auto"/>
                <w:sz w:val="20"/>
                <w:lang w:eastAsia="en-AU"/>
              </w:rPr>
              <w:t xml:space="preserve"> and </w:t>
            </w:r>
            <w:r w:rsidR="00AA4DAC" w:rsidRPr="00886F1D">
              <w:rPr>
                <w:rFonts w:asciiTheme="majorHAnsi" w:hAnsiTheme="majorHAnsi" w:cstheme="majorHAnsi"/>
                <w:color w:val="auto"/>
                <w:sz w:val="20"/>
                <w:lang w:eastAsia="en-AU"/>
              </w:rPr>
              <w:t xml:space="preserve">the </w:t>
            </w:r>
            <w:r w:rsidR="00350FFC" w:rsidRPr="00886F1D">
              <w:rPr>
                <w:rFonts w:asciiTheme="majorHAnsi" w:hAnsiTheme="majorHAnsi" w:cstheme="majorHAnsi"/>
                <w:color w:val="auto"/>
                <w:sz w:val="20"/>
                <w:lang w:eastAsia="en-AU"/>
              </w:rPr>
              <w:t xml:space="preserve">United States Air Force on Space Weather. </w:t>
            </w:r>
            <w:r w:rsidR="00F42AF8" w:rsidRPr="00886F1D">
              <w:rPr>
                <w:rFonts w:asciiTheme="majorHAnsi" w:hAnsiTheme="majorHAnsi" w:cstheme="majorHAnsi"/>
                <w:color w:val="auto"/>
                <w:sz w:val="20"/>
                <w:lang w:eastAsia="en-AU"/>
              </w:rPr>
              <w:t xml:space="preserve">Geoscience Australia and the Agency are also collaborating with the United States to develop satellite systems that will improve the quality of satellite Earth observation data, supporting improved monitoring of climate change impacts. </w:t>
            </w:r>
            <w:r w:rsidR="00B8371E" w:rsidRPr="00886F1D">
              <w:rPr>
                <w:rFonts w:asciiTheme="majorHAnsi" w:hAnsiTheme="majorHAnsi" w:cstheme="majorHAnsi"/>
                <w:color w:val="auto"/>
                <w:sz w:val="20"/>
                <w:lang w:eastAsia="en-AU"/>
              </w:rPr>
              <w:t xml:space="preserve">CSIRO engages with NASA and the European Space Agency on deep space communications and spacecraft tracking, and with these and other international agencies on science and research collaborations.  </w:t>
            </w:r>
          </w:p>
          <w:p w14:paraId="718E784A" w14:textId="77777777" w:rsidR="001460AC" w:rsidRPr="00886F1D" w:rsidRDefault="001460AC" w:rsidP="00257232">
            <w:pPr>
              <w:spacing w:after="0" w:line="240" w:lineRule="auto"/>
              <w:rPr>
                <w:rFonts w:asciiTheme="majorHAnsi" w:hAnsiTheme="majorHAnsi" w:cstheme="majorHAnsi"/>
                <w:b/>
                <w:color w:val="auto"/>
                <w:sz w:val="20"/>
                <w:lang w:eastAsia="en-AU"/>
              </w:rPr>
            </w:pPr>
          </w:p>
        </w:tc>
      </w:tr>
      <w:tr w:rsidR="00886F1D" w:rsidRPr="00886F1D" w14:paraId="718E7855" w14:textId="77777777" w:rsidTr="00B52BE2">
        <w:trPr>
          <w:cantSplit/>
          <w:trHeight w:val="631"/>
        </w:trPr>
        <w:tc>
          <w:tcPr>
            <w:tcW w:w="1077" w:type="dxa"/>
            <w:shd w:val="clear" w:color="auto" w:fill="auto"/>
            <w:hideMark/>
          </w:tcPr>
          <w:p w14:paraId="718E784C"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lastRenderedPageBreak/>
              <w:t>18 (</w:t>
            </w:r>
            <w:r w:rsidR="001460AC" w:rsidRPr="00886F1D">
              <w:rPr>
                <w:rFonts w:asciiTheme="majorHAnsi" w:eastAsia="Times New Roman" w:hAnsiTheme="majorHAnsi" w:cstheme="majorHAnsi"/>
                <w:color w:val="auto"/>
                <w:sz w:val="20"/>
                <w:lang w:eastAsia="en-AU"/>
              </w:rPr>
              <w:t>3.150</w:t>
            </w:r>
            <w:r w:rsidRPr="00886F1D">
              <w:rPr>
                <w:rFonts w:asciiTheme="majorHAnsi" w:eastAsia="Times New Roman" w:hAnsiTheme="majorHAnsi" w:cstheme="majorHAnsi"/>
                <w:color w:val="auto"/>
                <w:sz w:val="20"/>
                <w:lang w:eastAsia="en-AU"/>
              </w:rPr>
              <w:t>)</w:t>
            </w:r>
          </w:p>
          <w:p w14:paraId="718E784D"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4E"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hAnsiTheme="majorHAnsi" w:cstheme="majorHAnsi"/>
                <w:color w:val="auto"/>
                <w:sz w:val="20"/>
                <w:lang w:eastAsia="en-AU"/>
              </w:rPr>
              <w:t xml:space="preserve">The Committee recommends that consideration be given to developing a mechanism to identify and develop innovative space proposals such </w:t>
            </w:r>
            <w:r w:rsidR="00A44BA1" w:rsidRPr="00886F1D">
              <w:rPr>
                <w:rFonts w:asciiTheme="majorHAnsi" w:hAnsiTheme="majorHAnsi" w:cstheme="majorHAnsi"/>
                <w:color w:val="auto"/>
                <w:sz w:val="20"/>
                <w:lang w:eastAsia="en-AU"/>
              </w:rPr>
              <w:t xml:space="preserve">as </w:t>
            </w:r>
            <w:r w:rsidRPr="00886F1D">
              <w:rPr>
                <w:rFonts w:asciiTheme="majorHAnsi" w:hAnsiTheme="majorHAnsi" w:cstheme="majorHAnsi"/>
                <w:color w:val="auto"/>
                <w:sz w:val="20"/>
                <w:lang w:eastAsia="en-AU"/>
              </w:rPr>
              <w:t>space solar power technology in Australia.</w:t>
            </w:r>
          </w:p>
        </w:tc>
        <w:tc>
          <w:tcPr>
            <w:tcW w:w="4707" w:type="dxa"/>
          </w:tcPr>
          <w:p w14:paraId="718E784F" w14:textId="77777777" w:rsidR="001460AC" w:rsidRPr="00886F1D" w:rsidRDefault="0055297C"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Agreed in Principle</w:t>
            </w:r>
          </w:p>
          <w:p w14:paraId="718E7850" w14:textId="77777777" w:rsidR="001460AC" w:rsidRPr="00886F1D" w:rsidRDefault="001460AC" w:rsidP="00917ECB">
            <w:pPr>
              <w:spacing w:after="0" w:line="240" w:lineRule="auto"/>
              <w:rPr>
                <w:rFonts w:asciiTheme="majorHAnsi" w:eastAsia="Times New Roman" w:hAnsiTheme="majorHAnsi" w:cstheme="majorHAnsi"/>
                <w:color w:val="auto"/>
                <w:sz w:val="20"/>
                <w:lang w:eastAsia="en-AU"/>
              </w:rPr>
            </w:pPr>
          </w:p>
          <w:p w14:paraId="718E7851" w14:textId="77777777" w:rsidR="00DA14B2" w:rsidRPr="00886F1D" w:rsidRDefault="00B76D08" w:rsidP="00DA14B2">
            <w:pPr>
              <w:spacing w:after="0" w:line="240" w:lineRule="auto"/>
              <w:rPr>
                <w:rFonts w:asciiTheme="majorHAnsi" w:eastAsia="Times New Roman" w:hAnsiTheme="majorHAnsi" w:cstheme="majorHAnsi"/>
                <w:b/>
                <w:color w:val="auto"/>
                <w:sz w:val="20"/>
                <w:lang w:eastAsia="en-AU"/>
              </w:rPr>
            </w:pPr>
            <w:r w:rsidRPr="00886F1D">
              <w:rPr>
                <w:rFonts w:asciiTheme="majorHAnsi" w:hAnsiTheme="majorHAnsi" w:cstheme="majorHAnsi"/>
                <w:color w:val="auto"/>
                <w:sz w:val="20"/>
                <w:lang w:eastAsia="en-AU"/>
              </w:rPr>
              <w:t>The Australian Government will consider this recommendation</w:t>
            </w:r>
            <w:r w:rsidR="00DA14B2" w:rsidRPr="00886F1D">
              <w:rPr>
                <w:rFonts w:asciiTheme="majorHAnsi" w:hAnsiTheme="majorHAnsi" w:cstheme="majorHAnsi"/>
                <w:color w:val="auto"/>
                <w:sz w:val="20"/>
                <w:lang w:eastAsia="en-AU"/>
              </w:rPr>
              <w:t>, including</w:t>
            </w:r>
            <w:r w:rsidR="00DA14B2" w:rsidRPr="00886F1D">
              <w:rPr>
                <w:rFonts w:asciiTheme="majorHAnsi" w:eastAsia="Times New Roman" w:hAnsiTheme="majorHAnsi" w:cstheme="majorHAnsi"/>
                <w:color w:val="auto"/>
                <w:sz w:val="20"/>
                <w:lang w:eastAsia="en-AU"/>
              </w:rPr>
              <w:t xml:space="preserve"> mechanisms for backing Australian ideas and </w:t>
            </w:r>
            <w:r w:rsidR="008F7906" w:rsidRPr="00886F1D">
              <w:rPr>
                <w:rFonts w:asciiTheme="majorHAnsi" w:eastAsia="Times New Roman" w:hAnsiTheme="majorHAnsi" w:cstheme="majorHAnsi"/>
                <w:color w:val="auto"/>
                <w:sz w:val="20"/>
                <w:lang w:eastAsia="en-AU"/>
              </w:rPr>
              <w:t>supporting</w:t>
            </w:r>
            <w:r w:rsidR="00DA14B2" w:rsidRPr="00886F1D">
              <w:rPr>
                <w:rFonts w:asciiTheme="majorHAnsi" w:eastAsia="Times New Roman" w:hAnsiTheme="majorHAnsi" w:cstheme="majorHAnsi"/>
                <w:color w:val="auto"/>
                <w:sz w:val="20"/>
                <w:lang w:eastAsia="en-AU"/>
              </w:rPr>
              <w:t xml:space="preserve"> commercialisation </w:t>
            </w:r>
            <w:r w:rsidR="008F7906" w:rsidRPr="00886F1D">
              <w:rPr>
                <w:rFonts w:asciiTheme="majorHAnsi" w:eastAsia="Times New Roman" w:hAnsiTheme="majorHAnsi" w:cstheme="majorHAnsi"/>
                <w:color w:val="auto"/>
                <w:sz w:val="20"/>
                <w:lang w:eastAsia="en-AU"/>
              </w:rPr>
              <w:t xml:space="preserve">of </w:t>
            </w:r>
            <w:r w:rsidR="00DA14B2" w:rsidRPr="00886F1D">
              <w:rPr>
                <w:rFonts w:asciiTheme="majorHAnsi" w:eastAsia="Times New Roman" w:hAnsiTheme="majorHAnsi" w:cstheme="majorHAnsi"/>
                <w:color w:val="auto"/>
                <w:sz w:val="20"/>
                <w:lang w:eastAsia="en-AU"/>
              </w:rPr>
              <w:t>innovative Australian technology that aligns with national needs.</w:t>
            </w:r>
          </w:p>
          <w:p w14:paraId="718E7852" w14:textId="77777777" w:rsidR="00DA14B2" w:rsidRPr="00886F1D" w:rsidRDefault="00DA14B2" w:rsidP="00DA14B2">
            <w:pPr>
              <w:spacing w:after="0" w:line="240" w:lineRule="auto"/>
              <w:rPr>
                <w:rFonts w:asciiTheme="majorHAnsi" w:eastAsia="Times New Roman" w:hAnsiTheme="majorHAnsi" w:cstheme="majorHAnsi"/>
                <w:b/>
                <w:color w:val="auto"/>
                <w:sz w:val="20"/>
                <w:lang w:eastAsia="en-AU"/>
              </w:rPr>
            </w:pPr>
          </w:p>
          <w:p w14:paraId="718E7853" w14:textId="77777777" w:rsidR="00986843" w:rsidRPr="00886F1D" w:rsidRDefault="00986843" w:rsidP="00DA14B2">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w:t>
            </w:r>
            <w:r w:rsidR="00CD3233" w:rsidRPr="00886F1D">
              <w:rPr>
                <w:rFonts w:asciiTheme="majorHAnsi" w:eastAsia="Times New Roman" w:hAnsiTheme="majorHAnsi" w:cstheme="majorHAnsi"/>
                <w:color w:val="auto"/>
                <w:sz w:val="20"/>
                <w:lang w:eastAsia="en-AU"/>
              </w:rPr>
              <w:t xml:space="preserve"> Australian</w:t>
            </w:r>
            <w:r w:rsidRPr="00886F1D">
              <w:rPr>
                <w:rFonts w:asciiTheme="majorHAnsi" w:eastAsia="Times New Roman" w:hAnsiTheme="majorHAnsi" w:cstheme="majorHAnsi"/>
                <w:color w:val="auto"/>
                <w:sz w:val="20"/>
                <w:lang w:eastAsia="en-AU"/>
              </w:rPr>
              <w:t xml:space="preserve"> Government notes mechanisms in Defence (the Defence Innovation Hub and the Defence Science and Technology Star-Shot program) and CSIRO (</w:t>
            </w:r>
            <w:r w:rsidR="00B81209" w:rsidRPr="00886F1D">
              <w:rPr>
                <w:rFonts w:asciiTheme="majorHAnsi" w:eastAsia="Times New Roman" w:hAnsiTheme="majorHAnsi" w:cstheme="majorHAnsi"/>
                <w:color w:val="auto"/>
                <w:sz w:val="20"/>
                <w:lang w:eastAsia="en-AU"/>
              </w:rPr>
              <w:t xml:space="preserve">including </w:t>
            </w:r>
            <w:r w:rsidRPr="00886F1D">
              <w:rPr>
                <w:rFonts w:asciiTheme="majorHAnsi" w:eastAsia="Times New Roman" w:hAnsiTheme="majorHAnsi" w:cstheme="majorHAnsi"/>
                <w:color w:val="auto"/>
                <w:sz w:val="20"/>
                <w:lang w:eastAsia="en-AU"/>
              </w:rPr>
              <w:t>the Space Technology Future Science Platform) that identify and develop innovative</w:t>
            </w:r>
            <w:r w:rsidR="00B81209" w:rsidRPr="00886F1D">
              <w:rPr>
                <w:rFonts w:asciiTheme="majorHAnsi" w:eastAsia="Times New Roman" w:hAnsiTheme="majorHAnsi" w:cstheme="majorHAnsi"/>
                <w:color w:val="auto"/>
                <w:sz w:val="20"/>
                <w:lang w:eastAsia="en-AU"/>
              </w:rPr>
              <w:t xml:space="preserve"> technological</w:t>
            </w:r>
            <w:r w:rsidRPr="00886F1D">
              <w:rPr>
                <w:rFonts w:asciiTheme="majorHAnsi" w:eastAsia="Times New Roman" w:hAnsiTheme="majorHAnsi" w:cstheme="majorHAnsi"/>
                <w:color w:val="auto"/>
                <w:sz w:val="20"/>
                <w:lang w:eastAsia="en-AU"/>
              </w:rPr>
              <w:t xml:space="preserve"> proposals relevant to </w:t>
            </w:r>
            <w:r w:rsidR="00CD3233" w:rsidRPr="00886F1D">
              <w:rPr>
                <w:rFonts w:asciiTheme="majorHAnsi" w:eastAsia="Times New Roman" w:hAnsiTheme="majorHAnsi" w:cstheme="majorHAnsi"/>
                <w:color w:val="auto"/>
                <w:sz w:val="20"/>
                <w:lang w:eastAsia="en-AU"/>
              </w:rPr>
              <w:t>g</w:t>
            </w:r>
            <w:r w:rsidRPr="00886F1D">
              <w:rPr>
                <w:rFonts w:asciiTheme="majorHAnsi" w:eastAsia="Times New Roman" w:hAnsiTheme="majorHAnsi" w:cstheme="majorHAnsi"/>
                <w:color w:val="auto"/>
                <w:sz w:val="20"/>
                <w:lang w:eastAsia="en-AU"/>
              </w:rPr>
              <w:t>overnment Defence</w:t>
            </w:r>
            <w:r w:rsidR="00B81209" w:rsidRPr="00886F1D">
              <w:rPr>
                <w:rFonts w:asciiTheme="majorHAnsi" w:eastAsia="Times New Roman" w:hAnsiTheme="majorHAnsi" w:cstheme="majorHAnsi"/>
                <w:color w:val="auto"/>
                <w:sz w:val="20"/>
                <w:lang w:eastAsia="en-AU"/>
              </w:rPr>
              <w:t>,</w:t>
            </w:r>
            <w:r w:rsidRPr="00886F1D">
              <w:rPr>
                <w:rFonts w:asciiTheme="majorHAnsi" w:eastAsia="Times New Roman" w:hAnsiTheme="majorHAnsi" w:cstheme="majorHAnsi"/>
                <w:color w:val="auto"/>
                <w:sz w:val="20"/>
                <w:lang w:eastAsia="en-AU"/>
              </w:rPr>
              <w:t xml:space="preserve"> science</w:t>
            </w:r>
            <w:r w:rsidR="00B81209" w:rsidRPr="00886F1D">
              <w:rPr>
                <w:rFonts w:asciiTheme="majorHAnsi" w:eastAsia="Times New Roman" w:hAnsiTheme="majorHAnsi" w:cstheme="majorHAnsi"/>
                <w:color w:val="auto"/>
                <w:sz w:val="20"/>
                <w:lang w:eastAsia="en-AU"/>
              </w:rPr>
              <w:t xml:space="preserve"> and industry</w:t>
            </w:r>
            <w:r w:rsidRPr="00886F1D">
              <w:rPr>
                <w:rFonts w:asciiTheme="majorHAnsi" w:eastAsia="Times New Roman" w:hAnsiTheme="majorHAnsi" w:cstheme="majorHAnsi"/>
                <w:color w:val="auto"/>
                <w:sz w:val="20"/>
                <w:lang w:eastAsia="en-AU"/>
              </w:rPr>
              <w:t xml:space="preserve"> priorities.</w:t>
            </w:r>
          </w:p>
          <w:p w14:paraId="718E7854" w14:textId="77777777" w:rsidR="00986843" w:rsidRPr="00886F1D" w:rsidRDefault="00986843" w:rsidP="00DA14B2">
            <w:pPr>
              <w:spacing w:after="0" w:line="240" w:lineRule="auto"/>
              <w:rPr>
                <w:rFonts w:asciiTheme="majorHAnsi" w:eastAsia="Times New Roman" w:hAnsiTheme="majorHAnsi" w:cstheme="majorHAnsi"/>
                <w:color w:val="auto"/>
                <w:sz w:val="20"/>
                <w:lang w:eastAsia="en-AU"/>
              </w:rPr>
            </w:pPr>
          </w:p>
        </w:tc>
      </w:tr>
      <w:tr w:rsidR="00886F1D" w:rsidRPr="00886F1D" w14:paraId="718E7865" w14:textId="77777777" w:rsidTr="00B52BE2">
        <w:trPr>
          <w:cantSplit/>
          <w:trHeight w:val="699"/>
        </w:trPr>
        <w:tc>
          <w:tcPr>
            <w:tcW w:w="1077" w:type="dxa"/>
            <w:shd w:val="clear" w:color="auto" w:fill="auto"/>
            <w:hideMark/>
          </w:tcPr>
          <w:p w14:paraId="718E7856"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19 (</w:t>
            </w:r>
            <w:r w:rsidR="001460AC" w:rsidRPr="00886F1D">
              <w:rPr>
                <w:rFonts w:asciiTheme="majorHAnsi" w:eastAsia="Times New Roman" w:hAnsiTheme="majorHAnsi" w:cstheme="majorHAnsi"/>
                <w:color w:val="auto"/>
                <w:sz w:val="20"/>
                <w:lang w:eastAsia="en-AU"/>
              </w:rPr>
              <w:t>3.151</w:t>
            </w:r>
            <w:r w:rsidRPr="00886F1D">
              <w:rPr>
                <w:rFonts w:asciiTheme="majorHAnsi" w:eastAsia="Times New Roman" w:hAnsiTheme="majorHAnsi" w:cstheme="majorHAnsi"/>
                <w:color w:val="auto"/>
                <w:sz w:val="20"/>
                <w:lang w:eastAsia="en-AU"/>
              </w:rPr>
              <w:t>)</w:t>
            </w:r>
          </w:p>
          <w:p w14:paraId="718E7857"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58" w14:textId="77777777" w:rsidR="001460AC" w:rsidRPr="00886F1D" w:rsidRDefault="001460AC" w:rsidP="00861B7D">
            <w:pPr>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The Committee recommends that the Australian Government undertake broader industry engagement to:</w:t>
            </w:r>
          </w:p>
          <w:p w14:paraId="718E7859" w14:textId="77777777" w:rsidR="001460AC" w:rsidRPr="00886F1D" w:rsidRDefault="001460AC" w:rsidP="00861B7D">
            <w:pPr>
              <w:pStyle w:val="ListParagraph"/>
              <w:numPr>
                <w:ilvl w:val="0"/>
                <w:numId w:val="4"/>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Create awareness in adjacent sectors of opportunities to participate in the Australian space industry</w:t>
            </w:r>
          </w:p>
          <w:p w14:paraId="718E785A" w14:textId="77777777" w:rsidR="001460AC" w:rsidRPr="00886F1D" w:rsidRDefault="001460AC" w:rsidP="00861B7D">
            <w:pPr>
              <w:pStyle w:val="ListParagraph"/>
              <w:numPr>
                <w:ilvl w:val="0"/>
                <w:numId w:val="4"/>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Identify relevant skills and expertise within adjacent industries that could be transferable to the Australian space industry</w:t>
            </w:r>
          </w:p>
        </w:tc>
        <w:tc>
          <w:tcPr>
            <w:tcW w:w="4707" w:type="dxa"/>
          </w:tcPr>
          <w:p w14:paraId="718E785B"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Agreed</w:t>
            </w:r>
            <w:r w:rsidR="00307CFC" w:rsidRPr="00886F1D">
              <w:rPr>
                <w:rFonts w:asciiTheme="majorHAnsi" w:eastAsia="Times New Roman" w:hAnsiTheme="majorHAnsi" w:cstheme="majorHAnsi"/>
                <w:b/>
                <w:color w:val="auto"/>
                <w:sz w:val="20"/>
                <w:lang w:eastAsia="en-AU"/>
              </w:rPr>
              <w:t xml:space="preserve"> </w:t>
            </w:r>
            <w:r w:rsidR="00E75C1F" w:rsidRPr="00886F1D">
              <w:rPr>
                <w:rFonts w:asciiTheme="majorHAnsi" w:eastAsia="Times New Roman" w:hAnsiTheme="majorHAnsi" w:cstheme="majorHAnsi"/>
                <w:b/>
                <w:color w:val="auto"/>
                <w:sz w:val="20"/>
                <w:lang w:eastAsia="en-AU"/>
              </w:rPr>
              <w:t>i</w:t>
            </w:r>
            <w:r w:rsidR="00307CFC" w:rsidRPr="00886F1D">
              <w:rPr>
                <w:rFonts w:asciiTheme="majorHAnsi" w:eastAsia="Times New Roman" w:hAnsiTheme="majorHAnsi" w:cstheme="majorHAnsi"/>
                <w:b/>
                <w:color w:val="auto"/>
                <w:sz w:val="20"/>
                <w:lang w:eastAsia="en-AU"/>
              </w:rPr>
              <w:t>n Principle</w:t>
            </w:r>
          </w:p>
          <w:p w14:paraId="718E785C"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p>
          <w:p w14:paraId="718E785D" w14:textId="77777777" w:rsidR="00307CFC" w:rsidRPr="00886F1D" w:rsidRDefault="00307CFC" w:rsidP="00307CFC">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w:t>
            </w:r>
            <w:r w:rsidR="00CD3233" w:rsidRPr="00886F1D">
              <w:rPr>
                <w:rFonts w:asciiTheme="majorHAnsi" w:eastAsia="Times New Roman" w:hAnsiTheme="majorHAnsi" w:cstheme="majorHAnsi"/>
                <w:color w:val="auto"/>
                <w:sz w:val="20"/>
                <w:lang w:eastAsia="en-AU"/>
              </w:rPr>
              <w:t xml:space="preserve"> Australian</w:t>
            </w:r>
            <w:r w:rsidRPr="00886F1D">
              <w:rPr>
                <w:rFonts w:asciiTheme="majorHAnsi" w:eastAsia="Times New Roman" w:hAnsiTheme="majorHAnsi" w:cstheme="majorHAnsi"/>
                <w:color w:val="auto"/>
                <w:sz w:val="20"/>
                <w:lang w:eastAsia="en-AU"/>
              </w:rPr>
              <w:t xml:space="preserve"> Government’s Jobs and Skills Summit, held 1-2 September 2022, brought Australians together to agree on immediate actions to help build a stronger economy and a stronger Australia. As an agreed outcome, the</w:t>
            </w:r>
            <w:r w:rsidR="00CD3233" w:rsidRPr="00886F1D">
              <w:rPr>
                <w:rFonts w:asciiTheme="majorHAnsi" w:eastAsia="Times New Roman" w:hAnsiTheme="majorHAnsi" w:cstheme="majorHAnsi"/>
                <w:color w:val="auto"/>
                <w:sz w:val="20"/>
                <w:lang w:eastAsia="en-AU"/>
              </w:rPr>
              <w:t xml:space="preserve"> Australian</w:t>
            </w:r>
            <w:r w:rsidRPr="00886F1D">
              <w:rPr>
                <w:rFonts w:asciiTheme="majorHAnsi" w:eastAsia="Times New Roman" w:hAnsiTheme="majorHAnsi" w:cstheme="majorHAnsi"/>
                <w:color w:val="auto"/>
                <w:sz w:val="20"/>
                <w:lang w:eastAsia="en-AU"/>
              </w:rPr>
              <w:t xml:space="preserve"> Government has announced support for a Digital and Tech Skills compact between government, unions and technology employers. The compact affirms commitment from industry, government and unions to cooperate to help address skill shortages and grow the Australian tech sector.</w:t>
            </w:r>
          </w:p>
          <w:p w14:paraId="718E785E" w14:textId="77777777" w:rsidR="00307CFC" w:rsidRPr="00886F1D" w:rsidRDefault="00307CFC" w:rsidP="00307CFC">
            <w:pPr>
              <w:spacing w:after="0" w:line="240" w:lineRule="auto"/>
              <w:rPr>
                <w:rFonts w:asciiTheme="majorHAnsi" w:eastAsia="Times New Roman" w:hAnsiTheme="majorHAnsi" w:cstheme="majorHAnsi"/>
                <w:b/>
                <w:color w:val="auto"/>
                <w:sz w:val="20"/>
                <w:lang w:eastAsia="en-AU"/>
              </w:rPr>
            </w:pPr>
          </w:p>
          <w:p w14:paraId="718E785F" w14:textId="77777777" w:rsidR="00307CFC" w:rsidRPr="00886F1D" w:rsidRDefault="00307CFC" w:rsidP="00307CFC">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The </w:t>
            </w:r>
            <w:r w:rsidR="00CD3233" w:rsidRPr="00886F1D">
              <w:rPr>
                <w:rFonts w:asciiTheme="majorHAnsi" w:eastAsia="Times New Roman" w:hAnsiTheme="majorHAnsi" w:cstheme="majorHAnsi"/>
                <w:color w:val="auto"/>
                <w:sz w:val="20"/>
                <w:lang w:eastAsia="en-AU"/>
              </w:rPr>
              <w:t xml:space="preserve">Australian </w:t>
            </w:r>
            <w:r w:rsidRPr="00886F1D">
              <w:rPr>
                <w:rFonts w:asciiTheme="majorHAnsi" w:eastAsia="Times New Roman" w:hAnsiTheme="majorHAnsi" w:cstheme="majorHAnsi"/>
                <w:color w:val="auto"/>
                <w:sz w:val="20"/>
                <w:lang w:eastAsia="en-AU"/>
              </w:rPr>
              <w:t xml:space="preserve">Government has also committed to releasing an Employment White Paper, which will further help shape the future of Australia’s labour market. </w:t>
            </w:r>
          </w:p>
          <w:p w14:paraId="718E7860" w14:textId="77777777" w:rsidR="00307CFC" w:rsidRPr="00886F1D" w:rsidRDefault="00307CFC" w:rsidP="00307CFC">
            <w:pPr>
              <w:spacing w:after="0" w:line="240" w:lineRule="auto"/>
              <w:rPr>
                <w:rFonts w:asciiTheme="majorHAnsi" w:eastAsia="Times New Roman" w:hAnsiTheme="majorHAnsi" w:cstheme="majorHAnsi"/>
                <w:color w:val="auto"/>
                <w:sz w:val="20"/>
                <w:lang w:eastAsia="en-AU"/>
              </w:rPr>
            </w:pPr>
          </w:p>
          <w:p w14:paraId="718E7861" w14:textId="77777777" w:rsidR="00307CFC" w:rsidRPr="00886F1D" w:rsidRDefault="00307CFC" w:rsidP="00307CFC">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The Australian Space Agency is </w:t>
            </w:r>
            <w:r w:rsidR="00E75C1F" w:rsidRPr="00886F1D">
              <w:rPr>
                <w:rFonts w:asciiTheme="majorHAnsi" w:eastAsia="Times New Roman" w:hAnsiTheme="majorHAnsi" w:cstheme="majorHAnsi"/>
                <w:color w:val="auto"/>
                <w:sz w:val="20"/>
                <w:lang w:eastAsia="en-AU"/>
              </w:rPr>
              <w:t xml:space="preserve">exploring the space sector’s </w:t>
            </w:r>
            <w:r w:rsidR="00C6743B" w:rsidRPr="00886F1D">
              <w:rPr>
                <w:rFonts w:asciiTheme="majorHAnsi" w:eastAsia="Times New Roman" w:hAnsiTheme="majorHAnsi" w:cstheme="majorHAnsi"/>
                <w:color w:val="auto"/>
                <w:sz w:val="20"/>
                <w:lang w:eastAsia="en-AU"/>
              </w:rPr>
              <w:t xml:space="preserve">skills pipeline and </w:t>
            </w:r>
            <w:r w:rsidR="00E75C1F" w:rsidRPr="00886F1D">
              <w:rPr>
                <w:rFonts w:asciiTheme="majorHAnsi" w:eastAsia="Times New Roman" w:hAnsiTheme="majorHAnsi" w:cstheme="majorHAnsi"/>
                <w:color w:val="auto"/>
                <w:sz w:val="20"/>
                <w:lang w:eastAsia="en-AU"/>
              </w:rPr>
              <w:t xml:space="preserve">workforce development needs </w:t>
            </w:r>
            <w:r w:rsidRPr="00886F1D">
              <w:rPr>
                <w:rFonts w:asciiTheme="majorHAnsi" w:eastAsia="Times New Roman" w:hAnsiTheme="majorHAnsi" w:cstheme="majorHAnsi"/>
                <w:color w:val="auto"/>
                <w:sz w:val="20"/>
                <w:lang w:eastAsia="en-AU"/>
              </w:rPr>
              <w:t xml:space="preserve">to help inform this process. The </w:t>
            </w:r>
            <w:r w:rsidR="00C6743B" w:rsidRPr="00886F1D">
              <w:rPr>
                <w:rFonts w:asciiTheme="majorHAnsi" w:eastAsia="Times New Roman" w:hAnsiTheme="majorHAnsi" w:cstheme="majorHAnsi"/>
                <w:color w:val="auto"/>
                <w:sz w:val="20"/>
                <w:lang w:eastAsia="en-AU"/>
              </w:rPr>
              <w:t>Agency’s work</w:t>
            </w:r>
            <w:r w:rsidR="00DA14B2" w:rsidRPr="00886F1D">
              <w:rPr>
                <w:rFonts w:asciiTheme="majorHAnsi" w:eastAsia="Times New Roman" w:hAnsiTheme="majorHAnsi" w:cstheme="majorHAnsi"/>
                <w:color w:val="auto"/>
                <w:sz w:val="20"/>
                <w:lang w:eastAsia="en-AU"/>
              </w:rPr>
              <w:t xml:space="preserve"> </w:t>
            </w:r>
            <w:r w:rsidRPr="00886F1D">
              <w:rPr>
                <w:rFonts w:asciiTheme="majorHAnsi" w:eastAsia="Times New Roman" w:hAnsiTheme="majorHAnsi" w:cstheme="majorHAnsi"/>
                <w:color w:val="auto"/>
                <w:sz w:val="20"/>
                <w:lang w:eastAsia="en-AU"/>
              </w:rPr>
              <w:t>will include considerations of how to improve the transferability of skills from sectors adjacent to space and maximise opportunities for the wider workforce to participate in the Australian space sector.</w:t>
            </w:r>
          </w:p>
          <w:p w14:paraId="718E7862" w14:textId="77777777" w:rsidR="00C379EA" w:rsidRPr="00886F1D" w:rsidRDefault="00C379EA" w:rsidP="00917ECB">
            <w:pPr>
              <w:spacing w:after="0" w:line="240" w:lineRule="auto"/>
              <w:rPr>
                <w:rFonts w:asciiTheme="majorHAnsi" w:eastAsia="Times New Roman" w:hAnsiTheme="majorHAnsi" w:cstheme="majorHAnsi"/>
                <w:color w:val="auto"/>
                <w:sz w:val="20"/>
                <w:lang w:eastAsia="en-AU"/>
              </w:rPr>
            </w:pPr>
          </w:p>
          <w:p w14:paraId="718E7863" w14:textId="77777777" w:rsidR="001460AC" w:rsidRPr="00886F1D" w:rsidRDefault="00C379EA" w:rsidP="00DA14B2">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The </w:t>
            </w:r>
            <w:r w:rsidR="00C6743B" w:rsidRPr="00886F1D">
              <w:rPr>
                <w:rFonts w:asciiTheme="majorHAnsi" w:eastAsia="Times New Roman" w:hAnsiTheme="majorHAnsi" w:cstheme="majorHAnsi"/>
                <w:color w:val="auto"/>
                <w:sz w:val="20"/>
                <w:lang w:eastAsia="en-AU"/>
              </w:rPr>
              <w:t xml:space="preserve">Agency’s </w:t>
            </w:r>
            <w:r w:rsidR="00DA14B2" w:rsidRPr="00886F1D">
              <w:rPr>
                <w:rFonts w:asciiTheme="majorHAnsi" w:eastAsia="Times New Roman" w:hAnsiTheme="majorHAnsi" w:cstheme="majorHAnsi"/>
                <w:color w:val="auto"/>
                <w:sz w:val="20"/>
                <w:lang w:eastAsia="en-AU"/>
              </w:rPr>
              <w:t xml:space="preserve">consideration of ways </w:t>
            </w:r>
            <w:r w:rsidR="00C6743B" w:rsidRPr="00886F1D">
              <w:rPr>
                <w:rFonts w:asciiTheme="majorHAnsi" w:eastAsia="Times New Roman" w:hAnsiTheme="majorHAnsi" w:cstheme="majorHAnsi"/>
                <w:color w:val="auto"/>
                <w:sz w:val="20"/>
                <w:lang w:eastAsia="en-AU"/>
              </w:rPr>
              <w:t>to secure the space workforce pipeline</w:t>
            </w:r>
            <w:r w:rsidRPr="00886F1D">
              <w:rPr>
                <w:rFonts w:asciiTheme="majorHAnsi" w:eastAsia="Times New Roman" w:hAnsiTheme="majorHAnsi" w:cstheme="majorHAnsi"/>
                <w:color w:val="auto"/>
                <w:sz w:val="20"/>
                <w:lang w:eastAsia="en-AU"/>
              </w:rPr>
              <w:t xml:space="preserve"> will be informed by the work undertaken by organisations such as Jobs and Skills Australia and the </w:t>
            </w:r>
            <w:proofErr w:type="spellStart"/>
            <w:r w:rsidR="00B8371E" w:rsidRPr="00886F1D">
              <w:rPr>
                <w:rFonts w:asciiTheme="majorHAnsi" w:eastAsia="Times New Roman" w:hAnsiTheme="majorHAnsi" w:cstheme="majorHAnsi"/>
                <w:color w:val="auto"/>
                <w:sz w:val="20"/>
                <w:lang w:eastAsia="en-AU"/>
              </w:rPr>
              <w:t>SmartSat</w:t>
            </w:r>
            <w:proofErr w:type="spellEnd"/>
            <w:r w:rsidR="00B8371E" w:rsidRPr="00886F1D">
              <w:rPr>
                <w:rFonts w:asciiTheme="majorHAnsi" w:eastAsia="Times New Roman" w:hAnsiTheme="majorHAnsi" w:cstheme="majorHAnsi"/>
                <w:color w:val="auto"/>
                <w:sz w:val="20"/>
                <w:lang w:eastAsia="en-AU"/>
              </w:rPr>
              <w:t xml:space="preserve"> </w:t>
            </w:r>
            <w:r w:rsidRPr="00886F1D">
              <w:rPr>
                <w:rFonts w:asciiTheme="majorHAnsi" w:eastAsia="Times New Roman" w:hAnsiTheme="majorHAnsi" w:cstheme="majorHAnsi"/>
                <w:color w:val="auto"/>
                <w:sz w:val="20"/>
                <w:lang w:eastAsia="en-AU"/>
              </w:rPr>
              <w:t>Cooperative Research Centre which has worked extensively with Australian industry to design an Australian Space Skills Taxonomy and to identify the future skills demands of the sector.</w:t>
            </w:r>
          </w:p>
          <w:p w14:paraId="718E7864" w14:textId="77777777" w:rsidR="001460AC" w:rsidRPr="00886F1D" w:rsidRDefault="001460AC" w:rsidP="00DA14B2">
            <w:pPr>
              <w:spacing w:after="0" w:line="240" w:lineRule="auto"/>
              <w:rPr>
                <w:rFonts w:asciiTheme="majorHAnsi" w:eastAsia="Times New Roman" w:hAnsiTheme="majorHAnsi" w:cstheme="majorHAnsi"/>
                <w:b/>
                <w:color w:val="auto"/>
                <w:sz w:val="20"/>
                <w:lang w:eastAsia="en-AU"/>
              </w:rPr>
            </w:pPr>
          </w:p>
        </w:tc>
      </w:tr>
      <w:tr w:rsidR="00886F1D" w:rsidRPr="00886F1D" w14:paraId="718E7871" w14:textId="77777777" w:rsidTr="00B52BE2">
        <w:trPr>
          <w:cantSplit/>
          <w:trHeight w:val="1252"/>
        </w:trPr>
        <w:tc>
          <w:tcPr>
            <w:tcW w:w="1077" w:type="dxa"/>
            <w:shd w:val="clear" w:color="auto" w:fill="auto"/>
            <w:hideMark/>
          </w:tcPr>
          <w:p w14:paraId="718E7866"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lastRenderedPageBreak/>
              <w:t>19 (</w:t>
            </w:r>
            <w:r w:rsidR="001460AC" w:rsidRPr="00886F1D">
              <w:rPr>
                <w:rFonts w:asciiTheme="majorHAnsi" w:eastAsia="Times New Roman" w:hAnsiTheme="majorHAnsi" w:cstheme="majorHAnsi"/>
                <w:color w:val="auto"/>
                <w:sz w:val="20"/>
                <w:lang w:eastAsia="en-AU"/>
              </w:rPr>
              <w:t>3.152</w:t>
            </w:r>
            <w:r w:rsidRPr="00886F1D">
              <w:rPr>
                <w:rFonts w:asciiTheme="majorHAnsi" w:eastAsia="Times New Roman" w:hAnsiTheme="majorHAnsi" w:cstheme="majorHAnsi"/>
                <w:color w:val="auto"/>
                <w:sz w:val="20"/>
                <w:lang w:eastAsia="en-AU"/>
              </w:rPr>
              <w:t>)</w:t>
            </w:r>
          </w:p>
          <w:p w14:paraId="718E7867"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68"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better promote and engage non-STEM industries such as law, economics, finance, business and advisory services to ensure that these sectors are well equipped to support and maintain the operation of the Australian space industry and provide a specialist service in an international market.</w:t>
            </w:r>
          </w:p>
        </w:tc>
        <w:tc>
          <w:tcPr>
            <w:tcW w:w="4707" w:type="dxa"/>
          </w:tcPr>
          <w:p w14:paraId="718E7869" w14:textId="77777777" w:rsidR="00B14FD0" w:rsidRPr="00886F1D" w:rsidRDefault="001460AC"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Agreed</w:t>
            </w:r>
            <w:r w:rsidR="00B14FD0" w:rsidRPr="00886F1D">
              <w:rPr>
                <w:rFonts w:asciiTheme="majorHAnsi" w:eastAsia="Times New Roman" w:hAnsiTheme="majorHAnsi" w:cstheme="majorHAnsi"/>
                <w:b/>
                <w:color w:val="auto"/>
                <w:sz w:val="20"/>
                <w:lang w:eastAsia="en-AU"/>
              </w:rPr>
              <w:t xml:space="preserve"> in </w:t>
            </w:r>
            <w:r w:rsidR="00D417F2" w:rsidRPr="00886F1D">
              <w:rPr>
                <w:rFonts w:asciiTheme="majorHAnsi" w:eastAsia="Times New Roman" w:hAnsiTheme="majorHAnsi" w:cstheme="majorHAnsi"/>
                <w:b/>
                <w:color w:val="auto"/>
                <w:sz w:val="20"/>
                <w:lang w:eastAsia="en-AU"/>
              </w:rPr>
              <w:t>P</w:t>
            </w:r>
            <w:r w:rsidR="00B14FD0" w:rsidRPr="00886F1D">
              <w:rPr>
                <w:rFonts w:asciiTheme="majorHAnsi" w:eastAsia="Times New Roman" w:hAnsiTheme="majorHAnsi" w:cstheme="majorHAnsi"/>
                <w:b/>
                <w:color w:val="auto"/>
                <w:sz w:val="20"/>
                <w:lang w:eastAsia="en-AU"/>
              </w:rPr>
              <w:t>rinciple</w:t>
            </w:r>
          </w:p>
          <w:p w14:paraId="718E786A" w14:textId="77777777" w:rsidR="002818B0" w:rsidRPr="00886F1D" w:rsidRDefault="002818B0" w:rsidP="00A14AAB">
            <w:pPr>
              <w:spacing w:after="0" w:line="240" w:lineRule="auto"/>
              <w:rPr>
                <w:rFonts w:asciiTheme="majorHAnsi" w:eastAsia="Times New Roman" w:hAnsiTheme="majorHAnsi" w:cstheme="majorHAnsi"/>
                <w:color w:val="auto"/>
                <w:sz w:val="20"/>
                <w:lang w:eastAsia="en-AU"/>
              </w:rPr>
            </w:pPr>
          </w:p>
          <w:p w14:paraId="718E786B" w14:textId="77777777" w:rsidR="00A14AAB" w:rsidRPr="00886F1D" w:rsidRDefault="00A14AAB" w:rsidP="00A14AAB">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Refer to the response provided to Recommendation 19 (3.151).</w:t>
            </w:r>
          </w:p>
          <w:p w14:paraId="718E786C" w14:textId="77777777" w:rsidR="00A14AAB" w:rsidRPr="00886F1D" w:rsidRDefault="00A14AAB" w:rsidP="00A14AAB">
            <w:pPr>
              <w:spacing w:after="0" w:line="240" w:lineRule="auto"/>
              <w:rPr>
                <w:rFonts w:asciiTheme="majorHAnsi" w:eastAsia="Times New Roman" w:hAnsiTheme="majorHAnsi" w:cstheme="majorHAnsi"/>
                <w:b/>
                <w:color w:val="auto"/>
                <w:sz w:val="20"/>
                <w:lang w:eastAsia="en-AU"/>
              </w:rPr>
            </w:pPr>
          </w:p>
          <w:p w14:paraId="718E786D" w14:textId="77777777" w:rsidR="001460AC" w:rsidRPr="00886F1D" w:rsidRDefault="00A14AAB" w:rsidP="00A14AAB">
            <w:pPr>
              <w:spacing w:after="0" w:line="240" w:lineRule="auto"/>
              <w:rPr>
                <w:rFonts w:asciiTheme="majorHAnsi" w:eastAsia="Times New Roman" w:hAnsiTheme="majorHAnsi" w:cstheme="majorHAnsi"/>
                <w:b/>
                <w:color w:val="auto"/>
                <w:sz w:val="20"/>
                <w:lang w:eastAsia="en-AU"/>
              </w:rPr>
            </w:pPr>
            <w:r w:rsidRPr="00886F1D">
              <w:rPr>
                <w:rFonts w:asciiTheme="majorHAnsi" w:hAnsiTheme="majorHAnsi" w:cstheme="majorHAnsi"/>
                <w:color w:val="auto"/>
                <w:sz w:val="20"/>
                <w:lang w:eastAsia="en-AU"/>
              </w:rPr>
              <w:t xml:space="preserve">The </w:t>
            </w:r>
            <w:r w:rsidR="00CD3233"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 xml:space="preserve">Government is </w:t>
            </w:r>
            <w:r w:rsidR="006535CD" w:rsidRPr="00886F1D">
              <w:rPr>
                <w:rFonts w:asciiTheme="majorHAnsi" w:hAnsiTheme="majorHAnsi" w:cstheme="majorHAnsi"/>
                <w:color w:val="auto"/>
                <w:sz w:val="20"/>
                <w:lang w:eastAsia="en-AU"/>
              </w:rPr>
              <w:t>aware</w:t>
            </w:r>
            <w:r w:rsidRPr="00886F1D">
              <w:rPr>
                <w:rFonts w:asciiTheme="majorHAnsi" w:hAnsiTheme="majorHAnsi" w:cstheme="majorHAnsi"/>
                <w:color w:val="auto"/>
                <w:sz w:val="20"/>
                <w:lang w:eastAsia="en-AU"/>
              </w:rPr>
              <w:t xml:space="preserve"> of the </w:t>
            </w:r>
            <w:r w:rsidR="003147EF" w:rsidRPr="00886F1D">
              <w:rPr>
                <w:rFonts w:asciiTheme="majorHAnsi" w:hAnsiTheme="majorHAnsi" w:cstheme="majorHAnsi"/>
                <w:color w:val="auto"/>
                <w:sz w:val="20"/>
                <w:lang w:eastAsia="en-AU"/>
              </w:rPr>
              <w:t xml:space="preserve">broad range of </w:t>
            </w:r>
            <w:r w:rsidRPr="00886F1D">
              <w:rPr>
                <w:rFonts w:asciiTheme="majorHAnsi" w:hAnsiTheme="majorHAnsi" w:cstheme="majorHAnsi"/>
                <w:color w:val="auto"/>
                <w:sz w:val="20"/>
                <w:lang w:eastAsia="en-AU"/>
              </w:rPr>
              <w:t xml:space="preserve">professionals </w:t>
            </w:r>
            <w:r w:rsidR="003147EF" w:rsidRPr="00886F1D">
              <w:rPr>
                <w:rFonts w:asciiTheme="majorHAnsi" w:hAnsiTheme="majorHAnsi" w:cstheme="majorHAnsi"/>
                <w:color w:val="auto"/>
                <w:sz w:val="20"/>
                <w:lang w:eastAsia="en-AU"/>
              </w:rPr>
              <w:t xml:space="preserve">from non-STEM </w:t>
            </w:r>
            <w:r w:rsidRPr="00886F1D">
              <w:rPr>
                <w:rFonts w:asciiTheme="majorHAnsi" w:hAnsiTheme="majorHAnsi" w:cstheme="majorHAnsi"/>
                <w:color w:val="auto"/>
                <w:sz w:val="20"/>
                <w:lang w:eastAsia="en-AU"/>
              </w:rPr>
              <w:t>sectors that will need to contribute to technology intensive sectors, including space.</w:t>
            </w:r>
          </w:p>
          <w:p w14:paraId="718E786E" w14:textId="77777777" w:rsidR="00FE3E6B" w:rsidRPr="00886F1D" w:rsidRDefault="00FE3E6B" w:rsidP="005B01B5">
            <w:pPr>
              <w:spacing w:after="0" w:line="240" w:lineRule="auto"/>
              <w:rPr>
                <w:rFonts w:asciiTheme="majorHAnsi" w:eastAsia="Times New Roman" w:hAnsiTheme="majorHAnsi" w:cstheme="majorHAnsi"/>
                <w:b/>
                <w:color w:val="auto"/>
                <w:sz w:val="20"/>
                <w:lang w:eastAsia="en-AU"/>
              </w:rPr>
            </w:pPr>
          </w:p>
          <w:p w14:paraId="718E786F" w14:textId="77777777" w:rsidR="001460AC" w:rsidRPr="00886F1D" w:rsidRDefault="00AC2D9F" w:rsidP="00FB777A">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C6743B" w:rsidRPr="00886F1D">
              <w:rPr>
                <w:rFonts w:asciiTheme="majorHAnsi" w:eastAsia="Times New Roman" w:hAnsiTheme="majorHAnsi" w:cstheme="majorHAnsi"/>
                <w:color w:val="auto"/>
                <w:sz w:val="20"/>
                <w:lang w:eastAsia="en-AU"/>
              </w:rPr>
              <w:t xml:space="preserve">Australian Space Agency’s </w:t>
            </w:r>
            <w:r w:rsidR="00FB777A" w:rsidRPr="00886F1D">
              <w:rPr>
                <w:rFonts w:asciiTheme="majorHAnsi" w:eastAsia="Times New Roman" w:hAnsiTheme="majorHAnsi" w:cstheme="majorHAnsi"/>
                <w:color w:val="auto"/>
                <w:sz w:val="20"/>
                <w:lang w:eastAsia="en-AU"/>
              </w:rPr>
              <w:t>consideration of ways</w:t>
            </w:r>
            <w:r w:rsidR="00C6743B" w:rsidRPr="00886F1D">
              <w:rPr>
                <w:rFonts w:asciiTheme="majorHAnsi" w:eastAsia="Times New Roman" w:hAnsiTheme="majorHAnsi" w:cstheme="majorHAnsi"/>
                <w:color w:val="auto"/>
                <w:sz w:val="20"/>
                <w:lang w:eastAsia="en-AU"/>
              </w:rPr>
              <w:t xml:space="preserve"> to secure the space workforce pipeline</w:t>
            </w:r>
            <w:r w:rsidRPr="00886F1D">
              <w:rPr>
                <w:rFonts w:asciiTheme="majorHAnsi" w:hAnsiTheme="majorHAnsi" w:cstheme="majorHAnsi"/>
                <w:color w:val="auto"/>
                <w:sz w:val="20"/>
                <w:lang w:eastAsia="en-AU"/>
              </w:rPr>
              <w:t xml:space="preserve"> </w:t>
            </w:r>
            <w:r w:rsidR="00FE3E6B" w:rsidRPr="00886F1D">
              <w:rPr>
                <w:rFonts w:asciiTheme="majorHAnsi" w:hAnsiTheme="majorHAnsi" w:cstheme="majorHAnsi"/>
                <w:color w:val="auto"/>
                <w:sz w:val="20"/>
                <w:lang w:eastAsia="en-AU"/>
              </w:rPr>
              <w:t>will</w:t>
            </w:r>
            <w:r w:rsidRPr="00886F1D">
              <w:rPr>
                <w:rFonts w:asciiTheme="majorHAnsi" w:hAnsiTheme="majorHAnsi" w:cstheme="majorHAnsi"/>
                <w:color w:val="auto"/>
                <w:sz w:val="20"/>
                <w:lang w:eastAsia="en-AU"/>
              </w:rPr>
              <w:t xml:space="preserve"> </w:t>
            </w:r>
            <w:r w:rsidR="00FB777A" w:rsidRPr="00886F1D">
              <w:rPr>
                <w:rFonts w:asciiTheme="majorHAnsi" w:hAnsiTheme="majorHAnsi" w:cstheme="majorHAnsi"/>
                <w:color w:val="auto"/>
                <w:sz w:val="20"/>
                <w:lang w:eastAsia="en-AU"/>
              </w:rPr>
              <w:t>consider</w:t>
            </w:r>
            <w:r w:rsidRPr="00886F1D">
              <w:rPr>
                <w:rFonts w:asciiTheme="majorHAnsi" w:hAnsiTheme="majorHAnsi" w:cstheme="majorHAnsi"/>
                <w:color w:val="auto"/>
                <w:sz w:val="20"/>
                <w:lang w:eastAsia="en-AU"/>
              </w:rPr>
              <w:t xml:space="preserve"> a pathway forward that recognises all the </w:t>
            </w:r>
            <w:r w:rsidR="00753CBB" w:rsidRPr="00886F1D">
              <w:rPr>
                <w:rFonts w:asciiTheme="majorHAnsi" w:hAnsiTheme="majorHAnsi" w:cstheme="majorHAnsi"/>
                <w:color w:val="auto"/>
                <w:sz w:val="20"/>
                <w:lang w:eastAsia="en-AU"/>
              </w:rPr>
              <w:t>sub-sectors and diverse skills</w:t>
            </w:r>
            <w:r w:rsidRPr="00886F1D">
              <w:rPr>
                <w:rFonts w:asciiTheme="majorHAnsi" w:hAnsiTheme="majorHAnsi" w:cstheme="majorHAnsi"/>
                <w:color w:val="auto"/>
                <w:sz w:val="20"/>
                <w:lang w:eastAsia="en-AU"/>
              </w:rPr>
              <w:t xml:space="preserve"> that underpin Australia’s space industry.</w:t>
            </w:r>
          </w:p>
          <w:p w14:paraId="718E7870" w14:textId="77777777" w:rsidR="001460AC" w:rsidRPr="00886F1D" w:rsidRDefault="001460AC" w:rsidP="00FB777A">
            <w:pPr>
              <w:spacing w:after="0" w:line="240" w:lineRule="auto"/>
              <w:rPr>
                <w:rFonts w:asciiTheme="majorHAnsi" w:hAnsiTheme="majorHAnsi" w:cstheme="majorHAnsi"/>
                <w:i/>
                <w:color w:val="auto"/>
                <w:sz w:val="20"/>
                <w:lang w:eastAsia="en-AU"/>
              </w:rPr>
            </w:pPr>
          </w:p>
        </w:tc>
      </w:tr>
      <w:tr w:rsidR="00886F1D" w:rsidRPr="00886F1D" w14:paraId="718E787B" w14:textId="77777777" w:rsidTr="00B52BE2">
        <w:trPr>
          <w:cantSplit/>
          <w:trHeight w:val="941"/>
        </w:trPr>
        <w:tc>
          <w:tcPr>
            <w:tcW w:w="1077" w:type="dxa"/>
            <w:shd w:val="clear" w:color="auto" w:fill="auto"/>
            <w:hideMark/>
          </w:tcPr>
          <w:p w14:paraId="718E7872"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20 (</w:t>
            </w:r>
            <w:r w:rsidR="001460AC" w:rsidRPr="00886F1D">
              <w:rPr>
                <w:rFonts w:asciiTheme="majorHAnsi" w:eastAsia="Times New Roman" w:hAnsiTheme="majorHAnsi" w:cstheme="majorHAnsi"/>
                <w:color w:val="auto"/>
                <w:sz w:val="20"/>
                <w:lang w:eastAsia="en-AU"/>
              </w:rPr>
              <w:t>3.153</w:t>
            </w:r>
            <w:r w:rsidRPr="00886F1D">
              <w:rPr>
                <w:rFonts w:asciiTheme="majorHAnsi" w:eastAsia="Times New Roman" w:hAnsiTheme="majorHAnsi" w:cstheme="majorHAnsi"/>
                <w:color w:val="auto"/>
                <w:sz w:val="20"/>
                <w:lang w:eastAsia="en-AU"/>
              </w:rPr>
              <w:t>)</w:t>
            </w:r>
          </w:p>
          <w:p w14:paraId="718E7873"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 </w:t>
            </w:r>
          </w:p>
        </w:tc>
        <w:tc>
          <w:tcPr>
            <w:tcW w:w="3814" w:type="dxa"/>
            <w:shd w:val="clear" w:color="auto" w:fill="auto"/>
            <w:hideMark/>
          </w:tcPr>
          <w:p w14:paraId="718E7874"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examine ways to better support and coordinate space medicine research, training and development to ensure that the translational benefits of aerospace medicine can be applied on Earth.</w:t>
            </w:r>
          </w:p>
        </w:tc>
        <w:tc>
          <w:tcPr>
            <w:tcW w:w="4707" w:type="dxa"/>
          </w:tcPr>
          <w:p w14:paraId="718E7875" w14:textId="77777777" w:rsidR="000E3096" w:rsidRPr="00886F1D" w:rsidRDefault="000E3096" w:rsidP="00304363">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Agreed in Principle</w:t>
            </w:r>
          </w:p>
          <w:p w14:paraId="718E7876" w14:textId="77777777" w:rsidR="000E3096" w:rsidRPr="00886F1D" w:rsidRDefault="000E3096" w:rsidP="00304363">
            <w:pPr>
              <w:spacing w:after="0" w:line="240" w:lineRule="auto"/>
              <w:rPr>
                <w:rFonts w:asciiTheme="majorHAnsi" w:eastAsia="Times New Roman" w:hAnsiTheme="majorHAnsi" w:cstheme="majorHAnsi"/>
                <w:b/>
                <w:color w:val="auto"/>
                <w:sz w:val="20"/>
                <w:lang w:eastAsia="en-AU"/>
              </w:rPr>
            </w:pPr>
          </w:p>
          <w:p w14:paraId="718E7877" w14:textId="77777777" w:rsidR="00304363" w:rsidRPr="00886F1D" w:rsidRDefault="00304363" w:rsidP="00304363">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Australian Space Agency will work with other organisations, such as the Australian Antarctic Division and CSIRO, to support space medicine research, training and development through a number of </w:t>
            </w:r>
            <w:r w:rsidR="0055305F" w:rsidRPr="00886F1D">
              <w:rPr>
                <w:rFonts w:asciiTheme="majorHAnsi" w:hAnsiTheme="majorHAnsi" w:cstheme="majorHAnsi"/>
                <w:color w:val="auto"/>
                <w:sz w:val="20"/>
                <w:lang w:eastAsia="en-AU"/>
              </w:rPr>
              <w:t>collaborations</w:t>
            </w:r>
            <w:r w:rsidRPr="00886F1D">
              <w:rPr>
                <w:rFonts w:asciiTheme="majorHAnsi" w:hAnsiTheme="majorHAnsi" w:cstheme="majorHAnsi"/>
                <w:color w:val="auto"/>
                <w:sz w:val="20"/>
                <w:lang w:eastAsia="en-AU"/>
              </w:rPr>
              <w:t xml:space="preserve"> across government.</w:t>
            </w:r>
          </w:p>
          <w:p w14:paraId="718E7878" w14:textId="77777777" w:rsidR="00304363" w:rsidRPr="00886F1D" w:rsidRDefault="00304363" w:rsidP="00304363">
            <w:pPr>
              <w:spacing w:after="0" w:line="240" w:lineRule="auto"/>
              <w:rPr>
                <w:rFonts w:asciiTheme="majorHAnsi" w:hAnsiTheme="majorHAnsi" w:cstheme="majorHAnsi"/>
                <w:color w:val="auto"/>
                <w:sz w:val="20"/>
                <w:lang w:eastAsia="en-AU"/>
              </w:rPr>
            </w:pPr>
          </w:p>
          <w:p w14:paraId="718E7879" w14:textId="77777777" w:rsidR="001460AC" w:rsidRPr="00886F1D" w:rsidRDefault="00304363" w:rsidP="00E6223C">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Pr="00886F1D">
              <w:rPr>
                <w:rFonts w:asciiTheme="majorHAnsi" w:hAnsiTheme="majorHAnsi" w:cstheme="majorHAnsi"/>
                <w:i/>
                <w:color w:val="auto"/>
                <w:sz w:val="20"/>
                <w:lang w:eastAsia="en-AU"/>
              </w:rPr>
              <w:t>Applied Space Medicine and Life Sciences</w:t>
            </w:r>
            <w:r w:rsidRPr="00886F1D">
              <w:rPr>
                <w:rFonts w:asciiTheme="majorHAnsi" w:hAnsiTheme="majorHAnsi" w:cstheme="majorHAnsi"/>
                <w:color w:val="auto"/>
                <w:sz w:val="20"/>
                <w:lang w:eastAsia="en-AU"/>
              </w:rPr>
              <w:t xml:space="preserve"> roadmap, currently under development, will complement this work, and take into account Australia’s niche capability in this domain. </w:t>
            </w:r>
          </w:p>
          <w:p w14:paraId="718E787A" w14:textId="77777777" w:rsidR="001460AC" w:rsidRPr="00886F1D" w:rsidRDefault="001460AC" w:rsidP="00E6223C">
            <w:pPr>
              <w:spacing w:after="0" w:line="240" w:lineRule="auto"/>
              <w:rPr>
                <w:rFonts w:asciiTheme="majorHAnsi" w:hAnsiTheme="majorHAnsi" w:cstheme="majorHAnsi"/>
                <w:color w:val="auto"/>
                <w:sz w:val="20"/>
                <w:lang w:eastAsia="en-AU"/>
              </w:rPr>
            </w:pPr>
          </w:p>
        </w:tc>
      </w:tr>
      <w:tr w:rsidR="00886F1D" w:rsidRPr="00886F1D" w14:paraId="718E7884" w14:textId="77777777" w:rsidTr="00B52BE2">
        <w:trPr>
          <w:cantSplit/>
          <w:trHeight w:val="699"/>
        </w:trPr>
        <w:tc>
          <w:tcPr>
            <w:tcW w:w="1077" w:type="dxa"/>
            <w:shd w:val="clear" w:color="auto" w:fill="auto"/>
            <w:hideMark/>
          </w:tcPr>
          <w:p w14:paraId="718E787C"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21 (</w:t>
            </w:r>
            <w:r w:rsidR="001460AC" w:rsidRPr="00886F1D">
              <w:rPr>
                <w:rFonts w:asciiTheme="majorHAnsi" w:eastAsia="Times New Roman" w:hAnsiTheme="majorHAnsi" w:cstheme="majorHAnsi"/>
                <w:color w:val="auto"/>
                <w:sz w:val="20"/>
                <w:lang w:eastAsia="en-AU"/>
              </w:rPr>
              <w:t>4.77</w:t>
            </w:r>
            <w:r w:rsidRPr="00886F1D">
              <w:rPr>
                <w:rFonts w:asciiTheme="majorHAnsi" w:eastAsia="Times New Roman" w:hAnsiTheme="majorHAnsi" w:cstheme="majorHAnsi"/>
                <w:color w:val="auto"/>
                <w:sz w:val="20"/>
                <w:lang w:eastAsia="en-AU"/>
              </w:rPr>
              <w:t>)</w:t>
            </w:r>
          </w:p>
          <w:p w14:paraId="718E787D"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7E"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consider a national launch plan or strategy to support a sovereign capability in Australia including the investment, infrastructure and expertise required. This includes development of policies that preference Australian launch capability to support government space requirements.</w:t>
            </w:r>
          </w:p>
          <w:p w14:paraId="718E787F"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4707" w:type="dxa"/>
          </w:tcPr>
          <w:p w14:paraId="718E7880" w14:textId="77777777" w:rsidR="001460AC" w:rsidRPr="00886F1D" w:rsidRDefault="000E3096"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Agreed in Principle</w:t>
            </w:r>
          </w:p>
          <w:p w14:paraId="718E7881" w14:textId="77777777" w:rsidR="009F7016" w:rsidRPr="00886F1D" w:rsidRDefault="009F7016" w:rsidP="009F7016">
            <w:pPr>
              <w:spacing w:after="0" w:line="240" w:lineRule="auto"/>
              <w:rPr>
                <w:rFonts w:asciiTheme="majorHAnsi" w:hAnsiTheme="majorHAnsi" w:cstheme="majorHAnsi"/>
                <w:color w:val="auto"/>
                <w:sz w:val="20"/>
                <w:lang w:eastAsia="en-AU"/>
              </w:rPr>
            </w:pPr>
          </w:p>
          <w:p w14:paraId="718E7882" w14:textId="77777777" w:rsidR="001460AC" w:rsidRPr="00886F1D" w:rsidRDefault="00B76D08" w:rsidP="00B76D08">
            <w:pPr>
              <w:spacing w:after="0" w:line="240" w:lineRule="auto"/>
              <w:rPr>
                <w:rFonts w:asciiTheme="majorHAnsi" w:eastAsia="Times New Roman" w:hAnsiTheme="majorHAnsi" w:cstheme="majorHAnsi"/>
                <w:color w:val="auto"/>
                <w:sz w:val="20"/>
                <w:lang w:eastAsia="en-AU"/>
              </w:rPr>
            </w:pPr>
            <w:r w:rsidRPr="00886F1D">
              <w:rPr>
                <w:rFonts w:asciiTheme="majorHAnsi" w:hAnsiTheme="majorHAnsi" w:cstheme="majorHAnsi"/>
                <w:color w:val="auto"/>
                <w:sz w:val="20"/>
                <w:lang w:eastAsia="en-AU"/>
              </w:rPr>
              <w:t>The Australian Government will consider this recommendation</w:t>
            </w:r>
            <w:r w:rsidR="00710482" w:rsidRPr="00886F1D">
              <w:rPr>
                <w:rFonts w:asciiTheme="majorHAnsi" w:hAnsiTheme="majorHAnsi" w:cstheme="majorHAnsi"/>
                <w:color w:val="auto"/>
                <w:sz w:val="20"/>
                <w:lang w:eastAsia="en-AU"/>
              </w:rPr>
              <w:t xml:space="preserve"> in </w:t>
            </w:r>
            <w:r w:rsidR="00863126" w:rsidRPr="00886F1D">
              <w:rPr>
                <w:rFonts w:asciiTheme="majorHAnsi" w:hAnsiTheme="majorHAnsi" w:cstheme="majorHAnsi"/>
                <w:color w:val="auto"/>
                <w:sz w:val="20"/>
                <w:lang w:eastAsia="en-AU"/>
              </w:rPr>
              <w:t xml:space="preserve">line with </w:t>
            </w:r>
            <w:r w:rsidR="00710482" w:rsidRPr="00886F1D">
              <w:rPr>
                <w:rFonts w:asciiTheme="majorHAnsi" w:hAnsiTheme="majorHAnsi" w:cstheme="majorHAnsi"/>
                <w:color w:val="auto"/>
                <w:sz w:val="20"/>
                <w:lang w:eastAsia="en-AU"/>
              </w:rPr>
              <w:t>its future agenda</w:t>
            </w:r>
            <w:r w:rsidRPr="00886F1D">
              <w:rPr>
                <w:rFonts w:asciiTheme="majorHAnsi" w:hAnsiTheme="majorHAnsi" w:cstheme="majorHAnsi"/>
                <w:color w:val="auto"/>
                <w:sz w:val="20"/>
                <w:lang w:eastAsia="en-AU"/>
              </w:rPr>
              <w:t xml:space="preserve">. </w:t>
            </w:r>
            <w:r w:rsidR="009F7016" w:rsidRPr="00886F1D">
              <w:rPr>
                <w:rFonts w:asciiTheme="majorHAnsi" w:hAnsiTheme="majorHAnsi" w:cstheme="majorHAnsi"/>
                <w:color w:val="auto"/>
                <w:sz w:val="20"/>
                <w:lang w:eastAsia="en-AU"/>
              </w:rPr>
              <w:t>The</w:t>
            </w:r>
            <w:r w:rsidR="001F059B" w:rsidRPr="00886F1D">
              <w:rPr>
                <w:rFonts w:asciiTheme="majorHAnsi" w:hAnsiTheme="majorHAnsi" w:cstheme="majorHAnsi"/>
                <w:color w:val="auto"/>
                <w:sz w:val="20"/>
                <w:lang w:eastAsia="en-AU"/>
              </w:rPr>
              <w:t xml:space="preserve"> Australian Space Agency’s</w:t>
            </w:r>
            <w:r w:rsidR="009F7016" w:rsidRPr="00886F1D">
              <w:rPr>
                <w:rFonts w:asciiTheme="majorHAnsi" w:hAnsiTheme="majorHAnsi" w:cstheme="majorHAnsi"/>
                <w:color w:val="auto"/>
                <w:sz w:val="20"/>
                <w:lang w:eastAsia="en-AU"/>
              </w:rPr>
              <w:t xml:space="preserve"> </w:t>
            </w:r>
            <w:r w:rsidR="009F7016" w:rsidRPr="00886F1D">
              <w:rPr>
                <w:rFonts w:asciiTheme="majorHAnsi" w:hAnsiTheme="majorHAnsi" w:cstheme="majorHAnsi"/>
                <w:i/>
                <w:color w:val="auto"/>
                <w:sz w:val="20"/>
                <w:lang w:eastAsia="en-AU"/>
              </w:rPr>
              <w:t>Access to Space</w:t>
            </w:r>
            <w:r w:rsidR="009F7016" w:rsidRPr="00886F1D">
              <w:rPr>
                <w:rFonts w:asciiTheme="majorHAnsi" w:hAnsiTheme="majorHAnsi" w:cstheme="majorHAnsi"/>
                <w:color w:val="auto"/>
                <w:sz w:val="20"/>
                <w:lang w:eastAsia="en-AU"/>
              </w:rPr>
              <w:t xml:space="preserve"> roadmap, currently under development, </w:t>
            </w:r>
            <w:r w:rsidRPr="00886F1D">
              <w:rPr>
                <w:rFonts w:asciiTheme="majorHAnsi" w:hAnsiTheme="majorHAnsi" w:cstheme="majorHAnsi"/>
                <w:color w:val="auto"/>
                <w:sz w:val="20"/>
                <w:lang w:eastAsia="en-AU"/>
              </w:rPr>
              <w:t xml:space="preserve">will </w:t>
            </w:r>
            <w:r w:rsidR="009F7016" w:rsidRPr="00886F1D">
              <w:rPr>
                <w:rFonts w:asciiTheme="majorHAnsi" w:hAnsiTheme="majorHAnsi" w:cstheme="majorHAnsi"/>
                <w:color w:val="auto"/>
                <w:sz w:val="20"/>
                <w:lang w:eastAsia="en-AU"/>
              </w:rPr>
              <w:t>inform this process.</w:t>
            </w:r>
          </w:p>
          <w:p w14:paraId="718E7883" w14:textId="77777777" w:rsidR="001460AC" w:rsidRPr="00886F1D" w:rsidRDefault="001460AC" w:rsidP="00564893">
            <w:pPr>
              <w:spacing w:after="0" w:line="240" w:lineRule="auto"/>
              <w:rPr>
                <w:rFonts w:asciiTheme="majorHAnsi" w:eastAsia="Times New Roman" w:hAnsiTheme="majorHAnsi" w:cstheme="majorHAnsi"/>
                <w:b/>
                <w:color w:val="auto"/>
                <w:sz w:val="20"/>
                <w:lang w:eastAsia="en-AU"/>
              </w:rPr>
            </w:pPr>
          </w:p>
        </w:tc>
      </w:tr>
      <w:tr w:rsidR="00886F1D" w:rsidRPr="00886F1D" w14:paraId="718E7892" w14:textId="77777777" w:rsidTr="00B52BE2">
        <w:trPr>
          <w:cantSplit/>
          <w:trHeight w:val="1124"/>
        </w:trPr>
        <w:tc>
          <w:tcPr>
            <w:tcW w:w="1077" w:type="dxa"/>
            <w:shd w:val="clear" w:color="auto" w:fill="auto"/>
            <w:hideMark/>
          </w:tcPr>
          <w:p w14:paraId="718E7885"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lastRenderedPageBreak/>
              <w:t>22 (</w:t>
            </w:r>
            <w:r w:rsidR="001460AC" w:rsidRPr="00886F1D">
              <w:rPr>
                <w:rFonts w:asciiTheme="majorHAnsi" w:eastAsia="Times New Roman" w:hAnsiTheme="majorHAnsi" w:cstheme="majorHAnsi"/>
                <w:color w:val="auto"/>
                <w:sz w:val="20"/>
                <w:lang w:eastAsia="en-AU"/>
              </w:rPr>
              <w:t>4.78</w:t>
            </w:r>
            <w:r w:rsidRPr="00886F1D">
              <w:rPr>
                <w:rFonts w:asciiTheme="majorHAnsi" w:eastAsia="Times New Roman" w:hAnsiTheme="majorHAnsi" w:cstheme="majorHAnsi"/>
                <w:color w:val="auto"/>
                <w:sz w:val="20"/>
                <w:lang w:eastAsia="en-AU"/>
              </w:rPr>
              <w:t>)</w:t>
            </w:r>
          </w:p>
          <w:p w14:paraId="718E7886"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87"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The Committee recommends that the Australian Government give consideration to further reforms to the </w:t>
            </w:r>
            <w:r w:rsidRPr="00886F1D">
              <w:rPr>
                <w:rFonts w:asciiTheme="majorHAnsi" w:eastAsia="Times New Roman" w:hAnsiTheme="majorHAnsi" w:cstheme="majorHAnsi"/>
                <w:i/>
                <w:color w:val="auto"/>
                <w:sz w:val="20"/>
                <w:lang w:eastAsia="en-AU"/>
              </w:rPr>
              <w:t>Space (Launch and Returns) Act 2018</w:t>
            </w:r>
            <w:r w:rsidRPr="00886F1D">
              <w:rPr>
                <w:rFonts w:asciiTheme="majorHAnsi" w:eastAsia="Times New Roman" w:hAnsiTheme="majorHAnsi" w:cstheme="majorHAnsi"/>
                <w:color w:val="auto"/>
                <w:sz w:val="20"/>
                <w:lang w:eastAsia="en-AU"/>
              </w:rPr>
              <w:t xml:space="preserve"> and Rules 2019, in consultation with industry to ensure that regulatory provisions:</w:t>
            </w:r>
          </w:p>
          <w:p w14:paraId="718E7888" w14:textId="77777777" w:rsidR="001460AC" w:rsidRPr="00886F1D" w:rsidRDefault="001460AC" w:rsidP="002657DF">
            <w:pPr>
              <w:pStyle w:val="ListParagraph"/>
              <w:numPr>
                <w:ilvl w:val="0"/>
                <w:numId w:val="5"/>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Support the growth and competitiveness of the Australian domestic industry</w:t>
            </w:r>
          </w:p>
          <w:p w14:paraId="718E7889" w14:textId="77777777" w:rsidR="001460AC" w:rsidRPr="00886F1D" w:rsidRDefault="001460AC" w:rsidP="002657DF">
            <w:pPr>
              <w:pStyle w:val="ListParagraph"/>
              <w:numPr>
                <w:ilvl w:val="0"/>
                <w:numId w:val="5"/>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Ensure the safe and responsible management of the space environment</w:t>
            </w:r>
          </w:p>
          <w:p w14:paraId="718E788A" w14:textId="77777777" w:rsidR="001460AC" w:rsidRPr="00886F1D" w:rsidRDefault="001460AC" w:rsidP="002657DF">
            <w:pPr>
              <w:pStyle w:val="ListParagraph"/>
              <w:numPr>
                <w:ilvl w:val="0"/>
                <w:numId w:val="5"/>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Are in line with the regulations used by similar space countries</w:t>
            </w:r>
          </w:p>
          <w:p w14:paraId="718E788B"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It is recommended that further engagement be undertaken with government and industry to determine the most suitable regulatory changes to best benefit growth and investment. Consideration may be given to the Adelaide Law School supplementary submission given to the inquiry.</w:t>
            </w:r>
          </w:p>
          <w:p w14:paraId="718E788C"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4707" w:type="dxa"/>
          </w:tcPr>
          <w:p w14:paraId="718E788D"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Agreed</w:t>
            </w:r>
            <w:r w:rsidR="009A7098" w:rsidRPr="00886F1D">
              <w:rPr>
                <w:rFonts w:asciiTheme="majorHAnsi" w:eastAsia="Times New Roman" w:hAnsiTheme="majorHAnsi" w:cstheme="majorHAnsi"/>
                <w:b/>
                <w:color w:val="auto"/>
                <w:sz w:val="20"/>
                <w:lang w:eastAsia="en-AU"/>
              </w:rPr>
              <w:t xml:space="preserve"> </w:t>
            </w:r>
          </w:p>
          <w:p w14:paraId="718E788E" w14:textId="77777777" w:rsidR="00A95C73" w:rsidRPr="00886F1D" w:rsidRDefault="00A95C73" w:rsidP="00917ECB">
            <w:pPr>
              <w:spacing w:after="0" w:line="240" w:lineRule="auto"/>
              <w:rPr>
                <w:rFonts w:asciiTheme="majorHAnsi" w:eastAsia="Times New Roman" w:hAnsiTheme="majorHAnsi" w:cstheme="majorHAnsi"/>
                <w:b/>
                <w:color w:val="auto"/>
                <w:sz w:val="20"/>
                <w:lang w:eastAsia="en-AU"/>
              </w:rPr>
            </w:pPr>
          </w:p>
          <w:p w14:paraId="718E788F" w14:textId="77777777" w:rsidR="002D2DE5" w:rsidRPr="00886F1D" w:rsidRDefault="002D2DE5" w:rsidP="002D2DE5">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The Australian Space Agency works collaboratively with industry and government to carry out its regulatory function effectively to ensure its regulatory</w:t>
            </w:r>
            <w:r w:rsidR="00E949F0" w:rsidRPr="00886F1D">
              <w:rPr>
                <w:rFonts w:asciiTheme="majorHAnsi" w:hAnsiTheme="majorHAnsi" w:cstheme="majorHAnsi"/>
                <w:color w:val="auto"/>
                <w:sz w:val="20"/>
                <w:lang w:eastAsia="en-AU"/>
              </w:rPr>
              <w:t xml:space="preserve"> framework is globally competitive, and its </w:t>
            </w:r>
            <w:r w:rsidRPr="00886F1D">
              <w:rPr>
                <w:rFonts w:asciiTheme="majorHAnsi" w:hAnsiTheme="majorHAnsi" w:cstheme="majorHAnsi"/>
                <w:color w:val="auto"/>
                <w:sz w:val="20"/>
                <w:lang w:eastAsia="en-AU"/>
              </w:rPr>
              <w:t>activities meet Australia’s domestic and international obligations</w:t>
            </w:r>
            <w:r w:rsidR="00346538" w:rsidRPr="00886F1D">
              <w:rPr>
                <w:rFonts w:asciiTheme="majorHAnsi" w:hAnsiTheme="majorHAnsi" w:cstheme="majorHAnsi"/>
                <w:color w:val="auto"/>
                <w:sz w:val="20"/>
                <w:lang w:eastAsia="en-AU"/>
              </w:rPr>
              <w:t>, such as through maintaining robust environmental performance,</w:t>
            </w:r>
            <w:r w:rsidR="00B2393E" w:rsidRPr="00886F1D">
              <w:rPr>
                <w:rFonts w:asciiTheme="majorHAnsi" w:hAnsiTheme="majorHAnsi" w:cstheme="majorHAnsi"/>
                <w:color w:val="auto"/>
                <w:sz w:val="20"/>
                <w:lang w:eastAsia="en-AU"/>
              </w:rPr>
              <w:t xml:space="preserve"> without overburdening industry</w:t>
            </w:r>
            <w:r w:rsidRPr="00886F1D">
              <w:rPr>
                <w:rFonts w:asciiTheme="majorHAnsi" w:hAnsiTheme="majorHAnsi" w:cstheme="majorHAnsi"/>
                <w:color w:val="auto"/>
                <w:sz w:val="20"/>
                <w:lang w:eastAsia="en-AU"/>
              </w:rPr>
              <w:t xml:space="preserve">. </w:t>
            </w:r>
          </w:p>
          <w:p w14:paraId="718E7890" w14:textId="77777777" w:rsidR="002D2DE5" w:rsidRPr="00886F1D" w:rsidRDefault="002D2DE5" w:rsidP="002D2DE5">
            <w:pPr>
              <w:spacing w:after="0" w:line="240" w:lineRule="auto"/>
              <w:rPr>
                <w:rFonts w:asciiTheme="majorHAnsi" w:hAnsiTheme="majorHAnsi" w:cstheme="majorHAnsi"/>
                <w:color w:val="auto"/>
                <w:sz w:val="20"/>
                <w:highlight w:val="yellow"/>
                <w:lang w:eastAsia="en-AU"/>
              </w:rPr>
            </w:pPr>
          </w:p>
          <w:p w14:paraId="718E7891" w14:textId="77777777" w:rsidR="001460AC" w:rsidRPr="00886F1D" w:rsidDel="00040595" w:rsidRDefault="001460AC" w:rsidP="00E949F0">
            <w:pPr>
              <w:spacing w:after="0" w:line="240" w:lineRule="auto"/>
              <w:rPr>
                <w:rFonts w:asciiTheme="majorHAnsi" w:eastAsia="Times New Roman" w:hAnsiTheme="majorHAnsi" w:cstheme="majorHAnsi"/>
                <w:color w:val="auto"/>
                <w:sz w:val="20"/>
                <w:lang w:eastAsia="en-AU"/>
              </w:rPr>
            </w:pPr>
          </w:p>
        </w:tc>
      </w:tr>
      <w:tr w:rsidR="00886F1D" w:rsidRPr="00886F1D" w14:paraId="718E789B" w14:textId="77777777" w:rsidTr="00B52BE2">
        <w:trPr>
          <w:cantSplit/>
          <w:trHeight w:val="699"/>
        </w:trPr>
        <w:tc>
          <w:tcPr>
            <w:tcW w:w="1077" w:type="dxa"/>
            <w:shd w:val="clear" w:color="auto" w:fill="auto"/>
            <w:hideMark/>
          </w:tcPr>
          <w:p w14:paraId="718E7893"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23 (</w:t>
            </w:r>
            <w:r w:rsidR="001460AC" w:rsidRPr="00886F1D">
              <w:rPr>
                <w:rFonts w:asciiTheme="majorHAnsi" w:eastAsia="Times New Roman" w:hAnsiTheme="majorHAnsi" w:cstheme="majorHAnsi"/>
                <w:color w:val="auto"/>
                <w:sz w:val="20"/>
                <w:lang w:eastAsia="en-AU"/>
              </w:rPr>
              <w:t>4.79</w:t>
            </w:r>
            <w:r w:rsidRPr="00886F1D">
              <w:rPr>
                <w:rFonts w:asciiTheme="majorHAnsi" w:eastAsia="Times New Roman" w:hAnsiTheme="majorHAnsi" w:cstheme="majorHAnsi"/>
                <w:color w:val="auto"/>
                <w:sz w:val="20"/>
                <w:lang w:eastAsia="en-AU"/>
              </w:rPr>
              <w:t>)</w:t>
            </w:r>
          </w:p>
          <w:p w14:paraId="718E7894"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vAlign w:val="center"/>
            <w:hideMark/>
          </w:tcPr>
          <w:p w14:paraId="718E7895" w14:textId="77777777" w:rsidR="008042A6"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give consideration to further suspending or amending the Australian launch permit application fees to ensure that Australian businesses are not financially or commercially disadvantaged, and remain competitive with other space countries.</w:t>
            </w:r>
          </w:p>
          <w:p w14:paraId="718E7896"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4707" w:type="dxa"/>
          </w:tcPr>
          <w:p w14:paraId="718E7897" w14:textId="77777777" w:rsidR="001460AC" w:rsidRPr="00886F1D" w:rsidRDefault="086E430F" w:rsidP="3F0BAA6D">
            <w:pPr>
              <w:spacing w:after="0" w:line="240" w:lineRule="auto"/>
              <w:rPr>
                <w:rFonts w:asciiTheme="majorHAnsi" w:hAnsiTheme="majorHAnsi" w:cstheme="majorBidi"/>
                <w:b/>
                <w:bCs/>
                <w:color w:val="auto"/>
                <w:sz w:val="20"/>
                <w:lang w:eastAsia="en-AU"/>
              </w:rPr>
            </w:pPr>
            <w:r w:rsidRPr="00886F1D">
              <w:rPr>
                <w:rFonts w:asciiTheme="majorHAnsi" w:hAnsiTheme="majorHAnsi" w:cstheme="majorBidi"/>
                <w:b/>
                <w:bCs/>
                <w:color w:val="auto"/>
                <w:sz w:val="20"/>
                <w:lang w:eastAsia="en-AU"/>
              </w:rPr>
              <w:t>Noted</w:t>
            </w:r>
          </w:p>
          <w:p w14:paraId="718E7898" w14:textId="77777777" w:rsidR="001460AC" w:rsidRPr="00886F1D" w:rsidRDefault="001460AC" w:rsidP="00917ECB">
            <w:pPr>
              <w:spacing w:after="0" w:line="240" w:lineRule="auto"/>
              <w:rPr>
                <w:rFonts w:asciiTheme="majorHAnsi" w:hAnsiTheme="majorHAnsi" w:cstheme="majorHAnsi"/>
                <w:b/>
                <w:color w:val="auto"/>
                <w:sz w:val="20"/>
                <w:lang w:eastAsia="en-AU"/>
              </w:rPr>
            </w:pPr>
          </w:p>
          <w:p w14:paraId="718E7899" w14:textId="77777777" w:rsidR="001460AC" w:rsidRPr="00886F1D" w:rsidRDefault="001F1B0C" w:rsidP="00917ECB">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T</w:t>
            </w:r>
            <w:r w:rsidR="00151FC8" w:rsidRPr="00886F1D">
              <w:rPr>
                <w:rFonts w:asciiTheme="majorHAnsi" w:hAnsiTheme="majorHAnsi" w:cstheme="majorHAnsi"/>
                <w:color w:val="auto"/>
                <w:sz w:val="20"/>
                <w:lang w:eastAsia="en-AU"/>
              </w:rPr>
              <w:t>he</w:t>
            </w:r>
            <w:r w:rsidR="00CD3233" w:rsidRPr="00886F1D">
              <w:rPr>
                <w:rFonts w:asciiTheme="majorHAnsi" w:hAnsiTheme="majorHAnsi" w:cstheme="majorHAnsi"/>
                <w:color w:val="auto"/>
                <w:sz w:val="20"/>
                <w:lang w:eastAsia="en-AU"/>
              </w:rPr>
              <w:t xml:space="preserve"> Australian</w:t>
            </w:r>
            <w:r w:rsidR="00151FC8" w:rsidRPr="00886F1D">
              <w:rPr>
                <w:rFonts w:asciiTheme="majorHAnsi" w:hAnsiTheme="majorHAnsi" w:cstheme="majorHAnsi"/>
                <w:color w:val="auto"/>
                <w:sz w:val="20"/>
                <w:lang w:eastAsia="en-AU"/>
              </w:rPr>
              <w:t xml:space="preserve"> Government does not currently charge fees for launch applications.</w:t>
            </w:r>
          </w:p>
          <w:p w14:paraId="718E789A" w14:textId="77777777" w:rsidR="001460AC" w:rsidRPr="00886F1D" w:rsidRDefault="001460AC" w:rsidP="00917ECB">
            <w:pPr>
              <w:spacing w:after="0" w:line="240" w:lineRule="auto"/>
              <w:rPr>
                <w:rFonts w:asciiTheme="majorHAnsi" w:hAnsiTheme="majorHAnsi" w:cstheme="majorHAnsi"/>
                <w:b/>
                <w:color w:val="auto"/>
                <w:sz w:val="20"/>
                <w:lang w:eastAsia="en-AU"/>
              </w:rPr>
            </w:pPr>
          </w:p>
        </w:tc>
      </w:tr>
      <w:tr w:rsidR="00886F1D" w:rsidRPr="00886F1D" w14:paraId="718E78A4" w14:textId="77777777" w:rsidTr="00B52BE2">
        <w:trPr>
          <w:cantSplit/>
          <w:trHeight w:val="1252"/>
        </w:trPr>
        <w:tc>
          <w:tcPr>
            <w:tcW w:w="1077" w:type="dxa"/>
            <w:shd w:val="clear" w:color="auto" w:fill="auto"/>
            <w:hideMark/>
          </w:tcPr>
          <w:p w14:paraId="718E789C"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24 (4.80)</w:t>
            </w:r>
          </w:p>
          <w:p w14:paraId="718E789D"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9E"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establish dedicated and effective industry engagement mechanisms to guide stakeholders through the application and regulatory processes. This includes designated staff within the Australian Space Agency to work with industry, and the development of publicly available guidance documents.</w:t>
            </w:r>
          </w:p>
          <w:p w14:paraId="718E789F"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4707" w:type="dxa"/>
          </w:tcPr>
          <w:p w14:paraId="718E78A0" w14:textId="77777777" w:rsidR="001460AC" w:rsidRPr="00886F1D" w:rsidRDefault="001460AC" w:rsidP="002B594C">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Agreed</w:t>
            </w:r>
            <w:r w:rsidR="00B62953" w:rsidRPr="00886F1D">
              <w:rPr>
                <w:rFonts w:asciiTheme="majorHAnsi" w:hAnsiTheme="majorHAnsi" w:cstheme="majorHAnsi"/>
                <w:b/>
                <w:color w:val="auto"/>
                <w:sz w:val="20"/>
                <w:lang w:eastAsia="en-AU"/>
              </w:rPr>
              <w:t xml:space="preserve"> </w:t>
            </w:r>
          </w:p>
          <w:p w14:paraId="718E78A1" w14:textId="77777777" w:rsidR="002D2DE5" w:rsidRPr="00886F1D" w:rsidRDefault="002D2DE5" w:rsidP="00C65704">
            <w:pPr>
              <w:spacing w:after="0" w:line="240" w:lineRule="auto"/>
              <w:rPr>
                <w:rFonts w:asciiTheme="majorHAnsi" w:eastAsia="Times New Roman" w:hAnsiTheme="majorHAnsi" w:cstheme="majorHAnsi"/>
                <w:color w:val="auto"/>
                <w:sz w:val="20"/>
                <w:lang w:eastAsia="en-AU"/>
              </w:rPr>
            </w:pPr>
          </w:p>
          <w:p w14:paraId="718E78A2" w14:textId="77777777" w:rsidR="001460AC" w:rsidRPr="00886F1D" w:rsidRDefault="001460AC" w:rsidP="00C65704">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1F1B0C" w:rsidRPr="00886F1D">
              <w:rPr>
                <w:rFonts w:asciiTheme="majorHAnsi" w:hAnsiTheme="majorHAnsi" w:cstheme="majorHAnsi"/>
                <w:color w:val="auto"/>
                <w:sz w:val="20"/>
                <w:lang w:eastAsia="en-AU"/>
              </w:rPr>
              <w:t>Australian Space</w:t>
            </w:r>
            <w:r w:rsidRPr="00886F1D">
              <w:rPr>
                <w:rFonts w:asciiTheme="majorHAnsi" w:hAnsiTheme="majorHAnsi" w:cstheme="majorHAnsi"/>
                <w:color w:val="auto"/>
                <w:sz w:val="20"/>
                <w:lang w:eastAsia="en-AU"/>
              </w:rPr>
              <w:t xml:space="preserve"> Agency has established a dedicated section within its Office of the Space Regulator focusing on effective industry engagement. This section will focus on guidance documents as well as establishing mechanisms to engage with industry stakeholders and other interested parties through the application and regulatory processes.</w:t>
            </w:r>
          </w:p>
          <w:p w14:paraId="718E78A3" w14:textId="77777777" w:rsidR="001460AC" w:rsidRPr="00886F1D" w:rsidDel="00040595" w:rsidRDefault="001460AC" w:rsidP="00917ECB">
            <w:pPr>
              <w:spacing w:after="0" w:line="240" w:lineRule="auto"/>
              <w:rPr>
                <w:rFonts w:asciiTheme="majorHAnsi" w:hAnsiTheme="majorHAnsi" w:cstheme="majorHAnsi"/>
                <w:b/>
                <w:color w:val="auto"/>
                <w:sz w:val="20"/>
                <w:lang w:eastAsia="en-AU"/>
              </w:rPr>
            </w:pPr>
          </w:p>
        </w:tc>
      </w:tr>
      <w:tr w:rsidR="00886F1D" w:rsidRPr="00886F1D" w14:paraId="718E78AE" w14:textId="77777777" w:rsidTr="00B52BE2">
        <w:trPr>
          <w:cantSplit/>
          <w:trHeight w:val="631"/>
        </w:trPr>
        <w:tc>
          <w:tcPr>
            <w:tcW w:w="1077" w:type="dxa"/>
            <w:shd w:val="clear" w:color="auto" w:fill="auto"/>
            <w:hideMark/>
          </w:tcPr>
          <w:p w14:paraId="718E78A5"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25 (</w:t>
            </w:r>
            <w:r w:rsidR="001460AC" w:rsidRPr="00886F1D">
              <w:rPr>
                <w:rFonts w:asciiTheme="majorHAnsi" w:eastAsia="Times New Roman" w:hAnsiTheme="majorHAnsi" w:cstheme="majorHAnsi"/>
                <w:color w:val="auto"/>
                <w:sz w:val="20"/>
                <w:lang w:eastAsia="en-AU"/>
              </w:rPr>
              <w:t>5.65</w:t>
            </w:r>
            <w:r w:rsidRPr="00886F1D">
              <w:rPr>
                <w:rFonts w:asciiTheme="majorHAnsi" w:eastAsia="Times New Roman" w:hAnsiTheme="majorHAnsi" w:cstheme="majorHAnsi"/>
                <w:color w:val="auto"/>
                <w:sz w:val="20"/>
                <w:lang w:eastAsia="en-AU"/>
              </w:rPr>
              <w:t>)</w:t>
            </w:r>
          </w:p>
          <w:p w14:paraId="718E78A6"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A7"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continue its investment in sovereign situational space awareness and situational domain awareness capability including the infrastructure to support it.</w:t>
            </w:r>
          </w:p>
        </w:tc>
        <w:tc>
          <w:tcPr>
            <w:tcW w:w="4707" w:type="dxa"/>
          </w:tcPr>
          <w:p w14:paraId="718E78A8" w14:textId="77777777" w:rsidR="001460AC" w:rsidRPr="00886F1D" w:rsidRDefault="001460AC" w:rsidP="00917EC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 xml:space="preserve">Agreed in </w:t>
            </w:r>
            <w:r w:rsidR="00D417F2" w:rsidRPr="00886F1D">
              <w:rPr>
                <w:rFonts w:asciiTheme="majorHAnsi" w:hAnsiTheme="majorHAnsi" w:cstheme="majorHAnsi"/>
                <w:b/>
                <w:color w:val="auto"/>
                <w:sz w:val="20"/>
                <w:lang w:eastAsia="en-AU"/>
              </w:rPr>
              <w:t>P</w:t>
            </w:r>
            <w:r w:rsidRPr="00886F1D">
              <w:rPr>
                <w:rFonts w:asciiTheme="majorHAnsi" w:hAnsiTheme="majorHAnsi" w:cstheme="majorHAnsi"/>
                <w:b/>
                <w:color w:val="auto"/>
                <w:sz w:val="20"/>
                <w:lang w:eastAsia="en-AU"/>
              </w:rPr>
              <w:t>rinciple</w:t>
            </w:r>
          </w:p>
          <w:p w14:paraId="718E78A9" w14:textId="77777777" w:rsidR="00E02265" w:rsidRPr="00886F1D" w:rsidRDefault="00E02265" w:rsidP="00E02265">
            <w:pPr>
              <w:spacing w:after="0" w:line="240" w:lineRule="auto"/>
              <w:rPr>
                <w:rFonts w:asciiTheme="majorHAnsi" w:hAnsiTheme="majorHAnsi" w:cstheme="majorHAnsi"/>
                <w:color w:val="auto"/>
                <w:sz w:val="20"/>
                <w:highlight w:val="yellow"/>
                <w:lang w:eastAsia="en-AU"/>
              </w:rPr>
            </w:pPr>
          </w:p>
          <w:p w14:paraId="718E78AA" w14:textId="77777777" w:rsidR="00E02265" w:rsidRPr="00886F1D" w:rsidRDefault="00E02265" w:rsidP="00E02265">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CD3233"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 xml:space="preserve">Government supports investing in sovereign situational awareness and </w:t>
            </w:r>
            <w:r w:rsidR="007364C8" w:rsidRPr="00886F1D">
              <w:rPr>
                <w:rFonts w:asciiTheme="majorHAnsi" w:hAnsiTheme="majorHAnsi" w:cstheme="majorHAnsi"/>
                <w:color w:val="auto"/>
                <w:sz w:val="20"/>
                <w:lang w:eastAsia="en-AU"/>
              </w:rPr>
              <w:t>space</w:t>
            </w:r>
            <w:r w:rsidRPr="00886F1D">
              <w:rPr>
                <w:rFonts w:asciiTheme="majorHAnsi" w:hAnsiTheme="majorHAnsi" w:cstheme="majorHAnsi"/>
                <w:color w:val="auto"/>
                <w:sz w:val="20"/>
                <w:lang w:eastAsia="en-AU"/>
              </w:rPr>
              <w:t xml:space="preserve"> domain awareness, including the infrastructure to support it.</w:t>
            </w:r>
          </w:p>
          <w:p w14:paraId="718E78AB" w14:textId="77777777" w:rsidR="00E02265" w:rsidRPr="00886F1D" w:rsidRDefault="00E02265" w:rsidP="00E02265">
            <w:pPr>
              <w:spacing w:after="0" w:line="240" w:lineRule="auto"/>
              <w:rPr>
                <w:rFonts w:asciiTheme="majorHAnsi" w:hAnsiTheme="majorHAnsi" w:cstheme="majorHAnsi"/>
                <w:color w:val="auto"/>
                <w:sz w:val="20"/>
                <w:lang w:eastAsia="en-AU"/>
              </w:rPr>
            </w:pPr>
          </w:p>
          <w:p w14:paraId="718E78AC" w14:textId="77777777" w:rsidR="00B36410" w:rsidRPr="00886F1D" w:rsidRDefault="00E02265" w:rsidP="007F221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color w:val="auto"/>
                <w:sz w:val="20"/>
                <w:lang w:eastAsia="en-AU"/>
              </w:rPr>
              <w:t xml:space="preserve">The </w:t>
            </w:r>
            <w:r w:rsidR="00DC6A38" w:rsidRPr="00886F1D">
              <w:rPr>
                <w:rFonts w:asciiTheme="majorHAnsi" w:hAnsiTheme="majorHAnsi" w:cstheme="majorHAnsi"/>
                <w:color w:val="auto"/>
                <w:sz w:val="20"/>
                <w:lang w:eastAsia="en-AU"/>
              </w:rPr>
              <w:t>Australian Space Agency’s</w:t>
            </w:r>
            <w:r w:rsidRPr="00886F1D">
              <w:rPr>
                <w:rFonts w:asciiTheme="majorHAnsi" w:hAnsiTheme="majorHAnsi" w:cstheme="majorHAnsi"/>
                <w:color w:val="auto"/>
                <w:sz w:val="20"/>
                <w:lang w:eastAsia="en-AU"/>
              </w:rPr>
              <w:t xml:space="preserve"> </w:t>
            </w:r>
            <w:r w:rsidRPr="00886F1D">
              <w:rPr>
                <w:rFonts w:asciiTheme="majorHAnsi" w:hAnsiTheme="majorHAnsi" w:cstheme="majorHAnsi"/>
                <w:i/>
                <w:color w:val="auto"/>
                <w:sz w:val="20"/>
                <w:lang w:eastAsia="en-AU"/>
              </w:rPr>
              <w:t>Space Situational Awareness and Debris Mitigation</w:t>
            </w:r>
            <w:r w:rsidRPr="00886F1D">
              <w:rPr>
                <w:rFonts w:asciiTheme="majorHAnsi" w:hAnsiTheme="majorHAnsi" w:cstheme="majorHAnsi"/>
                <w:color w:val="auto"/>
                <w:sz w:val="20"/>
                <w:lang w:eastAsia="en-AU"/>
              </w:rPr>
              <w:t xml:space="preserve"> roadmap, currently under development, will provide guidance on opportunities for industry participation.</w:t>
            </w:r>
            <w:r w:rsidR="00B277DD" w:rsidRPr="00886F1D">
              <w:rPr>
                <w:rFonts w:asciiTheme="majorHAnsi" w:hAnsiTheme="majorHAnsi" w:cstheme="majorHAnsi"/>
                <w:color w:val="auto"/>
                <w:sz w:val="20"/>
                <w:lang w:eastAsia="en-AU"/>
              </w:rPr>
              <w:t xml:space="preserve"> </w:t>
            </w:r>
          </w:p>
          <w:p w14:paraId="718E78AD" w14:textId="77777777" w:rsidR="001460AC" w:rsidRPr="00886F1D" w:rsidRDefault="001460AC" w:rsidP="00B36410">
            <w:pPr>
              <w:spacing w:after="0" w:line="240" w:lineRule="auto"/>
              <w:rPr>
                <w:rFonts w:asciiTheme="majorHAnsi" w:hAnsiTheme="majorHAnsi" w:cstheme="majorHAnsi"/>
                <w:b/>
                <w:color w:val="auto"/>
                <w:sz w:val="20"/>
                <w:lang w:eastAsia="en-AU"/>
              </w:rPr>
            </w:pPr>
          </w:p>
        </w:tc>
      </w:tr>
      <w:tr w:rsidR="00886F1D" w:rsidRPr="00886F1D" w14:paraId="718E78B8" w14:textId="77777777" w:rsidTr="00B52BE2">
        <w:trPr>
          <w:cantSplit/>
          <w:trHeight w:val="416"/>
        </w:trPr>
        <w:tc>
          <w:tcPr>
            <w:tcW w:w="1077" w:type="dxa"/>
            <w:shd w:val="clear" w:color="auto" w:fill="auto"/>
            <w:hideMark/>
          </w:tcPr>
          <w:p w14:paraId="718E78AF"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lastRenderedPageBreak/>
              <w:t>26 (</w:t>
            </w:r>
            <w:r w:rsidR="001460AC" w:rsidRPr="00886F1D">
              <w:rPr>
                <w:rFonts w:asciiTheme="majorHAnsi" w:eastAsia="Times New Roman" w:hAnsiTheme="majorHAnsi" w:cstheme="majorHAnsi"/>
                <w:color w:val="auto"/>
                <w:sz w:val="20"/>
                <w:lang w:eastAsia="en-AU"/>
              </w:rPr>
              <w:t>5.66</w:t>
            </w:r>
            <w:r w:rsidRPr="00886F1D">
              <w:rPr>
                <w:rFonts w:asciiTheme="majorHAnsi" w:eastAsia="Times New Roman" w:hAnsiTheme="majorHAnsi" w:cstheme="majorHAnsi"/>
                <w:color w:val="auto"/>
                <w:sz w:val="20"/>
                <w:lang w:eastAsia="en-AU"/>
              </w:rPr>
              <w:t>)</w:t>
            </w:r>
          </w:p>
          <w:p w14:paraId="718E78B0"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B1"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w:t>
            </w:r>
            <w:r w:rsidR="00154BCB" w:rsidRPr="00886F1D">
              <w:rPr>
                <w:rFonts w:asciiTheme="majorHAnsi" w:eastAsia="Times New Roman" w:hAnsiTheme="majorHAnsi" w:cstheme="majorHAnsi"/>
                <w:color w:val="auto"/>
                <w:sz w:val="20"/>
                <w:lang w:eastAsia="en-AU"/>
              </w:rPr>
              <w:t>n</w:t>
            </w:r>
            <w:r w:rsidRPr="00886F1D">
              <w:rPr>
                <w:rFonts w:asciiTheme="majorHAnsi" w:eastAsia="Times New Roman" w:hAnsiTheme="majorHAnsi" w:cstheme="majorHAnsi"/>
                <w:color w:val="auto"/>
                <w:sz w:val="20"/>
                <w:lang w:eastAsia="en-AU"/>
              </w:rPr>
              <w:t xml:space="preserve"> Government take a lead role internationally in implementing the Long Term Sustainability Guidelines for the United Nations Committee on the Peaceful Uses of Outer Space.</w:t>
            </w:r>
          </w:p>
        </w:tc>
        <w:tc>
          <w:tcPr>
            <w:tcW w:w="4707" w:type="dxa"/>
          </w:tcPr>
          <w:p w14:paraId="718E78B2" w14:textId="77777777" w:rsidR="001460AC" w:rsidRPr="00886F1D" w:rsidRDefault="001460AC" w:rsidP="00917EC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 xml:space="preserve">Agreed in </w:t>
            </w:r>
            <w:r w:rsidR="00D417F2" w:rsidRPr="00886F1D">
              <w:rPr>
                <w:rFonts w:asciiTheme="majorHAnsi" w:hAnsiTheme="majorHAnsi" w:cstheme="majorHAnsi"/>
                <w:b/>
                <w:color w:val="auto"/>
                <w:sz w:val="20"/>
                <w:lang w:eastAsia="en-AU"/>
              </w:rPr>
              <w:t>P</w:t>
            </w:r>
            <w:r w:rsidRPr="00886F1D">
              <w:rPr>
                <w:rFonts w:asciiTheme="majorHAnsi" w:hAnsiTheme="majorHAnsi" w:cstheme="majorHAnsi"/>
                <w:b/>
                <w:color w:val="auto"/>
                <w:sz w:val="20"/>
                <w:lang w:eastAsia="en-AU"/>
              </w:rPr>
              <w:t>rinciple</w:t>
            </w:r>
          </w:p>
          <w:p w14:paraId="718E78B3" w14:textId="77777777" w:rsidR="00331CF6" w:rsidRPr="00886F1D" w:rsidRDefault="00331CF6" w:rsidP="00917ECB">
            <w:pPr>
              <w:spacing w:after="0" w:line="240" w:lineRule="auto"/>
              <w:rPr>
                <w:rFonts w:asciiTheme="majorHAnsi" w:hAnsiTheme="majorHAnsi" w:cstheme="majorHAnsi"/>
                <w:b/>
                <w:color w:val="auto"/>
                <w:sz w:val="20"/>
                <w:lang w:eastAsia="en-AU"/>
              </w:rPr>
            </w:pPr>
          </w:p>
          <w:p w14:paraId="718E78B4" w14:textId="77777777" w:rsidR="00E02265" w:rsidRPr="00886F1D" w:rsidRDefault="00E02265" w:rsidP="00E02265">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CD3233"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Government will continue to work with the Australian space sector and Member States of the United Nations Committee on the Peaceful Uses of Outer Space (COPUOS) regarding implementation of the Long Term Sustainability Guidelines, including through the COPUOS Working Group on the Long Term Sustainability of Outer Space Activities.</w:t>
            </w:r>
          </w:p>
          <w:p w14:paraId="718E78B5" w14:textId="77777777" w:rsidR="00E02265" w:rsidRPr="00886F1D" w:rsidRDefault="00E02265" w:rsidP="00917ECB">
            <w:pPr>
              <w:spacing w:after="0" w:line="240" w:lineRule="auto"/>
              <w:rPr>
                <w:rFonts w:asciiTheme="majorHAnsi" w:hAnsiTheme="majorHAnsi" w:cstheme="majorHAnsi"/>
                <w:b/>
                <w:color w:val="auto"/>
                <w:sz w:val="20"/>
                <w:lang w:eastAsia="en-AU"/>
              </w:rPr>
            </w:pPr>
          </w:p>
          <w:p w14:paraId="718E78B6" w14:textId="77777777" w:rsidR="001460AC" w:rsidRPr="00886F1D" w:rsidRDefault="00104178" w:rsidP="00917ECB">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To complement Australia’s existing regulatory frameworks and international commitments, the </w:t>
            </w:r>
            <w:r w:rsidR="00E93894"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 xml:space="preserve">Government will explore the need for a </w:t>
            </w:r>
            <w:r w:rsidR="00DC6A38" w:rsidRPr="00886F1D">
              <w:rPr>
                <w:rFonts w:asciiTheme="majorHAnsi" w:hAnsiTheme="majorHAnsi" w:cstheme="majorHAnsi"/>
                <w:color w:val="auto"/>
                <w:sz w:val="20"/>
                <w:lang w:eastAsia="en-AU"/>
              </w:rPr>
              <w:t>s</w:t>
            </w:r>
            <w:r w:rsidRPr="00886F1D">
              <w:rPr>
                <w:rFonts w:asciiTheme="majorHAnsi" w:hAnsiTheme="majorHAnsi" w:cstheme="majorHAnsi"/>
                <w:color w:val="auto"/>
                <w:sz w:val="20"/>
                <w:lang w:eastAsia="en-AU"/>
              </w:rPr>
              <w:t xml:space="preserve">pace </w:t>
            </w:r>
            <w:r w:rsidR="00DC6A38" w:rsidRPr="00886F1D">
              <w:rPr>
                <w:rFonts w:asciiTheme="majorHAnsi" w:hAnsiTheme="majorHAnsi" w:cstheme="majorHAnsi"/>
                <w:color w:val="auto"/>
                <w:sz w:val="20"/>
                <w:lang w:eastAsia="en-AU"/>
              </w:rPr>
              <w:t>s</w:t>
            </w:r>
            <w:r w:rsidRPr="00886F1D">
              <w:rPr>
                <w:rFonts w:asciiTheme="majorHAnsi" w:hAnsiTheme="majorHAnsi" w:cstheme="majorHAnsi"/>
                <w:color w:val="auto"/>
                <w:sz w:val="20"/>
                <w:lang w:eastAsia="en-AU"/>
              </w:rPr>
              <w:t xml:space="preserve">ustainability framework to guide how Australia will </w:t>
            </w:r>
            <w:r w:rsidR="00BE6F66" w:rsidRPr="00886F1D">
              <w:rPr>
                <w:rFonts w:asciiTheme="majorHAnsi" w:hAnsiTheme="majorHAnsi" w:cstheme="majorHAnsi"/>
                <w:color w:val="auto"/>
                <w:sz w:val="20"/>
                <w:lang w:eastAsia="en-AU"/>
              </w:rPr>
              <w:t xml:space="preserve">carry out </w:t>
            </w:r>
            <w:r w:rsidRPr="00886F1D">
              <w:rPr>
                <w:rFonts w:asciiTheme="majorHAnsi" w:hAnsiTheme="majorHAnsi" w:cstheme="majorHAnsi"/>
                <w:color w:val="auto"/>
                <w:sz w:val="20"/>
                <w:lang w:eastAsia="en-AU"/>
              </w:rPr>
              <w:t xml:space="preserve">space activities responsibly, and approach implementation of </w:t>
            </w:r>
            <w:r w:rsidR="008478CF" w:rsidRPr="00886F1D">
              <w:rPr>
                <w:rFonts w:asciiTheme="majorHAnsi" w:hAnsiTheme="majorHAnsi" w:cstheme="majorHAnsi"/>
                <w:color w:val="auto"/>
                <w:sz w:val="20"/>
                <w:lang w:eastAsia="en-AU"/>
              </w:rPr>
              <w:t>the</w:t>
            </w:r>
            <w:r w:rsidR="00484A03" w:rsidRPr="00886F1D">
              <w:rPr>
                <w:rFonts w:asciiTheme="majorHAnsi" w:hAnsiTheme="majorHAnsi" w:cstheme="majorHAnsi"/>
                <w:color w:val="auto"/>
                <w:sz w:val="20"/>
                <w:lang w:eastAsia="en-AU"/>
              </w:rPr>
              <w:t xml:space="preserve"> Long-Term Sustainability of Outer Space Activities</w:t>
            </w:r>
            <w:r w:rsidR="00484A03" w:rsidRPr="00886F1D" w:rsidDel="00B5171F">
              <w:rPr>
                <w:rFonts w:asciiTheme="majorHAnsi" w:hAnsiTheme="majorHAnsi" w:cstheme="majorHAnsi"/>
                <w:color w:val="auto"/>
                <w:sz w:val="20"/>
                <w:lang w:eastAsia="en-AU"/>
              </w:rPr>
              <w:t xml:space="preserve"> </w:t>
            </w:r>
            <w:r w:rsidR="00484A03" w:rsidRPr="00886F1D">
              <w:rPr>
                <w:rFonts w:asciiTheme="majorHAnsi" w:hAnsiTheme="majorHAnsi" w:cstheme="majorHAnsi"/>
                <w:color w:val="auto"/>
                <w:sz w:val="20"/>
                <w:lang w:eastAsia="en-AU"/>
              </w:rPr>
              <w:t>(LTS) guidelines</w:t>
            </w:r>
            <w:r w:rsidRPr="00886F1D">
              <w:rPr>
                <w:rFonts w:asciiTheme="majorHAnsi" w:hAnsiTheme="majorHAnsi" w:cstheme="majorHAnsi"/>
                <w:color w:val="auto"/>
                <w:sz w:val="20"/>
                <w:lang w:eastAsia="en-AU"/>
              </w:rPr>
              <w:t>.</w:t>
            </w:r>
            <w:r w:rsidR="00484A03" w:rsidRPr="00886F1D">
              <w:rPr>
                <w:rFonts w:asciiTheme="majorHAnsi" w:hAnsiTheme="majorHAnsi" w:cstheme="majorHAnsi"/>
                <w:color w:val="auto"/>
                <w:sz w:val="20"/>
                <w:lang w:eastAsia="en-AU"/>
              </w:rPr>
              <w:t xml:space="preserve"> </w:t>
            </w:r>
          </w:p>
          <w:p w14:paraId="718E78B7" w14:textId="77777777" w:rsidR="001460AC" w:rsidRPr="00886F1D" w:rsidRDefault="001460AC" w:rsidP="00917ECB">
            <w:pPr>
              <w:spacing w:after="0" w:line="240" w:lineRule="auto"/>
              <w:rPr>
                <w:rFonts w:asciiTheme="majorHAnsi" w:hAnsiTheme="majorHAnsi" w:cstheme="majorHAnsi"/>
                <w:color w:val="auto"/>
                <w:sz w:val="20"/>
                <w:lang w:eastAsia="en-AU"/>
              </w:rPr>
            </w:pPr>
          </w:p>
        </w:tc>
      </w:tr>
      <w:tr w:rsidR="00886F1D" w:rsidRPr="00886F1D" w14:paraId="718E78C0" w14:textId="77777777" w:rsidTr="00B52BE2">
        <w:trPr>
          <w:cantSplit/>
          <w:trHeight w:val="631"/>
        </w:trPr>
        <w:tc>
          <w:tcPr>
            <w:tcW w:w="1077" w:type="dxa"/>
            <w:shd w:val="clear" w:color="auto" w:fill="auto"/>
            <w:hideMark/>
          </w:tcPr>
          <w:p w14:paraId="718E78B9"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27 (</w:t>
            </w:r>
            <w:r w:rsidR="001460AC" w:rsidRPr="00886F1D">
              <w:rPr>
                <w:rFonts w:asciiTheme="majorHAnsi" w:eastAsia="Times New Roman" w:hAnsiTheme="majorHAnsi" w:cstheme="majorHAnsi"/>
                <w:color w:val="auto"/>
                <w:sz w:val="20"/>
                <w:lang w:eastAsia="en-AU"/>
              </w:rPr>
              <w:t>5.67</w:t>
            </w:r>
            <w:r w:rsidRPr="00886F1D">
              <w:rPr>
                <w:rFonts w:asciiTheme="majorHAnsi" w:eastAsia="Times New Roman" w:hAnsiTheme="majorHAnsi" w:cstheme="majorHAnsi"/>
                <w:color w:val="auto"/>
                <w:sz w:val="20"/>
                <w:lang w:eastAsia="en-AU"/>
              </w:rPr>
              <w:t>)</w:t>
            </w:r>
          </w:p>
          <w:p w14:paraId="718E78BA"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BB" w14:textId="77777777" w:rsidR="001460AC" w:rsidRPr="00886F1D" w:rsidRDefault="001460AC" w:rsidP="005F6E05">
            <w:pPr>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Committee recommends that Australian regulators prioritise post-mission disposal, debris-neutral </w:t>
            </w:r>
            <w:proofErr w:type="gramStart"/>
            <w:r w:rsidRPr="00886F1D">
              <w:rPr>
                <w:rFonts w:asciiTheme="majorHAnsi" w:hAnsiTheme="majorHAnsi" w:cstheme="majorHAnsi"/>
                <w:color w:val="auto"/>
                <w:sz w:val="20"/>
                <w:lang w:eastAsia="en-AU"/>
              </w:rPr>
              <w:t>missions</w:t>
            </w:r>
            <w:proofErr w:type="gramEnd"/>
            <w:r w:rsidRPr="00886F1D">
              <w:rPr>
                <w:rFonts w:asciiTheme="majorHAnsi" w:hAnsiTheme="majorHAnsi" w:cstheme="majorHAnsi"/>
                <w:color w:val="auto"/>
                <w:sz w:val="20"/>
                <w:lang w:eastAsia="en-AU"/>
              </w:rPr>
              <w:t xml:space="preserve"> plans, and organisational capacity in identifying viable space projects.</w:t>
            </w:r>
          </w:p>
        </w:tc>
        <w:tc>
          <w:tcPr>
            <w:tcW w:w="4707" w:type="dxa"/>
          </w:tcPr>
          <w:p w14:paraId="718E78BC" w14:textId="77777777" w:rsidR="001460AC" w:rsidRPr="00886F1D" w:rsidRDefault="001460AC" w:rsidP="00917EC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 xml:space="preserve">Agreed in </w:t>
            </w:r>
            <w:r w:rsidR="00D417F2" w:rsidRPr="00886F1D">
              <w:rPr>
                <w:rFonts w:asciiTheme="majorHAnsi" w:hAnsiTheme="majorHAnsi" w:cstheme="majorHAnsi"/>
                <w:b/>
                <w:color w:val="auto"/>
                <w:sz w:val="20"/>
                <w:lang w:eastAsia="en-AU"/>
              </w:rPr>
              <w:t>P</w:t>
            </w:r>
            <w:r w:rsidRPr="00886F1D">
              <w:rPr>
                <w:rFonts w:asciiTheme="majorHAnsi" w:hAnsiTheme="majorHAnsi" w:cstheme="majorHAnsi"/>
                <w:b/>
                <w:color w:val="auto"/>
                <w:sz w:val="20"/>
                <w:lang w:eastAsia="en-AU"/>
              </w:rPr>
              <w:t>rinciple</w:t>
            </w:r>
          </w:p>
          <w:p w14:paraId="718E78BD" w14:textId="77777777" w:rsidR="002D20E9" w:rsidRPr="00886F1D" w:rsidRDefault="002D20E9" w:rsidP="00917ECB">
            <w:pPr>
              <w:spacing w:after="0" w:line="240" w:lineRule="auto"/>
              <w:rPr>
                <w:rFonts w:asciiTheme="majorHAnsi" w:hAnsiTheme="majorHAnsi" w:cstheme="majorHAnsi"/>
                <w:b/>
                <w:color w:val="auto"/>
                <w:sz w:val="20"/>
                <w:lang w:eastAsia="en-AU"/>
              </w:rPr>
            </w:pPr>
          </w:p>
          <w:p w14:paraId="718E78BE" w14:textId="77777777" w:rsidR="000F005C" w:rsidRPr="00886F1D" w:rsidRDefault="000F005C" w:rsidP="000F005C">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E93894"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 xml:space="preserve">Government </w:t>
            </w:r>
            <w:r w:rsidR="006830CC" w:rsidRPr="00886F1D">
              <w:rPr>
                <w:rFonts w:asciiTheme="majorHAnsi" w:hAnsiTheme="majorHAnsi" w:cstheme="majorHAnsi"/>
                <w:color w:val="auto"/>
                <w:sz w:val="20"/>
                <w:lang w:eastAsia="en-AU"/>
              </w:rPr>
              <w:t>acknowledges</w:t>
            </w:r>
            <w:r w:rsidR="0069147A" w:rsidRPr="00886F1D" w:rsidDel="006830CC">
              <w:rPr>
                <w:rFonts w:asciiTheme="majorHAnsi" w:hAnsiTheme="majorHAnsi" w:cstheme="majorHAnsi"/>
                <w:color w:val="auto"/>
                <w:sz w:val="20"/>
                <w:lang w:eastAsia="en-AU"/>
              </w:rPr>
              <w:t xml:space="preserve"> </w:t>
            </w:r>
            <w:r w:rsidR="00836C66" w:rsidRPr="00886F1D">
              <w:rPr>
                <w:rFonts w:asciiTheme="majorHAnsi" w:hAnsiTheme="majorHAnsi" w:cstheme="majorHAnsi"/>
                <w:color w:val="auto"/>
                <w:sz w:val="20"/>
                <w:lang w:eastAsia="en-AU"/>
              </w:rPr>
              <w:t>the importance of the sustainable and responsible use of space</w:t>
            </w:r>
            <w:r w:rsidR="00346538" w:rsidRPr="00886F1D">
              <w:rPr>
                <w:rFonts w:asciiTheme="majorHAnsi" w:hAnsiTheme="majorHAnsi" w:cstheme="majorHAnsi"/>
                <w:color w:val="auto"/>
                <w:sz w:val="20"/>
                <w:lang w:eastAsia="en-AU"/>
              </w:rPr>
              <w:t>, as well as its broader impact on the terrestrial and marine environment</w:t>
            </w:r>
            <w:r w:rsidR="00836C66" w:rsidRPr="00886F1D">
              <w:rPr>
                <w:rFonts w:asciiTheme="majorHAnsi" w:hAnsiTheme="majorHAnsi" w:cstheme="majorHAnsi"/>
                <w:color w:val="auto"/>
                <w:sz w:val="20"/>
                <w:lang w:eastAsia="en-AU"/>
              </w:rPr>
              <w:t>; and</w:t>
            </w:r>
            <w:r w:rsidRPr="00886F1D">
              <w:rPr>
                <w:rFonts w:asciiTheme="majorHAnsi" w:hAnsiTheme="majorHAnsi" w:cstheme="majorHAnsi"/>
                <w:color w:val="auto"/>
                <w:sz w:val="20"/>
                <w:lang w:eastAsia="en-AU"/>
              </w:rPr>
              <w:t xml:space="preserve"> notes that this is under consideration by the Australian Space Agency as part of development of the </w:t>
            </w:r>
            <w:r w:rsidRPr="00886F1D">
              <w:rPr>
                <w:rFonts w:asciiTheme="majorHAnsi" w:hAnsiTheme="majorHAnsi" w:cstheme="majorHAnsi"/>
                <w:i/>
                <w:color w:val="auto"/>
                <w:sz w:val="20"/>
                <w:lang w:eastAsia="en-AU"/>
              </w:rPr>
              <w:t>Space Situational Awareness and Debris Mitigation</w:t>
            </w:r>
            <w:r w:rsidRPr="00886F1D">
              <w:rPr>
                <w:rFonts w:asciiTheme="majorHAnsi" w:hAnsiTheme="majorHAnsi" w:cstheme="majorHAnsi"/>
                <w:color w:val="auto"/>
                <w:sz w:val="20"/>
                <w:lang w:eastAsia="en-AU"/>
              </w:rPr>
              <w:t xml:space="preserve"> roadmap</w:t>
            </w:r>
            <w:r w:rsidR="003305B4" w:rsidRPr="00886F1D">
              <w:rPr>
                <w:rFonts w:asciiTheme="majorHAnsi" w:hAnsiTheme="majorHAnsi" w:cstheme="majorHAnsi"/>
                <w:color w:val="auto"/>
                <w:sz w:val="20"/>
                <w:lang w:eastAsia="en-AU"/>
              </w:rPr>
              <w:t xml:space="preserve">. </w:t>
            </w:r>
            <w:r w:rsidR="002631A5" w:rsidRPr="00886F1D">
              <w:rPr>
                <w:rFonts w:ascii="Calibri Light" w:hAnsi="Calibri Light" w:cs="Calibri Light"/>
                <w:color w:val="auto"/>
                <w:sz w:val="20"/>
                <w:lang w:eastAsia="en-AU"/>
              </w:rPr>
              <w:t xml:space="preserve">A debris mitigation strategy based on an internationally recognised guideline or standard is a requirement for permits authorised under the </w:t>
            </w:r>
            <w:r w:rsidR="002631A5" w:rsidRPr="00886F1D">
              <w:rPr>
                <w:rFonts w:ascii="Calibri Light" w:hAnsi="Calibri Light" w:cs="Calibri Light"/>
                <w:i/>
                <w:iCs/>
                <w:color w:val="auto"/>
                <w:sz w:val="20"/>
                <w:lang w:eastAsia="en-AU"/>
              </w:rPr>
              <w:t>Space (Launches and Returns) Act 2018</w:t>
            </w:r>
            <w:r w:rsidR="002631A5" w:rsidRPr="00886F1D">
              <w:rPr>
                <w:rFonts w:ascii="Calibri Light" w:hAnsi="Calibri Light" w:cs="Calibri Light"/>
                <w:color w:val="auto"/>
                <w:sz w:val="20"/>
                <w:lang w:eastAsia="en-AU"/>
              </w:rPr>
              <w:t xml:space="preserve">. </w:t>
            </w:r>
            <w:r w:rsidR="002631A5" w:rsidRPr="00886F1D">
              <w:rPr>
                <w:rFonts w:asciiTheme="majorHAnsi" w:hAnsiTheme="majorHAnsi" w:cstheme="majorHAnsi"/>
                <w:color w:val="auto"/>
                <w:sz w:val="20"/>
                <w:lang w:eastAsia="en-AU"/>
              </w:rPr>
              <w:t xml:space="preserve">The </w:t>
            </w:r>
            <w:r w:rsidR="00E93894" w:rsidRPr="00886F1D">
              <w:rPr>
                <w:rFonts w:asciiTheme="majorHAnsi" w:hAnsiTheme="majorHAnsi" w:cstheme="majorHAnsi"/>
                <w:color w:val="auto"/>
                <w:sz w:val="20"/>
                <w:lang w:eastAsia="en-AU"/>
              </w:rPr>
              <w:t xml:space="preserve">Australian </w:t>
            </w:r>
            <w:r w:rsidR="002631A5" w:rsidRPr="00886F1D">
              <w:rPr>
                <w:rFonts w:asciiTheme="majorHAnsi" w:hAnsiTheme="majorHAnsi" w:cstheme="majorHAnsi"/>
                <w:color w:val="auto"/>
                <w:sz w:val="20"/>
                <w:lang w:eastAsia="en-AU"/>
              </w:rPr>
              <w:t>Government considers a number of factors when identifying viable space projects including capacity to deliver, incentivising private investment and impact to the broader space industry.</w:t>
            </w:r>
            <w:r w:rsidR="00346538" w:rsidRPr="00886F1D">
              <w:rPr>
                <w:rFonts w:asciiTheme="majorHAnsi" w:hAnsiTheme="majorHAnsi" w:cstheme="majorHAnsi"/>
                <w:color w:val="auto"/>
                <w:sz w:val="20"/>
                <w:lang w:eastAsia="en-AU"/>
              </w:rPr>
              <w:t xml:space="preserve"> The Australian Government will continue to consult to ensure that the ongoing development of Australia’s space industry meets all applicable environmental standards.</w:t>
            </w:r>
          </w:p>
          <w:p w14:paraId="718E78BF" w14:textId="77777777" w:rsidR="001460AC" w:rsidRPr="00886F1D" w:rsidRDefault="001460AC" w:rsidP="002D20E9">
            <w:pPr>
              <w:spacing w:after="0" w:line="240" w:lineRule="auto"/>
              <w:rPr>
                <w:rFonts w:asciiTheme="majorHAnsi" w:hAnsiTheme="majorHAnsi" w:cstheme="majorHAnsi"/>
                <w:b/>
                <w:color w:val="auto"/>
                <w:sz w:val="20"/>
                <w:lang w:eastAsia="en-AU"/>
              </w:rPr>
            </w:pPr>
          </w:p>
        </w:tc>
      </w:tr>
      <w:tr w:rsidR="00886F1D" w:rsidRPr="00886F1D" w14:paraId="718E78CB" w14:textId="77777777" w:rsidTr="00B52BE2">
        <w:trPr>
          <w:cantSplit/>
          <w:trHeight w:val="65"/>
        </w:trPr>
        <w:tc>
          <w:tcPr>
            <w:tcW w:w="1077" w:type="dxa"/>
            <w:shd w:val="clear" w:color="auto" w:fill="auto"/>
            <w:hideMark/>
          </w:tcPr>
          <w:p w14:paraId="718E78C1"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28 (</w:t>
            </w:r>
            <w:r w:rsidR="001460AC" w:rsidRPr="00886F1D">
              <w:rPr>
                <w:rFonts w:asciiTheme="majorHAnsi" w:eastAsia="Times New Roman" w:hAnsiTheme="majorHAnsi" w:cstheme="majorHAnsi"/>
                <w:color w:val="auto"/>
                <w:sz w:val="20"/>
                <w:lang w:eastAsia="en-AU"/>
              </w:rPr>
              <w:t>5.68</w:t>
            </w:r>
            <w:r w:rsidRPr="00886F1D">
              <w:rPr>
                <w:rFonts w:asciiTheme="majorHAnsi" w:eastAsia="Times New Roman" w:hAnsiTheme="majorHAnsi" w:cstheme="majorHAnsi"/>
                <w:color w:val="auto"/>
                <w:sz w:val="20"/>
                <w:lang w:eastAsia="en-AU"/>
              </w:rPr>
              <w:t>)</w:t>
            </w:r>
          </w:p>
          <w:p w14:paraId="718E78C2"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C3"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continue to participate in international forums to:</w:t>
            </w:r>
          </w:p>
          <w:p w14:paraId="718E78C4" w14:textId="77777777" w:rsidR="001460AC" w:rsidRPr="00886F1D" w:rsidRDefault="001460AC" w:rsidP="002657DF">
            <w:pPr>
              <w:pStyle w:val="ListParagraph"/>
              <w:numPr>
                <w:ilvl w:val="0"/>
                <w:numId w:val="6"/>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Clarify how international law impacts commercial activities in space</w:t>
            </w:r>
          </w:p>
          <w:p w14:paraId="718E78C5" w14:textId="77777777" w:rsidR="00D43C0A" w:rsidRPr="00886F1D" w:rsidRDefault="001460AC" w:rsidP="002657DF">
            <w:pPr>
              <w:pStyle w:val="ListParagraph"/>
              <w:numPr>
                <w:ilvl w:val="0"/>
                <w:numId w:val="6"/>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Lead the development of enforceable and internationally agreed norms of behaviour in outer space</w:t>
            </w:r>
          </w:p>
          <w:p w14:paraId="718E78C6" w14:textId="77777777" w:rsidR="001460AC" w:rsidRPr="00886F1D" w:rsidRDefault="001460AC">
            <w:pPr>
              <w:adjustRightInd/>
              <w:snapToGrid/>
              <w:spacing w:after="0" w:line="240" w:lineRule="auto"/>
              <w:rPr>
                <w:rFonts w:asciiTheme="majorHAnsi" w:eastAsia="Times New Roman" w:hAnsiTheme="majorHAnsi" w:cstheme="majorHAnsi"/>
                <w:color w:val="auto"/>
                <w:sz w:val="20"/>
                <w:lang w:eastAsia="en-AU"/>
              </w:rPr>
            </w:pPr>
          </w:p>
        </w:tc>
        <w:tc>
          <w:tcPr>
            <w:tcW w:w="4707" w:type="dxa"/>
          </w:tcPr>
          <w:p w14:paraId="718E78C7" w14:textId="77777777" w:rsidR="003454FD" w:rsidRPr="00886F1D" w:rsidRDefault="001460AC" w:rsidP="00917EC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Agreed</w:t>
            </w:r>
            <w:r w:rsidR="001C7BF5" w:rsidRPr="00886F1D">
              <w:rPr>
                <w:rFonts w:asciiTheme="majorHAnsi" w:hAnsiTheme="majorHAnsi" w:cstheme="majorHAnsi"/>
                <w:b/>
                <w:color w:val="auto"/>
                <w:sz w:val="20"/>
                <w:lang w:eastAsia="en-AU"/>
              </w:rPr>
              <w:t xml:space="preserve"> </w:t>
            </w:r>
          </w:p>
          <w:p w14:paraId="718E78C8" w14:textId="77777777" w:rsidR="00154BCB" w:rsidRPr="00886F1D" w:rsidRDefault="00154BCB" w:rsidP="00917ECB">
            <w:pPr>
              <w:spacing w:after="0" w:line="240" w:lineRule="auto"/>
              <w:rPr>
                <w:rFonts w:asciiTheme="majorHAnsi" w:hAnsiTheme="majorHAnsi" w:cstheme="majorHAnsi"/>
                <w:b/>
                <w:color w:val="auto"/>
                <w:sz w:val="20"/>
                <w:lang w:eastAsia="en-AU"/>
              </w:rPr>
            </w:pPr>
          </w:p>
          <w:p w14:paraId="718E78C9" w14:textId="77777777" w:rsidR="001460AC" w:rsidRPr="00886F1D" w:rsidRDefault="000F005C" w:rsidP="00917EC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color w:val="auto"/>
                <w:sz w:val="20"/>
                <w:lang w:eastAsia="en-AU"/>
              </w:rPr>
              <w:t>The</w:t>
            </w:r>
            <w:r w:rsidR="00E93894" w:rsidRPr="00886F1D">
              <w:rPr>
                <w:rFonts w:asciiTheme="majorHAnsi" w:hAnsiTheme="majorHAnsi" w:cstheme="majorHAnsi"/>
                <w:color w:val="auto"/>
                <w:sz w:val="20"/>
                <w:lang w:eastAsia="en-AU"/>
              </w:rPr>
              <w:t xml:space="preserve"> Australian</w:t>
            </w:r>
            <w:r w:rsidRPr="00886F1D">
              <w:rPr>
                <w:rFonts w:asciiTheme="majorHAnsi" w:hAnsiTheme="majorHAnsi" w:cstheme="majorHAnsi"/>
                <w:color w:val="auto"/>
                <w:sz w:val="20"/>
                <w:lang w:eastAsia="en-AU"/>
              </w:rPr>
              <w:t xml:space="preserve"> Government is committed to the development and implementation of norms that seek to ensure the safety, stability and sustainability of outer space, and will continue to participate in international forums</w:t>
            </w:r>
            <w:r w:rsidR="00F623B1" w:rsidRPr="00886F1D">
              <w:rPr>
                <w:rFonts w:asciiTheme="majorHAnsi" w:hAnsiTheme="majorHAnsi" w:cstheme="majorHAnsi"/>
                <w:color w:val="auto"/>
                <w:sz w:val="20"/>
                <w:lang w:eastAsia="en-AU"/>
              </w:rPr>
              <w:t xml:space="preserve"> such as the UN Open Ended Working Group (OEWG) on Reducing Space Threats through Norms, Rules and Principles of Responsible Behaviours, the UN Committee on the Peaceful Uses of Outer Space (COPUOS)</w:t>
            </w:r>
            <w:r w:rsidR="00CE7C67" w:rsidRPr="00886F1D">
              <w:rPr>
                <w:rFonts w:asciiTheme="majorHAnsi" w:hAnsiTheme="majorHAnsi" w:cstheme="majorHAnsi"/>
                <w:color w:val="auto"/>
                <w:sz w:val="20"/>
                <w:lang w:eastAsia="en-AU"/>
              </w:rPr>
              <w:t xml:space="preserve">, and through other multi-lateral forums such as the Quadrilateral Security Dialogue </w:t>
            </w:r>
            <w:r w:rsidR="009B462E" w:rsidRPr="00886F1D">
              <w:rPr>
                <w:rFonts w:asciiTheme="majorHAnsi" w:hAnsiTheme="majorHAnsi" w:cstheme="majorHAnsi"/>
                <w:color w:val="auto"/>
                <w:sz w:val="20"/>
                <w:lang w:eastAsia="en-AU"/>
              </w:rPr>
              <w:t>(Quad)</w:t>
            </w:r>
            <w:r w:rsidR="00CE7C67" w:rsidRPr="00886F1D">
              <w:rPr>
                <w:rFonts w:asciiTheme="majorHAnsi" w:hAnsiTheme="majorHAnsi" w:cstheme="majorHAnsi"/>
                <w:color w:val="auto"/>
                <w:sz w:val="20"/>
                <w:lang w:eastAsia="en-AU"/>
              </w:rPr>
              <w:t xml:space="preserve"> Space Working Group. </w:t>
            </w:r>
            <w:r w:rsidR="003B04A4" w:rsidRPr="00886F1D">
              <w:rPr>
                <w:rFonts w:asciiTheme="majorHAnsi" w:hAnsiTheme="majorHAnsi" w:cstheme="majorHAnsi"/>
                <w:color w:val="auto"/>
                <w:sz w:val="20"/>
                <w:lang w:eastAsia="en-AU"/>
              </w:rPr>
              <w:t xml:space="preserve">In May 2022, </w:t>
            </w:r>
            <w:r w:rsidR="009224A1" w:rsidRPr="00886F1D">
              <w:rPr>
                <w:rFonts w:asciiTheme="majorHAnsi" w:hAnsiTheme="majorHAnsi" w:cstheme="majorHAnsi"/>
                <w:color w:val="auto"/>
                <w:sz w:val="20"/>
                <w:lang w:eastAsia="en-AU"/>
              </w:rPr>
              <w:t>Quad</w:t>
            </w:r>
            <w:r w:rsidR="003B04A4" w:rsidRPr="00886F1D">
              <w:rPr>
                <w:rFonts w:asciiTheme="majorHAnsi" w:hAnsiTheme="majorHAnsi" w:cstheme="majorHAnsi"/>
                <w:color w:val="auto"/>
                <w:sz w:val="20"/>
                <w:lang w:eastAsia="en-AU"/>
              </w:rPr>
              <w:t xml:space="preserve"> Leaders agreed to consult on rules, norms, guidelines and principles for the sustainable use of space</w:t>
            </w:r>
            <w:r w:rsidR="00BA4ED4" w:rsidRPr="00886F1D">
              <w:rPr>
                <w:rFonts w:asciiTheme="majorHAnsi" w:hAnsiTheme="majorHAnsi" w:cstheme="majorHAnsi"/>
                <w:color w:val="auto"/>
                <w:sz w:val="20"/>
                <w:lang w:eastAsia="en-AU"/>
              </w:rPr>
              <w:t xml:space="preserve"> through the Quad Space Working Group</w:t>
            </w:r>
            <w:r w:rsidR="003B04A4" w:rsidRPr="00886F1D">
              <w:rPr>
                <w:rFonts w:asciiTheme="majorHAnsi" w:hAnsiTheme="majorHAnsi" w:cstheme="majorHAnsi"/>
                <w:color w:val="auto"/>
                <w:sz w:val="20"/>
                <w:lang w:eastAsia="en-AU"/>
              </w:rPr>
              <w:t xml:space="preserve">. </w:t>
            </w:r>
          </w:p>
          <w:p w14:paraId="718E78CA" w14:textId="77777777" w:rsidR="001460AC" w:rsidRPr="00886F1D" w:rsidRDefault="001460AC" w:rsidP="003454FD">
            <w:pPr>
              <w:spacing w:after="0" w:line="240" w:lineRule="auto"/>
              <w:rPr>
                <w:rFonts w:asciiTheme="majorHAnsi" w:hAnsiTheme="majorHAnsi" w:cstheme="majorHAnsi"/>
                <w:color w:val="auto"/>
                <w:sz w:val="20"/>
                <w:lang w:eastAsia="en-AU"/>
              </w:rPr>
            </w:pPr>
          </w:p>
        </w:tc>
      </w:tr>
      <w:tr w:rsidR="00886F1D" w:rsidRPr="00886F1D" w14:paraId="718E78D7" w14:textId="77777777" w:rsidTr="00B52BE2">
        <w:trPr>
          <w:cantSplit/>
          <w:trHeight w:val="274"/>
        </w:trPr>
        <w:tc>
          <w:tcPr>
            <w:tcW w:w="1077" w:type="dxa"/>
            <w:shd w:val="clear" w:color="auto" w:fill="auto"/>
            <w:hideMark/>
          </w:tcPr>
          <w:p w14:paraId="718E78CC" w14:textId="77777777" w:rsidR="001460AC" w:rsidRPr="00886F1D" w:rsidRDefault="008042A6" w:rsidP="005F6E05">
            <w:pPr>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lastRenderedPageBreak/>
              <w:t>29 (</w:t>
            </w:r>
            <w:r w:rsidR="001460AC" w:rsidRPr="00886F1D">
              <w:rPr>
                <w:rFonts w:asciiTheme="majorHAnsi" w:hAnsiTheme="majorHAnsi" w:cstheme="majorHAnsi"/>
                <w:color w:val="auto"/>
                <w:sz w:val="20"/>
                <w:lang w:eastAsia="en-AU"/>
              </w:rPr>
              <w:t>5.69</w:t>
            </w:r>
            <w:r w:rsidRPr="00886F1D">
              <w:rPr>
                <w:rFonts w:asciiTheme="majorHAnsi" w:hAnsiTheme="majorHAnsi" w:cstheme="majorHAnsi"/>
                <w:color w:val="auto"/>
                <w:sz w:val="20"/>
                <w:lang w:eastAsia="en-AU"/>
              </w:rPr>
              <w:t>)</w:t>
            </w:r>
          </w:p>
          <w:p w14:paraId="718E78CD" w14:textId="77777777" w:rsidR="001460AC" w:rsidRPr="00886F1D" w:rsidRDefault="001460AC" w:rsidP="005F6E05">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CE"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examine the feasibility of more green technology in the Australian space sector, and ways to ensure that the industry is not contributing to an already congested environment.</w:t>
            </w:r>
          </w:p>
        </w:tc>
        <w:tc>
          <w:tcPr>
            <w:tcW w:w="4707" w:type="dxa"/>
          </w:tcPr>
          <w:p w14:paraId="718E78CF" w14:textId="77777777" w:rsidR="001460AC" w:rsidRPr="00886F1D" w:rsidRDefault="001460AC" w:rsidP="00917EC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 xml:space="preserve">Agreed in </w:t>
            </w:r>
            <w:r w:rsidR="00385B23" w:rsidRPr="00886F1D">
              <w:rPr>
                <w:rFonts w:asciiTheme="majorHAnsi" w:hAnsiTheme="majorHAnsi" w:cstheme="majorHAnsi"/>
                <w:b/>
                <w:color w:val="auto"/>
                <w:sz w:val="20"/>
                <w:lang w:eastAsia="en-AU"/>
              </w:rPr>
              <w:t>P</w:t>
            </w:r>
            <w:r w:rsidRPr="00886F1D">
              <w:rPr>
                <w:rFonts w:asciiTheme="majorHAnsi" w:hAnsiTheme="majorHAnsi" w:cstheme="majorHAnsi"/>
                <w:b/>
                <w:color w:val="auto"/>
                <w:sz w:val="20"/>
                <w:lang w:eastAsia="en-AU"/>
              </w:rPr>
              <w:t>rinciple</w:t>
            </w:r>
          </w:p>
          <w:p w14:paraId="718E78D0" w14:textId="77777777" w:rsidR="00B11A13" w:rsidRPr="00886F1D" w:rsidRDefault="00B11A13" w:rsidP="00917ECB">
            <w:pPr>
              <w:spacing w:after="0" w:line="240" w:lineRule="auto"/>
              <w:rPr>
                <w:rFonts w:asciiTheme="majorHAnsi" w:hAnsiTheme="majorHAnsi" w:cstheme="majorHAnsi"/>
                <w:b/>
                <w:color w:val="auto"/>
                <w:sz w:val="20"/>
                <w:lang w:eastAsia="en-AU"/>
              </w:rPr>
            </w:pPr>
          </w:p>
          <w:p w14:paraId="718E78D1" w14:textId="77777777" w:rsidR="00D07259" w:rsidRPr="00886F1D" w:rsidRDefault="00D07259" w:rsidP="00D07259">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E93894"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 xml:space="preserve">Government is committed to </w:t>
            </w:r>
            <w:r w:rsidR="00B11A13" w:rsidRPr="00886F1D">
              <w:rPr>
                <w:rFonts w:asciiTheme="majorHAnsi" w:hAnsiTheme="majorHAnsi" w:cstheme="majorHAnsi"/>
                <w:color w:val="auto"/>
                <w:sz w:val="20"/>
                <w:lang w:eastAsia="en-AU"/>
              </w:rPr>
              <w:t xml:space="preserve">reducing Australia’s emissions </w:t>
            </w:r>
            <w:r w:rsidR="00B30597" w:rsidRPr="00886F1D">
              <w:rPr>
                <w:rFonts w:asciiTheme="majorHAnsi" w:hAnsiTheme="majorHAnsi" w:cstheme="majorHAnsi"/>
                <w:color w:val="auto"/>
                <w:sz w:val="20"/>
                <w:lang w:eastAsia="en-AU"/>
              </w:rPr>
              <w:t>to</w:t>
            </w:r>
            <w:r w:rsidR="00B11A13" w:rsidRPr="00886F1D">
              <w:rPr>
                <w:rFonts w:asciiTheme="majorHAnsi" w:hAnsiTheme="majorHAnsi" w:cstheme="majorHAnsi"/>
                <w:color w:val="auto"/>
                <w:sz w:val="20"/>
                <w:lang w:eastAsia="en-AU"/>
              </w:rPr>
              <w:t xml:space="preserve"> 4</w:t>
            </w:r>
            <w:r w:rsidR="009224A1" w:rsidRPr="00886F1D">
              <w:rPr>
                <w:rFonts w:asciiTheme="majorHAnsi" w:hAnsiTheme="majorHAnsi" w:cstheme="majorHAnsi"/>
                <w:color w:val="auto"/>
                <w:sz w:val="20"/>
                <w:lang w:eastAsia="en-AU"/>
              </w:rPr>
              <w:t>3</w:t>
            </w:r>
            <w:r w:rsidR="00B11A13" w:rsidRPr="00886F1D">
              <w:rPr>
                <w:rFonts w:asciiTheme="majorHAnsi" w:hAnsiTheme="majorHAnsi" w:cstheme="majorHAnsi"/>
                <w:color w:val="auto"/>
                <w:sz w:val="20"/>
                <w:lang w:eastAsia="en-AU"/>
              </w:rPr>
              <w:t xml:space="preserve"> per cent below 2005 levels by 2030 and </w:t>
            </w:r>
            <w:r w:rsidRPr="00886F1D">
              <w:rPr>
                <w:rFonts w:asciiTheme="majorHAnsi" w:hAnsiTheme="majorHAnsi" w:cstheme="majorHAnsi"/>
                <w:color w:val="auto"/>
                <w:sz w:val="20"/>
                <w:lang w:eastAsia="en-AU"/>
              </w:rPr>
              <w:t xml:space="preserve">achieving net zero emissions by 2050. Emissions targets have been enshrined in legislation. </w:t>
            </w:r>
          </w:p>
          <w:p w14:paraId="718E78D2" w14:textId="77777777" w:rsidR="00D07259" w:rsidRPr="00886F1D" w:rsidRDefault="00D07259" w:rsidP="00D07259">
            <w:pPr>
              <w:spacing w:after="0" w:line="240" w:lineRule="auto"/>
              <w:rPr>
                <w:rFonts w:asciiTheme="majorHAnsi" w:hAnsiTheme="majorHAnsi" w:cstheme="majorHAnsi"/>
                <w:color w:val="auto"/>
                <w:sz w:val="20"/>
                <w:lang w:eastAsia="en-AU"/>
              </w:rPr>
            </w:pPr>
          </w:p>
          <w:p w14:paraId="718E78D3" w14:textId="77777777" w:rsidR="00D07259" w:rsidRPr="00886F1D" w:rsidRDefault="00D07259" w:rsidP="00D07259">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All industries, including the space sector, will need to work collaboratively to transition to green technology and achieve emissions targets. </w:t>
            </w:r>
            <w:r w:rsidR="00E93894"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Government initiatives, such as the National Reconstruction Fund, will support industry to maximise the benefits of new green technology.</w:t>
            </w:r>
          </w:p>
          <w:p w14:paraId="718E78D4" w14:textId="77777777" w:rsidR="00D07259" w:rsidRPr="00886F1D" w:rsidRDefault="00D07259" w:rsidP="00D07259">
            <w:pPr>
              <w:spacing w:after="0" w:line="240" w:lineRule="auto"/>
              <w:rPr>
                <w:rFonts w:asciiTheme="majorHAnsi" w:hAnsiTheme="majorHAnsi" w:cstheme="majorHAnsi"/>
                <w:b/>
                <w:color w:val="auto"/>
                <w:sz w:val="20"/>
                <w:lang w:eastAsia="en-AU"/>
              </w:rPr>
            </w:pPr>
          </w:p>
          <w:p w14:paraId="718E78D5" w14:textId="77777777" w:rsidR="001460AC" w:rsidRPr="00886F1D" w:rsidRDefault="00D07259" w:rsidP="00917ECB">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Australian Space Agency’s </w:t>
            </w:r>
            <w:r w:rsidRPr="00886F1D">
              <w:rPr>
                <w:rFonts w:asciiTheme="majorHAnsi" w:hAnsiTheme="majorHAnsi" w:cstheme="majorHAnsi"/>
                <w:i/>
                <w:color w:val="auto"/>
                <w:sz w:val="20"/>
                <w:lang w:eastAsia="en-AU"/>
              </w:rPr>
              <w:t>Space Situational Awareness and Debris Mitigation</w:t>
            </w:r>
            <w:r w:rsidRPr="00886F1D">
              <w:rPr>
                <w:rFonts w:asciiTheme="majorHAnsi" w:hAnsiTheme="majorHAnsi" w:cstheme="majorHAnsi"/>
                <w:color w:val="auto"/>
                <w:sz w:val="20"/>
                <w:lang w:eastAsia="en-AU"/>
              </w:rPr>
              <w:t xml:space="preserve"> roadmap, currently under development, will</w:t>
            </w:r>
            <w:r w:rsidR="00E94667" w:rsidRPr="00886F1D">
              <w:rPr>
                <w:rFonts w:asciiTheme="majorHAnsi" w:hAnsiTheme="majorHAnsi" w:cstheme="majorHAnsi"/>
                <w:color w:val="auto"/>
                <w:sz w:val="20"/>
                <w:lang w:eastAsia="en-AU"/>
              </w:rPr>
              <w:t>, t</w:t>
            </w:r>
            <w:r w:rsidRPr="00886F1D" w:rsidDel="00B06B5E">
              <w:rPr>
                <w:rFonts w:asciiTheme="majorHAnsi" w:hAnsiTheme="majorHAnsi" w:cstheme="majorHAnsi"/>
                <w:color w:val="auto"/>
                <w:sz w:val="20"/>
                <w:lang w:eastAsia="en-AU"/>
              </w:rPr>
              <w:t xml:space="preserve">hrough the lens of industry opportunities, provide recommendations to minimise new debris and manage the risks generated from existing </w:t>
            </w:r>
            <w:r w:rsidRPr="00886F1D">
              <w:rPr>
                <w:rFonts w:asciiTheme="majorHAnsi" w:hAnsiTheme="majorHAnsi" w:cstheme="majorHAnsi"/>
                <w:color w:val="auto"/>
                <w:sz w:val="20"/>
                <w:lang w:eastAsia="en-AU"/>
              </w:rPr>
              <w:t>debris</w:t>
            </w:r>
            <w:r w:rsidRPr="00886F1D" w:rsidDel="00B06B5E">
              <w:rPr>
                <w:rFonts w:asciiTheme="majorHAnsi" w:hAnsiTheme="majorHAnsi" w:cstheme="majorHAnsi"/>
                <w:color w:val="auto"/>
                <w:sz w:val="20"/>
                <w:lang w:eastAsia="en-AU"/>
              </w:rPr>
              <w:t>.</w:t>
            </w:r>
          </w:p>
          <w:p w14:paraId="718E78D6" w14:textId="77777777" w:rsidR="00F927CB" w:rsidRPr="00886F1D" w:rsidRDefault="00F927CB" w:rsidP="00917ECB">
            <w:pPr>
              <w:spacing w:after="0" w:line="240" w:lineRule="auto"/>
              <w:rPr>
                <w:rFonts w:asciiTheme="majorHAnsi" w:hAnsiTheme="majorHAnsi" w:cstheme="majorHAnsi"/>
                <w:color w:val="auto"/>
                <w:sz w:val="20"/>
                <w:lang w:eastAsia="en-AU"/>
              </w:rPr>
            </w:pPr>
          </w:p>
        </w:tc>
      </w:tr>
      <w:tr w:rsidR="00886F1D" w:rsidRPr="00886F1D" w14:paraId="718E78E5" w14:textId="77777777" w:rsidTr="00B52BE2">
        <w:trPr>
          <w:cantSplit/>
          <w:trHeight w:val="4810"/>
        </w:trPr>
        <w:tc>
          <w:tcPr>
            <w:tcW w:w="1077" w:type="dxa"/>
            <w:shd w:val="clear" w:color="auto" w:fill="auto"/>
            <w:hideMark/>
          </w:tcPr>
          <w:p w14:paraId="718E78D8"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30 (</w:t>
            </w:r>
            <w:r w:rsidR="001460AC" w:rsidRPr="00886F1D">
              <w:rPr>
                <w:rFonts w:asciiTheme="majorHAnsi" w:eastAsia="Times New Roman" w:hAnsiTheme="majorHAnsi" w:cstheme="majorHAnsi"/>
                <w:color w:val="auto"/>
                <w:sz w:val="20"/>
                <w:lang w:eastAsia="en-AU"/>
              </w:rPr>
              <w:t>6.89</w:t>
            </w:r>
            <w:r w:rsidRPr="00886F1D">
              <w:rPr>
                <w:rFonts w:asciiTheme="majorHAnsi" w:eastAsia="Times New Roman" w:hAnsiTheme="majorHAnsi" w:cstheme="majorHAnsi"/>
                <w:color w:val="auto"/>
                <w:sz w:val="20"/>
                <w:lang w:eastAsia="en-AU"/>
              </w:rPr>
              <w:t>)</w:t>
            </w:r>
          </w:p>
          <w:p w14:paraId="718E78D9"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DA"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w:t>
            </w:r>
            <w:r w:rsidR="00154BCB" w:rsidRPr="00886F1D">
              <w:rPr>
                <w:rFonts w:asciiTheme="majorHAnsi" w:eastAsia="Times New Roman" w:hAnsiTheme="majorHAnsi" w:cstheme="majorHAnsi"/>
                <w:color w:val="auto"/>
                <w:sz w:val="20"/>
                <w:lang w:eastAsia="en-AU"/>
              </w:rPr>
              <w:t>n</w:t>
            </w:r>
            <w:r w:rsidRPr="00886F1D">
              <w:rPr>
                <w:rFonts w:asciiTheme="majorHAnsi" w:eastAsia="Times New Roman" w:hAnsiTheme="majorHAnsi" w:cstheme="majorHAnsi"/>
                <w:color w:val="auto"/>
                <w:sz w:val="20"/>
                <w:lang w:eastAsia="en-AU"/>
              </w:rPr>
              <w:t xml:space="preserve"> Government prioritise and promote the importance of space science as fundamental to innovation and growth of the Australian space sector. This includes:</w:t>
            </w:r>
          </w:p>
          <w:p w14:paraId="718E78DB" w14:textId="77777777" w:rsidR="001460AC" w:rsidRPr="00886F1D" w:rsidRDefault="001460AC" w:rsidP="002657DF">
            <w:pPr>
              <w:pStyle w:val="ListParagraph"/>
              <w:numPr>
                <w:ilvl w:val="0"/>
                <w:numId w:val="7"/>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Specific reference to space science in the Australian Space Agency's Charter and Australia</w:t>
            </w:r>
            <w:r w:rsidR="00154BCB" w:rsidRPr="00886F1D">
              <w:rPr>
                <w:rFonts w:asciiTheme="majorHAnsi" w:eastAsia="Times New Roman" w:hAnsiTheme="majorHAnsi" w:cstheme="majorHAnsi"/>
                <w:color w:val="auto"/>
                <w:sz w:val="20"/>
                <w:lang w:eastAsia="en-AU"/>
              </w:rPr>
              <w:t>n</w:t>
            </w:r>
            <w:r w:rsidRPr="00886F1D">
              <w:rPr>
                <w:rFonts w:asciiTheme="majorHAnsi" w:eastAsia="Times New Roman" w:hAnsiTheme="majorHAnsi" w:cstheme="majorHAnsi"/>
                <w:color w:val="auto"/>
                <w:sz w:val="20"/>
                <w:lang w:eastAsia="en-AU"/>
              </w:rPr>
              <w:t xml:space="preserve"> Civil Space Strategy</w:t>
            </w:r>
          </w:p>
          <w:p w14:paraId="718E78DC" w14:textId="77777777" w:rsidR="001460AC" w:rsidRPr="00886F1D" w:rsidRDefault="001460AC" w:rsidP="002657DF">
            <w:pPr>
              <w:pStyle w:val="ListParagraph"/>
              <w:numPr>
                <w:ilvl w:val="0"/>
                <w:numId w:val="7"/>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Examining options for better coordination of space science across Commonwealth and state and territory agencies; and</w:t>
            </w:r>
          </w:p>
          <w:p w14:paraId="718E78DD" w14:textId="77777777" w:rsidR="00D43C0A" w:rsidRPr="00886F1D" w:rsidRDefault="001460AC" w:rsidP="002657DF">
            <w:pPr>
              <w:pStyle w:val="ListParagraph"/>
              <w:numPr>
                <w:ilvl w:val="0"/>
                <w:numId w:val="7"/>
              </w:numPr>
              <w:adjustRightInd/>
              <w:snapToGrid/>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Identifying a set of national space science research and innovation priorities to enable stakeholders to make informed decisions regarding investment and research and development.</w:t>
            </w:r>
          </w:p>
          <w:p w14:paraId="718E78DE" w14:textId="77777777" w:rsidR="001460AC" w:rsidRPr="00886F1D" w:rsidRDefault="001460AC" w:rsidP="0014397F">
            <w:pPr>
              <w:adjustRightInd/>
              <w:snapToGrid/>
              <w:spacing w:after="0" w:line="240" w:lineRule="auto"/>
              <w:rPr>
                <w:rFonts w:asciiTheme="majorHAnsi" w:eastAsia="Times New Roman" w:hAnsiTheme="majorHAnsi" w:cstheme="majorHAnsi"/>
                <w:color w:val="auto"/>
                <w:sz w:val="20"/>
                <w:lang w:eastAsia="en-AU"/>
              </w:rPr>
            </w:pPr>
          </w:p>
        </w:tc>
        <w:tc>
          <w:tcPr>
            <w:tcW w:w="4707" w:type="dxa"/>
          </w:tcPr>
          <w:p w14:paraId="718E78DF" w14:textId="77777777" w:rsidR="001460AC" w:rsidRPr="00886F1D" w:rsidRDefault="001460AC" w:rsidP="00917EC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 xml:space="preserve">Agreed in </w:t>
            </w:r>
            <w:r w:rsidR="0000208B" w:rsidRPr="00886F1D">
              <w:rPr>
                <w:rFonts w:asciiTheme="majorHAnsi" w:hAnsiTheme="majorHAnsi" w:cstheme="majorHAnsi"/>
                <w:b/>
                <w:color w:val="auto"/>
                <w:sz w:val="20"/>
                <w:lang w:eastAsia="en-AU"/>
              </w:rPr>
              <w:t>P</w:t>
            </w:r>
            <w:r w:rsidRPr="00886F1D">
              <w:rPr>
                <w:rFonts w:asciiTheme="majorHAnsi" w:hAnsiTheme="majorHAnsi" w:cstheme="majorHAnsi"/>
                <w:b/>
                <w:color w:val="auto"/>
                <w:sz w:val="20"/>
                <w:lang w:eastAsia="en-AU"/>
              </w:rPr>
              <w:t>rinciple</w:t>
            </w:r>
          </w:p>
          <w:p w14:paraId="718E78E0" w14:textId="77777777" w:rsidR="00640D4A" w:rsidRPr="00886F1D" w:rsidRDefault="00640D4A" w:rsidP="00917ECB">
            <w:pPr>
              <w:spacing w:after="0" w:line="240" w:lineRule="auto"/>
              <w:rPr>
                <w:rFonts w:asciiTheme="majorHAnsi" w:hAnsiTheme="majorHAnsi" w:cstheme="majorHAnsi"/>
                <w:b/>
                <w:color w:val="auto"/>
                <w:sz w:val="20"/>
                <w:lang w:eastAsia="en-AU"/>
              </w:rPr>
            </w:pPr>
          </w:p>
          <w:p w14:paraId="718E78E1" w14:textId="77777777" w:rsidR="002C2AEF" w:rsidRPr="00886F1D" w:rsidRDefault="002C2AEF" w:rsidP="002C2AEF">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The</w:t>
            </w:r>
            <w:r w:rsidR="00E93894" w:rsidRPr="00886F1D">
              <w:rPr>
                <w:rFonts w:asciiTheme="majorHAnsi" w:hAnsiTheme="majorHAnsi" w:cstheme="majorHAnsi"/>
                <w:color w:val="auto"/>
                <w:sz w:val="20"/>
                <w:lang w:eastAsia="en-AU"/>
              </w:rPr>
              <w:t xml:space="preserve"> Australian</w:t>
            </w:r>
            <w:r w:rsidRPr="00886F1D">
              <w:rPr>
                <w:rFonts w:asciiTheme="majorHAnsi" w:hAnsiTheme="majorHAnsi" w:cstheme="majorHAnsi"/>
                <w:color w:val="auto"/>
                <w:sz w:val="20"/>
                <w:lang w:eastAsia="en-AU"/>
              </w:rPr>
              <w:t xml:space="preserve"> Government acknowledges the importance of science, including space science, as a key enabler of innovation and growth within the Australian economy</w:t>
            </w:r>
            <w:r w:rsidR="00E63860" w:rsidRPr="00886F1D">
              <w:rPr>
                <w:rFonts w:asciiTheme="majorHAnsi" w:hAnsiTheme="majorHAnsi" w:cstheme="majorHAnsi"/>
                <w:color w:val="auto"/>
                <w:sz w:val="20"/>
                <w:lang w:eastAsia="en-AU"/>
              </w:rPr>
              <w:t>, and will give consideration to this recommendation</w:t>
            </w:r>
            <w:r w:rsidR="006A4FA6" w:rsidRPr="00886F1D">
              <w:rPr>
                <w:rFonts w:asciiTheme="majorHAnsi" w:hAnsiTheme="majorHAnsi" w:cstheme="majorHAnsi"/>
                <w:color w:val="auto"/>
                <w:sz w:val="20"/>
                <w:lang w:eastAsia="en-AU"/>
              </w:rPr>
              <w:t xml:space="preserve"> in line with the Government’s future agenda</w:t>
            </w:r>
            <w:r w:rsidRPr="00886F1D" w:rsidDel="00E63860">
              <w:rPr>
                <w:rFonts w:asciiTheme="majorHAnsi" w:hAnsiTheme="majorHAnsi" w:cstheme="majorHAnsi"/>
                <w:color w:val="auto"/>
                <w:sz w:val="20"/>
                <w:lang w:eastAsia="en-AU"/>
              </w:rPr>
              <w:t>.</w:t>
            </w:r>
            <w:r w:rsidR="00FB2161" w:rsidRPr="00886F1D">
              <w:rPr>
                <w:rFonts w:asciiTheme="majorHAnsi" w:hAnsiTheme="majorHAnsi" w:cstheme="majorHAnsi"/>
                <w:color w:val="auto"/>
                <w:sz w:val="20"/>
                <w:lang w:eastAsia="en-AU"/>
              </w:rPr>
              <w:t xml:space="preserve"> </w:t>
            </w:r>
          </w:p>
          <w:p w14:paraId="718E78E2" w14:textId="77777777" w:rsidR="00126AE6" w:rsidRPr="00886F1D" w:rsidRDefault="00126AE6" w:rsidP="006B5E55">
            <w:pPr>
              <w:spacing w:after="0" w:line="240" w:lineRule="auto"/>
              <w:rPr>
                <w:rFonts w:asciiTheme="majorHAnsi" w:hAnsiTheme="majorHAnsi" w:cstheme="majorHAnsi"/>
                <w:color w:val="auto"/>
                <w:sz w:val="20"/>
                <w:lang w:eastAsia="en-AU"/>
              </w:rPr>
            </w:pPr>
          </w:p>
          <w:p w14:paraId="718E78E3" w14:textId="77777777" w:rsidR="006B5E55" w:rsidRPr="00886F1D" w:rsidRDefault="00126AE6" w:rsidP="006B5E55">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E93894"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 xml:space="preserve">Government is also </w:t>
            </w:r>
            <w:r w:rsidR="00CC2630" w:rsidRPr="00886F1D">
              <w:rPr>
                <w:rFonts w:asciiTheme="majorHAnsi" w:hAnsiTheme="majorHAnsi" w:cstheme="majorHAnsi"/>
                <w:color w:val="auto"/>
                <w:sz w:val="20"/>
                <w:lang w:eastAsia="en-AU"/>
              </w:rPr>
              <w:t>renewing the National Science and Research Priorities and National Science Statement</w:t>
            </w:r>
            <w:r w:rsidR="006B5E55" w:rsidRPr="00886F1D">
              <w:rPr>
                <w:rFonts w:asciiTheme="majorHAnsi" w:hAnsiTheme="majorHAnsi" w:cstheme="majorHAnsi"/>
                <w:color w:val="auto"/>
                <w:sz w:val="20"/>
                <w:lang w:eastAsia="en-AU"/>
              </w:rPr>
              <w:t xml:space="preserve"> </w:t>
            </w:r>
            <w:r w:rsidR="00CC2630" w:rsidRPr="00886F1D">
              <w:rPr>
                <w:rFonts w:asciiTheme="majorHAnsi" w:hAnsiTheme="majorHAnsi" w:cstheme="majorHAnsi"/>
                <w:color w:val="auto"/>
                <w:sz w:val="20"/>
                <w:lang w:eastAsia="en-AU"/>
              </w:rPr>
              <w:t xml:space="preserve">to ensure they reflect Australia’s modern society and provide </w:t>
            </w:r>
            <w:r w:rsidR="006367AE" w:rsidRPr="00886F1D">
              <w:rPr>
                <w:rFonts w:asciiTheme="majorHAnsi" w:hAnsiTheme="majorHAnsi" w:cstheme="majorHAnsi"/>
                <w:color w:val="auto"/>
                <w:sz w:val="20"/>
                <w:lang w:eastAsia="en-AU"/>
              </w:rPr>
              <w:t xml:space="preserve">a </w:t>
            </w:r>
            <w:r w:rsidR="00CC2630" w:rsidRPr="00886F1D">
              <w:rPr>
                <w:rFonts w:asciiTheme="majorHAnsi" w:hAnsiTheme="majorHAnsi" w:cstheme="majorHAnsi"/>
                <w:color w:val="auto"/>
                <w:sz w:val="20"/>
                <w:lang w:eastAsia="en-AU"/>
              </w:rPr>
              <w:t xml:space="preserve">vision for the Australian science system. </w:t>
            </w:r>
          </w:p>
          <w:p w14:paraId="718E78E4" w14:textId="77777777" w:rsidR="001460AC" w:rsidRPr="00886F1D" w:rsidRDefault="001460AC" w:rsidP="00917ECB">
            <w:pPr>
              <w:spacing w:after="0" w:line="240" w:lineRule="auto"/>
              <w:rPr>
                <w:rFonts w:asciiTheme="majorHAnsi" w:hAnsiTheme="majorHAnsi" w:cstheme="majorHAnsi"/>
                <w:color w:val="auto"/>
                <w:sz w:val="20"/>
                <w:lang w:eastAsia="en-AU"/>
              </w:rPr>
            </w:pPr>
          </w:p>
        </w:tc>
      </w:tr>
      <w:tr w:rsidR="00886F1D" w:rsidRPr="00886F1D" w14:paraId="718E78EF" w14:textId="77777777" w:rsidTr="00B52BE2">
        <w:trPr>
          <w:cantSplit/>
          <w:trHeight w:val="941"/>
        </w:trPr>
        <w:tc>
          <w:tcPr>
            <w:tcW w:w="1077" w:type="dxa"/>
            <w:shd w:val="clear" w:color="auto" w:fill="auto"/>
            <w:hideMark/>
          </w:tcPr>
          <w:p w14:paraId="718E78E6" w14:textId="77777777" w:rsidR="001460AC" w:rsidRPr="00886F1D" w:rsidRDefault="008042A6" w:rsidP="005F6E05">
            <w:pPr>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31 (</w:t>
            </w:r>
            <w:r w:rsidR="001460AC" w:rsidRPr="00886F1D">
              <w:rPr>
                <w:rFonts w:asciiTheme="majorHAnsi" w:hAnsiTheme="majorHAnsi" w:cstheme="majorHAnsi"/>
                <w:color w:val="auto"/>
                <w:sz w:val="20"/>
                <w:lang w:eastAsia="en-AU"/>
              </w:rPr>
              <w:t>6.90</w:t>
            </w:r>
            <w:r w:rsidRPr="00886F1D">
              <w:rPr>
                <w:rFonts w:asciiTheme="majorHAnsi" w:hAnsiTheme="majorHAnsi" w:cstheme="majorHAnsi"/>
                <w:color w:val="auto"/>
                <w:sz w:val="20"/>
                <w:lang w:eastAsia="en-AU"/>
              </w:rPr>
              <w:t>)</w:t>
            </w:r>
          </w:p>
          <w:p w14:paraId="718E78E7"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 </w:t>
            </w:r>
          </w:p>
        </w:tc>
        <w:tc>
          <w:tcPr>
            <w:tcW w:w="3814" w:type="dxa"/>
            <w:shd w:val="clear" w:color="auto" w:fill="auto"/>
            <w:hideMark/>
          </w:tcPr>
          <w:p w14:paraId="718E78E8" w14:textId="77777777" w:rsidR="001460AC" w:rsidRPr="00886F1D" w:rsidRDefault="001460AC" w:rsidP="005F6E05">
            <w:pPr>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The Committee recommends that the Australia</w:t>
            </w:r>
            <w:r w:rsidR="00154BCB" w:rsidRPr="00886F1D">
              <w:rPr>
                <w:rFonts w:asciiTheme="majorHAnsi" w:hAnsiTheme="majorHAnsi" w:cstheme="majorHAnsi"/>
                <w:color w:val="auto"/>
                <w:sz w:val="20"/>
                <w:lang w:eastAsia="en-AU"/>
              </w:rPr>
              <w:t>n</w:t>
            </w:r>
            <w:r w:rsidRPr="00886F1D">
              <w:rPr>
                <w:rFonts w:asciiTheme="majorHAnsi" w:hAnsiTheme="majorHAnsi" w:cstheme="majorHAnsi"/>
                <w:color w:val="auto"/>
                <w:sz w:val="20"/>
                <w:lang w:eastAsia="en-AU"/>
              </w:rPr>
              <w:t xml:space="preserve"> </w:t>
            </w:r>
            <w:r w:rsidR="00154BCB" w:rsidRPr="00886F1D">
              <w:rPr>
                <w:rFonts w:asciiTheme="majorHAnsi" w:hAnsiTheme="majorHAnsi" w:cstheme="majorHAnsi"/>
                <w:color w:val="auto"/>
                <w:sz w:val="20"/>
                <w:lang w:eastAsia="en-AU"/>
              </w:rPr>
              <w:t>G</w:t>
            </w:r>
            <w:r w:rsidRPr="00886F1D">
              <w:rPr>
                <w:rFonts w:asciiTheme="majorHAnsi" w:hAnsiTheme="majorHAnsi" w:cstheme="majorHAnsi"/>
                <w:color w:val="auto"/>
                <w:sz w:val="20"/>
                <w:lang w:eastAsia="en-AU"/>
              </w:rPr>
              <w:t>overnment review the model for research and industry collaboration to ensure that it fosters the best outcomes to support innovation, development of space capability, and industry growth.</w:t>
            </w:r>
          </w:p>
        </w:tc>
        <w:tc>
          <w:tcPr>
            <w:tcW w:w="4707" w:type="dxa"/>
          </w:tcPr>
          <w:p w14:paraId="718E78E9" w14:textId="77777777" w:rsidR="001460AC" w:rsidRPr="00886F1D" w:rsidRDefault="001460AC" w:rsidP="00917EC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 xml:space="preserve">Agreed in </w:t>
            </w:r>
            <w:r w:rsidR="00D417F2" w:rsidRPr="00886F1D">
              <w:rPr>
                <w:rFonts w:asciiTheme="majorHAnsi" w:hAnsiTheme="majorHAnsi" w:cstheme="majorHAnsi"/>
                <w:b/>
                <w:color w:val="auto"/>
                <w:sz w:val="20"/>
                <w:lang w:eastAsia="en-AU"/>
              </w:rPr>
              <w:t>P</w:t>
            </w:r>
            <w:r w:rsidRPr="00886F1D">
              <w:rPr>
                <w:rFonts w:asciiTheme="majorHAnsi" w:hAnsiTheme="majorHAnsi" w:cstheme="majorHAnsi"/>
                <w:b/>
                <w:color w:val="auto"/>
                <w:sz w:val="20"/>
                <w:lang w:eastAsia="en-AU"/>
              </w:rPr>
              <w:t>rinciple</w:t>
            </w:r>
          </w:p>
          <w:p w14:paraId="718E78EA" w14:textId="77777777" w:rsidR="001460AC" w:rsidRPr="00886F1D" w:rsidRDefault="001460AC" w:rsidP="00917ECB">
            <w:pPr>
              <w:spacing w:after="0" w:line="240" w:lineRule="auto"/>
              <w:rPr>
                <w:rFonts w:asciiTheme="majorHAnsi" w:hAnsiTheme="majorHAnsi" w:cstheme="majorHAnsi"/>
                <w:b/>
                <w:color w:val="auto"/>
                <w:sz w:val="20"/>
                <w:lang w:eastAsia="en-AU"/>
              </w:rPr>
            </w:pPr>
          </w:p>
          <w:p w14:paraId="718E78EB" w14:textId="77777777" w:rsidR="005868BF" w:rsidRPr="00886F1D" w:rsidRDefault="001460AC" w:rsidP="00917ECB">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E93894"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 xml:space="preserve">Government recognises that increasing collaboration between businesses, research organisations and government in Australia will improve commercialisation outcomes, drive productivity growth and create new jobs. </w:t>
            </w:r>
          </w:p>
          <w:p w14:paraId="718E78EC" w14:textId="77777777" w:rsidR="005868BF" w:rsidRPr="00886F1D" w:rsidRDefault="005868BF" w:rsidP="00917ECB">
            <w:pPr>
              <w:spacing w:after="0" w:line="240" w:lineRule="auto"/>
              <w:rPr>
                <w:rFonts w:asciiTheme="majorHAnsi" w:hAnsiTheme="majorHAnsi" w:cstheme="majorHAnsi"/>
                <w:color w:val="auto"/>
                <w:sz w:val="20"/>
                <w:lang w:eastAsia="en-AU"/>
              </w:rPr>
            </w:pPr>
          </w:p>
          <w:p w14:paraId="718E78ED" w14:textId="77777777" w:rsidR="001460AC" w:rsidRPr="00886F1D" w:rsidRDefault="008C7FAF" w:rsidP="00917ECB">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Australian Government will </w:t>
            </w:r>
            <w:r w:rsidR="00A52F97" w:rsidRPr="00886F1D">
              <w:rPr>
                <w:rFonts w:asciiTheme="majorHAnsi" w:hAnsiTheme="majorHAnsi" w:cstheme="majorHAnsi"/>
                <w:color w:val="auto"/>
                <w:sz w:val="20"/>
                <w:lang w:eastAsia="en-AU"/>
              </w:rPr>
              <w:t>consider</w:t>
            </w:r>
            <w:r w:rsidR="005868BF" w:rsidRPr="00886F1D">
              <w:rPr>
                <w:rFonts w:asciiTheme="majorHAnsi" w:hAnsiTheme="majorHAnsi" w:cstheme="majorHAnsi"/>
                <w:color w:val="auto"/>
                <w:sz w:val="20"/>
                <w:lang w:eastAsia="en-AU"/>
              </w:rPr>
              <w:t xml:space="preserve"> </w:t>
            </w:r>
            <w:r w:rsidR="001460AC" w:rsidRPr="00886F1D">
              <w:rPr>
                <w:rFonts w:asciiTheme="majorHAnsi" w:hAnsiTheme="majorHAnsi" w:cstheme="majorHAnsi"/>
                <w:color w:val="auto"/>
                <w:sz w:val="20"/>
                <w:lang w:eastAsia="en-AU"/>
              </w:rPr>
              <w:t xml:space="preserve">mechanisms to foster research and industry collaboration to achieve these outcomes, which could be facilitated through </w:t>
            </w:r>
            <w:r w:rsidR="00CC31AA" w:rsidRPr="00886F1D">
              <w:rPr>
                <w:rFonts w:asciiTheme="majorHAnsi" w:hAnsiTheme="majorHAnsi" w:cstheme="majorHAnsi"/>
                <w:color w:val="auto"/>
                <w:sz w:val="20"/>
                <w:lang w:eastAsia="en-AU"/>
              </w:rPr>
              <w:t>initiatives such as the N</w:t>
            </w:r>
            <w:r w:rsidR="00CF3C10" w:rsidRPr="00886F1D">
              <w:rPr>
                <w:rFonts w:asciiTheme="majorHAnsi" w:hAnsiTheme="majorHAnsi" w:cstheme="majorHAnsi"/>
                <w:color w:val="auto"/>
                <w:sz w:val="20"/>
                <w:lang w:eastAsia="en-AU"/>
              </w:rPr>
              <w:t xml:space="preserve">ational </w:t>
            </w:r>
            <w:r w:rsidR="00CC31AA" w:rsidRPr="00886F1D">
              <w:rPr>
                <w:rFonts w:asciiTheme="majorHAnsi" w:hAnsiTheme="majorHAnsi" w:cstheme="majorHAnsi"/>
                <w:color w:val="auto"/>
                <w:sz w:val="20"/>
                <w:lang w:eastAsia="en-AU"/>
              </w:rPr>
              <w:t>R</w:t>
            </w:r>
            <w:r w:rsidR="00CF3C10" w:rsidRPr="00886F1D">
              <w:rPr>
                <w:rFonts w:asciiTheme="majorHAnsi" w:hAnsiTheme="majorHAnsi" w:cstheme="majorHAnsi"/>
                <w:color w:val="auto"/>
                <w:sz w:val="20"/>
                <w:lang w:eastAsia="en-AU"/>
              </w:rPr>
              <w:t xml:space="preserve">econstruction </w:t>
            </w:r>
            <w:r w:rsidR="00CC31AA" w:rsidRPr="00886F1D">
              <w:rPr>
                <w:rFonts w:asciiTheme="majorHAnsi" w:hAnsiTheme="majorHAnsi" w:cstheme="majorHAnsi"/>
                <w:color w:val="auto"/>
                <w:sz w:val="20"/>
                <w:lang w:eastAsia="en-AU"/>
              </w:rPr>
              <w:t>F</w:t>
            </w:r>
            <w:r w:rsidR="00CF3C10" w:rsidRPr="00886F1D">
              <w:rPr>
                <w:rFonts w:asciiTheme="majorHAnsi" w:hAnsiTheme="majorHAnsi" w:cstheme="majorHAnsi"/>
                <w:color w:val="auto"/>
                <w:sz w:val="20"/>
                <w:lang w:eastAsia="en-AU"/>
              </w:rPr>
              <w:t>und</w:t>
            </w:r>
            <w:r w:rsidR="00CC31AA" w:rsidRPr="00886F1D">
              <w:rPr>
                <w:rFonts w:asciiTheme="majorHAnsi" w:hAnsiTheme="majorHAnsi" w:cstheme="majorHAnsi"/>
                <w:color w:val="auto"/>
                <w:sz w:val="20"/>
                <w:lang w:eastAsia="en-AU"/>
              </w:rPr>
              <w:t xml:space="preserve"> and </w:t>
            </w:r>
            <w:r w:rsidR="00221191" w:rsidRPr="00886F1D">
              <w:rPr>
                <w:rFonts w:asciiTheme="majorHAnsi" w:hAnsiTheme="majorHAnsi" w:cstheme="majorHAnsi"/>
                <w:color w:val="auto"/>
                <w:sz w:val="20"/>
                <w:lang w:eastAsia="en-AU"/>
              </w:rPr>
              <w:t xml:space="preserve">the </w:t>
            </w:r>
            <w:r w:rsidR="00CC31AA" w:rsidRPr="00886F1D">
              <w:rPr>
                <w:rFonts w:asciiTheme="majorHAnsi" w:hAnsiTheme="majorHAnsi" w:cstheme="majorHAnsi"/>
                <w:color w:val="auto"/>
                <w:sz w:val="20"/>
                <w:lang w:eastAsia="en-AU"/>
              </w:rPr>
              <w:t>C</w:t>
            </w:r>
            <w:r w:rsidR="00D77401" w:rsidRPr="00886F1D">
              <w:rPr>
                <w:rFonts w:asciiTheme="majorHAnsi" w:hAnsiTheme="majorHAnsi" w:cstheme="majorHAnsi"/>
                <w:color w:val="auto"/>
                <w:sz w:val="20"/>
                <w:lang w:eastAsia="en-AU"/>
              </w:rPr>
              <w:t xml:space="preserve">ooperative </w:t>
            </w:r>
            <w:r w:rsidR="00CC31AA" w:rsidRPr="00886F1D">
              <w:rPr>
                <w:rFonts w:asciiTheme="majorHAnsi" w:hAnsiTheme="majorHAnsi" w:cstheme="majorHAnsi"/>
                <w:color w:val="auto"/>
                <w:sz w:val="20"/>
                <w:lang w:eastAsia="en-AU"/>
              </w:rPr>
              <w:t>R</w:t>
            </w:r>
            <w:r w:rsidR="00D77401" w:rsidRPr="00886F1D">
              <w:rPr>
                <w:rFonts w:asciiTheme="majorHAnsi" w:hAnsiTheme="majorHAnsi" w:cstheme="majorHAnsi"/>
                <w:color w:val="auto"/>
                <w:sz w:val="20"/>
                <w:lang w:eastAsia="en-AU"/>
              </w:rPr>
              <w:t xml:space="preserve">esearch </w:t>
            </w:r>
            <w:r w:rsidR="00CC31AA" w:rsidRPr="00886F1D">
              <w:rPr>
                <w:rFonts w:asciiTheme="majorHAnsi" w:hAnsiTheme="majorHAnsi" w:cstheme="majorHAnsi"/>
                <w:color w:val="auto"/>
                <w:sz w:val="20"/>
                <w:lang w:eastAsia="en-AU"/>
              </w:rPr>
              <w:t>C</w:t>
            </w:r>
            <w:r w:rsidR="00D77401" w:rsidRPr="00886F1D">
              <w:rPr>
                <w:rFonts w:asciiTheme="majorHAnsi" w:hAnsiTheme="majorHAnsi" w:cstheme="majorHAnsi"/>
                <w:color w:val="auto"/>
                <w:sz w:val="20"/>
                <w:lang w:eastAsia="en-AU"/>
              </w:rPr>
              <w:t>entres</w:t>
            </w:r>
            <w:r w:rsidR="00CC31AA" w:rsidRPr="00886F1D">
              <w:rPr>
                <w:rFonts w:asciiTheme="majorHAnsi" w:hAnsiTheme="majorHAnsi" w:cstheme="majorHAnsi"/>
                <w:color w:val="auto"/>
                <w:sz w:val="20"/>
                <w:lang w:eastAsia="en-AU"/>
              </w:rPr>
              <w:t xml:space="preserve"> </w:t>
            </w:r>
            <w:r w:rsidR="00CF3C10" w:rsidRPr="00886F1D">
              <w:rPr>
                <w:rFonts w:asciiTheme="majorHAnsi" w:hAnsiTheme="majorHAnsi" w:cstheme="majorHAnsi"/>
                <w:color w:val="auto"/>
                <w:sz w:val="20"/>
                <w:lang w:eastAsia="en-AU"/>
              </w:rPr>
              <w:t xml:space="preserve">(CRC) </w:t>
            </w:r>
            <w:r w:rsidR="00CC31AA" w:rsidRPr="00886F1D">
              <w:rPr>
                <w:rFonts w:asciiTheme="majorHAnsi" w:hAnsiTheme="majorHAnsi" w:cstheme="majorHAnsi"/>
                <w:color w:val="auto"/>
                <w:sz w:val="20"/>
                <w:lang w:eastAsia="en-AU"/>
              </w:rPr>
              <w:t>Program.</w:t>
            </w:r>
          </w:p>
          <w:p w14:paraId="718E78EE" w14:textId="77777777" w:rsidR="00144192" w:rsidRPr="00886F1D" w:rsidRDefault="00144192" w:rsidP="00917ECB">
            <w:pPr>
              <w:spacing w:after="0" w:line="240" w:lineRule="auto"/>
              <w:rPr>
                <w:rFonts w:asciiTheme="majorHAnsi" w:hAnsiTheme="majorHAnsi" w:cstheme="majorHAnsi"/>
                <w:b/>
                <w:color w:val="auto"/>
                <w:sz w:val="20"/>
                <w:lang w:eastAsia="en-AU"/>
              </w:rPr>
            </w:pPr>
          </w:p>
        </w:tc>
      </w:tr>
      <w:tr w:rsidR="00886F1D" w:rsidRPr="00886F1D" w14:paraId="718E78F9" w14:textId="77777777" w:rsidTr="00B52BE2">
        <w:trPr>
          <w:cantSplit/>
          <w:trHeight w:val="320"/>
        </w:trPr>
        <w:tc>
          <w:tcPr>
            <w:tcW w:w="1077" w:type="dxa"/>
            <w:shd w:val="clear" w:color="auto" w:fill="auto"/>
            <w:hideMark/>
          </w:tcPr>
          <w:p w14:paraId="718E78F0"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lastRenderedPageBreak/>
              <w:t>31 (</w:t>
            </w:r>
            <w:r w:rsidR="001460AC" w:rsidRPr="00886F1D">
              <w:rPr>
                <w:rFonts w:asciiTheme="majorHAnsi" w:eastAsia="Times New Roman" w:hAnsiTheme="majorHAnsi" w:cstheme="majorHAnsi"/>
                <w:color w:val="auto"/>
                <w:sz w:val="20"/>
                <w:lang w:eastAsia="en-AU"/>
              </w:rPr>
              <w:t>6.91</w:t>
            </w:r>
            <w:r w:rsidRPr="00886F1D">
              <w:rPr>
                <w:rFonts w:asciiTheme="majorHAnsi" w:eastAsia="Times New Roman" w:hAnsiTheme="majorHAnsi" w:cstheme="majorHAnsi"/>
                <w:color w:val="auto"/>
                <w:sz w:val="20"/>
                <w:lang w:eastAsia="en-AU"/>
              </w:rPr>
              <w:t>)</w:t>
            </w:r>
          </w:p>
          <w:p w14:paraId="718E78F1"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 xml:space="preserve"> </w:t>
            </w:r>
          </w:p>
        </w:tc>
        <w:tc>
          <w:tcPr>
            <w:tcW w:w="3814" w:type="dxa"/>
            <w:shd w:val="clear" w:color="auto" w:fill="auto"/>
            <w:hideMark/>
          </w:tcPr>
          <w:p w14:paraId="718E78F2"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This includes access by academia and industry to cross sector research funding streams and programs.</w:t>
            </w:r>
          </w:p>
        </w:tc>
        <w:tc>
          <w:tcPr>
            <w:tcW w:w="4707" w:type="dxa"/>
          </w:tcPr>
          <w:p w14:paraId="718E78F3" w14:textId="77777777" w:rsidR="001460AC" w:rsidRPr="00886F1D" w:rsidRDefault="001460AC" w:rsidP="00917EC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 xml:space="preserve">Agreed in </w:t>
            </w:r>
            <w:r w:rsidR="00221191" w:rsidRPr="00886F1D">
              <w:rPr>
                <w:rFonts w:asciiTheme="majorHAnsi" w:hAnsiTheme="majorHAnsi" w:cstheme="majorHAnsi"/>
                <w:b/>
                <w:color w:val="auto"/>
                <w:sz w:val="20"/>
                <w:lang w:eastAsia="en-AU"/>
              </w:rPr>
              <w:t>P</w:t>
            </w:r>
            <w:r w:rsidRPr="00886F1D">
              <w:rPr>
                <w:rFonts w:asciiTheme="majorHAnsi" w:hAnsiTheme="majorHAnsi" w:cstheme="majorHAnsi"/>
                <w:b/>
                <w:color w:val="auto"/>
                <w:sz w:val="20"/>
                <w:lang w:eastAsia="en-AU"/>
              </w:rPr>
              <w:t>rinciple</w:t>
            </w:r>
          </w:p>
          <w:p w14:paraId="718E78F4" w14:textId="77777777" w:rsidR="001460AC" w:rsidRPr="00886F1D" w:rsidRDefault="001460AC" w:rsidP="00917ECB">
            <w:pPr>
              <w:spacing w:after="0" w:line="240" w:lineRule="auto"/>
              <w:rPr>
                <w:rFonts w:asciiTheme="majorHAnsi" w:hAnsiTheme="majorHAnsi" w:cstheme="majorHAnsi"/>
                <w:b/>
                <w:color w:val="auto"/>
                <w:sz w:val="20"/>
                <w:lang w:eastAsia="en-AU"/>
              </w:rPr>
            </w:pPr>
          </w:p>
          <w:p w14:paraId="718E78F5" w14:textId="77777777" w:rsidR="005868BF" w:rsidRPr="00886F1D" w:rsidRDefault="001460AC" w:rsidP="00917ECB">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E93894"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 xml:space="preserve">Government is committed to supporting Australian business and academia to collaborate and undertake cross sector research that will stimulate the growth of </w:t>
            </w:r>
            <w:r w:rsidR="008553E6" w:rsidRPr="00886F1D">
              <w:rPr>
                <w:rFonts w:asciiTheme="majorHAnsi" w:hAnsiTheme="majorHAnsi" w:cstheme="majorHAnsi"/>
                <w:color w:val="auto"/>
                <w:sz w:val="20"/>
                <w:lang w:eastAsia="en-AU"/>
              </w:rPr>
              <w:t xml:space="preserve">industries such as </w:t>
            </w:r>
            <w:r w:rsidRPr="00886F1D">
              <w:rPr>
                <w:rFonts w:asciiTheme="majorHAnsi" w:hAnsiTheme="majorHAnsi" w:cstheme="majorHAnsi"/>
                <w:color w:val="auto"/>
                <w:sz w:val="20"/>
                <w:lang w:eastAsia="en-AU"/>
              </w:rPr>
              <w:t xml:space="preserve">the Australian space industry. </w:t>
            </w:r>
          </w:p>
          <w:p w14:paraId="718E78F6" w14:textId="77777777" w:rsidR="005868BF" w:rsidRPr="00886F1D" w:rsidRDefault="005868BF" w:rsidP="00917ECB">
            <w:pPr>
              <w:spacing w:after="0" w:line="240" w:lineRule="auto"/>
              <w:rPr>
                <w:rFonts w:asciiTheme="majorHAnsi" w:hAnsiTheme="majorHAnsi" w:cstheme="majorHAnsi"/>
                <w:color w:val="auto"/>
                <w:sz w:val="20"/>
                <w:lang w:eastAsia="en-AU"/>
              </w:rPr>
            </w:pPr>
          </w:p>
          <w:p w14:paraId="718E78F7" w14:textId="77777777" w:rsidR="001460AC" w:rsidRPr="00886F1D" w:rsidRDefault="008C7FAF" w:rsidP="00917ECB">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The Australian Government will consider</w:t>
            </w:r>
            <w:r w:rsidR="001460AC" w:rsidRPr="00886F1D">
              <w:rPr>
                <w:rFonts w:asciiTheme="majorHAnsi" w:hAnsiTheme="majorHAnsi" w:cstheme="majorHAnsi"/>
                <w:color w:val="auto"/>
                <w:sz w:val="20"/>
                <w:lang w:eastAsia="en-AU"/>
              </w:rPr>
              <w:t xml:space="preserve"> opportunities for cross-sector research funding streams and programs through </w:t>
            </w:r>
            <w:r w:rsidR="008553E6" w:rsidRPr="00886F1D">
              <w:rPr>
                <w:rFonts w:asciiTheme="majorHAnsi" w:hAnsiTheme="majorHAnsi" w:cstheme="majorHAnsi"/>
                <w:color w:val="auto"/>
                <w:sz w:val="20"/>
                <w:lang w:eastAsia="en-AU"/>
              </w:rPr>
              <w:t xml:space="preserve">initiatives such as </w:t>
            </w:r>
            <w:r w:rsidR="001460AC" w:rsidRPr="00886F1D">
              <w:rPr>
                <w:rFonts w:asciiTheme="majorHAnsi" w:hAnsiTheme="majorHAnsi" w:cstheme="majorHAnsi"/>
                <w:color w:val="auto"/>
                <w:sz w:val="20"/>
                <w:lang w:eastAsia="en-AU"/>
              </w:rPr>
              <w:t xml:space="preserve">the </w:t>
            </w:r>
            <w:r w:rsidR="00CC31AA" w:rsidRPr="00886F1D">
              <w:rPr>
                <w:rFonts w:asciiTheme="majorHAnsi" w:hAnsiTheme="majorHAnsi" w:cstheme="majorHAnsi"/>
                <w:color w:val="auto"/>
                <w:sz w:val="20"/>
                <w:lang w:eastAsia="en-AU"/>
              </w:rPr>
              <w:t>CRC</w:t>
            </w:r>
            <w:r w:rsidR="00CC10B7" w:rsidRPr="00886F1D">
              <w:rPr>
                <w:rFonts w:asciiTheme="majorHAnsi" w:hAnsiTheme="majorHAnsi" w:cstheme="majorHAnsi"/>
                <w:color w:val="auto"/>
                <w:sz w:val="20"/>
                <w:lang w:eastAsia="en-AU"/>
              </w:rPr>
              <w:t xml:space="preserve"> Program</w:t>
            </w:r>
            <w:r w:rsidR="00541980" w:rsidRPr="00886F1D">
              <w:rPr>
                <w:rFonts w:asciiTheme="majorHAnsi" w:hAnsiTheme="majorHAnsi" w:cstheme="majorHAnsi"/>
                <w:color w:val="auto"/>
                <w:sz w:val="20"/>
                <w:lang w:eastAsia="en-AU"/>
              </w:rPr>
              <w:t xml:space="preserve"> and the </w:t>
            </w:r>
            <w:r w:rsidR="001460AC" w:rsidRPr="00886F1D">
              <w:rPr>
                <w:rFonts w:asciiTheme="majorHAnsi" w:hAnsiTheme="majorHAnsi" w:cstheme="majorHAnsi"/>
                <w:color w:val="auto"/>
                <w:sz w:val="20"/>
                <w:lang w:eastAsia="en-AU"/>
              </w:rPr>
              <w:t>N</w:t>
            </w:r>
            <w:r w:rsidR="00221191" w:rsidRPr="00886F1D">
              <w:rPr>
                <w:rFonts w:asciiTheme="majorHAnsi" w:hAnsiTheme="majorHAnsi" w:cstheme="majorHAnsi"/>
                <w:color w:val="auto"/>
                <w:sz w:val="20"/>
                <w:lang w:eastAsia="en-AU"/>
              </w:rPr>
              <w:t>ational Reconstruction Fund</w:t>
            </w:r>
            <w:r w:rsidR="001460AC" w:rsidRPr="00886F1D">
              <w:rPr>
                <w:rFonts w:asciiTheme="majorHAnsi" w:hAnsiTheme="majorHAnsi" w:cstheme="majorHAnsi"/>
                <w:color w:val="auto"/>
                <w:sz w:val="20"/>
                <w:lang w:eastAsia="en-AU"/>
              </w:rPr>
              <w:t>.</w:t>
            </w:r>
          </w:p>
          <w:p w14:paraId="718E78F8" w14:textId="77777777" w:rsidR="001460AC" w:rsidRPr="00886F1D" w:rsidRDefault="001460AC" w:rsidP="00917ECB">
            <w:pPr>
              <w:spacing w:after="0" w:line="240" w:lineRule="auto"/>
              <w:rPr>
                <w:rFonts w:asciiTheme="majorHAnsi" w:hAnsiTheme="majorHAnsi" w:cstheme="majorHAnsi"/>
                <w:b/>
                <w:color w:val="auto"/>
                <w:sz w:val="20"/>
                <w:lang w:eastAsia="en-AU"/>
              </w:rPr>
            </w:pPr>
          </w:p>
        </w:tc>
      </w:tr>
      <w:tr w:rsidR="00886F1D" w:rsidRPr="00886F1D" w14:paraId="718E7903" w14:textId="77777777" w:rsidTr="00B52BE2">
        <w:trPr>
          <w:cantSplit/>
          <w:trHeight w:val="941"/>
        </w:trPr>
        <w:tc>
          <w:tcPr>
            <w:tcW w:w="1077" w:type="dxa"/>
            <w:shd w:val="clear" w:color="auto" w:fill="auto"/>
            <w:hideMark/>
          </w:tcPr>
          <w:p w14:paraId="718E78FA"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32 (</w:t>
            </w:r>
            <w:r w:rsidR="001460AC" w:rsidRPr="00886F1D">
              <w:rPr>
                <w:rFonts w:asciiTheme="majorHAnsi" w:eastAsia="Times New Roman" w:hAnsiTheme="majorHAnsi" w:cstheme="majorHAnsi"/>
                <w:color w:val="auto"/>
                <w:sz w:val="20"/>
                <w:lang w:eastAsia="en-AU"/>
              </w:rPr>
              <w:t>6.92</w:t>
            </w:r>
            <w:r w:rsidRPr="00886F1D">
              <w:rPr>
                <w:rFonts w:asciiTheme="majorHAnsi" w:eastAsia="Times New Roman" w:hAnsiTheme="majorHAnsi" w:cstheme="majorHAnsi"/>
                <w:color w:val="auto"/>
                <w:sz w:val="20"/>
                <w:lang w:eastAsia="en-AU"/>
              </w:rPr>
              <w:t>)</w:t>
            </w:r>
          </w:p>
          <w:p w14:paraId="718E78FB"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8FC"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examine options to protect the intellectual property security of stakeholders within the Australian space industry to ensure that collaboration between academics, industry and government can occur in a secure environment.</w:t>
            </w:r>
          </w:p>
        </w:tc>
        <w:tc>
          <w:tcPr>
            <w:tcW w:w="4707" w:type="dxa"/>
          </w:tcPr>
          <w:p w14:paraId="718E78FD" w14:textId="77777777" w:rsidR="001460AC" w:rsidRPr="00886F1D" w:rsidRDefault="001460AC" w:rsidP="00917EC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 xml:space="preserve">Agreed in </w:t>
            </w:r>
            <w:r w:rsidR="00C92765" w:rsidRPr="00886F1D">
              <w:rPr>
                <w:rFonts w:asciiTheme="majorHAnsi" w:hAnsiTheme="majorHAnsi" w:cstheme="majorHAnsi"/>
                <w:b/>
                <w:color w:val="auto"/>
                <w:sz w:val="20"/>
                <w:lang w:eastAsia="en-AU"/>
              </w:rPr>
              <w:t>P</w:t>
            </w:r>
            <w:r w:rsidRPr="00886F1D">
              <w:rPr>
                <w:rFonts w:asciiTheme="majorHAnsi" w:hAnsiTheme="majorHAnsi" w:cstheme="majorHAnsi"/>
                <w:b/>
                <w:color w:val="auto"/>
                <w:sz w:val="20"/>
                <w:lang w:eastAsia="en-AU"/>
              </w:rPr>
              <w:t>rinciple</w:t>
            </w:r>
          </w:p>
          <w:p w14:paraId="718E78FE" w14:textId="77777777" w:rsidR="001460AC" w:rsidRPr="00886F1D" w:rsidRDefault="001460AC" w:rsidP="00917ECB">
            <w:pPr>
              <w:spacing w:after="0" w:line="240" w:lineRule="auto"/>
              <w:rPr>
                <w:rFonts w:asciiTheme="majorHAnsi" w:hAnsiTheme="majorHAnsi" w:cstheme="majorHAnsi"/>
                <w:b/>
                <w:color w:val="auto"/>
                <w:sz w:val="20"/>
                <w:lang w:eastAsia="en-AU"/>
              </w:rPr>
            </w:pPr>
          </w:p>
          <w:p w14:paraId="718E78FF" w14:textId="77777777" w:rsidR="001460AC" w:rsidRPr="00886F1D" w:rsidRDefault="001460AC" w:rsidP="00917ECB">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The</w:t>
            </w:r>
            <w:r w:rsidR="00E93894" w:rsidRPr="00886F1D">
              <w:rPr>
                <w:rFonts w:asciiTheme="majorHAnsi" w:hAnsiTheme="majorHAnsi" w:cstheme="majorHAnsi"/>
                <w:color w:val="auto"/>
                <w:sz w:val="20"/>
                <w:lang w:eastAsia="en-AU"/>
              </w:rPr>
              <w:t xml:space="preserve"> Australian</w:t>
            </w:r>
            <w:r w:rsidRPr="00886F1D">
              <w:rPr>
                <w:rFonts w:asciiTheme="majorHAnsi" w:hAnsiTheme="majorHAnsi" w:cstheme="majorHAnsi"/>
                <w:color w:val="auto"/>
                <w:sz w:val="20"/>
                <w:lang w:eastAsia="en-AU"/>
              </w:rPr>
              <w:t xml:space="preserve"> Government recognises the importance of keeping Australia’s home-grown space innovation and intellectual property </w:t>
            </w:r>
            <w:r w:rsidR="00745804" w:rsidRPr="00886F1D">
              <w:rPr>
                <w:rFonts w:asciiTheme="majorHAnsi" w:hAnsiTheme="majorHAnsi" w:cstheme="majorHAnsi"/>
                <w:color w:val="auto"/>
                <w:sz w:val="20"/>
                <w:lang w:eastAsia="en-AU"/>
              </w:rPr>
              <w:t xml:space="preserve">(IP) </w:t>
            </w:r>
            <w:r w:rsidRPr="00886F1D">
              <w:rPr>
                <w:rFonts w:asciiTheme="majorHAnsi" w:hAnsiTheme="majorHAnsi" w:cstheme="majorHAnsi"/>
                <w:color w:val="auto"/>
                <w:sz w:val="20"/>
                <w:lang w:eastAsia="en-AU"/>
              </w:rPr>
              <w:t>secure to encourage collaboration between academics, industry and government.</w:t>
            </w:r>
          </w:p>
          <w:p w14:paraId="718E7900" w14:textId="77777777" w:rsidR="001460AC" w:rsidRPr="00886F1D" w:rsidRDefault="001460AC" w:rsidP="00917ECB">
            <w:pPr>
              <w:spacing w:after="0" w:line="240" w:lineRule="auto"/>
              <w:rPr>
                <w:rFonts w:asciiTheme="majorHAnsi" w:hAnsiTheme="majorHAnsi" w:cstheme="majorHAnsi"/>
                <w:color w:val="auto"/>
                <w:sz w:val="20"/>
                <w:lang w:eastAsia="en-AU"/>
              </w:rPr>
            </w:pPr>
          </w:p>
          <w:p w14:paraId="718E7901" w14:textId="77777777" w:rsidR="00194991" w:rsidRPr="00886F1D" w:rsidRDefault="00194991" w:rsidP="00194991">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E93894"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Government notes the programs and resources already in place to assist Australian companies</w:t>
            </w:r>
            <w:r w:rsidR="00154BCB" w:rsidRPr="00886F1D">
              <w:rPr>
                <w:rFonts w:asciiTheme="majorHAnsi" w:hAnsiTheme="majorHAnsi" w:cstheme="majorHAnsi"/>
                <w:color w:val="auto"/>
                <w:sz w:val="20"/>
                <w:lang w:eastAsia="en-AU"/>
              </w:rPr>
              <w:t xml:space="preserve"> to</w:t>
            </w:r>
            <w:r w:rsidRPr="00886F1D">
              <w:rPr>
                <w:rFonts w:asciiTheme="majorHAnsi" w:hAnsiTheme="majorHAnsi" w:cstheme="majorHAnsi"/>
                <w:color w:val="auto"/>
                <w:sz w:val="20"/>
                <w:lang w:eastAsia="en-AU"/>
              </w:rPr>
              <w:t xml:space="preserve"> protect themselves from IP theft. This includes the Australia</w:t>
            </w:r>
            <w:r w:rsidR="00154BCB" w:rsidRPr="00886F1D">
              <w:rPr>
                <w:rFonts w:asciiTheme="majorHAnsi" w:hAnsiTheme="majorHAnsi" w:cstheme="majorHAnsi"/>
                <w:color w:val="auto"/>
                <w:sz w:val="20"/>
                <w:lang w:eastAsia="en-AU"/>
              </w:rPr>
              <w:t>n</w:t>
            </w:r>
            <w:r w:rsidRPr="00886F1D">
              <w:rPr>
                <w:rFonts w:asciiTheme="majorHAnsi" w:hAnsiTheme="majorHAnsi" w:cstheme="majorHAnsi"/>
                <w:color w:val="auto"/>
                <w:sz w:val="20"/>
                <w:lang w:eastAsia="en-AU"/>
              </w:rPr>
              <w:t xml:space="preserve"> Cyber Security Strategy 2020 to confront cyber threats including intellectual property theft, as well as the University Foreign Interference Taskforce’s (UFIT) Guidelines to Counter Foreign Interference in the Australian University Sector. UFIT sets out principles designed to strengthen the resilience of Australian universities against threats to intellectual property, whilst maintaining their ability to collaborate on and commercialise their research. IP Australia’s SME Portal assists small and medium businesses to access detailed information on IP rights and usage.</w:t>
            </w:r>
          </w:p>
          <w:p w14:paraId="718E7902" w14:textId="77777777" w:rsidR="001460AC" w:rsidRPr="00886F1D" w:rsidRDefault="001460AC" w:rsidP="00917ECB">
            <w:pPr>
              <w:spacing w:after="0" w:line="240" w:lineRule="auto"/>
              <w:rPr>
                <w:rFonts w:asciiTheme="majorHAnsi" w:hAnsiTheme="majorHAnsi" w:cstheme="majorHAnsi"/>
                <w:color w:val="auto"/>
                <w:sz w:val="20"/>
                <w:lang w:eastAsia="en-AU"/>
              </w:rPr>
            </w:pPr>
          </w:p>
        </w:tc>
      </w:tr>
      <w:tr w:rsidR="00886F1D" w:rsidRPr="00886F1D" w14:paraId="718E790E" w14:textId="77777777" w:rsidTr="00B52BE2">
        <w:trPr>
          <w:cantSplit/>
          <w:trHeight w:val="631"/>
        </w:trPr>
        <w:tc>
          <w:tcPr>
            <w:tcW w:w="1077" w:type="dxa"/>
            <w:shd w:val="clear" w:color="auto" w:fill="auto"/>
            <w:hideMark/>
          </w:tcPr>
          <w:p w14:paraId="718E7904"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32 (</w:t>
            </w:r>
            <w:r w:rsidR="001460AC" w:rsidRPr="00886F1D">
              <w:rPr>
                <w:rFonts w:asciiTheme="majorHAnsi" w:eastAsia="Times New Roman" w:hAnsiTheme="majorHAnsi" w:cstheme="majorHAnsi"/>
                <w:color w:val="auto"/>
                <w:sz w:val="20"/>
                <w:lang w:eastAsia="en-AU"/>
              </w:rPr>
              <w:t>6.93</w:t>
            </w:r>
            <w:r w:rsidRPr="00886F1D">
              <w:rPr>
                <w:rFonts w:asciiTheme="majorHAnsi" w:eastAsia="Times New Roman" w:hAnsiTheme="majorHAnsi" w:cstheme="majorHAnsi"/>
                <w:color w:val="auto"/>
                <w:sz w:val="20"/>
                <w:lang w:eastAsia="en-AU"/>
              </w:rPr>
              <w:t>)</w:t>
            </w:r>
          </w:p>
          <w:p w14:paraId="718E7905"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906" w14:textId="77777777" w:rsidR="001460AC" w:rsidRPr="00886F1D" w:rsidRDefault="001460AC" w:rsidP="00EE4E20">
            <w:pPr>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The Committee recommends that the Australian Government consider options for industry to commercialise publicly funded research and development and intellectual property creation in a competitive environment.</w:t>
            </w:r>
          </w:p>
          <w:p w14:paraId="718E7907"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4707" w:type="dxa"/>
          </w:tcPr>
          <w:p w14:paraId="718E7908" w14:textId="77777777" w:rsidR="001460AC" w:rsidRPr="00886F1D" w:rsidRDefault="001460AC" w:rsidP="00917EC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 xml:space="preserve">Agreed in </w:t>
            </w:r>
            <w:r w:rsidR="00BC31E5" w:rsidRPr="00886F1D">
              <w:rPr>
                <w:rFonts w:asciiTheme="majorHAnsi" w:hAnsiTheme="majorHAnsi" w:cstheme="majorHAnsi"/>
                <w:b/>
                <w:color w:val="auto"/>
                <w:sz w:val="20"/>
                <w:lang w:eastAsia="en-AU"/>
              </w:rPr>
              <w:t>P</w:t>
            </w:r>
            <w:r w:rsidRPr="00886F1D">
              <w:rPr>
                <w:rFonts w:asciiTheme="majorHAnsi" w:hAnsiTheme="majorHAnsi" w:cstheme="majorHAnsi"/>
                <w:b/>
                <w:color w:val="auto"/>
                <w:sz w:val="20"/>
                <w:lang w:eastAsia="en-AU"/>
              </w:rPr>
              <w:t>rinciple</w:t>
            </w:r>
          </w:p>
          <w:p w14:paraId="718E7909" w14:textId="77777777" w:rsidR="001460AC" w:rsidRPr="00886F1D" w:rsidRDefault="001460AC" w:rsidP="00917ECB">
            <w:pPr>
              <w:spacing w:after="0" w:line="240" w:lineRule="auto"/>
              <w:rPr>
                <w:rFonts w:asciiTheme="majorHAnsi" w:hAnsiTheme="majorHAnsi" w:cstheme="majorHAnsi"/>
                <w:b/>
                <w:color w:val="auto"/>
                <w:sz w:val="20"/>
                <w:lang w:eastAsia="en-AU"/>
              </w:rPr>
            </w:pPr>
          </w:p>
          <w:p w14:paraId="718E790A" w14:textId="77777777" w:rsidR="001460AC" w:rsidRPr="00886F1D" w:rsidRDefault="001460AC" w:rsidP="00917ECB">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The</w:t>
            </w:r>
            <w:r w:rsidR="008468A9" w:rsidRPr="00886F1D">
              <w:rPr>
                <w:rFonts w:asciiTheme="majorHAnsi" w:hAnsiTheme="majorHAnsi" w:cstheme="majorHAnsi"/>
                <w:color w:val="auto"/>
                <w:sz w:val="20"/>
                <w:lang w:eastAsia="en-AU"/>
              </w:rPr>
              <w:t xml:space="preserve"> Australian</w:t>
            </w:r>
            <w:r w:rsidRPr="00886F1D">
              <w:rPr>
                <w:rFonts w:asciiTheme="majorHAnsi" w:hAnsiTheme="majorHAnsi" w:cstheme="majorHAnsi"/>
                <w:color w:val="auto"/>
                <w:sz w:val="20"/>
                <w:lang w:eastAsia="en-AU"/>
              </w:rPr>
              <w:t xml:space="preserve"> Government recognises the importance that successful commercialisation of research and development and generation of new intellectual property play in driving the growth of Australia’s space sector.</w:t>
            </w:r>
          </w:p>
          <w:p w14:paraId="718E790B" w14:textId="77777777" w:rsidR="001460AC" w:rsidRPr="00886F1D" w:rsidRDefault="001460AC" w:rsidP="00917ECB">
            <w:pPr>
              <w:spacing w:after="0" w:line="240" w:lineRule="auto"/>
              <w:rPr>
                <w:rFonts w:asciiTheme="majorHAnsi" w:eastAsia="Times New Roman" w:hAnsiTheme="majorHAnsi" w:cstheme="majorHAnsi"/>
                <w:b/>
                <w:color w:val="auto"/>
                <w:sz w:val="20"/>
                <w:lang w:eastAsia="en-AU"/>
              </w:rPr>
            </w:pPr>
          </w:p>
          <w:p w14:paraId="718E790C" w14:textId="77777777" w:rsidR="001460AC" w:rsidRPr="00886F1D" w:rsidRDefault="00492856" w:rsidP="00917ECB">
            <w:pPr>
              <w:spacing w:after="0" w:line="240" w:lineRule="auto"/>
              <w:rPr>
                <w:rFonts w:asciiTheme="majorHAnsi" w:eastAsia="Times New Roman" w:hAnsiTheme="majorHAnsi" w:cstheme="majorHAnsi"/>
                <w:b/>
                <w:color w:val="auto"/>
                <w:sz w:val="20"/>
                <w:lang w:eastAsia="en-AU"/>
              </w:rPr>
            </w:pPr>
            <w:r w:rsidRPr="00886F1D">
              <w:rPr>
                <w:rFonts w:asciiTheme="majorHAnsi" w:hAnsiTheme="majorHAnsi" w:cstheme="majorHAnsi"/>
                <w:color w:val="auto"/>
                <w:sz w:val="20"/>
                <w:lang w:eastAsia="en-AU"/>
              </w:rPr>
              <w:t>The Australian Government will consider</w:t>
            </w:r>
            <w:r w:rsidR="00D07FE3" w:rsidRPr="00886F1D">
              <w:rPr>
                <w:rFonts w:asciiTheme="majorHAnsi" w:hAnsiTheme="majorHAnsi" w:cstheme="majorHAnsi"/>
                <w:b/>
                <w:color w:val="auto"/>
                <w:sz w:val="20"/>
                <w:lang w:eastAsia="en-AU"/>
              </w:rPr>
              <w:t xml:space="preserve"> </w:t>
            </w:r>
            <w:r w:rsidR="001460AC" w:rsidRPr="00886F1D">
              <w:rPr>
                <w:rFonts w:asciiTheme="majorHAnsi" w:hAnsiTheme="majorHAnsi" w:cstheme="majorHAnsi"/>
                <w:color w:val="auto"/>
                <w:sz w:val="20"/>
                <w:lang w:eastAsia="en-AU"/>
              </w:rPr>
              <w:t>options for further driving commercialisation of research and generation of new intellectual property.</w:t>
            </w:r>
          </w:p>
          <w:p w14:paraId="718E790D" w14:textId="77777777" w:rsidR="001460AC" w:rsidRPr="00886F1D" w:rsidRDefault="001460AC" w:rsidP="00917ECB">
            <w:pPr>
              <w:spacing w:after="0" w:line="240" w:lineRule="auto"/>
              <w:rPr>
                <w:rFonts w:asciiTheme="majorHAnsi" w:hAnsiTheme="majorHAnsi" w:cstheme="majorHAnsi"/>
                <w:b/>
                <w:color w:val="auto"/>
                <w:sz w:val="20"/>
                <w:lang w:eastAsia="en-AU"/>
              </w:rPr>
            </w:pPr>
          </w:p>
        </w:tc>
      </w:tr>
      <w:tr w:rsidR="00886F1D" w:rsidRPr="00886F1D" w14:paraId="718E791A" w14:textId="77777777" w:rsidTr="00B52BE2">
        <w:trPr>
          <w:cantSplit/>
          <w:trHeight w:val="631"/>
        </w:trPr>
        <w:tc>
          <w:tcPr>
            <w:tcW w:w="1077" w:type="dxa"/>
            <w:shd w:val="clear" w:color="auto" w:fill="auto"/>
            <w:hideMark/>
          </w:tcPr>
          <w:p w14:paraId="718E790F" w14:textId="77777777" w:rsidR="001460AC" w:rsidRPr="00886F1D" w:rsidRDefault="008042A6" w:rsidP="00EE4E20">
            <w:pPr>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lastRenderedPageBreak/>
              <w:t>33 (</w:t>
            </w:r>
            <w:r w:rsidR="001460AC" w:rsidRPr="00886F1D">
              <w:rPr>
                <w:rFonts w:asciiTheme="majorHAnsi" w:hAnsiTheme="majorHAnsi" w:cstheme="majorHAnsi"/>
                <w:color w:val="auto"/>
                <w:sz w:val="20"/>
                <w:lang w:eastAsia="en-AU"/>
              </w:rPr>
              <w:t>7.80</w:t>
            </w:r>
            <w:r w:rsidRPr="00886F1D">
              <w:rPr>
                <w:rFonts w:asciiTheme="majorHAnsi" w:hAnsiTheme="majorHAnsi" w:cstheme="majorHAnsi"/>
                <w:color w:val="auto"/>
                <w:sz w:val="20"/>
                <w:lang w:eastAsia="en-AU"/>
              </w:rPr>
              <w:t>)</w:t>
            </w:r>
          </w:p>
          <w:p w14:paraId="718E7910"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911"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develop a community education and outreach program to promote the diversity of employment, careers and opportunities within the space sector.</w:t>
            </w:r>
          </w:p>
        </w:tc>
        <w:tc>
          <w:tcPr>
            <w:tcW w:w="4707" w:type="dxa"/>
          </w:tcPr>
          <w:p w14:paraId="718E7912" w14:textId="77777777" w:rsidR="0057510A" w:rsidRPr="00886F1D" w:rsidRDefault="001460AC" w:rsidP="00917ECB">
            <w:pPr>
              <w:pStyle w:val="Default"/>
              <w:rPr>
                <w:rFonts w:asciiTheme="majorHAnsi" w:hAnsiTheme="majorHAnsi" w:cstheme="majorHAnsi"/>
                <w:b/>
                <w:color w:val="auto"/>
                <w:sz w:val="20"/>
                <w:szCs w:val="20"/>
              </w:rPr>
            </w:pPr>
            <w:r w:rsidRPr="00886F1D">
              <w:rPr>
                <w:rFonts w:asciiTheme="majorHAnsi" w:hAnsiTheme="majorHAnsi" w:cstheme="majorHAnsi"/>
                <w:b/>
                <w:color w:val="auto"/>
                <w:sz w:val="20"/>
                <w:szCs w:val="20"/>
              </w:rPr>
              <w:t xml:space="preserve">Agreed in </w:t>
            </w:r>
            <w:r w:rsidR="00BC31E5" w:rsidRPr="00886F1D">
              <w:rPr>
                <w:rFonts w:asciiTheme="majorHAnsi" w:hAnsiTheme="majorHAnsi" w:cstheme="majorHAnsi"/>
                <w:b/>
                <w:color w:val="auto"/>
                <w:sz w:val="20"/>
                <w:szCs w:val="20"/>
              </w:rPr>
              <w:t>P</w:t>
            </w:r>
            <w:r w:rsidRPr="00886F1D">
              <w:rPr>
                <w:rFonts w:asciiTheme="majorHAnsi" w:hAnsiTheme="majorHAnsi" w:cstheme="majorHAnsi"/>
                <w:b/>
                <w:color w:val="auto"/>
                <w:sz w:val="20"/>
                <w:szCs w:val="20"/>
              </w:rPr>
              <w:t>rinciple</w:t>
            </w:r>
          </w:p>
          <w:p w14:paraId="718E7913" w14:textId="77777777" w:rsidR="001460AC" w:rsidRPr="00886F1D" w:rsidRDefault="001460AC" w:rsidP="00917ECB">
            <w:pPr>
              <w:pStyle w:val="Default"/>
              <w:rPr>
                <w:rFonts w:asciiTheme="majorHAnsi" w:hAnsiTheme="majorHAnsi" w:cstheme="majorHAnsi"/>
                <w:b/>
                <w:color w:val="auto"/>
                <w:sz w:val="20"/>
                <w:szCs w:val="20"/>
              </w:rPr>
            </w:pPr>
          </w:p>
          <w:p w14:paraId="718E7914" w14:textId="77777777" w:rsidR="006F5A35" w:rsidRPr="00886F1D" w:rsidRDefault="006F5A35" w:rsidP="006F5A35">
            <w:pPr>
              <w:pStyle w:val="Default"/>
              <w:rPr>
                <w:rFonts w:asciiTheme="majorHAnsi" w:hAnsiTheme="majorHAnsi" w:cstheme="majorHAnsi"/>
                <w:color w:val="auto"/>
                <w:sz w:val="20"/>
                <w:szCs w:val="20"/>
              </w:rPr>
            </w:pPr>
            <w:r w:rsidRPr="00886F1D">
              <w:rPr>
                <w:rFonts w:asciiTheme="majorHAnsi" w:hAnsiTheme="majorHAnsi" w:cstheme="majorHAnsi"/>
                <w:color w:val="auto"/>
                <w:sz w:val="20"/>
                <w:szCs w:val="20"/>
              </w:rPr>
              <w:t>The</w:t>
            </w:r>
            <w:r w:rsidR="008468A9" w:rsidRPr="00886F1D">
              <w:rPr>
                <w:rFonts w:asciiTheme="majorHAnsi" w:hAnsiTheme="majorHAnsi" w:cstheme="majorHAnsi"/>
                <w:color w:val="auto"/>
                <w:sz w:val="20"/>
                <w:szCs w:val="20"/>
              </w:rPr>
              <w:t xml:space="preserve"> Australian</w:t>
            </w:r>
            <w:r w:rsidRPr="00886F1D">
              <w:rPr>
                <w:rFonts w:asciiTheme="majorHAnsi" w:hAnsiTheme="majorHAnsi" w:cstheme="majorHAnsi"/>
                <w:color w:val="auto"/>
                <w:sz w:val="20"/>
                <w:szCs w:val="20"/>
              </w:rPr>
              <w:t xml:space="preserve"> Government has announced immediate actions from the Jobs and Skills Summit</w:t>
            </w:r>
            <w:r w:rsidR="00B93965" w:rsidRPr="00886F1D">
              <w:rPr>
                <w:rFonts w:asciiTheme="majorHAnsi" w:hAnsiTheme="majorHAnsi" w:cstheme="majorHAnsi"/>
                <w:color w:val="auto"/>
                <w:sz w:val="20"/>
                <w:szCs w:val="20"/>
              </w:rPr>
              <w:t>,</w:t>
            </w:r>
            <w:r w:rsidRPr="00886F1D">
              <w:rPr>
                <w:rFonts w:asciiTheme="majorHAnsi" w:hAnsiTheme="majorHAnsi" w:cstheme="majorHAnsi"/>
                <w:color w:val="auto"/>
                <w:sz w:val="20"/>
                <w:szCs w:val="20"/>
              </w:rPr>
              <w:t xml:space="preserve"> </w:t>
            </w:r>
            <w:r w:rsidR="00B16B12" w:rsidRPr="00886F1D">
              <w:rPr>
                <w:rFonts w:asciiTheme="majorHAnsi" w:hAnsiTheme="majorHAnsi" w:cstheme="majorHAnsi"/>
                <w:color w:val="auto"/>
                <w:sz w:val="20"/>
                <w:szCs w:val="20"/>
              </w:rPr>
              <w:t xml:space="preserve">including </w:t>
            </w:r>
            <w:r w:rsidRPr="00886F1D">
              <w:rPr>
                <w:rFonts w:asciiTheme="majorHAnsi" w:hAnsiTheme="majorHAnsi" w:cstheme="majorHAnsi"/>
                <w:color w:val="auto"/>
                <w:sz w:val="20"/>
                <w:szCs w:val="20"/>
              </w:rPr>
              <w:t>a review of existing</w:t>
            </w:r>
            <w:r w:rsidR="00B93965" w:rsidRPr="00886F1D">
              <w:rPr>
                <w:rFonts w:asciiTheme="majorHAnsi" w:hAnsiTheme="majorHAnsi" w:cstheme="majorHAnsi"/>
                <w:color w:val="auto"/>
                <w:sz w:val="20"/>
                <w:szCs w:val="20"/>
              </w:rPr>
              <w:t xml:space="preserve"> STEM</w:t>
            </w:r>
            <w:r w:rsidRPr="00886F1D">
              <w:rPr>
                <w:rFonts w:asciiTheme="majorHAnsi" w:hAnsiTheme="majorHAnsi" w:cstheme="majorHAnsi"/>
                <w:color w:val="auto"/>
                <w:sz w:val="20"/>
                <w:szCs w:val="20"/>
              </w:rPr>
              <w:t xml:space="preserve"> government programs that can be reformed to support greater diversity in Australia’s growing </w:t>
            </w:r>
            <w:r w:rsidR="00B93965" w:rsidRPr="00886F1D">
              <w:rPr>
                <w:rFonts w:asciiTheme="majorHAnsi" w:hAnsiTheme="majorHAnsi" w:cstheme="majorHAnsi"/>
                <w:color w:val="auto"/>
                <w:sz w:val="20"/>
                <w:szCs w:val="20"/>
              </w:rPr>
              <w:t xml:space="preserve">STEM </w:t>
            </w:r>
            <w:r w:rsidRPr="00886F1D">
              <w:rPr>
                <w:rFonts w:asciiTheme="majorHAnsi" w:hAnsiTheme="majorHAnsi" w:cstheme="majorHAnsi"/>
                <w:color w:val="auto"/>
                <w:sz w:val="20"/>
                <w:szCs w:val="20"/>
              </w:rPr>
              <w:t>sector.</w:t>
            </w:r>
          </w:p>
          <w:p w14:paraId="718E7915" w14:textId="77777777" w:rsidR="006F5A35" w:rsidRPr="00886F1D" w:rsidRDefault="006F5A35" w:rsidP="006F5A35">
            <w:pPr>
              <w:pStyle w:val="Default"/>
              <w:rPr>
                <w:rFonts w:asciiTheme="majorHAnsi" w:hAnsiTheme="majorHAnsi" w:cstheme="majorHAnsi"/>
                <w:color w:val="auto"/>
                <w:sz w:val="20"/>
                <w:szCs w:val="20"/>
              </w:rPr>
            </w:pPr>
          </w:p>
          <w:p w14:paraId="718E7916" w14:textId="77777777" w:rsidR="006F5A35" w:rsidRPr="00886F1D" w:rsidRDefault="006F5A35" w:rsidP="006F5A35">
            <w:pPr>
              <w:pStyle w:val="Default"/>
              <w:rPr>
                <w:rFonts w:asciiTheme="majorHAnsi" w:hAnsiTheme="majorHAnsi" w:cstheme="majorHAnsi"/>
                <w:color w:val="auto"/>
                <w:sz w:val="20"/>
                <w:szCs w:val="20"/>
              </w:rPr>
            </w:pPr>
            <w:r w:rsidRPr="00886F1D">
              <w:rPr>
                <w:rFonts w:asciiTheme="majorHAnsi" w:hAnsiTheme="majorHAnsi" w:cstheme="majorHAnsi"/>
                <w:color w:val="auto"/>
                <w:sz w:val="20"/>
                <w:szCs w:val="20"/>
              </w:rPr>
              <w:t>As part of its responsibility to inspire the Australian community and the next generation of space entrepreneurs, the Australian Space Agency works with industry, the education sector and other stakeholders to promote the role space plays in improving the lives of Australians, impacts of the space sector on the economy</w:t>
            </w:r>
            <w:r w:rsidR="00BC31E5" w:rsidRPr="00886F1D">
              <w:rPr>
                <w:rFonts w:asciiTheme="majorHAnsi" w:hAnsiTheme="majorHAnsi" w:cstheme="majorHAnsi"/>
                <w:color w:val="auto"/>
                <w:sz w:val="20"/>
                <w:szCs w:val="20"/>
              </w:rPr>
              <w:t>,</w:t>
            </w:r>
            <w:r w:rsidRPr="00886F1D">
              <w:rPr>
                <w:rFonts w:asciiTheme="majorHAnsi" w:hAnsiTheme="majorHAnsi" w:cstheme="majorHAnsi"/>
                <w:color w:val="auto"/>
                <w:sz w:val="20"/>
                <w:szCs w:val="20"/>
              </w:rPr>
              <w:t xml:space="preserve"> and its important role in supporting STEM activities.</w:t>
            </w:r>
          </w:p>
          <w:p w14:paraId="718E7917" w14:textId="77777777" w:rsidR="006F5A35" w:rsidRPr="00886F1D" w:rsidRDefault="006F5A35" w:rsidP="006F5A35">
            <w:pPr>
              <w:pStyle w:val="Default"/>
              <w:rPr>
                <w:rFonts w:asciiTheme="majorHAnsi" w:hAnsiTheme="majorHAnsi" w:cstheme="majorHAnsi"/>
                <w:color w:val="auto"/>
                <w:sz w:val="20"/>
                <w:szCs w:val="20"/>
              </w:rPr>
            </w:pPr>
          </w:p>
          <w:p w14:paraId="718E7918" w14:textId="77777777" w:rsidR="006F5A35" w:rsidRPr="00886F1D" w:rsidRDefault="006F5A35" w:rsidP="006F5A35">
            <w:pPr>
              <w:pStyle w:val="CommentText"/>
            </w:pPr>
            <w:r w:rsidRPr="00886F1D">
              <w:rPr>
                <w:rFonts w:asciiTheme="majorHAnsi" w:hAnsiTheme="majorHAnsi" w:cstheme="majorHAnsi"/>
              </w:rPr>
              <w:t>The Agency</w:t>
            </w:r>
            <w:r w:rsidR="005D2168" w:rsidRPr="00886F1D">
              <w:rPr>
                <w:rFonts w:asciiTheme="majorHAnsi" w:hAnsiTheme="majorHAnsi" w:cstheme="majorHAnsi"/>
              </w:rPr>
              <w:t xml:space="preserve"> is </w:t>
            </w:r>
            <w:r w:rsidR="005A3FEA" w:rsidRPr="00886F1D">
              <w:rPr>
                <w:rFonts w:asciiTheme="majorHAnsi" w:hAnsiTheme="majorHAnsi" w:cstheme="majorHAnsi"/>
              </w:rPr>
              <w:t>considering ways</w:t>
            </w:r>
            <w:r w:rsidR="00BC31E5" w:rsidRPr="00886F1D">
              <w:rPr>
                <w:rFonts w:asciiTheme="majorHAnsi" w:hAnsiTheme="majorHAnsi" w:cstheme="majorHAnsi"/>
              </w:rPr>
              <w:t xml:space="preserve"> to secure the space workforce pipeline </w:t>
            </w:r>
            <w:r w:rsidR="005D2168" w:rsidRPr="00886F1D">
              <w:rPr>
                <w:rFonts w:asciiTheme="majorHAnsi" w:hAnsiTheme="majorHAnsi" w:cstheme="majorHAnsi"/>
              </w:rPr>
              <w:t xml:space="preserve">and </w:t>
            </w:r>
            <w:r w:rsidRPr="00886F1D">
              <w:rPr>
                <w:rFonts w:asciiTheme="majorHAnsi" w:hAnsiTheme="majorHAnsi" w:cstheme="majorHAnsi"/>
              </w:rPr>
              <w:t>will continue to consult with Australian industry on measures to promote the diversity of opportunities within the space sector.</w:t>
            </w:r>
          </w:p>
          <w:p w14:paraId="718E7919" w14:textId="77777777" w:rsidR="001460AC" w:rsidRPr="00886F1D" w:rsidRDefault="001460AC" w:rsidP="00515292">
            <w:pPr>
              <w:pStyle w:val="Default"/>
              <w:rPr>
                <w:rFonts w:asciiTheme="majorHAnsi" w:hAnsiTheme="majorHAnsi" w:cstheme="majorHAnsi"/>
                <w:color w:val="auto"/>
                <w:sz w:val="20"/>
                <w:szCs w:val="20"/>
              </w:rPr>
            </w:pPr>
          </w:p>
        </w:tc>
      </w:tr>
      <w:tr w:rsidR="00886F1D" w:rsidRPr="00886F1D" w14:paraId="718E7926" w14:textId="77777777" w:rsidTr="00B52BE2">
        <w:trPr>
          <w:cantSplit/>
          <w:trHeight w:val="274"/>
        </w:trPr>
        <w:tc>
          <w:tcPr>
            <w:tcW w:w="1077" w:type="dxa"/>
            <w:shd w:val="clear" w:color="auto" w:fill="auto"/>
            <w:hideMark/>
          </w:tcPr>
          <w:p w14:paraId="718E791B" w14:textId="77777777" w:rsidR="001460AC" w:rsidRPr="00886F1D" w:rsidRDefault="008042A6" w:rsidP="00EE4E20">
            <w:pPr>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33 (</w:t>
            </w:r>
            <w:r w:rsidR="001460AC" w:rsidRPr="00886F1D">
              <w:rPr>
                <w:rFonts w:asciiTheme="majorHAnsi" w:hAnsiTheme="majorHAnsi" w:cstheme="majorHAnsi"/>
                <w:color w:val="auto"/>
                <w:sz w:val="20"/>
                <w:lang w:eastAsia="en-AU"/>
              </w:rPr>
              <w:t>7.81</w:t>
            </w:r>
            <w:r w:rsidRPr="00886F1D">
              <w:rPr>
                <w:rFonts w:asciiTheme="majorHAnsi" w:hAnsiTheme="majorHAnsi" w:cstheme="majorHAnsi"/>
                <w:color w:val="auto"/>
                <w:sz w:val="20"/>
                <w:lang w:eastAsia="en-AU"/>
              </w:rPr>
              <w:t>)</w:t>
            </w:r>
          </w:p>
          <w:p w14:paraId="718E791C"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91D"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This campaign should also target underrepresented groups within the space industry to help increase diversity across the sector.</w:t>
            </w:r>
          </w:p>
        </w:tc>
        <w:tc>
          <w:tcPr>
            <w:tcW w:w="4707" w:type="dxa"/>
          </w:tcPr>
          <w:p w14:paraId="718E791E" w14:textId="77777777" w:rsidR="001460AC" w:rsidRPr="00886F1D" w:rsidRDefault="001460AC" w:rsidP="00917EC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 xml:space="preserve">Agreed in </w:t>
            </w:r>
            <w:r w:rsidR="00B04B66" w:rsidRPr="00886F1D">
              <w:rPr>
                <w:rFonts w:asciiTheme="majorHAnsi" w:hAnsiTheme="majorHAnsi" w:cstheme="majorHAnsi"/>
                <w:b/>
                <w:color w:val="auto"/>
                <w:sz w:val="20"/>
                <w:lang w:eastAsia="en-AU"/>
              </w:rPr>
              <w:t>P</w:t>
            </w:r>
            <w:r w:rsidRPr="00886F1D">
              <w:rPr>
                <w:rFonts w:asciiTheme="majorHAnsi" w:hAnsiTheme="majorHAnsi" w:cstheme="majorHAnsi"/>
                <w:b/>
                <w:color w:val="auto"/>
                <w:sz w:val="20"/>
                <w:lang w:eastAsia="en-AU"/>
              </w:rPr>
              <w:t>rinciple</w:t>
            </w:r>
          </w:p>
          <w:p w14:paraId="718E791F" w14:textId="77777777" w:rsidR="00FC724A" w:rsidRPr="00886F1D" w:rsidRDefault="00FC724A" w:rsidP="00917ECB">
            <w:pPr>
              <w:spacing w:after="0" w:line="240" w:lineRule="auto"/>
              <w:rPr>
                <w:rFonts w:asciiTheme="majorHAnsi" w:hAnsiTheme="majorHAnsi" w:cstheme="majorHAnsi"/>
                <w:b/>
                <w:color w:val="auto"/>
                <w:sz w:val="20"/>
                <w:lang w:eastAsia="en-AU"/>
              </w:rPr>
            </w:pPr>
          </w:p>
          <w:p w14:paraId="718E7920" w14:textId="77777777" w:rsidR="001F042B" w:rsidRPr="00886F1D" w:rsidRDefault="001F50F8" w:rsidP="005D146A">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The</w:t>
            </w:r>
            <w:r w:rsidR="008468A9" w:rsidRPr="00886F1D">
              <w:rPr>
                <w:rFonts w:asciiTheme="majorHAnsi" w:hAnsiTheme="majorHAnsi" w:cstheme="majorHAnsi"/>
                <w:color w:val="auto"/>
                <w:sz w:val="20"/>
                <w:lang w:eastAsia="en-AU"/>
              </w:rPr>
              <w:t xml:space="preserve"> Australian</w:t>
            </w:r>
            <w:r w:rsidRPr="00886F1D">
              <w:rPr>
                <w:rFonts w:asciiTheme="majorHAnsi" w:hAnsiTheme="majorHAnsi" w:cstheme="majorHAnsi"/>
                <w:color w:val="auto"/>
                <w:sz w:val="20"/>
                <w:lang w:eastAsia="en-AU"/>
              </w:rPr>
              <w:t xml:space="preserve"> Government recognises the value of increasing and highlighting employment and participation opportunities for underrepresented groups in Australia’s space sector and associated education and careers pathways.</w:t>
            </w:r>
            <w:r w:rsidR="00B04B66" w:rsidRPr="00886F1D">
              <w:rPr>
                <w:rFonts w:asciiTheme="majorHAnsi" w:hAnsiTheme="majorHAnsi" w:cstheme="majorHAnsi"/>
                <w:color w:val="auto"/>
                <w:sz w:val="20"/>
                <w:lang w:eastAsia="en-AU"/>
              </w:rPr>
              <w:t xml:space="preserve"> </w:t>
            </w:r>
          </w:p>
          <w:p w14:paraId="718E7921" w14:textId="77777777" w:rsidR="001F042B" w:rsidRPr="00886F1D" w:rsidRDefault="001F042B" w:rsidP="005D146A">
            <w:pPr>
              <w:spacing w:after="0" w:line="240" w:lineRule="auto"/>
              <w:rPr>
                <w:rFonts w:asciiTheme="majorHAnsi" w:hAnsiTheme="majorHAnsi" w:cstheme="majorHAnsi"/>
                <w:color w:val="auto"/>
                <w:sz w:val="20"/>
                <w:lang w:eastAsia="en-AU"/>
              </w:rPr>
            </w:pPr>
          </w:p>
          <w:p w14:paraId="718E7922" w14:textId="77777777" w:rsidR="001F50F8" w:rsidRPr="00886F1D" w:rsidRDefault="00B04B66" w:rsidP="005D146A">
            <w:pPr>
              <w:spacing w:after="0" w:line="240" w:lineRule="auto"/>
              <w:rPr>
                <w:rFonts w:ascii="Calibri Light" w:hAnsi="Calibri Light" w:cs="Calibri Light"/>
                <w:bCs/>
                <w:color w:val="auto"/>
                <w:sz w:val="20"/>
                <w:lang w:eastAsia="en-AU"/>
              </w:rPr>
            </w:pPr>
            <w:r w:rsidRPr="00886F1D">
              <w:rPr>
                <w:rFonts w:asciiTheme="majorHAnsi" w:hAnsiTheme="majorHAnsi" w:cstheme="majorHAnsi"/>
                <w:color w:val="auto"/>
                <w:sz w:val="20"/>
                <w:lang w:eastAsia="en-AU"/>
              </w:rPr>
              <w:t xml:space="preserve">The Australian Space Agency </w:t>
            </w:r>
            <w:r w:rsidR="00745804" w:rsidRPr="00886F1D">
              <w:rPr>
                <w:rFonts w:asciiTheme="majorHAnsi" w:hAnsiTheme="majorHAnsi" w:cstheme="majorHAnsi"/>
                <w:color w:val="auto"/>
                <w:sz w:val="20"/>
                <w:lang w:eastAsia="en-AU"/>
              </w:rPr>
              <w:t>is considering ways</w:t>
            </w:r>
            <w:r w:rsidRPr="00886F1D">
              <w:rPr>
                <w:rFonts w:asciiTheme="majorHAnsi" w:hAnsiTheme="majorHAnsi" w:cstheme="majorHAnsi"/>
                <w:color w:val="auto"/>
                <w:sz w:val="20"/>
                <w:lang w:eastAsia="en-AU"/>
              </w:rPr>
              <w:t xml:space="preserve"> to secure the space workforce</w:t>
            </w:r>
            <w:r w:rsidR="00541980" w:rsidRPr="00886F1D">
              <w:rPr>
                <w:rFonts w:asciiTheme="majorHAnsi" w:hAnsiTheme="majorHAnsi" w:cstheme="majorHAnsi"/>
                <w:color w:val="auto"/>
                <w:sz w:val="20"/>
                <w:lang w:eastAsia="en-AU"/>
              </w:rPr>
              <w:t xml:space="preserve"> pipeline</w:t>
            </w:r>
            <w:r w:rsidRPr="00886F1D">
              <w:rPr>
                <w:rFonts w:asciiTheme="majorHAnsi" w:hAnsiTheme="majorHAnsi" w:cstheme="majorHAnsi"/>
                <w:color w:val="auto"/>
                <w:sz w:val="20"/>
                <w:lang w:eastAsia="en-AU"/>
              </w:rPr>
              <w:t xml:space="preserve"> that </w:t>
            </w:r>
            <w:r w:rsidR="007E636E" w:rsidRPr="00886F1D">
              <w:rPr>
                <w:rFonts w:asciiTheme="majorHAnsi" w:hAnsiTheme="majorHAnsi" w:cstheme="majorHAnsi"/>
                <w:color w:val="auto"/>
                <w:sz w:val="20"/>
                <w:lang w:eastAsia="en-AU"/>
              </w:rPr>
              <w:t xml:space="preserve">will support the </w:t>
            </w:r>
            <w:r w:rsidR="001F50F8" w:rsidRPr="00886F1D">
              <w:rPr>
                <w:rFonts w:asciiTheme="majorHAnsi" w:hAnsiTheme="majorHAnsi" w:cstheme="majorHAnsi"/>
                <w:color w:val="auto"/>
                <w:sz w:val="20"/>
              </w:rPr>
              <w:t xml:space="preserve">outcomes of the </w:t>
            </w:r>
            <w:r w:rsidR="00EA6F64" w:rsidRPr="00886F1D">
              <w:rPr>
                <w:rFonts w:asciiTheme="majorHAnsi" w:hAnsiTheme="majorHAnsi" w:cstheme="majorHAnsi"/>
                <w:color w:val="auto"/>
                <w:sz w:val="20"/>
              </w:rPr>
              <w:t xml:space="preserve">Australian </w:t>
            </w:r>
            <w:r w:rsidR="001F50F8" w:rsidRPr="00886F1D">
              <w:rPr>
                <w:rFonts w:asciiTheme="majorHAnsi" w:hAnsiTheme="majorHAnsi" w:cstheme="majorHAnsi"/>
                <w:color w:val="auto"/>
                <w:sz w:val="20"/>
              </w:rPr>
              <w:t>Government’s Jobs and Skills Summit</w:t>
            </w:r>
            <w:r w:rsidR="00F525C6" w:rsidRPr="00886F1D">
              <w:rPr>
                <w:rFonts w:asciiTheme="majorHAnsi" w:hAnsiTheme="majorHAnsi" w:cstheme="majorHAnsi"/>
                <w:color w:val="auto"/>
                <w:sz w:val="20"/>
              </w:rPr>
              <w:t>, which</w:t>
            </w:r>
            <w:r w:rsidR="001F50F8" w:rsidRPr="00886F1D">
              <w:rPr>
                <w:rFonts w:asciiTheme="majorHAnsi" w:hAnsiTheme="majorHAnsi" w:cstheme="majorHAnsi"/>
                <w:color w:val="auto"/>
                <w:sz w:val="20"/>
              </w:rPr>
              <w:t xml:space="preserve"> included a commitment to</w:t>
            </w:r>
            <w:r w:rsidR="005A3FEA" w:rsidRPr="00886F1D">
              <w:rPr>
                <w:rFonts w:asciiTheme="majorHAnsi" w:hAnsiTheme="majorHAnsi" w:cstheme="majorHAnsi"/>
                <w:color w:val="auto"/>
                <w:sz w:val="20"/>
              </w:rPr>
              <w:t xml:space="preserve"> </w:t>
            </w:r>
            <w:r w:rsidR="005A3FEA" w:rsidRPr="00886F1D">
              <w:rPr>
                <w:rFonts w:ascii="Calibri Light" w:hAnsi="Calibri Light" w:cs="Calibri Light"/>
                <w:bCs/>
                <w:color w:val="auto"/>
                <w:sz w:val="20"/>
                <w:lang w:eastAsia="en-AU"/>
              </w:rPr>
              <w:t>review STEM programs to attract and retain more women, First Nations people, Australians in regions, those who are culturally and linguistically diverse, people with a disability and Australians from low socio-economic backgrounds into STEM careers.</w:t>
            </w:r>
          </w:p>
          <w:p w14:paraId="718E7923" w14:textId="77777777" w:rsidR="00B93965" w:rsidRPr="00886F1D" w:rsidRDefault="00B93965" w:rsidP="005D146A">
            <w:pPr>
              <w:spacing w:after="0" w:line="240" w:lineRule="auto"/>
              <w:rPr>
                <w:rFonts w:asciiTheme="majorHAnsi" w:hAnsiTheme="majorHAnsi" w:cstheme="majorHAnsi"/>
                <w:color w:val="auto"/>
                <w:sz w:val="20"/>
              </w:rPr>
            </w:pPr>
          </w:p>
          <w:p w14:paraId="718E7924" w14:textId="77777777" w:rsidR="00B93965" w:rsidRPr="00886F1D" w:rsidRDefault="00B93965" w:rsidP="005D146A">
            <w:pPr>
              <w:spacing w:after="0" w:line="240" w:lineRule="auto"/>
              <w:rPr>
                <w:rFonts w:asciiTheme="majorHAnsi" w:hAnsiTheme="majorHAnsi" w:cstheme="majorHAnsi"/>
                <w:color w:val="auto"/>
                <w:sz w:val="20"/>
              </w:rPr>
            </w:pPr>
            <w:r w:rsidRPr="00886F1D">
              <w:rPr>
                <w:rFonts w:asciiTheme="majorHAnsi" w:hAnsiTheme="majorHAnsi" w:cstheme="majorHAnsi"/>
                <w:color w:val="auto"/>
                <w:sz w:val="20"/>
              </w:rPr>
              <w:t>The Government also announced actions from the Jobs and Skills Summit for strengthened requirements for employers with 500 or more employees to commit to measurable targets to improve gender equality in their workplaces.</w:t>
            </w:r>
          </w:p>
          <w:p w14:paraId="718E7925" w14:textId="77777777" w:rsidR="00D82ACA" w:rsidRPr="00886F1D" w:rsidRDefault="00D82ACA">
            <w:pPr>
              <w:pStyle w:val="Default"/>
              <w:rPr>
                <w:rFonts w:asciiTheme="majorHAnsi" w:hAnsiTheme="majorHAnsi" w:cstheme="majorHAnsi"/>
                <w:b/>
                <w:color w:val="auto"/>
                <w:sz w:val="20"/>
                <w:lang w:eastAsia="en-AU"/>
              </w:rPr>
            </w:pPr>
          </w:p>
        </w:tc>
      </w:tr>
      <w:tr w:rsidR="00886F1D" w:rsidRPr="00886F1D" w14:paraId="718E7930" w14:textId="77777777" w:rsidTr="00B52BE2">
        <w:trPr>
          <w:cantSplit/>
          <w:trHeight w:val="941"/>
        </w:trPr>
        <w:tc>
          <w:tcPr>
            <w:tcW w:w="1077" w:type="dxa"/>
            <w:shd w:val="clear" w:color="auto" w:fill="auto"/>
            <w:hideMark/>
          </w:tcPr>
          <w:p w14:paraId="718E7927" w14:textId="77777777" w:rsidR="001460AC" w:rsidRPr="00886F1D" w:rsidRDefault="008042A6" w:rsidP="00EE4E20">
            <w:pPr>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lastRenderedPageBreak/>
              <w:t>34 (</w:t>
            </w:r>
            <w:r w:rsidR="001460AC" w:rsidRPr="00886F1D">
              <w:rPr>
                <w:rFonts w:asciiTheme="majorHAnsi" w:hAnsiTheme="majorHAnsi" w:cstheme="majorHAnsi"/>
                <w:color w:val="auto"/>
                <w:sz w:val="20"/>
                <w:lang w:eastAsia="en-AU"/>
              </w:rPr>
              <w:t>7.82</w:t>
            </w:r>
            <w:r w:rsidRPr="00886F1D">
              <w:rPr>
                <w:rFonts w:asciiTheme="majorHAnsi" w:hAnsiTheme="majorHAnsi" w:cstheme="majorHAnsi"/>
                <w:color w:val="auto"/>
                <w:sz w:val="20"/>
                <w:lang w:eastAsia="en-AU"/>
              </w:rPr>
              <w:t>)</w:t>
            </w:r>
          </w:p>
          <w:p w14:paraId="718E7928"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929" w14:textId="77777777" w:rsidR="001460AC" w:rsidRPr="00886F1D" w:rsidRDefault="001460AC" w:rsidP="002657DF">
            <w:pPr>
              <w:pStyle w:val="Default"/>
              <w:spacing w:after="120"/>
              <w:rPr>
                <w:rFonts w:asciiTheme="majorHAnsi" w:hAnsiTheme="majorHAnsi" w:cstheme="majorHAnsi"/>
                <w:color w:val="auto"/>
                <w:sz w:val="20"/>
                <w:szCs w:val="20"/>
              </w:rPr>
            </w:pPr>
            <w:r w:rsidRPr="00886F1D">
              <w:rPr>
                <w:rFonts w:asciiTheme="majorHAnsi" w:hAnsiTheme="majorHAnsi" w:cstheme="majorHAnsi"/>
                <w:color w:val="auto"/>
                <w:sz w:val="20"/>
                <w:szCs w:val="20"/>
              </w:rPr>
              <w:t>The Committee recommends that the Australian Government promote the value of STEM through primary, secondary and tertiary years to ensure a continued pipeline of specialist and technical expertise is available to support and sustain the Australian space sector.</w:t>
            </w:r>
          </w:p>
        </w:tc>
        <w:tc>
          <w:tcPr>
            <w:tcW w:w="4707" w:type="dxa"/>
          </w:tcPr>
          <w:p w14:paraId="718E792A" w14:textId="77777777" w:rsidR="00F525C6" w:rsidRPr="00886F1D" w:rsidRDefault="001460AC" w:rsidP="00917ECB">
            <w:pPr>
              <w:pStyle w:val="Default"/>
              <w:rPr>
                <w:rFonts w:asciiTheme="majorHAnsi" w:hAnsiTheme="majorHAnsi" w:cstheme="majorHAnsi"/>
                <w:b/>
                <w:color w:val="auto"/>
                <w:sz w:val="20"/>
                <w:szCs w:val="20"/>
                <w:lang w:eastAsia="en-AU"/>
              </w:rPr>
            </w:pPr>
            <w:r w:rsidRPr="00886F1D">
              <w:rPr>
                <w:rFonts w:asciiTheme="majorHAnsi" w:hAnsiTheme="majorHAnsi" w:cstheme="majorHAnsi"/>
                <w:b/>
                <w:color w:val="auto"/>
                <w:sz w:val="20"/>
                <w:szCs w:val="20"/>
                <w:lang w:eastAsia="en-AU"/>
              </w:rPr>
              <w:t>Agreed</w:t>
            </w:r>
            <w:r w:rsidR="00F525C6" w:rsidRPr="00886F1D">
              <w:rPr>
                <w:rFonts w:asciiTheme="majorHAnsi" w:hAnsiTheme="majorHAnsi" w:cstheme="majorHAnsi"/>
                <w:b/>
                <w:color w:val="auto"/>
                <w:sz w:val="20"/>
                <w:szCs w:val="20"/>
                <w:lang w:eastAsia="en-AU"/>
              </w:rPr>
              <w:t xml:space="preserve"> in </w:t>
            </w:r>
            <w:r w:rsidR="005D146A" w:rsidRPr="00886F1D">
              <w:rPr>
                <w:rFonts w:asciiTheme="majorHAnsi" w:hAnsiTheme="majorHAnsi" w:cstheme="majorHAnsi"/>
                <w:b/>
                <w:color w:val="auto"/>
                <w:sz w:val="20"/>
                <w:szCs w:val="20"/>
                <w:lang w:eastAsia="en-AU"/>
              </w:rPr>
              <w:t>P</w:t>
            </w:r>
            <w:r w:rsidR="00F525C6" w:rsidRPr="00886F1D">
              <w:rPr>
                <w:rFonts w:asciiTheme="majorHAnsi" w:hAnsiTheme="majorHAnsi" w:cstheme="majorHAnsi"/>
                <w:b/>
                <w:color w:val="auto"/>
                <w:sz w:val="20"/>
                <w:szCs w:val="20"/>
                <w:lang w:eastAsia="en-AU"/>
              </w:rPr>
              <w:t>rinciple</w:t>
            </w:r>
          </w:p>
          <w:p w14:paraId="718E792B" w14:textId="77777777" w:rsidR="00D82ACA" w:rsidRPr="00886F1D" w:rsidRDefault="00D82ACA" w:rsidP="00917ECB">
            <w:pPr>
              <w:pStyle w:val="Default"/>
              <w:rPr>
                <w:rFonts w:asciiTheme="majorHAnsi" w:hAnsiTheme="majorHAnsi" w:cstheme="majorHAnsi"/>
                <w:b/>
                <w:color w:val="auto"/>
                <w:sz w:val="20"/>
                <w:szCs w:val="20"/>
                <w:lang w:eastAsia="en-AU"/>
              </w:rPr>
            </w:pPr>
          </w:p>
          <w:p w14:paraId="718E792C" w14:textId="77777777" w:rsidR="00DF6F7E" w:rsidRPr="00886F1D" w:rsidRDefault="00DF6F7E" w:rsidP="00DF6F7E">
            <w:pPr>
              <w:pStyle w:val="Default"/>
              <w:rPr>
                <w:rFonts w:asciiTheme="majorHAnsi" w:hAnsiTheme="majorHAnsi" w:cstheme="majorHAnsi"/>
                <w:color w:val="auto"/>
                <w:sz w:val="20"/>
                <w:szCs w:val="20"/>
                <w:lang w:eastAsia="en-AU"/>
              </w:rPr>
            </w:pPr>
            <w:r w:rsidRPr="00886F1D">
              <w:rPr>
                <w:rFonts w:asciiTheme="majorHAnsi" w:hAnsiTheme="majorHAnsi" w:cstheme="majorHAnsi"/>
                <w:color w:val="auto"/>
                <w:sz w:val="20"/>
                <w:szCs w:val="20"/>
                <w:lang w:eastAsia="en-AU"/>
              </w:rPr>
              <w:t xml:space="preserve">The </w:t>
            </w:r>
            <w:r w:rsidR="008468A9" w:rsidRPr="00886F1D">
              <w:rPr>
                <w:rFonts w:asciiTheme="majorHAnsi" w:hAnsiTheme="majorHAnsi" w:cstheme="majorHAnsi"/>
                <w:color w:val="auto"/>
                <w:sz w:val="20"/>
                <w:szCs w:val="20"/>
                <w:lang w:eastAsia="en-AU"/>
              </w:rPr>
              <w:t xml:space="preserve">Australian </w:t>
            </w:r>
            <w:r w:rsidRPr="00886F1D">
              <w:rPr>
                <w:rFonts w:asciiTheme="majorHAnsi" w:hAnsiTheme="majorHAnsi" w:cstheme="majorHAnsi"/>
                <w:color w:val="auto"/>
                <w:sz w:val="20"/>
                <w:szCs w:val="20"/>
                <w:lang w:eastAsia="en-AU"/>
              </w:rPr>
              <w:t>Government recognises the value of STEM-related education in maintaining a future supply of highly trained and educated workers to support and sustain the Australian space sector.</w:t>
            </w:r>
          </w:p>
          <w:p w14:paraId="718E792D" w14:textId="77777777" w:rsidR="00DF6F7E" w:rsidRPr="00886F1D" w:rsidRDefault="00DF6F7E" w:rsidP="00DF6F7E">
            <w:pPr>
              <w:pStyle w:val="Default"/>
              <w:rPr>
                <w:rFonts w:asciiTheme="majorHAnsi" w:hAnsiTheme="majorHAnsi" w:cstheme="majorHAnsi"/>
                <w:color w:val="auto"/>
                <w:sz w:val="20"/>
                <w:szCs w:val="20"/>
                <w:lang w:eastAsia="en-AU"/>
              </w:rPr>
            </w:pPr>
          </w:p>
          <w:p w14:paraId="718E792E" w14:textId="77777777" w:rsidR="001460AC" w:rsidRPr="00886F1D" w:rsidRDefault="00F525C6" w:rsidP="00DF6F7E">
            <w:pPr>
              <w:pStyle w:val="Default"/>
              <w:rPr>
                <w:rFonts w:asciiTheme="majorHAnsi" w:hAnsiTheme="majorHAnsi" w:cstheme="majorHAnsi"/>
                <w:b/>
                <w:color w:val="auto"/>
                <w:sz w:val="20"/>
                <w:szCs w:val="20"/>
                <w:lang w:eastAsia="en-AU"/>
              </w:rPr>
            </w:pPr>
            <w:r w:rsidRPr="00886F1D">
              <w:rPr>
                <w:rFonts w:asciiTheme="majorHAnsi" w:hAnsiTheme="majorHAnsi" w:cstheme="majorHAnsi"/>
                <w:color w:val="auto"/>
                <w:sz w:val="20"/>
                <w:szCs w:val="20"/>
              </w:rPr>
              <w:t xml:space="preserve">The </w:t>
            </w:r>
            <w:r w:rsidR="00DF2748" w:rsidRPr="00886F1D">
              <w:rPr>
                <w:rFonts w:asciiTheme="majorHAnsi" w:hAnsiTheme="majorHAnsi" w:cstheme="majorHAnsi"/>
                <w:color w:val="auto"/>
                <w:sz w:val="20"/>
                <w:szCs w:val="20"/>
              </w:rPr>
              <w:t>Australian Space</w:t>
            </w:r>
            <w:r w:rsidRPr="00886F1D">
              <w:rPr>
                <w:rFonts w:asciiTheme="majorHAnsi" w:hAnsiTheme="majorHAnsi" w:cstheme="majorHAnsi"/>
                <w:color w:val="auto"/>
                <w:sz w:val="20"/>
                <w:szCs w:val="20"/>
              </w:rPr>
              <w:t xml:space="preserve"> </w:t>
            </w:r>
            <w:r w:rsidR="005D2168" w:rsidRPr="00886F1D">
              <w:rPr>
                <w:rFonts w:asciiTheme="majorHAnsi" w:hAnsiTheme="majorHAnsi" w:cstheme="majorHAnsi"/>
                <w:color w:val="auto"/>
                <w:sz w:val="20"/>
                <w:szCs w:val="20"/>
              </w:rPr>
              <w:t xml:space="preserve">Agency is </w:t>
            </w:r>
            <w:r w:rsidR="005A3FEA" w:rsidRPr="00886F1D">
              <w:rPr>
                <w:rFonts w:asciiTheme="majorHAnsi" w:hAnsiTheme="majorHAnsi" w:cstheme="majorHAnsi"/>
                <w:color w:val="auto"/>
                <w:sz w:val="20"/>
                <w:szCs w:val="20"/>
              </w:rPr>
              <w:t>considering ways</w:t>
            </w:r>
            <w:r w:rsidR="005D2168" w:rsidRPr="00886F1D">
              <w:rPr>
                <w:rFonts w:asciiTheme="majorHAnsi" w:hAnsiTheme="majorHAnsi" w:cstheme="majorHAnsi"/>
                <w:color w:val="auto"/>
                <w:sz w:val="20"/>
                <w:szCs w:val="20"/>
              </w:rPr>
              <w:t xml:space="preserve"> </w:t>
            </w:r>
            <w:r w:rsidR="005D146A" w:rsidRPr="00886F1D">
              <w:rPr>
                <w:rFonts w:asciiTheme="majorHAnsi" w:hAnsiTheme="majorHAnsi" w:cstheme="majorHAnsi"/>
                <w:color w:val="auto"/>
                <w:sz w:val="20"/>
                <w:szCs w:val="20"/>
              </w:rPr>
              <w:t xml:space="preserve">to secure the space workforce pipeline </w:t>
            </w:r>
            <w:r w:rsidR="005D2168" w:rsidRPr="00886F1D">
              <w:rPr>
                <w:rFonts w:asciiTheme="majorHAnsi" w:hAnsiTheme="majorHAnsi" w:cstheme="majorHAnsi"/>
                <w:color w:val="auto"/>
                <w:sz w:val="20"/>
                <w:szCs w:val="20"/>
              </w:rPr>
              <w:t xml:space="preserve">that </w:t>
            </w:r>
            <w:r w:rsidRPr="00886F1D">
              <w:rPr>
                <w:rFonts w:asciiTheme="majorHAnsi" w:hAnsiTheme="majorHAnsi" w:cstheme="majorHAnsi"/>
                <w:color w:val="auto"/>
                <w:sz w:val="20"/>
                <w:szCs w:val="20"/>
              </w:rPr>
              <w:t xml:space="preserve">will </w:t>
            </w:r>
            <w:r w:rsidRPr="00886F1D">
              <w:rPr>
                <w:rFonts w:asciiTheme="majorHAnsi" w:hAnsiTheme="majorHAnsi" w:cstheme="majorHAnsi"/>
                <w:color w:val="auto"/>
                <w:sz w:val="20"/>
                <w:lang w:eastAsia="en-AU"/>
              </w:rPr>
              <w:t xml:space="preserve">consider </w:t>
            </w:r>
            <w:r w:rsidR="005D2168" w:rsidRPr="00886F1D">
              <w:rPr>
                <w:rFonts w:asciiTheme="majorHAnsi" w:hAnsiTheme="majorHAnsi" w:cstheme="majorHAnsi"/>
                <w:color w:val="auto"/>
                <w:sz w:val="20"/>
                <w:lang w:eastAsia="en-AU"/>
              </w:rPr>
              <w:t xml:space="preserve">linkages to </w:t>
            </w:r>
            <w:r w:rsidR="00EA6F64" w:rsidRPr="00886F1D">
              <w:rPr>
                <w:rFonts w:asciiTheme="majorHAnsi" w:hAnsiTheme="majorHAnsi" w:cstheme="majorHAnsi"/>
                <w:color w:val="auto"/>
                <w:sz w:val="20"/>
                <w:lang w:eastAsia="en-AU"/>
              </w:rPr>
              <w:t>g</w:t>
            </w:r>
            <w:r w:rsidR="005D2168" w:rsidRPr="00886F1D">
              <w:rPr>
                <w:rFonts w:asciiTheme="majorHAnsi" w:hAnsiTheme="majorHAnsi" w:cstheme="majorHAnsi"/>
                <w:color w:val="auto"/>
                <w:sz w:val="20"/>
                <w:lang w:eastAsia="en-AU"/>
              </w:rPr>
              <w:t xml:space="preserve">overnment programs to </w:t>
            </w:r>
            <w:r w:rsidRPr="00886F1D">
              <w:rPr>
                <w:rFonts w:asciiTheme="majorHAnsi" w:hAnsiTheme="majorHAnsi" w:cstheme="majorHAnsi"/>
                <w:color w:val="auto"/>
                <w:sz w:val="20"/>
                <w:lang w:eastAsia="en-AU"/>
              </w:rPr>
              <w:t>grow STEM education and employment pathways</w:t>
            </w:r>
            <w:r w:rsidR="00745804" w:rsidRPr="00886F1D">
              <w:rPr>
                <w:rFonts w:asciiTheme="majorHAnsi" w:hAnsiTheme="majorHAnsi" w:cstheme="majorHAnsi"/>
                <w:color w:val="auto"/>
                <w:sz w:val="20"/>
                <w:lang w:eastAsia="en-AU"/>
              </w:rPr>
              <w:t>,</w:t>
            </w:r>
            <w:r w:rsidRPr="00886F1D">
              <w:rPr>
                <w:rFonts w:asciiTheme="majorHAnsi" w:hAnsiTheme="majorHAnsi" w:cstheme="majorHAnsi"/>
                <w:color w:val="auto"/>
                <w:sz w:val="20"/>
                <w:szCs w:val="20"/>
              </w:rPr>
              <w:t xml:space="preserve"> guided by the outcomes of the Jobs and Skills Summit</w:t>
            </w:r>
            <w:r w:rsidR="00DF6F7E" w:rsidRPr="00886F1D">
              <w:rPr>
                <w:rFonts w:asciiTheme="majorHAnsi" w:hAnsiTheme="majorHAnsi" w:cstheme="majorHAnsi"/>
                <w:color w:val="auto"/>
                <w:sz w:val="20"/>
                <w:lang w:eastAsia="en-AU"/>
              </w:rPr>
              <w:t>.</w:t>
            </w:r>
          </w:p>
          <w:p w14:paraId="718E792F" w14:textId="77777777" w:rsidR="001460AC" w:rsidRPr="00886F1D" w:rsidRDefault="001460AC" w:rsidP="00760AF1">
            <w:pPr>
              <w:pStyle w:val="Default"/>
              <w:rPr>
                <w:rFonts w:asciiTheme="majorHAnsi" w:hAnsiTheme="majorHAnsi" w:cstheme="majorHAnsi"/>
                <w:color w:val="auto"/>
                <w:sz w:val="20"/>
                <w:lang w:eastAsia="en-AU"/>
              </w:rPr>
            </w:pPr>
          </w:p>
        </w:tc>
      </w:tr>
      <w:tr w:rsidR="00886F1D" w:rsidRPr="00886F1D" w14:paraId="718E7938" w14:textId="77777777" w:rsidTr="00B52BE2">
        <w:trPr>
          <w:cantSplit/>
          <w:trHeight w:val="631"/>
        </w:trPr>
        <w:tc>
          <w:tcPr>
            <w:tcW w:w="1077" w:type="dxa"/>
            <w:shd w:val="clear" w:color="auto" w:fill="auto"/>
            <w:hideMark/>
          </w:tcPr>
          <w:p w14:paraId="718E7931" w14:textId="77777777" w:rsidR="001460AC" w:rsidRPr="00886F1D" w:rsidRDefault="008042A6" w:rsidP="00EE4E20">
            <w:pPr>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35 (</w:t>
            </w:r>
            <w:r w:rsidR="001460AC" w:rsidRPr="00886F1D">
              <w:rPr>
                <w:rFonts w:asciiTheme="majorHAnsi" w:hAnsiTheme="majorHAnsi" w:cstheme="majorHAnsi"/>
                <w:color w:val="auto"/>
                <w:sz w:val="20"/>
                <w:lang w:eastAsia="en-AU"/>
              </w:rPr>
              <w:t>7.83</w:t>
            </w:r>
            <w:r w:rsidRPr="00886F1D">
              <w:rPr>
                <w:rFonts w:asciiTheme="majorHAnsi" w:hAnsiTheme="majorHAnsi" w:cstheme="majorHAnsi"/>
                <w:color w:val="auto"/>
                <w:sz w:val="20"/>
                <w:lang w:eastAsia="en-AU"/>
              </w:rPr>
              <w:t>)</w:t>
            </w:r>
          </w:p>
          <w:p w14:paraId="718E7932"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933"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examines options to improve education to industry pathways within the sector</w:t>
            </w:r>
            <w:r w:rsidR="00D82ACA" w:rsidRPr="00886F1D">
              <w:rPr>
                <w:rFonts w:asciiTheme="majorHAnsi" w:eastAsia="Times New Roman" w:hAnsiTheme="majorHAnsi" w:cstheme="majorHAnsi"/>
                <w:color w:val="auto"/>
                <w:sz w:val="20"/>
                <w:lang w:eastAsia="en-AU"/>
              </w:rPr>
              <w:t>.</w:t>
            </w:r>
          </w:p>
        </w:tc>
        <w:tc>
          <w:tcPr>
            <w:tcW w:w="4707" w:type="dxa"/>
          </w:tcPr>
          <w:p w14:paraId="718E7934" w14:textId="77777777" w:rsidR="001460AC" w:rsidRPr="00886F1D" w:rsidRDefault="001460AC" w:rsidP="00917EC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Agreed</w:t>
            </w:r>
            <w:r w:rsidR="00862488" w:rsidRPr="00886F1D">
              <w:rPr>
                <w:rFonts w:asciiTheme="majorHAnsi" w:hAnsiTheme="majorHAnsi" w:cstheme="majorHAnsi"/>
                <w:b/>
                <w:color w:val="auto"/>
                <w:sz w:val="20"/>
                <w:lang w:eastAsia="en-AU"/>
              </w:rPr>
              <w:t xml:space="preserve"> </w:t>
            </w:r>
          </w:p>
          <w:p w14:paraId="718E7935" w14:textId="77777777" w:rsidR="001460AC" w:rsidRPr="00886F1D" w:rsidRDefault="001460AC" w:rsidP="00917ECB">
            <w:pPr>
              <w:spacing w:after="0" w:line="240" w:lineRule="auto"/>
              <w:rPr>
                <w:rFonts w:asciiTheme="majorHAnsi" w:hAnsiTheme="majorHAnsi" w:cstheme="majorHAnsi"/>
                <w:b/>
                <w:color w:val="auto"/>
                <w:sz w:val="20"/>
                <w:lang w:eastAsia="en-AU"/>
              </w:rPr>
            </w:pPr>
          </w:p>
          <w:p w14:paraId="718E7936" w14:textId="77777777" w:rsidR="001460AC" w:rsidRPr="00886F1D" w:rsidRDefault="00BB5506" w:rsidP="005A3FEA">
            <w:pPr>
              <w:pStyle w:val="Default"/>
              <w:rPr>
                <w:rFonts w:asciiTheme="majorHAnsi" w:hAnsiTheme="majorHAnsi" w:cstheme="majorHAnsi"/>
                <w:color w:val="auto"/>
                <w:sz w:val="20"/>
                <w:szCs w:val="20"/>
              </w:rPr>
            </w:pPr>
            <w:r w:rsidRPr="00886F1D">
              <w:rPr>
                <w:rFonts w:asciiTheme="majorHAnsi" w:hAnsiTheme="majorHAnsi" w:cstheme="majorHAnsi"/>
                <w:color w:val="auto"/>
                <w:sz w:val="20"/>
                <w:szCs w:val="20"/>
              </w:rPr>
              <w:t xml:space="preserve">The Australian Space Agency is </w:t>
            </w:r>
            <w:r w:rsidR="005A3FEA" w:rsidRPr="00886F1D">
              <w:rPr>
                <w:rFonts w:asciiTheme="majorHAnsi" w:hAnsiTheme="majorHAnsi" w:cstheme="majorHAnsi"/>
                <w:color w:val="auto"/>
                <w:sz w:val="20"/>
                <w:szCs w:val="20"/>
              </w:rPr>
              <w:t>considering ways</w:t>
            </w:r>
            <w:r w:rsidRPr="00886F1D">
              <w:rPr>
                <w:rFonts w:asciiTheme="majorHAnsi" w:hAnsiTheme="majorHAnsi" w:cstheme="majorHAnsi"/>
                <w:color w:val="auto"/>
                <w:sz w:val="20"/>
                <w:szCs w:val="20"/>
              </w:rPr>
              <w:t xml:space="preserve"> to secure the space workforce pipeline</w:t>
            </w:r>
            <w:r w:rsidR="005C079B" w:rsidRPr="00886F1D">
              <w:rPr>
                <w:rFonts w:asciiTheme="majorHAnsi" w:hAnsiTheme="majorHAnsi" w:cstheme="majorHAnsi"/>
                <w:color w:val="auto"/>
                <w:sz w:val="20"/>
                <w:szCs w:val="20"/>
              </w:rPr>
              <w:t xml:space="preserve"> and will consider options to improve education </w:t>
            </w:r>
            <w:r w:rsidR="005A3FEA" w:rsidRPr="00886F1D">
              <w:rPr>
                <w:rFonts w:asciiTheme="majorHAnsi" w:hAnsiTheme="majorHAnsi" w:cstheme="majorHAnsi"/>
                <w:color w:val="auto"/>
                <w:sz w:val="20"/>
                <w:szCs w:val="20"/>
              </w:rPr>
              <w:t xml:space="preserve">and training </w:t>
            </w:r>
            <w:r w:rsidR="005C079B" w:rsidRPr="00886F1D">
              <w:rPr>
                <w:rFonts w:asciiTheme="majorHAnsi" w:hAnsiTheme="majorHAnsi" w:cstheme="majorHAnsi"/>
                <w:color w:val="auto"/>
                <w:sz w:val="20"/>
                <w:szCs w:val="20"/>
              </w:rPr>
              <w:t xml:space="preserve">pathways and raise awareness of </w:t>
            </w:r>
            <w:r w:rsidR="00EB2798" w:rsidRPr="00886F1D">
              <w:rPr>
                <w:rFonts w:asciiTheme="majorHAnsi" w:hAnsiTheme="majorHAnsi" w:cstheme="majorHAnsi"/>
                <w:color w:val="auto"/>
                <w:sz w:val="20"/>
                <w:szCs w:val="20"/>
              </w:rPr>
              <w:t xml:space="preserve">potential </w:t>
            </w:r>
            <w:r w:rsidR="005C079B" w:rsidRPr="00886F1D">
              <w:rPr>
                <w:rFonts w:asciiTheme="majorHAnsi" w:hAnsiTheme="majorHAnsi" w:cstheme="majorHAnsi"/>
                <w:color w:val="auto"/>
                <w:sz w:val="20"/>
                <w:szCs w:val="20"/>
              </w:rPr>
              <w:t>career pathways into the Australian space sector.</w:t>
            </w:r>
            <w:r w:rsidR="005A3FEA" w:rsidRPr="00886F1D">
              <w:rPr>
                <w:rFonts w:asciiTheme="majorHAnsi" w:hAnsiTheme="majorHAnsi" w:cstheme="majorHAnsi"/>
                <w:color w:val="auto"/>
                <w:sz w:val="20"/>
                <w:szCs w:val="20"/>
              </w:rPr>
              <w:t xml:space="preserve"> </w:t>
            </w:r>
            <w:r w:rsidR="005C079B" w:rsidRPr="00886F1D">
              <w:rPr>
                <w:rFonts w:asciiTheme="majorHAnsi" w:hAnsiTheme="majorHAnsi" w:cstheme="majorHAnsi"/>
                <w:color w:val="auto"/>
                <w:sz w:val="20"/>
                <w:szCs w:val="20"/>
              </w:rPr>
              <w:t>Th</w:t>
            </w:r>
            <w:r w:rsidR="005A3FEA" w:rsidRPr="00886F1D">
              <w:rPr>
                <w:rFonts w:asciiTheme="majorHAnsi" w:hAnsiTheme="majorHAnsi" w:cstheme="majorHAnsi"/>
                <w:color w:val="auto"/>
                <w:sz w:val="20"/>
                <w:szCs w:val="20"/>
              </w:rPr>
              <w:t xml:space="preserve">is work </w:t>
            </w:r>
            <w:r w:rsidR="005C079B" w:rsidRPr="00886F1D">
              <w:rPr>
                <w:rFonts w:asciiTheme="majorHAnsi" w:hAnsiTheme="majorHAnsi" w:cstheme="majorHAnsi"/>
                <w:color w:val="auto"/>
                <w:sz w:val="20"/>
                <w:szCs w:val="20"/>
              </w:rPr>
              <w:t xml:space="preserve">will be informed </w:t>
            </w:r>
            <w:r w:rsidRPr="00886F1D">
              <w:rPr>
                <w:rFonts w:asciiTheme="majorHAnsi" w:hAnsiTheme="majorHAnsi" w:cstheme="majorHAnsi"/>
                <w:color w:val="auto"/>
                <w:sz w:val="20"/>
                <w:szCs w:val="20"/>
              </w:rPr>
              <w:t xml:space="preserve">and supported </w:t>
            </w:r>
            <w:r w:rsidR="005C079B" w:rsidRPr="00886F1D">
              <w:rPr>
                <w:rFonts w:asciiTheme="majorHAnsi" w:hAnsiTheme="majorHAnsi" w:cstheme="majorHAnsi"/>
                <w:color w:val="auto"/>
                <w:sz w:val="20"/>
                <w:szCs w:val="20"/>
              </w:rPr>
              <w:t>by the outcomes of the Jo</w:t>
            </w:r>
            <w:r w:rsidR="00242AA8" w:rsidRPr="00886F1D">
              <w:rPr>
                <w:rFonts w:asciiTheme="majorHAnsi" w:hAnsiTheme="majorHAnsi" w:cstheme="majorHAnsi"/>
                <w:color w:val="auto"/>
                <w:sz w:val="20"/>
                <w:szCs w:val="20"/>
              </w:rPr>
              <w:t>bs and Skills Summit, including</w:t>
            </w:r>
            <w:r w:rsidR="005A3FEA" w:rsidRPr="00886F1D">
              <w:rPr>
                <w:rFonts w:asciiTheme="majorHAnsi" w:hAnsiTheme="majorHAnsi" w:cstheme="majorHAnsi"/>
                <w:color w:val="auto"/>
                <w:sz w:val="20"/>
                <w:szCs w:val="20"/>
              </w:rPr>
              <w:t xml:space="preserve"> for</w:t>
            </w:r>
            <w:r w:rsidR="00242AA8" w:rsidRPr="00886F1D">
              <w:rPr>
                <w:rFonts w:asciiTheme="majorHAnsi" w:hAnsiTheme="majorHAnsi" w:cstheme="majorHAnsi"/>
                <w:color w:val="auto"/>
                <w:sz w:val="20"/>
                <w:szCs w:val="20"/>
              </w:rPr>
              <w:t xml:space="preserve"> digital </w:t>
            </w:r>
            <w:r w:rsidR="00EB2798" w:rsidRPr="00886F1D">
              <w:rPr>
                <w:rFonts w:asciiTheme="majorHAnsi" w:hAnsiTheme="majorHAnsi" w:cstheme="majorHAnsi"/>
                <w:color w:val="auto"/>
                <w:sz w:val="20"/>
                <w:szCs w:val="20"/>
              </w:rPr>
              <w:t>and tech fields</w:t>
            </w:r>
            <w:r w:rsidR="00242AA8" w:rsidRPr="00886F1D">
              <w:rPr>
                <w:rFonts w:asciiTheme="majorHAnsi" w:hAnsiTheme="majorHAnsi" w:cstheme="majorHAnsi"/>
                <w:color w:val="auto"/>
                <w:sz w:val="20"/>
                <w:szCs w:val="20"/>
              </w:rPr>
              <w:t>.</w:t>
            </w:r>
          </w:p>
          <w:p w14:paraId="718E7937" w14:textId="77777777" w:rsidR="001460AC" w:rsidRPr="00886F1D" w:rsidRDefault="001460AC" w:rsidP="00C65704">
            <w:pPr>
              <w:spacing w:after="0" w:line="240" w:lineRule="auto"/>
              <w:rPr>
                <w:rFonts w:asciiTheme="majorHAnsi" w:hAnsiTheme="majorHAnsi" w:cstheme="majorHAnsi"/>
                <w:b/>
                <w:color w:val="auto"/>
                <w:sz w:val="20"/>
                <w:lang w:eastAsia="en-AU"/>
              </w:rPr>
            </w:pPr>
          </w:p>
        </w:tc>
      </w:tr>
      <w:tr w:rsidR="00886F1D" w:rsidRPr="00886F1D" w14:paraId="718E7942" w14:textId="77777777" w:rsidTr="00B52BE2">
        <w:trPr>
          <w:cantSplit/>
          <w:trHeight w:val="631"/>
        </w:trPr>
        <w:tc>
          <w:tcPr>
            <w:tcW w:w="1077" w:type="dxa"/>
            <w:shd w:val="clear" w:color="auto" w:fill="auto"/>
            <w:hideMark/>
          </w:tcPr>
          <w:p w14:paraId="718E7939" w14:textId="77777777" w:rsidR="001460AC" w:rsidRPr="00886F1D" w:rsidRDefault="008042A6" w:rsidP="00EE4E20">
            <w:pPr>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36 (</w:t>
            </w:r>
            <w:r w:rsidR="001460AC" w:rsidRPr="00886F1D">
              <w:rPr>
                <w:rFonts w:asciiTheme="majorHAnsi" w:hAnsiTheme="majorHAnsi" w:cstheme="majorHAnsi"/>
                <w:color w:val="auto"/>
                <w:sz w:val="20"/>
                <w:lang w:eastAsia="en-AU"/>
              </w:rPr>
              <w:t>7.84</w:t>
            </w:r>
            <w:r w:rsidRPr="00886F1D">
              <w:rPr>
                <w:rFonts w:asciiTheme="majorHAnsi" w:hAnsiTheme="majorHAnsi" w:cstheme="majorHAnsi"/>
                <w:color w:val="auto"/>
                <w:sz w:val="20"/>
                <w:lang w:eastAsia="en-AU"/>
              </w:rPr>
              <w:t>)</w:t>
            </w:r>
          </w:p>
          <w:p w14:paraId="718E793A"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3814" w:type="dxa"/>
            <w:shd w:val="clear" w:color="auto" w:fill="auto"/>
            <w:hideMark/>
          </w:tcPr>
          <w:p w14:paraId="718E793B" w14:textId="77777777" w:rsidR="001460AC" w:rsidRPr="00886F1D" w:rsidRDefault="001460AC" w:rsidP="00EE4E20">
            <w:pPr>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The Committee recommends that the Australian Government introduce a program to better connect adjacent industries with transferrable skills to the space industry.</w:t>
            </w:r>
          </w:p>
        </w:tc>
        <w:tc>
          <w:tcPr>
            <w:tcW w:w="4707" w:type="dxa"/>
          </w:tcPr>
          <w:p w14:paraId="718E793C" w14:textId="77777777" w:rsidR="001460AC" w:rsidRPr="00886F1D" w:rsidRDefault="00844E81" w:rsidP="00C65704">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Agreed</w:t>
            </w:r>
            <w:r w:rsidR="004F3F55" w:rsidRPr="00886F1D">
              <w:rPr>
                <w:rFonts w:asciiTheme="majorHAnsi" w:hAnsiTheme="majorHAnsi" w:cstheme="majorHAnsi"/>
                <w:b/>
                <w:color w:val="auto"/>
                <w:sz w:val="20"/>
                <w:lang w:eastAsia="en-AU"/>
              </w:rPr>
              <w:t xml:space="preserve"> in </w:t>
            </w:r>
            <w:r w:rsidR="00BB5506" w:rsidRPr="00886F1D">
              <w:rPr>
                <w:rFonts w:asciiTheme="majorHAnsi" w:hAnsiTheme="majorHAnsi" w:cstheme="majorHAnsi"/>
                <w:b/>
                <w:color w:val="auto"/>
                <w:sz w:val="20"/>
                <w:lang w:eastAsia="en-AU"/>
              </w:rPr>
              <w:t>P</w:t>
            </w:r>
            <w:r w:rsidR="004F3F55" w:rsidRPr="00886F1D">
              <w:rPr>
                <w:rFonts w:asciiTheme="majorHAnsi" w:hAnsiTheme="majorHAnsi" w:cstheme="majorHAnsi"/>
                <w:b/>
                <w:color w:val="auto"/>
                <w:sz w:val="20"/>
                <w:lang w:eastAsia="en-AU"/>
              </w:rPr>
              <w:t>rinciple</w:t>
            </w:r>
          </w:p>
          <w:p w14:paraId="718E793D" w14:textId="77777777" w:rsidR="00C61281" w:rsidRPr="00886F1D" w:rsidRDefault="00C61281" w:rsidP="00C65704">
            <w:pPr>
              <w:spacing w:after="0" w:line="240" w:lineRule="auto"/>
              <w:rPr>
                <w:rFonts w:asciiTheme="majorHAnsi" w:hAnsiTheme="majorHAnsi" w:cstheme="majorHAnsi"/>
                <w:b/>
                <w:color w:val="auto"/>
                <w:sz w:val="20"/>
                <w:lang w:eastAsia="en-AU"/>
              </w:rPr>
            </w:pPr>
          </w:p>
          <w:p w14:paraId="718E793E" w14:textId="77777777" w:rsidR="0028368E" w:rsidRPr="00886F1D" w:rsidRDefault="00822FD9" w:rsidP="00C61281">
            <w:pPr>
              <w:spacing w:after="0" w:line="240" w:lineRule="auto"/>
              <w:rPr>
                <w:rFonts w:asciiTheme="majorHAnsi" w:eastAsia="Times New Roman" w:hAnsiTheme="majorHAnsi" w:cstheme="majorHAnsi"/>
                <w:color w:val="auto"/>
                <w:sz w:val="20"/>
                <w:szCs w:val="24"/>
                <w:lang w:eastAsia="en-AU"/>
              </w:rPr>
            </w:pPr>
            <w:r w:rsidRPr="00886F1D">
              <w:rPr>
                <w:rFonts w:asciiTheme="majorHAnsi" w:eastAsia="Times New Roman" w:hAnsiTheme="majorHAnsi" w:cstheme="majorHAnsi"/>
                <w:color w:val="auto"/>
                <w:sz w:val="20"/>
                <w:szCs w:val="24"/>
                <w:lang w:eastAsia="en-AU"/>
              </w:rPr>
              <w:t xml:space="preserve">The Australian Space Agency is </w:t>
            </w:r>
            <w:r w:rsidR="005A3FEA" w:rsidRPr="00886F1D">
              <w:rPr>
                <w:rFonts w:asciiTheme="majorHAnsi" w:eastAsia="Times New Roman" w:hAnsiTheme="majorHAnsi" w:cstheme="majorHAnsi"/>
                <w:color w:val="auto"/>
                <w:sz w:val="20"/>
                <w:szCs w:val="24"/>
                <w:lang w:eastAsia="en-AU"/>
              </w:rPr>
              <w:t>considering ways</w:t>
            </w:r>
            <w:r w:rsidR="00BB5506" w:rsidRPr="00886F1D">
              <w:rPr>
                <w:rFonts w:asciiTheme="majorHAnsi" w:eastAsia="Times New Roman" w:hAnsiTheme="majorHAnsi" w:cstheme="majorHAnsi"/>
                <w:color w:val="auto"/>
                <w:sz w:val="20"/>
                <w:szCs w:val="24"/>
                <w:lang w:eastAsia="en-AU"/>
              </w:rPr>
              <w:t xml:space="preserve"> to secure the space workforce pipeline</w:t>
            </w:r>
            <w:r w:rsidRPr="00886F1D">
              <w:rPr>
                <w:rFonts w:asciiTheme="majorHAnsi" w:eastAsia="Times New Roman" w:hAnsiTheme="majorHAnsi" w:cstheme="majorHAnsi"/>
                <w:color w:val="auto"/>
                <w:sz w:val="20"/>
                <w:szCs w:val="24"/>
                <w:lang w:eastAsia="en-AU"/>
              </w:rPr>
              <w:t>, informed by consultation across government and industry.</w:t>
            </w:r>
            <w:r w:rsidR="00C61281" w:rsidRPr="00886F1D">
              <w:rPr>
                <w:rFonts w:asciiTheme="majorHAnsi" w:eastAsia="Times New Roman" w:hAnsiTheme="majorHAnsi" w:cstheme="majorHAnsi"/>
                <w:color w:val="auto"/>
                <w:sz w:val="20"/>
                <w:szCs w:val="24"/>
                <w:lang w:eastAsia="en-AU"/>
              </w:rPr>
              <w:t xml:space="preserve"> </w:t>
            </w:r>
          </w:p>
          <w:p w14:paraId="718E793F" w14:textId="77777777" w:rsidR="00D82ACA" w:rsidRPr="00886F1D" w:rsidRDefault="00D82ACA" w:rsidP="00C61281">
            <w:pPr>
              <w:spacing w:after="0" w:line="240" w:lineRule="auto"/>
              <w:rPr>
                <w:rFonts w:asciiTheme="majorHAnsi" w:hAnsiTheme="majorHAnsi" w:cstheme="majorHAnsi"/>
                <w:color w:val="auto"/>
                <w:sz w:val="20"/>
              </w:rPr>
            </w:pPr>
          </w:p>
          <w:p w14:paraId="718E7940" w14:textId="77777777" w:rsidR="001460AC" w:rsidRPr="00886F1D" w:rsidRDefault="00BB5506">
            <w:pPr>
              <w:pStyle w:val="Default"/>
              <w:rPr>
                <w:rFonts w:asciiTheme="majorHAnsi" w:hAnsiTheme="majorHAnsi" w:cstheme="majorHAnsi"/>
                <w:color w:val="auto"/>
                <w:sz w:val="20"/>
              </w:rPr>
            </w:pPr>
            <w:r w:rsidRPr="00886F1D">
              <w:rPr>
                <w:rFonts w:asciiTheme="majorHAnsi" w:hAnsiTheme="majorHAnsi" w:cstheme="majorHAnsi"/>
                <w:color w:val="auto"/>
                <w:sz w:val="20"/>
              </w:rPr>
              <w:t>Th</w:t>
            </w:r>
            <w:r w:rsidR="005A3FEA" w:rsidRPr="00886F1D">
              <w:rPr>
                <w:rFonts w:asciiTheme="majorHAnsi" w:hAnsiTheme="majorHAnsi" w:cstheme="majorHAnsi"/>
                <w:color w:val="auto"/>
                <w:sz w:val="20"/>
              </w:rPr>
              <w:t xml:space="preserve">is work will consider </w:t>
            </w:r>
            <w:r w:rsidR="00844E81" w:rsidRPr="00886F1D">
              <w:rPr>
                <w:rFonts w:asciiTheme="majorHAnsi" w:hAnsiTheme="majorHAnsi" w:cstheme="majorHAnsi"/>
                <w:color w:val="auto"/>
                <w:sz w:val="20"/>
                <w:lang w:eastAsia="en-AU"/>
              </w:rPr>
              <w:t>pathways for improving the interconnectedness of Australia’s space industry with adjacent sectors to promote greater skills transfer, as well as consideration of options to attract international talent and commercial enterprise to the Australian space industry.</w:t>
            </w:r>
            <w:r w:rsidR="00844E81" w:rsidRPr="00886F1D">
              <w:rPr>
                <w:rFonts w:asciiTheme="majorHAnsi" w:hAnsiTheme="majorHAnsi" w:cstheme="majorHAnsi"/>
                <w:color w:val="auto"/>
                <w:sz w:val="20"/>
              </w:rPr>
              <w:t xml:space="preserve"> </w:t>
            </w:r>
          </w:p>
          <w:p w14:paraId="718E7941" w14:textId="77777777" w:rsidR="00D82ACA" w:rsidRPr="00886F1D" w:rsidRDefault="00D82ACA">
            <w:pPr>
              <w:pStyle w:val="Default"/>
              <w:rPr>
                <w:rFonts w:asciiTheme="majorHAnsi" w:hAnsiTheme="majorHAnsi" w:cstheme="majorHAnsi"/>
                <w:b/>
                <w:color w:val="auto"/>
                <w:sz w:val="20"/>
                <w:lang w:eastAsia="en-AU"/>
              </w:rPr>
            </w:pPr>
          </w:p>
        </w:tc>
      </w:tr>
      <w:tr w:rsidR="00886F1D" w:rsidRPr="00886F1D" w14:paraId="718E794D" w14:textId="77777777" w:rsidTr="00B52BE2">
        <w:trPr>
          <w:cantSplit/>
          <w:trHeight w:val="631"/>
        </w:trPr>
        <w:tc>
          <w:tcPr>
            <w:tcW w:w="1077" w:type="dxa"/>
            <w:shd w:val="clear" w:color="auto" w:fill="auto"/>
            <w:hideMark/>
          </w:tcPr>
          <w:p w14:paraId="718E7943"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37 (</w:t>
            </w:r>
            <w:r w:rsidR="001460AC" w:rsidRPr="00886F1D">
              <w:rPr>
                <w:rFonts w:asciiTheme="majorHAnsi" w:eastAsia="Times New Roman" w:hAnsiTheme="majorHAnsi" w:cstheme="majorHAnsi"/>
                <w:color w:val="auto"/>
                <w:sz w:val="20"/>
                <w:lang w:eastAsia="en-AU"/>
              </w:rPr>
              <w:t>7.85</w:t>
            </w:r>
            <w:r w:rsidRPr="00886F1D">
              <w:rPr>
                <w:rFonts w:asciiTheme="majorHAnsi" w:eastAsia="Times New Roman" w:hAnsiTheme="majorHAnsi" w:cstheme="majorHAnsi"/>
                <w:color w:val="auto"/>
                <w:sz w:val="20"/>
                <w:lang w:eastAsia="en-AU"/>
              </w:rPr>
              <w:t>)</w:t>
            </w:r>
          </w:p>
        </w:tc>
        <w:tc>
          <w:tcPr>
            <w:tcW w:w="3814" w:type="dxa"/>
            <w:shd w:val="clear" w:color="auto" w:fill="auto"/>
            <w:hideMark/>
          </w:tcPr>
          <w:p w14:paraId="718E7944"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examine ways to maximise the benefits of rural and regional Australia to foster the growth of the Australian space industry.</w:t>
            </w:r>
          </w:p>
        </w:tc>
        <w:tc>
          <w:tcPr>
            <w:tcW w:w="4707" w:type="dxa"/>
          </w:tcPr>
          <w:p w14:paraId="718E7945" w14:textId="77777777" w:rsidR="001460AC" w:rsidRPr="00886F1D" w:rsidRDefault="001D5BD7" w:rsidP="00917ECB">
            <w:pPr>
              <w:spacing w:after="0" w:line="240" w:lineRule="auto"/>
              <w:rPr>
                <w:rFonts w:asciiTheme="majorHAnsi" w:hAnsiTheme="majorHAnsi" w:cstheme="majorHAnsi"/>
                <w:b/>
                <w:color w:val="auto"/>
                <w:sz w:val="20"/>
                <w:lang w:eastAsia="en-AU"/>
              </w:rPr>
            </w:pPr>
            <w:r w:rsidRPr="00886F1D">
              <w:rPr>
                <w:rFonts w:asciiTheme="majorHAnsi" w:hAnsiTheme="majorHAnsi" w:cstheme="majorHAnsi"/>
                <w:b/>
                <w:color w:val="auto"/>
                <w:sz w:val="20"/>
                <w:lang w:eastAsia="en-AU"/>
              </w:rPr>
              <w:t xml:space="preserve">Noted </w:t>
            </w:r>
          </w:p>
          <w:p w14:paraId="718E7946" w14:textId="77777777" w:rsidR="00C61281" w:rsidRPr="00886F1D" w:rsidRDefault="00C61281" w:rsidP="00917ECB">
            <w:pPr>
              <w:spacing w:after="0" w:line="240" w:lineRule="auto"/>
              <w:rPr>
                <w:rFonts w:asciiTheme="majorHAnsi" w:hAnsiTheme="majorHAnsi" w:cstheme="majorHAnsi"/>
                <w:b/>
                <w:color w:val="auto"/>
                <w:sz w:val="20"/>
                <w:lang w:eastAsia="en-AU"/>
              </w:rPr>
            </w:pPr>
          </w:p>
          <w:p w14:paraId="718E7947" w14:textId="77777777" w:rsidR="001D5BD7" w:rsidRPr="00886F1D" w:rsidRDefault="001D5BD7" w:rsidP="001D5BD7">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The </w:t>
            </w:r>
            <w:r w:rsidR="00EA6F64" w:rsidRPr="00886F1D">
              <w:rPr>
                <w:rFonts w:asciiTheme="majorHAnsi" w:hAnsiTheme="majorHAnsi" w:cstheme="majorHAnsi"/>
                <w:color w:val="auto"/>
                <w:sz w:val="20"/>
                <w:lang w:eastAsia="en-AU"/>
              </w:rPr>
              <w:t xml:space="preserve">Australian </w:t>
            </w:r>
            <w:r w:rsidRPr="00886F1D">
              <w:rPr>
                <w:rFonts w:asciiTheme="majorHAnsi" w:hAnsiTheme="majorHAnsi" w:cstheme="majorHAnsi"/>
                <w:color w:val="auto"/>
                <w:sz w:val="20"/>
                <w:lang w:eastAsia="en-AU"/>
              </w:rPr>
              <w:t xml:space="preserve">Government notes that the space industry is well positioned to support remote and regional communities, and is supportive of communities wishing to explore opportunities to engage in space activities. </w:t>
            </w:r>
          </w:p>
          <w:p w14:paraId="718E7948" w14:textId="77777777" w:rsidR="001D5BD7" w:rsidRPr="00886F1D" w:rsidRDefault="001D5BD7" w:rsidP="001D5BD7">
            <w:pPr>
              <w:spacing w:after="0" w:line="240" w:lineRule="auto"/>
              <w:rPr>
                <w:rFonts w:asciiTheme="majorHAnsi" w:hAnsiTheme="majorHAnsi" w:cstheme="majorHAnsi"/>
                <w:color w:val="auto"/>
                <w:sz w:val="20"/>
                <w:highlight w:val="yellow"/>
                <w:lang w:eastAsia="en-AU"/>
              </w:rPr>
            </w:pPr>
          </w:p>
          <w:p w14:paraId="718E7949" w14:textId="77777777" w:rsidR="001D5BD7" w:rsidRPr="00886F1D" w:rsidRDefault="00C61281" w:rsidP="00C61281">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 xml:space="preserve">Australia’s regional areas already host a significant number of space facilities used to communicate with </w:t>
            </w:r>
            <w:r w:rsidRPr="00886F1D">
              <w:rPr>
                <w:rFonts w:asciiTheme="majorHAnsi" w:hAnsiTheme="majorHAnsi" w:cstheme="majorBidi"/>
                <w:color w:val="auto"/>
                <w:sz w:val="20"/>
                <w:lang w:eastAsia="en-AU"/>
              </w:rPr>
              <w:t xml:space="preserve">satellites, improve space data and monitor deep space. </w:t>
            </w:r>
          </w:p>
          <w:p w14:paraId="718E794A" w14:textId="77777777" w:rsidR="001D5BD7" w:rsidRPr="00886F1D" w:rsidRDefault="001D5BD7" w:rsidP="001D5BD7">
            <w:pPr>
              <w:pStyle w:val="CommentText"/>
              <w:rPr>
                <w:rFonts w:asciiTheme="majorHAnsi" w:hAnsiTheme="majorHAnsi" w:cstheme="majorHAnsi"/>
                <w:highlight w:val="yellow"/>
                <w:lang w:eastAsia="en-AU"/>
              </w:rPr>
            </w:pPr>
          </w:p>
          <w:p w14:paraId="718E794B" w14:textId="77777777" w:rsidR="001D5BD7" w:rsidRPr="00886F1D" w:rsidRDefault="0008711A" w:rsidP="001D5BD7">
            <w:pPr>
              <w:spacing w:after="0" w:line="240" w:lineRule="auto"/>
              <w:rPr>
                <w:rFonts w:asciiTheme="majorHAnsi" w:hAnsiTheme="majorHAnsi" w:cstheme="majorHAnsi"/>
                <w:color w:val="auto"/>
                <w:sz w:val="20"/>
                <w:lang w:eastAsia="en-AU"/>
              </w:rPr>
            </w:pPr>
            <w:r w:rsidRPr="00886F1D">
              <w:rPr>
                <w:rFonts w:asciiTheme="majorHAnsi" w:hAnsiTheme="majorHAnsi" w:cstheme="majorHAnsi"/>
                <w:color w:val="auto"/>
                <w:sz w:val="20"/>
                <w:lang w:eastAsia="en-AU"/>
              </w:rPr>
              <w:t>T</w:t>
            </w:r>
            <w:r w:rsidR="001D5BD7" w:rsidRPr="00886F1D">
              <w:rPr>
                <w:rFonts w:asciiTheme="majorHAnsi" w:hAnsiTheme="majorHAnsi" w:cstheme="majorHAnsi"/>
                <w:color w:val="auto"/>
                <w:sz w:val="20"/>
                <w:lang w:eastAsia="en-AU"/>
              </w:rPr>
              <w:t xml:space="preserve">he </w:t>
            </w:r>
            <w:r w:rsidR="00EA6F64" w:rsidRPr="00886F1D">
              <w:rPr>
                <w:rFonts w:asciiTheme="majorHAnsi" w:hAnsiTheme="majorHAnsi" w:cstheme="majorHAnsi"/>
                <w:color w:val="auto"/>
                <w:sz w:val="20"/>
                <w:lang w:eastAsia="en-AU"/>
              </w:rPr>
              <w:t xml:space="preserve">Australian </w:t>
            </w:r>
            <w:r w:rsidR="001D5BD7" w:rsidRPr="00886F1D">
              <w:rPr>
                <w:rFonts w:asciiTheme="majorHAnsi" w:hAnsiTheme="majorHAnsi" w:cstheme="majorHAnsi"/>
                <w:color w:val="auto"/>
                <w:sz w:val="20"/>
                <w:lang w:eastAsia="en-AU"/>
              </w:rPr>
              <w:t>Government has committed to an improvement in NBN satellite services that will improve regional Australia</w:t>
            </w:r>
            <w:r w:rsidR="00D82ACA" w:rsidRPr="00886F1D">
              <w:rPr>
                <w:rFonts w:asciiTheme="majorHAnsi" w:hAnsiTheme="majorHAnsi" w:cstheme="majorHAnsi"/>
                <w:color w:val="auto"/>
                <w:sz w:val="20"/>
                <w:lang w:eastAsia="en-AU"/>
              </w:rPr>
              <w:t>n</w:t>
            </w:r>
            <w:r w:rsidR="001D5BD7" w:rsidRPr="00886F1D">
              <w:rPr>
                <w:rFonts w:asciiTheme="majorHAnsi" w:hAnsiTheme="majorHAnsi" w:cstheme="majorHAnsi"/>
                <w:color w:val="auto"/>
                <w:sz w:val="20"/>
                <w:lang w:eastAsia="en-AU"/>
              </w:rPr>
              <w:t xml:space="preserve"> access to the internet through increased data allowances and unmetered usage between midnight and 4 pm. </w:t>
            </w:r>
          </w:p>
          <w:p w14:paraId="718E794C" w14:textId="77777777" w:rsidR="001460AC" w:rsidRPr="00886F1D" w:rsidRDefault="001460AC" w:rsidP="00C61281">
            <w:pPr>
              <w:spacing w:after="0" w:line="240" w:lineRule="auto"/>
              <w:rPr>
                <w:rFonts w:asciiTheme="majorHAnsi" w:hAnsiTheme="majorHAnsi" w:cstheme="majorHAnsi"/>
                <w:b/>
                <w:color w:val="auto"/>
                <w:sz w:val="20"/>
                <w:lang w:eastAsia="en-AU"/>
              </w:rPr>
            </w:pPr>
          </w:p>
        </w:tc>
      </w:tr>
      <w:tr w:rsidR="00886F1D" w:rsidRPr="00886F1D" w14:paraId="718E7955" w14:textId="77777777" w:rsidTr="00B52BE2">
        <w:trPr>
          <w:cantSplit/>
          <w:trHeight w:val="631"/>
        </w:trPr>
        <w:tc>
          <w:tcPr>
            <w:tcW w:w="1077" w:type="dxa"/>
            <w:shd w:val="clear" w:color="auto" w:fill="auto"/>
            <w:hideMark/>
          </w:tcPr>
          <w:p w14:paraId="718E794E" w14:textId="77777777" w:rsidR="001460AC" w:rsidRPr="00886F1D" w:rsidRDefault="008042A6"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lastRenderedPageBreak/>
              <w:t>38 (</w:t>
            </w:r>
            <w:r w:rsidR="001460AC" w:rsidRPr="00886F1D">
              <w:rPr>
                <w:rFonts w:asciiTheme="majorHAnsi" w:eastAsia="Times New Roman" w:hAnsiTheme="majorHAnsi" w:cstheme="majorHAnsi"/>
                <w:color w:val="auto"/>
                <w:sz w:val="20"/>
                <w:lang w:eastAsia="en-AU"/>
              </w:rPr>
              <w:t>7.86</w:t>
            </w:r>
            <w:r w:rsidRPr="00886F1D">
              <w:rPr>
                <w:rFonts w:asciiTheme="majorHAnsi" w:eastAsia="Times New Roman" w:hAnsiTheme="majorHAnsi" w:cstheme="majorHAnsi"/>
                <w:color w:val="auto"/>
                <w:sz w:val="20"/>
                <w:lang w:eastAsia="en-AU"/>
              </w:rPr>
              <w:t>)</w:t>
            </w:r>
          </w:p>
        </w:tc>
        <w:tc>
          <w:tcPr>
            <w:tcW w:w="3814" w:type="dxa"/>
            <w:shd w:val="clear" w:color="auto" w:fill="auto"/>
            <w:hideMark/>
          </w:tcPr>
          <w:p w14:paraId="718E794F" w14:textId="77777777" w:rsidR="00D43C0A" w:rsidRPr="00886F1D" w:rsidRDefault="001460AC" w:rsidP="002657DF">
            <w:pPr>
              <w:spacing w:after="0" w:line="240" w:lineRule="auto"/>
              <w:rPr>
                <w:rFonts w:asciiTheme="majorHAnsi" w:eastAsia="Times New Roman" w:hAnsiTheme="majorHAnsi" w:cstheme="majorHAnsi"/>
                <w:color w:val="auto"/>
                <w:sz w:val="20"/>
                <w:lang w:eastAsia="en-AU"/>
              </w:rPr>
            </w:pPr>
            <w:r w:rsidRPr="00886F1D">
              <w:rPr>
                <w:rFonts w:asciiTheme="majorHAnsi" w:eastAsia="Times New Roman" w:hAnsiTheme="majorHAnsi" w:cstheme="majorHAnsi"/>
                <w:color w:val="auto"/>
                <w:sz w:val="20"/>
                <w:lang w:eastAsia="en-AU"/>
              </w:rPr>
              <w:t>The Committee recommends that the Australian Government examine options to improve engagement and relocation of international workers and commercial enterprise to the space industry.</w:t>
            </w:r>
          </w:p>
          <w:p w14:paraId="718E7950" w14:textId="77777777" w:rsidR="001460AC" w:rsidRPr="00886F1D" w:rsidRDefault="001460AC" w:rsidP="002657DF">
            <w:pPr>
              <w:spacing w:after="0" w:line="240" w:lineRule="auto"/>
              <w:rPr>
                <w:rFonts w:asciiTheme="majorHAnsi" w:eastAsia="Times New Roman" w:hAnsiTheme="majorHAnsi" w:cstheme="majorHAnsi"/>
                <w:color w:val="auto"/>
                <w:sz w:val="20"/>
                <w:lang w:eastAsia="en-AU"/>
              </w:rPr>
            </w:pPr>
          </w:p>
        </w:tc>
        <w:tc>
          <w:tcPr>
            <w:tcW w:w="4707" w:type="dxa"/>
          </w:tcPr>
          <w:p w14:paraId="718E7951" w14:textId="77777777" w:rsidR="001460AC" w:rsidRPr="00886F1D" w:rsidRDefault="001460AC" w:rsidP="00C65704">
            <w:pPr>
              <w:spacing w:after="0" w:line="240" w:lineRule="auto"/>
              <w:rPr>
                <w:rFonts w:asciiTheme="majorHAnsi" w:eastAsia="Times New Roman" w:hAnsiTheme="majorHAnsi" w:cstheme="majorHAnsi"/>
                <w:b/>
                <w:color w:val="auto"/>
                <w:sz w:val="20"/>
                <w:lang w:eastAsia="en-AU"/>
              </w:rPr>
            </w:pPr>
            <w:r w:rsidRPr="00886F1D">
              <w:rPr>
                <w:rFonts w:asciiTheme="majorHAnsi" w:eastAsia="Times New Roman" w:hAnsiTheme="majorHAnsi" w:cstheme="majorHAnsi"/>
                <w:b/>
                <w:color w:val="auto"/>
                <w:sz w:val="20"/>
                <w:lang w:eastAsia="en-AU"/>
              </w:rPr>
              <w:t>Agreed</w:t>
            </w:r>
            <w:r w:rsidR="006572F0" w:rsidRPr="00886F1D">
              <w:rPr>
                <w:rFonts w:asciiTheme="majorHAnsi" w:eastAsia="Times New Roman" w:hAnsiTheme="majorHAnsi" w:cstheme="majorHAnsi"/>
                <w:b/>
                <w:color w:val="auto"/>
                <w:sz w:val="20"/>
                <w:lang w:eastAsia="en-AU"/>
              </w:rPr>
              <w:t xml:space="preserve"> </w:t>
            </w:r>
          </w:p>
          <w:p w14:paraId="718E7952" w14:textId="77777777" w:rsidR="00D169B8" w:rsidRPr="00886F1D" w:rsidRDefault="00D169B8" w:rsidP="00C65704">
            <w:pPr>
              <w:spacing w:after="0" w:line="240" w:lineRule="auto"/>
              <w:rPr>
                <w:rFonts w:asciiTheme="majorHAnsi" w:eastAsia="Times New Roman" w:hAnsiTheme="majorHAnsi" w:cstheme="majorHAnsi"/>
                <w:b/>
                <w:color w:val="auto"/>
                <w:sz w:val="20"/>
                <w:lang w:eastAsia="en-AU"/>
              </w:rPr>
            </w:pPr>
          </w:p>
          <w:p w14:paraId="718E7953" w14:textId="77777777" w:rsidR="001460AC" w:rsidRPr="00886F1D" w:rsidRDefault="006572F0" w:rsidP="00DA14B2">
            <w:pPr>
              <w:pStyle w:val="Default"/>
              <w:rPr>
                <w:rFonts w:asciiTheme="majorHAnsi" w:hAnsiTheme="majorHAnsi" w:cstheme="majorHAnsi"/>
                <w:color w:val="auto"/>
                <w:sz w:val="20"/>
                <w:szCs w:val="20"/>
              </w:rPr>
            </w:pPr>
            <w:r w:rsidRPr="00886F1D">
              <w:rPr>
                <w:rFonts w:asciiTheme="majorHAnsi" w:eastAsia="Times New Roman" w:hAnsiTheme="majorHAnsi" w:cstheme="majorHAnsi"/>
                <w:color w:val="auto"/>
                <w:sz w:val="20"/>
                <w:lang w:eastAsia="en-AU"/>
              </w:rPr>
              <w:t>The Australian Space Agency</w:t>
            </w:r>
            <w:r w:rsidR="00421DE4" w:rsidRPr="00886F1D">
              <w:rPr>
                <w:rFonts w:asciiTheme="majorHAnsi" w:eastAsia="Times New Roman" w:hAnsiTheme="majorHAnsi" w:cstheme="majorHAnsi"/>
                <w:color w:val="auto"/>
                <w:sz w:val="20"/>
                <w:lang w:eastAsia="en-AU"/>
              </w:rPr>
              <w:t xml:space="preserve">’s </w:t>
            </w:r>
            <w:r w:rsidR="008634C9" w:rsidRPr="00886F1D">
              <w:rPr>
                <w:rFonts w:asciiTheme="majorHAnsi" w:eastAsia="Times New Roman" w:hAnsiTheme="majorHAnsi" w:cstheme="majorHAnsi"/>
                <w:color w:val="auto"/>
                <w:sz w:val="20"/>
                <w:lang w:eastAsia="en-AU"/>
              </w:rPr>
              <w:t>consideration of ways</w:t>
            </w:r>
            <w:r w:rsidR="00421DE4" w:rsidRPr="00886F1D">
              <w:rPr>
                <w:rFonts w:asciiTheme="majorHAnsi" w:eastAsia="Times New Roman" w:hAnsiTheme="majorHAnsi" w:cstheme="majorHAnsi"/>
                <w:color w:val="auto"/>
                <w:sz w:val="20"/>
                <w:lang w:eastAsia="en-AU"/>
              </w:rPr>
              <w:t xml:space="preserve"> to secure the space workforce pipeline </w:t>
            </w:r>
            <w:r w:rsidRPr="00886F1D">
              <w:rPr>
                <w:rFonts w:asciiTheme="majorHAnsi" w:hAnsiTheme="majorHAnsi" w:cstheme="majorHAnsi"/>
                <w:color w:val="auto"/>
                <w:sz w:val="20"/>
                <w:szCs w:val="20"/>
              </w:rPr>
              <w:t xml:space="preserve">will include consideration of options to </w:t>
            </w:r>
            <w:r w:rsidR="00421DE4" w:rsidRPr="00886F1D">
              <w:rPr>
                <w:rFonts w:asciiTheme="majorHAnsi" w:eastAsia="Times New Roman" w:hAnsiTheme="majorHAnsi" w:cstheme="majorHAnsi"/>
                <w:color w:val="auto"/>
                <w:sz w:val="20"/>
                <w:lang w:eastAsia="en-AU"/>
              </w:rPr>
              <w:t>attract global talent, including Australian expats,</w:t>
            </w:r>
            <w:r w:rsidRPr="00886F1D">
              <w:rPr>
                <w:rFonts w:asciiTheme="majorHAnsi" w:eastAsia="Times New Roman" w:hAnsiTheme="majorHAnsi" w:cstheme="majorHAnsi"/>
                <w:color w:val="auto"/>
                <w:sz w:val="20"/>
                <w:lang w:eastAsia="en-AU"/>
              </w:rPr>
              <w:t xml:space="preserve"> and commercial enterprise to the </w:t>
            </w:r>
            <w:r w:rsidR="00421DE4" w:rsidRPr="00886F1D">
              <w:rPr>
                <w:rFonts w:asciiTheme="majorHAnsi" w:eastAsia="Times New Roman" w:hAnsiTheme="majorHAnsi" w:cstheme="majorHAnsi"/>
                <w:color w:val="auto"/>
                <w:sz w:val="20"/>
                <w:lang w:eastAsia="en-AU"/>
              </w:rPr>
              <w:t xml:space="preserve">Australian </w:t>
            </w:r>
            <w:r w:rsidRPr="00886F1D">
              <w:rPr>
                <w:rFonts w:asciiTheme="majorHAnsi" w:eastAsia="Times New Roman" w:hAnsiTheme="majorHAnsi" w:cstheme="majorHAnsi"/>
                <w:color w:val="auto"/>
                <w:sz w:val="20"/>
                <w:lang w:eastAsia="en-AU"/>
              </w:rPr>
              <w:t>space industry</w:t>
            </w:r>
            <w:r w:rsidRPr="00886F1D">
              <w:rPr>
                <w:rFonts w:asciiTheme="majorHAnsi" w:hAnsiTheme="majorHAnsi" w:cstheme="majorHAnsi"/>
                <w:color w:val="auto"/>
                <w:sz w:val="20"/>
                <w:szCs w:val="20"/>
              </w:rPr>
              <w:t>.</w:t>
            </w:r>
            <w:r w:rsidR="00DA14B2" w:rsidRPr="00886F1D">
              <w:rPr>
                <w:rFonts w:asciiTheme="majorHAnsi" w:hAnsiTheme="majorHAnsi" w:cstheme="majorHAnsi"/>
                <w:color w:val="auto"/>
                <w:sz w:val="20"/>
                <w:szCs w:val="20"/>
              </w:rPr>
              <w:t xml:space="preserve"> </w:t>
            </w:r>
            <w:r w:rsidRPr="00886F1D">
              <w:rPr>
                <w:rFonts w:asciiTheme="majorHAnsi" w:hAnsiTheme="majorHAnsi" w:cstheme="majorHAnsi"/>
                <w:color w:val="auto"/>
                <w:sz w:val="20"/>
                <w:szCs w:val="20"/>
              </w:rPr>
              <w:t>Th</w:t>
            </w:r>
            <w:r w:rsidR="008634C9" w:rsidRPr="00886F1D">
              <w:rPr>
                <w:rFonts w:asciiTheme="majorHAnsi" w:hAnsiTheme="majorHAnsi" w:cstheme="majorHAnsi"/>
                <w:color w:val="auto"/>
                <w:sz w:val="20"/>
                <w:szCs w:val="20"/>
              </w:rPr>
              <w:t xml:space="preserve">is work </w:t>
            </w:r>
            <w:r w:rsidRPr="00886F1D">
              <w:rPr>
                <w:rFonts w:asciiTheme="majorHAnsi" w:hAnsiTheme="majorHAnsi" w:cstheme="majorHAnsi"/>
                <w:color w:val="auto"/>
                <w:sz w:val="20"/>
                <w:szCs w:val="20"/>
              </w:rPr>
              <w:t xml:space="preserve">will be informed </w:t>
            </w:r>
            <w:r w:rsidR="00421DE4" w:rsidRPr="00886F1D">
              <w:rPr>
                <w:rFonts w:asciiTheme="majorHAnsi" w:hAnsiTheme="majorHAnsi" w:cstheme="majorHAnsi"/>
                <w:color w:val="auto"/>
                <w:sz w:val="20"/>
                <w:szCs w:val="20"/>
              </w:rPr>
              <w:t xml:space="preserve">and supported </w:t>
            </w:r>
            <w:r w:rsidRPr="00886F1D">
              <w:rPr>
                <w:rFonts w:asciiTheme="majorHAnsi" w:hAnsiTheme="majorHAnsi" w:cstheme="majorHAnsi"/>
                <w:color w:val="auto"/>
                <w:sz w:val="20"/>
                <w:szCs w:val="20"/>
              </w:rPr>
              <w:t>by the outcomes of the Jobs and Skills Summit</w:t>
            </w:r>
            <w:r w:rsidR="008634C9" w:rsidRPr="00886F1D">
              <w:rPr>
                <w:rFonts w:asciiTheme="majorHAnsi" w:hAnsiTheme="majorHAnsi" w:cstheme="majorHAnsi"/>
                <w:color w:val="auto"/>
                <w:sz w:val="20"/>
                <w:szCs w:val="20"/>
              </w:rPr>
              <w:t>.</w:t>
            </w:r>
            <w:r w:rsidRPr="00886F1D">
              <w:rPr>
                <w:rFonts w:asciiTheme="majorHAnsi" w:hAnsiTheme="majorHAnsi" w:cstheme="majorHAnsi"/>
                <w:color w:val="auto"/>
                <w:sz w:val="20"/>
                <w:szCs w:val="20"/>
              </w:rPr>
              <w:t xml:space="preserve"> </w:t>
            </w:r>
          </w:p>
          <w:p w14:paraId="718E7954" w14:textId="77777777" w:rsidR="001460AC" w:rsidRPr="00886F1D" w:rsidRDefault="001460AC" w:rsidP="00DA14B2">
            <w:pPr>
              <w:pStyle w:val="Default"/>
              <w:rPr>
                <w:rFonts w:asciiTheme="majorHAnsi" w:eastAsia="Times New Roman" w:hAnsiTheme="majorHAnsi" w:cstheme="majorHAnsi"/>
                <w:b/>
                <w:color w:val="auto"/>
                <w:sz w:val="20"/>
                <w:lang w:eastAsia="en-AU"/>
              </w:rPr>
            </w:pPr>
          </w:p>
        </w:tc>
      </w:tr>
    </w:tbl>
    <w:p w14:paraId="718E7956" w14:textId="77777777" w:rsidR="00687B84" w:rsidRPr="00886F1D" w:rsidRDefault="00687B84">
      <w:pPr>
        <w:rPr>
          <w:color w:val="auto"/>
        </w:rPr>
      </w:pPr>
    </w:p>
    <w:sectPr w:rsidR="00687B84" w:rsidRPr="00886F1D" w:rsidSect="002B59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E795C" w14:textId="77777777" w:rsidR="00AB4255" w:rsidRDefault="00AB4255" w:rsidP="002657DF">
      <w:pPr>
        <w:spacing w:after="0" w:line="240" w:lineRule="auto"/>
      </w:pPr>
      <w:r>
        <w:separator/>
      </w:r>
    </w:p>
  </w:endnote>
  <w:endnote w:type="continuationSeparator" w:id="0">
    <w:p w14:paraId="718E795D" w14:textId="77777777" w:rsidR="00AB4255" w:rsidRDefault="00AB4255" w:rsidP="002657DF">
      <w:pPr>
        <w:spacing w:after="0" w:line="240" w:lineRule="auto"/>
      </w:pPr>
      <w:r>
        <w:continuationSeparator/>
      </w:r>
    </w:p>
  </w:endnote>
  <w:endnote w:type="continuationNotice" w:id="1">
    <w:p w14:paraId="718E795E" w14:textId="77777777" w:rsidR="00AB4255" w:rsidRDefault="00AB42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F0E41" w14:textId="77777777" w:rsidR="00F673A3" w:rsidRDefault="00F67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123126"/>
      <w:docPartObj>
        <w:docPartGallery w:val="Page Numbers (Bottom of Page)"/>
        <w:docPartUnique/>
      </w:docPartObj>
    </w:sdtPr>
    <w:sdtEndPr>
      <w:rPr>
        <w:noProof/>
        <w:color w:val="auto"/>
      </w:rPr>
    </w:sdtEndPr>
    <w:sdtContent>
      <w:p w14:paraId="718E7962" w14:textId="77777777" w:rsidR="00F87988" w:rsidRPr="000D7099" w:rsidRDefault="00F87988">
        <w:pPr>
          <w:pStyle w:val="Footer"/>
          <w:jc w:val="right"/>
          <w:rPr>
            <w:color w:val="auto"/>
          </w:rPr>
        </w:pPr>
        <w:r w:rsidRPr="000D7099">
          <w:rPr>
            <w:color w:val="auto"/>
          </w:rPr>
          <w:fldChar w:fldCharType="begin"/>
        </w:r>
        <w:r w:rsidRPr="000D7099">
          <w:rPr>
            <w:color w:val="auto"/>
          </w:rPr>
          <w:instrText xml:space="preserve"> PAGE   \* MERGEFORMAT </w:instrText>
        </w:r>
        <w:r w:rsidRPr="000D7099">
          <w:rPr>
            <w:color w:val="auto"/>
          </w:rPr>
          <w:fldChar w:fldCharType="separate"/>
        </w:r>
        <w:r w:rsidR="00F673A3">
          <w:rPr>
            <w:noProof/>
            <w:color w:val="auto"/>
          </w:rPr>
          <w:t>1</w:t>
        </w:r>
        <w:r w:rsidRPr="000D7099">
          <w:rPr>
            <w:noProof/>
            <w:color w:val="auto"/>
          </w:rPr>
          <w:fldChar w:fldCharType="end"/>
        </w:r>
      </w:p>
    </w:sdtContent>
  </w:sdt>
  <w:p w14:paraId="718E7963" w14:textId="77777777" w:rsidR="00F87988" w:rsidRPr="000D7099" w:rsidRDefault="00F87988">
    <w:pPr>
      <w:pStyle w:val="Footer"/>
      <w:rPr>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B8096" w14:textId="77777777" w:rsidR="00F673A3" w:rsidRDefault="00F67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E7959" w14:textId="77777777" w:rsidR="00AB4255" w:rsidRDefault="00AB4255" w:rsidP="002657DF">
      <w:pPr>
        <w:spacing w:after="0" w:line="240" w:lineRule="auto"/>
      </w:pPr>
      <w:r>
        <w:separator/>
      </w:r>
    </w:p>
  </w:footnote>
  <w:footnote w:type="continuationSeparator" w:id="0">
    <w:p w14:paraId="718E795A" w14:textId="77777777" w:rsidR="00AB4255" w:rsidRDefault="00AB4255" w:rsidP="002657DF">
      <w:pPr>
        <w:spacing w:after="0" w:line="240" w:lineRule="auto"/>
      </w:pPr>
      <w:r>
        <w:continuationSeparator/>
      </w:r>
    </w:p>
  </w:footnote>
  <w:footnote w:type="continuationNotice" w:id="1">
    <w:p w14:paraId="718E795B" w14:textId="77777777" w:rsidR="00AB4255" w:rsidRDefault="00AB425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4EA90" w14:textId="77777777" w:rsidR="00F673A3" w:rsidRDefault="00F673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E7960" w14:textId="17B2CDD3" w:rsidR="00F87988" w:rsidRPr="000D7099" w:rsidRDefault="00F87988" w:rsidP="00921104">
    <w:pPr>
      <w:pStyle w:val="Header"/>
      <w:jc w:val="center"/>
      <w:rPr>
        <w:color w:val="auto"/>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B78B1" w14:textId="77777777" w:rsidR="00F673A3" w:rsidRDefault="00F673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5884"/>
    <w:multiLevelType w:val="hybridMultilevel"/>
    <w:tmpl w:val="16F2A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A5A4F"/>
    <w:multiLevelType w:val="hybridMultilevel"/>
    <w:tmpl w:val="AD60D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812989"/>
    <w:multiLevelType w:val="hybridMultilevel"/>
    <w:tmpl w:val="728AB1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167A00"/>
    <w:multiLevelType w:val="hybridMultilevel"/>
    <w:tmpl w:val="4BECE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A77F76"/>
    <w:multiLevelType w:val="hybridMultilevel"/>
    <w:tmpl w:val="729410F2"/>
    <w:lvl w:ilvl="0" w:tplc="07CA21D6">
      <w:start w:val="18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F8230E"/>
    <w:multiLevelType w:val="hybridMultilevel"/>
    <w:tmpl w:val="96B40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70725D"/>
    <w:multiLevelType w:val="hybridMultilevel"/>
    <w:tmpl w:val="31B2CE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E943A5"/>
    <w:multiLevelType w:val="hybridMultilevel"/>
    <w:tmpl w:val="CBF29C6C"/>
    <w:lvl w:ilvl="0" w:tplc="018CD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585156"/>
    <w:multiLevelType w:val="hybridMultilevel"/>
    <w:tmpl w:val="4620A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555812"/>
    <w:multiLevelType w:val="hybridMultilevel"/>
    <w:tmpl w:val="CF581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4C655B"/>
    <w:multiLevelType w:val="hybridMultilevel"/>
    <w:tmpl w:val="25767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3C24701"/>
    <w:multiLevelType w:val="hybridMultilevel"/>
    <w:tmpl w:val="3684E184"/>
    <w:lvl w:ilvl="0" w:tplc="B908E4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067F3"/>
    <w:multiLevelType w:val="hybridMultilevel"/>
    <w:tmpl w:val="22F0C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FE476C"/>
    <w:multiLevelType w:val="hybridMultilevel"/>
    <w:tmpl w:val="FB86D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ED2426"/>
    <w:multiLevelType w:val="hybridMultilevel"/>
    <w:tmpl w:val="F42CD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C22310"/>
    <w:multiLevelType w:val="hybridMultilevel"/>
    <w:tmpl w:val="CF465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0654D9"/>
    <w:multiLevelType w:val="hybridMultilevel"/>
    <w:tmpl w:val="CCD83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A4775"/>
    <w:multiLevelType w:val="hybridMultilevel"/>
    <w:tmpl w:val="A97A19B6"/>
    <w:lvl w:ilvl="0" w:tplc="576419A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7E1AC9"/>
    <w:multiLevelType w:val="hybridMultilevel"/>
    <w:tmpl w:val="91FABD90"/>
    <w:lvl w:ilvl="0" w:tplc="A4886F78">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3274B3"/>
    <w:multiLevelType w:val="hybridMultilevel"/>
    <w:tmpl w:val="722C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FD40E2"/>
    <w:multiLevelType w:val="hybridMultilevel"/>
    <w:tmpl w:val="A57C0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CE7FF3"/>
    <w:multiLevelType w:val="hybridMultilevel"/>
    <w:tmpl w:val="DAB85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B87EB3"/>
    <w:multiLevelType w:val="hybridMultilevel"/>
    <w:tmpl w:val="FACE6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281091"/>
    <w:multiLevelType w:val="hybridMultilevel"/>
    <w:tmpl w:val="67BC1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1818A4"/>
    <w:multiLevelType w:val="hybridMultilevel"/>
    <w:tmpl w:val="F8EAB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AF7FC4"/>
    <w:multiLevelType w:val="hybridMultilevel"/>
    <w:tmpl w:val="A4A48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055B9B"/>
    <w:multiLevelType w:val="hybridMultilevel"/>
    <w:tmpl w:val="27E86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9F584C"/>
    <w:multiLevelType w:val="hybridMultilevel"/>
    <w:tmpl w:val="435CA5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F50F32"/>
    <w:multiLevelType w:val="hybridMultilevel"/>
    <w:tmpl w:val="350C9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4"/>
  </w:num>
  <w:num w:numId="5">
    <w:abstractNumId w:val="8"/>
  </w:num>
  <w:num w:numId="6">
    <w:abstractNumId w:val="12"/>
  </w:num>
  <w:num w:numId="7">
    <w:abstractNumId w:val="25"/>
  </w:num>
  <w:num w:numId="8">
    <w:abstractNumId w:val="27"/>
  </w:num>
  <w:num w:numId="9">
    <w:abstractNumId w:val="18"/>
  </w:num>
  <w:num w:numId="10">
    <w:abstractNumId w:val="7"/>
  </w:num>
  <w:num w:numId="11">
    <w:abstractNumId w:val="22"/>
  </w:num>
  <w:num w:numId="12">
    <w:abstractNumId w:val="23"/>
  </w:num>
  <w:num w:numId="13">
    <w:abstractNumId w:val="20"/>
  </w:num>
  <w:num w:numId="14">
    <w:abstractNumId w:val="19"/>
  </w:num>
  <w:num w:numId="15">
    <w:abstractNumId w:val="13"/>
  </w:num>
  <w:num w:numId="16">
    <w:abstractNumId w:val="2"/>
  </w:num>
  <w:num w:numId="17">
    <w:abstractNumId w:val="14"/>
  </w:num>
  <w:num w:numId="18">
    <w:abstractNumId w:val="9"/>
  </w:num>
  <w:num w:numId="19">
    <w:abstractNumId w:val="15"/>
  </w:num>
  <w:num w:numId="20">
    <w:abstractNumId w:val="3"/>
  </w:num>
  <w:num w:numId="21">
    <w:abstractNumId w:val="10"/>
  </w:num>
  <w:num w:numId="22">
    <w:abstractNumId w:val="10"/>
  </w:num>
  <w:num w:numId="23">
    <w:abstractNumId w:val="21"/>
  </w:num>
  <w:num w:numId="24">
    <w:abstractNumId w:val="4"/>
  </w:num>
  <w:num w:numId="25">
    <w:abstractNumId w:val="26"/>
  </w:num>
  <w:num w:numId="26">
    <w:abstractNumId w:val="17"/>
  </w:num>
  <w:num w:numId="27">
    <w:abstractNumId w:val="28"/>
  </w:num>
  <w:num w:numId="28">
    <w:abstractNumId w:val="0"/>
  </w:num>
  <w:num w:numId="29">
    <w:abstractNumId w:val="16"/>
  </w:num>
  <w:num w:numId="30">
    <w:abstractNumId w:val="1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DF"/>
    <w:rsid w:val="000002E5"/>
    <w:rsid w:val="0000208B"/>
    <w:rsid w:val="0000516A"/>
    <w:rsid w:val="00005333"/>
    <w:rsid w:val="0000681C"/>
    <w:rsid w:val="00007482"/>
    <w:rsid w:val="00007ABD"/>
    <w:rsid w:val="00010AD1"/>
    <w:rsid w:val="00010E84"/>
    <w:rsid w:val="0001148C"/>
    <w:rsid w:val="00011AFF"/>
    <w:rsid w:val="00012425"/>
    <w:rsid w:val="00012672"/>
    <w:rsid w:val="00013151"/>
    <w:rsid w:val="00014EE7"/>
    <w:rsid w:val="000169FE"/>
    <w:rsid w:val="00016D7D"/>
    <w:rsid w:val="000200C2"/>
    <w:rsid w:val="00023489"/>
    <w:rsid w:val="00024C87"/>
    <w:rsid w:val="000254AD"/>
    <w:rsid w:val="00025507"/>
    <w:rsid w:val="0002577B"/>
    <w:rsid w:val="000266FC"/>
    <w:rsid w:val="00026EDD"/>
    <w:rsid w:val="0002718D"/>
    <w:rsid w:val="00030E2F"/>
    <w:rsid w:val="000312AB"/>
    <w:rsid w:val="0003140B"/>
    <w:rsid w:val="000316F5"/>
    <w:rsid w:val="00031899"/>
    <w:rsid w:val="0003215E"/>
    <w:rsid w:val="00033C7A"/>
    <w:rsid w:val="000343D7"/>
    <w:rsid w:val="000355B1"/>
    <w:rsid w:val="00037ABD"/>
    <w:rsid w:val="00037D1F"/>
    <w:rsid w:val="0004037A"/>
    <w:rsid w:val="000403C8"/>
    <w:rsid w:val="00040595"/>
    <w:rsid w:val="00042002"/>
    <w:rsid w:val="00042A58"/>
    <w:rsid w:val="00043368"/>
    <w:rsid w:val="00043DFD"/>
    <w:rsid w:val="0004401E"/>
    <w:rsid w:val="000452E1"/>
    <w:rsid w:val="00045A03"/>
    <w:rsid w:val="00045AE1"/>
    <w:rsid w:val="00046B68"/>
    <w:rsid w:val="00047FE4"/>
    <w:rsid w:val="000506C2"/>
    <w:rsid w:val="00050D34"/>
    <w:rsid w:val="00051564"/>
    <w:rsid w:val="00051C95"/>
    <w:rsid w:val="00052DA3"/>
    <w:rsid w:val="00054486"/>
    <w:rsid w:val="000547EF"/>
    <w:rsid w:val="00055908"/>
    <w:rsid w:val="0005682D"/>
    <w:rsid w:val="00056EF1"/>
    <w:rsid w:val="00057513"/>
    <w:rsid w:val="0006025D"/>
    <w:rsid w:val="0006086A"/>
    <w:rsid w:val="00060BD8"/>
    <w:rsid w:val="0006167B"/>
    <w:rsid w:val="0006178E"/>
    <w:rsid w:val="00061AEE"/>
    <w:rsid w:val="000631BE"/>
    <w:rsid w:val="000635F7"/>
    <w:rsid w:val="00063A65"/>
    <w:rsid w:val="0006488C"/>
    <w:rsid w:val="00065722"/>
    <w:rsid w:val="00066E58"/>
    <w:rsid w:val="00066E9A"/>
    <w:rsid w:val="000675C4"/>
    <w:rsid w:val="00070A4B"/>
    <w:rsid w:val="00071857"/>
    <w:rsid w:val="00072FA7"/>
    <w:rsid w:val="00073BE8"/>
    <w:rsid w:val="0007520B"/>
    <w:rsid w:val="000755BD"/>
    <w:rsid w:val="00076B89"/>
    <w:rsid w:val="000809C8"/>
    <w:rsid w:val="00080CBF"/>
    <w:rsid w:val="00081E1C"/>
    <w:rsid w:val="000820CB"/>
    <w:rsid w:val="0008313D"/>
    <w:rsid w:val="000831BA"/>
    <w:rsid w:val="00084B09"/>
    <w:rsid w:val="000850C7"/>
    <w:rsid w:val="000862B9"/>
    <w:rsid w:val="0008711A"/>
    <w:rsid w:val="00092540"/>
    <w:rsid w:val="0009599F"/>
    <w:rsid w:val="000959D0"/>
    <w:rsid w:val="00095C77"/>
    <w:rsid w:val="00096AD8"/>
    <w:rsid w:val="00096CDD"/>
    <w:rsid w:val="00097363"/>
    <w:rsid w:val="00097F7A"/>
    <w:rsid w:val="000A13A6"/>
    <w:rsid w:val="000A1BF0"/>
    <w:rsid w:val="000A2C86"/>
    <w:rsid w:val="000A46B2"/>
    <w:rsid w:val="000A4F1A"/>
    <w:rsid w:val="000A5B17"/>
    <w:rsid w:val="000A5F37"/>
    <w:rsid w:val="000B020F"/>
    <w:rsid w:val="000B056A"/>
    <w:rsid w:val="000B1403"/>
    <w:rsid w:val="000B2A5E"/>
    <w:rsid w:val="000B2B5C"/>
    <w:rsid w:val="000B2EF4"/>
    <w:rsid w:val="000B2F45"/>
    <w:rsid w:val="000B41FA"/>
    <w:rsid w:val="000B6805"/>
    <w:rsid w:val="000B6A5F"/>
    <w:rsid w:val="000B75A9"/>
    <w:rsid w:val="000C0687"/>
    <w:rsid w:val="000C0E4E"/>
    <w:rsid w:val="000C1049"/>
    <w:rsid w:val="000C1C78"/>
    <w:rsid w:val="000C48CA"/>
    <w:rsid w:val="000C573F"/>
    <w:rsid w:val="000C61AD"/>
    <w:rsid w:val="000C6442"/>
    <w:rsid w:val="000C69F0"/>
    <w:rsid w:val="000D09F3"/>
    <w:rsid w:val="000D1785"/>
    <w:rsid w:val="000D1F85"/>
    <w:rsid w:val="000D30C8"/>
    <w:rsid w:val="000D3359"/>
    <w:rsid w:val="000D3B47"/>
    <w:rsid w:val="000D3FD6"/>
    <w:rsid w:val="000D4A85"/>
    <w:rsid w:val="000D54C3"/>
    <w:rsid w:val="000D7099"/>
    <w:rsid w:val="000E04B8"/>
    <w:rsid w:val="000E0A4B"/>
    <w:rsid w:val="000E1CA1"/>
    <w:rsid w:val="000E3096"/>
    <w:rsid w:val="000E38B2"/>
    <w:rsid w:val="000E4F35"/>
    <w:rsid w:val="000E55B7"/>
    <w:rsid w:val="000E59F8"/>
    <w:rsid w:val="000E5A9F"/>
    <w:rsid w:val="000E5E18"/>
    <w:rsid w:val="000E7609"/>
    <w:rsid w:val="000F005C"/>
    <w:rsid w:val="000F0420"/>
    <w:rsid w:val="000F0908"/>
    <w:rsid w:val="000F0F85"/>
    <w:rsid w:val="000F42F8"/>
    <w:rsid w:val="000F45BC"/>
    <w:rsid w:val="000F46B3"/>
    <w:rsid w:val="000F4D3F"/>
    <w:rsid w:val="000F600C"/>
    <w:rsid w:val="000F62B4"/>
    <w:rsid w:val="000F774B"/>
    <w:rsid w:val="000F79D7"/>
    <w:rsid w:val="000F7B22"/>
    <w:rsid w:val="00100047"/>
    <w:rsid w:val="0010030C"/>
    <w:rsid w:val="00100477"/>
    <w:rsid w:val="00100643"/>
    <w:rsid w:val="00101E38"/>
    <w:rsid w:val="00102418"/>
    <w:rsid w:val="00103033"/>
    <w:rsid w:val="00104178"/>
    <w:rsid w:val="001044B9"/>
    <w:rsid w:val="00104FC2"/>
    <w:rsid w:val="001059A4"/>
    <w:rsid w:val="00105A15"/>
    <w:rsid w:val="00106794"/>
    <w:rsid w:val="00106AF4"/>
    <w:rsid w:val="00107BC4"/>
    <w:rsid w:val="00107BDF"/>
    <w:rsid w:val="0011033B"/>
    <w:rsid w:val="00112237"/>
    <w:rsid w:val="00113FD0"/>
    <w:rsid w:val="00114C0F"/>
    <w:rsid w:val="00114F34"/>
    <w:rsid w:val="00115EAD"/>
    <w:rsid w:val="0011618C"/>
    <w:rsid w:val="001167FA"/>
    <w:rsid w:val="00116E89"/>
    <w:rsid w:val="00116F94"/>
    <w:rsid w:val="00120EE7"/>
    <w:rsid w:val="00120F95"/>
    <w:rsid w:val="00121BF8"/>
    <w:rsid w:val="001222E8"/>
    <w:rsid w:val="001230B1"/>
    <w:rsid w:val="00123A37"/>
    <w:rsid w:val="00124349"/>
    <w:rsid w:val="001244D9"/>
    <w:rsid w:val="00124A90"/>
    <w:rsid w:val="00124CA5"/>
    <w:rsid w:val="0012577E"/>
    <w:rsid w:val="001259D7"/>
    <w:rsid w:val="00125C9A"/>
    <w:rsid w:val="00126AE6"/>
    <w:rsid w:val="001276EE"/>
    <w:rsid w:val="0012784C"/>
    <w:rsid w:val="00127E40"/>
    <w:rsid w:val="001317C2"/>
    <w:rsid w:val="001318BD"/>
    <w:rsid w:val="00131C4F"/>
    <w:rsid w:val="00132671"/>
    <w:rsid w:val="00133836"/>
    <w:rsid w:val="00134098"/>
    <w:rsid w:val="00134113"/>
    <w:rsid w:val="00134B00"/>
    <w:rsid w:val="00136496"/>
    <w:rsid w:val="00136702"/>
    <w:rsid w:val="001373E7"/>
    <w:rsid w:val="0013740F"/>
    <w:rsid w:val="00137593"/>
    <w:rsid w:val="001401EA"/>
    <w:rsid w:val="00140A35"/>
    <w:rsid w:val="00140EEA"/>
    <w:rsid w:val="0014156C"/>
    <w:rsid w:val="00142E0D"/>
    <w:rsid w:val="0014397F"/>
    <w:rsid w:val="00143A39"/>
    <w:rsid w:val="00143EFE"/>
    <w:rsid w:val="00144192"/>
    <w:rsid w:val="00144580"/>
    <w:rsid w:val="00144BAA"/>
    <w:rsid w:val="00145993"/>
    <w:rsid w:val="001460AC"/>
    <w:rsid w:val="001464AF"/>
    <w:rsid w:val="0014795A"/>
    <w:rsid w:val="00147A42"/>
    <w:rsid w:val="001504FA"/>
    <w:rsid w:val="00151FC8"/>
    <w:rsid w:val="00152120"/>
    <w:rsid w:val="00152B6A"/>
    <w:rsid w:val="00152C4E"/>
    <w:rsid w:val="00152F3F"/>
    <w:rsid w:val="00153EBD"/>
    <w:rsid w:val="00154BCB"/>
    <w:rsid w:val="001562D4"/>
    <w:rsid w:val="00156713"/>
    <w:rsid w:val="00157469"/>
    <w:rsid w:val="00157576"/>
    <w:rsid w:val="001613B2"/>
    <w:rsid w:val="001615AE"/>
    <w:rsid w:val="00161FC0"/>
    <w:rsid w:val="001624E9"/>
    <w:rsid w:val="00164040"/>
    <w:rsid w:val="00164C36"/>
    <w:rsid w:val="00165257"/>
    <w:rsid w:val="00165BDD"/>
    <w:rsid w:val="00166B5F"/>
    <w:rsid w:val="00167C5B"/>
    <w:rsid w:val="00170545"/>
    <w:rsid w:val="00170DFE"/>
    <w:rsid w:val="00171786"/>
    <w:rsid w:val="00171888"/>
    <w:rsid w:val="001728FA"/>
    <w:rsid w:val="0017331E"/>
    <w:rsid w:val="00173396"/>
    <w:rsid w:val="00174B24"/>
    <w:rsid w:val="00175C5A"/>
    <w:rsid w:val="00176555"/>
    <w:rsid w:val="00176796"/>
    <w:rsid w:val="00176F22"/>
    <w:rsid w:val="00177ACF"/>
    <w:rsid w:val="00180042"/>
    <w:rsid w:val="001803BD"/>
    <w:rsid w:val="001805D5"/>
    <w:rsid w:val="00180BC3"/>
    <w:rsid w:val="00180D45"/>
    <w:rsid w:val="00181462"/>
    <w:rsid w:val="00181A47"/>
    <w:rsid w:val="0018378E"/>
    <w:rsid w:val="0018408F"/>
    <w:rsid w:val="001849A2"/>
    <w:rsid w:val="00185457"/>
    <w:rsid w:val="00185B38"/>
    <w:rsid w:val="0018644F"/>
    <w:rsid w:val="00186497"/>
    <w:rsid w:val="001879C4"/>
    <w:rsid w:val="00190252"/>
    <w:rsid w:val="0019169C"/>
    <w:rsid w:val="00191805"/>
    <w:rsid w:val="00192266"/>
    <w:rsid w:val="00192E23"/>
    <w:rsid w:val="00193A69"/>
    <w:rsid w:val="00193D01"/>
    <w:rsid w:val="00193EF5"/>
    <w:rsid w:val="00194324"/>
    <w:rsid w:val="00194614"/>
    <w:rsid w:val="00194835"/>
    <w:rsid w:val="00194991"/>
    <w:rsid w:val="00195523"/>
    <w:rsid w:val="001966DF"/>
    <w:rsid w:val="00196825"/>
    <w:rsid w:val="001A026A"/>
    <w:rsid w:val="001A0847"/>
    <w:rsid w:val="001A0BCB"/>
    <w:rsid w:val="001A0DAF"/>
    <w:rsid w:val="001A0ED3"/>
    <w:rsid w:val="001A110B"/>
    <w:rsid w:val="001A2B8C"/>
    <w:rsid w:val="001A2E7C"/>
    <w:rsid w:val="001A3113"/>
    <w:rsid w:val="001A3C8E"/>
    <w:rsid w:val="001A41FB"/>
    <w:rsid w:val="001A4285"/>
    <w:rsid w:val="001A59B9"/>
    <w:rsid w:val="001A6D85"/>
    <w:rsid w:val="001A7408"/>
    <w:rsid w:val="001A7B13"/>
    <w:rsid w:val="001B016D"/>
    <w:rsid w:val="001B0DFF"/>
    <w:rsid w:val="001B2A6F"/>
    <w:rsid w:val="001B345A"/>
    <w:rsid w:val="001B4482"/>
    <w:rsid w:val="001B4E8F"/>
    <w:rsid w:val="001B6C56"/>
    <w:rsid w:val="001B74B8"/>
    <w:rsid w:val="001B7E3A"/>
    <w:rsid w:val="001C099B"/>
    <w:rsid w:val="001C101F"/>
    <w:rsid w:val="001C1DAF"/>
    <w:rsid w:val="001C2199"/>
    <w:rsid w:val="001C3DF5"/>
    <w:rsid w:val="001C3E23"/>
    <w:rsid w:val="001C448F"/>
    <w:rsid w:val="001C587F"/>
    <w:rsid w:val="001C68C7"/>
    <w:rsid w:val="001C7A1E"/>
    <w:rsid w:val="001C7BF5"/>
    <w:rsid w:val="001D0DEF"/>
    <w:rsid w:val="001D237D"/>
    <w:rsid w:val="001D35FC"/>
    <w:rsid w:val="001D3876"/>
    <w:rsid w:val="001D47BA"/>
    <w:rsid w:val="001D4858"/>
    <w:rsid w:val="001D5BD7"/>
    <w:rsid w:val="001D6784"/>
    <w:rsid w:val="001D741F"/>
    <w:rsid w:val="001E082D"/>
    <w:rsid w:val="001E09D7"/>
    <w:rsid w:val="001E15C0"/>
    <w:rsid w:val="001E1E9E"/>
    <w:rsid w:val="001E2521"/>
    <w:rsid w:val="001E26F1"/>
    <w:rsid w:val="001E3659"/>
    <w:rsid w:val="001E4BD8"/>
    <w:rsid w:val="001E545A"/>
    <w:rsid w:val="001E5F76"/>
    <w:rsid w:val="001E648D"/>
    <w:rsid w:val="001E7DE2"/>
    <w:rsid w:val="001F042B"/>
    <w:rsid w:val="001F04CD"/>
    <w:rsid w:val="001F059B"/>
    <w:rsid w:val="001F12D6"/>
    <w:rsid w:val="001F1478"/>
    <w:rsid w:val="001F1B0C"/>
    <w:rsid w:val="001F1BBB"/>
    <w:rsid w:val="001F1BDF"/>
    <w:rsid w:val="001F2266"/>
    <w:rsid w:val="001F2E0D"/>
    <w:rsid w:val="001F36FD"/>
    <w:rsid w:val="001F3D9B"/>
    <w:rsid w:val="001F48DE"/>
    <w:rsid w:val="001F4E15"/>
    <w:rsid w:val="001F50F8"/>
    <w:rsid w:val="001F5F43"/>
    <w:rsid w:val="001F75CA"/>
    <w:rsid w:val="00204564"/>
    <w:rsid w:val="002058ED"/>
    <w:rsid w:val="00207F52"/>
    <w:rsid w:val="002101C6"/>
    <w:rsid w:val="00210FAA"/>
    <w:rsid w:val="0021170D"/>
    <w:rsid w:val="00212C09"/>
    <w:rsid w:val="0021358C"/>
    <w:rsid w:val="00214461"/>
    <w:rsid w:val="00215B71"/>
    <w:rsid w:val="00216984"/>
    <w:rsid w:val="00216FE6"/>
    <w:rsid w:val="00217FAC"/>
    <w:rsid w:val="00221191"/>
    <w:rsid w:val="00221654"/>
    <w:rsid w:val="002221D6"/>
    <w:rsid w:val="0022272E"/>
    <w:rsid w:val="00224129"/>
    <w:rsid w:val="00226E7C"/>
    <w:rsid w:val="00227501"/>
    <w:rsid w:val="00227BA5"/>
    <w:rsid w:val="0023020C"/>
    <w:rsid w:val="002317C9"/>
    <w:rsid w:val="0023237D"/>
    <w:rsid w:val="00232A28"/>
    <w:rsid w:val="002356AD"/>
    <w:rsid w:val="00235869"/>
    <w:rsid w:val="00237662"/>
    <w:rsid w:val="002401DF"/>
    <w:rsid w:val="0024038E"/>
    <w:rsid w:val="002403DF"/>
    <w:rsid w:val="00240AAB"/>
    <w:rsid w:val="0024153B"/>
    <w:rsid w:val="00242AA8"/>
    <w:rsid w:val="00244CE4"/>
    <w:rsid w:val="00246602"/>
    <w:rsid w:val="00253A09"/>
    <w:rsid w:val="00255BF1"/>
    <w:rsid w:val="00255F78"/>
    <w:rsid w:val="002562B9"/>
    <w:rsid w:val="00257232"/>
    <w:rsid w:val="00257A03"/>
    <w:rsid w:val="002607F6"/>
    <w:rsid w:val="002609D0"/>
    <w:rsid w:val="00260B6D"/>
    <w:rsid w:val="00260FAE"/>
    <w:rsid w:val="002614C4"/>
    <w:rsid w:val="0026275D"/>
    <w:rsid w:val="00262D96"/>
    <w:rsid w:val="002631A5"/>
    <w:rsid w:val="00263CC5"/>
    <w:rsid w:val="0026409D"/>
    <w:rsid w:val="00264954"/>
    <w:rsid w:val="002657DF"/>
    <w:rsid w:val="00265E3C"/>
    <w:rsid w:val="00267472"/>
    <w:rsid w:val="00270E04"/>
    <w:rsid w:val="002710EA"/>
    <w:rsid w:val="00271545"/>
    <w:rsid w:val="00271E7C"/>
    <w:rsid w:val="00272AB0"/>
    <w:rsid w:val="00272CD4"/>
    <w:rsid w:val="0027423C"/>
    <w:rsid w:val="0028057B"/>
    <w:rsid w:val="002818B0"/>
    <w:rsid w:val="00281BF0"/>
    <w:rsid w:val="00281D52"/>
    <w:rsid w:val="00282AA3"/>
    <w:rsid w:val="00283667"/>
    <w:rsid w:val="0028368E"/>
    <w:rsid w:val="002841AA"/>
    <w:rsid w:val="0028422B"/>
    <w:rsid w:val="00284DD7"/>
    <w:rsid w:val="00285495"/>
    <w:rsid w:val="00285F92"/>
    <w:rsid w:val="002864DA"/>
    <w:rsid w:val="00286FFF"/>
    <w:rsid w:val="00287BF7"/>
    <w:rsid w:val="00291AE2"/>
    <w:rsid w:val="00291C41"/>
    <w:rsid w:val="00291D88"/>
    <w:rsid w:val="0029382D"/>
    <w:rsid w:val="002938B8"/>
    <w:rsid w:val="00294E19"/>
    <w:rsid w:val="00295F47"/>
    <w:rsid w:val="00297861"/>
    <w:rsid w:val="00297A5F"/>
    <w:rsid w:val="002A0811"/>
    <w:rsid w:val="002A0D04"/>
    <w:rsid w:val="002A1DCE"/>
    <w:rsid w:val="002A2B4C"/>
    <w:rsid w:val="002A3968"/>
    <w:rsid w:val="002A4A51"/>
    <w:rsid w:val="002A7C52"/>
    <w:rsid w:val="002A7D3A"/>
    <w:rsid w:val="002B1DAD"/>
    <w:rsid w:val="002B383C"/>
    <w:rsid w:val="002B3A06"/>
    <w:rsid w:val="002B486B"/>
    <w:rsid w:val="002B4C7B"/>
    <w:rsid w:val="002B57C2"/>
    <w:rsid w:val="002B594C"/>
    <w:rsid w:val="002B61D9"/>
    <w:rsid w:val="002B66B3"/>
    <w:rsid w:val="002B696F"/>
    <w:rsid w:val="002C199F"/>
    <w:rsid w:val="002C1A08"/>
    <w:rsid w:val="002C2AEF"/>
    <w:rsid w:val="002C2D63"/>
    <w:rsid w:val="002C4232"/>
    <w:rsid w:val="002C4AE0"/>
    <w:rsid w:val="002C4E93"/>
    <w:rsid w:val="002C514A"/>
    <w:rsid w:val="002C6991"/>
    <w:rsid w:val="002D12B7"/>
    <w:rsid w:val="002D20E9"/>
    <w:rsid w:val="002D2DE5"/>
    <w:rsid w:val="002D2F5D"/>
    <w:rsid w:val="002D3220"/>
    <w:rsid w:val="002D3FC9"/>
    <w:rsid w:val="002D48E3"/>
    <w:rsid w:val="002D5241"/>
    <w:rsid w:val="002D647A"/>
    <w:rsid w:val="002E0196"/>
    <w:rsid w:val="002E0A1A"/>
    <w:rsid w:val="002E105F"/>
    <w:rsid w:val="002E2298"/>
    <w:rsid w:val="002E22AB"/>
    <w:rsid w:val="002E26E5"/>
    <w:rsid w:val="002E329F"/>
    <w:rsid w:val="002E5ABA"/>
    <w:rsid w:val="002E5ACE"/>
    <w:rsid w:val="002E6531"/>
    <w:rsid w:val="002F005B"/>
    <w:rsid w:val="002F0902"/>
    <w:rsid w:val="002F096F"/>
    <w:rsid w:val="002F0C90"/>
    <w:rsid w:val="002F244E"/>
    <w:rsid w:val="002F570A"/>
    <w:rsid w:val="002F5A08"/>
    <w:rsid w:val="002F5D3B"/>
    <w:rsid w:val="002F7863"/>
    <w:rsid w:val="0030028F"/>
    <w:rsid w:val="00300FED"/>
    <w:rsid w:val="003014BB"/>
    <w:rsid w:val="003035B3"/>
    <w:rsid w:val="00304363"/>
    <w:rsid w:val="00304540"/>
    <w:rsid w:val="0030560C"/>
    <w:rsid w:val="00306C0E"/>
    <w:rsid w:val="00307008"/>
    <w:rsid w:val="0030788F"/>
    <w:rsid w:val="00307CFC"/>
    <w:rsid w:val="00307D26"/>
    <w:rsid w:val="003147EF"/>
    <w:rsid w:val="003150AE"/>
    <w:rsid w:val="00315308"/>
    <w:rsid w:val="00315389"/>
    <w:rsid w:val="00315576"/>
    <w:rsid w:val="0031559B"/>
    <w:rsid w:val="003202E4"/>
    <w:rsid w:val="00320F0E"/>
    <w:rsid w:val="0032199F"/>
    <w:rsid w:val="00321E7E"/>
    <w:rsid w:val="00322134"/>
    <w:rsid w:val="00322EAC"/>
    <w:rsid w:val="003246B6"/>
    <w:rsid w:val="00324F2B"/>
    <w:rsid w:val="0032537D"/>
    <w:rsid w:val="00325DF5"/>
    <w:rsid w:val="00326186"/>
    <w:rsid w:val="003271FA"/>
    <w:rsid w:val="003305B4"/>
    <w:rsid w:val="00330ECA"/>
    <w:rsid w:val="00331CF6"/>
    <w:rsid w:val="003320A8"/>
    <w:rsid w:val="003333A6"/>
    <w:rsid w:val="00333E12"/>
    <w:rsid w:val="00334A30"/>
    <w:rsid w:val="00334B9D"/>
    <w:rsid w:val="00335612"/>
    <w:rsid w:val="00336971"/>
    <w:rsid w:val="00337E3A"/>
    <w:rsid w:val="003402B4"/>
    <w:rsid w:val="003406BB"/>
    <w:rsid w:val="00340887"/>
    <w:rsid w:val="003416C3"/>
    <w:rsid w:val="0034193E"/>
    <w:rsid w:val="00341C19"/>
    <w:rsid w:val="00342434"/>
    <w:rsid w:val="00342721"/>
    <w:rsid w:val="00343116"/>
    <w:rsid w:val="003454FD"/>
    <w:rsid w:val="0034587C"/>
    <w:rsid w:val="00346538"/>
    <w:rsid w:val="003466FB"/>
    <w:rsid w:val="00346AD3"/>
    <w:rsid w:val="00347439"/>
    <w:rsid w:val="00350FFC"/>
    <w:rsid w:val="00351FA2"/>
    <w:rsid w:val="00352C0F"/>
    <w:rsid w:val="00353324"/>
    <w:rsid w:val="00353C1C"/>
    <w:rsid w:val="00354908"/>
    <w:rsid w:val="003560F1"/>
    <w:rsid w:val="00357441"/>
    <w:rsid w:val="003618DF"/>
    <w:rsid w:val="00361AD7"/>
    <w:rsid w:val="0036214F"/>
    <w:rsid w:val="003633FC"/>
    <w:rsid w:val="0036460A"/>
    <w:rsid w:val="00364929"/>
    <w:rsid w:val="00365197"/>
    <w:rsid w:val="003658D0"/>
    <w:rsid w:val="00365A57"/>
    <w:rsid w:val="00367E32"/>
    <w:rsid w:val="00370A76"/>
    <w:rsid w:val="003718F7"/>
    <w:rsid w:val="00371CB6"/>
    <w:rsid w:val="00373F3E"/>
    <w:rsid w:val="00374885"/>
    <w:rsid w:val="00374CF1"/>
    <w:rsid w:val="00375BF8"/>
    <w:rsid w:val="00377A44"/>
    <w:rsid w:val="00381BFB"/>
    <w:rsid w:val="00382697"/>
    <w:rsid w:val="00383B99"/>
    <w:rsid w:val="00385615"/>
    <w:rsid w:val="00385B23"/>
    <w:rsid w:val="00385E6D"/>
    <w:rsid w:val="00387412"/>
    <w:rsid w:val="00390A84"/>
    <w:rsid w:val="00390E41"/>
    <w:rsid w:val="0039288E"/>
    <w:rsid w:val="0039301D"/>
    <w:rsid w:val="003931EE"/>
    <w:rsid w:val="0039375D"/>
    <w:rsid w:val="00393D52"/>
    <w:rsid w:val="00394360"/>
    <w:rsid w:val="00394893"/>
    <w:rsid w:val="00394BEC"/>
    <w:rsid w:val="0039504C"/>
    <w:rsid w:val="003975D6"/>
    <w:rsid w:val="003A168C"/>
    <w:rsid w:val="003A1976"/>
    <w:rsid w:val="003A1A09"/>
    <w:rsid w:val="003A1EF7"/>
    <w:rsid w:val="003A1FD3"/>
    <w:rsid w:val="003A213B"/>
    <w:rsid w:val="003A69D1"/>
    <w:rsid w:val="003A708E"/>
    <w:rsid w:val="003A75D2"/>
    <w:rsid w:val="003B04A4"/>
    <w:rsid w:val="003B0656"/>
    <w:rsid w:val="003B1721"/>
    <w:rsid w:val="003B1832"/>
    <w:rsid w:val="003B2329"/>
    <w:rsid w:val="003B31DB"/>
    <w:rsid w:val="003B3C8D"/>
    <w:rsid w:val="003B4355"/>
    <w:rsid w:val="003B4417"/>
    <w:rsid w:val="003B4633"/>
    <w:rsid w:val="003B6332"/>
    <w:rsid w:val="003B7626"/>
    <w:rsid w:val="003C0767"/>
    <w:rsid w:val="003C10C2"/>
    <w:rsid w:val="003C2B21"/>
    <w:rsid w:val="003C309F"/>
    <w:rsid w:val="003C3CCF"/>
    <w:rsid w:val="003C4105"/>
    <w:rsid w:val="003C475E"/>
    <w:rsid w:val="003C4AEB"/>
    <w:rsid w:val="003C65BD"/>
    <w:rsid w:val="003C70DD"/>
    <w:rsid w:val="003C7F90"/>
    <w:rsid w:val="003D081B"/>
    <w:rsid w:val="003D094E"/>
    <w:rsid w:val="003D198A"/>
    <w:rsid w:val="003D1FA7"/>
    <w:rsid w:val="003D2854"/>
    <w:rsid w:val="003D3926"/>
    <w:rsid w:val="003D47D4"/>
    <w:rsid w:val="003D5269"/>
    <w:rsid w:val="003D5420"/>
    <w:rsid w:val="003D702C"/>
    <w:rsid w:val="003D7C3C"/>
    <w:rsid w:val="003D7C82"/>
    <w:rsid w:val="003D7DFE"/>
    <w:rsid w:val="003E03A1"/>
    <w:rsid w:val="003E07A7"/>
    <w:rsid w:val="003E1224"/>
    <w:rsid w:val="003E26E9"/>
    <w:rsid w:val="003E2F14"/>
    <w:rsid w:val="003E54CF"/>
    <w:rsid w:val="003E60E5"/>
    <w:rsid w:val="003E61A4"/>
    <w:rsid w:val="003E7EAB"/>
    <w:rsid w:val="003F03CF"/>
    <w:rsid w:val="003F12C0"/>
    <w:rsid w:val="003F25BA"/>
    <w:rsid w:val="003F27F9"/>
    <w:rsid w:val="003F2A78"/>
    <w:rsid w:val="003F2EE2"/>
    <w:rsid w:val="003F3494"/>
    <w:rsid w:val="003F422A"/>
    <w:rsid w:val="003F492A"/>
    <w:rsid w:val="003F5175"/>
    <w:rsid w:val="003F5624"/>
    <w:rsid w:val="003F6645"/>
    <w:rsid w:val="00400F19"/>
    <w:rsid w:val="00403655"/>
    <w:rsid w:val="00405142"/>
    <w:rsid w:val="004051BB"/>
    <w:rsid w:val="004060F8"/>
    <w:rsid w:val="004075AF"/>
    <w:rsid w:val="00410F10"/>
    <w:rsid w:val="0041145F"/>
    <w:rsid w:val="0041173E"/>
    <w:rsid w:val="004124C8"/>
    <w:rsid w:val="004125B7"/>
    <w:rsid w:val="004129DE"/>
    <w:rsid w:val="004146B7"/>
    <w:rsid w:val="004151EC"/>
    <w:rsid w:val="00415FE8"/>
    <w:rsid w:val="00416233"/>
    <w:rsid w:val="0041671C"/>
    <w:rsid w:val="00416897"/>
    <w:rsid w:val="004171EC"/>
    <w:rsid w:val="00417493"/>
    <w:rsid w:val="004179ED"/>
    <w:rsid w:val="00417DAA"/>
    <w:rsid w:val="0042035B"/>
    <w:rsid w:val="00421DE4"/>
    <w:rsid w:val="00422B57"/>
    <w:rsid w:val="0042330C"/>
    <w:rsid w:val="004234A4"/>
    <w:rsid w:val="0042354D"/>
    <w:rsid w:val="00423911"/>
    <w:rsid w:val="00424264"/>
    <w:rsid w:val="00424645"/>
    <w:rsid w:val="0042555B"/>
    <w:rsid w:val="004263F7"/>
    <w:rsid w:val="00426D26"/>
    <w:rsid w:val="00427B0D"/>
    <w:rsid w:val="00430AD8"/>
    <w:rsid w:val="00430CA5"/>
    <w:rsid w:val="00430D1D"/>
    <w:rsid w:val="00431652"/>
    <w:rsid w:val="00431B90"/>
    <w:rsid w:val="004359F8"/>
    <w:rsid w:val="004379D9"/>
    <w:rsid w:val="004416FD"/>
    <w:rsid w:val="00441735"/>
    <w:rsid w:val="00442212"/>
    <w:rsid w:val="0044258E"/>
    <w:rsid w:val="0044297E"/>
    <w:rsid w:val="00443633"/>
    <w:rsid w:val="00443B68"/>
    <w:rsid w:val="004457EC"/>
    <w:rsid w:val="00445DBE"/>
    <w:rsid w:val="004467B4"/>
    <w:rsid w:val="004472CD"/>
    <w:rsid w:val="0044773A"/>
    <w:rsid w:val="004508A4"/>
    <w:rsid w:val="004508F9"/>
    <w:rsid w:val="00451493"/>
    <w:rsid w:val="004516DC"/>
    <w:rsid w:val="00452435"/>
    <w:rsid w:val="00454215"/>
    <w:rsid w:val="004556BA"/>
    <w:rsid w:val="00455C74"/>
    <w:rsid w:val="0045634C"/>
    <w:rsid w:val="004573ED"/>
    <w:rsid w:val="004579C3"/>
    <w:rsid w:val="00460A86"/>
    <w:rsid w:val="004614A5"/>
    <w:rsid w:val="004620EE"/>
    <w:rsid w:val="00462CA5"/>
    <w:rsid w:val="004634CA"/>
    <w:rsid w:val="0046388D"/>
    <w:rsid w:val="004672F5"/>
    <w:rsid w:val="00467D1C"/>
    <w:rsid w:val="004706E1"/>
    <w:rsid w:val="00470AC9"/>
    <w:rsid w:val="00471B24"/>
    <w:rsid w:val="00473833"/>
    <w:rsid w:val="00474664"/>
    <w:rsid w:val="00476EDC"/>
    <w:rsid w:val="0047734E"/>
    <w:rsid w:val="00477C69"/>
    <w:rsid w:val="0048062F"/>
    <w:rsid w:val="004813C6"/>
    <w:rsid w:val="00481818"/>
    <w:rsid w:val="004836FC"/>
    <w:rsid w:val="00483F9D"/>
    <w:rsid w:val="00484A03"/>
    <w:rsid w:val="00484DE6"/>
    <w:rsid w:val="00487223"/>
    <w:rsid w:val="00487A66"/>
    <w:rsid w:val="00491A72"/>
    <w:rsid w:val="00491A8D"/>
    <w:rsid w:val="00492856"/>
    <w:rsid w:val="00492E79"/>
    <w:rsid w:val="00493BBF"/>
    <w:rsid w:val="00493E50"/>
    <w:rsid w:val="0049456E"/>
    <w:rsid w:val="004958E7"/>
    <w:rsid w:val="00495ED3"/>
    <w:rsid w:val="00496DB2"/>
    <w:rsid w:val="004979B7"/>
    <w:rsid w:val="004A020D"/>
    <w:rsid w:val="004A1A0E"/>
    <w:rsid w:val="004A263B"/>
    <w:rsid w:val="004A396A"/>
    <w:rsid w:val="004A3BDA"/>
    <w:rsid w:val="004A3D43"/>
    <w:rsid w:val="004A43D5"/>
    <w:rsid w:val="004A4C1B"/>
    <w:rsid w:val="004A523A"/>
    <w:rsid w:val="004A59BE"/>
    <w:rsid w:val="004A6B6C"/>
    <w:rsid w:val="004A70AF"/>
    <w:rsid w:val="004A72E2"/>
    <w:rsid w:val="004B1C88"/>
    <w:rsid w:val="004B269E"/>
    <w:rsid w:val="004B46C0"/>
    <w:rsid w:val="004B494F"/>
    <w:rsid w:val="004B4A0A"/>
    <w:rsid w:val="004B50A3"/>
    <w:rsid w:val="004B69EE"/>
    <w:rsid w:val="004B6E13"/>
    <w:rsid w:val="004C06CC"/>
    <w:rsid w:val="004C0B33"/>
    <w:rsid w:val="004C1C16"/>
    <w:rsid w:val="004C1F06"/>
    <w:rsid w:val="004C213A"/>
    <w:rsid w:val="004C2319"/>
    <w:rsid w:val="004C300C"/>
    <w:rsid w:val="004C3362"/>
    <w:rsid w:val="004C4E25"/>
    <w:rsid w:val="004C4E8C"/>
    <w:rsid w:val="004C65CE"/>
    <w:rsid w:val="004C743B"/>
    <w:rsid w:val="004C7ED8"/>
    <w:rsid w:val="004D10DD"/>
    <w:rsid w:val="004D1A8C"/>
    <w:rsid w:val="004D1B6C"/>
    <w:rsid w:val="004D2742"/>
    <w:rsid w:val="004D2D69"/>
    <w:rsid w:val="004D3455"/>
    <w:rsid w:val="004D3E34"/>
    <w:rsid w:val="004D4B8D"/>
    <w:rsid w:val="004D55F0"/>
    <w:rsid w:val="004D7901"/>
    <w:rsid w:val="004E0179"/>
    <w:rsid w:val="004E28DC"/>
    <w:rsid w:val="004E2AEB"/>
    <w:rsid w:val="004E2E5D"/>
    <w:rsid w:val="004E3248"/>
    <w:rsid w:val="004E3318"/>
    <w:rsid w:val="004E3F72"/>
    <w:rsid w:val="004E5D9E"/>
    <w:rsid w:val="004E7271"/>
    <w:rsid w:val="004E7D92"/>
    <w:rsid w:val="004E7E2C"/>
    <w:rsid w:val="004F0A8B"/>
    <w:rsid w:val="004F37C0"/>
    <w:rsid w:val="004F3F55"/>
    <w:rsid w:val="004F47EC"/>
    <w:rsid w:val="004F5FFA"/>
    <w:rsid w:val="004F64FA"/>
    <w:rsid w:val="004F7C40"/>
    <w:rsid w:val="004F7E01"/>
    <w:rsid w:val="004F7E77"/>
    <w:rsid w:val="00500106"/>
    <w:rsid w:val="00500AFC"/>
    <w:rsid w:val="00501598"/>
    <w:rsid w:val="00501B10"/>
    <w:rsid w:val="005034DF"/>
    <w:rsid w:val="00504DC4"/>
    <w:rsid w:val="00504FA3"/>
    <w:rsid w:val="00506220"/>
    <w:rsid w:val="00510460"/>
    <w:rsid w:val="00510E9F"/>
    <w:rsid w:val="00512FDE"/>
    <w:rsid w:val="0051315B"/>
    <w:rsid w:val="00514D13"/>
    <w:rsid w:val="00515292"/>
    <w:rsid w:val="00515632"/>
    <w:rsid w:val="00515653"/>
    <w:rsid w:val="00515E76"/>
    <w:rsid w:val="005164FA"/>
    <w:rsid w:val="00516C3F"/>
    <w:rsid w:val="00521A74"/>
    <w:rsid w:val="00524CDC"/>
    <w:rsid w:val="00525A4D"/>
    <w:rsid w:val="00525B64"/>
    <w:rsid w:val="00526AE4"/>
    <w:rsid w:val="00526F86"/>
    <w:rsid w:val="00527838"/>
    <w:rsid w:val="0052798D"/>
    <w:rsid w:val="005300AD"/>
    <w:rsid w:val="00530422"/>
    <w:rsid w:val="00530B16"/>
    <w:rsid w:val="0053275B"/>
    <w:rsid w:val="005328D7"/>
    <w:rsid w:val="00533983"/>
    <w:rsid w:val="00534BCB"/>
    <w:rsid w:val="00534CB8"/>
    <w:rsid w:val="005357AF"/>
    <w:rsid w:val="005361CC"/>
    <w:rsid w:val="00536C99"/>
    <w:rsid w:val="00537D57"/>
    <w:rsid w:val="00540563"/>
    <w:rsid w:val="005410DD"/>
    <w:rsid w:val="00541980"/>
    <w:rsid w:val="00541BD6"/>
    <w:rsid w:val="00542030"/>
    <w:rsid w:val="00542240"/>
    <w:rsid w:val="00542F2E"/>
    <w:rsid w:val="00543981"/>
    <w:rsid w:val="00546B86"/>
    <w:rsid w:val="005523BE"/>
    <w:rsid w:val="0055297C"/>
    <w:rsid w:val="00552AAE"/>
    <w:rsid w:val="00552ABC"/>
    <w:rsid w:val="00553052"/>
    <w:rsid w:val="0055305F"/>
    <w:rsid w:val="00553398"/>
    <w:rsid w:val="00553557"/>
    <w:rsid w:val="00553A14"/>
    <w:rsid w:val="00554646"/>
    <w:rsid w:val="0055492D"/>
    <w:rsid w:val="005553AA"/>
    <w:rsid w:val="00555650"/>
    <w:rsid w:val="00555A68"/>
    <w:rsid w:val="00555F8D"/>
    <w:rsid w:val="005566E7"/>
    <w:rsid w:val="00556DD8"/>
    <w:rsid w:val="00561124"/>
    <w:rsid w:val="005613B3"/>
    <w:rsid w:val="005623C9"/>
    <w:rsid w:val="0056364E"/>
    <w:rsid w:val="00564263"/>
    <w:rsid w:val="005647AD"/>
    <w:rsid w:val="00564893"/>
    <w:rsid w:val="00564BB2"/>
    <w:rsid w:val="00565BE2"/>
    <w:rsid w:val="005663BA"/>
    <w:rsid w:val="00566D43"/>
    <w:rsid w:val="00567B16"/>
    <w:rsid w:val="00570C45"/>
    <w:rsid w:val="0057510A"/>
    <w:rsid w:val="005755A4"/>
    <w:rsid w:val="00576854"/>
    <w:rsid w:val="00576B5D"/>
    <w:rsid w:val="00576FA9"/>
    <w:rsid w:val="00577350"/>
    <w:rsid w:val="005806C7"/>
    <w:rsid w:val="00580A21"/>
    <w:rsid w:val="005814E2"/>
    <w:rsid w:val="00582E52"/>
    <w:rsid w:val="0058348B"/>
    <w:rsid w:val="00584C60"/>
    <w:rsid w:val="005851FF"/>
    <w:rsid w:val="0058554E"/>
    <w:rsid w:val="005868BF"/>
    <w:rsid w:val="00590962"/>
    <w:rsid w:val="005967CF"/>
    <w:rsid w:val="00596C19"/>
    <w:rsid w:val="00597764"/>
    <w:rsid w:val="005A07C0"/>
    <w:rsid w:val="005A1062"/>
    <w:rsid w:val="005A1A6C"/>
    <w:rsid w:val="005A1EEC"/>
    <w:rsid w:val="005A2429"/>
    <w:rsid w:val="005A2A12"/>
    <w:rsid w:val="005A3010"/>
    <w:rsid w:val="005A319E"/>
    <w:rsid w:val="005A3435"/>
    <w:rsid w:val="005A3FEA"/>
    <w:rsid w:val="005A530F"/>
    <w:rsid w:val="005A6F0C"/>
    <w:rsid w:val="005A7F75"/>
    <w:rsid w:val="005B01B5"/>
    <w:rsid w:val="005B0285"/>
    <w:rsid w:val="005B0304"/>
    <w:rsid w:val="005B031B"/>
    <w:rsid w:val="005B0DAB"/>
    <w:rsid w:val="005B2869"/>
    <w:rsid w:val="005B447F"/>
    <w:rsid w:val="005B4CDB"/>
    <w:rsid w:val="005B524E"/>
    <w:rsid w:val="005B5311"/>
    <w:rsid w:val="005B5833"/>
    <w:rsid w:val="005B681D"/>
    <w:rsid w:val="005B6EAE"/>
    <w:rsid w:val="005B7E66"/>
    <w:rsid w:val="005B7F38"/>
    <w:rsid w:val="005C0317"/>
    <w:rsid w:val="005C079B"/>
    <w:rsid w:val="005C0E20"/>
    <w:rsid w:val="005C2431"/>
    <w:rsid w:val="005C35BD"/>
    <w:rsid w:val="005C45AC"/>
    <w:rsid w:val="005C5F1B"/>
    <w:rsid w:val="005C6020"/>
    <w:rsid w:val="005D0754"/>
    <w:rsid w:val="005D146A"/>
    <w:rsid w:val="005D1CE6"/>
    <w:rsid w:val="005D2168"/>
    <w:rsid w:val="005D2349"/>
    <w:rsid w:val="005D417A"/>
    <w:rsid w:val="005D4805"/>
    <w:rsid w:val="005D5249"/>
    <w:rsid w:val="005D5FA7"/>
    <w:rsid w:val="005D667A"/>
    <w:rsid w:val="005D77CB"/>
    <w:rsid w:val="005D7973"/>
    <w:rsid w:val="005D7B08"/>
    <w:rsid w:val="005E17E1"/>
    <w:rsid w:val="005E2B94"/>
    <w:rsid w:val="005E2BCA"/>
    <w:rsid w:val="005E3FDF"/>
    <w:rsid w:val="005E4A73"/>
    <w:rsid w:val="005E4E29"/>
    <w:rsid w:val="005E512A"/>
    <w:rsid w:val="005E65A8"/>
    <w:rsid w:val="005E6A33"/>
    <w:rsid w:val="005E6EA4"/>
    <w:rsid w:val="005E7AAF"/>
    <w:rsid w:val="005F333A"/>
    <w:rsid w:val="005F3902"/>
    <w:rsid w:val="005F470F"/>
    <w:rsid w:val="005F4F8F"/>
    <w:rsid w:val="005F634B"/>
    <w:rsid w:val="005F6A1B"/>
    <w:rsid w:val="005F6B29"/>
    <w:rsid w:val="005F6E05"/>
    <w:rsid w:val="005F743C"/>
    <w:rsid w:val="005F7B7F"/>
    <w:rsid w:val="00600832"/>
    <w:rsid w:val="00601D65"/>
    <w:rsid w:val="00602BF4"/>
    <w:rsid w:val="0060332B"/>
    <w:rsid w:val="00605729"/>
    <w:rsid w:val="00605F06"/>
    <w:rsid w:val="00605F9F"/>
    <w:rsid w:val="00607DC1"/>
    <w:rsid w:val="00610840"/>
    <w:rsid w:val="00610AF6"/>
    <w:rsid w:val="00611F5B"/>
    <w:rsid w:val="006140EC"/>
    <w:rsid w:val="00614B4A"/>
    <w:rsid w:val="00614CEA"/>
    <w:rsid w:val="00621128"/>
    <w:rsid w:val="00621666"/>
    <w:rsid w:val="00621EEA"/>
    <w:rsid w:val="006227A7"/>
    <w:rsid w:val="006250B9"/>
    <w:rsid w:val="00630BB0"/>
    <w:rsid w:val="00631200"/>
    <w:rsid w:val="006317C2"/>
    <w:rsid w:val="00632C9E"/>
    <w:rsid w:val="00632F97"/>
    <w:rsid w:val="00635FE0"/>
    <w:rsid w:val="006362A4"/>
    <w:rsid w:val="00636627"/>
    <w:rsid w:val="00636699"/>
    <w:rsid w:val="006367AE"/>
    <w:rsid w:val="006373DA"/>
    <w:rsid w:val="00637B43"/>
    <w:rsid w:val="006409BC"/>
    <w:rsid w:val="00640D4A"/>
    <w:rsid w:val="006416AF"/>
    <w:rsid w:val="00641B5E"/>
    <w:rsid w:val="00642C2B"/>
    <w:rsid w:val="00642CC8"/>
    <w:rsid w:val="00644587"/>
    <w:rsid w:val="0064534D"/>
    <w:rsid w:val="006453DE"/>
    <w:rsid w:val="0064564F"/>
    <w:rsid w:val="00645EA0"/>
    <w:rsid w:val="006465BC"/>
    <w:rsid w:val="006469E8"/>
    <w:rsid w:val="00646D78"/>
    <w:rsid w:val="00650620"/>
    <w:rsid w:val="0065150A"/>
    <w:rsid w:val="00651A9B"/>
    <w:rsid w:val="00652E88"/>
    <w:rsid w:val="00652ED9"/>
    <w:rsid w:val="00653446"/>
    <w:rsid w:val="006535CD"/>
    <w:rsid w:val="00653774"/>
    <w:rsid w:val="00653CB9"/>
    <w:rsid w:val="00654F12"/>
    <w:rsid w:val="00655537"/>
    <w:rsid w:val="00655C1F"/>
    <w:rsid w:val="00656B50"/>
    <w:rsid w:val="00656F97"/>
    <w:rsid w:val="0065716D"/>
    <w:rsid w:val="006572F0"/>
    <w:rsid w:val="0065767D"/>
    <w:rsid w:val="00657A3D"/>
    <w:rsid w:val="0066001D"/>
    <w:rsid w:val="00660414"/>
    <w:rsid w:val="00660623"/>
    <w:rsid w:val="006607DC"/>
    <w:rsid w:val="006611DC"/>
    <w:rsid w:val="00661F71"/>
    <w:rsid w:val="00663A6B"/>
    <w:rsid w:val="00663B30"/>
    <w:rsid w:val="00664CC4"/>
    <w:rsid w:val="00664E33"/>
    <w:rsid w:val="006655C6"/>
    <w:rsid w:val="006655CF"/>
    <w:rsid w:val="00665A70"/>
    <w:rsid w:val="00666054"/>
    <w:rsid w:val="006662B1"/>
    <w:rsid w:val="00667416"/>
    <w:rsid w:val="0066751D"/>
    <w:rsid w:val="006709B6"/>
    <w:rsid w:val="006710A8"/>
    <w:rsid w:val="00672860"/>
    <w:rsid w:val="00672F3C"/>
    <w:rsid w:val="00676A12"/>
    <w:rsid w:val="00676E18"/>
    <w:rsid w:val="00677F4E"/>
    <w:rsid w:val="006815D7"/>
    <w:rsid w:val="00681C9E"/>
    <w:rsid w:val="00681D27"/>
    <w:rsid w:val="00682333"/>
    <w:rsid w:val="00682B00"/>
    <w:rsid w:val="006830CC"/>
    <w:rsid w:val="00684617"/>
    <w:rsid w:val="0068665D"/>
    <w:rsid w:val="00687B84"/>
    <w:rsid w:val="00690EA2"/>
    <w:rsid w:val="006910F0"/>
    <w:rsid w:val="0069147A"/>
    <w:rsid w:val="006919EF"/>
    <w:rsid w:val="006928F7"/>
    <w:rsid w:val="00692BEA"/>
    <w:rsid w:val="00692ED0"/>
    <w:rsid w:val="00693B84"/>
    <w:rsid w:val="006963A4"/>
    <w:rsid w:val="00696B97"/>
    <w:rsid w:val="006A0B4B"/>
    <w:rsid w:val="006A21BB"/>
    <w:rsid w:val="006A3654"/>
    <w:rsid w:val="006A3EB4"/>
    <w:rsid w:val="006A430B"/>
    <w:rsid w:val="006A482E"/>
    <w:rsid w:val="006A48F8"/>
    <w:rsid w:val="006A4FA6"/>
    <w:rsid w:val="006A51E3"/>
    <w:rsid w:val="006A5B99"/>
    <w:rsid w:val="006A6FC5"/>
    <w:rsid w:val="006A71DD"/>
    <w:rsid w:val="006A7A1B"/>
    <w:rsid w:val="006A7BAF"/>
    <w:rsid w:val="006B14D2"/>
    <w:rsid w:val="006B15B2"/>
    <w:rsid w:val="006B366D"/>
    <w:rsid w:val="006B4B2B"/>
    <w:rsid w:val="006B5E55"/>
    <w:rsid w:val="006B61E3"/>
    <w:rsid w:val="006B6543"/>
    <w:rsid w:val="006B6DBC"/>
    <w:rsid w:val="006B71C2"/>
    <w:rsid w:val="006B7892"/>
    <w:rsid w:val="006B7EF4"/>
    <w:rsid w:val="006C0CE3"/>
    <w:rsid w:val="006C3F7B"/>
    <w:rsid w:val="006C52D4"/>
    <w:rsid w:val="006C6122"/>
    <w:rsid w:val="006C7019"/>
    <w:rsid w:val="006D020C"/>
    <w:rsid w:val="006D1069"/>
    <w:rsid w:val="006D1E9C"/>
    <w:rsid w:val="006D2907"/>
    <w:rsid w:val="006D317C"/>
    <w:rsid w:val="006D3390"/>
    <w:rsid w:val="006D3A15"/>
    <w:rsid w:val="006D66F0"/>
    <w:rsid w:val="006D710F"/>
    <w:rsid w:val="006D7B19"/>
    <w:rsid w:val="006D7D29"/>
    <w:rsid w:val="006D7DAA"/>
    <w:rsid w:val="006D7EEE"/>
    <w:rsid w:val="006E046A"/>
    <w:rsid w:val="006E0A72"/>
    <w:rsid w:val="006E0B97"/>
    <w:rsid w:val="006E367A"/>
    <w:rsid w:val="006E452A"/>
    <w:rsid w:val="006E4D33"/>
    <w:rsid w:val="006E7236"/>
    <w:rsid w:val="006E77A7"/>
    <w:rsid w:val="006F2351"/>
    <w:rsid w:val="006F2501"/>
    <w:rsid w:val="006F41BC"/>
    <w:rsid w:val="006F5A35"/>
    <w:rsid w:val="006F7789"/>
    <w:rsid w:val="00700726"/>
    <w:rsid w:val="00701FF8"/>
    <w:rsid w:val="0070288B"/>
    <w:rsid w:val="00702A6D"/>
    <w:rsid w:val="00702F8F"/>
    <w:rsid w:val="0070349C"/>
    <w:rsid w:val="007036D8"/>
    <w:rsid w:val="007055A2"/>
    <w:rsid w:val="00706ACE"/>
    <w:rsid w:val="00706F9C"/>
    <w:rsid w:val="0070778E"/>
    <w:rsid w:val="00710431"/>
    <w:rsid w:val="00710482"/>
    <w:rsid w:val="00710EE9"/>
    <w:rsid w:val="0071102A"/>
    <w:rsid w:val="007118AA"/>
    <w:rsid w:val="00713292"/>
    <w:rsid w:val="007132D9"/>
    <w:rsid w:val="007140EF"/>
    <w:rsid w:val="00715559"/>
    <w:rsid w:val="0071568B"/>
    <w:rsid w:val="007163E5"/>
    <w:rsid w:val="00716538"/>
    <w:rsid w:val="00716F32"/>
    <w:rsid w:val="00720F44"/>
    <w:rsid w:val="007220A6"/>
    <w:rsid w:val="00722DEB"/>
    <w:rsid w:val="007239EC"/>
    <w:rsid w:val="00723A2B"/>
    <w:rsid w:val="00723BF3"/>
    <w:rsid w:val="00725F60"/>
    <w:rsid w:val="0072627D"/>
    <w:rsid w:val="007262B6"/>
    <w:rsid w:val="0072638D"/>
    <w:rsid w:val="00726C93"/>
    <w:rsid w:val="00731D7A"/>
    <w:rsid w:val="00732018"/>
    <w:rsid w:val="007325A5"/>
    <w:rsid w:val="00732931"/>
    <w:rsid w:val="00732D56"/>
    <w:rsid w:val="00733020"/>
    <w:rsid w:val="00734D23"/>
    <w:rsid w:val="0073536E"/>
    <w:rsid w:val="00736382"/>
    <w:rsid w:val="007364C8"/>
    <w:rsid w:val="00736528"/>
    <w:rsid w:val="0073692B"/>
    <w:rsid w:val="00737047"/>
    <w:rsid w:val="007375D8"/>
    <w:rsid w:val="00737839"/>
    <w:rsid w:val="00737FC3"/>
    <w:rsid w:val="0074033A"/>
    <w:rsid w:val="0074042E"/>
    <w:rsid w:val="0074045A"/>
    <w:rsid w:val="00740A97"/>
    <w:rsid w:val="00742243"/>
    <w:rsid w:val="00745492"/>
    <w:rsid w:val="00745804"/>
    <w:rsid w:val="00746C22"/>
    <w:rsid w:val="00747301"/>
    <w:rsid w:val="00747D7E"/>
    <w:rsid w:val="00747DFD"/>
    <w:rsid w:val="00750017"/>
    <w:rsid w:val="0075053B"/>
    <w:rsid w:val="00750CF4"/>
    <w:rsid w:val="00752BCB"/>
    <w:rsid w:val="00752E33"/>
    <w:rsid w:val="0075329C"/>
    <w:rsid w:val="00753CBB"/>
    <w:rsid w:val="00754008"/>
    <w:rsid w:val="00754065"/>
    <w:rsid w:val="00755423"/>
    <w:rsid w:val="00755AA9"/>
    <w:rsid w:val="00755B8F"/>
    <w:rsid w:val="00756B43"/>
    <w:rsid w:val="00760AF1"/>
    <w:rsid w:val="007610E7"/>
    <w:rsid w:val="007618BE"/>
    <w:rsid w:val="007623F1"/>
    <w:rsid w:val="00764FDF"/>
    <w:rsid w:val="00766C54"/>
    <w:rsid w:val="00771014"/>
    <w:rsid w:val="00771EF3"/>
    <w:rsid w:val="00773C06"/>
    <w:rsid w:val="007752B2"/>
    <w:rsid w:val="00777210"/>
    <w:rsid w:val="00777756"/>
    <w:rsid w:val="00777CE6"/>
    <w:rsid w:val="007805CD"/>
    <w:rsid w:val="0078133F"/>
    <w:rsid w:val="00783168"/>
    <w:rsid w:val="00783AF4"/>
    <w:rsid w:val="00784101"/>
    <w:rsid w:val="00784DAB"/>
    <w:rsid w:val="00784FA0"/>
    <w:rsid w:val="007850C2"/>
    <w:rsid w:val="00785972"/>
    <w:rsid w:val="00786660"/>
    <w:rsid w:val="00786885"/>
    <w:rsid w:val="00786B54"/>
    <w:rsid w:val="007873E5"/>
    <w:rsid w:val="00790122"/>
    <w:rsid w:val="0079211D"/>
    <w:rsid w:val="007930D5"/>
    <w:rsid w:val="007936F9"/>
    <w:rsid w:val="007944AB"/>
    <w:rsid w:val="00794986"/>
    <w:rsid w:val="007960EA"/>
    <w:rsid w:val="007962F9"/>
    <w:rsid w:val="007966F7"/>
    <w:rsid w:val="00796A0E"/>
    <w:rsid w:val="007970EA"/>
    <w:rsid w:val="007A0474"/>
    <w:rsid w:val="007A05A0"/>
    <w:rsid w:val="007A2E01"/>
    <w:rsid w:val="007A359E"/>
    <w:rsid w:val="007A3779"/>
    <w:rsid w:val="007A493D"/>
    <w:rsid w:val="007A50B4"/>
    <w:rsid w:val="007A58B0"/>
    <w:rsid w:val="007A6147"/>
    <w:rsid w:val="007A6F95"/>
    <w:rsid w:val="007A724F"/>
    <w:rsid w:val="007B1043"/>
    <w:rsid w:val="007B1B9E"/>
    <w:rsid w:val="007B266E"/>
    <w:rsid w:val="007B61C0"/>
    <w:rsid w:val="007C0339"/>
    <w:rsid w:val="007C04C4"/>
    <w:rsid w:val="007C190D"/>
    <w:rsid w:val="007C2093"/>
    <w:rsid w:val="007C2B80"/>
    <w:rsid w:val="007C30D7"/>
    <w:rsid w:val="007C3345"/>
    <w:rsid w:val="007C45C3"/>
    <w:rsid w:val="007C6262"/>
    <w:rsid w:val="007C7137"/>
    <w:rsid w:val="007C77C4"/>
    <w:rsid w:val="007D10F8"/>
    <w:rsid w:val="007D1521"/>
    <w:rsid w:val="007D200F"/>
    <w:rsid w:val="007D2168"/>
    <w:rsid w:val="007D3C9C"/>
    <w:rsid w:val="007D607F"/>
    <w:rsid w:val="007D63FB"/>
    <w:rsid w:val="007D65C1"/>
    <w:rsid w:val="007D7331"/>
    <w:rsid w:val="007E067C"/>
    <w:rsid w:val="007E19D2"/>
    <w:rsid w:val="007E19E3"/>
    <w:rsid w:val="007E1EC3"/>
    <w:rsid w:val="007E2C83"/>
    <w:rsid w:val="007E2EA1"/>
    <w:rsid w:val="007E4567"/>
    <w:rsid w:val="007E491D"/>
    <w:rsid w:val="007E5F92"/>
    <w:rsid w:val="007E636E"/>
    <w:rsid w:val="007E6652"/>
    <w:rsid w:val="007E68C2"/>
    <w:rsid w:val="007E69C3"/>
    <w:rsid w:val="007E723E"/>
    <w:rsid w:val="007E7FEC"/>
    <w:rsid w:val="007F06D7"/>
    <w:rsid w:val="007F0C68"/>
    <w:rsid w:val="007F0F7E"/>
    <w:rsid w:val="007F17E3"/>
    <w:rsid w:val="007F21EF"/>
    <w:rsid w:val="007F221B"/>
    <w:rsid w:val="007F23C9"/>
    <w:rsid w:val="007F2BA2"/>
    <w:rsid w:val="007F32AF"/>
    <w:rsid w:val="007F3871"/>
    <w:rsid w:val="007F3B6F"/>
    <w:rsid w:val="007F3E4D"/>
    <w:rsid w:val="007F5432"/>
    <w:rsid w:val="007F617E"/>
    <w:rsid w:val="007F7739"/>
    <w:rsid w:val="007F7C25"/>
    <w:rsid w:val="008013D7"/>
    <w:rsid w:val="0080195B"/>
    <w:rsid w:val="00801BE9"/>
    <w:rsid w:val="00803EBD"/>
    <w:rsid w:val="008042A6"/>
    <w:rsid w:val="00804591"/>
    <w:rsid w:val="008055B8"/>
    <w:rsid w:val="00805A4C"/>
    <w:rsid w:val="00806296"/>
    <w:rsid w:val="008072C0"/>
    <w:rsid w:val="008073C7"/>
    <w:rsid w:val="00807784"/>
    <w:rsid w:val="00807E49"/>
    <w:rsid w:val="008101F2"/>
    <w:rsid w:val="00810322"/>
    <w:rsid w:val="0081120F"/>
    <w:rsid w:val="008114D2"/>
    <w:rsid w:val="008117CE"/>
    <w:rsid w:val="00812EBC"/>
    <w:rsid w:val="00812EE8"/>
    <w:rsid w:val="0081398F"/>
    <w:rsid w:val="00815382"/>
    <w:rsid w:val="00816158"/>
    <w:rsid w:val="00816CE8"/>
    <w:rsid w:val="00820FE2"/>
    <w:rsid w:val="008211B6"/>
    <w:rsid w:val="00822CFE"/>
    <w:rsid w:val="00822FD9"/>
    <w:rsid w:val="008231C8"/>
    <w:rsid w:val="00823BC4"/>
    <w:rsid w:val="00823D77"/>
    <w:rsid w:val="00823E04"/>
    <w:rsid w:val="00824029"/>
    <w:rsid w:val="008253EE"/>
    <w:rsid w:val="00825EA3"/>
    <w:rsid w:val="0082694B"/>
    <w:rsid w:val="00827E79"/>
    <w:rsid w:val="008307BE"/>
    <w:rsid w:val="00830E4D"/>
    <w:rsid w:val="00832584"/>
    <w:rsid w:val="008329E8"/>
    <w:rsid w:val="00834D15"/>
    <w:rsid w:val="00834F64"/>
    <w:rsid w:val="008354D7"/>
    <w:rsid w:val="00835F4E"/>
    <w:rsid w:val="0083628F"/>
    <w:rsid w:val="00836ABB"/>
    <w:rsid w:val="00836C66"/>
    <w:rsid w:val="00836DF8"/>
    <w:rsid w:val="0083734F"/>
    <w:rsid w:val="00841D56"/>
    <w:rsid w:val="00842DA0"/>
    <w:rsid w:val="00843C74"/>
    <w:rsid w:val="00844E81"/>
    <w:rsid w:val="0084577B"/>
    <w:rsid w:val="00845875"/>
    <w:rsid w:val="008462C0"/>
    <w:rsid w:val="008468A9"/>
    <w:rsid w:val="00847813"/>
    <w:rsid w:val="008478CF"/>
    <w:rsid w:val="008501B9"/>
    <w:rsid w:val="00850DB6"/>
    <w:rsid w:val="00850E88"/>
    <w:rsid w:val="008510A3"/>
    <w:rsid w:val="00853292"/>
    <w:rsid w:val="00853FE6"/>
    <w:rsid w:val="0085436C"/>
    <w:rsid w:val="00854728"/>
    <w:rsid w:val="00854AE0"/>
    <w:rsid w:val="008553E6"/>
    <w:rsid w:val="00855D58"/>
    <w:rsid w:val="00856057"/>
    <w:rsid w:val="00857233"/>
    <w:rsid w:val="008613C4"/>
    <w:rsid w:val="008614D3"/>
    <w:rsid w:val="00861B7D"/>
    <w:rsid w:val="00861D0A"/>
    <w:rsid w:val="00862488"/>
    <w:rsid w:val="00862F02"/>
    <w:rsid w:val="00863126"/>
    <w:rsid w:val="008632A2"/>
    <w:rsid w:val="008634C9"/>
    <w:rsid w:val="008643DD"/>
    <w:rsid w:val="00865B2F"/>
    <w:rsid w:val="00866421"/>
    <w:rsid w:val="0086699C"/>
    <w:rsid w:val="00866FE7"/>
    <w:rsid w:val="00867197"/>
    <w:rsid w:val="008700D0"/>
    <w:rsid w:val="00870CD4"/>
    <w:rsid w:val="0087259C"/>
    <w:rsid w:val="0087276A"/>
    <w:rsid w:val="00872A1F"/>
    <w:rsid w:val="00872A27"/>
    <w:rsid w:val="00872CBA"/>
    <w:rsid w:val="008732DB"/>
    <w:rsid w:val="00873341"/>
    <w:rsid w:val="00873A32"/>
    <w:rsid w:val="00873B35"/>
    <w:rsid w:val="00874030"/>
    <w:rsid w:val="0087472B"/>
    <w:rsid w:val="008748FC"/>
    <w:rsid w:val="00874C75"/>
    <w:rsid w:val="00875175"/>
    <w:rsid w:val="00875964"/>
    <w:rsid w:val="00876204"/>
    <w:rsid w:val="00876AC1"/>
    <w:rsid w:val="00877231"/>
    <w:rsid w:val="008776F4"/>
    <w:rsid w:val="00880BDA"/>
    <w:rsid w:val="00881FF9"/>
    <w:rsid w:val="00882009"/>
    <w:rsid w:val="00882ADE"/>
    <w:rsid w:val="00882BD7"/>
    <w:rsid w:val="00883380"/>
    <w:rsid w:val="0088381C"/>
    <w:rsid w:val="008840B0"/>
    <w:rsid w:val="0088428B"/>
    <w:rsid w:val="0088453F"/>
    <w:rsid w:val="008847BD"/>
    <w:rsid w:val="00884C2D"/>
    <w:rsid w:val="00884C73"/>
    <w:rsid w:val="00884F4F"/>
    <w:rsid w:val="00885925"/>
    <w:rsid w:val="00885F55"/>
    <w:rsid w:val="00886F1D"/>
    <w:rsid w:val="0088763D"/>
    <w:rsid w:val="00890C91"/>
    <w:rsid w:val="00891577"/>
    <w:rsid w:val="008929E6"/>
    <w:rsid w:val="00892A9D"/>
    <w:rsid w:val="00893296"/>
    <w:rsid w:val="00893D18"/>
    <w:rsid w:val="00894C58"/>
    <w:rsid w:val="00896032"/>
    <w:rsid w:val="00897051"/>
    <w:rsid w:val="008A030F"/>
    <w:rsid w:val="008A057E"/>
    <w:rsid w:val="008A0611"/>
    <w:rsid w:val="008A2C35"/>
    <w:rsid w:val="008A404F"/>
    <w:rsid w:val="008A4BEA"/>
    <w:rsid w:val="008A524C"/>
    <w:rsid w:val="008A5CFE"/>
    <w:rsid w:val="008A6DC5"/>
    <w:rsid w:val="008A725F"/>
    <w:rsid w:val="008A7674"/>
    <w:rsid w:val="008A7BC9"/>
    <w:rsid w:val="008B083E"/>
    <w:rsid w:val="008B1193"/>
    <w:rsid w:val="008B35D1"/>
    <w:rsid w:val="008B4BD1"/>
    <w:rsid w:val="008B6109"/>
    <w:rsid w:val="008B7206"/>
    <w:rsid w:val="008C351B"/>
    <w:rsid w:val="008C4E12"/>
    <w:rsid w:val="008C4ECD"/>
    <w:rsid w:val="008C537A"/>
    <w:rsid w:val="008C6451"/>
    <w:rsid w:val="008C68B8"/>
    <w:rsid w:val="008C6D2D"/>
    <w:rsid w:val="008C7FAF"/>
    <w:rsid w:val="008D19D0"/>
    <w:rsid w:val="008D2045"/>
    <w:rsid w:val="008D2500"/>
    <w:rsid w:val="008D25F9"/>
    <w:rsid w:val="008D348F"/>
    <w:rsid w:val="008D34FD"/>
    <w:rsid w:val="008D43C3"/>
    <w:rsid w:val="008D5E38"/>
    <w:rsid w:val="008D6BA3"/>
    <w:rsid w:val="008E12F5"/>
    <w:rsid w:val="008E1CBB"/>
    <w:rsid w:val="008E2EF3"/>
    <w:rsid w:val="008E34A3"/>
    <w:rsid w:val="008E465D"/>
    <w:rsid w:val="008E4F12"/>
    <w:rsid w:val="008E5CB2"/>
    <w:rsid w:val="008E664E"/>
    <w:rsid w:val="008E753D"/>
    <w:rsid w:val="008F01EC"/>
    <w:rsid w:val="008F05F0"/>
    <w:rsid w:val="008F0A27"/>
    <w:rsid w:val="008F1CD9"/>
    <w:rsid w:val="008F2215"/>
    <w:rsid w:val="008F46C0"/>
    <w:rsid w:val="008F62BE"/>
    <w:rsid w:val="008F6A66"/>
    <w:rsid w:val="008F7906"/>
    <w:rsid w:val="009001AB"/>
    <w:rsid w:val="00900361"/>
    <w:rsid w:val="00900E0F"/>
    <w:rsid w:val="00901F76"/>
    <w:rsid w:val="009026CF"/>
    <w:rsid w:val="00902FAD"/>
    <w:rsid w:val="00903454"/>
    <w:rsid w:val="00904CD9"/>
    <w:rsid w:val="0090591D"/>
    <w:rsid w:val="00905E51"/>
    <w:rsid w:val="00907AEF"/>
    <w:rsid w:val="00915B55"/>
    <w:rsid w:val="00915C57"/>
    <w:rsid w:val="00916298"/>
    <w:rsid w:val="009169DB"/>
    <w:rsid w:val="00916F1B"/>
    <w:rsid w:val="009170BC"/>
    <w:rsid w:val="009177E1"/>
    <w:rsid w:val="009177E5"/>
    <w:rsid w:val="009179CB"/>
    <w:rsid w:val="00917ECB"/>
    <w:rsid w:val="00917FFC"/>
    <w:rsid w:val="00920CA7"/>
    <w:rsid w:val="00921104"/>
    <w:rsid w:val="0092149C"/>
    <w:rsid w:val="00921705"/>
    <w:rsid w:val="009224A1"/>
    <w:rsid w:val="009241F1"/>
    <w:rsid w:val="00924F19"/>
    <w:rsid w:val="009267AC"/>
    <w:rsid w:val="00930A3C"/>
    <w:rsid w:val="00931265"/>
    <w:rsid w:val="009313DA"/>
    <w:rsid w:val="009314A3"/>
    <w:rsid w:val="00931A91"/>
    <w:rsid w:val="0093268A"/>
    <w:rsid w:val="0093467A"/>
    <w:rsid w:val="00934F28"/>
    <w:rsid w:val="0093528E"/>
    <w:rsid w:val="00935622"/>
    <w:rsid w:val="009365AF"/>
    <w:rsid w:val="00936845"/>
    <w:rsid w:val="009368A1"/>
    <w:rsid w:val="00936D59"/>
    <w:rsid w:val="00937350"/>
    <w:rsid w:val="009376D0"/>
    <w:rsid w:val="0093770D"/>
    <w:rsid w:val="00943BEB"/>
    <w:rsid w:val="00944CEB"/>
    <w:rsid w:val="0094661D"/>
    <w:rsid w:val="00946B4A"/>
    <w:rsid w:val="00950347"/>
    <w:rsid w:val="009505D6"/>
    <w:rsid w:val="00951C2C"/>
    <w:rsid w:val="0095221F"/>
    <w:rsid w:val="00953805"/>
    <w:rsid w:val="0095388F"/>
    <w:rsid w:val="00954335"/>
    <w:rsid w:val="0095458F"/>
    <w:rsid w:val="00955A78"/>
    <w:rsid w:val="00955C07"/>
    <w:rsid w:val="00956042"/>
    <w:rsid w:val="009560A2"/>
    <w:rsid w:val="00956368"/>
    <w:rsid w:val="00956EB4"/>
    <w:rsid w:val="009604FA"/>
    <w:rsid w:val="00960C79"/>
    <w:rsid w:val="00961500"/>
    <w:rsid w:val="00961D85"/>
    <w:rsid w:val="009636A8"/>
    <w:rsid w:val="009652ED"/>
    <w:rsid w:val="00965A9C"/>
    <w:rsid w:val="00966227"/>
    <w:rsid w:val="00970442"/>
    <w:rsid w:val="00970A64"/>
    <w:rsid w:val="00970C4F"/>
    <w:rsid w:val="009711EF"/>
    <w:rsid w:val="009718F6"/>
    <w:rsid w:val="00972C9E"/>
    <w:rsid w:val="00973C95"/>
    <w:rsid w:val="00974331"/>
    <w:rsid w:val="00975ACE"/>
    <w:rsid w:val="00975F1C"/>
    <w:rsid w:val="0097636D"/>
    <w:rsid w:val="009763DD"/>
    <w:rsid w:val="00976DC2"/>
    <w:rsid w:val="00980B47"/>
    <w:rsid w:val="00980EDA"/>
    <w:rsid w:val="0098358B"/>
    <w:rsid w:val="00984038"/>
    <w:rsid w:val="00984D05"/>
    <w:rsid w:val="00985565"/>
    <w:rsid w:val="00986843"/>
    <w:rsid w:val="00986FBB"/>
    <w:rsid w:val="009909D2"/>
    <w:rsid w:val="00991667"/>
    <w:rsid w:val="009924A7"/>
    <w:rsid w:val="009950DF"/>
    <w:rsid w:val="0099569D"/>
    <w:rsid w:val="009956B3"/>
    <w:rsid w:val="009962F4"/>
    <w:rsid w:val="00996724"/>
    <w:rsid w:val="009A064D"/>
    <w:rsid w:val="009A270E"/>
    <w:rsid w:val="009A3198"/>
    <w:rsid w:val="009A31FC"/>
    <w:rsid w:val="009A44A5"/>
    <w:rsid w:val="009A4C58"/>
    <w:rsid w:val="009A5D18"/>
    <w:rsid w:val="009A64BC"/>
    <w:rsid w:val="009A6F92"/>
    <w:rsid w:val="009A7098"/>
    <w:rsid w:val="009A7793"/>
    <w:rsid w:val="009B023F"/>
    <w:rsid w:val="009B1189"/>
    <w:rsid w:val="009B2064"/>
    <w:rsid w:val="009B26ED"/>
    <w:rsid w:val="009B304A"/>
    <w:rsid w:val="009B3A37"/>
    <w:rsid w:val="009B4014"/>
    <w:rsid w:val="009B41FB"/>
    <w:rsid w:val="009B43FF"/>
    <w:rsid w:val="009B462E"/>
    <w:rsid w:val="009B4C21"/>
    <w:rsid w:val="009B537D"/>
    <w:rsid w:val="009B5B5A"/>
    <w:rsid w:val="009B6634"/>
    <w:rsid w:val="009B6E97"/>
    <w:rsid w:val="009C0DDD"/>
    <w:rsid w:val="009C107B"/>
    <w:rsid w:val="009C1615"/>
    <w:rsid w:val="009C234D"/>
    <w:rsid w:val="009C50D3"/>
    <w:rsid w:val="009C5E30"/>
    <w:rsid w:val="009C7115"/>
    <w:rsid w:val="009C78AE"/>
    <w:rsid w:val="009C7AB8"/>
    <w:rsid w:val="009D0DE4"/>
    <w:rsid w:val="009D1046"/>
    <w:rsid w:val="009D124A"/>
    <w:rsid w:val="009D1556"/>
    <w:rsid w:val="009D395B"/>
    <w:rsid w:val="009D444F"/>
    <w:rsid w:val="009D5A1E"/>
    <w:rsid w:val="009D5A7F"/>
    <w:rsid w:val="009D7DCF"/>
    <w:rsid w:val="009E0300"/>
    <w:rsid w:val="009E09C5"/>
    <w:rsid w:val="009E23C2"/>
    <w:rsid w:val="009E2633"/>
    <w:rsid w:val="009E2B5B"/>
    <w:rsid w:val="009E30DE"/>
    <w:rsid w:val="009E3528"/>
    <w:rsid w:val="009E3DB8"/>
    <w:rsid w:val="009E3E1B"/>
    <w:rsid w:val="009E560F"/>
    <w:rsid w:val="009E57E5"/>
    <w:rsid w:val="009E5F0C"/>
    <w:rsid w:val="009E6040"/>
    <w:rsid w:val="009E7007"/>
    <w:rsid w:val="009E7D57"/>
    <w:rsid w:val="009E7F69"/>
    <w:rsid w:val="009F0222"/>
    <w:rsid w:val="009F2961"/>
    <w:rsid w:val="009F3570"/>
    <w:rsid w:val="009F3DE4"/>
    <w:rsid w:val="009F4657"/>
    <w:rsid w:val="009F6934"/>
    <w:rsid w:val="009F6E23"/>
    <w:rsid w:val="009F7016"/>
    <w:rsid w:val="009F7150"/>
    <w:rsid w:val="00A0032B"/>
    <w:rsid w:val="00A00C58"/>
    <w:rsid w:val="00A016E8"/>
    <w:rsid w:val="00A01EE2"/>
    <w:rsid w:val="00A05B55"/>
    <w:rsid w:val="00A104F4"/>
    <w:rsid w:val="00A1052B"/>
    <w:rsid w:val="00A107CC"/>
    <w:rsid w:val="00A10D4B"/>
    <w:rsid w:val="00A11D25"/>
    <w:rsid w:val="00A12651"/>
    <w:rsid w:val="00A136DD"/>
    <w:rsid w:val="00A14175"/>
    <w:rsid w:val="00A143A7"/>
    <w:rsid w:val="00A14AAB"/>
    <w:rsid w:val="00A14B43"/>
    <w:rsid w:val="00A153BE"/>
    <w:rsid w:val="00A16867"/>
    <w:rsid w:val="00A174E9"/>
    <w:rsid w:val="00A176CA"/>
    <w:rsid w:val="00A17AAC"/>
    <w:rsid w:val="00A20486"/>
    <w:rsid w:val="00A204B7"/>
    <w:rsid w:val="00A208AC"/>
    <w:rsid w:val="00A21028"/>
    <w:rsid w:val="00A230D2"/>
    <w:rsid w:val="00A237FB"/>
    <w:rsid w:val="00A23AD8"/>
    <w:rsid w:val="00A23E7F"/>
    <w:rsid w:val="00A24364"/>
    <w:rsid w:val="00A257D6"/>
    <w:rsid w:val="00A26958"/>
    <w:rsid w:val="00A3008A"/>
    <w:rsid w:val="00A30398"/>
    <w:rsid w:val="00A30807"/>
    <w:rsid w:val="00A30B09"/>
    <w:rsid w:val="00A3120A"/>
    <w:rsid w:val="00A31FC9"/>
    <w:rsid w:val="00A33079"/>
    <w:rsid w:val="00A333E2"/>
    <w:rsid w:val="00A335F8"/>
    <w:rsid w:val="00A33CC7"/>
    <w:rsid w:val="00A347FD"/>
    <w:rsid w:val="00A356DA"/>
    <w:rsid w:val="00A358BD"/>
    <w:rsid w:val="00A36A34"/>
    <w:rsid w:val="00A36A95"/>
    <w:rsid w:val="00A36EE5"/>
    <w:rsid w:val="00A376B6"/>
    <w:rsid w:val="00A37A05"/>
    <w:rsid w:val="00A402B6"/>
    <w:rsid w:val="00A40623"/>
    <w:rsid w:val="00A4126E"/>
    <w:rsid w:val="00A41476"/>
    <w:rsid w:val="00A4235E"/>
    <w:rsid w:val="00A42B71"/>
    <w:rsid w:val="00A4335D"/>
    <w:rsid w:val="00A44BA1"/>
    <w:rsid w:val="00A46E18"/>
    <w:rsid w:val="00A50FDD"/>
    <w:rsid w:val="00A5164A"/>
    <w:rsid w:val="00A51CBD"/>
    <w:rsid w:val="00A51F64"/>
    <w:rsid w:val="00A51FC9"/>
    <w:rsid w:val="00A52F97"/>
    <w:rsid w:val="00A53491"/>
    <w:rsid w:val="00A53A28"/>
    <w:rsid w:val="00A55351"/>
    <w:rsid w:val="00A562BE"/>
    <w:rsid w:val="00A567A9"/>
    <w:rsid w:val="00A56C28"/>
    <w:rsid w:val="00A60EE2"/>
    <w:rsid w:val="00A6177D"/>
    <w:rsid w:val="00A6177E"/>
    <w:rsid w:val="00A61964"/>
    <w:rsid w:val="00A62098"/>
    <w:rsid w:val="00A62194"/>
    <w:rsid w:val="00A62527"/>
    <w:rsid w:val="00A62992"/>
    <w:rsid w:val="00A62C0C"/>
    <w:rsid w:val="00A630BB"/>
    <w:rsid w:val="00A631C4"/>
    <w:rsid w:val="00A639F1"/>
    <w:rsid w:val="00A640C9"/>
    <w:rsid w:val="00A64417"/>
    <w:rsid w:val="00A65596"/>
    <w:rsid w:val="00A66402"/>
    <w:rsid w:val="00A6722A"/>
    <w:rsid w:val="00A67A6F"/>
    <w:rsid w:val="00A73259"/>
    <w:rsid w:val="00A74DF7"/>
    <w:rsid w:val="00A75ACD"/>
    <w:rsid w:val="00A773F1"/>
    <w:rsid w:val="00A775EE"/>
    <w:rsid w:val="00A80FE8"/>
    <w:rsid w:val="00A812F8"/>
    <w:rsid w:val="00A816FD"/>
    <w:rsid w:val="00A827A2"/>
    <w:rsid w:val="00A8423D"/>
    <w:rsid w:val="00A84ADC"/>
    <w:rsid w:val="00A8552B"/>
    <w:rsid w:val="00A85CD4"/>
    <w:rsid w:val="00A86478"/>
    <w:rsid w:val="00A86C62"/>
    <w:rsid w:val="00A9065C"/>
    <w:rsid w:val="00A91D39"/>
    <w:rsid w:val="00A9351A"/>
    <w:rsid w:val="00A94936"/>
    <w:rsid w:val="00A959FB"/>
    <w:rsid w:val="00A95C73"/>
    <w:rsid w:val="00A970A2"/>
    <w:rsid w:val="00AA0646"/>
    <w:rsid w:val="00AA10C9"/>
    <w:rsid w:val="00AA25F8"/>
    <w:rsid w:val="00AA2762"/>
    <w:rsid w:val="00AA3204"/>
    <w:rsid w:val="00AA4DAC"/>
    <w:rsid w:val="00AA5B14"/>
    <w:rsid w:val="00AA678E"/>
    <w:rsid w:val="00AA6A0E"/>
    <w:rsid w:val="00AB082B"/>
    <w:rsid w:val="00AB162F"/>
    <w:rsid w:val="00AB423B"/>
    <w:rsid w:val="00AB4255"/>
    <w:rsid w:val="00AB4C01"/>
    <w:rsid w:val="00AB4C80"/>
    <w:rsid w:val="00AB4E19"/>
    <w:rsid w:val="00AB6425"/>
    <w:rsid w:val="00AB6F14"/>
    <w:rsid w:val="00AB741F"/>
    <w:rsid w:val="00AC15F2"/>
    <w:rsid w:val="00AC2D9F"/>
    <w:rsid w:val="00AC4625"/>
    <w:rsid w:val="00AC52D5"/>
    <w:rsid w:val="00AC5DCB"/>
    <w:rsid w:val="00AC7B69"/>
    <w:rsid w:val="00AD0B75"/>
    <w:rsid w:val="00AD17F5"/>
    <w:rsid w:val="00AD18D0"/>
    <w:rsid w:val="00AD2747"/>
    <w:rsid w:val="00AD2C94"/>
    <w:rsid w:val="00AD355E"/>
    <w:rsid w:val="00AD3F30"/>
    <w:rsid w:val="00AD46FF"/>
    <w:rsid w:val="00AD53C6"/>
    <w:rsid w:val="00AD6461"/>
    <w:rsid w:val="00AD7023"/>
    <w:rsid w:val="00AE0A6A"/>
    <w:rsid w:val="00AE0C6F"/>
    <w:rsid w:val="00AE1234"/>
    <w:rsid w:val="00AE13F1"/>
    <w:rsid w:val="00AE16F6"/>
    <w:rsid w:val="00AE2747"/>
    <w:rsid w:val="00AE27C0"/>
    <w:rsid w:val="00AE2B55"/>
    <w:rsid w:val="00AE2D34"/>
    <w:rsid w:val="00AE2F33"/>
    <w:rsid w:val="00AE36BB"/>
    <w:rsid w:val="00AE44F1"/>
    <w:rsid w:val="00AE51C0"/>
    <w:rsid w:val="00AE5CE0"/>
    <w:rsid w:val="00AE6CB8"/>
    <w:rsid w:val="00AF02A6"/>
    <w:rsid w:val="00AF0B0D"/>
    <w:rsid w:val="00AF0C94"/>
    <w:rsid w:val="00AF1F08"/>
    <w:rsid w:val="00AF1FC9"/>
    <w:rsid w:val="00AF403E"/>
    <w:rsid w:val="00AF439A"/>
    <w:rsid w:val="00AF70C0"/>
    <w:rsid w:val="00B00B0D"/>
    <w:rsid w:val="00B01152"/>
    <w:rsid w:val="00B011D5"/>
    <w:rsid w:val="00B025CC"/>
    <w:rsid w:val="00B02F92"/>
    <w:rsid w:val="00B03635"/>
    <w:rsid w:val="00B03BAF"/>
    <w:rsid w:val="00B04B66"/>
    <w:rsid w:val="00B05829"/>
    <w:rsid w:val="00B05C82"/>
    <w:rsid w:val="00B060B2"/>
    <w:rsid w:val="00B06265"/>
    <w:rsid w:val="00B06416"/>
    <w:rsid w:val="00B0650A"/>
    <w:rsid w:val="00B0750B"/>
    <w:rsid w:val="00B108F1"/>
    <w:rsid w:val="00B1169F"/>
    <w:rsid w:val="00B11868"/>
    <w:rsid w:val="00B11A13"/>
    <w:rsid w:val="00B12AE9"/>
    <w:rsid w:val="00B131DB"/>
    <w:rsid w:val="00B132D8"/>
    <w:rsid w:val="00B14E9F"/>
    <w:rsid w:val="00B14FD0"/>
    <w:rsid w:val="00B16B12"/>
    <w:rsid w:val="00B17B61"/>
    <w:rsid w:val="00B222C6"/>
    <w:rsid w:val="00B2292F"/>
    <w:rsid w:val="00B2393E"/>
    <w:rsid w:val="00B2418F"/>
    <w:rsid w:val="00B241FE"/>
    <w:rsid w:val="00B24526"/>
    <w:rsid w:val="00B2560C"/>
    <w:rsid w:val="00B2579A"/>
    <w:rsid w:val="00B26058"/>
    <w:rsid w:val="00B2695A"/>
    <w:rsid w:val="00B277DD"/>
    <w:rsid w:val="00B27BB0"/>
    <w:rsid w:val="00B30597"/>
    <w:rsid w:val="00B306E7"/>
    <w:rsid w:val="00B308B9"/>
    <w:rsid w:val="00B32151"/>
    <w:rsid w:val="00B336BB"/>
    <w:rsid w:val="00B33CFE"/>
    <w:rsid w:val="00B361D4"/>
    <w:rsid w:val="00B363DD"/>
    <w:rsid w:val="00B36410"/>
    <w:rsid w:val="00B36F40"/>
    <w:rsid w:val="00B37041"/>
    <w:rsid w:val="00B406B6"/>
    <w:rsid w:val="00B41553"/>
    <w:rsid w:val="00B416A6"/>
    <w:rsid w:val="00B42747"/>
    <w:rsid w:val="00B43064"/>
    <w:rsid w:val="00B4589F"/>
    <w:rsid w:val="00B46316"/>
    <w:rsid w:val="00B46445"/>
    <w:rsid w:val="00B4656C"/>
    <w:rsid w:val="00B467AE"/>
    <w:rsid w:val="00B47075"/>
    <w:rsid w:val="00B476A4"/>
    <w:rsid w:val="00B50134"/>
    <w:rsid w:val="00B501A9"/>
    <w:rsid w:val="00B50A32"/>
    <w:rsid w:val="00B50D00"/>
    <w:rsid w:val="00B5171F"/>
    <w:rsid w:val="00B52BE2"/>
    <w:rsid w:val="00B53732"/>
    <w:rsid w:val="00B5388C"/>
    <w:rsid w:val="00B55477"/>
    <w:rsid w:val="00B56110"/>
    <w:rsid w:val="00B5662B"/>
    <w:rsid w:val="00B56B6D"/>
    <w:rsid w:val="00B57C5F"/>
    <w:rsid w:val="00B607D1"/>
    <w:rsid w:val="00B60DE7"/>
    <w:rsid w:val="00B6208F"/>
    <w:rsid w:val="00B6256B"/>
    <w:rsid w:val="00B62953"/>
    <w:rsid w:val="00B636F9"/>
    <w:rsid w:val="00B6378A"/>
    <w:rsid w:val="00B63EF2"/>
    <w:rsid w:val="00B64A86"/>
    <w:rsid w:val="00B65B0C"/>
    <w:rsid w:val="00B67C2E"/>
    <w:rsid w:val="00B723C5"/>
    <w:rsid w:val="00B724F1"/>
    <w:rsid w:val="00B741E6"/>
    <w:rsid w:val="00B755CB"/>
    <w:rsid w:val="00B75BD9"/>
    <w:rsid w:val="00B7618D"/>
    <w:rsid w:val="00B76C85"/>
    <w:rsid w:val="00B76D08"/>
    <w:rsid w:val="00B77007"/>
    <w:rsid w:val="00B7721C"/>
    <w:rsid w:val="00B77B99"/>
    <w:rsid w:val="00B77BD2"/>
    <w:rsid w:val="00B77F45"/>
    <w:rsid w:val="00B80AFB"/>
    <w:rsid w:val="00B80B6F"/>
    <w:rsid w:val="00B80D9A"/>
    <w:rsid w:val="00B80EED"/>
    <w:rsid w:val="00B81209"/>
    <w:rsid w:val="00B817D0"/>
    <w:rsid w:val="00B8198E"/>
    <w:rsid w:val="00B81F72"/>
    <w:rsid w:val="00B82F83"/>
    <w:rsid w:val="00B8371E"/>
    <w:rsid w:val="00B83DFF"/>
    <w:rsid w:val="00B8412F"/>
    <w:rsid w:val="00B84879"/>
    <w:rsid w:val="00B852BF"/>
    <w:rsid w:val="00B8616B"/>
    <w:rsid w:val="00B86230"/>
    <w:rsid w:val="00B864F9"/>
    <w:rsid w:val="00B9196C"/>
    <w:rsid w:val="00B91A30"/>
    <w:rsid w:val="00B92ED1"/>
    <w:rsid w:val="00B93965"/>
    <w:rsid w:val="00B93DA0"/>
    <w:rsid w:val="00B94DFA"/>
    <w:rsid w:val="00B955B0"/>
    <w:rsid w:val="00B95700"/>
    <w:rsid w:val="00BA0AF6"/>
    <w:rsid w:val="00BA1874"/>
    <w:rsid w:val="00BA1E44"/>
    <w:rsid w:val="00BA337A"/>
    <w:rsid w:val="00BA45C2"/>
    <w:rsid w:val="00BA4ED4"/>
    <w:rsid w:val="00BA64D6"/>
    <w:rsid w:val="00BA6D87"/>
    <w:rsid w:val="00BA74DC"/>
    <w:rsid w:val="00BA79E0"/>
    <w:rsid w:val="00BB06EA"/>
    <w:rsid w:val="00BB173E"/>
    <w:rsid w:val="00BB2338"/>
    <w:rsid w:val="00BB2D66"/>
    <w:rsid w:val="00BB3260"/>
    <w:rsid w:val="00BB3CE2"/>
    <w:rsid w:val="00BB4DD3"/>
    <w:rsid w:val="00BB4E5A"/>
    <w:rsid w:val="00BB5506"/>
    <w:rsid w:val="00BB61B7"/>
    <w:rsid w:val="00BC035A"/>
    <w:rsid w:val="00BC0639"/>
    <w:rsid w:val="00BC1889"/>
    <w:rsid w:val="00BC1D93"/>
    <w:rsid w:val="00BC1EE5"/>
    <w:rsid w:val="00BC31E5"/>
    <w:rsid w:val="00BC3E81"/>
    <w:rsid w:val="00BC520E"/>
    <w:rsid w:val="00BC5BD7"/>
    <w:rsid w:val="00BC6E61"/>
    <w:rsid w:val="00BC6E95"/>
    <w:rsid w:val="00BC7A9B"/>
    <w:rsid w:val="00BD0560"/>
    <w:rsid w:val="00BD13F8"/>
    <w:rsid w:val="00BD1713"/>
    <w:rsid w:val="00BD1F31"/>
    <w:rsid w:val="00BD2638"/>
    <w:rsid w:val="00BD4192"/>
    <w:rsid w:val="00BD4392"/>
    <w:rsid w:val="00BD4581"/>
    <w:rsid w:val="00BD4721"/>
    <w:rsid w:val="00BD5739"/>
    <w:rsid w:val="00BD69FC"/>
    <w:rsid w:val="00BE0F5E"/>
    <w:rsid w:val="00BE1A73"/>
    <w:rsid w:val="00BE1CD4"/>
    <w:rsid w:val="00BE1D96"/>
    <w:rsid w:val="00BE1DD9"/>
    <w:rsid w:val="00BE2B86"/>
    <w:rsid w:val="00BE43DF"/>
    <w:rsid w:val="00BE4777"/>
    <w:rsid w:val="00BE57A6"/>
    <w:rsid w:val="00BE57AC"/>
    <w:rsid w:val="00BE5AC8"/>
    <w:rsid w:val="00BE5F30"/>
    <w:rsid w:val="00BE6AF4"/>
    <w:rsid w:val="00BE6F66"/>
    <w:rsid w:val="00BF07DD"/>
    <w:rsid w:val="00BF199D"/>
    <w:rsid w:val="00BF1B5C"/>
    <w:rsid w:val="00BF1EE7"/>
    <w:rsid w:val="00BF2DC4"/>
    <w:rsid w:val="00BF5004"/>
    <w:rsid w:val="00BF61F2"/>
    <w:rsid w:val="00BF6485"/>
    <w:rsid w:val="00BF6710"/>
    <w:rsid w:val="00BF6761"/>
    <w:rsid w:val="00C02649"/>
    <w:rsid w:val="00C04365"/>
    <w:rsid w:val="00C05041"/>
    <w:rsid w:val="00C055F9"/>
    <w:rsid w:val="00C114AA"/>
    <w:rsid w:val="00C11E60"/>
    <w:rsid w:val="00C11F52"/>
    <w:rsid w:val="00C120DA"/>
    <w:rsid w:val="00C13BD8"/>
    <w:rsid w:val="00C14365"/>
    <w:rsid w:val="00C161AB"/>
    <w:rsid w:val="00C1644F"/>
    <w:rsid w:val="00C167CA"/>
    <w:rsid w:val="00C17384"/>
    <w:rsid w:val="00C21BFB"/>
    <w:rsid w:val="00C2296C"/>
    <w:rsid w:val="00C234DA"/>
    <w:rsid w:val="00C247D5"/>
    <w:rsid w:val="00C26233"/>
    <w:rsid w:val="00C26C21"/>
    <w:rsid w:val="00C32759"/>
    <w:rsid w:val="00C32F0F"/>
    <w:rsid w:val="00C33888"/>
    <w:rsid w:val="00C34974"/>
    <w:rsid w:val="00C354C6"/>
    <w:rsid w:val="00C3678C"/>
    <w:rsid w:val="00C36FA8"/>
    <w:rsid w:val="00C3704A"/>
    <w:rsid w:val="00C374AC"/>
    <w:rsid w:val="00C37748"/>
    <w:rsid w:val="00C379EA"/>
    <w:rsid w:val="00C4171E"/>
    <w:rsid w:val="00C42C36"/>
    <w:rsid w:val="00C439A7"/>
    <w:rsid w:val="00C43BFD"/>
    <w:rsid w:val="00C45122"/>
    <w:rsid w:val="00C50D1C"/>
    <w:rsid w:val="00C51691"/>
    <w:rsid w:val="00C51D38"/>
    <w:rsid w:val="00C51D5F"/>
    <w:rsid w:val="00C52E84"/>
    <w:rsid w:val="00C53394"/>
    <w:rsid w:val="00C53553"/>
    <w:rsid w:val="00C55A8B"/>
    <w:rsid w:val="00C56B5C"/>
    <w:rsid w:val="00C60942"/>
    <w:rsid w:val="00C61281"/>
    <w:rsid w:val="00C627DD"/>
    <w:rsid w:val="00C62C01"/>
    <w:rsid w:val="00C63E18"/>
    <w:rsid w:val="00C64DD1"/>
    <w:rsid w:val="00C65704"/>
    <w:rsid w:val="00C66597"/>
    <w:rsid w:val="00C671E3"/>
    <w:rsid w:val="00C6743B"/>
    <w:rsid w:val="00C706B0"/>
    <w:rsid w:val="00C715B9"/>
    <w:rsid w:val="00C716FF"/>
    <w:rsid w:val="00C736BE"/>
    <w:rsid w:val="00C77859"/>
    <w:rsid w:val="00C77D37"/>
    <w:rsid w:val="00C77D3F"/>
    <w:rsid w:val="00C8086B"/>
    <w:rsid w:val="00C80A94"/>
    <w:rsid w:val="00C83047"/>
    <w:rsid w:val="00C83193"/>
    <w:rsid w:val="00C83F0B"/>
    <w:rsid w:val="00C855AE"/>
    <w:rsid w:val="00C85B63"/>
    <w:rsid w:val="00C87493"/>
    <w:rsid w:val="00C87C60"/>
    <w:rsid w:val="00C87DA3"/>
    <w:rsid w:val="00C90468"/>
    <w:rsid w:val="00C907AC"/>
    <w:rsid w:val="00C90E9B"/>
    <w:rsid w:val="00C91BE1"/>
    <w:rsid w:val="00C92765"/>
    <w:rsid w:val="00C933BE"/>
    <w:rsid w:val="00C9427E"/>
    <w:rsid w:val="00C95DCA"/>
    <w:rsid w:val="00C96DDC"/>
    <w:rsid w:val="00C9792E"/>
    <w:rsid w:val="00CA0960"/>
    <w:rsid w:val="00CA0AB1"/>
    <w:rsid w:val="00CA0D80"/>
    <w:rsid w:val="00CA10B2"/>
    <w:rsid w:val="00CA11B0"/>
    <w:rsid w:val="00CA1229"/>
    <w:rsid w:val="00CA1EC7"/>
    <w:rsid w:val="00CA1FCD"/>
    <w:rsid w:val="00CA411D"/>
    <w:rsid w:val="00CA67C0"/>
    <w:rsid w:val="00CB0AA9"/>
    <w:rsid w:val="00CB0BF1"/>
    <w:rsid w:val="00CB172D"/>
    <w:rsid w:val="00CB1787"/>
    <w:rsid w:val="00CB1AC9"/>
    <w:rsid w:val="00CB23C6"/>
    <w:rsid w:val="00CB2D22"/>
    <w:rsid w:val="00CB3913"/>
    <w:rsid w:val="00CB43BD"/>
    <w:rsid w:val="00CB456C"/>
    <w:rsid w:val="00CB558D"/>
    <w:rsid w:val="00CB6E2B"/>
    <w:rsid w:val="00CB76FE"/>
    <w:rsid w:val="00CB7D5F"/>
    <w:rsid w:val="00CC011D"/>
    <w:rsid w:val="00CC10B7"/>
    <w:rsid w:val="00CC1179"/>
    <w:rsid w:val="00CC15FC"/>
    <w:rsid w:val="00CC2630"/>
    <w:rsid w:val="00CC2DF0"/>
    <w:rsid w:val="00CC31AA"/>
    <w:rsid w:val="00CC42D4"/>
    <w:rsid w:val="00CC50D6"/>
    <w:rsid w:val="00CC63E4"/>
    <w:rsid w:val="00CC6E4E"/>
    <w:rsid w:val="00CC7AA1"/>
    <w:rsid w:val="00CC7D96"/>
    <w:rsid w:val="00CD0D49"/>
    <w:rsid w:val="00CD1EB6"/>
    <w:rsid w:val="00CD28BE"/>
    <w:rsid w:val="00CD2913"/>
    <w:rsid w:val="00CD2EE1"/>
    <w:rsid w:val="00CD3233"/>
    <w:rsid w:val="00CD361C"/>
    <w:rsid w:val="00CD3DAF"/>
    <w:rsid w:val="00CD56D3"/>
    <w:rsid w:val="00CE1341"/>
    <w:rsid w:val="00CE18A5"/>
    <w:rsid w:val="00CE2744"/>
    <w:rsid w:val="00CE4DFF"/>
    <w:rsid w:val="00CE4E32"/>
    <w:rsid w:val="00CE5EC9"/>
    <w:rsid w:val="00CE6B16"/>
    <w:rsid w:val="00CE70CF"/>
    <w:rsid w:val="00CE76C6"/>
    <w:rsid w:val="00CE7C67"/>
    <w:rsid w:val="00CF030B"/>
    <w:rsid w:val="00CF07C5"/>
    <w:rsid w:val="00CF0FCC"/>
    <w:rsid w:val="00CF2339"/>
    <w:rsid w:val="00CF2344"/>
    <w:rsid w:val="00CF2442"/>
    <w:rsid w:val="00CF273B"/>
    <w:rsid w:val="00CF2FA6"/>
    <w:rsid w:val="00CF3984"/>
    <w:rsid w:val="00CF3C10"/>
    <w:rsid w:val="00CF7125"/>
    <w:rsid w:val="00CF799A"/>
    <w:rsid w:val="00D000AD"/>
    <w:rsid w:val="00D01EC2"/>
    <w:rsid w:val="00D0285F"/>
    <w:rsid w:val="00D03ACC"/>
    <w:rsid w:val="00D03B0D"/>
    <w:rsid w:val="00D03F4C"/>
    <w:rsid w:val="00D0558D"/>
    <w:rsid w:val="00D05957"/>
    <w:rsid w:val="00D05FA7"/>
    <w:rsid w:val="00D06FD4"/>
    <w:rsid w:val="00D07259"/>
    <w:rsid w:val="00D07B3B"/>
    <w:rsid w:val="00D07FE3"/>
    <w:rsid w:val="00D11413"/>
    <w:rsid w:val="00D136B5"/>
    <w:rsid w:val="00D13B2F"/>
    <w:rsid w:val="00D14BBC"/>
    <w:rsid w:val="00D169B8"/>
    <w:rsid w:val="00D21921"/>
    <w:rsid w:val="00D2428C"/>
    <w:rsid w:val="00D275DD"/>
    <w:rsid w:val="00D30140"/>
    <w:rsid w:val="00D31E18"/>
    <w:rsid w:val="00D33B33"/>
    <w:rsid w:val="00D33DC9"/>
    <w:rsid w:val="00D33E16"/>
    <w:rsid w:val="00D341BC"/>
    <w:rsid w:val="00D35D59"/>
    <w:rsid w:val="00D36D22"/>
    <w:rsid w:val="00D40E9B"/>
    <w:rsid w:val="00D417F2"/>
    <w:rsid w:val="00D4235D"/>
    <w:rsid w:val="00D4274A"/>
    <w:rsid w:val="00D42F2A"/>
    <w:rsid w:val="00D4331C"/>
    <w:rsid w:val="00D43C0A"/>
    <w:rsid w:val="00D44704"/>
    <w:rsid w:val="00D469CD"/>
    <w:rsid w:val="00D47666"/>
    <w:rsid w:val="00D4780A"/>
    <w:rsid w:val="00D47AC7"/>
    <w:rsid w:val="00D50886"/>
    <w:rsid w:val="00D508CC"/>
    <w:rsid w:val="00D52583"/>
    <w:rsid w:val="00D525B4"/>
    <w:rsid w:val="00D52A32"/>
    <w:rsid w:val="00D5367E"/>
    <w:rsid w:val="00D5409C"/>
    <w:rsid w:val="00D54AC5"/>
    <w:rsid w:val="00D54B7A"/>
    <w:rsid w:val="00D54C3A"/>
    <w:rsid w:val="00D54F6C"/>
    <w:rsid w:val="00D56901"/>
    <w:rsid w:val="00D60E91"/>
    <w:rsid w:val="00D62724"/>
    <w:rsid w:val="00D65030"/>
    <w:rsid w:val="00D66873"/>
    <w:rsid w:val="00D700BF"/>
    <w:rsid w:val="00D706BA"/>
    <w:rsid w:val="00D709C5"/>
    <w:rsid w:val="00D71FAE"/>
    <w:rsid w:val="00D72B4D"/>
    <w:rsid w:val="00D74A17"/>
    <w:rsid w:val="00D75170"/>
    <w:rsid w:val="00D77401"/>
    <w:rsid w:val="00D776BE"/>
    <w:rsid w:val="00D777D7"/>
    <w:rsid w:val="00D77A7F"/>
    <w:rsid w:val="00D77C7F"/>
    <w:rsid w:val="00D77E20"/>
    <w:rsid w:val="00D80743"/>
    <w:rsid w:val="00D817B5"/>
    <w:rsid w:val="00D81A94"/>
    <w:rsid w:val="00D8207C"/>
    <w:rsid w:val="00D82ACA"/>
    <w:rsid w:val="00D83169"/>
    <w:rsid w:val="00D8381F"/>
    <w:rsid w:val="00D83A01"/>
    <w:rsid w:val="00D83A8E"/>
    <w:rsid w:val="00D860EF"/>
    <w:rsid w:val="00D86417"/>
    <w:rsid w:val="00D86EC3"/>
    <w:rsid w:val="00D875C6"/>
    <w:rsid w:val="00D90160"/>
    <w:rsid w:val="00D909B4"/>
    <w:rsid w:val="00D910A7"/>
    <w:rsid w:val="00D92B87"/>
    <w:rsid w:val="00D93263"/>
    <w:rsid w:val="00D935C9"/>
    <w:rsid w:val="00D93B5C"/>
    <w:rsid w:val="00D942C9"/>
    <w:rsid w:val="00D9482F"/>
    <w:rsid w:val="00D94DA9"/>
    <w:rsid w:val="00D95EFD"/>
    <w:rsid w:val="00D970CB"/>
    <w:rsid w:val="00D97361"/>
    <w:rsid w:val="00D979FE"/>
    <w:rsid w:val="00DA03EC"/>
    <w:rsid w:val="00DA0CBB"/>
    <w:rsid w:val="00DA14B2"/>
    <w:rsid w:val="00DA2F6F"/>
    <w:rsid w:val="00DA3DE1"/>
    <w:rsid w:val="00DA4087"/>
    <w:rsid w:val="00DA41EA"/>
    <w:rsid w:val="00DA5F66"/>
    <w:rsid w:val="00DA6744"/>
    <w:rsid w:val="00DA6F20"/>
    <w:rsid w:val="00DA6F87"/>
    <w:rsid w:val="00DA6FCE"/>
    <w:rsid w:val="00DA720D"/>
    <w:rsid w:val="00DA76FE"/>
    <w:rsid w:val="00DB0109"/>
    <w:rsid w:val="00DB3847"/>
    <w:rsid w:val="00DB4197"/>
    <w:rsid w:val="00DB4CD7"/>
    <w:rsid w:val="00DB5048"/>
    <w:rsid w:val="00DB5BD7"/>
    <w:rsid w:val="00DC14D5"/>
    <w:rsid w:val="00DC1BB8"/>
    <w:rsid w:val="00DC2367"/>
    <w:rsid w:val="00DC2690"/>
    <w:rsid w:val="00DC2CFC"/>
    <w:rsid w:val="00DC3E93"/>
    <w:rsid w:val="00DC4120"/>
    <w:rsid w:val="00DC4BE2"/>
    <w:rsid w:val="00DC5174"/>
    <w:rsid w:val="00DC6944"/>
    <w:rsid w:val="00DC69FB"/>
    <w:rsid w:val="00DC6A38"/>
    <w:rsid w:val="00DC6B1D"/>
    <w:rsid w:val="00DD0BDA"/>
    <w:rsid w:val="00DD254F"/>
    <w:rsid w:val="00DD27DE"/>
    <w:rsid w:val="00DD3A9F"/>
    <w:rsid w:val="00DD40A3"/>
    <w:rsid w:val="00DD4B8F"/>
    <w:rsid w:val="00DD5580"/>
    <w:rsid w:val="00DD6428"/>
    <w:rsid w:val="00DD676B"/>
    <w:rsid w:val="00DD6B73"/>
    <w:rsid w:val="00DD72C3"/>
    <w:rsid w:val="00DE0F89"/>
    <w:rsid w:val="00DE2CF7"/>
    <w:rsid w:val="00DE333D"/>
    <w:rsid w:val="00DE3F09"/>
    <w:rsid w:val="00DE4CE3"/>
    <w:rsid w:val="00DE5654"/>
    <w:rsid w:val="00DE653F"/>
    <w:rsid w:val="00DE7D0F"/>
    <w:rsid w:val="00DE7DA1"/>
    <w:rsid w:val="00DF0439"/>
    <w:rsid w:val="00DF075B"/>
    <w:rsid w:val="00DF0830"/>
    <w:rsid w:val="00DF1715"/>
    <w:rsid w:val="00DF2084"/>
    <w:rsid w:val="00DF2524"/>
    <w:rsid w:val="00DF25B4"/>
    <w:rsid w:val="00DF26F7"/>
    <w:rsid w:val="00DF2748"/>
    <w:rsid w:val="00DF2A18"/>
    <w:rsid w:val="00DF3014"/>
    <w:rsid w:val="00DF38A3"/>
    <w:rsid w:val="00DF4384"/>
    <w:rsid w:val="00DF467A"/>
    <w:rsid w:val="00DF4CD1"/>
    <w:rsid w:val="00DF5B99"/>
    <w:rsid w:val="00DF629A"/>
    <w:rsid w:val="00DF6BA2"/>
    <w:rsid w:val="00DF6F7E"/>
    <w:rsid w:val="00DF7FC8"/>
    <w:rsid w:val="00E00ECB"/>
    <w:rsid w:val="00E01477"/>
    <w:rsid w:val="00E019D8"/>
    <w:rsid w:val="00E02064"/>
    <w:rsid w:val="00E02265"/>
    <w:rsid w:val="00E02388"/>
    <w:rsid w:val="00E02742"/>
    <w:rsid w:val="00E0397D"/>
    <w:rsid w:val="00E078CF"/>
    <w:rsid w:val="00E07FCE"/>
    <w:rsid w:val="00E1119E"/>
    <w:rsid w:val="00E11E2E"/>
    <w:rsid w:val="00E13566"/>
    <w:rsid w:val="00E143B6"/>
    <w:rsid w:val="00E20D36"/>
    <w:rsid w:val="00E20DB8"/>
    <w:rsid w:val="00E23617"/>
    <w:rsid w:val="00E25194"/>
    <w:rsid w:val="00E2677C"/>
    <w:rsid w:val="00E272A9"/>
    <w:rsid w:val="00E27306"/>
    <w:rsid w:val="00E27B55"/>
    <w:rsid w:val="00E27CCB"/>
    <w:rsid w:val="00E27E55"/>
    <w:rsid w:val="00E3000C"/>
    <w:rsid w:val="00E30458"/>
    <w:rsid w:val="00E304D5"/>
    <w:rsid w:val="00E3125D"/>
    <w:rsid w:val="00E32ADD"/>
    <w:rsid w:val="00E32EED"/>
    <w:rsid w:val="00E340A7"/>
    <w:rsid w:val="00E34788"/>
    <w:rsid w:val="00E35971"/>
    <w:rsid w:val="00E35B76"/>
    <w:rsid w:val="00E40C22"/>
    <w:rsid w:val="00E42BEC"/>
    <w:rsid w:val="00E42C73"/>
    <w:rsid w:val="00E43B05"/>
    <w:rsid w:val="00E45F08"/>
    <w:rsid w:val="00E46748"/>
    <w:rsid w:val="00E5043E"/>
    <w:rsid w:val="00E5145B"/>
    <w:rsid w:val="00E51EE5"/>
    <w:rsid w:val="00E5446E"/>
    <w:rsid w:val="00E56800"/>
    <w:rsid w:val="00E57214"/>
    <w:rsid w:val="00E57A0C"/>
    <w:rsid w:val="00E57AD3"/>
    <w:rsid w:val="00E619FC"/>
    <w:rsid w:val="00E6223C"/>
    <w:rsid w:val="00E63860"/>
    <w:rsid w:val="00E63D06"/>
    <w:rsid w:val="00E6595B"/>
    <w:rsid w:val="00E65B4B"/>
    <w:rsid w:val="00E67626"/>
    <w:rsid w:val="00E67A73"/>
    <w:rsid w:val="00E72485"/>
    <w:rsid w:val="00E725C7"/>
    <w:rsid w:val="00E72965"/>
    <w:rsid w:val="00E7356C"/>
    <w:rsid w:val="00E743A6"/>
    <w:rsid w:val="00E749C9"/>
    <w:rsid w:val="00E74D48"/>
    <w:rsid w:val="00E75C1F"/>
    <w:rsid w:val="00E77BAD"/>
    <w:rsid w:val="00E77C95"/>
    <w:rsid w:val="00E77CD6"/>
    <w:rsid w:val="00E77F00"/>
    <w:rsid w:val="00E80554"/>
    <w:rsid w:val="00E80910"/>
    <w:rsid w:val="00E813BC"/>
    <w:rsid w:val="00E81449"/>
    <w:rsid w:val="00E814C2"/>
    <w:rsid w:val="00E829E3"/>
    <w:rsid w:val="00E83282"/>
    <w:rsid w:val="00E83980"/>
    <w:rsid w:val="00E83EB5"/>
    <w:rsid w:val="00E84F9B"/>
    <w:rsid w:val="00E8540E"/>
    <w:rsid w:val="00E86696"/>
    <w:rsid w:val="00E87A15"/>
    <w:rsid w:val="00E90F9B"/>
    <w:rsid w:val="00E93894"/>
    <w:rsid w:val="00E93CEF"/>
    <w:rsid w:val="00E94667"/>
    <w:rsid w:val="00E949F0"/>
    <w:rsid w:val="00E94A64"/>
    <w:rsid w:val="00E9554E"/>
    <w:rsid w:val="00E96BDD"/>
    <w:rsid w:val="00E972D9"/>
    <w:rsid w:val="00E979B2"/>
    <w:rsid w:val="00EA05BD"/>
    <w:rsid w:val="00EA0F49"/>
    <w:rsid w:val="00EA1E55"/>
    <w:rsid w:val="00EA2B48"/>
    <w:rsid w:val="00EA3300"/>
    <w:rsid w:val="00EA3B6F"/>
    <w:rsid w:val="00EA44F3"/>
    <w:rsid w:val="00EA49F1"/>
    <w:rsid w:val="00EA58F2"/>
    <w:rsid w:val="00EA5C06"/>
    <w:rsid w:val="00EA678F"/>
    <w:rsid w:val="00EA6B85"/>
    <w:rsid w:val="00EA6F64"/>
    <w:rsid w:val="00EA73B0"/>
    <w:rsid w:val="00EA76F9"/>
    <w:rsid w:val="00EA7C46"/>
    <w:rsid w:val="00EB091F"/>
    <w:rsid w:val="00EB2798"/>
    <w:rsid w:val="00EB3D11"/>
    <w:rsid w:val="00EB48BA"/>
    <w:rsid w:val="00EB48C2"/>
    <w:rsid w:val="00EB5474"/>
    <w:rsid w:val="00EB69F7"/>
    <w:rsid w:val="00EB6C93"/>
    <w:rsid w:val="00EB7376"/>
    <w:rsid w:val="00EB7854"/>
    <w:rsid w:val="00EB7D17"/>
    <w:rsid w:val="00EC09F6"/>
    <w:rsid w:val="00EC1D31"/>
    <w:rsid w:val="00EC1E6F"/>
    <w:rsid w:val="00EC3432"/>
    <w:rsid w:val="00EC4258"/>
    <w:rsid w:val="00EC4574"/>
    <w:rsid w:val="00EC5355"/>
    <w:rsid w:val="00EC585A"/>
    <w:rsid w:val="00EC63B1"/>
    <w:rsid w:val="00ED01A6"/>
    <w:rsid w:val="00ED0AAB"/>
    <w:rsid w:val="00ED0E46"/>
    <w:rsid w:val="00ED1BE1"/>
    <w:rsid w:val="00ED3B58"/>
    <w:rsid w:val="00ED42BB"/>
    <w:rsid w:val="00ED48B8"/>
    <w:rsid w:val="00ED48EC"/>
    <w:rsid w:val="00ED4A74"/>
    <w:rsid w:val="00ED4E3B"/>
    <w:rsid w:val="00ED5F8A"/>
    <w:rsid w:val="00ED62D8"/>
    <w:rsid w:val="00ED66F9"/>
    <w:rsid w:val="00ED768B"/>
    <w:rsid w:val="00EE0699"/>
    <w:rsid w:val="00EE08A3"/>
    <w:rsid w:val="00EE09EB"/>
    <w:rsid w:val="00EE1035"/>
    <w:rsid w:val="00EE13E7"/>
    <w:rsid w:val="00EE1F1F"/>
    <w:rsid w:val="00EE3756"/>
    <w:rsid w:val="00EE4582"/>
    <w:rsid w:val="00EE4CBF"/>
    <w:rsid w:val="00EE4E20"/>
    <w:rsid w:val="00EE5259"/>
    <w:rsid w:val="00EE565C"/>
    <w:rsid w:val="00EE5764"/>
    <w:rsid w:val="00EE77F8"/>
    <w:rsid w:val="00EE7CC0"/>
    <w:rsid w:val="00EF2263"/>
    <w:rsid w:val="00EF2CA8"/>
    <w:rsid w:val="00EF3905"/>
    <w:rsid w:val="00EF41F1"/>
    <w:rsid w:val="00EF4D12"/>
    <w:rsid w:val="00EF5145"/>
    <w:rsid w:val="00EF51BF"/>
    <w:rsid w:val="00EF5989"/>
    <w:rsid w:val="00EF5C08"/>
    <w:rsid w:val="00EF6538"/>
    <w:rsid w:val="00F008C0"/>
    <w:rsid w:val="00F018E7"/>
    <w:rsid w:val="00F01907"/>
    <w:rsid w:val="00F045D1"/>
    <w:rsid w:val="00F05208"/>
    <w:rsid w:val="00F06157"/>
    <w:rsid w:val="00F07F56"/>
    <w:rsid w:val="00F10A29"/>
    <w:rsid w:val="00F10A9F"/>
    <w:rsid w:val="00F11EF6"/>
    <w:rsid w:val="00F12099"/>
    <w:rsid w:val="00F15DFA"/>
    <w:rsid w:val="00F217D0"/>
    <w:rsid w:val="00F23355"/>
    <w:rsid w:val="00F24005"/>
    <w:rsid w:val="00F240F6"/>
    <w:rsid w:val="00F27BE6"/>
    <w:rsid w:val="00F30A1D"/>
    <w:rsid w:val="00F316C4"/>
    <w:rsid w:val="00F319F7"/>
    <w:rsid w:val="00F32565"/>
    <w:rsid w:val="00F35093"/>
    <w:rsid w:val="00F35CDD"/>
    <w:rsid w:val="00F37E0E"/>
    <w:rsid w:val="00F41385"/>
    <w:rsid w:val="00F414B9"/>
    <w:rsid w:val="00F41F32"/>
    <w:rsid w:val="00F42AF8"/>
    <w:rsid w:val="00F43141"/>
    <w:rsid w:val="00F44B70"/>
    <w:rsid w:val="00F44D1B"/>
    <w:rsid w:val="00F459BA"/>
    <w:rsid w:val="00F46338"/>
    <w:rsid w:val="00F477D8"/>
    <w:rsid w:val="00F5202A"/>
    <w:rsid w:val="00F52286"/>
    <w:rsid w:val="00F525C6"/>
    <w:rsid w:val="00F534D4"/>
    <w:rsid w:val="00F57A88"/>
    <w:rsid w:val="00F601A6"/>
    <w:rsid w:val="00F623B1"/>
    <w:rsid w:val="00F625BC"/>
    <w:rsid w:val="00F628DA"/>
    <w:rsid w:val="00F62900"/>
    <w:rsid w:val="00F62BB9"/>
    <w:rsid w:val="00F64451"/>
    <w:rsid w:val="00F658E2"/>
    <w:rsid w:val="00F65CAD"/>
    <w:rsid w:val="00F66425"/>
    <w:rsid w:val="00F6677A"/>
    <w:rsid w:val="00F6735E"/>
    <w:rsid w:val="00F673A3"/>
    <w:rsid w:val="00F706AD"/>
    <w:rsid w:val="00F72D1F"/>
    <w:rsid w:val="00F7414E"/>
    <w:rsid w:val="00F74B9B"/>
    <w:rsid w:val="00F74CBC"/>
    <w:rsid w:val="00F77D0F"/>
    <w:rsid w:val="00F823CB"/>
    <w:rsid w:val="00F835C2"/>
    <w:rsid w:val="00F8492C"/>
    <w:rsid w:val="00F86623"/>
    <w:rsid w:val="00F868DF"/>
    <w:rsid w:val="00F87988"/>
    <w:rsid w:val="00F91138"/>
    <w:rsid w:val="00F91799"/>
    <w:rsid w:val="00F91B24"/>
    <w:rsid w:val="00F927CB"/>
    <w:rsid w:val="00F94AAC"/>
    <w:rsid w:val="00F94F31"/>
    <w:rsid w:val="00F94FA4"/>
    <w:rsid w:val="00F9506A"/>
    <w:rsid w:val="00F97858"/>
    <w:rsid w:val="00FA04AA"/>
    <w:rsid w:val="00FA2CDB"/>
    <w:rsid w:val="00FA321E"/>
    <w:rsid w:val="00FA3245"/>
    <w:rsid w:val="00FA3F2B"/>
    <w:rsid w:val="00FA66CB"/>
    <w:rsid w:val="00FA674A"/>
    <w:rsid w:val="00FA6B4B"/>
    <w:rsid w:val="00FA6FBC"/>
    <w:rsid w:val="00FA75D2"/>
    <w:rsid w:val="00FA7751"/>
    <w:rsid w:val="00FB072F"/>
    <w:rsid w:val="00FB0C79"/>
    <w:rsid w:val="00FB1C45"/>
    <w:rsid w:val="00FB2161"/>
    <w:rsid w:val="00FB364E"/>
    <w:rsid w:val="00FB3E0D"/>
    <w:rsid w:val="00FB4374"/>
    <w:rsid w:val="00FB4858"/>
    <w:rsid w:val="00FB4ECC"/>
    <w:rsid w:val="00FB53BB"/>
    <w:rsid w:val="00FB5B38"/>
    <w:rsid w:val="00FB777A"/>
    <w:rsid w:val="00FB7A9D"/>
    <w:rsid w:val="00FC02A7"/>
    <w:rsid w:val="00FC1CE0"/>
    <w:rsid w:val="00FC263A"/>
    <w:rsid w:val="00FC29F1"/>
    <w:rsid w:val="00FC3528"/>
    <w:rsid w:val="00FC373F"/>
    <w:rsid w:val="00FC54FF"/>
    <w:rsid w:val="00FC724A"/>
    <w:rsid w:val="00FC741F"/>
    <w:rsid w:val="00FC7442"/>
    <w:rsid w:val="00FD0E41"/>
    <w:rsid w:val="00FD263F"/>
    <w:rsid w:val="00FD2BC2"/>
    <w:rsid w:val="00FD3EC7"/>
    <w:rsid w:val="00FD48A0"/>
    <w:rsid w:val="00FD749C"/>
    <w:rsid w:val="00FD7651"/>
    <w:rsid w:val="00FD76FA"/>
    <w:rsid w:val="00FE04ED"/>
    <w:rsid w:val="00FE0AC3"/>
    <w:rsid w:val="00FE0C80"/>
    <w:rsid w:val="00FE1CC8"/>
    <w:rsid w:val="00FE3E6B"/>
    <w:rsid w:val="00FE52AE"/>
    <w:rsid w:val="00FE5776"/>
    <w:rsid w:val="00FF035F"/>
    <w:rsid w:val="00FF0879"/>
    <w:rsid w:val="00FF09F4"/>
    <w:rsid w:val="00FF1CEE"/>
    <w:rsid w:val="00FF32EC"/>
    <w:rsid w:val="00FF3323"/>
    <w:rsid w:val="00FF47C6"/>
    <w:rsid w:val="00FF6096"/>
    <w:rsid w:val="00FF6FB6"/>
    <w:rsid w:val="00FF7551"/>
    <w:rsid w:val="086E430F"/>
    <w:rsid w:val="174CC8C0"/>
    <w:rsid w:val="3F0BAA6D"/>
    <w:rsid w:val="78ABA9CE"/>
    <w:rsid w:val="7AF58323"/>
    <w:rsid w:val="7EBA9A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E7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8B0"/>
    <w:pPr>
      <w:adjustRightInd w:val="0"/>
      <w:snapToGrid w:val="0"/>
      <w:spacing w:after="113" w:line="240" w:lineRule="atLeast"/>
    </w:pPr>
    <w:rPr>
      <w:rFonts w:cs="Times New Roman"/>
      <w:color w:val="44546A" w:themeColor="text2"/>
      <w:szCs w:val="20"/>
    </w:rPr>
  </w:style>
  <w:style w:type="paragraph" w:styleId="Heading1">
    <w:name w:val="heading 1"/>
    <w:basedOn w:val="Normal"/>
    <w:next w:val="Normal"/>
    <w:link w:val="Heading1Char"/>
    <w:uiPriority w:val="9"/>
    <w:qFormat/>
    <w:rsid w:val="009962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6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2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831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D28B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Recommendation,L,List Paragraph1,List Paragraph11,NFP GP Bulleted List,FooterText,numbered,Paragraphe de liste1,Bulletr List Paragraph,列出段落,列出段落1,List Paragraph2,List Paragraph21,Listeafsnit1,リスト段落1,列"/>
    <w:basedOn w:val="Normal"/>
    <w:link w:val="ListParagraphChar"/>
    <w:uiPriority w:val="34"/>
    <w:qFormat/>
    <w:rsid w:val="002657DF"/>
    <w:pPr>
      <w:ind w:left="720"/>
      <w:contextualSpacing/>
    </w:pPr>
  </w:style>
  <w:style w:type="paragraph" w:customStyle="1" w:styleId="Default">
    <w:name w:val="Default"/>
    <w:rsid w:val="002657DF"/>
    <w:pPr>
      <w:autoSpaceDE w:val="0"/>
      <w:autoSpaceDN w:val="0"/>
      <w:adjustRightInd w:val="0"/>
      <w:spacing w:after="0" w:line="240" w:lineRule="auto"/>
    </w:pPr>
    <w:rPr>
      <w:rFonts w:ascii="Cambria" w:hAnsi="Cambria" w:cs="Cambria"/>
      <w:color w:val="000000"/>
      <w:sz w:val="24"/>
      <w:szCs w:val="24"/>
    </w:rPr>
  </w:style>
  <w:style w:type="character" w:customStyle="1" w:styleId="ListParagraphChar">
    <w:name w:val="List Paragraph Char"/>
    <w:aliases w:val="List Bullet Cab Char,CAB - List Bullet Char,Recommendation Char,L Char,List Paragraph1 Char,List Paragraph11 Char,NFP GP Bulleted List Char,FooterText Char,numbered Char,Paragraphe de liste1 Char,Bulletr List Paragraph Char,列出段落 Char"/>
    <w:basedOn w:val="DefaultParagraphFont"/>
    <w:link w:val="ListParagraph"/>
    <w:uiPriority w:val="34"/>
    <w:qFormat/>
    <w:locked/>
    <w:rsid w:val="002657DF"/>
    <w:rPr>
      <w:rFonts w:cs="Times New Roman"/>
      <w:color w:val="44546A" w:themeColor="text2"/>
      <w:szCs w:val="20"/>
    </w:rPr>
  </w:style>
  <w:style w:type="paragraph" w:styleId="Header">
    <w:name w:val="header"/>
    <w:basedOn w:val="Normal"/>
    <w:link w:val="HeaderChar"/>
    <w:uiPriority w:val="99"/>
    <w:unhideWhenUsed/>
    <w:rsid w:val="00265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7DF"/>
    <w:rPr>
      <w:rFonts w:cs="Times New Roman"/>
      <w:color w:val="44546A" w:themeColor="text2"/>
      <w:szCs w:val="20"/>
    </w:rPr>
  </w:style>
  <w:style w:type="paragraph" w:styleId="Footer">
    <w:name w:val="footer"/>
    <w:basedOn w:val="Normal"/>
    <w:link w:val="FooterChar"/>
    <w:uiPriority w:val="99"/>
    <w:unhideWhenUsed/>
    <w:rsid w:val="00265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7DF"/>
    <w:rPr>
      <w:rFonts w:cs="Times New Roman"/>
      <w:color w:val="44546A" w:themeColor="text2"/>
      <w:szCs w:val="20"/>
    </w:rPr>
  </w:style>
  <w:style w:type="character" w:styleId="CommentReference">
    <w:name w:val="annotation reference"/>
    <w:basedOn w:val="DefaultParagraphFont"/>
    <w:uiPriority w:val="99"/>
    <w:semiHidden/>
    <w:unhideWhenUsed/>
    <w:rsid w:val="005D667A"/>
    <w:rPr>
      <w:sz w:val="16"/>
      <w:szCs w:val="16"/>
    </w:rPr>
  </w:style>
  <w:style w:type="paragraph" w:styleId="CommentText">
    <w:name w:val="annotation text"/>
    <w:basedOn w:val="Normal"/>
    <w:link w:val="CommentTextChar"/>
    <w:uiPriority w:val="99"/>
    <w:unhideWhenUsed/>
    <w:rsid w:val="005D667A"/>
    <w:pPr>
      <w:adjustRightInd/>
      <w:snapToGrid/>
      <w:spacing w:after="0" w:line="240" w:lineRule="auto"/>
    </w:pPr>
    <w:rPr>
      <w:rFonts w:ascii="Times New Roman" w:eastAsia="Times New Roman" w:hAnsi="Times New Roman"/>
      <w:color w:val="auto"/>
      <w:sz w:val="20"/>
    </w:rPr>
  </w:style>
  <w:style w:type="character" w:customStyle="1" w:styleId="CommentTextChar">
    <w:name w:val="Comment Text Char"/>
    <w:basedOn w:val="DefaultParagraphFont"/>
    <w:link w:val="CommentText"/>
    <w:uiPriority w:val="99"/>
    <w:rsid w:val="005D667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D6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67A"/>
    <w:rPr>
      <w:rFonts w:ascii="Segoe UI" w:hAnsi="Segoe UI" w:cs="Segoe UI"/>
      <w:color w:val="44546A" w:themeColor="text2"/>
      <w:sz w:val="18"/>
      <w:szCs w:val="18"/>
    </w:rPr>
  </w:style>
  <w:style w:type="paragraph" w:styleId="NormalWeb">
    <w:name w:val="Normal (Web)"/>
    <w:basedOn w:val="Normal"/>
    <w:uiPriority w:val="99"/>
    <w:unhideWhenUsed/>
    <w:rsid w:val="00861B7D"/>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Hyperlink">
    <w:name w:val="Hyperlink"/>
    <w:basedOn w:val="DefaultParagraphFont"/>
    <w:uiPriority w:val="99"/>
    <w:unhideWhenUsed/>
    <w:rsid w:val="00EE4E20"/>
    <w:rPr>
      <w:color w:val="0563C1" w:themeColor="hyperlink"/>
      <w:u w:val="single"/>
    </w:rPr>
  </w:style>
  <w:style w:type="character" w:customStyle="1" w:styleId="Heading1Char">
    <w:name w:val="Heading 1 Char"/>
    <w:basedOn w:val="DefaultParagraphFont"/>
    <w:link w:val="Heading1"/>
    <w:uiPriority w:val="9"/>
    <w:rsid w:val="009962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962F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962F4"/>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996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962F4"/>
    <w:pPr>
      <w:adjustRightInd w:val="0"/>
      <w:snapToGrid w:val="0"/>
      <w:spacing w:after="113"/>
    </w:pPr>
    <w:rPr>
      <w:rFonts w:asciiTheme="minorHAnsi" w:eastAsiaTheme="minorHAnsi" w:hAnsiTheme="minorHAnsi"/>
      <w:b/>
      <w:bCs/>
      <w:color w:val="44546A" w:themeColor="text2"/>
    </w:rPr>
  </w:style>
  <w:style w:type="character" w:customStyle="1" w:styleId="CommentSubjectChar">
    <w:name w:val="Comment Subject Char"/>
    <w:basedOn w:val="CommentTextChar"/>
    <w:link w:val="CommentSubject"/>
    <w:uiPriority w:val="99"/>
    <w:semiHidden/>
    <w:rsid w:val="009962F4"/>
    <w:rPr>
      <w:rFonts w:ascii="Times New Roman" w:eastAsia="Times New Roman" w:hAnsi="Times New Roman" w:cs="Times New Roman"/>
      <w:b/>
      <w:bCs/>
      <w:color w:val="44546A" w:themeColor="text2"/>
      <w:sz w:val="20"/>
      <w:szCs w:val="20"/>
    </w:rPr>
  </w:style>
  <w:style w:type="paragraph" w:styleId="FootnoteText">
    <w:name w:val="footnote text"/>
    <w:basedOn w:val="Normal"/>
    <w:link w:val="FootnoteTextChar"/>
    <w:uiPriority w:val="99"/>
    <w:semiHidden/>
    <w:unhideWhenUsed/>
    <w:rsid w:val="009962F4"/>
    <w:pPr>
      <w:spacing w:after="0" w:line="240" w:lineRule="auto"/>
    </w:pPr>
    <w:rPr>
      <w:sz w:val="20"/>
    </w:rPr>
  </w:style>
  <w:style w:type="character" w:customStyle="1" w:styleId="FootnoteTextChar">
    <w:name w:val="Footnote Text Char"/>
    <w:basedOn w:val="DefaultParagraphFont"/>
    <w:link w:val="FootnoteText"/>
    <w:uiPriority w:val="99"/>
    <w:semiHidden/>
    <w:rsid w:val="009962F4"/>
    <w:rPr>
      <w:rFonts w:cs="Times New Roman"/>
      <w:color w:val="44546A" w:themeColor="text2"/>
      <w:sz w:val="20"/>
      <w:szCs w:val="20"/>
    </w:rPr>
  </w:style>
  <w:style w:type="character" w:styleId="FootnoteReference">
    <w:name w:val="footnote reference"/>
    <w:basedOn w:val="DefaultParagraphFont"/>
    <w:uiPriority w:val="99"/>
    <w:semiHidden/>
    <w:unhideWhenUsed/>
    <w:rsid w:val="009962F4"/>
    <w:rPr>
      <w:vertAlign w:val="superscript"/>
    </w:rPr>
  </w:style>
  <w:style w:type="character" w:styleId="FollowedHyperlink">
    <w:name w:val="FollowedHyperlink"/>
    <w:basedOn w:val="DefaultParagraphFont"/>
    <w:uiPriority w:val="99"/>
    <w:semiHidden/>
    <w:unhideWhenUsed/>
    <w:rsid w:val="009962F4"/>
    <w:rPr>
      <w:color w:val="954F72" w:themeColor="followedHyperlink"/>
      <w:u w:val="single"/>
    </w:rPr>
  </w:style>
  <w:style w:type="paragraph" w:styleId="Revision">
    <w:name w:val="Revision"/>
    <w:hidden/>
    <w:uiPriority w:val="99"/>
    <w:semiHidden/>
    <w:rsid w:val="00747D7E"/>
    <w:pPr>
      <w:spacing w:after="0" w:line="240" w:lineRule="auto"/>
    </w:pPr>
    <w:rPr>
      <w:rFonts w:cs="Times New Roman"/>
      <w:color w:val="44546A" w:themeColor="text2"/>
      <w:szCs w:val="20"/>
    </w:rPr>
  </w:style>
  <w:style w:type="character" w:customStyle="1" w:styleId="Heading4Char">
    <w:name w:val="Heading 4 Char"/>
    <w:basedOn w:val="DefaultParagraphFont"/>
    <w:link w:val="Heading4"/>
    <w:uiPriority w:val="9"/>
    <w:rsid w:val="00C83193"/>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D28BE"/>
    <w:rPr>
      <w:rFonts w:asciiTheme="majorHAnsi" w:eastAsiaTheme="majorEastAsia" w:hAnsiTheme="majorHAnsi" w:cstheme="majorBidi"/>
      <w:color w:val="2E74B5" w:themeColor="accent1" w:themeShade="BF"/>
      <w:szCs w:val="20"/>
    </w:rPr>
  </w:style>
  <w:style w:type="character" w:styleId="Emphasis">
    <w:name w:val="Emphasis"/>
    <w:basedOn w:val="DefaultParagraphFont"/>
    <w:uiPriority w:val="20"/>
    <w:qFormat/>
    <w:rsid w:val="000271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5619">
      <w:bodyDiv w:val="1"/>
      <w:marLeft w:val="0"/>
      <w:marRight w:val="0"/>
      <w:marTop w:val="0"/>
      <w:marBottom w:val="0"/>
      <w:divBdr>
        <w:top w:val="none" w:sz="0" w:space="0" w:color="auto"/>
        <w:left w:val="none" w:sz="0" w:space="0" w:color="auto"/>
        <w:bottom w:val="none" w:sz="0" w:space="0" w:color="auto"/>
        <w:right w:val="none" w:sz="0" w:space="0" w:color="auto"/>
      </w:divBdr>
    </w:div>
    <w:div w:id="123669161">
      <w:bodyDiv w:val="1"/>
      <w:marLeft w:val="0"/>
      <w:marRight w:val="0"/>
      <w:marTop w:val="0"/>
      <w:marBottom w:val="0"/>
      <w:divBdr>
        <w:top w:val="none" w:sz="0" w:space="0" w:color="auto"/>
        <w:left w:val="none" w:sz="0" w:space="0" w:color="auto"/>
        <w:bottom w:val="none" w:sz="0" w:space="0" w:color="auto"/>
        <w:right w:val="none" w:sz="0" w:space="0" w:color="auto"/>
      </w:divBdr>
    </w:div>
    <w:div w:id="308680841">
      <w:bodyDiv w:val="1"/>
      <w:marLeft w:val="0"/>
      <w:marRight w:val="0"/>
      <w:marTop w:val="0"/>
      <w:marBottom w:val="0"/>
      <w:divBdr>
        <w:top w:val="none" w:sz="0" w:space="0" w:color="auto"/>
        <w:left w:val="none" w:sz="0" w:space="0" w:color="auto"/>
        <w:bottom w:val="none" w:sz="0" w:space="0" w:color="auto"/>
        <w:right w:val="none" w:sz="0" w:space="0" w:color="auto"/>
      </w:divBdr>
    </w:div>
    <w:div w:id="319190733">
      <w:bodyDiv w:val="1"/>
      <w:marLeft w:val="0"/>
      <w:marRight w:val="0"/>
      <w:marTop w:val="0"/>
      <w:marBottom w:val="0"/>
      <w:divBdr>
        <w:top w:val="none" w:sz="0" w:space="0" w:color="auto"/>
        <w:left w:val="none" w:sz="0" w:space="0" w:color="auto"/>
        <w:bottom w:val="none" w:sz="0" w:space="0" w:color="auto"/>
        <w:right w:val="none" w:sz="0" w:space="0" w:color="auto"/>
      </w:divBdr>
    </w:div>
    <w:div w:id="381709188">
      <w:bodyDiv w:val="1"/>
      <w:marLeft w:val="0"/>
      <w:marRight w:val="0"/>
      <w:marTop w:val="0"/>
      <w:marBottom w:val="0"/>
      <w:divBdr>
        <w:top w:val="none" w:sz="0" w:space="0" w:color="auto"/>
        <w:left w:val="none" w:sz="0" w:space="0" w:color="auto"/>
        <w:bottom w:val="none" w:sz="0" w:space="0" w:color="auto"/>
        <w:right w:val="none" w:sz="0" w:space="0" w:color="auto"/>
      </w:divBdr>
    </w:div>
    <w:div w:id="487091717">
      <w:bodyDiv w:val="1"/>
      <w:marLeft w:val="0"/>
      <w:marRight w:val="0"/>
      <w:marTop w:val="0"/>
      <w:marBottom w:val="0"/>
      <w:divBdr>
        <w:top w:val="none" w:sz="0" w:space="0" w:color="auto"/>
        <w:left w:val="none" w:sz="0" w:space="0" w:color="auto"/>
        <w:bottom w:val="none" w:sz="0" w:space="0" w:color="auto"/>
        <w:right w:val="none" w:sz="0" w:space="0" w:color="auto"/>
      </w:divBdr>
    </w:div>
    <w:div w:id="515651611">
      <w:bodyDiv w:val="1"/>
      <w:marLeft w:val="0"/>
      <w:marRight w:val="0"/>
      <w:marTop w:val="0"/>
      <w:marBottom w:val="0"/>
      <w:divBdr>
        <w:top w:val="none" w:sz="0" w:space="0" w:color="auto"/>
        <w:left w:val="none" w:sz="0" w:space="0" w:color="auto"/>
        <w:bottom w:val="none" w:sz="0" w:space="0" w:color="auto"/>
        <w:right w:val="none" w:sz="0" w:space="0" w:color="auto"/>
      </w:divBdr>
    </w:div>
    <w:div w:id="544105403">
      <w:bodyDiv w:val="1"/>
      <w:marLeft w:val="0"/>
      <w:marRight w:val="0"/>
      <w:marTop w:val="0"/>
      <w:marBottom w:val="0"/>
      <w:divBdr>
        <w:top w:val="none" w:sz="0" w:space="0" w:color="auto"/>
        <w:left w:val="none" w:sz="0" w:space="0" w:color="auto"/>
        <w:bottom w:val="none" w:sz="0" w:space="0" w:color="auto"/>
        <w:right w:val="none" w:sz="0" w:space="0" w:color="auto"/>
      </w:divBdr>
    </w:div>
    <w:div w:id="583224753">
      <w:bodyDiv w:val="1"/>
      <w:marLeft w:val="0"/>
      <w:marRight w:val="0"/>
      <w:marTop w:val="0"/>
      <w:marBottom w:val="0"/>
      <w:divBdr>
        <w:top w:val="none" w:sz="0" w:space="0" w:color="auto"/>
        <w:left w:val="none" w:sz="0" w:space="0" w:color="auto"/>
        <w:bottom w:val="none" w:sz="0" w:space="0" w:color="auto"/>
        <w:right w:val="none" w:sz="0" w:space="0" w:color="auto"/>
      </w:divBdr>
    </w:div>
    <w:div w:id="767119486">
      <w:bodyDiv w:val="1"/>
      <w:marLeft w:val="0"/>
      <w:marRight w:val="0"/>
      <w:marTop w:val="0"/>
      <w:marBottom w:val="0"/>
      <w:divBdr>
        <w:top w:val="none" w:sz="0" w:space="0" w:color="auto"/>
        <w:left w:val="none" w:sz="0" w:space="0" w:color="auto"/>
        <w:bottom w:val="none" w:sz="0" w:space="0" w:color="auto"/>
        <w:right w:val="none" w:sz="0" w:space="0" w:color="auto"/>
      </w:divBdr>
    </w:div>
    <w:div w:id="774134050">
      <w:bodyDiv w:val="1"/>
      <w:marLeft w:val="0"/>
      <w:marRight w:val="0"/>
      <w:marTop w:val="0"/>
      <w:marBottom w:val="0"/>
      <w:divBdr>
        <w:top w:val="none" w:sz="0" w:space="0" w:color="auto"/>
        <w:left w:val="none" w:sz="0" w:space="0" w:color="auto"/>
        <w:bottom w:val="none" w:sz="0" w:space="0" w:color="auto"/>
        <w:right w:val="none" w:sz="0" w:space="0" w:color="auto"/>
      </w:divBdr>
    </w:div>
    <w:div w:id="852569352">
      <w:bodyDiv w:val="1"/>
      <w:marLeft w:val="0"/>
      <w:marRight w:val="0"/>
      <w:marTop w:val="0"/>
      <w:marBottom w:val="0"/>
      <w:divBdr>
        <w:top w:val="none" w:sz="0" w:space="0" w:color="auto"/>
        <w:left w:val="none" w:sz="0" w:space="0" w:color="auto"/>
        <w:bottom w:val="none" w:sz="0" w:space="0" w:color="auto"/>
        <w:right w:val="none" w:sz="0" w:space="0" w:color="auto"/>
      </w:divBdr>
    </w:div>
    <w:div w:id="917397196">
      <w:bodyDiv w:val="1"/>
      <w:marLeft w:val="0"/>
      <w:marRight w:val="0"/>
      <w:marTop w:val="0"/>
      <w:marBottom w:val="0"/>
      <w:divBdr>
        <w:top w:val="none" w:sz="0" w:space="0" w:color="auto"/>
        <w:left w:val="none" w:sz="0" w:space="0" w:color="auto"/>
        <w:bottom w:val="none" w:sz="0" w:space="0" w:color="auto"/>
        <w:right w:val="none" w:sz="0" w:space="0" w:color="auto"/>
      </w:divBdr>
    </w:div>
    <w:div w:id="1050763354">
      <w:bodyDiv w:val="1"/>
      <w:marLeft w:val="0"/>
      <w:marRight w:val="0"/>
      <w:marTop w:val="0"/>
      <w:marBottom w:val="0"/>
      <w:divBdr>
        <w:top w:val="none" w:sz="0" w:space="0" w:color="auto"/>
        <w:left w:val="none" w:sz="0" w:space="0" w:color="auto"/>
        <w:bottom w:val="none" w:sz="0" w:space="0" w:color="auto"/>
        <w:right w:val="none" w:sz="0" w:space="0" w:color="auto"/>
      </w:divBdr>
    </w:div>
    <w:div w:id="1125387379">
      <w:bodyDiv w:val="1"/>
      <w:marLeft w:val="0"/>
      <w:marRight w:val="0"/>
      <w:marTop w:val="0"/>
      <w:marBottom w:val="0"/>
      <w:divBdr>
        <w:top w:val="none" w:sz="0" w:space="0" w:color="auto"/>
        <w:left w:val="none" w:sz="0" w:space="0" w:color="auto"/>
        <w:bottom w:val="none" w:sz="0" w:space="0" w:color="auto"/>
        <w:right w:val="none" w:sz="0" w:space="0" w:color="auto"/>
      </w:divBdr>
    </w:div>
    <w:div w:id="1154953959">
      <w:bodyDiv w:val="1"/>
      <w:marLeft w:val="0"/>
      <w:marRight w:val="0"/>
      <w:marTop w:val="0"/>
      <w:marBottom w:val="0"/>
      <w:divBdr>
        <w:top w:val="none" w:sz="0" w:space="0" w:color="auto"/>
        <w:left w:val="none" w:sz="0" w:space="0" w:color="auto"/>
        <w:bottom w:val="none" w:sz="0" w:space="0" w:color="auto"/>
        <w:right w:val="none" w:sz="0" w:space="0" w:color="auto"/>
      </w:divBdr>
    </w:div>
    <w:div w:id="1271469227">
      <w:bodyDiv w:val="1"/>
      <w:marLeft w:val="0"/>
      <w:marRight w:val="0"/>
      <w:marTop w:val="0"/>
      <w:marBottom w:val="0"/>
      <w:divBdr>
        <w:top w:val="none" w:sz="0" w:space="0" w:color="auto"/>
        <w:left w:val="none" w:sz="0" w:space="0" w:color="auto"/>
        <w:bottom w:val="none" w:sz="0" w:space="0" w:color="auto"/>
        <w:right w:val="none" w:sz="0" w:space="0" w:color="auto"/>
      </w:divBdr>
    </w:div>
    <w:div w:id="1272475908">
      <w:bodyDiv w:val="1"/>
      <w:marLeft w:val="0"/>
      <w:marRight w:val="0"/>
      <w:marTop w:val="0"/>
      <w:marBottom w:val="0"/>
      <w:divBdr>
        <w:top w:val="none" w:sz="0" w:space="0" w:color="auto"/>
        <w:left w:val="none" w:sz="0" w:space="0" w:color="auto"/>
        <w:bottom w:val="none" w:sz="0" w:space="0" w:color="auto"/>
        <w:right w:val="none" w:sz="0" w:space="0" w:color="auto"/>
      </w:divBdr>
    </w:div>
    <w:div w:id="1385906961">
      <w:bodyDiv w:val="1"/>
      <w:marLeft w:val="0"/>
      <w:marRight w:val="0"/>
      <w:marTop w:val="0"/>
      <w:marBottom w:val="0"/>
      <w:divBdr>
        <w:top w:val="none" w:sz="0" w:space="0" w:color="auto"/>
        <w:left w:val="none" w:sz="0" w:space="0" w:color="auto"/>
        <w:bottom w:val="none" w:sz="0" w:space="0" w:color="auto"/>
        <w:right w:val="none" w:sz="0" w:space="0" w:color="auto"/>
      </w:divBdr>
    </w:div>
    <w:div w:id="1439983518">
      <w:bodyDiv w:val="1"/>
      <w:marLeft w:val="0"/>
      <w:marRight w:val="0"/>
      <w:marTop w:val="0"/>
      <w:marBottom w:val="0"/>
      <w:divBdr>
        <w:top w:val="none" w:sz="0" w:space="0" w:color="auto"/>
        <w:left w:val="none" w:sz="0" w:space="0" w:color="auto"/>
        <w:bottom w:val="none" w:sz="0" w:space="0" w:color="auto"/>
        <w:right w:val="none" w:sz="0" w:space="0" w:color="auto"/>
      </w:divBdr>
    </w:div>
    <w:div w:id="1683169848">
      <w:bodyDiv w:val="1"/>
      <w:marLeft w:val="0"/>
      <w:marRight w:val="0"/>
      <w:marTop w:val="0"/>
      <w:marBottom w:val="0"/>
      <w:divBdr>
        <w:top w:val="none" w:sz="0" w:space="0" w:color="auto"/>
        <w:left w:val="none" w:sz="0" w:space="0" w:color="auto"/>
        <w:bottom w:val="none" w:sz="0" w:space="0" w:color="auto"/>
        <w:right w:val="none" w:sz="0" w:space="0" w:color="auto"/>
      </w:divBdr>
    </w:div>
    <w:div w:id="1695964026">
      <w:bodyDiv w:val="1"/>
      <w:marLeft w:val="0"/>
      <w:marRight w:val="0"/>
      <w:marTop w:val="0"/>
      <w:marBottom w:val="0"/>
      <w:divBdr>
        <w:top w:val="none" w:sz="0" w:space="0" w:color="auto"/>
        <w:left w:val="none" w:sz="0" w:space="0" w:color="auto"/>
        <w:bottom w:val="none" w:sz="0" w:space="0" w:color="auto"/>
        <w:right w:val="none" w:sz="0" w:space="0" w:color="auto"/>
      </w:divBdr>
    </w:div>
    <w:div w:id="1777826384">
      <w:bodyDiv w:val="1"/>
      <w:marLeft w:val="0"/>
      <w:marRight w:val="0"/>
      <w:marTop w:val="0"/>
      <w:marBottom w:val="0"/>
      <w:divBdr>
        <w:top w:val="none" w:sz="0" w:space="0" w:color="auto"/>
        <w:left w:val="none" w:sz="0" w:space="0" w:color="auto"/>
        <w:bottom w:val="none" w:sz="0" w:space="0" w:color="auto"/>
        <w:right w:val="none" w:sz="0" w:space="0" w:color="auto"/>
      </w:divBdr>
    </w:div>
    <w:div w:id="1856533694">
      <w:bodyDiv w:val="1"/>
      <w:marLeft w:val="0"/>
      <w:marRight w:val="0"/>
      <w:marTop w:val="0"/>
      <w:marBottom w:val="0"/>
      <w:divBdr>
        <w:top w:val="none" w:sz="0" w:space="0" w:color="auto"/>
        <w:left w:val="none" w:sz="0" w:space="0" w:color="auto"/>
        <w:bottom w:val="none" w:sz="0" w:space="0" w:color="auto"/>
        <w:right w:val="none" w:sz="0" w:space="0" w:color="auto"/>
      </w:divBdr>
    </w:div>
    <w:div w:id="1904483213">
      <w:bodyDiv w:val="1"/>
      <w:marLeft w:val="0"/>
      <w:marRight w:val="0"/>
      <w:marTop w:val="0"/>
      <w:marBottom w:val="0"/>
      <w:divBdr>
        <w:top w:val="none" w:sz="0" w:space="0" w:color="auto"/>
        <w:left w:val="none" w:sz="0" w:space="0" w:color="auto"/>
        <w:bottom w:val="none" w:sz="0" w:space="0" w:color="auto"/>
        <w:right w:val="none" w:sz="0" w:space="0" w:color="auto"/>
      </w:divBdr>
    </w:div>
    <w:div w:id="2052799253">
      <w:bodyDiv w:val="1"/>
      <w:marLeft w:val="0"/>
      <w:marRight w:val="0"/>
      <w:marTop w:val="0"/>
      <w:marBottom w:val="0"/>
      <w:divBdr>
        <w:top w:val="none" w:sz="0" w:space="0" w:color="auto"/>
        <w:left w:val="none" w:sz="0" w:space="0" w:color="auto"/>
        <w:bottom w:val="none" w:sz="0" w:space="0" w:color="auto"/>
        <w:right w:val="none" w:sz="0" w:space="0" w:color="auto"/>
      </w:divBdr>
    </w:div>
    <w:div w:id="206406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ndustry.gov.au/australian-space-agen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Response</TermName>
          <TermId xmlns="http://schemas.microsoft.com/office/infopath/2007/PartnerControls">7897ed89-a3ff-48a8-b822-42f8261dd490</TermId>
        </TermInfo>
      </Terms>
    </pe2555c81638466f9eb614edb9ecde52>
    <TaxCatchAll xmlns="498945f5-0448-4b4c-97d9-fcd4d7a5a1b1">
      <Value>1823</Value>
      <Value>112</Value>
      <Value>7</Value>
    </TaxCatchAll>
    <IconOverlay xmlns="http://schemas.microsoft.com/sharepoint/v4" xsi:nil="true"/>
    <g7bcb40ba23249a78edca7d43a67c1c9 xmlns="498945f5-0448-4b4c-97d9-fcd4d7a5a1b1">
      <Terms xmlns="http://schemas.microsoft.com/office/infopath/2007/PartnerControls"/>
    </g7bcb40ba23249a78edca7d43a67c1c9>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TermInfo xmlns="http://schemas.microsoft.com/office/infopath/2007/PartnerControls">
          <TermName xmlns="http://schemas.microsoft.com/office/infopath/2007/PartnerControls">HoR Inquiry</TermName>
          <TermId xmlns="http://schemas.microsoft.com/office/infopath/2007/PartnerControls">998b5c57-b170-46ec-add0-a87b94b389a7</TermId>
        </TermInfo>
      </Terms>
    </adb9bed2e36e4a93af574aeb444da63e>
    <DocHub_PDMSNumber xmlns="498945f5-0448-4b4c-97d9-fcd4d7a5a1b1">MS22-001878</DocHub_PDMSNumber>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614B328602D447B5B1F50047FDDD35" ma:contentTypeVersion="17" ma:contentTypeDescription="Create a new document." ma:contentTypeScope="" ma:versionID="cb32ea24e4396380f0f27a88df5864e0">
  <xsd:schema xmlns:xsd="http://www.w3.org/2001/XMLSchema" xmlns:xs="http://www.w3.org/2001/XMLSchema" xmlns:p="http://schemas.microsoft.com/office/2006/metadata/properties" xmlns:ns1="http://schemas.microsoft.com/sharepoint/v3" xmlns:ns2="498945f5-0448-4b4c-97d9-fcd4d7a5a1b1" xmlns:ns4="http://schemas.microsoft.com/sharepoint/v4" targetNamespace="http://schemas.microsoft.com/office/2006/metadata/properties" ma:root="true" ma:fieldsID="0fe8830c682099d9b238aae09b166ee5" ns1:_="" ns2:_="" ns4: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2:DocHub_PDMSNumber" minOccurs="0"/>
                <xsd:element ref="ns1:Comments" minOccurs="0"/>
                <xsd:element ref="ns2:h562caa41cd8435eb8b6f0bdc23e20a9" minOccurs="0"/>
                <xsd:element ref="ns2: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default=""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2" nillable="true" ma:displayName="PDMS Number" ma:description="Parliamentary Document Management System (PDMS) Reference Number" ma:internalName="DocHub_PDMSNumber">
      <xsd:simpleType>
        <xsd:restriction base="dms:Text"/>
      </xsd:simpleType>
    </xsd:element>
    <xsd:element name="h562caa41cd8435eb8b6f0bdc23e20a9" ma:index="24"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CC813-0CDB-4924-9153-2495D2C67722}">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sharepoint/v4"/>
    <ds:schemaRef ds:uri="http://schemas.microsoft.com/office/2006/documentManagement/types"/>
    <ds:schemaRef ds:uri="498945f5-0448-4b4c-97d9-fcd4d7a5a1b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432BD99-8027-4EF8-82CA-F6B5A06DA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24943-E550-421E-97B5-6692F99B35E2}">
  <ds:schemaRefs>
    <ds:schemaRef ds:uri="http://schemas.microsoft.com/sharepoint/events"/>
  </ds:schemaRefs>
</ds:datastoreItem>
</file>

<file path=customXml/itemProps4.xml><?xml version="1.0" encoding="utf-8"?>
<ds:datastoreItem xmlns:ds="http://schemas.openxmlformats.org/officeDocument/2006/customXml" ds:itemID="{563E3139-DC1C-4889-86E4-EDA1B2888BA7}">
  <ds:schemaRefs>
    <ds:schemaRef ds:uri="http://schemas.microsoft.com/sharepoint/v3/contenttype/forms"/>
  </ds:schemaRefs>
</ds:datastoreItem>
</file>

<file path=customXml/itemProps5.xml><?xml version="1.0" encoding="utf-8"?>
<ds:datastoreItem xmlns:ds="http://schemas.openxmlformats.org/officeDocument/2006/customXml" ds:itemID="{25C7358B-BCBF-4424-9A2F-08DD7ACF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6435</Words>
  <Characters>36680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2022-11-28T00:18:00Z</dcterms:created>
  <dcterms:modified xsi:type="dcterms:W3CDTF">2022-11-28T23:36:00Z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0x01010037614B328602D447B5B1F50047FDDD35</vt:lpwstr>
  </property>
  <property fmtid="{D5CDD505-2E9C-101B-9397-08002B2CF9AE}" pid="3" name="DocHub_Year">
    <vt:lpwstr/>
  </property>
  <property fmtid="{D5CDD505-2E9C-101B-9397-08002B2CF9AE}" pid="4" name="DocHub_DocumentType">
    <vt:lpwstr>112;#Response|7897ed89-a3ff-48a8-b822-42f8261dd490</vt:lpwstr>
  </property>
  <property fmtid="{D5CDD505-2E9C-101B-9397-08002B2CF9AE}" pid="5" name="DocHub_SecurityClassification">
    <vt:lpwstr>7;#OFFICIAL|6106d03b-a1a0-4e30-9d91-d5e9fb4314f9</vt:lpwstr>
  </property>
  <property fmtid="{D5CDD505-2E9C-101B-9397-08002B2CF9AE}" pid="6" name="DocHub_Keywords">
    <vt:lpwstr>1823;#HoR Inquiry|998b5c57-b170-46ec-add0-a87b94b389a7</vt:lpwstr>
  </property>
  <property fmtid="{D5CDD505-2E9C-101B-9397-08002B2CF9AE}" pid="7" name="DocHub_BriefingCorrespondenceType">
    <vt:lpwstr/>
  </property>
  <property fmtid="{D5CDD505-2E9C-101B-9397-08002B2CF9AE}" pid="8" name="DocHub_WorkActivity">
    <vt:lpwstr/>
  </property>
</Properties>
</file>