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2274E" w14:textId="7123AA8A" w:rsidR="00DB37E5" w:rsidRDefault="00106BC9">
      <w:pPr>
        <w:pStyle w:val="Heading1"/>
      </w:pPr>
      <w:bookmarkStart w:id="0" w:name="_Toc19289801"/>
      <w:r>
        <w:rPr>
          <w:noProof/>
        </w:rPr>
        <mc:AlternateContent>
          <mc:Choice Requires="wps">
            <w:drawing>
              <wp:anchor distT="0" distB="0" distL="114300" distR="114300" simplePos="0" relativeHeight="251660292" behindDoc="0" locked="0" layoutInCell="1" allowOverlap="1" wp14:anchorId="13787E5D" wp14:editId="005268D9">
                <wp:simplePos x="0" y="0"/>
                <wp:positionH relativeFrom="column">
                  <wp:posOffset>-897890</wp:posOffset>
                </wp:positionH>
                <wp:positionV relativeFrom="paragraph">
                  <wp:posOffset>9913620</wp:posOffset>
                </wp:positionV>
                <wp:extent cx="7540625" cy="635"/>
                <wp:effectExtent l="0" t="0" r="0" b="0"/>
                <wp:wrapNone/>
                <wp:docPr id="1092093247" name="Text Box 1"/>
                <wp:cNvGraphicFramePr/>
                <a:graphic xmlns:a="http://schemas.openxmlformats.org/drawingml/2006/main">
                  <a:graphicData uri="http://schemas.microsoft.com/office/word/2010/wordprocessingShape">
                    <wps:wsp>
                      <wps:cNvSpPr txBox="1"/>
                      <wps:spPr>
                        <a:xfrm>
                          <a:off x="0" y="0"/>
                          <a:ext cx="7540625" cy="635"/>
                        </a:xfrm>
                        <a:prstGeom prst="rect">
                          <a:avLst/>
                        </a:prstGeom>
                        <a:solidFill>
                          <a:prstClr val="white"/>
                        </a:solidFill>
                        <a:ln>
                          <a:noFill/>
                        </a:ln>
                      </wps:spPr>
                      <wps:txbx>
                        <w:txbxContent>
                          <w:p w14:paraId="23398712" w14:textId="4C48A9CA" w:rsidR="00106BC9" w:rsidRPr="00BF4251" w:rsidRDefault="00106BC9" w:rsidP="00106BC9">
                            <w:pPr>
                              <w:pStyle w:val="Caption"/>
                              <w:rPr>
                                <w:noProof/>
                                <w:color w:val="0B474D"/>
                                <w:sz w:val="72"/>
                              </w:rPr>
                            </w:pPr>
                            <w:r>
                              <w:t xml:space="preserve">Figure </w:t>
                            </w:r>
                            <w:r w:rsidR="002227C0">
                              <w:fldChar w:fldCharType="begin"/>
                            </w:r>
                            <w:r w:rsidR="002227C0">
                              <w:instrText xml:space="preserve"> SEQ Figure \* ARABIC </w:instrText>
                            </w:r>
                            <w:r w:rsidR="002227C0">
                              <w:fldChar w:fldCharType="separate"/>
                            </w:r>
                            <w:r w:rsidR="002227C0">
                              <w:rPr>
                                <w:noProof/>
                              </w:rPr>
                              <w:t>1</w:t>
                            </w:r>
                            <w:r w:rsidR="002227C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787E5D" id="_x0000_t202" coordsize="21600,21600" o:spt="202" path="m,l,21600r21600,l21600,xe">
                <v:stroke joinstyle="miter"/>
                <v:path gradientshapeok="t" o:connecttype="rect"/>
              </v:shapetype>
              <v:shape id="Text Box 1" o:spid="_x0000_s1026" type="#_x0000_t202" style="position:absolute;margin-left:-70.7pt;margin-top:780.6pt;width:593.75pt;height:.05pt;z-index:251660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" stroked="f">
                <v:textbox style="mso-fit-shape-to-text:t" inset="0,0,0,0">
                  <w:txbxContent>
                    <w:p w14:paraId="23398712" w14:textId="4C48A9CA" w:rsidR="00106BC9" w:rsidRPr="00BF4251" w:rsidRDefault="00106BC9" w:rsidP="00106BC9">
                      <w:pPr>
                        <w:pStyle w:val="Caption"/>
                        <w:rPr>
                          <w:noProof/>
                          <w:color w:val="0B474D"/>
                          <w:sz w:val="72"/>
                        </w:rPr>
                      </w:pPr>
                      <w:r>
                        <w:t xml:space="preserve">Figure </w:t>
                      </w:r>
                      <w:r w:rsidR="002227C0">
                        <w:fldChar w:fldCharType="begin"/>
                      </w:r>
                      <w:r w:rsidR="002227C0">
                        <w:instrText xml:space="preserve"> SEQ Figure \* ARABIC </w:instrText>
                      </w:r>
                      <w:r w:rsidR="002227C0">
                        <w:fldChar w:fldCharType="separate"/>
                      </w:r>
                      <w:r w:rsidR="002227C0">
                        <w:rPr>
                          <w:noProof/>
                        </w:rPr>
                        <w:t>1</w:t>
                      </w:r>
                      <w:r w:rsidR="002227C0">
                        <w:rPr>
                          <w:noProof/>
                        </w:rPr>
                        <w:fldChar w:fldCharType="end"/>
                      </w:r>
                    </w:p>
                  </w:txbxContent>
                </v:textbox>
              </v:shape>
            </w:pict>
          </mc:Fallback>
        </mc:AlternateContent>
      </w:r>
      <w:r w:rsidR="00CD3F39">
        <w:rPr>
          <w:noProof/>
        </w:rPr>
        <w:drawing>
          <wp:anchor distT="0" distB="0" distL="114300" distR="114300" simplePos="0" relativeHeight="251658240" behindDoc="0" locked="0" layoutInCell="1" allowOverlap="1" wp14:anchorId="755E1C0D" wp14:editId="0002F5A9">
            <wp:simplePos x="0" y="0"/>
            <wp:positionH relativeFrom="page">
              <wp:align>right</wp:align>
            </wp:positionH>
            <wp:positionV relativeFrom="page">
              <wp:align>top</wp:align>
            </wp:positionV>
            <wp:extent cx="7540625" cy="10666730"/>
            <wp:effectExtent l="0" t="0" r="3175" b="127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856345196"/>
          <w:placeholder>
            <w:docPart w:val="C7ABEE8D138F416582797B3DC541DC39"/>
          </w:placeholder>
          <w:dataBinding w:prefixMappings="xmlns:ns0='http://purl.org/dc/elements/1.1/' xmlns:ns1='http://schemas.openxmlformats.org/package/2006/metadata/core-properties' " w:xpath="/ns1:coreProperties[1]/ns0:title[1]" w:storeItemID="{6C3C8BC8-F283-45AE-878A-BAB7291924A1}"/>
          <w:text/>
        </w:sdtPr>
        <w:sdtEndPr/>
        <w:sdtContent>
          <w:r w:rsidR="00CD3F39">
            <w:t>Future Gas Strategy</w:t>
          </w:r>
        </w:sdtContent>
      </w:sdt>
      <w:r w:rsidR="00CD3F39">
        <w:t xml:space="preserve"> </w:t>
      </w:r>
    </w:p>
    <w:p w14:paraId="65DACDC0" w14:textId="2033A8FA" w:rsidR="00DB37E5" w:rsidRDefault="00CD3F39">
      <w:pPr>
        <w:pStyle w:val="Subtitle"/>
      </w:pPr>
      <w:r>
        <w:t>简介</w:t>
      </w:r>
    </w:p>
    <w:p w14:paraId="161426AE" w14:textId="7D0A056E" w:rsidR="00DB37E5" w:rsidRDefault="00C1435A">
      <w:r>
        <w:rPr>
          <w:rFonts w:hint="eastAsia"/>
          <w:noProof/>
          <w:lang w:eastAsia="ko-KR"/>
        </w:rPr>
        <mc:AlternateContent>
          <mc:Choice Requires="wps">
            <w:drawing>
              <wp:anchor distT="0" distB="0" distL="114300" distR="114300" simplePos="0" relativeHeight="251664388" behindDoc="0" locked="0" layoutInCell="1" allowOverlap="1" wp14:anchorId="3495C782" wp14:editId="6EFBB310">
                <wp:simplePos x="0" y="0"/>
                <wp:positionH relativeFrom="margin">
                  <wp:posOffset>-38279</wp:posOffset>
                </wp:positionH>
                <wp:positionV relativeFrom="paragraph">
                  <wp:posOffset>239395</wp:posOffset>
                </wp:positionV>
                <wp:extent cx="4964430" cy="2214880"/>
                <wp:effectExtent l="0" t="0" r="7620" b="0"/>
                <wp:wrapNone/>
                <wp:docPr id="730604117" name="Text Box 1"/>
                <wp:cNvGraphicFramePr/>
                <a:graphic xmlns:a="http://schemas.openxmlformats.org/drawingml/2006/main">
                  <a:graphicData uri="http://schemas.microsoft.com/office/word/2010/wordprocessingShape">
                    <wps:wsp>
                      <wps:cNvSpPr txBox="1"/>
                      <wps:spPr>
                        <a:xfrm>
                          <a:off x="0" y="0"/>
                          <a:ext cx="4964430" cy="2214880"/>
                        </a:xfrm>
                        <a:prstGeom prst="rect">
                          <a:avLst/>
                        </a:prstGeom>
                        <a:solidFill>
                          <a:srgbClr val="0B3E42"/>
                        </a:solidFill>
                        <a:ln w="6350">
                          <a:noFill/>
                        </a:ln>
                      </wps:spPr>
                      <wps:txbx>
                        <w:txbxContent>
                          <w:p w14:paraId="5CCCA4C6" w14:textId="77777777" w:rsidR="00C1435A" w:rsidRPr="008C50C2" w:rsidRDefault="00C1435A" w:rsidP="00C1435A">
                            <w:pPr>
                              <w:rPr>
                                <w:b/>
                                <w:bCs/>
                                <w:sz w:val="40"/>
                                <w:szCs w:val="40"/>
                              </w:rPr>
                            </w:pPr>
                            <w:r w:rsidRPr="008C50C2">
                              <w:rPr>
                                <w:rFonts w:hint="eastAsia"/>
                                <w:b/>
                                <w:bCs/>
                                <w:sz w:val="40"/>
                                <w:szCs w:val="40"/>
                              </w:rPr>
                              <w:t>未来天然气战略</w:t>
                            </w:r>
                          </w:p>
                          <w:p w14:paraId="31DA248F" w14:textId="77777777" w:rsidR="00C1435A" w:rsidRPr="008C50C2" w:rsidRDefault="00C1435A" w:rsidP="00C1435A">
                            <w:pPr>
                              <w:rPr>
                                <w:b/>
                                <w:bCs/>
                                <w:sz w:val="40"/>
                                <w:szCs w:val="40"/>
                              </w:rPr>
                            </w:pPr>
                            <w:r w:rsidRPr="008C50C2">
                              <w:rPr>
                                <w:rFonts w:hint="eastAsia"/>
                                <w:b/>
                                <w:bCs/>
                                <w:sz w:val="40"/>
                                <w:szCs w:val="40"/>
                              </w:rPr>
                              <w:t>简介</w:t>
                            </w:r>
                          </w:p>
                          <w:p w14:paraId="3793672B" w14:textId="77777777" w:rsidR="00C1435A" w:rsidRPr="00C1435A" w:rsidRDefault="00C1435A" w:rsidP="00C1435A">
                            <w:pPr>
                              <w:pStyle w:val="KOR-cover"/>
                              <w:rPr>
                                <w:rFonts w:ascii="Aptos" w:hAnsi="Aptos"/>
                                <w:b w:val="0"/>
                                <w:bCs w:val="0"/>
                                <w:sz w:val="48"/>
                                <w:szCs w:val="22"/>
                                <w:lang w:eastAsia="ko-KR"/>
                              </w:rPr>
                            </w:pPr>
                            <w:r w:rsidRPr="00C1435A">
                              <w:rPr>
                                <w:rFonts w:ascii="Aptos" w:hAnsi="Aptos"/>
                                <w:b w:val="0"/>
                                <w:bCs w:val="0"/>
                                <w:sz w:val="48"/>
                                <w:szCs w:val="22"/>
                              </w:rPr>
                              <w:t>(Future Gas Strategy in Brief)</w:t>
                            </w:r>
                          </w:p>
                          <w:p w14:paraId="2CE9BD0E" w14:textId="77777777" w:rsidR="00C1435A" w:rsidRDefault="00C1435A" w:rsidP="00C1435A">
                            <w:pPr>
                              <w:pStyle w:val="KOR-cover"/>
                              <w:rPr>
                                <w:color w:val="E5FD8C" w:themeColor="accent5"/>
                                <w:sz w:val="44"/>
                                <w:szCs w:val="20"/>
                              </w:rPr>
                            </w:pPr>
                          </w:p>
                          <w:p w14:paraId="52B45413" w14:textId="77777777" w:rsidR="00C1435A" w:rsidRPr="00C1435A" w:rsidRDefault="00C1435A" w:rsidP="00C1435A">
                            <w:pPr>
                              <w:rPr>
                                <w:b/>
                                <w:bCs/>
                                <w:color w:val="E5FD8C" w:themeColor="accent5"/>
                                <w:sz w:val="40"/>
                                <w:szCs w:val="40"/>
                              </w:rPr>
                            </w:pPr>
                            <w:r w:rsidRPr="00C1435A">
                              <w:rPr>
                                <w:rFonts w:hint="eastAsia"/>
                                <w:b/>
                                <w:bCs/>
                                <w:color w:val="E5FD8C" w:themeColor="accent5"/>
                                <w:sz w:val="40"/>
                                <w:szCs w:val="40"/>
                              </w:rPr>
                              <w:t>2024</w:t>
                            </w:r>
                            <w:r w:rsidRPr="00C1435A">
                              <w:rPr>
                                <w:rFonts w:hint="eastAsia"/>
                                <w:b/>
                                <w:bCs/>
                                <w:color w:val="E5FD8C" w:themeColor="accent5"/>
                                <w:sz w:val="40"/>
                                <w:szCs w:val="40"/>
                              </w:rPr>
                              <w:t>年</w:t>
                            </w:r>
                            <w:r w:rsidRPr="00C1435A">
                              <w:rPr>
                                <w:rFonts w:hint="eastAsia"/>
                                <w:b/>
                                <w:bCs/>
                                <w:color w:val="E5FD8C" w:themeColor="accent5"/>
                                <w:sz w:val="40"/>
                                <w:szCs w:val="40"/>
                              </w:rPr>
                              <w:t>5</w:t>
                            </w:r>
                            <w:r w:rsidRPr="00C1435A">
                              <w:rPr>
                                <w:rFonts w:hint="eastAsia"/>
                                <w:b/>
                                <w:bCs/>
                                <w:color w:val="E5FD8C" w:themeColor="accent5"/>
                                <w:sz w:val="40"/>
                                <w:szCs w:val="40"/>
                              </w:rPr>
                              <w:t>月</w:t>
                            </w:r>
                          </w:p>
                          <w:p w14:paraId="1E069329" w14:textId="67195A91" w:rsidR="00C1435A" w:rsidRPr="00950306" w:rsidRDefault="00C1435A" w:rsidP="00C1435A">
                            <w:pPr>
                              <w:pStyle w:val="KOR-cover"/>
                              <w:rPr>
                                <w:color w:val="E5FD8C" w:themeColor="accent5"/>
                                <w:sz w:val="40"/>
                                <w:szCs w:val="1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5C782" id="_x0000_s1027" type="#_x0000_t202" style="position:absolute;margin-left:-3pt;margin-top:18.85pt;width:390.9pt;height:174.4pt;z-index:251664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" fillcolor="#0b3e42" stroked="f" strokeweight=".5pt">
                <v:textbox>
                  <w:txbxContent>
                    <w:p w14:paraId="5CCCA4C6" w14:textId="77777777" w:rsidR="00C1435A" w:rsidRPr="008C50C2" w:rsidRDefault="00C1435A" w:rsidP="00C1435A">
                      <w:pPr>
                        <w:rPr>
                          <w:b/>
                          <w:bCs/>
                          <w:sz w:val="40"/>
                          <w:szCs w:val="40"/>
                        </w:rPr>
                      </w:pPr>
                      <w:r w:rsidRPr="008C50C2">
                        <w:rPr>
                          <w:rFonts w:hint="eastAsia"/>
                          <w:b/>
                          <w:bCs/>
                          <w:sz w:val="40"/>
                          <w:szCs w:val="40"/>
                        </w:rPr>
                        <w:t>未来天然气战略</w:t>
                      </w:r>
                    </w:p>
                    <w:p w14:paraId="31DA248F" w14:textId="77777777" w:rsidR="00C1435A" w:rsidRPr="008C50C2" w:rsidRDefault="00C1435A" w:rsidP="00C1435A">
                      <w:pPr>
                        <w:rPr>
                          <w:b/>
                          <w:bCs/>
                          <w:sz w:val="40"/>
                          <w:szCs w:val="40"/>
                        </w:rPr>
                      </w:pPr>
                      <w:r w:rsidRPr="008C50C2">
                        <w:rPr>
                          <w:rFonts w:hint="eastAsia"/>
                          <w:b/>
                          <w:bCs/>
                          <w:sz w:val="40"/>
                          <w:szCs w:val="40"/>
                        </w:rPr>
                        <w:t>简介</w:t>
                      </w:r>
                    </w:p>
                    <w:p w14:paraId="3793672B" w14:textId="77777777" w:rsidR="00C1435A" w:rsidRPr="00C1435A" w:rsidRDefault="00C1435A" w:rsidP="00C1435A">
                      <w:pPr>
                        <w:pStyle w:val="KOR-cover"/>
                        <w:rPr>
                          <w:rFonts w:ascii="Aptos" w:hAnsi="Aptos"/>
                          <w:b w:val="0"/>
                          <w:bCs w:val="0"/>
                          <w:sz w:val="48"/>
                          <w:szCs w:val="22"/>
                          <w:lang w:eastAsia="ko-KR"/>
                        </w:rPr>
                      </w:pPr>
                      <w:r w:rsidRPr="00C1435A">
                        <w:rPr>
                          <w:rFonts w:ascii="Aptos" w:hAnsi="Aptos"/>
                          <w:b w:val="0"/>
                          <w:bCs w:val="0"/>
                          <w:sz w:val="48"/>
                          <w:szCs w:val="22"/>
                        </w:rPr>
                        <w:t>(Future Gas Strategy in Brief)</w:t>
                      </w:r>
                    </w:p>
                    <w:p w14:paraId="2CE9BD0E" w14:textId="77777777" w:rsidR="00C1435A" w:rsidRDefault="00C1435A" w:rsidP="00C1435A">
                      <w:pPr>
                        <w:pStyle w:val="KOR-cover"/>
                        <w:rPr>
                          <w:color w:val="E5FD8C" w:themeColor="accent5"/>
                          <w:sz w:val="44"/>
                          <w:szCs w:val="20"/>
                        </w:rPr>
                      </w:pPr>
                    </w:p>
                    <w:p w14:paraId="52B45413" w14:textId="77777777" w:rsidR="00C1435A" w:rsidRPr="00C1435A" w:rsidRDefault="00C1435A" w:rsidP="00C1435A">
                      <w:pPr>
                        <w:rPr>
                          <w:b/>
                          <w:bCs/>
                          <w:color w:val="E5FD8C" w:themeColor="accent5"/>
                          <w:sz w:val="40"/>
                          <w:szCs w:val="40"/>
                        </w:rPr>
                      </w:pPr>
                      <w:r w:rsidRPr="00C1435A">
                        <w:rPr>
                          <w:rFonts w:hint="eastAsia"/>
                          <w:b/>
                          <w:bCs/>
                          <w:color w:val="E5FD8C" w:themeColor="accent5"/>
                          <w:sz w:val="40"/>
                          <w:szCs w:val="40"/>
                        </w:rPr>
                        <w:t>2024</w:t>
                      </w:r>
                      <w:r w:rsidRPr="00C1435A">
                        <w:rPr>
                          <w:rFonts w:hint="eastAsia"/>
                          <w:b/>
                          <w:bCs/>
                          <w:color w:val="E5FD8C" w:themeColor="accent5"/>
                          <w:sz w:val="40"/>
                          <w:szCs w:val="40"/>
                        </w:rPr>
                        <w:t>年</w:t>
                      </w:r>
                      <w:r w:rsidRPr="00C1435A">
                        <w:rPr>
                          <w:rFonts w:hint="eastAsia"/>
                          <w:b/>
                          <w:bCs/>
                          <w:color w:val="E5FD8C" w:themeColor="accent5"/>
                          <w:sz w:val="40"/>
                          <w:szCs w:val="40"/>
                        </w:rPr>
                        <w:t>5</w:t>
                      </w:r>
                      <w:r w:rsidRPr="00C1435A">
                        <w:rPr>
                          <w:rFonts w:hint="eastAsia"/>
                          <w:b/>
                          <w:bCs/>
                          <w:color w:val="E5FD8C" w:themeColor="accent5"/>
                          <w:sz w:val="40"/>
                          <w:szCs w:val="40"/>
                        </w:rPr>
                        <w:t>月</w:t>
                      </w:r>
                    </w:p>
                    <w:p w14:paraId="1E069329" w14:textId="67195A91" w:rsidR="00C1435A" w:rsidRPr="00950306" w:rsidRDefault="00C1435A" w:rsidP="00C1435A">
                      <w:pPr>
                        <w:pStyle w:val="KOR-cover"/>
                        <w:rPr>
                          <w:color w:val="E5FD8C" w:themeColor="accent5"/>
                          <w:sz w:val="40"/>
                          <w:szCs w:val="18"/>
                          <w:lang w:eastAsia="ko-KR"/>
                        </w:rPr>
                      </w:pPr>
                    </w:p>
                  </w:txbxContent>
                </v:textbox>
                <w10:wrap anchorx="margin"/>
              </v:shape>
            </w:pict>
          </mc:Fallback>
        </mc:AlternateContent>
      </w:r>
      <w:r w:rsidR="00CD3F39">
        <w:t>2024</w:t>
      </w:r>
      <w:r w:rsidR="00CD3F39">
        <w:t>年</w:t>
      </w:r>
      <w:r w:rsidR="00CD3F39">
        <w:t>5</w:t>
      </w:r>
      <w:r w:rsidR="00CD3F39">
        <w:t>月</w:t>
      </w:r>
    </w:p>
    <w:p w14:paraId="403092FE" w14:textId="5C2B1D25" w:rsidR="00DB37E5" w:rsidRDefault="00CD3F39">
      <w:pPr>
        <w:pStyle w:val="Footer"/>
        <w:spacing w:before="480" w:after="480"/>
      </w:pPr>
      <w:r>
        <w:br w:type="page"/>
      </w:r>
    </w:p>
    <w:bookmarkStart w:id="1" w:name="_Toc144911604" w:displacedByCustomXml="next"/>
    <w:bookmarkStart w:id="2" w:name="_Toc155191311" w:displacedByCustomXml="next"/>
    <w:sdt>
      <w:sdtPr>
        <w:rPr>
          <w:rFonts w:asciiTheme="minorHAnsi" w:eastAsiaTheme="minorHAnsi" w:hAnsiTheme="minorHAnsi" w:cstheme="minorBidi"/>
          <w:color w:val="auto"/>
          <w:sz w:val="22"/>
          <w:highlight w:val="yellow"/>
        </w:rPr>
        <w:id w:val="-2088995269"/>
        <w:docPartObj>
          <w:docPartGallery w:val="Cover Pages"/>
          <w:docPartUnique/>
        </w:docPartObj>
      </w:sdtPr>
      <w:sdtEndPr>
        <w:rPr>
          <w:rFonts w:eastAsiaTheme="minorEastAsia"/>
          <w:sz w:val="20"/>
        </w:rPr>
      </w:sdtEndPr>
      <w:sdtContent>
        <w:bookmarkEnd w:id="2" w:displacedByCustomXml="prev"/>
        <w:bookmarkEnd w:id="1" w:displacedByCustomXml="prev"/>
        <w:bookmarkEnd w:id="0" w:displacedByCustomXml="prev"/>
        <w:bookmarkStart w:id="3" w:name="_Toc155191312" w:displacedByCustomXml="prev"/>
        <w:bookmarkStart w:id="4" w:name="_Toc144911605" w:displacedByCustomXml="prev"/>
        <w:bookmarkStart w:id="5" w:name="_Toc19289802" w:displacedByCustomXml="prev"/>
        <w:bookmarkStart w:id="6" w:name="_Toc19023739" w:displacedByCustomXml="prev"/>
        <w:bookmarkStart w:id="7" w:name="_Hlk158040788" w:displacedByCustomXml="prev"/>
        <w:p w14:paraId="0B9E26E3" w14:textId="755381CA" w:rsidR="00DB37E5" w:rsidRDefault="00CD3F39">
          <w:pPr>
            <w:pStyle w:val="Heading2"/>
          </w:pPr>
          <w:r>
            <w:t>版权</w:t>
          </w:r>
          <w:bookmarkEnd w:id="6"/>
          <w:bookmarkEnd w:id="5"/>
          <w:bookmarkEnd w:id="4"/>
          <w:bookmarkEnd w:id="3"/>
        </w:p>
        <w:p w14:paraId="4D468CD5" w14:textId="74CB5F17" w:rsidR="00DB37E5" w:rsidRDefault="00CD3F39">
          <w:pPr>
            <w:rPr>
              <w:rStyle w:val="Strong"/>
            </w:rPr>
          </w:pPr>
          <w:r>
            <w:rPr>
              <w:rStyle w:val="Strong"/>
            </w:rPr>
            <w:t>©</w:t>
          </w:r>
          <w:r>
            <w:rPr>
              <w:rStyle w:val="Strong"/>
            </w:rPr>
            <w:t>澳大利亚联邦</w:t>
          </w:r>
          <w:r w:rsidR="006E212D">
            <w:rPr>
              <w:rStyle w:val="Strong"/>
              <w:rFonts w:hint="eastAsia"/>
            </w:rPr>
            <w:t xml:space="preserve"> </w:t>
          </w:r>
          <w:r>
            <w:rPr>
              <w:rStyle w:val="Strong"/>
            </w:rPr>
            <w:t>2024</w:t>
          </w:r>
        </w:p>
        <w:p w14:paraId="2695B454" w14:textId="63BE50FF" w:rsidR="00DB37E5" w:rsidRDefault="00CD3F39">
          <w:pPr>
            <w:rPr>
              <w:rStyle w:val="Strong"/>
            </w:rPr>
          </w:pPr>
          <w:r>
            <w:rPr>
              <w:rStyle w:val="Strong"/>
            </w:rPr>
            <w:t>知识产权</w:t>
          </w:r>
        </w:p>
        <w:p w14:paraId="5833B209" w14:textId="17362905" w:rsidR="00DB37E5" w:rsidRDefault="00CD3F39">
          <w:r>
            <w:t>除非另有说明，本出版物的版权（以及任何其他知识产权，如有的话）归澳大利亚联邦所有。</w:t>
          </w:r>
        </w:p>
        <w:p w14:paraId="5241F3F6" w14:textId="77777777" w:rsidR="00DB37E5" w:rsidRDefault="00CD3F39">
          <w:pPr>
            <w:pStyle w:val="Caption"/>
            <w:rPr>
              <w:rStyle w:val="Strong"/>
            </w:rPr>
          </w:pPr>
          <w:r>
            <w:rPr>
              <w:noProof/>
            </w:rPr>
            <w:drawing>
              <wp:inline distT="0" distB="0" distL="0" distR="0" wp14:anchorId="7859883C" wp14:editId="1DCC5D76">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47390566" w14:textId="77777777" w:rsidR="00DB37E5" w:rsidRDefault="002227C0">
          <w:pPr>
            <w:rPr>
              <w:rStyle w:val="Strong"/>
            </w:rPr>
          </w:pPr>
          <w:hyperlink r:id="rId14" w:history="1">
            <w:r w:rsidR="00CD3F39">
              <w:rPr>
                <w:rStyle w:val="Hyperlink"/>
                <w:b/>
              </w:rPr>
              <w:t>知识共享署名</w:t>
            </w:r>
            <w:r w:rsidR="00CD3F39">
              <w:rPr>
                <w:rStyle w:val="Hyperlink"/>
                <w:b/>
              </w:rPr>
              <w:t>4.0</w:t>
            </w:r>
            <w:r w:rsidR="00CD3F39">
              <w:rPr>
                <w:rStyle w:val="Hyperlink"/>
                <w:b/>
              </w:rPr>
              <w:t>国际许可</w:t>
            </w:r>
            <w:r w:rsidR="00CD3F39">
              <w:rPr>
                <w:rStyle w:val="Hyperlink"/>
                <w:b/>
              </w:rPr>
              <w:t>CC BY 4.0</w:t>
            </w:r>
          </w:hyperlink>
        </w:p>
        <w:p w14:paraId="7190FC82" w14:textId="77777777" w:rsidR="00DB37E5" w:rsidRDefault="00CD3F39">
          <w:r>
            <w:t>本出版物中的所有材料均根据知识共享署名</w:t>
          </w:r>
          <w:r>
            <w:t>4.0</w:t>
          </w:r>
          <w:r>
            <w:t>国际许可证获得许可，但以下材料除外：</w:t>
          </w:r>
        </w:p>
        <w:p w14:paraId="6233FAFD" w14:textId="77777777" w:rsidR="00DB37E5" w:rsidRDefault="00CD3F39">
          <w:pPr>
            <w:pStyle w:val="ListParagraph"/>
          </w:pPr>
          <w:r>
            <w:t>澳大利亚联邦国徽</w:t>
          </w:r>
        </w:p>
        <w:p w14:paraId="7F30AE2C" w14:textId="77777777" w:rsidR="00DB37E5" w:rsidRDefault="00CD3F39">
          <w:pPr>
            <w:pStyle w:val="ListParagraph"/>
          </w:pPr>
          <w:r>
            <w:t>第三方提供的内容</w:t>
          </w:r>
        </w:p>
        <w:p w14:paraId="0996CE44" w14:textId="77777777" w:rsidR="00DB37E5" w:rsidRDefault="00CD3F39">
          <w:pPr>
            <w:pStyle w:val="ListParagraph"/>
          </w:pPr>
          <w:r>
            <w:t>徽标</w:t>
          </w:r>
        </w:p>
        <w:p w14:paraId="7973B8FA" w14:textId="77777777" w:rsidR="00DB37E5" w:rsidRDefault="00CD3F39">
          <w:pPr>
            <w:pStyle w:val="ListParagraph"/>
          </w:pPr>
          <w:r>
            <w:t>受商标保护或以其他方式在本出版物中注明的任何材料。</w:t>
          </w:r>
        </w:p>
        <w:p w14:paraId="678C4A73" w14:textId="77777777" w:rsidR="00DB37E5" w:rsidRDefault="00CD3F39">
          <w:r>
            <w:t>知识共享署名</w:t>
          </w:r>
          <w:r>
            <w:t>4.0</w:t>
          </w:r>
          <w:r>
            <w:t>国际许可是一种标准形式的许可协议，允许您复制、分发、传输和改编本出版物，前提是您对作品进行署名。</w:t>
          </w:r>
          <w:r>
            <w:t xml:space="preserve"> </w:t>
          </w:r>
          <w:r>
            <w:t>许可条款摘要可从</w:t>
          </w:r>
          <w:r>
            <w:t xml:space="preserve">https://creativecommons.org/licenses/by/4 </w:t>
          </w:r>
          <w:hyperlink r:id="rId15" w:history="1">
            <w:r>
              <w:rPr>
                <w:rStyle w:val="Hyperlink"/>
              </w:rPr>
              <w:t>.0/</w:t>
            </w:r>
          </w:hyperlink>
          <w:r>
            <w:t>获得。</w:t>
          </w:r>
          <w:r>
            <w:t xml:space="preserve"> </w:t>
          </w:r>
          <w:r>
            <w:t>完整的许可条款可从</w:t>
          </w:r>
          <w:r>
            <w:t xml:space="preserve">https://creativecommons.org/licenses/by/4 </w:t>
          </w:r>
          <w:hyperlink r:id="rId16" w:history="1">
            <w:r>
              <w:rPr>
                <w:rStyle w:val="Hyperlink"/>
              </w:rPr>
              <w:t>.0/</w:t>
            </w:r>
            <w:proofErr w:type="spellStart"/>
            <w:r>
              <w:rPr>
                <w:rStyle w:val="Hyperlink"/>
              </w:rPr>
              <w:t>legalcode</w:t>
            </w:r>
            <w:proofErr w:type="spellEnd"/>
            <w:r>
              <w:rPr>
                <w:rStyle w:val="Hyperlink"/>
              </w:rPr>
              <w:t>获得</w:t>
            </w:r>
          </w:hyperlink>
          <w:r>
            <w:t>。</w:t>
          </w:r>
        </w:p>
        <w:p w14:paraId="0C1112E5" w14:textId="42C3AC7B" w:rsidR="00DB37E5" w:rsidRDefault="000C348A">
          <w:r>
            <w:rPr>
              <w:rFonts w:hint="eastAsia"/>
            </w:rPr>
            <w:t>本文件</w:t>
          </w:r>
          <w:r w:rsidR="00CD3F39">
            <w:t>包含的内容来自</w:t>
          </w:r>
          <w:r w:rsidR="00CD3F39">
            <w:rPr>
              <w:i/>
            </w:rPr>
            <w:t xml:space="preserve"> </w:t>
          </w:r>
          <w:r w:rsidR="00CD3F39">
            <w:rPr>
              <w:i/>
            </w:rPr>
            <w:t>澳大利亚政府工业、科学和资源部《未来天然气战略简介</w:t>
          </w:r>
          <w:r w:rsidR="00CD3F39">
            <w:rPr>
              <w:i/>
            </w:rPr>
            <w:t xml:space="preserve"> </w:t>
          </w:r>
          <w:r w:rsidR="00CD3F39">
            <w:rPr>
              <w:i/>
            </w:rPr>
            <w:t>》</w:t>
          </w:r>
          <w:r w:rsidR="00CD3F39">
            <w:t>。</w:t>
          </w:r>
        </w:p>
        <w:p w14:paraId="060E8B00" w14:textId="67E699BA" w:rsidR="00DB37E5" w:rsidRDefault="00CD3F39">
          <w:r>
            <w:t>本声明将澳大利亚联邦徽章、受商标保护或以其他方式在出版物中注明的任何徽标和任何材料排除在知识共享许可证的</w:t>
          </w:r>
          <w:r w:rsidR="00B808D8">
            <w:rPr>
              <w:rFonts w:hint="eastAsia"/>
            </w:rPr>
            <w:t>应用</w:t>
          </w:r>
          <w:r>
            <w:t>之外。</w:t>
          </w:r>
          <w:r>
            <w:t xml:space="preserve"> </w:t>
          </w:r>
          <w:r>
            <w:t>这些都是澳大利亚联邦不能或通常不会许可他人使用的财产形式。</w:t>
          </w:r>
        </w:p>
        <w:p w14:paraId="05DD2F8B" w14:textId="77777777" w:rsidR="00DB37E5" w:rsidRPr="006E212D" w:rsidRDefault="00CD3F39">
          <w:pPr>
            <w:pStyle w:val="Heading2"/>
            <w:rPr>
              <w:rFonts w:asciiTheme="minorEastAsia" w:eastAsiaTheme="minorEastAsia" w:hAnsiTheme="minorEastAsia"/>
              <w:sz w:val="32"/>
              <w:szCs w:val="32"/>
            </w:rPr>
          </w:pPr>
          <w:r w:rsidRPr="006E212D">
            <w:rPr>
              <w:rFonts w:asciiTheme="minorEastAsia" w:eastAsiaTheme="minorEastAsia" w:hAnsiTheme="minorEastAsia"/>
              <w:sz w:val="32"/>
              <w:szCs w:val="32"/>
            </w:rPr>
            <w:t>承认原住民国家</w:t>
          </w:r>
        </w:p>
        <w:p w14:paraId="11758FF6" w14:textId="77777777" w:rsidR="00DB37E5" w:rsidRDefault="00CD3F39">
          <w:r>
            <w:t>本战略是在原住民和托雷斯海峡岛民土地上制定的。</w:t>
          </w:r>
          <w:r>
            <w:t xml:space="preserve"> </w:t>
          </w:r>
          <w:r>
            <w:t>政府承认并尊重澳大利亚各地的所有原住民，他们是土地和水域的传统监护人，是地球上最古老的持续存在的文化。</w:t>
          </w:r>
          <w:r>
            <w:t xml:space="preserve"> </w:t>
          </w:r>
        </w:p>
        <w:p w14:paraId="66208723" w14:textId="1D859539" w:rsidR="00DB37E5" w:rsidRDefault="00CD3F39">
          <w:r>
            <w:t>我们向过去和现在的长老致敬。</w:t>
          </w:r>
          <w:r>
            <w:t xml:space="preserve"> </w:t>
          </w:r>
          <w:r>
            <w:t>政府致力于加强原住民的参与，并高度重视原住民在未来天然气战略公众</w:t>
          </w:r>
          <w:r w:rsidR="00FC07C7">
            <w:rPr>
              <w:rFonts w:hint="eastAsia"/>
            </w:rPr>
            <w:t>意见</w:t>
          </w:r>
          <w:r w:rsidR="00141DAA">
            <w:rPr>
              <w:rFonts w:hint="eastAsia"/>
            </w:rPr>
            <w:t>征询</w:t>
          </w:r>
          <w:r>
            <w:t>过程中分享的见解和观点。</w:t>
          </w:r>
        </w:p>
        <w:p w14:paraId="08ED4174" w14:textId="77777777" w:rsidR="00DB37E5" w:rsidRDefault="00CD3F39">
          <w:r>
            <w:t>我们感谢原住民对我们今天生活和工作的国家的持续监护。</w:t>
          </w:r>
        </w:p>
        <w:p w14:paraId="67665682" w14:textId="77777777" w:rsidR="00DB37E5" w:rsidRDefault="00DB37E5"/>
        <w:p w14:paraId="6452D307" w14:textId="5FF830D3" w:rsidR="00DB37E5" w:rsidRDefault="00DB37E5">
          <w:pPr>
            <w:sectPr w:rsidR="00DB37E5" w:rsidSect="008C776C">
              <w:footerReference w:type="default" r:id="rId17"/>
              <w:pgSz w:w="11906" w:h="16838"/>
              <w:pgMar w:top="1276" w:right="1440" w:bottom="1440" w:left="1440" w:header="851" w:footer="708" w:gutter="0"/>
              <w:pgNumType w:start="1"/>
              <w:cols w:space="708"/>
              <w:docGrid w:linePitch="360"/>
            </w:sectPr>
          </w:pPr>
        </w:p>
        <w:p w14:paraId="19525A97" w14:textId="77777777" w:rsidR="00DB37E5" w:rsidRDefault="002227C0">
          <w:pPr>
            <w:rPr>
              <w:highlight w:val="yellow"/>
            </w:rPr>
          </w:pPr>
        </w:p>
      </w:sdtContent>
    </w:sdt>
    <w:bookmarkStart w:id="8" w:name="_Toc144911609" w:displacedByCustomXml="prev"/>
    <w:bookmarkStart w:id="9" w:name="_Toc155176737" w:displacedByCustomXml="prev"/>
    <w:bookmarkStart w:id="10" w:name="_Toc155191316" w:displacedByCustomXml="prev"/>
    <w:bookmarkStart w:id="11" w:name="_Hlk158040826" w:displacedByCustomXml="prev"/>
    <w:bookmarkStart w:id="12" w:name="_Toc19023741" w:displacedByCustomXml="prev"/>
    <w:p w14:paraId="150CC106" w14:textId="1B72AC8D" w:rsidR="00DB37E5" w:rsidRDefault="00CD3F39">
      <w:pPr>
        <w:pStyle w:val="Heading2"/>
        <w:rPr>
          <w:highlight w:val="yellow"/>
        </w:rPr>
      </w:pPr>
      <w:r>
        <w:t>部长致辞</w:t>
      </w:r>
    </w:p>
    <w:p w14:paraId="52085885" w14:textId="2EE5C39C" w:rsidR="00DB37E5" w:rsidRDefault="00CD3F39">
      <w:pPr>
        <w:pStyle w:val="Highlightsentence"/>
      </w:pPr>
      <w:bookmarkStart w:id="13" w:name="_Toc144911610"/>
      <w:bookmarkEnd w:id="10"/>
      <w:bookmarkEnd w:id="9"/>
      <w:bookmarkEnd w:id="8"/>
      <w:r>
        <w:rPr>
          <w:noProof/>
        </w:rPr>
        <w:drawing>
          <wp:anchor distT="0" distB="0" distL="114300" distR="114300" simplePos="0" relativeHeight="251658244" behindDoc="0" locked="0" layoutInCell="1" allowOverlap="1" wp14:anchorId="7EAEF6D8" wp14:editId="1954EF65">
            <wp:simplePos x="0" y="0"/>
            <wp:positionH relativeFrom="column">
              <wp:posOffset>4292600</wp:posOffset>
            </wp:positionH>
            <wp:positionV relativeFrom="paragraph">
              <wp:posOffset>127000</wp:posOffset>
            </wp:positionV>
            <wp:extent cx="1362075" cy="1445260"/>
            <wp:effectExtent l="0" t="0" r="9525" b="2540"/>
            <wp:wrapSquare wrapText="bothSides"/>
            <wp:docPr id="3" name="Picture 3" descr="Portrait of The Hon Madeleine King MP, Minister for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of The Hon Madeleine King MP, Minister for Resources. "/>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62075"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t>天然气在澳大利亚经济中起着至关重要的作用。</w:t>
      </w:r>
      <w:r>
        <w:rPr>
          <w:rFonts w:eastAsia="Times New Roman"/>
        </w:rPr>
        <w:t xml:space="preserve"> </w:t>
      </w:r>
    </w:p>
    <w:p w14:paraId="742BE092" w14:textId="23F07969" w:rsidR="00DB37E5" w:rsidRDefault="00CD3F39">
      <w:r>
        <w:t>天然气是澳大利亚未来的重要组成部分，因为它将使我们能够在净零世界中成功参与全球就业和</w:t>
      </w:r>
      <w:r w:rsidRPr="0090791F">
        <w:t>机遇竞争</w:t>
      </w:r>
      <w:r>
        <w:t>。全球向清洁能源的</w:t>
      </w:r>
      <w:r w:rsidR="00E2510C">
        <w:rPr>
          <w:rFonts w:hint="eastAsia"/>
        </w:rPr>
        <w:t>转型</w:t>
      </w:r>
      <w:r>
        <w:t>是澳大利亚增长</w:t>
      </w:r>
      <w:r w:rsidR="001F1C6A" w:rsidRPr="001F1C6A">
        <w:rPr>
          <w:rFonts w:hint="eastAsia"/>
        </w:rPr>
        <w:t>与</w:t>
      </w:r>
      <w:r>
        <w:t>繁荣的最大机遇。</w:t>
      </w:r>
    </w:p>
    <w:p w14:paraId="525325E4" w14:textId="28BA6EFF" w:rsidR="00DB37E5" w:rsidRDefault="00CD3F39">
      <w:r>
        <w:t>在过去的一年里，本部对天然气的未来进行了严格的研究、建模和分析。这项工作经过了广泛的</w:t>
      </w:r>
      <w:r w:rsidR="00FC07C7">
        <w:rPr>
          <w:rFonts w:hint="eastAsia"/>
        </w:rPr>
        <w:t>意见</w:t>
      </w:r>
      <w:r w:rsidR="00E40472">
        <w:rPr>
          <w:rFonts w:hint="eastAsia"/>
        </w:rPr>
        <w:t>征询</w:t>
      </w:r>
      <w:r>
        <w:t>和同行评审。我很荣幸</w:t>
      </w:r>
      <w:r w:rsidR="009E624E">
        <w:rPr>
          <w:rFonts w:hint="eastAsia"/>
        </w:rPr>
        <w:t>地</w:t>
      </w:r>
      <w:r>
        <w:t>将这项工作与本战略一起发布于一份全面的分析报告中。</w:t>
      </w:r>
    </w:p>
    <w:p w14:paraId="5AE1888C" w14:textId="131E7568" w:rsidR="00DB37E5" w:rsidRDefault="008E5BCB">
      <w:r>
        <w:rPr>
          <w:rFonts w:hint="eastAsia"/>
        </w:rPr>
        <w:t>研究</w:t>
      </w:r>
      <w:r w:rsidR="00CD3F39">
        <w:t>结果是显而易见的。</w:t>
      </w:r>
      <w:r w:rsidR="00CD3F39">
        <w:t xml:space="preserve"> </w:t>
      </w:r>
      <w:r w:rsidR="00CD3F39">
        <w:t>在所有可信的净零排放的</w:t>
      </w:r>
      <w:r w:rsidR="00351AF9">
        <w:rPr>
          <w:rFonts w:hint="eastAsia"/>
        </w:rPr>
        <w:t>情景</w:t>
      </w:r>
      <w:r w:rsidR="00CD3F39">
        <w:t>下，</w:t>
      </w:r>
      <w:r w:rsidR="00CD3F39">
        <w:t xml:space="preserve">2050 </w:t>
      </w:r>
      <w:r w:rsidR="00CD3F39">
        <w:t>年及以后都需要天然气，尽管在此期间天然气的生产和使用会发生变化。天然气对于过渡转型至关重要，因为我们的能源系统需要天然气来实现净零排放。天然气将是一种过渡性燃料，</w:t>
      </w:r>
      <w:r w:rsidR="00CB2451">
        <w:rPr>
          <w:rFonts w:hint="eastAsia"/>
        </w:rPr>
        <w:t>其</w:t>
      </w:r>
      <w:r w:rsidR="00CD3F39">
        <w:t>可巩固可再生能源发电的地位，在替代性能源切实可行之前，制造业和矿产加工业也需要天然气。天然气可以为我们澳大利亚的</w:t>
      </w:r>
      <w:r w:rsidR="00A30EEE">
        <w:rPr>
          <w:rFonts w:hint="eastAsia"/>
        </w:rPr>
        <w:t>《</w:t>
      </w:r>
      <w:r w:rsidR="00CD3F39">
        <w:t>未来</w:t>
      </w:r>
      <w:r w:rsidR="00B86C1A">
        <w:rPr>
          <w:rFonts w:hint="eastAsia"/>
        </w:rPr>
        <w:t>制造计划</w:t>
      </w:r>
      <w:r w:rsidR="00A30EEE">
        <w:rPr>
          <w:rFonts w:hint="eastAsia"/>
        </w:rPr>
        <w:t>》</w:t>
      </w:r>
      <w:r w:rsidR="00CD3F39">
        <w:t>提供支持。然而，与天然气相关的温室气体排放量必须大幅下降，而且在无法减少天然气使用的情况下，必须越来越多地减少和抵消</w:t>
      </w:r>
      <w:r w:rsidR="001F254A">
        <w:t>温室气体</w:t>
      </w:r>
      <w:r w:rsidR="00CD3F39">
        <w:t>排放量。</w:t>
      </w:r>
      <w:r w:rsidR="001F254A">
        <w:rPr>
          <w:rFonts w:hint="eastAsia"/>
        </w:rPr>
        <w:t xml:space="preserve"> </w:t>
      </w:r>
    </w:p>
    <w:p w14:paraId="19405235" w14:textId="77777777" w:rsidR="00DB37E5" w:rsidRDefault="00CD3F39">
      <w:r>
        <w:t>《未来天然气战略》是澳大利亚政府的天然气政策方针。本战略利用证据和数据制定了六项明确而持久的原则，这些原则将成为政府未来政策和行动的基础。</w:t>
      </w:r>
    </w:p>
    <w:p w14:paraId="539E6B95" w14:textId="6F394BE5" w:rsidR="00DB37E5" w:rsidRDefault="00CD3F39">
      <w:r>
        <w:t>我们不能依靠过去对天然气的投资来度过未来几十年。我们需要继续投资和</w:t>
      </w:r>
      <w:r w:rsidR="00CB0AE1">
        <w:rPr>
          <w:rFonts w:hint="eastAsia"/>
        </w:rPr>
        <w:t>建设</w:t>
      </w:r>
      <w:r>
        <w:t>天然气供应和运输的基础设施，以确保我们能够顺利完成能源转型，实现产业繁荣。为了确保澳大利亚</w:t>
      </w:r>
      <w:r w:rsidR="00B42317">
        <w:rPr>
          <w:rFonts w:hint="eastAsia"/>
        </w:rPr>
        <w:t>能</w:t>
      </w:r>
      <w:r>
        <w:t>获得所需的清洁、经济、可靠的能源，从而在全球就业和机遇竞争中立于不败之地，我们需要充分利用我国蕴藏的自然资源。</w:t>
      </w:r>
    </w:p>
    <w:p w14:paraId="7F921309" w14:textId="1BD0EA4E" w:rsidR="00DB37E5" w:rsidRDefault="00CD3F39">
      <w:r>
        <w:t>我想指出我之前已经多次提出并将继续提出的观点：</w:t>
      </w:r>
      <w:r w:rsidRPr="0073303D">
        <w:rPr>
          <w:rFonts w:hint="eastAsia"/>
        </w:rPr>
        <w:t>澳大利亚</w:t>
      </w:r>
      <w:r w:rsidR="00F24DA2" w:rsidRPr="0073303D">
        <w:rPr>
          <w:rFonts w:hint="eastAsia"/>
        </w:rPr>
        <w:t>将一直是可靠</w:t>
      </w:r>
      <w:r w:rsidR="00F91DAF" w:rsidRPr="0073303D">
        <w:rPr>
          <w:rFonts w:hint="eastAsia"/>
        </w:rPr>
        <w:t>的、</w:t>
      </w:r>
      <w:r w:rsidR="00F24DA2" w:rsidRPr="0073303D">
        <w:rPr>
          <w:rFonts w:hint="eastAsia"/>
        </w:rPr>
        <w:t>值得信赖的贸易和投资伙伴，</w:t>
      </w:r>
      <w:r w:rsidR="00F24DA2" w:rsidRPr="0073303D">
        <w:t xml:space="preserve"> </w:t>
      </w:r>
      <w:r w:rsidRPr="0073303D">
        <w:rPr>
          <w:rFonts w:hint="eastAsia"/>
        </w:rPr>
        <w:t>包括液化天然气在内。</w:t>
      </w:r>
      <w:r>
        <w:t>几十年来，我们的贸易伙伴对澳大利亚的资源产业进行了大量投资，并依靠澳大利亚天然气将其经济</w:t>
      </w:r>
      <w:r w:rsidR="00E72F98">
        <w:rPr>
          <w:rFonts w:hint="eastAsia"/>
        </w:rPr>
        <w:t>向</w:t>
      </w:r>
      <w:r>
        <w:t>净零排放</w:t>
      </w:r>
      <w:r w:rsidR="00E72F98">
        <w:t>过渡</w:t>
      </w:r>
      <w:r>
        <w:t>。澳大利亚正在扩大和深化现有的能源合作关系，将其拓展到关键矿产、氢、碳捕</w:t>
      </w:r>
      <w:r w:rsidR="00D15718">
        <w:rPr>
          <w:rFonts w:hint="eastAsia"/>
        </w:rPr>
        <w:t>集</w:t>
      </w:r>
      <w:r>
        <w:t>与</w:t>
      </w:r>
      <w:r w:rsidR="00310BEF">
        <w:rPr>
          <w:rFonts w:hint="eastAsia"/>
        </w:rPr>
        <w:t>封存</w:t>
      </w:r>
      <w:r>
        <w:t>等新兴产业，以及其他清洁能源出口领域。我们基于互利互惠和友谊关系的优势将持续下去。</w:t>
      </w:r>
      <w:r>
        <w:t xml:space="preserve"> </w:t>
      </w:r>
    </w:p>
    <w:p w14:paraId="21F12D4B" w14:textId="4A0DC365" w:rsidR="00DB37E5" w:rsidRDefault="00CD3F39">
      <w:r>
        <w:t>我要感谢并赞赏所有帮助制定这一战略的人士所作的重大贡献。在我们</w:t>
      </w:r>
      <w:r w:rsidR="00150A24">
        <w:rPr>
          <w:rFonts w:hint="eastAsia"/>
        </w:rPr>
        <w:t>为</w:t>
      </w:r>
      <w:r>
        <w:t>实现净零排放和</w:t>
      </w:r>
      <w:r w:rsidR="005365C8">
        <w:rPr>
          <w:rFonts w:hint="eastAsia"/>
        </w:rPr>
        <w:t>澳大利亚</w:t>
      </w:r>
      <w:r w:rsidR="00785780">
        <w:rPr>
          <w:rFonts w:hint="eastAsia"/>
        </w:rPr>
        <w:t>的</w:t>
      </w:r>
      <w:r w:rsidR="00A30EEE">
        <w:rPr>
          <w:rFonts w:hint="eastAsia"/>
        </w:rPr>
        <w:t>《</w:t>
      </w:r>
      <w:r w:rsidR="00785780">
        <w:t>未来</w:t>
      </w:r>
      <w:r w:rsidR="001C6556">
        <w:rPr>
          <w:rFonts w:hint="eastAsia"/>
        </w:rPr>
        <w:t>制造</w:t>
      </w:r>
      <w:r w:rsidR="00AF6763">
        <w:rPr>
          <w:rFonts w:hint="eastAsia"/>
        </w:rPr>
        <w:t>计划</w:t>
      </w:r>
      <w:r w:rsidR="00A30EEE">
        <w:rPr>
          <w:rFonts w:hint="eastAsia"/>
        </w:rPr>
        <w:t>》</w:t>
      </w:r>
      <w:r w:rsidR="008A31BD">
        <w:rPr>
          <w:rFonts w:hint="eastAsia"/>
        </w:rPr>
        <w:t>的目标</w:t>
      </w:r>
      <w:r w:rsidR="001C6556">
        <w:rPr>
          <w:rFonts w:hint="eastAsia"/>
        </w:rPr>
        <w:t>而</w:t>
      </w:r>
      <w:r w:rsidR="005365C8">
        <w:rPr>
          <w:rFonts w:hint="eastAsia"/>
        </w:rPr>
        <w:t>努力</w:t>
      </w:r>
      <w:r>
        <w:t>时，我期待着继续与行业和社区密切合作。</w:t>
      </w:r>
    </w:p>
    <w:p w14:paraId="3C6354D0" w14:textId="77777777" w:rsidR="00DB37E5" w:rsidRDefault="00CD3F39">
      <w:r>
        <w:t>通往这两个目标的道路都贯穿澳大利亚资源行业。</w:t>
      </w:r>
    </w:p>
    <w:p w14:paraId="54AAE428" w14:textId="1A1ECB56" w:rsidR="00DB37E5" w:rsidRDefault="00CD3F39">
      <w:pPr>
        <w:pStyle w:val="P68B1DB1-Normal1"/>
        <w:spacing w:before="360"/>
      </w:pPr>
      <w:r>
        <w:t>马德琳</w:t>
      </w:r>
      <w:r>
        <w:t>-</w:t>
      </w:r>
      <w:r>
        <w:t>金（</w:t>
      </w:r>
      <w:r>
        <w:t xml:space="preserve">Madeleine King </w:t>
      </w:r>
      <w:r>
        <w:t>）议员阁下</w:t>
      </w:r>
    </w:p>
    <w:p w14:paraId="72068E0C" w14:textId="4B463D90" w:rsidR="00DB37E5" w:rsidRDefault="00CD3F39">
      <w:pPr>
        <w:spacing w:before="0" w:after="0"/>
      </w:pPr>
      <w:r>
        <w:t>资源部长</w:t>
      </w:r>
    </w:p>
    <w:p w14:paraId="68C5E4F4" w14:textId="4B9B65B6" w:rsidR="00DB37E5" w:rsidRDefault="00CD3F39">
      <w:pPr>
        <w:spacing w:before="0" w:after="0"/>
      </w:pPr>
      <w:r>
        <w:t>澳大利亚北部部长</w:t>
      </w:r>
    </w:p>
    <w:p w14:paraId="2DE7EF6B" w14:textId="77777777" w:rsidR="00DB37E5" w:rsidRDefault="00CD3F39">
      <w:pPr>
        <w:spacing w:before="0" w:after="160" w:line="259" w:lineRule="auto"/>
      </w:pPr>
      <w:r>
        <w:br w:type="page"/>
      </w:r>
    </w:p>
    <w:p w14:paraId="56F9A500" w14:textId="77777777" w:rsidR="00DB37E5" w:rsidRDefault="00CD3F39">
      <w:pPr>
        <w:pStyle w:val="Heading3"/>
      </w:pPr>
      <w:r>
        <w:lastRenderedPageBreak/>
        <w:t>未来天然气战略概览</w:t>
      </w:r>
    </w:p>
    <w:p w14:paraId="18D49EB0" w14:textId="4B7B5147" w:rsidR="00DB37E5" w:rsidRDefault="00CD3F39">
      <w:bookmarkStart w:id="14" w:name="_Hlk155193274"/>
      <w:r>
        <w:t>澳大利亚要想在全球就业和机遇</w:t>
      </w:r>
      <w:r w:rsidR="002C0CD4">
        <w:rPr>
          <w:rFonts w:hint="eastAsia"/>
        </w:rPr>
        <w:t>的</w:t>
      </w:r>
      <w:r>
        <w:t>竞争中获得所需的清洁、经济、可靠的能源，就必须充分利用地下和天</w:t>
      </w:r>
      <w:r w:rsidR="00074099">
        <w:rPr>
          <w:rFonts w:hint="eastAsia"/>
        </w:rPr>
        <w:t>空</w:t>
      </w:r>
      <w:r>
        <w:t>的自然资源。</w:t>
      </w:r>
    </w:p>
    <w:p w14:paraId="2FD87D3C" w14:textId="1D5E14D4" w:rsidR="00DB37E5" w:rsidRDefault="00CD3F39">
      <w:r>
        <w:t>《未来天然气战略》是澳大利亚政府</w:t>
      </w:r>
      <w:r w:rsidR="00B557C9">
        <w:rPr>
          <w:rFonts w:hint="eastAsia"/>
        </w:rPr>
        <w:t>有关</w:t>
      </w:r>
      <w:r>
        <w:t>天然气在我们经济中作用的政策。</w:t>
      </w:r>
      <w:r w:rsidR="0030757D">
        <w:rPr>
          <w:rFonts w:hint="eastAsia"/>
        </w:rPr>
        <w:t>本战略</w:t>
      </w:r>
      <w:r>
        <w:t>由六项原则组成。</w:t>
      </w:r>
    </w:p>
    <w:p w14:paraId="1F494296" w14:textId="77777777" w:rsidR="00DB37E5" w:rsidRDefault="00CD3F39">
      <w:r>
        <w:rPr>
          <w:rStyle w:val="Heading5Char"/>
          <w:sz w:val="20"/>
        </w:rPr>
        <w:t>原则</w:t>
      </w:r>
      <w:r>
        <w:rPr>
          <w:rStyle w:val="Heading5Char"/>
          <w:sz w:val="20"/>
        </w:rPr>
        <w:t>1</w:t>
      </w:r>
      <w:r>
        <w:rPr>
          <w:rStyle w:val="Heading5Char"/>
        </w:rPr>
        <w:t xml:space="preserve"> </w:t>
      </w:r>
      <w:r>
        <w:t>–</w:t>
      </w:r>
      <w:r>
        <w:t>澳大利亚致力于支持全球减排，以减少气候变化的影响，并将在</w:t>
      </w:r>
      <w:r>
        <w:t>2050</w:t>
      </w:r>
      <w:r>
        <w:t>年之前实现净零排放。</w:t>
      </w:r>
    </w:p>
    <w:p w14:paraId="588C3B86" w14:textId="77777777" w:rsidR="00DB37E5" w:rsidRDefault="00CD3F39">
      <w:r>
        <w:rPr>
          <w:rStyle w:val="Heading5Char"/>
          <w:sz w:val="20"/>
        </w:rPr>
        <w:t>原则</w:t>
      </w:r>
      <w:r>
        <w:rPr>
          <w:rStyle w:val="Heading5Char"/>
          <w:sz w:val="20"/>
        </w:rPr>
        <w:t>2</w:t>
      </w:r>
      <w:r>
        <w:rPr>
          <w:sz w:val="14"/>
        </w:rPr>
        <w:t xml:space="preserve"> </w:t>
      </w:r>
      <w:r>
        <w:t>–</w:t>
      </w:r>
      <w:r>
        <w:t>在向净零排放过渡的整个过程中，天然气必须始终是澳大利亚用户所负担得起的。</w:t>
      </w:r>
    </w:p>
    <w:p w14:paraId="16D46504" w14:textId="77777777" w:rsidR="00DB37E5" w:rsidRDefault="00CD3F39">
      <w:r>
        <w:rPr>
          <w:rStyle w:val="Heading5Char"/>
          <w:sz w:val="20"/>
        </w:rPr>
        <w:t>原则</w:t>
      </w:r>
      <w:r>
        <w:rPr>
          <w:rStyle w:val="Heading5Char"/>
          <w:sz w:val="20"/>
        </w:rPr>
        <w:t>3</w:t>
      </w:r>
      <w:r>
        <w:rPr>
          <w:sz w:val="14"/>
        </w:rPr>
        <w:t xml:space="preserve"> </w:t>
      </w:r>
      <w:r>
        <w:t>–</w:t>
      </w:r>
      <w:r>
        <w:t>在经济全面转型期间，需要新的天然气供应来源来满足需求。</w:t>
      </w:r>
    </w:p>
    <w:p w14:paraId="6D33FC0E" w14:textId="3105040A" w:rsidR="00DB37E5" w:rsidRDefault="00CD3F39">
      <w:r>
        <w:rPr>
          <w:rStyle w:val="Heading5Char"/>
          <w:sz w:val="20"/>
        </w:rPr>
        <w:t>原则</w:t>
      </w:r>
      <w:r>
        <w:rPr>
          <w:rStyle w:val="Heading5Char"/>
          <w:sz w:val="20"/>
        </w:rPr>
        <w:t>4</w:t>
      </w:r>
      <w:r>
        <w:rPr>
          <w:sz w:val="14"/>
        </w:rPr>
        <w:t xml:space="preserve"> </w:t>
      </w:r>
      <w:r>
        <w:t>–</w:t>
      </w:r>
      <w:r>
        <w:t>可靠的天然气供应将逐步且不可避免地支持</w:t>
      </w:r>
      <w:r w:rsidR="003F26D8">
        <w:rPr>
          <w:rFonts w:hint="eastAsia"/>
        </w:rPr>
        <w:t>天然气使用</w:t>
      </w:r>
      <w:r>
        <w:t>向更高价值和</w:t>
      </w:r>
      <w:r w:rsidRPr="0073303D">
        <w:rPr>
          <w:rFonts w:hint="eastAsia"/>
        </w:rPr>
        <w:t>不可替代</w:t>
      </w:r>
      <w:r w:rsidR="005F1C2C" w:rsidRPr="0073303D">
        <w:rPr>
          <w:rFonts w:hint="eastAsia"/>
        </w:rPr>
        <w:t>的方向</w:t>
      </w:r>
      <w:r w:rsidRPr="005F1C2C">
        <w:t>转变</w:t>
      </w:r>
      <w:r>
        <w:t>。</w:t>
      </w:r>
      <w:r>
        <w:t xml:space="preserve"> </w:t>
      </w:r>
      <w:r>
        <w:t>居民家庭</w:t>
      </w:r>
      <w:r w:rsidR="00BE15F7">
        <w:rPr>
          <w:rFonts w:hint="eastAsia"/>
        </w:rPr>
        <w:t>仍</w:t>
      </w:r>
      <w:r w:rsidR="00366A90">
        <w:rPr>
          <w:rFonts w:hint="eastAsia"/>
        </w:rPr>
        <w:t>可</w:t>
      </w:r>
      <w:r>
        <w:t>选择</w:t>
      </w:r>
      <w:r w:rsidR="00366A90">
        <w:rPr>
          <w:rFonts w:hint="eastAsia"/>
        </w:rPr>
        <w:t>如何来</w:t>
      </w:r>
      <w:r>
        <w:t>满足其能源需求。</w:t>
      </w:r>
      <w:r>
        <w:t xml:space="preserve"> </w:t>
      </w:r>
    </w:p>
    <w:p w14:paraId="7E59885D" w14:textId="77777777" w:rsidR="00DB37E5" w:rsidRDefault="00CD3F39">
      <w:r>
        <w:rPr>
          <w:rStyle w:val="Heading5Char"/>
          <w:sz w:val="20"/>
        </w:rPr>
        <w:t>原则</w:t>
      </w:r>
      <w:r>
        <w:rPr>
          <w:rStyle w:val="Heading5Char"/>
          <w:sz w:val="20"/>
        </w:rPr>
        <w:t>5</w:t>
      </w:r>
      <w:r>
        <w:rPr>
          <w:sz w:val="14"/>
        </w:rPr>
        <w:t xml:space="preserve"> </w:t>
      </w:r>
      <w:r>
        <w:t>–</w:t>
      </w:r>
      <w:r>
        <w:t>天然气和电力市场必须进行调整，以适应整个能源转型的目的。</w:t>
      </w:r>
    </w:p>
    <w:p w14:paraId="4BD14B8D" w14:textId="2878B067" w:rsidR="00DB37E5" w:rsidRDefault="00CD3F39">
      <w:r>
        <w:rPr>
          <w:rStyle w:val="Heading5Char"/>
          <w:sz w:val="20"/>
        </w:rPr>
        <w:t>原则</w:t>
      </w:r>
      <w:r>
        <w:rPr>
          <w:rStyle w:val="Heading5Char"/>
          <w:sz w:val="20"/>
        </w:rPr>
        <w:t>6</w:t>
      </w:r>
      <w:r>
        <w:rPr>
          <w:sz w:val="14"/>
        </w:rPr>
        <w:t xml:space="preserve"> </w:t>
      </w:r>
      <w:r>
        <w:t>–</w:t>
      </w:r>
      <w:r>
        <w:t>澳大利亚现在是，</w:t>
      </w:r>
      <w:r w:rsidR="003C40CF">
        <w:rPr>
          <w:rFonts w:hint="eastAsia"/>
        </w:rPr>
        <w:t>未来也</w:t>
      </w:r>
      <w:r>
        <w:t>将继续是一个可靠的能源贸易伙伴，包括液化天然气（</w:t>
      </w:r>
      <w:r>
        <w:t>LNG</w:t>
      </w:r>
      <w:r>
        <w:t>）和低排放气体。</w:t>
      </w:r>
    </w:p>
    <w:p w14:paraId="374C2C20" w14:textId="39141ECF" w:rsidR="00DB37E5" w:rsidRDefault="00CD3F39">
      <w:r>
        <w:t>本战略以严谨的分析和广泛的</w:t>
      </w:r>
      <w:r w:rsidR="00E40472">
        <w:rPr>
          <w:rFonts w:hint="eastAsia"/>
        </w:rPr>
        <w:t>意见征询</w:t>
      </w:r>
      <w:r>
        <w:t>为基础。</w:t>
      </w:r>
      <w:r>
        <w:t xml:space="preserve"> </w:t>
      </w:r>
    </w:p>
    <w:p w14:paraId="0045A18B" w14:textId="62D7DE2C" w:rsidR="00DB37E5" w:rsidRDefault="004A0BEF">
      <w:r w:rsidRPr="004A0BEF">
        <w:rPr>
          <w:rFonts w:hint="eastAsia"/>
        </w:rPr>
        <w:t>工业、科学和资源部网站上有详细的分析报告和对该战略讨论文件的回应意见。</w:t>
      </w:r>
    </w:p>
    <w:bookmarkEnd w:id="14"/>
    <w:p w14:paraId="65568E50" w14:textId="404148E5" w:rsidR="00DB37E5" w:rsidRDefault="00CD3F39">
      <w:pPr>
        <w:pStyle w:val="Heading4"/>
      </w:pPr>
      <w:r>
        <w:t>需求前景</w:t>
      </w:r>
      <w:r>
        <w:t xml:space="preserve"> </w:t>
      </w:r>
    </w:p>
    <w:p w14:paraId="539AB0DB" w14:textId="53EEB84D" w:rsidR="00DB37E5" w:rsidRDefault="00CD3F39">
      <w:r>
        <w:t>天然气为我们的生活水平和澳大利亚的能源安全提供支持。</w:t>
      </w:r>
      <w:r>
        <w:t xml:space="preserve"> </w:t>
      </w:r>
      <w:r w:rsidR="000F1389" w:rsidRPr="0073303D">
        <w:rPr>
          <w:rFonts w:hint="eastAsia"/>
        </w:rPr>
        <w:t>由于</w:t>
      </w:r>
      <w:r w:rsidRPr="0073303D">
        <w:rPr>
          <w:rFonts w:hint="eastAsia"/>
        </w:rPr>
        <w:t>连接到天然气网络的企业和</w:t>
      </w:r>
      <w:r w:rsidR="00E6412B" w:rsidRPr="0073303D">
        <w:rPr>
          <w:rFonts w:hint="eastAsia"/>
        </w:rPr>
        <w:t>居民</w:t>
      </w:r>
      <w:r w:rsidRPr="0073303D">
        <w:rPr>
          <w:rFonts w:hint="eastAsia"/>
        </w:rPr>
        <w:t>家庭的不同</w:t>
      </w:r>
      <w:r w:rsidRPr="000F1389">
        <w:t>，</w:t>
      </w:r>
      <w:r>
        <w:t>我们在全国各地使用天然气的方式也各不相同（图</w:t>
      </w:r>
      <w:r>
        <w:t xml:space="preserve">1 </w:t>
      </w:r>
      <w:r>
        <w:t>）。</w:t>
      </w:r>
    </w:p>
    <w:p w14:paraId="75BE7DA0" w14:textId="19FF26A1" w:rsidR="00DB37E5" w:rsidRDefault="00CD3F39">
      <w:pPr>
        <w:pStyle w:val="Caption"/>
        <w:rPr>
          <w:b w:val="0"/>
        </w:rPr>
      </w:pPr>
      <w:r>
        <w:t>图</w:t>
      </w:r>
      <w:r>
        <w:t xml:space="preserve">1 </w:t>
      </w:r>
      <w:r>
        <w:t>：</w:t>
      </w:r>
      <w:r>
        <w:t xml:space="preserve"> </w:t>
      </w:r>
      <w:r>
        <w:rPr>
          <w:b w:val="0"/>
        </w:rPr>
        <w:t>2021–22</w:t>
      </w:r>
      <w:r>
        <w:rPr>
          <w:b w:val="0"/>
        </w:rPr>
        <w:t>年按州</w:t>
      </w:r>
      <w:r>
        <w:rPr>
          <w:b w:val="0"/>
        </w:rPr>
        <w:t>/</w:t>
      </w:r>
      <w:r>
        <w:rPr>
          <w:b w:val="0"/>
        </w:rPr>
        <w:t>地区和行业划分的天然气消费量</w:t>
      </w:r>
    </w:p>
    <w:p w14:paraId="2B493484" w14:textId="5FD968EB" w:rsidR="00DB37E5" w:rsidRDefault="00CD3F39">
      <w:pPr>
        <w:pStyle w:val="P68B1DB1-Normal2"/>
      </w:pPr>
      <w:r>
        <w:rPr>
          <w:noProof/>
        </w:rPr>
        <w:drawing>
          <wp:inline distT="0" distB="0" distL="0" distR="0" wp14:anchorId="329AE533" wp14:editId="05D78858">
            <wp:extent cx="4680000" cy="2973606"/>
            <wp:effectExtent l="0" t="0" r="6350" b="0"/>
            <wp:docPr id="6" name="Picture 6" descr="This figure shows gas consumption by state and sector as a proportion of total gas use in 2021-22. As a percentage of total gas use, it shows that in WA and SA, that power is the predominant use of gas. Mining dominates in Qld and the NT, while Industry dominates in NSW and Tasmania. Victoria’s demand for gas primarily comes from Buildings. For the total of all states and territories in Australia, power is the predominant use of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shows gas consumption by state and sector as a proportion of total gas use in 2021-22. As a percentage of total gas use, it shows that in WA and SA, that power is the predominant use of gas. Mining dominates in Qld and the NT, while Industry dominates in NSW and Tasmania. Victoria’s demand for gas primarily comes from Buildings. For the total of all states and territories in Australia, power is the predominant use of gas."/>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80000" cy="2973606"/>
                    </a:xfrm>
                    <a:prstGeom prst="rect">
                      <a:avLst/>
                    </a:prstGeom>
                    <a:noFill/>
                    <a:ln>
                      <a:noFill/>
                    </a:ln>
                  </pic:spPr>
                </pic:pic>
              </a:graphicData>
            </a:graphic>
          </wp:inline>
        </w:drawing>
      </w:r>
    </w:p>
    <w:p w14:paraId="0B44882D" w14:textId="120FC4A7" w:rsidR="00DB37E5" w:rsidRDefault="00CD3F39">
      <w:pPr>
        <w:pStyle w:val="P68B1DB1-Normal3"/>
      </w:pPr>
      <w:r>
        <w:t>注：新南威尔士州包含首都领地（</w:t>
      </w:r>
      <w:r>
        <w:t>ACT</w:t>
      </w:r>
      <w:r>
        <w:t>）。</w:t>
      </w:r>
      <w:r>
        <w:t xml:space="preserve"> </w:t>
      </w:r>
      <w:r>
        <w:t>电力包括现场发电。</w:t>
      </w:r>
      <w:r>
        <w:t xml:space="preserve"> </w:t>
      </w:r>
      <w:r>
        <w:t>建筑物包括商业和住宅用气。</w:t>
      </w:r>
      <w:r>
        <w:t xml:space="preserve"> </w:t>
      </w:r>
      <w:r>
        <w:t>开采包括用于为液化天然气液化提供动力的天然气。</w:t>
      </w:r>
      <w:r>
        <w:t xml:space="preserve"> </w:t>
      </w:r>
      <w:r>
        <w:t>资料来源：</w:t>
      </w:r>
      <w:r>
        <w:t xml:space="preserve"> DISR </w:t>
      </w:r>
      <w:r>
        <w:t>（</w:t>
      </w:r>
      <w:r>
        <w:t xml:space="preserve"> 2024 </w:t>
      </w:r>
      <w:r>
        <w:t>）图</w:t>
      </w:r>
      <w:r>
        <w:t xml:space="preserve">3.1 </w:t>
      </w:r>
      <w:r>
        <w:t>；</w:t>
      </w:r>
      <w:r w:rsidRPr="0073303D">
        <w:rPr>
          <w:rFonts w:hint="eastAsia"/>
        </w:rPr>
        <w:t>澳大利亚能源统计</w:t>
      </w:r>
      <w:r>
        <w:t>（</w:t>
      </w:r>
      <w:r>
        <w:t xml:space="preserve"> 2023 </w:t>
      </w:r>
      <w:r>
        <w:t>）。</w:t>
      </w:r>
    </w:p>
    <w:p w14:paraId="5A3ED561" w14:textId="66FB2D48" w:rsidR="00DB37E5" w:rsidRDefault="00CD3F39">
      <w:r>
        <w:t>天然气是澳大利亚经济不可或缺的一部分</w:t>
      </w:r>
      <w:r w:rsidR="002A1F10">
        <w:rPr>
          <w:rFonts w:hint="eastAsia"/>
        </w:rPr>
        <w:t>，</w:t>
      </w:r>
      <w:r>
        <w:t>满足了我们</w:t>
      </w:r>
      <w:r>
        <w:t>27%</w:t>
      </w:r>
      <w:r>
        <w:t>的能源需求，占我们</w:t>
      </w:r>
      <w:r w:rsidR="008632F1">
        <w:t>近</w:t>
      </w:r>
      <w:r w:rsidR="008632F1">
        <w:t>20%</w:t>
      </w:r>
      <w:r w:rsidR="008632F1">
        <w:rPr>
          <w:rFonts w:hint="eastAsia"/>
        </w:rPr>
        <w:t>的</w:t>
      </w:r>
      <w:r>
        <w:t>出口收入。</w:t>
      </w:r>
      <w:r>
        <w:t xml:space="preserve"> </w:t>
      </w:r>
      <w:r>
        <w:t>全球和国内天然气需求前景不确定，因</w:t>
      </w:r>
      <w:r w:rsidR="00771FF7">
        <w:rPr>
          <w:rFonts w:hint="eastAsia"/>
        </w:rPr>
        <w:t>其</w:t>
      </w:r>
      <w:r>
        <w:t>取决于对能源转型进</w:t>
      </w:r>
      <w:r w:rsidRPr="0073303D">
        <w:rPr>
          <w:rFonts w:hint="eastAsia"/>
        </w:rPr>
        <w:t>展的一系列假设</w:t>
      </w:r>
      <w:r w:rsidR="00797B75">
        <w:rPr>
          <w:rFonts w:hint="eastAsia"/>
        </w:rPr>
        <w:t>情景</w:t>
      </w:r>
      <w:r>
        <w:t>。</w:t>
      </w:r>
      <w:r>
        <w:t xml:space="preserve"> </w:t>
      </w:r>
      <w:r>
        <w:t>然而，在所有可信的净零</w:t>
      </w:r>
      <w:r w:rsidR="008632F1">
        <w:rPr>
          <w:rFonts w:hint="eastAsia"/>
        </w:rPr>
        <w:t>排放</w:t>
      </w:r>
      <w:r w:rsidR="005A67D2">
        <w:rPr>
          <w:rFonts w:hint="eastAsia"/>
        </w:rPr>
        <w:t>情景</w:t>
      </w:r>
      <w:r>
        <w:t>下，到</w:t>
      </w:r>
      <w:r>
        <w:t>2050</w:t>
      </w:r>
      <w:r>
        <w:t>年及以后都需要天然气，尽管需求程度较低。</w:t>
      </w:r>
      <w:r>
        <w:t xml:space="preserve"> </w:t>
      </w:r>
      <w:r>
        <w:t>澳大利亚工业需要</w:t>
      </w:r>
      <w:r w:rsidRPr="0073303D">
        <w:rPr>
          <w:rFonts w:hint="eastAsia"/>
        </w:rPr>
        <w:t>可靠</w:t>
      </w:r>
      <w:r w:rsidR="00797B75" w:rsidRPr="0073303D">
        <w:rPr>
          <w:rFonts w:hint="eastAsia"/>
        </w:rPr>
        <w:t>的、</w:t>
      </w:r>
      <w:r w:rsidR="00566C6D" w:rsidRPr="0073303D">
        <w:rPr>
          <w:rFonts w:hint="eastAsia"/>
        </w:rPr>
        <w:t>可负担</w:t>
      </w:r>
      <w:r w:rsidRPr="0073303D">
        <w:rPr>
          <w:rFonts w:hint="eastAsia"/>
        </w:rPr>
        <w:t>的天然气供应</w:t>
      </w:r>
      <w:r w:rsidRPr="00797B75">
        <w:t>。</w:t>
      </w:r>
      <w:r>
        <w:t xml:space="preserve"> </w:t>
      </w:r>
    </w:p>
    <w:p w14:paraId="194ED8A9" w14:textId="55339FBF" w:rsidR="00DB37E5" w:rsidRDefault="00CD3F39">
      <w:r>
        <w:lastRenderedPageBreak/>
        <w:t>天然气用于加工食品、加工</w:t>
      </w:r>
      <w:r w:rsidR="00797B75" w:rsidRPr="0073303D">
        <w:rPr>
          <w:rFonts w:hint="eastAsia"/>
        </w:rPr>
        <w:t>关键</w:t>
      </w:r>
      <w:r w:rsidR="00C23B4B" w:rsidRPr="0073303D">
        <w:rPr>
          <w:rFonts w:hint="eastAsia"/>
        </w:rPr>
        <w:t>矿产</w:t>
      </w:r>
      <w:r>
        <w:t>以及制造水泥、砖块、玻璃和化肥。在氢气或生物甲烷等商业上可行的替代品出现之前，这些行业对天然气的需求仍将存在。在低排放气体商业化之前，或在与能源转型相关的炼油厂或制造业需求增加的情况下，</w:t>
      </w:r>
      <w:r w:rsidR="00C24E79" w:rsidRPr="0073303D">
        <w:rPr>
          <w:rFonts w:hint="eastAsia"/>
        </w:rPr>
        <w:t>一些行业可能会</w:t>
      </w:r>
      <w:r>
        <w:t>在短期内增加对天然气的消费。</w:t>
      </w:r>
    </w:p>
    <w:p w14:paraId="00DA847E" w14:textId="77777777" w:rsidR="00DB37E5" w:rsidRDefault="00CD3F39">
      <w:r>
        <w:rPr>
          <w:rStyle w:val="cf01"/>
          <w:rFonts w:asciiTheme="minorHAnsi" w:hAnsiTheme="minorHAnsi"/>
          <w:sz w:val="20"/>
        </w:rPr>
        <w:t>随着煤炭的淘汰，天然气可能会在澳大利亚电力行业发挥重要作用。在可再生能源发电量较低的时期，燃气发电将继续维持电网的可靠性，与电池储能和抽水蓄能发电形成互补。</w:t>
      </w:r>
    </w:p>
    <w:p w14:paraId="5A1998FC" w14:textId="438034D2" w:rsidR="00DB37E5" w:rsidRDefault="00CD3F39">
      <w:r>
        <w:t>为履行现有的长期液化天然气合同，澳大利亚出口液化天然气的需求在</w:t>
      </w:r>
      <w:r>
        <w:t xml:space="preserve"> 2035 </w:t>
      </w:r>
      <w:r>
        <w:t>年之前</w:t>
      </w:r>
      <w:r w:rsidRPr="0073303D">
        <w:rPr>
          <w:rFonts w:hint="eastAsia"/>
        </w:rPr>
        <w:t>仍将保持强劲</w:t>
      </w:r>
      <w:r w:rsidR="00DC27E5" w:rsidRPr="0073303D">
        <w:rPr>
          <w:rFonts w:hint="eastAsia"/>
        </w:rPr>
        <w:t>势头</w:t>
      </w:r>
      <w:r>
        <w:t>。贸易伙伴们已表示，随着各自在</w:t>
      </w:r>
      <w:r w:rsidR="00DC27E5" w:rsidRPr="0073303D">
        <w:rPr>
          <w:rFonts w:hint="eastAsia"/>
        </w:rPr>
        <w:t>脱碳</w:t>
      </w:r>
      <w:r w:rsidRPr="0073303D">
        <w:rPr>
          <w:rFonts w:hint="eastAsia"/>
        </w:rPr>
        <w:t>道路</w:t>
      </w:r>
      <w:r>
        <w:t>上取得进展，他们对液化天然气的需求将持续到</w:t>
      </w:r>
      <w:r>
        <w:t xml:space="preserve"> 2050 </w:t>
      </w:r>
      <w:r>
        <w:t>年以后，</w:t>
      </w:r>
      <w:r w:rsidR="00DC27E5" w:rsidRPr="0073303D">
        <w:rPr>
          <w:rFonts w:hint="eastAsia"/>
        </w:rPr>
        <w:t>但</w:t>
      </w:r>
      <w:r>
        <w:t>规模会随着天然气需求的减弱而缩小。</w:t>
      </w:r>
    </w:p>
    <w:p w14:paraId="7DD27590" w14:textId="62E8D051" w:rsidR="00DB37E5" w:rsidRDefault="00CD3F39">
      <w:pPr>
        <w:pStyle w:val="Heading4"/>
      </w:pPr>
      <w:r>
        <w:t>供应前景</w:t>
      </w:r>
    </w:p>
    <w:p w14:paraId="58859BE6" w14:textId="009AFF35" w:rsidR="00DB37E5" w:rsidRDefault="00A928C1">
      <w:r>
        <w:rPr>
          <w:rFonts w:hint="eastAsia"/>
        </w:rPr>
        <w:t>我们</w:t>
      </w:r>
      <w:r w:rsidR="00CD3F39">
        <w:t>需要新的天然气供应来源来满足过渡时期的需求。如果不对天然气行业进行持续投资并开发供应来源，到</w:t>
      </w:r>
      <w:r w:rsidR="00CD3F39">
        <w:t xml:space="preserve"> 2028 </w:t>
      </w:r>
      <w:r w:rsidR="00CD3F39">
        <w:t>年，澳大利亚东海岸将面临年度供应缺口的风险，到</w:t>
      </w:r>
      <w:r w:rsidR="00CD3F39">
        <w:t xml:space="preserve"> 2030 </w:t>
      </w:r>
      <w:r w:rsidR="00CD3F39">
        <w:t>年，西海岸将面临年度供应缺口的风险。《天然气市场准则》、《协议要点》和</w:t>
      </w:r>
      <w:r w:rsidR="00FF0A24">
        <w:rPr>
          <w:rFonts w:hint="eastAsia"/>
        </w:rPr>
        <w:t>《</w:t>
      </w:r>
      <w:r w:rsidR="00CD3F39">
        <w:t>澳大利亚国内天然气安全机制（</w:t>
      </w:r>
      <w:r w:rsidR="00CD3F39">
        <w:t>ADGSM</w:t>
      </w:r>
      <w:r w:rsidR="00CD3F39">
        <w:t>）</w:t>
      </w:r>
      <w:r w:rsidR="00FF0A24">
        <w:rPr>
          <w:rFonts w:hint="eastAsia"/>
        </w:rPr>
        <w:t>》</w:t>
      </w:r>
      <w:r w:rsidR="00CD3F39">
        <w:t>等现有政策仍然有效，</w:t>
      </w:r>
      <w:r w:rsidR="00CD3F39" w:rsidRPr="0073303D">
        <w:rPr>
          <w:rFonts w:hint="eastAsia"/>
        </w:rPr>
        <w:t>以管理或</w:t>
      </w:r>
      <w:r w:rsidR="00257A68" w:rsidRPr="0073303D">
        <w:rPr>
          <w:rFonts w:hint="eastAsia"/>
        </w:rPr>
        <w:t>缓解供应缺口</w:t>
      </w:r>
      <w:r w:rsidR="00CD3F39" w:rsidRPr="0073303D">
        <w:rPr>
          <w:rFonts w:hint="eastAsia"/>
        </w:rPr>
        <w:t>风险。</w:t>
      </w:r>
    </w:p>
    <w:p w14:paraId="18BAA74A" w14:textId="72E97A10" w:rsidR="00DB37E5" w:rsidRDefault="00CD3F39">
      <w:r>
        <w:t>建设更加灵活的天然气基础设施</w:t>
      </w:r>
      <w:r w:rsidR="002354F1">
        <w:rPr>
          <w:rFonts w:hint="eastAsia"/>
        </w:rPr>
        <w:t>很</w:t>
      </w:r>
      <w:r>
        <w:t>可能是东西海岸解决方案的一部分，其中可能包括液化天然气进口终端和天然气储存等基础设施。</w:t>
      </w:r>
    </w:p>
    <w:p w14:paraId="4BB08877" w14:textId="562F3851" w:rsidR="00DB37E5" w:rsidRDefault="00CD3F39">
      <w:r>
        <w:t>为了鼓励对</w:t>
      </w:r>
      <w:r w:rsidR="00D517AF">
        <w:rPr>
          <w:rFonts w:hint="eastAsia"/>
        </w:rPr>
        <w:t>我国</w:t>
      </w:r>
      <w:r>
        <w:t>资源行业的投资，并利用澳大利亚的自然优势，政府将继续投资于</w:t>
      </w:r>
      <w:r w:rsidRPr="0073303D">
        <w:rPr>
          <w:rFonts w:hint="eastAsia"/>
        </w:rPr>
        <w:t>竞争前地质科学数据</w:t>
      </w:r>
      <w:r>
        <w:t>。我们的政策还将侧重于优化生产盆地的现有发现和基础设施，优先考虑能源安全，并与我们的净零排放目标保持一致。</w:t>
      </w:r>
    </w:p>
    <w:p w14:paraId="4E701B1D" w14:textId="3C413273" w:rsidR="00DB37E5" w:rsidRDefault="00CD3F39">
      <w:r>
        <w:t>澳大利亚拥有一个强有力的监管框架，旨在避免对环境、文化和社会造成不利影响，同时鼓励对资源项目进行投资，以支持我们的经济繁荣。我们必须确保在我们的监管机制能够</w:t>
      </w:r>
      <w:r w:rsidR="00352209">
        <w:rPr>
          <w:rFonts w:hint="eastAsia"/>
        </w:rPr>
        <w:t>平衡</w:t>
      </w:r>
      <w:r>
        <w:t>这些关键优先事项，并提高效率，为塑造澳大</w:t>
      </w:r>
      <w:r w:rsidR="00AB6678">
        <w:t>利亚</w:t>
      </w:r>
      <w:r>
        <w:t>可持续、更公平和繁荣的未来而努力。</w:t>
      </w:r>
    </w:p>
    <w:p w14:paraId="1BDA477D" w14:textId="5AD703E1" w:rsidR="00DB37E5" w:rsidRDefault="00CD3F39">
      <w:pPr>
        <w:pStyle w:val="Heading4"/>
      </w:pPr>
      <w:r>
        <w:t>减排</w:t>
      </w:r>
    </w:p>
    <w:p w14:paraId="3675C6C2" w14:textId="0FAD496E" w:rsidR="00DB37E5" w:rsidRDefault="00CD3F39">
      <w:r>
        <w:t>正如《未来天然气战略》配套分析报告所详述的那样，</w:t>
      </w:r>
      <w:r>
        <w:t xml:space="preserve"> 2021–22</w:t>
      </w:r>
      <w:r>
        <w:t>年，天然气生产和</w:t>
      </w:r>
      <w:r w:rsidR="00B827E6">
        <w:rPr>
          <w:rFonts w:hint="eastAsia"/>
        </w:rPr>
        <w:t>居民</w:t>
      </w:r>
      <w:r>
        <w:t>家庭使用占澳大利亚总排放量的</w:t>
      </w:r>
      <w:r>
        <w:t>24%</w:t>
      </w:r>
      <w:r>
        <w:t>。</w:t>
      </w:r>
      <w:r>
        <w:t xml:space="preserve"> </w:t>
      </w:r>
      <w:r>
        <w:t>为了实现我们的气候目标，必须尽可能减少和消除这些排放。</w:t>
      </w:r>
      <w:r>
        <w:t xml:space="preserve"> </w:t>
      </w:r>
      <w:r>
        <w:t>澳大利亚通过立法制定了强有力的减排目标，并对保障机制进行了改革，以确保包括天然气行业在内的温室气体排放量最高的设施为实现这些目标做出贡献。政府正在建设基础设施和产生清洁能源，以推动新的增长，促进私营部门创新，并为繁荣的未来</w:t>
      </w:r>
      <w:r w:rsidR="001A5145">
        <w:rPr>
          <w:rFonts w:hint="eastAsia"/>
        </w:rPr>
        <w:t>促进</w:t>
      </w:r>
      <w:r>
        <w:t>新的投资。</w:t>
      </w:r>
      <w:r>
        <w:t xml:space="preserve"> </w:t>
      </w:r>
    </w:p>
    <w:p w14:paraId="5F56D944" w14:textId="0A61A319" w:rsidR="00DB37E5" w:rsidRDefault="00CD3F39">
      <w:r>
        <w:t>政府正在制定</w:t>
      </w:r>
      <w:r w:rsidR="00A30EEE">
        <w:rPr>
          <w:rFonts w:hint="eastAsia"/>
        </w:rPr>
        <w:t>“</w:t>
      </w:r>
      <w:r>
        <w:t>六个部门脱碳计划</w:t>
      </w:r>
      <w:r w:rsidR="00A30EEE">
        <w:rPr>
          <w:rFonts w:hint="eastAsia"/>
        </w:rPr>
        <w:t>”</w:t>
      </w:r>
      <w:r>
        <w:t>，涵盖经济的所有主要组成部分。</w:t>
      </w:r>
      <w:r>
        <w:t xml:space="preserve"> </w:t>
      </w:r>
      <w:r>
        <w:t>部门脱碳计划旨在大幅减少与天然气生产和使用相关的排放。</w:t>
      </w:r>
    </w:p>
    <w:p w14:paraId="21D9E8E9" w14:textId="51AD469C" w:rsidR="00DB37E5" w:rsidRDefault="00CD3F39">
      <w:r>
        <w:t>澳大利亚天然气产业还能帮助我们的贸易伙伴实现低碳化。亚太地区认为澳大利亚在</w:t>
      </w:r>
      <w:r w:rsidR="001B4BFD">
        <w:rPr>
          <w:rFonts w:hint="eastAsia"/>
        </w:rPr>
        <w:t>二氧化碳</w:t>
      </w:r>
      <w:r>
        <w:t>永久安全</w:t>
      </w:r>
      <w:r w:rsidR="001B4BFD">
        <w:rPr>
          <w:rFonts w:hint="eastAsia"/>
        </w:rPr>
        <w:t>的</w:t>
      </w:r>
      <w:r>
        <w:t>地质封存方面处于领先地位，并希望进行投资。澳大利亚将</w:t>
      </w:r>
      <w:r w:rsidR="00215BBA">
        <w:rPr>
          <w:rFonts w:hint="eastAsia"/>
        </w:rPr>
        <w:t>持续</w:t>
      </w:r>
      <w:r w:rsidR="0044126F" w:rsidRPr="0073303D">
        <w:rPr>
          <w:rFonts w:hint="eastAsia"/>
        </w:rPr>
        <w:t>释放</w:t>
      </w:r>
      <w:r w:rsidRPr="0073303D">
        <w:rPr>
          <w:rFonts w:hint="eastAsia"/>
        </w:rPr>
        <w:t>近海温室气体封存</w:t>
      </w:r>
      <w:r w:rsidR="00A629B7" w:rsidRPr="0073303D">
        <w:rPr>
          <w:rFonts w:hint="eastAsia"/>
        </w:rPr>
        <w:t>区块</w:t>
      </w:r>
      <w:r>
        <w:t>，并正在审查其近海监管制度，</w:t>
      </w:r>
      <w:r w:rsidR="00215BBA">
        <w:rPr>
          <w:rFonts w:hint="eastAsia"/>
        </w:rPr>
        <w:t>让</w:t>
      </w:r>
      <w:r>
        <w:t>国内工业和我们的贸易伙伴</w:t>
      </w:r>
      <w:r w:rsidR="00DC4C82" w:rsidRPr="0073303D">
        <w:rPr>
          <w:rFonts w:hint="eastAsia"/>
        </w:rPr>
        <w:t>抓住</w:t>
      </w:r>
      <w:r w:rsidRPr="0073303D">
        <w:rPr>
          <w:rFonts w:hint="eastAsia"/>
        </w:rPr>
        <w:t>与</w:t>
      </w:r>
      <w:r w:rsidR="005D2E0C" w:rsidRPr="0073303D">
        <w:rPr>
          <w:rFonts w:hint="eastAsia"/>
        </w:rPr>
        <w:t>二氧化碳</w:t>
      </w:r>
      <w:r w:rsidRPr="0073303D">
        <w:rPr>
          <w:rFonts w:hint="eastAsia"/>
        </w:rPr>
        <w:t>地质封存相关的机遇</w:t>
      </w:r>
      <w:r>
        <w:t>。碳捕集、利用</w:t>
      </w:r>
      <w:r w:rsidR="00215BBA" w:rsidRPr="0073303D">
        <w:rPr>
          <w:rFonts w:hint="eastAsia"/>
        </w:rPr>
        <w:t>与</w:t>
      </w:r>
      <w:r>
        <w:t>封存（</w:t>
      </w:r>
      <w:r>
        <w:t>CCUS</w:t>
      </w:r>
      <w:r>
        <w:t>）如果能</w:t>
      </w:r>
      <w:r w:rsidR="0002003F">
        <w:rPr>
          <w:rFonts w:hint="eastAsia"/>
        </w:rPr>
        <w:t>得以</w:t>
      </w:r>
      <w:r>
        <w:t>大规模实现，将成为许多</w:t>
      </w:r>
      <w:r w:rsidRPr="0073303D">
        <w:rPr>
          <w:rFonts w:hint="eastAsia"/>
        </w:rPr>
        <w:t>难以</w:t>
      </w:r>
      <w:r w:rsidR="0002003F" w:rsidRPr="0073303D">
        <w:rPr>
          <w:rFonts w:hint="eastAsia"/>
        </w:rPr>
        <w:t>脱碳</w:t>
      </w:r>
      <w:r>
        <w:t>的行业（如水泥和化工生产）为数不多的脱碳</w:t>
      </w:r>
      <w:r w:rsidR="008D1AA1" w:rsidRPr="0073303D">
        <w:rPr>
          <w:rFonts w:hint="eastAsia"/>
        </w:rPr>
        <w:t>选项</w:t>
      </w:r>
      <w:r>
        <w:t>。</w:t>
      </w:r>
      <w:r w:rsidR="008E6CA7" w:rsidRPr="0073303D">
        <w:t>CCUS</w:t>
      </w:r>
      <w:r>
        <w:t>还</w:t>
      </w:r>
      <w:r w:rsidR="000F2474">
        <w:rPr>
          <w:rFonts w:hint="eastAsia"/>
        </w:rPr>
        <w:t>是</w:t>
      </w:r>
      <w:r>
        <w:t>基于技术的</w:t>
      </w:r>
      <w:r w:rsidR="00491724">
        <w:rPr>
          <w:rFonts w:hint="eastAsia"/>
        </w:rPr>
        <w:t>脱碳路径</w:t>
      </w:r>
      <w:r w:rsidR="000F2474">
        <w:rPr>
          <w:rFonts w:hint="eastAsia"/>
        </w:rPr>
        <w:t>的基础</w:t>
      </w:r>
      <w:r>
        <w:t>。</w:t>
      </w:r>
      <w:r w:rsidR="005D2E0C">
        <w:rPr>
          <w:rFonts w:hint="eastAsia"/>
        </w:rPr>
        <w:t xml:space="preserve"> </w:t>
      </w:r>
    </w:p>
    <w:p w14:paraId="6F5299B9" w14:textId="2FE87ABF" w:rsidR="00DB37E5" w:rsidRDefault="00DB37E5">
      <w:pPr>
        <w:sectPr w:rsidR="00DB37E5" w:rsidSect="0024548E">
          <w:footerReference w:type="even" r:id="rId22"/>
          <w:pgSz w:w="11906" w:h="16838"/>
          <w:pgMar w:top="1276" w:right="1133" w:bottom="1440" w:left="1440" w:header="851" w:footer="708" w:gutter="0"/>
          <w:pgNumType w:start="1"/>
          <w:cols w:space="708"/>
          <w:docGrid w:linePitch="360"/>
        </w:sectPr>
      </w:pPr>
    </w:p>
    <w:p w14:paraId="279469D1" w14:textId="32AEC102" w:rsidR="00DB37E5" w:rsidRDefault="00CD3F39">
      <w:pPr>
        <w:pStyle w:val="Caption"/>
      </w:pPr>
      <w:r>
        <w:lastRenderedPageBreak/>
        <w:t>图</w:t>
      </w:r>
      <w:r>
        <w:t xml:space="preserve">2 </w:t>
      </w:r>
      <w:r>
        <w:t>：</w:t>
      </w:r>
      <w:r>
        <w:t xml:space="preserve"> </w:t>
      </w:r>
      <w:r>
        <w:rPr>
          <w:b w:val="0"/>
        </w:rPr>
        <w:t>澳大利亚经济中的天然气生产和使用，包括排放量（</w:t>
      </w:r>
      <w:r>
        <w:rPr>
          <w:b w:val="0"/>
        </w:rPr>
        <w:t xml:space="preserve"> CO2</w:t>
      </w:r>
      <w:r>
        <w:rPr>
          <w:b w:val="0"/>
        </w:rPr>
        <w:t>当量）</w:t>
      </w:r>
    </w:p>
    <w:p w14:paraId="22B7D151" w14:textId="0F30D62F" w:rsidR="00DB37E5" w:rsidRDefault="00CD3F39">
      <w:pPr>
        <w:jc w:val="center"/>
      </w:pPr>
      <w:r>
        <w:rPr>
          <w:noProof/>
        </w:rPr>
        <w:drawing>
          <wp:inline distT="0" distB="0" distL="0" distR="0" wp14:anchorId="5F958970" wp14:editId="29192FD0">
            <wp:extent cx="5731510" cy="7931785"/>
            <wp:effectExtent l="0" t="0" r="2540" b="0"/>
            <wp:docPr id="1" name="Picture 1" descr="Upstream natural gas is the extraction and production of methane. In the diagram, methane is used to make liquified natural gas which is solved overseas. Methane is also used to generate electricity. The emissions created by both these processes in Australia is about 48 million tonnes of carbon dioxide equivalent. Emerging substitutes to methane include hydrogen and biometha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pstream natural gas is the extraction and production of methane. In the diagram, methane is used to make liquified natural gas which is solved overseas. Methane is also used to generate electricity. The emissions created by both these processes in Australia is about 48 million tonnes of carbon dioxide equivalent. Emerging substitutes to methane include hydrogen and biomethane.">
                      <a:extLst>
                        <a:ext uri="{C183D7F6-B498-43B3-948B-1728B52AA6E4}">
                          <adec:decorative xmlns:adec="http://schemas.microsoft.com/office/drawing/2017/decorative" val="0"/>
                        </a:ext>
                      </a:extLst>
                    </pic:cNvPr>
                    <pic:cNvPicPr/>
                  </pic:nvPicPr>
                  <pic:blipFill>
                    <a:blip r:embed="rId23"/>
                    <a:stretch>
                      <a:fillRect/>
                    </a:stretch>
                  </pic:blipFill>
                  <pic:spPr>
                    <a:xfrm>
                      <a:off x="0" y="0"/>
                      <a:ext cx="5731510" cy="7931785"/>
                    </a:xfrm>
                    <a:prstGeom prst="rect">
                      <a:avLst/>
                    </a:prstGeom>
                  </pic:spPr>
                </pic:pic>
              </a:graphicData>
            </a:graphic>
          </wp:inline>
        </w:drawing>
      </w:r>
    </w:p>
    <w:p w14:paraId="3CF7D31B" w14:textId="0A6A75CC" w:rsidR="00DB37E5" w:rsidRDefault="00CD3F39">
      <w:pPr>
        <w:spacing w:before="0" w:after="160" w:line="259" w:lineRule="auto"/>
      </w:pPr>
      <w:r>
        <w:br w:type="page"/>
      </w:r>
    </w:p>
    <w:p w14:paraId="3135D56C" w14:textId="77777777" w:rsidR="00DB37E5" w:rsidRDefault="00DB37E5">
      <w:pPr>
        <w:jc w:val="center"/>
      </w:pPr>
    </w:p>
    <w:p w14:paraId="0F0A1D00" w14:textId="64EEE096" w:rsidR="00DB37E5" w:rsidRDefault="00CD3F39">
      <w:pPr>
        <w:jc w:val="center"/>
      </w:pPr>
      <w:r>
        <w:rPr>
          <w:noProof/>
        </w:rPr>
        <w:drawing>
          <wp:inline distT="0" distB="0" distL="0" distR="0" wp14:anchorId="3B2AB6BB" wp14:editId="0E8C7376">
            <wp:extent cx="5731510" cy="7962265"/>
            <wp:effectExtent l="0" t="0" r="2540" b="635"/>
            <wp:docPr id="2" name="Picture 2" descr="Down-stream natural gas is the use of methane in industrial processes to make chemicals and products. In the diagram, methane is used as a heat source and as a chemical input for industrial processes to make fertilizers, explosives and cleaning products. The emissions created in Australia from the down-stream use of methane is about 48.7 millio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wn-stream natural gas is the use of methane in industrial processes to make chemicals and products. In the diagram, methane is used as a heat source and as a chemical input for industrial processes to make fertilizers, explosives and cleaning products. The emissions created in Australia from the down-stream use of methane is about 48.7 million tonnes of carbon dioxide equivalent."/>
                    <pic:cNvPicPr/>
                  </pic:nvPicPr>
                  <pic:blipFill>
                    <a:blip r:embed="rId24"/>
                    <a:stretch>
                      <a:fillRect/>
                    </a:stretch>
                  </pic:blipFill>
                  <pic:spPr>
                    <a:xfrm>
                      <a:off x="0" y="0"/>
                      <a:ext cx="5731510" cy="7962265"/>
                    </a:xfrm>
                    <a:prstGeom prst="rect">
                      <a:avLst/>
                    </a:prstGeom>
                  </pic:spPr>
                </pic:pic>
              </a:graphicData>
            </a:graphic>
          </wp:inline>
        </w:drawing>
      </w:r>
    </w:p>
    <w:p w14:paraId="67ABF639" w14:textId="77777777" w:rsidR="00DB37E5" w:rsidRDefault="00DB37E5">
      <w:pPr>
        <w:jc w:val="center"/>
        <w:rPr>
          <w:color w:val="001B35" w:themeColor="accent1"/>
        </w:rPr>
      </w:pPr>
    </w:p>
    <w:p w14:paraId="4EE02E7D" w14:textId="19CAB1D4" w:rsidR="00DB37E5" w:rsidRDefault="00DB37E5">
      <w:pPr>
        <w:rPr>
          <w:color w:val="001B35" w:themeColor="accent1"/>
        </w:rPr>
        <w:sectPr w:rsidR="00DB37E5" w:rsidSect="00F822D0">
          <w:pgSz w:w="11906" w:h="16838"/>
          <w:pgMar w:top="1440" w:right="1440" w:bottom="1440" w:left="1440" w:header="851" w:footer="708" w:gutter="0"/>
          <w:cols w:space="708"/>
          <w:docGrid w:linePitch="360"/>
        </w:sectPr>
      </w:pPr>
    </w:p>
    <w:bookmarkEnd w:id="13"/>
    <w:bookmarkEnd w:id="12"/>
    <w:bookmarkEnd w:id="11"/>
    <w:bookmarkEnd w:id="7"/>
    <w:p w14:paraId="712F89DE" w14:textId="77777777" w:rsidR="00DB37E5" w:rsidRDefault="00CD3F39">
      <w:pPr>
        <w:pStyle w:val="Heading3"/>
      </w:pPr>
      <w:r>
        <w:lastRenderedPageBreak/>
        <w:t>行动计划</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8EB"/>
        <w:tblCellMar>
          <w:left w:w="113" w:type="dxa"/>
          <w:bottom w:w="170" w:type="dxa"/>
          <w:right w:w="113" w:type="dxa"/>
        </w:tblCellMar>
        <w:tblLook w:val="04A0" w:firstRow="1" w:lastRow="0" w:firstColumn="1" w:lastColumn="0" w:noHBand="0" w:noVBand="1"/>
      </w:tblPr>
      <w:tblGrid>
        <w:gridCol w:w="4233"/>
        <w:gridCol w:w="346"/>
        <w:gridCol w:w="4447"/>
      </w:tblGrid>
      <w:tr w:rsidR="00DB37E5" w14:paraId="2B6F62F2" w14:textId="77777777">
        <w:trPr>
          <w:cnfStyle w:val="100000000000" w:firstRow="1" w:lastRow="0" w:firstColumn="0" w:lastColumn="0" w:oddVBand="0" w:evenVBand="0" w:oddHBand="0" w:evenHBand="0" w:firstRowFirstColumn="0" w:firstRowLastColumn="0" w:lastRowFirstColumn="0" w:lastRowLastColumn="0"/>
          <w:trHeight w:val="20"/>
        </w:trPr>
        <w:tc>
          <w:tcPr>
            <w:tcW w:w="4233" w:type="dxa"/>
            <w:shd w:val="clear" w:color="auto" w:fill="C6E8EB"/>
          </w:tcPr>
          <w:p w14:paraId="0BD6C9C1" w14:textId="3E2A8F90" w:rsidR="00DB37E5" w:rsidRDefault="00CD3F39">
            <w:pPr>
              <w:pStyle w:val="Heading5"/>
              <w:spacing w:after="0"/>
            </w:pPr>
            <w:r>
              <w:t>行动</w:t>
            </w:r>
            <w:r>
              <w:t xml:space="preserve">1 </w:t>
            </w:r>
            <w:r>
              <w:t>：防止</w:t>
            </w:r>
            <w:r w:rsidR="00F23BCF">
              <w:rPr>
                <w:rFonts w:hint="eastAsia"/>
              </w:rPr>
              <w:t>天然气</w:t>
            </w:r>
            <w:r w:rsidR="00293080">
              <w:rPr>
                <w:rFonts w:hint="eastAsia"/>
              </w:rPr>
              <w:t>供应缺口</w:t>
            </w:r>
          </w:p>
        </w:tc>
        <w:tc>
          <w:tcPr>
            <w:tcW w:w="346" w:type="dxa"/>
            <w:shd w:val="clear" w:color="auto" w:fill="C6E8EB"/>
          </w:tcPr>
          <w:p w14:paraId="4A06BA2B" w14:textId="77777777" w:rsidR="00DB37E5" w:rsidRDefault="00DB37E5">
            <w:pPr>
              <w:spacing w:after="0"/>
              <w:rPr>
                <w:b w:val="0"/>
              </w:rPr>
            </w:pPr>
          </w:p>
        </w:tc>
        <w:tc>
          <w:tcPr>
            <w:tcW w:w="4447" w:type="dxa"/>
            <w:shd w:val="clear" w:color="auto" w:fill="C6E8EB"/>
          </w:tcPr>
          <w:p w14:paraId="7F20E147" w14:textId="7FCD6440" w:rsidR="00DB37E5" w:rsidRDefault="00CD3F39">
            <w:pPr>
              <w:pStyle w:val="Heading5"/>
              <w:spacing w:after="0"/>
            </w:pPr>
            <w:r>
              <w:t>行动</w:t>
            </w:r>
            <w:r>
              <w:t xml:space="preserve">2 </w:t>
            </w:r>
            <w:r>
              <w:t>：减少与天然气相关的排放</w:t>
            </w:r>
          </w:p>
        </w:tc>
      </w:tr>
      <w:tr w:rsidR="00DB37E5" w14:paraId="1644411B" w14:textId="77777777">
        <w:trPr>
          <w:trHeight w:val="20"/>
        </w:trPr>
        <w:tc>
          <w:tcPr>
            <w:tcW w:w="4233" w:type="dxa"/>
            <w:shd w:val="clear" w:color="auto" w:fill="C6E8EB"/>
          </w:tcPr>
          <w:p w14:paraId="5132EB7E" w14:textId="01D26D38" w:rsidR="00DB37E5" w:rsidRDefault="00CD3F39">
            <w:pPr>
              <w:pStyle w:val="Caption"/>
            </w:pPr>
            <w:r>
              <w:t>可靠的天然气供应对于能源生产以及工业和住宅用途至关重要。</w:t>
            </w:r>
            <w:r>
              <w:t xml:space="preserve"> </w:t>
            </w:r>
            <w:r>
              <w:t>预测的</w:t>
            </w:r>
            <w:r w:rsidR="005C3B17">
              <w:rPr>
                <w:rFonts w:hint="eastAsia"/>
              </w:rPr>
              <w:t>缺口</w:t>
            </w:r>
            <w:r>
              <w:t>预计将给价格带来上行压力。</w:t>
            </w:r>
          </w:p>
          <w:p w14:paraId="2981258E" w14:textId="00B4B206" w:rsidR="00DB37E5" w:rsidRDefault="00CD3F39">
            <w:pPr>
              <w:rPr>
                <w:b/>
              </w:rPr>
            </w:pPr>
            <w:r>
              <w:t>政府目前正在通过以下政策和监管机制来</w:t>
            </w:r>
            <w:r w:rsidR="00537923">
              <w:rPr>
                <w:rFonts w:hint="eastAsia"/>
              </w:rPr>
              <w:t>管控</w:t>
            </w:r>
            <w:r w:rsidR="005C3B17">
              <w:rPr>
                <w:rFonts w:hint="eastAsia"/>
              </w:rPr>
              <w:t>供应缺口</w:t>
            </w:r>
            <w:r>
              <w:t>风险：</w:t>
            </w:r>
          </w:p>
          <w:p w14:paraId="5A8A77D3" w14:textId="2F1E37E5" w:rsidR="00DB37E5" w:rsidRDefault="00CD3F39">
            <w:pPr>
              <w:pStyle w:val="ListParagraph"/>
            </w:pPr>
            <w:r>
              <w:t>利用澳大利亚能源市场运营</w:t>
            </w:r>
            <w:r w:rsidR="000C6842">
              <w:rPr>
                <w:rFonts w:hint="eastAsia"/>
              </w:rPr>
              <w:t>调度中心</w:t>
            </w:r>
            <w:r>
              <w:t>的权力、《天然气市场准则》规定的供应承诺以及</w:t>
            </w:r>
            <w:r w:rsidR="004B35F0">
              <w:rPr>
                <w:rFonts w:hint="eastAsia"/>
              </w:rPr>
              <w:t>框架</w:t>
            </w:r>
            <w:r>
              <w:t>协议，提前解决预测的</w:t>
            </w:r>
            <w:r w:rsidR="005C3B17">
              <w:rPr>
                <w:rFonts w:hint="eastAsia"/>
              </w:rPr>
              <w:t>缺口</w:t>
            </w:r>
            <w:r>
              <w:t>问题。</w:t>
            </w:r>
          </w:p>
          <w:p w14:paraId="0D23BF2F" w14:textId="77777777" w:rsidR="00DB37E5" w:rsidRDefault="00CD3F39">
            <w:pPr>
              <w:pStyle w:val="ListParagraph"/>
            </w:pPr>
            <w:r>
              <w:t>将澳大利亚国内天然气安全机制（</w:t>
            </w:r>
            <w:r>
              <w:t xml:space="preserve"> ADGSM </w:t>
            </w:r>
            <w:r>
              <w:t>）作为最后手段，以限制出口并确保充足和安全的天然气供应。</w:t>
            </w:r>
          </w:p>
          <w:p w14:paraId="2F6A2646" w14:textId="77777777" w:rsidR="00DB37E5" w:rsidRDefault="00CD3F39">
            <w:pPr>
              <w:rPr>
                <w:b/>
              </w:rPr>
            </w:pPr>
            <w:r>
              <w:t>根据支持本战略的分析结果，政府还将：</w:t>
            </w:r>
          </w:p>
          <w:p w14:paraId="164B07C0" w14:textId="3EF51C56" w:rsidR="00DB37E5" w:rsidRDefault="00CD3F39">
            <w:pPr>
              <w:pStyle w:val="ListParagraph"/>
            </w:pPr>
            <w:r>
              <w:t>继续投资于</w:t>
            </w:r>
            <w:r w:rsidRPr="0073303D">
              <w:rPr>
                <w:rFonts w:hint="eastAsia"/>
              </w:rPr>
              <w:t>竞争前地质</w:t>
            </w:r>
            <w:r w:rsidR="00201ED9" w:rsidRPr="0073303D">
              <w:rPr>
                <w:rFonts w:hint="eastAsia"/>
              </w:rPr>
              <w:t>科</w:t>
            </w:r>
            <w:r w:rsidRPr="0073303D">
              <w:rPr>
                <w:rFonts w:hint="eastAsia"/>
              </w:rPr>
              <w:t>学数据</w:t>
            </w:r>
            <w:r>
              <w:t>。</w:t>
            </w:r>
          </w:p>
          <w:p w14:paraId="57750CB1" w14:textId="5737804A" w:rsidR="00DB37E5" w:rsidRDefault="00CD3F39">
            <w:pPr>
              <w:pStyle w:val="ListParagraph"/>
            </w:pPr>
            <w:r>
              <w:t>更新联邦</w:t>
            </w:r>
            <w:r w:rsidRPr="0073303D">
              <w:rPr>
                <w:rFonts w:hint="eastAsia"/>
              </w:rPr>
              <w:t>租约</w:t>
            </w:r>
            <w:r w:rsidR="00C3323E" w:rsidRPr="0073303D">
              <w:rPr>
                <w:rFonts w:hint="eastAsia"/>
              </w:rPr>
              <w:t>保留</w:t>
            </w:r>
            <w:r w:rsidRPr="0073303D">
              <w:rPr>
                <w:rFonts w:hint="eastAsia"/>
              </w:rPr>
              <w:t>政策</w:t>
            </w:r>
            <w:r>
              <w:t>，鼓励及时开发现有</w:t>
            </w:r>
            <w:r w:rsidR="00BC1AC5">
              <w:rPr>
                <w:rFonts w:hint="eastAsia"/>
              </w:rPr>
              <w:t>的</w:t>
            </w:r>
            <w:r w:rsidR="00595612" w:rsidRPr="0073303D">
              <w:rPr>
                <w:rFonts w:hint="eastAsia"/>
              </w:rPr>
              <w:t>探明</w:t>
            </w:r>
            <w:r w:rsidR="00595612">
              <w:t>天然气</w:t>
            </w:r>
            <w:r w:rsidR="00595612">
              <w:rPr>
                <w:rFonts w:hint="eastAsia"/>
              </w:rPr>
              <w:t>储量</w:t>
            </w:r>
            <w:r>
              <w:t>，</w:t>
            </w:r>
            <w:r w:rsidRPr="0073303D">
              <w:rPr>
                <w:rFonts w:hint="eastAsia"/>
              </w:rPr>
              <w:t>并考虑制定更</w:t>
            </w:r>
            <w:r w:rsidR="00447268" w:rsidRPr="0073303D">
              <w:rPr>
                <w:rFonts w:hint="eastAsia"/>
              </w:rPr>
              <w:t>严格</w:t>
            </w:r>
            <w:r w:rsidRPr="0073303D">
              <w:rPr>
                <w:rFonts w:hint="eastAsia"/>
              </w:rPr>
              <w:t>的</w:t>
            </w:r>
            <w:r w:rsidRPr="0073303D">
              <w:t xml:space="preserve"> </w:t>
            </w:r>
            <w:r w:rsidR="00140D8E">
              <w:rPr>
                <w:rFonts w:hint="eastAsia"/>
              </w:rPr>
              <w:t>退出机制</w:t>
            </w:r>
            <w:r>
              <w:t>。</w:t>
            </w:r>
          </w:p>
          <w:p w14:paraId="4074C821" w14:textId="7662C5CC" w:rsidR="00DB37E5" w:rsidRDefault="00CD3F39">
            <w:pPr>
              <w:pStyle w:val="ListParagraph"/>
            </w:pPr>
            <w:r>
              <w:t>重新规划未来联邦</w:t>
            </w:r>
            <w:r w:rsidR="000F4047">
              <w:rPr>
                <w:rFonts w:hint="eastAsia"/>
              </w:rPr>
              <w:t>近海</w:t>
            </w:r>
            <w:r>
              <w:t>勘</w:t>
            </w:r>
            <w:r w:rsidRPr="00140D8E">
              <w:t>探</w:t>
            </w:r>
            <w:r w:rsidR="00140D8E" w:rsidRPr="0073303D">
              <w:rPr>
                <w:rFonts w:hint="eastAsia"/>
              </w:rPr>
              <w:t>区块</w:t>
            </w:r>
            <w:r w:rsidRPr="00140D8E">
              <w:t>的</w:t>
            </w:r>
            <w:r>
              <w:t>释放，重点优化生产盆地的</w:t>
            </w:r>
            <w:r w:rsidRPr="0073303D">
              <w:rPr>
                <w:rFonts w:hint="eastAsia"/>
              </w:rPr>
              <w:t>现有</w:t>
            </w:r>
            <w:r w:rsidR="005F52EA" w:rsidRPr="0073303D">
              <w:rPr>
                <w:rFonts w:hint="eastAsia"/>
              </w:rPr>
              <w:t>探明开发储量</w:t>
            </w:r>
            <w:r>
              <w:t>和基础设施，优先考虑能源安全，并与我们的净零排放目标保持一致。</w:t>
            </w:r>
          </w:p>
          <w:p w14:paraId="5B2E6E0E" w14:textId="4B037F49" w:rsidR="00DB37E5" w:rsidRDefault="00CD3F39">
            <w:pPr>
              <w:pStyle w:val="ListParagraph"/>
            </w:pPr>
            <w:r>
              <w:t>根据《天然气市场</w:t>
            </w:r>
            <w:r w:rsidR="00D70308">
              <w:t>准则</w:t>
            </w:r>
            <w:r>
              <w:t>》豁免框架与天然气生产商合作，以增加</w:t>
            </w:r>
            <w:r w:rsidR="00AC6264">
              <w:rPr>
                <w:rFonts w:hint="eastAsia"/>
              </w:rPr>
              <w:t>用于</w:t>
            </w:r>
            <w:r>
              <w:t>未来国内供应的天然气供应。</w:t>
            </w:r>
          </w:p>
          <w:p w14:paraId="4188D573" w14:textId="37D4C229" w:rsidR="00DB37E5" w:rsidRDefault="00CD3F39">
            <w:pPr>
              <w:pStyle w:val="ListParagraph"/>
              <w:rPr>
                <w:b/>
                <w:i/>
              </w:rPr>
            </w:pPr>
            <w:r>
              <w:t>继续与州和</w:t>
            </w:r>
            <w:r w:rsidR="00A13FCB">
              <w:rPr>
                <w:rFonts w:hint="eastAsia"/>
              </w:rPr>
              <w:t>领地</w:t>
            </w:r>
            <w:r>
              <w:t>政府合作，提高监管制度的效率。</w:t>
            </w:r>
          </w:p>
        </w:tc>
        <w:tc>
          <w:tcPr>
            <w:tcW w:w="346" w:type="dxa"/>
            <w:shd w:val="clear" w:color="auto" w:fill="C6E8EB"/>
          </w:tcPr>
          <w:p w14:paraId="39717E8F" w14:textId="77777777" w:rsidR="00DB37E5" w:rsidRDefault="00DB37E5">
            <w:pPr>
              <w:rPr>
                <w:b/>
              </w:rPr>
            </w:pPr>
          </w:p>
        </w:tc>
        <w:tc>
          <w:tcPr>
            <w:tcW w:w="4447" w:type="dxa"/>
            <w:shd w:val="clear" w:color="auto" w:fill="C6E8EB"/>
          </w:tcPr>
          <w:p w14:paraId="4ED7F7F3" w14:textId="77777777" w:rsidR="00DB37E5" w:rsidRDefault="00CD3F39">
            <w:pPr>
              <w:pStyle w:val="Caption"/>
            </w:pPr>
            <w:r>
              <w:t>政府致力于到</w:t>
            </w:r>
            <w:r>
              <w:t>2030</w:t>
            </w:r>
            <w:r>
              <w:t>年将温室气体排放量比</w:t>
            </w:r>
            <w:r>
              <w:t>2005</w:t>
            </w:r>
            <w:r>
              <w:t>年水平减少</w:t>
            </w:r>
            <w:r>
              <w:t xml:space="preserve">43% </w:t>
            </w:r>
            <w:r>
              <w:t>，到</w:t>
            </w:r>
            <w:r>
              <w:t>2050</w:t>
            </w:r>
            <w:r>
              <w:t>年实现净零排放。</w:t>
            </w:r>
            <w:r>
              <w:t xml:space="preserve"> </w:t>
            </w:r>
            <w:r>
              <w:t>政府将通过以下方式加快减少与天然气相关的排放：</w:t>
            </w:r>
          </w:p>
          <w:p w14:paraId="4E4FF560" w14:textId="464B0F4E" w:rsidR="00DB37E5" w:rsidRDefault="00CD3F39">
            <w:pPr>
              <w:pStyle w:val="ListParagraph"/>
            </w:pPr>
            <w:r>
              <w:t>保障机制，该机制要求澳大利亚最大的排放</w:t>
            </w:r>
            <w:r w:rsidR="005F52EA" w:rsidRPr="0073303D">
              <w:rPr>
                <w:rFonts w:hint="eastAsia"/>
              </w:rPr>
              <w:t>行业</w:t>
            </w:r>
            <w:r>
              <w:t>（包括天然气和液化天然气生产商）承担减排义务。</w:t>
            </w:r>
          </w:p>
          <w:p w14:paraId="6C854461" w14:textId="6524E5E1" w:rsidR="00DB37E5" w:rsidRDefault="00CB1AB6">
            <w:pPr>
              <w:pStyle w:val="ListParagraph"/>
              <w:rPr>
                <w:b/>
              </w:rPr>
            </w:pPr>
            <w:r>
              <w:rPr>
                <w:rFonts w:hint="eastAsia"/>
              </w:rPr>
              <w:t>“</w:t>
            </w:r>
            <w:r w:rsidR="00CD3F39">
              <w:t>六个部门的</w:t>
            </w:r>
            <w:r w:rsidR="00835974" w:rsidRPr="0073303D">
              <w:rPr>
                <w:rFonts w:hint="eastAsia"/>
              </w:rPr>
              <w:t>脱碳</w:t>
            </w:r>
            <w:r w:rsidR="00CD3F39" w:rsidRPr="0073303D">
              <w:rPr>
                <w:rFonts w:hint="eastAsia"/>
              </w:rPr>
              <w:t>计划</w:t>
            </w:r>
            <w:r>
              <w:rPr>
                <w:rFonts w:hint="eastAsia"/>
              </w:rPr>
              <w:t>”</w:t>
            </w:r>
            <w:r w:rsidR="00CD3F39">
              <w:t>涵盖了经济的所有主要组成部分，以制定稳健、雄心勃勃且可实现的</w:t>
            </w:r>
            <w:r w:rsidR="00835974" w:rsidRPr="0073303D">
              <w:rPr>
                <w:rFonts w:hint="eastAsia"/>
              </w:rPr>
              <w:t>脱碳</w:t>
            </w:r>
            <w:r w:rsidR="00CD3F39" w:rsidRPr="0073303D">
              <w:rPr>
                <w:rFonts w:hint="eastAsia"/>
              </w:rPr>
              <w:t>路径</w:t>
            </w:r>
            <w:r w:rsidR="00CD3F39">
              <w:t>。</w:t>
            </w:r>
          </w:p>
          <w:p w14:paraId="4F9D3BA4" w14:textId="77777777" w:rsidR="00DB37E5" w:rsidRDefault="00CD3F39">
            <w:r w:rsidRPr="0073303D">
              <w:rPr>
                <w:rFonts w:hint="eastAsia"/>
              </w:rPr>
              <w:t>根据支持本战略的分析结果</w:t>
            </w:r>
            <w:r>
              <w:t>，政府还将：</w:t>
            </w:r>
          </w:p>
          <w:p w14:paraId="5E05ECE6" w14:textId="4F8A4228" w:rsidR="00DB37E5" w:rsidRPr="0073303D" w:rsidRDefault="00CD3F39">
            <w:pPr>
              <w:pStyle w:val="ListParagraph"/>
            </w:pPr>
            <w:r w:rsidRPr="0073303D">
              <w:rPr>
                <w:rFonts w:hint="eastAsia"/>
              </w:rPr>
              <w:t>与监管机构和行业合作，减少并</w:t>
            </w:r>
            <w:r w:rsidR="00BC40CC">
              <w:rPr>
                <w:rFonts w:hint="eastAsia"/>
              </w:rPr>
              <w:t>尽可能</w:t>
            </w:r>
            <w:r w:rsidR="008B4FBB">
              <w:rPr>
                <w:rFonts w:hint="eastAsia"/>
              </w:rPr>
              <w:t>彻底</w:t>
            </w:r>
            <w:r w:rsidRPr="0073303D">
              <w:rPr>
                <w:rFonts w:hint="eastAsia"/>
              </w:rPr>
              <w:t>消除天然气</w:t>
            </w:r>
            <w:r w:rsidR="00042F48">
              <w:rPr>
                <w:rFonts w:hint="eastAsia"/>
              </w:rPr>
              <w:t>放空燃烧</w:t>
            </w:r>
            <w:r w:rsidRPr="0073303D">
              <w:rPr>
                <w:rFonts w:hint="eastAsia"/>
              </w:rPr>
              <w:t>，</w:t>
            </w:r>
            <w:r w:rsidR="006F7D72" w:rsidRPr="00DD42DE">
              <w:t>除非</w:t>
            </w:r>
            <w:r w:rsidR="00A53A36">
              <w:rPr>
                <w:rFonts w:hint="eastAsia"/>
              </w:rPr>
              <w:t>放</w:t>
            </w:r>
            <w:r w:rsidR="00BC40CC">
              <w:rPr>
                <w:rFonts w:hint="eastAsia"/>
              </w:rPr>
              <w:t>空燃烧</w:t>
            </w:r>
            <w:r w:rsidR="006F7D72" w:rsidRPr="00DD42DE">
              <w:t>出于安全目的</w:t>
            </w:r>
            <w:r w:rsidR="00BC40CC">
              <w:rPr>
                <w:rFonts w:hint="eastAsia"/>
              </w:rPr>
              <w:t>。</w:t>
            </w:r>
          </w:p>
          <w:p w14:paraId="245E2A18" w14:textId="77777777" w:rsidR="00DB37E5" w:rsidRDefault="00CD3F39">
            <w:pPr>
              <w:pStyle w:val="ListParagraph"/>
            </w:pPr>
            <w:r>
              <w:t>在联邦水域采用技术中立的数据采集方法，尽可能减少使用海洋地震勘测。</w:t>
            </w:r>
          </w:p>
          <w:p w14:paraId="4B819BD5" w14:textId="0618D0BA" w:rsidR="00DB37E5" w:rsidRDefault="00CD3F39">
            <w:pPr>
              <w:pStyle w:val="ListParagraph"/>
            </w:pPr>
            <w:r>
              <w:t>在政府的</w:t>
            </w:r>
            <w:r w:rsidR="00CB1AB6">
              <w:rPr>
                <w:rFonts w:hint="eastAsia"/>
              </w:rPr>
              <w:t>“</w:t>
            </w:r>
            <w:r>
              <w:t>六个部门脱碳计划</w:t>
            </w:r>
            <w:r w:rsidR="00CB1AB6">
              <w:rPr>
                <w:rFonts w:hint="eastAsia"/>
              </w:rPr>
              <w:t>”</w:t>
            </w:r>
            <w:r>
              <w:t>（包括</w:t>
            </w:r>
            <w:r w:rsidR="00CB1AB6">
              <w:rPr>
                <w:rFonts w:hint="eastAsia"/>
              </w:rPr>
              <w:t>“</w:t>
            </w:r>
            <w:r>
              <w:t>资源部门计划</w:t>
            </w:r>
            <w:r w:rsidR="00CB1AB6">
              <w:rPr>
                <w:rFonts w:hint="eastAsia"/>
              </w:rPr>
              <w:t>”</w:t>
            </w:r>
            <w:r>
              <w:t>）中考虑减少天然气需求的措施。</w:t>
            </w:r>
            <w:r w:rsidR="00CB1AB6">
              <w:rPr>
                <w:rFonts w:hint="eastAsia"/>
              </w:rPr>
              <w:t>“</w:t>
            </w:r>
            <w:r>
              <w:t>资源部门计划</w:t>
            </w:r>
            <w:r w:rsidR="00CB1AB6">
              <w:rPr>
                <w:rFonts w:hint="eastAsia"/>
              </w:rPr>
              <w:t>”</w:t>
            </w:r>
            <w:r>
              <w:t>还在考虑如何促进天然气生产中压缩机、泵和液化</w:t>
            </w:r>
            <w:r w:rsidR="00DE7FAA">
              <w:rPr>
                <w:rFonts w:hint="eastAsia"/>
              </w:rPr>
              <w:t>使用</w:t>
            </w:r>
            <w:r w:rsidRPr="0073303D">
              <w:rPr>
                <w:rFonts w:hint="eastAsia"/>
              </w:rPr>
              <w:t>天然气</w:t>
            </w:r>
            <w:r>
              <w:t>的电气化。</w:t>
            </w:r>
          </w:p>
          <w:p w14:paraId="5E08E4F4" w14:textId="4875C2DE" w:rsidR="00DB37E5" w:rsidRDefault="00CD3F39">
            <w:pPr>
              <w:pStyle w:val="ListParagraph"/>
            </w:pPr>
            <w:r>
              <w:t>澳大利亚政府的</w:t>
            </w:r>
            <w:r>
              <w:t xml:space="preserve"> </w:t>
            </w:r>
            <w:r w:rsidR="003F14FF">
              <w:rPr>
                <w:rFonts w:hint="eastAsia"/>
              </w:rPr>
              <w:t>“</w:t>
            </w:r>
            <w:r>
              <w:t>澳大利亚</w:t>
            </w:r>
            <w:r w:rsidR="001D03D9">
              <w:t>未来</w:t>
            </w:r>
            <w:r>
              <w:t>制造议程</w:t>
            </w:r>
            <w:r w:rsidR="003F14FF">
              <w:rPr>
                <w:rFonts w:hint="eastAsia"/>
              </w:rPr>
              <w:t>”</w:t>
            </w:r>
            <w:r>
              <w:t>将有助于在中长期内减少特定行业的气体排放，并为澳大利亚成为可再生能源超级大国做出贡献。</w:t>
            </w:r>
          </w:p>
        </w:tc>
      </w:tr>
    </w:tbl>
    <w:p w14:paraId="19A0A47A" w14:textId="2094A684" w:rsidR="008C50C2" w:rsidRDefault="008C50C2">
      <w:pPr>
        <w:jc w:val="center"/>
      </w:pPr>
    </w:p>
    <w:p w14:paraId="01C4E17C" w14:textId="77777777" w:rsidR="008C50C2" w:rsidRDefault="008C50C2">
      <w:pPr>
        <w:spacing w:before="0" w:after="160" w:line="259"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8EB"/>
        <w:tblCellMar>
          <w:left w:w="113" w:type="dxa"/>
          <w:bottom w:w="170" w:type="dxa"/>
          <w:right w:w="113" w:type="dxa"/>
        </w:tblCellMar>
        <w:tblLook w:val="04A0" w:firstRow="1" w:lastRow="0" w:firstColumn="1" w:lastColumn="0" w:noHBand="0" w:noVBand="1"/>
      </w:tblPr>
      <w:tblGrid>
        <w:gridCol w:w="4233"/>
        <w:gridCol w:w="346"/>
        <w:gridCol w:w="4447"/>
      </w:tblGrid>
      <w:tr w:rsidR="006A0512" w14:paraId="734F4A71" w14:textId="77777777" w:rsidTr="000577C4">
        <w:trPr>
          <w:cnfStyle w:val="100000000000" w:firstRow="1" w:lastRow="0" w:firstColumn="0" w:lastColumn="0" w:oddVBand="0" w:evenVBand="0" w:oddHBand="0" w:evenHBand="0" w:firstRowFirstColumn="0" w:firstRowLastColumn="0" w:lastRowFirstColumn="0" w:lastRowLastColumn="0"/>
          <w:trHeight w:val="20"/>
        </w:trPr>
        <w:tc>
          <w:tcPr>
            <w:tcW w:w="4233" w:type="dxa"/>
            <w:shd w:val="clear" w:color="auto" w:fill="C6E8EB"/>
          </w:tcPr>
          <w:p w14:paraId="21CAE6A3" w14:textId="09A4B085" w:rsidR="006A0512" w:rsidRPr="00AA547E" w:rsidRDefault="006A0512" w:rsidP="006A0512">
            <w:pPr>
              <w:pStyle w:val="Heading5"/>
              <w:spacing w:after="0"/>
            </w:pPr>
            <w:r>
              <w:lastRenderedPageBreak/>
              <w:t>行动</w:t>
            </w:r>
            <w:r>
              <w:t xml:space="preserve">3 </w:t>
            </w:r>
            <w:r>
              <w:t>：支持</w:t>
            </w:r>
            <w:r w:rsidR="001B19E8">
              <w:rPr>
                <w:rFonts w:hint="eastAsia"/>
              </w:rPr>
              <w:t>居民</w:t>
            </w:r>
            <w:r>
              <w:t>家庭和企业向净零排放过渡。</w:t>
            </w:r>
            <w:r>
              <w:t xml:space="preserve"> </w:t>
            </w:r>
          </w:p>
        </w:tc>
        <w:tc>
          <w:tcPr>
            <w:tcW w:w="346" w:type="dxa"/>
            <w:shd w:val="clear" w:color="auto" w:fill="C6E8EB"/>
          </w:tcPr>
          <w:p w14:paraId="7FFEBB5A" w14:textId="77777777" w:rsidR="006A0512" w:rsidRPr="00EE6618" w:rsidRDefault="006A0512" w:rsidP="006A0512">
            <w:pPr>
              <w:spacing w:after="0"/>
              <w:rPr>
                <w:b w:val="0"/>
                <w:bCs/>
              </w:rPr>
            </w:pPr>
          </w:p>
        </w:tc>
        <w:tc>
          <w:tcPr>
            <w:tcW w:w="4447" w:type="dxa"/>
            <w:shd w:val="clear" w:color="auto" w:fill="C6E8EB"/>
          </w:tcPr>
          <w:p w14:paraId="6A66581D" w14:textId="68C1AAFE" w:rsidR="006A0512" w:rsidRPr="00AA547E" w:rsidRDefault="006A0512" w:rsidP="006A0512">
            <w:pPr>
              <w:pStyle w:val="Heading5"/>
              <w:spacing w:after="0"/>
            </w:pPr>
            <w:r>
              <w:t>行动</w:t>
            </w:r>
            <w:r>
              <w:t xml:space="preserve">4 </w:t>
            </w:r>
            <w:r>
              <w:t>：赋予原住民权力，使其</w:t>
            </w:r>
            <w:r w:rsidRPr="0073303D">
              <w:rPr>
                <w:rFonts w:hint="eastAsia"/>
              </w:rPr>
              <w:t>从</w:t>
            </w:r>
            <w:r>
              <w:t>净零过渡中受益。</w:t>
            </w:r>
          </w:p>
        </w:tc>
      </w:tr>
      <w:tr w:rsidR="006A0512" w14:paraId="5EF27756" w14:textId="77777777" w:rsidTr="000577C4">
        <w:trPr>
          <w:trHeight w:val="20"/>
        </w:trPr>
        <w:tc>
          <w:tcPr>
            <w:tcW w:w="4233" w:type="dxa"/>
            <w:shd w:val="clear" w:color="auto" w:fill="C6E8EB"/>
          </w:tcPr>
          <w:p w14:paraId="00AE35D3" w14:textId="37533213" w:rsidR="006A0512" w:rsidRDefault="00C20EA2" w:rsidP="006A0512">
            <w:pPr>
              <w:pStyle w:val="Caption"/>
            </w:pPr>
            <w:r w:rsidRPr="0073303D">
              <w:rPr>
                <w:rFonts w:hint="eastAsia"/>
              </w:rPr>
              <w:t>减轻</w:t>
            </w:r>
            <w:r w:rsidR="006A0512" w:rsidRPr="0073303D">
              <w:rPr>
                <w:rFonts w:hint="eastAsia"/>
              </w:rPr>
              <w:t>澳大利亚人</w:t>
            </w:r>
            <w:r w:rsidRPr="0073303D">
              <w:rPr>
                <w:rFonts w:hint="eastAsia"/>
              </w:rPr>
              <w:t>民的</w:t>
            </w:r>
            <w:r w:rsidR="006A0512" w:rsidRPr="0073303D">
              <w:rPr>
                <w:rFonts w:hint="eastAsia"/>
              </w:rPr>
              <w:t>生活</w:t>
            </w:r>
            <w:r w:rsidRPr="0073303D">
              <w:rPr>
                <w:rFonts w:hint="eastAsia"/>
              </w:rPr>
              <w:t>成本</w:t>
            </w:r>
            <w:r w:rsidR="006A0512">
              <w:t>是政府的首要任务。</w:t>
            </w:r>
            <w:r w:rsidR="006A0512">
              <w:t xml:space="preserve"> </w:t>
            </w:r>
            <w:r w:rsidR="006A0512">
              <w:t>生活</w:t>
            </w:r>
            <w:r w:rsidR="00D238F0">
              <w:rPr>
                <w:rFonts w:hint="eastAsia"/>
              </w:rPr>
              <w:t>成本</w:t>
            </w:r>
            <w:r w:rsidR="006A0512">
              <w:t>是社区福祉和繁荣的重要</w:t>
            </w:r>
            <w:r w:rsidR="00D238F0">
              <w:rPr>
                <w:rFonts w:hint="eastAsia"/>
              </w:rPr>
              <w:t>指征</w:t>
            </w:r>
            <w:r w:rsidR="006A0512">
              <w:t>。</w:t>
            </w:r>
            <w:r w:rsidR="006A0512">
              <w:t xml:space="preserve"> </w:t>
            </w:r>
            <w:r w:rsidR="006A0512" w:rsidRPr="0073303D">
              <w:rPr>
                <w:rFonts w:hint="eastAsia"/>
              </w:rPr>
              <w:t>短期</w:t>
            </w:r>
            <w:r w:rsidR="002175F9" w:rsidRPr="0073303D">
              <w:rPr>
                <w:rFonts w:hint="eastAsia"/>
              </w:rPr>
              <w:t>能源价格</w:t>
            </w:r>
            <w:r w:rsidR="006A0512" w:rsidRPr="0073303D">
              <w:rPr>
                <w:rFonts w:hint="eastAsia"/>
              </w:rPr>
              <w:t>可负担性</w:t>
            </w:r>
            <w:r w:rsidR="002175F9" w:rsidRPr="0073303D">
              <w:rPr>
                <w:rFonts w:hint="eastAsia"/>
              </w:rPr>
              <w:t>的</w:t>
            </w:r>
            <w:r w:rsidR="006A0512">
              <w:t>挑战将通过有针对性的干预措施进行管理，例如：</w:t>
            </w:r>
          </w:p>
          <w:p w14:paraId="3653A1E4" w14:textId="6529F385" w:rsidR="006A0512" w:rsidRDefault="006A0512" w:rsidP="006A0512">
            <w:pPr>
              <w:pStyle w:val="ListParagraph"/>
            </w:pPr>
            <w:r>
              <w:t>与各州和</w:t>
            </w:r>
            <w:r w:rsidR="0044082E">
              <w:rPr>
                <w:rFonts w:hint="eastAsia"/>
              </w:rPr>
              <w:t>领地</w:t>
            </w:r>
            <w:r>
              <w:t>密切合作，</w:t>
            </w:r>
            <w:r w:rsidR="00F2275A">
              <w:rPr>
                <w:rFonts w:hint="eastAsia"/>
              </w:rPr>
              <w:t>管控</w:t>
            </w:r>
            <w:r w:rsidR="00A71574">
              <w:rPr>
                <w:rFonts w:hint="eastAsia"/>
              </w:rPr>
              <w:t>价格</w:t>
            </w:r>
            <w:r w:rsidR="00233F94">
              <w:rPr>
                <w:rFonts w:hint="eastAsia"/>
              </w:rPr>
              <w:t>的</w:t>
            </w:r>
            <w:r>
              <w:t>影响。</w:t>
            </w:r>
          </w:p>
          <w:p w14:paraId="4176712F" w14:textId="6EECB209" w:rsidR="006A0512" w:rsidRDefault="006A0512" w:rsidP="006A0512">
            <w:pPr>
              <w:pStyle w:val="ListParagraph"/>
            </w:pPr>
            <w:r>
              <w:t>《天然气市场</w:t>
            </w:r>
            <w:r w:rsidR="001E3839">
              <w:rPr>
                <w:rFonts w:hint="eastAsia"/>
              </w:rPr>
              <w:t>准则</w:t>
            </w:r>
            <w:r>
              <w:t>》，包括法定审查，以</w:t>
            </w:r>
            <w:r w:rsidRPr="0073303D">
              <w:rPr>
                <w:rFonts w:hint="eastAsia"/>
              </w:rPr>
              <w:t>完善或加强</w:t>
            </w:r>
            <w:r w:rsidR="00BE45C9" w:rsidRPr="0073303D">
              <w:rPr>
                <w:rFonts w:hint="eastAsia"/>
              </w:rPr>
              <w:t>相关规定</w:t>
            </w:r>
            <w:r>
              <w:t>。</w:t>
            </w:r>
          </w:p>
          <w:p w14:paraId="77E0F6B5" w14:textId="5EC44C90" w:rsidR="006A0512" w:rsidRDefault="00B251C5" w:rsidP="006A0512">
            <w:pPr>
              <w:rPr>
                <w:b/>
              </w:rPr>
            </w:pPr>
            <w:r w:rsidRPr="0073303D">
              <w:rPr>
                <w:rFonts w:hint="eastAsia"/>
              </w:rPr>
              <w:t>除此以外，</w:t>
            </w:r>
            <w:r w:rsidR="00105A69" w:rsidRPr="0073303D">
              <w:rPr>
                <w:rFonts w:hint="eastAsia"/>
              </w:rPr>
              <w:t>还有现有政策机制如下</w:t>
            </w:r>
            <w:r w:rsidR="006A0512">
              <w:t>：</w:t>
            </w:r>
          </w:p>
          <w:p w14:paraId="0C656768" w14:textId="2BBA1398" w:rsidR="006A0512" w:rsidRDefault="006A0512" w:rsidP="006A0512">
            <w:pPr>
              <w:pStyle w:val="ListParagraph"/>
            </w:pPr>
            <w:r>
              <w:t>能源价格救济计划</w:t>
            </w:r>
          </w:p>
          <w:p w14:paraId="18CF1C78" w14:textId="70D64A07" w:rsidR="006A0512" w:rsidRPr="00605519" w:rsidRDefault="006A0512" w:rsidP="006A0512">
            <w:pPr>
              <w:pStyle w:val="ListParagraph"/>
            </w:pPr>
            <w:r>
              <w:t xml:space="preserve">13 </w:t>
            </w:r>
            <w:proofErr w:type="gramStart"/>
            <w:r>
              <w:t>亿澳元</w:t>
            </w:r>
            <w:r w:rsidR="0042515F">
              <w:rPr>
                <w:rFonts w:hint="eastAsia"/>
              </w:rPr>
              <w:t>“</w:t>
            </w:r>
            <w:proofErr w:type="gramEnd"/>
            <w:r>
              <w:t>家庭能源升级基金</w:t>
            </w:r>
            <w:r w:rsidR="0042515F">
              <w:rPr>
                <w:rFonts w:hint="eastAsia"/>
              </w:rPr>
              <w:t>”</w:t>
            </w:r>
            <w:r>
              <w:t>，为超过</w:t>
            </w:r>
            <w:r>
              <w:t xml:space="preserve"> </w:t>
            </w:r>
            <w:r w:rsidR="00F2306F">
              <w:rPr>
                <w:rFonts w:hint="eastAsia"/>
              </w:rPr>
              <w:t>17</w:t>
            </w:r>
            <w:r w:rsidR="00F2306F">
              <w:rPr>
                <w:rFonts w:hint="eastAsia"/>
              </w:rPr>
              <w:t>万</w:t>
            </w:r>
            <w:r>
              <w:t>户家庭提供优惠</w:t>
            </w:r>
            <w:r w:rsidR="0042515F">
              <w:rPr>
                <w:rFonts w:hint="eastAsia"/>
              </w:rPr>
              <w:t>补助</w:t>
            </w:r>
            <w:r>
              <w:t>，用于家庭节能升级，其中包括</w:t>
            </w:r>
            <w:r>
              <w:t xml:space="preserve"> 3 </w:t>
            </w:r>
            <w:r>
              <w:t>亿澳元用于支持社会</w:t>
            </w:r>
            <w:r w:rsidR="00D539F0">
              <w:rPr>
                <w:rFonts w:hint="eastAsia"/>
              </w:rPr>
              <w:t>福利</w:t>
            </w:r>
            <w:r>
              <w:t>住房的能源性能改造。</w:t>
            </w:r>
          </w:p>
        </w:tc>
        <w:tc>
          <w:tcPr>
            <w:tcW w:w="346" w:type="dxa"/>
            <w:shd w:val="clear" w:color="auto" w:fill="C6E8EB"/>
          </w:tcPr>
          <w:p w14:paraId="5C83E841" w14:textId="77777777" w:rsidR="006A0512" w:rsidRPr="00EE6618" w:rsidRDefault="006A0512" w:rsidP="006A0512">
            <w:pPr>
              <w:rPr>
                <w:b/>
                <w:bCs/>
              </w:rPr>
            </w:pPr>
          </w:p>
        </w:tc>
        <w:tc>
          <w:tcPr>
            <w:tcW w:w="4447" w:type="dxa"/>
            <w:shd w:val="clear" w:color="auto" w:fill="C6E8EB"/>
          </w:tcPr>
          <w:p w14:paraId="2751A023" w14:textId="77777777" w:rsidR="006A0512" w:rsidRDefault="006A0512" w:rsidP="006A0512">
            <w:pPr>
              <w:pStyle w:val="Caption"/>
            </w:pPr>
            <w:r>
              <w:t>政府认识到原住民与国家联系的重要性，并致力于通过未来的能源项目改善社会和经济成果。</w:t>
            </w:r>
            <w:r>
              <w:t xml:space="preserve"> </w:t>
            </w:r>
            <w:r>
              <w:t>为实现这一目标，政府将进行以下改革：</w:t>
            </w:r>
          </w:p>
          <w:p w14:paraId="01791D0F" w14:textId="07B74985" w:rsidR="006A0512" w:rsidRDefault="006A0512" w:rsidP="006A0512">
            <w:pPr>
              <w:pStyle w:val="ListParagraph"/>
            </w:pPr>
            <w:r>
              <w:t>明确</w:t>
            </w:r>
            <w:r w:rsidR="008B048C">
              <w:rPr>
                <w:rFonts w:hint="eastAsia"/>
              </w:rPr>
              <w:t>近海</w:t>
            </w:r>
            <w:r>
              <w:t>石油和温室气体</w:t>
            </w:r>
            <w:r w:rsidR="00212E21" w:rsidRPr="0073303D">
              <w:rPr>
                <w:rFonts w:hint="eastAsia"/>
              </w:rPr>
              <w:t>封</w:t>
            </w:r>
            <w:r w:rsidRPr="0073303D">
              <w:rPr>
                <w:rFonts w:hint="eastAsia"/>
              </w:rPr>
              <w:t>存</w:t>
            </w:r>
            <w:r>
              <w:t>活动的</w:t>
            </w:r>
            <w:r w:rsidR="00212E21">
              <w:rPr>
                <w:rFonts w:hint="eastAsia"/>
              </w:rPr>
              <w:t>意见征询</w:t>
            </w:r>
            <w:r>
              <w:t>要求</w:t>
            </w:r>
            <w:r>
              <w:t>--</w:t>
            </w:r>
            <w:r>
              <w:t>这是对</w:t>
            </w:r>
            <w:r w:rsidR="008B048C">
              <w:rPr>
                <w:rFonts w:hint="eastAsia"/>
              </w:rPr>
              <w:t>近海</w:t>
            </w:r>
            <w:r>
              <w:t>环境管理制度进行更广泛的</w:t>
            </w:r>
            <w:r>
              <w:t>3</w:t>
            </w:r>
            <w:r>
              <w:t>年审查的一部分。</w:t>
            </w:r>
          </w:p>
          <w:p w14:paraId="5433B6A3" w14:textId="4DA845F6" w:rsidR="006A0512" w:rsidRPr="005F3598" w:rsidRDefault="00C3179A" w:rsidP="006A0512">
            <w:pPr>
              <w:pStyle w:val="ListParagraph"/>
            </w:pPr>
            <w:r>
              <w:rPr>
                <w:rFonts w:hint="eastAsia"/>
              </w:rPr>
              <w:t>实行</w:t>
            </w:r>
            <w:r w:rsidR="006A0512">
              <w:t>适当的利益</w:t>
            </w:r>
            <w:r w:rsidR="00A73972">
              <w:rPr>
                <w:rFonts w:hint="eastAsia"/>
              </w:rPr>
              <w:t>共享</w:t>
            </w:r>
            <w:r w:rsidR="006A0512">
              <w:t>，确保原住民</w:t>
            </w:r>
            <w:r w:rsidR="006116D5">
              <w:rPr>
                <w:rFonts w:hint="eastAsia"/>
              </w:rPr>
              <w:t>成为</w:t>
            </w:r>
            <w:r w:rsidR="006A0512">
              <w:t>净零过渡的合作伙伴。</w:t>
            </w:r>
            <w:r w:rsidR="006A0512">
              <w:t xml:space="preserve"> </w:t>
            </w:r>
            <w:r w:rsidR="006A0512">
              <w:t>这包括新的就业机会、</w:t>
            </w:r>
            <w:r w:rsidR="006116D5" w:rsidRPr="0073303D">
              <w:rPr>
                <w:rFonts w:hint="eastAsia"/>
              </w:rPr>
              <w:t>完善的</w:t>
            </w:r>
            <w:r w:rsidR="006A0512">
              <w:t>教育计划和</w:t>
            </w:r>
            <w:r w:rsidR="006A0512" w:rsidRPr="0073303D">
              <w:rPr>
                <w:rFonts w:hint="eastAsia"/>
              </w:rPr>
              <w:t>社区直接投资</w:t>
            </w:r>
            <w:r w:rsidR="006A0512">
              <w:t>。</w:t>
            </w:r>
          </w:p>
        </w:tc>
      </w:tr>
    </w:tbl>
    <w:p w14:paraId="16D8FC35" w14:textId="77777777" w:rsidR="006A0512" w:rsidRDefault="006A0512" w:rsidP="006A0512">
      <w:pPr>
        <w:jc w:val="center"/>
      </w:pPr>
      <w:r>
        <w:rPr>
          <w:noProof/>
        </w:rPr>
        <w:drawing>
          <wp:inline distT="0" distB="0" distL="0" distR="0" wp14:anchorId="1D502831" wp14:editId="2722965A">
            <wp:extent cx="4603531" cy="3787483"/>
            <wp:effectExtent l="0" t="0" r="6985" b="3810"/>
            <wp:docPr id="517539009" name="Picture 517539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5675" cy="3789247"/>
                    </a:xfrm>
                    <a:prstGeom prst="rect">
                      <a:avLst/>
                    </a:prstGeom>
                  </pic:spPr>
                </pic:pic>
              </a:graphicData>
            </a:graphic>
          </wp:inline>
        </w:drawing>
      </w:r>
    </w:p>
    <w:p w14:paraId="5F190410" w14:textId="790B091E" w:rsidR="008C50C2" w:rsidRDefault="008C50C2">
      <w:pPr>
        <w:spacing w:before="0" w:after="160" w:line="259" w:lineRule="auto"/>
      </w:pPr>
      <w:r>
        <w:br w:type="page"/>
      </w:r>
    </w:p>
    <w:tbl>
      <w:tblPr>
        <w:tblStyle w:val="TableGrid"/>
        <w:tblW w:w="500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8EB"/>
        <w:tblCellMar>
          <w:left w:w="170" w:type="dxa"/>
          <w:bottom w:w="170" w:type="dxa"/>
          <w:right w:w="170" w:type="dxa"/>
        </w:tblCellMar>
        <w:tblLook w:val="04A0" w:firstRow="1" w:lastRow="0" w:firstColumn="1" w:lastColumn="0" w:noHBand="0" w:noVBand="1"/>
      </w:tblPr>
      <w:tblGrid>
        <w:gridCol w:w="4236"/>
        <w:gridCol w:w="360"/>
        <w:gridCol w:w="4444"/>
      </w:tblGrid>
      <w:tr w:rsidR="00DB37E5" w14:paraId="372B611E" w14:textId="77777777">
        <w:trPr>
          <w:cnfStyle w:val="100000000000" w:firstRow="1" w:lastRow="0" w:firstColumn="0" w:lastColumn="0" w:oddVBand="0" w:evenVBand="0" w:oddHBand="0" w:evenHBand="0" w:firstRowFirstColumn="0" w:firstRowLastColumn="0" w:lastRowFirstColumn="0" w:lastRowLastColumn="0"/>
          <w:trHeight w:val="20"/>
        </w:trPr>
        <w:tc>
          <w:tcPr>
            <w:tcW w:w="4236" w:type="dxa"/>
            <w:shd w:val="clear" w:color="auto" w:fill="C6E8EB"/>
          </w:tcPr>
          <w:p w14:paraId="62FA2292" w14:textId="42EEE90F" w:rsidR="00DB37E5" w:rsidRDefault="00CD3F39">
            <w:pPr>
              <w:pStyle w:val="Heading5"/>
              <w:spacing w:after="0"/>
            </w:pPr>
            <w:r>
              <w:lastRenderedPageBreak/>
              <w:t>行动</w:t>
            </w:r>
            <w:r>
              <w:t xml:space="preserve">5 </w:t>
            </w:r>
            <w:r>
              <w:t>：促进</w:t>
            </w:r>
            <w:r w:rsidR="00415B9E">
              <w:rPr>
                <w:rFonts w:hint="eastAsia"/>
              </w:rPr>
              <w:t>二氧化碳</w:t>
            </w:r>
            <w:r>
              <w:t>的地质封存，支持我们</w:t>
            </w:r>
            <w:r w:rsidR="002C2441">
              <w:rPr>
                <w:rFonts w:hint="eastAsia"/>
              </w:rPr>
              <w:t>区域</w:t>
            </w:r>
            <w:r>
              <w:t>净零</w:t>
            </w:r>
            <w:r w:rsidR="002C2441">
              <w:rPr>
                <w:rFonts w:hint="eastAsia"/>
              </w:rPr>
              <w:t>转型</w:t>
            </w:r>
            <w:r>
              <w:t>。</w:t>
            </w:r>
          </w:p>
        </w:tc>
        <w:tc>
          <w:tcPr>
            <w:tcW w:w="360" w:type="dxa"/>
            <w:shd w:val="clear" w:color="auto" w:fill="C6E8EB"/>
          </w:tcPr>
          <w:p w14:paraId="310D1F72" w14:textId="77777777" w:rsidR="00DB37E5" w:rsidRDefault="00DB37E5">
            <w:pPr>
              <w:spacing w:after="0"/>
            </w:pPr>
          </w:p>
        </w:tc>
        <w:tc>
          <w:tcPr>
            <w:tcW w:w="4444" w:type="dxa"/>
            <w:shd w:val="clear" w:color="auto" w:fill="C6E8EB"/>
          </w:tcPr>
          <w:p w14:paraId="5F7C1B2C" w14:textId="4202F029" w:rsidR="00DB37E5" w:rsidRDefault="00CD3F39">
            <w:pPr>
              <w:pStyle w:val="Heading5"/>
              <w:spacing w:after="0"/>
              <w:rPr>
                <w:b w:val="0"/>
              </w:rPr>
            </w:pPr>
            <w:r>
              <w:t>行动</w:t>
            </w:r>
            <w:r>
              <w:t xml:space="preserve">6 </w:t>
            </w:r>
            <w:r>
              <w:t>：</w:t>
            </w:r>
            <w:r w:rsidR="003D1182">
              <w:rPr>
                <w:rFonts w:hint="eastAsia"/>
              </w:rPr>
              <w:t>战略的</w:t>
            </w:r>
            <w:r w:rsidR="005C4CC4">
              <w:rPr>
                <w:rFonts w:hint="eastAsia"/>
              </w:rPr>
              <w:t>更新</w:t>
            </w:r>
          </w:p>
        </w:tc>
      </w:tr>
      <w:tr w:rsidR="00DB37E5" w14:paraId="5871D8B0" w14:textId="77777777">
        <w:trPr>
          <w:trHeight w:val="20"/>
        </w:trPr>
        <w:tc>
          <w:tcPr>
            <w:tcW w:w="4236" w:type="dxa"/>
            <w:shd w:val="clear" w:color="auto" w:fill="C6E8EB"/>
          </w:tcPr>
          <w:p w14:paraId="2558A2B6" w14:textId="626FC8ED" w:rsidR="00DB37E5" w:rsidRDefault="00CD3F39">
            <w:pPr>
              <w:pStyle w:val="Caption"/>
            </w:pPr>
            <w:r>
              <w:t>澳大利亚的天然气行业可以通过</w:t>
            </w:r>
            <w:r w:rsidR="00415B9E">
              <w:rPr>
                <w:rFonts w:hint="eastAsia"/>
              </w:rPr>
              <w:t>二氧化碳的</w:t>
            </w:r>
            <w:r>
              <w:t>永久、安全的地质</w:t>
            </w:r>
            <w:r w:rsidR="002256A0" w:rsidRPr="0073303D">
              <w:rPr>
                <w:rFonts w:hint="eastAsia"/>
              </w:rPr>
              <w:t>封</w:t>
            </w:r>
            <w:r w:rsidRPr="0073303D">
              <w:rPr>
                <w:rFonts w:hint="eastAsia"/>
              </w:rPr>
              <w:t>存</w:t>
            </w:r>
            <w:r>
              <w:t>来帮助我们的地区脱碳。</w:t>
            </w:r>
            <w:r>
              <w:t xml:space="preserve"> </w:t>
            </w:r>
            <w:r>
              <w:t>为此，政府将：</w:t>
            </w:r>
            <w:r>
              <w:t xml:space="preserve"> </w:t>
            </w:r>
          </w:p>
          <w:p w14:paraId="5466F59C" w14:textId="757C1C30" w:rsidR="00DB37E5" w:rsidRDefault="00CD3F39">
            <w:pPr>
              <w:pStyle w:val="ListParagraph"/>
            </w:pPr>
            <w:r>
              <w:t>继续释放</w:t>
            </w:r>
            <w:r w:rsidR="00E312AD">
              <w:rPr>
                <w:rFonts w:hint="eastAsia"/>
              </w:rPr>
              <w:t>近海</w:t>
            </w:r>
            <w:r w:rsidR="00444075">
              <w:rPr>
                <w:rFonts w:hint="eastAsia"/>
              </w:rPr>
              <w:t>区块</w:t>
            </w:r>
            <w:r>
              <w:t>用于温室气体</w:t>
            </w:r>
            <w:r w:rsidR="00C54660">
              <w:rPr>
                <w:rFonts w:hint="eastAsia"/>
              </w:rPr>
              <w:t>封存</w:t>
            </w:r>
            <w:r>
              <w:t>。</w:t>
            </w:r>
          </w:p>
          <w:p w14:paraId="0CE9452E" w14:textId="35525373" w:rsidR="00DB37E5" w:rsidRDefault="00CD3F39">
            <w:pPr>
              <w:pStyle w:val="ListParagraph"/>
            </w:pPr>
            <w:r>
              <w:rPr>
                <w:rStyle w:val="ui-provider"/>
              </w:rPr>
              <w:t>确保未来联邦</w:t>
            </w:r>
            <w:r w:rsidR="00163075">
              <w:rPr>
                <w:rStyle w:val="ui-provider"/>
                <w:rFonts w:hint="eastAsia"/>
              </w:rPr>
              <w:t>近海</w:t>
            </w:r>
            <w:r>
              <w:rPr>
                <w:rStyle w:val="ui-provider"/>
              </w:rPr>
              <w:t>勘探</w:t>
            </w:r>
            <w:r w:rsidR="002256A0" w:rsidRPr="0073303D">
              <w:rPr>
                <w:rStyle w:val="ui-provider"/>
                <w:rFonts w:hint="eastAsia"/>
              </w:rPr>
              <w:t>区块</w:t>
            </w:r>
            <w:r>
              <w:rPr>
                <w:rStyle w:val="ui-provider"/>
              </w:rPr>
              <w:t>的释放</w:t>
            </w:r>
            <w:r w:rsidR="00036038">
              <w:rPr>
                <w:rStyle w:val="ui-provider"/>
                <w:rFonts w:hint="eastAsia"/>
              </w:rPr>
              <w:t>能</w:t>
            </w:r>
            <w:r>
              <w:rPr>
                <w:rStyle w:val="ui-provider"/>
              </w:rPr>
              <w:t>考虑到我们地区的能源安全和转型需求。</w:t>
            </w:r>
          </w:p>
          <w:p w14:paraId="6C0FB194" w14:textId="45D8FE1E" w:rsidR="00DB37E5" w:rsidRPr="0073303D" w:rsidRDefault="00CD3F39">
            <w:pPr>
              <w:pStyle w:val="ListParagraph"/>
            </w:pPr>
            <w:r>
              <w:t>完成对</w:t>
            </w:r>
            <w:r w:rsidR="00163075">
              <w:rPr>
                <w:rFonts w:hint="eastAsia"/>
              </w:rPr>
              <w:t>近海</w:t>
            </w:r>
            <w:r>
              <w:t>监管制度的审查，</w:t>
            </w:r>
            <w:r w:rsidR="007C20B9" w:rsidRPr="007C20B9">
              <w:rPr>
                <w:rFonts w:hint="eastAsia"/>
              </w:rPr>
              <w:t>为</w:t>
            </w:r>
            <w:r w:rsidRPr="0073303D">
              <w:rPr>
                <w:rFonts w:hint="eastAsia"/>
              </w:rPr>
              <w:t>澳大利亚工业和我们的贸易伙伴</w:t>
            </w:r>
            <w:r w:rsidR="007C20B9" w:rsidRPr="0073303D">
              <w:rPr>
                <w:rFonts w:hint="eastAsia"/>
              </w:rPr>
              <w:t>提供</w:t>
            </w:r>
            <w:r w:rsidR="00036038" w:rsidRPr="0073303D">
              <w:rPr>
                <w:rFonts w:hint="eastAsia"/>
              </w:rPr>
              <w:t>二氧化碳</w:t>
            </w:r>
            <w:r w:rsidRPr="0073303D">
              <w:rPr>
                <w:rFonts w:hint="eastAsia"/>
              </w:rPr>
              <w:t>地质封存</w:t>
            </w:r>
            <w:r w:rsidR="007C20B9" w:rsidRPr="0073303D">
              <w:rPr>
                <w:rFonts w:hint="eastAsia"/>
              </w:rPr>
              <w:t>的</w:t>
            </w:r>
            <w:r w:rsidRPr="0073303D">
              <w:rPr>
                <w:rFonts w:hint="eastAsia"/>
              </w:rPr>
              <w:t>相关机会。</w:t>
            </w:r>
          </w:p>
          <w:p w14:paraId="311C59A0" w14:textId="58A4AAAC" w:rsidR="00DB37E5" w:rsidRDefault="00A93E6F">
            <w:pPr>
              <w:pStyle w:val="ListParagraph"/>
            </w:pPr>
            <w:r>
              <w:rPr>
                <w:rStyle w:val="ui-provider"/>
                <w:rFonts w:hint="eastAsia"/>
              </w:rPr>
              <w:t>推动澳大利亚</w:t>
            </w:r>
            <w:r w:rsidR="00CD3F39">
              <w:rPr>
                <w:rStyle w:val="ui-provider"/>
              </w:rPr>
              <w:t>清洁能源出口，并通过</w:t>
            </w:r>
            <w:r>
              <w:rPr>
                <w:rStyle w:val="ui-provider"/>
                <w:rFonts w:hint="eastAsia"/>
              </w:rPr>
              <w:t>“</w:t>
            </w:r>
            <w:r w:rsidR="0014774A">
              <w:rPr>
                <w:rStyle w:val="ui-provider"/>
              </w:rPr>
              <w:t>氢</w:t>
            </w:r>
            <w:r w:rsidR="005E29E4">
              <w:rPr>
                <w:rStyle w:val="ui-provider"/>
                <w:rFonts w:hint="eastAsia"/>
              </w:rPr>
              <w:t>能启动计划</w:t>
            </w:r>
            <w:r>
              <w:rPr>
                <w:rStyle w:val="ui-provider"/>
                <w:rFonts w:hint="eastAsia"/>
              </w:rPr>
              <w:t>”</w:t>
            </w:r>
            <w:r w:rsidR="00CD3F39">
              <w:rPr>
                <w:rStyle w:val="ui-provider"/>
              </w:rPr>
              <w:t>和</w:t>
            </w:r>
            <w:r>
              <w:rPr>
                <w:rStyle w:val="ui-provider"/>
                <w:rFonts w:hint="eastAsia"/>
              </w:rPr>
              <w:t>“</w:t>
            </w:r>
            <w:r w:rsidR="00CD3F39">
              <w:rPr>
                <w:rStyle w:val="ui-provider"/>
              </w:rPr>
              <w:t>区域氢能中心计划</w:t>
            </w:r>
            <w:r>
              <w:rPr>
                <w:rStyle w:val="ui-provider"/>
                <w:rFonts w:hint="eastAsia"/>
              </w:rPr>
              <w:t>”</w:t>
            </w:r>
            <w:r w:rsidR="00F061CB">
              <w:rPr>
                <w:rStyle w:val="ui-provider"/>
                <w:rFonts w:hint="eastAsia"/>
              </w:rPr>
              <w:t>让</w:t>
            </w:r>
            <w:r w:rsidR="00CD3F39">
              <w:rPr>
                <w:rStyle w:val="ui-provider"/>
              </w:rPr>
              <w:t>澳大利亚</w:t>
            </w:r>
            <w:r w:rsidR="00F061CB">
              <w:rPr>
                <w:rStyle w:val="ui-provider"/>
                <w:rFonts w:hint="eastAsia"/>
              </w:rPr>
              <w:t>参与</w:t>
            </w:r>
            <w:r w:rsidR="00CD3F39">
              <w:rPr>
                <w:rStyle w:val="ui-provider"/>
              </w:rPr>
              <w:t>新的清洁能源供应链。</w:t>
            </w:r>
            <w:r w:rsidR="00CD3F39">
              <w:rPr>
                <w:rStyle w:val="ui-provider"/>
              </w:rPr>
              <w:t xml:space="preserve"> </w:t>
            </w:r>
          </w:p>
          <w:p w14:paraId="27A72778" w14:textId="77777777" w:rsidR="00DB37E5" w:rsidRDefault="00CD3F39">
            <w:pPr>
              <w:spacing w:line="256" w:lineRule="auto"/>
              <w:contextualSpacing/>
            </w:pPr>
            <w:r w:rsidRPr="0073303D">
              <w:rPr>
                <w:rFonts w:hint="eastAsia"/>
              </w:rPr>
              <w:t>根据支持这一战略的分析结果</w:t>
            </w:r>
            <w:r>
              <w:t>，政府还将：</w:t>
            </w:r>
          </w:p>
          <w:p w14:paraId="4AC4D632" w14:textId="40347881" w:rsidR="00DB37E5" w:rsidRDefault="00CD3F39">
            <w:pPr>
              <w:pStyle w:val="ListParagraph"/>
            </w:pPr>
            <w:r>
              <w:t>制定跨境碳</w:t>
            </w:r>
            <w:r w:rsidR="00D15718" w:rsidRPr="0073303D">
              <w:rPr>
                <w:rFonts w:hint="eastAsia"/>
              </w:rPr>
              <w:t>捕集</w:t>
            </w:r>
            <w:r>
              <w:t>和封存区域合作新举措，为我们的区域合作伙伴提供能源安全和碳管理解决方案。</w:t>
            </w:r>
          </w:p>
        </w:tc>
        <w:tc>
          <w:tcPr>
            <w:tcW w:w="360" w:type="dxa"/>
            <w:shd w:val="clear" w:color="auto" w:fill="C6E8EB"/>
          </w:tcPr>
          <w:p w14:paraId="7C5A280F" w14:textId="77777777" w:rsidR="00DB37E5" w:rsidRDefault="00DB37E5"/>
        </w:tc>
        <w:tc>
          <w:tcPr>
            <w:tcW w:w="4444" w:type="dxa"/>
            <w:shd w:val="clear" w:color="auto" w:fill="C6E8EB"/>
          </w:tcPr>
          <w:p w14:paraId="638C50F8" w14:textId="025A5CB8" w:rsidR="00DB37E5" w:rsidRDefault="005C4CC4">
            <w:pPr>
              <w:pStyle w:val="Caption"/>
            </w:pPr>
            <w:r>
              <w:rPr>
                <w:rFonts w:hint="eastAsia"/>
              </w:rPr>
              <w:t>《</w:t>
            </w:r>
            <w:r w:rsidR="00CD3F39">
              <w:t>未来天然气战略</w:t>
            </w:r>
            <w:r>
              <w:rPr>
                <w:rFonts w:hint="eastAsia"/>
              </w:rPr>
              <w:t>》</w:t>
            </w:r>
            <w:r w:rsidR="00CD3F39">
              <w:t>具有长期前景。</w:t>
            </w:r>
            <w:r w:rsidR="00CD3F39">
              <w:t xml:space="preserve"> </w:t>
            </w:r>
            <w:r w:rsidR="00CD3F39">
              <w:t>随着能源转型的进展，政府正在密切关注天然气不断发展的作用，并将根据需要更新战略。</w:t>
            </w:r>
            <w:r w:rsidR="00CD3F39">
              <w:t xml:space="preserve"> </w:t>
            </w:r>
            <w:r w:rsidR="00CD3F39">
              <w:t>这包括：</w:t>
            </w:r>
          </w:p>
          <w:p w14:paraId="190B1D14" w14:textId="37FFB58B" w:rsidR="00DB37E5" w:rsidRDefault="00CD3F39">
            <w:pPr>
              <w:pStyle w:val="ListParagraph"/>
            </w:pPr>
            <w:r>
              <w:t>审查并在必要时更新</w:t>
            </w:r>
            <w:r w:rsidR="001738FF">
              <w:rPr>
                <w:rFonts w:hint="eastAsia"/>
              </w:rPr>
              <w:t>短期</w:t>
            </w:r>
            <w:r>
              <w:t>政策</w:t>
            </w:r>
            <w:r w:rsidRPr="0073303D">
              <w:rPr>
                <w:rFonts w:hint="eastAsia"/>
              </w:rPr>
              <w:t>杠杆</w:t>
            </w:r>
            <w:r>
              <w:t>，如</w:t>
            </w:r>
            <w:r w:rsidR="00316AA0">
              <w:rPr>
                <w:rFonts w:hint="eastAsia"/>
              </w:rPr>
              <w:t>《</w:t>
            </w:r>
            <w:r>
              <w:t>天然气市场</w:t>
            </w:r>
            <w:r w:rsidR="00D70308">
              <w:t>准则</w:t>
            </w:r>
            <w:r w:rsidR="00316AA0">
              <w:rPr>
                <w:rFonts w:hint="eastAsia"/>
              </w:rPr>
              <w:t>》</w:t>
            </w:r>
            <w:r>
              <w:t>、</w:t>
            </w:r>
            <w:r w:rsidR="00E518EC">
              <w:rPr>
                <w:rFonts w:hint="eastAsia"/>
              </w:rPr>
              <w:t>框架</w:t>
            </w:r>
            <w:r w:rsidR="0060212B">
              <w:t>协议</w:t>
            </w:r>
            <w:r>
              <w:t>和</w:t>
            </w:r>
            <w:r w:rsidR="00514AF5">
              <w:t>国内天然气安全机制（</w:t>
            </w:r>
            <w:r w:rsidR="00514AF5">
              <w:t xml:space="preserve"> ADGSM </w:t>
            </w:r>
            <w:r w:rsidR="00514AF5">
              <w:t>）</w:t>
            </w:r>
            <w:r>
              <w:t>。</w:t>
            </w:r>
          </w:p>
          <w:p w14:paraId="5A6739B8" w14:textId="67E476AD" w:rsidR="00DB37E5" w:rsidRDefault="00CD3F39">
            <w:pPr>
              <w:pStyle w:val="ListParagraph"/>
            </w:pPr>
            <w:r>
              <w:t>为新出现的问题提供</w:t>
            </w:r>
            <w:r w:rsidR="00910443" w:rsidRPr="00910443">
              <w:rPr>
                <w:rFonts w:hint="eastAsia"/>
              </w:rPr>
              <w:t>有</w:t>
            </w:r>
            <w:r w:rsidR="00910443" w:rsidRPr="0073303D">
              <w:rPr>
                <w:rFonts w:hint="eastAsia"/>
              </w:rPr>
              <w:t>针对性</w:t>
            </w:r>
            <w:r>
              <w:t>的政策应对措施。</w:t>
            </w:r>
          </w:p>
          <w:p w14:paraId="640CC1C0" w14:textId="5FA3A56E" w:rsidR="00DB37E5" w:rsidRDefault="00CD3F39">
            <w:pPr>
              <w:pStyle w:val="ListParagraph"/>
            </w:pPr>
            <w:r>
              <w:t>确保</w:t>
            </w:r>
            <w:r w:rsidR="004B35F0">
              <w:rPr>
                <w:rFonts w:hint="eastAsia"/>
              </w:rPr>
              <w:t>本</w:t>
            </w:r>
            <w:r>
              <w:t>战略继续支持澳大利亚在《巴黎协定》下的承诺。</w:t>
            </w:r>
            <w:r w:rsidR="005C4CC4">
              <w:rPr>
                <w:rFonts w:hint="eastAsia"/>
              </w:rPr>
              <w:t xml:space="preserve"> </w:t>
            </w:r>
          </w:p>
        </w:tc>
      </w:tr>
    </w:tbl>
    <w:p w14:paraId="595E081E" w14:textId="1A34E1AF" w:rsidR="00DB37E5" w:rsidRDefault="00CD3F39">
      <w:pPr>
        <w:spacing w:before="0" w:after="160" w:line="259" w:lineRule="auto"/>
      </w:pPr>
      <w:r>
        <w:rPr>
          <w:noProof/>
        </w:rPr>
        <w:drawing>
          <wp:anchor distT="0" distB="0" distL="114300" distR="114300" simplePos="0" relativeHeight="251658243" behindDoc="0" locked="0" layoutInCell="1" allowOverlap="1" wp14:anchorId="7B2E86AA" wp14:editId="486D2CBA">
            <wp:simplePos x="0" y="0"/>
            <wp:positionH relativeFrom="margin">
              <wp:posOffset>59055</wp:posOffset>
            </wp:positionH>
            <wp:positionV relativeFrom="paragraph">
              <wp:posOffset>-350272</wp:posOffset>
            </wp:positionV>
            <wp:extent cx="5724332" cy="3074317"/>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4332" cy="3074317"/>
                    </a:xfrm>
                    <a:prstGeom prst="rect">
                      <a:avLst/>
                    </a:prstGeom>
                  </pic:spPr>
                </pic:pic>
              </a:graphicData>
            </a:graphic>
            <wp14:sizeRelH relativeFrom="margin">
              <wp14:pctWidth>0</wp14:pctWidth>
            </wp14:sizeRelH>
            <wp14:sizeRelV relativeFrom="margin">
              <wp14:pctHeight>0</wp14:pctHeight>
            </wp14:sizeRelV>
          </wp:anchor>
        </w:drawing>
      </w:r>
    </w:p>
    <w:p w14:paraId="26BE8671" w14:textId="77777777" w:rsidR="00DB37E5" w:rsidRDefault="00DB37E5">
      <w:pPr>
        <w:spacing w:before="0" w:after="160" w:line="259" w:lineRule="auto"/>
        <w:sectPr w:rsidR="00DB37E5" w:rsidSect="00CB47D6">
          <w:pgSz w:w="11906" w:h="16838"/>
          <w:pgMar w:top="1276" w:right="1440" w:bottom="1440" w:left="1440" w:header="851" w:footer="708" w:gutter="0"/>
          <w:cols w:space="708"/>
          <w:docGrid w:linePitch="360"/>
        </w:sectPr>
      </w:pPr>
    </w:p>
    <w:p w14:paraId="430828E3" w14:textId="77777777" w:rsidR="00DB37E5" w:rsidRDefault="00CD3F39">
      <w:pPr>
        <w:spacing w:before="0" w:after="160" w:line="259" w:lineRule="auto"/>
      </w:pPr>
      <w:r>
        <w:rPr>
          <w:noProof/>
        </w:rPr>
        <w:lastRenderedPageBreak/>
        <w:drawing>
          <wp:inline distT="0" distB="0" distL="0" distR="0" wp14:anchorId="6215E56C" wp14:editId="4DA86605">
            <wp:extent cx="5522026" cy="4450780"/>
            <wp:effectExtent l="0" t="0" r="2540" b="698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8620" cy="4456095"/>
                    </a:xfrm>
                    <a:prstGeom prst="rect">
                      <a:avLst/>
                    </a:prstGeom>
                  </pic:spPr>
                </pic:pic>
              </a:graphicData>
            </a:graphic>
          </wp:inline>
        </w:drawing>
      </w:r>
    </w:p>
    <w:p w14:paraId="76C2164B" w14:textId="54EDD4C3" w:rsidR="00DB37E5" w:rsidRDefault="00CD3F39">
      <w:pPr>
        <w:spacing w:before="0" w:after="160" w:line="259" w:lineRule="auto"/>
        <w:rPr>
          <w:rFonts w:asciiTheme="majorHAnsi" w:eastAsiaTheme="majorEastAsia" w:hAnsiTheme="majorHAnsi" w:cstheme="majorBidi"/>
          <w:color w:val="15659B" w:themeColor="accent4"/>
          <w:sz w:val="40"/>
        </w:rPr>
      </w:pPr>
      <w:r>
        <w:br w:type="page"/>
      </w:r>
    </w:p>
    <w:p w14:paraId="385EABF9" w14:textId="7598820D" w:rsidR="00DB37E5" w:rsidRDefault="00CD3F39">
      <w:pPr>
        <w:pStyle w:val="Heading3"/>
      </w:pPr>
      <w:r>
        <w:rPr>
          <w:noProof/>
        </w:rPr>
        <w:lastRenderedPageBreak/>
        <w:drawing>
          <wp:anchor distT="0" distB="0" distL="114300" distR="114300" simplePos="0" relativeHeight="251658241" behindDoc="1" locked="0" layoutInCell="1" allowOverlap="1" wp14:anchorId="43A53E60" wp14:editId="505EBA16">
            <wp:simplePos x="914400" y="808074"/>
            <wp:positionH relativeFrom="page">
              <wp:align>center</wp:align>
            </wp:positionH>
            <wp:positionV relativeFrom="page">
              <wp:align>top</wp:align>
            </wp:positionV>
            <wp:extent cx="7542000" cy="10666800"/>
            <wp:effectExtent l="0" t="0" r="1905" b="127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sectPr w:rsidR="00DB37E5">
      <w:footerReference w:type="default" r:id="rId29"/>
      <w:pgSz w:w="11906" w:h="16838" w:code="9"/>
      <w:pgMar w:top="1276" w:right="1440" w:bottom="1440" w:left="1440" w:header="851"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67817" w14:textId="77777777" w:rsidR="00CF7D03" w:rsidRDefault="00CF7D03">
      <w:pPr>
        <w:spacing w:after="0"/>
      </w:pPr>
      <w:r>
        <w:separator/>
      </w:r>
    </w:p>
  </w:endnote>
  <w:endnote w:type="continuationSeparator" w:id="0">
    <w:p w14:paraId="122F71A9" w14:textId="77777777" w:rsidR="00CF7D03" w:rsidRDefault="00CF7D03">
      <w:pPr>
        <w:spacing w:after="0"/>
      </w:pPr>
      <w:r>
        <w:continuationSeparator/>
      </w:r>
    </w:p>
  </w:endnote>
  <w:endnote w:type="continuationNotice" w:id="1">
    <w:p w14:paraId="3B554F40" w14:textId="77777777" w:rsidR="00CF7D03" w:rsidRDefault="00CF7D0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78E4" w14:textId="71555D4B" w:rsidR="00DB37E5" w:rsidRPr="008C50C2" w:rsidRDefault="002227C0">
    <w:pPr>
      <w:pStyle w:val="P68B1DB1-Footer4"/>
      <w:rPr>
        <w:rFonts w:ascii="Aptos" w:hAnsi="Aptos"/>
      </w:rPr>
    </w:pPr>
    <w:sdt>
      <w:sdtPr>
        <w:rPr>
          <w:rFonts w:ascii="Aptos" w:hAnsi="Aptos"/>
        </w:rPr>
        <w:alias w:val="Title"/>
        <w:tag w:val=""/>
        <w:id w:val="-1005120900"/>
        <w:placeholder>
          <w:docPart w:val="E55C7377A15147AFB8D089BC7A0E3E2C"/>
        </w:placeholder>
        <w:dataBinding w:prefixMappings="xmlns:ns0='http://purl.org/dc/elements/1.1/' xmlns:ns1='http://schemas.openxmlformats.org/package/2006/metadata/core-properties' " w:xpath="/ns1:coreProperties[1]/ns0:title[1]" w:storeItemID="{6C3C8BC8-F283-45AE-878A-BAB7291924A1}"/>
        <w:text/>
      </w:sdtPr>
      <w:sdtEndPr/>
      <w:sdtContent>
        <w:r w:rsidR="00CD3F39" w:rsidRPr="008C50C2">
          <w:rPr>
            <w:rFonts w:ascii="Aptos" w:hAnsi="Aptos"/>
          </w:rPr>
          <w:t>Future Gas Strategy</w:t>
        </w:r>
      </w:sdtContent>
    </w:sdt>
    <w:r w:rsidR="00CD3F39" w:rsidRPr="008C50C2">
      <w:rPr>
        <w:rFonts w:ascii="Aptos" w:hAnsi="Aptos"/>
      </w:rPr>
      <w:t xml:space="preserve"> </w:t>
    </w:r>
  </w:p>
  <w:p w14:paraId="2ECE0675" w14:textId="4076CCD2" w:rsidR="00DB37E5" w:rsidRPr="008C50C2" w:rsidRDefault="00CD3F39">
    <w:pPr>
      <w:pStyle w:val="Footer"/>
      <w:tabs>
        <w:tab w:val="clear" w:pos="4513"/>
      </w:tabs>
      <w:spacing w:before="0"/>
      <w:rPr>
        <w:rFonts w:ascii="Aptos" w:hAnsi="Aptos"/>
      </w:rPr>
    </w:pPr>
    <w:r w:rsidRPr="008C50C2">
      <w:rPr>
        <w:rFonts w:ascii="Aptos" w:hAnsi="Aptos"/>
        <w:b/>
        <w:color w:val="E5FD8C" w:themeColor="accent5"/>
      </w:rPr>
      <w:t>|</w:t>
    </w:r>
    <w:r w:rsidRPr="008C50C2">
      <w:rPr>
        <w:rFonts w:ascii="Aptos" w:hAnsi="Aptos"/>
        <w:b/>
        <w:color w:val="001B35" w:themeColor="accent1"/>
      </w:rPr>
      <w:t xml:space="preserve"> </w:t>
    </w:r>
    <w:r w:rsidRPr="008C50C2">
      <w:rPr>
        <w:rFonts w:ascii="Aptos" w:hAnsi="Aptos"/>
        <w:b/>
        <w:bCs/>
        <w:color w:val="095258" w:themeColor="text2"/>
      </w:rPr>
      <w:t>industry.gov.au</w:t>
    </w:r>
    <w:r w:rsidRPr="008C50C2">
      <w:rPr>
        <w:rFonts w:ascii="Aptos" w:hAnsi="Aptos"/>
        <w:color w:val="095258" w:themeColor="text2"/>
      </w:rPr>
      <w:t>/</w:t>
    </w:r>
    <w:proofErr w:type="spellStart"/>
    <w:r w:rsidRPr="008C50C2">
      <w:rPr>
        <w:rFonts w:ascii="Aptos" w:hAnsi="Aptos"/>
        <w:color w:val="095258" w:themeColor="text2"/>
      </w:rPr>
      <w:t>FutureGasStrategy</w:t>
    </w:r>
    <w:proofErr w:type="spellEnd"/>
    <w:r w:rsidRPr="008C50C2">
      <w:rPr>
        <w:rFonts w:ascii="Aptos" w:hAnsi="Aptos"/>
      </w:rPr>
      <w:tab/>
    </w:r>
    <w:sdt>
      <w:sdtPr>
        <w:rPr>
          <w:rFonts w:ascii="Aptos" w:hAnsi="Aptos"/>
          <w:color w:val="095258" w:themeColor="text2"/>
        </w:rPr>
        <w:id w:val="-1044901746"/>
        <w:docPartObj>
          <w:docPartGallery w:val="Page Numbers (Bottom of Page)"/>
          <w:docPartUnique/>
        </w:docPartObj>
      </w:sdtPr>
      <w:sdtEndPr>
        <w:rPr>
          <w:noProof/>
        </w:rPr>
      </w:sdtEndPr>
      <w:sdtContent>
        <w:r w:rsidRPr="008C50C2">
          <w:rPr>
            <w:rFonts w:ascii="Aptos" w:hAnsi="Aptos"/>
            <w:color w:val="095258" w:themeColor="text2"/>
          </w:rPr>
          <w:fldChar w:fldCharType="begin"/>
        </w:r>
        <w:r w:rsidRPr="008C50C2">
          <w:rPr>
            <w:rFonts w:ascii="Aptos" w:hAnsi="Aptos"/>
            <w:color w:val="095258" w:themeColor="text2"/>
          </w:rPr>
          <w:instrText xml:space="preserve"> PAGE   \* MERGEFORMAT </w:instrText>
        </w:r>
        <w:r w:rsidRPr="008C50C2">
          <w:rPr>
            <w:rFonts w:ascii="Aptos" w:hAnsi="Aptos"/>
            <w:color w:val="095258" w:themeColor="text2"/>
          </w:rPr>
          <w:fldChar w:fldCharType="separate"/>
        </w:r>
        <w:r w:rsidRPr="008C50C2">
          <w:rPr>
            <w:rFonts w:ascii="Aptos" w:hAnsi="Aptos"/>
            <w:color w:val="095258" w:themeColor="text2"/>
          </w:rPr>
          <w:t>ii</w:t>
        </w:r>
        <w:r w:rsidRPr="008C50C2">
          <w:rPr>
            <w:rFonts w:ascii="Aptos" w:hAnsi="Aptos"/>
            <w:color w:val="095258"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1F67" w14:textId="71A90FF0" w:rsidR="00DB37E5" w:rsidRPr="008C50C2" w:rsidRDefault="002227C0">
    <w:pPr>
      <w:pStyle w:val="P68B1DB1-Footer4"/>
      <w:jc w:val="right"/>
      <w:rPr>
        <w:rFonts w:ascii="Aptos" w:hAnsi="Aptos"/>
      </w:rPr>
    </w:pPr>
    <w:sdt>
      <w:sdtPr>
        <w:rPr>
          <w:rFonts w:ascii="Aptos" w:hAnsi="Aptos"/>
        </w:rPr>
        <w:alias w:val="Title"/>
        <w:tag w:val=""/>
        <w:id w:val="-860738335"/>
        <w:placeholder>
          <w:docPart w:val="9F4D7BC258EE4E2E9984C6C023DD533E"/>
        </w:placeholder>
        <w:dataBinding w:prefixMappings="xmlns:ns0='http://purl.org/dc/elements/1.1/' xmlns:ns1='http://schemas.openxmlformats.org/package/2006/metadata/core-properties' " w:xpath="/ns1:coreProperties[1]/ns0:title[1]" w:storeItemID="{6C3C8BC8-F283-45AE-878A-BAB7291924A1}"/>
        <w:text/>
      </w:sdtPr>
      <w:sdtEndPr/>
      <w:sdtContent>
        <w:r w:rsidR="00CD3F39" w:rsidRPr="008C50C2">
          <w:rPr>
            <w:rFonts w:ascii="Aptos" w:hAnsi="Aptos"/>
          </w:rPr>
          <w:t>Future Gas Strategy</w:t>
        </w:r>
      </w:sdtContent>
    </w:sdt>
    <w:r w:rsidR="00CD3F39" w:rsidRPr="008C50C2">
      <w:rPr>
        <w:rFonts w:ascii="Aptos" w:hAnsi="Aptos"/>
      </w:rPr>
      <w:t xml:space="preserve"> </w:t>
    </w:r>
  </w:p>
  <w:p w14:paraId="5FD487FC" w14:textId="77777777" w:rsidR="00DB37E5" w:rsidRPr="008C50C2" w:rsidRDefault="002227C0">
    <w:pPr>
      <w:pStyle w:val="Footer"/>
      <w:tabs>
        <w:tab w:val="clear" w:pos="4513"/>
      </w:tabs>
      <w:spacing w:before="0"/>
      <w:jc w:val="right"/>
      <w:rPr>
        <w:rFonts w:ascii="Aptos" w:hAnsi="Aptos"/>
      </w:rPr>
    </w:pPr>
    <w:sdt>
      <w:sdtPr>
        <w:rPr>
          <w:rFonts w:ascii="Aptos" w:hAnsi="Aptos"/>
        </w:rPr>
        <w:id w:val="-183055908"/>
        <w:docPartObj>
          <w:docPartGallery w:val="Page Numbers (Bottom of Page)"/>
          <w:docPartUnique/>
        </w:docPartObj>
      </w:sdtPr>
      <w:sdtEndPr>
        <w:rPr>
          <w:noProof/>
        </w:rPr>
      </w:sdtEndPr>
      <w:sdtContent>
        <w:r w:rsidR="00CD3F39" w:rsidRPr="008C50C2">
          <w:rPr>
            <w:rFonts w:ascii="Aptos" w:hAnsi="Aptos"/>
            <w:color w:val="095258" w:themeColor="text2"/>
          </w:rPr>
          <w:fldChar w:fldCharType="begin"/>
        </w:r>
        <w:r w:rsidR="00CD3F39" w:rsidRPr="008C50C2">
          <w:rPr>
            <w:rFonts w:ascii="Aptos" w:hAnsi="Aptos"/>
            <w:color w:val="095258" w:themeColor="text2"/>
          </w:rPr>
          <w:instrText xml:space="preserve"> PAGE   \* MERGEFORMAT </w:instrText>
        </w:r>
        <w:r w:rsidR="00CD3F39" w:rsidRPr="008C50C2">
          <w:rPr>
            <w:rFonts w:ascii="Aptos" w:hAnsi="Aptos"/>
            <w:color w:val="095258" w:themeColor="text2"/>
          </w:rPr>
          <w:fldChar w:fldCharType="separate"/>
        </w:r>
        <w:r w:rsidR="00CD3F39" w:rsidRPr="008C50C2">
          <w:rPr>
            <w:rFonts w:ascii="Aptos" w:hAnsi="Aptos"/>
            <w:color w:val="095258" w:themeColor="text2"/>
          </w:rPr>
          <w:t>2</w:t>
        </w:r>
        <w:r w:rsidR="00CD3F39" w:rsidRPr="008C50C2">
          <w:rPr>
            <w:rFonts w:ascii="Aptos" w:hAnsi="Aptos"/>
            <w:color w:val="095258" w:themeColor="text2"/>
          </w:rPr>
          <w:fldChar w:fldCharType="end"/>
        </w:r>
      </w:sdtContent>
    </w:sdt>
    <w:r w:rsidR="00CD3F39" w:rsidRPr="008C50C2">
      <w:rPr>
        <w:rFonts w:ascii="Aptos" w:hAnsi="Aptos"/>
        <w:b/>
        <w:color w:val="15659B" w:themeColor="accent4"/>
      </w:rPr>
      <w:tab/>
    </w:r>
    <w:r w:rsidR="00CD3F39" w:rsidRPr="008C50C2">
      <w:rPr>
        <w:rFonts w:ascii="Aptos" w:hAnsi="Aptos"/>
        <w:b/>
        <w:color w:val="E5FD8C" w:themeColor="accent5"/>
      </w:rPr>
      <w:t>|</w:t>
    </w:r>
    <w:r w:rsidR="00CD3F39" w:rsidRPr="008C50C2">
      <w:rPr>
        <w:rFonts w:ascii="Aptos" w:hAnsi="Aptos"/>
        <w:b/>
        <w:color w:val="001B35" w:themeColor="accent1"/>
      </w:rPr>
      <w:t xml:space="preserve"> </w:t>
    </w:r>
    <w:r w:rsidR="00CD3F39" w:rsidRPr="008C50C2">
      <w:rPr>
        <w:rFonts w:ascii="Aptos" w:hAnsi="Aptos"/>
        <w:b/>
        <w:bCs/>
        <w:color w:val="095258" w:themeColor="text2"/>
      </w:rPr>
      <w:t>industry.gov.au</w:t>
    </w:r>
    <w:r w:rsidR="00CD3F39" w:rsidRPr="008C50C2">
      <w:rPr>
        <w:rFonts w:ascii="Aptos" w:hAnsi="Aptos"/>
        <w:color w:val="095258" w:themeColor="text2"/>
      </w:rPr>
      <w:t>/</w:t>
    </w:r>
    <w:proofErr w:type="spellStart"/>
    <w:r w:rsidR="00CD3F39" w:rsidRPr="008C50C2">
      <w:rPr>
        <w:rFonts w:ascii="Aptos" w:hAnsi="Aptos"/>
        <w:color w:val="095258" w:themeColor="text2"/>
      </w:rPr>
      <w:t>FutureGasStrategy</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B0F8" w14:textId="18D06700" w:rsidR="00DB37E5" w:rsidRDefault="00DB37E5">
    <w:pPr>
      <w:pStyle w:val="Footer"/>
      <w:tabs>
        <w:tab w:val="clear" w:pos="4513"/>
      </w:tabs>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BAD3F" w14:textId="77777777" w:rsidR="00CF7D03" w:rsidRDefault="00CF7D03">
      <w:pPr>
        <w:spacing w:after="0"/>
      </w:pPr>
      <w:r>
        <w:separator/>
      </w:r>
    </w:p>
  </w:footnote>
  <w:footnote w:type="continuationSeparator" w:id="0">
    <w:p w14:paraId="1DE0C682" w14:textId="77777777" w:rsidR="00CF7D03" w:rsidRDefault="00CF7D03">
      <w:pPr>
        <w:spacing w:after="0"/>
      </w:pPr>
      <w:r>
        <w:continuationSeparator/>
      </w:r>
    </w:p>
  </w:footnote>
  <w:footnote w:type="continuationNotice" w:id="1">
    <w:p w14:paraId="5F0DEEC9" w14:textId="77777777" w:rsidR="00CF7D03" w:rsidRDefault="00CF7D03">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95F10"/>
    <w:multiLevelType w:val="hybridMultilevel"/>
    <w:tmpl w:val="74BA7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55DB8"/>
    <w:multiLevelType w:val="hybridMultilevel"/>
    <w:tmpl w:val="53A2D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340C1"/>
    <w:multiLevelType w:val="hybridMultilevel"/>
    <w:tmpl w:val="F1C4B4B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1EB214E"/>
    <w:multiLevelType w:val="hybridMultilevel"/>
    <w:tmpl w:val="BF583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F078C0"/>
    <w:multiLevelType w:val="hybridMultilevel"/>
    <w:tmpl w:val="6A641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CA106C"/>
    <w:multiLevelType w:val="hybridMultilevel"/>
    <w:tmpl w:val="4ABC7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F37229"/>
    <w:multiLevelType w:val="hybridMultilevel"/>
    <w:tmpl w:val="99A86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7413DEC"/>
    <w:multiLevelType w:val="hybridMultilevel"/>
    <w:tmpl w:val="FD485D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2E10FD"/>
    <w:multiLevelType w:val="hybridMultilevel"/>
    <w:tmpl w:val="66D46394"/>
    <w:lvl w:ilvl="0" w:tplc="E2F097D6">
      <w:numFmt w:val="bullet"/>
      <w:pStyle w:val="ListParagraph"/>
      <w:lvlText w:val=""/>
      <w:lvlJc w:val="left"/>
      <w:pPr>
        <w:ind w:left="567" w:hanging="567"/>
      </w:pPr>
      <w:rPr>
        <w:rFonts w:ascii="Symbol" w:eastAsiaTheme="minorHAnsi" w:hAnsi="Symbol" w:cstheme="minorBidi" w:hint="default"/>
      </w:rPr>
    </w:lvl>
    <w:lvl w:ilvl="1" w:tplc="6606920E">
      <w:numFmt w:val="bullet"/>
      <w:lvlText w:val="-"/>
      <w:lvlJc w:val="left"/>
      <w:pPr>
        <w:ind w:left="1134" w:hanging="567"/>
      </w:pPr>
      <w:rPr>
        <w:rFonts w:ascii="Calibri" w:eastAsiaTheme="minorHAnsi" w:hAnsi="Calibri" w:hint="default"/>
      </w:rPr>
    </w:lvl>
    <w:lvl w:ilvl="2" w:tplc="75C69B6E">
      <w:start w:val="1"/>
      <w:numFmt w:val="bullet"/>
      <w:lvlText w:val=""/>
      <w:lvlJc w:val="left"/>
      <w:pPr>
        <w:ind w:left="1701" w:hanging="567"/>
      </w:pPr>
      <w:rPr>
        <w:rFonts w:ascii="Wingdings" w:hAnsi="Wingdings" w:hint="default"/>
      </w:rPr>
    </w:lvl>
    <w:lvl w:ilvl="3" w:tplc="B84A8EA2">
      <w:start w:val="1"/>
      <w:numFmt w:val="bullet"/>
      <w:lvlText w:val=""/>
      <w:lvlJc w:val="left"/>
      <w:pPr>
        <w:ind w:left="2268" w:hanging="567"/>
      </w:pPr>
      <w:rPr>
        <w:rFonts w:ascii="Symbol" w:hAnsi="Symbol" w:hint="default"/>
      </w:rPr>
    </w:lvl>
    <w:lvl w:ilvl="4" w:tplc="9E469228">
      <w:start w:val="1"/>
      <w:numFmt w:val="bullet"/>
      <w:lvlText w:val="o"/>
      <w:lvlJc w:val="left"/>
      <w:pPr>
        <w:ind w:left="2835" w:hanging="567"/>
      </w:pPr>
      <w:rPr>
        <w:rFonts w:ascii="Courier New" w:hAnsi="Courier New" w:hint="default"/>
      </w:rPr>
    </w:lvl>
    <w:lvl w:ilvl="5" w:tplc="406CF0B6">
      <w:start w:val="1"/>
      <w:numFmt w:val="bullet"/>
      <w:lvlText w:val=""/>
      <w:lvlJc w:val="left"/>
      <w:pPr>
        <w:ind w:left="3402" w:hanging="567"/>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5E78A8"/>
    <w:multiLevelType w:val="hybridMultilevel"/>
    <w:tmpl w:val="CF22F768"/>
    <w:lvl w:ilvl="0" w:tplc="0D524B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6A6F7C"/>
    <w:multiLevelType w:val="hybridMultilevel"/>
    <w:tmpl w:val="93443AD6"/>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9" w15:restartNumberingAfterBreak="0">
    <w:nsid w:val="6E1B49A7"/>
    <w:multiLevelType w:val="hybridMultilevel"/>
    <w:tmpl w:val="E1006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0A03D8"/>
    <w:multiLevelType w:val="hybridMultilevel"/>
    <w:tmpl w:val="58D66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22605387">
    <w:abstractNumId w:val="15"/>
  </w:num>
  <w:num w:numId="2" w16cid:durableId="648444589">
    <w:abstractNumId w:val="17"/>
  </w:num>
  <w:num w:numId="3" w16cid:durableId="1474374502">
    <w:abstractNumId w:val="3"/>
  </w:num>
  <w:num w:numId="4" w16cid:durableId="660547498">
    <w:abstractNumId w:val="1"/>
  </w:num>
  <w:num w:numId="5" w16cid:durableId="1405948882">
    <w:abstractNumId w:val="0"/>
  </w:num>
  <w:num w:numId="6" w16cid:durableId="1770931210">
    <w:abstractNumId w:val="4"/>
  </w:num>
  <w:num w:numId="7" w16cid:durableId="1514956900">
    <w:abstractNumId w:val="8"/>
  </w:num>
  <w:num w:numId="8" w16cid:durableId="1928151220">
    <w:abstractNumId w:val="16"/>
  </w:num>
  <w:num w:numId="9" w16cid:durableId="1919442051">
    <w:abstractNumId w:val="13"/>
  </w:num>
  <w:num w:numId="10" w16cid:durableId="563764016">
    <w:abstractNumId w:val="12"/>
  </w:num>
  <w:num w:numId="11" w16cid:durableId="377169740">
    <w:abstractNumId w:val="11"/>
  </w:num>
  <w:num w:numId="12" w16cid:durableId="1207840999">
    <w:abstractNumId w:val="9"/>
  </w:num>
  <w:num w:numId="13" w16cid:durableId="428161156">
    <w:abstractNumId w:val="19"/>
  </w:num>
  <w:num w:numId="14" w16cid:durableId="279071418">
    <w:abstractNumId w:val="5"/>
  </w:num>
  <w:num w:numId="15" w16cid:durableId="1130900242">
    <w:abstractNumId w:val="6"/>
  </w:num>
  <w:num w:numId="16" w16cid:durableId="2015640762">
    <w:abstractNumId w:val="2"/>
  </w:num>
  <w:num w:numId="17" w16cid:durableId="982470484">
    <w:abstractNumId w:val="14"/>
  </w:num>
  <w:num w:numId="18" w16cid:durableId="1918396731">
    <w:abstractNumId w:val="15"/>
  </w:num>
  <w:num w:numId="19" w16cid:durableId="697700193">
    <w:abstractNumId w:val="15"/>
  </w:num>
  <w:num w:numId="20" w16cid:durableId="1577862882">
    <w:abstractNumId w:val="15"/>
  </w:num>
  <w:num w:numId="21" w16cid:durableId="1247612532">
    <w:abstractNumId w:val="15"/>
  </w:num>
  <w:num w:numId="22" w16cid:durableId="455223100">
    <w:abstractNumId w:val="18"/>
  </w:num>
  <w:num w:numId="23" w16cid:durableId="1593971949">
    <w:abstractNumId w:val="15"/>
  </w:num>
  <w:num w:numId="24" w16cid:durableId="1105928661">
    <w:abstractNumId w:val="15"/>
  </w:num>
  <w:num w:numId="25" w16cid:durableId="1129785296">
    <w:abstractNumId w:val="7"/>
  </w:num>
  <w:num w:numId="26" w16cid:durableId="67777627">
    <w:abstractNumId w:val="10"/>
  </w:num>
  <w:num w:numId="27" w16cid:durableId="1058748198">
    <w:abstractNumId w:val="20"/>
  </w:num>
  <w:num w:numId="28" w16cid:durableId="1937713571">
    <w:abstractNumId w:val="15"/>
  </w:num>
  <w:num w:numId="29" w16cid:durableId="99688319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706"/>
    <w:rsid w:val="00003766"/>
    <w:rsid w:val="000042E9"/>
    <w:rsid w:val="0000617C"/>
    <w:rsid w:val="00007AFF"/>
    <w:rsid w:val="00013499"/>
    <w:rsid w:val="00017287"/>
    <w:rsid w:val="0002003F"/>
    <w:rsid w:val="00022A5B"/>
    <w:rsid w:val="000254F6"/>
    <w:rsid w:val="00026AEB"/>
    <w:rsid w:val="00027072"/>
    <w:rsid w:val="00031F9B"/>
    <w:rsid w:val="00032995"/>
    <w:rsid w:val="00034867"/>
    <w:rsid w:val="00036038"/>
    <w:rsid w:val="00036988"/>
    <w:rsid w:val="00036F01"/>
    <w:rsid w:val="00042F48"/>
    <w:rsid w:val="0004640C"/>
    <w:rsid w:val="00051622"/>
    <w:rsid w:val="0005165C"/>
    <w:rsid w:val="000552B3"/>
    <w:rsid w:val="0006293B"/>
    <w:rsid w:val="00064C2F"/>
    <w:rsid w:val="0007067B"/>
    <w:rsid w:val="0007121F"/>
    <w:rsid w:val="00071A9A"/>
    <w:rsid w:val="00074099"/>
    <w:rsid w:val="0007495A"/>
    <w:rsid w:val="0008167B"/>
    <w:rsid w:val="00081D07"/>
    <w:rsid w:val="000832BB"/>
    <w:rsid w:val="00085CA4"/>
    <w:rsid w:val="00090DDB"/>
    <w:rsid w:val="00091DEB"/>
    <w:rsid w:val="00097F3B"/>
    <w:rsid w:val="000A0078"/>
    <w:rsid w:val="000A4018"/>
    <w:rsid w:val="000A75CB"/>
    <w:rsid w:val="000B24FC"/>
    <w:rsid w:val="000B6C60"/>
    <w:rsid w:val="000B7C01"/>
    <w:rsid w:val="000C348A"/>
    <w:rsid w:val="000C3494"/>
    <w:rsid w:val="000C57CE"/>
    <w:rsid w:val="000C6842"/>
    <w:rsid w:val="000C7EA7"/>
    <w:rsid w:val="000D5B1E"/>
    <w:rsid w:val="000D69F4"/>
    <w:rsid w:val="000D6CF9"/>
    <w:rsid w:val="000E0491"/>
    <w:rsid w:val="000E0F53"/>
    <w:rsid w:val="000E2681"/>
    <w:rsid w:val="000E599A"/>
    <w:rsid w:val="000E5C60"/>
    <w:rsid w:val="000E601E"/>
    <w:rsid w:val="000F1389"/>
    <w:rsid w:val="000F2474"/>
    <w:rsid w:val="000F2564"/>
    <w:rsid w:val="000F4047"/>
    <w:rsid w:val="000F50CE"/>
    <w:rsid w:val="00101632"/>
    <w:rsid w:val="0010441B"/>
    <w:rsid w:val="0010487D"/>
    <w:rsid w:val="00105A69"/>
    <w:rsid w:val="00106BC9"/>
    <w:rsid w:val="00106C90"/>
    <w:rsid w:val="00115EC1"/>
    <w:rsid w:val="00116696"/>
    <w:rsid w:val="00130EF2"/>
    <w:rsid w:val="001376C3"/>
    <w:rsid w:val="00140D8E"/>
    <w:rsid w:val="00140DAB"/>
    <w:rsid w:val="00141DAA"/>
    <w:rsid w:val="0014250A"/>
    <w:rsid w:val="001428A0"/>
    <w:rsid w:val="00145CF6"/>
    <w:rsid w:val="00145F22"/>
    <w:rsid w:val="00146585"/>
    <w:rsid w:val="0014774A"/>
    <w:rsid w:val="00150A24"/>
    <w:rsid w:val="00153C15"/>
    <w:rsid w:val="00153CD0"/>
    <w:rsid w:val="001541A2"/>
    <w:rsid w:val="001549C0"/>
    <w:rsid w:val="00155259"/>
    <w:rsid w:val="00163075"/>
    <w:rsid w:val="0016360B"/>
    <w:rsid w:val="001654E2"/>
    <w:rsid w:val="00170307"/>
    <w:rsid w:val="00171757"/>
    <w:rsid w:val="001722BB"/>
    <w:rsid w:val="001738FF"/>
    <w:rsid w:val="00174108"/>
    <w:rsid w:val="001756DB"/>
    <w:rsid w:val="001773F0"/>
    <w:rsid w:val="00184D6E"/>
    <w:rsid w:val="001854A8"/>
    <w:rsid w:val="0018647F"/>
    <w:rsid w:val="00186D6E"/>
    <w:rsid w:val="0018753C"/>
    <w:rsid w:val="00187E0F"/>
    <w:rsid w:val="0019031C"/>
    <w:rsid w:val="001913EA"/>
    <w:rsid w:val="00192662"/>
    <w:rsid w:val="00192E37"/>
    <w:rsid w:val="0019428E"/>
    <w:rsid w:val="0019773E"/>
    <w:rsid w:val="001A38CC"/>
    <w:rsid w:val="001A45C2"/>
    <w:rsid w:val="001A4887"/>
    <w:rsid w:val="001A5145"/>
    <w:rsid w:val="001B19E8"/>
    <w:rsid w:val="001B1B65"/>
    <w:rsid w:val="001B314C"/>
    <w:rsid w:val="001B4BFD"/>
    <w:rsid w:val="001C06BC"/>
    <w:rsid w:val="001C0A22"/>
    <w:rsid w:val="001C6556"/>
    <w:rsid w:val="001C70E6"/>
    <w:rsid w:val="001D03D9"/>
    <w:rsid w:val="001D216A"/>
    <w:rsid w:val="001D2E82"/>
    <w:rsid w:val="001D51DA"/>
    <w:rsid w:val="001D5EEE"/>
    <w:rsid w:val="001E0C9F"/>
    <w:rsid w:val="001E216D"/>
    <w:rsid w:val="001E3839"/>
    <w:rsid w:val="001F1C6A"/>
    <w:rsid w:val="001F254A"/>
    <w:rsid w:val="001F3E9A"/>
    <w:rsid w:val="001F5AB1"/>
    <w:rsid w:val="00201ED9"/>
    <w:rsid w:val="002044E6"/>
    <w:rsid w:val="00205DF3"/>
    <w:rsid w:val="00206632"/>
    <w:rsid w:val="00207383"/>
    <w:rsid w:val="00212E21"/>
    <w:rsid w:val="00214D02"/>
    <w:rsid w:val="00215BBA"/>
    <w:rsid w:val="002174B0"/>
    <w:rsid w:val="002175F9"/>
    <w:rsid w:val="00217E06"/>
    <w:rsid w:val="0022083E"/>
    <w:rsid w:val="002227C0"/>
    <w:rsid w:val="00222D0B"/>
    <w:rsid w:val="00224842"/>
    <w:rsid w:val="002256A0"/>
    <w:rsid w:val="00225923"/>
    <w:rsid w:val="00225F0A"/>
    <w:rsid w:val="00227A83"/>
    <w:rsid w:val="00232ED3"/>
    <w:rsid w:val="00233F94"/>
    <w:rsid w:val="002344A2"/>
    <w:rsid w:val="0023522E"/>
    <w:rsid w:val="002354F1"/>
    <w:rsid w:val="00240DCE"/>
    <w:rsid w:val="0024167F"/>
    <w:rsid w:val="00241D3D"/>
    <w:rsid w:val="0024211A"/>
    <w:rsid w:val="00244CED"/>
    <w:rsid w:val="0024548E"/>
    <w:rsid w:val="00246116"/>
    <w:rsid w:val="0024727A"/>
    <w:rsid w:val="00250B0F"/>
    <w:rsid w:val="00254DA8"/>
    <w:rsid w:val="00254DD6"/>
    <w:rsid w:val="00254F4C"/>
    <w:rsid w:val="00257A68"/>
    <w:rsid w:val="0026064A"/>
    <w:rsid w:val="002632C9"/>
    <w:rsid w:val="0026438D"/>
    <w:rsid w:val="00265714"/>
    <w:rsid w:val="00266F7C"/>
    <w:rsid w:val="002717AE"/>
    <w:rsid w:val="00272A9E"/>
    <w:rsid w:val="00272B04"/>
    <w:rsid w:val="00274A2F"/>
    <w:rsid w:val="00274C94"/>
    <w:rsid w:val="00274E42"/>
    <w:rsid w:val="00282ED3"/>
    <w:rsid w:val="00285363"/>
    <w:rsid w:val="002908A3"/>
    <w:rsid w:val="0029140E"/>
    <w:rsid w:val="00293080"/>
    <w:rsid w:val="00294D73"/>
    <w:rsid w:val="002A101F"/>
    <w:rsid w:val="002A1F10"/>
    <w:rsid w:val="002A3E55"/>
    <w:rsid w:val="002A5669"/>
    <w:rsid w:val="002A574E"/>
    <w:rsid w:val="002A7E92"/>
    <w:rsid w:val="002B1B7D"/>
    <w:rsid w:val="002B37DD"/>
    <w:rsid w:val="002B3A3A"/>
    <w:rsid w:val="002B3C0E"/>
    <w:rsid w:val="002B4C7D"/>
    <w:rsid w:val="002B5C69"/>
    <w:rsid w:val="002B6C4B"/>
    <w:rsid w:val="002C0CD4"/>
    <w:rsid w:val="002C2441"/>
    <w:rsid w:val="002C5240"/>
    <w:rsid w:val="002D16EE"/>
    <w:rsid w:val="002D221E"/>
    <w:rsid w:val="002D230B"/>
    <w:rsid w:val="002D2828"/>
    <w:rsid w:val="002E1671"/>
    <w:rsid w:val="002E3033"/>
    <w:rsid w:val="002E70E9"/>
    <w:rsid w:val="002F1D03"/>
    <w:rsid w:val="002F242B"/>
    <w:rsid w:val="002F4A66"/>
    <w:rsid w:val="002F60C0"/>
    <w:rsid w:val="002F761C"/>
    <w:rsid w:val="002F7DD4"/>
    <w:rsid w:val="00302B71"/>
    <w:rsid w:val="0030757D"/>
    <w:rsid w:val="003100A2"/>
    <w:rsid w:val="0031048E"/>
    <w:rsid w:val="00310B0D"/>
    <w:rsid w:val="00310BEF"/>
    <w:rsid w:val="00313A91"/>
    <w:rsid w:val="003153FD"/>
    <w:rsid w:val="00315846"/>
    <w:rsid w:val="0031654A"/>
    <w:rsid w:val="00316AA0"/>
    <w:rsid w:val="003205B9"/>
    <w:rsid w:val="00321682"/>
    <w:rsid w:val="00321F2F"/>
    <w:rsid w:val="0032506B"/>
    <w:rsid w:val="00326D1C"/>
    <w:rsid w:val="0032724E"/>
    <w:rsid w:val="00330C0B"/>
    <w:rsid w:val="00337BCC"/>
    <w:rsid w:val="00342845"/>
    <w:rsid w:val="0034477D"/>
    <w:rsid w:val="00346067"/>
    <w:rsid w:val="0035140F"/>
    <w:rsid w:val="00351AF9"/>
    <w:rsid w:val="00352209"/>
    <w:rsid w:val="003523AE"/>
    <w:rsid w:val="00356C88"/>
    <w:rsid w:val="00356EA9"/>
    <w:rsid w:val="0036057F"/>
    <w:rsid w:val="003606DC"/>
    <w:rsid w:val="00360EFE"/>
    <w:rsid w:val="003622C1"/>
    <w:rsid w:val="00364541"/>
    <w:rsid w:val="00366A90"/>
    <w:rsid w:val="003826CF"/>
    <w:rsid w:val="003848F0"/>
    <w:rsid w:val="003879AF"/>
    <w:rsid w:val="00390881"/>
    <w:rsid w:val="00393784"/>
    <w:rsid w:val="003A0E7F"/>
    <w:rsid w:val="003A4138"/>
    <w:rsid w:val="003B348A"/>
    <w:rsid w:val="003C19A2"/>
    <w:rsid w:val="003C1CCD"/>
    <w:rsid w:val="003C40CF"/>
    <w:rsid w:val="003C4E82"/>
    <w:rsid w:val="003D1182"/>
    <w:rsid w:val="003D38ED"/>
    <w:rsid w:val="003D4F1B"/>
    <w:rsid w:val="003D5115"/>
    <w:rsid w:val="003D54C8"/>
    <w:rsid w:val="003D6E70"/>
    <w:rsid w:val="003D747D"/>
    <w:rsid w:val="003E6257"/>
    <w:rsid w:val="003E66DF"/>
    <w:rsid w:val="003E699D"/>
    <w:rsid w:val="003F05EE"/>
    <w:rsid w:val="003F14FF"/>
    <w:rsid w:val="003F26D8"/>
    <w:rsid w:val="003F68A6"/>
    <w:rsid w:val="00400430"/>
    <w:rsid w:val="00406032"/>
    <w:rsid w:val="00407917"/>
    <w:rsid w:val="00407E33"/>
    <w:rsid w:val="00415664"/>
    <w:rsid w:val="00415B9E"/>
    <w:rsid w:val="00423B2E"/>
    <w:rsid w:val="00423D13"/>
    <w:rsid w:val="00424CAD"/>
    <w:rsid w:val="0042515F"/>
    <w:rsid w:val="00425987"/>
    <w:rsid w:val="0043720A"/>
    <w:rsid w:val="0044082E"/>
    <w:rsid w:val="0044126F"/>
    <w:rsid w:val="0044154F"/>
    <w:rsid w:val="00442BAA"/>
    <w:rsid w:val="00443CA1"/>
    <w:rsid w:val="00444075"/>
    <w:rsid w:val="00444A3B"/>
    <w:rsid w:val="004454B8"/>
    <w:rsid w:val="004460E3"/>
    <w:rsid w:val="00446C04"/>
    <w:rsid w:val="00447268"/>
    <w:rsid w:val="0045414E"/>
    <w:rsid w:val="0045494F"/>
    <w:rsid w:val="00455958"/>
    <w:rsid w:val="004604DE"/>
    <w:rsid w:val="00460EB9"/>
    <w:rsid w:val="0046183D"/>
    <w:rsid w:val="00462D27"/>
    <w:rsid w:val="004632E9"/>
    <w:rsid w:val="0046678C"/>
    <w:rsid w:val="004675CA"/>
    <w:rsid w:val="004759EB"/>
    <w:rsid w:val="00476BB5"/>
    <w:rsid w:val="00482CF9"/>
    <w:rsid w:val="004859D9"/>
    <w:rsid w:val="00491724"/>
    <w:rsid w:val="00492D9B"/>
    <w:rsid w:val="00496290"/>
    <w:rsid w:val="004A067B"/>
    <w:rsid w:val="004A0BEF"/>
    <w:rsid w:val="004A7856"/>
    <w:rsid w:val="004B0348"/>
    <w:rsid w:val="004B35F0"/>
    <w:rsid w:val="004B4254"/>
    <w:rsid w:val="004B46CD"/>
    <w:rsid w:val="004B5157"/>
    <w:rsid w:val="004B55CF"/>
    <w:rsid w:val="004B6E62"/>
    <w:rsid w:val="004B755B"/>
    <w:rsid w:val="004D0A1A"/>
    <w:rsid w:val="004D3B0F"/>
    <w:rsid w:val="004D72B8"/>
    <w:rsid w:val="004D7656"/>
    <w:rsid w:val="004E024A"/>
    <w:rsid w:val="004E025B"/>
    <w:rsid w:val="004E1262"/>
    <w:rsid w:val="004E23A9"/>
    <w:rsid w:val="004E4138"/>
    <w:rsid w:val="004E464D"/>
    <w:rsid w:val="004E5181"/>
    <w:rsid w:val="004E75D2"/>
    <w:rsid w:val="004F220F"/>
    <w:rsid w:val="004F30CD"/>
    <w:rsid w:val="004F3308"/>
    <w:rsid w:val="004F6147"/>
    <w:rsid w:val="00501F80"/>
    <w:rsid w:val="00512647"/>
    <w:rsid w:val="00514AF5"/>
    <w:rsid w:val="00515CA7"/>
    <w:rsid w:val="00516B0E"/>
    <w:rsid w:val="00523400"/>
    <w:rsid w:val="005243FA"/>
    <w:rsid w:val="00524BED"/>
    <w:rsid w:val="00525111"/>
    <w:rsid w:val="00527381"/>
    <w:rsid w:val="00527D1B"/>
    <w:rsid w:val="00532C72"/>
    <w:rsid w:val="005365C8"/>
    <w:rsid w:val="00537923"/>
    <w:rsid w:val="005419C2"/>
    <w:rsid w:val="005467B7"/>
    <w:rsid w:val="00546CBE"/>
    <w:rsid w:val="00547CBE"/>
    <w:rsid w:val="0055028B"/>
    <w:rsid w:val="00551B71"/>
    <w:rsid w:val="005625B5"/>
    <w:rsid w:val="005666ED"/>
    <w:rsid w:val="00566C6D"/>
    <w:rsid w:val="00570072"/>
    <w:rsid w:val="005706FD"/>
    <w:rsid w:val="00570BA7"/>
    <w:rsid w:val="00572521"/>
    <w:rsid w:val="00575664"/>
    <w:rsid w:val="005777BC"/>
    <w:rsid w:val="005837DE"/>
    <w:rsid w:val="00584B74"/>
    <w:rsid w:val="00594B78"/>
    <w:rsid w:val="00595612"/>
    <w:rsid w:val="005962FA"/>
    <w:rsid w:val="005A0931"/>
    <w:rsid w:val="005A1B5C"/>
    <w:rsid w:val="005A30E6"/>
    <w:rsid w:val="005A5647"/>
    <w:rsid w:val="005A67D2"/>
    <w:rsid w:val="005B5A79"/>
    <w:rsid w:val="005B798D"/>
    <w:rsid w:val="005C0D35"/>
    <w:rsid w:val="005C111D"/>
    <w:rsid w:val="005C1EB8"/>
    <w:rsid w:val="005C2F6F"/>
    <w:rsid w:val="005C3B17"/>
    <w:rsid w:val="005C4CC4"/>
    <w:rsid w:val="005D1DBA"/>
    <w:rsid w:val="005D27F7"/>
    <w:rsid w:val="005D2E0C"/>
    <w:rsid w:val="005D3B5C"/>
    <w:rsid w:val="005D4B73"/>
    <w:rsid w:val="005E0807"/>
    <w:rsid w:val="005E167A"/>
    <w:rsid w:val="005E182B"/>
    <w:rsid w:val="005E1F73"/>
    <w:rsid w:val="005E29E4"/>
    <w:rsid w:val="005E5F5F"/>
    <w:rsid w:val="005E6209"/>
    <w:rsid w:val="005F1586"/>
    <w:rsid w:val="005F1982"/>
    <w:rsid w:val="005F1C2C"/>
    <w:rsid w:val="005F3598"/>
    <w:rsid w:val="005F3A9F"/>
    <w:rsid w:val="005F52EA"/>
    <w:rsid w:val="00600CB1"/>
    <w:rsid w:val="0060212B"/>
    <w:rsid w:val="00603DDF"/>
    <w:rsid w:val="00604A64"/>
    <w:rsid w:val="00605519"/>
    <w:rsid w:val="00607188"/>
    <w:rsid w:val="00610D81"/>
    <w:rsid w:val="00610DAC"/>
    <w:rsid w:val="006116D5"/>
    <w:rsid w:val="0061283E"/>
    <w:rsid w:val="00612AD0"/>
    <w:rsid w:val="006142B4"/>
    <w:rsid w:val="00614669"/>
    <w:rsid w:val="00616AB3"/>
    <w:rsid w:val="00623171"/>
    <w:rsid w:val="00625643"/>
    <w:rsid w:val="006256D7"/>
    <w:rsid w:val="00626A1F"/>
    <w:rsid w:val="00627C7A"/>
    <w:rsid w:val="006337C7"/>
    <w:rsid w:val="0064021F"/>
    <w:rsid w:val="00640D20"/>
    <w:rsid w:val="006420DE"/>
    <w:rsid w:val="00646C45"/>
    <w:rsid w:val="00650E63"/>
    <w:rsid w:val="00651886"/>
    <w:rsid w:val="006548E5"/>
    <w:rsid w:val="006568A5"/>
    <w:rsid w:val="0066003E"/>
    <w:rsid w:val="0066416C"/>
    <w:rsid w:val="0066486A"/>
    <w:rsid w:val="00664EC4"/>
    <w:rsid w:val="00664F17"/>
    <w:rsid w:val="00671D1D"/>
    <w:rsid w:val="00671F42"/>
    <w:rsid w:val="00671FC8"/>
    <w:rsid w:val="00674C47"/>
    <w:rsid w:val="00675378"/>
    <w:rsid w:val="0067606E"/>
    <w:rsid w:val="0068286F"/>
    <w:rsid w:val="0068470E"/>
    <w:rsid w:val="00684B5D"/>
    <w:rsid w:val="00695B12"/>
    <w:rsid w:val="00697567"/>
    <w:rsid w:val="006A0512"/>
    <w:rsid w:val="006A0885"/>
    <w:rsid w:val="006A2218"/>
    <w:rsid w:val="006A6995"/>
    <w:rsid w:val="006A6FF5"/>
    <w:rsid w:val="006A7080"/>
    <w:rsid w:val="006B2F49"/>
    <w:rsid w:val="006B5218"/>
    <w:rsid w:val="006C3AB8"/>
    <w:rsid w:val="006C4C9C"/>
    <w:rsid w:val="006C54A5"/>
    <w:rsid w:val="006C5B52"/>
    <w:rsid w:val="006C6973"/>
    <w:rsid w:val="006C7D25"/>
    <w:rsid w:val="006D14EF"/>
    <w:rsid w:val="006D2221"/>
    <w:rsid w:val="006D53C4"/>
    <w:rsid w:val="006E1636"/>
    <w:rsid w:val="006E1E6A"/>
    <w:rsid w:val="006E212D"/>
    <w:rsid w:val="006E294F"/>
    <w:rsid w:val="006E391D"/>
    <w:rsid w:val="006E4001"/>
    <w:rsid w:val="006E4881"/>
    <w:rsid w:val="006E64BF"/>
    <w:rsid w:val="006F4D42"/>
    <w:rsid w:val="006F58A5"/>
    <w:rsid w:val="006F733A"/>
    <w:rsid w:val="006F7D72"/>
    <w:rsid w:val="00703734"/>
    <w:rsid w:val="00706005"/>
    <w:rsid w:val="00711349"/>
    <w:rsid w:val="00715079"/>
    <w:rsid w:val="00723C5D"/>
    <w:rsid w:val="0072548E"/>
    <w:rsid w:val="00727BF5"/>
    <w:rsid w:val="00731154"/>
    <w:rsid w:val="00732169"/>
    <w:rsid w:val="0073303D"/>
    <w:rsid w:val="0073362E"/>
    <w:rsid w:val="00733BEB"/>
    <w:rsid w:val="00735ACE"/>
    <w:rsid w:val="00735E74"/>
    <w:rsid w:val="007360A6"/>
    <w:rsid w:val="00736D75"/>
    <w:rsid w:val="0073786E"/>
    <w:rsid w:val="00745DA6"/>
    <w:rsid w:val="00746049"/>
    <w:rsid w:val="00746678"/>
    <w:rsid w:val="00750AFA"/>
    <w:rsid w:val="00752D2C"/>
    <w:rsid w:val="00752D41"/>
    <w:rsid w:val="007535A7"/>
    <w:rsid w:val="00766A2E"/>
    <w:rsid w:val="00771C01"/>
    <w:rsid w:val="00771FF7"/>
    <w:rsid w:val="00773050"/>
    <w:rsid w:val="00776E30"/>
    <w:rsid w:val="00777576"/>
    <w:rsid w:val="00781A22"/>
    <w:rsid w:val="00781C9A"/>
    <w:rsid w:val="00782B24"/>
    <w:rsid w:val="007833EE"/>
    <w:rsid w:val="00783EC3"/>
    <w:rsid w:val="00785780"/>
    <w:rsid w:val="0079385D"/>
    <w:rsid w:val="0079754A"/>
    <w:rsid w:val="00797B75"/>
    <w:rsid w:val="007A3806"/>
    <w:rsid w:val="007A536C"/>
    <w:rsid w:val="007B3A87"/>
    <w:rsid w:val="007B553F"/>
    <w:rsid w:val="007B76F8"/>
    <w:rsid w:val="007C20B9"/>
    <w:rsid w:val="007C60D4"/>
    <w:rsid w:val="007C651F"/>
    <w:rsid w:val="007D28DD"/>
    <w:rsid w:val="007D7AE2"/>
    <w:rsid w:val="007F4683"/>
    <w:rsid w:val="007F6B8F"/>
    <w:rsid w:val="00803CC5"/>
    <w:rsid w:val="008059DC"/>
    <w:rsid w:val="00806473"/>
    <w:rsid w:val="00813E60"/>
    <w:rsid w:val="00816F16"/>
    <w:rsid w:val="00817772"/>
    <w:rsid w:val="00821409"/>
    <w:rsid w:val="00824EED"/>
    <w:rsid w:val="008261A4"/>
    <w:rsid w:val="00826293"/>
    <w:rsid w:val="00831EE4"/>
    <w:rsid w:val="00835974"/>
    <w:rsid w:val="00837DE3"/>
    <w:rsid w:val="00840965"/>
    <w:rsid w:val="0084533F"/>
    <w:rsid w:val="0084745E"/>
    <w:rsid w:val="00847A67"/>
    <w:rsid w:val="008527AF"/>
    <w:rsid w:val="00853A7A"/>
    <w:rsid w:val="00861DA8"/>
    <w:rsid w:val="0086274C"/>
    <w:rsid w:val="008632F1"/>
    <w:rsid w:val="00864A08"/>
    <w:rsid w:val="008653E9"/>
    <w:rsid w:val="00866E7C"/>
    <w:rsid w:val="008676FD"/>
    <w:rsid w:val="0087187A"/>
    <w:rsid w:val="00872DFF"/>
    <w:rsid w:val="00873B9B"/>
    <w:rsid w:val="00873EC4"/>
    <w:rsid w:val="0087402E"/>
    <w:rsid w:val="00877958"/>
    <w:rsid w:val="008819D5"/>
    <w:rsid w:val="00881EF4"/>
    <w:rsid w:val="00883A46"/>
    <w:rsid w:val="00883FFD"/>
    <w:rsid w:val="00891458"/>
    <w:rsid w:val="00892B6E"/>
    <w:rsid w:val="00894E3D"/>
    <w:rsid w:val="008A31BD"/>
    <w:rsid w:val="008A5808"/>
    <w:rsid w:val="008B048C"/>
    <w:rsid w:val="008B4FBB"/>
    <w:rsid w:val="008B7B1E"/>
    <w:rsid w:val="008C1724"/>
    <w:rsid w:val="008C3B21"/>
    <w:rsid w:val="008C50C2"/>
    <w:rsid w:val="008C776C"/>
    <w:rsid w:val="008D1AA1"/>
    <w:rsid w:val="008D1ED9"/>
    <w:rsid w:val="008D48FF"/>
    <w:rsid w:val="008E3C31"/>
    <w:rsid w:val="008E5902"/>
    <w:rsid w:val="008E5BCB"/>
    <w:rsid w:val="008E5E4B"/>
    <w:rsid w:val="008E6066"/>
    <w:rsid w:val="008E678D"/>
    <w:rsid w:val="008E6CA7"/>
    <w:rsid w:val="008F6F63"/>
    <w:rsid w:val="00903D3C"/>
    <w:rsid w:val="009048DC"/>
    <w:rsid w:val="009059E9"/>
    <w:rsid w:val="0090791F"/>
    <w:rsid w:val="00910443"/>
    <w:rsid w:val="00911D0C"/>
    <w:rsid w:val="00915040"/>
    <w:rsid w:val="0091556D"/>
    <w:rsid w:val="00915900"/>
    <w:rsid w:val="00917329"/>
    <w:rsid w:val="0092292E"/>
    <w:rsid w:val="009316A2"/>
    <w:rsid w:val="009327DE"/>
    <w:rsid w:val="009355AF"/>
    <w:rsid w:val="00942495"/>
    <w:rsid w:val="0094481E"/>
    <w:rsid w:val="009468E5"/>
    <w:rsid w:val="00947977"/>
    <w:rsid w:val="0095203B"/>
    <w:rsid w:val="00952B29"/>
    <w:rsid w:val="009540B3"/>
    <w:rsid w:val="00957738"/>
    <w:rsid w:val="009579B3"/>
    <w:rsid w:val="00957DC1"/>
    <w:rsid w:val="00960D98"/>
    <w:rsid w:val="00966C93"/>
    <w:rsid w:val="00974B08"/>
    <w:rsid w:val="00974F8A"/>
    <w:rsid w:val="00976A63"/>
    <w:rsid w:val="0098090B"/>
    <w:rsid w:val="009830D1"/>
    <w:rsid w:val="00985EDA"/>
    <w:rsid w:val="0098695D"/>
    <w:rsid w:val="00991E93"/>
    <w:rsid w:val="0099795B"/>
    <w:rsid w:val="009A1BCE"/>
    <w:rsid w:val="009A266C"/>
    <w:rsid w:val="009A549D"/>
    <w:rsid w:val="009A5F87"/>
    <w:rsid w:val="009A64AF"/>
    <w:rsid w:val="009A6661"/>
    <w:rsid w:val="009B0F59"/>
    <w:rsid w:val="009B1503"/>
    <w:rsid w:val="009B21C1"/>
    <w:rsid w:val="009B4687"/>
    <w:rsid w:val="009B48C1"/>
    <w:rsid w:val="009B4C79"/>
    <w:rsid w:val="009B56E9"/>
    <w:rsid w:val="009D31A0"/>
    <w:rsid w:val="009D337B"/>
    <w:rsid w:val="009E0C36"/>
    <w:rsid w:val="009E624E"/>
    <w:rsid w:val="009F7822"/>
    <w:rsid w:val="00A10652"/>
    <w:rsid w:val="00A12D6F"/>
    <w:rsid w:val="00A13FCB"/>
    <w:rsid w:val="00A159EF"/>
    <w:rsid w:val="00A2306A"/>
    <w:rsid w:val="00A267F3"/>
    <w:rsid w:val="00A30EEE"/>
    <w:rsid w:val="00A3315F"/>
    <w:rsid w:val="00A3332F"/>
    <w:rsid w:val="00A41C7E"/>
    <w:rsid w:val="00A42F06"/>
    <w:rsid w:val="00A46CDB"/>
    <w:rsid w:val="00A47FB9"/>
    <w:rsid w:val="00A52F3D"/>
    <w:rsid w:val="00A53A36"/>
    <w:rsid w:val="00A5440E"/>
    <w:rsid w:val="00A629B7"/>
    <w:rsid w:val="00A6365B"/>
    <w:rsid w:val="00A65F3C"/>
    <w:rsid w:val="00A71574"/>
    <w:rsid w:val="00A731BB"/>
    <w:rsid w:val="00A733F1"/>
    <w:rsid w:val="00A736EE"/>
    <w:rsid w:val="00A73972"/>
    <w:rsid w:val="00A80CB3"/>
    <w:rsid w:val="00A87EB9"/>
    <w:rsid w:val="00A9136A"/>
    <w:rsid w:val="00A928C1"/>
    <w:rsid w:val="00A93E6F"/>
    <w:rsid w:val="00A950BB"/>
    <w:rsid w:val="00AA5432"/>
    <w:rsid w:val="00AA547E"/>
    <w:rsid w:val="00AA560F"/>
    <w:rsid w:val="00AA740C"/>
    <w:rsid w:val="00AB44A1"/>
    <w:rsid w:val="00AB6678"/>
    <w:rsid w:val="00AB7D6A"/>
    <w:rsid w:val="00AC03DF"/>
    <w:rsid w:val="00AC04E2"/>
    <w:rsid w:val="00AC3B91"/>
    <w:rsid w:val="00AC6264"/>
    <w:rsid w:val="00AD0671"/>
    <w:rsid w:val="00AD22BA"/>
    <w:rsid w:val="00AD2A45"/>
    <w:rsid w:val="00AD473E"/>
    <w:rsid w:val="00AE08ED"/>
    <w:rsid w:val="00AE43A2"/>
    <w:rsid w:val="00AE442B"/>
    <w:rsid w:val="00AE6C19"/>
    <w:rsid w:val="00AF1780"/>
    <w:rsid w:val="00AF5640"/>
    <w:rsid w:val="00AF6763"/>
    <w:rsid w:val="00AF6C34"/>
    <w:rsid w:val="00B010DC"/>
    <w:rsid w:val="00B028A1"/>
    <w:rsid w:val="00B03256"/>
    <w:rsid w:val="00B04478"/>
    <w:rsid w:val="00B06BBE"/>
    <w:rsid w:val="00B11455"/>
    <w:rsid w:val="00B13E23"/>
    <w:rsid w:val="00B15C01"/>
    <w:rsid w:val="00B17F38"/>
    <w:rsid w:val="00B201F0"/>
    <w:rsid w:val="00B216A1"/>
    <w:rsid w:val="00B237ED"/>
    <w:rsid w:val="00B251C5"/>
    <w:rsid w:val="00B251DB"/>
    <w:rsid w:val="00B26C25"/>
    <w:rsid w:val="00B26D06"/>
    <w:rsid w:val="00B35C0C"/>
    <w:rsid w:val="00B41327"/>
    <w:rsid w:val="00B42317"/>
    <w:rsid w:val="00B43C2C"/>
    <w:rsid w:val="00B445EA"/>
    <w:rsid w:val="00B45126"/>
    <w:rsid w:val="00B455DD"/>
    <w:rsid w:val="00B4602B"/>
    <w:rsid w:val="00B54056"/>
    <w:rsid w:val="00B557C9"/>
    <w:rsid w:val="00B55B9C"/>
    <w:rsid w:val="00B62D06"/>
    <w:rsid w:val="00B633FB"/>
    <w:rsid w:val="00B74748"/>
    <w:rsid w:val="00B74EB9"/>
    <w:rsid w:val="00B8021B"/>
    <w:rsid w:val="00B808D8"/>
    <w:rsid w:val="00B8152E"/>
    <w:rsid w:val="00B81C11"/>
    <w:rsid w:val="00B827E6"/>
    <w:rsid w:val="00B850D5"/>
    <w:rsid w:val="00B85199"/>
    <w:rsid w:val="00B86C1A"/>
    <w:rsid w:val="00B9099B"/>
    <w:rsid w:val="00B90D21"/>
    <w:rsid w:val="00B90E0C"/>
    <w:rsid w:val="00B9131A"/>
    <w:rsid w:val="00BA0B22"/>
    <w:rsid w:val="00BA386A"/>
    <w:rsid w:val="00BA44D6"/>
    <w:rsid w:val="00BA6DFB"/>
    <w:rsid w:val="00BA7DF5"/>
    <w:rsid w:val="00BB350F"/>
    <w:rsid w:val="00BB4C76"/>
    <w:rsid w:val="00BB76F1"/>
    <w:rsid w:val="00BC1AC5"/>
    <w:rsid w:val="00BC336A"/>
    <w:rsid w:val="00BC39C1"/>
    <w:rsid w:val="00BC40CC"/>
    <w:rsid w:val="00BC4462"/>
    <w:rsid w:val="00BC53E7"/>
    <w:rsid w:val="00BD0F8A"/>
    <w:rsid w:val="00BD74E2"/>
    <w:rsid w:val="00BE0F99"/>
    <w:rsid w:val="00BE15F7"/>
    <w:rsid w:val="00BE1CB4"/>
    <w:rsid w:val="00BE1F9A"/>
    <w:rsid w:val="00BE24F3"/>
    <w:rsid w:val="00BE45C9"/>
    <w:rsid w:val="00BE53C7"/>
    <w:rsid w:val="00BE6EEA"/>
    <w:rsid w:val="00BF092F"/>
    <w:rsid w:val="00BF55BE"/>
    <w:rsid w:val="00C00703"/>
    <w:rsid w:val="00C051DD"/>
    <w:rsid w:val="00C06646"/>
    <w:rsid w:val="00C13BF1"/>
    <w:rsid w:val="00C1435A"/>
    <w:rsid w:val="00C157DC"/>
    <w:rsid w:val="00C16A60"/>
    <w:rsid w:val="00C17230"/>
    <w:rsid w:val="00C20EA2"/>
    <w:rsid w:val="00C235A7"/>
    <w:rsid w:val="00C23B4B"/>
    <w:rsid w:val="00C24367"/>
    <w:rsid w:val="00C24E79"/>
    <w:rsid w:val="00C2783B"/>
    <w:rsid w:val="00C27BBB"/>
    <w:rsid w:val="00C3179A"/>
    <w:rsid w:val="00C3323E"/>
    <w:rsid w:val="00C33C75"/>
    <w:rsid w:val="00C375D5"/>
    <w:rsid w:val="00C425EB"/>
    <w:rsid w:val="00C43D48"/>
    <w:rsid w:val="00C46488"/>
    <w:rsid w:val="00C46C9D"/>
    <w:rsid w:val="00C50A9A"/>
    <w:rsid w:val="00C5203F"/>
    <w:rsid w:val="00C54660"/>
    <w:rsid w:val="00C56C6D"/>
    <w:rsid w:val="00C601C8"/>
    <w:rsid w:val="00C6046A"/>
    <w:rsid w:val="00C65E4E"/>
    <w:rsid w:val="00C66984"/>
    <w:rsid w:val="00C74CFB"/>
    <w:rsid w:val="00C80DD5"/>
    <w:rsid w:val="00C82A41"/>
    <w:rsid w:val="00C83402"/>
    <w:rsid w:val="00C83E33"/>
    <w:rsid w:val="00C92490"/>
    <w:rsid w:val="00C937D8"/>
    <w:rsid w:val="00C95DF9"/>
    <w:rsid w:val="00C97668"/>
    <w:rsid w:val="00C9785B"/>
    <w:rsid w:val="00CB095A"/>
    <w:rsid w:val="00CB0AE1"/>
    <w:rsid w:val="00CB1AB6"/>
    <w:rsid w:val="00CB2451"/>
    <w:rsid w:val="00CB2DE1"/>
    <w:rsid w:val="00CB47D6"/>
    <w:rsid w:val="00CB71FF"/>
    <w:rsid w:val="00CB7499"/>
    <w:rsid w:val="00CB77FA"/>
    <w:rsid w:val="00CB79A8"/>
    <w:rsid w:val="00CC0DB3"/>
    <w:rsid w:val="00CC6379"/>
    <w:rsid w:val="00CD312C"/>
    <w:rsid w:val="00CD3F39"/>
    <w:rsid w:val="00CE4789"/>
    <w:rsid w:val="00CE59AE"/>
    <w:rsid w:val="00CE6413"/>
    <w:rsid w:val="00CE6BBD"/>
    <w:rsid w:val="00CE7F17"/>
    <w:rsid w:val="00CF7658"/>
    <w:rsid w:val="00CF7D03"/>
    <w:rsid w:val="00D0215A"/>
    <w:rsid w:val="00D074DD"/>
    <w:rsid w:val="00D10678"/>
    <w:rsid w:val="00D11EB3"/>
    <w:rsid w:val="00D122AB"/>
    <w:rsid w:val="00D13038"/>
    <w:rsid w:val="00D15718"/>
    <w:rsid w:val="00D20072"/>
    <w:rsid w:val="00D21535"/>
    <w:rsid w:val="00D220CF"/>
    <w:rsid w:val="00D238F0"/>
    <w:rsid w:val="00D27B99"/>
    <w:rsid w:val="00D313E9"/>
    <w:rsid w:val="00D34063"/>
    <w:rsid w:val="00D42232"/>
    <w:rsid w:val="00D4251A"/>
    <w:rsid w:val="00D457CD"/>
    <w:rsid w:val="00D45D7B"/>
    <w:rsid w:val="00D517AF"/>
    <w:rsid w:val="00D539F0"/>
    <w:rsid w:val="00D5456B"/>
    <w:rsid w:val="00D5462E"/>
    <w:rsid w:val="00D5718B"/>
    <w:rsid w:val="00D5755A"/>
    <w:rsid w:val="00D57880"/>
    <w:rsid w:val="00D60E5A"/>
    <w:rsid w:val="00D60F61"/>
    <w:rsid w:val="00D64BFA"/>
    <w:rsid w:val="00D70308"/>
    <w:rsid w:val="00D73789"/>
    <w:rsid w:val="00D76706"/>
    <w:rsid w:val="00D77674"/>
    <w:rsid w:val="00D8165A"/>
    <w:rsid w:val="00D83710"/>
    <w:rsid w:val="00D841E9"/>
    <w:rsid w:val="00D87E60"/>
    <w:rsid w:val="00D9122B"/>
    <w:rsid w:val="00D9211D"/>
    <w:rsid w:val="00D93CDE"/>
    <w:rsid w:val="00D9455D"/>
    <w:rsid w:val="00D97127"/>
    <w:rsid w:val="00DA31F9"/>
    <w:rsid w:val="00DA7824"/>
    <w:rsid w:val="00DB1F98"/>
    <w:rsid w:val="00DB3547"/>
    <w:rsid w:val="00DB37E5"/>
    <w:rsid w:val="00DC27E5"/>
    <w:rsid w:val="00DC3E34"/>
    <w:rsid w:val="00DC44AE"/>
    <w:rsid w:val="00DC4C82"/>
    <w:rsid w:val="00DD41C7"/>
    <w:rsid w:val="00DD5116"/>
    <w:rsid w:val="00DD7997"/>
    <w:rsid w:val="00DD7A0C"/>
    <w:rsid w:val="00DD7FE3"/>
    <w:rsid w:val="00DE0404"/>
    <w:rsid w:val="00DE04A8"/>
    <w:rsid w:val="00DE1060"/>
    <w:rsid w:val="00DE766E"/>
    <w:rsid w:val="00DE7FAA"/>
    <w:rsid w:val="00DF2A06"/>
    <w:rsid w:val="00DF340B"/>
    <w:rsid w:val="00DF707B"/>
    <w:rsid w:val="00DF7A8C"/>
    <w:rsid w:val="00E01D7D"/>
    <w:rsid w:val="00E024DD"/>
    <w:rsid w:val="00E0372B"/>
    <w:rsid w:val="00E04DA0"/>
    <w:rsid w:val="00E05F77"/>
    <w:rsid w:val="00E07498"/>
    <w:rsid w:val="00E11B00"/>
    <w:rsid w:val="00E14E96"/>
    <w:rsid w:val="00E14F58"/>
    <w:rsid w:val="00E173AE"/>
    <w:rsid w:val="00E2510C"/>
    <w:rsid w:val="00E25F1B"/>
    <w:rsid w:val="00E25F2F"/>
    <w:rsid w:val="00E27DE6"/>
    <w:rsid w:val="00E3027E"/>
    <w:rsid w:val="00E312AD"/>
    <w:rsid w:val="00E3390F"/>
    <w:rsid w:val="00E37443"/>
    <w:rsid w:val="00E37508"/>
    <w:rsid w:val="00E40472"/>
    <w:rsid w:val="00E41B34"/>
    <w:rsid w:val="00E43809"/>
    <w:rsid w:val="00E473AB"/>
    <w:rsid w:val="00E50177"/>
    <w:rsid w:val="00E518EC"/>
    <w:rsid w:val="00E51EC5"/>
    <w:rsid w:val="00E550E7"/>
    <w:rsid w:val="00E56D7A"/>
    <w:rsid w:val="00E57994"/>
    <w:rsid w:val="00E6379B"/>
    <w:rsid w:val="00E6412B"/>
    <w:rsid w:val="00E649B9"/>
    <w:rsid w:val="00E67BAB"/>
    <w:rsid w:val="00E67DFE"/>
    <w:rsid w:val="00E70828"/>
    <w:rsid w:val="00E70EC5"/>
    <w:rsid w:val="00E71875"/>
    <w:rsid w:val="00E718C6"/>
    <w:rsid w:val="00E71FC9"/>
    <w:rsid w:val="00E72048"/>
    <w:rsid w:val="00E7282E"/>
    <w:rsid w:val="00E72F98"/>
    <w:rsid w:val="00E73144"/>
    <w:rsid w:val="00E73748"/>
    <w:rsid w:val="00E75D78"/>
    <w:rsid w:val="00E92E19"/>
    <w:rsid w:val="00E95372"/>
    <w:rsid w:val="00EA0739"/>
    <w:rsid w:val="00EA15EA"/>
    <w:rsid w:val="00EA19E7"/>
    <w:rsid w:val="00EA792A"/>
    <w:rsid w:val="00EB1E3B"/>
    <w:rsid w:val="00EB2A69"/>
    <w:rsid w:val="00EC0651"/>
    <w:rsid w:val="00ED453A"/>
    <w:rsid w:val="00EE014A"/>
    <w:rsid w:val="00EE1F4B"/>
    <w:rsid w:val="00EE2A3E"/>
    <w:rsid w:val="00EE3528"/>
    <w:rsid w:val="00EE3546"/>
    <w:rsid w:val="00EE4350"/>
    <w:rsid w:val="00EE6439"/>
    <w:rsid w:val="00EE6618"/>
    <w:rsid w:val="00EF05C4"/>
    <w:rsid w:val="00EF1E7F"/>
    <w:rsid w:val="00EF21C4"/>
    <w:rsid w:val="00EF6063"/>
    <w:rsid w:val="00F05061"/>
    <w:rsid w:val="00F061CB"/>
    <w:rsid w:val="00F110BA"/>
    <w:rsid w:val="00F14BD2"/>
    <w:rsid w:val="00F15534"/>
    <w:rsid w:val="00F16FE0"/>
    <w:rsid w:val="00F178EE"/>
    <w:rsid w:val="00F2275A"/>
    <w:rsid w:val="00F22BB9"/>
    <w:rsid w:val="00F2306F"/>
    <w:rsid w:val="00F23BCF"/>
    <w:rsid w:val="00F247F9"/>
    <w:rsid w:val="00F24DA2"/>
    <w:rsid w:val="00F31DD5"/>
    <w:rsid w:val="00F32757"/>
    <w:rsid w:val="00F400DA"/>
    <w:rsid w:val="00F44C29"/>
    <w:rsid w:val="00F4751D"/>
    <w:rsid w:val="00F50FA6"/>
    <w:rsid w:val="00F534EF"/>
    <w:rsid w:val="00F53CC5"/>
    <w:rsid w:val="00F6121C"/>
    <w:rsid w:val="00F62AC1"/>
    <w:rsid w:val="00F62B4E"/>
    <w:rsid w:val="00F63A86"/>
    <w:rsid w:val="00F66A4B"/>
    <w:rsid w:val="00F735DC"/>
    <w:rsid w:val="00F75C42"/>
    <w:rsid w:val="00F822D0"/>
    <w:rsid w:val="00F82FAE"/>
    <w:rsid w:val="00F83535"/>
    <w:rsid w:val="00F86ADC"/>
    <w:rsid w:val="00F86CE5"/>
    <w:rsid w:val="00F86E06"/>
    <w:rsid w:val="00F91DAF"/>
    <w:rsid w:val="00F92DC2"/>
    <w:rsid w:val="00F93189"/>
    <w:rsid w:val="00F93C45"/>
    <w:rsid w:val="00F95FF8"/>
    <w:rsid w:val="00F971D9"/>
    <w:rsid w:val="00FA02A0"/>
    <w:rsid w:val="00FA14FE"/>
    <w:rsid w:val="00FA4E30"/>
    <w:rsid w:val="00FB444C"/>
    <w:rsid w:val="00FB59E2"/>
    <w:rsid w:val="00FB62DB"/>
    <w:rsid w:val="00FB7C0A"/>
    <w:rsid w:val="00FC07C7"/>
    <w:rsid w:val="00FC3537"/>
    <w:rsid w:val="00FC4CFE"/>
    <w:rsid w:val="00FC7BBA"/>
    <w:rsid w:val="00FC7FBA"/>
    <w:rsid w:val="00FD4F34"/>
    <w:rsid w:val="00FE4569"/>
    <w:rsid w:val="00FE640F"/>
    <w:rsid w:val="00FE7DB2"/>
    <w:rsid w:val="00FF0A24"/>
    <w:rsid w:val="00FF33AC"/>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B769A"/>
  <w15:chartTrackingRefBased/>
  <w15:docId w15:val="{CEA865F0-B735-4D99-94E3-FD7F0D7E9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766"/>
    <w:pPr>
      <w:spacing w:before="120" w:after="120" w:line="240" w:lineRule="auto"/>
    </w:pPr>
    <w:rPr>
      <w:sz w:val="20"/>
    </w:rPr>
  </w:style>
  <w:style w:type="paragraph" w:styleId="Heading1">
    <w:name w:val="heading 1"/>
    <w:basedOn w:val="Normal"/>
    <w:next w:val="Normal"/>
    <w:link w:val="Heading1Char"/>
    <w:uiPriority w:val="9"/>
    <w:qFormat/>
    <w:rsid w:val="00B90D21"/>
    <w:pPr>
      <w:keepNext/>
      <w:keepLines/>
      <w:contextualSpacing/>
      <w:outlineLvl w:val="0"/>
    </w:pPr>
    <w:rPr>
      <w:rFonts w:asciiTheme="majorHAnsi" w:eastAsiaTheme="majorEastAsia" w:hAnsiTheme="majorHAnsi" w:cstheme="majorBidi"/>
      <w:color w:val="0B474D"/>
      <w:sz w:val="72"/>
    </w:rPr>
  </w:style>
  <w:style w:type="paragraph" w:styleId="Heading2">
    <w:name w:val="heading 2"/>
    <w:basedOn w:val="Normal"/>
    <w:next w:val="Normal"/>
    <w:link w:val="Heading2Char"/>
    <w:uiPriority w:val="9"/>
    <w:unhideWhenUsed/>
    <w:qFormat/>
    <w:rsid w:val="00B90D21"/>
    <w:pPr>
      <w:keepNext/>
      <w:keepLines/>
      <w:spacing w:before="360"/>
      <w:outlineLvl w:val="1"/>
    </w:pPr>
    <w:rPr>
      <w:rFonts w:asciiTheme="majorHAnsi" w:eastAsiaTheme="majorEastAsia" w:hAnsiTheme="majorHAnsi" w:cstheme="majorBidi"/>
      <w:color w:val="0B474D"/>
      <w:sz w:val="48"/>
    </w:rPr>
  </w:style>
  <w:style w:type="paragraph" w:styleId="Heading3">
    <w:name w:val="heading 3"/>
    <w:basedOn w:val="Normal"/>
    <w:next w:val="Normal"/>
    <w:link w:val="Heading3Char"/>
    <w:uiPriority w:val="9"/>
    <w:unhideWhenUsed/>
    <w:qFormat/>
    <w:rsid w:val="00B90D21"/>
    <w:pPr>
      <w:keepNext/>
      <w:keepLines/>
      <w:spacing w:before="240"/>
      <w:outlineLvl w:val="2"/>
    </w:pPr>
    <w:rPr>
      <w:rFonts w:asciiTheme="majorHAnsi" w:eastAsiaTheme="majorEastAsia" w:hAnsiTheme="majorHAnsi" w:cstheme="majorBidi"/>
      <w:color w:val="0B474D"/>
      <w:sz w:val="40"/>
    </w:rPr>
  </w:style>
  <w:style w:type="paragraph" w:styleId="Heading4">
    <w:name w:val="heading 4"/>
    <w:basedOn w:val="Normal"/>
    <w:next w:val="Normal"/>
    <w:link w:val="Heading4Char"/>
    <w:uiPriority w:val="9"/>
    <w:unhideWhenUsed/>
    <w:qFormat/>
    <w:rsid w:val="00B90D21"/>
    <w:pPr>
      <w:keepNext/>
      <w:keepLines/>
      <w:spacing w:before="240"/>
      <w:outlineLvl w:val="3"/>
    </w:pPr>
    <w:rPr>
      <w:rFonts w:asciiTheme="majorHAnsi" w:eastAsiaTheme="majorEastAsia" w:hAnsiTheme="majorHAnsi" w:cstheme="majorBidi"/>
      <w:color w:val="0B474D"/>
      <w:sz w:val="32"/>
    </w:rPr>
  </w:style>
  <w:style w:type="paragraph" w:styleId="Heading5">
    <w:name w:val="heading 5"/>
    <w:basedOn w:val="Normal"/>
    <w:next w:val="Normal"/>
    <w:link w:val="Heading5Char"/>
    <w:uiPriority w:val="9"/>
    <w:unhideWhenUsed/>
    <w:qFormat/>
    <w:rsid w:val="00B90D21"/>
    <w:pPr>
      <w:keepNext/>
      <w:keepLines/>
      <w:spacing w:before="240"/>
      <w:outlineLvl w:val="4"/>
    </w:pPr>
    <w:rPr>
      <w:rFonts w:asciiTheme="majorHAnsi" w:eastAsiaTheme="majorEastAsia" w:hAnsiTheme="majorHAnsi" w:cstheme="majorBidi"/>
      <w:color w:val="0B474D"/>
      <w:sz w:val="26"/>
    </w:rPr>
  </w:style>
  <w:style w:type="paragraph" w:styleId="Heading6">
    <w:name w:val="heading 6"/>
    <w:basedOn w:val="Normal"/>
    <w:next w:val="Normal"/>
    <w:link w:val="Heading6Char"/>
    <w:uiPriority w:val="9"/>
    <w:unhideWhenUsed/>
    <w:qFormat/>
    <w:rsid w:val="00C50A9A"/>
    <w:pPr>
      <w:keepNext/>
      <w:keepLines/>
      <w:spacing w:before="240"/>
      <w:outlineLvl w:val="5"/>
    </w:pPr>
    <w:rPr>
      <w:rFonts w:asciiTheme="majorHAnsi" w:eastAsiaTheme="majorEastAsia" w:hAnsiTheme="majorHAnsi" w:cstheme="majorBidi"/>
      <w:color w:val="000000" w:themeColor="text1"/>
      <w:sz w:val="24"/>
    </w:rPr>
  </w:style>
  <w:style w:type="paragraph" w:styleId="Heading7">
    <w:name w:val="heading 7"/>
    <w:basedOn w:val="Normal"/>
    <w:next w:val="Normal"/>
    <w:link w:val="Heading7Char"/>
    <w:uiPriority w:val="9"/>
    <w:unhideWhenUsed/>
    <w:qFormat/>
    <w:rsid w:val="00C50A9A"/>
    <w:pPr>
      <w:keepNext/>
      <w:keepLines/>
      <w:spacing w:before="240"/>
      <w:outlineLvl w:val="6"/>
    </w:pPr>
    <w:rPr>
      <w:rFonts w:asciiTheme="majorHAnsi" w:eastAsiaTheme="majorEastAsia" w:hAnsiTheme="majorHAnsi" w:cstheme="majorBidi"/>
      <w:b/>
      <w:color w:val="001B35" w:themeColor="accent1"/>
      <w:sz w:val="22"/>
    </w:rPr>
  </w:style>
  <w:style w:type="paragraph" w:styleId="Heading8">
    <w:name w:val="heading 8"/>
    <w:basedOn w:val="Normal"/>
    <w:next w:val="Normal"/>
    <w:link w:val="Heading8Char"/>
    <w:uiPriority w:val="9"/>
    <w:unhideWhenUsed/>
    <w:qFormat/>
    <w:rsid w:val="00C50A9A"/>
    <w:pPr>
      <w:keepNext/>
      <w:keepLines/>
      <w:spacing w:before="240"/>
      <w:outlineLvl w:val="7"/>
    </w:pPr>
    <w:rPr>
      <w:rFonts w:asciiTheme="majorHAnsi" w:eastAsiaTheme="majorEastAsia" w:hAnsiTheme="maj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B90D21"/>
    <w:rPr>
      <w:rFonts w:asciiTheme="majorHAnsi" w:eastAsiaTheme="majorEastAsia" w:hAnsiTheme="majorHAnsi" w:cstheme="majorBidi"/>
      <w:color w:val="0B474D"/>
      <w:sz w:val="72"/>
    </w:rPr>
  </w:style>
  <w:style w:type="table" w:customStyle="1" w:styleId="Verticaltable">
    <w:name w:val="Vertical table"/>
    <w:basedOn w:val="TableNormal"/>
    <w:uiPriority w:val="99"/>
    <w:rsid w:val="00AD22BA"/>
    <w:pPr>
      <w:spacing w:after="0" w:line="240" w:lineRule="auto"/>
    </w:pPr>
    <w:tblPr>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lastRow">
      <w:rPr>
        <w:b w:val="0"/>
      </w:rPr>
    </w:tblStylePr>
    <w:tblStylePr w:type="firstCol">
      <w:rPr>
        <w:b/>
        <w:color w:val="FFFFFF" w:themeColor="background1"/>
      </w:rPr>
      <w:tblPr/>
      <w:tcPr>
        <w:shd w:val="clear" w:color="auto" w:fill="15659B" w:themeFill="accent4"/>
      </w:tcPr>
    </w:tblStylePr>
  </w:style>
  <w:style w:type="character" w:styleId="FollowedHyperlink">
    <w:name w:val="FollowedHyperlink"/>
    <w:basedOn w:val="DefaultParagraphFont"/>
    <w:uiPriority w:val="99"/>
    <w:semiHidden/>
    <w:unhideWhenUsed/>
    <w:rsid w:val="00872DFF"/>
    <w:rPr>
      <w:color w:val="954F72" w:themeColor="followedHyperlink"/>
      <w:u w:val="single"/>
    </w:rPr>
  </w:style>
  <w:style w:type="paragraph" w:styleId="Subtitle">
    <w:name w:val="Subtitle"/>
    <w:basedOn w:val="Normal"/>
    <w:next w:val="Normal"/>
    <w:link w:val="SubtitleChar"/>
    <w:uiPriority w:val="11"/>
    <w:qFormat/>
    <w:rsid w:val="00960D98"/>
    <w:pPr>
      <w:numPr>
        <w:ilvl w:val="1"/>
      </w:numPr>
    </w:pPr>
    <w:rPr>
      <w:color w:val="15659B" w:themeColor="accent4"/>
      <w:sz w:val="40"/>
    </w:rPr>
  </w:style>
  <w:style w:type="character" w:customStyle="1" w:styleId="SubtitleChar">
    <w:name w:val="Subtitle Char"/>
    <w:basedOn w:val="DefaultParagraphFont"/>
    <w:link w:val="Subtitle"/>
    <w:uiPriority w:val="11"/>
    <w:rsid w:val="00960D98"/>
    <w:rPr>
      <w:rFonts w:eastAsiaTheme="minorEastAsia"/>
      <w:color w:val="15659B" w:themeColor="accent4"/>
      <w:sz w:val="40"/>
    </w:rPr>
  </w:style>
  <w:style w:type="character" w:customStyle="1" w:styleId="Heading2Char">
    <w:name w:val="Heading 2 Char"/>
    <w:basedOn w:val="DefaultParagraphFont"/>
    <w:link w:val="Heading2"/>
    <w:uiPriority w:val="9"/>
    <w:rsid w:val="00B90D21"/>
    <w:rPr>
      <w:rFonts w:asciiTheme="majorHAnsi" w:eastAsiaTheme="majorEastAsia" w:hAnsiTheme="majorHAnsi" w:cstheme="majorBidi"/>
      <w:color w:val="0B474D"/>
      <w:sz w:val="48"/>
    </w:rPr>
  </w:style>
  <w:style w:type="character" w:customStyle="1" w:styleId="Heading3Char">
    <w:name w:val="Heading 3 Char"/>
    <w:basedOn w:val="DefaultParagraphFont"/>
    <w:link w:val="Heading3"/>
    <w:uiPriority w:val="9"/>
    <w:rsid w:val="00B90D21"/>
    <w:rPr>
      <w:rFonts w:asciiTheme="majorHAnsi" w:eastAsiaTheme="majorEastAsia" w:hAnsiTheme="majorHAnsi" w:cstheme="majorBidi"/>
      <w:color w:val="0B474D"/>
      <w:sz w:val="40"/>
    </w:rPr>
  </w:style>
  <w:style w:type="character" w:customStyle="1" w:styleId="Heading4Char">
    <w:name w:val="Heading 4 Char"/>
    <w:basedOn w:val="DefaultParagraphFont"/>
    <w:link w:val="Heading4"/>
    <w:uiPriority w:val="9"/>
    <w:rsid w:val="00B90D21"/>
    <w:rPr>
      <w:rFonts w:asciiTheme="majorHAnsi" w:eastAsiaTheme="majorEastAsia" w:hAnsiTheme="majorHAnsi" w:cstheme="majorBidi"/>
      <w:color w:val="0B474D"/>
      <w:sz w:val="32"/>
    </w:rPr>
  </w:style>
  <w:style w:type="character" w:customStyle="1" w:styleId="Heading5Char">
    <w:name w:val="Heading 5 Char"/>
    <w:basedOn w:val="DefaultParagraphFont"/>
    <w:link w:val="Heading5"/>
    <w:uiPriority w:val="9"/>
    <w:rsid w:val="00B90D21"/>
    <w:rPr>
      <w:rFonts w:asciiTheme="majorHAnsi" w:eastAsiaTheme="majorEastAsia" w:hAnsiTheme="majorHAnsi" w:cstheme="majorBidi"/>
      <w:color w:val="0B474D"/>
      <w:sz w:val="26"/>
    </w:rPr>
  </w:style>
  <w:style w:type="paragraph" w:styleId="Quote">
    <w:name w:val="Quote"/>
    <w:basedOn w:val="Normal"/>
    <w:next w:val="Normal"/>
    <w:link w:val="QuoteChar"/>
    <w:uiPriority w:val="29"/>
    <w:qFormat/>
    <w:rsid w:val="00171757"/>
    <w:pPr>
      <w:pBdr>
        <w:top w:val="single" w:sz="4" w:space="6" w:color="15659B" w:themeColor="accent4"/>
        <w:bottom w:val="single" w:sz="4" w:space="6" w:color="15659B" w:themeColor="accent4"/>
      </w:pBdr>
      <w:spacing w:before="240" w:after="240"/>
      <w:ind w:right="2835"/>
    </w:pPr>
    <w:rPr>
      <w:color w:val="000000" w:themeColor="text1"/>
      <w:sz w:val="22"/>
    </w:rPr>
  </w:style>
  <w:style w:type="character" w:customStyle="1" w:styleId="QuoteChar">
    <w:name w:val="Quote Char"/>
    <w:basedOn w:val="DefaultParagraphFont"/>
    <w:link w:val="Quote"/>
    <w:uiPriority w:val="29"/>
    <w:rsid w:val="00171757"/>
    <w:rPr>
      <w:color w:val="000000" w:themeColor="text1"/>
    </w:rPr>
  </w:style>
  <w:style w:type="character" w:styleId="Strong">
    <w:name w:val="Strong"/>
    <w:basedOn w:val="DefaultParagraphFont"/>
    <w:uiPriority w:val="22"/>
    <w:qFormat/>
    <w:rsid w:val="00B251DB"/>
    <w:rPr>
      <w:b/>
    </w:rPr>
  </w:style>
  <w:style w:type="character" w:styleId="Emphasis">
    <w:name w:val="Emphasis"/>
    <w:basedOn w:val="DefaultParagraphFont"/>
    <w:uiPriority w:val="20"/>
    <w:qFormat/>
    <w:rsid w:val="00B251DB"/>
    <w:rPr>
      <w:i/>
    </w:rPr>
  </w:style>
  <w:style w:type="paragraph" w:styleId="ListParagraph">
    <w:name w:val="List Paragraph"/>
    <w:aliases w:val="List Paragraph1,Recommendation,List Paragraph11,Bullet point,NFP GP Bulleted List,L,bullet point list,1 heading,Bulleted Para,Bullet points,Content descriptions,Bullet Point,NAST Quote,FooterText,numbered,Paragraphe de liste1,列出段落,列出段落1"/>
    <w:basedOn w:val="Normal"/>
    <w:link w:val="ListParagraphChar"/>
    <w:uiPriority w:val="34"/>
    <w:qFormat/>
    <w:rsid w:val="00813E60"/>
    <w:pPr>
      <w:numPr>
        <w:numId w:val="1"/>
      </w:numPr>
      <w:spacing w:before="0"/>
      <w:ind w:left="284" w:hanging="284"/>
    </w:pPr>
  </w:style>
  <w:style w:type="character" w:styleId="Hyperlink">
    <w:name w:val="Hyperlink"/>
    <w:basedOn w:val="DefaultParagraphFont"/>
    <w:uiPriority w:val="99"/>
    <w:unhideWhenUsed/>
    <w:rsid w:val="0064021F"/>
    <w:rPr>
      <w:color w:val="0B474D"/>
      <w:u w:val="single"/>
    </w:rPr>
  </w:style>
  <w:style w:type="table" w:styleId="TableGrid">
    <w:name w:val="Table Grid"/>
    <w:aliases w:val="DISR plain Table 1"/>
    <w:basedOn w:val="TableNormal"/>
    <w:uiPriority w:val="39"/>
    <w:rsid w:val="0064021F"/>
    <w:pPr>
      <w:spacing w:after="1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style>
  <w:style w:type="character" w:customStyle="1" w:styleId="NoSpacingChar">
    <w:name w:val="No Spacing Char"/>
    <w:basedOn w:val="DefaultParagraphFont"/>
    <w:link w:val="NoSpacing"/>
    <w:uiPriority w:val="1"/>
    <w:rsid w:val="00671D1D"/>
    <w:rPr>
      <w:rFonts w:eastAsiaTheme="minorEastAsia"/>
    </w:rPr>
  </w:style>
  <w:style w:type="paragraph" w:styleId="TOCHeading">
    <w:name w:val="TOC Heading"/>
    <w:basedOn w:val="Heading2"/>
    <w:next w:val="Normal"/>
    <w:uiPriority w:val="39"/>
    <w:unhideWhenUsed/>
    <w:qFormat/>
    <w:rsid w:val="000F2564"/>
    <w:pPr>
      <w:spacing w:after="480"/>
      <w:outlineLvl w:val="9"/>
    </w:p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b/>
        <w:bCs/>
        <w:color w:val="FFFFFF" w:themeColor="background1"/>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00D3D1" w:themeColor="accent3"/>
        <w:left w:val="single" w:sz="4" w:space="0" w:color="00D3D1" w:themeColor="accent3"/>
        <w:bottom w:val="single" w:sz="4" w:space="0" w:color="00D3D1" w:themeColor="accent3"/>
        <w:right w:val="single" w:sz="4" w:space="0" w:color="00D3D1" w:themeColor="accent3"/>
      </w:tblBorders>
    </w:tblPr>
    <w:tblStylePr w:type="firstRow">
      <w:rPr>
        <w:b/>
        <w:bCs/>
        <w:color w:val="FFFFFF" w:themeColor="background1"/>
      </w:rPr>
      <w:tblPr/>
      <w:tcPr>
        <w:shd w:val="clear" w:color="auto" w:fill="00D3D1" w:themeFill="accent3"/>
      </w:tcPr>
    </w:tblStylePr>
    <w:tblStylePr w:type="lastRow">
      <w:rPr>
        <w:b/>
        <w:bCs/>
      </w:rPr>
      <w:tblPr/>
      <w:tcPr>
        <w:tcBorders>
          <w:top w:val="double" w:sz="4" w:space="0" w:color="00D3D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3D1" w:themeColor="accent3"/>
          <w:right w:val="single" w:sz="4" w:space="0" w:color="00D3D1" w:themeColor="accent3"/>
        </w:tcBorders>
      </w:tcPr>
    </w:tblStylePr>
    <w:tblStylePr w:type="band1Horz">
      <w:tblPr/>
      <w:tcPr>
        <w:tcBorders>
          <w:top w:val="single" w:sz="4" w:space="0" w:color="00D3D1" w:themeColor="accent3"/>
          <w:bottom w:val="single" w:sz="4" w:space="0" w:color="00D3D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3D1" w:themeColor="accent3"/>
          <w:left w:val="nil"/>
        </w:tcBorders>
      </w:tcPr>
    </w:tblStylePr>
    <w:tblStylePr w:type="swCell">
      <w:tblPr/>
      <w:tcPr>
        <w:tcBorders>
          <w:top w:val="double" w:sz="4" w:space="0" w:color="00D3D1" w:themeColor="accent3"/>
          <w:right w:val="nil"/>
        </w:tcBorders>
      </w:tcPr>
    </w:tblStylePr>
  </w:style>
  <w:style w:type="paragraph" w:styleId="IntenseQuote">
    <w:name w:val="Intense Quote"/>
    <w:basedOn w:val="Normal"/>
    <w:next w:val="Normal"/>
    <w:link w:val="IntenseQuoteChar"/>
    <w:uiPriority w:val="30"/>
    <w:qFormat/>
    <w:rsid w:val="000A75CB"/>
    <w:pPr>
      <w:pBdr>
        <w:top w:val="single" w:sz="4" w:space="6" w:color="15659B" w:themeColor="accent4"/>
        <w:bottom w:val="single" w:sz="4" w:space="6" w:color="15659B" w:themeColor="accent4"/>
      </w:pBdr>
      <w:spacing w:before="360" w:after="360"/>
      <w:ind w:right="2835"/>
      <w:jc w:val="center"/>
    </w:pPr>
    <w:rPr>
      <w:b/>
      <w:sz w:val="24"/>
    </w:rPr>
  </w:style>
  <w:style w:type="character" w:customStyle="1" w:styleId="IntenseQuoteChar">
    <w:name w:val="Intense Quote Char"/>
    <w:basedOn w:val="DefaultParagraphFont"/>
    <w:link w:val="IntenseQuote"/>
    <w:uiPriority w:val="30"/>
    <w:rsid w:val="000A75CB"/>
    <w:rPr>
      <w:b/>
      <w:sz w:val="24"/>
    </w:rPr>
  </w:style>
  <w:style w:type="paragraph" w:customStyle="1" w:styleId="Calloutbox">
    <w:name w:val="Call out box"/>
    <w:basedOn w:val="Normal"/>
    <w:qFormat/>
    <w:rsid w:val="00266F7C"/>
    <w:pPr>
      <w:pBdr>
        <w:top w:val="single" w:sz="4" w:space="6" w:color="E7E6E6" w:themeColor="background2"/>
        <w:left w:val="single" w:sz="4" w:space="4" w:color="E7E6E6" w:themeColor="background2"/>
        <w:bottom w:val="single" w:sz="4" w:space="6" w:color="E7E6E6" w:themeColor="background2"/>
        <w:right w:val="single" w:sz="4" w:space="4" w:color="E7E6E6" w:themeColor="background2"/>
      </w:pBdr>
      <w:shd w:val="clear" w:color="auto" w:fill="E7E6E6" w:themeFill="background2"/>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D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B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B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B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B35" w:themeFill="accent1"/>
      </w:tcPr>
    </w:tblStylePr>
    <w:tblStylePr w:type="band1Vert">
      <w:tblPr/>
      <w:tcPr>
        <w:shd w:val="clear" w:color="auto" w:fill="48A4FF" w:themeFill="accent1" w:themeFillTint="66"/>
      </w:tcPr>
    </w:tblStylePr>
    <w:tblStylePr w:type="band1Horz">
      <w:tblPr/>
      <w:tcPr>
        <w:shd w:val="clear" w:color="auto" w:fill="48A4FF"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0077EB" w:themeColor="accent1" w:themeTint="99"/>
        <w:left w:val="single" w:sz="4" w:space="0" w:color="0077EB" w:themeColor="accent1" w:themeTint="99"/>
        <w:bottom w:val="single" w:sz="4" w:space="0" w:color="0077EB" w:themeColor="accent1" w:themeTint="99"/>
        <w:right w:val="single" w:sz="4" w:space="0" w:color="0077EB" w:themeColor="accent1" w:themeTint="99"/>
        <w:insideH w:val="single" w:sz="4" w:space="0" w:color="0077EB" w:themeColor="accent1" w:themeTint="99"/>
        <w:insideV w:val="single" w:sz="4" w:space="0" w:color="0077EB" w:themeColor="accent1" w:themeTint="99"/>
      </w:tblBorders>
    </w:tblPr>
    <w:tblStylePr w:type="firstRow">
      <w:rPr>
        <w:b/>
        <w:bCs/>
        <w:color w:val="FFFFFF" w:themeColor="background1"/>
      </w:rPr>
      <w:tblPr/>
      <w:tcPr>
        <w:shd w:val="clear" w:color="auto" w:fill="001427" w:themeFill="accent1" w:themeFillShade="BF"/>
      </w:tcPr>
    </w:tblStylePr>
    <w:tblStylePr w:type="lastRow">
      <w:rPr>
        <w:b/>
        <w:bCs/>
      </w:rPr>
      <w:tblPr/>
      <w:tcPr>
        <w:tcBorders>
          <w:top w:val="double" w:sz="4" w:space="0" w:color="001B35" w:themeColor="accent1"/>
        </w:tcBorders>
      </w:tcPr>
    </w:tblStylePr>
    <w:tblStylePr w:type="firstCol">
      <w:rPr>
        <w:b/>
        <w:bCs/>
      </w:rPr>
    </w:tblStylePr>
    <w:tblStylePr w:type="lastCol">
      <w:rPr>
        <w:b/>
        <w:bCs/>
      </w:rPr>
    </w:tblStylePr>
    <w:tblStylePr w:type="band1Vert">
      <w:tblPr/>
      <w:tcPr>
        <w:shd w:val="clear" w:color="auto" w:fill="A3D1FF" w:themeFill="accent1" w:themeFillTint="33"/>
      </w:tcPr>
    </w:tblStylePr>
    <w:tblStylePr w:type="band1Horz">
      <w:tblPr/>
      <w:tcPr>
        <w:shd w:val="clear" w:color="auto" w:fill="A3D1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EFFDB9" w:themeColor="accent5" w:themeTint="99"/>
        <w:left w:val="single" w:sz="4" w:space="0" w:color="EFFDB9" w:themeColor="accent5" w:themeTint="99"/>
        <w:bottom w:val="single" w:sz="4" w:space="0" w:color="EFFDB9" w:themeColor="accent5" w:themeTint="99"/>
        <w:right w:val="single" w:sz="4" w:space="0" w:color="EFFDB9" w:themeColor="accent5" w:themeTint="99"/>
        <w:insideH w:val="single" w:sz="4" w:space="0" w:color="EFFDB9" w:themeColor="accent5" w:themeTint="99"/>
        <w:insideV w:val="single" w:sz="4" w:space="0" w:color="EFFDB9" w:themeColor="accent5" w:themeTint="99"/>
      </w:tblBorders>
    </w:tblPr>
    <w:tblStylePr w:type="firstRow">
      <w:rPr>
        <w:b/>
        <w:bCs/>
        <w:color w:val="FFFFFF" w:themeColor="background1"/>
      </w:rPr>
      <w:tblPr/>
      <w:tcPr>
        <w:tcBorders>
          <w:top w:val="single" w:sz="4" w:space="0" w:color="E5FD8C" w:themeColor="accent5"/>
          <w:left w:val="single" w:sz="4" w:space="0" w:color="E5FD8C" w:themeColor="accent5"/>
          <w:bottom w:val="single" w:sz="4" w:space="0" w:color="E5FD8C" w:themeColor="accent5"/>
          <w:right w:val="single" w:sz="4" w:space="0" w:color="E5FD8C" w:themeColor="accent5"/>
          <w:insideH w:val="nil"/>
          <w:insideV w:val="nil"/>
        </w:tcBorders>
        <w:shd w:val="clear" w:color="auto" w:fill="E5FD8C" w:themeFill="accent5"/>
      </w:tcPr>
    </w:tblStylePr>
    <w:tblStylePr w:type="lastRow">
      <w:rPr>
        <w:b/>
        <w:bCs/>
      </w:rPr>
      <w:tblPr/>
      <w:tcPr>
        <w:tcBorders>
          <w:top w:val="double" w:sz="4" w:space="0" w:color="E5FD8C" w:themeColor="accent5"/>
        </w:tcBorders>
      </w:tcPr>
    </w:tblStylePr>
    <w:tblStylePr w:type="firstCol">
      <w:rPr>
        <w:b/>
        <w:bCs/>
      </w:rPr>
    </w:tblStylePr>
    <w:tblStylePr w:type="lastCol">
      <w:rPr>
        <w:b/>
        <w:bCs/>
      </w:rPr>
    </w:tblStylePr>
    <w:tblStylePr w:type="band1Vert">
      <w:tblPr/>
      <w:tcPr>
        <w:shd w:val="clear" w:color="auto" w:fill="F9FEE7" w:themeFill="accent5" w:themeFillTint="33"/>
      </w:tcPr>
    </w:tblStylePr>
    <w:tblStylePr w:type="band1Horz">
      <w:tblPr/>
      <w:tcPr>
        <w:shd w:val="clear" w:color="auto" w:fill="F9FEE7" w:themeFill="accent5" w:themeFillTint="33"/>
      </w:tcPr>
    </w:tblStylePr>
  </w:style>
  <w:style w:type="table" w:styleId="GridTable4-Accent4">
    <w:name w:val="Grid Table 4 Accent 4"/>
    <w:aliases w:val="DISR banded - Table 2"/>
    <w:basedOn w:val="TableNormal"/>
    <w:uiPriority w:val="49"/>
    <w:rsid w:val="005777BC"/>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firstRow">
      <w:rPr>
        <w:b/>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insideV w:val="nil"/>
        </w:tcBorders>
        <w:shd w:val="clear" w:color="auto" w:fill="15659B" w:themeFill="accent4"/>
      </w:tcPr>
    </w:tblStylePr>
    <w:tblStylePr w:type="lastRow">
      <w:rPr>
        <w:b/>
        <w:bCs/>
      </w:rPr>
      <w:tblPr/>
      <w:tcPr>
        <w:tcBorders>
          <w:top w:val="single" w:sz="18" w:space="0" w:color="15659B" w:themeColor="accent4"/>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4BFFFC" w:themeColor="accent3" w:themeTint="99"/>
        <w:left w:val="single" w:sz="4" w:space="0" w:color="4BFFFC" w:themeColor="accent3" w:themeTint="99"/>
        <w:bottom w:val="single" w:sz="4" w:space="0" w:color="4BFFFC" w:themeColor="accent3" w:themeTint="99"/>
        <w:right w:val="single" w:sz="4" w:space="0" w:color="4BFFFC" w:themeColor="accent3" w:themeTint="99"/>
        <w:insideH w:val="single" w:sz="4" w:space="0" w:color="4BFFFC" w:themeColor="accent3" w:themeTint="99"/>
        <w:insideV w:val="single" w:sz="4" w:space="0" w:color="4BFFFC" w:themeColor="accent3" w:themeTint="99"/>
      </w:tblBorders>
    </w:tblPr>
    <w:tblStylePr w:type="firstRow">
      <w:rPr>
        <w:b/>
        <w:bCs/>
        <w:color w:val="FFFFFF" w:themeColor="background1"/>
      </w:rPr>
      <w:tblPr/>
      <w:tcPr>
        <w:tcBorders>
          <w:top w:val="single" w:sz="4" w:space="0" w:color="00D3D1" w:themeColor="accent3"/>
          <w:left w:val="single" w:sz="4" w:space="0" w:color="00D3D1" w:themeColor="accent3"/>
          <w:bottom w:val="single" w:sz="4" w:space="0" w:color="00D3D1" w:themeColor="accent3"/>
          <w:right w:val="single" w:sz="4" w:space="0" w:color="00D3D1" w:themeColor="accent3"/>
          <w:insideH w:val="nil"/>
          <w:insideV w:val="nil"/>
        </w:tcBorders>
        <w:shd w:val="clear" w:color="auto" w:fill="00D3D1" w:themeFill="accent3"/>
      </w:tcPr>
    </w:tblStylePr>
    <w:tblStylePr w:type="lastRow">
      <w:rPr>
        <w:b/>
        <w:bCs/>
      </w:rPr>
      <w:tblPr/>
      <w:tcPr>
        <w:tcBorders>
          <w:top w:val="double" w:sz="4" w:space="0" w:color="00D3D1" w:themeColor="accent3"/>
        </w:tcBorders>
      </w:tcPr>
    </w:tblStylePr>
    <w:tblStylePr w:type="firstCol">
      <w:rPr>
        <w:b/>
        <w:bCs/>
      </w:rPr>
    </w:tblStylePr>
    <w:tblStylePr w:type="lastCol">
      <w:rPr>
        <w:b/>
        <w:bCs/>
      </w:rPr>
    </w:tblStylePr>
    <w:tblStylePr w:type="band1Vert">
      <w:tblPr/>
      <w:tcPr>
        <w:shd w:val="clear" w:color="auto" w:fill="C3FFFE" w:themeFill="accent3" w:themeFillTint="33"/>
      </w:tcPr>
    </w:tblStylePr>
    <w:tblStylePr w:type="band1Horz">
      <w:tblPr/>
      <w:tcPr>
        <w:shd w:val="clear" w:color="auto" w:fill="C3FFFE" w:themeFill="accent3" w:themeFillTint="33"/>
      </w:tcPr>
    </w:tblStylePr>
  </w:style>
  <w:style w:type="paragraph" w:customStyle="1" w:styleId="Authoranddate">
    <w:name w:val="Author and date"/>
    <w:basedOn w:val="Subtitle"/>
    <w:link w:val="AuthoranddateChar"/>
    <w:qFormat/>
    <w:rsid w:val="001D51DA"/>
  </w:style>
  <w:style w:type="character" w:customStyle="1" w:styleId="AuthoranddateChar">
    <w:name w:val="Author and date Char"/>
    <w:basedOn w:val="SubtitleChar"/>
    <w:link w:val="Authoranddate"/>
    <w:rsid w:val="001D51DA"/>
    <w:rPr>
      <w:rFonts w:eastAsiaTheme="minorEastAsia"/>
      <w:color w:val="E7E6E6" w:themeColor="background2"/>
      <w:sz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color w:val="001B3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tblBorders>
    </w:tblPr>
    <w:tblStylePr w:type="firstRow">
      <w:rPr>
        <w:b/>
        <w:bCs/>
        <w:color w:val="FFFFFF" w:themeColor="background1"/>
      </w:rPr>
      <w:tblPr/>
      <w:tcPr>
        <w:shd w:val="clear" w:color="auto" w:fill="15659B" w:themeFill="accent4"/>
      </w:tcPr>
    </w:tblStylePr>
    <w:tblStylePr w:type="lastRow">
      <w:rPr>
        <w:b/>
        <w:bCs/>
      </w:rPr>
      <w:tblPr/>
      <w:tcPr>
        <w:tcBorders>
          <w:top w:val="double" w:sz="4" w:space="0" w:color="1565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59B" w:themeColor="accent4"/>
          <w:right w:val="single" w:sz="4" w:space="0" w:color="15659B" w:themeColor="accent4"/>
        </w:tcBorders>
      </w:tcPr>
    </w:tblStylePr>
    <w:tblStylePr w:type="band1Horz">
      <w:tblPr/>
      <w:tcPr>
        <w:tcBorders>
          <w:top w:val="single" w:sz="4" w:space="0" w:color="15659B" w:themeColor="accent4"/>
          <w:bottom w:val="single" w:sz="4" w:space="0" w:color="1565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59B" w:themeColor="accent4"/>
          <w:left w:val="nil"/>
        </w:tcBorders>
      </w:tcPr>
    </w:tblStylePr>
    <w:tblStylePr w:type="swCell">
      <w:tblPr/>
      <w:tcPr>
        <w:tcBorders>
          <w:top w:val="double" w:sz="4" w:space="0" w:color="15659B"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4"/>
      </w:numPr>
      <w:ind w:left="567" w:hanging="567"/>
      <w:contextualSpacing/>
    </w:pPr>
  </w:style>
  <w:style w:type="paragraph" w:styleId="ListBullet2">
    <w:name w:val="List Bullet 2"/>
    <w:basedOn w:val="Normal"/>
    <w:uiPriority w:val="99"/>
    <w:semiHidden/>
    <w:unhideWhenUsed/>
    <w:rsid w:val="00703734"/>
    <w:pPr>
      <w:numPr>
        <w:numId w:val="5"/>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rPr>
  </w:style>
  <w:style w:type="character" w:styleId="CommentReference">
    <w:name w:val="annotation reference"/>
    <w:basedOn w:val="DefaultParagraphFont"/>
    <w:uiPriority w:val="99"/>
    <w:semiHidden/>
    <w:unhideWhenUsed/>
    <w:rsid w:val="00FE4569"/>
    <w:rPr>
      <w:sz w:val="16"/>
    </w:rPr>
  </w:style>
  <w:style w:type="paragraph" w:styleId="CommentText">
    <w:name w:val="annotation text"/>
    <w:basedOn w:val="Normal"/>
    <w:link w:val="CommentTextChar"/>
    <w:uiPriority w:val="99"/>
    <w:unhideWhenUsed/>
    <w:rsid w:val="00FE4569"/>
  </w:style>
  <w:style w:type="character" w:customStyle="1" w:styleId="CommentTextChar">
    <w:name w:val="Comment Text Char"/>
    <w:basedOn w:val="DefaultParagraphFont"/>
    <w:link w:val="CommentText"/>
    <w:uiPriority w:val="99"/>
    <w:rsid w:val="00FE4569"/>
    <w:rPr>
      <w:sz w:val="20"/>
    </w:rPr>
  </w:style>
  <w:style w:type="paragraph" w:styleId="CommentSubject">
    <w:name w:val="annotation subject"/>
    <w:basedOn w:val="CommentText"/>
    <w:next w:val="CommentText"/>
    <w:link w:val="CommentSubjectChar"/>
    <w:uiPriority w:val="99"/>
    <w:semiHidden/>
    <w:unhideWhenUsed/>
    <w:rsid w:val="00FE4569"/>
    <w:rPr>
      <w:b/>
    </w:rPr>
  </w:style>
  <w:style w:type="character" w:customStyle="1" w:styleId="CommentSubjectChar">
    <w:name w:val="Comment Subject Char"/>
    <w:basedOn w:val="CommentTextChar"/>
    <w:link w:val="CommentSubject"/>
    <w:uiPriority w:val="99"/>
    <w:semiHidden/>
    <w:rsid w:val="00FE4569"/>
    <w:rPr>
      <w:b/>
      <w:sz w:val="20"/>
    </w:rPr>
  </w:style>
  <w:style w:type="paragraph" w:styleId="Title">
    <w:name w:val="Title"/>
    <w:basedOn w:val="Normal"/>
    <w:next w:val="Normal"/>
    <w:link w:val="TitleChar"/>
    <w:uiPriority w:val="10"/>
    <w:qFormat/>
    <w:rsid w:val="0066416C"/>
    <w:pPr>
      <w:contextualSpacing/>
      <w:outlineLvl w:val="0"/>
    </w:pPr>
    <w:rPr>
      <w:rFonts w:asciiTheme="majorHAnsi" w:eastAsiaTheme="majorEastAsia" w:hAnsiTheme="majorHAnsi" w:cstheme="majorBidi"/>
      <w:color w:val="001B35" w:themeColor="accent1"/>
      <w:kern w:val="28"/>
      <w:sz w:val="72"/>
    </w:rPr>
  </w:style>
  <w:style w:type="character" w:customStyle="1" w:styleId="TitleChar">
    <w:name w:val="Title Char"/>
    <w:basedOn w:val="DefaultParagraphFont"/>
    <w:link w:val="Title"/>
    <w:uiPriority w:val="10"/>
    <w:rsid w:val="0066416C"/>
    <w:rPr>
      <w:rFonts w:asciiTheme="majorHAnsi" w:eastAsiaTheme="majorEastAsia" w:hAnsiTheme="majorHAnsi" w:cstheme="majorBidi"/>
      <w:color w:val="001B35" w:themeColor="accent1"/>
      <w:kern w:val="28"/>
      <w:sz w:val="72"/>
    </w:rPr>
  </w:style>
  <w:style w:type="paragraph" w:styleId="NormalWeb">
    <w:name w:val="Normal (Web)"/>
    <w:basedOn w:val="Normal"/>
    <w:uiPriority w:val="99"/>
    <w:semiHidden/>
    <w:unhideWhenUsed/>
    <w:rsid w:val="00BA0B22"/>
    <w:pPr>
      <w:spacing w:before="100" w:beforeAutospacing="1" w:after="100" w:afterAutospacing="1"/>
    </w:pPr>
    <w:rPr>
      <w:rFonts w:ascii="Times New Roman" w:eastAsia="Times New Roman" w:hAnsi="Times New Roman" w:cs="Times New Roman"/>
      <w:sz w:val="24"/>
    </w:rPr>
  </w:style>
  <w:style w:type="paragraph" w:styleId="Revision">
    <w:name w:val="Revision"/>
    <w:hidden/>
    <w:uiPriority w:val="99"/>
    <w:semiHidden/>
    <w:rsid w:val="00AD473E"/>
    <w:pPr>
      <w:spacing w:after="0" w:line="240" w:lineRule="auto"/>
    </w:pPr>
    <w:rPr>
      <w:sz w:val="20"/>
    </w:rPr>
  </w:style>
  <w:style w:type="character" w:customStyle="1" w:styleId="cf01">
    <w:name w:val="cf01"/>
    <w:basedOn w:val="DefaultParagraphFont"/>
    <w:rsid w:val="00B9099B"/>
    <w:rPr>
      <w:rFonts w:ascii="Segoe UI" w:hAnsi="Segoe UI" w:cs="Segoe UI" w:hint="default"/>
      <w:sz w:val="18"/>
    </w:rPr>
  </w:style>
  <w:style w:type="character" w:customStyle="1" w:styleId="cf11">
    <w:name w:val="cf11"/>
    <w:basedOn w:val="DefaultParagraphFont"/>
    <w:rsid w:val="002A3E55"/>
    <w:rPr>
      <w:rFonts w:ascii="Segoe UI" w:hAnsi="Segoe UI" w:cs="Segoe UI" w:hint="default"/>
      <w:sz w:val="18"/>
    </w:rPr>
  </w:style>
  <w:style w:type="paragraph" w:styleId="BodyText">
    <w:name w:val="Body Text"/>
    <w:basedOn w:val="Normal"/>
    <w:link w:val="BodyTextChar"/>
    <w:unhideWhenUsed/>
    <w:qFormat/>
    <w:rsid w:val="00BA6DFB"/>
  </w:style>
  <w:style w:type="character" w:customStyle="1" w:styleId="BodyTextChar">
    <w:name w:val="Body Text Char"/>
    <w:basedOn w:val="DefaultParagraphFont"/>
    <w:link w:val="BodyText"/>
    <w:rsid w:val="00BA6DFB"/>
    <w:rPr>
      <w:sz w:val="20"/>
    </w:rPr>
  </w:style>
  <w:style w:type="character" w:customStyle="1" w:styleId="ListParagraphChar">
    <w:name w:val="List Paragraph Char"/>
    <w:aliases w:val="List Paragraph1 Char,Recommendation Char,List Paragraph11 Char,Bullet point Char,NFP GP Bulleted List Char,L Char,bullet point list Char,1 heading Char,Bulleted Para Char,Bullet points Char,Content descriptions Char,Bullet Point Char"/>
    <w:link w:val="ListParagraph"/>
    <w:uiPriority w:val="34"/>
    <w:qFormat/>
    <w:rsid w:val="00813E60"/>
    <w:rPr>
      <w:sz w:val="20"/>
    </w:rPr>
  </w:style>
  <w:style w:type="character" w:customStyle="1" w:styleId="ui-provider">
    <w:name w:val="ui-provider"/>
    <w:basedOn w:val="DefaultParagraphFont"/>
    <w:rsid w:val="00E27DE6"/>
  </w:style>
  <w:style w:type="paragraph" w:customStyle="1" w:styleId="Highlightsentence">
    <w:name w:val="Highlight sentence"/>
    <w:basedOn w:val="Normal"/>
    <w:qFormat/>
    <w:rsid w:val="0064021F"/>
    <w:pPr>
      <w:pBdr>
        <w:left w:val="single" w:sz="12" w:space="4" w:color="D6E271"/>
      </w:pBdr>
      <w:spacing w:before="240" w:after="240"/>
      <w:ind w:left="113"/>
    </w:pPr>
    <w:rPr>
      <w:color w:val="1F7D7B"/>
      <w:sz w:val="28"/>
    </w:rPr>
  </w:style>
  <w:style w:type="paragraph" w:customStyle="1" w:styleId="P68B1DB1-Normal1">
    <w:name w:val="P68B1DB1-Normal1"/>
    <w:basedOn w:val="Normal"/>
    <w:rPr>
      <w:b/>
      <w:color w:val="095258" w:themeColor="text2"/>
    </w:rPr>
  </w:style>
  <w:style w:type="paragraph" w:customStyle="1" w:styleId="P68B1DB1-Normal2">
    <w:name w:val="P68B1DB1-Normal2"/>
    <w:basedOn w:val="Normal"/>
    <w:rPr>
      <w:rFonts w:ascii="Calibri" w:eastAsia="Calibri" w:hAnsi="Calibri" w:cs="Times New Roman"/>
    </w:rPr>
  </w:style>
  <w:style w:type="paragraph" w:customStyle="1" w:styleId="P68B1DB1-Normal3">
    <w:name w:val="P68B1DB1-Normal3"/>
    <w:basedOn w:val="Normal"/>
    <w:rPr>
      <w:sz w:val="16"/>
    </w:rPr>
  </w:style>
  <w:style w:type="paragraph" w:customStyle="1" w:styleId="P68B1DB1-Footer4">
    <w:name w:val="P68B1DB1-Footer4"/>
    <w:basedOn w:val="Footer"/>
    <w:rPr>
      <w:color w:val="095258" w:themeColor="text2"/>
    </w:rPr>
  </w:style>
  <w:style w:type="paragraph" w:customStyle="1" w:styleId="KOR-cover">
    <w:name w:val="KOR-cover"/>
    <w:basedOn w:val="Heading1"/>
    <w:link w:val="KOR-coverChar"/>
    <w:qFormat/>
    <w:rsid w:val="00C1435A"/>
    <w:pPr>
      <w:spacing w:before="0" w:after="0" w:line="192" w:lineRule="auto"/>
    </w:pPr>
    <w:rPr>
      <w:b/>
      <w:bCs/>
      <w:color w:val="FFFFFF" w:themeColor="background1"/>
      <w:szCs w:val="32"/>
      <w:lang w:val="en-AU" w:eastAsia="en-US"/>
    </w:rPr>
  </w:style>
  <w:style w:type="character" w:customStyle="1" w:styleId="KOR-coverChar">
    <w:name w:val="KOR-cover Char"/>
    <w:basedOn w:val="Heading1Char"/>
    <w:link w:val="KOR-cover"/>
    <w:rsid w:val="00C1435A"/>
    <w:rPr>
      <w:rFonts w:asciiTheme="majorHAnsi" w:eastAsiaTheme="majorEastAsia" w:hAnsiTheme="majorHAnsi" w:cstheme="majorBidi"/>
      <w:b/>
      <w:bCs/>
      <w:color w:val="FFFFFF" w:themeColor="background1"/>
      <w:sz w:val="72"/>
      <w:szCs w:val="3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893397003">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575314092">
      <w:bodyDiv w:val="1"/>
      <w:marLeft w:val="0"/>
      <w:marRight w:val="0"/>
      <w:marTop w:val="0"/>
      <w:marBottom w:val="0"/>
      <w:divBdr>
        <w:top w:val="none" w:sz="0" w:space="0" w:color="auto"/>
        <w:left w:val="none" w:sz="0" w:space="0" w:color="auto"/>
        <w:bottom w:val="none" w:sz="0" w:space="0" w:color="auto"/>
        <w:right w:val="none" w:sz="0" w:space="0" w:color="auto"/>
      </w:divBdr>
    </w:div>
    <w:div w:id="1776055991">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1975211728">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cid:image001.png@01DA9FD9.543303C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4.g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reativecommons.org/licenses/by/4.0/"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cid:18f3d5bad97f62bf9751"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5C7377A15147AFB8D089BC7A0E3E2C"/>
        <w:category>
          <w:name w:val="General"/>
          <w:gallery w:val="placeholder"/>
        </w:category>
        <w:types>
          <w:type w:val="bbPlcHdr"/>
        </w:types>
        <w:behaviors>
          <w:behavior w:val="content"/>
        </w:behaviors>
        <w:guid w:val="{9585B650-2419-4C49-8581-92CC27D13571}"/>
      </w:docPartPr>
      <w:docPartBody>
        <w:p w:rsidR="002F11BB" w:rsidRDefault="002F11BB">
          <w:pPr>
            <w:pStyle w:val="E55C7377A15147AFB8D089BC7A0E3E2C"/>
          </w:pPr>
          <w:r>
            <w:rPr>
              <w:rStyle w:val="PlaceholderText"/>
            </w:rPr>
            <w:t xml:space="preserve">标题 </w:t>
          </w:r>
        </w:p>
      </w:docPartBody>
    </w:docPart>
    <w:docPart>
      <w:docPartPr>
        <w:name w:val="9F4D7BC258EE4E2E9984C6C023DD533E"/>
        <w:category>
          <w:name w:val="General"/>
          <w:gallery w:val="placeholder"/>
        </w:category>
        <w:types>
          <w:type w:val="bbPlcHdr"/>
        </w:types>
        <w:behaviors>
          <w:behavior w:val="content"/>
        </w:behaviors>
        <w:guid w:val="{A2C838C0-CF52-4544-A6E3-EE921500E520}"/>
      </w:docPartPr>
      <w:docPartBody>
        <w:p w:rsidR="002F11BB" w:rsidRDefault="002F11BB">
          <w:pPr>
            <w:pStyle w:val="9F4D7BC258EE4E2E9984C6C023DD533E"/>
          </w:pPr>
          <w:r>
            <w:rPr>
              <w:rStyle w:val="PlaceholderText"/>
            </w:rPr>
            <w:t xml:space="preserve">标题 </w:t>
          </w:r>
        </w:p>
      </w:docPartBody>
    </w:docPart>
    <w:docPart>
      <w:docPartPr>
        <w:name w:val="C7ABEE8D138F416582797B3DC541DC39"/>
        <w:category>
          <w:name w:val="General"/>
          <w:gallery w:val="placeholder"/>
        </w:category>
        <w:types>
          <w:type w:val="bbPlcHdr"/>
        </w:types>
        <w:behaviors>
          <w:behavior w:val="content"/>
        </w:behaviors>
        <w:guid w:val="{F53B5872-B2C0-44E1-B4F9-2DE05A9B58D3}"/>
      </w:docPartPr>
      <w:docPartBody>
        <w:p w:rsidR="002F11BB" w:rsidRDefault="002F11BB">
          <w:pPr>
            <w:pStyle w:val="C7ABEE8D138F416582797B3DC541DC39"/>
          </w:pPr>
          <w:r>
            <w:rPr>
              <w:rStyle w:val="PlaceholderText"/>
            </w:rPr>
            <w:t xml:space="preserve">标题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EA"/>
    <w:rsid w:val="000A0B53"/>
    <w:rsid w:val="00155259"/>
    <w:rsid w:val="0016360B"/>
    <w:rsid w:val="001F6497"/>
    <w:rsid w:val="0023068C"/>
    <w:rsid w:val="002A7988"/>
    <w:rsid w:val="002F11BB"/>
    <w:rsid w:val="00333DDF"/>
    <w:rsid w:val="0037454C"/>
    <w:rsid w:val="00374C2F"/>
    <w:rsid w:val="003C1CCD"/>
    <w:rsid w:val="003E6257"/>
    <w:rsid w:val="003F0876"/>
    <w:rsid w:val="005E5F58"/>
    <w:rsid w:val="00615CAF"/>
    <w:rsid w:val="00646F05"/>
    <w:rsid w:val="006A6995"/>
    <w:rsid w:val="00733C64"/>
    <w:rsid w:val="0073772E"/>
    <w:rsid w:val="00783EC3"/>
    <w:rsid w:val="007E6AC5"/>
    <w:rsid w:val="00816F16"/>
    <w:rsid w:val="008909F6"/>
    <w:rsid w:val="00A1686A"/>
    <w:rsid w:val="00BF4DC5"/>
    <w:rsid w:val="00C71CC8"/>
    <w:rsid w:val="00D831EA"/>
    <w:rsid w:val="00D93CDE"/>
    <w:rsid w:val="00DA226F"/>
    <w:rsid w:val="00DD5436"/>
    <w:rsid w:val="00EB3F94"/>
    <w:rsid w:val="00F178EE"/>
    <w:rsid w:val="00FA02A0"/>
    <w:rsid w:val="00FC7FBA"/>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0876"/>
    <w:rPr>
      <w:color w:val="808080"/>
    </w:rPr>
  </w:style>
  <w:style w:type="paragraph" w:customStyle="1" w:styleId="E55C7377A15147AFB8D089BC7A0E3E2C">
    <w:name w:val="E55C7377A15147AFB8D089BC7A0E3E2C"/>
    <w:rsid w:val="0023068C"/>
  </w:style>
  <w:style w:type="paragraph" w:customStyle="1" w:styleId="9F4D7BC258EE4E2E9984C6C023DD533E">
    <w:name w:val="9F4D7BC258EE4E2E9984C6C023DD533E"/>
    <w:rsid w:val="0023068C"/>
  </w:style>
  <w:style w:type="paragraph" w:customStyle="1" w:styleId="C7ABEE8D138F416582797B3DC541DC39">
    <w:name w:val="C7ABEE8D138F416582797B3DC541DC39"/>
    <w:rsid w:val="007377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SR 2023">
      <a:dk1>
        <a:srgbClr val="000000"/>
      </a:dk1>
      <a:lt1>
        <a:sysClr val="window" lastClr="FFFFFF"/>
      </a:lt1>
      <a:dk2>
        <a:srgbClr val="095258"/>
      </a:dk2>
      <a:lt2>
        <a:srgbClr val="E7E6E6"/>
      </a:lt2>
      <a:accent1>
        <a:srgbClr val="001B35"/>
      </a:accent1>
      <a:accent2>
        <a:srgbClr val="993533"/>
      </a:accent2>
      <a:accent3>
        <a:srgbClr val="00D3D1"/>
      </a:accent3>
      <a:accent4>
        <a:srgbClr val="15659B"/>
      </a:accent4>
      <a:accent5>
        <a:srgbClr val="E5FD8C"/>
      </a:accent5>
      <a:accent6>
        <a:srgbClr val="B7E4F7"/>
      </a:accent6>
      <a:hlink>
        <a:srgbClr val="15659B"/>
      </a:hlink>
      <a:folHlink>
        <a:srgbClr val="954F72"/>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6BB3E1-D1B0-4995-8FCA-35C7E3312B43}">
  <we:reference id="8021f97c-8905-4693-9bcb-ecda41b4cf7b" version="1.0.1.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118</Value>
      <Value>1294</Value>
      <Value>1086</Value>
      <Value>36</Value>
      <Value>1421</Value>
    </TaxCatchAll>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Future Gas Strategy</TermName>
          <TermId xmlns="http://schemas.microsoft.com/office/infopath/2007/PartnerControls">ba1d4921-849d-4bc1-a086-0fd88dc3d0b8</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Pamphlet</TermName>
          <TermId xmlns="http://schemas.microsoft.com/office/infopath/2007/PartnerControls">bdf90c0f-5c0a-4e20-b16e-7cc0520c31b3</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PROTECTED</TermName>
          <TermId xmlns="http://schemas.microsoft.com/office/infopath/2007/PartnerControls">1f93d6e9-ce72-494e-aefd-be45817cd598</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Comment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BC986DFDE75994F940B8C539C91BA04" ma:contentTypeVersion="14" ma:contentTypeDescription="Create a new document." ma:contentTypeScope="" ma:versionID="bfc64f570e5a2ceb842a3b4b1c3e4921">
  <xsd:schema xmlns:xsd="http://www.w3.org/2001/XMLSchema" xmlns:xs="http://www.w3.org/2001/XMLSchema" xmlns:p="http://schemas.microsoft.com/office/2006/metadata/properties" xmlns:ns1="http://schemas.microsoft.com/sharepoint/v3" xmlns:ns2="a36bd50b-1532-4c22-b385-5c082c960938" xmlns:ns3="45b2e695-1792-485e-89e0-1e9284144441" xmlns:ns4="http://schemas.microsoft.com/sharepoint/v4" targetNamespace="http://schemas.microsoft.com/office/2006/metadata/properties" ma:root="true" ma:fieldsID="660147726623fb1a9b57194626704c84" ns1:_="" ns2:_="" ns3:_="" ns4:_="">
    <xsd:import namespace="http://schemas.microsoft.com/sharepoint/v3"/>
    <xsd:import namespace="a36bd50b-1532-4c22-b385-5c082c960938"/>
    <xsd:import namespace="45b2e695-1792-485e-89e0-1e928414444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fb05c7bd-122c-45c5-a4ff-f373218121b7}" ma:internalName="TaxCatchAll" ma:showField="CatchAllData" ma:web="45b2e695-1792-485e-89e0-1e928414444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11e0090-b7f1-4eb5-8270-2f011ad855c4"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b2e695-1792-485e-89e0-1e928414444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5AE6EB-A8D4-4D9D-8D6C-A552C96C0E4C}">
  <ds:schemaRefs>
    <ds:schemaRef ds:uri="http://schemas.microsoft.com/sharepoint/v3/contenttype/forms"/>
  </ds:schemaRefs>
</ds:datastoreItem>
</file>

<file path=customXml/itemProps2.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customXml/itemProps3.xml><?xml version="1.0" encoding="utf-8"?>
<ds:datastoreItem xmlns:ds="http://schemas.openxmlformats.org/officeDocument/2006/customXml" ds:itemID="{A7044815-8FDC-4B02-A41B-DC9E3BBB68A4}">
  <ds:schemaRefs>
    <ds:schemaRef ds:uri="http://schemas.microsoft.com/sharepoint/events"/>
  </ds:schemaRefs>
</ds:datastoreItem>
</file>

<file path=customXml/itemProps4.xml><?xml version="1.0" encoding="utf-8"?>
<ds:datastoreItem xmlns:ds="http://schemas.openxmlformats.org/officeDocument/2006/customXml" ds:itemID="{297BCF5D-ECED-40B9-848C-61973DAC72C5}">
  <ds:schemaRefs>
    <ds:schemaRef ds:uri="http://schemas.microsoft.com/office/2006/metadata/properties"/>
    <ds:schemaRef ds:uri="http://schemas.microsoft.com/office/infopath/2007/PartnerControls"/>
    <ds:schemaRef ds:uri="a36bd50b-1532-4c22-b385-5c082c960938"/>
    <ds:schemaRef ds:uri="http://schemas.microsoft.com/sharepoint/v4"/>
    <ds:schemaRef ds:uri="http://schemas.microsoft.com/sharepoint/v3"/>
  </ds:schemaRefs>
</ds:datastoreItem>
</file>

<file path=customXml/itemProps5.xml><?xml version="1.0" encoding="utf-8"?>
<ds:datastoreItem xmlns:ds="http://schemas.openxmlformats.org/officeDocument/2006/customXml" ds:itemID="{03346A24-1903-4A55-8284-F5C93CF88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45b2e695-1792-485e-89e0-1e928414444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860</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Future Gas Strategy</vt:lpstr>
    </vt:vector>
  </TitlesOfParts>
  <Manager/>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2024-06-19T03:21:00Z</cp:lastPrinted>
  <dcterms:created xsi:type="dcterms:W3CDTF">2024-06-19T03:19:00Z</dcterms:created>
  <dcterms:modified xsi:type="dcterms:W3CDTF">2024-06-19T03:21:00Z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0x0101005BC986DFDE75994F940B8C539C91BA04</vt:lpwstr>
  </property>
  <property fmtid="{D5CDD505-2E9C-101B-9397-08002B2CF9AE}" pid="3" name="MediaServiceImageTags">
    <vt:lpwstr/>
  </property>
  <property fmtid="{D5CDD505-2E9C-101B-9397-08002B2CF9AE}" pid="4" name="_dlc_DocIdItemGuid">
    <vt:lpwstr>553fb374-a08e-43d8-a260-50cb4cf18e4a</vt:lpwstr>
  </property>
  <property fmtid="{D5CDD505-2E9C-101B-9397-08002B2CF9AE}" pid="5" name="DocHub_Year">
    <vt:lpwstr>1421;#2024|a9509632-5de2-45f9-9fc7-c24df7848880</vt:lpwstr>
  </property>
  <property fmtid="{D5CDD505-2E9C-101B-9397-08002B2CF9AE}" pid="6" name="DocHub_DocumentType">
    <vt:lpwstr>1086;#Pamphlet|bdf90c0f-5c0a-4e20-b16e-7cc0520c31b3</vt:lpwstr>
  </property>
  <property fmtid="{D5CDD505-2E9C-101B-9397-08002B2CF9AE}" pid="7" name="DocHub_SecurityClassification">
    <vt:lpwstr>36;#PROTECTED|1f93d6e9-ce72-494e-aefd-be45817cd598</vt:lpwstr>
  </property>
  <property fmtid="{D5CDD505-2E9C-101B-9397-08002B2CF9AE}" pid="8" name="DocHub_Keywords">
    <vt:lpwstr>1294;#Future Gas Strategy|ba1d4921-849d-4bc1-a086-0fd88dc3d0b8</vt:lpwstr>
  </property>
  <property fmtid="{D5CDD505-2E9C-101B-9397-08002B2CF9AE}" pid="9" name="DocHub_WorkActivity">
    <vt:lpwstr>118;#Communication|cd41d649-1e1a-44f5-b99b-946d42ce56d6</vt:lpwstr>
  </property>
  <property fmtid="{D5CDD505-2E9C-101B-9397-08002B2CF9AE}" pid="10" name="PM_Namespace">
    <vt:lpwstr>gov.au</vt:lpwstr>
  </property>
  <property fmtid="{D5CDD505-2E9C-101B-9397-08002B2CF9AE}" pid="11" name="PM_Caveats_Count">
    <vt:lpwstr>0</vt:lpwstr>
  </property>
  <property fmtid="{D5CDD505-2E9C-101B-9397-08002B2CF9AE}" pid="12" name="PM_Version">
    <vt:lpwstr>2018.4</vt:lpwstr>
  </property>
  <property fmtid="{D5CDD505-2E9C-101B-9397-08002B2CF9AE}" pid="13" name="PM_Note">
    <vt:lpwstr/>
  </property>
  <property fmtid="{D5CDD505-2E9C-101B-9397-08002B2CF9AE}" pid="14" name="PMHMAC">
    <vt:lpwstr>v=2022.1;a=SHA256;h=8D620BBEFBBE6FD92EE1B9331A32385FF2A1F055E2FB5CAE6A42BA1483A00817</vt:lpwstr>
  </property>
  <property fmtid="{D5CDD505-2E9C-101B-9397-08002B2CF9AE}" pid="15" name="PM_Qualifier">
    <vt:lpwstr/>
  </property>
  <property fmtid="{D5CDD505-2E9C-101B-9397-08002B2CF9AE}" pid="16" name="PM_SecurityClassification">
    <vt:lpwstr>OFFICIAL</vt:lpwstr>
  </property>
  <property fmtid="{D5CDD505-2E9C-101B-9397-08002B2CF9AE}" pid="17" name="PM_ProtectiveMarkingValue_Header">
    <vt:lpwstr>OFFICIAL</vt:lpwstr>
  </property>
  <property fmtid="{D5CDD505-2E9C-101B-9397-08002B2CF9AE}" pid="18" name="PM_OriginationTimeStamp">
    <vt:lpwstr>2024-06-13T02:48:51Z</vt:lpwstr>
  </property>
  <property fmtid="{D5CDD505-2E9C-101B-9397-08002B2CF9AE}" pid="19" name="PM_Markers">
    <vt:lpwstr/>
  </property>
  <property fmtid="{D5CDD505-2E9C-101B-9397-08002B2CF9AE}" pid="20" name="PM_InsertionValue">
    <vt:lpwstr>OFFICIAL</vt:lpwstr>
  </property>
  <property fmtid="{D5CDD505-2E9C-101B-9397-08002B2CF9AE}" pid="21" name="PM_Originator_Hash_SHA1">
    <vt:lpwstr>9E4611B67F32421C97F0A5B87AB1093A5C5263F4</vt:lpwstr>
  </property>
  <property fmtid="{D5CDD505-2E9C-101B-9397-08002B2CF9AE}" pid="22" name="PM_DisplayValueSecClassificationWithQualifier">
    <vt:lpwstr>OFFICIAL</vt:lpwstr>
  </property>
  <property fmtid="{D5CDD505-2E9C-101B-9397-08002B2CF9AE}" pid="23" name="PM_Originating_FileId">
    <vt:lpwstr>E47F705AFCD042A68C2978C727DECCF8</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ProtectiveMarkingImage_Footer">
    <vt:lpwstr>C:\Program Files (x86)\Common Files\janusNET Shared\janusSEAL\Images\DocumentSlashBlue.png</vt:lpwstr>
  </property>
  <property fmtid="{D5CDD505-2E9C-101B-9397-08002B2CF9AE}" pid="27" name="PM_Display">
    <vt:lpwstr>OFFICIAL</vt:lpwstr>
  </property>
  <property fmtid="{D5CDD505-2E9C-101B-9397-08002B2CF9AE}" pid="28" name="PM_OriginatorUserAccountName_SHA256">
    <vt:lpwstr>3ADC909893DEDC0895EF89BBD6BAAB546FABE709CD21E8A470B1476A30D87CBB</vt:lpwstr>
  </property>
  <property fmtid="{D5CDD505-2E9C-101B-9397-08002B2CF9AE}" pid="29" name="PM_OriginatorDomainName_SHA256">
    <vt:lpwstr>6F3591835F3B2A8A025B00B5BA6418010DA3A17C9C26EA9C049FFD28039489A2</vt:lpwstr>
  </property>
  <property fmtid="{D5CDD505-2E9C-101B-9397-08002B2CF9AE}" pid="30" name="PMUuid">
    <vt:lpwstr>v=2022.2;d=gov.au;g=46DD6D7C-8107-577B-BC6E-F348953B2E44</vt:lpwstr>
  </property>
  <property fmtid="{D5CDD505-2E9C-101B-9397-08002B2CF9AE}" pid="31" name="PM_Hash_Version">
    <vt:lpwstr>2022.1</vt:lpwstr>
  </property>
  <property fmtid="{D5CDD505-2E9C-101B-9397-08002B2CF9AE}" pid="32" name="PM_Hash_Salt_Prev">
    <vt:lpwstr>25D2A748266A606E8D977B3881649406</vt:lpwstr>
  </property>
  <property fmtid="{D5CDD505-2E9C-101B-9397-08002B2CF9AE}" pid="33" name="PM_Hash_Salt">
    <vt:lpwstr>450942EA3979DE0DC44AB356CFC93A5A</vt:lpwstr>
  </property>
  <property fmtid="{D5CDD505-2E9C-101B-9397-08002B2CF9AE}" pid="34" name="PM_Hash_SHA1">
    <vt:lpwstr>1E1774652DB497D07207E507429CE6F23A6620E4</vt:lpwstr>
  </property>
  <property fmtid="{D5CDD505-2E9C-101B-9397-08002B2CF9AE}" pid="35" name="PM_SecurityClassification_Prev">
    <vt:lpwstr>OFFICIAL</vt:lpwstr>
  </property>
  <property fmtid="{D5CDD505-2E9C-101B-9397-08002B2CF9AE}" pid="36" name="PM_Qualifier_Prev">
    <vt:lpwstr/>
  </property>
</Properties>
</file>