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EC34" w14:textId="77777777" w:rsidR="009F3D07" w:rsidRPr="008F5E49" w:rsidRDefault="009F3D07" w:rsidP="007101BD">
      <w:pPr>
        <w:spacing w:before="60" w:after="60"/>
        <w:ind w:right="84"/>
        <w:rPr>
          <w:rFonts w:eastAsia="Calibri" w:cstheme="minorHAnsi"/>
          <w:b/>
          <w:color w:val="202A4C"/>
          <w:sz w:val="80"/>
          <w:szCs w:val="80"/>
        </w:rPr>
      </w:pPr>
    </w:p>
    <w:p w14:paraId="5A105EB5" w14:textId="77777777" w:rsidR="009F3D07" w:rsidRPr="008F5E49" w:rsidRDefault="009F3D07" w:rsidP="007101BD">
      <w:pPr>
        <w:spacing w:before="60" w:after="60"/>
        <w:ind w:right="84"/>
        <w:rPr>
          <w:rFonts w:eastAsia="Calibri" w:cstheme="minorHAnsi"/>
          <w:b/>
          <w:color w:val="202A4C"/>
          <w:sz w:val="80"/>
          <w:szCs w:val="80"/>
        </w:rPr>
      </w:pPr>
    </w:p>
    <w:p w14:paraId="410E1B19" w14:textId="7087B6B1" w:rsidR="001659C5" w:rsidRPr="008F5E49" w:rsidRDefault="00E8093B" w:rsidP="007101BD">
      <w:pPr>
        <w:spacing w:before="60" w:after="60"/>
        <w:ind w:right="84"/>
        <w:rPr>
          <w:rFonts w:eastAsia="Calibri" w:cstheme="minorHAnsi"/>
          <w:b/>
          <w:color w:val="202A4C"/>
          <w:sz w:val="72"/>
          <w:szCs w:val="80"/>
        </w:rPr>
      </w:pPr>
      <w:r w:rsidRPr="008F5E49">
        <w:rPr>
          <w:rFonts w:eastAsia="Calibri" w:cstheme="minorHAnsi"/>
          <w:b/>
          <w:color w:val="202A4C"/>
          <w:sz w:val="72"/>
          <w:szCs w:val="80"/>
        </w:rPr>
        <w:t>International Trade Remedies Forum Meeting</w:t>
      </w:r>
      <w:r w:rsidR="00532910" w:rsidRPr="008F5E49">
        <w:rPr>
          <w:rFonts w:eastAsia="Calibri" w:cstheme="minorHAnsi"/>
          <w:b/>
          <w:color w:val="202A4C"/>
          <w:sz w:val="72"/>
          <w:szCs w:val="80"/>
        </w:rPr>
        <w:t xml:space="preserve"> Minutes</w:t>
      </w:r>
    </w:p>
    <w:p w14:paraId="553263A6" w14:textId="01931476" w:rsidR="001659C5" w:rsidRPr="008F5E49" w:rsidRDefault="001659C5" w:rsidP="007101BD">
      <w:pPr>
        <w:spacing w:before="60" w:after="60"/>
        <w:ind w:right="84"/>
        <w:rPr>
          <w:rFonts w:eastAsia="Calibri" w:cstheme="minorHAnsi"/>
          <w:b/>
          <w:color w:val="202A4C"/>
          <w:sz w:val="40"/>
          <w:szCs w:val="40"/>
        </w:rPr>
      </w:pPr>
    </w:p>
    <w:p w14:paraId="7C762085" w14:textId="2C3598D2" w:rsidR="00E726B6" w:rsidRPr="008F5E49" w:rsidRDefault="001535FD" w:rsidP="007101BD">
      <w:pPr>
        <w:spacing w:before="60" w:after="60"/>
        <w:ind w:right="84"/>
        <w:rPr>
          <w:rFonts w:eastAsia="Calibri" w:cstheme="minorHAnsi"/>
          <w:b/>
          <w:color w:val="202A4C"/>
          <w:sz w:val="80"/>
          <w:szCs w:val="80"/>
        </w:rPr>
      </w:pPr>
      <w:r>
        <w:rPr>
          <w:rFonts w:eastAsia="Calibri" w:cstheme="minorHAnsi"/>
          <w:b/>
          <w:color w:val="202A4C"/>
          <w:sz w:val="40"/>
          <w:szCs w:val="40"/>
        </w:rPr>
        <w:t>23 May 2024</w:t>
      </w:r>
    </w:p>
    <w:p w14:paraId="0925C1C8" w14:textId="77777777" w:rsidR="001659C5" w:rsidRPr="008F5E49" w:rsidRDefault="001659C5" w:rsidP="007101BD">
      <w:pPr>
        <w:spacing w:before="60" w:after="60"/>
        <w:ind w:right="84"/>
        <w:rPr>
          <w:rFonts w:eastAsia="Calibri" w:cstheme="minorHAnsi"/>
          <w:b/>
          <w:caps/>
          <w:color w:val="202A4C"/>
          <w:sz w:val="80"/>
          <w:szCs w:val="80"/>
        </w:rPr>
      </w:pPr>
    </w:p>
    <w:p w14:paraId="0887CD68" w14:textId="77777777" w:rsidR="00AF64DA" w:rsidRPr="008F5E49" w:rsidRDefault="00AF64DA" w:rsidP="007101BD">
      <w:pPr>
        <w:pStyle w:val="Authoranddate"/>
        <w:rPr>
          <w:rFonts w:asciiTheme="minorHAnsi" w:hAnsiTheme="minorHAnsi" w:cstheme="minorHAnsi"/>
        </w:rPr>
      </w:pPr>
    </w:p>
    <w:p w14:paraId="5CDFC7A7" w14:textId="77777777" w:rsidR="00AF64DA" w:rsidRPr="008F5E49" w:rsidRDefault="00AF64DA" w:rsidP="007101BD">
      <w:pPr>
        <w:pStyle w:val="Authoranddate"/>
        <w:rPr>
          <w:rFonts w:asciiTheme="minorHAnsi" w:hAnsiTheme="minorHAnsi" w:cstheme="minorHAnsi"/>
        </w:rPr>
      </w:pPr>
    </w:p>
    <w:p w14:paraId="0FFB2657" w14:textId="77777777" w:rsidR="00AF64DA" w:rsidRPr="008F5E49" w:rsidRDefault="00AF64DA" w:rsidP="007101BD">
      <w:pPr>
        <w:pStyle w:val="Authoranddate"/>
        <w:rPr>
          <w:rFonts w:asciiTheme="minorHAnsi" w:hAnsiTheme="minorHAnsi" w:cstheme="minorHAnsi"/>
        </w:rPr>
      </w:pPr>
    </w:p>
    <w:p w14:paraId="30FA94D3" w14:textId="77777777" w:rsidR="00AF64DA" w:rsidRPr="008F5E49" w:rsidRDefault="002F5724" w:rsidP="007101BD">
      <w:pPr>
        <w:pStyle w:val="Authoranddate"/>
        <w:tabs>
          <w:tab w:val="left" w:pos="7067"/>
        </w:tabs>
        <w:rPr>
          <w:rFonts w:asciiTheme="minorHAnsi" w:hAnsiTheme="minorHAnsi" w:cstheme="minorHAnsi"/>
        </w:rPr>
      </w:pPr>
      <w:r w:rsidRPr="008F5E49">
        <w:rPr>
          <w:rFonts w:asciiTheme="minorHAnsi" w:hAnsiTheme="minorHAnsi" w:cstheme="minorHAnsi"/>
        </w:rPr>
        <w:t>November</w:t>
      </w:r>
      <w:r w:rsidR="00A367B5" w:rsidRPr="008F5E49">
        <w:rPr>
          <w:rFonts w:asciiTheme="minorHAnsi" w:hAnsiTheme="minorHAnsi" w:cstheme="minorHAnsi"/>
        </w:rPr>
        <w:t xml:space="preserve"> 2021</w:t>
      </w:r>
      <w:r w:rsidR="00B91387" w:rsidRPr="008F5E49">
        <w:rPr>
          <w:rFonts w:asciiTheme="minorHAnsi" w:hAnsiTheme="minorHAnsi" w:cstheme="minorHAnsi"/>
        </w:rPr>
        <w:tab/>
      </w:r>
    </w:p>
    <w:p w14:paraId="182C257E" w14:textId="77777777" w:rsidR="00AF64DA" w:rsidRPr="008F5E49" w:rsidRDefault="00AF64DA" w:rsidP="007101BD">
      <w:pPr>
        <w:spacing w:after="160" w:line="259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0A70725" w14:textId="77777777" w:rsidR="00B91387" w:rsidRPr="008F5E49" w:rsidRDefault="009F27DC" w:rsidP="007101BD">
      <w:pPr>
        <w:spacing w:after="160" w:line="259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8F5E49">
        <w:rPr>
          <w:rFonts w:cstheme="minorHAnsi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750E096" wp14:editId="34C4B54E">
            <wp:simplePos x="0" y="0"/>
            <wp:positionH relativeFrom="column">
              <wp:posOffset>2769870</wp:posOffset>
            </wp:positionH>
            <wp:positionV relativeFrom="paragraph">
              <wp:posOffset>5080</wp:posOffset>
            </wp:positionV>
            <wp:extent cx="3836670" cy="19081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67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A155E" w14:textId="77777777" w:rsidR="00B91387" w:rsidRPr="008F5E49" w:rsidRDefault="00B91387" w:rsidP="007101BD">
      <w:pPr>
        <w:spacing w:after="160" w:line="259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B77818A" w14:textId="2BDFB733" w:rsidR="00F86A02" w:rsidRDefault="00B91387" w:rsidP="007101BD">
      <w:pPr>
        <w:rPr>
          <w:rStyle w:val="Hyperlink"/>
          <w:rFonts w:cstheme="minorHAnsi"/>
          <w:sz w:val="28"/>
          <w:szCs w:val="28"/>
        </w:rPr>
      </w:pPr>
      <w:r w:rsidRPr="008F5E49">
        <w:rPr>
          <w:rFonts w:cstheme="minorHAnsi"/>
          <w:b/>
          <w:bCs/>
          <w:snapToGrid w:val="0"/>
          <w:sz w:val="28"/>
          <w:szCs w:val="28"/>
        </w:rPr>
        <w:t>Anti-Dumping Commission website:</w:t>
      </w:r>
      <w:r w:rsidRPr="008F5E49">
        <w:rPr>
          <w:rFonts w:cstheme="minorHAnsi"/>
          <w:snapToGrid w:val="0"/>
          <w:sz w:val="28"/>
          <w:szCs w:val="28"/>
        </w:rPr>
        <w:t xml:space="preserve"> </w:t>
      </w:r>
      <w:r w:rsidRPr="008F5E49">
        <w:rPr>
          <w:rFonts w:cstheme="minorHAnsi"/>
          <w:snapToGrid w:val="0"/>
          <w:sz w:val="28"/>
          <w:szCs w:val="28"/>
        </w:rPr>
        <w:br/>
      </w:r>
      <w:hyperlink r:id="rId9" w:history="1">
        <w:r w:rsidRPr="008F5E49">
          <w:rPr>
            <w:rStyle w:val="Hyperlink"/>
            <w:rFonts w:cstheme="minorHAnsi"/>
            <w:sz w:val="28"/>
            <w:szCs w:val="28"/>
          </w:rPr>
          <w:t>www.adcommission.gov.au</w:t>
        </w:r>
      </w:hyperlink>
    </w:p>
    <w:p w14:paraId="4083D94C" w14:textId="77777777" w:rsidR="00F86A02" w:rsidRDefault="00F86A02">
      <w:pPr>
        <w:rPr>
          <w:rStyle w:val="Hyperlink"/>
          <w:rFonts w:cstheme="minorHAnsi"/>
          <w:sz w:val="28"/>
          <w:szCs w:val="28"/>
        </w:rPr>
      </w:pPr>
      <w:r>
        <w:rPr>
          <w:rStyle w:val="Hyperlink"/>
          <w:rFonts w:cstheme="minorHAnsi"/>
          <w:sz w:val="28"/>
          <w:szCs w:val="28"/>
        </w:rPr>
        <w:br w:type="page"/>
      </w:r>
    </w:p>
    <w:p w14:paraId="54951138" w14:textId="5A7D60C8" w:rsidR="00E8093B" w:rsidRPr="008F5E49" w:rsidRDefault="00E8093B" w:rsidP="00543A9F">
      <w:pPr>
        <w:pStyle w:val="Heading1"/>
        <w:rPr>
          <w:rFonts w:asciiTheme="minorHAnsi" w:hAnsiTheme="minorHAnsi" w:cstheme="minorHAnsi"/>
        </w:rPr>
      </w:pPr>
      <w:r w:rsidRPr="008F5E49">
        <w:rPr>
          <w:rFonts w:asciiTheme="minorHAnsi" w:hAnsiTheme="minorHAnsi" w:cstheme="minorHAnsi"/>
        </w:rPr>
        <w:lastRenderedPageBreak/>
        <w:t>Agenda Item 1 – Introduction and Welcome</w:t>
      </w:r>
    </w:p>
    <w:p w14:paraId="50B90DA6" w14:textId="776D85CC" w:rsidR="00800665" w:rsidRDefault="001535FD" w:rsidP="004817D5">
      <w:pPr>
        <w:spacing w:after="160" w:line="259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The acting </w:t>
      </w:r>
      <w:r w:rsidR="00236DA0">
        <w:rPr>
          <w:rFonts w:eastAsia="Calibri" w:cstheme="minorHAnsi"/>
          <w:b/>
        </w:rPr>
        <w:t>C</w:t>
      </w:r>
      <w:r w:rsidRPr="007B16EE">
        <w:rPr>
          <w:rFonts w:eastAsia="Calibri" w:cstheme="minorHAnsi"/>
          <w:b/>
        </w:rPr>
        <w:t>ommissioner</w:t>
      </w:r>
      <w:r>
        <w:rPr>
          <w:rFonts w:eastAsia="Calibri" w:cstheme="minorHAnsi"/>
          <w:bCs/>
        </w:rPr>
        <w:t xml:space="preserve"> of the</w:t>
      </w:r>
      <w:r w:rsidR="00521D5E" w:rsidRPr="0087582F">
        <w:rPr>
          <w:rFonts w:eastAsia="Calibri" w:cstheme="minorHAnsi"/>
          <w:bCs/>
        </w:rPr>
        <w:t xml:space="preserve"> Anti-Dumping Commission</w:t>
      </w:r>
      <w:r w:rsidR="0087582F" w:rsidRPr="0087582F">
        <w:rPr>
          <w:rFonts w:eastAsia="Calibri" w:cstheme="minorHAnsi"/>
          <w:bCs/>
        </w:rPr>
        <w:t xml:space="preserve"> opened the meeting</w:t>
      </w:r>
      <w:r w:rsidR="00FD3833">
        <w:rPr>
          <w:rFonts w:eastAsia="Calibri" w:cstheme="minorHAnsi"/>
          <w:bCs/>
        </w:rPr>
        <w:t>,</w:t>
      </w:r>
      <w:r w:rsidR="0087582F" w:rsidRPr="0087582F">
        <w:rPr>
          <w:rFonts w:eastAsia="Calibri" w:cstheme="minorHAnsi"/>
          <w:bCs/>
        </w:rPr>
        <w:t xml:space="preserve"> thanked </w:t>
      </w:r>
      <w:r w:rsidR="008803C0">
        <w:rPr>
          <w:rFonts w:eastAsia="Calibri" w:cstheme="minorHAnsi"/>
          <w:bCs/>
        </w:rPr>
        <w:t xml:space="preserve">ITRF </w:t>
      </w:r>
      <w:r w:rsidR="00C177C5">
        <w:rPr>
          <w:rFonts w:eastAsia="Calibri" w:cstheme="minorHAnsi"/>
          <w:bCs/>
        </w:rPr>
        <w:t>M</w:t>
      </w:r>
      <w:r w:rsidR="0087582F" w:rsidRPr="0087582F">
        <w:rPr>
          <w:rFonts w:eastAsia="Calibri" w:cstheme="minorHAnsi"/>
          <w:bCs/>
        </w:rPr>
        <w:t>embers for attending</w:t>
      </w:r>
      <w:r w:rsidR="006830BA">
        <w:rPr>
          <w:rFonts w:eastAsia="Calibri" w:cstheme="minorHAnsi"/>
          <w:bCs/>
        </w:rPr>
        <w:t xml:space="preserve"> and made an Acknowledgement of Country</w:t>
      </w:r>
      <w:r w:rsidR="00F86A02">
        <w:rPr>
          <w:rFonts w:eastAsia="Calibri" w:cstheme="minorHAnsi"/>
          <w:bCs/>
        </w:rPr>
        <w:t>.</w:t>
      </w:r>
      <w:r w:rsidR="0087582F" w:rsidRPr="0087582F">
        <w:rPr>
          <w:rFonts w:eastAsia="Calibri" w:cstheme="minorHAnsi"/>
          <w:bCs/>
        </w:rPr>
        <w:t xml:space="preserve"> </w:t>
      </w:r>
      <w:r w:rsidR="00800665">
        <w:rPr>
          <w:rFonts w:eastAsia="Calibri" w:cstheme="minorHAnsi"/>
          <w:bCs/>
        </w:rPr>
        <w:t>The Commissioner</w:t>
      </w:r>
      <w:r>
        <w:rPr>
          <w:rFonts w:eastAsia="Calibri" w:cstheme="minorHAnsi"/>
          <w:bCs/>
        </w:rPr>
        <w:t xml:space="preserve"> passed on Minister Husic’s apologies for not being able to attend the meeting. </w:t>
      </w:r>
      <w:r w:rsidR="00F86A02">
        <w:rPr>
          <w:rFonts w:eastAsia="Calibri" w:cstheme="minorHAnsi"/>
          <w:bCs/>
        </w:rPr>
        <w:t xml:space="preserve">The </w:t>
      </w:r>
      <w:r w:rsidR="007B07A4">
        <w:rPr>
          <w:rFonts w:eastAsia="Calibri" w:cstheme="minorHAnsi"/>
          <w:bCs/>
        </w:rPr>
        <w:t xml:space="preserve">Commissioner </w:t>
      </w:r>
      <w:r w:rsidR="00F86A02">
        <w:rPr>
          <w:rFonts w:eastAsia="Calibri" w:cstheme="minorHAnsi"/>
          <w:bCs/>
        </w:rPr>
        <w:t xml:space="preserve">also </w:t>
      </w:r>
      <w:r w:rsidR="0087582F" w:rsidRPr="0087582F">
        <w:rPr>
          <w:rFonts w:eastAsia="Calibri" w:cstheme="minorHAnsi"/>
          <w:bCs/>
        </w:rPr>
        <w:t xml:space="preserve">welcomed </w:t>
      </w:r>
      <w:r>
        <w:rPr>
          <w:rFonts w:eastAsia="Calibri" w:cstheme="minorHAnsi"/>
          <w:bCs/>
        </w:rPr>
        <w:t xml:space="preserve">the </w:t>
      </w:r>
      <w:r w:rsidR="005612F0">
        <w:rPr>
          <w:rFonts w:eastAsia="Calibri" w:cstheme="minorHAnsi"/>
          <w:bCs/>
        </w:rPr>
        <w:t>representatives</w:t>
      </w:r>
      <w:r w:rsidR="0087582F" w:rsidRPr="0087582F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Cs/>
        </w:rPr>
        <w:t xml:space="preserve">of the two new </w:t>
      </w:r>
      <w:r w:rsidR="008803C0">
        <w:rPr>
          <w:rFonts w:eastAsia="Calibri" w:cstheme="minorHAnsi"/>
          <w:bCs/>
        </w:rPr>
        <w:t xml:space="preserve">ITRF </w:t>
      </w:r>
      <w:r>
        <w:rPr>
          <w:rFonts w:eastAsia="Calibri" w:cstheme="minorHAnsi"/>
          <w:bCs/>
        </w:rPr>
        <w:t>Members, the Australian Aluminium Council and Orica.</w:t>
      </w:r>
      <w:r w:rsidR="00B4613F">
        <w:rPr>
          <w:rFonts w:eastAsia="Calibri" w:cstheme="minorHAnsi"/>
          <w:bCs/>
        </w:rPr>
        <w:t xml:space="preserve"> </w:t>
      </w:r>
    </w:p>
    <w:p w14:paraId="406674C4" w14:textId="16810D2B" w:rsidR="00E57D68" w:rsidRDefault="00B4613F" w:rsidP="004817D5">
      <w:pPr>
        <w:spacing w:after="160" w:line="259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ITRF Members introduced themselves to the Forum</w:t>
      </w:r>
      <w:r w:rsidR="0087582F" w:rsidRPr="0087582F">
        <w:rPr>
          <w:rFonts w:eastAsia="Calibri" w:cstheme="minorHAnsi"/>
          <w:bCs/>
        </w:rPr>
        <w:t xml:space="preserve"> (see </w:t>
      </w:r>
      <w:r w:rsidR="0087582F" w:rsidRPr="007B16EE">
        <w:rPr>
          <w:rFonts w:eastAsia="Calibri" w:cstheme="minorHAnsi"/>
          <w:b/>
        </w:rPr>
        <w:t>Attachment</w:t>
      </w:r>
      <w:r w:rsidR="0087582F" w:rsidRPr="00E50B08">
        <w:rPr>
          <w:rFonts w:eastAsia="Calibri" w:cstheme="minorHAnsi"/>
          <w:b/>
        </w:rPr>
        <w:t xml:space="preserve"> </w:t>
      </w:r>
      <w:r w:rsidR="00E50B08" w:rsidRPr="00E50B08">
        <w:rPr>
          <w:rFonts w:eastAsia="Calibri" w:cstheme="minorHAnsi"/>
          <w:b/>
        </w:rPr>
        <w:t>A</w:t>
      </w:r>
      <w:r w:rsidR="00127694" w:rsidRPr="00E50B08">
        <w:rPr>
          <w:rFonts w:eastAsia="Calibri" w:cstheme="minorHAnsi"/>
          <w:b/>
        </w:rPr>
        <w:t xml:space="preserve"> </w:t>
      </w:r>
      <w:r w:rsidR="00164E43">
        <w:rPr>
          <w:rFonts w:eastAsia="Calibri" w:cstheme="minorHAnsi"/>
          <w:bCs/>
        </w:rPr>
        <w:t xml:space="preserve">for </w:t>
      </w:r>
      <w:r w:rsidR="0087582F" w:rsidRPr="0087582F">
        <w:rPr>
          <w:rFonts w:eastAsia="Calibri" w:cstheme="minorHAnsi"/>
          <w:bCs/>
        </w:rPr>
        <w:t xml:space="preserve">attendee list). </w:t>
      </w:r>
    </w:p>
    <w:p w14:paraId="7F56E9B7" w14:textId="77777777" w:rsidR="007204C1" w:rsidRDefault="007204C1" w:rsidP="004817D5">
      <w:pPr>
        <w:spacing w:after="160" w:line="259" w:lineRule="auto"/>
        <w:rPr>
          <w:rFonts w:eastAsia="Calibri" w:cstheme="minorHAnsi"/>
          <w:bCs/>
        </w:rPr>
      </w:pPr>
    </w:p>
    <w:p w14:paraId="2AC0A1E5" w14:textId="0BC0B506" w:rsidR="004817D5" w:rsidRPr="007204C1" w:rsidRDefault="007204C1" w:rsidP="007204C1">
      <w:pPr>
        <w:pStyle w:val="Heading1"/>
        <w:rPr>
          <w:rFonts w:asciiTheme="minorHAnsi" w:hAnsiTheme="minorHAnsi" w:cstheme="minorHAnsi"/>
        </w:rPr>
      </w:pPr>
      <w:r w:rsidRPr="007204C1">
        <w:rPr>
          <w:rFonts w:asciiTheme="minorHAnsi" w:hAnsiTheme="minorHAnsi" w:cstheme="minorHAnsi"/>
        </w:rPr>
        <w:t xml:space="preserve">Agenda Item </w:t>
      </w:r>
      <w:r>
        <w:rPr>
          <w:rFonts w:asciiTheme="minorHAnsi" w:hAnsiTheme="minorHAnsi" w:cstheme="minorHAnsi"/>
        </w:rPr>
        <w:t>2 -</w:t>
      </w:r>
      <w:r w:rsidRPr="007204C1">
        <w:rPr>
          <w:rFonts w:asciiTheme="minorHAnsi" w:hAnsiTheme="minorHAnsi" w:cstheme="minorHAnsi"/>
        </w:rPr>
        <w:t xml:space="preserve"> Review of previous minutes and action items</w:t>
      </w:r>
    </w:p>
    <w:p w14:paraId="288ABD6B" w14:textId="22A772C6" w:rsidR="00E57D68" w:rsidRDefault="007B0ADB" w:rsidP="004817D5">
      <w:pPr>
        <w:spacing w:after="160" w:line="259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The </w:t>
      </w:r>
      <w:r w:rsidR="008803C0">
        <w:rPr>
          <w:rFonts w:eastAsia="Calibri" w:cstheme="minorHAnsi"/>
          <w:bCs/>
        </w:rPr>
        <w:t xml:space="preserve">acting </w:t>
      </w:r>
      <w:r w:rsidR="00236DA0">
        <w:rPr>
          <w:rFonts w:eastAsia="Calibri" w:cstheme="minorHAnsi"/>
          <w:b/>
        </w:rPr>
        <w:t>C</w:t>
      </w:r>
      <w:r w:rsidR="00190F9A" w:rsidRPr="007B16EE">
        <w:rPr>
          <w:rFonts w:eastAsia="Calibri" w:cstheme="minorHAnsi"/>
          <w:b/>
        </w:rPr>
        <w:t>ommissioner</w:t>
      </w:r>
      <w:r w:rsidR="0065322C" w:rsidRPr="0087582F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Cs/>
        </w:rPr>
        <w:t xml:space="preserve">discussed and closed all the outstanding action items from the </w:t>
      </w:r>
      <w:r w:rsidR="006918F8">
        <w:rPr>
          <w:rFonts w:eastAsia="Calibri" w:cstheme="minorHAnsi"/>
          <w:bCs/>
        </w:rPr>
        <w:t>November</w:t>
      </w:r>
      <w:r>
        <w:rPr>
          <w:rFonts w:eastAsia="Calibri" w:cstheme="minorHAnsi"/>
          <w:bCs/>
        </w:rPr>
        <w:t xml:space="preserve"> 2023 meeting</w:t>
      </w:r>
      <w:r w:rsidR="00127694">
        <w:rPr>
          <w:rFonts w:eastAsia="Calibri" w:cstheme="minorHAnsi"/>
          <w:bCs/>
        </w:rPr>
        <w:t>.</w:t>
      </w:r>
    </w:p>
    <w:p w14:paraId="03D27C61" w14:textId="77777777" w:rsidR="007204C1" w:rsidRDefault="007204C1" w:rsidP="004817D5">
      <w:pPr>
        <w:spacing w:after="160" w:line="259" w:lineRule="auto"/>
        <w:rPr>
          <w:rFonts w:eastAsia="Calibri" w:cstheme="minorHAnsi"/>
          <w:bCs/>
        </w:rPr>
      </w:pPr>
    </w:p>
    <w:p w14:paraId="2961FA83" w14:textId="64D8DF9B" w:rsidR="00E57D68" w:rsidRPr="008F5E49" w:rsidRDefault="00E57D68" w:rsidP="00E57D68">
      <w:pPr>
        <w:pStyle w:val="Heading1"/>
        <w:rPr>
          <w:rFonts w:asciiTheme="minorHAnsi" w:hAnsiTheme="minorHAnsi" w:cstheme="minorHAnsi"/>
        </w:rPr>
      </w:pPr>
      <w:r w:rsidRPr="008F5E49">
        <w:rPr>
          <w:rFonts w:asciiTheme="minorHAnsi" w:hAnsiTheme="minorHAnsi" w:cstheme="minorHAnsi"/>
        </w:rPr>
        <w:t xml:space="preserve">Agenda Item </w:t>
      </w:r>
      <w:r w:rsidR="007204C1">
        <w:rPr>
          <w:rFonts w:asciiTheme="minorHAnsi" w:hAnsiTheme="minorHAnsi" w:cstheme="minorHAnsi"/>
        </w:rPr>
        <w:t>3</w:t>
      </w:r>
      <w:r w:rsidRPr="008F5E49">
        <w:rPr>
          <w:rFonts w:asciiTheme="minorHAnsi" w:hAnsiTheme="minorHAnsi" w:cstheme="minorHAnsi"/>
        </w:rPr>
        <w:t xml:space="preserve"> – </w:t>
      </w:r>
      <w:r w:rsidR="007204C1" w:rsidRPr="007204C1">
        <w:rPr>
          <w:rFonts w:asciiTheme="minorHAnsi" w:hAnsiTheme="minorHAnsi" w:cstheme="minorHAnsi"/>
        </w:rPr>
        <w:t>ITRF Sub-committee Early Harvest update to ITRF</w:t>
      </w:r>
      <w:r w:rsidRPr="008F5E49">
        <w:rPr>
          <w:rFonts w:asciiTheme="minorHAnsi" w:hAnsiTheme="minorHAnsi" w:cstheme="minorHAnsi"/>
        </w:rPr>
        <w:t xml:space="preserve"> </w:t>
      </w:r>
    </w:p>
    <w:p w14:paraId="4EDEA4EF" w14:textId="08710129" w:rsidR="008803C0" w:rsidRDefault="00E57D68" w:rsidP="00E57D68">
      <w:pPr>
        <w:spacing w:after="160" w:line="259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The </w:t>
      </w:r>
      <w:r w:rsidR="008803C0">
        <w:rPr>
          <w:rFonts w:eastAsia="Calibri" w:cstheme="minorHAnsi"/>
          <w:bCs/>
        </w:rPr>
        <w:t xml:space="preserve">acting </w:t>
      </w:r>
      <w:r w:rsidR="00800665">
        <w:rPr>
          <w:rFonts w:eastAsia="Calibri" w:cstheme="minorHAnsi"/>
          <w:b/>
        </w:rPr>
        <w:t>C</w:t>
      </w:r>
      <w:r w:rsidRPr="007B16EE">
        <w:rPr>
          <w:rFonts w:eastAsia="Calibri" w:cstheme="minorHAnsi"/>
          <w:b/>
        </w:rPr>
        <w:t xml:space="preserve">ommissioner </w:t>
      </w:r>
      <w:r>
        <w:rPr>
          <w:rFonts w:eastAsia="Calibri" w:cstheme="minorHAnsi"/>
          <w:bCs/>
        </w:rPr>
        <w:t xml:space="preserve">introduced the </w:t>
      </w:r>
      <w:r w:rsidR="00800665">
        <w:rPr>
          <w:rFonts w:eastAsia="Calibri" w:cstheme="minorHAnsi"/>
          <w:bCs/>
        </w:rPr>
        <w:t>C</w:t>
      </w:r>
      <w:r>
        <w:rPr>
          <w:rFonts w:eastAsia="Calibri" w:cstheme="minorHAnsi"/>
          <w:bCs/>
        </w:rPr>
        <w:t xml:space="preserve">o-chairs of the Sub-committee </w:t>
      </w:r>
      <w:r w:rsidR="008803C0">
        <w:rPr>
          <w:rFonts w:eastAsia="Calibri" w:cstheme="minorHAnsi"/>
          <w:bCs/>
        </w:rPr>
        <w:t xml:space="preserve">thanking them for their ongoing work to develop the </w:t>
      </w:r>
      <w:r w:rsidR="0030027D">
        <w:rPr>
          <w:rFonts w:eastAsia="Calibri" w:cstheme="minorHAnsi"/>
          <w:bCs/>
        </w:rPr>
        <w:t>‘</w:t>
      </w:r>
      <w:r w:rsidR="008803C0">
        <w:rPr>
          <w:rFonts w:eastAsia="Calibri" w:cstheme="minorHAnsi"/>
          <w:bCs/>
        </w:rPr>
        <w:t>Early Harvest</w:t>
      </w:r>
      <w:r w:rsidR="0030027D">
        <w:rPr>
          <w:rFonts w:eastAsia="Calibri" w:cstheme="minorHAnsi"/>
          <w:bCs/>
        </w:rPr>
        <w:t>’</w:t>
      </w:r>
      <w:r w:rsidR="008803C0">
        <w:rPr>
          <w:rFonts w:eastAsia="Calibri" w:cstheme="minorHAnsi"/>
          <w:bCs/>
        </w:rPr>
        <w:t xml:space="preserve"> reform proposals. </w:t>
      </w:r>
    </w:p>
    <w:p w14:paraId="0B868A57" w14:textId="6F04C31E" w:rsidR="00800665" w:rsidRDefault="00800665" w:rsidP="00E57D68">
      <w:pPr>
        <w:spacing w:after="160" w:line="259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The </w:t>
      </w:r>
      <w:r w:rsidR="008803C0">
        <w:rPr>
          <w:rFonts w:eastAsia="Calibri" w:cstheme="minorHAnsi"/>
          <w:bCs/>
        </w:rPr>
        <w:t xml:space="preserve">acting </w:t>
      </w:r>
      <w:r w:rsidRPr="008803C0">
        <w:rPr>
          <w:rFonts w:eastAsia="Calibri" w:cstheme="minorHAnsi"/>
          <w:b/>
        </w:rPr>
        <w:t>Commissioner</w:t>
      </w:r>
      <w:r>
        <w:rPr>
          <w:rFonts w:eastAsia="Calibri" w:cstheme="minorHAnsi"/>
          <w:bCs/>
        </w:rPr>
        <w:t xml:space="preserve"> </w:t>
      </w:r>
      <w:r w:rsidR="0030027D">
        <w:rPr>
          <w:rFonts w:eastAsia="Calibri" w:cstheme="minorHAnsi"/>
          <w:bCs/>
        </w:rPr>
        <w:t>noted</w:t>
      </w:r>
      <w:r>
        <w:rPr>
          <w:rFonts w:eastAsia="Calibri" w:cstheme="minorHAnsi"/>
          <w:bCs/>
        </w:rPr>
        <w:t>:</w:t>
      </w:r>
    </w:p>
    <w:p w14:paraId="734F1701" w14:textId="5E6C46A9" w:rsidR="00857CFC" w:rsidRPr="00857CFC" w:rsidRDefault="00C177C5" w:rsidP="00857CFC">
      <w:pPr>
        <w:pStyle w:val="ListParagraph"/>
        <w:numPr>
          <w:ilvl w:val="0"/>
          <w:numId w:val="15"/>
        </w:numPr>
        <w:spacing w:after="160" w:line="259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I</w:t>
      </w:r>
      <w:r w:rsidR="00E57D68" w:rsidRPr="00857CFC">
        <w:rPr>
          <w:rFonts w:eastAsia="Calibri" w:cstheme="minorHAnsi"/>
          <w:bCs/>
        </w:rPr>
        <w:t>f there was agreement on the Terms of Reference</w:t>
      </w:r>
      <w:r w:rsidR="00800665" w:rsidRPr="00857CFC">
        <w:rPr>
          <w:rFonts w:eastAsia="Calibri" w:cstheme="minorHAnsi"/>
          <w:bCs/>
        </w:rPr>
        <w:t xml:space="preserve"> for the ITRF</w:t>
      </w:r>
      <w:r w:rsidR="008803C0">
        <w:rPr>
          <w:rFonts w:eastAsia="Calibri" w:cstheme="minorHAnsi"/>
          <w:bCs/>
        </w:rPr>
        <w:t xml:space="preserve"> (Agenda Item 6)</w:t>
      </w:r>
      <w:r w:rsidR="00E57D68" w:rsidRPr="00857CFC">
        <w:rPr>
          <w:rFonts w:eastAsia="Calibri" w:cstheme="minorHAnsi"/>
          <w:bCs/>
        </w:rPr>
        <w:t>, the</w:t>
      </w:r>
      <w:r w:rsidR="00800665" w:rsidRPr="00857CFC">
        <w:rPr>
          <w:rFonts w:eastAsia="Calibri" w:cstheme="minorHAnsi"/>
          <w:bCs/>
        </w:rPr>
        <w:t xml:space="preserve"> Terms of Reference</w:t>
      </w:r>
      <w:r w:rsidR="00E57D68" w:rsidRPr="00857CFC">
        <w:rPr>
          <w:rFonts w:eastAsia="Calibri" w:cstheme="minorHAnsi"/>
          <w:bCs/>
        </w:rPr>
        <w:t xml:space="preserve"> could be used to guide the next steps on the Sub-committee’s proposed </w:t>
      </w:r>
      <w:r w:rsidR="008803C0">
        <w:rPr>
          <w:rFonts w:eastAsia="Calibri" w:cstheme="minorHAnsi"/>
          <w:bCs/>
        </w:rPr>
        <w:t xml:space="preserve">Early Harvest </w:t>
      </w:r>
      <w:r w:rsidR="00E57D68" w:rsidRPr="00857CFC">
        <w:rPr>
          <w:rFonts w:eastAsia="Calibri" w:cstheme="minorHAnsi"/>
          <w:bCs/>
        </w:rPr>
        <w:t xml:space="preserve">reforms. </w:t>
      </w:r>
    </w:p>
    <w:p w14:paraId="78DDC6A1" w14:textId="556F81BA" w:rsidR="00857CFC" w:rsidRPr="00857CFC" w:rsidRDefault="00E57D68" w:rsidP="00857CFC">
      <w:pPr>
        <w:pStyle w:val="ListParagraph"/>
        <w:numPr>
          <w:ilvl w:val="0"/>
          <w:numId w:val="15"/>
        </w:numPr>
        <w:spacing w:after="160" w:line="259" w:lineRule="auto"/>
        <w:rPr>
          <w:rFonts w:eastAsia="Calibri" w:cstheme="minorHAnsi"/>
          <w:bCs/>
        </w:rPr>
      </w:pPr>
      <w:r w:rsidRPr="00857CFC">
        <w:rPr>
          <w:rFonts w:eastAsia="Calibri" w:cstheme="minorHAnsi"/>
          <w:bCs/>
        </w:rPr>
        <w:t xml:space="preserve">The commission was keen to support the ITRF to resolve </w:t>
      </w:r>
      <w:r w:rsidR="0030027D">
        <w:rPr>
          <w:rFonts w:eastAsia="Calibri" w:cstheme="minorHAnsi"/>
          <w:bCs/>
        </w:rPr>
        <w:t>how to progress recommendations from the ITRF to the Minister in the context where there were always likely to be varied views</w:t>
      </w:r>
      <w:r w:rsidR="00615289">
        <w:rPr>
          <w:rFonts w:eastAsia="Calibri" w:cstheme="minorHAnsi"/>
          <w:bCs/>
        </w:rPr>
        <w:t>,</w:t>
      </w:r>
      <w:r w:rsidR="0030027D">
        <w:rPr>
          <w:rFonts w:eastAsia="Calibri" w:cstheme="minorHAnsi"/>
          <w:bCs/>
        </w:rPr>
        <w:t xml:space="preserve"> and considerable work had been done to date by the </w:t>
      </w:r>
      <w:r w:rsidR="006830BA">
        <w:rPr>
          <w:rFonts w:eastAsia="Calibri" w:cstheme="minorHAnsi"/>
          <w:bCs/>
        </w:rPr>
        <w:t>S</w:t>
      </w:r>
      <w:r w:rsidR="0030027D">
        <w:rPr>
          <w:rFonts w:eastAsia="Calibri" w:cstheme="minorHAnsi"/>
          <w:bCs/>
        </w:rPr>
        <w:t>ub-committee considering areas of potential cross-ITRF agreement</w:t>
      </w:r>
      <w:r w:rsidRPr="00857CFC">
        <w:rPr>
          <w:rFonts w:eastAsia="Calibri" w:cstheme="minorHAnsi"/>
          <w:bCs/>
        </w:rPr>
        <w:t xml:space="preserve">. </w:t>
      </w:r>
    </w:p>
    <w:p w14:paraId="48AA4216" w14:textId="58FD8690" w:rsidR="00E57D68" w:rsidRPr="00857CFC" w:rsidRDefault="00E57D68" w:rsidP="00857CFC">
      <w:pPr>
        <w:pStyle w:val="ListParagraph"/>
        <w:numPr>
          <w:ilvl w:val="0"/>
          <w:numId w:val="15"/>
        </w:numPr>
        <w:spacing w:after="160" w:line="259" w:lineRule="auto"/>
        <w:rPr>
          <w:rFonts w:eastAsia="Calibri" w:cstheme="minorHAnsi"/>
          <w:bCs/>
        </w:rPr>
      </w:pPr>
      <w:r w:rsidRPr="00857CFC">
        <w:rPr>
          <w:rFonts w:eastAsia="Calibri" w:cstheme="minorHAnsi"/>
          <w:bCs/>
        </w:rPr>
        <w:t xml:space="preserve">It was important for the wider ITRF to have a chance to </w:t>
      </w:r>
      <w:r w:rsidR="0030027D">
        <w:rPr>
          <w:rFonts w:eastAsia="Calibri" w:cstheme="minorHAnsi"/>
          <w:bCs/>
        </w:rPr>
        <w:t xml:space="preserve">consider and </w:t>
      </w:r>
      <w:r w:rsidRPr="00857CFC">
        <w:rPr>
          <w:rFonts w:eastAsia="Calibri" w:cstheme="minorHAnsi"/>
          <w:bCs/>
        </w:rPr>
        <w:t xml:space="preserve">discuss the </w:t>
      </w:r>
      <w:r w:rsidR="00091E7C">
        <w:rPr>
          <w:rFonts w:eastAsia="Calibri" w:cstheme="minorHAnsi"/>
          <w:bCs/>
        </w:rPr>
        <w:t>Early Harvest reform proposals</w:t>
      </w:r>
      <w:r w:rsidR="0030027D">
        <w:rPr>
          <w:rFonts w:eastAsia="Calibri" w:cstheme="minorHAnsi"/>
          <w:bCs/>
        </w:rPr>
        <w:t>, as proposals to the Minister are from the ITRF.</w:t>
      </w:r>
    </w:p>
    <w:p w14:paraId="37409F83" w14:textId="72DEAB87" w:rsidR="008803C0" w:rsidRDefault="008803C0" w:rsidP="00A72318">
      <w:pPr>
        <w:spacing w:after="160" w:line="259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The acting </w:t>
      </w:r>
      <w:r>
        <w:rPr>
          <w:rFonts w:eastAsia="Calibri" w:cstheme="minorHAnsi"/>
          <w:b/>
        </w:rPr>
        <w:t xml:space="preserve">Commissioner </w:t>
      </w:r>
      <w:r w:rsidRPr="000734C4">
        <w:rPr>
          <w:rFonts w:eastAsia="Calibri" w:cstheme="minorHAnsi"/>
          <w:bCs/>
        </w:rPr>
        <w:t>concluded by noting</w:t>
      </w:r>
      <w:r>
        <w:rPr>
          <w:rFonts w:eastAsia="Calibri" w:cstheme="minorHAnsi"/>
          <w:b/>
        </w:rPr>
        <w:t xml:space="preserve"> </w:t>
      </w:r>
      <w:r w:rsidRPr="000734C4">
        <w:rPr>
          <w:rFonts w:eastAsia="Calibri" w:cstheme="minorHAnsi"/>
          <w:bCs/>
        </w:rPr>
        <w:t>that</w:t>
      </w:r>
      <w:r>
        <w:rPr>
          <w:rFonts w:eastAsia="Calibri" w:cstheme="minorHAnsi"/>
          <w:b/>
        </w:rPr>
        <w:t xml:space="preserve"> </w:t>
      </w:r>
      <w:r w:rsidRPr="000734C4">
        <w:rPr>
          <w:rFonts w:eastAsia="Calibri" w:cstheme="minorHAnsi"/>
          <w:bCs/>
        </w:rPr>
        <w:t xml:space="preserve">following </w:t>
      </w:r>
      <w:r>
        <w:rPr>
          <w:rFonts w:eastAsia="Calibri" w:cstheme="minorHAnsi"/>
          <w:bCs/>
        </w:rPr>
        <w:t xml:space="preserve">the presentation and </w:t>
      </w:r>
      <w:r w:rsidRPr="000734C4">
        <w:rPr>
          <w:rFonts w:eastAsia="Calibri" w:cstheme="minorHAnsi"/>
          <w:bCs/>
        </w:rPr>
        <w:t xml:space="preserve">discussion of the </w:t>
      </w:r>
      <w:r>
        <w:rPr>
          <w:rFonts w:eastAsia="Calibri" w:cstheme="minorHAnsi"/>
          <w:bCs/>
        </w:rPr>
        <w:t xml:space="preserve">Early Harvest reform </w:t>
      </w:r>
      <w:r w:rsidRPr="000734C4">
        <w:rPr>
          <w:rFonts w:eastAsia="Calibri" w:cstheme="minorHAnsi"/>
          <w:bCs/>
        </w:rPr>
        <w:t>proposals</w:t>
      </w:r>
      <w:r w:rsidR="00C177C5">
        <w:rPr>
          <w:rFonts w:eastAsia="Calibri" w:cstheme="minorHAnsi"/>
          <w:bCs/>
        </w:rPr>
        <w:t>,</w:t>
      </w:r>
      <w:r w:rsidRPr="000734C4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Cs/>
        </w:rPr>
        <w:t>the Secretariat could organise an additional ITRF meeting to have further discussion on the Sub-committee’s package of reform proposals.</w:t>
      </w:r>
    </w:p>
    <w:p w14:paraId="379A8A36" w14:textId="57D6EFCD" w:rsidR="00B840FD" w:rsidRDefault="00E57D68" w:rsidP="00A72318">
      <w:pPr>
        <w:spacing w:after="160" w:line="259" w:lineRule="auto"/>
        <w:rPr>
          <w:rFonts w:eastAsia="Calibri" w:cstheme="minorHAnsi"/>
          <w:bCs/>
        </w:rPr>
      </w:pPr>
      <w:r w:rsidDel="00E10A5A">
        <w:rPr>
          <w:rFonts w:eastAsia="Calibri" w:cstheme="minorHAnsi"/>
          <w:bCs/>
        </w:rPr>
        <w:t>The</w:t>
      </w:r>
      <w:r>
        <w:rPr>
          <w:rFonts w:eastAsia="Calibri" w:cstheme="minorHAnsi"/>
          <w:bCs/>
        </w:rPr>
        <w:t xml:space="preserve"> </w:t>
      </w:r>
      <w:r w:rsidR="00B840FD">
        <w:rPr>
          <w:rFonts w:eastAsia="Calibri" w:cstheme="minorHAnsi"/>
          <w:b/>
        </w:rPr>
        <w:t>C</w:t>
      </w:r>
      <w:r w:rsidRPr="007B16EE">
        <w:rPr>
          <w:rFonts w:eastAsia="Calibri" w:cstheme="minorHAnsi"/>
          <w:b/>
        </w:rPr>
        <w:t xml:space="preserve">o-chairs of the ITRF </w:t>
      </w:r>
      <w:r w:rsidR="00B840FD">
        <w:rPr>
          <w:rFonts w:eastAsia="Calibri" w:cstheme="minorHAnsi"/>
          <w:b/>
        </w:rPr>
        <w:t>S</w:t>
      </w:r>
      <w:r w:rsidRPr="007B16EE">
        <w:rPr>
          <w:rFonts w:eastAsia="Calibri" w:cstheme="minorHAnsi"/>
          <w:b/>
        </w:rPr>
        <w:t>ub-committee</w:t>
      </w:r>
      <w:r>
        <w:rPr>
          <w:rFonts w:eastAsia="Calibri" w:cstheme="minorHAnsi"/>
          <w:bCs/>
        </w:rPr>
        <w:t xml:space="preserve"> on Strengthening the Anti-Dumping System</w:t>
      </w:r>
      <w:r w:rsidR="00A72318">
        <w:rPr>
          <w:rFonts w:eastAsia="Calibri" w:cstheme="minorHAnsi"/>
          <w:bCs/>
        </w:rPr>
        <w:t xml:space="preserve"> presented on the </w:t>
      </w:r>
      <w:r w:rsidR="007B16EE">
        <w:rPr>
          <w:rFonts w:eastAsia="Calibri" w:cstheme="minorHAnsi"/>
          <w:bCs/>
        </w:rPr>
        <w:t xml:space="preserve">background of the Early Harvest reform </w:t>
      </w:r>
      <w:r w:rsidR="00A72318">
        <w:rPr>
          <w:rFonts w:eastAsia="Calibri" w:cstheme="minorHAnsi"/>
          <w:bCs/>
        </w:rPr>
        <w:t>proposals</w:t>
      </w:r>
      <w:r w:rsidR="00857CFC">
        <w:rPr>
          <w:rFonts w:eastAsia="Calibri" w:cstheme="minorHAnsi"/>
          <w:bCs/>
        </w:rPr>
        <w:t>.</w:t>
      </w:r>
    </w:p>
    <w:p w14:paraId="26A7D96B" w14:textId="0C129643" w:rsidR="00190F9A" w:rsidRDefault="00B840FD" w:rsidP="00190F9A">
      <w:pPr>
        <w:spacing w:after="160" w:line="259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The Co-chairs and </w:t>
      </w:r>
      <w:r w:rsidR="0017692F">
        <w:rPr>
          <w:rFonts w:eastAsia="Calibri" w:cstheme="minorHAnsi"/>
          <w:bCs/>
        </w:rPr>
        <w:t xml:space="preserve">Sub-committee </w:t>
      </w:r>
      <w:r w:rsidR="00E3745A">
        <w:rPr>
          <w:rFonts w:eastAsia="Calibri" w:cstheme="minorHAnsi"/>
          <w:bCs/>
        </w:rPr>
        <w:t>M</w:t>
      </w:r>
      <w:r w:rsidR="0017692F">
        <w:rPr>
          <w:rFonts w:eastAsia="Calibri" w:cstheme="minorHAnsi"/>
          <w:bCs/>
        </w:rPr>
        <w:t>embers then introduced the individual proposed reforms.</w:t>
      </w:r>
    </w:p>
    <w:p w14:paraId="7485895C" w14:textId="6FA4977C" w:rsidR="00C30B1C" w:rsidRDefault="00C30B1C" w:rsidP="00190F9A">
      <w:pPr>
        <w:spacing w:after="160" w:line="259" w:lineRule="auto"/>
        <w:rPr>
          <w:rFonts w:eastAsia="Calibri" w:cstheme="minorHAnsi"/>
          <w:bCs/>
        </w:rPr>
      </w:pPr>
      <w:r w:rsidRPr="00857CFC">
        <w:rPr>
          <w:rFonts w:eastAsia="Calibri" w:cstheme="minorHAnsi"/>
          <w:b/>
        </w:rPr>
        <w:t>ITRF Members</w:t>
      </w:r>
      <w:r>
        <w:rPr>
          <w:rFonts w:eastAsia="Calibri" w:cstheme="minorHAnsi"/>
          <w:bCs/>
        </w:rPr>
        <w:t xml:space="preserve"> discussed what the next steps for the proposed reforms would be.</w:t>
      </w:r>
    </w:p>
    <w:p w14:paraId="2BEEDD7A" w14:textId="153ED616" w:rsidR="00E57D68" w:rsidRPr="00317969" w:rsidRDefault="00E57D68" w:rsidP="00190F9A">
      <w:pPr>
        <w:spacing w:after="160" w:line="259" w:lineRule="auto"/>
        <w:rPr>
          <w:rFonts w:cstheme="minorHAnsi"/>
          <w:b/>
          <w:bCs/>
          <w:lang w:eastAsia="en-AU"/>
        </w:rPr>
      </w:pPr>
      <w:r w:rsidRPr="00317969">
        <w:rPr>
          <w:rFonts w:cstheme="minorHAnsi"/>
          <w:b/>
          <w:bCs/>
          <w:lang w:eastAsia="en-AU"/>
        </w:rPr>
        <w:t>Action items:</w:t>
      </w:r>
    </w:p>
    <w:p w14:paraId="4C235819" w14:textId="05C3E343" w:rsidR="00E57D68" w:rsidRDefault="00E57D68" w:rsidP="00B840FD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 w:rsidRPr="006D7DA0">
        <w:rPr>
          <w:rFonts w:eastAsia="Calibri" w:cstheme="minorHAnsi"/>
        </w:rPr>
        <w:t>The</w:t>
      </w:r>
      <w:r>
        <w:rPr>
          <w:rFonts w:eastAsia="Calibri" w:cstheme="minorHAnsi"/>
        </w:rPr>
        <w:t xml:space="preserve"> </w:t>
      </w:r>
      <w:r w:rsidR="00A72318">
        <w:rPr>
          <w:rFonts w:eastAsia="Calibri" w:cstheme="minorHAnsi"/>
        </w:rPr>
        <w:t>Sub-committee to consider next steps and options for forwarding proposals to the Minister</w:t>
      </w:r>
      <w:r w:rsidR="006830BA">
        <w:rPr>
          <w:rFonts w:eastAsia="Calibri" w:cstheme="minorHAnsi"/>
        </w:rPr>
        <w:t xml:space="preserve"> mindful of the discussion on</w:t>
      </w:r>
      <w:r w:rsidR="0030027D">
        <w:rPr>
          <w:rFonts w:eastAsia="Calibri" w:cstheme="minorHAnsi"/>
        </w:rPr>
        <w:t xml:space="preserve"> Agenda Item 6 on the Terms of Reference</w:t>
      </w:r>
      <w:r w:rsidR="00ED68E1">
        <w:rPr>
          <w:rFonts w:eastAsia="Calibri" w:cstheme="minorHAnsi"/>
        </w:rPr>
        <w:t>.</w:t>
      </w:r>
    </w:p>
    <w:p w14:paraId="369E69B0" w14:textId="77777777" w:rsidR="007B16EE" w:rsidRDefault="007B16EE" w:rsidP="007B16EE">
      <w:pPr>
        <w:pStyle w:val="ListParagraph"/>
        <w:rPr>
          <w:rFonts w:eastAsia="Calibri" w:cstheme="minorHAnsi"/>
        </w:rPr>
      </w:pPr>
    </w:p>
    <w:p w14:paraId="28477F4D" w14:textId="1BFEDA2E" w:rsidR="00ED68E1" w:rsidRDefault="00ED68E1" w:rsidP="00B840FD">
      <w:pPr>
        <w:pStyle w:val="ListParagraph"/>
        <w:numPr>
          <w:ilvl w:val="0"/>
          <w:numId w:val="1"/>
        </w:numPr>
        <w:rPr>
          <w:rFonts w:eastAsia="Calibri" w:cstheme="minorHAnsi"/>
        </w:rPr>
      </w:pPr>
      <w:r>
        <w:rPr>
          <w:rFonts w:eastAsia="Calibri" w:cstheme="minorHAnsi"/>
        </w:rPr>
        <w:t xml:space="preserve">If the Sub-committee decides </w:t>
      </w:r>
      <w:r w:rsidR="0030027D">
        <w:rPr>
          <w:rFonts w:eastAsia="Calibri" w:cstheme="minorHAnsi"/>
        </w:rPr>
        <w:t xml:space="preserve">to propose a further discussion on </w:t>
      </w:r>
      <w:r>
        <w:rPr>
          <w:rFonts w:eastAsia="Calibri" w:cstheme="minorHAnsi"/>
        </w:rPr>
        <w:t xml:space="preserve">Early Harvest reforms </w:t>
      </w:r>
      <w:r w:rsidR="0030027D">
        <w:rPr>
          <w:rFonts w:eastAsia="Calibri" w:cstheme="minorHAnsi"/>
        </w:rPr>
        <w:t>with the entire</w:t>
      </w:r>
      <w:r>
        <w:rPr>
          <w:rFonts w:eastAsia="Calibri" w:cstheme="minorHAnsi"/>
        </w:rPr>
        <w:t xml:space="preserve"> ITRF, the ITRF Secretariat </w:t>
      </w:r>
      <w:r w:rsidR="0030027D">
        <w:rPr>
          <w:rFonts w:eastAsia="Calibri" w:cstheme="minorHAnsi"/>
        </w:rPr>
        <w:t>will</w:t>
      </w:r>
      <w:r>
        <w:rPr>
          <w:rFonts w:eastAsia="Calibri" w:cstheme="minorHAnsi"/>
        </w:rPr>
        <w:t xml:space="preserve"> organise an</w:t>
      </w:r>
      <w:r w:rsidR="0030027D">
        <w:rPr>
          <w:rFonts w:eastAsia="Calibri" w:cstheme="minorHAnsi"/>
        </w:rPr>
        <w:t xml:space="preserve"> additional</w:t>
      </w:r>
      <w:r>
        <w:rPr>
          <w:rFonts w:eastAsia="Calibri" w:cstheme="minorHAnsi"/>
        </w:rPr>
        <w:t xml:space="preserve"> ITRF meeting.</w:t>
      </w:r>
    </w:p>
    <w:p w14:paraId="51360F66" w14:textId="51CE9056" w:rsidR="007D681B" w:rsidRPr="0064399F" w:rsidRDefault="00E8093B" w:rsidP="0064399F">
      <w:pPr>
        <w:pStyle w:val="Heading1"/>
        <w:rPr>
          <w:rFonts w:asciiTheme="minorHAnsi" w:hAnsiTheme="minorHAnsi" w:cstheme="minorHAnsi"/>
        </w:rPr>
      </w:pPr>
      <w:r w:rsidRPr="008F5E49">
        <w:rPr>
          <w:rFonts w:asciiTheme="minorHAnsi" w:hAnsiTheme="minorHAnsi" w:cstheme="minorHAnsi"/>
        </w:rPr>
        <w:lastRenderedPageBreak/>
        <w:t xml:space="preserve">Agenda Item </w:t>
      </w:r>
      <w:r w:rsidR="007204C1">
        <w:rPr>
          <w:rFonts w:asciiTheme="minorHAnsi" w:hAnsiTheme="minorHAnsi" w:cstheme="minorHAnsi"/>
        </w:rPr>
        <w:t>4</w:t>
      </w:r>
      <w:r w:rsidRPr="008F5E49">
        <w:rPr>
          <w:rFonts w:asciiTheme="minorHAnsi" w:hAnsiTheme="minorHAnsi" w:cstheme="minorHAnsi"/>
        </w:rPr>
        <w:t xml:space="preserve"> –</w:t>
      </w:r>
      <w:r w:rsidR="000F6501">
        <w:rPr>
          <w:rFonts w:asciiTheme="minorHAnsi" w:hAnsiTheme="minorHAnsi" w:cstheme="minorHAnsi"/>
        </w:rPr>
        <w:t xml:space="preserve"> Government </w:t>
      </w:r>
      <w:r w:rsidRPr="008F5E49">
        <w:rPr>
          <w:rFonts w:asciiTheme="minorHAnsi" w:hAnsiTheme="minorHAnsi" w:cstheme="minorHAnsi"/>
        </w:rPr>
        <w:t>update</w:t>
      </w:r>
    </w:p>
    <w:p w14:paraId="30D471F8" w14:textId="6F1A41BD" w:rsidR="000F6501" w:rsidRPr="007204C1" w:rsidRDefault="007204C1">
      <w:pPr>
        <w:spacing w:after="160" w:line="259" w:lineRule="auto"/>
        <w:rPr>
          <w:rFonts w:cstheme="minorHAnsi"/>
          <w:b/>
          <w:bCs/>
        </w:rPr>
      </w:pPr>
      <w:r w:rsidRPr="007204C1">
        <w:rPr>
          <w:rFonts w:cstheme="minorHAnsi"/>
          <w:b/>
          <w:bCs/>
        </w:rPr>
        <w:t>4</w:t>
      </w:r>
      <w:r w:rsidR="000F6501" w:rsidRPr="007204C1">
        <w:rPr>
          <w:rFonts w:cstheme="minorHAnsi"/>
          <w:b/>
          <w:bCs/>
        </w:rPr>
        <w:t xml:space="preserve"> 1 Anti-Dumping Commission </w:t>
      </w:r>
    </w:p>
    <w:p w14:paraId="6969112A" w14:textId="643A6F80" w:rsidR="007B16EE" w:rsidRPr="007204C1" w:rsidRDefault="007B16EE">
      <w:pPr>
        <w:spacing w:after="160" w:line="259" w:lineRule="auto"/>
        <w:rPr>
          <w:rFonts w:eastAsia="Calibri" w:cstheme="minorHAnsi"/>
          <w:bCs/>
          <w:u w:val="single"/>
        </w:rPr>
      </w:pPr>
      <w:r w:rsidRPr="007204C1">
        <w:rPr>
          <w:rFonts w:eastAsia="Calibri" w:cstheme="minorHAnsi"/>
          <w:bCs/>
          <w:u w:val="single"/>
        </w:rPr>
        <w:t>Performance measures</w:t>
      </w:r>
    </w:p>
    <w:p w14:paraId="0E891118" w14:textId="1353D324" w:rsidR="00091E7C" w:rsidRDefault="00694529" w:rsidP="00857CFC">
      <w:pPr>
        <w:spacing w:after="160" w:line="259" w:lineRule="auto"/>
        <w:rPr>
          <w:rFonts w:cstheme="minorHAnsi"/>
        </w:rPr>
      </w:pPr>
      <w:r w:rsidRPr="000471E4">
        <w:rPr>
          <w:rFonts w:eastAsia="Calibri" w:cstheme="minorHAnsi"/>
          <w:bCs/>
        </w:rPr>
        <w:t>The</w:t>
      </w:r>
      <w:r w:rsidRPr="006918F8">
        <w:rPr>
          <w:rFonts w:eastAsia="Calibri" w:cstheme="minorHAnsi"/>
          <w:b/>
        </w:rPr>
        <w:t xml:space="preserve"> </w:t>
      </w:r>
      <w:r w:rsidR="00091E7C" w:rsidRPr="000471E4">
        <w:rPr>
          <w:rFonts w:eastAsia="Calibri" w:cstheme="minorHAnsi"/>
          <w:bCs/>
        </w:rPr>
        <w:t>acting</w:t>
      </w:r>
      <w:r w:rsidR="00091E7C">
        <w:rPr>
          <w:rFonts w:eastAsia="Calibri" w:cstheme="minorHAnsi"/>
          <w:b/>
        </w:rPr>
        <w:t xml:space="preserve"> </w:t>
      </w:r>
      <w:r w:rsidR="006918F8" w:rsidRPr="006918F8">
        <w:rPr>
          <w:rFonts w:eastAsia="Calibri" w:cstheme="minorHAnsi"/>
          <w:b/>
        </w:rPr>
        <w:t>C</w:t>
      </w:r>
      <w:r w:rsidRPr="006918F8">
        <w:rPr>
          <w:rFonts w:eastAsia="Calibri" w:cstheme="minorHAnsi"/>
          <w:b/>
        </w:rPr>
        <w:t>ommissioner</w:t>
      </w:r>
      <w:r w:rsidRPr="00092201">
        <w:rPr>
          <w:rFonts w:eastAsia="Calibri" w:cstheme="minorHAnsi"/>
          <w:bCs/>
        </w:rPr>
        <w:t xml:space="preserve"> </w:t>
      </w:r>
      <w:r w:rsidR="00857CFC" w:rsidRPr="00092201">
        <w:rPr>
          <w:rFonts w:eastAsia="Calibri" w:cstheme="minorHAnsi"/>
          <w:bCs/>
        </w:rPr>
        <w:t>updated ITRF Members on the commission’s performance measures</w:t>
      </w:r>
      <w:r w:rsidR="007354B9">
        <w:rPr>
          <w:rFonts w:eastAsia="Calibri" w:cstheme="minorHAnsi"/>
          <w:bCs/>
        </w:rPr>
        <w:t>,</w:t>
      </w:r>
      <w:r w:rsidR="00857CFC" w:rsidRPr="00092201">
        <w:rPr>
          <w:rFonts w:eastAsia="Calibri" w:cstheme="minorHAnsi"/>
          <w:bCs/>
        </w:rPr>
        <w:t xml:space="preserve"> which </w:t>
      </w:r>
      <w:r w:rsidR="009D0A87">
        <w:rPr>
          <w:rFonts w:eastAsia="Calibri" w:cstheme="minorHAnsi"/>
          <w:bCs/>
        </w:rPr>
        <w:t xml:space="preserve">are </w:t>
      </w:r>
      <w:r w:rsidR="00857CFC" w:rsidRPr="00092201">
        <w:rPr>
          <w:rFonts w:eastAsia="Calibri" w:cstheme="minorHAnsi"/>
          <w:bCs/>
        </w:rPr>
        <w:t xml:space="preserve">published </w:t>
      </w:r>
      <w:r w:rsidRPr="00092201">
        <w:rPr>
          <w:rFonts w:cstheme="minorHAnsi"/>
        </w:rPr>
        <w:t xml:space="preserve">in the </w:t>
      </w:r>
      <w:r w:rsidR="009D0A87">
        <w:rPr>
          <w:rFonts w:cstheme="minorHAnsi"/>
        </w:rPr>
        <w:t>D</w:t>
      </w:r>
      <w:r w:rsidR="006918F8">
        <w:rPr>
          <w:rFonts w:cstheme="minorHAnsi"/>
        </w:rPr>
        <w:t>epartment of Industry, Science and Resources</w:t>
      </w:r>
      <w:r w:rsidR="00091E7C">
        <w:rPr>
          <w:rFonts w:cstheme="minorHAnsi"/>
        </w:rPr>
        <w:t>’</w:t>
      </w:r>
      <w:r w:rsidR="006918F8">
        <w:rPr>
          <w:rFonts w:cstheme="minorHAnsi"/>
        </w:rPr>
        <w:t xml:space="preserve"> (DISR) </w:t>
      </w:r>
      <w:r w:rsidRPr="00092201">
        <w:rPr>
          <w:rFonts w:cstheme="minorHAnsi"/>
        </w:rPr>
        <w:t>Annual Report</w:t>
      </w:r>
      <w:r w:rsidR="00091E7C">
        <w:rPr>
          <w:rFonts w:cstheme="minorHAnsi"/>
        </w:rPr>
        <w:t>. The performance measures</w:t>
      </w:r>
      <w:r w:rsidR="00857CFC" w:rsidRPr="00092201">
        <w:rPr>
          <w:rFonts w:cstheme="minorHAnsi"/>
        </w:rPr>
        <w:t xml:space="preserve"> include</w:t>
      </w:r>
      <w:r w:rsidRPr="00092201">
        <w:rPr>
          <w:rFonts w:cstheme="minorHAnsi"/>
        </w:rPr>
        <w:t xml:space="preserve"> case completion timeframes,</w:t>
      </w:r>
      <w:r w:rsidR="009D0A87">
        <w:rPr>
          <w:rFonts w:cstheme="minorHAnsi"/>
        </w:rPr>
        <w:t xml:space="preserve"> cases received</w:t>
      </w:r>
      <w:r w:rsidRPr="00092201">
        <w:rPr>
          <w:rFonts w:cstheme="minorHAnsi"/>
        </w:rPr>
        <w:t xml:space="preserve"> and completed, and extensions of time.</w:t>
      </w:r>
      <w:r w:rsidR="00857CFC" w:rsidRPr="00092201">
        <w:rPr>
          <w:rFonts w:cstheme="minorHAnsi"/>
        </w:rPr>
        <w:t xml:space="preserve"> </w:t>
      </w:r>
    </w:p>
    <w:p w14:paraId="2CCF51E4" w14:textId="00639267" w:rsidR="007B16EE" w:rsidRPr="00092201" w:rsidRDefault="007354B9" w:rsidP="00857CFC">
      <w:pPr>
        <w:spacing w:after="160" w:line="259" w:lineRule="auto"/>
        <w:rPr>
          <w:rFonts w:cstheme="minorHAnsi"/>
          <w:b/>
          <w:i/>
        </w:rPr>
      </w:pPr>
      <w:r w:rsidRPr="00092201">
        <w:rPr>
          <w:rFonts w:cstheme="minorHAnsi"/>
          <w:bCs/>
          <w:iCs/>
        </w:rPr>
        <w:t xml:space="preserve">The </w:t>
      </w:r>
      <w:r>
        <w:rPr>
          <w:rFonts w:cstheme="minorHAnsi"/>
          <w:bCs/>
          <w:iCs/>
        </w:rPr>
        <w:t xml:space="preserve">acting </w:t>
      </w:r>
      <w:r w:rsidRPr="006830BA">
        <w:rPr>
          <w:rFonts w:cstheme="minorHAnsi"/>
          <w:bCs/>
          <w:iCs/>
        </w:rPr>
        <w:t>Commissioner</w:t>
      </w:r>
      <w:r>
        <w:rPr>
          <w:rFonts w:cstheme="minorHAnsi"/>
          <w:bCs/>
          <w:iCs/>
        </w:rPr>
        <w:t xml:space="preserve"> </w:t>
      </w:r>
      <w:r w:rsidR="00E3745A">
        <w:rPr>
          <w:rFonts w:cstheme="minorHAnsi"/>
          <w:bCs/>
          <w:iCs/>
        </w:rPr>
        <w:t>said</w:t>
      </w:r>
      <w:r w:rsidR="007E541C">
        <w:rPr>
          <w:rFonts w:cstheme="minorHAnsi"/>
          <w:bCs/>
          <w:iCs/>
        </w:rPr>
        <w:t xml:space="preserve"> that the commission</w:t>
      </w:r>
      <w:r w:rsidRPr="00092201">
        <w:rPr>
          <w:rFonts w:cstheme="minorHAnsi"/>
          <w:bCs/>
          <w:iCs/>
        </w:rPr>
        <w:t xml:space="preserve"> understands that timeframes are a concern to ITRF </w:t>
      </w:r>
      <w:r>
        <w:rPr>
          <w:rFonts w:cstheme="minorHAnsi"/>
          <w:bCs/>
          <w:iCs/>
        </w:rPr>
        <w:t>M</w:t>
      </w:r>
      <w:r w:rsidRPr="00092201">
        <w:rPr>
          <w:rFonts w:cstheme="minorHAnsi"/>
          <w:bCs/>
          <w:iCs/>
        </w:rPr>
        <w:t xml:space="preserve">embers and is focussing on </w:t>
      </w:r>
      <w:r w:rsidR="007E541C">
        <w:rPr>
          <w:rFonts w:cstheme="minorHAnsi"/>
          <w:bCs/>
          <w:iCs/>
        </w:rPr>
        <w:t>what improvements can be made in this regard</w:t>
      </w:r>
      <w:r w:rsidRPr="00092201">
        <w:rPr>
          <w:rFonts w:cstheme="minorHAnsi"/>
          <w:bCs/>
          <w:iCs/>
        </w:rPr>
        <w:t>.</w:t>
      </w:r>
      <w:r w:rsidR="007E541C">
        <w:rPr>
          <w:rFonts w:cstheme="minorHAnsi"/>
          <w:bCs/>
          <w:iCs/>
        </w:rPr>
        <w:t xml:space="preserve"> </w:t>
      </w:r>
      <w:r w:rsidR="007E541C" w:rsidRPr="00092201">
        <w:rPr>
          <w:rFonts w:cstheme="minorHAnsi"/>
          <w:bCs/>
          <w:iCs/>
        </w:rPr>
        <w:t>The</w:t>
      </w:r>
      <w:r w:rsidR="007E541C">
        <w:rPr>
          <w:rFonts w:cstheme="minorHAnsi"/>
          <w:bCs/>
          <w:iCs/>
        </w:rPr>
        <w:t xml:space="preserve"> acting </w:t>
      </w:r>
      <w:r w:rsidR="007E541C" w:rsidRPr="006830BA">
        <w:rPr>
          <w:rFonts w:cstheme="minorHAnsi"/>
          <w:bCs/>
          <w:iCs/>
        </w:rPr>
        <w:t xml:space="preserve">Commissioner </w:t>
      </w:r>
      <w:r w:rsidR="007E541C">
        <w:rPr>
          <w:rFonts w:cstheme="minorHAnsi"/>
          <w:bCs/>
          <w:iCs/>
        </w:rPr>
        <w:t>noted that the</w:t>
      </w:r>
      <w:r w:rsidR="007E541C" w:rsidRPr="00092201">
        <w:rPr>
          <w:rFonts w:cstheme="minorHAnsi"/>
          <w:bCs/>
          <w:iCs/>
        </w:rPr>
        <w:t xml:space="preserve"> commission’s performance on timeframes is </w:t>
      </w:r>
      <w:r w:rsidR="007E541C">
        <w:rPr>
          <w:rFonts w:cstheme="minorHAnsi"/>
          <w:bCs/>
          <w:iCs/>
        </w:rPr>
        <w:t>affected</w:t>
      </w:r>
      <w:r w:rsidR="007E541C" w:rsidRPr="00092201">
        <w:rPr>
          <w:rFonts w:cstheme="minorHAnsi"/>
          <w:bCs/>
          <w:iCs/>
        </w:rPr>
        <w:t xml:space="preserve"> by the complexity of issues, availability of information, timeliness </w:t>
      </w:r>
      <w:r w:rsidR="007E541C" w:rsidRPr="00092201">
        <w:rPr>
          <w:rFonts w:cstheme="minorHAnsi"/>
        </w:rPr>
        <w:t>of</w:t>
      </w:r>
      <w:r w:rsidR="007E541C" w:rsidRPr="00092201">
        <w:rPr>
          <w:rFonts w:cstheme="minorHAnsi"/>
          <w:bCs/>
          <w:iCs/>
        </w:rPr>
        <w:t xml:space="preserve"> submissions, </w:t>
      </w:r>
      <w:proofErr w:type="gramStart"/>
      <w:r w:rsidR="007E541C">
        <w:rPr>
          <w:rFonts w:cstheme="minorHAnsi"/>
          <w:bCs/>
          <w:iCs/>
        </w:rPr>
        <w:t>resourcing</w:t>
      </w:r>
      <w:proofErr w:type="gramEnd"/>
      <w:r w:rsidR="007E541C">
        <w:rPr>
          <w:rFonts w:cstheme="minorHAnsi"/>
          <w:bCs/>
          <w:iCs/>
        </w:rPr>
        <w:t xml:space="preserve"> </w:t>
      </w:r>
      <w:r w:rsidR="007E541C" w:rsidRPr="00092201">
        <w:rPr>
          <w:rFonts w:cstheme="minorHAnsi"/>
          <w:bCs/>
          <w:iCs/>
        </w:rPr>
        <w:t xml:space="preserve">and </w:t>
      </w:r>
      <w:r w:rsidR="007E541C">
        <w:rPr>
          <w:rFonts w:cstheme="minorHAnsi"/>
          <w:bCs/>
          <w:iCs/>
        </w:rPr>
        <w:t>the nature of the</w:t>
      </w:r>
      <w:r w:rsidR="007E541C" w:rsidRPr="00092201">
        <w:rPr>
          <w:rFonts w:cstheme="minorHAnsi"/>
          <w:bCs/>
          <w:iCs/>
        </w:rPr>
        <w:t xml:space="preserve"> cooperation of parties.</w:t>
      </w:r>
      <w:r w:rsidR="00F2165B">
        <w:rPr>
          <w:rFonts w:cstheme="minorHAnsi"/>
          <w:bCs/>
          <w:iCs/>
        </w:rPr>
        <w:t xml:space="preserve"> </w:t>
      </w:r>
      <w:bookmarkStart w:id="0" w:name="_Hlk168655873"/>
      <w:r w:rsidR="00857CFC" w:rsidRPr="00092201">
        <w:rPr>
          <w:rFonts w:cstheme="minorHAnsi"/>
        </w:rPr>
        <w:t>The commission ha</w:t>
      </w:r>
      <w:r w:rsidR="00091E7C">
        <w:rPr>
          <w:rFonts w:cstheme="minorHAnsi"/>
        </w:rPr>
        <w:t>s</w:t>
      </w:r>
      <w:r w:rsidR="006E4878">
        <w:rPr>
          <w:rFonts w:cstheme="minorHAnsi"/>
        </w:rPr>
        <w:t xml:space="preserve"> </w:t>
      </w:r>
      <w:r w:rsidR="00694529" w:rsidRPr="00092201">
        <w:rPr>
          <w:rFonts w:cstheme="minorHAnsi"/>
        </w:rPr>
        <w:t xml:space="preserve">established an internal reporting mechanism and </w:t>
      </w:r>
      <w:r w:rsidR="00091E7C">
        <w:rPr>
          <w:rFonts w:cstheme="minorHAnsi"/>
        </w:rPr>
        <w:t>will</w:t>
      </w:r>
      <w:r w:rsidR="00091E7C" w:rsidRPr="00092201">
        <w:rPr>
          <w:rFonts w:cstheme="minorHAnsi"/>
        </w:rPr>
        <w:t xml:space="preserve"> </w:t>
      </w:r>
      <w:r w:rsidR="00857CFC" w:rsidRPr="00092201">
        <w:rPr>
          <w:rFonts w:cstheme="minorHAnsi"/>
        </w:rPr>
        <w:t xml:space="preserve">report on progress </w:t>
      </w:r>
      <w:r w:rsidR="006E4878">
        <w:rPr>
          <w:rFonts w:cstheme="minorHAnsi"/>
        </w:rPr>
        <w:t>at ITRF meetings</w:t>
      </w:r>
      <w:r w:rsidR="00857CFC" w:rsidRPr="00092201">
        <w:rPr>
          <w:rFonts w:cstheme="minorHAnsi"/>
        </w:rPr>
        <w:t>.</w:t>
      </w:r>
      <w:r w:rsidR="00857CFC" w:rsidRPr="00092201">
        <w:rPr>
          <w:rFonts w:cstheme="minorHAnsi"/>
          <w:bCs/>
          <w:iCs/>
        </w:rPr>
        <w:t xml:space="preserve"> </w:t>
      </w:r>
    </w:p>
    <w:bookmarkEnd w:id="0"/>
    <w:p w14:paraId="62DC11AD" w14:textId="77777777" w:rsidR="00694529" w:rsidRPr="007204C1" w:rsidRDefault="00694529" w:rsidP="00857CFC">
      <w:pPr>
        <w:spacing w:after="160" w:line="259" w:lineRule="auto"/>
        <w:rPr>
          <w:rFonts w:eastAsia="Calibri" w:cstheme="minorHAnsi"/>
          <w:bCs/>
          <w:u w:val="single"/>
        </w:rPr>
      </w:pPr>
      <w:r w:rsidRPr="007204C1">
        <w:rPr>
          <w:rFonts w:eastAsia="Calibri" w:cstheme="minorHAnsi"/>
          <w:bCs/>
          <w:u w:val="single"/>
        </w:rPr>
        <w:t>Engagement</w:t>
      </w:r>
    </w:p>
    <w:p w14:paraId="57BF2352" w14:textId="2061442E" w:rsidR="00091E7C" w:rsidRDefault="00E7797A" w:rsidP="00092201">
      <w:pPr>
        <w:spacing w:after="160" w:line="259" w:lineRule="auto"/>
        <w:rPr>
          <w:rFonts w:cstheme="minorHAnsi"/>
        </w:rPr>
      </w:pPr>
      <w:r w:rsidRPr="00092201">
        <w:rPr>
          <w:rFonts w:cstheme="minorHAnsi"/>
        </w:rPr>
        <w:t xml:space="preserve">The </w:t>
      </w:r>
      <w:r w:rsidR="00091E7C">
        <w:rPr>
          <w:rFonts w:cstheme="minorHAnsi"/>
        </w:rPr>
        <w:t xml:space="preserve">acting </w:t>
      </w:r>
      <w:r w:rsidRPr="006918F8">
        <w:rPr>
          <w:rFonts w:cstheme="minorHAnsi"/>
          <w:b/>
          <w:bCs/>
        </w:rPr>
        <w:t>Deputy Commissioner</w:t>
      </w:r>
      <w:r w:rsidR="006918F8">
        <w:rPr>
          <w:rFonts w:cstheme="minorHAnsi"/>
        </w:rPr>
        <w:t xml:space="preserve">, </w:t>
      </w:r>
      <w:r w:rsidRPr="00092201">
        <w:rPr>
          <w:rFonts w:cstheme="minorHAnsi"/>
        </w:rPr>
        <w:t>Strategy and Operations</w:t>
      </w:r>
      <w:r w:rsidR="006918F8">
        <w:rPr>
          <w:rFonts w:cstheme="minorHAnsi"/>
        </w:rPr>
        <w:t>,</w:t>
      </w:r>
      <w:r w:rsidRPr="00092201">
        <w:rPr>
          <w:rFonts w:cstheme="minorHAnsi"/>
        </w:rPr>
        <w:t xml:space="preserve"> </w:t>
      </w:r>
      <w:r w:rsidR="00857CFC" w:rsidRPr="00092201">
        <w:rPr>
          <w:rFonts w:cstheme="minorHAnsi"/>
        </w:rPr>
        <w:t xml:space="preserve">outlined the </w:t>
      </w:r>
      <w:r w:rsidR="00694529" w:rsidRPr="00092201">
        <w:rPr>
          <w:rFonts w:cstheme="minorHAnsi"/>
        </w:rPr>
        <w:t>commission</w:t>
      </w:r>
      <w:r w:rsidR="00857CFC" w:rsidRPr="00092201">
        <w:rPr>
          <w:rFonts w:cstheme="minorHAnsi"/>
        </w:rPr>
        <w:t xml:space="preserve">’s </w:t>
      </w:r>
      <w:r w:rsidR="00694529" w:rsidRPr="00092201">
        <w:rPr>
          <w:rFonts w:cstheme="minorHAnsi"/>
        </w:rPr>
        <w:t xml:space="preserve">stakeholder engagements </w:t>
      </w:r>
      <w:r w:rsidR="009D0A87">
        <w:rPr>
          <w:rFonts w:cstheme="minorHAnsi"/>
        </w:rPr>
        <w:t>with</w:t>
      </w:r>
      <w:r w:rsidR="009D0A87" w:rsidRPr="00092201">
        <w:rPr>
          <w:rFonts w:cstheme="minorHAnsi"/>
        </w:rPr>
        <w:t xml:space="preserve"> </w:t>
      </w:r>
      <w:r w:rsidR="002D3A62">
        <w:rPr>
          <w:rFonts w:cstheme="minorHAnsi"/>
        </w:rPr>
        <w:t>Australian</w:t>
      </w:r>
      <w:r w:rsidR="00615289">
        <w:rPr>
          <w:rFonts w:cstheme="minorHAnsi"/>
        </w:rPr>
        <w:t xml:space="preserve"> stakeholders</w:t>
      </w:r>
      <w:r w:rsidR="00694529" w:rsidRPr="00092201">
        <w:rPr>
          <w:rFonts w:cstheme="minorHAnsi"/>
        </w:rPr>
        <w:t>, international counterparts and government partners</w:t>
      </w:r>
      <w:r w:rsidR="00857CFC" w:rsidRPr="00092201">
        <w:rPr>
          <w:rFonts w:cstheme="minorHAnsi"/>
        </w:rPr>
        <w:t>.</w:t>
      </w:r>
    </w:p>
    <w:p w14:paraId="429193CA" w14:textId="56332D6C" w:rsidR="00092201" w:rsidRPr="00092201" w:rsidRDefault="00091E7C" w:rsidP="00092201">
      <w:pPr>
        <w:spacing w:after="160" w:line="259" w:lineRule="auto"/>
        <w:rPr>
          <w:rFonts w:cstheme="minorHAnsi"/>
        </w:rPr>
      </w:pPr>
      <w:r>
        <w:rPr>
          <w:rFonts w:cstheme="minorHAnsi"/>
        </w:rPr>
        <w:t>These engagements included: i</w:t>
      </w:r>
      <w:r w:rsidR="00694529" w:rsidRPr="00092201">
        <w:rPr>
          <w:rFonts w:cstheme="minorHAnsi"/>
        </w:rPr>
        <w:t>n the period 1 July 2023 to 31 March 2024, the commission</w:t>
      </w:r>
      <w:r w:rsidR="00857CFC" w:rsidRPr="00092201">
        <w:rPr>
          <w:rFonts w:cstheme="minorHAnsi"/>
        </w:rPr>
        <w:t xml:space="preserve"> </w:t>
      </w:r>
      <w:r w:rsidR="00694529" w:rsidRPr="00E50B08">
        <w:rPr>
          <w:rFonts w:cstheme="minorHAnsi"/>
        </w:rPr>
        <w:t>convened 1 ITRF meeting</w:t>
      </w:r>
      <w:r w:rsidR="00694529" w:rsidRPr="00092201">
        <w:rPr>
          <w:rFonts w:cstheme="minorHAnsi"/>
        </w:rPr>
        <w:t xml:space="preserve"> and 6 ITRF Sub-committee meetings. In the financial year to date, the commission held high level dialogues and technical exchanges with 7 trade remedies authorities</w:t>
      </w:r>
      <w:r w:rsidR="009D0A87">
        <w:rPr>
          <w:rFonts w:cstheme="minorHAnsi"/>
        </w:rPr>
        <w:t xml:space="preserve">. </w:t>
      </w:r>
      <w:r w:rsidR="00694529" w:rsidRPr="00092201">
        <w:rPr>
          <w:rFonts w:cstheme="minorHAnsi"/>
        </w:rPr>
        <w:t xml:space="preserve">In November 2023, the commission met with </w:t>
      </w:r>
      <w:r w:rsidR="00092201" w:rsidRPr="00092201">
        <w:rPr>
          <w:rFonts w:cstheme="minorHAnsi"/>
        </w:rPr>
        <w:t>its</w:t>
      </w:r>
      <w:r w:rsidR="00694529" w:rsidRPr="00092201">
        <w:rPr>
          <w:rFonts w:cstheme="minorHAnsi"/>
        </w:rPr>
        <w:t xml:space="preserve"> Chinese counterparts for </w:t>
      </w:r>
      <w:r w:rsidR="009D0A87">
        <w:rPr>
          <w:rFonts w:cstheme="minorHAnsi"/>
        </w:rPr>
        <w:t>the</w:t>
      </w:r>
      <w:r w:rsidR="00694529" w:rsidRPr="00092201">
        <w:rPr>
          <w:rFonts w:cstheme="minorHAnsi"/>
        </w:rPr>
        <w:t xml:space="preserve"> first </w:t>
      </w:r>
      <w:r w:rsidR="00C177C5">
        <w:rPr>
          <w:rFonts w:cstheme="minorHAnsi"/>
        </w:rPr>
        <w:t>H</w:t>
      </w:r>
      <w:r w:rsidR="00694529" w:rsidRPr="00092201">
        <w:rPr>
          <w:rFonts w:cstheme="minorHAnsi"/>
        </w:rPr>
        <w:t xml:space="preserve">igh </w:t>
      </w:r>
      <w:r w:rsidR="00C177C5">
        <w:rPr>
          <w:rFonts w:cstheme="minorHAnsi"/>
        </w:rPr>
        <w:t>L</w:t>
      </w:r>
      <w:r w:rsidR="00694529" w:rsidRPr="00092201">
        <w:rPr>
          <w:rFonts w:cstheme="minorHAnsi"/>
        </w:rPr>
        <w:t xml:space="preserve">evel </w:t>
      </w:r>
      <w:r w:rsidR="00C177C5">
        <w:rPr>
          <w:rFonts w:cstheme="minorHAnsi"/>
        </w:rPr>
        <w:t>D</w:t>
      </w:r>
      <w:r w:rsidR="00694529" w:rsidRPr="00092201">
        <w:rPr>
          <w:rFonts w:cstheme="minorHAnsi"/>
        </w:rPr>
        <w:t>ialogue on trade remedies since 2017.</w:t>
      </w:r>
      <w:r w:rsidR="00092201" w:rsidRPr="00092201">
        <w:rPr>
          <w:rFonts w:cstheme="minorHAnsi"/>
        </w:rPr>
        <w:t xml:space="preserve"> The commission ha</w:t>
      </w:r>
      <w:r w:rsidR="009D0A87">
        <w:rPr>
          <w:rFonts w:cstheme="minorHAnsi"/>
        </w:rPr>
        <w:t>s</w:t>
      </w:r>
      <w:r w:rsidR="00092201" w:rsidRPr="00092201">
        <w:rPr>
          <w:rFonts w:cstheme="minorHAnsi"/>
        </w:rPr>
        <w:t xml:space="preserve"> </w:t>
      </w:r>
      <w:r>
        <w:rPr>
          <w:rFonts w:cstheme="minorHAnsi"/>
        </w:rPr>
        <w:t xml:space="preserve">also </w:t>
      </w:r>
      <w:r w:rsidR="00092201" w:rsidRPr="00092201">
        <w:rPr>
          <w:rFonts w:cstheme="minorHAnsi"/>
        </w:rPr>
        <w:t>been active in WTO meetings on trade remedies</w:t>
      </w:r>
      <w:r w:rsidR="00615289">
        <w:rPr>
          <w:rFonts w:cstheme="minorHAnsi"/>
        </w:rPr>
        <w:t xml:space="preserve"> matters</w:t>
      </w:r>
      <w:r w:rsidR="00092201" w:rsidRPr="00092201">
        <w:rPr>
          <w:rFonts w:cstheme="minorHAnsi"/>
        </w:rPr>
        <w:t>.</w:t>
      </w:r>
    </w:p>
    <w:p w14:paraId="0A370CF4" w14:textId="0F1BD329" w:rsidR="00694529" w:rsidRPr="007204C1" w:rsidRDefault="00694529" w:rsidP="00092201">
      <w:pPr>
        <w:spacing w:after="160" w:line="259" w:lineRule="auto"/>
        <w:rPr>
          <w:rFonts w:eastAsia="Calibri" w:cstheme="minorHAnsi"/>
          <w:bCs/>
          <w:u w:val="single"/>
        </w:rPr>
      </w:pPr>
      <w:r w:rsidRPr="007204C1">
        <w:rPr>
          <w:rFonts w:eastAsia="Calibri" w:cstheme="minorHAnsi"/>
          <w:bCs/>
          <w:u w:val="single"/>
        </w:rPr>
        <w:t>Investigations Update</w:t>
      </w:r>
    </w:p>
    <w:p w14:paraId="624541FF" w14:textId="6E4E7132" w:rsidR="00694529" w:rsidRPr="00092201" w:rsidRDefault="00092201" w:rsidP="00092201">
      <w:pPr>
        <w:spacing w:after="160" w:line="259" w:lineRule="auto"/>
        <w:rPr>
          <w:rFonts w:cstheme="minorHAnsi"/>
        </w:rPr>
      </w:pPr>
      <w:bookmarkStart w:id="1" w:name="_Hlk130306473"/>
      <w:r w:rsidRPr="00092201">
        <w:rPr>
          <w:rFonts w:cstheme="minorHAnsi"/>
        </w:rPr>
        <w:t xml:space="preserve">The </w:t>
      </w:r>
      <w:r w:rsidR="00091E7C">
        <w:rPr>
          <w:rFonts w:cstheme="minorHAnsi"/>
        </w:rPr>
        <w:t xml:space="preserve">acting </w:t>
      </w:r>
      <w:r w:rsidRPr="006918F8">
        <w:rPr>
          <w:rFonts w:cstheme="minorHAnsi"/>
          <w:b/>
          <w:bCs/>
        </w:rPr>
        <w:t>Deputy Commissioner</w:t>
      </w:r>
      <w:r w:rsidR="006918F8">
        <w:rPr>
          <w:rFonts w:cstheme="minorHAnsi"/>
          <w:b/>
          <w:bCs/>
        </w:rPr>
        <w:t xml:space="preserve">, </w:t>
      </w:r>
      <w:r w:rsidRPr="00092201">
        <w:rPr>
          <w:rFonts w:cstheme="minorHAnsi"/>
        </w:rPr>
        <w:t xml:space="preserve">Investigations introduced the commission’s caseload. </w:t>
      </w:r>
      <w:r w:rsidR="00694529" w:rsidRPr="00092201">
        <w:rPr>
          <w:rFonts w:cstheme="minorHAnsi"/>
        </w:rPr>
        <w:t>As at 31 March 2024</w:t>
      </w:r>
      <w:r w:rsidR="00C177C5">
        <w:rPr>
          <w:rFonts w:cstheme="minorHAnsi"/>
        </w:rPr>
        <w:t>,</w:t>
      </w:r>
      <w:r w:rsidR="00694529" w:rsidRPr="00092201">
        <w:rPr>
          <w:rFonts w:cstheme="minorHAnsi"/>
        </w:rPr>
        <w:t xml:space="preserve"> </w:t>
      </w:r>
      <w:r w:rsidR="00615289">
        <w:rPr>
          <w:rFonts w:cstheme="minorHAnsi"/>
        </w:rPr>
        <w:t>the commission</w:t>
      </w:r>
      <w:r w:rsidR="00694529" w:rsidRPr="00092201">
        <w:rPr>
          <w:rFonts w:cstheme="minorHAnsi"/>
        </w:rPr>
        <w:t xml:space="preserve"> had 22 cases on hand (non-WTO count). The majority </w:t>
      </w:r>
      <w:r w:rsidRPr="00092201">
        <w:rPr>
          <w:rFonts w:cstheme="minorHAnsi"/>
        </w:rPr>
        <w:t>were</w:t>
      </w:r>
      <w:r w:rsidR="00694529" w:rsidRPr="00092201">
        <w:rPr>
          <w:rFonts w:cstheme="minorHAnsi"/>
        </w:rPr>
        <w:t xml:space="preserve"> duty assessments, and the remainder </w:t>
      </w:r>
      <w:r w:rsidR="00C177C5">
        <w:rPr>
          <w:rFonts w:cstheme="minorHAnsi"/>
        </w:rPr>
        <w:t>w</w:t>
      </w:r>
      <w:r w:rsidR="00E3745A">
        <w:rPr>
          <w:rFonts w:cstheme="minorHAnsi"/>
        </w:rPr>
        <w:t>as</w:t>
      </w:r>
      <w:r w:rsidR="00694529" w:rsidRPr="00092201">
        <w:rPr>
          <w:rFonts w:cstheme="minorHAnsi"/>
        </w:rPr>
        <w:t xml:space="preserve"> a mix of case types.</w:t>
      </w:r>
      <w:bookmarkEnd w:id="1"/>
      <w:r w:rsidRPr="00092201">
        <w:rPr>
          <w:rFonts w:cstheme="minorHAnsi"/>
        </w:rPr>
        <w:t xml:space="preserve"> </w:t>
      </w:r>
      <w:r w:rsidR="00694529" w:rsidRPr="00092201">
        <w:rPr>
          <w:rFonts w:cstheme="minorHAnsi"/>
        </w:rPr>
        <w:t>As at 31 March 2024, there were 66 dumping or subsidy measures in force covering 28 different goods from 17 countries.</w:t>
      </w:r>
    </w:p>
    <w:p w14:paraId="33D33136" w14:textId="31139214" w:rsidR="00694529" w:rsidRPr="00092201" w:rsidRDefault="00092201" w:rsidP="00092201">
      <w:pPr>
        <w:spacing w:after="160" w:line="259" w:lineRule="auto"/>
        <w:rPr>
          <w:rFonts w:cstheme="minorHAnsi"/>
        </w:rPr>
      </w:pPr>
      <w:r w:rsidRPr="00092201">
        <w:rPr>
          <w:rFonts w:cstheme="minorHAnsi"/>
        </w:rPr>
        <w:t>The Deputy Commissioner said that i</w:t>
      </w:r>
      <w:r w:rsidR="00694529" w:rsidRPr="00092201">
        <w:rPr>
          <w:rFonts w:cstheme="minorHAnsi"/>
        </w:rPr>
        <w:t xml:space="preserve">n this financial year to 31 March, </w:t>
      </w:r>
      <w:r w:rsidRPr="00092201">
        <w:rPr>
          <w:rFonts w:cstheme="minorHAnsi"/>
        </w:rPr>
        <w:t>the commission</w:t>
      </w:r>
      <w:r w:rsidR="00694529" w:rsidRPr="00092201">
        <w:rPr>
          <w:rFonts w:cstheme="minorHAnsi"/>
        </w:rPr>
        <w:t xml:space="preserve"> </w:t>
      </w:r>
      <w:r w:rsidR="00347DCC">
        <w:rPr>
          <w:rFonts w:cstheme="minorHAnsi"/>
        </w:rPr>
        <w:t xml:space="preserve">had </w:t>
      </w:r>
      <w:r w:rsidR="00694529" w:rsidRPr="00092201">
        <w:rPr>
          <w:rFonts w:cstheme="minorHAnsi"/>
        </w:rPr>
        <w:t>conducted onsite verifications</w:t>
      </w:r>
      <w:r w:rsidRPr="00092201">
        <w:rPr>
          <w:rFonts w:cstheme="minorHAnsi"/>
        </w:rPr>
        <w:t xml:space="preserve"> </w:t>
      </w:r>
      <w:r w:rsidR="00694529" w:rsidRPr="00092201">
        <w:rPr>
          <w:rFonts w:cstheme="minorHAnsi"/>
        </w:rPr>
        <w:t xml:space="preserve">in China, Indonesia, Korea, </w:t>
      </w:r>
      <w:proofErr w:type="gramStart"/>
      <w:r w:rsidR="00694529" w:rsidRPr="00092201">
        <w:rPr>
          <w:rFonts w:cstheme="minorHAnsi"/>
        </w:rPr>
        <w:t>Sweden</w:t>
      </w:r>
      <w:proofErr w:type="gramEnd"/>
      <w:r w:rsidR="00694529" w:rsidRPr="00092201">
        <w:rPr>
          <w:rFonts w:cstheme="minorHAnsi"/>
        </w:rPr>
        <w:t xml:space="preserve"> and Thailand. </w:t>
      </w:r>
      <w:r w:rsidRPr="00092201">
        <w:rPr>
          <w:rFonts w:cstheme="minorHAnsi"/>
        </w:rPr>
        <w:t>O</w:t>
      </w:r>
      <w:r w:rsidR="00694529" w:rsidRPr="00092201">
        <w:rPr>
          <w:rFonts w:cstheme="minorHAnsi"/>
        </w:rPr>
        <w:t>nsite verification is more time efficient than virtual verification</w:t>
      </w:r>
      <w:r w:rsidR="00615289">
        <w:rPr>
          <w:rFonts w:cstheme="minorHAnsi"/>
        </w:rPr>
        <w:t xml:space="preserve"> but v</w:t>
      </w:r>
      <w:r w:rsidR="00694529" w:rsidRPr="00092201">
        <w:rPr>
          <w:rFonts w:cstheme="minorHAnsi"/>
        </w:rPr>
        <w:t xml:space="preserve">irtual verifications </w:t>
      </w:r>
      <w:r w:rsidR="00615289">
        <w:rPr>
          <w:rFonts w:cstheme="minorHAnsi"/>
        </w:rPr>
        <w:t>were</w:t>
      </w:r>
      <w:r w:rsidR="00694529" w:rsidRPr="00092201">
        <w:rPr>
          <w:rFonts w:cstheme="minorHAnsi"/>
        </w:rPr>
        <w:t xml:space="preserve"> effective</w:t>
      </w:r>
      <w:r w:rsidRPr="00092201">
        <w:rPr>
          <w:rFonts w:cstheme="minorHAnsi"/>
        </w:rPr>
        <w:t xml:space="preserve"> in some cases and </w:t>
      </w:r>
      <w:r w:rsidR="00694529" w:rsidRPr="00092201">
        <w:rPr>
          <w:rFonts w:cstheme="minorHAnsi"/>
        </w:rPr>
        <w:t>w</w:t>
      </w:r>
      <w:r w:rsidR="00615289">
        <w:rPr>
          <w:rFonts w:cstheme="minorHAnsi"/>
        </w:rPr>
        <w:t>ould</w:t>
      </w:r>
      <w:r w:rsidR="00694529" w:rsidRPr="00092201">
        <w:rPr>
          <w:rFonts w:cstheme="minorHAnsi"/>
        </w:rPr>
        <w:t xml:space="preserve"> </w:t>
      </w:r>
      <w:r w:rsidR="00615289">
        <w:rPr>
          <w:rFonts w:cstheme="minorHAnsi"/>
        </w:rPr>
        <w:t>have</w:t>
      </w:r>
      <w:r w:rsidR="00694529" w:rsidRPr="00092201">
        <w:rPr>
          <w:rFonts w:cstheme="minorHAnsi"/>
        </w:rPr>
        <w:t xml:space="preserve"> role in investigations</w:t>
      </w:r>
      <w:r w:rsidRPr="00092201">
        <w:rPr>
          <w:rFonts w:cstheme="minorHAnsi"/>
        </w:rPr>
        <w:t xml:space="preserve"> for</w:t>
      </w:r>
      <w:r w:rsidR="00694529" w:rsidRPr="00092201">
        <w:rPr>
          <w:rFonts w:cstheme="minorHAnsi"/>
        </w:rPr>
        <w:t xml:space="preserve"> low-risk verifications.</w:t>
      </w:r>
    </w:p>
    <w:p w14:paraId="5DAC1D14" w14:textId="7CD4AF0E" w:rsidR="00EA0D8D" w:rsidRPr="009D0A87" w:rsidRDefault="00EA0D8D" w:rsidP="008E51FA">
      <w:pPr>
        <w:rPr>
          <w:rFonts w:cstheme="minorHAnsi"/>
          <w:u w:val="single"/>
        </w:rPr>
      </w:pPr>
      <w:r w:rsidRPr="009D0A87">
        <w:rPr>
          <w:rFonts w:cstheme="minorHAnsi"/>
          <w:u w:val="single"/>
        </w:rPr>
        <w:t>Q&amp;A</w:t>
      </w:r>
    </w:p>
    <w:p w14:paraId="7D979F6A" w14:textId="2F4BC58C" w:rsidR="00EA0D8D" w:rsidRPr="00347DCC" w:rsidRDefault="00EA0D8D" w:rsidP="008E51FA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347DCC">
        <w:rPr>
          <w:rFonts w:cstheme="minorHAnsi"/>
        </w:rPr>
        <w:t xml:space="preserve">In </w:t>
      </w:r>
      <w:r w:rsidR="008E51FA" w:rsidRPr="00347DCC">
        <w:rPr>
          <w:rFonts w:cstheme="minorHAnsi"/>
        </w:rPr>
        <w:t>response</w:t>
      </w:r>
      <w:r w:rsidRPr="00347DCC">
        <w:rPr>
          <w:rFonts w:cstheme="minorHAnsi"/>
        </w:rPr>
        <w:t xml:space="preserve"> to a </w:t>
      </w:r>
      <w:r w:rsidR="007E541C" w:rsidRPr="00347DCC">
        <w:rPr>
          <w:rFonts w:cstheme="minorHAnsi"/>
        </w:rPr>
        <w:t xml:space="preserve">request </w:t>
      </w:r>
      <w:r w:rsidR="00347DCC" w:rsidRPr="00347DCC">
        <w:rPr>
          <w:rFonts w:cstheme="minorHAnsi"/>
        </w:rPr>
        <w:t xml:space="preserve">on </w:t>
      </w:r>
      <w:r w:rsidR="007E541C" w:rsidRPr="00347DCC">
        <w:rPr>
          <w:rFonts w:cstheme="minorHAnsi"/>
        </w:rPr>
        <w:t xml:space="preserve">specific detail on </w:t>
      </w:r>
      <w:r w:rsidRPr="00347DCC">
        <w:rPr>
          <w:rFonts w:cstheme="minorHAnsi"/>
        </w:rPr>
        <w:t>case time</w:t>
      </w:r>
      <w:r w:rsidR="00F350EA" w:rsidRPr="00347DCC">
        <w:rPr>
          <w:rFonts w:cstheme="minorHAnsi"/>
        </w:rPr>
        <w:t>f</w:t>
      </w:r>
      <w:r w:rsidRPr="00347DCC">
        <w:rPr>
          <w:rFonts w:cstheme="minorHAnsi"/>
        </w:rPr>
        <w:t>rames</w:t>
      </w:r>
      <w:r w:rsidR="007E541C" w:rsidRPr="00347DCC">
        <w:rPr>
          <w:rFonts w:cstheme="minorHAnsi"/>
        </w:rPr>
        <w:t xml:space="preserve"> for different case types as had been provided in the past</w:t>
      </w:r>
      <w:r w:rsidRPr="00347DCC">
        <w:rPr>
          <w:rFonts w:cstheme="minorHAnsi"/>
        </w:rPr>
        <w:t xml:space="preserve">, the </w:t>
      </w:r>
      <w:r w:rsidR="009A5A9B" w:rsidRPr="00347DCC">
        <w:rPr>
          <w:rFonts w:cstheme="minorHAnsi"/>
        </w:rPr>
        <w:t xml:space="preserve">acting </w:t>
      </w:r>
      <w:r w:rsidR="00F350EA" w:rsidRPr="00347DCC">
        <w:rPr>
          <w:rFonts w:cstheme="minorHAnsi"/>
          <w:b/>
          <w:bCs/>
        </w:rPr>
        <w:t>C</w:t>
      </w:r>
      <w:r w:rsidRPr="00347DCC">
        <w:rPr>
          <w:rFonts w:cstheme="minorHAnsi"/>
          <w:b/>
          <w:bCs/>
        </w:rPr>
        <w:t>ommissioner</w:t>
      </w:r>
      <w:r w:rsidRPr="00347DCC">
        <w:rPr>
          <w:rFonts w:cstheme="minorHAnsi"/>
        </w:rPr>
        <w:t xml:space="preserve"> said she would provide more detail </w:t>
      </w:r>
      <w:r w:rsidR="007E541C" w:rsidRPr="00347DCC">
        <w:rPr>
          <w:rFonts w:cstheme="minorHAnsi"/>
        </w:rPr>
        <w:t>on case timeframes at the next meeting.</w:t>
      </w:r>
    </w:p>
    <w:p w14:paraId="166E5714" w14:textId="77777777" w:rsidR="00F350EA" w:rsidRPr="00347DCC" w:rsidRDefault="00F350EA" w:rsidP="008E51FA">
      <w:pPr>
        <w:pStyle w:val="ListParagraph"/>
        <w:spacing w:after="0" w:line="240" w:lineRule="auto"/>
        <w:rPr>
          <w:rFonts w:cstheme="minorHAnsi"/>
        </w:rPr>
      </w:pPr>
    </w:p>
    <w:p w14:paraId="6C63C43C" w14:textId="17542812" w:rsidR="004757DB" w:rsidRPr="00347DCC" w:rsidRDefault="00C5426E" w:rsidP="008E51FA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bookmarkStart w:id="2" w:name="_Hlk168657039"/>
      <w:r w:rsidRPr="00347DCC">
        <w:rPr>
          <w:rFonts w:cstheme="minorHAnsi"/>
        </w:rPr>
        <w:t xml:space="preserve">In </w:t>
      </w:r>
      <w:r w:rsidR="008E51FA" w:rsidRPr="00347DCC">
        <w:rPr>
          <w:rFonts w:cstheme="minorHAnsi"/>
        </w:rPr>
        <w:t>response</w:t>
      </w:r>
      <w:r w:rsidRPr="00347DCC">
        <w:rPr>
          <w:rFonts w:cstheme="minorHAnsi"/>
        </w:rPr>
        <w:t xml:space="preserve"> to a question about the Cases and Measures Snapshot on the commission’s website, t</w:t>
      </w:r>
      <w:r w:rsidR="001C561C" w:rsidRPr="00347DCC">
        <w:rPr>
          <w:rFonts w:cstheme="minorHAnsi"/>
        </w:rPr>
        <w:t xml:space="preserve">he </w:t>
      </w:r>
      <w:r w:rsidR="007E541C" w:rsidRPr="00347DCC">
        <w:rPr>
          <w:rFonts w:cstheme="minorHAnsi"/>
        </w:rPr>
        <w:t xml:space="preserve">acting </w:t>
      </w:r>
      <w:r w:rsidR="001C561C" w:rsidRPr="00347DCC">
        <w:rPr>
          <w:rFonts w:cstheme="minorHAnsi"/>
        </w:rPr>
        <w:t>Commissioner</w:t>
      </w:r>
      <w:r w:rsidR="00B73896" w:rsidRPr="00347DCC">
        <w:rPr>
          <w:rFonts w:cstheme="minorHAnsi"/>
        </w:rPr>
        <w:t xml:space="preserve"> </w:t>
      </w:r>
      <w:r w:rsidR="00347DCC" w:rsidRPr="00347DCC">
        <w:rPr>
          <w:rFonts w:cstheme="minorHAnsi"/>
        </w:rPr>
        <w:t>said</w:t>
      </w:r>
      <w:r w:rsidR="002A4D0E" w:rsidRPr="00347DCC">
        <w:rPr>
          <w:rFonts w:cstheme="minorHAnsi"/>
        </w:rPr>
        <w:t xml:space="preserve"> that the commission</w:t>
      </w:r>
      <w:r w:rsidR="00347DCC" w:rsidRPr="00347DCC">
        <w:rPr>
          <w:rFonts w:cstheme="minorHAnsi"/>
        </w:rPr>
        <w:t xml:space="preserve"> would update its website with a disclaimer to clarify reporting available on its cases</w:t>
      </w:r>
      <w:r w:rsidR="002A4D0E" w:rsidRPr="00347DCC">
        <w:rPr>
          <w:rFonts w:cstheme="minorHAnsi"/>
        </w:rPr>
        <w:t xml:space="preserve">. </w:t>
      </w:r>
    </w:p>
    <w:p w14:paraId="0A581CF5" w14:textId="77777777" w:rsidR="002A4D0E" w:rsidRPr="002A4D0E" w:rsidRDefault="002A4D0E" w:rsidP="002A4D0E">
      <w:pPr>
        <w:rPr>
          <w:rFonts w:cstheme="minorHAnsi"/>
        </w:rPr>
      </w:pPr>
    </w:p>
    <w:bookmarkEnd w:id="2"/>
    <w:p w14:paraId="31B21BDD" w14:textId="2457C123" w:rsidR="000D376C" w:rsidRPr="000D376C" w:rsidRDefault="000D376C" w:rsidP="004757DB">
      <w:pPr>
        <w:spacing w:after="160" w:line="259" w:lineRule="auto"/>
        <w:rPr>
          <w:rFonts w:cstheme="minorHAnsi"/>
          <w:b/>
          <w:bCs/>
        </w:rPr>
      </w:pPr>
      <w:r w:rsidRPr="000D376C">
        <w:rPr>
          <w:rFonts w:cstheme="minorHAnsi"/>
          <w:b/>
          <w:bCs/>
        </w:rPr>
        <w:t>Action items:</w:t>
      </w:r>
    </w:p>
    <w:p w14:paraId="2ACA7FED" w14:textId="44FCA468" w:rsidR="00C177C5" w:rsidRPr="00C177C5" w:rsidRDefault="00C177C5" w:rsidP="00C177C5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eastAsia="Calibri" w:cstheme="minorHAnsi"/>
        </w:rPr>
      </w:pPr>
      <w:bookmarkStart w:id="3" w:name="_Hlk168054193"/>
      <w:r>
        <w:rPr>
          <w:rFonts w:eastAsia="Calibri" w:cstheme="minorHAnsi"/>
        </w:rPr>
        <w:t>The c</w:t>
      </w:r>
      <w:r w:rsidR="000D376C" w:rsidRPr="000D376C">
        <w:rPr>
          <w:rFonts w:eastAsia="Calibri" w:cstheme="minorHAnsi"/>
        </w:rPr>
        <w:t xml:space="preserve">ommission to provide more detail at </w:t>
      </w:r>
      <w:r w:rsidR="000D376C">
        <w:rPr>
          <w:rFonts w:eastAsia="Calibri" w:cstheme="minorHAnsi"/>
        </w:rPr>
        <w:t xml:space="preserve">the </w:t>
      </w:r>
      <w:r w:rsidR="000D376C" w:rsidRPr="000D376C">
        <w:rPr>
          <w:rFonts w:eastAsia="Calibri" w:cstheme="minorHAnsi"/>
        </w:rPr>
        <w:t xml:space="preserve">next ITRF </w:t>
      </w:r>
      <w:r w:rsidR="000D376C">
        <w:rPr>
          <w:rFonts w:eastAsia="Calibri" w:cstheme="minorHAnsi"/>
        </w:rPr>
        <w:t xml:space="preserve">meeting </w:t>
      </w:r>
      <w:r w:rsidR="000D376C" w:rsidRPr="000D376C">
        <w:rPr>
          <w:rFonts w:eastAsia="Calibri" w:cstheme="minorHAnsi"/>
        </w:rPr>
        <w:t>regarding case lengths</w:t>
      </w:r>
      <w:r w:rsidR="000D376C">
        <w:rPr>
          <w:rFonts w:eastAsia="Calibri" w:cstheme="minorHAnsi"/>
        </w:rPr>
        <w:t>.</w:t>
      </w:r>
    </w:p>
    <w:p w14:paraId="2EBDE175" w14:textId="24C3787A" w:rsidR="000D376C" w:rsidRPr="00347DCC" w:rsidRDefault="00C177C5" w:rsidP="00C177C5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eastAsia="Calibri" w:cstheme="minorHAnsi"/>
        </w:rPr>
      </w:pPr>
      <w:r w:rsidRPr="00347DCC">
        <w:rPr>
          <w:rFonts w:eastAsia="Calibri" w:cstheme="minorHAnsi"/>
        </w:rPr>
        <w:t>The c</w:t>
      </w:r>
      <w:r w:rsidR="000D376C" w:rsidRPr="00347DCC">
        <w:rPr>
          <w:rFonts w:eastAsia="Calibri" w:cstheme="minorHAnsi"/>
        </w:rPr>
        <w:t xml:space="preserve">ommission to update its website </w:t>
      </w:r>
      <w:r w:rsidR="008E51FA" w:rsidRPr="00347DCC">
        <w:rPr>
          <w:rFonts w:eastAsia="Calibri" w:cstheme="minorHAnsi"/>
        </w:rPr>
        <w:t>with a disclaimer to clarify r</w:t>
      </w:r>
      <w:r w:rsidR="000D376C" w:rsidRPr="00347DCC">
        <w:rPr>
          <w:rFonts w:eastAsia="Calibri" w:cstheme="minorHAnsi"/>
        </w:rPr>
        <w:t>eporting available o</w:t>
      </w:r>
      <w:r w:rsidR="00C5426E" w:rsidRPr="00347DCC">
        <w:rPr>
          <w:rFonts w:eastAsia="Calibri" w:cstheme="minorHAnsi"/>
        </w:rPr>
        <w:t>n</w:t>
      </w:r>
      <w:r w:rsidR="000D376C" w:rsidRPr="00347DCC">
        <w:rPr>
          <w:rFonts w:eastAsia="Calibri" w:cstheme="minorHAnsi"/>
        </w:rPr>
        <w:t xml:space="preserve"> </w:t>
      </w:r>
      <w:r w:rsidR="006918F8" w:rsidRPr="00347DCC">
        <w:rPr>
          <w:rFonts w:eastAsia="Calibri" w:cstheme="minorHAnsi"/>
        </w:rPr>
        <w:t>it</w:t>
      </w:r>
      <w:r w:rsidR="00015BBF" w:rsidRPr="00347DCC">
        <w:rPr>
          <w:rFonts w:eastAsia="Calibri" w:cstheme="minorHAnsi"/>
        </w:rPr>
        <w:t>s</w:t>
      </w:r>
      <w:r w:rsidR="000D376C" w:rsidRPr="00347DCC">
        <w:rPr>
          <w:rFonts w:eastAsia="Calibri" w:cstheme="minorHAnsi"/>
        </w:rPr>
        <w:t xml:space="preserve"> cases.</w:t>
      </w:r>
    </w:p>
    <w:bookmarkEnd w:id="3"/>
    <w:p w14:paraId="5C272B99" w14:textId="2E4C52F9" w:rsidR="00E8093B" w:rsidRPr="007204C1" w:rsidRDefault="007204C1" w:rsidP="000F6501">
      <w:pPr>
        <w:spacing w:after="160" w:line="259" w:lineRule="auto"/>
        <w:rPr>
          <w:rFonts w:cstheme="minorHAnsi"/>
          <w:b/>
        </w:rPr>
      </w:pPr>
      <w:r w:rsidRPr="007204C1">
        <w:rPr>
          <w:rFonts w:eastAsia="Calibri" w:cstheme="minorHAnsi"/>
          <w:b/>
        </w:rPr>
        <w:lastRenderedPageBreak/>
        <w:t>4.2</w:t>
      </w:r>
      <w:r w:rsidR="00E8093B" w:rsidRPr="007204C1">
        <w:rPr>
          <w:rFonts w:cstheme="minorHAnsi"/>
          <w:b/>
        </w:rPr>
        <w:t xml:space="preserve"> Department of Industry, Science</w:t>
      </w:r>
      <w:r w:rsidR="008F5E49" w:rsidRPr="007204C1">
        <w:rPr>
          <w:rFonts w:cstheme="minorHAnsi"/>
          <w:b/>
        </w:rPr>
        <w:t xml:space="preserve"> </w:t>
      </w:r>
      <w:r w:rsidR="00E8093B" w:rsidRPr="007204C1">
        <w:rPr>
          <w:rFonts w:cstheme="minorHAnsi"/>
          <w:b/>
        </w:rPr>
        <w:t>and Resource</w:t>
      </w:r>
      <w:r w:rsidR="0064399F" w:rsidRPr="007204C1">
        <w:rPr>
          <w:rFonts w:cstheme="minorHAnsi"/>
          <w:b/>
        </w:rPr>
        <w:t>s</w:t>
      </w:r>
    </w:p>
    <w:p w14:paraId="01F395BF" w14:textId="6DF3DACE" w:rsidR="000F6501" w:rsidRPr="00971F5A" w:rsidRDefault="00DB4C2E" w:rsidP="00DB4C2E">
      <w:pPr>
        <w:tabs>
          <w:tab w:val="left" w:pos="1428"/>
        </w:tabs>
        <w:spacing w:after="160" w:line="259" w:lineRule="auto"/>
        <w:rPr>
          <w:rFonts w:cstheme="minorHAnsi"/>
        </w:rPr>
      </w:pPr>
      <w:r w:rsidRPr="00971F5A">
        <w:rPr>
          <w:rFonts w:cstheme="minorHAnsi"/>
        </w:rPr>
        <w:t xml:space="preserve">The </w:t>
      </w:r>
      <w:r w:rsidRPr="006918F8">
        <w:rPr>
          <w:rFonts w:cstheme="minorHAnsi"/>
          <w:b/>
          <w:bCs/>
        </w:rPr>
        <w:t>DISR Deputy Secretary</w:t>
      </w:r>
      <w:r w:rsidRPr="00971F5A">
        <w:rPr>
          <w:rFonts w:cstheme="minorHAnsi"/>
        </w:rPr>
        <w:t xml:space="preserve"> provided updates on:</w:t>
      </w:r>
    </w:p>
    <w:p w14:paraId="39B7C9DE" w14:textId="68640848" w:rsidR="00DB4C2E" w:rsidRPr="00971F5A" w:rsidRDefault="00DB4C2E" w:rsidP="00DB4C2E">
      <w:pPr>
        <w:pStyle w:val="ListParagraph"/>
        <w:numPr>
          <w:ilvl w:val="0"/>
          <w:numId w:val="10"/>
        </w:numPr>
        <w:tabs>
          <w:tab w:val="left" w:pos="1428"/>
        </w:tabs>
        <w:spacing w:after="160" w:line="259" w:lineRule="auto"/>
        <w:rPr>
          <w:rFonts w:cstheme="minorHAnsi"/>
        </w:rPr>
      </w:pPr>
      <w:r w:rsidRPr="00971F5A">
        <w:rPr>
          <w:rFonts w:cstheme="minorHAnsi"/>
        </w:rPr>
        <w:t xml:space="preserve">The Commissioner appointment process – The Minister </w:t>
      </w:r>
      <w:r w:rsidR="00F12824" w:rsidRPr="00971F5A">
        <w:rPr>
          <w:rFonts w:cstheme="minorHAnsi"/>
        </w:rPr>
        <w:t xml:space="preserve">is focused on ensuring </w:t>
      </w:r>
      <w:r w:rsidR="00F350EA" w:rsidRPr="00971F5A">
        <w:rPr>
          <w:rFonts w:cstheme="minorHAnsi"/>
        </w:rPr>
        <w:t>the new commissioner has</w:t>
      </w:r>
      <w:r w:rsidR="00F12824" w:rsidRPr="00971F5A">
        <w:rPr>
          <w:rFonts w:cstheme="minorHAnsi"/>
        </w:rPr>
        <w:t xml:space="preserve"> a strong understanding</w:t>
      </w:r>
      <w:r w:rsidR="006918F8">
        <w:rPr>
          <w:rFonts w:cstheme="minorHAnsi"/>
        </w:rPr>
        <w:t xml:space="preserve"> of</w:t>
      </w:r>
      <w:r w:rsidR="00F12824" w:rsidRPr="00971F5A">
        <w:rPr>
          <w:rFonts w:cstheme="minorHAnsi"/>
        </w:rPr>
        <w:t xml:space="preserve"> </w:t>
      </w:r>
      <w:r w:rsidR="00F350EA" w:rsidRPr="00971F5A">
        <w:rPr>
          <w:rFonts w:cstheme="minorHAnsi"/>
        </w:rPr>
        <w:t>i</w:t>
      </w:r>
      <w:r w:rsidR="00F12824" w:rsidRPr="00971F5A">
        <w:rPr>
          <w:rFonts w:cstheme="minorHAnsi"/>
        </w:rPr>
        <w:t>ndustry and the anti</w:t>
      </w:r>
      <w:r w:rsidR="003720A0" w:rsidRPr="00971F5A">
        <w:rPr>
          <w:rFonts w:cstheme="minorHAnsi"/>
        </w:rPr>
        <w:t>-</w:t>
      </w:r>
      <w:r w:rsidR="00F12824" w:rsidRPr="00971F5A">
        <w:rPr>
          <w:rFonts w:cstheme="minorHAnsi"/>
        </w:rPr>
        <w:t>dumping system</w:t>
      </w:r>
      <w:r w:rsidR="00F350EA" w:rsidRPr="00971F5A">
        <w:rPr>
          <w:rFonts w:cstheme="minorHAnsi"/>
        </w:rPr>
        <w:t xml:space="preserve">, and he </w:t>
      </w:r>
      <w:r w:rsidR="00F12824" w:rsidRPr="00971F5A">
        <w:rPr>
          <w:rFonts w:cstheme="minorHAnsi"/>
        </w:rPr>
        <w:t>has asked</w:t>
      </w:r>
      <w:r w:rsidR="00F350EA" w:rsidRPr="00971F5A">
        <w:rPr>
          <w:rFonts w:cstheme="minorHAnsi"/>
        </w:rPr>
        <w:t xml:space="preserve"> the</w:t>
      </w:r>
      <w:r w:rsidR="00F12824" w:rsidRPr="00971F5A">
        <w:rPr>
          <w:rFonts w:cstheme="minorHAnsi"/>
        </w:rPr>
        <w:t xml:space="preserve"> Department </w:t>
      </w:r>
      <w:r w:rsidR="00F350EA" w:rsidRPr="00971F5A">
        <w:rPr>
          <w:rFonts w:cstheme="minorHAnsi"/>
        </w:rPr>
        <w:t>to</w:t>
      </w:r>
      <w:r w:rsidR="00F12824" w:rsidRPr="00971F5A">
        <w:rPr>
          <w:rFonts w:cstheme="minorHAnsi"/>
        </w:rPr>
        <w:t xml:space="preserve"> readvertise the position.</w:t>
      </w:r>
      <w:r w:rsidR="009C08F2" w:rsidRPr="00971F5A">
        <w:rPr>
          <w:rFonts w:cstheme="minorHAnsi"/>
        </w:rPr>
        <w:t xml:space="preserve"> </w:t>
      </w:r>
    </w:p>
    <w:p w14:paraId="62D14B31" w14:textId="77777777" w:rsidR="00E53F1B" w:rsidRPr="00971F5A" w:rsidRDefault="00E53F1B" w:rsidP="00E53F1B">
      <w:pPr>
        <w:pStyle w:val="ListParagraph"/>
        <w:tabs>
          <w:tab w:val="left" w:pos="1428"/>
        </w:tabs>
        <w:spacing w:after="160" w:line="259" w:lineRule="auto"/>
        <w:rPr>
          <w:rFonts w:cstheme="minorHAnsi"/>
        </w:rPr>
      </w:pPr>
    </w:p>
    <w:p w14:paraId="2751C6C7" w14:textId="4FB214B8" w:rsidR="00E53F1B" w:rsidRPr="00971F5A" w:rsidRDefault="009C08F2" w:rsidP="00DB4C2E">
      <w:pPr>
        <w:pStyle w:val="ListParagraph"/>
        <w:numPr>
          <w:ilvl w:val="0"/>
          <w:numId w:val="10"/>
        </w:numPr>
        <w:tabs>
          <w:tab w:val="left" w:pos="1428"/>
        </w:tabs>
        <w:spacing w:after="160" w:line="259" w:lineRule="auto"/>
        <w:rPr>
          <w:rFonts w:cstheme="minorHAnsi"/>
        </w:rPr>
      </w:pPr>
      <w:r w:rsidRPr="00971F5A">
        <w:rPr>
          <w:rFonts w:cstheme="minorHAnsi"/>
        </w:rPr>
        <w:t xml:space="preserve">National Battery Strategy </w:t>
      </w:r>
      <w:r w:rsidR="00E53F1B" w:rsidRPr="00971F5A">
        <w:rPr>
          <w:rFonts w:cstheme="minorHAnsi"/>
        </w:rPr>
        <w:t>–</w:t>
      </w:r>
      <w:r w:rsidRPr="00971F5A">
        <w:rPr>
          <w:rFonts w:cstheme="minorHAnsi"/>
        </w:rPr>
        <w:t xml:space="preserve"> </w:t>
      </w:r>
      <w:r w:rsidR="00E53F1B" w:rsidRPr="00971F5A">
        <w:rPr>
          <w:rFonts w:cstheme="minorHAnsi"/>
        </w:rPr>
        <w:t>The National Battery Strat</w:t>
      </w:r>
      <w:r w:rsidR="003720A0" w:rsidRPr="00971F5A">
        <w:rPr>
          <w:rFonts w:cstheme="minorHAnsi"/>
        </w:rPr>
        <w:t>e</w:t>
      </w:r>
      <w:r w:rsidR="00E53F1B" w:rsidRPr="00971F5A">
        <w:rPr>
          <w:rFonts w:cstheme="minorHAnsi"/>
        </w:rPr>
        <w:t>gy</w:t>
      </w:r>
      <w:r w:rsidR="003720A0" w:rsidRPr="00971F5A">
        <w:rPr>
          <w:rFonts w:cstheme="minorHAnsi"/>
        </w:rPr>
        <w:t>, part of the Future Made in Australia program,</w:t>
      </w:r>
      <w:r w:rsidR="00E53F1B" w:rsidRPr="00971F5A">
        <w:rPr>
          <w:rFonts w:cstheme="minorHAnsi"/>
        </w:rPr>
        <w:t xml:space="preserve"> was released today. </w:t>
      </w:r>
      <w:r w:rsidR="003720A0" w:rsidRPr="00971F5A">
        <w:rPr>
          <w:rFonts w:cstheme="minorHAnsi"/>
        </w:rPr>
        <w:t>The Strategy</w:t>
      </w:r>
      <w:r w:rsidR="00E53F1B" w:rsidRPr="00971F5A">
        <w:rPr>
          <w:rFonts w:cstheme="minorHAnsi"/>
        </w:rPr>
        <w:t xml:space="preserve"> reflects the global environment, supply chains being under pressure, </w:t>
      </w:r>
      <w:r w:rsidR="006918F8">
        <w:rPr>
          <w:rFonts w:cstheme="minorHAnsi"/>
        </w:rPr>
        <w:t xml:space="preserve">and </w:t>
      </w:r>
      <w:r w:rsidR="00E53F1B" w:rsidRPr="00971F5A">
        <w:rPr>
          <w:rFonts w:cstheme="minorHAnsi"/>
        </w:rPr>
        <w:t>Australia’s friends and competito</w:t>
      </w:r>
      <w:r w:rsidR="003720A0" w:rsidRPr="00971F5A">
        <w:rPr>
          <w:rFonts w:cstheme="minorHAnsi"/>
        </w:rPr>
        <w:t>r</w:t>
      </w:r>
      <w:r w:rsidR="00E53F1B" w:rsidRPr="00971F5A">
        <w:rPr>
          <w:rFonts w:cstheme="minorHAnsi"/>
        </w:rPr>
        <w:t xml:space="preserve">s </w:t>
      </w:r>
      <w:r w:rsidR="003720A0" w:rsidRPr="00971F5A">
        <w:rPr>
          <w:rFonts w:cstheme="minorHAnsi"/>
        </w:rPr>
        <w:t>adopting similar industry policies</w:t>
      </w:r>
      <w:r w:rsidR="00E53F1B" w:rsidRPr="00971F5A">
        <w:rPr>
          <w:rFonts w:cstheme="minorHAnsi"/>
        </w:rPr>
        <w:t xml:space="preserve">. </w:t>
      </w:r>
      <w:r w:rsidR="003720A0" w:rsidRPr="00971F5A">
        <w:rPr>
          <w:rFonts w:cstheme="minorHAnsi"/>
        </w:rPr>
        <w:t>The Strategy</w:t>
      </w:r>
      <w:r w:rsidR="00E53F1B" w:rsidRPr="00971F5A">
        <w:rPr>
          <w:rFonts w:cstheme="minorHAnsi"/>
        </w:rPr>
        <w:t xml:space="preserve"> target</w:t>
      </w:r>
      <w:r w:rsidR="003720A0" w:rsidRPr="00971F5A">
        <w:rPr>
          <w:rFonts w:cstheme="minorHAnsi"/>
        </w:rPr>
        <w:t>s</w:t>
      </w:r>
      <w:r w:rsidR="00E53F1B" w:rsidRPr="00971F5A">
        <w:rPr>
          <w:rFonts w:cstheme="minorHAnsi"/>
        </w:rPr>
        <w:t xml:space="preserve"> opportunities in the</w:t>
      </w:r>
      <w:r w:rsidR="006918F8">
        <w:rPr>
          <w:rFonts w:cstheme="minorHAnsi"/>
        </w:rPr>
        <w:t xml:space="preserve"> energy</w:t>
      </w:r>
      <w:r w:rsidR="00E53F1B" w:rsidRPr="00971F5A">
        <w:rPr>
          <w:rFonts w:cstheme="minorHAnsi"/>
        </w:rPr>
        <w:t xml:space="preserve"> transition and in clean energy industries. </w:t>
      </w:r>
    </w:p>
    <w:p w14:paraId="5220E2A7" w14:textId="58BDD314" w:rsidR="00E53F1B" w:rsidRPr="00971F5A" w:rsidRDefault="004B1AB1" w:rsidP="00E53F1B">
      <w:pPr>
        <w:rPr>
          <w:rFonts w:cstheme="minorHAnsi"/>
        </w:rPr>
      </w:pPr>
      <w:r w:rsidRPr="004B1AB1">
        <w:rPr>
          <w:rFonts w:cstheme="minorHAnsi"/>
        </w:rPr>
        <w:t>The</w:t>
      </w:r>
      <w:r>
        <w:rPr>
          <w:rFonts w:cstheme="minorHAnsi"/>
          <w:b/>
          <w:bCs/>
        </w:rPr>
        <w:t xml:space="preserve"> </w:t>
      </w:r>
      <w:r w:rsidR="007003FA">
        <w:rPr>
          <w:rFonts w:cstheme="minorHAnsi"/>
          <w:b/>
          <w:bCs/>
        </w:rPr>
        <w:t>DISR General Manager</w:t>
      </w:r>
      <w:r w:rsidR="00E53F1B" w:rsidRPr="00971F5A">
        <w:rPr>
          <w:rFonts w:cstheme="minorHAnsi"/>
        </w:rPr>
        <w:t xml:space="preserve"> said</w:t>
      </w:r>
      <w:r w:rsidR="001C561C" w:rsidRPr="00971F5A">
        <w:rPr>
          <w:rFonts w:cstheme="minorHAnsi"/>
        </w:rPr>
        <w:t>:</w:t>
      </w:r>
    </w:p>
    <w:p w14:paraId="686339D5" w14:textId="77777777" w:rsidR="00E53F1B" w:rsidRPr="00971F5A" w:rsidRDefault="00E53F1B" w:rsidP="00E53F1B">
      <w:pPr>
        <w:rPr>
          <w:rFonts w:cstheme="minorHAnsi"/>
        </w:rPr>
      </w:pPr>
    </w:p>
    <w:p w14:paraId="17541C49" w14:textId="181685DF" w:rsidR="00DB4C2E" w:rsidRPr="00971F5A" w:rsidRDefault="00DB4C2E" w:rsidP="00DB4C2E">
      <w:pPr>
        <w:pStyle w:val="ListParagraph"/>
        <w:numPr>
          <w:ilvl w:val="0"/>
          <w:numId w:val="10"/>
        </w:numPr>
        <w:tabs>
          <w:tab w:val="left" w:pos="1428"/>
        </w:tabs>
        <w:spacing w:after="160" w:line="259" w:lineRule="auto"/>
        <w:rPr>
          <w:rFonts w:cstheme="minorHAnsi"/>
        </w:rPr>
      </w:pPr>
      <w:r w:rsidRPr="00971F5A">
        <w:rPr>
          <w:rFonts w:cstheme="minorHAnsi"/>
        </w:rPr>
        <w:t>Green Metals</w:t>
      </w:r>
      <w:r w:rsidR="00E53F1B" w:rsidRPr="00971F5A">
        <w:rPr>
          <w:rFonts w:cstheme="minorHAnsi"/>
        </w:rPr>
        <w:t xml:space="preserve"> – </w:t>
      </w:r>
      <w:r w:rsidR="003720A0" w:rsidRPr="00971F5A">
        <w:rPr>
          <w:rFonts w:cstheme="minorHAnsi"/>
        </w:rPr>
        <w:t>A</w:t>
      </w:r>
      <w:r w:rsidR="00E53F1B" w:rsidRPr="00971F5A">
        <w:rPr>
          <w:rFonts w:cstheme="minorHAnsi"/>
        </w:rPr>
        <w:t>s part of the Future Made in Australia</w:t>
      </w:r>
      <w:r w:rsidR="006918F8">
        <w:rPr>
          <w:rFonts w:cstheme="minorHAnsi"/>
        </w:rPr>
        <w:t xml:space="preserve"> program</w:t>
      </w:r>
      <w:r w:rsidR="00E53F1B" w:rsidRPr="00971F5A">
        <w:rPr>
          <w:rFonts w:cstheme="minorHAnsi"/>
        </w:rPr>
        <w:t xml:space="preserve">, </w:t>
      </w:r>
      <w:r w:rsidR="003720A0" w:rsidRPr="00971F5A">
        <w:rPr>
          <w:rFonts w:cstheme="minorHAnsi"/>
        </w:rPr>
        <w:t xml:space="preserve">the Government would focus on green metals and </w:t>
      </w:r>
      <w:r w:rsidR="00E53F1B" w:rsidRPr="00971F5A">
        <w:rPr>
          <w:rFonts w:cstheme="minorHAnsi"/>
        </w:rPr>
        <w:t>support</w:t>
      </w:r>
      <w:r w:rsidR="006918F8">
        <w:rPr>
          <w:rFonts w:cstheme="minorHAnsi"/>
        </w:rPr>
        <w:t>ing</w:t>
      </w:r>
      <w:r w:rsidR="00E53F1B" w:rsidRPr="00971F5A">
        <w:rPr>
          <w:rFonts w:cstheme="minorHAnsi"/>
        </w:rPr>
        <w:t xml:space="preserve"> policies for </w:t>
      </w:r>
      <w:r w:rsidR="001C561C" w:rsidRPr="00971F5A">
        <w:rPr>
          <w:rFonts w:cstheme="minorHAnsi"/>
        </w:rPr>
        <w:t xml:space="preserve">the </w:t>
      </w:r>
      <w:r w:rsidR="00E53F1B" w:rsidRPr="00971F5A">
        <w:rPr>
          <w:rFonts w:cstheme="minorHAnsi"/>
        </w:rPr>
        <w:t>emerg</w:t>
      </w:r>
      <w:r w:rsidR="001C561C" w:rsidRPr="00971F5A">
        <w:rPr>
          <w:rFonts w:cstheme="minorHAnsi"/>
        </w:rPr>
        <w:t>ing</w:t>
      </w:r>
      <w:r w:rsidR="00E53F1B" w:rsidRPr="00971F5A">
        <w:rPr>
          <w:rFonts w:cstheme="minorHAnsi"/>
        </w:rPr>
        <w:t xml:space="preserve"> green metals industry in Australia.</w:t>
      </w:r>
    </w:p>
    <w:p w14:paraId="46688484" w14:textId="77777777" w:rsidR="001C561C" w:rsidRPr="00971F5A" w:rsidRDefault="001C561C" w:rsidP="001C561C">
      <w:pPr>
        <w:pStyle w:val="ListParagraph"/>
        <w:tabs>
          <w:tab w:val="left" w:pos="1428"/>
        </w:tabs>
        <w:spacing w:after="160" w:line="259" w:lineRule="auto"/>
        <w:rPr>
          <w:rFonts w:cstheme="minorHAnsi"/>
        </w:rPr>
      </w:pPr>
    </w:p>
    <w:p w14:paraId="4B798B4C" w14:textId="27C25D4C" w:rsidR="00C101AA" w:rsidRPr="00971F5A" w:rsidRDefault="00C101AA" w:rsidP="00DB4C2E">
      <w:pPr>
        <w:pStyle w:val="ListParagraph"/>
        <w:numPr>
          <w:ilvl w:val="0"/>
          <w:numId w:val="10"/>
        </w:numPr>
        <w:tabs>
          <w:tab w:val="left" w:pos="1428"/>
        </w:tabs>
        <w:spacing w:after="160" w:line="259" w:lineRule="auto"/>
        <w:rPr>
          <w:rFonts w:cstheme="minorHAnsi"/>
        </w:rPr>
      </w:pPr>
      <w:r w:rsidRPr="00971F5A">
        <w:rPr>
          <w:rFonts w:cstheme="minorHAnsi"/>
        </w:rPr>
        <w:t xml:space="preserve">Carbon leakage review – the Government has commenced a review of carbon leakage. </w:t>
      </w:r>
      <w:r w:rsidR="001C561C" w:rsidRPr="00971F5A">
        <w:rPr>
          <w:rFonts w:cstheme="minorHAnsi"/>
        </w:rPr>
        <w:t xml:space="preserve">It </w:t>
      </w:r>
      <w:r w:rsidRPr="00971F5A">
        <w:rPr>
          <w:rFonts w:cstheme="minorHAnsi"/>
        </w:rPr>
        <w:t xml:space="preserve">released </w:t>
      </w:r>
      <w:r w:rsidR="001C561C" w:rsidRPr="00971F5A">
        <w:rPr>
          <w:rFonts w:cstheme="minorHAnsi"/>
        </w:rPr>
        <w:t>a</w:t>
      </w:r>
      <w:r w:rsidRPr="00971F5A">
        <w:rPr>
          <w:rFonts w:cstheme="minorHAnsi"/>
        </w:rPr>
        <w:t xml:space="preserve"> consultation paper in November 2023. A further round of consultation will comme</w:t>
      </w:r>
      <w:r w:rsidR="00015BBF">
        <w:rPr>
          <w:rFonts w:cstheme="minorHAnsi"/>
        </w:rPr>
        <w:t>n</w:t>
      </w:r>
      <w:r w:rsidRPr="00971F5A">
        <w:rPr>
          <w:rFonts w:cstheme="minorHAnsi"/>
        </w:rPr>
        <w:t>ce shortly.</w:t>
      </w:r>
    </w:p>
    <w:p w14:paraId="3DF8B615" w14:textId="028B9002" w:rsidR="00C101AA" w:rsidRPr="009D0A87" w:rsidRDefault="00C101AA" w:rsidP="00DB4C2E">
      <w:pPr>
        <w:tabs>
          <w:tab w:val="left" w:pos="1428"/>
        </w:tabs>
        <w:spacing w:after="160" w:line="259" w:lineRule="auto"/>
        <w:rPr>
          <w:rFonts w:cstheme="minorHAnsi"/>
          <w:u w:val="single"/>
        </w:rPr>
      </w:pPr>
      <w:r w:rsidRPr="009D0A87">
        <w:rPr>
          <w:rFonts w:cstheme="minorHAnsi"/>
          <w:u w:val="single"/>
        </w:rPr>
        <w:t>Q&amp;A</w:t>
      </w:r>
    </w:p>
    <w:p w14:paraId="0FA826F8" w14:textId="088E00F5" w:rsidR="001C561C" w:rsidRPr="00971F5A" w:rsidRDefault="00C101AA" w:rsidP="00DB4C2E">
      <w:pPr>
        <w:pStyle w:val="ListParagraph"/>
        <w:numPr>
          <w:ilvl w:val="0"/>
          <w:numId w:val="10"/>
        </w:numPr>
        <w:tabs>
          <w:tab w:val="left" w:pos="1428"/>
        </w:tabs>
        <w:spacing w:after="160" w:line="259" w:lineRule="auto"/>
        <w:rPr>
          <w:rFonts w:cstheme="minorHAnsi"/>
        </w:rPr>
      </w:pPr>
      <w:r w:rsidRPr="00971F5A">
        <w:rPr>
          <w:rFonts w:cstheme="minorHAnsi"/>
        </w:rPr>
        <w:t xml:space="preserve">The </w:t>
      </w:r>
      <w:r w:rsidRPr="006918F8">
        <w:rPr>
          <w:rFonts w:cstheme="minorHAnsi"/>
          <w:b/>
          <w:bCs/>
        </w:rPr>
        <w:t>Deputy Secretary</w:t>
      </w:r>
      <w:r w:rsidRPr="00971F5A">
        <w:rPr>
          <w:rFonts w:cstheme="minorHAnsi"/>
        </w:rPr>
        <w:t xml:space="preserve"> welcomed </w:t>
      </w:r>
      <w:r w:rsidR="00347DCC">
        <w:rPr>
          <w:rFonts w:cstheme="minorHAnsi"/>
        </w:rPr>
        <w:t>interest</w:t>
      </w:r>
      <w:r w:rsidRPr="00971F5A">
        <w:rPr>
          <w:rFonts w:cstheme="minorHAnsi"/>
        </w:rPr>
        <w:t xml:space="preserve"> from ITRF Member</w:t>
      </w:r>
      <w:r w:rsidR="00347DCC">
        <w:rPr>
          <w:rFonts w:cstheme="minorHAnsi"/>
        </w:rPr>
        <w:t>s</w:t>
      </w:r>
      <w:r w:rsidRPr="00971F5A">
        <w:rPr>
          <w:rFonts w:cstheme="minorHAnsi"/>
        </w:rPr>
        <w:t xml:space="preserve"> </w:t>
      </w:r>
      <w:r w:rsidR="00347DCC">
        <w:rPr>
          <w:rFonts w:cstheme="minorHAnsi"/>
        </w:rPr>
        <w:t>in being</w:t>
      </w:r>
      <w:r w:rsidRPr="00971F5A">
        <w:rPr>
          <w:rFonts w:cstheme="minorHAnsi"/>
        </w:rPr>
        <w:t xml:space="preserve"> involved in green metals and other budget programs. Consultation papers would be released soon</w:t>
      </w:r>
      <w:r w:rsidR="001C561C" w:rsidRPr="00971F5A">
        <w:rPr>
          <w:rFonts w:cstheme="minorHAnsi"/>
        </w:rPr>
        <w:t>.</w:t>
      </w:r>
    </w:p>
    <w:p w14:paraId="0481954F" w14:textId="77777777" w:rsidR="001C561C" w:rsidRPr="00971F5A" w:rsidRDefault="001C561C" w:rsidP="001C561C">
      <w:pPr>
        <w:pStyle w:val="ListParagraph"/>
        <w:tabs>
          <w:tab w:val="left" w:pos="1428"/>
        </w:tabs>
        <w:spacing w:after="160" w:line="259" w:lineRule="auto"/>
        <w:rPr>
          <w:rFonts w:cstheme="minorHAnsi"/>
        </w:rPr>
      </w:pPr>
    </w:p>
    <w:p w14:paraId="03A61AE5" w14:textId="421BEAB8" w:rsidR="00C101AA" w:rsidRPr="00971F5A" w:rsidRDefault="00EA0D8D" w:rsidP="00DB4C2E">
      <w:pPr>
        <w:pStyle w:val="ListParagraph"/>
        <w:numPr>
          <w:ilvl w:val="0"/>
          <w:numId w:val="10"/>
        </w:numPr>
        <w:tabs>
          <w:tab w:val="left" w:pos="1428"/>
        </w:tabs>
        <w:spacing w:after="160" w:line="259" w:lineRule="auto"/>
        <w:rPr>
          <w:rFonts w:cstheme="minorHAnsi"/>
        </w:rPr>
      </w:pPr>
      <w:r w:rsidRPr="00971F5A">
        <w:rPr>
          <w:rFonts w:cstheme="minorHAnsi"/>
        </w:rPr>
        <w:t xml:space="preserve">On carbon leakage and whether this would be administered by an expanded </w:t>
      </w:r>
      <w:r w:rsidR="006918F8">
        <w:rPr>
          <w:rFonts w:cstheme="minorHAnsi"/>
        </w:rPr>
        <w:t>Anti-Dumping Commission</w:t>
      </w:r>
      <w:r w:rsidRPr="00971F5A">
        <w:rPr>
          <w:rFonts w:cstheme="minorHAnsi"/>
        </w:rPr>
        <w:t xml:space="preserve">, the Deputy Secretary said </w:t>
      </w:r>
      <w:r w:rsidR="001D6FF3" w:rsidRPr="001D6FF3">
        <w:rPr>
          <w:rFonts w:cstheme="minorHAnsi"/>
        </w:rPr>
        <w:t>the particulars, including who would potentially administer any future system to address carbon leakage, were still being considered</w:t>
      </w:r>
      <w:r w:rsidR="00B73896" w:rsidRPr="00971F5A">
        <w:rPr>
          <w:rFonts w:cstheme="minorHAnsi"/>
        </w:rPr>
        <w:t>.</w:t>
      </w:r>
    </w:p>
    <w:p w14:paraId="5BD97F7F" w14:textId="77777777" w:rsidR="00C101AA" w:rsidRPr="00971F5A" w:rsidRDefault="00C101AA" w:rsidP="004757DB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66147859" w14:textId="79EAFE0A" w:rsidR="00202DF2" w:rsidRPr="007204C1" w:rsidRDefault="007204C1" w:rsidP="007204C1">
      <w:pPr>
        <w:spacing w:after="160" w:line="259" w:lineRule="auto"/>
        <w:rPr>
          <w:rFonts w:cstheme="minorHAnsi"/>
          <w:b/>
        </w:rPr>
      </w:pPr>
      <w:r w:rsidRPr="007204C1">
        <w:rPr>
          <w:rFonts w:cstheme="minorHAnsi"/>
          <w:b/>
        </w:rPr>
        <w:t>4.3</w:t>
      </w:r>
      <w:r w:rsidR="00B73896" w:rsidRPr="007204C1">
        <w:rPr>
          <w:rFonts w:cstheme="minorHAnsi"/>
          <w:b/>
        </w:rPr>
        <w:t xml:space="preserve"> – Department of Foreign Affairs and Trade (DFAT)</w:t>
      </w:r>
    </w:p>
    <w:p w14:paraId="5EA664A0" w14:textId="77777777" w:rsidR="001C561C" w:rsidRPr="00971F5A" w:rsidRDefault="00202DF2" w:rsidP="00092201">
      <w:pPr>
        <w:spacing w:line="276" w:lineRule="auto"/>
        <w:rPr>
          <w:rFonts w:eastAsia="Times New Roman"/>
        </w:rPr>
      </w:pPr>
      <w:r w:rsidRPr="006918F8">
        <w:rPr>
          <w:rFonts w:eastAsia="Times New Roman"/>
          <w:b/>
          <w:bCs/>
        </w:rPr>
        <w:t xml:space="preserve">DFAT </w:t>
      </w:r>
      <w:r w:rsidR="001C561C" w:rsidRPr="006918F8">
        <w:rPr>
          <w:rFonts w:eastAsia="Times New Roman"/>
          <w:b/>
          <w:bCs/>
        </w:rPr>
        <w:t>representatives</w:t>
      </w:r>
      <w:r w:rsidR="001C561C" w:rsidRPr="00971F5A">
        <w:rPr>
          <w:rFonts w:eastAsia="Times New Roman"/>
        </w:rPr>
        <w:t xml:space="preserve"> provided an update on:</w:t>
      </w:r>
    </w:p>
    <w:p w14:paraId="37427387" w14:textId="77777777" w:rsidR="001C561C" w:rsidRPr="00971F5A" w:rsidRDefault="001C561C" w:rsidP="00092201">
      <w:pPr>
        <w:spacing w:line="276" w:lineRule="auto"/>
        <w:rPr>
          <w:rFonts w:eastAsia="Times New Roman"/>
        </w:rPr>
      </w:pPr>
    </w:p>
    <w:p w14:paraId="5A1CECB5" w14:textId="62377F2F" w:rsidR="00973118" w:rsidRPr="00971F5A" w:rsidRDefault="00973118" w:rsidP="00973118">
      <w:pPr>
        <w:pStyle w:val="ListParagraph"/>
        <w:numPr>
          <w:ilvl w:val="0"/>
          <w:numId w:val="10"/>
        </w:numPr>
        <w:tabs>
          <w:tab w:val="left" w:pos="1428"/>
        </w:tabs>
        <w:spacing w:after="160" w:line="259" w:lineRule="auto"/>
        <w:rPr>
          <w:rFonts w:cstheme="minorHAnsi"/>
        </w:rPr>
      </w:pPr>
      <w:r w:rsidRPr="00971F5A">
        <w:rPr>
          <w:rFonts w:cstheme="minorHAnsi"/>
        </w:rPr>
        <w:t>Trade remedies disputes – The Final Panel Report on China’s challenge to Australia’s duties on wind towers, railway wheels and stainless steel sinks was released on 26 March 2024</w:t>
      </w:r>
      <w:r>
        <w:rPr>
          <w:rFonts w:cstheme="minorHAnsi"/>
        </w:rPr>
        <w:t xml:space="preserve"> and was adopted by the WTO Dispute Settlement Body on 26 April 2024</w:t>
      </w:r>
      <w:r w:rsidRPr="00971F5A">
        <w:rPr>
          <w:rFonts w:cstheme="minorHAnsi"/>
        </w:rPr>
        <w:t xml:space="preserve">. Australia was now in </w:t>
      </w:r>
      <w:r>
        <w:rPr>
          <w:rFonts w:cstheme="minorHAnsi"/>
        </w:rPr>
        <w:t>an implementation</w:t>
      </w:r>
      <w:r w:rsidRPr="00971F5A">
        <w:rPr>
          <w:rFonts w:cstheme="minorHAnsi"/>
        </w:rPr>
        <w:t xml:space="preserve"> phase.</w:t>
      </w:r>
      <w:r>
        <w:rPr>
          <w:rFonts w:cstheme="minorHAnsi"/>
        </w:rPr>
        <w:t xml:space="preserve"> It was important to note that the outcome was contained to those three products, with no broader systemic implications for Australia.</w:t>
      </w:r>
    </w:p>
    <w:p w14:paraId="22B1CDCC" w14:textId="77777777" w:rsidR="00973118" w:rsidRPr="00971F5A" w:rsidRDefault="00973118" w:rsidP="00973118">
      <w:pPr>
        <w:pStyle w:val="ListParagraph"/>
        <w:tabs>
          <w:tab w:val="left" w:pos="1428"/>
        </w:tabs>
        <w:spacing w:after="160" w:line="259" w:lineRule="auto"/>
        <w:rPr>
          <w:rFonts w:cstheme="minorHAnsi"/>
        </w:rPr>
      </w:pPr>
    </w:p>
    <w:p w14:paraId="1A30D01F" w14:textId="04DA0BC1" w:rsidR="00973118" w:rsidRPr="00971F5A" w:rsidRDefault="00973118" w:rsidP="00973118">
      <w:pPr>
        <w:pStyle w:val="ListParagraph"/>
        <w:numPr>
          <w:ilvl w:val="0"/>
          <w:numId w:val="10"/>
        </w:numPr>
        <w:tabs>
          <w:tab w:val="left" w:pos="1428"/>
        </w:tabs>
        <w:spacing w:after="160" w:line="259" w:lineRule="auto"/>
        <w:rPr>
          <w:rFonts w:cstheme="minorHAnsi"/>
        </w:rPr>
      </w:pPr>
      <w:r w:rsidRPr="00971F5A">
        <w:rPr>
          <w:rFonts w:cstheme="minorHAnsi"/>
        </w:rPr>
        <w:t xml:space="preserve">WTO Committees on trade remedies – The </w:t>
      </w:r>
      <w:r>
        <w:rPr>
          <w:rFonts w:cstheme="minorHAnsi"/>
        </w:rPr>
        <w:t>commission</w:t>
      </w:r>
      <w:r w:rsidRPr="00971F5A">
        <w:rPr>
          <w:rFonts w:cstheme="minorHAnsi"/>
        </w:rPr>
        <w:t xml:space="preserve"> and DFAT had attended WTO trade remedies committee meetings</w:t>
      </w:r>
      <w:r w:rsidRPr="00C31C52">
        <w:t xml:space="preserve"> </w:t>
      </w:r>
      <w:r>
        <w:rPr>
          <w:rFonts w:cstheme="minorHAnsi"/>
        </w:rPr>
        <w:t>in</w:t>
      </w:r>
      <w:r w:rsidRPr="00C31C52">
        <w:rPr>
          <w:rFonts w:cstheme="minorHAnsi"/>
        </w:rPr>
        <w:t xml:space="preserve"> April 2024</w:t>
      </w:r>
      <w:r w:rsidR="00347DCC">
        <w:rPr>
          <w:rFonts w:cstheme="minorHAnsi"/>
        </w:rPr>
        <w:t xml:space="preserve"> that</w:t>
      </w:r>
      <w:r>
        <w:rPr>
          <w:rFonts w:cstheme="minorHAnsi"/>
        </w:rPr>
        <w:t xml:space="preserve"> cover</w:t>
      </w:r>
      <w:r w:rsidR="00347DCC">
        <w:rPr>
          <w:rFonts w:cstheme="minorHAnsi"/>
        </w:rPr>
        <w:t>ed</w:t>
      </w:r>
      <w:r>
        <w:rPr>
          <w:rFonts w:cstheme="minorHAnsi"/>
        </w:rPr>
        <w:t xml:space="preserve"> anti-dumping, subsidies and countervailing measures, and safeguards. Topics of interest included</w:t>
      </w:r>
      <w:r w:rsidRPr="00971F5A">
        <w:rPr>
          <w:rFonts w:cstheme="minorHAnsi"/>
        </w:rPr>
        <w:t xml:space="preserve"> subsidies and overcapacity</w:t>
      </w:r>
      <w:r>
        <w:rPr>
          <w:rFonts w:cstheme="minorHAnsi"/>
        </w:rPr>
        <w:t>, and UK and EU safeguards on steel products</w:t>
      </w:r>
      <w:r w:rsidRPr="00971F5A">
        <w:rPr>
          <w:rFonts w:cstheme="minorHAnsi"/>
        </w:rPr>
        <w:t>.</w:t>
      </w:r>
      <w:r w:rsidRPr="00971F5A">
        <w:rPr>
          <w:rFonts w:cstheme="minorHAnsi"/>
        </w:rPr>
        <w:br/>
      </w:r>
    </w:p>
    <w:p w14:paraId="5DACF3E6" w14:textId="05036C3D" w:rsidR="00973118" w:rsidRPr="00971F5A" w:rsidRDefault="00973118" w:rsidP="00973118">
      <w:pPr>
        <w:pStyle w:val="ListParagraph"/>
        <w:numPr>
          <w:ilvl w:val="0"/>
          <w:numId w:val="10"/>
        </w:numPr>
        <w:tabs>
          <w:tab w:val="left" w:pos="1428"/>
        </w:tabs>
        <w:spacing w:after="160" w:line="259" w:lineRule="auto"/>
        <w:rPr>
          <w:rFonts w:cstheme="minorHAnsi"/>
        </w:rPr>
      </w:pPr>
      <w:r w:rsidRPr="00971F5A">
        <w:rPr>
          <w:rFonts w:cstheme="minorHAnsi"/>
        </w:rPr>
        <w:t>High Level Dialogues</w:t>
      </w:r>
      <w:r>
        <w:rPr>
          <w:rFonts w:cstheme="minorHAnsi"/>
        </w:rPr>
        <w:t xml:space="preserve"> (HLD) on Trade Remedies</w:t>
      </w:r>
      <w:r w:rsidRPr="00971F5A">
        <w:rPr>
          <w:rFonts w:cstheme="minorHAnsi"/>
        </w:rPr>
        <w:t xml:space="preserve"> – A HLD with China in November 2023 </w:t>
      </w:r>
      <w:r>
        <w:rPr>
          <w:rFonts w:cstheme="minorHAnsi"/>
        </w:rPr>
        <w:t>saw</w:t>
      </w:r>
      <w:r w:rsidRPr="00971F5A">
        <w:rPr>
          <w:rFonts w:cstheme="minorHAnsi"/>
        </w:rPr>
        <w:t xml:space="preserve"> </w:t>
      </w:r>
      <w:r>
        <w:rPr>
          <w:rFonts w:cstheme="minorHAnsi"/>
        </w:rPr>
        <w:t xml:space="preserve">useful exchanges on </w:t>
      </w:r>
      <w:r w:rsidR="00C177C5">
        <w:rPr>
          <w:rFonts w:cstheme="minorHAnsi"/>
        </w:rPr>
        <w:t>Australia’s and China’s trade remedies</w:t>
      </w:r>
      <w:r>
        <w:rPr>
          <w:rFonts w:cstheme="minorHAnsi"/>
        </w:rPr>
        <w:t xml:space="preserve"> systems – including innovative or new approaches on both sides – rather than the ‘nuts and bolts’ of specific investigations</w:t>
      </w:r>
      <w:r w:rsidRPr="00971F5A">
        <w:rPr>
          <w:rFonts w:cstheme="minorHAnsi"/>
        </w:rPr>
        <w:t xml:space="preserve">. There will be a </w:t>
      </w:r>
      <w:r>
        <w:rPr>
          <w:rFonts w:cstheme="minorHAnsi"/>
        </w:rPr>
        <w:t>HLD</w:t>
      </w:r>
      <w:r w:rsidRPr="00971F5A">
        <w:rPr>
          <w:rFonts w:cstheme="minorHAnsi"/>
        </w:rPr>
        <w:t xml:space="preserve"> with Vietnam </w:t>
      </w:r>
      <w:r>
        <w:rPr>
          <w:rFonts w:cstheme="minorHAnsi"/>
        </w:rPr>
        <w:t>at the end of</w:t>
      </w:r>
      <w:r w:rsidRPr="00971F5A">
        <w:rPr>
          <w:rFonts w:cstheme="minorHAnsi"/>
        </w:rPr>
        <w:t xml:space="preserve"> June 2024</w:t>
      </w:r>
      <w:r>
        <w:rPr>
          <w:rFonts w:cstheme="minorHAnsi"/>
        </w:rPr>
        <w:t>,</w:t>
      </w:r>
      <w:r w:rsidRPr="00971F5A">
        <w:rPr>
          <w:rFonts w:cstheme="minorHAnsi"/>
        </w:rPr>
        <w:t xml:space="preserve"> hosted by the commission in Melbourne.</w:t>
      </w:r>
    </w:p>
    <w:p w14:paraId="25CC722B" w14:textId="71475AE1" w:rsidR="009D0A87" w:rsidRDefault="009D0A87">
      <w:pPr>
        <w:rPr>
          <w:rFonts w:eastAsia="Times New Roman" w:cstheme="minorHAnsi"/>
          <w:b/>
          <w:kern w:val="28"/>
          <w:sz w:val="28"/>
          <w:szCs w:val="20"/>
          <w:lang w:eastAsia="en-AU"/>
        </w:rPr>
      </w:pPr>
    </w:p>
    <w:p w14:paraId="74328782" w14:textId="19140347" w:rsidR="0064399F" w:rsidRPr="007204C1" w:rsidRDefault="007204C1" w:rsidP="007204C1">
      <w:pPr>
        <w:spacing w:after="160" w:line="259" w:lineRule="auto"/>
        <w:rPr>
          <w:rFonts w:cstheme="minorHAnsi"/>
          <w:b/>
        </w:rPr>
      </w:pPr>
      <w:r w:rsidRPr="007204C1">
        <w:rPr>
          <w:rFonts w:cstheme="minorHAnsi"/>
          <w:b/>
        </w:rPr>
        <w:t>4.4 -</w:t>
      </w:r>
      <w:r w:rsidR="000F6501" w:rsidRPr="007204C1">
        <w:rPr>
          <w:rFonts w:cstheme="minorHAnsi"/>
          <w:b/>
        </w:rPr>
        <w:t xml:space="preserve"> </w:t>
      </w:r>
      <w:r w:rsidR="00E8093B" w:rsidRPr="007204C1">
        <w:rPr>
          <w:rFonts w:cstheme="minorHAnsi"/>
          <w:b/>
        </w:rPr>
        <w:t>Australian Border Force</w:t>
      </w:r>
      <w:r w:rsidR="00FE6A0C" w:rsidRPr="007204C1">
        <w:rPr>
          <w:rFonts w:cstheme="minorHAnsi"/>
          <w:b/>
        </w:rPr>
        <w:t xml:space="preserve"> (ABF)</w:t>
      </w:r>
    </w:p>
    <w:p w14:paraId="13ABD10F" w14:textId="7C197F05" w:rsidR="00202DF2" w:rsidRPr="00971F5A" w:rsidRDefault="00202DF2" w:rsidP="00202DF2">
      <w:pPr>
        <w:spacing w:line="276" w:lineRule="auto"/>
        <w:rPr>
          <w:rFonts w:cstheme="minorHAnsi"/>
        </w:rPr>
      </w:pPr>
      <w:r w:rsidRPr="00971F5A">
        <w:rPr>
          <w:rFonts w:cstheme="minorHAnsi"/>
        </w:rPr>
        <w:t xml:space="preserve">The </w:t>
      </w:r>
      <w:r w:rsidRPr="006918F8">
        <w:rPr>
          <w:rFonts w:cstheme="minorHAnsi"/>
          <w:b/>
          <w:bCs/>
        </w:rPr>
        <w:t>ABF</w:t>
      </w:r>
      <w:r w:rsidR="006918F8">
        <w:rPr>
          <w:rFonts w:cstheme="minorHAnsi"/>
          <w:b/>
          <w:bCs/>
        </w:rPr>
        <w:t xml:space="preserve"> representative</w:t>
      </w:r>
      <w:r w:rsidRPr="006918F8">
        <w:rPr>
          <w:rFonts w:cstheme="minorHAnsi"/>
          <w:b/>
          <w:bCs/>
        </w:rPr>
        <w:t>’s</w:t>
      </w:r>
      <w:r w:rsidRPr="00971F5A">
        <w:rPr>
          <w:rFonts w:cstheme="minorHAnsi"/>
        </w:rPr>
        <w:t xml:space="preserve"> update to ITRF Members </w:t>
      </w:r>
      <w:r w:rsidR="00C775B2" w:rsidRPr="00971F5A">
        <w:rPr>
          <w:rFonts w:cstheme="minorHAnsi"/>
        </w:rPr>
        <w:t>i</w:t>
      </w:r>
      <w:r w:rsidRPr="00971F5A">
        <w:rPr>
          <w:rFonts w:cstheme="minorHAnsi"/>
        </w:rPr>
        <w:t>nclude</w:t>
      </w:r>
      <w:r w:rsidR="00C775B2" w:rsidRPr="00971F5A">
        <w:rPr>
          <w:rFonts w:cstheme="minorHAnsi"/>
        </w:rPr>
        <w:t>d</w:t>
      </w:r>
      <w:r w:rsidRPr="00971F5A">
        <w:rPr>
          <w:rFonts w:cstheme="minorHAnsi"/>
        </w:rPr>
        <w:t>:</w:t>
      </w:r>
    </w:p>
    <w:p w14:paraId="7D98C112" w14:textId="52E7839A" w:rsidR="004757DB" w:rsidRPr="00971F5A" w:rsidRDefault="00202DF2" w:rsidP="004757DB">
      <w:pPr>
        <w:pStyle w:val="ListParagraph"/>
        <w:numPr>
          <w:ilvl w:val="0"/>
          <w:numId w:val="10"/>
        </w:numPr>
        <w:tabs>
          <w:tab w:val="left" w:pos="1428"/>
        </w:tabs>
        <w:spacing w:after="160" w:line="259" w:lineRule="auto"/>
        <w:rPr>
          <w:rFonts w:cstheme="minorHAnsi"/>
        </w:rPr>
      </w:pPr>
      <w:r w:rsidRPr="00971F5A">
        <w:rPr>
          <w:rFonts w:cstheme="minorHAnsi"/>
        </w:rPr>
        <w:t>ABF activities to address circumvention of dumping duties, including: capturing incorrectly classified goods; and targeting attempts to use transhipment to conceal goods subject to dumping and countervailing duties.</w:t>
      </w:r>
      <w:r w:rsidR="004757DB" w:rsidRPr="00971F5A">
        <w:rPr>
          <w:rFonts w:cstheme="minorHAnsi"/>
        </w:rPr>
        <w:br/>
      </w:r>
    </w:p>
    <w:p w14:paraId="260BE554" w14:textId="0BFC2438" w:rsidR="004757DB" w:rsidRPr="00971F5A" w:rsidRDefault="00202DF2" w:rsidP="004757DB">
      <w:pPr>
        <w:pStyle w:val="ListParagraph"/>
        <w:numPr>
          <w:ilvl w:val="0"/>
          <w:numId w:val="10"/>
        </w:numPr>
        <w:tabs>
          <w:tab w:val="left" w:pos="1428"/>
        </w:tabs>
        <w:spacing w:after="160" w:line="259" w:lineRule="auto"/>
        <w:rPr>
          <w:rFonts w:cstheme="minorHAnsi"/>
        </w:rPr>
      </w:pPr>
      <w:r w:rsidRPr="00971F5A">
        <w:rPr>
          <w:rFonts w:cstheme="minorHAnsi"/>
        </w:rPr>
        <w:t>Statistics on positive dumping detections including countries of origin and types of goods.</w:t>
      </w:r>
      <w:r w:rsidR="004757DB" w:rsidRPr="00971F5A">
        <w:rPr>
          <w:rFonts w:cstheme="minorHAnsi"/>
        </w:rPr>
        <w:br/>
      </w:r>
    </w:p>
    <w:p w14:paraId="38F90C1D" w14:textId="3B3ECB51" w:rsidR="00202DF2" w:rsidRPr="00971F5A" w:rsidRDefault="00202DF2" w:rsidP="004757DB">
      <w:pPr>
        <w:pStyle w:val="ListParagraph"/>
        <w:numPr>
          <w:ilvl w:val="0"/>
          <w:numId w:val="10"/>
        </w:numPr>
        <w:tabs>
          <w:tab w:val="left" w:pos="1428"/>
        </w:tabs>
        <w:spacing w:after="160" w:line="259" w:lineRule="auto"/>
        <w:rPr>
          <w:rFonts w:cstheme="minorHAnsi"/>
        </w:rPr>
      </w:pPr>
      <w:r w:rsidRPr="00971F5A">
        <w:rPr>
          <w:rFonts w:cstheme="minorHAnsi"/>
        </w:rPr>
        <w:t>Revenue Analysis Unit activities including on steel pallet racking, aluminium extrusions, and quenched and tempered steel plate.</w:t>
      </w:r>
      <w:r w:rsidR="004757DB" w:rsidRPr="00971F5A">
        <w:rPr>
          <w:rFonts w:cstheme="minorHAnsi"/>
        </w:rPr>
        <w:br/>
      </w:r>
    </w:p>
    <w:p w14:paraId="6C0BC170" w14:textId="249BB161" w:rsidR="00202DF2" w:rsidRPr="00971F5A" w:rsidRDefault="00202DF2" w:rsidP="004757DB">
      <w:pPr>
        <w:pStyle w:val="ListParagraph"/>
        <w:numPr>
          <w:ilvl w:val="0"/>
          <w:numId w:val="10"/>
        </w:numPr>
        <w:tabs>
          <w:tab w:val="left" w:pos="1428"/>
        </w:tabs>
        <w:spacing w:after="160" w:line="259" w:lineRule="auto"/>
        <w:rPr>
          <w:rFonts w:cstheme="minorHAnsi"/>
        </w:rPr>
      </w:pPr>
      <w:r w:rsidRPr="00971F5A">
        <w:rPr>
          <w:rFonts w:cstheme="minorHAnsi"/>
        </w:rPr>
        <w:t>The ABF’s future work to strengthen its targeting of the evasion of dumping duties.</w:t>
      </w:r>
    </w:p>
    <w:p w14:paraId="5B426B4F" w14:textId="291740B4" w:rsidR="00C775B2" w:rsidRPr="00971F5A" w:rsidRDefault="001C561C" w:rsidP="002645B2">
      <w:pPr>
        <w:spacing w:after="160" w:line="259" w:lineRule="auto"/>
        <w:rPr>
          <w:u w:val="single"/>
        </w:rPr>
      </w:pPr>
      <w:r w:rsidRPr="00971F5A">
        <w:rPr>
          <w:u w:val="single"/>
        </w:rPr>
        <w:t>Q&amp;A</w:t>
      </w:r>
    </w:p>
    <w:p w14:paraId="19FDB674" w14:textId="046BF19B" w:rsidR="00DB4C2E" w:rsidRPr="00971F5A" w:rsidRDefault="007000AC" w:rsidP="001C561C">
      <w:pPr>
        <w:pStyle w:val="ListParagraph"/>
        <w:numPr>
          <w:ilvl w:val="0"/>
          <w:numId w:val="16"/>
        </w:numPr>
        <w:spacing w:after="160" w:line="259" w:lineRule="auto"/>
      </w:pPr>
      <w:r w:rsidRPr="00971F5A">
        <w:t>In response to a question about the ABF goods compliance update</w:t>
      </w:r>
      <w:r w:rsidR="006918F8">
        <w:t>,</w:t>
      </w:r>
      <w:r w:rsidRPr="00971F5A">
        <w:t xml:space="preserve"> the ABF </w:t>
      </w:r>
      <w:r w:rsidR="001D6FF3" w:rsidRPr="001D6FF3">
        <w:t>has since confirmed the ABF Goods Compliance Update is issued three times a year</w:t>
      </w:r>
      <w:r w:rsidRPr="00971F5A">
        <w:t>.</w:t>
      </w:r>
    </w:p>
    <w:p w14:paraId="30897E01" w14:textId="354D4A2C" w:rsidR="00317969" w:rsidRPr="000D376C" w:rsidRDefault="00317969" w:rsidP="002645B2">
      <w:pPr>
        <w:spacing w:after="160" w:line="259" w:lineRule="auto"/>
        <w:rPr>
          <w:rFonts w:cstheme="minorHAnsi"/>
          <w:b/>
          <w:bCs/>
          <w:lang w:eastAsia="en-AU"/>
        </w:rPr>
      </w:pPr>
      <w:r w:rsidRPr="000D376C">
        <w:rPr>
          <w:rFonts w:cstheme="minorHAnsi"/>
          <w:b/>
          <w:bCs/>
          <w:lang w:eastAsia="en-AU"/>
        </w:rPr>
        <w:t>Action items:</w:t>
      </w:r>
    </w:p>
    <w:p w14:paraId="53F2242F" w14:textId="09D962E0" w:rsidR="006918F8" w:rsidRPr="00C177C5" w:rsidRDefault="000D376C" w:rsidP="00C177C5">
      <w:pPr>
        <w:pStyle w:val="ListParagraph"/>
        <w:numPr>
          <w:ilvl w:val="0"/>
          <w:numId w:val="1"/>
        </w:numPr>
        <w:spacing w:after="160" w:line="259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ITRF Secretariat to </w:t>
      </w:r>
      <w:r w:rsidR="006D7DA0" w:rsidRPr="00971F5A">
        <w:rPr>
          <w:rFonts w:eastAsia="Calibri" w:cstheme="minorHAnsi"/>
        </w:rPr>
        <w:t xml:space="preserve">circulate the </w:t>
      </w:r>
      <w:r>
        <w:rPr>
          <w:rFonts w:eastAsia="Calibri" w:cstheme="minorHAnsi"/>
        </w:rPr>
        <w:t xml:space="preserve">ABF </w:t>
      </w:r>
      <w:r w:rsidR="006D7DA0" w:rsidRPr="00971F5A">
        <w:rPr>
          <w:rFonts w:eastAsia="Calibri" w:cstheme="minorHAnsi"/>
        </w:rPr>
        <w:t xml:space="preserve">Goods Compliance update to ITRF </w:t>
      </w:r>
      <w:r w:rsidR="000471E4">
        <w:rPr>
          <w:rFonts w:eastAsia="Calibri" w:cstheme="minorHAnsi"/>
        </w:rPr>
        <w:t>M</w:t>
      </w:r>
      <w:r w:rsidR="006D7DA0" w:rsidRPr="00971F5A">
        <w:rPr>
          <w:rFonts w:eastAsia="Calibri" w:cstheme="minorHAnsi"/>
        </w:rPr>
        <w:t>embers</w:t>
      </w:r>
      <w:r>
        <w:rPr>
          <w:rFonts w:eastAsia="Calibri" w:cstheme="minorHAnsi"/>
        </w:rPr>
        <w:t xml:space="preserve"> for their information</w:t>
      </w:r>
      <w:r w:rsidR="006D7DA0" w:rsidRPr="00971F5A">
        <w:rPr>
          <w:rFonts w:eastAsia="Calibri" w:cstheme="minorHAnsi"/>
        </w:rPr>
        <w:t xml:space="preserve">. </w:t>
      </w:r>
    </w:p>
    <w:p w14:paraId="5887EF38" w14:textId="77777777" w:rsidR="001C561C" w:rsidRPr="00971F5A" w:rsidRDefault="001C561C" w:rsidP="001C561C">
      <w:pPr>
        <w:pStyle w:val="ListParagraph"/>
        <w:spacing w:after="160" w:line="259" w:lineRule="auto"/>
        <w:rPr>
          <w:rFonts w:eastAsia="Calibri" w:cstheme="minorHAnsi"/>
        </w:rPr>
      </w:pPr>
    </w:p>
    <w:p w14:paraId="70FE1D1B" w14:textId="3343DFC5" w:rsidR="00202DF2" w:rsidRPr="007204C1" w:rsidRDefault="00202DF2" w:rsidP="00202DF2">
      <w:pPr>
        <w:pStyle w:val="Heading1"/>
        <w:rPr>
          <w:rFonts w:asciiTheme="minorHAnsi" w:hAnsiTheme="minorHAnsi" w:cstheme="minorHAnsi"/>
        </w:rPr>
      </w:pPr>
      <w:bookmarkStart w:id="4" w:name="_Hlk167527121"/>
      <w:r w:rsidRPr="007204C1">
        <w:rPr>
          <w:rFonts w:asciiTheme="minorHAnsi" w:hAnsiTheme="minorHAnsi" w:cstheme="minorHAnsi"/>
        </w:rPr>
        <w:t xml:space="preserve">Agenda Item </w:t>
      </w:r>
      <w:r w:rsidR="007204C1" w:rsidRPr="007204C1">
        <w:rPr>
          <w:rFonts w:asciiTheme="minorHAnsi" w:hAnsiTheme="minorHAnsi" w:cstheme="minorHAnsi"/>
        </w:rPr>
        <w:t>5</w:t>
      </w:r>
      <w:r w:rsidRPr="007204C1">
        <w:rPr>
          <w:rFonts w:asciiTheme="minorHAnsi" w:hAnsiTheme="minorHAnsi" w:cstheme="minorHAnsi"/>
        </w:rPr>
        <w:t xml:space="preserve"> – </w:t>
      </w:r>
      <w:r w:rsidR="007204C1">
        <w:rPr>
          <w:rFonts w:asciiTheme="minorHAnsi" w:hAnsiTheme="minorHAnsi" w:cstheme="minorHAnsi"/>
        </w:rPr>
        <w:t>Anti-Dumping Review Panel</w:t>
      </w:r>
    </w:p>
    <w:bookmarkEnd w:id="4"/>
    <w:p w14:paraId="52E32184" w14:textId="12D9EFC6" w:rsidR="00486967" w:rsidRDefault="00202DF2" w:rsidP="00C775B2">
      <w:pPr>
        <w:pStyle w:val="Heading1"/>
      </w:pPr>
      <w:r w:rsidRPr="006918F8">
        <w:rPr>
          <w:rFonts w:asciiTheme="minorHAnsi" w:hAnsiTheme="minorHAnsi" w:cstheme="minorHAnsi"/>
          <w:sz w:val="22"/>
          <w:szCs w:val="22"/>
        </w:rPr>
        <w:t xml:space="preserve">ADRP </w:t>
      </w:r>
      <w:r w:rsidR="006918F8" w:rsidRPr="006918F8">
        <w:rPr>
          <w:rFonts w:asciiTheme="minorHAnsi" w:hAnsiTheme="minorHAnsi" w:cstheme="minorHAnsi"/>
          <w:sz w:val="22"/>
          <w:szCs w:val="22"/>
        </w:rPr>
        <w:t>representatives</w:t>
      </w:r>
      <w:r w:rsidR="006918F8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B67D8C">
        <w:rPr>
          <w:rFonts w:asciiTheme="minorHAnsi" w:hAnsiTheme="minorHAnsi" w:cstheme="minorHAnsi"/>
          <w:b w:val="0"/>
          <w:bCs/>
          <w:sz w:val="22"/>
          <w:szCs w:val="22"/>
        </w:rPr>
        <w:t>presented to ITRF Members</w:t>
      </w:r>
      <w:r w:rsidR="00B67D8C">
        <w:rPr>
          <w:rFonts w:asciiTheme="minorHAnsi" w:hAnsiTheme="minorHAnsi" w:cstheme="minorHAnsi"/>
          <w:b w:val="0"/>
          <w:bCs/>
          <w:sz w:val="22"/>
          <w:szCs w:val="22"/>
        </w:rPr>
        <w:t xml:space="preserve"> on </w:t>
      </w:r>
      <w:r w:rsidR="00C775B2">
        <w:rPr>
          <w:rFonts w:asciiTheme="minorHAnsi" w:hAnsiTheme="minorHAnsi" w:cstheme="minorHAnsi"/>
          <w:b w:val="0"/>
          <w:bCs/>
          <w:sz w:val="22"/>
          <w:szCs w:val="22"/>
        </w:rPr>
        <w:t>the Panel’s: c</w:t>
      </w:r>
      <w:r w:rsidR="00486967" w:rsidRPr="00C775B2">
        <w:rPr>
          <w:rFonts w:asciiTheme="minorHAnsi" w:hAnsiTheme="minorHAnsi" w:cstheme="minorHAnsi"/>
          <w:b w:val="0"/>
          <w:bCs/>
          <w:sz w:val="22"/>
          <w:szCs w:val="22"/>
        </w:rPr>
        <w:t>aseload volumes and timeframes</w:t>
      </w:r>
      <w:r w:rsidR="00C775B2" w:rsidRPr="00C775B2">
        <w:rPr>
          <w:rFonts w:asciiTheme="minorHAnsi" w:hAnsiTheme="minorHAnsi" w:cstheme="minorHAnsi"/>
          <w:b w:val="0"/>
          <w:bCs/>
          <w:sz w:val="22"/>
          <w:szCs w:val="22"/>
        </w:rPr>
        <w:t xml:space="preserve">; </w:t>
      </w:r>
      <w:r w:rsidR="00F469C6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486967" w:rsidRPr="00C775B2">
        <w:rPr>
          <w:rFonts w:asciiTheme="minorHAnsi" w:hAnsiTheme="minorHAnsi" w:cstheme="minorHAnsi"/>
          <w:b w:val="0"/>
          <w:bCs/>
          <w:sz w:val="22"/>
          <w:szCs w:val="22"/>
        </w:rPr>
        <w:t>rends and changes over time in the Panel’s work</w:t>
      </w:r>
      <w:r w:rsidR="00C775B2" w:rsidRPr="00C775B2">
        <w:rPr>
          <w:rFonts w:asciiTheme="minorHAnsi" w:hAnsiTheme="minorHAnsi" w:cstheme="minorHAnsi"/>
          <w:b w:val="0"/>
          <w:bCs/>
          <w:sz w:val="22"/>
          <w:szCs w:val="22"/>
        </w:rPr>
        <w:t xml:space="preserve">; </w:t>
      </w:r>
      <w:r w:rsidR="00F469C6">
        <w:rPr>
          <w:rFonts w:asciiTheme="minorHAnsi" w:hAnsiTheme="minorHAnsi" w:cstheme="minorHAnsi"/>
          <w:b w:val="0"/>
          <w:bCs/>
          <w:sz w:val="22"/>
          <w:szCs w:val="22"/>
        </w:rPr>
        <w:t>c</w:t>
      </w:r>
      <w:r w:rsidR="00486967" w:rsidRPr="00C775B2">
        <w:rPr>
          <w:rFonts w:asciiTheme="minorHAnsi" w:hAnsiTheme="minorHAnsi" w:cstheme="minorHAnsi"/>
          <w:b w:val="0"/>
          <w:bCs/>
          <w:sz w:val="22"/>
          <w:szCs w:val="22"/>
        </w:rPr>
        <w:t>hallenges being experienced by users of the system</w:t>
      </w:r>
      <w:r w:rsidR="00C775B2" w:rsidRPr="00C775B2">
        <w:rPr>
          <w:rFonts w:asciiTheme="minorHAnsi" w:hAnsiTheme="minorHAnsi" w:cstheme="minorHAnsi"/>
          <w:b w:val="0"/>
          <w:bCs/>
          <w:sz w:val="22"/>
          <w:szCs w:val="22"/>
        </w:rPr>
        <w:t xml:space="preserve">; </w:t>
      </w:r>
      <w:r w:rsidR="00486967" w:rsidRPr="00C775B2">
        <w:rPr>
          <w:rFonts w:asciiTheme="minorHAnsi" w:hAnsiTheme="minorHAnsi" w:cstheme="minorHAnsi"/>
          <w:b w:val="0"/>
          <w:bCs/>
          <w:sz w:val="22"/>
          <w:szCs w:val="22"/>
        </w:rPr>
        <w:t xml:space="preserve">improvements in </w:t>
      </w:r>
      <w:r w:rsidR="00C775B2" w:rsidRPr="00C775B2">
        <w:rPr>
          <w:rFonts w:asciiTheme="minorHAnsi" w:hAnsiTheme="minorHAnsi" w:cstheme="minorHAnsi"/>
          <w:b w:val="0"/>
          <w:bCs/>
          <w:sz w:val="22"/>
          <w:szCs w:val="22"/>
        </w:rPr>
        <w:t xml:space="preserve">its </w:t>
      </w:r>
      <w:r w:rsidR="00486967" w:rsidRPr="00C775B2">
        <w:rPr>
          <w:rFonts w:asciiTheme="minorHAnsi" w:hAnsiTheme="minorHAnsi" w:cstheme="minorHAnsi"/>
          <w:b w:val="0"/>
          <w:bCs/>
          <w:sz w:val="22"/>
          <w:szCs w:val="22"/>
        </w:rPr>
        <w:t>practice</w:t>
      </w:r>
      <w:r w:rsidR="00C775B2" w:rsidRPr="00C775B2">
        <w:rPr>
          <w:rFonts w:asciiTheme="minorHAnsi" w:hAnsiTheme="minorHAnsi" w:cstheme="minorHAnsi"/>
          <w:b w:val="0"/>
          <w:bCs/>
          <w:sz w:val="22"/>
          <w:szCs w:val="22"/>
        </w:rPr>
        <w:t xml:space="preserve">; and the implications of </w:t>
      </w:r>
      <w:r w:rsidR="00486967" w:rsidRPr="00C775B2">
        <w:rPr>
          <w:rFonts w:asciiTheme="minorHAnsi" w:hAnsiTheme="minorHAnsi" w:cstheme="minorHAnsi"/>
          <w:b w:val="0"/>
          <w:bCs/>
          <w:sz w:val="22"/>
          <w:szCs w:val="22"/>
        </w:rPr>
        <w:t>judicial review</w:t>
      </w:r>
      <w:r w:rsidR="00C775B2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071C9FEB" w14:textId="77777777" w:rsidR="00C775B2" w:rsidRPr="00092201" w:rsidRDefault="00C775B2" w:rsidP="002338B4">
      <w:pPr>
        <w:rPr>
          <w:lang w:eastAsia="en-AU"/>
        </w:rPr>
      </w:pPr>
    </w:p>
    <w:p w14:paraId="4E900EF8" w14:textId="77777777" w:rsidR="0043424A" w:rsidRDefault="0043424A">
      <w:pPr>
        <w:rPr>
          <w:rFonts w:eastAsia="Times New Roman" w:cstheme="minorHAnsi"/>
          <w:b/>
          <w:kern w:val="28"/>
          <w:sz w:val="28"/>
          <w:szCs w:val="20"/>
          <w:lang w:eastAsia="en-AU"/>
        </w:rPr>
      </w:pPr>
      <w:r>
        <w:rPr>
          <w:rFonts w:cstheme="minorHAnsi"/>
        </w:rPr>
        <w:br w:type="page"/>
      </w:r>
    </w:p>
    <w:p w14:paraId="78061743" w14:textId="2219B060" w:rsidR="002338B4" w:rsidRPr="007204C1" w:rsidRDefault="002338B4" w:rsidP="002338B4">
      <w:pPr>
        <w:pStyle w:val="Heading1"/>
        <w:rPr>
          <w:rFonts w:asciiTheme="minorHAnsi" w:hAnsiTheme="minorHAnsi" w:cstheme="minorHAnsi"/>
        </w:rPr>
      </w:pPr>
      <w:r w:rsidRPr="007204C1">
        <w:rPr>
          <w:rFonts w:asciiTheme="minorHAnsi" w:hAnsiTheme="minorHAnsi" w:cstheme="minorHAnsi"/>
        </w:rPr>
        <w:lastRenderedPageBreak/>
        <w:t xml:space="preserve">Agenda Item </w:t>
      </w:r>
      <w:r w:rsidR="007204C1">
        <w:rPr>
          <w:rFonts w:asciiTheme="minorHAnsi" w:hAnsiTheme="minorHAnsi" w:cstheme="minorHAnsi"/>
        </w:rPr>
        <w:t>6</w:t>
      </w:r>
      <w:r w:rsidRPr="007204C1">
        <w:rPr>
          <w:rFonts w:asciiTheme="minorHAnsi" w:hAnsiTheme="minorHAnsi" w:cstheme="minorHAnsi"/>
        </w:rPr>
        <w:t xml:space="preserve"> – Terms of Reference</w:t>
      </w:r>
      <w:r w:rsidR="007204C1">
        <w:rPr>
          <w:rFonts w:asciiTheme="minorHAnsi" w:hAnsiTheme="minorHAnsi" w:cstheme="minorHAnsi"/>
        </w:rPr>
        <w:t xml:space="preserve"> – update and discussion</w:t>
      </w:r>
    </w:p>
    <w:p w14:paraId="491CDF71" w14:textId="3C019932" w:rsidR="00EF753E" w:rsidRDefault="00751B33" w:rsidP="007204C1">
      <w:pPr>
        <w:spacing w:after="160" w:line="259" w:lineRule="auto"/>
        <w:rPr>
          <w:rFonts w:cstheme="minorHAnsi"/>
        </w:rPr>
      </w:pPr>
      <w:r w:rsidRPr="00600659">
        <w:rPr>
          <w:rFonts w:cstheme="minorHAnsi"/>
        </w:rPr>
        <w:t>The</w:t>
      </w:r>
      <w:r w:rsidR="009A5A9B">
        <w:rPr>
          <w:rFonts w:cstheme="minorHAnsi"/>
        </w:rPr>
        <w:t xml:space="preserve"> acting</w:t>
      </w:r>
      <w:r w:rsidRPr="00600659">
        <w:rPr>
          <w:rFonts w:cstheme="minorHAnsi"/>
        </w:rPr>
        <w:t xml:space="preserve"> </w:t>
      </w:r>
      <w:r w:rsidRPr="006918F8">
        <w:rPr>
          <w:rFonts w:cstheme="minorHAnsi"/>
          <w:b/>
          <w:bCs/>
        </w:rPr>
        <w:t>Commissioner</w:t>
      </w:r>
      <w:r w:rsidRPr="00600659">
        <w:rPr>
          <w:rFonts w:cstheme="minorHAnsi"/>
        </w:rPr>
        <w:t xml:space="preserve"> </w:t>
      </w:r>
      <w:r w:rsidR="001F1625">
        <w:rPr>
          <w:rFonts w:cstheme="minorHAnsi"/>
        </w:rPr>
        <w:t>introduce</w:t>
      </w:r>
      <w:r w:rsidR="0095634E">
        <w:rPr>
          <w:rFonts w:cstheme="minorHAnsi"/>
        </w:rPr>
        <w:t>d</w:t>
      </w:r>
      <w:r w:rsidR="001F1625">
        <w:rPr>
          <w:rFonts w:cstheme="minorHAnsi"/>
        </w:rPr>
        <w:t xml:space="preserve"> the revised draft Terms of reference. </w:t>
      </w:r>
      <w:r w:rsidR="002338B4" w:rsidRPr="00600659">
        <w:rPr>
          <w:rFonts w:cstheme="minorHAnsi"/>
        </w:rPr>
        <w:t xml:space="preserve">The </w:t>
      </w:r>
      <w:r w:rsidR="009A5A9B">
        <w:rPr>
          <w:rFonts w:cstheme="minorHAnsi"/>
        </w:rPr>
        <w:t xml:space="preserve">ITRF </w:t>
      </w:r>
      <w:r w:rsidR="002338B4" w:rsidRPr="00600659">
        <w:rPr>
          <w:rFonts w:cstheme="minorHAnsi"/>
        </w:rPr>
        <w:t>Secretariat has sought to capture the views of Members who suggested a ‘minority report’ model, to represent the full range of Member views.</w:t>
      </w:r>
      <w:r w:rsidR="001F1625">
        <w:rPr>
          <w:rFonts w:cstheme="minorHAnsi"/>
        </w:rPr>
        <w:t xml:space="preserve"> The</w:t>
      </w:r>
      <w:r w:rsidR="001F1625" w:rsidRPr="00600659">
        <w:rPr>
          <w:rFonts w:cstheme="minorHAnsi"/>
        </w:rPr>
        <w:t xml:space="preserve"> ITRF Secretariat has produced a model for decision making that includes the opportunity for Members to provide statements setting out their views if they do not </w:t>
      </w:r>
      <w:r w:rsidR="001F1625">
        <w:rPr>
          <w:rFonts w:cstheme="minorHAnsi"/>
        </w:rPr>
        <w:t xml:space="preserve">fully support the findings, </w:t>
      </w:r>
      <w:r w:rsidR="001F1625" w:rsidRPr="00600659">
        <w:rPr>
          <w:rFonts w:cstheme="minorHAnsi"/>
        </w:rPr>
        <w:t>advice and</w:t>
      </w:r>
      <w:r w:rsidR="001F1625">
        <w:rPr>
          <w:rFonts w:cstheme="minorHAnsi"/>
        </w:rPr>
        <w:t>/or</w:t>
      </w:r>
      <w:r w:rsidR="001F1625" w:rsidRPr="00600659">
        <w:rPr>
          <w:rFonts w:cstheme="minorHAnsi"/>
        </w:rPr>
        <w:t xml:space="preserve"> recommendations of the </w:t>
      </w:r>
      <w:r w:rsidR="001F1625">
        <w:rPr>
          <w:rFonts w:cstheme="minorHAnsi"/>
        </w:rPr>
        <w:t>ITRF</w:t>
      </w:r>
      <w:r w:rsidR="001F1625" w:rsidRPr="00600659">
        <w:rPr>
          <w:rFonts w:cstheme="minorHAnsi"/>
        </w:rPr>
        <w:t xml:space="preserve"> to the Minister.</w:t>
      </w:r>
    </w:p>
    <w:p w14:paraId="09DD90D5" w14:textId="46307DAC" w:rsidR="002338B4" w:rsidRPr="00600659" w:rsidRDefault="00751B33" w:rsidP="007204C1">
      <w:pPr>
        <w:spacing w:after="160" w:line="259" w:lineRule="auto"/>
        <w:rPr>
          <w:rFonts w:cstheme="minorHAnsi"/>
        </w:rPr>
      </w:pPr>
      <w:r w:rsidRPr="00600659">
        <w:rPr>
          <w:rFonts w:cstheme="minorHAnsi"/>
        </w:rPr>
        <w:t xml:space="preserve">The </w:t>
      </w:r>
      <w:r w:rsidR="009A5A9B">
        <w:rPr>
          <w:rFonts w:cstheme="minorHAnsi"/>
        </w:rPr>
        <w:t xml:space="preserve">acting </w:t>
      </w:r>
      <w:r w:rsidRPr="000471E4">
        <w:rPr>
          <w:rFonts w:cstheme="minorHAnsi"/>
          <w:b/>
          <w:bCs/>
        </w:rPr>
        <w:t>Commissioner</w:t>
      </w:r>
      <w:r w:rsidRPr="00600659">
        <w:rPr>
          <w:rFonts w:cstheme="minorHAnsi"/>
        </w:rPr>
        <w:t xml:space="preserve"> said that the proposed Terms of Reference provided a clear path for ITRF</w:t>
      </w:r>
      <w:r w:rsidR="009A5A9B">
        <w:rPr>
          <w:rFonts w:cstheme="minorHAnsi"/>
        </w:rPr>
        <w:t xml:space="preserve"> Members</w:t>
      </w:r>
      <w:r w:rsidRPr="00600659">
        <w:rPr>
          <w:rFonts w:cstheme="minorHAnsi"/>
        </w:rPr>
        <w:t xml:space="preserve"> to provide recommendations and views to the Minister, while preserving space to represent the range of views that Members bring to the table.</w:t>
      </w:r>
      <w:r w:rsidR="007204C1" w:rsidRPr="00600659">
        <w:rPr>
          <w:rFonts w:cstheme="minorHAnsi"/>
        </w:rPr>
        <w:t xml:space="preserve"> </w:t>
      </w:r>
      <w:r w:rsidR="002338B4" w:rsidRPr="00600659">
        <w:rPr>
          <w:rFonts w:cstheme="minorHAnsi"/>
        </w:rPr>
        <w:t xml:space="preserve">On proxies, the proposed Terms of Reference clarifies the role of proxies in the </w:t>
      </w:r>
      <w:r w:rsidR="009A5A9B">
        <w:rPr>
          <w:rFonts w:cstheme="minorHAnsi"/>
        </w:rPr>
        <w:t>ITRF</w:t>
      </w:r>
      <w:r w:rsidR="009A5A9B" w:rsidRPr="00600659">
        <w:rPr>
          <w:rFonts w:cstheme="minorHAnsi"/>
        </w:rPr>
        <w:t xml:space="preserve"> </w:t>
      </w:r>
      <w:r w:rsidR="002338B4" w:rsidRPr="00600659">
        <w:rPr>
          <w:rFonts w:cstheme="minorHAnsi"/>
        </w:rPr>
        <w:t>and the procedures for their appointment.</w:t>
      </w:r>
    </w:p>
    <w:p w14:paraId="178128A7" w14:textId="2FA61031" w:rsidR="002338B4" w:rsidRPr="00127694" w:rsidRDefault="007204C1" w:rsidP="002338B4">
      <w:pPr>
        <w:rPr>
          <w:rFonts w:cstheme="minorHAnsi"/>
          <w:lang w:eastAsia="en-AU"/>
        </w:rPr>
      </w:pPr>
      <w:r w:rsidRPr="00127694">
        <w:rPr>
          <w:rFonts w:cstheme="minorHAnsi"/>
          <w:lang w:eastAsia="en-AU"/>
        </w:rPr>
        <w:t xml:space="preserve">ITRF Members discussed the Terms of Reference and </w:t>
      </w:r>
      <w:r w:rsidR="00971F5A" w:rsidRPr="00127694">
        <w:rPr>
          <w:rFonts w:cstheme="minorHAnsi"/>
          <w:lang w:eastAsia="en-AU"/>
        </w:rPr>
        <w:t xml:space="preserve">agreed to provide their feedback in the next two weeks, with </w:t>
      </w:r>
      <w:r w:rsidR="006918F8">
        <w:rPr>
          <w:rFonts w:cstheme="minorHAnsi"/>
          <w:lang w:eastAsia="en-AU"/>
        </w:rPr>
        <w:t xml:space="preserve">a </w:t>
      </w:r>
      <w:r w:rsidR="00971F5A" w:rsidRPr="00127694">
        <w:rPr>
          <w:rFonts w:cstheme="minorHAnsi"/>
          <w:lang w:eastAsia="en-AU"/>
        </w:rPr>
        <w:t xml:space="preserve">view to holding another ITRF meeting </w:t>
      </w:r>
      <w:r w:rsidR="009A5A9B">
        <w:rPr>
          <w:rFonts w:cstheme="minorHAnsi"/>
          <w:lang w:eastAsia="en-AU"/>
        </w:rPr>
        <w:t xml:space="preserve">within </w:t>
      </w:r>
      <w:r w:rsidR="002C0471">
        <w:rPr>
          <w:rFonts w:cstheme="minorHAnsi"/>
          <w:lang w:eastAsia="en-AU"/>
        </w:rPr>
        <w:t>4 to 6</w:t>
      </w:r>
      <w:r w:rsidR="009A5A9B">
        <w:rPr>
          <w:rFonts w:cstheme="minorHAnsi"/>
          <w:lang w:eastAsia="en-AU"/>
        </w:rPr>
        <w:t xml:space="preserve"> weeks to focus on the Terms of Reference</w:t>
      </w:r>
      <w:r w:rsidR="00971F5A" w:rsidRPr="00127694">
        <w:rPr>
          <w:rFonts w:cstheme="minorHAnsi"/>
          <w:lang w:eastAsia="en-AU"/>
        </w:rPr>
        <w:t>.</w:t>
      </w:r>
    </w:p>
    <w:p w14:paraId="110C44F3" w14:textId="77777777" w:rsidR="00E21D44" w:rsidRPr="00127694" w:rsidRDefault="00E21D44" w:rsidP="002338B4">
      <w:pPr>
        <w:rPr>
          <w:rFonts w:cstheme="minorHAnsi"/>
          <w:b/>
          <w:bCs/>
          <w:lang w:eastAsia="en-AU"/>
        </w:rPr>
      </w:pPr>
    </w:p>
    <w:p w14:paraId="42202391" w14:textId="21FD64AF" w:rsidR="00971F5A" w:rsidRDefault="00971F5A" w:rsidP="002338B4">
      <w:pPr>
        <w:rPr>
          <w:rFonts w:cstheme="minorHAnsi"/>
          <w:b/>
          <w:bCs/>
          <w:highlight w:val="yellow"/>
          <w:lang w:eastAsia="en-AU"/>
        </w:rPr>
      </w:pPr>
      <w:r w:rsidRPr="00127694">
        <w:rPr>
          <w:rFonts w:cstheme="minorHAnsi"/>
          <w:b/>
          <w:bCs/>
          <w:lang w:eastAsia="en-AU"/>
        </w:rPr>
        <w:t>Action items:</w:t>
      </w:r>
    </w:p>
    <w:p w14:paraId="0C57E8D2" w14:textId="77777777" w:rsidR="000D376C" w:rsidRPr="000D376C" w:rsidRDefault="000D376C" w:rsidP="002338B4">
      <w:pPr>
        <w:rPr>
          <w:rFonts w:cstheme="minorHAnsi"/>
          <w:b/>
          <w:bCs/>
          <w:highlight w:val="yellow"/>
          <w:lang w:eastAsia="en-AU"/>
        </w:rPr>
      </w:pPr>
    </w:p>
    <w:p w14:paraId="1E8FA18B" w14:textId="61C62998" w:rsidR="00971F5A" w:rsidRDefault="00971F5A" w:rsidP="000D376C">
      <w:pPr>
        <w:pStyle w:val="ListParagraph"/>
        <w:numPr>
          <w:ilvl w:val="0"/>
          <w:numId w:val="1"/>
        </w:numPr>
        <w:spacing w:after="160" w:line="259" w:lineRule="auto"/>
        <w:rPr>
          <w:rFonts w:eastAsia="Calibri" w:cstheme="minorHAnsi"/>
        </w:rPr>
      </w:pPr>
      <w:r w:rsidRPr="000D376C">
        <w:rPr>
          <w:rFonts w:eastAsia="Calibri" w:cstheme="minorHAnsi"/>
        </w:rPr>
        <w:t xml:space="preserve">ITRF </w:t>
      </w:r>
      <w:r w:rsidR="000471E4">
        <w:rPr>
          <w:rFonts w:eastAsia="Calibri" w:cstheme="minorHAnsi"/>
        </w:rPr>
        <w:t>M</w:t>
      </w:r>
      <w:r w:rsidRPr="000D376C">
        <w:rPr>
          <w:rFonts w:eastAsia="Calibri" w:cstheme="minorHAnsi"/>
        </w:rPr>
        <w:t xml:space="preserve">embers to provide feedback to the ITRF Secretariat </w:t>
      </w:r>
      <w:r w:rsidR="00015BBF">
        <w:rPr>
          <w:rFonts w:eastAsia="Calibri" w:cstheme="minorHAnsi"/>
        </w:rPr>
        <w:t xml:space="preserve">on the draft </w:t>
      </w:r>
      <w:r w:rsidR="00C177C5">
        <w:rPr>
          <w:rFonts w:eastAsia="Calibri" w:cstheme="minorHAnsi"/>
        </w:rPr>
        <w:t>T</w:t>
      </w:r>
      <w:r w:rsidR="00015BBF">
        <w:rPr>
          <w:rFonts w:eastAsia="Calibri" w:cstheme="minorHAnsi"/>
        </w:rPr>
        <w:t xml:space="preserve">erms of Reference </w:t>
      </w:r>
      <w:r w:rsidRPr="000D376C">
        <w:rPr>
          <w:rFonts w:eastAsia="Calibri" w:cstheme="minorHAnsi"/>
        </w:rPr>
        <w:t xml:space="preserve">by </w:t>
      </w:r>
      <w:r w:rsidR="00127694">
        <w:rPr>
          <w:rFonts w:eastAsia="Calibri" w:cstheme="minorHAnsi"/>
        </w:rPr>
        <w:t>no later than 13 June 2024.</w:t>
      </w:r>
    </w:p>
    <w:p w14:paraId="5B8F477E" w14:textId="77777777" w:rsidR="000D376C" w:rsidRPr="000D376C" w:rsidRDefault="000D376C" w:rsidP="000D376C">
      <w:pPr>
        <w:pStyle w:val="ListParagraph"/>
        <w:spacing w:after="160" w:line="259" w:lineRule="auto"/>
        <w:rPr>
          <w:rFonts w:eastAsia="Calibri" w:cstheme="minorHAnsi"/>
        </w:rPr>
      </w:pPr>
    </w:p>
    <w:p w14:paraId="4FD2D602" w14:textId="656E5EE2" w:rsidR="002C0471" w:rsidRPr="00545093" w:rsidRDefault="00971F5A" w:rsidP="00545093">
      <w:pPr>
        <w:pStyle w:val="ListParagraph"/>
        <w:numPr>
          <w:ilvl w:val="0"/>
          <w:numId w:val="1"/>
        </w:numPr>
        <w:spacing w:after="160" w:line="259" w:lineRule="auto"/>
        <w:rPr>
          <w:rFonts w:eastAsia="Calibri" w:cstheme="minorHAnsi"/>
        </w:rPr>
      </w:pPr>
      <w:r w:rsidRPr="000D376C">
        <w:rPr>
          <w:rFonts w:eastAsia="Calibri" w:cstheme="minorHAnsi"/>
        </w:rPr>
        <w:t xml:space="preserve">ITRF Secretariat to </w:t>
      </w:r>
      <w:r w:rsidR="00E21D44" w:rsidRPr="000D376C">
        <w:rPr>
          <w:rFonts w:eastAsia="Calibri" w:cstheme="minorHAnsi"/>
        </w:rPr>
        <w:t xml:space="preserve">schedule </w:t>
      </w:r>
      <w:r w:rsidR="00015BBF">
        <w:rPr>
          <w:rFonts w:eastAsia="Calibri" w:cstheme="minorHAnsi"/>
        </w:rPr>
        <w:t xml:space="preserve">an </w:t>
      </w:r>
      <w:r w:rsidR="00E21D44" w:rsidRPr="000D376C">
        <w:rPr>
          <w:rFonts w:eastAsia="Calibri" w:cstheme="minorHAnsi"/>
        </w:rPr>
        <w:t xml:space="preserve">ITRF meeting to be held in 4 – 6 weeks to discuss the Terms </w:t>
      </w:r>
      <w:r w:rsidR="009D0A87">
        <w:rPr>
          <w:rFonts w:eastAsia="Calibri" w:cstheme="minorHAnsi"/>
        </w:rPr>
        <w:t>o</w:t>
      </w:r>
      <w:r w:rsidR="00E21D44" w:rsidRPr="000D376C">
        <w:rPr>
          <w:rFonts w:eastAsia="Calibri" w:cstheme="minorHAnsi"/>
        </w:rPr>
        <w:t xml:space="preserve">f Reference. </w:t>
      </w:r>
      <w:r w:rsidR="009D6918">
        <w:rPr>
          <w:rFonts w:eastAsia="Calibri" w:cstheme="minorHAnsi"/>
        </w:rPr>
        <w:t xml:space="preserve">(all Action items are at </w:t>
      </w:r>
      <w:r w:rsidR="009D6918" w:rsidRPr="009D6918">
        <w:rPr>
          <w:rFonts w:eastAsia="Calibri" w:cstheme="minorHAnsi"/>
          <w:b/>
          <w:bCs/>
        </w:rPr>
        <w:t>Attachment B</w:t>
      </w:r>
      <w:r w:rsidR="009D6918">
        <w:rPr>
          <w:rFonts w:eastAsia="Calibri" w:cstheme="minorHAnsi"/>
        </w:rPr>
        <w:t>).</w:t>
      </w:r>
    </w:p>
    <w:p w14:paraId="151C460E" w14:textId="77777777" w:rsidR="007204C1" w:rsidRPr="002338B4" w:rsidRDefault="007204C1" w:rsidP="002338B4">
      <w:pPr>
        <w:rPr>
          <w:lang w:eastAsia="en-AU"/>
        </w:rPr>
      </w:pPr>
    </w:p>
    <w:p w14:paraId="32C9DD4E" w14:textId="006B42C0" w:rsidR="00D1024E" w:rsidRDefault="00E8093B" w:rsidP="00641DF9">
      <w:pPr>
        <w:pStyle w:val="Heading1"/>
        <w:rPr>
          <w:rFonts w:asciiTheme="minorHAnsi" w:hAnsiTheme="minorHAnsi" w:cstheme="minorHAnsi"/>
        </w:rPr>
      </w:pPr>
      <w:bookmarkStart w:id="5" w:name="_Hlk167483858"/>
      <w:r w:rsidRPr="008F5E49">
        <w:rPr>
          <w:rFonts w:asciiTheme="minorHAnsi" w:hAnsiTheme="minorHAnsi" w:cstheme="minorHAnsi"/>
        </w:rPr>
        <w:t xml:space="preserve">Agenda Item </w:t>
      </w:r>
      <w:r w:rsidR="007204C1">
        <w:rPr>
          <w:rFonts w:asciiTheme="minorHAnsi" w:hAnsiTheme="minorHAnsi" w:cstheme="minorHAnsi"/>
        </w:rPr>
        <w:t>7</w:t>
      </w:r>
      <w:r w:rsidRPr="008F5E49">
        <w:rPr>
          <w:rFonts w:asciiTheme="minorHAnsi" w:hAnsiTheme="minorHAnsi" w:cstheme="minorHAnsi"/>
        </w:rPr>
        <w:t xml:space="preserve"> – </w:t>
      </w:r>
      <w:r w:rsidR="002338B4">
        <w:rPr>
          <w:rFonts w:asciiTheme="minorHAnsi" w:hAnsiTheme="minorHAnsi" w:cstheme="minorHAnsi"/>
        </w:rPr>
        <w:t>Next meeting and closing remarks</w:t>
      </w:r>
    </w:p>
    <w:bookmarkEnd w:id="5"/>
    <w:p w14:paraId="2CAD1208" w14:textId="06D12F79" w:rsidR="002338B4" w:rsidRPr="00B67D8C" w:rsidRDefault="00B67D8C" w:rsidP="00B67D8C">
      <w:pPr>
        <w:spacing w:before="120" w:after="120"/>
        <w:rPr>
          <w:rFonts w:cstheme="minorHAnsi"/>
        </w:rPr>
      </w:pPr>
      <w:r>
        <w:rPr>
          <w:rFonts w:cstheme="minorHAnsi"/>
        </w:rPr>
        <w:t xml:space="preserve">The </w:t>
      </w:r>
      <w:r w:rsidR="002C0471">
        <w:rPr>
          <w:rFonts w:cstheme="minorHAnsi"/>
        </w:rPr>
        <w:t xml:space="preserve">acting </w:t>
      </w:r>
      <w:r w:rsidRPr="00015BBF">
        <w:rPr>
          <w:rFonts w:cstheme="minorHAnsi"/>
          <w:b/>
          <w:bCs/>
        </w:rPr>
        <w:t>Commissioner</w:t>
      </w:r>
      <w:r>
        <w:rPr>
          <w:rFonts w:cstheme="minorHAnsi"/>
        </w:rPr>
        <w:t xml:space="preserve"> thanked Members for their attendance and advised that the ITRF</w:t>
      </w:r>
      <w:r w:rsidR="002338B4" w:rsidRPr="00B67D8C">
        <w:rPr>
          <w:rFonts w:cstheme="minorHAnsi"/>
        </w:rPr>
        <w:t xml:space="preserve"> Secretariat </w:t>
      </w:r>
      <w:r>
        <w:rPr>
          <w:rFonts w:cstheme="minorHAnsi"/>
        </w:rPr>
        <w:t>would</w:t>
      </w:r>
      <w:r w:rsidR="002338B4" w:rsidRPr="00B67D8C">
        <w:rPr>
          <w:rFonts w:cstheme="minorHAnsi"/>
        </w:rPr>
        <w:t xml:space="preserve"> be in contact with Members about scheduling the next ITRF meeting. </w:t>
      </w:r>
    </w:p>
    <w:p w14:paraId="2C164093" w14:textId="77777777" w:rsidR="00317969" w:rsidRDefault="00317969">
      <w:pPr>
        <w:rPr>
          <w:lang w:eastAsia="en-AU"/>
        </w:rPr>
      </w:pPr>
      <w:r>
        <w:rPr>
          <w:lang w:eastAsia="en-AU"/>
        </w:rPr>
        <w:br w:type="page"/>
      </w:r>
    </w:p>
    <w:p w14:paraId="7A85DBFA" w14:textId="5A10B9CF" w:rsidR="00FB35DA" w:rsidRDefault="00FB35DA" w:rsidP="00FB35DA">
      <w:pPr>
        <w:pStyle w:val="Heading1"/>
        <w:rPr>
          <w:rFonts w:asciiTheme="minorHAnsi" w:eastAsia="Calibri" w:hAnsiTheme="minorHAnsi" w:cstheme="minorHAnsi"/>
        </w:rPr>
      </w:pPr>
      <w:r w:rsidRPr="008F5E49">
        <w:rPr>
          <w:rFonts w:asciiTheme="minorHAnsi" w:eastAsia="Calibri" w:hAnsiTheme="minorHAnsi" w:cstheme="minorHAnsi"/>
        </w:rPr>
        <w:lastRenderedPageBreak/>
        <w:t>Attachment A</w:t>
      </w:r>
      <w:r>
        <w:rPr>
          <w:rFonts w:asciiTheme="minorHAnsi" w:eastAsia="Calibri" w:hAnsiTheme="minorHAnsi" w:cstheme="minorHAnsi"/>
        </w:rPr>
        <w:t xml:space="preserve"> –</w:t>
      </w:r>
      <w:r w:rsidR="00CE3FD2">
        <w:rPr>
          <w:rFonts w:asciiTheme="minorHAnsi" w:eastAsia="Calibri" w:hAnsiTheme="minorHAnsi" w:cstheme="minorHAnsi"/>
        </w:rPr>
        <w:t>Attendee list</w:t>
      </w:r>
    </w:p>
    <w:p w14:paraId="59E8E81C" w14:textId="77777777" w:rsidR="002338B4" w:rsidRPr="004A7D27" w:rsidRDefault="002338B4" w:rsidP="002338B4">
      <w:pPr>
        <w:spacing w:before="120" w:after="120"/>
        <w:rPr>
          <w:b/>
          <w:bCs/>
        </w:rPr>
      </w:pPr>
      <w:r w:rsidRPr="004A7D27">
        <w:rPr>
          <w:b/>
          <w:bCs/>
        </w:rPr>
        <w:t>Anti-Dumping Commission</w:t>
      </w:r>
    </w:p>
    <w:tbl>
      <w:tblPr>
        <w:tblStyle w:val="TableGrid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none" w:sz="0" w:space="0" w:color="auto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2338B4" w:rsidRPr="00E33835" w14:paraId="1D716EA4" w14:textId="77777777" w:rsidTr="009259C3">
        <w:tc>
          <w:tcPr>
            <w:tcW w:w="9016" w:type="dxa"/>
            <w:shd w:val="clear" w:color="auto" w:fill="D9D9D9" w:themeFill="background1" w:themeFillShade="D9"/>
          </w:tcPr>
          <w:p w14:paraId="571D6325" w14:textId="77777777" w:rsidR="002338B4" w:rsidRPr="00CA2DE0" w:rsidRDefault="002338B4" w:rsidP="009259C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CA2DE0">
              <w:rPr>
                <w:rFonts w:cstheme="minorHAnsi"/>
                <w:b/>
                <w:i/>
                <w:sz w:val="20"/>
                <w:szCs w:val="20"/>
              </w:rPr>
              <w:t>In-person</w:t>
            </w:r>
          </w:p>
        </w:tc>
      </w:tr>
      <w:tr w:rsidR="002338B4" w:rsidRPr="00B34230" w14:paraId="0AEFBAF6" w14:textId="77777777" w:rsidTr="009259C3">
        <w:tc>
          <w:tcPr>
            <w:tcW w:w="9016" w:type="dxa"/>
          </w:tcPr>
          <w:p w14:paraId="10DD0AB0" w14:textId="77777777" w:rsidR="002338B4" w:rsidRPr="00B34230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2C643A">
              <w:rPr>
                <w:rFonts w:cstheme="minorHAnsi"/>
              </w:rPr>
              <w:t>Esther Harvey, Acting Deputy Commissioner, Strategy and Operations</w:t>
            </w:r>
          </w:p>
        </w:tc>
      </w:tr>
      <w:tr w:rsidR="002338B4" w:rsidRPr="00B34230" w14:paraId="3169DB03" w14:textId="77777777" w:rsidTr="009259C3">
        <w:tc>
          <w:tcPr>
            <w:tcW w:w="9016" w:type="dxa"/>
          </w:tcPr>
          <w:p w14:paraId="29E42B9C" w14:textId="77777777" w:rsidR="002338B4" w:rsidRPr="00B34230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2C643A">
              <w:rPr>
                <w:rFonts w:cstheme="minorHAnsi"/>
              </w:rPr>
              <w:t>Mayuran Jeyarajah, Acting Deputy Commissioner, Investigations</w:t>
            </w:r>
          </w:p>
        </w:tc>
      </w:tr>
      <w:tr w:rsidR="002338B4" w:rsidRPr="00B34230" w14:paraId="3CC3518B" w14:textId="77777777" w:rsidTr="009259C3">
        <w:tc>
          <w:tcPr>
            <w:tcW w:w="9016" w:type="dxa"/>
          </w:tcPr>
          <w:p w14:paraId="4503C5AD" w14:textId="77777777" w:rsidR="002338B4" w:rsidRPr="00B34230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2C643A">
              <w:rPr>
                <w:rFonts w:cstheme="minorHAnsi"/>
              </w:rPr>
              <w:t>Jason Fitts, Director, Outreach and Engagement</w:t>
            </w:r>
          </w:p>
        </w:tc>
      </w:tr>
      <w:tr w:rsidR="002338B4" w:rsidRPr="00B34230" w14:paraId="4CB36B07" w14:textId="77777777" w:rsidTr="009259C3">
        <w:tc>
          <w:tcPr>
            <w:tcW w:w="9016" w:type="dxa"/>
          </w:tcPr>
          <w:p w14:paraId="2C1C1737" w14:textId="77777777" w:rsidR="002338B4" w:rsidRPr="00B34230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2C643A">
              <w:rPr>
                <w:rFonts w:cstheme="minorHAnsi"/>
              </w:rPr>
              <w:t>Cameron Just, Assistant Director, Outreach and Engagement</w:t>
            </w:r>
          </w:p>
        </w:tc>
      </w:tr>
      <w:tr w:rsidR="002338B4" w:rsidRPr="00B34230" w14:paraId="0291B922" w14:textId="77777777" w:rsidTr="009259C3">
        <w:tc>
          <w:tcPr>
            <w:tcW w:w="9016" w:type="dxa"/>
          </w:tcPr>
          <w:p w14:paraId="1A1DC16A" w14:textId="77777777" w:rsidR="002338B4" w:rsidRPr="00B34230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2C643A">
              <w:rPr>
                <w:rFonts w:cstheme="minorHAnsi"/>
              </w:rPr>
              <w:t>Karen Anderton, Executive Support Officer</w:t>
            </w:r>
          </w:p>
        </w:tc>
      </w:tr>
      <w:tr w:rsidR="002338B4" w:rsidRPr="00E33835" w14:paraId="33F00BC5" w14:textId="77777777" w:rsidTr="009259C3">
        <w:tc>
          <w:tcPr>
            <w:tcW w:w="9016" w:type="dxa"/>
            <w:shd w:val="clear" w:color="auto" w:fill="D9D9D9" w:themeFill="background1" w:themeFillShade="D9"/>
          </w:tcPr>
          <w:p w14:paraId="2B77F49E" w14:textId="77777777" w:rsidR="002338B4" w:rsidRPr="00CA2DE0" w:rsidRDefault="002338B4" w:rsidP="009259C3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CA2DE0">
              <w:rPr>
                <w:rFonts w:cstheme="minorHAnsi"/>
                <w:b/>
                <w:i/>
                <w:sz w:val="20"/>
                <w:szCs w:val="20"/>
              </w:rPr>
              <w:t>Virtual</w:t>
            </w:r>
          </w:p>
        </w:tc>
      </w:tr>
      <w:tr w:rsidR="002338B4" w:rsidRPr="002338B4" w14:paraId="53720FF6" w14:textId="77777777" w:rsidTr="009259C3">
        <w:tc>
          <w:tcPr>
            <w:tcW w:w="9016" w:type="dxa"/>
          </w:tcPr>
          <w:p w14:paraId="5A42E5AD" w14:textId="6BEB7920" w:rsidR="002338B4" w:rsidRPr="002338B4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  <w:rPr>
                <w:rFonts w:cstheme="minorHAnsi"/>
              </w:rPr>
            </w:pPr>
            <w:r w:rsidRPr="002338B4">
              <w:rPr>
                <w:rFonts w:cstheme="minorHAnsi"/>
              </w:rPr>
              <w:t>Isolde Lueckenhausen, Acting Commissioner</w:t>
            </w:r>
          </w:p>
        </w:tc>
      </w:tr>
      <w:tr w:rsidR="002338B4" w:rsidRPr="002338B4" w14:paraId="78C246FC" w14:textId="77777777" w:rsidTr="009259C3">
        <w:tc>
          <w:tcPr>
            <w:tcW w:w="9016" w:type="dxa"/>
          </w:tcPr>
          <w:p w14:paraId="1B006228" w14:textId="018C2FF1" w:rsidR="002338B4" w:rsidRPr="002338B4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  <w:rPr>
                <w:rFonts w:cstheme="minorHAnsi"/>
              </w:rPr>
            </w:pPr>
            <w:r w:rsidRPr="002338B4">
              <w:rPr>
                <w:rFonts w:cstheme="minorHAnsi"/>
              </w:rPr>
              <w:t>Ivan Parrett, Director, Operational Policy and Practice</w:t>
            </w:r>
          </w:p>
        </w:tc>
      </w:tr>
      <w:tr w:rsidR="002338B4" w:rsidRPr="002338B4" w14:paraId="7B8FFDD7" w14:textId="77777777" w:rsidTr="009259C3">
        <w:tc>
          <w:tcPr>
            <w:tcW w:w="9016" w:type="dxa"/>
          </w:tcPr>
          <w:p w14:paraId="502A2310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  <w:rPr>
                <w:rFonts w:cstheme="minorHAnsi"/>
              </w:rPr>
            </w:pPr>
            <w:r w:rsidRPr="00A91EC9">
              <w:rPr>
                <w:rFonts w:cstheme="minorHAnsi"/>
              </w:rPr>
              <w:t>Sarah Salter, Senior Engagement Officer, Outreach and Engagement</w:t>
            </w:r>
          </w:p>
        </w:tc>
      </w:tr>
    </w:tbl>
    <w:p w14:paraId="5E0A29EC" w14:textId="2010237D" w:rsidR="002338B4" w:rsidRPr="00055143" w:rsidRDefault="002D3A62" w:rsidP="002338B4">
      <w:pPr>
        <w:spacing w:before="120" w:after="120"/>
        <w:rPr>
          <w:b/>
          <w:bCs/>
        </w:rPr>
      </w:pPr>
      <w:r>
        <w:rPr>
          <w:b/>
          <w:bCs/>
        </w:rPr>
        <w:t>Non-government</w:t>
      </w:r>
      <w:r w:rsidR="002338B4" w:rsidRPr="005E608D">
        <w:rPr>
          <w:b/>
          <w:bCs/>
        </w:rPr>
        <w:t xml:space="preserve"> members</w:t>
      </w:r>
    </w:p>
    <w:tbl>
      <w:tblPr>
        <w:tblStyle w:val="TableGrid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none" w:sz="0" w:space="0" w:color="auto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2338B4" w14:paraId="14F85812" w14:textId="77777777" w:rsidTr="009259C3">
        <w:tc>
          <w:tcPr>
            <w:tcW w:w="9016" w:type="dxa"/>
            <w:shd w:val="clear" w:color="auto" w:fill="D9D9D9" w:themeFill="background1" w:themeFillShade="D9"/>
          </w:tcPr>
          <w:p w14:paraId="46F736A6" w14:textId="7DBA6E23" w:rsidR="002338B4" w:rsidRDefault="002338B4" w:rsidP="009259C3">
            <w:r w:rsidRPr="00E3383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In-person</w:t>
            </w:r>
          </w:p>
        </w:tc>
      </w:tr>
      <w:tr w:rsidR="002338B4" w:rsidRPr="00B34230" w14:paraId="3439A909" w14:textId="77777777" w:rsidTr="009259C3">
        <w:tc>
          <w:tcPr>
            <w:tcW w:w="9016" w:type="dxa"/>
          </w:tcPr>
          <w:p w14:paraId="1657753F" w14:textId="77777777" w:rsidR="002338B4" w:rsidRPr="00B34230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2C643A">
              <w:t>Ross Becroft, Principal, Law Council of Australia</w:t>
            </w:r>
          </w:p>
        </w:tc>
      </w:tr>
      <w:tr w:rsidR="002338B4" w:rsidRPr="00B34230" w14:paraId="330A5089" w14:textId="77777777" w:rsidTr="009259C3">
        <w:tc>
          <w:tcPr>
            <w:tcW w:w="9016" w:type="dxa"/>
          </w:tcPr>
          <w:p w14:paraId="23168C1F" w14:textId="77777777" w:rsidR="002338B4" w:rsidRPr="00B34230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2C643A">
              <w:t xml:space="preserve">Mark Cain, Chief Executive, Australian Steel Institute </w:t>
            </w:r>
          </w:p>
        </w:tc>
      </w:tr>
      <w:tr w:rsidR="002338B4" w:rsidRPr="00B34230" w14:paraId="4BD5F3B4" w14:textId="77777777" w:rsidTr="009259C3">
        <w:tc>
          <w:tcPr>
            <w:tcW w:w="9016" w:type="dxa"/>
          </w:tcPr>
          <w:p w14:paraId="2DC0785B" w14:textId="77777777" w:rsidR="002338B4" w:rsidRPr="00B34230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2C643A">
              <w:t>Marc Cousins, Manager</w:t>
            </w:r>
            <w:r>
              <w:t>,</w:t>
            </w:r>
            <w:r w:rsidRPr="002C643A">
              <w:t xml:space="preserve"> International Trade Affairs, Bluescope Limited</w:t>
            </w:r>
          </w:p>
        </w:tc>
      </w:tr>
      <w:tr w:rsidR="002338B4" w:rsidRPr="00B34230" w14:paraId="301985E6" w14:textId="77777777" w:rsidTr="009259C3">
        <w:tc>
          <w:tcPr>
            <w:tcW w:w="9016" w:type="dxa"/>
          </w:tcPr>
          <w:p w14:paraId="69F32684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A91EC9">
              <w:t>Matt Condon, Manager Trade Development, InfraBuild Steel</w:t>
            </w:r>
          </w:p>
        </w:tc>
      </w:tr>
      <w:tr w:rsidR="002338B4" w:rsidRPr="00B34230" w14:paraId="53EF3801" w14:textId="77777777" w:rsidTr="00B67D8C">
        <w:trPr>
          <w:trHeight w:val="447"/>
        </w:trPr>
        <w:tc>
          <w:tcPr>
            <w:tcW w:w="9016" w:type="dxa"/>
          </w:tcPr>
          <w:p w14:paraId="5E328A44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2C643A">
              <w:t>Richard Hyett, Director of Policy, Australian Forest Products Association (new representative)</w:t>
            </w:r>
          </w:p>
        </w:tc>
      </w:tr>
      <w:tr w:rsidR="002338B4" w:rsidRPr="00B34230" w14:paraId="2B4B6E49" w14:textId="77777777" w:rsidTr="00B67D8C">
        <w:trPr>
          <w:trHeight w:val="186"/>
        </w:trPr>
        <w:tc>
          <w:tcPr>
            <w:tcW w:w="9016" w:type="dxa"/>
          </w:tcPr>
          <w:p w14:paraId="1B446E62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</w:pPr>
            <w:r w:rsidRPr="00A91EC9">
              <w:t>Louise McGrath, Head of Industry Development and Policy, Australian Industry Group</w:t>
            </w:r>
          </w:p>
        </w:tc>
      </w:tr>
      <w:tr w:rsidR="002338B4" w:rsidRPr="00B34230" w14:paraId="368450A3" w14:textId="77777777" w:rsidTr="009259C3">
        <w:tc>
          <w:tcPr>
            <w:tcW w:w="9016" w:type="dxa"/>
          </w:tcPr>
          <w:p w14:paraId="07D2A158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>
              <w:t>Thomas Mortimer, A</w:t>
            </w:r>
            <w:r>
              <w:rPr>
                <w:rStyle w:val="ui-provider"/>
              </w:rPr>
              <w:t>ustralian Workers’ Union</w:t>
            </w:r>
          </w:p>
        </w:tc>
      </w:tr>
      <w:tr w:rsidR="002338B4" w:rsidRPr="00B34230" w14:paraId="29FD2974" w14:textId="77777777" w:rsidTr="009259C3">
        <w:tc>
          <w:tcPr>
            <w:tcW w:w="9016" w:type="dxa"/>
          </w:tcPr>
          <w:p w14:paraId="0D164261" w14:textId="77777777" w:rsidR="002338B4" w:rsidRPr="00B34230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2C643A">
              <w:t>Travis Wacey, National Policy Research Officer</w:t>
            </w:r>
            <w:r>
              <w:t>,</w:t>
            </w:r>
            <w:r w:rsidRPr="002C643A">
              <w:t xml:space="preserve"> Construction, Forestry, and Maritime Employees Union</w:t>
            </w:r>
          </w:p>
        </w:tc>
      </w:tr>
      <w:tr w:rsidR="002338B4" w14:paraId="65E366E8" w14:textId="77777777" w:rsidTr="009259C3">
        <w:tc>
          <w:tcPr>
            <w:tcW w:w="9016" w:type="dxa"/>
            <w:shd w:val="clear" w:color="auto" w:fill="D9D9D9" w:themeFill="background1" w:themeFillShade="D9"/>
          </w:tcPr>
          <w:p w14:paraId="702C130A" w14:textId="74D05954" w:rsidR="002338B4" w:rsidRDefault="002338B4" w:rsidP="009259C3">
            <w:r w:rsidRPr="00E33835">
              <w:rPr>
                <w:rFonts w:cstheme="minorHAnsi"/>
                <w:b/>
                <w:bCs/>
                <w:i/>
                <w:iCs/>
                <w:kern w:val="2"/>
                <w:sz w:val="20"/>
                <w:szCs w:val="20"/>
              </w:rPr>
              <w:t>Virtual</w:t>
            </w:r>
          </w:p>
        </w:tc>
      </w:tr>
      <w:tr w:rsidR="002338B4" w:rsidRPr="00B97517" w14:paraId="0E3CB2CB" w14:textId="77777777" w:rsidTr="009259C3">
        <w:tc>
          <w:tcPr>
            <w:tcW w:w="9016" w:type="dxa"/>
          </w:tcPr>
          <w:p w14:paraId="5FEFD148" w14:textId="33328504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2C643A">
              <w:t>Dillan Amin, Director</w:t>
            </w:r>
            <w:r w:rsidR="00C177C5">
              <w:t>,</w:t>
            </w:r>
            <w:r w:rsidRPr="002C643A">
              <w:t xml:space="preserve"> Global Trade, Rio Tinto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674A0">
              <w:rPr>
                <w:rFonts w:cstheme="minorHAnsi"/>
              </w:rPr>
              <w:t>(new representative)</w:t>
            </w:r>
          </w:p>
        </w:tc>
      </w:tr>
      <w:tr w:rsidR="002338B4" w:rsidRPr="00B97517" w14:paraId="29BC34C8" w14:textId="77777777" w:rsidTr="009259C3">
        <w:tc>
          <w:tcPr>
            <w:tcW w:w="9016" w:type="dxa"/>
          </w:tcPr>
          <w:p w14:paraId="49A3BDFB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>
              <w:t>Chris Barnes, Head of Business Development and International Affairs, Australian Chamber of Commerce and Industry</w:t>
            </w:r>
          </w:p>
        </w:tc>
      </w:tr>
      <w:tr w:rsidR="002338B4" w:rsidRPr="00B97517" w14:paraId="52D8B34C" w14:textId="77777777" w:rsidTr="009259C3">
        <w:tc>
          <w:tcPr>
            <w:tcW w:w="9016" w:type="dxa"/>
          </w:tcPr>
          <w:p w14:paraId="34419408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2C643A">
              <w:t>David Buchanan, Chief Executive Officer, Australian Steel Association</w:t>
            </w:r>
          </w:p>
        </w:tc>
      </w:tr>
      <w:tr w:rsidR="002338B4" w:rsidRPr="00B97517" w14:paraId="2395E6CF" w14:textId="77777777" w:rsidTr="009259C3">
        <w:tc>
          <w:tcPr>
            <w:tcW w:w="9016" w:type="dxa"/>
          </w:tcPr>
          <w:p w14:paraId="5E6353E2" w14:textId="3425BD2D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A91EC9">
              <w:t>Malcolm Hart, Senior Manager</w:t>
            </w:r>
            <w:r w:rsidR="00C177C5">
              <w:t>,</w:t>
            </w:r>
            <w:r w:rsidRPr="00A91EC9">
              <w:t xml:space="preserve"> Global Projects, Orica</w:t>
            </w:r>
          </w:p>
        </w:tc>
      </w:tr>
      <w:tr w:rsidR="002338B4" w:rsidRPr="00B97517" w14:paraId="31C8F39E" w14:textId="77777777" w:rsidTr="009259C3">
        <w:tc>
          <w:tcPr>
            <w:tcW w:w="9016" w:type="dxa"/>
          </w:tcPr>
          <w:p w14:paraId="48C467A5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2C643A">
              <w:t>Luke Hawkins, Divisional General Manager, Capral Limited</w:t>
            </w:r>
          </w:p>
        </w:tc>
      </w:tr>
      <w:tr w:rsidR="002338B4" w:rsidRPr="00B97517" w14:paraId="20FA9E33" w14:textId="77777777" w:rsidTr="009259C3">
        <w:tc>
          <w:tcPr>
            <w:tcW w:w="9016" w:type="dxa"/>
          </w:tcPr>
          <w:p w14:paraId="0536C39A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305EB9">
              <w:t>Marghanita Johnson, CEO, Australian Aluminium Council</w:t>
            </w:r>
          </w:p>
        </w:tc>
      </w:tr>
      <w:tr w:rsidR="002338B4" w:rsidRPr="00B97517" w14:paraId="45516E00" w14:textId="77777777" w:rsidTr="009259C3">
        <w:tc>
          <w:tcPr>
            <w:tcW w:w="9016" w:type="dxa"/>
          </w:tcPr>
          <w:p w14:paraId="4993C74B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2C643A">
              <w:t>Corné Kritzinger, CEO, Oceania Glass</w:t>
            </w:r>
          </w:p>
        </w:tc>
      </w:tr>
      <w:tr w:rsidR="002338B4" w:rsidRPr="00B97517" w14:paraId="724A92C3" w14:textId="77777777" w:rsidTr="009259C3">
        <w:tc>
          <w:tcPr>
            <w:tcW w:w="9016" w:type="dxa"/>
          </w:tcPr>
          <w:p w14:paraId="5FF5C319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>
              <w:t>Bernard Lee, Director, Policy and Regulation, Chemistry Australia</w:t>
            </w:r>
          </w:p>
        </w:tc>
      </w:tr>
      <w:tr w:rsidR="002338B4" w:rsidRPr="00B97517" w14:paraId="71E20067" w14:textId="77777777" w:rsidTr="009259C3">
        <w:tc>
          <w:tcPr>
            <w:tcW w:w="9016" w:type="dxa"/>
          </w:tcPr>
          <w:p w14:paraId="31ED2645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2C643A">
              <w:t>Brad Leonard, Manager Border and Biosecurity, International Forwarders and Customs Brokers Association of Australia</w:t>
            </w:r>
          </w:p>
        </w:tc>
      </w:tr>
      <w:tr w:rsidR="002338B4" w:rsidRPr="00B97517" w14:paraId="6E0F3EFE" w14:textId="77777777" w:rsidTr="009259C3">
        <w:tc>
          <w:tcPr>
            <w:tcW w:w="9016" w:type="dxa"/>
          </w:tcPr>
          <w:p w14:paraId="0636595F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>
              <w:rPr>
                <w:rFonts w:ascii="Calibri" w:hAnsi="Calibri"/>
              </w:rPr>
              <w:t xml:space="preserve">Steve Murphy, National Secretary, </w:t>
            </w:r>
            <w:r w:rsidRPr="000674A0">
              <w:rPr>
                <w:rFonts w:ascii="Calibri" w:hAnsi="Calibri"/>
              </w:rPr>
              <w:t>Australian Manufacturing Workers’ Union</w:t>
            </w:r>
          </w:p>
        </w:tc>
      </w:tr>
      <w:tr w:rsidR="002338B4" w:rsidRPr="00B97517" w14:paraId="79826969" w14:textId="77777777" w:rsidTr="009259C3">
        <w:tc>
          <w:tcPr>
            <w:tcW w:w="9016" w:type="dxa"/>
          </w:tcPr>
          <w:p w14:paraId="59F079ED" w14:textId="77777777" w:rsidR="002338B4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</w:pPr>
            <w:r w:rsidRPr="00A91EC9">
              <w:t>Chad Uphill, Director, Chad Uphill Trade Advisory (on behalf of Bluescope Limited)</w:t>
            </w:r>
          </w:p>
        </w:tc>
      </w:tr>
      <w:tr w:rsidR="002338B4" w:rsidRPr="00B97517" w14:paraId="3FF6F2A9" w14:textId="77777777" w:rsidTr="009259C3">
        <w:tc>
          <w:tcPr>
            <w:tcW w:w="9016" w:type="dxa"/>
          </w:tcPr>
          <w:p w14:paraId="1B12EC10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</w:pPr>
            <w:r>
              <w:t>Alexander Uskhopov, Lawyer, Rigby Cooke Lawyers (on behalf of the Food and Beverage Importers Association)</w:t>
            </w:r>
          </w:p>
        </w:tc>
      </w:tr>
      <w:tr w:rsidR="002338B4" w:rsidRPr="00B34230" w14:paraId="3A21CB1E" w14:textId="77777777" w:rsidTr="009259C3">
        <w:tc>
          <w:tcPr>
            <w:tcW w:w="9016" w:type="dxa"/>
          </w:tcPr>
          <w:p w14:paraId="7FC816DB" w14:textId="77777777" w:rsidR="002338B4" w:rsidRPr="00B34230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2C643A">
              <w:t>Russell Weise, Director CGT Law</w:t>
            </w:r>
            <w:r>
              <w:t xml:space="preserve"> (on behalf of</w:t>
            </w:r>
            <w:r w:rsidRPr="002C643A">
              <w:t xml:space="preserve"> the Freight Trade Alliance</w:t>
            </w:r>
            <w:r>
              <w:t>)</w:t>
            </w:r>
          </w:p>
        </w:tc>
      </w:tr>
      <w:tr w:rsidR="002338B4" w:rsidRPr="00B34230" w14:paraId="0D35DEA2" w14:textId="77777777" w:rsidTr="009259C3">
        <w:tc>
          <w:tcPr>
            <w:tcW w:w="9016" w:type="dxa"/>
          </w:tcPr>
          <w:p w14:paraId="3D7A059B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>
              <w:t>Harry Young, Senior Policy Officer, National Farmers Federation</w:t>
            </w:r>
          </w:p>
        </w:tc>
      </w:tr>
    </w:tbl>
    <w:p w14:paraId="66AA9FBA" w14:textId="77777777" w:rsidR="002338B4" w:rsidRPr="00DC37E7" w:rsidRDefault="002338B4" w:rsidP="002338B4">
      <w:pPr>
        <w:spacing w:before="120" w:after="120"/>
        <w:rPr>
          <w:b/>
          <w:bCs/>
        </w:rPr>
      </w:pPr>
      <w:r w:rsidRPr="00DC37E7">
        <w:rPr>
          <w:b/>
          <w:bCs/>
        </w:rPr>
        <w:t>Anti-</w:t>
      </w:r>
      <w:r>
        <w:rPr>
          <w:b/>
          <w:bCs/>
        </w:rPr>
        <w:t>D</w:t>
      </w:r>
      <w:r w:rsidRPr="00DC37E7">
        <w:rPr>
          <w:b/>
          <w:bCs/>
        </w:rPr>
        <w:t xml:space="preserve">umping Review Panel </w:t>
      </w:r>
    </w:p>
    <w:tbl>
      <w:tblPr>
        <w:tblStyle w:val="TableGrid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none" w:sz="0" w:space="0" w:color="auto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2338B4" w14:paraId="3AA323B4" w14:textId="77777777" w:rsidTr="009259C3">
        <w:tc>
          <w:tcPr>
            <w:tcW w:w="9016" w:type="dxa"/>
            <w:shd w:val="clear" w:color="auto" w:fill="D9D9D9" w:themeFill="background1" w:themeFillShade="D9"/>
          </w:tcPr>
          <w:p w14:paraId="3ABE8939" w14:textId="77777777" w:rsidR="002338B4" w:rsidRDefault="002338B4" w:rsidP="009259C3">
            <w:r w:rsidRPr="00E3383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In-person</w:t>
            </w:r>
          </w:p>
        </w:tc>
      </w:tr>
      <w:tr w:rsidR="002338B4" w:rsidRPr="00B34230" w14:paraId="779C4452" w14:textId="77777777" w:rsidTr="00B67D8C">
        <w:trPr>
          <w:trHeight w:val="125"/>
        </w:trPr>
        <w:tc>
          <w:tcPr>
            <w:tcW w:w="9016" w:type="dxa"/>
          </w:tcPr>
          <w:p w14:paraId="1F9D7B9F" w14:textId="3660DE01" w:rsidR="002338B4" w:rsidRPr="00B34230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2C643A">
              <w:t>Pouyan Afshar, Senior Membe</w:t>
            </w:r>
            <w:r>
              <w:t>r</w:t>
            </w:r>
          </w:p>
        </w:tc>
      </w:tr>
      <w:tr w:rsidR="002338B4" w:rsidRPr="00B34230" w14:paraId="37BEEF5D" w14:textId="77777777" w:rsidTr="009259C3">
        <w:tc>
          <w:tcPr>
            <w:tcW w:w="9016" w:type="dxa"/>
          </w:tcPr>
          <w:p w14:paraId="40F5FB85" w14:textId="77777777" w:rsidR="002338B4" w:rsidRPr="00B34230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2C643A">
              <w:t>Jaclyne Fisher, Panel Member</w:t>
            </w:r>
          </w:p>
        </w:tc>
      </w:tr>
      <w:tr w:rsidR="002338B4" w14:paraId="0055AFFC" w14:textId="77777777" w:rsidTr="009259C3">
        <w:tc>
          <w:tcPr>
            <w:tcW w:w="9016" w:type="dxa"/>
            <w:shd w:val="clear" w:color="auto" w:fill="D9D9D9" w:themeFill="background1" w:themeFillShade="D9"/>
          </w:tcPr>
          <w:p w14:paraId="5CF6BA4B" w14:textId="77777777" w:rsidR="002338B4" w:rsidRDefault="002338B4" w:rsidP="009259C3">
            <w:r w:rsidRPr="00E33835">
              <w:rPr>
                <w:rFonts w:cstheme="minorHAnsi"/>
                <w:b/>
                <w:bCs/>
                <w:i/>
                <w:iCs/>
                <w:kern w:val="2"/>
                <w:sz w:val="20"/>
                <w:szCs w:val="20"/>
              </w:rPr>
              <w:t>Virtual</w:t>
            </w:r>
          </w:p>
        </w:tc>
      </w:tr>
      <w:tr w:rsidR="002338B4" w:rsidRPr="00B34230" w14:paraId="0DA39B18" w14:textId="77777777" w:rsidTr="009259C3">
        <w:tc>
          <w:tcPr>
            <w:tcW w:w="9016" w:type="dxa"/>
          </w:tcPr>
          <w:p w14:paraId="724CF6C3" w14:textId="77777777" w:rsidR="002338B4" w:rsidRPr="00B34230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</w:pPr>
            <w:r w:rsidRPr="002C643A">
              <w:t>Talitha Robertson, Senior Secretariat Officer</w:t>
            </w:r>
          </w:p>
        </w:tc>
      </w:tr>
    </w:tbl>
    <w:p w14:paraId="58819A25" w14:textId="77777777" w:rsidR="002338B4" w:rsidRPr="002051A3" w:rsidRDefault="002338B4" w:rsidP="002338B4">
      <w:pPr>
        <w:spacing w:before="120" w:after="120"/>
        <w:rPr>
          <w:b/>
        </w:rPr>
      </w:pPr>
      <w:r w:rsidRPr="00B945AA">
        <w:rPr>
          <w:b/>
          <w:bCs/>
        </w:rPr>
        <w:lastRenderedPageBreak/>
        <w:t xml:space="preserve">Department of Industry, Science and Resources </w:t>
      </w:r>
    </w:p>
    <w:tbl>
      <w:tblPr>
        <w:tblStyle w:val="TableGrid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none" w:sz="0" w:space="0" w:color="auto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2338B4" w:rsidRPr="003544D9" w14:paraId="3F9F86AA" w14:textId="77777777" w:rsidTr="009259C3">
        <w:tc>
          <w:tcPr>
            <w:tcW w:w="9016" w:type="dxa"/>
            <w:shd w:val="clear" w:color="auto" w:fill="D9D9D9" w:themeFill="background1" w:themeFillShade="D9"/>
          </w:tcPr>
          <w:p w14:paraId="7F0360A5" w14:textId="77777777" w:rsidR="002338B4" w:rsidRPr="003544D9" w:rsidRDefault="002338B4" w:rsidP="009259C3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544D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In-person</w:t>
            </w:r>
          </w:p>
        </w:tc>
      </w:tr>
      <w:tr w:rsidR="002338B4" w:rsidRPr="003544D9" w14:paraId="5A0C3939" w14:textId="77777777" w:rsidTr="009259C3">
        <w:tc>
          <w:tcPr>
            <w:tcW w:w="9016" w:type="dxa"/>
          </w:tcPr>
          <w:p w14:paraId="65FDF0D0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2C643A">
              <w:t>Julia Pickworth, Deputy Secretary, Industry and Commercialisation Group</w:t>
            </w:r>
          </w:p>
        </w:tc>
      </w:tr>
      <w:tr w:rsidR="002338B4" w:rsidRPr="005D2C80" w14:paraId="5FB79E2B" w14:textId="77777777" w:rsidTr="009259C3">
        <w:trPr>
          <w:trHeight w:val="238"/>
        </w:trPr>
        <w:tc>
          <w:tcPr>
            <w:tcW w:w="9016" w:type="dxa"/>
          </w:tcPr>
          <w:p w14:paraId="21FC1B7F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2C643A">
              <w:t>Leah Wojcik, General Manager, Industrial Net Zero Transformation Branch</w:t>
            </w:r>
          </w:p>
        </w:tc>
      </w:tr>
      <w:tr w:rsidR="002338B4" w:rsidRPr="003544D9" w14:paraId="6833409B" w14:textId="77777777" w:rsidTr="009259C3">
        <w:tc>
          <w:tcPr>
            <w:tcW w:w="9016" w:type="dxa"/>
            <w:shd w:val="clear" w:color="auto" w:fill="D9D9D9" w:themeFill="background1" w:themeFillShade="D9"/>
          </w:tcPr>
          <w:p w14:paraId="223BB8F5" w14:textId="77777777" w:rsidR="002338B4" w:rsidRPr="003544D9" w:rsidRDefault="002338B4" w:rsidP="009259C3">
            <w:pPr>
              <w:rPr>
                <w:rFonts w:cstheme="minorHAnsi"/>
                <w:sz w:val="20"/>
                <w:szCs w:val="20"/>
              </w:rPr>
            </w:pPr>
            <w:r w:rsidRPr="00E33835">
              <w:rPr>
                <w:rFonts w:cstheme="minorHAnsi"/>
                <w:b/>
                <w:bCs/>
                <w:i/>
                <w:iCs/>
                <w:kern w:val="2"/>
                <w:sz w:val="20"/>
                <w:szCs w:val="20"/>
              </w:rPr>
              <w:t>Virtual</w:t>
            </w:r>
          </w:p>
        </w:tc>
      </w:tr>
      <w:tr w:rsidR="002338B4" w:rsidRPr="003544D9" w14:paraId="3A0D372F" w14:textId="77777777" w:rsidTr="009259C3">
        <w:tc>
          <w:tcPr>
            <w:tcW w:w="9016" w:type="dxa"/>
          </w:tcPr>
          <w:p w14:paraId="11425D97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2C643A">
              <w:t xml:space="preserve">Karl Brennan, Manager, Anti-Dumping Policy Section </w:t>
            </w:r>
          </w:p>
        </w:tc>
      </w:tr>
      <w:tr w:rsidR="002338B4" w:rsidRPr="003544D9" w14:paraId="411809E4" w14:textId="77777777" w:rsidTr="009259C3">
        <w:tc>
          <w:tcPr>
            <w:tcW w:w="9016" w:type="dxa"/>
          </w:tcPr>
          <w:p w14:paraId="280ACAEF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2C643A">
              <w:t>Matthew Deady, Manager, Trade Programs, Trade Policy and Programs Section</w:t>
            </w:r>
          </w:p>
        </w:tc>
      </w:tr>
      <w:tr w:rsidR="002338B4" w:rsidRPr="005D2C80" w14:paraId="07B8B266" w14:textId="77777777" w:rsidTr="009259C3">
        <w:tc>
          <w:tcPr>
            <w:tcW w:w="9016" w:type="dxa"/>
          </w:tcPr>
          <w:p w14:paraId="52404C37" w14:textId="77777777" w:rsidR="002338B4" w:rsidRPr="00A91EC9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A91EC9">
              <w:t>Sanjay Sharma, Manager, Tradex Scheme, Trade Policy and Programs Section</w:t>
            </w:r>
          </w:p>
        </w:tc>
      </w:tr>
      <w:tr w:rsidR="002338B4" w:rsidRPr="005D2C80" w14:paraId="570FEAD5" w14:textId="77777777" w:rsidTr="009259C3">
        <w:tc>
          <w:tcPr>
            <w:tcW w:w="9016" w:type="dxa"/>
          </w:tcPr>
          <w:p w14:paraId="53A0B36B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A91EC9">
              <w:t>Lachlan Kelley, Assistant Manager, Anti-Dumping Policy Section</w:t>
            </w:r>
          </w:p>
        </w:tc>
      </w:tr>
      <w:tr w:rsidR="002338B4" w:rsidRPr="005D2C80" w14:paraId="53C89F22" w14:textId="77777777" w:rsidTr="009259C3">
        <w:tc>
          <w:tcPr>
            <w:tcW w:w="9016" w:type="dxa"/>
          </w:tcPr>
          <w:p w14:paraId="18B0DADA" w14:textId="77777777" w:rsidR="002338B4" w:rsidRPr="00A91EC9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</w:pPr>
            <w:r w:rsidRPr="00A91EC9">
              <w:t xml:space="preserve">Julian Stockwell, Assistant Manager, Anti-Dumping Policy Section </w:t>
            </w:r>
          </w:p>
        </w:tc>
      </w:tr>
      <w:tr w:rsidR="002338B4" w:rsidRPr="003544D9" w14:paraId="2086F4D2" w14:textId="77777777" w:rsidTr="009259C3">
        <w:tc>
          <w:tcPr>
            <w:tcW w:w="9016" w:type="dxa"/>
          </w:tcPr>
          <w:p w14:paraId="528DAF32" w14:textId="72E37582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2C643A">
              <w:t>Maria Themistocleous, Assistant Manager, Anti-Dumping Policy Section</w:t>
            </w:r>
          </w:p>
        </w:tc>
      </w:tr>
    </w:tbl>
    <w:p w14:paraId="4409FD56" w14:textId="77777777" w:rsidR="002338B4" w:rsidRPr="00277620" w:rsidRDefault="002338B4" w:rsidP="002338B4">
      <w:pPr>
        <w:spacing w:before="120" w:after="120"/>
        <w:rPr>
          <w:b/>
          <w:bCs/>
        </w:rPr>
      </w:pPr>
      <w:r w:rsidRPr="00277620">
        <w:rPr>
          <w:b/>
          <w:bCs/>
        </w:rPr>
        <w:t xml:space="preserve">Australian Border Force </w:t>
      </w:r>
    </w:p>
    <w:tbl>
      <w:tblPr>
        <w:tblStyle w:val="TableGrid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none" w:sz="0" w:space="0" w:color="auto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2338B4" w:rsidRPr="00EF447D" w14:paraId="53F5C6DA" w14:textId="77777777" w:rsidTr="009259C3">
        <w:tc>
          <w:tcPr>
            <w:tcW w:w="9016" w:type="dxa"/>
            <w:shd w:val="clear" w:color="auto" w:fill="D9D9D9" w:themeFill="background1" w:themeFillShade="D9"/>
          </w:tcPr>
          <w:p w14:paraId="4E48A52E" w14:textId="77777777" w:rsidR="002338B4" w:rsidRPr="00EF447D" w:rsidRDefault="002338B4" w:rsidP="009259C3">
            <w:r w:rsidRPr="00EF447D">
              <w:rPr>
                <w:rFonts w:cstheme="minorHAnsi"/>
                <w:b/>
                <w:bCs/>
                <w:i/>
                <w:iCs/>
                <w:kern w:val="2"/>
                <w:sz w:val="20"/>
                <w:szCs w:val="20"/>
              </w:rPr>
              <w:t>Virtual</w:t>
            </w:r>
          </w:p>
        </w:tc>
      </w:tr>
      <w:tr w:rsidR="002338B4" w:rsidRPr="00BE1639" w14:paraId="030FFF93" w14:textId="77777777" w:rsidTr="009259C3">
        <w:tc>
          <w:tcPr>
            <w:tcW w:w="9016" w:type="dxa"/>
          </w:tcPr>
          <w:p w14:paraId="3A0C406A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305EB9">
              <w:t>Mark Lang, Inspector, Trusted Trader and Compliance Branch</w:t>
            </w:r>
          </w:p>
        </w:tc>
      </w:tr>
    </w:tbl>
    <w:p w14:paraId="17CC4E72" w14:textId="77777777" w:rsidR="002338B4" w:rsidRPr="00277620" w:rsidRDefault="002338B4" w:rsidP="002338B4">
      <w:pPr>
        <w:spacing w:before="120" w:after="120"/>
        <w:rPr>
          <w:b/>
          <w:bCs/>
        </w:rPr>
      </w:pPr>
      <w:r w:rsidRPr="00277620">
        <w:rPr>
          <w:b/>
          <w:bCs/>
        </w:rPr>
        <w:t xml:space="preserve">Department of Foreign Affairs and Trade </w:t>
      </w:r>
    </w:p>
    <w:tbl>
      <w:tblPr>
        <w:tblStyle w:val="TableGrid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none" w:sz="0" w:space="0" w:color="auto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2338B4" w14:paraId="19CF4110" w14:textId="77777777" w:rsidTr="009259C3">
        <w:tc>
          <w:tcPr>
            <w:tcW w:w="9016" w:type="dxa"/>
            <w:shd w:val="clear" w:color="auto" w:fill="D9D9D9" w:themeFill="background1" w:themeFillShade="D9"/>
          </w:tcPr>
          <w:p w14:paraId="13EA2D0E" w14:textId="77777777" w:rsidR="002338B4" w:rsidRDefault="002338B4" w:rsidP="009259C3">
            <w:r w:rsidRPr="003544D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In-person</w:t>
            </w:r>
          </w:p>
        </w:tc>
      </w:tr>
      <w:tr w:rsidR="002338B4" w:rsidRPr="00BE1639" w14:paraId="759628CF" w14:textId="77777777" w:rsidTr="009259C3">
        <w:tc>
          <w:tcPr>
            <w:tcW w:w="9016" w:type="dxa"/>
          </w:tcPr>
          <w:p w14:paraId="3EFFC786" w14:textId="77777777" w:rsidR="002338B4" w:rsidRPr="00BE1639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2C643A">
              <w:t>Andrew Jacenko, Assistant Secretary, Goods and Market Access Branch</w:t>
            </w:r>
          </w:p>
        </w:tc>
      </w:tr>
      <w:tr w:rsidR="002338B4" w:rsidRPr="00BE1639" w14:paraId="0523A9C3" w14:textId="77777777" w:rsidTr="009259C3">
        <w:tc>
          <w:tcPr>
            <w:tcW w:w="9016" w:type="dxa"/>
          </w:tcPr>
          <w:p w14:paraId="1CA871D5" w14:textId="77777777" w:rsidR="002338B4" w:rsidRPr="00BE1639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2C643A">
              <w:t>Alan McGuiness, Director, Market Access and Trade Remedies Section</w:t>
            </w:r>
          </w:p>
        </w:tc>
      </w:tr>
      <w:tr w:rsidR="002338B4" w14:paraId="246895E3" w14:textId="77777777" w:rsidTr="009259C3">
        <w:tc>
          <w:tcPr>
            <w:tcW w:w="9016" w:type="dxa"/>
            <w:shd w:val="clear" w:color="auto" w:fill="D9D9D9" w:themeFill="background1" w:themeFillShade="D9"/>
          </w:tcPr>
          <w:p w14:paraId="443445DA" w14:textId="77777777" w:rsidR="002338B4" w:rsidRDefault="002338B4" w:rsidP="009259C3">
            <w:r w:rsidRPr="00E33835">
              <w:rPr>
                <w:rFonts w:cstheme="minorHAnsi"/>
                <w:b/>
                <w:bCs/>
                <w:i/>
                <w:iCs/>
                <w:kern w:val="2"/>
                <w:sz w:val="20"/>
                <w:szCs w:val="20"/>
              </w:rPr>
              <w:t>Virtual</w:t>
            </w:r>
          </w:p>
        </w:tc>
      </w:tr>
      <w:tr w:rsidR="002338B4" w:rsidRPr="00BE1639" w14:paraId="63E12B28" w14:textId="77777777" w:rsidTr="009259C3">
        <w:tc>
          <w:tcPr>
            <w:tcW w:w="9016" w:type="dxa"/>
          </w:tcPr>
          <w:p w14:paraId="5B4AE933" w14:textId="77777777" w:rsidR="002338B4" w:rsidRPr="00BE1639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2C643A">
              <w:t>Natalie Daalder, Director, Subsidies and Trade Remedies Law Section</w:t>
            </w:r>
          </w:p>
        </w:tc>
      </w:tr>
      <w:tr w:rsidR="002338B4" w:rsidRPr="00BE1639" w14:paraId="7E72BC4E" w14:textId="77777777" w:rsidTr="009259C3">
        <w:tc>
          <w:tcPr>
            <w:tcW w:w="9016" w:type="dxa"/>
          </w:tcPr>
          <w:p w14:paraId="5041915F" w14:textId="77777777" w:rsidR="002338B4" w:rsidRPr="00BE1639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2C643A">
              <w:t>Rachel Price, Director, Trade Disputes and Litigation Section</w:t>
            </w:r>
          </w:p>
        </w:tc>
      </w:tr>
    </w:tbl>
    <w:p w14:paraId="12AEF187" w14:textId="0448B303" w:rsidR="002338B4" w:rsidRPr="002051A3" w:rsidRDefault="002338B4" w:rsidP="002338B4">
      <w:pPr>
        <w:spacing w:before="120" w:after="120"/>
        <w:rPr>
          <w:b/>
        </w:rPr>
      </w:pPr>
      <w:r w:rsidRPr="00277620">
        <w:rPr>
          <w:b/>
          <w:bCs/>
        </w:rPr>
        <w:t>Apologies</w:t>
      </w:r>
    </w:p>
    <w:tbl>
      <w:tblPr>
        <w:tblStyle w:val="TableGrid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none" w:sz="0" w:space="0" w:color="auto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2338B4" w:rsidRPr="00BE1639" w14:paraId="7C31E94B" w14:textId="77777777" w:rsidTr="009259C3">
        <w:tc>
          <w:tcPr>
            <w:tcW w:w="9016" w:type="dxa"/>
          </w:tcPr>
          <w:p w14:paraId="5C747ED0" w14:textId="77777777" w:rsidR="002338B4" w:rsidRPr="002C643A" w:rsidRDefault="002338B4" w:rsidP="00B67D8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contextualSpacing w:val="0"/>
            </w:pPr>
            <w:r w:rsidRPr="002C643A">
              <w:t xml:space="preserve">Australian Council of Trade Unions </w:t>
            </w:r>
          </w:p>
        </w:tc>
      </w:tr>
    </w:tbl>
    <w:p w14:paraId="4B69C243" w14:textId="74081F67" w:rsidR="00152223" w:rsidRDefault="00152223" w:rsidP="00035BB0">
      <w:pPr>
        <w:pStyle w:val="Authoranddate"/>
        <w:rPr>
          <w:rFonts w:ascii="Calibri" w:eastAsia="Times New Roman" w:hAnsi="Calibri" w:cs="Calibri"/>
          <w:color w:val="000000"/>
          <w:spacing w:val="0"/>
          <w:kern w:val="0"/>
          <w:sz w:val="22"/>
          <w:szCs w:val="22"/>
          <w:lang w:eastAsia="en-AU"/>
        </w:rPr>
      </w:pPr>
    </w:p>
    <w:p w14:paraId="7F9EA9DD" w14:textId="4EB50DF8" w:rsidR="00CE3FD2" w:rsidRDefault="00CE3FD2">
      <w:pPr>
        <w:rPr>
          <w:rFonts w:ascii="Calibri" w:eastAsia="Times New Roman" w:hAnsi="Calibri" w:cs="Calibri"/>
          <w:color w:val="000000"/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br w:type="page"/>
      </w:r>
    </w:p>
    <w:p w14:paraId="12FB2996" w14:textId="77777777" w:rsidR="00CE3FD2" w:rsidRPr="00C36A68" w:rsidRDefault="00CE3FD2" w:rsidP="00CE3FD2">
      <w:pPr>
        <w:pStyle w:val="Heading1"/>
        <w:spacing w:before="240"/>
        <w:rPr>
          <w:rFonts w:asciiTheme="minorHAnsi" w:eastAsia="Calibri" w:hAnsiTheme="minorHAnsi" w:cstheme="minorHAnsi"/>
          <w:sz w:val="4"/>
          <w:szCs w:val="4"/>
        </w:rPr>
      </w:pPr>
      <w:r w:rsidRPr="008F5E49">
        <w:rPr>
          <w:rFonts w:asciiTheme="minorHAnsi" w:eastAsia="Calibri" w:hAnsiTheme="minorHAnsi" w:cstheme="minorHAnsi"/>
        </w:rPr>
        <w:lastRenderedPageBreak/>
        <w:t xml:space="preserve">Attachment </w:t>
      </w:r>
      <w:r>
        <w:rPr>
          <w:rFonts w:asciiTheme="minorHAnsi" w:eastAsia="Calibri" w:hAnsiTheme="minorHAnsi" w:cstheme="minorHAnsi"/>
        </w:rPr>
        <w:t>B – Action items</w:t>
      </w:r>
    </w:p>
    <w:p w14:paraId="2999D277" w14:textId="0F043175" w:rsidR="00CE3FD2" w:rsidRDefault="00CE3FD2">
      <w:pPr>
        <w:rPr>
          <w:rFonts w:ascii="Calibri" w:eastAsia="Times New Roman" w:hAnsi="Calibri" w:cs="Calibri"/>
          <w:color w:val="000000"/>
          <w:lang w:eastAsia="en-AU"/>
        </w:rPr>
      </w:pPr>
    </w:p>
    <w:p w14:paraId="695FEE58" w14:textId="77777777" w:rsidR="008E51FA" w:rsidRDefault="008E51FA" w:rsidP="008E51FA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6D7DA0">
        <w:rPr>
          <w:rFonts w:eastAsia="Calibri" w:cstheme="minorHAnsi"/>
        </w:rPr>
        <w:t>The</w:t>
      </w:r>
      <w:r>
        <w:rPr>
          <w:rFonts w:eastAsia="Calibri" w:cstheme="minorHAnsi"/>
        </w:rPr>
        <w:t xml:space="preserve"> Sub-committee to consider next steps and options for forwarding proposals to the Minister mindful of the discussion on Agenda Item 6 on the Terms of Reference.</w:t>
      </w:r>
    </w:p>
    <w:p w14:paraId="02773F6B" w14:textId="77777777" w:rsidR="008E51FA" w:rsidRDefault="008E51FA" w:rsidP="008E51FA">
      <w:pPr>
        <w:pStyle w:val="ListParagraph"/>
        <w:rPr>
          <w:rFonts w:eastAsia="Calibri" w:cstheme="minorHAnsi"/>
        </w:rPr>
      </w:pPr>
    </w:p>
    <w:p w14:paraId="33C895FB" w14:textId="1F67429B" w:rsidR="00CE3FD2" w:rsidRPr="008E51FA" w:rsidRDefault="008E51FA" w:rsidP="008E51FA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>
        <w:rPr>
          <w:rFonts w:eastAsia="Calibri" w:cstheme="minorHAnsi"/>
        </w:rPr>
        <w:t>If the Sub-committee decides to propose a further discussion on Early Harvest reforms with the entire ITRF, the ITRF Secretariat will organise an additional ITRF meeting.</w:t>
      </w:r>
      <w:r w:rsidR="00CE3FD2" w:rsidRPr="008E51FA">
        <w:rPr>
          <w:rFonts w:eastAsia="Calibri" w:cstheme="minorHAnsi"/>
        </w:rPr>
        <w:br/>
      </w:r>
    </w:p>
    <w:p w14:paraId="5884E3B7" w14:textId="7485021D" w:rsidR="008E51FA" w:rsidRPr="00C177C5" w:rsidRDefault="008E51FA" w:rsidP="008E51FA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>
        <w:rPr>
          <w:rFonts w:eastAsia="Calibri" w:cstheme="minorHAnsi"/>
        </w:rPr>
        <w:t>The c</w:t>
      </w:r>
      <w:r w:rsidRPr="000D376C">
        <w:rPr>
          <w:rFonts w:eastAsia="Calibri" w:cstheme="minorHAnsi"/>
        </w:rPr>
        <w:t xml:space="preserve">ommission to provide more detail at </w:t>
      </w:r>
      <w:r>
        <w:rPr>
          <w:rFonts w:eastAsia="Calibri" w:cstheme="minorHAnsi"/>
        </w:rPr>
        <w:t xml:space="preserve">the </w:t>
      </w:r>
      <w:r w:rsidRPr="000D376C">
        <w:rPr>
          <w:rFonts w:eastAsia="Calibri" w:cstheme="minorHAnsi"/>
        </w:rPr>
        <w:t xml:space="preserve">next ITRF </w:t>
      </w:r>
      <w:r>
        <w:rPr>
          <w:rFonts w:eastAsia="Calibri" w:cstheme="minorHAnsi"/>
        </w:rPr>
        <w:t xml:space="preserve">meeting </w:t>
      </w:r>
      <w:r w:rsidRPr="000D376C">
        <w:rPr>
          <w:rFonts w:eastAsia="Calibri" w:cstheme="minorHAnsi"/>
        </w:rPr>
        <w:t>regarding case lengths</w:t>
      </w:r>
      <w:r>
        <w:rPr>
          <w:rFonts w:eastAsia="Calibri" w:cstheme="minorHAnsi"/>
        </w:rPr>
        <w:t>.</w:t>
      </w:r>
      <w:r>
        <w:rPr>
          <w:rFonts w:eastAsia="Calibri" w:cstheme="minorHAnsi"/>
        </w:rPr>
        <w:br/>
      </w:r>
    </w:p>
    <w:p w14:paraId="7D20CA21" w14:textId="77777777" w:rsidR="008E51FA" w:rsidRPr="00C177C5" w:rsidRDefault="008E51FA" w:rsidP="008E51FA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>
        <w:rPr>
          <w:rFonts w:eastAsia="Calibri" w:cstheme="minorHAnsi"/>
        </w:rPr>
        <w:t>The c</w:t>
      </w:r>
      <w:r w:rsidRPr="000D376C">
        <w:rPr>
          <w:rFonts w:eastAsia="Calibri" w:cstheme="minorHAnsi"/>
        </w:rPr>
        <w:t xml:space="preserve">ommission to update </w:t>
      </w:r>
      <w:r>
        <w:rPr>
          <w:rFonts w:eastAsia="Calibri" w:cstheme="minorHAnsi"/>
        </w:rPr>
        <w:t xml:space="preserve">its </w:t>
      </w:r>
      <w:r w:rsidRPr="000D376C">
        <w:rPr>
          <w:rFonts w:eastAsia="Calibri" w:cstheme="minorHAnsi"/>
        </w:rPr>
        <w:t xml:space="preserve">website </w:t>
      </w:r>
      <w:r>
        <w:rPr>
          <w:rFonts w:eastAsia="Calibri" w:cstheme="minorHAnsi"/>
        </w:rPr>
        <w:t>with a disclaimer to clarify r</w:t>
      </w:r>
      <w:r w:rsidRPr="000D376C">
        <w:rPr>
          <w:rFonts w:eastAsia="Calibri" w:cstheme="minorHAnsi"/>
        </w:rPr>
        <w:t>eporting available o</w:t>
      </w:r>
      <w:r>
        <w:rPr>
          <w:rFonts w:eastAsia="Calibri" w:cstheme="minorHAnsi"/>
        </w:rPr>
        <w:t>n</w:t>
      </w:r>
      <w:r w:rsidRPr="000D376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its</w:t>
      </w:r>
      <w:r w:rsidRPr="000D376C">
        <w:rPr>
          <w:rFonts w:eastAsia="Calibri" w:cstheme="minorHAnsi"/>
        </w:rPr>
        <w:t xml:space="preserve"> cases.</w:t>
      </w:r>
    </w:p>
    <w:p w14:paraId="10C308AC" w14:textId="77777777" w:rsidR="00CE3FD2" w:rsidRPr="000D376C" w:rsidRDefault="00CE3FD2" w:rsidP="009F4E45">
      <w:pPr>
        <w:pStyle w:val="ListParagraph"/>
        <w:rPr>
          <w:rFonts w:eastAsia="Calibri" w:cstheme="minorHAnsi"/>
        </w:rPr>
      </w:pPr>
    </w:p>
    <w:p w14:paraId="2A6D9E4B" w14:textId="3F19C283" w:rsidR="00CE3FD2" w:rsidRDefault="00CE3FD2" w:rsidP="00C5426E">
      <w:pPr>
        <w:pStyle w:val="ListParagraph"/>
        <w:numPr>
          <w:ilvl w:val="0"/>
          <w:numId w:val="3"/>
        </w:numPr>
      </w:pPr>
      <w:r>
        <w:rPr>
          <w:rFonts w:eastAsia="Calibri" w:cstheme="minorHAnsi"/>
        </w:rPr>
        <w:t xml:space="preserve">ITRF Secretariat to </w:t>
      </w:r>
      <w:r w:rsidRPr="00971F5A">
        <w:rPr>
          <w:rFonts w:eastAsia="Calibri" w:cstheme="minorHAnsi"/>
        </w:rPr>
        <w:t xml:space="preserve">circulate the </w:t>
      </w:r>
      <w:r>
        <w:rPr>
          <w:rFonts w:eastAsia="Calibri" w:cstheme="minorHAnsi"/>
        </w:rPr>
        <w:t xml:space="preserve">ABF </w:t>
      </w:r>
      <w:r w:rsidRPr="00971F5A">
        <w:rPr>
          <w:rFonts w:eastAsia="Calibri" w:cstheme="minorHAnsi"/>
        </w:rPr>
        <w:t xml:space="preserve">Goods Compliance update to ITRF </w:t>
      </w:r>
      <w:r w:rsidR="000471E4">
        <w:rPr>
          <w:rFonts w:eastAsia="Calibri" w:cstheme="minorHAnsi"/>
        </w:rPr>
        <w:t>M</w:t>
      </w:r>
      <w:r w:rsidRPr="00971F5A">
        <w:rPr>
          <w:rFonts w:eastAsia="Calibri" w:cstheme="minorHAnsi"/>
        </w:rPr>
        <w:t>embers</w:t>
      </w:r>
      <w:r>
        <w:rPr>
          <w:rFonts w:eastAsia="Calibri" w:cstheme="minorHAnsi"/>
        </w:rPr>
        <w:t xml:space="preserve"> for their information</w:t>
      </w:r>
      <w:r w:rsidRPr="00971F5A">
        <w:rPr>
          <w:rFonts w:eastAsia="Calibri" w:cstheme="minorHAnsi"/>
        </w:rPr>
        <w:t xml:space="preserve">. </w:t>
      </w:r>
      <w:r>
        <w:rPr>
          <w:rFonts w:eastAsia="Calibri" w:cstheme="minorHAnsi"/>
        </w:rPr>
        <w:br/>
      </w:r>
    </w:p>
    <w:p w14:paraId="4A5E5A78" w14:textId="48BD0330" w:rsidR="00CE3FD2" w:rsidRDefault="00CE3FD2" w:rsidP="00CE3FD2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015BBF">
        <w:rPr>
          <w:rFonts w:eastAsia="Calibri" w:cstheme="minorHAnsi"/>
        </w:rPr>
        <w:t xml:space="preserve">ITRF </w:t>
      </w:r>
      <w:r w:rsidR="000471E4">
        <w:rPr>
          <w:rFonts w:eastAsia="Calibri" w:cstheme="minorHAnsi"/>
        </w:rPr>
        <w:t>M</w:t>
      </w:r>
      <w:r w:rsidRPr="00015BBF">
        <w:rPr>
          <w:rFonts w:eastAsia="Calibri" w:cstheme="minorHAnsi"/>
        </w:rPr>
        <w:t xml:space="preserve">embers to provide feedback to the ITRF Secretariat on the </w:t>
      </w:r>
      <w:r w:rsidR="00C177C5">
        <w:rPr>
          <w:rFonts w:eastAsia="Calibri" w:cstheme="minorHAnsi"/>
        </w:rPr>
        <w:t>d</w:t>
      </w:r>
      <w:r w:rsidRPr="00015BBF">
        <w:rPr>
          <w:rFonts w:eastAsia="Calibri" w:cstheme="minorHAnsi"/>
        </w:rPr>
        <w:t xml:space="preserve">raft </w:t>
      </w:r>
      <w:r w:rsidR="00C177C5">
        <w:rPr>
          <w:rFonts w:eastAsia="Calibri" w:cstheme="minorHAnsi"/>
        </w:rPr>
        <w:t>T</w:t>
      </w:r>
      <w:r w:rsidRPr="00015BBF">
        <w:rPr>
          <w:rFonts w:eastAsia="Calibri" w:cstheme="minorHAnsi"/>
        </w:rPr>
        <w:t>erms of Reference by no later than 13 June 2024.</w:t>
      </w:r>
    </w:p>
    <w:p w14:paraId="20C1826A" w14:textId="77777777" w:rsidR="00CE3FD2" w:rsidRPr="00015BBF" w:rsidRDefault="00CE3FD2" w:rsidP="00CE3FD2">
      <w:pPr>
        <w:pStyle w:val="ListParagraph"/>
        <w:rPr>
          <w:rFonts w:eastAsia="Calibri" w:cstheme="minorHAnsi"/>
        </w:rPr>
      </w:pPr>
    </w:p>
    <w:p w14:paraId="3AB4E7A9" w14:textId="77777777" w:rsidR="00CE3FD2" w:rsidRPr="00015BBF" w:rsidRDefault="00CE3FD2" w:rsidP="00CE3FD2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015BBF">
        <w:rPr>
          <w:rFonts w:eastAsia="Calibri" w:cstheme="minorHAnsi"/>
        </w:rPr>
        <w:t xml:space="preserve">ITRF Secretariat to schedule an ITRF meeting to be held in 4 – 6 weeks to discuss the Terms of Reference. </w:t>
      </w:r>
    </w:p>
    <w:p w14:paraId="592C2F15" w14:textId="77777777" w:rsidR="00CE3FD2" w:rsidRDefault="00CE3FD2" w:rsidP="00035BB0">
      <w:pPr>
        <w:pStyle w:val="Authoranddate"/>
        <w:rPr>
          <w:rFonts w:ascii="Calibri" w:eastAsia="Times New Roman" w:hAnsi="Calibri" w:cs="Calibri"/>
          <w:color w:val="000000"/>
          <w:spacing w:val="0"/>
          <w:kern w:val="0"/>
          <w:sz w:val="22"/>
          <w:szCs w:val="22"/>
          <w:lang w:eastAsia="en-AU"/>
        </w:rPr>
      </w:pPr>
    </w:p>
    <w:p w14:paraId="67B4BF1A" w14:textId="77777777" w:rsidR="00CE3FD2" w:rsidRDefault="00CE3FD2" w:rsidP="00035BB0">
      <w:pPr>
        <w:pStyle w:val="Authoranddate"/>
        <w:rPr>
          <w:rFonts w:ascii="Calibri" w:eastAsia="Times New Roman" w:hAnsi="Calibri" w:cs="Calibri"/>
          <w:color w:val="000000"/>
          <w:spacing w:val="0"/>
          <w:kern w:val="0"/>
          <w:sz w:val="22"/>
          <w:szCs w:val="22"/>
          <w:lang w:eastAsia="en-AU"/>
        </w:rPr>
      </w:pPr>
    </w:p>
    <w:p w14:paraId="4E1D5D8A" w14:textId="77777777" w:rsidR="00CE3FD2" w:rsidRPr="00035BB0" w:rsidRDefault="00CE3FD2" w:rsidP="00035BB0">
      <w:pPr>
        <w:pStyle w:val="Authoranddate"/>
        <w:rPr>
          <w:rFonts w:ascii="Calibri" w:eastAsia="Times New Roman" w:hAnsi="Calibri" w:cs="Calibri"/>
          <w:color w:val="000000"/>
          <w:spacing w:val="0"/>
          <w:kern w:val="0"/>
          <w:sz w:val="22"/>
          <w:szCs w:val="22"/>
          <w:lang w:eastAsia="en-AU"/>
        </w:rPr>
      </w:pPr>
    </w:p>
    <w:sectPr w:rsidR="00CE3FD2" w:rsidRPr="00035BB0" w:rsidSect="00E8093B"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355CB" w14:textId="77777777" w:rsidR="00D335F8" w:rsidRDefault="00D335F8">
      <w:r>
        <w:separator/>
      </w:r>
    </w:p>
  </w:endnote>
  <w:endnote w:type="continuationSeparator" w:id="0">
    <w:p w14:paraId="5F0D63AD" w14:textId="77777777" w:rsidR="00D335F8" w:rsidRDefault="00D335F8">
      <w:r>
        <w:continuationSeparator/>
      </w:r>
    </w:p>
  </w:endnote>
  <w:endnote w:type="continuationNotice" w:id="1">
    <w:p w14:paraId="1CEF9B72" w14:textId="77777777" w:rsidR="00D335F8" w:rsidRDefault="00D335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76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3426C" w14:textId="77777777" w:rsidR="00D335F8" w:rsidRDefault="00D335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2B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857DC09" w14:textId="77777777" w:rsidR="00D335F8" w:rsidRDefault="00D33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175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51EAC" w14:textId="77777777" w:rsidR="00D335F8" w:rsidRDefault="00D335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2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066DF8" w14:textId="77777777" w:rsidR="00D335F8" w:rsidRPr="00717BA6" w:rsidRDefault="00D335F8" w:rsidP="001659C5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011D" w14:textId="77777777" w:rsidR="00D335F8" w:rsidRDefault="00D335F8">
      <w:r>
        <w:separator/>
      </w:r>
    </w:p>
  </w:footnote>
  <w:footnote w:type="continuationSeparator" w:id="0">
    <w:p w14:paraId="03721208" w14:textId="77777777" w:rsidR="00D335F8" w:rsidRDefault="00D335F8">
      <w:r>
        <w:continuationSeparator/>
      </w:r>
    </w:p>
  </w:footnote>
  <w:footnote w:type="continuationNotice" w:id="1">
    <w:p w14:paraId="57D5E067" w14:textId="77777777" w:rsidR="00D335F8" w:rsidRDefault="00D335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E954" w14:textId="45F56382" w:rsidR="00D335F8" w:rsidRDefault="00D335F8" w:rsidP="00B91387">
    <w:pPr>
      <w:pStyle w:val="Header"/>
      <w:tabs>
        <w:tab w:val="left" w:pos="2587"/>
      </w:tabs>
      <w:rPr>
        <w:rFonts w:asciiTheme="minorHAnsi" w:hAnsiTheme="minorHAnsi" w:cstheme="minorHAnsi"/>
        <w:b/>
        <w:color w:val="FF0000"/>
        <w:szCs w:val="24"/>
      </w:rPr>
    </w:pPr>
    <w:r>
      <w:rPr>
        <w:rFonts w:asciiTheme="minorHAnsi" w:hAnsiTheme="minorHAnsi" w:cstheme="minorHAnsi"/>
        <w:b/>
        <w:color w:val="FF0000"/>
        <w:szCs w:val="24"/>
      </w:rPr>
      <w:tab/>
    </w:r>
    <w:r>
      <w:rPr>
        <w:rFonts w:asciiTheme="minorHAnsi" w:hAnsiTheme="minorHAnsi" w:cstheme="minorHAnsi"/>
        <w:b/>
        <w:color w:val="FF0000"/>
        <w:szCs w:val="24"/>
      </w:rPr>
      <w:tab/>
    </w:r>
  </w:p>
  <w:p w14:paraId="6FF52709" w14:textId="15D48504" w:rsidR="00D335F8" w:rsidRDefault="00D335F8">
    <w:pPr>
      <w:pStyle w:val="Header"/>
    </w:pPr>
    <w:r w:rsidRPr="006D5871">
      <w:rPr>
        <w:noProof/>
      </w:rPr>
      <w:drawing>
        <wp:inline distT="0" distB="0" distL="0" distR="0" wp14:anchorId="303312BF" wp14:editId="7111C891">
          <wp:extent cx="6188710" cy="1288167"/>
          <wp:effectExtent l="0" t="0" r="0" b="0"/>
          <wp:docPr id="1" name="Picture 1" descr="https://dochub/div/antidumpingcommission/businessfunctions/eass/referencetrainingmaterial/docs/DISR_ADC_inlin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hub/div/antidumpingcommission/businessfunctions/eass/referencetrainingmaterial/docs/DISR_ADC_inlin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288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A70"/>
    <w:multiLevelType w:val="hybridMultilevel"/>
    <w:tmpl w:val="345E5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4DF1"/>
    <w:multiLevelType w:val="hybridMultilevel"/>
    <w:tmpl w:val="BEFE9306"/>
    <w:lvl w:ilvl="0" w:tplc="E3688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60A15"/>
    <w:multiLevelType w:val="hybridMultilevel"/>
    <w:tmpl w:val="7E6A41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5174F"/>
    <w:multiLevelType w:val="hybridMultilevel"/>
    <w:tmpl w:val="AA7AB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1B5"/>
    <w:multiLevelType w:val="hybridMultilevel"/>
    <w:tmpl w:val="B4F83EAA"/>
    <w:lvl w:ilvl="0" w:tplc="E3688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93CCB"/>
    <w:multiLevelType w:val="hybridMultilevel"/>
    <w:tmpl w:val="451CC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0286A"/>
    <w:multiLevelType w:val="hybridMultilevel"/>
    <w:tmpl w:val="D8FE1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17E2C"/>
    <w:multiLevelType w:val="hybridMultilevel"/>
    <w:tmpl w:val="F4286CF0"/>
    <w:lvl w:ilvl="0" w:tplc="250801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782148"/>
    <w:multiLevelType w:val="hybridMultilevel"/>
    <w:tmpl w:val="067E5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67F4D"/>
    <w:multiLevelType w:val="hybridMultilevel"/>
    <w:tmpl w:val="94B0C682"/>
    <w:lvl w:ilvl="0" w:tplc="FCA4D8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8615F"/>
    <w:multiLevelType w:val="hybridMultilevel"/>
    <w:tmpl w:val="7E6A41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10FD"/>
    <w:multiLevelType w:val="hybridMultilevel"/>
    <w:tmpl w:val="A154A084"/>
    <w:lvl w:ilvl="0" w:tplc="A6EAC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6889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B7AF7"/>
    <w:multiLevelType w:val="hybridMultilevel"/>
    <w:tmpl w:val="65166E20"/>
    <w:lvl w:ilvl="0" w:tplc="FCA4D8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A4896"/>
    <w:multiLevelType w:val="hybridMultilevel"/>
    <w:tmpl w:val="45427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A2309"/>
    <w:multiLevelType w:val="hybridMultilevel"/>
    <w:tmpl w:val="8F3EB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F623C"/>
    <w:multiLevelType w:val="hybridMultilevel"/>
    <w:tmpl w:val="2E98FBD6"/>
    <w:lvl w:ilvl="0" w:tplc="213A382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917E1"/>
    <w:multiLevelType w:val="hybridMultilevel"/>
    <w:tmpl w:val="BEE4A846"/>
    <w:lvl w:ilvl="0" w:tplc="FBDE1846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79672742"/>
    <w:multiLevelType w:val="hybridMultilevel"/>
    <w:tmpl w:val="F0F8FFC2"/>
    <w:lvl w:ilvl="0" w:tplc="0C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388262648">
    <w:abstractNumId w:val="2"/>
  </w:num>
  <w:num w:numId="2" w16cid:durableId="1059472260">
    <w:abstractNumId w:val="13"/>
  </w:num>
  <w:num w:numId="3" w16cid:durableId="1400055422">
    <w:abstractNumId w:val="10"/>
  </w:num>
  <w:num w:numId="4" w16cid:durableId="1903059419">
    <w:abstractNumId w:val="11"/>
  </w:num>
  <w:num w:numId="5" w16cid:durableId="1451166913">
    <w:abstractNumId w:val="17"/>
  </w:num>
  <w:num w:numId="6" w16cid:durableId="1818456562">
    <w:abstractNumId w:val="16"/>
  </w:num>
  <w:num w:numId="7" w16cid:durableId="1156993812">
    <w:abstractNumId w:val="15"/>
  </w:num>
  <w:num w:numId="8" w16cid:durableId="1992444701">
    <w:abstractNumId w:val="5"/>
  </w:num>
  <w:num w:numId="9" w16cid:durableId="1595241220">
    <w:abstractNumId w:val="14"/>
  </w:num>
  <w:num w:numId="10" w16cid:durableId="800686049">
    <w:abstractNumId w:val="3"/>
  </w:num>
  <w:num w:numId="11" w16cid:durableId="1315912459">
    <w:abstractNumId w:val="8"/>
  </w:num>
  <w:num w:numId="12" w16cid:durableId="1270817919">
    <w:abstractNumId w:val="7"/>
  </w:num>
  <w:num w:numId="13" w16cid:durableId="2047563551">
    <w:abstractNumId w:val="4"/>
  </w:num>
  <w:num w:numId="14" w16cid:durableId="427779099">
    <w:abstractNumId w:val="1"/>
  </w:num>
  <w:num w:numId="15" w16cid:durableId="949432676">
    <w:abstractNumId w:val="0"/>
  </w:num>
  <w:num w:numId="16" w16cid:durableId="209267408">
    <w:abstractNumId w:val="6"/>
  </w:num>
  <w:num w:numId="17" w16cid:durableId="827938581">
    <w:abstractNumId w:val="9"/>
  </w:num>
  <w:num w:numId="18" w16cid:durableId="157380879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69"/>
    <w:rsid w:val="000034AE"/>
    <w:rsid w:val="000039BE"/>
    <w:rsid w:val="00003AF3"/>
    <w:rsid w:val="00007B4C"/>
    <w:rsid w:val="00014BBC"/>
    <w:rsid w:val="00015644"/>
    <w:rsid w:val="00015BBF"/>
    <w:rsid w:val="00017672"/>
    <w:rsid w:val="00022EF4"/>
    <w:rsid w:val="000234B1"/>
    <w:rsid w:val="00023A29"/>
    <w:rsid w:val="0002621A"/>
    <w:rsid w:val="00031D68"/>
    <w:rsid w:val="00035BB0"/>
    <w:rsid w:val="000374EC"/>
    <w:rsid w:val="00041974"/>
    <w:rsid w:val="000422AA"/>
    <w:rsid w:val="000433C5"/>
    <w:rsid w:val="0004405B"/>
    <w:rsid w:val="000471E4"/>
    <w:rsid w:val="00051A97"/>
    <w:rsid w:val="00051F50"/>
    <w:rsid w:val="000539E8"/>
    <w:rsid w:val="0005533A"/>
    <w:rsid w:val="00060909"/>
    <w:rsid w:val="00061EC8"/>
    <w:rsid w:val="00062A94"/>
    <w:rsid w:val="00064BB8"/>
    <w:rsid w:val="000676C5"/>
    <w:rsid w:val="000678BE"/>
    <w:rsid w:val="0006790D"/>
    <w:rsid w:val="000710B9"/>
    <w:rsid w:val="0007174A"/>
    <w:rsid w:val="00072267"/>
    <w:rsid w:val="000729BF"/>
    <w:rsid w:val="00073234"/>
    <w:rsid w:val="0007422A"/>
    <w:rsid w:val="00076421"/>
    <w:rsid w:val="00080078"/>
    <w:rsid w:val="00080748"/>
    <w:rsid w:val="000869CA"/>
    <w:rsid w:val="0009017B"/>
    <w:rsid w:val="00090594"/>
    <w:rsid w:val="0009126A"/>
    <w:rsid w:val="00091E7C"/>
    <w:rsid w:val="00092201"/>
    <w:rsid w:val="0009386D"/>
    <w:rsid w:val="00094997"/>
    <w:rsid w:val="00095F13"/>
    <w:rsid w:val="00096849"/>
    <w:rsid w:val="00096874"/>
    <w:rsid w:val="00097A9E"/>
    <w:rsid w:val="000A05C6"/>
    <w:rsid w:val="000A061B"/>
    <w:rsid w:val="000A109D"/>
    <w:rsid w:val="000A22F6"/>
    <w:rsid w:val="000A420D"/>
    <w:rsid w:val="000A5AD3"/>
    <w:rsid w:val="000A65D1"/>
    <w:rsid w:val="000A746F"/>
    <w:rsid w:val="000A7F0A"/>
    <w:rsid w:val="000B0CC7"/>
    <w:rsid w:val="000B3FBA"/>
    <w:rsid w:val="000B5705"/>
    <w:rsid w:val="000B5F98"/>
    <w:rsid w:val="000B7353"/>
    <w:rsid w:val="000B7C73"/>
    <w:rsid w:val="000C111B"/>
    <w:rsid w:val="000C22DD"/>
    <w:rsid w:val="000C2E86"/>
    <w:rsid w:val="000C5318"/>
    <w:rsid w:val="000D0679"/>
    <w:rsid w:val="000D107E"/>
    <w:rsid w:val="000D376C"/>
    <w:rsid w:val="000D50B7"/>
    <w:rsid w:val="000D51B6"/>
    <w:rsid w:val="000E1D10"/>
    <w:rsid w:val="000E2C77"/>
    <w:rsid w:val="000E35F0"/>
    <w:rsid w:val="000E5280"/>
    <w:rsid w:val="000E5F42"/>
    <w:rsid w:val="000E7B71"/>
    <w:rsid w:val="000F395A"/>
    <w:rsid w:val="000F5223"/>
    <w:rsid w:val="000F5860"/>
    <w:rsid w:val="000F5CA5"/>
    <w:rsid w:val="000F6022"/>
    <w:rsid w:val="000F606D"/>
    <w:rsid w:val="000F6501"/>
    <w:rsid w:val="001033D2"/>
    <w:rsid w:val="00106E4B"/>
    <w:rsid w:val="00113A3C"/>
    <w:rsid w:val="00113F06"/>
    <w:rsid w:val="001142AA"/>
    <w:rsid w:val="00116553"/>
    <w:rsid w:val="00116A96"/>
    <w:rsid w:val="00116C70"/>
    <w:rsid w:val="00124BE1"/>
    <w:rsid w:val="00125750"/>
    <w:rsid w:val="001259E9"/>
    <w:rsid w:val="00127694"/>
    <w:rsid w:val="001346C1"/>
    <w:rsid w:val="00140F03"/>
    <w:rsid w:val="00141F3B"/>
    <w:rsid w:val="001449AF"/>
    <w:rsid w:val="001457E7"/>
    <w:rsid w:val="00146294"/>
    <w:rsid w:val="00147440"/>
    <w:rsid w:val="00147C6D"/>
    <w:rsid w:val="00150240"/>
    <w:rsid w:val="00152223"/>
    <w:rsid w:val="001535FD"/>
    <w:rsid w:val="0015648B"/>
    <w:rsid w:val="00160869"/>
    <w:rsid w:val="001631B6"/>
    <w:rsid w:val="00163D4D"/>
    <w:rsid w:val="00163E34"/>
    <w:rsid w:val="001649E8"/>
    <w:rsid w:val="00164E43"/>
    <w:rsid w:val="001659C5"/>
    <w:rsid w:val="00165E6C"/>
    <w:rsid w:val="00166912"/>
    <w:rsid w:val="001711DE"/>
    <w:rsid w:val="00172871"/>
    <w:rsid w:val="00172C73"/>
    <w:rsid w:val="0017692F"/>
    <w:rsid w:val="00182D6D"/>
    <w:rsid w:val="00183055"/>
    <w:rsid w:val="00183EEB"/>
    <w:rsid w:val="0018575C"/>
    <w:rsid w:val="00185C8F"/>
    <w:rsid w:val="00185CA3"/>
    <w:rsid w:val="00187209"/>
    <w:rsid w:val="001879FE"/>
    <w:rsid w:val="00187CB1"/>
    <w:rsid w:val="00190455"/>
    <w:rsid w:val="0019071B"/>
    <w:rsid w:val="00190F9A"/>
    <w:rsid w:val="0019195F"/>
    <w:rsid w:val="00194A0D"/>
    <w:rsid w:val="00194C5E"/>
    <w:rsid w:val="00197D36"/>
    <w:rsid w:val="001A1568"/>
    <w:rsid w:val="001A2336"/>
    <w:rsid w:val="001A46AB"/>
    <w:rsid w:val="001A4E5B"/>
    <w:rsid w:val="001A523B"/>
    <w:rsid w:val="001A7E9B"/>
    <w:rsid w:val="001B3D73"/>
    <w:rsid w:val="001B79FE"/>
    <w:rsid w:val="001C065D"/>
    <w:rsid w:val="001C17C4"/>
    <w:rsid w:val="001C4A40"/>
    <w:rsid w:val="001C5559"/>
    <w:rsid w:val="001C561C"/>
    <w:rsid w:val="001D2982"/>
    <w:rsid w:val="001D60A9"/>
    <w:rsid w:val="001D6FF3"/>
    <w:rsid w:val="001E18C0"/>
    <w:rsid w:val="001E1EED"/>
    <w:rsid w:val="001E26C4"/>
    <w:rsid w:val="001E4554"/>
    <w:rsid w:val="001E688D"/>
    <w:rsid w:val="001E7A93"/>
    <w:rsid w:val="001F0491"/>
    <w:rsid w:val="001F0522"/>
    <w:rsid w:val="001F1625"/>
    <w:rsid w:val="001F1DDE"/>
    <w:rsid w:val="001F1EAE"/>
    <w:rsid w:val="001F41A2"/>
    <w:rsid w:val="001F4341"/>
    <w:rsid w:val="001F532A"/>
    <w:rsid w:val="001F6EB6"/>
    <w:rsid w:val="001F7326"/>
    <w:rsid w:val="001F78B4"/>
    <w:rsid w:val="0020013D"/>
    <w:rsid w:val="00202DF2"/>
    <w:rsid w:val="002033FB"/>
    <w:rsid w:val="0020505E"/>
    <w:rsid w:val="00205299"/>
    <w:rsid w:val="0020549D"/>
    <w:rsid w:val="00210C41"/>
    <w:rsid w:val="00210F16"/>
    <w:rsid w:val="00211DD3"/>
    <w:rsid w:val="00213BAF"/>
    <w:rsid w:val="002151F4"/>
    <w:rsid w:val="002157C0"/>
    <w:rsid w:val="00217229"/>
    <w:rsid w:val="00217C95"/>
    <w:rsid w:val="00220541"/>
    <w:rsid w:val="00223466"/>
    <w:rsid w:val="0022495E"/>
    <w:rsid w:val="00225619"/>
    <w:rsid w:val="00226D2C"/>
    <w:rsid w:val="002305F2"/>
    <w:rsid w:val="00232799"/>
    <w:rsid w:val="00232D0B"/>
    <w:rsid w:val="002337B1"/>
    <w:rsid w:val="002338B4"/>
    <w:rsid w:val="002345A1"/>
    <w:rsid w:val="002365F0"/>
    <w:rsid w:val="00236DA0"/>
    <w:rsid w:val="00236FCC"/>
    <w:rsid w:val="00241651"/>
    <w:rsid w:val="002437EA"/>
    <w:rsid w:val="0024396F"/>
    <w:rsid w:val="002447D1"/>
    <w:rsid w:val="0024615D"/>
    <w:rsid w:val="0024673A"/>
    <w:rsid w:val="00246F16"/>
    <w:rsid w:val="002505ED"/>
    <w:rsid w:val="00251888"/>
    <w:rsid w:val="00251C9A"/>
    <w:rsid w:val="00253CAF"/>
    <w:rsid w:val="0025573B"/>
    <w:rsid w:val="002566C2"/>
    <w:rsid w:val="002571F1"/>
    <w:rsid w:val="00261BDD"/>
    <w:rsid w:val="002645B2"/>
    <w:rsid w:val="00264DAD"/>
    <w:rsid w:val="00265DFF"/>
    <w:rsid w:val="0026691C"/>
    <w:rsid w:val="00267991"/>
    <w:rsid w:val="00267DE5"/>
    <w:rsid w:val="00270C06"/>
    <w:rsid w:val="002716FE"/>
    <w:rsid w:val="002726FE"/>
    <w:rsid w:val="00272AEA"/>
    <w:rsid w:val="00272FB7"/>
    <w:rsid w:val="00276081"/>
    <w:rsid w:val="00281A32"/>
    <w:rsid w:val="00281C36"/>
    <w:rsid w:val="002826D1"/>
    <w:rsid w:val="00282FB8"/>
    <w:rsid w:val="002848A1"/>
    <w:rsid w:val="00284F37"/>
    <w:rsid w:val="002875B8"/>
    <w:rsid w:val="00291AB7"/>
    <w:rsid w:val="0029314D"/>
    <w:rsid w:val="002937A3"/>
    <w:rsid w:val="00295266"/>
    <w:rsid w:val="002967B8"/>
    <w:rsid w:val="00296CEB"/>
    <w:rsid w:val="00297F32"/>
    <w:rsid w:val="002A0848"/>
    <w:rsid w:val="002A2A12"/>
    <w:rsid w:val="002A3E86"/>
    <w:rsid w:val="002A4D0E"/>
    <w:rsid w:val="002A650A"/>
    <w:rsid w:val="002A6C4C"/>
    <w:rsid w:val="002B0492"/>
    <w:rsid w:val="002B180D"/>
    <w:rsid w:val="002B302E"/>
    <w:rsid w:val="002B44EC"/>
    <w:rsid w:val="002B5D69"/>
    <w:rsid w:val="002B6134"/>
    <w:rsid w:val="002C0471"/>
    <w:rsid w:val="002C47DD"/>
    <w:rsid w:val="002C5AA1"/>
    <w:rsid w:val="002C5B29"/>
    <w:rsid w:val="002C61DC"/>
    <w:rsid w:val="002C6BF2"/>
    <w:rsid w:val="002C6FC9"/>
    <w:rsid w:val="002D0E52"/>
    <w:rsid w:val="002D2047"/>
    <w:rsid w:val="002D3065"/>
    <w:rsid w:val="002D3A62"/>
    <w:rsid w:val="002D48BC"/>
    <w:rsid w:val="002E0644"/>
    <w:rsid w:val="002E1D4C"/>
    <w:rsid w:val="002E2482"/>
    <w:rsid w:val="002E27AC"/>
    <w:rsid w:val="002E37FE"/>
    <w:rsid w:val="002E506B"/>
    <w:rsid w:val="002E54DB"/>
    <w:rsid w:val="002E5CBF"/>
    <w:rsid w:val="002E6B29"/>
    <w:rsid w:val="002E7096"/>
    <w:rsid w:val="002F5724"/>
    <w:rsid w:val="002F703E"/>
    <w:rsid w:val="0030027D"/>
    <w:rsid w:val="00300A9A"/>
    <w:rsid w:val="00301F34"/>
    <w:rsid w:val="00302362"/>
    <w:rsid w:val="00303DC6"/>
    <w:rsid w:val="00310A91"/>
    <w:rsid w:val="00313FA1"/>
    <w:rsid w:val="003140D4"/>
    <w:rsid w:val="003148A0"/>
    <w:rsid w:val="00316D94"/>
    <w:rsid w:val="00317858"/>
    <w:rsid w:val="00317969"/>
    <w:rsid w:val="00320667"/>
    <w:rsid w:val="00323971"/>
    <w:rsid w:val="003249B6"/>
    <w:rsid w:val="0032579E"/>
    <w:rsid w:val="00330F74"/>
    <w:rsid w:val="0033290D"/>
    <w:rsid w:val="00335D10"/>
    <w:rsid w:val="003379BC"/>
    <w:rsid w:val="003400C0"/>
    <w:rsid w:val="0034166D"/>
    <w:rsid w:val="003417DC"/>
    <w:rsid w:val="00342C9B"/>
    <w:rsid w:val="0034551E"/>
    <w:rsid w:val="00346317"/>
    <w:rsid w:val="003464DD"/>
    <w:rsid w:val="00347DCC"/>
    <w:rsid w:val="00350D09"/>
    <w:rsid w:val="00351F6E"/>
    <w:rsid w:val="0035347B"/>
    <w:rsid w:val="003551D1"/>
    <w:rsid w:val="00355996"/>
    <w:rsid w:val="00356C9D"/>
    <w:rsid w:val="003611A9"/>
    <w:rsid w:val="00361DFD"/>
    <w:rsid w:val="00366A9B"/>
    <w:rsid w:val="00371C98"/>
    <w:rsid w:val="003720A0"/>
    <w:rsid w:val="00374681"/>
    <w:rsid w:val="003757B1"/>
    <w:rsid w:val="00377412"/>
    <w:rsid w:val="00382124"/>
    <w:rsid w:val="00383F37"/>
    <w:rsid w:val="00386070"/>
    <w:rsid w:val="00390BD1"/>
    <w:rsid w:val="003912BA"/>
    <w:rsid w:val="00397A38"/>
    <w:rsid w:val="003A1592"/>
    <w:rsid w:val="003A2642"/>
    <w:rsid w:val="003A3E7A"/>
    <w:rsid w:val="003A5AE2"/>
    <w:rsid w:val="003B22BE"/>
    <w:rsid w:val="003B3B84"/>
    <w:rsid w:val="003B540E"/>
    <w:rsid w:val="003B71B3"/>
    <w:rsid w:val="003B7589"/>
    <w:rsid w:val="003B7D09"/>
    <w:rsid w:val="003C0DE0"/>
    <w:rsid w:val="003C10E6"/>
    <w:rsid w:val="003C155D"/>
    <w:rsid w:val="003C2080"/>
    <w:rsid w:val="003C3876"/>
    <w:rsid w:val="003C38CB"/>
    <w:rsid w:val="003C56B3"/>
    <w:rsid w:val="003C621F"/>
    <w:rsid w:val="003C686F"/>
    <w:rsid w:val="003C6F22"/>
    <w:rsid w:val="003D272F"/>
    <w:rsid w:val="003D7628"/>
    <w:rsid w:val="003E004E"/>
    <w:rsid w:val="003E198D"/>
    <w:rsid w:val="003E1F94"/>
    <w:rsid w:val="003E45CF"/>
    <w:rsid w:val="003E4876"/>
    <w:rsid w:val="003E55D8"/>
    <w:rsid w:val="003F2673"/>
    <w:rsid w:val="003F338A"/>
    <w:rsid w:val="003F38A2"/>
    <w:rsid w:val="003F5E29"/>
    <w:rsid w:val="00400B32"/>
    <w:rsid w:val="00400FEA"/>
    <w:rsid w:val="004014E9"/>
    <w:rsid w:val="00402A92"/>
    <w:rsid w:val="00405D1A"/>
    <w:rsid w:val="00407249"/>
    <w:rsid w:val="00407F6E"/>
    <w:rsid w:val="004117CD"/>
    <w:rsid w:val="00412293"/>
    <w:rsid w:val="004130C3"/>
    <w:rsid w:val="0041343C"/>
    <w:rsid w:val="00413F3B"/>
    <w:rsid w:val="00415A5F"/>
    <w:rsid w:val="00417D0E"/>
    <w:rsid w:val="00425F98"/>
    <w:rsid w:val="00427152"/>
    <w:rsid w:val="0042743F"/>
    <w:rsid w:val="00427AA0"/>
    <w:rsid w:val="00430EF8"/>
    <w:rsid w:val="00431BA9"/>
    <w:rsid w:val="004332E4"/>
    <w:rsid w:val="00433773"/>
    <w:rsid w:val="00434173"/>
    <w:rsid w:val="0043424A"/>
    <w:rsid w:val="00436764"/>
    <w:rsid w:val="004370CF"/>
    <w:rsid w:val="00437475"/>
    <w:rsid w:val="00437500"/>
    <w:rsid w:val="00442FEF"/>
    <w:rsid w:val="004439C6"/>
    <w:rsid w:val="00443D22"/>
    <w:rsid w:val="00443E4A"/>
    <w:rsid w:val="00445DBB"/>
    <w:rsid w:val="00446787"/>
    <w:rsid w:val="004473CD"/>
    <w:rsid w:val="00447C8C"/>
    <w:rsid w:val="0045216E"/>
    <w:rsid w:val="00452F09"/>
    <w:rsid w:val="004539E9"/>
    <w:rsid w:val="00453AC3"/>
    <w:rsid w:val="00453D93"/>
    <w:rsid w:val="00455057"/>
    <w:rsid w:val="00457E1B"/>
    <w:rsid w:val="00460494"/>
    <w:rsid w:val="004613EC"/>
    <w:rsid w:val="0046288F"/>
    <w:rsid w:val="0046404B"/>
    <w:rsid w:val="00464422"/>
    <w:rsid w:val="00466381"/>
    <w:rsid w:val="00467408"/>
    <w:rsid w:val="004678AA"/>
    <w:rsid w:val="00470875"/>
    <w:rsid w:val="00470B86"/>
    <w:rsid w:val="00472C13"/>
    <w:rsid w:val="00472C31"/>
    <w:rsid w:val="004757DB"/>
    <w:rsid w:val="00475FBE"/>
    <w:rsid w:val="0047648F"/>
    <w:rsid w:val="00480CB5"/>
    <w:rsid w:val="004817D5"/>
    <w:rsid w:val="004825C5"/>
    <w:rsid w:val="00486869"/>
    <w:rsid w:val="00486967"/>
    <w:rsid w:val="00487BB6"/>
    <w:rsid w:val="00487D0E"/>
    <w:rsid w:val="00490AF7"/>
    <w:rsid w:val="00491BCE"/>
    <w:rsid w:val="0049201B"/>
    <w:rsid w:val="00494BE9"/>
    <w:rsid w:val="004955FA"/>
    <w:rsid w:val="00495653"/>
    <w:rsid w:val="00495E89"/>
    <w:rsid w:val="004960CE"/>
    <w:rsid w:val="00497635"/>
    <w:rsid w:val="0049796A"/>
    <w:rsid w:val="004A0ABF"/>
    <w:rsid w:val="004A0D1B"/>
    <w:rsid w:val="004A177C"/>
    <w:rsid w:val="004A1B94"/>
    <w:rsid w:val="004A297D"/>
    <w:rsid w:val="004A3438"/>
    <w:rsid w:val="004A3A69"/>
    <w:rsid w:val="004A54A3"/>
    <w:rsid w:val="004A62F7"/>
    <w:rsid w:val="004B08FF"/>
    <w:rsid w:val="004B0CA8"/>
    <w:rsid w:val="004B1AB1"/>
    <w:rsid w:val="004B1B21"/>
    <w:rsid w:val="004B3FAF"/>
    <w:rsid w:val="004B423F"/>
    <w:rsid w:val="004B4376"/>
    <w:rsid w:val="004C29C8"/>
    <w:rsid w:val="004C340B"/>
    <w:rsid w:val="004C558F"/>
    <w:rsid w:val="004C5F37"/>
    <w:rsid w:val="004C60EF"/>
    <w:rsid w:val="004C6822"/>
    <w:rsid w:val="004C6F98"/>
    <w:rsid w:val="004C7BC1"/>
    <w:rsid w:val="004D117C"/>
    <w:rsid w:val="004D1CA5"/>
    <w:rsid w:val="004D481E"/>
    <w:rsid w:val="004D588F"/>
    <w:rsid w:val="004D7785"/>
    <w:rsid w:val="004E0CF0"/>
    <w:rsid w:val="004E0E2D"/>
    <w:rsid w:val="004E2A72"/>
    <w:rsid w:val="004E2E12"/>
    <w:rsid w:val="004E5394"/>
    <w:rsid w:val="004E5D3A"/>
    <w:rsid w:val="004E6EB1"/>
    <w:rsid w:val="004E7925"/>
    <w:rsid w:val="004F04BA"/>
    <w:rsid w:val="004F1967"/>
    <w:rsid w:val="004F52AD"/>
    <w:rsid w:val="004F5F70"/>
    <w:rsid w:val="004F612E"/>
    <w:rsid w:val="004F7A24"/>
    <w:rsid w:val="00501193"/>
    <w:rsid w:val="00502C90"/>
    <w:rsid w:val="005040D1"/>
    <w:rsid w:val="00504FEA"/>
    <w:rsid w:val="00506A22"/>
    <w:rsid w:val="00511ED4"/>
    <w:rsid w:val="00513B71"/>
    <w:rsid w:val="00514E5A"/>
    <w:rsid w:val="00515E97"/>
    <w:rsid w:val="0051731A"/>
    <w:rsid w:val="00517871"/>
    <w:rsid w:val="00520D75"/>
    <w:rsid w:val="00520E81"/>
    <w:rsid w:val="00521925"/>
    <w:rsid w:val="00521D5E"/>
    <w:rsid w:val="00523E46"/>
    <w:rsid w:val="00524E01"/>
    <w:rsid w:val="00526035"/>
    <w:rsid w:val="00526660"/>
    <w:rsid w:val="00531866"/>
    <w:rsid w:val="00531A31"/>
    <w:rsid w:val="00532910"/>
    <w:rsid w:val="005331E5"/>
    <w:rsid w:val="005343F4"/>
    <w:rsid w:val="00534C2E"/>
    <w:rsid w:val="00536185"/>
    <w:rsid w:val="00536907"/>
    <w:rsid w:val="00537A73"/>
    <w:rsid w:val="00537B92"/>
    <w:rsid w:val="005415FC"/>
    <w:rsid w:val="00543A9F"/>
    <w:rsid w:val="00545093"/>
    <w:rsid w:val="00545B9E"/>
    <w:rsid w:val="0055047B"/>
    <w:rsid w:val="00552550"/>
    <w:rsid w:val="00553605"/>
    <w:rsid w:val="00553835"/>
    <w:rsid w:val="005554A5"/>
    <w:rsid w:val="00556201"/>
    <w:rsid w:val="005612F0"/>
    <w:rsid w:val="00562B3F"/>
    <w:rsid w:val="0056471F"/>
    <w:rsid w:val="00564756"/>
    <w:rsid w:val="00564D93"/>
    <w:rsid w:val="005658DA"/>
    <w:rsid w:val="00565D95"/>
    <w:rsid w:val="005669E2"/>
    <w:rsid w:val="00566ED9"/>
    <w:rsid w:val="005706E4"/>
    <w:rsid w:val="00571973"/>
    <w:rsid w:val="00572959"/>
    <w:rsid w:val="00572BD8"/>
    <w:rsid w:val="00576F53"/>
    <w:rsid w:val="005806E2"/>
    <w:rsid w:val="005811FA"/>
    <w:rsid w:val="005820E0"/>
    <w:rsid w:val="005832D6"/>
    <w:rsid w:val="00584427"/>
    <w:rsid w:val="00585329"/>
    <w:rsid w:val="005857C4"/>
    <w:rsid w:val="00587880"/>
    <w:rsid w:val="005901F4"/>
    <w:rsid w:val="00590396"/>
    <w:rsid w:val="005919B9"/>
    <w:rsid w:val="005924BD"/>
    <w:rsid w:val="005944B9"/>
    <w:rsid w:val="0059491D"/>
    <w:rsid w:val="00594E1D"/>
    <w:rsid w:val="00594ECE"/>
    <w:rsid w:val="00595DC1"/>
    <w:rsid w:val="00597A39"/>
    <w:rsid w:val="005A0FF1"/>
    <w:rsid w:val="005A1453"/>
    <w:rsid w:val="005A1C73"/>
    <w:rsid w:val="005A5457"/>
    <w:rsid w:val="005A776A"/>
    <w:rsid w:val="005B0CC0"/>
    <w:rsid w:val="005B0D32"/>
    <w:rsid w:val="005B354D"/>
    <w:rsid w:val="005B46B3"/>
    <w:rsid w:val="005C0C71"/>
    <w:rsid w:val="005C1C33"/>
    <w:rsid w:val="005C6A6D"/>
    <w:rsid w:val="005D02C6"/>
    <w:rsid w:val="005D1EDC"/>
    <w:rsid w:val="005D2ABC"/>
    <w:rsid w:val="005D71A7"/>
    <w:rsid w:val="005E0089"/>
    <w:rsid w:val="005E205F"/>
    <w:rsid w:val="005E405E"/>
    <w:rsid w:val="005E4123"/>
    <w:rsid w:val="005E46D5"/>
    <w:rsid w:val="005E46F9"/>
    <w:rsid w:val="005E5B64"/>
    <w:rsid w:val="005E6368"/>
    <w:rsid w:val="005E66A4"/>
    <w:rsid w:val="005E6B56"/>
    <w:rsid w:val="005E72DF"/>
    <w:rsid w:val="005F0175"/>
    <w:rsid w:val="005F3F46"/>
    <w:rsid w:val="005F4D0A"/>
    <w:rsid w:val="005F5F6A"/>
    <w:rsid w:val="005F710B"/>
    <w:rsid w:val="005F7558"/>
    <w:rsid w:val="005F7941"/>
    <w:rsid w:val="00600659"/>
    <w:rsid w:val="00601D49"/>
    <w:rsid w:val="00606A0E"/>
    <w:rsid w:val="006113E6"/>
    <w:rsid w:val="0061433B"/>
    <w:rsid w:val="00615289"/>
    <w:rsid w:val="006161C6"/>
    <w:rsid w:val="00617374"/>
    <w:rsid w:val="00617AB8"/>
    <w:rsid w:val="006217D9"/>
    <w:rsid w:val="00622336"/>
    <w:rsid w:val="00623DC9"/>
    <w:rsid w:val="0062459C"/>
    <w:rsid w:val="00626262"/>
    <w:rsid w:val="0062669E"/>
    <w:rsid w:val="00627B2E"/>
    <w:rsid w:val="00627D19"/>
    <w:rsid w:val="0063179E"/>
    <w:rsid w:val="006324DE"/>
    <w:rsid w:val="00633AE7"/>
    <w:rsid w:val="0063419F"/>
    <w:rsid w:val="00634957"/>
    <w:rsid w:val="00637C94"/>
    <w:rsid w:val="006400B4"/>
    <w:rsid w:val="00640B91"/>
    <w:rsid w:val="0064138F"/>
    <w:rsid w:val="00641DF9"/>
    <w:rsid w:val="00642EB7"/>
    <w:rsid w:val="0064399F"/>
    <w:rsid w:val="00643D2C"/>
    <w:rsid w:val="00644CE7"/>
    <w:rsid w:val="00647751"/>
    <w:rsid w:val="006503F0"/>
    <w:rsid w:val="00650612"/>
    <w:rsid w:val="00652569"/>
    <w:rsid w:val="0065322C"/>
    <w:rsid w:val="00654D82"/>
    <w:rsid w:val="00656702"/>
    <w:rsid w:val="00656836"/>
    <w:rsid w:val="00657B52"/>
    <w:rsid w:val="00657FE8"/>
    <w:rsid w:val="00662FE2"/>
    <w:rsid w:val="00663328"/>
    <w:rsid w:val="006639FC"/>
    <w:rsid w:val="00666B8E"/>
    <w:rsid w:val="00670BC9"/>
    <w:rsid w:val="00672A99"/>
    <w:rsid w:val="00675B19"/>
    <w:rsid w:val="00676A0E"/>
    <w:rsid w:val="006804CC"/>
    <w:rsid w:val="006807C0"/>
    <w:rsid w:val="00682925"/>
    <w:rsid w:val="006830BA"/>
    <w:rsid w:val="0068373C"/>
    <w:rsid w:val="0068659D"/>
    <w:rsid w:val="006865F9"/>
    <w:rsid w:val="006918F8"/>
    <w:rsid w:val="006922B9"/>
    <w:rsid w:val="00694529"/>
    <w:rsid w:val="00695DBE"/>
    <w:rsid w:val="0069647D"/>
    <w:rsid w:val="00697499"/>
    <w:rsid w:val="006A2177"/>
    <w:rsid w:val="006A2344"/>
    <w:rsid w:val="006A29D9"/>
    <w:rsid w:val="006A3B4B"/>
    <w:rsid w:val="006A5609"/>
    <w:rsid w:val="006A6401"/>
    <w:rsid w:val="006A6EEE"/>
    <w:rsid w:val="006B3290"/>
    <w:rsid w:val="006B3C57"/>
    <w:rsid w:val="006B3EB7"/>
    <w:rsid w:val="006B4D09"/>
    <w:rsid w:val="006B6A93"/>
    <w:rsid w:val="006B6B38"/>
    <w:rsid w:val="006C0A64"/>
    <w:rsid w:val="006C157E"/>
    <w:rsid w:val="006C3D2C"/>
    <w:rsid w:val="006C48E7"/>
    <w:rsid w:val="006C576B"/>
    <w:rsid w:val="006C6658"/>
    <w:rsid w:val="006C712B"/>
    <w:rsid w:val="006C782F"/>
    <w:rsid w:val="006D15D7"/>
    <w:rsid w:val="006D5051"/>
    <w:rsid w:val="006D5871"/>
    <w:rsid w:val="006D7DA0"/>
    <w:rsid w:val="006E10A4"/>
    <w:rsid w:val="006E121F"/>
    <w:rsid w:val="006E3E0C"/>
    <w:rsid w:val="006E4878"/>
    <w:rsid w:val="006E54E3"/>
    <w:rsid w:val="006F0662"/>
    <w:rsid w:val="006F4EEC"/>
    <w:rsid w:val="006F6131"/>
    <w:rsid w:val="006F692D"/>
    <w:rsid w:val="007000AC"/>
    <w:rsid w:val="007003FA"/>
    <w:rsid w:val="00700867"/>
    <w:rsid w:val="0070366C"/>
    <w:rsid w:val="00703FB5"/>
    <w:rsid w:val="00704AD3"/>
    <w:rsid w:val="007054DE"/>
    <w:rsid w:val="00705A44"/>
    <w:rsid w:val="00705D37"/>
    <w:rsid w:val="00706122"/>
    <w:rsid w:val="0070641B"/>
    <w:rsid w:val="007101BD"/>
    <w:rsid w:val="0071024D"/>
    <w:rsid w:val="00711521"/>
    <w:rsid w:val="0071304E"/>
    <w:rsid w:val="0071329E"/>
    <w:rsid w:val="00713467"/>
    <w:rsid w:val="007171B3"/>
    <w:rsid w:val="00717B78"/>
    <w:rsid w:val="007204C1"/>
    <w:rsid w:val="00721933"/>
    <w:rsid w:val="00721F87"/>
    <w:rsid w:val="0072299E"/>
    <w:rsid w:val="00722E40"/>
    <w:rsid w:val="00725D0D"/>
    <w:rsid w:val="00727D7F"/>
    <w:rsid w:val="00730144"/>
    <w:rsid w:val="00730A0B"/>
    <w:rsid w:val="007311A2"/>
    <w:rsid w:val="007314AD"/>
    <w:rsid w:val="00731E42"/>
    <w:rsid w:val="0073244B"/>
    <w:rsid w:val="0073305D"/>
    <w:rsid w:val="00733410"/>
    <w:rsid w:val="007354B9"/>
    <w:rsid w:val="00736967"/>
    <w:rsid w:val="00737226"/>
    <w:rsid w:val="00740851"/>
    <w:rsid w:val="00741F3A"/>
    <w:rsid w:val="00743685"/>
    <w:rsid w:val="007436E4"/>
    <w:rsid w:val="00743813"/>
    <w:rsid w:val="00743CFE"/>
    <w:rsid w:val="00745D88"/>
    <w:rsid w:val="007479FA"/>
    <w:rsid w:val="00750CB9"/>
    <w:rsid w:val="007519D6"/>
    <w:rsid w:val="00751B33"/>
    <w:rsid w:val="0075242A"/>
    <w:rsid w:val="00753AC1"/>
    <w:rsid w:val="00755597"/>
    <w:rsid w:val="00755FE6"/>
    <w:rsid w:val="00756281"/>
    <w:rsid w:val="00760891"/>
    <w:rsid w:val="0076302F"/>
    <w:rsid w:val="007648F2"/>
    <w:rsid w:val="00767DEB"/>
    <w:rsid w:val="00767FB5"/>
    <w:rsid w:val="007709D2"/>
    <w:rsid w:val="007713E7"/>
    <w:rsid w:val="0077185E"/>
    <w:rsid w:val="0077250C"/>
    <w:rsid w:val="00773951"/>
    <w:rsid w:val="0077583B"/>
    <w:rsid w:val="00776B1C"/>
    <w:rsid w:val="00776C5A"/>
    <w:rsid w:val="00777287"/>
    <w:rsid w:val="00777A68"/>
    <w:rsid w:val="007808CA"/>
    <w:rsid w:val="00780AF3"/>
    <w:rsid w:val="00781645"/>
    <w:rsid w:val="00781A56"/>
    <w:rsid w:val="00783963"/>
    <w:rsid w:val="00786AF0"/>
    <w:rsid w:val="0079206F"/>
    <w:rsid w:val="0079322B"/>
    <w:rsid w:val="00795D54"/>
    <w:rsid w:val="00796823"/>
    <w:rsid w:val="00796CE2"/>
    <w:rsid w:val="007978AB"/>
    <w:rsid w:val="007A0F17"/>
    <w:rsid w:val="007A103D"/>
    <w:rsid w:val="007A2DDF"/>
    <w:rsid w:val="007A405B"/>
    <w:rsid w:val="007A49BA"/>
    <w:rsid w:val="007A6E0B"/>
    <w:rsid w:val="007A78BA"/>
    <w:rsid w:val="007B07A4"/>
    <w:rsid w:val="007B0ADB"/>
    <w:rsid w:val="007B0F5B"/>
    <w:rsid w:val="007B16EE"/>
    <w:rsid w:val="007B3A68"/>
    <w:rsid w:val="007B4545"/>
    <w:rsid w:val="007B4B36"/>
    <w:rsid w:val="007B5DA9"/>
    <w:rsid w:val="007B62A0"/>
    <w:rsid w:val="007B65BA"/>
    <w:rsid w:val="007B7384"/>
    <w:rsid w:val="007C02A4"/>
    <w:rsid w:val="007C0A5D"/>
    <w:rsid w:val="007C0AA7"/>
    <w:rsid w:val="007C270E"/>
    <w:rsid w:val="007C4A8A"/>
    <w:rsid w:val="007C4EF6"/>
    <w:rsid w:val="007C6CC3"/>
    <w:rsid w:val="007C75DC"/>
    <w:rsid w:val="007D113E"/>
    <w:rsid w:val="007D19FB"/>
    <w:rsid w:val="007D2268"/>
    <w:rsid w:val="007D28EA"/>
    <w:rsid w:val="007D3C51"/>
    <w:rsid w:val="007D4E2F"/>
    <w:rsid w:val="007D681B"/>
    <w:rsid w:val="007E07F1"/>
    <w:rsid w:val="007E0893"/>
    <w:rsid w:val="007E0C83"/>
    <w:rsid w:val="007E1488"/>
    <w:rsid w:val="007E1723"/>
    <w:rsid w:val="007E28FF"/>
    <w:rsid w:val="007E2D4F"/>
    <w:rsid w:val="007E3F50"/>
    <w:rsid w:val="007E541C"/>
    <w:rsid w:val="007E5883"/>
    <w:rsid w:val="007F3F34"/>
    <w:rsid w:val="007F4146"/>
    <w:rsid w:val="007F42B2"/>
    <w:rsid w:val="007F4B94"/>
    <w:rsid w:val="00800665"/>
    <w:rsid w:val="00800F08"/>
    <w:rsid w:val="00801286"/>
    <w:rsid w:val="008024B5"/>
    <w:rsid w:val="00802FAB"/>
    <w:rsid w:val="00804F10"/>
    <w:rsid w:val="00805045"/>
    <w:rsid w:val="0081031C"/>
    <w:rsid w:val="00810F94"/>
    <w:rsid w:val="00811E6C"/>
    <w:rsid w:val="00812FE4"/>
    <w:rsid w:val="00813EE7"/>
    <w:rsid w:val="008145A2"/>
    <w:rsid w:val="00815F84"/>
    <w:rsid w:val="00816E2B"/>
    <w:rsid w:val="008225E2"/>
    <w:rsid w:val="00822B3E"/>
    <w:rsid w:val="00823570"/>
    <w:rsid w:val="00823ABD"/>
    <w:rsid w:val="00823C18"/>
    <w:rsid w:val="00825866"/>
    <w:rsid w:val="00827781"/>
    <w:rsid w:val="008300DE"/>
    <w:rsid w:val="00830349"/>
    <w:rsid w:val="00832CEF"/>
    <w:rsid w:val="008335F6"/>
    <w:rsid w:val="008340E3"/>
    <w:rsid w:val="00834497"/>
    <w:rsid w:val="00836259"/>
    <w:rsid w:val="00836A43"/>
    <w:rsid w:val="00836AD7"/>
    <w:rsid w:val="00837B66"/>
    <w:rsid w:val="0084373A"/>
    <w:rsid w:val="00843A6B"/>
    <w:rsid w:val="008442AF"/>
    <w:rsid w:val="008452A2"/>
    <w:rsid w:val="00851BB7"/>
    <w:rsid w:val="0085433F"/>
    <w:rsid w:val="00856BBE"/>
    <w:rsid w:val="0085783E"/>
    <w:rsid w:val="008578B1"/>
    <w:rsid w:val="00857CFC"/>
    <w:rsid w:val="008610C6"/>
    <w:rsid w:val="008611C1"/>
    <w:rsid w:val="00861A90"/>
    <w:rsid w:val="0086298A"/>
    <w:rsid w:val="00862B99"/>
    <w:rsid w:val="00863CE8"/>
    <w:rsid w:val="00866076"/>
    <w:rsid w:val="008673CA"/>
    <w:rsid w:val="0086758B"/>
    <w:rsid w:val="0087021A"/>
    <w:rsid w:val="00872DEE"/>
    <w:rsid w:val="008737AC"/>
    <w:rsid w:val="0087388C"/>
    <w:rsid w:val="00873CCC"/>
    <w:rsid w:val="0087582F"/>
    <w:rsid w:val="00876379"/>
    <w:rsid w:val="00877065"/>
    <w:rsid w:val="00877704"/>
    <w:rsid w:val="00877BBA"/>
    <w:rsid w:val="008803C0"/>
    <w:rsid w:val="008813AA"/>
    <w:rsid w:val="008825A7"/>
    <w:rsid w:val="00884A46"/>
    <w:rsid w:val="008878EE"/>
    <w:rsid w:val="0089178B"/>
    <w:rsid w:val="00892A25"/>
    <w:rsid w:val="00895B17"/>
    <w:rsid w:val="008A1AC0"/>
    <w:rsid w:val="008A2DE2"/>
    <w:rsid w:val="008A2EC6"/>
    <w:rsid w:val="008A36DC"/>
    <w:rsid w:val="008A40F9"/>
    <w:rsid w:val="008A60C5"/>
    <w:rsid w:val="008A7154"/>
    <w:rsid w:val="008A7F8D"/>
    <w:rsid w:val="008B0111"/>
    <w:rsid w:val="008B1652"/>
    <w:rsid w:val="008B674F"/>
    <w:rsid w:val="008C0A02"/>
    <w:rsid w:val="008C1B3E"/>
    <w:rsid w:val="008C3B42"/>
    <w:rsid w:val="008C54D5"/>
    <w:rsid w:val="008C60D1"/>
    <w:rsid w:val="008C6786"/>
    <w:rsid w:val="008C695D"/>
    <w:rsid w:val="008D1C88"/>
    <w:rsid w:val="008D4C60"/>
    <w:rsid w:val="008D53CC"/>
    <w:rsid w:val="008D6986"/>
    <w:rsid w:val="008D6B57"/>
    <w:rsid w:val="008E0447"/>
    <w:rsid w:val="008E0758"/>
    <w:rsid w:val="008E0DA2"/>
    <w:rsid w:val="008E0EBA"/>
    <w:rsid w:val="008E303C"/>
    <w:rsid w:val="008E3068"/>
    <w:rsid w:val="008E3BBB"/>
    <w:rsid w:val="008E3C70"/>
    <w:rsid w:val="008E43D6"/>
    <w:rsid w:val="008E46AC"/>
    <w:rsid w:val="008E4899"/>
    <w:rsid w:val="008E4AB7"/>
    <w:rsid w:val="008E51FA"/>
    <w:rsid w:val="008E5785"/>
    <w:rsid w:val="008E6231"/>
    <w:rsid w:val="008E6CED"/>
    <w:rsid w:val="008E7C72"/>
    <w:rsid w:val="008F0A22"/>
    <w:rsid w:val="008F159E"/>
    <w:rsid w:val="008F1C18"/>
    <w:rsid w:val="008F2334"/>
    <w:rsid w:val="008F2B26"/>
    <w:rsid w:val="008F2BBF"/>
    <w:rsid w:val="008F5569"/>
    <w:rsid w:val="008F5E49"/>
    <w:rsid w:val="008F5EAC"/>
    <w:rsid w:val="008F6784"/>
    <w:rsid w:val="008F7F3C"/>
    <w:rsid w:val="0090189C"/>
    <w:rsid w:val="00902368"/>
    <w:rsid w:val="009026D3"/>
    <w:rsid w:val="00902E23"/>
    <w:rsid w:val="00903738"/>
    <w:rsid w:val="00905D03"/>
    <w:rsid w:val="009062DF"/>
    <w:rsid w:val="009070BC"/>
    <w:rsid w:val="0091099F"/>
    <w:rsid w:val="009112EE"/>
    <w:rsid w:val="00917476"/>
    <w:rsid w:val="00920D0B"/>
    <w:rsid w:val="00921C53"/>
    <w:rsid w:val="00922530"/>
    <w:rsid w:val="009252C7"/>
    <w:rsid w:val="00926A47"/>
    <w:rsid w:val="00931E65"/>
    <w:rsid w:val="009330B5"/>
    <w:rsid w:val="00934B46"/>
    <w:rsid w:val="009361EA"/>
    <w:rsid w:val="00937102"/>
    <w:rsid w:val="00937231"/>
    <w:rsid w:val="009376D9"/>
    <w:rsid w:val="009406A8"/>
    <w:rsid w:val="00941DE0"/>
    <w:rsid w:val="009446AF"/>
    <w:rsid w:val="0094504F"/>
    <w:rsid w:val="00947CFC"/>
    <w:rsid w:val="00947D02"/>
    <w:rsid w:val="009504D1"/>
    <w:rsid w:val="00951D0E"/>
    <w:rsid w:val="009528EB"/>
    <w:rsid w:val="00952BA8"/>
    <w:rsid w:val="0095363B"/>
    <w:rsid w:val="00956159"/>
    <w:rsid w:val="0095634E"/>
    <w:rsid w:val="009573FD"/>
    <w:rsid w:val="009575CA"/>
    <w:rsid w:val="00957AEF"/>
    <w:rsid w:val="00957B16"/>
    <w:rsid w:val="00960CF3"/>
    <w:rsid w:val="00961C29"/>
    <w:rsid w:val="00962C8E"/>
    <w:rsid w:val="00962DC1"/>
    <w:rsid w:val="0096483E"/>
    <w:rsid w:val="00964D35"/>
    <w:rsid w:val="00965529"/>
    <w:rsid w:val="00967741"/>
    <w:rsid w:val="00967CBD"/>
    <w:rsid w:val="00967F2F"/>
    <w:rsid w:val="00970129"/>
    <w:rsid w:val="00970EDB"/>
    <w:rsid w:val="00971F5A"/>
    <w:rsid w:val="00973118"/>
    <w:rsid w:val="00973654"/>
    <w:rsid w:val="00973F24"/>
    <w:rsid w:val="00974825"/>
    <w:rsid w:val="00976514"/>
    <w:rsid w:val="009765DA"/>
    <w:rsid w:val="0098008E"/>
    <w:rsid w:val="00982CEC"/>
    <w:rsid w:val="00987BE0"/>
    <w:rsid w:val="00987F04"/>
    <w:rsid w:val="009909EE"/>
    <w:rsid w:val="009947B5"/>
    <w:rsid w:val="00994F68"/>
    <w:rsid w:val="009967B9"/>
    <w:rsid w:val="00996C7C"/>
    <w:rsid w:val="00997627"/>
    <w:rsid w:val="00997ACD"/>
    <w:rsid w:val="009A045F"/>
    <w:rsid w:val="009A09C7"/>
    <w:rsid w:val="009A21BB"/>
    <w:rsid w:val="009A23FC"/>
    <w:rsid w:val="009A2468"/>
    <w:rsid w:val="009A5610"/>
    <w:rsid w:val="009A5A9B"/>
    <w:rsid w:val="009B2A86"/>
    <w:rsid w:val="009B5830"/>
    <w:rsid w:val="009C06F7"/>
    <w:rsid w:val="009C08F2"/>
    <w:rsid w:val="009C30AC"/>
    <w:rsid w:val="009C358E"/>
    <w:rsid w:val="009C5C80"/>
    <w:rsid w:val="009C63CE"/>
    <w:rsid w:val="009C63F8"/>
    <w:rsid w:val="009D00A2"/>
    <w:rsid w:val="009D0A87"/>
    <w:rsid w:val="009D19A8"/>
    <w:rsid w:val="009D2774"/>
    <w:rsid w:val="009D2ED8"/>
    <w:rsid w:val="009D5112"/>
    <w:rsid w:val="009D543D"/>
    <w:rsid w:val="009D5AB1"/>
    <w:rsid w:val="009D6918"/>
    <w:rsid w:val="009D707E"/>
    <w:rsid w:val="009D72EE"/>
    <w:rsid w:val="009E045E"/>
    <w:rsid w:val="009E0F7C"/>
    <w:rsid w:val="009E198E"/>
    <w:rsid w:val="009E335F"/>
    <w:rsid w:val="009E39A8"/>
    <w:rsid w:val="009E413A"/>
    <w:rsid w:val="009E5AE1"/>
    <w:rsid w:val="009E686D"/>
    <w:rsid w:val="009E7175"/>
    <w:rsid w:val="009E7AB1"/>
    <w:rsid w:val="009F060D"/>
    <w:rsid w:val="009F079A"/>
    <w:rsid w:val="009F11E1"/>
    <w:rsid w:val="009F27DC"/>
    <w:rsid w:val="009F2D88"/>
    <w:rsid w:val="009F2E5E"/>
    <w:rsid w:val="009F3D07"/>
    <w:rsid w:val="009F4E45"/>
    <w:rsid w:val="009F4FFD"/>
    <w:rsid w:val="009F53A8"/>
    <w:rsid w:val="009F584D"/>
    <w:rsid w:val="009F73DD"/>
    <w:rsid w:val="009F7510"/>
    <w:rsid w:val="00A01372"/>
    <w:rsid w:val="00A01BA0"/>
    <w:rsid w:val="00A0371F"/>
    <w:rsid w:val="00A040CD"/>
    <w:rsid w:val="00A04C9C"/>
    <w:rsid w:val="00A064DF"/>
    <w:rsid w:val="00A06C34"/>
    <w:rsid w:val="00A1097F"/>
    <w:rsid w:val="00A11A6E"/>
    <w:rsid w:val="00A13CCA"/>
    <w:rsid w:val="00A1423B"/>
    <w:rsid w:val="00A1551F"/>
    <w:rsid w:val="00A17BC1"/>
    <w:rsid w:val="00A201A0"/>
    <w:rsid w:val="00A2595B"/>
    <w:rsid w:val="00A25DC6"/>
    <w:rsid w:val="00A26697"/>
    <w:rsid w:val="00A27659"/>
    <w:rsid w:val="00A30BE1"/>
    <w:rsid w:val="00A31289"/>
    <w:rsid w:val="00A324BB"/>
    <w:rsid w:val="00A329B2"/>
    <w:rsid w:val="00A34CB0"/>
    <w:rsid w:val="00A36287"/>
    <w:rsid w:val="00A367B5"/>
    <w:rsid w:val="00A36B55"/>
    <w:rsid w:val="00A40744"/>
    <w:rsid w:val="00A414A8"/>
    <w:rsid w:val="00A423D2"/>
    <w:rsid w:val="00A428DC"/>
    <w:rsid w:val="00A456F8"/>
    <w:rsid w:val="00A475FF"/>
    <w:rsid w:val="00A50CC5"/>
    <w:rsid w:val="00A52A0E"/>
    <w:rsid w:val="00A53738"/>
    <w:rsid w:val="00A53F43"/>
    <w:rsid w:val="00A55A76"/>
    <w:rsid w:val="00A56E33"/>
    <w:rsid w:val="00A56ECA"/>
    <w:rsid w:val="00A60390"/>
    <w:rsid w:val="00A607BB"/>
    <w:rsid w:val="00A60CEA"/>
    <w:rsid w:val="00A62C57"/>
    <w:rsid w:val="00A640B2"/>
    <w:rsid w:val="00A6599F"/>
    <w:rsid w:val="00A671F5"/>
    <w:rsid w:val="00A67DD5"/>
    <w:rsid w:val="00A720C6"/>
    <w:rsid w:val="00A72318"/>
    <w:rsid w:val="00A75997"/>
    <w:rsid w:val="00A75B69"/>
    <w:rsid w:val="00A770DA"/>
    <w:rsid w:val="00A801D2"/>
    <w:rsid w:val="00A8236F"/>
    <w:rsid w:val="00A842B0"/>
    <w:rsid w:val="00A8439E"/>
    <w:rsid w:val="00A84ADA"/>
    <w:rsid w:val="00A85944"/>
    <w:rsid w:val="00A86F5B"/>
    <w:rsid w:val="00A87069"/>
    <w:rsid w:val="00A91383"/>
    <w:rsid w:val="00A914F3"/>
    <w:rsid w:val="00A91799"/>
    <w:rsid w:val="00A91A32"/>
    <w:rsid w:val="00A91F65"/>
    <w:rsid w:val="00A960F7"/>
    <w:rsid w:val="00A97D08"/>
    <w:rsid w:val="00AA126D"/>
    <w:rsid w:val="00AA1A43"/>
    <w:rsid w:val="00AA2441"/>
    <w:rsid w:val="00AA4925"/>
    <w:rsid w:val="00AA5818"/>
    <w:rsid w:val="00AA6DAB"/>
    <w:rsid w:val="00AA7F51"/>
    <w:rsid w:val="00AB1DBD"/>
    <w:rsid w:val="00AB1DF2"/>
    <w:rsid w:val="00AB4328"/>
    <w:rsid w:val="00AB47D1"/>
    <w:rsid w:val="00AB4E26"/>
    <w:rsid w:val="00AB539A"/>
    <w:rsid w:val="00AB55BD"/>
    <w:rsid w:val="00AB690C"/>
    <w:rsid w:val="00AB7E39"/>
    <w:rsid w:val="00AC01BC"/>
    <w:rsid w:val="00AC27E7"/>
    <w:rsid w:val="00AC384D"/>
    <w:rsid w:val="00AC3B33"/>
    <w:rsid w:val="00AC3C8D"/>
    <w:rsid w:val="00AC465A"/>
    <w:rsid w:val="00AC59B7"/>
    <w:rsid w:val="00AC5ABE"/>
    <w:rsid w:val="00AC6F03"/>
    <w:rsid w:val="00AC7E31"/>
    <w:rsid w:val="00AC7F95"/>
    <w:rsid w:val="00AD11C7"/>
    <w:rsid w:val="00AD2F1E"/>
    <w:rsid w:val="00AD3CBF"/>
    <w:rsid w:val="00AD6341"/>
    <w:rsid w:val="00AE157F"/>
    <w:rsid w:val="00AE3451"/>
    <w:rsid w:val="00AE3532"/>
    <w:rsid w:val="00AE3999"/>
    <w:rsid w:val="00AE489C"/>
    <w:rsid w:val="00AE4F65"/>
    <w:rsid w:val="00AE5FCC"/>
    <w:rsid w:val="00AE7D16"/>
    <w:rsid w:val="00AF00E4"/>
    <w:rsid w:val="00AF0F26"/>
    <w:rsid w:val="00AF3F41"/>
    <w:rsid w:val="00AF62B7"/>
    <w:rsid w:val="00AF64DA"/>
    <w:rsid w:val="00AF77E1"/>
    <w:rsid w:val="00B00657"/>
    <w:rsid w:val="00B00ECD"/>
    <w:rsid w:val="00B01545"/>
    <w:rsid w:val="00B03304"/>
    <w:rsid w:val="00B036C3"/>
    <w:rsid w:val="00B03944"/>
    <w:rsid w:val="00B041F5"/>
    <w:rsid w:val="00B05AD6"/>
    <w:rsid w:val="00B05F7E"/>
    <w:rsid w:val="00B106EA"/>
    <w:rsid w:val="00B121E7"/>
    <w:rsid w:val="00B14EF1"/>
    <w:rsid w:val="00B14FB8"/>
    <w:rsid w:val="00B21D40"/>
    <w:rsid w:val="00B223F5"/>
    <w:rsid w:val="00B25540"/>
    <w:rsid w:val="00B2554F"/>
    <w:rsid w:val="00B278F7"/>
    <w:rsid w:val="00B34AE6"/>
    <w:rsid w:val="00B35198"/>
    <w:rsid w:val="00B36F1D"/>
    <w:rsid w:val="00B37CE2"/>
    <w:rsid w:val="00B4039E"/>
    <w:rsid w:val="00B42955"/>
    <w:rsid w:val="00B42EC8"/>
    <w:rsid w:val="00B430C4"/>
    <w:rsid w:val="00B447E9"/>
    <w:rsid w:val="00B44AD2"/>
    <w:rsid w:val="00B44F6B"/>
    <w:rsid w:val="00B460EF"/>
    <w:rsid w:val="00B4613F"/>
    <w:rsid w:val="00B479B3"/>
    <w:rsid w:val="00B52F13"/>
    <w:rsid w:val="00B54B46"/>
    <w:rsid w:val="00B55EF8"/>
    <w:rsid w:val="00B604C2"/>
    <w:rsid w:val="00B60D90"/>
    <w:rsid w:val="00B61A73"/>
    <w:rsid w:val="00B61C65"/>
    <w:rsid w:val="00B64987"/>
    <w:rsid w:val="00B661AA"/>
    <w:rsid w:val="00B67D8C"/>
    <w:rsid w:val="00B67E5E"/>
    <w:rsid w:val="00B701A8"/>
    <w:rsid w:val="00B72A42"/>
    <w:rsid w:val="00B736C3"/>
    <w:rsid w:val="00B73896"/>
    <w:rsid w:val="00B75FA5"/>
    <w:rsid w:val="00B76757"/>
    <w:rsid w:val="00B77DEA"/>
    <w:rsid w:val="00B80B3C"/>
    <w:rsid w:val="00B80E05"/>
    <w:rsid w:val="00B81385"/>
    <w:rsid w:val="00B81B81"/>
    <w:rsid w:val="00B82B4F"/>
    <w:rsid w:val="00B8359C"/>
    <w:rsid w:val="00B840FD"/>
    <w:rsid w:val="00B85015"/>
    <w:rsid w:val="00B85120"/>
    <w:rsid w:val="00B8694F"/>
    <w:rsid w:val="00B871AD"/>
    <w:rsid w:val="00B87329"/>
    <w:rsid w:val="00B91387"/>
    <w:rsid w:val="00B918B5"/>
    <w:rsid w:val="00B94F34"/>
    <w:rsid w:val="00B95E4D"/>
    <w:rsid w:val="00B95EFF"/>
    <w:rsid w:val="00B96094"/>
    <w:rsid w:val="00B975E0"/>
    <w:rsid w:val="00B97783"/>
    <w:rsid w:val="00BA006E"/>
    <w:rsid w:val="00BA58D4"/>
    <w:rsid w:val="00BA5CD4"/>
    <w:rsid w:val="00BA7FDE"/>
    <w:rsid w:val="00BB085F"/>
    <w:rsid w:val="00BB09EC"/>
    <w:rsid w:val="00BB21A6"/>
    <w:rsid w:val="00BB21C9"/>
    <w:rsid w:val="00BC4544"/>
    <w:rsid w:val="00BC4D49"/>
    <w:rsid w:val="00BC56D4"/>
    <w:rsid w:val="00BC576D"/>
    <w:rsid w:val="00BC7CE6"/>
    <w:rsid w:val="00BD0732"/>
    <w:rsid w:val="00BD0908"/>
    <w:rsid w:val="00BD2669"/>
    <w:rsid w:val="00BD3CC8"/>
    <w:rsid w:val="00BD4544"/>
    <w:rsid w:val="00BD55DA"/>
    <w:rsid w:val="00BD67D3"/>
    <w:rsid w:val="00BE0654"/>
    <w:rsid w:val="00BE1295"/>
    <w:rsid w:val="00BE3332"/>
    <w:rsid w:val="00BE5372"/>
    <w:rsid w:val="00BE6E76"/>
    <w:rsid w:val="00BF5079"/>
    <w:rsid w:val="00BF51E3"/>
    <w:rsid w:val="00BF5494"/>
    <w:rsid w:val="00BF642E"/>
    <w:rsid w:val="00BF68AA"/>
    <w:rsid w:val="00BF73E8"/>
    <w:rsid w:val="00C02500"/>
    <w:rsid w:val="00C041AF"/>
    <w:rsid w:val="00C04835"/>
    <w:rsid w:val="00C05A20"/>
    <w:rsid w:val="00C101AA"/>
    <w:rsid w:val="00C10EE8"/>
    <w:rsid w:val="00C11DEC"/>
    <w:rsid w:val="00C13681"/>
    <w:rsid w:val="00C139F7"/>
    <w:rsid w:val="00C13ED3"/>
    <w:rsid w:val="00C14094"/>
    <w:rsid w:val="00C14E3B"/>
    <w:rsid w:val="00C15967"/>
    <w:rsid w:val="00C17494"/>
    <w:rsid w:val="00C177C5"/>
    <w:rsid w:val="00C2027B"/>
    <w:rsid w:val="00C20922"/>
    <w:rsid w:val="00C20A12"/>
    <w:rsid w:val="00C20EBE"/>
    <w:rsid w:val="00C23700"/>
    <w:rsid w:val="00C26058"/>
    <w:rsid w:val="00C27F7F"/>
    <w:rsid w:val="00C3046D"/>
    <w:rsid w:val="00C30B1C"/>
    <w:rsid w:val="00C31374"/>
    <w:rsid w:val="00C31DEE"/>
    <w:rsid w:val="00C32A12"/>
    <w:rsid w:val="00C33C91"/>
    <w:rsid w:val="00C34B5A"/>
    <w:rsid w:val="00C3639A"/>
    <w:rsid w:val="00C36A68"/>
    <w:rsid w:val="00C37F0F"/>
    <w:rsid w:val="00C408BD"/>
    <w:rsid w:val="00C40EDB"/>
    <w:rsid w:val="00C470D0"/>
    <w:rsid w:val="00C5426E"/>
    <w:rsid w:val="00C56DC5"/>
    <w:rsid w:val="00C56EF6"/>
    <w:rsid w:val="00C56F52"/>
    <w:rsid w:val="00C570C2"/>
    <w:rsid w:val="00C613E1"/>
    <w:rsid w:val="00C66EA1"/>
    <w:rsid w:val="00C67190"/>
    <w:rsid w:val="00C704F0"/>
    <w:rsid w:val="00C70645"/>
    <w:rsid w:val="00C70C5F"/>
    <w:rsid w:val="00C71EC0"/>
    <w:rsid w:val="00C75A66"/>
    <w:rsid w:val="00C76224"/>
    <w:rsid w:val="00C7736B"/>
    <w:rsid w:val="00C775B2"/>
    <w:rsid w:val="00C80F5A"/>
    <w:rsid w:val="00C8194B"/>
    <w:rsid w:val="00C838EB"/>
    <w:rsid w:val="00C8572D"/>
    <w:rsid w:val="00C85812"/>
    <w:rsid w:val="00C86BBA"/>
    <w:rsid w:val="00C86D2D"/>
    <w:rsid w:val="00C87A42"/>
    <w:rsid w:val="00C9325C"/>
    <w:rsid w:val="00C9365C"/>
    <w:rsid w:val="00C93F65"/>
    <w:rsid w:val="00C941BD"/>
    <w:rsid w:val="00C94244"/>
    <w:rsid w:val="00C95620"/>
    <w:rsid w:val="00C97F21"/>
    <w:rsid w:val="00CA02A7"/>
    <w:rsid w:val="00CA4102"/>
    <w:rsid w:val="00CB46D2"/>
    <w:rsid w:val="00CB4B54"/>
    <w:rsid w:val="00CB5787"/>
    <w:rsid w:val="00CB7165"/>
    <w:rsid w:val="00CC016D"/>
    <w:rsid w:val="00CC1ADD"/>
    <w:rsid w:val="00CC2EA2"/>
    <w:rsid w:val="00CC5691"/>
    <w:rsid w:val="00CC56D3"/>
    <w:rsid w:val="00CD3D0E"/>
    <w:rsid w:val="00CD3D37"/>
    <w:rsid w:val="00CD4838"/>
    <w:rsid w:val="00CD64CF"/>
    <w:rsid w:val="00CD7E81"/>
    <w:rsid w:val="00CE0706"/>
    <w:rsid w:val="00CE1D0C"/>
    <w:rsid w:val="00CE3271"/>
    <w:rsid w:val="00CE3FD2"/>
    <w:rsid w:val="00CE46A0"/>
    <w:rsid w:val="00CE4D0C"/>
    <w:rsid w:val="00CF07AF"/>
    <w:rsid w:val="00CF0D9E"/>
    <w:rsid w:val="00CF13D8"/>
    <w:rsid w:val="00CF2062"/>
    <w:rsid w:val="00CF3108"/>
    <w:rsid w:val="00CF3F6D"/>
    <w:rsid w:val="00CF569A"/>
    <w:rsid w:val="00CF5B3F"/>
    <w:rsid w:val="00CF6D23"/>
    <w:rsid w:val="00CF7692"/>
    <w:rsid w:val="00CF7E0A"/>
    <w:rsid w:val="00D00A29"/>
    <w:rsid w:val="00D00F42"/>
    <w:rsid w:val="00D02904"/>
    <w:rsid w:val="00D02910"/>
    <w:rsid w:val="00D05D6D"/>
    <w:rsid w:val="00D071E3"/>
    <w:rsid w:val="00D07FB7"/>
    <w:rsid w:val="00D1024E"/>
    <w:rsid w:val="00D11045"/>
    <w:rsid w:val="00D1229D"/>
    <w:rsid w:val="00D14443"/>
    <w:rsid w:val="00D14818"/>
    <w:rsid w:val="00D15894"/>
    <w:rsid w:val="00D1643E"/>
    <w:rsid w:val="00D16C48"/>
    <w:rsid w:val="00D16EE7"/>
    <w:rsid w:val="00D17FCB"/>
    <w:rsid w:val="00D2045B"/>
    <w:rsid w:val="00D22553"/>
    <w:rsid w:val="00D22A38"/>
    <w:rsid w:val="00D2524A"/>
    <w:rsid w:val="00D335F8"/>
    <w:rsid w:val="00D33987"/>
    <w:rsid w:val="00D35514"/>
    <w:rsid w:val="00D41858"/>
    <w:rsid w:val="00D418AF"/>
    <w:rsid w:val="00D435C4"/>
    <w:rsid w:val="00D4420B"/>
    <w:rsid w:val="00D44621"/>
    <w:rsid w:val="00D478A8"/>
    <w:rsid w:val="00D50BEB"/>
    <w:rsid w:val="00D52A2B"/>
    <w:rsid w:val="00D53BAD"/>
    <w:rsid w:val="00D54003"/>
    <w:rsid w:val="00D565FA"/>
    <w:rsid w:val="00D56BA6"/>
    <w:rsid w:val="00D57C5C"/>
    <w:rsid w:val="00D57EC9"/>
    <w:rsid w:val="00D61D67"/>
    <w:rsid w:val="00D63C42"/>
    <w:rsid w:val="00D640CC"/>
    <w:rsid w:val="00D6475B"/>
    <w:rsid w:val="00D65494"/>
    <w:rsid w:val="00D65967"/>
    <w:rsid w:val="00D7062A"/>
    <w:rsid w:val="00D70DCB"/>
    <w:rsid w:val="00D71E56"/>
    <w:rsid w:val="00D723A8"/>
    <w:rsid w:val="00D7297D"/>
    <w:rsid w:val="00D72D64"/>
    <w:rsid w:val="00D756DD"/>
    <w:rsid w:val="00D77398"/>
    <w:rsid w:val="00D77528"/>
    <w:rsid w:val="00D77DAE"/>
    <w:rsid w:val="00D80412"/>
    <w:rsid w:val="00D80A99"/>
    <w:rsid w:val="00D81023"/>
    <w:rsid w:val="00D813D5"/>
    <w:rsid w:val="00D87FD8"/>
    <w:rsid w:val="00D92F41"/>
    <w:rsid w:val="00D95DC2"/>
    <w:rsid w:val="00DA23F8"/>
    <w:rsid w:val="00DA246E"/>
    <w:rsid w:val="00DA273D"/>
    <w:rsid w:val="00DA40D2"/>
    <w:rsid w:val="00DA592A"/>
    <w:rsid w:val="00DA7789"/>
    <w:rsid w:val="00DB092C"/>
    <w:rsid w:val="00DB1188"/>
    <w:rsid w:val="00DB4757"/>
    <w:rsid w:val="00DB4C2E"/>
    <w:rsid w:val="00DB706B"/>
    <w:rsid w:val="00DC1404"/>
    <w:rsid w:val="00DC160B"/>
    <w:rsid w:val="00DC20EB"/>
    <w:rsid w:val="00DC414B"/>
    <w:rsid w:val="00DC602C"/>
    <w:rsid w:val="00DC74E8"/>
    <w:rsid w:val="00DD0965"/>
    <w:rsid w:val="00DD1ED6"/>
    <w:rsid w:val="00DD3337"/>
    <w:rsid w:val="00DD5717"/>
    <w:rsid w:val="00DD7DB0"/>
    <w:rsid w:val="00DE02D4"/>
    <w:rsid w:val="00DE4071"/>
    <w:rsid w:val="00DE482E"/>
    <w:rsid w:val="00DE4CAA"/>
    <w:rsid w:val="00DE50F8"/>
    <w:rsid w:val="00DF03BD"/>
    <w:rsid w:val="00DF1611"/>
    <w:rsid w:val="00DF2391"/>
    <w:rsid w:val="00DF5F31"/>
    <w:rsid w:val="00DF6A85"/>
    <w:rsid w:val="00DF7638"/>
    <w:rsid w:val="00E02764"/>
    <w:rsid w:val="00E03949"/>
    <w:rsid w:val="00E10A5A"/>
    <w:rsid w:val="00E12D60"/>
    <w:rsid w:val="00E1449B"/>
    <w:rsid w:val="00E1506D"/>
    <w:rsid w:val="00E15E1B"/>
    <w:rsid w:val="00E16447"/>
    <w:rsid w:val="00E16564"/>
    <w:rsid w:val="00E203A9"/>
    <w:rsid w:val="00E21CC5"/>
    <w:rsid w:val="00E21D44"/>
    <w:rsid w:val="00E24911"/>
    <w:rsid w:val="00E2555C"/>
    <w:rsid w:val="00E2649F"/>
    <w:rsid w:val="00E266C3"/>
    <w:rsid w:val="00E27A93"/>
    <w:rsid w:val="00E27E56"/>
    <w:rsid w:val="00E31183"/>
    <w:rsid w:val="00E324C9"/>
    <w:rsid w:val="00E335C3"/>
    <w:rsid w:val="00E33852"/>
    <w:rsid w:val="00E34827"/>
    <w:rsid w:val="00E35043"/>
    <w:rsid w:val="00E35109"/>
    <w:rsid w:val="00E35A7F"/>
    <w:rsid w:val="00E36DD8"/>
    <w:rsid w:val="00E3745A"/>
    <w:rsid w:val="00E40F5A"/>
    <w:rsid w:val="00E441D6"/>
    <w:rsid w:val="00E44981"/>
    <w:rsid w:val="00E44FA6"/>
    <w:rsid w:val="00E464F6"/>
    <w:rsid w:val="00E46803"/>
    <w:rsid w:val="00E468DE"/>
    <w:rsid w:val="00E46C19"/>
    <w:rsid w:val="00E50B08"/>
    <w:rsid w:val="00E50DD5"/>
    <w:rsid w:val="00E518B3"/>
    <w:rsid w:val="00E51DAC"/>
    <w:rsid w:val="00E53A8F"/>
    <w:rsid w:val="00E53F1B"/>
    <w:rsid w:val="00E57D68"/>
    <w:rsid w:val="00E60457"/>
    <w:rsid w:val="00E609B4"/>
    <w:rsid w:val="00E612F6"/>
    <w:rsid w:val="00E63106"/>
    <w:rsid w:val="00E648D1"/>
    <w:rsid w:val="00E65CF7"/>
    <w:rsid w:val="00E662BF"/>
    <w:rsid w:val="00E66B17"/>
    <w:rsid w:val="00E700A4"/>
    <w:rsid w:val="00E726B6"/>
    <w:rsid w:val="00E72A07"/>
    <w:rsid w:val="00E73719"/>
    <w:rsid w:val="00E7459C"/>
    <w:rsid w:val="00E75A38"/>
    <w:rsid w:val="00E7797A"/>
    <w:rsid w:val="00E8093B"/>
    <w:rsid w:val="00E80EA1"/>
    <w:rsid w:val="00E8203D"/>
    <w:rsid w:val="00E8650A"/>
    <w:rsid w:val="00E90B33"/>
    <w:rsid w:val="00E90B5C"/>
    <w:rsid w:val="00E90CE8"/>
    <w:rsid w:val="00E9247D"/>
    <w:rsid w:val="00E9287B"/>
    <w:rsid w:val="00E9302B"/>
    <w:rsid w:val="00E95232"/>
    <w:rsid w:val="00E97B4A"/>
    <w:rsid w:val="00EA0D8D"/>
    <w:rsid w:val="00EA2419"/>
    <w:rsid w:val="00EA32B0"/>
    <w:rsid w:val="00EA36C7"/>
    <w:rsid w:val="00EA75AA"/>
    <w:rsid w:val="00EB32B2"/>
    <w:rsid w:val="00EB3BA0"/>
    <w:rsid w:val="00EB560E"/>
    <w:rsid w:val="00EC1350"/>
    <w:rsid w:val="00EC2BF7"/>
    <w:rsid w:val="00EC2CAF"/>
    <w:rsid w:val="00EC3CB1"/>
    <w:rsid w:val="00EC3FD8"/>
    <w:rsid w:val="00EC418C"/>
    <w:rsid w:val="00ED0400"/>
    <w:rsid w:val="00ED370A"/>
    <w:rsid w:val="00ED4A82"/>
    <w:rsid w:val="00ED5AEE"/>
    <w:rsid w:val="00ED68E1"/>
    <w:rsid w:val="00EE202C"/>
    <w:rsid w:val="00EE26F5"/>
    <w:rsid w:val="00EE2B17"/>
    <w:rsid w:val="00EE3313"/>
    <w:rsid w:val="00EF211C"/>
    <w:rsid w:val="00EF27E0"/>
    <w:rsid w:val="00EF302C"/>
    <w:rsid w:val="00EF50AF"/>
    <w:rsid w:val="00EF5E17"/>
    <w:rsid w:val="00EF5E82"/>
    <w:rsid w:val="00EF753E"/>
    <w:rsid w:val="00EF7AC9"/>
    <w:rsid w:val="00F004C9"/>
    <w:rsid w:val="00F00C7F"/>
    <w:rsid w:val="00F01E89"/>
    <w:rsid w:val="00F01EAE"/>
    <w:rsid w:val="00F02009"/>
    <w:rsid w:val="00F0478E"/>
    <w:rsid w:val="00F0682D"/>
    <w:rsid w:val="00F0702D"/>
    <w:rsid w:val="00F119A8"/>
    <w:rsid w:val="00F12824"/>
    <w:rsid w:val="00F149DC"/>
    <w:rsid w:val="00F14C6B"/>
    <w:rsid w:val="00F15C14"/>
    <w:rsid w:val="00F165A2"/>
    <w:rsid w:val="00F16938"/>
    <w:rsid w:val="00F2165B"/>
    <w:rsid w:val="00F21A9E"/>
    <w:rsid w:val="00F23841"/>
    <w:rsid w:val="00F23BDA"/>
    <w:rsid w:val="00F23EA4"/>
    <w:rsid w:val="00F24DAE"/>
    <w:rsid w:val="00F25A62"/>
    <w:rsid w:val="00F2722B"/>
    <w:rsid w:val="00F2771F"/>
    <w:rsid w:val="00F2789B"/>
    <w:rsid w:val="00F306FE"/>
    <w:rsid w:val="00F3289A"/>
    <w:rsid w:val="00F3439B"/>
    <w:rsid w:val="00F350EA"/>
    <w:rsid w:val="00F353A4"/>
    <w:rsid w:val="00F4073A"/>
    <w:rsid w:val="00F44089"/>
    <w:rsid w:val="00F45AF5"/>
    <w:rsid w:val="00F45D4B"/>
    <w:rsid w:val="00F469C6"/>
    <w:rsid w:val="00F50FF3"/>
    <w:rsid w:val="00F51532"/>
    <w:rsid w:val="00F51DEE"/>
    <w:rsid w:val="00F51E15"/>
    <w:rsid w:val="00F522B1"/>
    <w:rsid w:val="00F541DA"/>
    <w:rsid w:val="00F54E57"/>
    <w:rsid w:val="00F5553A"/>
    <w:rsid w:val="00F56CBC"/>
    <w:rsid w:val="00F5782E"/>
    <w:rsid w:val="00F6012B"/>
    <w:rsid w:val="00F61026"/>
    <w:rsid w:val="00F63CAD"/>
    <w:rsid w:val="00F64872"/>
    <w:rsid w:val="00F653F2"/>
    <w:rsid w:val="00F65CDD"/>
    <w:rsid w:val="00F66EC3"/>
    <w:rsid w:val="00F67C30"/>
    <w:rsid w:val="00F7002E"/>
    <w:rsid w:val="00F7099A"/>
    <w:rsid w:val="00F711BE"/>
    <w:rsid w:val="00F71720"/>
    <w:rsid w:val="00F71938"/>
    <w:rsid w:val="00F71AB8"/>
    <w:rsid w:val="00F73E80"/>
    <w:rsid w:val="00F771A0"/>
    <w:rsid w:val="00F8154C"/>
    <w:rsid w:val="00F82764"/>
    <w:rsid w:val="00F838A1"/>
    <w:rsid w:val="00F85551"/>
    <w:rsid w:val="00F8564C"/>
    <w:rsid w:val="00F8567C"/>
    <w:rsid w:val="00F86A02"/>
    <w:rsid w:val="00F87CB7"/>
    <w:rsid w:val="00F904BC"/>
    <w:rsid w:val="00F91EB5"/>
    <w:rsid w:val="00F927FE"/>
    <w:rsid w:val="00F92E09"/>
    <w:rsid w:val="00F95E0D"/>
    <w:rsid w:val="00FA1B93"/>
    <w:rsid w:val="00FA2EBF"/>
    <w:rsid w:val="00FA3CB5"/>
    <w:rsid w:val="00FA5DA7"/>
    <w:rsid w:val="00FA7249"/>
    <w:rsid w:val="00FB0228"/>
    <w:rsid w:val="00FB0528"/>
    <w:rsid w:val="00FB1111"/>
    <w:rsid w:val="00FB3278"/>
    <w:rsid w:val="00FB345A"/>
    <w:rsid w:val="00FB3533"/>
    <w:rsid w:val="00FB35DA"/>
    <w:rsid w:val="00FB40A2"/>
    <w:rsid w:val="00FB4BC6"/>
    <w:rsid w:val="00FB4F7D"/>
    <w:rsid w:val="00FB4FB2"/>
    <w:rsid w:val="00FB7FCA"/>
    <w:rsid w:val="00FC1D4B"/>
    <w:rsid w:val="00FC2080"/>
    <w:rsid w:val="00FC2FA7"/>
    <w:rsid w:val="00FC4A41"/>
    <w:rsid w:val="00FC4BF6"/>
    <w:rsid w:val="00FC5D56"/>
    <w:rsid w:val="00FD05FA"/>
    <w:rsid w:val="00FD08E7"/>
    <w:rsid w:val="00FD0E28"/>
    <w:rsid w:val="00FD3833"/>
    <w:rsid w:val="00FD3C82"/>
    <w:rsid w:val="00FD4A1E"/>
    <w:rsid w:val="00FD4D39"/>
    <w:rsid w:val="00FD79ED"/>
    <w:rsid w:val="00FE0D15"/>
    <w:rsid w:val="00FE0D3F"/>
    <w:rsid w:val="00FE171B"/>
    <w:rsid w:val="00FE17A4"/>
    <w:rsid w:val="00FE2CE5"/>
    <w:rsid w:val="00FE3DA7"/>
    <w:rsid w:val="00FE577A"/>
    <w:rsid w:val="00FE6A0C"/>
    <w:rsid w:val="00FE7241"/>
    <w:rsid w:val="00FE7A42"/>
    <w:rsid w:val="00FF39A9"/>
    <w:rsid w:val="00FF4888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60A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52569"/>
    <w:pPr>
      <w:keepNext/>
      <w:spacing w:after="240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F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5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2569"/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  <w:style w:type="paragraph" w:customStyle="1" w:styleId="atLetterFoot">
    <w:name w:val="atLetterFoot"/>
    <w:rsid w:val="00652569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rsid w:val="0065256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652569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65256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652569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23C1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6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2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2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2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Recommendation,List Paragraph1,List Paragraph11,L,CV text,Table text,F5 List Paragraph,Dot pt,Bulleted Para,NFP GP Bulleted List,FooterText,numbered,Paragraphe de liste1,Bulletr List Paragraph,列出段落,列出段落1,List Paragraph2,List Paragraph21,&amp;"/>
    <w:basedOn w:val="Normal"/>
    <w:link w:val="ListParagraphChar"/>
    <w:uiPriority w:val="34"/>
    <w:qFormat/>
    <w:rsid w:val="00D87FD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Bulleted Para Char,NFP GP Bulleted List Char,FooterText Char,numbered Char,列出段落 Char,列出段落1 Char"/>
    <w:link w:val="ListParagraph"/>
    <w:uiPriority w:val="34"/>
    <w:qFormat/>
    <w:locked/>
    <w:rsid w:val="00D87FD8"/>
  </w:style>
  <w:style w:type="character" w:customStyle="1" w:styleId="Heading2Char">
    <w:name w:val="Heading 2 Char"/>
    <w:basedOn w:val="DefaultParagraphFont"/>
    <w:link w:val="Heading2"/>
    <w:uiPriority w:val="9"/>
    <w:rsid w:val="00D87F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BF64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64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F642E"/>
    <w:rPr>
      <w:vertAlign w:val="superscript"/>
    </w:rPr>
  </w:style>
  <w:style w:type="table" w:styleId="TableGrid">
    <w:name w:val="Table Grid"/>
    <w:basedOn w:val="TableNormal"/>
    <w:uiPriority w:val="39"/>
    <w:rsid w:val="00D3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F64DA"/>
    <w:pPr>
      <w:spacing w:before="2880" w:after="480"/>
      <w:contextualSpacing/>
    </w:pPr>
    <w:rPr>
      <w:rFonts w:ascii="Arial" w:eastAsiaTheme="majorEastAsia" w:hAnsi="Arial" w:cstheme="majorBidi"/>
      <w:color w:val="005677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AF64DA"/>
    <w:rPr>
      <w:rFonts w:ascii="Arial" w:eastAsiaTheme="majorEastAsia" w:hAnsi="Arial" w:cstheme="majorBidi"/>
      <w:color w:val="005677"/>
      <w:spacing w:val="-10"/>
      <w:kern w:val="28"/>
      <w:sz w:val="72"/>
      <w:szCs w:val="56"/>
    </w:rPr>
  </w:style>
  <w:style w:type="paragraph" w:customStyle="1" w:styleId="Authoranddate">
    <w:name w:val="Author and date"/>
    <w:basedOn w:val="Subtitle"/>
    <w:link w:val="AuthoranddateChar"/>
    <w:qFormat/>
    <w:rsid w:val="00AF64DA"/>
    <w:pPr>
      <w:spacing w:line="259" w:lineRule="auto"/>
    </w:pPr>
    <w:rPr>
      <w:rFonts w:ascii="Arial" w:hAnsi="Arial" w:cstheme="majorBidi"/>
      <w:color w:val="FFFFFF" w:themeColor="background1"/>
      <w:spacing w:val="-10"/>
      <w:kern w:val="28"/>
      <w:sz w:val="40"/>
      <w:szCs w:val="40"/>
    </w:rPr>
  </w:style>
  <w:style w:type="character" w:customStyle="1" w:styleId="AuthoranddateChar">
    <w:name w:val="Author and date Char"/>
    <w:basedOn w:val="SubtitleChar"/>
    <w:link w:val="Authoranddate"/>
    <w:rsid w:val="00AF64DA"/>
    <w:rPr>
      <w:rFonts w:ascii="Arial" w:eastAsiaTheme="minorEastAsia" w:hAnsi="Arial" w:cstheme="majorBidi"/>
      <w:color w:val="FFFFFF" w:themeColor="background1"/>
      <w:spacing w:val="-10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qFormat/>
    <w:rsid w:val="00AF64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AF64DA"/>
    <w:rPr>
      <w:rFonts w:eastAsiaTheme="minorEastAsia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A367B5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367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367B5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9F3D0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9F3D07"/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C1">
    <w:name w:val="ADC 1"/>
    <w:basedOn w:val="TableNormal"/>
    <w:uiPriority w:val="99"/>
    <w:rsid w:val="001659C5"/>
    <w:pPr>
      <w:spacing w:before="40" w:after="40"/>
    </w:pPr>
    <w:rPr>
      <w:rFonts w:ascii="Calibri" w:hAnsi="Calibri"/>
    </w:rPr>
    <w:tblPr>
      <w:tblStyleRowBandSize w:val="1"/>
      <w:tblStyleColBandSize w:val="1"/>
      <w:tblBorders>
        <w:insideH w:val="single" w:sz="4" w:space="0" w:color="FFC000" w:themeColor="accent4"/>
      </w:tblBorders>
      <w:tblCellMar>
        <w:left w:w="0" w:type="dxa"/>
        <w:right w:w="0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5B9BD5" w:themeColor="accent1"/>
        <w:sz w:val="22"/>
      </w:rPr>
      <w:tblPr/>
      <w:tcPr>
        <w:tcBorders>
          <w:top w:val="nil"/>
          <w:left w:val="nil"/>
          <w:bottom w:val="single" w:sz="12" w:space="0" w:color="44546A" w:themeColor="text2"/>
          <w:right w:val="nil"/>
        </w:tcBorders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1Light-Accent3">
    <w:name w:val="Grid Table 1 Light Accent 3"/>
    <w:basedOn w:val="TableNormal"/>
    <w:uiPriority w:val="46"/>
    <w:rsid w:val="00007B4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491BC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91B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967B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662BF"/>
  </w:style>
  <w:style w:type="paragraph" w:styleId="NormalWeb">
    <w:name w:val="Normal (Web)"/>
    <w:basedOn w:val="Normal"/>
    <w:uiPriority w:val="99"/>
    <w:semiHidden/>
    <w:unhideWhenUsed/>
    <w:rsid w:val="00BE33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i-provider">
    <w:name w:val="ui-provider"/>
    <w:basedOn w:val="DefaultParagraphFont"/>
    <w:rsid w:val="00BE3332"/>
  </w:style>
  <w:style w:type="paragraph" w:customStyle="1" w:styleId="xmsonormal">
    <w:name w:val="x_msonormal"/>
    <w:basedOn w:val="Normal"/>
    <w:rsid w:val="00E518B3"/>
    <w:rPr>
      <w:rFonts w:ascii="Calibri" w:hAnsi="Calibri" w:cs="Calibri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69452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9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25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212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commission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157DC-49E9-42C3-8EC8-AE52C9C8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2024-06-26T00:30:00Z</dcterms:created>
  <dcterms:modified xsi:type="dcterms:W3CDTF">2024-06-26T00:31:00Z</dcterms:modified>
</cp:coreProperties>
</file>