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48CF" w14:textId="77777777" w:rsidR="00C57EED" w:rsidRPr="008F5E49" w:rsidRDefault="00C57EED" w:rsidP="00C57EED">
      <w:pPr>
        <w:spacing w:before="60" w:after="60"/>
        <w:ind w:right="84"/>
        <w:rPr>
          <w:rFonts w:eastAsia="Calibri" w:cstheme="minorHAnsi"/>
          <w:b/>
          <w:color w:val="202A4C"/>
          <w:sz w:val="80"/>
          <w:szCs w:val="80"/>
        </w:rPr>
      </w:pPr>
    </w:p>
    <w:p w14:paraId="64B7E4CB" w14:textId="77777777" w:rsidR="00C57EED" w:rsidRPr="008F5E49" w:rsidRDefault="00C57EED" w:rsidP="00C57EED">
      <w:pPr>
        <w:spacing w:before="60" w:after="60"/>
        <w:ind w:right="84"/>
        <w:rPr>
          <w:rFonts w:eastAsia="Calibri" w:cstheme="minorHAnsi"/>
          <w:b/>
          <w:color w:val="202A4C"/>
          <w:sz w:val="80"/>
          <w:szCs w:val="80"/>
        </w:rPr>
      </w:pPr>
    </w:p>
    <w:p w14:paraId="7DD13767" w14:textId="387E76B4" w:rsidR="00C57EED" w:rsidRPr="00C57EED" w:rsidRDefault="00C57EED" w:rsidP="00C57EED">
      <w:pPr>
        <w:spacing w:before="60" w:after="60"/>
        <w:ind w:right="84"/>
        <w:rPr>
          <w:rFonts w:eastAsia="Calibri" w:cstheme="minorHAnsi"/>
          <w:b/>
          <w:color w:val="202A4C"/>
          <w:sz w:val="64"/>
          <w:szCs w:val="64"/>
        </w:rPr>
      </w:pPr>
      <w:r w:rsidRPr="00C57EED">
        <w:rPr>
          <w:rFonts w:eastAsia="Calibri" w:cstheme="minorHAnsi"/>
          <w:b/>
          <w:color w:val="202A4C"/>
          <w:sz w:val="64"/>
          <w:szCs w:val="64"/>
        </w:rPr>
        <w:t xml:space="preserve">International Trade Remedies Forum Meeting Minutes </w:t>
      </w:r>
    </w:p>
    <w:p w14:paraId="5E476DB1" w14:textId="77777777" w:rsidR="00C57EED" w:rsidRPr="008F5E49" w:rsidRDefault="00C57EED" w:rsidP="00C57EED">
      <w:pPr>
        <w:spacing w:before="60" w:after="60"/>
        <w:ind w:right="84"/>
        <w:rPr>
          <w:rFonts w:eastAsia="Calibri" w:cstheme="minorHAnsi"/>
          <w:b/>
          <w:color w:val="202A4C"/>
          <w:sz w:val="40"/>
          <w:szCs w:val="40"/>
        </w:rPr>
      </w:pPr>
    </w:p>
    <w:p w14:paraId="75480221" w14:textId="0450BE3D" w:rsidR="00C57EED" w:rsidRPr="008F5E49" w:rsidRDefault="00C57EED" w:rsidP="00C57EED">
      <w:pPr>
        <w:spacing w:before="60" w:after="60"/>
        <w:ind w:right="84"/>
        <w:rPr>
          <w:rFonts w:eastAsia="Calibri" w:cstheme="minorHAnsi"/>
          <w:b/>
          <w:color w:val="202A4C"/>
          <w:sz w:val="80"/>
          <w:szCs w:val="80"/>
        </w:rPr>
      </w:pPr>
      <w:r>
        <w:rPr>
          <w:rFonts w:eastAsia="Calibri" w:cstheme="minorHAnsi"/>
          <w:b/>
          <w:color w:val="202A4C"/>
          <w:sz w:val="40"/>
          <w:szCs w:val="40"/>
        </w:rPr>
        <w:t>27 June 2024</w:t>
      </w:r>
    </w:p>
    <w:p w14:paraId="66869C3B" w14:textId="77777777" w:rsidR="00C57EED" w:rsidRPr="008F5E49" w:rsidRDefault="00C57EED" w:rsidP="00C57EED">
      <w:pPr>
        <w:spacing w:before="60" w:after="60"/>
        <w:ind w:right="84"/>
        <w:rPr>
          <w:rFonts w:eastAsia="Calibri" w:cstheme="minorHAnsi"/>
          <w:b/>
          <w:caps/>
          <w:color w:val="202A4C"/>
          <w:sz w:val="80"/>
          <w:szCs w:val="80"/>
        </w:rPr>
      </w:pPr>
    </w:p>
    <w:p w14:paraId="5524612B" w14:textId="77777777" w:rsidR="00C57EED" w:rsidRPr="008F5E49" w:rsidRDefault="00C57EED" w:rsidP="00C57EED">
      <w:pPr>
        <w:pStyle w:val="Authoranddate"/>
        <w:rPr>
          <w:rFonts w:asciiTheme="minorHAnsi" w:hAnsiTheme="minorHAnsi" w:cstheme="minorHAnsi"/>
        </w:rPr>
      </w:pPr>
    </w:p>
    <w:p w14:paraId="6FB09160" w14:textId="77777777" w:rsidR="00C57EED" w:rsidRPr="008F5E49" w:rsidRDefault="00C57EED" w:rsidP="00C57EED">
      <w:pPr>
        <w:pStyle w:val="Authoranddate"/>
        <w:rPr>
          <w:rFonts w:asciiTheme="minorHAnsi" w:hAnsiTheme="minorHAnsi" w:cstheme="minorHAnsi"/>
        </w:rPr>
      </w:pPr>
    </w:p>
    <w:p w14:paraId="63C5F926" w14:textId="77777777" w:rsidR="00C57EED" w:rsidRPr="008F5E49" w:rsidRDefault="00C57EED" w:rsidP="00C57EED">
      <w:pPr>
        <w:pStyle w:val="Authoranddate"/>
        <w:rPr>
          <w:rFonts w:asciiTheme="minorHAnsi" w:hAnsiTheme="minorHAnsi" w:cstheme="minorHAnsi"/>
        </w:rPr>
      </w:pPr>
    </w:p>
    <w:p w14:paraId="3CF40896" w14:textId="2203A0E7" w:rsidR="00C57EED" w:rsidRPr="008F5E49" w:rsidRDefault="00C57EED" w:rsidP="00C57EED">
      <w:pPr>
        <w:pStyle w:val="Authoranddate"/>
        <w:tabs>
          <w:tab w:val="left" w:pos="7067"/>
        </w:tabs>
        <w:rPr>
          <w:rFonts w:asciiTheme="minorHAnsi" w:hAnsiTheme="minorHAnsi" w:cstheme="minorHAnsi"/>
        </w:rPr>
      </w:pPr>
      <w:r w:rsidRPr="008F5E49">
        <w:rPr>
          <w:rFonts w:asciiTheme="minorHAnsi" w:hAnsiTheme="minorHAnsi" w:cstheme="minorHAnsi"/>
        </w:rPr>
        <w:tab/>
      </w:r>
    </w:p>
    <w:p w14:paraId="78FA3DE7" w14:textId="77777777" w:rsidR="00C57EED" w:rsidRPr="008F5E49" w:rsidRDefault="00C57EED" w:rsidP="00C57EED">
      <w:p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325B7D6" w14:textId="77777777" w:rsidR="00C57EED" w:rsidRPr="008F5E49" w:rsidRDefault="00C57EED" w:rsidP="00C57EED">
      <w:p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8F5E49">
        <w:rPr>
          <w:rFonts w:cstheme="minorHAnsi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BCA08F0" wp14:editId="3DE28E2F">
            <wp:simplePos x="0" y="0"/>
            <wp:positionH relativeFrom="column">
              <wp:posOffset>2770496</wp:posOffset>
            </wp:positionH>
            <wp:positionV relativeFrom="paragraph">
              <wp:posOffset>4237</wp:posOffset>
            </wp:positionV>
            <wp:extent cx="3045936" cy="1514902"/>
            <wp:effectExtent l="0" t="0" r="2540" b="9525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604" cy="1517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A5C64" w14:textId="77777777" w:rsidR="00C57EED" w:rsidRPr="008F5E49" w:rsidRDefault="00C57EED" w:rsidP="00C57EED">
      <w:p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D874564" w14:textId="457650D9" w:rsidR="00C57EED" w:rsidRDefault="00C57EED" w:rsidP="00C57EED">
      <w:pPr>
        <w:rPr>
          <w:rStyle w:val="Hyperlink"/>
          <w:rFonts w:cstheme="minorHAnsi"/>
          <w:sz w:val="28"/>
          <w:szCs w:val="28"/>
        </w:rPr>
      </w:pPr>
      <w:r w:rsidRPr="008F5E49">
        <w:rPr>
          <w:rFonts w:cstheme="minorHAnsi"/>
          <w:b/>
          <w:bCs/>
          <w:snapToGrid w:val="0"/>
          <w:sz w:val="28"/>
          <w:szCs w:val="28"/>
        </w:rPr>
        <w:t>Anti-Dumping Commission website:</w:t>
      </w:r>
      <w:r w:rsidRPr="008F5E49">
        <w:rPr>
          <w:rFonts w:cstheme="minorHAnsi"/>
          <w:snapToGrid w:val="0"/>
          <w:sz w:val="28"/>
          <w:szCs w:val="28"/>
        </w:rPr>
        <w:t xml:space="preserve"> </w:t>
      </w:r>
      <w:r w:rsidRPr="008F5E49">
        <w:rPr>
          <w:rFonts w:cstheme="minorHAnsi"/>
          <w:snapToGrid w:val="0"/>
          <w:sz w:val="28"/>
          <w:szCs w:val="28"/>
        </w:rPr>
        <w:br/>
      </w:r>
      <w:hyperlink r:id="rId9" w:history="1">
        <w:r w:rsidRPr="008F5E49">
          <w:rPr>
            <w:rStyle w:val="Hyperlink"/>
            <w:rFonts w:cstheme="minorHAnsi"/>
            <w:sz w:val="28"/>
            <w:szCs w:val="28"/>
          </w:rPr>
          <w:t>adcommission.gov.au</w:t>
        </w:r>
      </w:hyperlink>
    </w:p>
    <w:p w14:paraId="397DD7BC" w14:textId="77777777" w:rsidR="00C57EED" w:rsidRDefault="00C57EED" w:rsidP="00C57EED">
      <w:pPr>
        <w:rPr>
          <w:rStyle w:val="Hyperlink"/>
          <w:rFonts w:cstheme="minorHAnsi"/>
          <w:sz w:val="28"/>
          <w:szCs w:val="28"/>
        </w:rPr>
      </w:pPr>
      <w:r>
        <w:rPr>
          <w:rStyle w:val="Hyperlink"/>
          <w:rFonts w:cstheme="minorHAnsi"/>
          <w:sz w:val="28"/>
          <w:szCs w:val="28"/>
        </w:rPr>
        <w:br w:type="page"/>
      </w:r>
    </w:p>
    <w:p w14:paraId="7CA9208D" w14:textId="66D05C33" w:rsidR="00C57EED" w:rsidRPr="00C57EED" w:rsidRDefault="00C57EED" w:rsidP="00C57EED">
      <w:pPr>
        <w:pStyle w:val="Heading1"/>
        <w:rPr>
          <w:rFonts w:asciiTheme="minorHAnsi" w:hAnsiTheme="minorHAnsi" w:cstheme="minorHAnsi"/>
        </w:rPr>
      </w:pPr>
      <w:r w:rsidRPr="008F5E49">
        <w:rPr>
          <w:rFonts w:asciiTheme="minorHAnsi" w:hAnsiTheme="minorHAnsi" w:cstheme="minorHAnsi"/>
        </w:rPr>
        <w:lastRenderedPageBreak/>
        <w:t>Agenda Item 1 – Introduction and Welcome</w:t>
      </w:r>
    </w:p>
    <w:p w14:paraId="6ED4951E" w14:textId="03B61208" w:rsidR="00D1428C" w:rsidRDefault="000D438C" w:rsidP="00DC3343">
      <w:pPr>
        <w:spacing w:before="120" w:after="120"/>
        <w:rPr>
          <w:rFonts w:eastAsia="Calibri" w:cstheme="minorHAnsi"/>
        </w:rPr>
      </w:pPr>
      <w:r>
        <w:rPr>
          <w:rFonts w:eastAsia="Calibri" w:cstheme="minorHAnsi"/>
        </w:rPr>
        <w:t xml:space="preserve">The </w:t>
      </w:r>
      <w:r w:rsidR="00D21A02">
        <w:rPr>
          <w:rFonts w:eastAsia="Calibri" w:cstheme="minorHAnsi"/>
        </w:rPr>
        <w:t>a</w:t>
      </w:r>
      <w:r w:rsidR="00A41DFE">
        <w:rPr>
          <w:rFonts w:eastAsia="Calibri" w:cstheme="minorHAnsi"/>
        </w:rPr>
        <w:t xml:space="preserve">cting Commissioner of the Anti-Dumping Commission and Presiding Member </w:t>
      </w:r>
      <w:r w:rsidR="00D1428C">
        <w:rPr>
          <w:rFonts w:eastAsia="Calibri" w:cstheme="minorHAnsi"/>
        </w:rPr>
        <w:t>welcome</w:t>
      </w:r>
      <w:r w:rsidR="00834EC6">
        <w:rPr>
          <w:rFonts w:eastAsia="Calibri" w:cstheme="minorHAnsi"/>
        </w:rPr>
        <w:t>d</w:t>
      </w:r>
      <w:r w:rsidR="00A41DFE">
        <w:rPr>
          <w:rFonts w:eastAsia="Calibri" w:cstheme="minorHAnsi"/>
        </w:rPr>
        <w:t xml:space="preserve"> </w:t>
      </w:r>
      <w:r w:rsidR="00834EC6">
        <w:rPr>
          <w:rFonts w:eastAsia="Calibri" w:cstheme="minorHAnsi"/>
        </w:rPr>
        <w:t>attendees</w:t>
      </w:r>
      <w:r w:rsidR="00B36B26">
        <w:rPr>
          <w:rFonts w:eastAsia="Calibri" w:cstheme="minorHAnsi"/>
        </w:rPr>
        <w:t xml:space="preserve"> to the International Trade Remedies Forum meeting</w:t>
      </w:r>
      <w:r w:rsidR="00A81A4D">
        <w:rPr>
          <w:rFonts w:eastAsia="Calibri" w:cstheme="minorHAnsi"/>
        </w:rPr>
        <w:t xml:space="preserve">. </w:t>
      </w:r>
    </w:p>
    <w:p w14:paraId="78500FA1" w14:textId="6259FCB9" w:rsidR="00BC5B00" w:rsidRDefault="00583A89" w:rsidP="00DC3343">
      <w:pPr>
        <w:spacing w:before="120" w:after="120"/>
        <w:rPr>
          <w:rFonts w:eastAsia="Calibri" w:cstheme="minorHAnsi"/>
        </w:rPr>
      </w:pPr>
      <w:r>
        <w:rPr>
          <w:rFonts w:eastAsia="Calibri" w:cstheme="minorHAnsi"/>
        </w:rPr>
        <w:t xml:space="preserve">The </w:t>
      </w:r>
      <w:r w:rsidR="002C7D97">
        <w:rPr>
          <w:rFonts w:eastAsia="Calibri" w:cstheme="minorHAnsi"/>
        </w:rPr>
        <w:t>a</w:t>
      </w:r>
      <w:r w:rsidR="00D1428C">
        <w:rPr>
          <w:rFonts w:eastAsia="Calibri" w:cstheme="minorHAnsi"/>
        </w:rPr>
        <w:t xml:space="preserve">cting Commissioner </w:t>
      </w:r>
      <w:r w:rsidR="00307291">
        <w:rPr>
          <w:rFonts w:eastAsia="Calibri" w:cstheme="minorHAnsi"/>
        </w:rPr>
        <w:t xml:space="preserve">noted </w:t>
      </w:r>
      <w:r w:rsidR="00B36B26">
        <w:rPr>
          <w:rFonts w:eastAsia="Calibri" w:cstheme="minorHAnsi"/>
        </w:rPr>
        <w:t xml:space="preserve">the </w:t>
      </w:r>
      <w:r w:rsidR="00D1428C">
        <w:rPr>
          <w:rFonts w:eastAsia="Calibri" w:cstheme="minorHAnsi"/>
        </w:rPr>
        <w:t>purpose</w:t>
      </w:r>
      <w:r w:rsidR="00834EC6">
        <w:rPr>
          <w:rFonts w:eastAsia="Calibri" w:cstheme="minorHAnsi"/>
        </w:rPr>
        <w:t xml:space="preserve"> </w:t>
      </w:r>
      <w:r w:rsidR="00B36B26">
        <w:rPr>
          <w:rFonts w:eastAsia="Calibri" w:cstheme="minorHAnsi"/>
        </w:rPr>
        <w:t xml:space="preserve">of the meeting was </w:t>
      </w:r>
      <w:r w:rsidR="00BB58F8">
        <w:rPr>
          <w:rFonts w:eastAsia="Calibri" w:cstheme="minorHAnsi"/>
        </w:rPr>
        <w:t>to</w:t>
      </w:r>
      <w:r w:rsidR="00307291">
        <w:rPr>
          <w:rFonts w:eastAsia="Calibri" w:cstheme="minorHAnsi"/>
        </w:rPr>
        <w:t xml:space="preserve"> settle the draft Term</w:t>
      </w:r>
      <w:r w:rsidR="00E81B79">
        <w:rPr>
          <w:rFonts w:eastAsia="Calibri" w:cstheme="minorHAnsi"/>
        </w:rPr>
        <w:t>s</w:t>
      </w:r>
      <w:r w:rsidR="00307291">
        <w:rPr>
          <w:rFonts w:eastAsia="Calibri" w:cstheme="minorHAnsi"/>
        </w:rPr>
        <w:t xml:space="preserve"> of Reference and</w:t>
      </w:r>
      <w:r w:rsidR="00BB58F8">
        <w:rPr>
          <w:rFonts w:eastAsia="Calibri" w:cstheme="minorHAnsi"/>
        </w:rPr>
        <w:t xml:space="preserve"> </w:t>
      </w:r>
      <w:r w:rsidR="00BC5B00">
        <w:rPr>
          <w:rFonts w:eastAsia="Calibri" w:cstheme="minorHAnsi"/>
        </w:rPr>
        <w:t xml:space="preserve">discuss </w:t>
      </w:r>
      <w:r w:rsidR="00BB58F8">
        <w:rPr>
          <w:rFonts w:eastAsia="Calibri" w:cstheme="minorHAnsi"/>
        </w:rPr>
        <w:t>Member comments on the draft</w:t>
      </w:r>
      <w:r w:rsidR="00307291">
        <w:rPr>
          <w:rFonts w:eastAsia="Calibri" w:cstheme="minorHAnsi"/>
        </w:rPr>
        <w:t>.</w:t>
      </w:r>
      <w:r w:rsidR="00BC5B00">
        <w:rPr>
          <w:rFonts w:eastAsia="Calibri" w:cstheme="minorHAnsi"/>
        </w:rPr>
        <w:t xml:space="preserve"> </w:t>
      </w:r>
    </w:p>
    <w:p w14:paraId="41BA114F" w14:textId="2D0564CC" w:rsidR="00307291" w:rsidRDefault="00BC5B00" w:rsidP="00DC3343">
      <w:pPr>
        <w:spacing w:before="120" w:after="120"/>
        <w:rPr>
          <w:rFonts w:eastAsia="Calibri" w:cstheme="minorHAnsi"/>
        </w:rPr>
      </w:pPr>
      <w:r>
        <w:rPr>
          <w:rFonts w:eastAsia="Calibri" w:cstheme="minorHAnsi"/>
        </w:rPr>
        <w:t xml:space="preserve">The </w:t>
      </w:r>
      <w:r w:rsidR="00B87FC5">
        <w:rPr>
          <w:rFonts w:eastAsia="Calibri" w:cstheme="minorHAnsi"/>
        </w:rPr>
        <w:t xml:space="preserve">acting </w:t>
      </w:r>
      <w:r>
        <w:rPr>
          <w:rFonts w:eastAsia="Calibri" w:cstheme="minorHAnsi"/>
        </w:rPr>
        <w:t xml:space="preserve">Commissioner </w:t>
      </w:r>
      <w:r w:rsidR="00DA6E00">
        <w:rPr>
          <w:rFonts w:eastAsia="Calibri" w:cstheme="minorHAnsi"/>
        </w:rPr>
        <w:t>advised</w:t>
      </w:r>
      <w:r w:rsidR="00E81B79">
        <w:rPr>
          <w:rFonts w:eastAsia="Calibri" w:cstheme="minorHAnsi"/>
        </w:rPr>
        <w:t xml:space="preserve"> that</w:t>
      </w:r>
      <w:r>
        <w:rPr>
          <w:rFonts w:eastAsia="Calibri" w:cstheme="minorHAnsi"/>
        </w:rPr>
        <w:t xml:space="preserve"> the pro</w:t>
      </w:r>
      <w:r w:rsidR="00B87FC5">
        <w:rPr>
          <w:rFonts w:eastAsia="Calibri" w:cstheme="minorHAnsi"/>
        </w:rPr>
        <w:t>po</w:t>
      </w:r>
      <w:r>
        <w:rPr>
          <w:rFonts w:eastAsia="Calibri" w:cstheme="minorHAnsi"/>
        </w:rPr>
        <w:t>sed Terms of Reference</w:t>
      </w:r>
      <w:r w:rsidR="00DA6E00">
        <w:rPr>
          <w:rFonts w:eastAsia="Calibri" w:cstheme="minorHAnsi"/>
        </w:rPr>
        <w:t xml:space="preserve"> will be sent</w:t>
      </w:r>
      <w:r>
        <w:rPr>
          <w:rFonts w:eastAsia="Calibri" w:cstheme="minorHAnsi"/>
        </w:rPr>
        <w:t xml:space="preserve"> to the Minister (see Next Steps </w:t>
      </w:r>
      <w:proofErr w:type="gramStart"/>
      <w:r>
        <w:rPr>
          <w:rFonts w:eastAsia="Calibri" w:cstheme="minorHAnsi"/>
        </w:rPr>
        <w:t>below</w:t>
      </w:r>
      <w:proofErr w:type="gramEnd"/>
      <w:r>
        <w:rPr>
          <w:rFonts w:eastAsia="Calibri" w:cstheme="minorHAnsi"/>
        </w:rPr>
        <w:t xml:space="preserve"> at Item 3)</w:t>
      </w:r>
      <w:r w:rsidR="00B87FC5">
        <w:rPr>
          <w:rFonts w:eastAsia="Calibri" w:cstheme="minorHAnsi"/>
        </w:rPr>
        <w:t>.</w:t>
      </w:r>
    </w:p>
    <w:p w14:paraId="13A4B134" w14:textId="77777777" w:rsidR="002442AE" w:rsidRDefault="002442AE" w:rsidP="00F126E8">
      <w:pPr>
        <w:rPr>
          <w:rFonts w:eastAsia="Calibri" w:cstheme="minorHAnsi"/>
        </w:rPr>
      </w:pPr>
    </w:p>
    <w:p w14:paraId="3B2B4DF2" w14:textId="09967084" w:rsidR="00C57EED" w:rsidRPr="00C57EED" w:rsidRDefault="00C57EED" w:rsidP="00C57EED">
      <w:pPr>
        <w:pStyle w:val="Heading1"/>
        <w:rPr>
          <w:rFonts w:asciiTheme="minorHAnsi" w:hAnsiTheme="minorHAnsi" w:cstheme="minorHAnsi"/>
        </w:rPr>
      </w:pPr>
      <w:r w:rsidRPr="008F5E49">
        <w:rPr>
          <w:rFonts w:asciiTheme="minorHAnsi" w:hAnsiTheme="minorHAnsi" w:cstheme="minorHAnsi"/>
        </w:rPr>
        <w:t xml:space="preserve">Agenda Item 2 – </w:t>
      </w:r>
      <w:r w:rsidRPr="00C57EED">
        <w:rPr>
          <w:rFonts w:asciiTheme="minorHAnsi" w:hAnsiTheme="minorHAnsi" w:cstheme="minorHAnsi"/>
        </w:rPr>
        <w:t xml:space="preserve">Discussion of </w:t>
      </w:r>
      <w:r w:rsidR="00C70379">
        <w:rPr>
          <w:rFonts w:asciiTheme="minorHAnsi" w:hAnsiTheme="minorHAnsi" w:cstheme="minorHAnsi"/>
        </w:rPr>
        <w:t xml:space="preserve">the </w:t>
      </w:r>
      <w:r w:rsidRPr="00C57EED">
        <w:rPr>
          <w:rFonts w:asciiTheme="minorHAnsi" w:hAnsiTheme="minorHAnsi" w:cstheme="minorHAnsi"/>
        </w:rPr>
        <w:t>Terms of Reference</w:t>
      </w:r>
    </w:p>
    <w:p w14:paraId="2D4AEC67" w14:textId="2C8D4D29" w:rsidR="00511AB1" w:rsidRDefault="00B36B26" w:rsidP="00DC3343">
      <w:pPr>
        <w:spacing w:before="120" w:after="120"/>
        <w:rPr>
          <w:rFonts w:eastAsia="Calibri" w:cstheme="minorHAnsi"/>
        </w:rPr>
      </w:pPr>
      <w:r>
        <w:rPr>
          <w:rFonts w:eastAsia="Calibri" w:cstheme="minorHAnsi"/>
        </w:rPr>
        <w:t>T</w:t>
      </w:r>
      <w:r w:rsidR="003D026F">
        <w:rPr>
          <w:rFonts w:eastAsia="Calibri" w:cstheme="minorHAnsi"/>
        </w:rPr>
        <w:t xml:space="preserve">he </w:t>
      </w:r>
      <w:r w:rsidR="002C7D97">
        <w:rPr>
          <w:rFonts w:eastAsia="Calibri" w:cstheme="minorHAnsi"/>
        </w:rPr>
        <w:t xml:space="preserve">acting </w:t>
      </w:r>
      <w:r w:rsidR="003D026F">
        <w:rPr>
          <w:rFonts w:eastAsia="Calibri" w:cstheme="minorHAnsi"/>
        </w:rPr>
        <w:t xml:space="preserve">Commissioner </w:t>
      </w:r>
      <w:r>
        <w:rPr>
          <w:rFonts w:eastAsia="Calibri" w:cstheme="minorHAnsi"/>
        </w:rPr>
        <w:t xml:space="preserve">led a discussion based on the </w:t>
      </w:r>
      <w:r w:rsidR="00437550">
        <w:rPr>
          <w:rFonts w:eastAsia="Calibri" w:cstheme="minorHAnsi"/>
        </w:rPr>
        <w:t xml:space="preserve">document titled </w:t>
      </w:r>
      <w:r w:rsidR="00437550" w:rsidRPr="00FE264B">
        <w:rPr>
          <w:i/>
          <w:iCs/>
        </w:rPr>
        <w:t>ITRF T</w:t>
      </w:r>
      <w:r w:rsidR="000120E1">
        <w:rPr>
          <w:i/>
          <w:iCs/>
        </w:rPr>
        <w:t xml:space="preserve">erms </w:t>
      </w:r>
      <w:r w:rsidR="00437550" w:rsidRPr="00FE264B">
        <w:rPr>
          <w:i/>
          <w:iCs/>
        </w:rPr>
        <w:t>o</w:t>
      </w:r>
      <w:r w:rsidR="000120E1">
        <w:rPr>
          <w:i/>
          <w:iCs/>
        </w:rPr>
        <w:t xml:space="preserve">f </w:t>
      </w:r>
      <w:r w:rsidR="00437550" w:rsidRPr="00FE264B">
        <w:rPr>
          <w:i/>
          <w:iCs/>
        </w:rPr>
        <w:t>R</w:t>
      </w:r>
      <w:r w:rsidR="000120E1">
        <w:rPr>
          <w:i/>
          <w:iCs/>
        </w:rPr>
        <w:t>eference</w:t>
      </w:r>
      <w:r w:rsidR="00437550" w:rsidRPr="00FE264B">
        <w:rPr>
          <w:i/>
          <w:iCs/>
        </w:rPr>
        <w:t xml:space="preserve"> – </w:t>
      </w:r>
      <w:r w:rsidR="000120E1">
        <w:rPr>
          <w:i/>
          <w:iCs/>
        </w:rPr>
        <w:t>M</w:t>
      </w:r>
      <w:r w:rsidR="00437550" w:rsidRPr="00FE264B">
        <w:rPr>
          <w:i/>
          <w:iCs/>
        </w:rPr>
        <w:t>ember comments 26 June 2024</w:t>
      </w:r>
      <w:r w:rsidR="00BC5B00">
        <w:rPr>
          <w:i/>
          <w:iCs/>
        </w:rPr>
        <w:t>,</w:t>
      </w:r>
      <w:r w:rsidR="00C70379">
        <w:rPr>
          <w:rFonts w:eastAsia="Calibri" w:cstheme="minorHAnsi"/>
        </w:rPr>
        <w:t xml:space="preserve"> which had been provided to Members</w:t>
      </w:r>
      <w:r w:rsidR="001E2910">
        <w:rPr>
          <w:rFonts w:eastAsia="Calibri" w:cstheme="minorHAnsi"/>
        </w:rPr>
        <w:t xml:space="preserve"> for comment</w:t>
      </w:r>
      <w:r w:rsidR="00C70379">
        <w:rPr>
          <w:rFonts w:eastAsia="Calibri" w:cstheme="minorHAnsi"/>
        </w:rPr>
        <w:t>.</w:t>
      </w:r>
      <w:r w:rsidR="001E2910">
        <w:rPr>
          <w:rFonts w:eastAsia="Calibri" w:cstheme="minorHAnsi"/>
        </w:rPr>
        <w:t xml:space="preserve"> She proposed finalising the Terms of Reference based on comments received, with any differences of opinion from Members</w:t>
      </w:r>
      <w:r w:rsidR="00BC5B00">
        <w:rPr>
          <w:rFonts w:eastAsia="Calibri" w:cstheme="minorHAnsi"/>
        </w:rPr>
        <w:t xml:space="preserve"> to the proposed version</w:t>
      </w:r>
      <w:r w:rsidR="001E2910">
        <w:rPr>
          <w:rFonts w:eastAsia="Calibri" w:cstheme="minorHAnsi"/>
        </w:rPr>
        <w:t xml:space="preserve"> </w:t>
      </w:r>
      <w:r w:rsidR="00D7457D">
        <w:rPr>
          <w:rFonts w:eastAsia="Calibri" w:cstheme="minorHAnsi"/>
        </w:rPr>
        <w:t xml:space="preserve">to </w:t>
      </w:r>
      <w:r w:rsidR="001E2910">
        <w:rPr>
          <w:rFonts w:eastAsia="Calibri" w:cstheme="minorHAnsi"/>
        </w:rPr>
        <w:t xml:space="preserve">be </w:t>
      </w:r>
      <w:r w:rsidR="00BC5B00">
        <w:rPr>
          <w:rFonts w:eastAsia="Calibri" w:cstheme="minorHAnsi"/>
        </w:rPr>
        <w:t xml:space="preserve">noted </w:t>
      </w:r>
      <w:r w:rsidR="001E2910">
        <w:rPr>
          <w:rFonts w:eastAsia="Calibri" w:cstheme="minorHAnsi"/>
        </w:rPr>
        <w:t xml:space="preserve">to the Minister </w:t>
      </w:r>
      <w:r w:rsidR="00BC5B00">
        <w:rPr>
          <w:rFonts w:eastAsia="Calibri" w:cstheme="minorHAnsi"/>
        </w:rPr>
        <w:t xml:space="preserve">in the </w:t>
      </w:r>
      <w:r w:rsidR="002C7D97">
        <w:rPr>
          <w:rFonts w:eastAsia="Calibri" w:cstheme="minorHAnsi"/>
        </w:rPr>
        <w:t xml:space="preserve">acting </w:t>
      </w:r>
      <w:r w:rsidR="00BC5B00">
        <w:rPr>
          <w:rFonts w:eastAsia="Calibri" w:cstheme="minorHAnsi"/>
        </w:rPr>
        <w:t>Commissioner’s brief to the Minister</w:t>
      </w:r>
      <w:r w:rsidR="001E2910">
        <w:rPr>
          <w:rFonts w:eastAsia="Calibri" w:cstheme="minorHAnsi"/>
        </w:rPr>
        <w:t>.</w:t>
      </w:r>
      <w:r w:rsidR="001B3CF7">
        <w:rPr>
          <w:rFonts w:eastAsia="Calibri" w:cstheme="minorHAnsi"/>
        </w:rPr>
        <w:t xml:space="preserve"> This was agreed to by Members. </w:t>
      </w:r>
    </w:p>
    <w:p w14:paraId="0238DF1E" w14:textId="57BED65D" w:rsidR="00437550" w:rsidRDefault="00B36B26" w:rsidP="00DC3343">
      <w:pPr>
        <w:spacing w:before="120" w:after="120"/>
        <w:rPr>
          <w:rFonts w:eastAsia="Calibri" w:cstheme="minorHAnsi"/>
        </w:rPr>
      </w:pPr>
      <w:r>
        <w:rPr>
          <w:rFonts w:eastAsia="Calibri" w:cstheme="minorHAnsi"/>
        </w:rPr>
        <w:t xml:space="preserve">The sections of </w:t>
      </w:r>
      <w:r w:rsidR="00C70379">
        <w:rPr>
          <w:rFonts w:eastAsia="Calibri" w:cstheme="minorHAnsi"/>
        </w:rPr>
        <w:t xml:space="preserve">the </w:t>
      </w:r>
      <w:r>
        <w:rPr>
          <w:rFonts w:eastAsia="Calibri" w:cstheme="minorHAnsi"/>
        </w:rPr>
        <w:t xml:space="preserve">draft Terms of Reference </w:t>
      </w:r>
      <w:r w:rsidR="00C70379">
        <w:rPr>
          <w:rFonts w:eastAsia="Calibri" w:cstheme="minorHAnsi"/>
        </w:rPr>
        <w:t xml:space="preserve">that were discussed, </w:t>
      </w:r>
      <w:r>
        <w:rPr>
          <w:rFonts w:eastAsia="Calibri" w:cstheme="minorHAnsi"/>
        </w:rPr>
        <w:t>and the outcomes of the discussion are below.</w:t>
      </w:r>
    </w:p>
    <w:p w14:paraId="59A3433E" w14:textId="50B38E72" w:rsidR="00021789" w:rsidRPr="00C61943" w:rsidRDefault="00021789" w:rsidP="00A0781B">
      <w:pPr>
        <w:spacing w:before="240" w:after="120"/>
        <w:rPr>
          <w:b/>
          <w:bCs/>
        </w:rPr>
      </w:pPr>
      <w:r w:rsidRPr="00C61943">
        <w:rPr>
          <w:b/>
          <w:bCs/>
        </w:rPr>
        <w:t>Section 4</w:t>
      </w:r>
      <w:r>
        <w:rPr>
          <w:b/>
          <w:bCs/>
        </w:rPr>
        <w:t xml:space="preserve"> – Sub-</w:t>
      </w:r>
      <w:r w:rsidR="00053B30">
        <w:rPr>
          <w:b/>
          <w:bCs/>
        </w:rPr>
        <w:t>c</w:t>
      </w:r>
      <w:r>
        <w:rPr>
          <w:b/>
          <w:bCs/>
        </w:rPr>
        <w:t>ommittees</w:t>
      </w:r>
    </w:p>
    <w:p w14:paraId="7F3568CC" w14:textId="0C884930" w:rsidR="00D1428C" w:rsidRPr="00DC3343" w:rsidRDefault="00EF0C44" w:rsidP="007E7423">
      <w:pPr>
        <w:pStyle w:val="ListParagraph"/>
        <w:numPr>
          <w:ilvl w:val="0"/>
          <w:numId w:val="7"/>
        </w:numPr>
        <w:spacing w:before="120" w:after="120"/>
        <w:ind w:left="709"/>
        <w:rPr>
          <w:rFonts w:eastAsia="Calibri" w:cstheme="minorHAnsi"/>
        </w:rPr>
      </w:pPr>
      <w:r w:rsidRPr="00DC3343">
        <w:rPr>
          <w:rFonts w:eastAsia="Calibri" w:cstheme="minorHAnsi"/>
          <w:b/>
          <w:bCs/>
        </w:rPr>
        <w:t>A</w:t>
      </w:r>
      <w:r w:rsidR="00345C83" w:rsidRPr="00DC3343">
        <w:rPr>
          <w:rFonts w:eastAsia="Calibri" w:cstheme="minorHAnsi"/>
          <w:b/>
          <w:bCs/>
        </w:rPr>
        <w:t>dopted</w:t>
      </w:r>
      <w:r w:rsidRPr="00DC3343">
        <w:rPr>
          <w:rFonts w:eastAsia="Calibri" w:cstheme="minorHAnsi"/>
        </w:rPr>
        <w:t xml:space="preserve"> </w:t>
      </w:r>
      <w:r w:rsidR="00345C83" w:rsidRPr="00DC3343">
        <w:rPr>
          <w:rFonts w:eastAsia="Calibri" w:cstheme="minorHAnsi"/>
        </w:rPr>
        <w:t>–</w:t>
      </w:r>
      <w:r w:rsidR="00C70379">
        <w:rPr>
          <w:rFonts w:eastAsia="Calibri" w:cstheme="minorHAnsi"/>
        </w:rPr>
        <w:t xml:space="preserve"> S</w:t>
      </w:r>
      <w:r w:rsidR="00492E19" w:rsidRPr="00DC3343">
        <w:rPr>
          <w:rFonts w:eastAsia="Calibri" w:cstheme="minorHAnsi"/>
        </w:rPr>
        <w:t>ub-committee</w:t>
      </w:r>
      <w:r w:rsidR="007E7423">
        <w:rPr>
          <w:rFonts w:eastAsia="Calibri" w:cstheme="minorHAnsi"/>
        </w:rPr>
        <w:t>s under the ITRF</w:t>
      </w:r>
      <w:r w:rsidR="000D438C" w:rsidRPr="00DC3343">
        <w:rPr>
          <w:rFonts w:eastAsia="Calibri" w:cstheme="minorHAnsi"/>
        </w:rPr>
        <w:t xml:space="preserve"> </w:t>
      </w:r>
      <w:r w:rsidR="007E7423">
        <w:rPr>
          <w:rFonts w:eastAsia="Calibri" w:cstheme="minorHAnsi"/>
        </w:rPr>
        <w:t>should be</w:t>
      </w:r>
      <w:r w:rsidR="000D438C" w:rsidRPr="00DC3343">
        <w:rPr>
          <w:rFonts w:eastAsia="Calibri" w:cstheme="minorHAnsi"/>
        </w:rPr>
        <w:t xml:space="preserve"> provided </w:t>
      </w:r>
      <w:r w:rsidR="007E7423">
        <w:rPr>
          <w:rFonts w:eastAsia="Calibri" w:cstheme="minorHAnsi"/>
        </w:rPr>
        <w:t xml:space="preserve">with </w:t>
      </w:r>
      <w:r w:rsidR="00492E19" w:rsidRPr="00DC3343">
        <w:rPr>
          <w:rFonts w:eastAsia="Calibri" w:cstheme="minorHAnsi"/>
        </w:rPr>
        <w:t>a</w:t>
      </w:r>
      <w:r w:rsidRPr="00DC3343">
        <w:rPr>
          <w:rFonts w:eastAsia="Calibri" w:cstheme="minorHAnsi"/>
        </w:rPr>
        <w:t xml:space="preserve"> clear objective and </w:t>
      </w:r>
      <w:r w:rsidR="00C70379">
        <w:rPr>
          <w:rFonts w:eastAsia="Calibri" w:cstheme="minorHAnsi"/>
        </w:rPr>
        <w:t xml:space="preserve">a </w:t>
      </w:r>
      <w:r w:rsidRPr="00DC3343">
        <w:rPr>
          <w:rFonts w:eastAsia="Calibri" w:cstheme="minorHAnsi"/>
        </w:rPr>
        <w:t>timeframe</w:t>
      </w:r>
      <w:r w:rsidR="000D438C" w:rsidRPr="00DC3343">
        <w:rPr>
          <w:rFonts w:eastAsia="Calibri" w:cstheme="minorHAnsi"/>
        </w:rPr>
        <w:t xml:space="preserve"> for reporting</w:t>
      </w:r>
      <w:r w:rsidRPr="00DC3343">
        <w:rPr>
          <w:rFonts w:eastAsia="Calibri" w:cstheme="minorHAnsi"/>
        </w:rPr>
        <w:t>.</w:t>
      </w:r>
    </w:p>
    <w:p w14:paraId="1D4AABB2" w14:textId="74542335" w:rsidR="00EF0C44" w:rsidRPr="00EF0C44" w:rsidRDefault="00EF0C44" w:rsidP="00A0781B">
      <w:pPr>
        <w:spacing w:before="360" w:after="120"/>
        <w:rPr>
          <w:rFonts w:eastAsia="Calibri" w:cstheme="minorHAnsi"/>
          <w:b/>
          <w:bCs/>
        </w:rPr>
      </w:pPr>
      <w:r w:rsidRPr="00EF0C44">
        <w:rPr>
          <w:rFonts w:eastAsia="Calibri" w:cstheme="minorHAnsi"/>
          <w:b/>
          <w:bCs/>
        </w:rPr>
        <w:t>Section 5</w:t>
      </w:r>
      <w:r w:rsidR="00511AB1">
        <w:rPr>
          <w:rFonts w:eastAsia="Calibri" w:cstheme="minorHAnsi"/>
          <w:b/>
          <w:bCs/>
        </w:rPr>
        <w:t>.4</w:t>
      </w:r>
      <w:r w:rsidRPr="00EF0C44">
        <w:rPr>
          <w:rFonts w:eastAsia="Calibri" w:cstheme="minorHAnsi"/>
          <w:b/>
          <w:bCs/>
        </w:rPr>
        <w:t xml:space="preserve"> – Secretariat</w:t>
      </w:r>
    </w:p>
    <w:p w14:paraId="696B1A4D" w14:textId="45E176B2" w:rsidR="00EF0C44" w:rsidRPr="00DC3343" w:rsidRDefault="00345C83" w:rsidP="00A0781B">
      <w:pPr>
        <w:pStyle w:val="ListParagraph"/>
        <w:numPr>
          <w:ilvl w:val="0"/>
          <w:numId w:val="7"/>
        </w:numPr>
        <w:spacing w:before="120" w:after="120"/>
        <w:ind w:left="709" w:hanging="357"/>
        <w:contextualSpacing w:val="0"/>
        <w:rPr>
          <w:rFonts w:eastAsia="Calibri" w:cstheme="minorHAnsi"/>
        </w:rPr>
      </w:pPr>
      <w:r w:rsidRPr="00DC3343">
        <w:rPr>
          <w:rFonts w:eastAsia="Calibri" w:cstheme="minorHAnsi"/>
          <w:b/>
          <w:bCs/>
        </w:rPr>
        <w:t>Adopted</w:t>
      </w:r>
      <w:r w:rsidR="00EF0C44" w:rsidRPr="00DC3343">
        <w:rPr>
          <w:rFonts w:eastAsia="Calibri" w:cstheme="minorHAnsi"/>
        </w:rPr>
        <w:t xml:space="preserve"> – </w:t>
      </w:r>
      <w:r w:rsidR="00053B30">
        <w:rPr>
          <w:rFonts w:eastAsia="Calibri" w:cstheme="minorHAnsi"/>
        </w:rPr>
        <w:t>A</w:t>
      </w:r>
      <w:r w:rsidR="00EF0C44" w:rsidRPr="00DC3343">
        <w:rPr>
          <w:rFonts w:eastAsia="Calibri" w:cstheme="minorHAnsi"/>
        </w:rPr>
        <w:t>ll timeframes</w:t>
      </w:r>
      <w:r w:rsidR="007E7423">
        <w:rPr>
          <w:rFonts w:eastAsia="Calibri" w:cstheme="minorHAnsi"/>
        </w:rPr>
        <w:t xml:space="preserve"> in the Terms of Reference</w:t>
      </w:r>
      <w:r w:rsidR="00EF0C44" w:rsidRPr="00DC3343">
        <w:rPr>
          <w:rFonts w:eastAsia="Calibri" w:cstheme="minorHAnsi"/>
        </w:rPr>
        <w:t xml:space="preserve"> to </w:t>
      </w:r>
      <w:r w:rsidR="007E7423">
        <w:rPr>
          <w:rFonts w:eastAsia="Calibri" w:cstheme="minorHAnsi"/>
        </w:rPr>
        <w:t>use</w:t>
      </w:r>
      <w:r w:rsidR="007E7423" w:rsidRPr="00DC3343">
        <w:rPr>
          <w:rFonts w:eastAsia="Calibri" w:cstheme="minorHAnsi"/>
        </w:rPr>
        <w:t xml:space="preserve"> </w:t>
      </w:r>
      <w:r w:rsidR="00B87FC5">
        <w:rPr>
          <w:rFonts w:eastAsia="Calibri" w:cstheme="minorHAnsi"/>
        </w:rPr>
        <w:t>‘</w:t>
      </w:r>
      <w:r w:rsidR="00EF0C44" w:rsidRPr="00DC3343">
        <w:rPr>
          <w:rFonts w:eastAsia="Calibri" w:cstheme="minorHAnsi"/>
        </w:rPr>
        <w:t xml:space="preserve">working </w:t>
      </w:r>
      <w:proofErr w:type="gramStart"/>
      <w:r w:rsidR="00EF0C44" w:rsidRPr="00DC3343">
        <w:rPr>
          <w:rFonts w:eastAsia="Calibri" w:cstheme="minorHAnsi"/>
        </w:rPr>
        <w:t>days</w:t>
      </w:r>
      <w:r w:rsidR="00B87FC5">
        <w:rPr>
          <w:rFonts w:eastAsia="Calibri" w:cstheme="minorHAnsi"/>
        </w:rPr>
        <w:t>’</w:t>
      </w:r>
      <w:proofErr w:type="gramEnd"/>
      <w:r w:rsidR="00EF0C44" w:rsidRPr="00DC3343">
        <w:rPr>
          <w:rFonts w:eastAsia="Calibri" w:cstheme="minorHAnsi"/>
        </w:rPr>
        <w:t>.</w:t>
      </w:r>
    </w:p>
    <w:p w14:paraId="4D47877C" w14:textId="42F8A1FA" w:rsidR="00EF0C44" w:rsidRPr="00DC3343" w:rsidRDefault="00345C83" w:rsidP="00A0781B">
      <w:pPr>
        <w:pStyle w:val="ListParagraph"/>
        <w:numPr>
          <w:ilvl w:val="0"/>
          <w:numId w:val="7"/>
        </w:numPr>
        <w:spacing w:before="120" w:after="120"/>
        <w:ind w:left="709" w:hanging="357"/>
        <w:contextualSpacing w:val="0"/>
        <w:rPr>
          <w:rFonts w:eastAsia="Calibri" w:cstheme="minorHAnsi"/>
        </w:rPr>
      </w:pPr>
      <w:r w:rsidRPr="00DC3343">
        <w:rPr>
          <w:rFonts w:eastAsia="Calibri" w:cstheme="minorHAnsi"/>
          <w:b/>
          <w:bCs/>
        </w:rPr>
        <w:t>Adopted</w:t>
      </w:r>
      <w:r w:rsidR="00EF0C44" w:rsidRPr="00DC3343">
        <w:rPr>
          <w:rFonts w:eastAsia="Calibri" w:cstheme="minorHAnsi"/>
        </w:rPr>
        <w:t xml:space="preserve"> –</w:t>
      </w:r>
      <w:r w:rsidR="00ED32BB" w:rsidRPr="00DC3343">
        <w:rPr>
          <w:rFonts w:eastAsia="Calibri" w:cstheme="minorHAnsi"/>
        </w:rPr>
        <w:t xml:space="preserve"> </w:t>
      </w:r>
      <w:r w:rsidR="00053B30">
        <w:rPr>
          <w:rFonts w:eastAsia="Calibri" w:cstheme="minorHAnsi"/>
        </w:rPr>
        <w:t>D</w:t>
      </w:r>
      <w:r w:rsidR="00EF0C44" w:rsidRPr="00DC3343">
        <w:rPr>
          <w:rFonts w:eastAsia="Calibri" w:cstheme="minorHAnsi"/>
        </w:rPr>
        <w:t xml:space="preserve">raft minutes </w:t>
      </w:r>
      <w:r w:rsidR="00ED32BB" w:rsidRPr="00DC3343">
        <w:rPr>
          <w:rFonts w:eastAsia="Calibri" w:cstheme="minorHAnsi"/>
        </w:rPr>
        <w:t xml:space="preserve">to be circulated </w:t>
      </w:r>
      <w:r w:rsidR="007E7423">
        <w:rPr>
          <w:rFonts w:eastAsia="Calibri" w:cstheme="minorHAnsi"/>
        </w:rPr>
        <w:t xml:space="preserve">within </w:t>
      </w:r>
      <w:r w:rsidR="00EF0C44" w:rsidRPr="00DC3343">
        <w:rPr>
          <w:rFonts w:eastAsia="Calibri" w:cstheme="minorHAnsi"/>
        </w:rPr>
        <w:t xml:space="preserve">10 working days </w:t>
      </w:r>
      <w:r w:rsidR="007E7423">
        <w:rPr>
          <w:rFonts w:eastAsia="Calibri" w:cstheme="minorHAnsi"/>
        </w:rPr>
        <w:t>of an ITRF</w:t>
      </w:r>
      <w:r w:rsidR="00EF0C44" w:rsidRPr="00DC3343">
        <w:rPr>
          <w:rFonts w:eastAsia="Calibri" w:cstheme="minorHAnsi"/>
        </w:rPr>
        <w:t xml:space="preserve"> meeting</w:t>
      </w:r>
      <w:r w:rsidR="00E81B79">
        <w:rPr>
          <w:rFonts w:eastAsia="Calibri" w:cstheme="minorHAnsi"/>
        </w:rPr>
        <w:t>.</w:t>
      </w:r>
    </w:p>
    <w:p w14:paraId="3009F963" w14:textId="2A6450FB" w:rsidR="003C213C" w:rsidRDefault="00345C83" w:rsidP="00A0781B">
      <w:pPr>
        <w:pStyle w:val="ListParagraph"/>
        <w:numPr>
          <w:ilvl w:val="0"/>
          <w:numId w:val="7"/>
        </w:numPr>
        <w:spacing w:before="120" w:after="120"/>
        <w:ind w:left="709" w:hanging="357"/>
        <w:contextualSpacing w:val="0"/>
        <w:rPr>
          <w:rFonts w:eastAsia="Calibri" w:cstheme="minorHAnsi"/>
        </w:rPr>
      </w:pPr>
      <w:r w:rsidRPr="00DC3343">
        <w:rPr>
          <w:rFonts w:eastAsia="Calibri" w:cstheme="minorHAnsi"/>
          <w:b/>
          <w:bCs/>
        </w:rPr>
        <w:t>Adopted</w:t>
      </w:r>
      <w:r w:rsidR="00EF0C44" w:rsidRPr="00DC3343">
        <w:rPr>
          <w:rFonts w:eastAsia="Calibri" w:cstheme="minorHAnsi"/>
        </w:rPr>
        <w:t xml:space="preserve"> –</w:t>
      </w:r>
      <w:r w:rsidR="00ED32BB" w:rsidRPr="00DC3343">
        <w:rPr>
          <w:rFonts w:eastAsia="Calibri" w:cstheme="minorHAnsi"/>
        </w:rPr>
        <w:t xml:space="preserve"> </w:t>
      </w:r>
      <w:r w:rsidR="007E7423">
        <w:rPr>
          <w:rFonts w:eastAsia="Calibri" w:cstheme="minorHAnsi"/>
        </w:rPr>
        <w:t xml:space="preserve">ITRF meeting </w:t>
      </w:r>
      <w:r w:rsidR="00EF0C44" w:rsidRPr="00DC3343">
        <w:rPr>
          <w:rFonts w:eastAsia="Calibri" w:cstheme="minorHAnsi"/>
        </w:rPr>
        <w:t xml:space="preserve">agenda and meeting papers (including </w:t>
      </w:r>
      <w:r w:rsidR="002442AE" w:rsidRPr="00DC3343">
        <w:rPr>
          <w:rFonts w:eastAsia="Calibri" w:cstheme="minorHAnsi"/>
        </w:rPr>
        <w:t xml:space="preserve">any </w:t>
      </w:r>
      <w:r w:rsidR="00EF0C44" w:rsidRPr="00DC3343">
        <w:rPr>
          <w:rFonts w:eastAsia="Calibri" w:cstheme="minorHAnsi"/>
        </w:rPr>
        <w:t>decision an</w:t>
      </w:r>
      <w:r w:rsidR="00E81B79">
        <w:rPr>
          <w:rFonts w:eastAsia="Calibri" w:cstheme="minorHAnsi"/>
        </w:rPr>
        <w:t>d</w:t>
      </w:r>
      <w:r w:rsidR="00EF0C44" w:rsidRPr="00DC3343">
        <w:rPr>
          <w:rFonts w:eastAsia="Calibri" w:cstheme="minorHAnsi"/>
        </w:rPr>
        <w:t xml:space="preserve"> discussion papers</w:t>
      </w:r>
      <w:r w:rsidR="00ED32BB" w:rsidRPr="00DC3343">
        <w:rPr>
          <w:rFonts w:eastAsia="Calibri" w:cstheme="minorHAnsi"/>
        </w:rPr>
        <w:t>) to be circulated</w:t>
      </w:r>
      <w:r w:rsidR="00EF0C44" w:rsidRPr="00DC3343">
        <w:rPr>
          <w:rFonts w:eastAsia="Calibri" w:cstheme="minorHAnsi"/>
        </w:rPr>
        <w:t xml:space="preserve"> </w:t>
      </w:r>
      <w:r w:rsidR="00C70379">
        <w:rPr>
          <w:rFonts w:eastAsia="Calibri" w:cstheme="minorHAnsi"/>
        </w:rPr>
        <w:t xml:space="preserve">at least </w:t>
      </w:r>
      <w:r w:rsidR="00EF0C44" w:rsidRPr="00DC3343">
        <w:rPr>
          <w:rFonts w:eastAsia="Calibri" w:cstheme="minorHAnsi"/>
        </w:rPr>
        <w:t>20 working days prior to a meeting</w:t>
      </w:r>
      <w:r w:rsidR="007B172E">
        <w:rPr>
          <w:rFonts w:eastAsia="Calibri" w:cstheme="minorHAnsi"/>
        </w:rPr>
        <w:t xml:space="preserve"> (as per Appendix A - Section </w:t>
      </w:r>
      <w:r w:rsidR="006B0A1D">
        <w:rPr>
          <w:rFonts w:eastAsia="Calibri" w:cstheme="minorHAnsi"/>
        </w:rPr>
        <w:t>8</w:t>
      </w:r>
      <w:r w:rsidR="007B172E">
        <w:rPr>
          <w:rFonts w:eastAsia="Calibri" w:cstheme="minorHAnsi"/>
        </w:rPr>
        <w:t>)</w:t>
      </w:r>
      <w:r w:rsidR="00305B37" w:rsidRPr="00DC3343">
        <w:rPr>
          <w:rFonts w:eastAsia="Calibri" w:cstheme="minorHAnsi"/>
        </w:rPr>
        <w:t>.</w:t>
      </w:r>
    </w:p>
    <w:p w14:paraId="0DE1FD6F" w14:textId="77777777" w:rsidR="00DC3343" w:rsidRDefault="00305B37" w:rsidP="00A0781B">
      <w:pPr>
        <w:spacing w:before="360" w:after="120"/>
        <w:rPr>
          <w:rFonts w:eastAsia="Calibri" w:cstheme="minorHAnsi"/>
          <w:b/>
          <w:bCs/>
        </w:rPr>
      </w:pPr>
      <w:r w:rsidRPr="00DC3343">
        <w:rPr>
          <w:rFonts w:eastAsia="Calibri" w:cstheme="minorHAnsi"/>
          <w:b/>
          <w:bCs/>
        </w:rPr>
        <w:t>Section 7 – Amending the Terms of Reference</w:t>
      </w:r>
    </w:p>
    <w:p w14:paraId="1CAA9B40" w14:textId="0ACE5668" w:rsidR="00270883" w:rsidRPr="00962FCD" w:rsidRDefault="006C09DD" w:rsidP="00962FCD">
      <w:pPr>
        <w:pStyle w:val="ListParagraph"/>
        <w:numPr>
          <w:ilvl w:val="0"/>
          <w:numId w:val="8"/>
        </w:numPr>
        <w:spacing w:before="120" w:after="120"/>
        <w:ind w:left="709"/>
        <w:rPr>
          <w:rFonts w:eastAsia="Calibri" w:cstheme="minorHAnsi"/>
        </w:rPr>
      </w:pPr>
      <w:r>
        <w:rPr>
          <w:rFonts w:eastAsia="Calibri" w:cstheme="minorHAnsi"/>
          <w:b/>
          <w:bCs/>
        </w:rPr>
        <w:t>Adopted</w:t>
      </w:r>
      <w:r w:rsidR="00E331FE" w:rsidRPr="00DC3343">
        <w:rPr>
          <w:rFonts w:eastAsia="Calibri" w:cstheme="minorHAnsi"/>
          <w:b/>
          <w:bCs/>
        </w:rPr>
        <w:t xml:space="preserve"> </w:t>
      </w:r>
      <w:r w:rsidR="00305B37" w:rsidRPr="00DC3343">
        <w:rPr>
          <w:rFonts w:eastAsia="Calibri" w:cstheme="minorHAnsi"/>
        </w:rPr>
        <w:t xml:space="preserve">– </w:t>
      </w:r>
      <w:r w:rsidR="008C5282">
        <w:rPr>
          <w:rFonts w:eastAsia="Calibri" w:cstheme="minorHAnsi"/>
        </w:rPr>
        <w:t xml:space="preserve">The </w:t>
      </w:r>
      <w:r w:rsidR="002C7D97">
        <w:rPr>
          <w:rFonts w:eastAsia="Calibri" w:cstheme="minorHAnsi"/>
        </w:rPr>
        <w:t xml:space="preserve">acting </w:t>
      </w:r>
      <w:r w:rsidR="008C5282">
        <w:rPr>
          <w:rFonts w:eastAsia="Calibri" w:cstheme="minorHAnsi"/>
        </w:rPr>
        <w:t xml:space="preserve">Commissioner suggested </w:t>
      </w:r>
      <w:r w:rsidR="000D438C" w:rsidRPr="00DC3343">
        <w:rPr>
          <w:rFonts w:eastAsia="Calibri" w:cstheme="minorHAnsi"/>
        </w:rPr>
        <w:t>inclu</w:t>
      </w:r>
      <w:r w:rsidR="008C5282">
        <w:rPr>
          <w:rFonts w:eastAsia="Calibri" w:cstheme="minorHAnsi"/>
        </w:rPr>
        <w:t>ding an</w:t>
      </w:r>
      <w:r w:rsidR="00305B37" w:rsidRPr="00DC3343">
        <w:rPr>
          <w:rFonts w:eastAsia="Calibri" w:cstheme="minorHAnsi"/>
        </w:rPr>
        <w:t xml:space="preserve"> option </w:t>
      </w:r>
      <w:r w:rsidR="000D438C" w:rsidRPr="00DC3343">
        <w:rPr>
          <w:rFonts w:eastAsia="Calibri" w:cstheme="minorHAnsi"/>
        </w:rPr>
        <w:t>for</w:t>
      </w:r>
      <w:r w:rsidR="00305B37" w:rsidRPr="00DC3343">
        <w:rPr>
          <w:rFonts w:eastAsia="Calibri" w:cstheme="minorHAnsi"/>
        </w:rPr>
        <w:t xml:space="preserve"> the Presiding Member</w:t>
      </w:r>
      <w:r w:rsidR="007E7423">
        <w:rPr>
          <w:rFonts w:eastAsia="Calibri" w:cstheme="minorHAnsi"/>
        </w:rPr>
        <w:t>,</w:t>
      </w:r>
      <w:r w:rsidR="00305B37" w:rsidRPr="00DC3343">
        <w:rPr>
          <w:rFonts w:eastAsia="Calibri" w:cstheme="minorHAnsi"/>
        </w:rPr>
        <w:t xml:space="preserve"> in consultation with the ITRF</w:t>
      </w:r>
      <w:r w:rsidR="007E7423">
        <w:rPr>
          <w:rFonts w:eastAsia="Calibri" w:cstheme="minorHAnsi"/>
        </w:rPr>
        <w:t>,</w:t>
      </w:r>
      <w:r w:rsidR="00305B37" w:rsidRPr="00DC3343">
        <w:rPr>
          <w:rFonts w:eastAsia="Calibri" w:cstheme="minorHAnsi"/>
        </w:rPr>
        <w:t xml:space="preserve"> </w:t>
      </w:r>
      <w:r w:rsidR="00ED32BB" w:rsidRPr="00DC3343">
        <w:rPr>
          <w:rFonts w:eastAsia="Calibri" w:cstheme="minorHAnsi"/>
        </w:rPr>
        <w:t>to</w:t>
      </w:r>
      <w:r w:rsidR="00305B37" w:rsidRPr="00DC3343">
        <w:rPr>
          <w:rFonts w:eastAsia="Calibri" w:cstheme="minorHAnsi"/>
        </w:rPr>
        <w:t xml:space="preserve"> suggest amendment</w:t>
      </w:r>
      <w:r w:rsidR="008C5282">
        <w:rPr>
          <w:rFonts w:eastAsia="Calibri" w:cstheme="minorHAnsi"/>
        </w:rPr>
        <w:t>s of</w:t>
      </w:r>
      <w:r w:rsidR="00305B37" w:rsidRPr="00DC3343">
        <w:rPr>
          <w:rFonts w:eastAsia="Calibri" w:cstheme="minorHAnsi"/>
        </w:rPr>
        <w:t xml:space="preserve"> the </w:t>
      </w:r>
      <w:r w:rsidR="000D438C" w:rsidRPr="00DC3343">
        <w:rPr>
          <w:rFonts w:eastAsia="Calibri" w:cstheme="minorHAnsi"/>
        </w:rPr>
        <w:t>Terms of Reference</w:t>
      </w:r>
      <w:r w:rsidR="00305B37" w:rsidRPr="00DC3343">
        <w:rPr>
          <w:rFonts w:eastAsia="Calibri" w:cstheme="minorHAnsi"/>
        </w:rPr>
        <w:t xml:space="preserve"> </w:t>
      </w:r>
      <w:r w:rsidR="008C5282">
        <w:rPr>
          <w:rFonts w:eastAsia="Calibri" w:cstheme="minorHAnsi"/>
        </w:rPr>
        <w:t xml:space="preserve">to the Minister including </w:t>
      </w:r>
      <w:r w:rsidR="00305B37" w:rsidRPr="00DC3343">
        <w:rPr>
          <w:rFonts w:eastAsia="Calibri" w:cstheme="minorHAnsi"/>
        </w:rPr>
        <w:t xml:space="preserve">the various </w:t>
      </w:r>
      <w:r w:rsidR="00A7375E">
        <w:rPr>
          <w:rFonts w:eastAsia="Calibri" w:cstheme="minorHAnsi"/>
        </w:rPr>
        <w:t>Member</w:t>
      </w:r>
      <w:r w:rsidR="00305B37" w:rsidRPr="00DC3343">
        <w:rPr>
          <w:rFonts w:eastAsia="Calibri" w:cstheme="minorHAnsi"/>
        </w:rPr>
        <w:t xml:space="preserve"> views in relation to the </w:t>
      </w:r>
      <w:r w:rsidR="00C70379">
        <w:rPr>
          <w:rFonts w:eastAsia="Calibri" w:cstheme="minorHAnsi"/>
        </w:rPr>
        <w:t xml:space="preserve">proposed </w:t>
      </w:r>
      <w:r w:rsidR="00305B37" w:rsidRPr="00DC3343">
        <w:rPr>
          <w:rFonts w:eastAsia="Calibri" w:cstheme="minorHAnsi"/>
        </w:rPr>
        <w:t>amendment.</w:t>
      </w:r>
    </w:p>
    <w:p w14:paraId="6B1C1D26" w14:textId="1EA3BB3C" w:rsidR="00511AB1" w:rsidRDefault="00345C83" w:rsidP="00A0781B">
      <w:pPr>
        <w:spacing w:before="360" w:after="120"/>
        <w:rPr>
          <w:rFonts w:eastAsia="Calibri" w:cstheme="minorHAnsi"/>
          <w:b/>
          <w:bCs/>
        </w:rPr>
      </w:pPr>
      <w:r w:rsidRPr="00511AB1">
        <w:rPr>
          <w:rFonts w:eastAsia="Calibri" w:cstheme="minorHAnsi"/>
          <w:b/>
          <w:bCs/>
        </w:rPr>
        <w:t>Appendix A –</w:t>
      </w:r>
      <w:r>
        <w:rPr>
          <w:rFonts w:eastAsia="Calibri" w:cstheme="minorHAnsi"/>
          <w:b/>
          <w:bCs/>
        </w:rPr>
        <w:t xml:space="preserve"> </w:t>
      </w:r>
      <w:r w:rsidRPr="00511AB1">
        <w:rPr>
          <w:rFonts w:eastAsia="Calibri" w:cstheme="minorHAnsi"/>
          <w:b/>
          <w:bCs/>
        </w:rPr>
        <w:t xml:space="preserve">Section </w:t>
      </w:r>
      <w:r>
        <w:rPr>
          <w:rFonts w:eastAsia="Calibri" w:cstheme="minorHAnsi"/>
          <w:b/>
          <w:bCs/>
        </w:rPr>
        <w:t>1</w:t>
      </w:r>
      <w:r w:rsidRPr="00511AB1">
        <w:rPr>
          <w:rFonts w:eastAsia="Calibri" w:cstheme="minorHAnsi"/>
          <w:b/>
          <w:bCs/>
        </w:rPr>
        <w:t xml:space="preserve"> – </w:t>
      </w:r>
      <w:r>
        <w:rPr>
          <w:rFonts w:eastAsia="Calibri" w:cstheme="minorHAnsi"/>
          <w:b/>
          <w:bCs/>
        </w:rPr>
        <w:t>Member representatives</w:t>
      </w:r>
    </w:p>
    <w:p w14:paraId="47E02002" w14:textId="13E858B1" w:rsidR="00E331FE" w:rsidRPr="00A0781B" w:rsidRDefault="006C09DD" w:rsidP="00A0781B">
      <w:pPr>
        <w:pStyle w:val="ListParagraph"/>
        <w:numPr>
          <w:ilvl w:val="0"/>
          <w:numId w:val="8"/>
        </w:numPr>
        <w:spacing w:before="120" w:after="120"/>
        <w:contextualSpacing w:val="0"/>
        <w:rPr>
          <w:rFonts w:eastAsia="Calibri" w:cstheme="minorHAnsi"/>
        </w:rPr>
      </w:pPr>
      <w:r>
        <w:rPr>
          <w:rFonts w:eastAsia="Calibri" w:cstheme="minorHAnsi"/>
          <w:b/>
          <w:bCs/>
        </w:rPr>
        <w:t>Adopted</w:t>
      </w:r>
      <w:r w:rsidR="00D7457D">
        <w:rPr>
          <w:rFonts w:eastAsia="Calibri" w:cstheme="minorHAnsi"/>
          <w:b/>
          <w:bCs/>
        </w:rPr>
        <w:t xml:space="preserve"> </w:t>
      </w:r>
      <w:r w:rsidR="00345C83" w:rsidRPr="00DC3343">
        <w:rPr>
          <w:rFonts w:eastAsia="Calibri" w:cstheme="minorHAnsi"/>
        </w:rPr>
        <w:t xml:space="preserve">– </w:t>
      </w:r>
      <w:r w:rsidR="00C70379">
        <w:rPr>
          <w:rFonts w:eastAsia="Calibri" w:cstheme="minorHAnsi"/>
        </w:rPr>
        <w:t xml:space="preserve">The </w:t>
      </w:r>
      <w:r w:rsidR="002C7D97">
        <w:rPr>
          <w:rFonts w:eastAsia="Calibri" w:cstheme="minorHAnsi"/>
        </w:rPr>
        <w:t>a</w:t>
      </w:r>
      <w:r w:rsidR="002C7D97" w:rsidRPr="00DC3343">
        <w:rPr>
          <w:rFonts w:eastAsia="Calibri" w:cstheme="minorHAnsi"/>
        </w:rPr>
        <w:t xml:space="preserve">cting </w:t>
      </w:r>
      <w:r w:rsidR="00345C83" w:rsidRPr="00DC3343">
        <w:rPr>
          <w:rFonts w:eastAsia="Calibri" w:cstheme="minorHAnsi"/>
        </w:rPr>
        <w:t>Commissioner</w:t>
      </w:r>
      <w:r w:rsidR="00C70379">
        <w:rPr>
          <w:rFonts w:eastAsia="Calibri" w:cstheme="minorHAnsi"/>
        </w:rPr>
        <w:t xml:space="preserve"> proposed to maintain</w:t>
      </w:r>
      <w:r w:rsidR="00345C83" w:rsidRPr="00DC3343">
        <w:rPr>
          <w:rFonts w:eastAsia="Calibri" w:cstheme="minorHAnsi"/>
        </w:rPr>
        <w:t xml:space="preserve"> th</w:t>
      </w:r>
      <w:r w:rsidR="00192F2A" w:rsidRPr="00DC3343">
        <w:rPr>
          <w:rFonts w:eastAsia="Calibri" w:cstheme="minorHAnsi"/>
        </w:rPr>
        <w:t>e</w:t>
      </w:r>
      <w:r w:rsidR="00345C83" w:rsidRPr="00DC3343">
        <w:rPr>
          <w:rFonts w:eastAsia="Calibri" w:cstheme="minorHAnsi"/>
        </w:rPr>
        <w:t xml:space="preserve"> </w:t>
      </w:r>
      <w:r w:rsidR="004D6809" w:rsidRPr="00DC3343">
        <w:rPr>
          <w:rFonts w:eastAsia="Calibri" w:cstheme="minorHAnsi"/>
        </w:rPr>
        <w:t xml:space="preserve">existing Terms of Reference </w:t>
      </w:r>
      <w:r w:rsidR="00345C83" w:rsidRPr="00DC3343">
        <w:rPr>
          <w:rFonts w:eastAsia="Calibri" w:cstheme="minorHAnsi"/>
        </w:rPr>
        <w:t>position</w:t>
      </w:r>
      <w:r w:rsidR="004D6809" w:rsidRPr="00DC3343">
        <w:rPr>
          <w:rFonts w:eastAsia="Calibri" w:cstheme="minorHAnsi"/>
        </w:rPr>
        <w:t xml:space="preserve"> (1.2.2)</w:t>
      </w:r>
      <w:r w:rsidR="00192F2A" w:rsidRPr="00DC3343">
        <w:rPr>
          <w:rFonts w:eastAsia="Calibri" w:cstheme="minorHAnsi"/>
        </w:rPr>
        <w:t xml:space="preserve"> </w:t>
      </w:r>
      <w:r w:rsidR="004D6809" w:rsidRPr="00DC3343">
        <w:rPr>
          <w:rFonts w:eastAsia="Calibri" w:cstheme="minorHAnsi"/>
        </w:rPr>
        <w:t xml:space="preserve">that </w:t>
      </w:r>
      <w:r w:rsidR="00C70379">
        <w:rPr>
          <w:rFonts w:eastAsia="Calibri" w:cstheme="minorHAnsi"/>
        </w:rPr>
        <w:t>a</w:t>
      </w:r>
      <w:r w:rsidR="004D6809" w:rsidRPr="00DC3343">
        <w:rPr>
          <w:rFonts w:eastAsia="Calibri" w:cstheme="minorHAnsi"/>
        </w:rPr>
        <w:t xml:space="preserve"> representative </w:t>
      </w:r>
      <w:r w:rsidR="00053B30">
        <w:rPr>
          <w:rFonts w:eastAsia="Calibri" w:cstheme="minorHAnsi"/>
        </w:rPr>
        <w:t xml:space="preserve">be able to </w:t>
      </w:r>
      <w:r w:rsidR="004D6809" w:rsidRPr="00DC3343">
        <w:rPr>
          <w:rFonts w:eastAsia="Calibri" w:cstheme="minorHAnsi"/>
        </w:rPr>
        <w:t xml:space="preserve">represent </w:t>
      </w:r>
      <w:r w:rsidR="00C70379">
        <w:rPr>
          <w:rFonts w:eastAsia="Calibri" w:cstheme="minorHAnsi"/>
        </w:rPr>
        <w:t xml:space="preserve">only </w:t>
      </w:r>
      <w:r w:rsidR="004D6809" w:rsidRPr="00DC3343">
        <w:rPr>
          <w:rFonts w:eastAsia="Calibri" w:cstheme="minorHAnsi"/>
        </w:rPr>
        <w:t xml:space="preserve">one </w:t>
      </w:r>
      <w:r w:rsidR="00053B30">
        <w:rPr>
          <w:rFonts w:eastAsia="Calibri" w:cstheme="minorHAnsi"/>
        </w:rPr>
        <w:t>Member</w:t>
      </w:r>
      <w:r w:rsidR="004332DD">
        <w:rPr>
          <w:rFonts w:eastAsia="Calibri" w:cstheme="minorHAnsi"/>
        </w:rPr>
        <w:t xml:space="preserve">. </w:t>
      </w:r>
      <w:r w:rsidR="004332DD" w:rsidRPr="004332DD">
        <w:rPr>
          <w:rFonts w:eastAsia="Calibri" w:cstheme="minorHAnsi"/>
        </w:rPr>
        <w:t xml:space="preserve">The </w:t>
      </w:r>
      <w:r w:rsidR="002C7D97">
        <w:rPr>
          <w:rFonts w:eastAsia="Calibri" w:cstheme="minorHAnsi"/>
        </w:rPr>
        <w:t>a</w:t>
      </w:r>
      <w:r w:rsidR="002C7D97" w:rsidRPr="004332DD">
        <w:rPr>
          <w:rFonts w:eastAsia="Calibri" w:cstheme="minorHAnsi"/>
        </w:rPr>
        <w:t xml:space="preserve">cting </w:t>
      </w:r>
      <w:r w:rsidR="004332DD" w:rsidRPr="004332DD">
        <w:rPr>
          <w:rFonts w:eastAsia="Calibri" w:cstheme="minorHAnsi"/>
        </w:rPr>
        <w:t xml:space="preserve">Commissioner undertook to advise the Minister of the alternative views of some Members </w:t>
      </w:r>
      <w:bookmarkStart w:id="0" w:name="_Hlk171097340"/>
      <w:r w:rsidR="004332DD">
        <w:rPr>
          <w:rFonts w:eastAsia="Calibri" w:cstheme="minorHAnsi"/>
        </w:rPr>
        <w:t>on this item</w:t>
      </w:r>
      <w:r w:rsidR="00053B30">
        <w:rPr>
          <w:rFonts w:eastAsia="Calibri" w:cstheme="minorHAnsi"/>
        </w:rPr>
        <w:t>.</w:t>
      </w:r>
      <w:bookmarkEnd w:id="0"/>
      <w:r w:rsidR="00D7457D">
        <w:rPr>
          <w:rFonts w:eastAsia="Calibri" w:cstheme="minorHAnsi"/>
        </w:rPr>
        <w:t xml:space="preserve"> </w:t>
      </w:r>
    </w:p>
    <w:p w14:paraId="72E106BE" w14:textId="71D7DA11" w:rsidR="00511AB1" w:rsidRPr="00DC3343" w:rsidRDefault="00345C83" w:rsidP="00A0781B">
      <w:pPr>
        <w:pStyle w:val="ListParagraph"/>
        <w:numPr>
          <w:ilvl w:val="0"/>
          <w:numId w:val="8"/>
        </w:numPr>
        <w:spacing w:before="120" w:after="120"/>
        <w:ind w:left="709"/>
        <w:contextualSpacing w:val="0"/>
        <w:rPr>
          <w:rFonts w:eastAsia="Calibri" w:cstheme="minorHAnsi"/>
        </w:rPr>
      </w:pPr>
      <w:r w:rsidRPr="00DC3343">
        <w:rPr>
          <w:rFonts w:eastAsia="Calibri" w:cstheme="minorHAnsi"/>
          <w:b/>
          <w:bCs/>
        </w:rPr>
        <w:t>Adopted</w:t>
      </w:r>
      <w:r w:rsidRPr="00DC3343">
        <w:rPr>
          <w:rFonts w:eastAsia="Calibri" w:cstheme="minorHAnsi"/>
        </w:rPr>
        <w:t xml:space="preserve"> – Observers may attend</w:t>
      </w:r>
      <w:r w:rsidR="00C92901">
        <w:rPr>
          <w:rFonts w:eastAsia="Calibri" w:cstheme="minorHAnsi"/>
        </w:rPr>
        <w:t xml:space="preserve"> ITRF meetings</w:t>
      </w:r>
      <w:r w:rsidRPr="00DC3343">
        <w:rPr>
          <w:rFonts w:eastAsia="Calibri" w:cstheme="minorHAnsi"/>
        </w:rPr>
        <w:t xml:space="preserve"> in a non-speaking capacity</w:t>
      </w:r>
      <w:r w:rsidR="000120E1">
        <w:rPr>
          <w:rFonts w:eastAsia="Calibri" w:cstheme="minorHAnsi"/>
        </w:rPr>
        <w:t>,</w:t>
      </w:r>
      <w:r w:rsidRPr="00DC3343">
        <w:rPr>
          <w:rFonts w:eastAsia="Calibri" w:cstheme="minorHAnsi"/>
        </w:rPr>
        <w:t xml:space="preserve"> unless </w:t>
      </w:r>
      <w:r w:rsidR="00C92901" w:rsidRPr="00DC3343">
        <w:rPr>
          <w:rFonts w:eastAsia="Calibri" w:cstheme="minorHAnsi"/>
        </w:rPr>
        <w:t>the Presiding Member</w:t>
      </w:r>
      <w:r w:rsidR="00C92901">
        <w:rPr>
          <w:rFonts w:eastAsia="Calibri" w:cstheme="minorHAnsi"/>
        </w:rPr>
        <w:t xml:space="preserve"> has approved</w:t>
      </w:r>
      <w:r w:rsidR="00C92901" w:rsidRPr="00DC3343">
        <w:rPr>
          <w:rFonts w:eastAsia="Calibri" w:cstheme="minorHAnsi"/>
        </w:rPr>
        <w:t xml:space="preserve"> </w:t>
      </w:r>
      <w:r w:rsidRPr="00DC3343">
        <w:rPr>
          <w:rFonts w:eastAsia="Calibri" w:cstheme="minorHAnsi"/>
        </w:rPr>
        <w:t xml:space="preserve">a request </w:t>
      </w:r>
      <w:r w:rsidR="00C92901">
        <w:rPr>
          <w:rFonts w:eastAsia="Calibri" w:cstheme="minorHAnsi"/>
        </w:rPr>
        <w:t>that</w:t>
      </w:r>
      <w:r w:rsidR="004D6809" w:rsidRPr="00DC3343">
        <w:rPr>
          <w:rFonts w:eastAsia="Calibri" w:cstheme="minorHAnsi"/>
        </w:rPr>
        <w:t xml:space="preserve"> the Observer </w:t>
      </w:r>
      <w:r w:rsidRPr="00DC3343">
        <w:rPr>
          <w:rFonts w:eastAsia="Calibri" w:cstheme="minorHAnsi"/>
        </w:rPr>
        <w:t xml:space="preserve">speak </w:t>
      </w:r>
      <w:r w:rsidR="00C92901">
        <w:rPr>
          <w:rFonts w:eastAsia="Calibri" w:cstheme="minorHAnsi"/>
        </w:rPr>
        <w:t>on</w:t>
      </w:r>
      <w:r w:rsidRPr="00DC3343">
        <w:rPr>
          <w:rFonts w:eastAsia="Calibri" w:cstheme="minorHAnsi"/>
        </w:rPr>
        <w:t xml:space="preserve"> a particular issue</w:t>
      </w:r>
      <w:r w:rsidR="00270883">
        <w:rPr>
          <w:rFonts w:eastAsia="Calibri" w:cstheme="minorHAnsi"/>
        </w:rPr>
        <w:t xml:space="preserve"> (for example, if </w:t>
      </w:r>
      <w:r w:rsidR="005746F0">
        <w:rPr>
          <w:rFonts w:eastAsia="Calibri" w:cstheme="minorHAnsi"/>
        </w:rPr>
        <w:t xml:space="preserve">the </w:t>
      </w:r>
      <w:r w:rsidR="006C09DD">
        <w:rPr>
          <w:rFonts w:eastAsia="Calibri" w:cstheme="minorHAnsi"/>
        </w:rPr>
        <w:t>O</w:t>
      </w:r>
      <w:r w:rsidR="005746F0">
        <w:rPr>
          <w:rFonts w:eastAsia="Calibri" w:cstheme="minorHAnsi"/>
        </w:rPr>
        <w:t xml:space="preserve">bserver is </w:t>
      </w:r>
      <w:r w:rsidR="00270883">
        <w:rPr>
          <w:rFonts w:eastAsia="Calibri" w:cstheme="minorHAnsi"/>
        </w:rPr>
        <w:t>a subject matter expert on a matter discussed)</w:t>
      </w:r>
      <w:r w:rsidRPr="00DC3343">
        <w:rPr>
          <w:rFonts w:eastAsia="Calibri" w:cstheme="minorHAnsi"/>
        </w:rPr>
        <w:t>.</w:t>
      </w:r>
    </w:p>
    <w:p w14:paraId="1EF32F3B" w14:textId="77777777" w:rsidR="000120E1" w:rsidRDefault="000120E1">
      <w:pPr>
        <w:spacing w:after="160" w:line="259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br w:type="page"/>
      </w:r>
    </w:p>
    <w:p w14:paraId="3C41CB3A" w14:textId="14142BC4" w:rsidR="00EF0C44" w:rsidRPr="00511AB1" w:rsidRDefault="00511AB1" w:rsidP="00DC3343">
      <w:pPr>
        <w:spacing w:before="120" w:after="120"/>
        <w:rPr>
          <w:rFonts w:eastAsia="Calibri" w:cstheme="minorHAnsi"/>
          <w:b/>
          <w:bCs/>
        </w:rPr>
      </w:pPr>
      <w:r w:rsidRPr="00511AB1">
        <w:rPr>
          <w:rFonts w:eastAsia="Calibri" w:cstheme="minorHAnsi"/>
          <w:b/>
          <w:bCs/>
        </w:rPr>
        <w:lastRenderedPageBreak/>
        <w:t xml:space="preserve">Appendix A </w:t>
      </w:r>
      <w:r w:rsidR="00345C83" w:rsidRPr="00511AB1">
        <w:rPr>
          <w:rFonts w:eastAsia="Calibri" w:cstheme="minorHAnsi"/>
          <w:b/>
          <w:bCs/>
        </w:rPr>
        <w:t>–</w:t>
      </w:r>
      <w:r w:rsidR="00345C83">
        <w:rPr>
          <w:rFonts w:eastAsia="Calibri" w:cstheme="minorHAnsi"/>
          <w:b/>
          <w:bCs/>
        </w:rPr>
        <w:t xml:space="preserve"> </w:t>
      </w:r>
      <w:r w:rsidRPr="00511AB1">
        <w:rPr>
          <w:rFonts w:eastAsia="Calibri" w:cstheme="minorHAnsi"/>
          <w:b/>
          <w:bCs/>
        </w:rPr>
        <w:t xml:space="preserve">Section </w:t>
      </w:r>
      <w:r w:rsidR="00F260F7">
        <w:rPr>
          <w:rFonts w:eastAsia="Calibri" w:cstheme="minorHAnsi"/>
          <w:b/>
          <w:bCs/>
        </w:rPr>
        <w:t>6</w:t>
      </w:r>
      <w:r w:rsidRPr="00511AB1">
        <w:rPr>
          <w:rFonts w:eastAsia="Calibri" w:cstheme="minorHAnsi"/>
          <w:b/>
          <w:bCs/>
        </w:rPr>
        <w:t xml:space="preserve"> – Agreement and decision</w:t>
      </w:r>
      <w:r w:rsidR="00053B30">
        <w:rPr>
          <w:rFonts w:eastAsia="Calibri" w:cstheme="minorHAnsi"/>
          <w:b/>
          <w:bCs/>
        </w:rPr>
        <w:t>-</w:t>
      </w:r>
      <w:r w:rsidRPr="00511AB1">
        <w:rPr>
          <w:rFonts w:eastAsia="Calibri" w:cstheme="minorHAnsi"/>
          <w:b/>
          <w:bCs/>
        </w:rPr>
        <w:t>making</w:t>
      </w:r>
    </w:p>
    <w:p w14:paraId="52E2E88C" w14:textId="3082264C" w:rsidR="004D6809" w:rsidRPr="00DC3343" w:rsidRDefault="00A170BE" w:rsidP="00A0781B">
      <w:pPr>
        <w:pStyle w:val="ListParagraph"/>
        <w:numPr>
          <w:ilvl w:val="0"/>
          <w:numId w:val="5"/>
        </w:numPr>
        <w:spacing w:before="120" w:after="120"/>
        <w:ind w:left="709"/>
        <w:contextualSpacing w:val="0"/>
        <w:rPr>
          <w:rFonts w:eastAsia="Calibri" w:cstheme="minorHAnsi"/>
        </w:rPr>
      </w:pPr>
      <w:r w:rsidRPr="00DC3343">
        <w:rPr>
          <w:rFonts w:eastAsia="Calibri" w:cstheme="minorHAnsi"/>
          <w:b/>
          <w:bCs/>
        </w:rPr>
        <w:t>Adopted</w:t>
      </w:r>
      <w:r w:rsidR="00511AB1" w:rsidRPr="00DC3343">
        <w:rPr>
          <w:rFonts w:eastAsia="Calibri" w:cstheme="minorHAnsi"/>
        </w:rPr>
        <w:t xml:space="preserve"> – ‘</w:t>
      </w:r>
      <w:r w:rsidR="004D6809" w:rsidRPr="00DC3343">
        <w:rPr>
          <w:rFonts w:eastAsia="Calibri" w:cstheme="minorHAnsi"/>
        </w:rPr>
        <w:t>O</w:t>
      </w:r>
      <w:r w:rsidR="00511AB1" w:rsidRPr="00DC3343">
        <w:rPr>
          <w:rFonts w:eastAsia="Calibri" w:cstheme="minorHAnsi"/>
        </w:rPr>
        <w:t xml:space="preserve">ther business’ to be a standing item on </w:t>
      </w:r>
      <w:r w:rsidR="00C92901">
        <w:rPr>
          <w:rFonts w:eastAsia="Calibri" w:cstheme="minorHAnsi"/>
        </w:rPr>
        <w:t xml:space="preserve">ITRF </w:t>
      </w:r>
      <w:r w:rsidR="00511AB1" w:rsidRPr="00DC3343">
        <w:rPr>
          <w:rFonts w:eastAsia="Calibri" w:cstheme="minorHAnsi"/>
        </w:rPr>
        <w:t>meeting agenda</w:t>
      </w:r>
      <w:r w:rsidR="00053B30">
        <w:rPr>
          <w:rFonts w:eastAsia="Calibri" w:cstheme="minorHAnsi"/>
        </w:rPr>
        <w:t>s</w:t>
      </w:r>
      <w:r w:rsidR="004D6809" w:rsidRPr="00DC3343">
        <w:rPr>
          <w:rFonts w:eastAsia="Calibri" w:cstheme="minorHAnsi"/>
        </w:rPr>
        <w:t>.</w:t>
      </w:r>
    </w:p>
    <w:p w14:paraId="5096559B" w14:textId="2850DEF5" w:rsidR="00DA6E00" w:rsidRDefault="006C09DD" w:rsidP="00A0781B">
      <w:pPr>
        <w:pStyle w:val="ListParagraph"/>
        <w:numPr>
          <w:ilvl w:val="0"/>
          <w:numId w:val="5"/>
        </w:numPr>
        <w:spacing w:before="120" w:after="120"/>
        <w:ind w:left="709"/>
        <w:contextualSpacing w:val="0"/>
        <w:rPr>
          <w:rFonts w:eastAsia="Calibri" w:cstheme="minorHAnsi"/>
        </w:rPr>
      </w:pPr>
      <w:r w:rsidRPr="00A84A48">
        <w:rPr>
          <w:rFonts w:eastAsia="Calibri" w:cstheme="minorHAnsi"/>
          <w:b/>
          <w:bCs/>
        </w:rPr>
        <w:t>Adopted</w:t>
      </w:r>
      <w:r w:rsidR="00E331FE" w:rsidRPr="00A84A48">
        <w:rPr>
          <w:rFonts w:eastAsia="Calibri" w:cstheme="minorHAnsi"/>
        </w:rPr>
        <w:t xml:space="preserve"> </w:t>
      </w:r>
      <w:r w:rsidR="004D6809" w:rsidRPr="00A84A48">
        <w:rPr>
          <w:rFonts w:eastAsia="Calibri" w:cstheme="minorHAnsi"/>
        </w:rPr>
        <w:t>–</w:t>
      </w:r>
      <w:r w:rsidR="004D6809" w:rsidRPr="00DC3343">
        <w:rPr>
          <w:rFonts w:eastAsia="Calibri" w:cstheme="minorHAnsi"/>
        </w:rPr>
        <w:t xml:space="preserve"> </w:t>
      </w:r>
      <w:r w:rsidR="00C92901" w:rsidRPr="00C92901">
        <w:rPr>
          <w:rFonts w:eastAsia="Calibri" w:cstheme="minorHAnsi"/>
        </w:rPr>
        <w:t xml:space="preserve">The </w:t>
      </w:r>
      <w:r w:rsidR="002C7D97">
        <w:rPr>
          <w:rFonts w:eastAsia="Calibri" w:cstheme="minorHAnsi"/>
        </w:rPr>
        <w:t>a</w:t>
      </w:r>
      <w:r w:rsidR="002C7D97" w:rsidRPr="00C92901">
        <w:rPr>
          <w:rFonts w:eastAsia="Calibri" w:cstheme="minorHAnsi"/>
        </w:rPr>
        <w:t xml:space="preserve">cting </w:t>
      </w:r>
      <w:r w:rsidR="00C92901" w:rsidRPr="00C92901">
        <w:rPr>
          <w:rFonts w:eastAsia="Calibri" w:cstheme="minorHAnsi"/>
        </w:rPr>
        <w:t xml:space="preserve">Commissioner suggested </w:t>
      </w:r>
      <w:r w:rsidR="00C92901">
        <w:rPr>
          <w:rFonts w:eastAsia="Calibri" w:cstheme="minorHAnsi"/>
        </w:rPr>
        <w:t xml:space="preserve">that </w:t>
      </w:r>
      <w:r w:rsidR="004D6809" w:rsidRPr="00DC3343">
        <w:rPr>
          <w:rFonts w:eastAsia="Calibri" w:cstheme="minorHAnsi"/>
        </w:rPr>
        <w:t xml:space="preserve">‘Other business’ items </w:t>
      </w:r>
      <w:r w:rsidR="00BC5B00">
        <w:rPr>
          <w:rFonts w:eastAsia="Calibri" w:cstheme="minorHAnsi"/>
        </w:rPr>
        <w:t xml:space="preserve">(i.e. those items raised outside the </w:t>
      </w:r>
      <w:proofErr w:type="gramStart"/>
      <w:r w:rsidR="00B87FC5">
        <w:rPr>
          <w:rFonts w:eastAsia="Calibri" w:cstheme="minorHAnsi"/>
        </w:rPr>
        <w:t xml:space="preserve">21 </w:t>
      </w:r>
      <w:r w:rsidR="00BC5B00">
        <w:rPr>
          <w:rFonts w:eastAsia="Calibri" w:cstheme="minorHAnsi"/>
        </w:rPr>
        <w:t>day</w:t>
      </w:r>
      <w:proofErr w:type="gramEnd"/>
      <w:r w:rsidR="00BC5B00">
        <w:rPr>
          <w:rFonts w:eastAsia="Calibri" w:cstheme="minorHAnsi"/>
        </w:rPr>
        <w:t xml:space="preserve"> notice period) </w:t>
      </w:r>
      <w:r w:rsidR="004D6809" w:rsidRPr="00DC3343">
        <w:rPr>
          <w:rFonts w:eastAsia="Calibri" w:cstheme="minorHAnsi"/>
        </w:rPr>
        <w:t xml:space="preserve">be presented to the </w:t>
      </w:r>
      <w:r w:rsidR="00511AB1" w:rsidRPr="00DC3343">
        <w:rPr>
          <w:rFonts w:eastAsia="Calibri" w:cstheme="minorHAnsi"/>
        </w:rPr>
        <w:t>Presiding Member</w:t>
      </w:r>
      <w:r w:rsidR="00BC5B00">
        <w:rPr>
          <w:rFonts w:eastAsia="Calibri" w:cstheme="minorHAnsi"/>
        </w:rPr>
        <w:t xml:space="preserve">, who will then determine if it is </w:t>
      </w:r>
      <w:r w:rsidR="002442AE" w:rsidRPr="00DC3343">
        <w:rPr>
          <w:rFonts w:eastAsia="Calibri" w:cstheme="minorHAnsi"/>
        </w:rPr>
        <w:t xml:space="preserve">appropriate </w:t>
      </w:r>
      <w:r w:rsidR="00BC5B00">
        <w:rPr>
          <w:rFonts w:eastAsia="Calibri" w:cstheme="minorHAnsi"/>
        </w:rPr>
        <w:t>to add the item to the agenda outside of the ordinary notice provisions. The Presiding Member will</w:t>
      </w:r>
      <w:r w:rsidR="00694BA7">
        <w:rPr>
          <w:rFonts w:eastAsia="Calibri" w:cstheme="minorHAnsi"/>
        </w:rPr>
        <w:t xml:space="preserve"> </w:t>
      </w:r>
      <w:r w:rsidR="00A84A48">
        <w:rPr>
          <w:rFonts w:eastAsia="Calibri" w:cstheme="minorHAnsi"/>
        </w:rPr>
        <w:t>balance</w:t>
      </w:r>
      <w:r w:rsidR="00694BA7">
        <w:rPr>
          <w:rFonts w:eastAsia="Calibri" w:cstheme="minorHAnsi"/>
        </w:rPr>
        <w:t xml:space="preserve"> the</w:t>
      </w:r>
      <w:r w:rsidR="00A84A48">
        <w:rPr>
          <w:rFonts w:eastAsia="Calibri" w:cstheme="minorHAnsi"/>
        </w:rPr>
        <w:t xml:space="preserve"> </w:t>
      </w:r>
      <w:r w:rsidR="00BC5B00">
        <w:rPr>
          <w:rFonts w:eastAsia="Calibri" w:cstheme="minorHAnsi"/>
        </w:rPr>
        <w:t xml:space="preserve">need to have </w:t>
      </w:r>
      <w:r w:rsidR="00A84A48">
        <w:rPr>
          <w:rFonts w:eastAsia="Calibri" w:cstheme="minorHAnsi"/>
        </w:rPr>
        <w:t>flexibility to add agenda items</w:t>
      </w:r>
      <w:r w:rsidR="004332DD">
        <w:rPr>
          <w:rFonts w:eastAsia="Calibri" w:cstheme="minorHAnsi"/>
        </w:rPr>
        <w:t xml:space="preserve"> </w:t>
      </w:r>
      <w:r w:rsidR="00E81B79">
        <w:rPr>
          <w:rFonts w:eastAsia="Calibri" w:cstheme="minorHAnsi"/>
        </w:rPr>
        <w:t>with</w:t>
      </w:r>
      <w:r w:rsidR="00B87FC5">
        <w:rPr>
          <w:rFonts w:eastAsia="Calibri" w:cstheme="minorHAnsi"/>
        </w:rPr>
        <w:t xml:space="preserve"> </w:t>
      </w:r>
      <w:r w:rsidR="004332DD">
        <w:rPr>
          <w:rFonts w:eastAsia="Calibri" w:cstheme="minorHAnsi"/>
        </w:rPr>
        <w:t>providing Members with an opportunity to prepare and respond to items on the agenda.</w:t>
      </w:r>
      <w:r w:rsidR="00BC5B00">
        <w:rPr>
          <w:rFonts w:eastAsia="Calibri" w:cstheme="minorHAnsi"/>
        </w:rPr>
        <w:t xml:space="preserve"> </w:t>
      </w:r>
    </w:p>
    <w:p w14:paraId="1378C23D" w14:textId="50E23CF5" w:rsidR="00E331FE" w:rsidRPr="00A0781B" w:rsidRDefault="00BC5B00" w:rsidP="00A0781B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eastAsia="Calibri" w:cstheme="minorHAnsi"/>
        </w:rPr>
      </w:pPr>
      <w:r>
        <w:rPr>
          <w:rFonts w:eastAsia="Calibri" w:cstheme="minorHAnsi"/>
        </w:rPr>
        <w:t xml:space="preserve">The </w:t>
      </w:r>
      <w:r w:rsidR="002C7D97">
        <w:rPr>
          <w:rFonts w:eastAsia="Calibri" w:cstheme="minorHAnsi"/>
        </w:rPr>
        <w:t>a</w:t>
      </w:r>
      <w:r>
        <w:rPr>
          <w:rFonts w:eastAsia="Calibri" w:cstheme="minorHAnsi"/>
        </w:rPr>
        <w:t xml:space="preserve">cting Commissioner noted that as some </w:t>
      </w:r>
      <w:r w:rsidR="00E81B79">
        <w:rPr>
          <w:rFonts w:eastAsia="Calibri" w:cstheme="minorHAnsi"/>
        </w:rPr>
        <w:t>M</w:t>
      </w:r>
      <w:r>
        <w:rPr>
          <w:rFonts w:eastAsia="Calibri" w:cstheme="minorHAnsi"/>
        </w:rPr>
        <w:t>embers were representative organisations, they likely need</w:t>
      </w:r>
      <w:r w:rsidR="008673AF">
        <w:rPr>
          <w:rFonts w:eastAsia="Calibri" w:cstheme="minorHAnsi"/>
        </w:rPr>
        <w:t>ed</w:t>
      </w:r>
      <w:r>
        <w:rPr>
          <w:rFonts w:eastAsia="Calibri" w:cstheme="minorHAnsi"/>
        </w:rPr>
        <w:t xml:space="preserve"> notice to be able to decide a matter</w:t>
      </w:r>
      <w:r w:rsidR="000A7D71">
        <w:rPr>
          <w:rFonts w:eastAsia="Calibri" w:cstheme="minorHAnsi"/>
        </w:rPr>
        <w:t>, although they may be able to discuss a matter on shorter notice.</w:t>
      </w:r>
    </w:p>
    <w:p w14:paraId="42C7930B" w14:textId="7F72DEC8" w:rsidR="00DA6E00" w:rsidRDefault="006C09DD" w:rsidP="00A0781B">
      <w:pPr>
        <w:pStyle w:val="ListParagraph"/>
        <w:numPr>
          <w:ilvl w:val="0"/>
          <w:numId w:val="5"/>
        </w:numPr>
        <w:spacing w:before="120" w:after="120"/>
        <w:ind w:left="709"/>
        <w:contextualSpacing w:val="0"/>
        <w:rPr>
          <w:rFonts w:eastAsia="Calibri" w:cstheme="minorHAnsi"/>
        </w:rPr>
      </w:pPr>
      <w:r>
        <w:rPr>
          <w:rFonts w:eastAsia="Calibri" w:cstheme="minorHAnsi"/>
          <w:b/>
          <w:bCs/>
        </w:rPr>
        <w:t>Adopted</w:t>
      </w:r>
      <w:r w:rsidR="00F71BDD">
        <w:rPr>
          <w:rFonts w:eastAsia="Calibri" w:cstheme="minorHAnsi"/>
          <w:b/>
          <w:bCs/>
        </w:rPr>
        <w:t xml:space="preserve"> </w:t>
      </w:r>
      <w:r w:rsidR="00192F2A" w:rsidRPr="00DC3343">
        <w:rPr>
          <w:rFonts w:eastAsia="Calibri" w:cstheme="minorHAnsi"/>
        </w:rPr>
        <w:t xml:space="preserve">– </w:t>
      </w:r>
      <w:r w:rsidR="00053B30">
        <w:rPr>
          <w:rFonts w:eastAsia="Calibri" w:cstheme="minorHAnsi"/>
        </w:rPr>
        <w:t xml:space="preserve">The </w:t>
      </w:r>
      <w:r w:rsidR="00930A8B" w:rsidRPr="00DC3343">
        <w:rPr>
          <w:rFonts w:eastAsia="Calibri" w:cstheme="minorHAnsi"/>
        </w:rPr>
        <w:t xml:space="preserve">Terms of Reference </w:t>
      </w:r>
      <w:r w:rsidR="00BD7B75">
        <w:rPr>
          <w:rFonts w:eastAsia="Calibri" w:cstheme="minorHAnsi"/>
        </w:rPr>
        <w:t>will retain the</w:t>
      </w:r>
      <w:r w:rsidR="00053B30">
        <w:rPr>
          <w:rFonts w:eastAsia="Calibri" w:cstheme="minorHAnsi"/>
        </w:rPr>
        <w:t xml:space="preserve"> </w:t>
      </w:r>
      <w:r w:rsidR="00930A8B" w:rsidRPr="00DC3343">
        <w:rPr>
          <w:rFonts w:eastAsia="Calibri" w:cstheme="minorHAnsi"/>
        </w:rPr>
        <w:t>bare majority</w:t>
      </w:r>
      <w:r w:rsidR="00053B30">
        <w:rPr>
          <w:rFonts w:eastAsia="Calibri" w:cstheme="minorHAnsi"/>
        </w:rPr>
        <w:t xml:space="preserve"> for voting</w:t>
      </w:r>
      <w:r w:rsidR="00930A8B" w:rsidRPr="00DC3343">
        <w:rPr>
          <w:rFonts w:eastAsia="Calibri" w:cstheme="minorHAnsi"/>
        </w:rPr>
        <w:t xml:space="preserve"> (</w:t>
      </w:r>
      <w:r w:rsidR="006B0A1D">
        <w:rPr>
          <w:rFonts w:eastAsia="Calibri" w:cstheme="minorHAnsi"/>
        </w:rPr>
        <w:t>6</w:t>
      </w:r>
      <w:r w:rsidR="00930A8B" w:rsidRPr="00DC3343">
        <w:rPr>
          <w:rFonts w:eastAsia="Calibri" w:cstheme="minorHAnsi"/>
        </w:rPr>
        <w:t>.1.1)</w:t>
      </w:r>
      <w:r w:rsidR="00CC21C5">
        <w:rPr>
          <w:rFonts w:eastAsia="Calibri" w:cstheme="minorHAnsi"/>
        </w:rPr>
        <w:t>,</w:t>
      </w:r>
      <w:r w:rsidR="00930A8B" w:rsidRPr="00DC3343">
        <w:rPr>
          <w:rFonts w:eastAsia="Calibri" w:cstheme="minorHAnsi"/>
        </w:rPr>
        <w:t xml:space="preserve"> with </w:t>
      </w:r>
      <w:r w:rsidR="002442AE" w:rsidRPr="00DC3343">
        <w:rPr>
          <w:rFonts w:eastAsia="Calibri" w:cstheme="minorHAnsi"/>
        </w:rPr>
        <w:t xml:space="preserve">the </w:t>
      </w:r>
      <w:r w:rsidR="00F71BDD">
        <w:rPr>
          <w:rFonts w:eastAsia="Calibri" w:cstheme="minorHAnsi"/>
        </w:rPr>
        <w:t>inclusion</w:t>
      </w:r>
      <w:r w:rsidR="00F71BDD" w:rsidRPr="00DC3343">
        <w:rPr>
          <w:rFonts w:eastAsia="Calibri" w:cstheme="minorHAnsi"/>
        </w:rPr>
        <w:t xml:space="preserve"> </w:t>
      </w:r>
      <w:r w:rsidR="00930A8B" w:rsidRPr="00DC3343">
        <w:rPr>
          <w:rFonts w:eastAsia="Calibri" w:cstheme="minorHAnsi"/>
        </w:rPr>
        <w:t>of</w:t>
      </w:r>
      <w:r w:rsidR="00305B37" w:rsidRPr="00DC3343">
        <w:rPr>
          <w:rFonts w:eastAsia="Calibri" w:cstheme="minorHAnsi"/>
        </w:rPr>
        <w:t xml:space="preserve"> wording that </w:t>
      </w:r>
      <w:r w:rsidR="002442AE" w:rsidRPr="00DC3343">
        <w:rPr>
          <w:rFonts w:eastAsia="Calibri" w:cstheme="minorHAnsi"/>
        </w:rPr>
        <w:t xml:space="preserve">explains </w:t>
      </w:r>
      <w:r w:rsidR="00930A8B" w:rsidRPr="00DC3343">
        <w:rPr>
          <w:rFonts w:eastAsia="Calibri" w:cstheme="minorHAnsi"/>
        </w:rPr>
        <w:t xml:space="preserve">how </w:t>
      </w:r>
      <w:r w:rsidR="00C92901">
        <w:rPr>
          <w:rFonts w:eastAsia="Calibri" w:cstheme="minorHAnsi"/>
        </w:rPr>
        <w:t xml:space="preserve">a </w:t>
      </w:r>
      <w:r w:rsidR="00930A8B" w:rsidRPr="00DC3343">
        <w:rPr>
          <w:rFonts w:eastAsia="Calibri" w:cstheme="minorHAnsi"/>
        </w:rPr>
        <w:t>diversity of views</w:t>
      </w:r>
      <w:r w:rsidR="00053B30">
        <w:rPr>
          <w:rFonts w:eastAsia="Calibri" w:cstheme="minorHAnsi"/>
        </w:rPr>
        <w:t>,</w:t>
      </w:r>
      <w:r w:rsidR="00930A8B" w:rsidRPr="00DC3343">
        <w:rPr>
          <w:rFonts w:eastAsia="Calibri" w:cstheme="minorHAnsi"/>
        </w:rPr>
        <w:t xml:space="preserve"> and transparency of voting</w:t>
      </w:r>
      <w:r w:rsidR="00053B30">
        <w:rPr>
          <w:rFonts w:eastAsia="Calibri" w:cstheme="minorHAnsi"/>
        </w:rPr>
        <w:t>,</w:t>
      </w:r>
      <w:r w:rsidR="00930A8B" w:rsidRPr="00DC3343">
        <w:rPr>
          <w:rFonts w:eastAsia="Calibri" w:cstheme="minorHAnsi"/>
        </w:rPr>
        <w:t xml:space="preserve"> </w:t>
      </w:r>
      <w:r w:rsidR="00BD7B75">
        <w:rPr>
          <w:rFonts w:eastAsia="Calibri" w:cstheme="minorHAnsi"/>
        </w:rPr>
        <w:t>should</w:t>
      </w:r>
      <w:r w:rsidR="00BD7B75" w:rsidRPr="00DC3343">
        <w:rPr>
          <w:rFonts w:eastAsia="Calibri" w:cstheme="minorHAnsi"/>
        </w:rPr>
        <w:t xml:space="preserve"> </w:t>
      </w:r>
      <w:r w:rsidR="002442AE" w:rsidRPr="00DC3343">
        <w:rPr>
          <w:rFonts w:eastAsia="Calibri" w:cstheme="minorHAnsi"/>
        </w:rPr>
        <w:t>be communicated to the Minister</w:t>
      </w:r>
      <w:r w:rsidR="00930A8B" w:rsidRPr="00DC3343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</w:t>
      </w:r>
      <w:bookmarkStart w:id="1" w:name="_Hlk171101355"/>
    </w:p>
    <w:p w14:paraId="02225A67" w14:textId="68CF28E6" w:rsidR="00DA6E00" w:rsidRPr="002D38C8" w:rsidRDefault="006C09DD" w:rsidP="007172AF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eastAsia="Calibri" w:cstheme="minorHAnsi"/>
        </w:rPr>
      </w:pPr>
      <w:r>
        <w:rPr>
          <w:rFonts w:eastAsia="Calibri" w:cstheme="minorHAnsi"/>
        </w:rPr>
        <w:t>The</w:t>
      </w:r>
      <w:r w:rsidR="007B172E">
        <w:rPr>
          <w:rFonts w:eastAsia="Calibri" w:cstheme="minorHAnsi"/>
        </w:rPr>
        <w:t xml:space="preserve"> </w:t>
      </w:r>
      <w:r w:rsidR="002C7D97">
        <w:rPr>
          <w:rFonts w:eastAsia="Calibri" w:cstheme="minorHAnsi"/>
        </w:rPr>
        <w:t xml:space="preserve">acting </w:t>
      </w:r>
      <w:r>
        <w:rPr>
          <w:rFonts w:eastAsia="Calibri" w:cstheme="minorHAnsi"/>
        </w:rPr>
        <w:t xml:space="preserve">Commissioner </w:t>
      </w:r>
      <w:r w:rsidRPr="006C09DD">
        <w:rPr>
          <w:rFonts w:eastAsia="Calibri" w:cstheme="minorHAnsi"/>
        </w:rPr>
        <w:t>undertook to advise the Minister of the alternative views of some Members</w:t>
      </w:r>
      <w:r>
        <w:rPr>
          <w:rFonts w:eastAsia="Calibri" w:cstheme="minorHAnsi"/>
        </w:rPr>
        <w:t xml:space="preserve"> on </w:t>
      </w:r>
      <w:bookmarkEnd w:id="1"/>
      <w:r>
        <w:rPr>
          <w:rFonts w:eastAsia="Calibri" w:cstheme="minorHAnsi"/>
        </w:rPr>
        <w:t>th</w:t>
      </w:r>
      <w:r w:rsidR="004332DD">
        <w:rPr>
          <w:rFonts w:eastAsia="Calibri" w:cstheme="minorHAnsi"/>
        </w:rPr>
        <w:t>is item</w:t>
      </w:r>
      <w:r w:rsidR="007172AF">
        <w:rPr>
          <w:rFonts w:eastAsia="Calibri" w:cstheme="minorHAnsi"/>
        </w:rPr>
        <w:t xml:space="preserve"> including the representative from t</w:t>
      </w:r>
      <w:r w:rsidR="005D16D9" w:rsidRPr="00AB7DC0">
        <w:rPr>
          <w:rFonts w:eastAsia="Calibri" w:cstheme="minorHAnsi"/>
        </w:rPr>
        <w:t xml:space="preserve">he Australian Chamber of Commerce and Industry </w:t>
      </w:r>
      <w:r w:rsidR="007172AF">
        <w:rPr>
          <w:rFonts w:eastAsia="Calibri" w:cstheme="minorHAnsi"/>
        </w:rPr>
        <w:t xml:space="preserve">who </w:t>
      </w:r>
      <w:r w:rsidR="005D16D9" w:rsidRPr="00AB7DC0">
        <w:rPr>
          <w:rFonts w:eastAsia="Calibri" w:cstheme="minorHAnsi"/>
        </w:rPr>
        <w:t xml:space="preserve">supports a 'substantial majority' </w:t>
      </w:r>
      <w:r w:rsidR="007172AF">
        <w:rPr>
          <w:rFonts w:eastAsia="Calibri" w:cstheme="minorHAnsi"/>
        </w:rPr>
        <w:t>over</w:t>
      </w:r>
      <w:r w:rsidR="005D16D9" w:rsidRPr="00AB7DC0">
        <w:t xml:space="preserve"> a 'bare majority' of votes</w:t>
      </w:r>
      <w:r w:rsidR="00BD7B75" w:rsidRPr="00AB7DC0">
        <w:t xml:space="preserve">, </w:t>
      </w:r>
      <w:r w:rsidR="007172AF">
        <w:rPr>
          <w:rFonts w:eastAsia="Calibri" w:cstheme="minorHAnsi"/>
        </w:rPr>
        <w:t>and another Member who expressed</w:t>
      </w:r>
      <w:r w:rsidR="00BD7B75" w:rsidRPr="002D38C8">
        <w:rPr>
          <w:rFonts w:eastAsia="Calibri" w:cstheme="minorHAnsi"/>
        </w:rPr>
        <w:t xml:space="preserve"> that </w:t>
      </w:r>
      <w:r w:rsidR="00A9358B" w:rsidRPr="002D38C8">
        <w:rPr>
          <w:rFonts w:eastAsia="Calibri" w:cstheme="minorHAnsi"/>
        </w:rPr>
        <w:t xml:space="preserve">bare </w:t>
      </w:r>
      <w:r w:rsidR="00BD7B75" w:rsidRPr="002D38C8">
        <w:rPr>
          <w:rFonts w:eastAsia="Calibri" w:cstheme="minorHAnsi"/>
        </w:rPr>
        <w:t xml:space="preserve">majority voting </w:t>
      </w:r>
      <w:r w:rsidR="00A9358B" w:rsidRPr="002D38C8">
        <w:rPr>
          <w:rFonts w:eastAsia="Calibri" w:cstheme="minorHAnsi"/>
        </w:rPr>
        <w:t xml:space="preserve">is </w:t>
      </w:r>
      <w:r w:rsidR="0059488F" w:rsidRPr="002D38C8">
        <w:rPr>
          <w:rFonts w:eastAsia="Calibri" w:cstheme="minorHAnsi"/>
        </w:rPr>
        <w:t xml:space="preserve">complicated when some </w:t>
      </w:r>
      <w:r w:rsidR="00E81B79" w:rsidRPr="002D38C8">
        <w:rPr>
          <w:rFonts w:eastAsia="Calibri" w:cstheme="minorHAnsi"/>
        </w:rPr>
        <w:t>M</w:t>
      </w:r>
      <w:r w:rsidR="0059488F" w:rsidRPr="002D38C8">
        <w:rPr>
          <w:rFonts w:eastAsia="Calibri" w:cstheme="minorHAnsi"/>
        </w:rPr>
        <w:t xml:space="preserve">embers represent one </w:t>
      </w:r>
      <w:proofErr w:type="gramStart"/>
      <w:r w:rsidR="0059488F" w:rsidRPr="002D38C8">
        <w:rPr>
          <w:rFonts w:eastAsia="Calibri" w:cstheme="minorHAnsi"/>
        </w:rPr>
        <w:t>organisation</w:t>
      </w:r>
      <w:proofErr w:type="gramEnd"/>
      <w:r w:rsidR="0059488F" w:rsidRPr="002D38C8">
        <w:rPr>
          <w:rFonts w:eastAsia="Calibri" w:cstheme="minorHAnsi"/>
        </w:rPr>
        <w:t xml:space="preserve"> and </w:t>
      </w:r>
      <w:r w:rsidR="00E81B79" w:rsidRPr="002D38C8">
        <w:rPr>
          <w:rFonts w:eastAsia="Calibri" w:cstheme="minorHAnsi"/>
        </w:rPr>
        <w:t>others represent multiple organisation.</w:t>
      </w:r>
      <w:r w:rsidR="004332DD" w:rsidRPr="002D38C8">
        <w:rPr>
          <w:rFonts w:eastAsia="Calibri" w:cstheme="minorHAnsi"/>
        </w:rPr>
        <w:t xml:space="preserve"> </w:t>
      </w:r>
    </w:p>
    <w:p w14:paraId="7D4D0C2E" w14:textId="5E36FF12" w:rsidR="00DA6E00" w:rsidRDefault="0059488F" w:rsidP="00A0781B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eastAsia="Calibri" w:cstheme="minorHAnsi"/>
        </w:rPr>
      </w:pPr>
      <w:r>
        <w:rPr>
          <w:rFonts w:eastAsia="Calibri" w:cstheme="minorHAnsi"/>
        </w:rPr>
        <w:t xml:space="preserve">The </w:t>
      </w:r>
      <w:r w:rsidR="002C7D97">
        <w:rPr>
          <w:rFonts w:eastAsia="Calibri" w:cstheme="minorHAnsi"/>
        </w:rPr>
        <w:t>a</w:t>
      </w:r>
      <w:r>
        <w:rPr>
          <w:rFonts w:eastAsia="Calibri" w:cstheme="minorHAnsi"/>
        </w:rPr>
        <w:t xml:space="preserve">cting Commissioner acknowledged this was a function of </w:t>
      </w:r>
      <w:r w:rsidR="00E81B79">
        <w:rPr>
          <w:rFonts w:eastAsia="Calibri" w:cstheme="minorHAnsi"/>
        </w:rPr>
        <w:t>the</w:t>
      </w:r>
      <w:r w:rsidR="008673AF">
        <w:rPr>
          <w:rFonts w:eastAsia="Calibri" w:cstheme="minorHAnsi"/>
        </w:rPr>
        <w:t xml:space="preserve"> </w:t>
      </w:r>
      <w:r w:rsidR="00E81B79">
        <w:rPr>
          <w:rFonts w:eastAsia="Calibri" w:cstheme="minorHAnsi"/>
        </w:rPr>
        <w:t xml:space="preserve">wide </w:t>
      </w:r>
      <w:r w:rsidR="00A9358B">
        <w:rPr>
          <w:rFonts w:eastAsia="Calibri" w:cstheme="minorHAnsi"/>
        </w:rPr>
        <w:t xml:space="preserve">range </w:t>
      </w:r>
      <w:r w:rsidR="008673AF">
        <w:rPr>
          <w:rFonts w:eastAsia="Calibri" w:cstheme="minorHAnsi"/>
        </w:rPr>
        <w:t xml:space="preserve">of </w:t>
      </w:r>
      <w:r w:rsidR="00A9358B">
        <w:rPr>
          <w:rFonts w:eastAsia="Calibri" w:cstheme="minorHAnsi"/>
        </w:rPr>
        <w:t xml:space="preserve">ITRF </w:t>
      </w:r>
      <w:r w:rsidR="008673AF">
        <w:rPr>
          <w:rFonts w:eastAsia="Calibri" w:cstheme="minorHAnsi"/>
        </w:rPr>
        <w:t>M</w:t>
      </w:r>
      <w:r w:rsidR="00A9358B">
        <w:rPr>
          <w:rFonts w:eastAsia="Calibri" w:cstheme="minorHAnsi"/>
        </w:rPr>
        <w:t>embers</w:t>
      </w:r>
      <w:r w:rsidR="00E81B79">
        <w:rPr>
          <w:rFonts w:eastAsia="Calibri" w:cstheme="minorHAnsi"/>
        </w:rPr>
        <w:t>’ structures,</w:t>
      </w:r>
      <w:r w:rsidR="00A9358B">
        <w:rPr>
          <w:rFonts w:eastAsia="Calibri" w:cstheme="minorHAnsi"/>
        </w:rPr>
        <w:t xml:space="preserve"> and that if voting caused problematic outcomes, the ITRF and/or Presiding Member could seek a change to the procedures. </w:t>
      </w:r>
    </w:p>
    <w:p w14:paraId="113777B9" w14:textId="598B37EF" w:rsidR="00F522F9" w:rsidRPr="00DC3343" w:rsidRDefault="00A9358B" w:rsidP="00A0781B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eastAsia="Calibri" w:cstheme="minorHAnsi"/>
        </w:rPr>
      </w:pPr>
      <w:r>
        <w:rPr>
          <w:rFonts w:eastAsia="Calibri" w:cstheme="minorHAnsi"/>
        </w:rPr>
        <w:t xml:space="preserve">The </w:t>
      </w:r>
      <w:r w:rsidR="002C7D97">
        <w:rPr>
          <w:rFonts w:eastAsia="Calibri" w:cstheme="minorHAnsi"/>
        </w:rPr>
        <w:t xml:space="preserve">acting </w:t>
      </w:r>
      <w:r>
        <w:rPr>
          <w:rFonts w:eastAsia="Calibri" w:cstheme="minorHAnsi"/>
        </w:rPr>
        <w:t xml:space="preserve">Commissioner noted that the diversity of views and voting would be reflected in the ITRF </w:t>
      </w:r>
      <w:r w:rsidR="000811E2">
        <w:rPr>
          <w:rFonts w:eastAsia="Calibri" w:cstheme="minorHAnsi"/>
        </w:rPr>
        <w:t>minutes</w:t>
      </w:r>
      <w:r>
        <w:rPr>
          <w:rFonts w:eastAsia="Calibri" w:cstheme="minorHAnsi"/>
        </w:rPr>
        <w:t xml:space="preserve"> and recommendations to the Minister. </w:t>
      </w:r>
    </w:p>
    <w:p w14:paraId="6D47E3DE" w14:textId="3082B48E" w:rsidR="00DC3343" w:rsidRDefault="00345C83" w:rsidP="00A0781B">
      <w:pPr>
        <w:spacing w:before="360" w:after="120"/>
        <w:rPr>
          <w:rFonts w:eastAsia="Calibri" w:cstheme="minorHAnsi"/>
          <w:b/>
          <w:bCs/>
        </w:rPr>
      </w:pPr>
      <w:r w:rsidRPr="00511AB1">
        <w:rPr>
          <w:rFonts w:eastAsia="Calibri" w:cstheme="minorHAnsi"/>
          <w:b/>
          <w:bCs/>
        </w:rPr>
        <w:t>Appendix A –</w:t>
      </w:r>
      <w:r>
        <w:rPr>
          <w:rFonts w:eastAsia="Calibri" w:cstheme="minorHAnsi"/>
          <w:b/>
          <w:bCs/>
        </w:rPr>
        <w:t xml:space="preserve"> </w:t>
      </w:r>
      <w:r w:rsidRPr="00511AB1">
        <w:rPr>
          <w:rFonts w:eastAsia="Calibri" w:cstheme="minorHAnsi"/>
          <w:b/>
          <w:bCs/>
        </w:rPr>
        <w:t xml:space="preserve">Section </w:t>
      </w:r>
      <w:r w:rsidR="00F260F7">
        <w:rPr>
          <w:rFonts w:eastAsia="Calibri" w:cstheme="minorHAnsi"/>
          <w:b/>
          <w:bCs/>
        </w:rPr>
        <w:t>7</w:t>
      </w:r>
      <w:r w:rsidRPr="00511AB1">
        <w:rPr>
          <w:rFonts w:eastAsia="Calibri" w:cstheme="minorHAnsi"/>
          <w:b/>
          <w:bCs/>
        </w:rPr>
        <w:t xml:space="preserve"> – </w:t>
      </w:r>
      <w:r>
        <w:rPr>
          <w:rFonts w:eastAsia="Calibri" w:cstheme="minorHAnsi"/>
          <w:b/>
          <w:bCs/>
        </w:rPr>
        <w:t xml:space="preserve">Presenting </w:t>
      </w:r>
      <w:proofErr w:type="gramStart"/>
      <w:r>
        <w:rPr>
          <w:rFonts w:eastAsia="Calibri" w:cstheme="minorHAnsi"/>
          <w:b/>
          <w:bCs/>
        </w:rPr>
        <w:t>advice</w:t>
      </w:r>
      <w:proofErr w:type="gramEnd"/>
    </w:p>
    <w:p w14:paraId="7DBDDF00" w14:textId="5CC9E2FE" w:rsidR="00133428" w:rsidRPr="00DC3343" w:rsidRDefault="006C09DD" w:rsidP="00C92901">
      <w:pPr>
        <w:pStyle w:val="ListParagraph"/>
        <w:numPr>
          <w:ilvl w:val="0"/>
          <w:numId w:val="6"/>
        </w:numPr>
        <w:spacing w:before="120" w:after="120"/>
        <w:ind w:left="709"/>
        <w:rPr>
          <w:rFonts w:eastAsia="Calibri" w:cstheme="minorHAnsi"/>
          <w:b/>
          <w:bCs/>
        </w:rPr>
      </w:pPr>
      <w:r>
        <w:rPr>
          <w:b/>
          <w:bCs/>
        </w:rPr>
        <w:t>Adopted</w:t>
      </w:r>
      <w:r w:rsidR="00F621F1">
        <w:rPr>
          <w:b/>
          <w:bCs/>
        </w:rPr>
        <w:t xml:space="preserve"> </w:t>
      </w:r>
      <w:r w:rsidR="00A170BE">
        <w:t xml:space="preserve">– </w:t>
      </w:r>
      <w:r w:rsidR="00930A8B">
        <w:t xml:space="preserve">This </w:t>
      </w:r>
      <w:r w:rsidR="00A170BE">
        <w:t>section</w:t>
      </w:r>
      <w:r w:rsidR="00930A8B">
        <w:t xml:space="preserve"> </w:t>
      </w:r>
      <w:r w:rsidR="00A170BE">
        <w:t xml:space="preserve">to be updated to </w:t>
      </w:r>
      <w:r w:rsidR="005D639D">
        <w:t xml:space="preserve">recognise that advice will </w:t>
      </w:r>
      <w:r w:rsidR="00962FCD">
        <w:t>be presented</w:t>
      </w:r>
      <w:r w:rsidR="005D639D">
        <w:t xml:space="preserve"> as described </w:t>
      </w:r>
      <w:r w:rsidR="00A170BE" w:rsidRPr="00930A8B">
        <w:t>in</w:t>
      </w:r>
      <w:r w:rsidR="00A170BE" w:rsidRPr="00DC3343">
        <w:rPr>
          <w:color w:val="FF0000"/>
        </w:rPr>
        <w:t xml:space="preserve"> </w:t>
      </w:r>
      <w:r w:rsidR="00A170BE" w:rsidRPr="00053B30">
        <w:rPr>
          <w:i/>
          <w:iCs/>
        </w:rPr>
        <w:t xml:space="preserve">Appendix A – Section </w:t>
      </w:r>
      <w:r w:rsidR="006B0A1D">
        <w:rPr>
          <w:i/>
          <w:iCs/>
        </w:rPr>
        <w:t>6</w:t>
      </w:r>
      <w:r w:rsidR="00A170BE" w:rsidRPr="00053B30">
        <w:rPr>
          <w:i/>
          <w:iCs/>
        </w:rPr>
        <w:t xml:space="preserve"> – Agreement and decision</w:t>
      </w:r>
      <w:r w:rsidR="00053B30" w:rsidRPr="00053B30">
        <w:rPr>
          <w:i/>
          <w:iCs/>
        </w:rPr>
        <w:t>-</w:t>
      </w:r>
      <w:r w:rsidR="00A170BE" w:rsidRPr="00053B30">
        <w:rPr>
          <w:i/>
          <w:iCs/>
        </w:rPr>
        <w:t>making</w:t>
      </w:r>
      <w:r w:rsidR="00A170BE">
        <w:t>.</w:t>
      </w:r>
    </w:p>
    <w:p w14:paraId="3D70F07C" w14:textId="21557A43" w:rsidR="00A170BE" w:rsidRDefault="00A170BE" w:rsidP="00A0781B">
      <w:pPr>
        <w:spacing w:before="360" w:after="120"/>
        <w:rPr>
          <w:rFonts w:eastAsia="Calibri" w:cstheme="minorHAnsi"/>
          <w:b/>
          <w:bCs/>
        </w:rPr>
      </w:pPr>
      <w:r w:rsidRPr="00511AB1">
        <w:rPr>
          <w:rFonts w:eastAsia="Calibri" w:cstheme="minorHAnsi"/>
          <w:b/>
          <w:bCs/>
        </w:rPr>
        <w:t>Appendix A –</w:t>
      </w:r>
      <w:r>
        <w:rPr>
          <w:rFonts w:eastAsia="Calibri" w:cstheme="minorHAnsi"/>
          <w:b/>
          <w:bCs/>
        </w:rPr>
        <w:t xml:space="preserve"> </w:t>
      </w:r>
      <w:r w:rsidRPr="00511AB1">
        <w:rPr>
          <w:rFonts w:eastAsia="Calibri" w:cstheme="minorHAnsi"/>
          <w:b/>
          <w:bCs/>
        </w:rPr>
        <w:t xml:space="preserve">Section </w:t>
      </w:r>
      <w:r w:rsidR="00F260F7">
        <w:rPr>
          <w:rFonts w:eastAsia="Calibri" w:cstheme="minorHAnsi"/>
          <w:b/>
          <w:bCs/>
        </w:rPr>
        <w:t>8</w:t>
      </w:r>
      <w:r w:rsidRPr="00511AB1">
        <w:rPr>
          <w:rFonts w:eastAsia="Calibri" w:cstheme="minorHAnsi"/>
          <w:b/>
          <w:bCs/>
        </w:rPr>
        <w:t xml:space="preserve"> – </w:t>
      </w:r>
      <w:r>
        <w:rPr>
          <w:rFonts w:eastAsia="Calibri" w:cstheme="minorHAnsi"/>
          <w:b/>
          <w:bCs/>
        </w:rPr>
        <w:t>Circulation of materials</w:t>
      </w:r>
    </w:p>
    <w:p w14:paraId="62F8899C" w14:textId="228E2E9F" w:rsidR="00A170BE" w:rsidRPr="00DC3343" w:rsidRDefault="00A170BE" w:rsidP="00A0781B">
      <w:pPr>
        <w:pStyle w:val="ListParagraph"/>
        <w:numPr>
          <w:ilvl w:val="0"/>
          <w:numId w:val="6"/>
        </w:numPr>
        <w:spacing w:before="120" w:after="120"/>
        <w:ind w:left="709" w:hanging="357"/>
        <w:contextualSpacing w:val="0"/>
        <w:rPr>
          <w:rFonts w:eastAsia="Calibri" w:cstheme="minorHAnsi"/>
        </w:rPr>
      </w:pPr>
      <w:r w:rsidRPr="00DC3343">
        <w:rPr>
          <w:rFonts w:eastAsia="Calibri" w:cstheme="minorHAnsi"/>
          <w:b/>
          <w:bCs/>
        </w:rPr>
        <w:t xml:space="preserve">Adopted </w:t>
      </w:r>
      <w:r w:rsidRPr="00DC3343">
        <w:rPr>
          <w:rFonts w:eastAsia="Calibri" w:cstheme="minorHAnsi"/>
        </w:rPr>
        <w:t xml:space="preserve">– </w:t>
      </w:r>
      <w:r w:rsidR="00053B30">
        <w:rPr>
          <w:rFonts w:eastAsia="Calibri" w:cstheme="minorHAnsi"/>
        </w:rPr>
        <w:t>A</w:t>
      </w:r>
      <w:r w:rsidRPr="00DC3343">
        <w:rPr>
          <w:rFonts w:eastAsia="Calibri" w:cstheme="minorHAnsi"/>
        </w:rPr>
        <w:t xml:space="preserve">ll timeframes to reference </w:t>
      </w:r>
      <w:r w:rsidR="00B87FC5">
        <w:rPr>
          <w:rFonts w:eastAsia="Calibri" w:cstheme="minorHAnsi"/>
        </w:rPr>
        <w:t>‘</w:t>
      </w:r>
      <w:r w:rsidRPr="00DC3343">
        <w:rPr>
          <w:rFonts w:eastAsia="Calibri" w:cstheme="minorHAnsi"/>
        </w:rPr>
        <w:t xml:space="preserve">working </w:t>
      </w:r>
      <w:proofErr w:type="gramStart"/>
      <w:r w:rsidRPr="00DC3343">
        <w:rPr>
          <w:rFonts w:eastAsia="Calibri" w:cstheme="minorHAnsi"/>
        </w:rPr>
        <w:t>days</w:t>
      </w:r>
      <w:r w:rsidR="00B87FC5">
        <w:rPr>
          <w:rFonts w:eastAsia="Calibri" w:cstheme="minorHAnsi"/>
        </w:rPr>
        <w:t>’</w:t>
      </w:r>
      <w:proofErr w:type="gramEnd"/>
      <w:r w:rsidR="00B87FC5" w:rsidRPr="00DC3343">
        <w:rPr>
          <w:rFonts w:eastAsia="Calibri" w:cstheme="minorHAnsi"/>
        </w:rPr>
        <w:t>.</w:t>
      </w:r>
    </w:p>
    <w:p w14:paraId="72CCE6AB" w14:textId="439F4A93" w:rsidR="00A170BE" w:rsidRPr="00DC3343" w:rsidRDefault="00A170BE" w:rsidP="00A0781B">
      <w:pPr>
        <w:pStyle w:val="ListParagraph"/>
        <w:numPr>
          <w:ilvl w:val="0"/>
          <w:numId w:val="6"/>
        </w:numPr>
        <w:spacing w:before="120" w:after="120"/>
        <w:ind w:left="709" w:hanging="357"/>
        <w:contextualSpacing w:val="0"/>
        <w:rPr>
          <w:rFonts w:eastAsia="Calibri" w:cstheme="minorHAnsi"/>
        </w:rPr>
      </w:pPr>
      <w:r w:rsidRPr="00DC3343">
        <w:rPr>
          <w:rFonts w:eastAsia="Calibri" w:cstheme="minorHAnsi"/>
          <w:b/>
          <w:bCs/>
        </w:rPr>
        <w:t>Adopted</w:t>
      </w:r>
      <w:r w:rsidRPr="00DC3343">
        <w:rPr>
          <w:rFonts w:eastAsia="Calibri" w:cstheme="minorHAnsi"/>
        </w:rPr>
        <w:t xml:space="preserve"> – </w:t>
      </w:r>
      <w:r w:rsidR="00053B30">
        <w:rPr>
          <w:rFonts w:eastAsia="Calibri" w:cstheme="minorHAnsi"/>
        </w:rPr>
        <w:t xml:space="preserve">At least </w:t>
      </w:r>
      <w:r w:rsidRPr="00DC3343">
        <w:rPr>
          <w:rFonts w:eastAsia="Calibri" w:cstheme="minorHAnsi"/>
        </w:rPr>
        <w:t xml:space="preserve">21 </w:t>
      </w:r>
      <w:r w:rsidR="005D639D">
        <w:rPr>
          <w:rFonts w:eastAsia="Calibri" w:cstheme="minorHAnsi"/>
        </w:rPr>
        <w:t xml:space="preserve">working </w:t>
      </w:r>
      <w:r w:rsidRPr="00DC3343">
        <w:rPr>
          <w:rFonts w:eastAsia="Calibri" w:cstheme="minorHAnsi"/>
        </w:rPr>
        <w:t>days for discussion and</w:t>
      </w:r>
      <w:r w:rsidR="002442AE" w:rsidRPr="00DC3343">
        <w:rPr>
          <w:rFonts w:eastAsia="Calibri" w:cstheme="minorHAnsi"/>
        </w:rPr>
        <w:t xml:space="preserve"> </w:t>
      </w:r>
      <w:r w:rsidRPr="00DC3343">
        <w:rPr>
          <w:rFonts w:eastAsia="Calibri" w:cstheme="minorHAnsi"/>
        </w:rPr>
        <w:t xml:space="preserve">decision papers to be </w:t>
      </w:r>
      <w:r w:rsidR="00133428" w:rsidRPr="00DC3343">
        <w:rPr>
          <w:rFonts w:eastAsia="Calibri" w:cstheme="minorHAnsi"/>
        </w:rPr>
        <w:t>submitted to the</w:t>
      </w:r>
      <w:r w:rsidRPr="00DC3343">
        <w:rPr>
          <w:rFonts w:eastAsia="Calibri" w:cstheme="minorHAnsi"/>
        </w:rPr>
        <w:t xml:space="preserve"> Secretariat</w:t>
      </w:r>
      <w:r w:rsidR="00133428" w:rsidRPr="00DC3343">
        <w:rPr>
          <w:rFonts w:eastAsia="Calibri" w:cstheme="minorHAnsi"/>
        </w:rPr>
        <w:t xml:space="preserve"> by ITRF </w:t>
      </w:r>
      <w:r w:rsidR="00C92901">
        <w:rPr>
          <w:rFonts w:eastAsia="Calibri" w:cstheme="minorHAnsi"/>
        </w:rPr>
        <w:t>M</w:t>
      </w:r>
      <w:r w:rsidR="00133428" w:rsidRPr="00DC3343">
        <w:rPr>
          <w:rFonts w:eastAsia="Calibri" w:cstheme="minorHAnsi"/>
        </w:rPr>
        <w:t>embers.</w:t>
      </w:r>
    </w:p>
    <w:p w14:paraId="16FACC3A" w14:textId="41510ECB" w:rsidR="00A170BE" w:rsidRPr="00DC3343" w:rsidRDefault="00A170BE" w:rsidP="00A0781B">
      <w:pPr>
        <w:pStyle w:val="ListParagraph"/>
        <w:numPr>
          <w:ilvl w:val="0"/>
          <w:numId w:val="6"/>
        </w:numPr>
        <w:spacing w:before="120" w:after="120"/>
        <w:ind w:left="709" w:hanging="357"/>
        <w:contextualSpacing w:val="0"/>
        <w:rPr>
          <w:rFonts w:eastAsia="Calibri" w:cstheme="minorHAnsi"/>
        </w:rPr>
      </w:pPr>
      <w:r w:rsidRPr="00DC3343">
        <w:rPr>
          <w:rFonts w:eastAsia="Calibri" w:cstheme="minorHAnsi"/>
          <w:b/>
          <w:bCs/>
        </w:rPr>
        <w:t>Adopted</w:t>
      </w:r>
      <w:r w:rsidRPr="00DC3343">
        <w:rPr>
          <w:rFonts w:eastAsia="Calibri" w:cstheme="minorHAnsi"/>
        </w:rPr>
        <w:t xml:space="preserve"> – </w:t>
      </w:r>
      <w:r w:rsidR="00053B30">
        <w:rPr>
          <w:rFonts w:eastAsia="Calibri" w:cstheme="minorHAnsi"/>
        </w:rPr>
        <w:t xml:space="preserve">At least </w:t>
      </w:r>
      <w:r w:rsidRPr="00DC3343">
        <w:rPr>
          <w:rFonts w:eastAsia="Calibri" w:cstheme="minorHAnsi"/>
        </w:rPr>
        <w:t xml:space="preserve">20 </w:t>
      </w:r>
      <w:r w:rsidR="00C92901">
        <w:rPr>
          <w:rFonts w:eastAsia="Calibri" w:cstheme="minorHAnsi"/>
        </w:rPr>
        <w:t xml:space="preserve">working </w:t>
      </w:r>
      <w:r w:rsidRPr="00DC3343">
        <w:rPr>
          <w:rFonts w:eastAsia="Calibri" w:cstheme="minorHAnsi"/>
        </w:rPr>
        <w:t xml:space="preserve">days for meeting papers </w:t>
      </w:r>
      <w:r w:rsidR="00133428" w:rsidRPr="00DC3343">
        <w:rPr>
          <w:rFonts w:eastAsia="Calibri" w:cstheme="minorHAnsi"/>
        </w:rPr>
        <w:t xml:space="preserve">to be circulated by the Secretariat (as per section </w:t>
      </w:r>
      <w:r w:rsidR="006B0A1D">
        <w:rPr>
          <w:rFonts w:eastAsia="Calibri" w:cstheme="minorHAnsi"/>
        </w:rPr>
        <w:t>8.2</w:t>
      </w:r>
      <w:r w:rsidR="00133428" w:rsidRPr="00DC3343">
        <w:rPr>
          <w:rFonts w:eastAsia="Calibri" w:cstheme="minorHAnsi"/>
        </w:rPr>
        <w:t>).</w:t>
      </w:r>
    </w:p>
    <w:p w14:paraId="303A6E1F" w14:textId="5DB12F64" w:rsidR="00A170BE" w:rsidRPr="00DC3343" w:rsidRDefault="00A170BE" w:rsidP="00A0781B">
      <w:pPr>
        <w:pStyle w:val="ListParagraph"/>
        <w:numPr>
          <w:ilvl w:val="0"/>
          <w:numId w:val="6"/>
        </w:numPr>
        <w:spacing w:before="120" w:after="120"/>
        <w:ind w:left="709" w:hanging="357"/>
        <w:contextualSpacing w:val="0"/>
        <w:rPr>
          <w:rFonts w:eastAsia="Calibri" w:cstheme="minorHAnsi"/>
        </w:rPr>
      </w:pPr>
      <w:r w:rsidRPr="00DC3343">
        <w:rPr>
          <w:rFonts w:eastAsia="Calibri" w:cstheme="minorHAnsi"/>
          <w:b/>
          <w:bCs/>
        </w:rPr>
        <w:t>Adopted</w:t>
      </w:r>
      <w:r w:rsidRPr="00DC3343">
        <w:rPr>
          <w:rFonts w:eastAsia="Calibri" w:cstheme="minorHAnsi"/>
        </w:rPr>
        <w:t xml:space="preserve"> –</w:t>
      </w:r>
      <w:r w:rsidR="00053B30">
        <w:rPr>
          <w:rFonts w:eastAsia="Calibri" w:cstheme="minorHAnsi"/>
        </w:rPr>
        <w:t xml:space="preserve"> D</w:t>
      </w:r>
      <w:r w:rsidRPr="00DC3343">
        <w:rPr>
          <w:rFonts w:eastAsia="Calibri" w:cstheme="minorHAnsi"/>
        </w:rPr>
        <w:t xml:space="preserve">raft minutes </w:t>
      </w:r>
      <w:r w:rsidR="00053B30">
        <w:rPr>
          <w:rFonts w:eastAsia="Calibri" w:cstheme="minorHAnsi"/>
        </w:rPr>
        <w:t xml:space="preserve">of ITRF meetings </w:t>
      </w:r>
      <w:r w:rsidR="00133428" w:rsidRPr="00DC3343">
        <w:rPr>
          <w:rFonts w:eastAsia="Calibri" w:cstheme="minorHAnsi"/>
        </w:rPr>
        <w:t xml:space="preserve">to be circulated </w:t>
      </w:r>
      <w:r w:rsidR="00053B30">
        <w:rPr>
          <w:rFonts w:eastAsia="Calibri" w:cstheme="minorHAnsi"/>
        </w:rPr>
        <w:t xml:space="preserve">within </w:t>
      </w:r>
      <w:r w:rsidR="00053B30" w:rsidRPr="00DC3343">
        <w:rPr>
          <w:rFonts w:eastAsia="Calibri" w:cstheme="minorHAnsi"/>
        </w:rPr>
        <w:t xml:space="preserve">10 </w:t>
      </w:r>
      <w:r w:rsidR="00053B30">
        <w:rPr>
          <w:rFonts w:eastAsia="Calibri" w:cstheme="minorHAnsi"/>
        </w:rPr>
        <w:t xml:space="preserve">working </w:t>
      </w:r>
      <w:r w:rsidR="00053B30" w:rsidRPr="00DC3343">
        <w:rPr>
          <w:rFonts w:eastAsia="Calibri" w:cstheme="minorHAnsi"/>
        </w:rPr>
        <w:t xml:space="preserve">days </w:t>
      </w:r>
      <w:r w:rsidR="00133428" w:rsidRPr="00DC3343">
        <w:rPr>
          <w:rFonts w:eastAsia="Calibri" w:cstheme="minorHAnsi"/>
        </w:rPr>
        <w:t xml:space="preserve">by the Secretariat </w:t>
      </w:r>
      <w:r w:rsidRPr="00DC3343">
        <w:rPr>
          <w:rFonts w:eastAsia="Calibri" w:cstheme="minorHAnsi"/>
        </w:rPr>
        <w:t xml:space="preserve">(as per section </w:t>
      </w:r>
      <w:r w:rsidR="006B0A1D">
        <w:rPr>
          <w:rFonts w:eastAsia="Calibri" w:cstheme="minorHAnsi"/>
        </w:rPr>
        <w:t>8.6</w:t>
      </w:r>
      <w:r w:rsidRPr="00DC3343">
        <w:rPr>
          <w:rFonts w:eastAsia="Calibri" w:cstheme="minorHAnsi"/>
        </w:rPr>
        <w:t>)</w:t>
      </w:r>
      <w:r w:rsidR="00133428" w:rsidRPr="00DC3343">
        <w:rPr>
          <w:rFonts w:eastAsia="Calibri" w:cstheme="minorHAnsi"/>
        </w:rPr>
        <w:t>.</w:t>
      </w:r>
    </w:p>
    <w:p w14:paraId="3A9858B1" w14:textId="520DFEF9" w:rsidR="00A170BE" w:rsidRDefault="00A170BE" w:rsidP="00A0781B">
      <w:pPr>
        <w:spacing w:before="360" w:after="120"/>
        <w:rPr>
          <w:rFonts w:eastAsia="Calibri" w:cstheme="minorHAnsi"/>
          <w:b/>
          <w:bCs/>
        </w:rPr>
      </w:pPr>
      <w:r w:rsidRPr="00511AB1">
        <w:rPr>
          <w:rFonts w:eastAsia="Calibri" w:cstheme="minorHAnsi"/>
          <w:b/>
          <w:bCs/>
        </w:rPr>
        <w:t>Appendix A –</w:t>
      </w:r>
      <w:r>
        <w:rPr>
          <w:rFonts w:eastAsia="Calibri" w:cstheme="minorHAnsi"/>
          <w:b/>
          <w:bCs/>
        </w:rPr>
        <w:t xml:space="preserve"> </w:t>
      </w:r>
      <w:r w:rsidRPr="00511AB1">
        <w:rPr>
          <w:rFonts w:eastAsia="Calibri" w:cstheme="minorHAnsi"/>
          <w:b/>
          <w:bCs/>
        </w:rPr>
        <w:t xml:space="preserve">Section </w:t>
      </w:r>
      <w:r w:rsidR="00F260F7">
        <w:rPr>
          <w:rFonts w:eastAsia="Calibri" w:cstheme="minorHAnsi"/>
          <w:b/>
          <w:bCs/>
        </w:rPr>
        <w:t>9</w:t>
      </w:r>
      <w:r w:rsidRPr="00511AB1">
        <w:rPr>
          <w:rFonts w:eastAsia="Calibri" w:cstheme="minorHAnsi"/>
          <w:b/>
          <w:bCs/>
        </w:rPr>
        <w:t xml:space="preserve"> – </w:t>
      </w:r>
      <w:r>
        <w:rPr>
          <w:rFonts w:eastAsia="Calibri" w:cstheme="minorHAnsi"/>
          <w:b/>
          <w:bCs/>
        </w:rPr>
        <w:t>Sub-committee report</w:t>
      </w:r>
    </w:p>
    <w:p w14:paraId="10DB848E" w14:textId="71229BBF" w:rsidR="00C57EED" w:rsidRPr="00DC3343" w:rsidRDefault="006615EC" w:rsidP="00C70379">
      <w:pPr>
        <w:pStyle w:val="ListParagraph"/>
        <w:numPr>
          <w:ilvl w:val="0"/>
          <w:numId w:val="9"/>
        </w:numPr>
        <w:spacing w:before="120" w:after="120"/>
        <w:ind w:left="709"/>
        <w:rPr>
          <w:rFonts w:eastAsia="Calibri" w:cstheme="minorHAnsi"/>
        </w:rPr>
      </w:pPr>
      <w:r w:rsidRPr="00DC3343">
        <w:rPr>
          <w:rFonts w:eastAsia="Calibri" w:cstheme="minorHAnsi"/>
          <w:b/>
          <w:bCs/>
        </w:rPr>
        <w:t>Noted</w:t>
      </w:r>
      <w:r w:rsidRPr="00DC3343">
        <w:rPr>
          <w:rFonts w:eastAsia="Calibri" w:cstheme="minorHAnsi"/>
        </w:rPr>
        <w:t xml:space="preserve"> – </w:t>
      </w:r>
      <w:r w:rsidR="00DA6E00">
        <w:rPr>
          <w:rFonts w:eastAsia="Calibri" w:cstheme="minorHAnsi"/>
        </w:rPr>
        <w:t>C</w:t>
      </w:r>
      <w:r w:rsidR="00DA6E00" w:rsidRPr="00DC3343">
        <w:rPr>
          <w:rFonts w:eastAsia="Calibri" w:cstheme="minorHAnsi"/>
        </w:rPr>
        <w:t xml:space="preserve">oncerns </w:t>
      </w:r>
      <w:r w:rsidR="00133428" w:rsidRPr="00DC3343">
        <w:rPr>
          <w:rFonts w:eastAsia="Calibri" w:cstheme="minorHAnsi"/>
        </w:rPr>
        <w:t>regarding use of the</w:t>
      </w:r>
      <w:r w:rsidR="006524BA" w:rsidRPr="00DC3343">
        <w:rPr>
          <w:rFonts w:eastAsia="Calibri" w:cstheme="minorHAnsi"/>
        </w:rPr>
        <w:t xml:space="preserve"> word ‘timely’</w:t>
      </w:r>
      <w:r w:rsidR="00192F2A" w:rsidRPr="00DC3343">
        <w:rPr>
          <w:rFonts w:eastAsia="Calibri" w:cstheme="minorHAnsi"/>
        </w:rPr>
        <w:t xml:space="preserve"> </w:t>
      </w:r>
      <w:r w:rsidR="00DA6E00">
        <w:rPr>
          <w:rFonts w:eastAsia="Calibri" w:cstheme="minorHAnsi"/>
        </w:rPr>
        <w:t>are</w:t>
      </w:r>
      <w:r w:rsidRPr="00DC3343">
        <w:rPr>
          <w:rFonts w:eastAsia="Calibri" w:cstheme="minorHAnsi"/>
        </w:rPr>
        <w:t xml:space="preserve"> resolved with the adopted amendment to </w:t>
      </w:r>
      <w:r w:rsidRPr="00053B30">
        <w:rPr>
          <w:rFonts w:eastAsia="Calibri" w:cstheme="minorHAnsi"/>
          <w:i/>
          <w:iCs/>
        </w:rPr>
        <w:t>Section 4</w:t>
      </w:r>
      <w:r w:rsidR="00053B30" w:rsidRPr="00053B30">
        <w:rPr>
          <w:rFonts w:eastAsia="Calibri" w:cstheme="minorHAnsi"/>
          <w:i/>
          <w:iCs/>
        </w:rPr>
        <w:t xml:space="preserve"> - Sub-committees</w:t>
      </w:r>
      <w:r w:rsidRPr="00DC3343">
        <w:rPr>
          <w:rFonts w:eastAsia="Calibri" w:cstheme="minorHAnsi"/>
        </w:rPr>
        <w:t>.</w:t>
      </w:r>
    </w:p>
    <w:p w14:paraId="09703AF7" w14:textId="77777777" w:rsidR="002D38C8" w:rsidRDefault="002D38C8">
      <w:pPr>
        <w:spacing w:after="160" w:line="259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br w:type="page"/>
      </w:r>
    </w:p>
    <w:p w14:paraId="4AA76FCA" w14:textId="01B149FE" w:rsidR="00BD1CA2" w:rsidRDefault="00BD1CA2" w:rsidP="00A0781B">
      <w:pPr>
        <w:spacing w:before="360" w:after="12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lastRenderedPageBreak/>
        <w:t>Other</w:t>
      </w:r>
    </w:p>
    <w:p w14:paraId="2E2F940A" w14:textId="272841C5" w:rsidR="002B7945" w:rsidRDefault="00BD1CA2" w:rsidP="00A0781B">
      <w:pPr>
        <w:pStyle w:val="ListParagraph"/>
        <w:numPr>
          <w:ilvl w:val="0"/>
          <w:numId w:val="6"/>
        </w:numPr>
        <w:spacing w:before="120" w:after="120"/>
        <w:ind w:left="709" w:hanging="357"/>
        <w:contextualSpacing w:val="0"/>
        <w:rPr>
          <w:rFonts w:eastAsia="Calibri" w:cstheme="minorHAnsi"/>
        </w:rPr>
      </w:pPr>
      <w:r w:rsidRPr="00BD1CA2">
        <w:rPr>
          <w:rFonts w:eastAsia="Calibri" w:cstheme="minorHAnsi"/>
          <w:b/>
          <w:bCs/>
        </w:rPr>
        <w:t>Adopted</w:t>
      </w:r>
      <w:r>
        <w:rPr>
          <w:rFonts w:eastAsia="Calibri" w:cstheme="minorHAnsi"/>
        </w:rPr>
        <w:t xml:space="preserve"> – </w:t>
      </w:r>
      <w:r w:rsidR="00C92901">
        <w:rPr>
          <w:rFonts w:eastAsia="Calibri" w:cstheme="minorHAnsi"/>
        </w:rPr>
        <w:t xml:space="preserve">The </w:t>
      </w:r>
      <w:r w:rsidR="002C7D97">
        <w:rPr>
          <w:rFonts w:eastAsia="Calibri" w:cstheme="minorHAnsi"/>
        </w:rPr>
        <w:t xml:space="preserve">acting </w:t>
      </w:r>
      <w:r w:rsidR="00C92901">
        <w:rPr>
          <w:rFonts w:eastAsia="Calibri" w:cstheme="minorHAnsi"/>
        </w:rPr>
        <w:t>Commission</w:t>
      </w:r>
      <w:r w:rsidR="00D22F5A">
        <w:rPr>
          <w:rFonts w:eastAsia="Calibri" w:cstheme="minorHAnsi"/>
        </w:rPr>
        <w:t>er</w:t>
      </w:r>
      <w:r w:rsidR="00C92901">
        <w:rPr>
          <w:rFonts w:eastAsia="Calibri" w:cstheme="minorHAnsi"/>
        </w:rPr>
        <w:t xml:space="preserve"> proposed that</w:t>
      </w:r>
      <w:r w:rsidR="00D22F5A">
        <w:rPr>
          <w:rFonts w:eastAsia="Calibri" w:cstheme="minorHAnsi"/>
        </w:rPr>
        <w:t xml:space="preserve"> a </w:t>
      </w:r>
      <w:r w:rsidR="000811E2">
        <w:rPr>
          <w:rFonts w:eastAsia="Calibri" w:cstheme="minorHAnsi"/>
        </w:rPr>
        <w:t xml:space="preserve">formal </w:t>
      </w:r>
      <w:r w:rsidR="00D22F5A">
        <w:rPr>
          <w:rFonts w:eastAsia="Calibri" w:cstheme="minorHAnsi"/>
        </w:rPr>
        <w:t>requirement for</w:t>
      </w:r>
      <w:r w:rsidR="00C92901">
        <w:rPr>
          <w:rFonts w:eastAsia="Calibri" w:cstheme="minorHAnsi"/>
        </w:rPr>
        <w:t xml:space="preserve"> declarations of </w:t>
      </w:r>
      <w:r w:rsidR="002B7945">
        <w:rPr>
          <w:rFonts w:eastAsia="Calibri" w:cstheme="minorHAnsi"/>
        </w:rPr>
        <w:t>conflict</w:t>
      </w:r>
      <w:r w:rsidR="00C92901">
        <w:rPr>
          <w:rFonts w:eastAsia="Calibri" w:cstheme="minorHAnsi"/>
        </w:rPr>
        <w:t>s</w:t>
      </w:r>
      <w:r w:rsidR="002B7945">
        <w:rPr>
          <w:rFonts w:eastAsia="Calibri" w:cstheme="minorHAnsi"/>
        </w:rPr>
        <w:t xml:space="preserve"> of interest </w:t>
      </w:r>
      <w:r w:rsidR="00D22F5A">
        <w:rPr>
          <w:rFonts w:eastAsia="Calibri" w:cstheme="minorHAnsi"/>
        </w:rPr>
        <w:t xml:space="preserve">not be included in </w:t>
      </w:r>
      <w:r w:rsidR="002B7945">
        <w:rPr>
          <w:rFonts w:eastAsia="Calibri" w:cstheme="minorHAnsi"/>
        </w:rPr>
        <w:t>the Terms of Reference</w:t>
      </w:r>
      <w:r w:rsidR="000811E2">
        <w:rPr>
          <w:rFonts w:eastAsia="Calibri" w:cstheme="minorHAnsi"/>
        </w:rPr>
        <w:t xml:space="preserve">. She agreed with a comment from one </w:t>
      </w:r>
      <w:r w:rsidR="008673AF">
        <w:rPr>
          <w:rFonts w:eastAsia="Calibri" w:cstheme="minorHAnsi"/>
        </w:rPr>
        <w:t>M</w:t>
      </w:r>
      <w:r w:rsidR="000811E2">
        <w:rPr>
          <w:rFonts w:eastAsia="Calibri" w:cstheme="minorHAnsi"/>
        </w:rPr>
        <w:t xml:space="preserve">ember </w:t>
      </w:r>
      <w:r w:rsidR="008673AF">
        <w:rPr>
          <w:rFonts w:eastAsia="Calibri" w:cstheme="minorHAnsi"/>
        </w:rPr>
        <w:t xml:space="preserve">that </w:t>
      </w:r>
      <w:r w:rsidR="000811E2">
        <w:rPr>
          <w:rFonts w:eastAsia="Calibri" w:cstheme="minorHAnsi"/>
        </w:rPr>
        <w:t xml:space="preserve">there is an expectation that </w:t>
      </w:r>
      <w:r w:rsidR="002C7D97">
        <w:rPr>
          <w:rFonts w:eastAsia="Calibri" w:cstheme="minorHAnsi"/>
        </w:rPr>
        <w:t>M</w:t>
      </w:r>
      <w:r w:rsidR="000811E2">
        <w:rPr>
          <w:rFonts w:eastAsia="Calibri" w:cstheme="minorHAnsi"/>
        </w:rPr>
        <w:t xml:space="preserve">embers of the ITRF declare any additional interests to those of the organisation they are there to represent if that is not evident to the other ITRF </w:t>
      </w:r>
      <w:r w:rsidR="008673AF">
        <w:rPr>
          <w:rFonts w:eastAsia="Calibri" w:cstheme="minorHAnsi"/>
        </w:rPr>
        <w:t>M</w:t>
      </w:r>
      <w:r w:rsidR="000811E2">
        <w:rPr>
          <w:rFonts w:eastAsia="Calibri" w:cstheme="minorHAnsi"/>
        </w:rPr>
        <w:t xml:space="preserve">embers. </w:t>
      </w:r>
      <w:r w:rsidR="006C09DD" w:rsidRPr="006C09DD">
        <w:rPr>
          <w:rFonts w:eastAsia="Calibri" w:cstheme="minorHAnsi"/>
        </w:rPr>
        <w:t xml:space="preserve">The </w:t>
      </w:r>
      <w:r w:rsidR="002C7D97">
        <w:rPr>
          <w:rFonts w:eastAsia="Calibri" w:cstheme="minorHAnsi"/>
        </w:rPr>
        <w:t>a</w:t>
      </w:r>
      <w:r w:rsidR="002C7D97" w:rsidRPr="006C09DD">
        <w:rPr>
          <w:rFonts w:eastAsia="Calibri" w:cstheme="minorHAnsi"/>
        </w:rPr>
        <w:t xml:space="preserve">cting </w:t>
      </w:r>
      <w:r w:rsidR="006C09DD" w:rsidRPr="006C09DD">
        <w:rPr>
          <w:rFonts w:eastAsia="Calibri" w:cstheme="minorHAnsi"/>
        </w:rPr>
        <w:t xml:space="preserve">Commissioner undertook to advise the Minister of the alternative views of some Members on </w:t>
      </w:r>
      <w:r w:rsidR="004332DD">
        <w:rPr>
          <w:rFonts w:eastAsia="Calibri" w:cstheme="minorHAnsi"/>
        </w:rPr>
        <w:t>this item</w:t>
      </w:r>
      <w:r w:rsidR="007172AF">
        <w:rPr>
          <w:rFonts w:eastAsia="Calibri" w:cstheme="minorHAnsi"/>
        </w:rPr>
        <w:t xml:space="preserve"> including the representative from the </w:t>
      </w:r>
      <w:r w:rsidR="007172AF" w:rsidRPr="007172AF">
        <w:rPr>
          <w:rFonts w:eastAsia="Calibri" w:cstheme="minorHAnsi"/>
        </w:rPr>
        <w:t>Australian Chamber of Commerce and Industry</w:t>
      </w:r>
      <w:r w:rsidR="007172AF">
        <w:rPr>
          <w:rFonts w:eastAsia="Calibri" w:cstheme="minorHAnsi"/>
        </w:rPr>
        <w:t xml:space="preserve"> </w:t>
      </w:r>
      <w:r w:rsidR="00C201D6">
        <w:rPr>
          <w:rFonts w:eastAsia="Calibri" w:cstheme="minorHAnsi"/>
        </w:rPr>
        <w:t>who</w:t>
      </w:r>
      <w:r w:rsidR="007172AF">
        <w:rPr>
          <w:rFonts w:eastAsia="Calibri" w:cstheme="minorHAnsi"/>
        </w:rPr>
        <w:t xml:space="preserve"> strongly supports </w:t>
      </w:r>
      <w:r w:rsidR="007172AF" w:rsidRPr="007172AF">
        <w:rPr>
          <w:rFonts w:eastAsia="Calibri" w:cstheme="minorHAnsi"/>
        </w:rPr>
        <w:t xml:space="preserve">all conflicts of interest being declared by </w:t>
      </w:r>
      <w:r w:rsidR="002D38C8">
        <w:rPr>
          <w:rFonts w:eastAsia="Calibri" w:cstheme="minorHAnsi"/>
        </w:rPr>
        <w:t>M</w:t>
      </w:r>
      <w:r w:rsidR="007172AF" w:rsidRPr="007172AF">
        <w:rPr>
          <w:rFonts w:eastAsia="Calibri" w:cstheme="minorHAnsi"/>
        </w:rPr>
        <w:t>embers</w:t>
      </w:r>
      <w:r w:rsidR="007172AF">
        <w:rPr>
          <w:rFonts w:eastAsia="Calibri" w:cstheme="minorHAnsi"/>
        </w:rPr>
        <w:t xml:space="preserve"> including any instances where an ITRF Member has a matter before the commission.</w:t>
      </w:r>
    </w:p>
    <w:p w14:paraId="3261D8EB" w14:textId="1B1501E0" w:rsidR="00C57EED" w:rsidRDefault="00D22F5A" w:rsidP="00A0781B">
      <w:pPr>
        <w:spacing w:before="120" w:after="120"/>
        <w:rPr>
          <w:rFonts w:eastAsia="Calibri" w:cstheme="minorHAnsi"/>
        </w:rPr>
      </w:pPr>
      <w:r>
        <w:rPr>
          <w:rFonts w:eastAsia="Calibri" w:cstheme="minorHAnsi"/>
        </w:rPr>
        <w:t>T</w:t>
      </w:r>
      <w:r w:rsidR="00C57EED">
        <w:rPr>
          <w:rFonts w:eastAsia="Calibri" w:cstheme="minorHAnsi"/>
        </w:rPr>
        <w:t xml:space="preserve">he </w:t>
      </w:r>
      <w:r w:rsidR="002C7D97">
        <w:rPr>
          <w:rFonts w:eastAsia="Calibri" w:cstheme="minorHAnsi"/>
        </w:rPr>
        <w:t xml:space="preserve">acting </w:t>
      </w:r>
      <w:r w:rsidR="00C57EED">
        <w:rPr>
          <w:rFonts w:eastAsia="Calibri" w:cstheme="minorHAnsi"/>
        </w:rPr>
        <w:t xml:space="preserve">Commissioner confirmed </w:t>
      </w:r>
      <w:r w:rsidR="000811E2">
        <w:rPr>
          <w:rFonts w:eastAsia="Calibri" w:cstheme="minorHAnsi"/>
        </w:rPr>
        <w:t xml:space="preserve">with Members </w:t>
      </w:r>
      <w:r w:rsidR="00F92778">
        <w:rPr>
          <w:rFonts w:eastAsia="Calibri" w:cstheme="minorHAnsi"/>
        </w:rPr>
        <w:t xml:space="preserve">that </w:t>
      </w:r>
      <w:r w:rsidR="00C57EED">
        <w:rPr>
          <w:rFonts w:eastAsia="Calibri" w:cstheme="minorHAnsi"/>
        </w:rPr>
        <w:t>all</w:t>
      </w:r>
      <w:r>
        <w:rPr>
          <w:rFonts w:eastAsia="Calibri" w:cstheme="minorHAnsi"/>
        </w:rPr>
        <w:t xml:space="preserve"> items of interest to Members </w:t>
      </w:r>
      <w:r w:rsidR="00C57EED">
        <w:rPr>
          <w:rFonts w:eastAsia="Calibri" w:cstheme="minorHAnsi"/>
        </w:rPr>
        <w:t>had been discussed.</w:t>
      </w:r>
    </w:p>
    <w:p w14:paraId="038067C4" w14:textId="77777777" w:rsidR="006615EC" w:rsidRDefault="006615EC" w:rsidP="00A170BE">
      <w:pPr>
        <w:rPr>
          <w:rFonts w:eastAsia="Calibri" w:cstheme="minorHAnsi"/>
        </w:rPr>
      </w:pPr>
    </w:p>
    <w:p w14:paraId="374E2781" w14:textId="0FA3E214" w:rsidR="00147ACB" w:rsidRPr="00C57EED" w:rsidRDefault="00C57EED" w:rsidP="00C57EED">
      <w:pPr>
        <w:pStyle w:val="Heading1"/>
        <w:rPr>
          <w:rFonts w:asciiTheme="minorHAnsi" w:hAnsiTheme="minorHAnsi" w:cstheme="minorHAnsi"/>
        </w:rPr>
      </w:pPr>
      <w:r w:rsidRPr="008F5E49">
        <w:rPr>
          <w:rFonts w:asciiTheme="minorHAnsi" w:hAnsiTheme="minorHAnsi" w:cstheme="minorHAnsi"/>
        </w:rPr>
        <w:t xml:space="preserve">Agenda Item </w:t>
      </w:r>
      <w:r>
        <w:rPr>
          <w:rFonts w:asciiTheme="minorHAnsi" w:hAnsiTheme="minorHAnsi" w:cstheme="minorHAnsi"/>
        </w:rPr>
        <w:t>3</w:t>
      </w:r>
      <w:r w:rsidRPr="008F5E4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Next steps</w:t>
      </w:r>
    </w:p>
    <w:p w14:paraId="66CE0598" w14:textId="77FEA365" w:rsidR="00147ACB" w:rsidRDefault="00147ACB" w:rsidP="00A170BE">
      <w:pPr>
        <w:rPr>
          <w:rFonts w:eastAsia="Calibri" w:cstheme="minorHAnsi"/>
        </w:rPr>
      </w:pPr>
      <w:r>
        <w:rPr>
          <w:rFonts w:eastAsia="Calibri" w:cstheme="minorHAnsi"/>
        </w:rPr>
        <w:t xml:space="preserve">The </w:t>
      </w:r>
      <w:r w:rsidR="00B87FC5">
        <w:rPr>
          <w:rFonts w:eastAsia="Calibri" w:cstheme="minorHAnsi"/>
        </w:rPr>
        <w:t xml:space="preserve">acting </w:t>
      </w:r>
      <w:r>
        <w:rPr>
          <w:rFonts w:eastAsia="Calibri" w:cstheme="minorHAnsi"/>
        </w:rPr>
        <w:t>Commissioner</w:t>
      </w:r>
      <w:r w:rsidR="00D22F5A">
        <w:rPr>
          <w:rFonts w:eastAsia="Calibri" w:cstheme="minorHAnsi"/>
        </w:rPr>
        <w:t xml:space="preserve"> </w:t>
      </w:r>
      <w:r w:rsidR="000A5170">
        <w:rPr>
          <w:rFonts w:eastAsia="Calibri" w:cstheme="minorHAnsi"/>
        </w:rPr>
        <w:t>noted</w:t>
      </w:r>
      <w:r w:rsidR="00D22F5A">
        <w:rPr>
          <w:rFonts w:eastAsia="Calibri" w:cstheme="minorHAnsi"/>
        </w:rPr>
        <w:t xml:space="preserve"> </w:t>
      </w:r>
      <w:r w:rsidR="00962FCD">
        <w:rPr>
          <w:rFonts w:eastAsia="Calibri" w:cstheme="minorHAnsi"/>
        </w:rPr>
        <w:t xml:space="preserve">that </w:t>
      </w:r>
      <w:r w:rsidR="00D22F5A">
        <w:rPr>
          <w:rFonts w:eastAsia="Calibri" w:cstheme="minorHAnsi"/>
        </w:rPr>
        <w:t>the next</w:t>
      </w:r>
      <w:r>
        <w:rPr>
          <w:rFonts w:eastAsia="Calibri" w:cstheme="minorHAnsi"/>
        </w:rPr>
        <w:t xml:space="preserve"> steps </w:t>
      </w:r>
      <w:r w:rsidR="00694BA7">
        <w:rPr>
          <w:rFonts w:eastAsia="Calibri" w:cstheme="minorHAnsi"/>
        </w:rPr>
        <w:t>to</w:t>
      </w:r>
      <w:r>
        <w:rPr>
          <w:rFonts w:eastAsia="Calibri" w:cstheme="minorHAnsi"/>
        </w:rPr>
        <w:t xml:space="preserve"> progress the </w:t>
      </w:r>
      <w:r w:rsidR="00133428">
        <w:rPr>
          <w:rFonts w:eastAsia="Calibri" w:cstheme="minorHAnsi"/>
        </w:rPr>
        <w:t>Terms of Reference</w:t>
      </w:r>
      <w:r>
        <w:rPr>
          <w:rFonts w:eastAsia="Calibri" w:cstheme="minorHAnsi"/>
        </w:rPr>
        <w:t xml:space="preserve"> to the Minister</w:t>
      </w:r>
      <w:r w:rsidR="00D22F5A">
        <w:rPr>
          <w:rFonts w:eastAsia="Calibri" w:cstheme="minorHAnsi"/>
        </w:rPr>
        <w:t xml:space="preserve"> were</w:t>
      </w:r>
      <w:r>
        <w:rPr>
          <w:rFonts w:eastAsia="Calibri" w:cstheme="minorHAnsi"/>
        </w:rPr>
        <w:t>:</w:t>
      </w:r>
    </w:p>
    <w:p w14:paraId="7295DC1B" w14:textId="67460E68" w:rsidR="00147ACB" w:rsidRDefault="00F92778" w:rsidP="00A0781B">
      <w:pPr>
        <w:pStyle w:val="ListParagraph"/>
        <w:numPr>
          <w:ilvl w:val="0"/>
          <w:numId w:val="3"/>
        </w:numPr>
        <w:spacing w:before="120" w:after="120"/>
        <w:ind w:left="714" w:hanging="357"/>
        <w:contextualSpacing w:val="0"/>
        <w:rPr>
          <w:rFonts w:eastAsia="Calibri" w:cstheme="minorHAnsi"/>
        </w:rPr>
      </w:pPr>
      <w:bookmarkStart w:id="2" w:name="_Hlk171499982"/>
      <w:r>
        <w:rPr>
          <w:rFonts w:eastAsia="Calibri" w:cstheme="minorHAnsi"/>
        </w:rPr>
        <w:t xml:space="preserve">A </w:t>
      </w:r>
      <w:r w:rsidR="00147ACB">
        <w:rPr>
          <w:rFonts w:eastAsia="Calibri" w:cstheme="minorHAnsi"/>
        </w:rPr>
        <w:t xml:space="preserve">revised </w:t>
      </w:r>
      <w:r>
        <w:rPr>
          <w:rFonts w:eastAsia="Calibri" w:cstheme="minorHAnsi"/>
        </w:rPr>
        <w:t>Terms of Reference will</w:t>
      </w:r>
      <w:r w:rsidR="00147ACB">
        <w:rPr>
          <w:rFonts w:eastAsia="Calibri" w:cstheme="minorHAnsi"/>
        </w:rPr>
        <w:t xml:space="preserve"> be </w:t>
      </w:r>
      <w:r w:rsidR="00694BA7">
        <w:rPr>
          <w:rFonts w:eastAsia="Calibri" w:cstheme="minorHAnsi"/>
        </w:rPr>
        <w:t>sent</w:t>
      </w:r>
      <w:r w:rsidR="00147ACB">
        <w:rPr>
          <w:rFonts w:eastAsia="Calibri" w:cstheme="minorHAnsi"/>
        </w:rPr>
        <w:t xml:space="preserve"> to </w:t>
      </w:r>
      <w:r>
        <w:rPr>
          <w:rFonts w:eastAsia="Calibri" w:cstheme="minorHAnsi"/>
        </w:rPr>
        <w:t>M</w:t>
      </w:r>
      <w:r w:rsidR="00147ACB">
        <w:rPr>
          <w:rFonts w:eastAsia="Calibri" w:cstheme="minorHAnsi"/>
        </w:rPr>
        <w:t>embers</w:t>
      </w:r>
      <w:r>
        <w:rPr>
          <w:rFonts w:eastAsia="Calibri" w:cstheme="minorHAnsi"/>
        </w:rPr>
        <w:t xml:space="preserve"> </w:t>
      </w:r>
      <w:r w:rsidR="00694BA7">
        <w:rPr>
          <w:rFonts w:eastAsia="Calibri" w:cstheme="minorHAnsi"/>
        </w:rPr>
        <w:t>in</w:t>
      </w:r>
      <w:r>
        <w:rPr>
          <w:rFonts w:eastAsia="Calibri" w:cstheme="minorHAnsi"/>
        </w:rPr>
        <w:t xml:space="preserve"> the week </w:t>
      </w:r>
      <w:r w:rsidR="00694BA7">
        <w:rPr>
          <w:rFonts w:eastAsia="Calibri" w:cstheme="minorHAnsi"/>
        </w:rPr>
        <w:t>beginning</w:t>
      </w:r>
      <w:r>
        <w:rPr>
          <w:rFonts w:eastAsia="Calibri" w:cstheme="minorHAnsi"/>
        </w:rPr>
        <w:t xml:space="preserve"> 15 July 2024</w:t>
      </w:r>
      <w:r w:rsidR="00147ACB">
        <w:rPr>
          <w:rFonts w:eastAsia="Calibri" w:cstheme="minorHAnsi"/>
        </w:rPr>
        <w:t>.</w:t>
      </w:r>
    </w:p>
    <w:bookmarkEnd w:id="2"/>
    <w:p w14:paraId="7951B1E2" w14:textId="1FC1601D" w:rsidR="00147ACB" w:rsidRDefault="00147ACB" w:rsidP="00A0781B">
      <w:pPr>
        <w:pStyle w:val="ListParagraph"/>
        <w:numPr>
          <w:ilvl w:val="0"/>
          <w:numId w:val="3"/>
        </w:numPr>
        <w:spacing w:before="120" w:after="120"/>
        <w:ind w:left="714" w:hanging="357"/>
        <w:contextualSpacing w:val="0"/>
        <w:rPr>
          <w:rFonts w:eastAsia="Calibri" w:cstheme="minorHAnsi"/>
        </w:rPr>
      </w:pPr>
      <w:r>
        <w:rPr>
          <w:rFonts w:eastAsia="Calibri" w:cstheme="minorHAnsi"/>
        </w:rPr>
        <w:t>Members will have 5 working days to provide</w:t>
      </w:r>
      <w:r w:rsidR="000842E1">
        <w:rPr>
          <w:rFonts w:eastAsia="Calibri" w:cstheme="minorHAnsi"/>
        </w:rPr>
        <w:t xml:space="preserve"> any additional</w:t>
      </w:r>
      <w:r>
        <w:rPr>
          <w:rFonts w:eastAsia="Calibri" w:cstheme="minorHAnsi"/>
        </w:rPr>
        <w:t xml:space="preserve"> comment.</w:t>
      </w:r>
    </w:p>
    <w:p w14:paraId="3BF1086E" w14:textId="6120FB65" w:rsidR="00147ACB" w:rsidRPr="00147ACB" w:rsidRDefault="00F92778" w:rsidP="00A0781B">
      <w:pPr>
        <w:pStyle w:val="ListParagraph"/>
        <w:numPr>
          <w:ilvl w:val="0"/>
          <w:numId w:val="3"/>
        </w:numPr>
        <w:spacing w:before="120" w:after="120"/>
        <w:ind w:left="714" w:hanging="357"/>
        <w:contextualSpacing w:val="0"/>
        <w:rPr>
          <w:rFonts w:eastAsia="Calibri" w:cstheme="minorHAnsi"/>
        </w:rPr>
      </w:pPr>
      <w:r>
        <w:rPr>
          <w:rFonts w:eastAsia="Calibri" w:cstheme="minorHAnsi"/>
        </w:rPr>
        <w:t xml:space="preserve">The </w:t>
      </w:r>
      <w:r w:rsidR="00B87FC5">
        <w:rPr>
          <w:rFonts w:eastAsia="Calibri" w:cstheme="minorHAnsi"/>
        </w:rPr>
        <w:t xml:space="preserve">acting </w:t>
      </w:r>
      <w:r w:rsidR="00147ACB">
        <w:rPr>
          <w:rFonts w:eastAsia="Calibri" w:cstheme="minorHAnsi"/>
        </w:rPr>
        <w:t xml:space="preserve">Commissioner will then progress </w:t>
      </w:r>
      <w:r w:rsidR="00133428">
        <w:rPr>
          <w:rFonts w:eastAsia="Calibri" w:cstheme="minorHAnsi"/>
        </w:rPr>
        <w:t xml:space="preserve">the </w:t>
      </w:r>
      <w:r w:rsidR="00147ACB">
        <w:rPr>
          <w:rFonts w:eastAsia="Calibri" w:cstheme="minorHAnsi"/>
        </w:rPr>
        <w:t xml:space="preserve">final </w:t>
      </w:r>
      <w:bookmarkStart w:id="3" w:name="_Hlk170833868"/>
      <w:r w:rsidR="00133428">
        <w:rPr>
          <w:rFonts w:eastAsia="Calibri" w:cstheme="minorHAnsi"/>
        </w:rPr>
        <w:t xml:space="preserve">Terms of Reference </w:t>
      </w:r>
      <w:bookmarkEnd w:id="3"/>
      <w:r w:rsidR="00133428">
        <w:rPr>
          <w:rFonts w:eastAsia="Calibri" w:cstheme="minorHAnsi"/>
        </w:rPr>
        <w:t>(</w:t>
      </w:r>
      <w:r w:rsidR="00154981">
        <w:rPr>
          <w:rFonts w:eastAsia="Calibri" w:cstheme="minorHAnsi"/>
        </w:rPr>
        <w:t>including</w:t>
      </w:r>
      <w:r w:rsidR="00133428">
        <w:rPr>
          <w:rFonts w:eastAsia="Calibri" w:cstheme="minorHAnsi"/>
        </w:rPr>
        <w:t xml:space="preserve"> any alternative views)</w:t>
      </w:r>
      <w:r w:rsidR="00147ACB">
        <w:rPr>
          <w:rFonts w:eastAsia="Calibri" w:cstheme="minorHAnsi"/>
        </w:rPr>
        <w:t xml:space="preserve"> to the Minister</w:t>
      </w:r>
      <w:r w:rsidR="00133428">
        <w:rPr>
          <w:rFonts w:eastAsia="Calibri" w:cstheme="minorHAnsi"/>
        </w:rPr>
        <w:t xml:space="preserve"> </w:t>
      </w:r>
      <w:r w:rsidR="00BB58F8">
        <w:rPr>
          <w:rFonts w:eastAsia="Calibri" w:cstheme="minorHAnsi"/>
        </w:rPr>
        <w:t>for</w:t>
      </w:r>
      <w:r w:rsidR="002442AE">
        <w:rPr>
          <w:rFonts w:eastAsia="Calibri" w:cstheme="minorHAnsi"/>
        </w:rPr>
        <w:t xml:space="preserve"> Industry and Science</w:t>
      </w:r>
      <w:r w:rsidR="00147ACB">
        <w:rPr>
          <w:rFonts w:eastAsia="Calibri" w:cstheme="minorHAnsi"/>
        </w:rPr>
        <w:t>.</w:t>
      </w:r>
    </w:p>
    <w:p w14:paraId="0EF99737" w14:textId="77777777" w:rsidR="00A170BE" w:rsidRDefault="00A170BE" w:rsidP="00F126E8"/>
    <w:p w14:paraId="282A18BB" w14:textId="3062FC71" w:rsidR="00133428" w:rsidRPr="00D20029" w:rsidRDefault="00BB58F8" w:rsidP="00694BA7">
      <w:pPr>
        <w:rPr>
          <w:b/>
          <w:bCs/>
        </w:rPr>
      </w:pPr>
      <w:r>
        <w:t xml:space="preserve">The </w:t>
      </w:r>
      <w:r w:rsidR="00B87FC5">
        <w:t xml:space="preserve">acting </w:t>
      </w:r>
      <w:r>
        <w:t>Commissioner thank</w:t>
      </w:r>
      <w:r w:rsidR="00AE1BD5">
        <w:t>ed</w:t>
      </w:r>
      <w:r>
        <w:t xml:space="preserve"> Members for their attendance and close</w:t>
      </w:r>
      <w:r w:rsidR="00AE1BD5">
        <w:t>d</w:t>
      </w:r>
      <w:r>
        <w:t xml:space="preserve"> the meeting.</w:t>
      </w:r>
      <w:r w:rsidR="00494AF1">
        <w:rPr>
          <w:b/>
          <w:bCs/>
        </w:rPr>
        <w:br w:type="page"/>
      </w:r>
    </w:p>
    <w:tbl>
      <w:tblPr>
        <w:tblStyle w:val="ListTable3-Accent1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133428" w:rsidRPr="00E33835" w14:paraId="5E2F854F" w14:textId="77777777" w:rsidTr="00D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41FE91E3" w14:textId="44B13223" w:rsidR="00133428" w:rsidRPr="000204B9" w:rsidRDefault="00D20029" w:rsidP="00E82F81">
            <w:pPr>
              <w:rPr>
                <w:b w:val="0"/>
                <w:bCs w:val="0"/>
              </w:rPr>
            </w:pPr>
            <w:r w:rsidRPr="004A7D27">
              <w:lastRenderedPageBreak/>
              <w:t>Anti-Dumping Commission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D20029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(v</w:t>
            </w:r>
            <w:r w:rsidR="00133428" w:rsidRPr="00D20029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irtual </w:t>
            </w:r>
            <w:r w:rsidRPr="00D20029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attendance)</w:t>
            </w:r>
          </w:p>
        </w:tc>
      </w:tr>
      <w:tr w:rsidR="00133428" w:rsidRPr="00B34230" w14:paraId="6FF362B2" w14:textId="77777777" w:rsidTr="00D20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1A0B5A" w14:textId="20128E9B" w:rsidR="00133428" w:rsidRPr="00D76162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D76162">
              <w:rPr>
                <w:b w:val="0"/>
                <w:bCs w:val="0"/>
              </w:rPr>
              <w:t xml:space="preserve">Isolde Lueckenhausen, </w:t>
            </w:r>
            <w:r w:rsidR="00B87FC5">
              <w:rPr>
                <w:b w:val="0"/>
                <w:bCs w:val="0"/>
              </w:rPr>
              <w:t>a</w:t>
            </w:r>
            <w:r w:rsidR="00B87FC5" w:rsidRPr="00D76162">
              <w:rPr>
                <w:b w:val="0"/>
                <w:bCs w:val="0"/>
              </w:rPr>
              <w:t xml:space="preserve">cting </w:t>
            </w:r>
            <w:r w:rsidRPr="00D76162">
              <w:rPr>
                <w:b w:val="0"/>
                <w:bCs w:val="0"/>
              </w:rPr>
              <w:t>Commissioner</w:t>
            </w:r>
          </w:p>
          <w:p w14:paraId="62326BDC" w14:textId="7C0D34E3" w:rsidR="00133428" w:rsidRPr="00D76162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D76162">
              <w:rPr>
                <w:b w:val="0"/>
                <w:bCs w:val="0"/>
              </w:rPr>
              <w:t xml:space="preserve">Matthew Williams, </w:t>
            </w:r>
            <w:r w:rsidR="00B87FC5">
              <w:rPr>
                <w:rFonts w:cstheme="minorHAnsi"/>
                <w:b w:val="0"/>
                <w:bCs w:val="0"/>
              </w:rPr>
              <w:t>a</w:t>
            </w:r>
            <w:r w:rsidR="00B87FC5" w:rsidRPr="00D76162">
              <w:rPr>
                <w:rFonts w:cstheme="minorHAnsi"/>
                <w:b w:val="0"/>
                <w:bCs w:val="0"/>
              </w:rPr>
              <w:t xml:space="preserve">cting </w:t>
            </w:r>
            <w:r w:rsidRPr="00D76162">
              <w:rPr>
                <w:rFonts w:cstheme="minorHAnsi"/>
                <w:b w:val="0"/>
                <w:bCs w:val="0"/>
              </w:rPr>
              <w:t>Deputy Commissioner, Investigations</w:t>
            </w:r>
          </w:p>
          <w:p w14:paraId="4360D3E7" w14:textId="0F2B8B34" w:rsidR="00133428" w:rsidRPr="00D76162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D76162">
              <w:rPr>
                <w:rFonts w:cstheme="minorHAnsi"/>
                <w:b w:val="0"/>
                <w:bCs w:val="0"/>
              </w:rPr>
              <w:t xml:space="preserve">Esther Harvey, </w:t>
            </w:r>
            <w:r w:rsidR="00B87FC5">
              <w:rPr>
                <w:rFonts w:cstheme="minorHAnsi"/>
                <w:b w:val="0"/>
                <w:bCs w:val="0"/>
              </w:rPr>
              <w:t>a</w:t>
            </w:r>
            <w:r w:rsidR="00B87FC5" w:rsidRPr="00D76162">
              <w:rPr>
                <w:rFonts w:cstheme="minorHAnsi"/>
                <w:b w:val="0"/>
                <w:bCs w:val="0"/>
              </w:rPr>
              <w:t xml:space="preserve">cting </w:t>
            </w:r>
            <w:r w:rsidRPr="00D76162">
              <w:rPr>
                <w:rFonts w:cstheme="minorHAnsi"/>
                <w:b w:val="0"/>
                <w:bCs w:val="0"/>
              </w:rPr>
              <w:t>Deputy Commissioner, Strategy and Operations</w:t>
            </w:r>
          </w:p>
          <w:p w14:paraId="74AE1DDB" w14:textId="522099C9" w:rsidR="00133428" w:rsidRPr="00D76162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D76162">
              <w:rPr>
                <w:b w:val="0"/>
                <w:bCs w:val="0"/>
              </w:rPr>
              <w:t xml:space="preserve">Simon Brinsmead, </w:t>
            </w:r>
            <w:r w:rsidR="00B87FC5">
              <w:rPr>
                <w:b w:val="0"/>
                <w:bCs w:val="0"/>
              </w:rPr>
              <w:t>a</w:t>
            </w:r>
            <w:r w:rsidR="00B87FC5" w:rsidRPr="00D76162">
              <w:rPr>
                <w:b w:val="0"/>
                <w:bCs w:val="0"/>
              </w:rPr>
              <w:t xml:space="preserve">cting </w:t>
            </w:r>
            <w:r w:rsidRPr="00D76162">
              <w:rPr>
                <w:b w:val="0"/>
                <w:bCs w:val="0"/>
              </w:rPr>
              <w:t>Deputy Commissioner, Legal and Dispute Settlement</w:t>
            </w:r>
          </w:p>
          <w:p w14:paraId="56BC4BB3" w14:textId="77777777" w:rsidR="00133428" w:rsidRPr="00D76162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D76162">
              <w:rPr>
                <w:rFonts w:cstheme="minorHAnsi"/>
                <w:b w:val="0"/>
                <w:bCs w:val="0"/>
              </w:rPr>
              <w:t>Jason Fitts, Director, Outreach and Engagement</w:t>
            </w:r>
          </w:p>
          <w:p w14:paraId="10B0F6A9" w14:textId="0A8F4F0C" w:rsidR="00133428" w:rsidRPr="00D76162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D76162">
              <w:rPr>
                <w:rFonts w:cstheme="minorHAnsi"/>
                <w:b w:val="0"/>
                <w:bCs w:val="0"/>
              </w:rPr>
              <w:t xml:space="preserve">Sarah Salter, </w:t>
            </w:r>
            <w:r w:rsidR="00B87FC5">
              <w:rPr>
                <w:rFonts w:cstheme="minorHAnsi"/>
                <w:b w:val="0"/>
                <w:bCs w:val="0"/>
              </w:rPr>
              <w:t>a</w:t>
            </w:r>
            <w:r w:rsidR="00B87FC5" w:rsidRPr="00D76162">
              <w:rPr>
                <w:rFonts w:cstheme="minorHAnsi"/>
                <w:b w:val="0"/>
                <w:bCs w:val="0"/>
              </w:rPr>
              <w:t xml:space="preserve">cting </w:t>
            </w:r>
            <w:r w:rsidRPr="00D76162">
              <w:rPr>
                <w:rFonts w:cstheme="minorHAnsi"/>
                <w:b w:val="0"/>
                <w:bCs w:val="0"/>
              </w:rPr>
              <w:t>Assistant Director, Outreach and Engagement</w:t>
            </w:r>
            <w:r w:rsidRPr="00D76162">
              <w:rPr>
                <w:rFonts w:cstheme="minorHAnsi"/>
              </w:rPr>
              <w:t xml:space="preserve"> </w:t>
            </w:r>
          </w:p>
        </w:tc>
      </w:tr>
    </w:tbl>
    <w:p w14:paraId="671E346F" w14:textId="13CFA1DD" w:rsidR="00133428" w:rsidRPr="00D20029" w:rsidRDefault="00133428" w:rsidP="00D20029">
      <w:pPr>
        <w:rPr>
          <w:b/>
          <w:bCs/>
          <w:sz w:val="12"/>
          <w:szCs w:val="12"/>
        </w:rPr>
      </w:pPr>
    </w:p>
    <w:tbl>
      <w:tblPr>
        <w:tblStyle w:val="ListTable3-Accent1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133428" w14:paraId="64E735F2" w14:textId="77777777" w:rsidTr="00D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0CCE6436" w14:textId="335C3319" w:rsidR="00133428" w:rsidRDefault="00D20029" w:rsidP="00E82F81">
            <w:r w:rsidRPr="00AC6596">
              <w:t>Industry Members</w:t>
            </w:r>
            <w:r>
              <w:t xml:space="preserve"> </w:t>
            </w:r>
            <w:r w:rsidRPr="00D20029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(virtual attendance)</w:t>
            </w:r>
          </w:p>
        </w:tc>
      </w:tr>
      <w:tr w:rsidR="00133428" w:rsidRPr="00B34230" w14:paraId="6F4F71B3" w14:textId="77777777" w:rsidTr="00D20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0D65F3" w14:textId="77777777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 xml:space="preserve">Andrew Hudson, Lawyer, Rigby Cooke Lawyers (on behalf of the Food and Beverage Importers Association) </w:t>
            </w:r>
          </w:p>
          <w:p w14:paraId="3E0CD75F" w14:textId="77777777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Bernard Lee, Director, Policy and Regulation, Chemistry Australia</w:t>
            </w:r>
          </w:p>
          <w:p w14:paraId="0DAF24EB" w14:textId="77777777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Brad Leonard, Manager Border and Biosecurity, International Forwarders and Customs Brokers Association of Australia</w:t>
            </w:r>
          </w:p>
          <w:p w14:paraId="1327F0D7" w14:textId="321C468C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 xml:space="preserve">Chad Uphill, Director, Chad Uphill Trade Advisory </w:t>
            </w:r>
            <w:r w:rsidRPr="00D20029">
              <w:rPr>
                <w:b w:val="0"/>
                <w:bCs w:val="0"/>
              </w:rPr>
              <w:t>(on behalf of Capral</w:t>
            </w:r>
            <w:r w:rsidR="00E84BAA">
              <w:rPr>
                <w:b w:val="0"/>
                <w:bCs w:val="0"/>
              </w:rPr>
              <w:t xml:space="preserve"> Limited</w:t>
            </w:r>
            <w:r w:rsidRPr="00D20029">
              <w:rPr>
                <w:b w:val="0"/>
                <w:bCs w:val="0"/>
              </w:rPr>
              <w:t>)</w:t>
            </w:r>
          </w:p>
          <w:p w14:paraId="7E4F14AF" w14:textId="77777777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 xml:space="preserve">Chris Barnes, Head of Business Development and International Affairs, Australian Chamber of </w:t>
            </w:r>
            <w:proofErr w:type="gramStart"/>
            <w:r w:rsidRPr="003C322C">
              <w:rPr>
                <w:b w:val="0"/>
                <w:bCs w:val="0"/>
              </w:rPr>
              <w:t>Commerce</w:t>
            </w:r>
            <w:proofErr w:type="gramEnd"/>
            <w:r w:rsidRPr="003C322C">
              <w:rPr>
                <w:b w:val="0"/>
                <w:bCs w:val="0"/>
              </w:rPr>
              <w:t xml:space="preserve"> and Industry</w:t>
            </w:r>
          </w:p>
          <w:p w14:paraId="3AD980B3" w14:textId="77777777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Marc Cousins, Manager, International Trade Affairs, BlueScope Steel</w:t>
            </w:r>
          </w:p>
          <w:p w14:paraId="452B2812" w14:textId="77777777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David Buchanan, Chief Executive Officer, Australian Steel Association</w:t>
            </w:r>
          </w:p>
          <w:p w14:paraId="23AD1A99" w14:textId="53495076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  <w:lang w:val="en-US"/>
              </w:rPr>
              <w:t>Faisal Main, Senior Manager Commercial,</w:t>
            </w:r>
            <w:r w:rsidR="00BB58F8">
              <w:rPr>
                <w:b w:val="0"/>
                <w:bCs w:val="0"/>
                <w:lang w:val="en-US"/>
              </w:rPr>
              <w:t xml:space="preserve"> </w:t>
            </w:r>
            <w:r w:rsidRPr="003C322C">
              <w:rPr>
                <w:b w:val="0"/>
                <w:bCs w:val="0"/>
                <w:lang w:val="en-US"/>
              </w:rPr>
              <w:t>Orica (</w:t>
            </w:r>
            <w:r w:rsidR="00BB58F8">
              <w:rPr>
                <w:b w:val="0"/>
                <w:bCs w:val="0"/>
                <w:lang w:val="en-US"/>
              </w:rPr>
              <w:t>O</w:t>
            </w:r>
            <w:r w:rsidRPr="003C322C">
              <w:rPr>
                <w:b w:val="0"/>
                <w:bCs w:val="0"/>
                <w:lang w:val="en-US"/>
              </w:rPr>
              <w:t>bserver)</w:t>
            </w:r>
          </w:p>
          <w:p w14:paraId="42E2342D" w14:textId="77777777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Luke Hawkins, Divisional General Manager, Capral Limited</w:t>
            </w:r>
          </w:p>
          <w:p w14:paraId="7AF87EF5" w14:textId="77777777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Louise McGrath, Head of Industry Development and Policy, Australian Industry Group</w:t>
            </w:r>
          </w:p>
          <w:p w14:paraId="2A2B6A53" w14:textId="77777777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Malcolm Hart, Senior Manager Global Projects, Orica</w:t>
            </w:r>
          </w:p>
          <w:p w14:paraId="5E9ACC97" w14:textId="77777777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Matt Condon, Manager Trade Development, Infrabuild Australia</w:t>
            </w:r>
          </w:p>
          <w:p w14:paraId="73A79FE8" w14:textId="77777777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Richard Hyett, Director of Policy, Australian Forest Products Association</w:t>
            </w:r>
          </w:p>
          <w:p w14:paraId="00AE8C6F" w14:textId="77777777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Russell Weise, Director CGT Law (on behalf of the Freight Trade Alliance)</w:t>
            </w:r>
          </w:p>
          <w:p w14:paraId="434E2942" w14:textId="77777777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 xml:space="preserve">Steven Murphy, </w:t>
            </w:r>
            <w:r w:rsidRPr="003C322C">
              <w:rPr>
                <w:rFonts w:ascii="Calibri" w:hAnsi="Calibri"/>
                <w:b w:val="0"/>
                <w:bCs w:val="0"/>
              </w:rPr>
              <w:t>National Secretary, Australian Manufacturing Workers’ Union</w:t>
            </w:r>
          </w:p>
          <w:p w14:paraId="2891A5E4" w14:textId="77777777" w:rsidR="00133428" w:rsidRPr="003C322C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3C322C">
              <w:rPr>
                <w:b w:val="0"/>
                <w:bCs w:val="0"/>
              </w:rPr>
              <w:t>Thomas Mortimer, Policy Director, A</w:t>
            </w:r>
            <w:r w:rsidRPr="003C322C">
              <w:rPr>
                <w:rStyle w:val="ui-provider"/>
                <w:b w:val="0"/>
                <w:bCs w:val="0"/>
              </w:rPr>
              <w:t>ustralian Workers’ Union</w:t>
            </w:r>
          </w:p>
          <w:p w14:paraId="7695E3C2" w14:textId="6709E43C" w:rsidR="00133428" w:rsidRPr="009367E4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9367E4">
              <w:rPr>
                <w:b w:val="0"/>
                <w:bCs w:val="0"/>
              </w:rPr>
              <w:t xml:space="preserve">Travis </w:t>
            </w:r>
            <w:proofErr w:type="spellStart"/>
            <w:r w:rsidRPr="009367E4">
              <w:rPr>
                <w:b w:val="0"/>
                <w:bCs w:val="0"/>
              </w:rPr>
              <w:t>Wacey</w:t>
            </w:r>
            <w:proofErr w:type="spellEnd"/>
            <w:r w:rsidRPr="009367E4">
              <w:rPr>
                <w:b w:val="0"/>
                <w:bCs w:val="0"/>
              </w:rPr>
              <w:t>,</w:t>
            </w:r>
            <w:r>
              <w:t xml:space="preserve"> </w:t>
            </w:r>
            <w:r w:rsidRPr="00DF374B">
              <w:rPr>
                <w:b w:val="0"/>
                <w:bCs w:val="0"/>
              </w:rPr>
              <w:t>National Policy Research Officer, Construction, Forestry and Maritime Employees Union</w:t>
            </w:r>
          </w:p>
        </w:tc>
      </w:tr>
    </w:tbl>
    <w:p w14:paraId="55C9D357" w14:textId="35FD1AD4" w:rsidR="00133428" w:rsidRPr="00D20029" w:rsidRDefault="00133428" w:rsidP="00D20029">
      <w:pPr>
        <w:rPr>
          <w:b/>
          <w:sz w:val="12"/>
          <w:szCs w:val="12"/>
        </w:rPr>
      </w:pPr>
    </w:p>
    <w:tbl>
      <w:tblPr>
        <w:tblStyle w:val="ListTable3-Accent1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133428" w:rsidRPr="003544D9" w14:paraId="1799E4E1" w14:textId="77777777" w:rsidTr="00D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3ABD9F6D" w14:textId="5CACE657" w:rsidR="00133428" w:rsidRPr="006E1426" w:rsidRDefault="00D20029" w:rsidP="00E82F8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46A41">
              <w:t>Department</w:t>
            </w:r>
            <w:r w:rsidRPr="00B945AA">
              <w:t xml:space="preserve"> of Industry, Science and Resources </w:t>
            </w:r>
            <w:r w:rsidRPr="00D20029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(virtual attendance)</w:t>
            </w:r>
          </w:p>
        </w:tc>
      </w:tr>
      <w:tr w:rsidR="00133428" w:rsidRPr="003544D9" w14:paraId="4CBE58A0" w14:textId="77777777" w:rsidTr="00D20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EE3BC5" w14:textId="77777777" w:rsidR="00133428" w:rsidRPr="00DF374B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James Flick, General Manager, Industrial Net Zero Policy</w:t>
            </w:r>
          </w:p>
          <w:p w14:paraId="1F77B89B" w14:textId="77777777" w:rsidR="00133428" w:rsidRPr="00CB003B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b w:val="0"/>
                <w:bCs w:val="0"/>
              </w:rPr>
            </w:pPr>
            <w:r w:rsidRPr="00CB003B">
              <w:rPr>
                <w:b w:val="0"/>
                <w:bCs w:val="0"/>
              </w:rPr>
              <w:t xml:space="preserve">Sanjay Sharma, Manager, </w:t>
            </w:r>
            <w:proofErr w:type="spellStart"/>
            <w:r w:rsidRPr="00CB003B">
              <w:rPr>
                <w:b w:val="0"/>
                <w:bCs w:val="0"/>
              </w:rPr>
              <w:t>Tradex</w:t>
            </w:r>
            <w:proofErr w:type="spellEnd"/>
            <w:r w:rsidRPr="00CB003B">
              <w:rPr>
                <w:b w:val="0"/>
                <w:bCs w:val="0"/>
              </w:rPr>
              <w:t xml:space="preserve"> Scheme, Trade </w:t>
            </w:r>
            <w:proofErr w:type="gramStart"/>
            <w:r w:rsidRPr="00CB003B">
              <w:rPr>
                <w:b w:val="0"/>
                <w:bCs w:val="0"/>
              </w:rPr>
              <w:t>Policy</w:t>
            </w:r>
            <w:proofErr w:type="gramEnd"/>
            <w:r w:rsidRPr="00CB003B">
              <w:rPr>
                <w:b w:val="0"/>
                <w:bCs w:val="0"/>
              </w:rPr>
              <w:t xml:space="preserve"> and Programs Section</w:t>
            </w:r>
          </w:p>
          <w:p w14:paraId="4EF1C316" w14:textId="77777777" w:rsidR="00133428" w:rsidRPr="006E1426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b w:val="0"/>
                <w:bCs w:val="0"/>
              </w:rPr>
            </w:pPr>
            <w:r w:rsidRPr="007B4967">
              <w:rPr>
                <w:b w:val="0"/>
                <w:bCs w:val="0"/>
              </w:rPr>
              <w:t xml:space="preserve">Karl Brennan, Manager, Anti-Dumping Policy Section </w:t>
            </w:r>
          </w:p>
          <w:p w14:paraId="2BD60659" w14:textId="77777777" w:rsidR="00133428" w:rsidRPr="00DF374B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b w:val="0"/>
                <w:bCs w:val="0"/>
              </w:rPr>
            </w:pPr>
            <w:r w:rsidRPr="00CB003B">
              <w:rPr>
                <w:b w:val="0"/>
                <w:bCs w:val="0"/>
              </w:rPr>
              <w:t>Lachlan Kelley, Assistant Manager, Anti-Dumping Policy Section</w:t>
            </w:r>
          </w:p>
        </w:tc>
      </w:tr>
    </w:tbl>
    <w:p w14:paraId="3D5AD93A" w14:textId="4977329E" w:rsidR="00133428" w:rsidRPr="00D20029" w:rsidRDefault="00133428" w:rsidP="00D20029">
      <w:pPr>
        <w:rPr>
          <w:b/>
          <w:bCs/>
          <w:sz w:val="12"/>
          <w:szCs w:val="12"/>
        </w:rPr>
      </w:pPr>
    </w:p>
    <w:tbl>
      <w:tblPr>
        <w:tblStyle w:val="ListTable3-Accent1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133428" w14:paraId="49AC4374" w14:textId="77777777" w:rsidTr="00D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614C5D83" w14:textId="485F3912" w:rsidR="00133428" w:rsidRDefault="00D20029" w:rsidP="00E82F81">
            <w:r w:rsidRPr="00277620">
              <w:t xml:space="preserve">Department of Foreign Affairs and Trade </w:t>
            </w:r>
            <w:r w:rsidRPr="00D20029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(virtual attendance)</w:t>
            </w:r>
          </w:p>
        </w:tc>
      </w:tr>
      <w:tr w:rsidR="00133428" w:rsidRPr="00BE1639" w14:paraId="54157EC8" w14:textId="77777777" w:rsidTr="00D20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A4A350" w14:textId="77777777" w:rsidR="00133428" w:rsidRPr="007B4967" w:rsidRDefault="00133428" w:rsidP="00133428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b w:val="0"/>
                <w:bCs w:val="0"/>
              </w:rPr>
            </w:pPr>
            <w:r w:rsidRPr="007B4967">
              <w:rPr>
                <w:b w:val="0"/>
                <w:bCs w:val="0"/>
              </w:rPr>
              <w:t>Andrew Jacenko, Assistant Secretary, Goods and Market Access Branch</w:t>
            </w:r>
          </w:p>
          <w:p w14:paraId="771A1CA9" w14:textId="77777777" w:rsidR="00133428" w:rsidRPr="007B4967" w:rsidRDefault="00133428" w:rsidP="00133428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b w:val="0"/>
                <w:bCs w:val="0"/>
              </w:rPr>
            </w:pPr>
            <w:r w:rsidRPr="007B4967">
              <w:rPr>
                <w:b w:val="0"/>
                <w:bCs w:val="0"/>
              </w:rPr>
              <w:t>Natalie Daalder, Director, Subsidies and Trade Remedies Law Section</w:t>
            </w:r>
          </w:p>
          <w:p w14:paraId="3FCA6F1D" w14:textId="77777777" w:rsidR="00133428" w:rsidRPr="006E1426" w:rsidRDefault="00133428" w:rsidP="00133428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b w:val="0"/>
                <w:bCs w:val="0"/>
              </w:rPr>
            </w:pPr>
            <w:r w:rsidRPr="006E1426">
              <w:rPr>
                <w:b w:val="0"/>
                <w:bCs w:val="0"/>
              </w:rPr>
              <w:t>Tara Leaney</w:t>
            </w:r>
            <w:r>
              <w:rPr>
                <w:b w:val="0"/>
                <w:bCs w:val="0"/>
              </w:rPr>
              <w:t xml:space="preserve">, </w:t>
            </w:r>
            <w:r w:rsidRPr="00CB003B">
              <w:rPr>
                <w:b w:val="0"/>
                <w:bCs w:val="0"/>
              </w:rPr>
              <w:t>Policy Officer</w:t>
            </w:r>
            <w:r>
              <w:rPr>
                <w:b w:val="0"/>
                <w:bCs w:val="0"/>
              </w:rPr>
              <w:t>,</w:t>
            </w:r>
            <w:r w:rsidRPr="00CB003B">
              <w:rPr>
                <w:b w:val="0"/>
                <w:bCs w:val="0"/>
              </w:rPr>
              <w:t xml:space="preserve"> Market </w:t>
            </w:r>
            <w:proofErr w:type="gramStart"/>
            <w:r w:rsidRPr="00CB003B">
              <w:rPr>
                <w:b w:val="0"/>
                <w:bCs w:val="0"/>
              </w:rPr>
              <w:t>Access</w:t>
            </w:r>
            <w:proofErr w:type="gramEnd"/>
            <w:r w:rsidRPr="00CB003B">
              <w:rPr>
                <w:b w:val="0"/>
                <w:bCs w:val="0"/>
              </w:rPr>
              <w:t xml:space="preserve"> and Trade Remedies Section</w:t>
            </w:r>
          </w:p>
        </w:tc>
      </w:tr>
    </w:tbl>
    <w:p w14:paraId="57AD90ED" w14:textId="7F15ABF4" w:rsidR="00133428" w:rsidRPr="00D20029" w:rsidRDefault="00133428" w:rsidP="00D20029">
      <w:pPr>
        <w:rPr>
          <w:b/>
          <w:bCs/>
          <w:sz w:val="12"/>
          <w:szCs w:val="12"/>
        </w:rPr>
      </w:pPr>
    </w:p>
    <w:tbl>
      <w:tblPr>
        <w:tblStyle w:val="ListTable3-Accent1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133428" w14:paraId="16B044A2" w14:textId="77777777" w:rsidTr="00D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389DBEDF" w14:textId="05045EB9" w:rsidR="00133428" w:rsidRDefault="00D20029" w:rsidP="00E82F81">
            <w:r>
              <w:t>Australian Border Force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D20029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(virtual attendance)</w:t>
            </w:r>
          </w:p>
        </w:tc>
      </w:tr>
      <w:tr w:rsidR="00133428" w:rsidRPr="00BE1639" w14:paraId="2753EF1D" w14:textId="77777777" w:rsidTr="00D20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45C99B" w14:textId="77777777" w:rsidR="00133428" w:rsidRPr="00CB003B" w:rsidRDefault="00133428" w:rsidP="00D20029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b w:val="0"/>
                <w:bCs w:val="0"/>
              </w:rPr>
            </w:pPr>
            <w:r w:rsidRPr="006E1426">
              <w:rPr>
                <w:b w:val="0"/>
                <w:bCs w:val="0"/>
              </w:rPr>
              <w:t>Asha Rajah-Clarke</w:t>
            </w:r>
            <w:r>
              <w:rPr>
                <w:b w:val="0"/>
                <w:bCs w:val="0"/>
              </w:rPr>
              <w:t xml:space="preserve">, </w:t>
            </w:r>
            <w:r w:rsidRPr="00CB003B">
              <w:rPr>
                <w:b w:val="0"/>
                <w:bCs w:val="0"/>
              </w:rPr>
              <w:t>Commander, Customs and Trade Compliance</w:t>
            </w:r>
          </w:p>
        </w:tc>
      </w:tr>
    </w:tbl>
    <w:p w14:paraId="411FEAC2" w14:textId="6A9F8C96" w:rsidR="00494AF1" w:rsidRDefault="00494AF1" w:rsidP="00D20029">
      <w:pPr>
        <w:spacing w:before="120" w:after="120"/>
        <w:rPr>
          <w:b/>
          <w:bCs/>
        </w:rPr>
      </w:pPr>
    </w:p>
    <w:sectPr w:rsidR="00494AF1" w:rsidSect="00C57EED">
      <w:headerReference w:type="default" r:id="rId10"/>
      <w:footerReference w:type="default" r:id="rId11"/>
      <w:headerReference w:type="first" r:id="rId12"/>
      <w:pgSz w:w="11906" w:h="1683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BD5C" w14:textId="77777777" w:rsidR="00834EC6" w:rsidRDefault="00834EC6" w:rsidP="00834EC6">
      <w:r>
        <w:separator/>
      </w:r>
    </w:p>
  </w:endnote>
  <w:endnote w:type="continuationSeparator" w:id="0">
    <w:p w14:paraId="09928080" w14:textId="77777777" w:rsidR="00834EC6" w:rsidRDefault="00834EC6" w:rsidP="00834EC6">
      <w:r>
        <w:continuationSeparator/>
      </w:r>
    </w:p>
  </w:endnote>
  <w:endnote w:type="continuationNotice" w:id="1">
    <w:p w14:paraId="5BF0454C" w14:textId="77777777" w:rsidR="009F1AEC" w:rsidRDefault="009F1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0232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980397" w14:textId="19492BDA" w:rsidR="00C57EED" w:rsidRPr="00C57EED" w:rsidRDefault="00C57EED" w:rsidP="00C57EED">
            <w:pPr>
              <w:pStyle w:val="Footer"/>
              <w:jc w:val="right"/>
              <w:rPr>
                <w:sz w:val="16"/>
                <w:szCs w:val="16"/>
              </w:rPr>
            </w:pPr>
            <w:r w:rsidRPr="00C57EED">
              <w:rPr>
                <w:sz w:val="16"/>
                <w:szCs w:val="16"/>
              </w:rPr>
              <w:t xml:space="preserve">Page </w:t>
            </w:r>
            <w:r w:rsidRPr="00C57EED">
              <w:rPr>
                <w:b/>
                <w:bCs/>
                <w:sz w:val="18"/>
                <w:szCs w:val="18"/>
              </w:rPr>
              <w:fldChar w:fldCharType="begin"/>
            </w:r>
            <w:r w:rsidRPr="00C57EE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57EED">
              <w:rPr>
                <w:b/>
                <w:bCs/>
                <w:sz w:val="18"/>
                <w:szCs w:val="18"/>
              </w:rPr>
              <w:fldChar w:fldCharType="separate"/>
            </w:r>
            <w:r w:rsidRPr="00C57EED">
              <w:rPr>
                <w:b/>
                <w:bCs/>
                <w:noProof/>
                <w:sz w:val="16"/>
                <w:szCs w:val="16"/>
              </w:rPr>
              <w:t>2</w:t>
            </w:r>
            <w:r w:rsidRPr="00C57EED">
              <w:rPr>
                <w:b/>
                <w:bCs/>
                <w:sz w:val="18"/>
                <w:szCs w:val="18"/>
              </w:rPr>
              <w:fldChar w:fldCharType="end"/>
            </w:r>
            <w:r w:rsidRPr="00C57EED">
              <w:rPr>
                <w:sz w:val="16"/>
                <w:szCs w:val="16"/>
              </w:rPr>
              <w:t xml:space="preserve"> of </w:t>
            </w:r>
            <w:r w:rsidRPr="00C57EED">
              <w:rPr>
                <w:b/>
                <w:bCs/>
                <w:sz w:val="18"/>
                <w:szCs w:val="18"/>
              </w:rPr>
              <w:fldChar w:fldCharType="begin"/>
            </w:r>
            <w:r w:rsidRPr="00C57EE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57EED">
              <w:rPr>
                <w:b/>
                <w:bCs/>
                <w:sz w:val="18"/>
                <w:szCs w:val="18"/>
              </w:rPr>
              <w:fldChar w:fldCharType="separate"/>
            </w:r>
            <w:r w:rsidRPr="00C57EED">
              <w:rPr>
                <w:b/>
                <w:bCs/>
                <w:noProof/>
                <w:sz w:val="16"/>
                <w:szCs w:val="16"/>
              </w:rPr>
              <w:t>2</w:t>
            </w:r>
            <w:r w:rsidRPr="00C57EE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94AD" w14:textId="77777777" w:rsidR="00834EC6" w:rsidRDefault="00834EC6" w:rsidP="00834EC6">
      <w:r>
        <w:separator/>
      </w:r>
    </w:p>
  </w:footnote>
  <w:footnote w:type="continuationSeparator" w:id="0">
    <w:p w14:paraId="3CE4E8D2" w14:textId="77777777" w:rsidR="00834EC6" w:rsidRDefault="00834EC6" w:rsidP="00834EC6">
      <w:r>
        <w:continuationSeparator/>
      </w:r>
    </w:p>
  </w:footnote>
  <w:footnote w:type="continuationNotice" w:id="1">
    <w:p w14:paraId="73150FC8" w14:textId="77777777" w:rsidR="009F1AEC" w:rsidRDefault="009F1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A6B6" w14:textId="73FF2DD2" w:rsidR="00834EC6" w:rsidRPr="00834EC6" w:rsidRDefault="00834EC6" w:rsidP="00834EC6">
    <w:pPr>
      <w:spacing w:before="60" w:after="60"/>
      <w:rPr>
        <w:rFonts w:eastAsia="Calibri" w:cstheme="minorHAnsi"/>
        <w:b/>
        <w:bCs/>
      </w:rPr>
    </w:pPr>
    <w:r>
      <w:rPr>
        <w:rFonts w:eastAsia="Calibri" w:cstheme="minorHAnsi"/>
        <w:b/>
        <w:bCs/>
      </w:rPr>
      <w:t xml:space="preserve">Minutes – </w:t>
    </w:r>
    <w:r w:rsidR="00C57EED">
      <w:rPr>
        <w:rFonts w:eastAsia="Calibri" w:cstheme="minorHAnsi"/>
        <w:b/>
        <w:bCs/>
      </w:rPr>
      <w:t>International Trade Remedies Forum</w:t>
    </w:r>
    <w:r>
      <w:rPr>
        <w:rFonts w:eastAsia="Calibri" w:cstheme="minorHAnsi"/>
        <w:b/>
        <w:bCs/>
      </w:rPr>
      <w:t xml:space="preserve"> </w:t>
    </w:r>
    <w:r w:rsidR="00C57EED">
      <w:rPr>
        <w:rFonts w:eastAsia="Calibri" w:cstheme="minorHAnsi"/>
        <w:b/>
        <w:bCs/>
      </w:rPr>
      <w:t>–</w:t>
    </w:r>
    <w:r>
      <w:rPr>
        <w:rFonts w:eastAsia="Calibri" w:cstheme="minorHAnsi"/>
        <w:b/>
        <w:bCs/>
      </w:rPr>
      <w:t xml:space="preserve"> Thursday 27 June</w:t>
    </w:r>
    <w:r w:rsidR="00C57EED">
      <w:rPr>
        <w:rFonts w:eastAsia="Calibri" w:cstheme="minorHAnsi"/>
        <w:b/>
        <w:bCs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67FB" w14:textId="57057343" w:rsidR="00C57EED" w:rsidRDefault="00C57EED">
    <w:pPr>
      <w:pStyle w:val="Header"/>
    </w:pPr>
    <w:r w:rsidRPr="006D5871">
      <w:rPr>
        <w:noProof/>
      </w:rPr>
      <w:drawing>
        <wp:inline distT="0" distB="0" distL="0" distR="0" wp14:anchorId="38C79D1B" wp14:editId="50926F6C">
          <wp:extent cx="3657600" cy="761093"/>
          <wp:effectExtent l="0" t="0" r="0" b="0"/>
          <wp:docPr id="1" name="Picture 1" descr="Anti-Dumping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ti-Dumping Commiss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415" cy="770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0D0A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39310D"/>
    <w:multiLevelType w:val="hybridMultilevel"/>
    <w:tmpl w:val="E416A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71E57"/>
    <w:multiLevelType w:val="hybridMultilevel"/>
    <w:tmpl w:val="6FEC2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51B5"/>
    <w:multiLevelType w:val="hybridMultilevel"/>
    <w:tmpl w:val="B4F83EAA"/>
    <w:lvl w:ilvl="0" w:tplc="E3688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D70DC"/>
    <w:multiLevelType w:val="hybridMultilevel"/>
    <w:tmpl w:val="D45EB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77CC9"/>
    <w:multiLevelType w:val="hybridMultilevel"/>
    <w:tmpl w:val="F0021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D69CA"/>
    <w:multiLevelType w:val="hybridMultilevel"/>
    <w:tmpl w:val="B6A2FDBA"/>
    <w:lvl w:ilvl="0" w:tplc="0C0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7" w15:restartNumberingAfterBreak="0">
    <w:nsid w:val="770006D5"/>
    <w:multiLevelType w:val="hybridMultilevel"/>
    <w:tmpl w:val="96A23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9A4"/>
    <w:multiLevelType w:val="hybridMultilevel"/>
    <w:tmpl w:val="C3E4A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E5950"/>
    <w:multiLevelType w:val="hybridMultilevel"/>
    <w:tmpl w:val="1338D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066312">
    <w:abstractNumId w:val="5"/>
  </w:num>
  <w:num w:numId="2" w16cid:durableId="1854224717">
    <w:abstractNumId w:val="0"/>
  </w:num>
  <w:num w:numId="3" w16cid:durableId="1613054749">
    <w:abstractNumId w:val="9"/>
  </w:num>
  <w:num w:numId="4" w16cid:durableId="244152555">
    <w:abstractNumId w:val="3"/>
  </w:num>
  <w:num w:numId="5" w16cid:durableId="1254048404">
    <w:abstractNumId w:val="7"/>
  </w:num>
  <w:num w:numId="6" w16cid:durableId="1783257690">
    <w:abstractNumId w:val="4"/>
  </w:num>
  <w:num w:numId="7" w16cid:durableId="1656714684">
    <w:abstractNumId w:val="6"/>
  </w:num>
  <w:num w:numId="8" w16cid:durableId="2030836810">
    <w:abstractNumId w:val="8"/>
  </w:num>
  <w:num w:numId="9" w16cid:durableId="1651713006">
    <w:abstractNumId w:val="1"/>
  </w:num>
  <w:num w:numId="10" w16cid:durableId="569003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E8"/>
    <w:rsid w:val="000120E1"/>
    <w:rsid w:val="00021789"/>
    <w:rsid w:val="00047CA4"/>
    <w:rsid w:val="00053B30"/>
    <w:rsid w:val="00054B36"/>
    <w:rsid w:val="000811E2"/>
    <w:rsid w:val="000842E1"/>
    <w:rsid w:val="000A5170"/>
    <w:rsid w:val="000A7D71"/>
    <w:rsid w:val="000B0A76"/>
    <w:rsid w:val="000D438C"/>
    <w:rsid w:val="000F52CC"/>
    <w:rsid w:val="00133428"/>
    <w:rsid w:val="001346F7"/>
    <w:rsid w:val="00136183"/>
    <w:rsid w:val="00147ACB"/>
    <w:rsid w:val="00154981"/>
    <w:rsid w:val="0016457B"/>
    <w:rsid w:val="001741E1"/>
    <w:rsid w:val="0018786C"/>
    <w:rsid w:val="00192F2A"/>
    <w:rsid w:val="001B3CF7"/>
    <w:rsid w:val="001E2910"/>
    <w:rsid w:val="0023016E"/>
    <w:rsid w:val="002442AE"/>
    <w:rsid w:val="00270883"/>
    <w:rsid w:val="002B7945"/>
    <w:rsid w:val="002C78CE"/>
    <w:rsid w:val="002C7D97"/>
    <w:rsid w:val="002D38C8"/>
    <w:rsid w:val="00305B37"/>
    <w:rsid w:val="00307291"/>
    <w:rsid w:val="00324A2F"/>
    <w:rsid w:val="003252FE"/>
    <w:rsid w:val="00345C83"/>
    <w:rsid w:val="003C213C"/>
    <w:rsid w:val="003C2661"/>
    <w:rsid w:val="003D026F"/>
    <w:rsid w:val="003D4D92"/>
    <w:rsid w:val="003E3AA8"/>
    <w:rsid w:val="003F197D"/>
    <w:rsid w:val="004332DD"/>
    <w:rsid w:val="00437550"/>
    <w:rsid w:val="00492E19"/>
    <w:rsid w:val="00494AF1"/>
    <w:rsid w:val="0049559C"/>
    <w:rsid w:val="004D6809"/>
    <w:rsid w:val="00511AB1"/>
    <w:rsid w:val="005526A9"/>
    <w:rsid w:val="005746F0"/>
    <w:rsid w:val="00576818"/>
    <w:rsid w:val="00576CB6"/>
    <w:rsid w:val="00583A89"/>
    <w:rsid w:val="0059488F"/>
    <w:rsid w:val="005D16D9"/>
    <w:rsid w:val="005D639D"/>
    <w:rsid w:val="006205AA"/>
    <w:rsid w:val="006305F7"/>
    <w:rsid w:val="006524BA"/>
    <w:rsid w:val="006615EC"/>
    <w:rsid w:val="00671BBA"/>
    <w:rsid w:val="00694BA7"/>
    <w:rsid w:val="006B0A1D"/>
    <w:rsid w:val="006C09DD"/>
    <w:rsid w:val="006C5806"/>
    <w:rsid w:val="00705CDA"/>
    <w:rsid w:val="007172AF"/>
    <w:rsid w:val="00734A82"/>
    <w:rsid w:val="00764635"/>
    <w:rsid w:val="00777F72"/>
    <w:rsid w:val="007B05C2"/>
    <w:rsid w:val="007B1538"/>
    <w:rsid w:val="007B172E"/>
    <w:rsid w:val="007E7423"/>
    <w:rsid w:val="00834EC6"/>
    <w:rsid w:val="00846D0D"/>
    <w:rsid w:val="008628E1"/>
    <w:rsid w:val="008673AF"/>
    <w:rsid w:val="008C5282"/>
    <w:rsid w:val="00930A8B"/>
    <w:rsid w:val="009515E6"/>
    <w:rsid w:val="00962FCD"/>
    <w:rsid w:val="00993624"/>
    <w:rsid w:val="00994D67"/>
    <w:rsid w:val="009C2BB9"/>
    <w:rsid w:val="009C459C"/>
    <w:rsid w:val="009D2CAE"/>
    <w:rsid w:val="009F1AEC"/>
    <w:rsid w:val="00A0781B"/>
    <w:rsid w:val="00A1024D"/>
    <w:rsid w:val="00A16341"/>
    <w:rsid w:val="00A170BE"/>
    <w:rsid w:val="00A41DFE"/>
    <w:rsid w:val="00A62BEF"/>
    <w:rsid w:val="00A7375E"/>
    <w:rsid w:val="00A81A4D"/>
    <w:rsid w:val="00A84A48"/>
    <w:rsid w:val="00A9358B"/>
    <w:rsid w:val="00A97663"/>
    <w:rsid w:val="00AB7DC0"/>
    <w:rsid w:val="00AE1BD5"/>
    <w:rsid w:val="00AF7F30"/>
    <w:rsid w:val="00B36B26"/>
    <w:rsid w:val="00B52600"/>
    <w:rsid w:val="00B87FC5"/>
    <w:rsid w:val="00B91F1F"/>
    <w:rsid w:val="00BA3BE4"/>
    <w:rsid w:val="00BB58F8"/>
    <w:rsid w:val="00BC5B00"/>
    <w:rsid w:val="00BD1CA2"/>
    <w:rsid w:val="00BD7B75"/>
    <w:rsid w:val="00C201D6"/>
    <w:rsid w:val="00C57EED"/>
    <w:rsid w:val="00C61943"/>
    <w:rsid w:val="00C70379"/>
    <w:rsid w:val="00C70E7F"/>
    <w:rsid w:val="00C87314"/>
    <w:rsid w:val="00C92901"/>
    <w:rsid w:val="00CB617D"/>
    <w:rsid w:val="00CB6D04"/>
    <w:rsid w:val="00CC21C5"/>
    <w:rsid w:val="00CD18C5"/>
    <w:rsid w:val="00CF70A7"/>
    <w:rsid w:val="00D1428C"/>
    <w:rsid w:val="00D20029"/>
    <w:rsid w:val="00D21A02"/>
    <w:rsid w:val="00D22F5A"/>
    <w:rsid w:val="00D5234B"/>
    <w:rsid w:val="00D74492"/>
    <w:rsid w:val="00D7457D"/>
    <w:rsid w:val="00D94A2F"/>
    <w:rsid w:val="00DA6E00"/>
    <w:rsid w:val="00DC3343"/>
    <w:rsid w:val="00E176BB"/>
    <w:rsid w:val="00E21660"/>
    <w:rsid w:val="00E331FE"/>
    <w:rsid w:val="00E80128"/>
    <w:rsid w:val="00E81B79"/>
    <w:rsid w:val="00E84BAA"/>
    <w:rsid w:val="00E95853"/>
    <w:rsid w:val="00EA627C"/>
    <w:rsid w:val="00ED32BB"/>
    <w:rsid w:val="00EF0C44"/>
    <w:rsid w:val="00F126E8"/>
    <w:rsid w:val="00F260F7"/>
    <w:rsid w:val="00F50F2C"/>
    <w:rsid w:val="00F522F9"/>
    <w:rsid w:val="00F621F1"/>
    <w:rsid w:val="00F71BDD"/>
    <w:rsid w:val="00F92778"/>
    <w:rsid w:val="00FC4FDD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7E78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E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7EED"/>
    <w:pPr>
      <w:keepNext/>
      <w:spacing w:after="240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List Paragraph11,L,CV text,Table text,F5 List Paragraph,Dot pt,Bulleted Para,NFP GP Bulleted List,FooterText,numbered,Paragraphe de liste1,Bulletr List Paragraph,列出段落,列出段落1,List Paragraph2,List Paragraph21,&amp;"/>
    <w:basedOn w:val="Normal"/>
    <w:link w:val="ListParagraphChar"/>
    <w:uiPriority w:val="34"/>
    <w:qFormat/>
    <w:rsid w:val="00CB617D"/>
    <w:pPr>
      <w:ind w:left="720"/>
      <w:contextualSpacing/>
    </w:pPr>
  </w:style>
  <w:style w:type="character" w:customStyle="1" w:styleId="screenreaderfriendlyhiddentag-359">
    <w:name w:val="screenreaderfriendlyhiddentag-359"/>
    <w:basedOn w:val="DefaultParagraphFont"/>
    <w:rsid w:val="00CB617D"/>
  </w:style>
  <w:style w:type="paragraph" w:customStyle="1" w:styleId="Default">
    <w:name w:val="Default"/>
    <w:rsid w:val="009C2B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4E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EC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4E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EC6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9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59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59C"/>
    <w:rPr>
      <w:b/>
      <w:bCs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Bulleted Para Char,NFP GP Bulleted List Char,FooterText Char,numbered Char,列出段落 Char,列出段落1 Char"/>
    <w:link w:val="ListParagraph"/>
    <w:uiPriority w:val="34"/>
    <w:qFormat/>
    <w:locked/>
    <w:rsid w:val="00133428"/>
    <w:rPr>
      <w:kern w:val="0"/>
      <w14:ligatures w14:val="none"/>
    </w:rPr>
  </w:style>
  <w:style w:type="table" w:styleId="TableGrid">
    <w:name w:val="Table Grid"/>
    <w:basedOn w:val="TableNormal"/>
    <w:uiPriority w:val="39"/>
    <w:rsid w:val="001334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13342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133428"/>
  </w:style>
  <w:style w:type="character" w:styleId="Hyperlink">
    <w:name w:val="Hyperlink"/>
    <w:basedOn w:val="DefaultParagraphFont"/>
    <w:uiPriority w:val="99"/>
    <w:unhideWhenUsed/>
    <w:rsid w:val="00C57EED"/>
    <w:rPr>
      <w:color w:val="0563C1" w:themeColor="hyperlink"/>
      <w:u w:val="single"/>
    </w:rPr>
  </w:style>
  <w:style w:type="paragraph" w:customStyle="1" w:styleId="Authoranddate">
    <w:name w:val="Author and date"/>
    <w:basedOn w:val="Subtitle"/>
    <w:link w:val="AuthoranddateChar"/>
    <w:qFormat/>
    <w:rsid w:val="00C57EED"/>
    <w:pPr>
      <w:spacing w:line="259" w:lineRule="auto"/>
    </w:pPr>
    <w:rPr>
      <w:rFonts w:ascii="Arial" w:hAnsi="Arial" w:cstheme="majorBidi"/>
      <w:color w:val="FFFFFF" w:themeColor="background1"/>
      <w:spacing w:val="-10"/>
      <w:kern w:val="28"/>
      <w:sz w:val="40"/>
      <w:szCs w:val="40"/>
    </w:rPr>
  </w:style>
  <w:style w:type="character" w:customStyle="1" w:styleId="AuthoranddateChar">
    <w:name w:val="Author and date Char"/>
    <w:basedOn w:val="SubtitleChar"/>
    <w:link w:val="Authoranddate"/>
    <w:rsid w:val="00C57EED"/>
    <w:rPr>
      <w:rFonts w:ascii="Arial" w:eastAsiaTheme="minorEastAsia" w:hAnsi="Arial" w:cstheme="majorBidi"/>
      <w:color w:val="FFFFFF" w:themeColor="background1"/>
      <w:spacing w:val="-10"/>
      <w:kern w:val="28"/>
      <w:sz w:val="40"/>
      <w:szCs w:val="4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EE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EED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rsid w:val="00C57EED"/>
    <w:rPr>
      <w:rFonts w:ascii="Times New Roman" w:eastAsia="Times New Roman" w:hAnsi="Times New Roman" w:cs="Times New Roman"/>
      <w:b/>
      <w:kern w:val="28"/>
      <w:sz w:val="28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B36B2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4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6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3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9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5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3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4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5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42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7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7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0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0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1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4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4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3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6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3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7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7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5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2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8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commission.gov.a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F00DF-27BC-4161-8828-E51154D1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2024-07-31T02:10:00Z</dcterms:created>
  <dcterms:modified xsi:type="dcterms:W3CDTF">2024-07-31T02:12:00Z</dcterms:modified>
</cp:coreProperties>
</file>