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499156229"/>
        <w:docPartObj>
          <w:docPartGallery w:val="Cover Pages"/>
          <w:docPartUnique/>
        </w:docPartObj>
      </w:sdtPr>
      <w:sdtEndPr/>
      <w:sdtContent>
        <w:tbl>
          <w:tblPr>
            <w:tblW w:w="0" w:type="auto"/>
            <w:tblLook w:val="04A0" w:firstRow="1" w:lastRow="0" w:firstColumn="1" w:lastColumn="0" w:noHBand="0" w:noVBand="1"/>
          </w:tblPr>
          <w:tblGrid>
            <w:gridCol w:w="9026"/>
          </w:tblGrid>
          <w:tr w:rsidR="00CA6F9B" w14:paraId="78D49B25" w14:textId="77777777" w:rsidTr="008E12A7">
            <w:trPr>
              <w:trHeight w:hRule="exact" w:val="2835"/>
            </w:trPr>
            <w:tc>
              <w:tcPr>
                <w:tcW w:w="9242" w:type="dxa"/>
              </w:tcPr>
              <w:p w14:paraId="00272575" w14:textId="2AEF609E" w:rsidR="00CA6F9B" w:rsidRDefault="001C0356" w:rsidP="00B360FF">
                <w:pPr>
                  <w:pStyle w:val="CoverNormal"/>
                </w:pPr>
                <w:r w:rsidRPr="00180BF8">
                  <w:rPr>
                    <w:noProof/>
                    <w:lang w:eastAsia="en-AU"/>
                  </w:rPr>
                  <w:drawing>
                    <wp:inline distT="0" distB="0" distL="0" distR="0" wp14:anchorId="4CD212A9" wp14:editId="2B681089">
                      <wp:extent cx="2235200" cy="645160"/>
                      <wp:effectExtent l="0" t="0" r="0" b="2540"/>
                      <wp:docPr id="3" name="Picture 3"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35200" cy="64516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CA6F9B" w:rsidRPr="00E75A70" w14:paraId="218F0B6A" w14:textId="77777777" w:rsidTr="008E12A7">
            <w:tc>
              <w:tcPr>
                <w:tcW w:w="9242" w:type="dxa"/>
              </w:tcPr>
              <w:sdt>
                <w:sdtPr>
                  <w:rPr>
                    <w:rStyle w:val="TitleHeadingChar"/>
                  </w:rPr>
                  <w:alias w:val="Title"/>
                  <w:tag w:val="Title"/>
                  <w:id w:val="448435143"/>
                  <w:placeholder>
                    <w:docPart w:val="CE59BF2B6DFE4E0294619A42FE2A219F"/>
                  </w:placeholder>
                </w:sdtPr>
                <w:sdtEndPr>
                  <w:rPr>
                    <w:rStyle w:val="TitleHeadingChar"/>
                  </w:rPr>
                </w:sdtEndPr>
                <w:sdtContent>
                  <w:p w14:paraId="0F50C9A4" w14:textId="1F0B8CED" w:rsidR="00CA6F9B" w:rsidRPr="00E75A70" w:rsidRDefault="00CA6F9B" w:rsidP="0006256C">
                    <w:pPr>
                      <w:pStyle w:val="TitleHeading"/>
                      <w:rPr>
                        <w:rStyle w:val="TitleHeadingChar"/>
                      </w:rPr>
                    </w:pPr>
                    <w:r>
                      <w:rPr>
                        <w:rStyle w:val="TitleHeadingChar"/>
                      </w:rPr>
                      <w:t>A</w:t>
                    </w:r>
                    <w:r w:rsidR="00703490">
                      <w:rPr>
                        <w:rStyle w:val="TitleHeadingChar"/>
                      </w:rPr>
                      <w:t xml:space="preserve">ustralian </w:t>
                    </w:r>
                    <w:r>
                      <w:rPr>
                        <w:rStyle w:val="TitleHeadingChar"/>
                      </w:rPr>
                      <w:t>I</w:t>
                    </w:r>
                    <w:r w:rsidR="00703490">
                      <w:rPr>
                        <w:rStyle w:val="TitleHeadingChar"/>
                      </w:rPr>
                      <w:t xml:space="preserve">ndustry </w:t>
                    </w:r>
                    <w:r>
                      <w:rPr>
                        <w:rStyle w:val="TitleHeadingChar"/>
                      </w:rPr>
                      <w:t>P</w:t>
                    </w:r>
                    <w:r w:rsidR="00703490">
                      <w:rPr>
                        <w:rStyle w:val="TitleHeadingChar"/>
                      </w:rPr>
                      <w:t>articipation (AIP)</w:t>
                    </w:r>
                    <w:r>
                      <w:rPr>
                        <w:rStyle w:val="TitleHeadingChar"/>
                      </w:rPr>
                      <w:t xml:space="preserve"> Policy </w:t>
                    </w:r>
                    <w:r w:rsidR="00A31C7C">
                      <w:rPr>
                        <w:rStyle w:val="TitleHeadingChar"/>
                      </w:rPr>
                      <w:t xml:space="preserve">Impact </w:t>
                    </w:r>
                    <w:r>
                      <w:rPr>
                        <w:rStyle w:val="TitleHeadingChar"/>
                      </w:rPr>
                      <w:t>Evaluation</w:t>
                    </w:r>
                    <w:r w:rsidR="0079756D">
                      <w:rPr>
                        <w:rStyle w:val="TitleHeadingChar"/>
                      </w:rPr>
                      <w:t xml:space="preserve"> </w:t>
                    </w:r>
                    <w:r w:rsidR="00672AF1">
                      <w:rPr>
                        <w:rStyle w:val="TitleHeadingChar"/>
                      </w:rPr>
                      <w:t>Report</w:t>
                    </w:r>
                  </w:p>
                </w:sdtContent>
              </w:sdt>
              <w:p w14:paraId="2954495C" w14:textId="77777777" w:rsidR="00CA6F9B" w:rsidRPr="00E75A70" w:rsidRDefault="00CA6F9B" w:rsidP="00DF7B80">
                <w:pPr>
                  <w:pStyle w:val="CoverNormal"/>
                </w:pPr>
              </w:p>
            </w:tc>
          </w:tr>
          <w:tr w:rsidR="00CA6F9B" w14:paraId="32E1BED8" w14:textId="77777777" w:rsidTr="008E12A7">
            <w:tc>
              <w:tcPr>
                <w:tcW w:w="9242" w:type="dxa"/>
              </w:tcPr>
              <w:p w14:paraId="610C6093" w14:textId="3556924F" w:rsidR="00CA6F9B" w:rsidRDefault="00CA6F9B" w:rsidP="008E12A7">
                <w:pPr>
                  <w:pStyle w:val="Author"/>
                </w:pPr>
                <w:r w:rsidRPr="008E12A7">
                  <w:rPr>
                    <w:color w:val="005677" w:themeColor="background2"/>
                    <w:sz w:val="36"/>
                    <w:szCs w:val="22"/>
                  </w:rPr>
                  <w:t>Evaluation Unit</w:t>
                </w:r>
              </w:p>
            </w:tc>
          </w:tr>
          <w:tr w:rsidR="00CA6F9B" w14:paraId="0F34D00E" w14:textId="77777777" w:rsidTr="008E12A7">
            <w:tc>
              <w:tcPr>
                <w:tcW w:w="9242" w:type="dxa"/>
              </w:tcPr>
              <w:p w14:paraId="19633D56" w14:textId="5F834DE1" w:rsidR="00CA6F9B" w:rsidRPr="008E12A7" w:rsidRDefault="00824D10" w:rsidP="008E12A7">
                <w:pPr>
                  <w:pStyle w:val="MonthYear"/>
                  <w:spacing w:before="0"/>
                  <w:rPr>
                    <w:b w:val="0"/>
                    <w:sz w:val="28"/>
                    <w:szCs w:val="28"/>
                  </w:rPr>
                </w:pPr>
                <w:r>
                  <w:rPr>
                    <w:b w:val="0"/>
                    <w:sz w:val="28"/>
                    <w:szCs w:val="28"/>
                  </w:rPr>
                  <w:t>August 202</w:t>
                </w:r>
                <w:r w:rsidR="00C52BDD">
                  <w:rPr>
                    <w:b w:val="0"/>
                    <w:sz w:val="28"/>
                    <w:szCs w:val="28"/>
                  </w:rPr>
                  <w:t>3</w:t>
                </w:r>
              </w:p>
            </w:tc>
          </w:tr>
          <w:tr w:rsidR="00CA6F9B" w14:paraId="3BEBE4F0" w14:textId="77777777" w:rsidTr="008E12A7">
            <w:tc>
              <w:tcPr>
                <w:tcW w:w="9242" w:type="dxa"/>
              </w:tcPr>
              <w:p w14:paraId="732A6183" w14:textId="151E1EED" w:rsidR="00CA6F9B" w:rsidRDefault="00CA6F9B" w:rsidP="00DF7B80">
                <w:pPr>
                  <w:pStyle w:val="ReportCoverContact"/>
                </w:pPr>
              </w:p>
            </w:tc>
          </w:tr>
        </w:tbl>
        <w:p w14:paraId="63BA98E3" w14:textId="77777777" w:rsidR="00CA6F9B" w:rsidRDefault="00CA6F9B" w:rsidP="00DF7B80">
          <w:pPr>
            <w:pStyle w:val="CoverNormal"/>
          </w:pPr>
          <w:bookmarkStart w:id="0" w:name="TOC"/>
        </w:p>
        <w:bookmarkEnd w:id="0"/>
        <w:p w14:paraId="0888242B" w14:textId="77777777" w:rsidR="00CA6F9B" w:rsidRPr="00570F0F" w:rsidRDefault="00CA6F9B" w:rsidP="008E12A7">
          <w:pPr>
            <w:pStyle w:val="AbstractHeader"/>
            <w:sectPr w:rsidR="00CA6F9B" w:rsidRPr="00570F0F" w:rsidSect="00654A2B">
              <w:footerReference w:type="default" r:id="rId9"/>
              <w:headerReference w:type="first" r:id="rId10"/>
              <w:pgSz w:w="11906" w:h="16838" w:code="9"/>
              <w:pgMar w:top="1440" w:right="1440" w:bottom="1440" w:left="1440" w:header="709" w:footer="709" w:gutter="0"/>
              <w:pgNumType w:fmt="lowerRoman" w:start="0"/>
              <w:cols w:space="708"/>
              <w:titlePg/>
              <w:docGrid w:linePitch="360"/>
            </w:sectPr>
          </w:pPr>
        </w:p>
        <w:p w14:paraId="12C44F8D" w14:textId="77777777" w:rsidR="001C0356" w:rsidRPr="00F12E30" w:rsidRDefault="001C0356" w:rsidP="008E12A7">
          <w:pPr>
            <w:pStyle w:val="DisclaimerHeading"/>
            <w:ind w:left="0"/>
          </w:pPr>
          <w:r w:rsidRPr="00F12E30">
            <w:lastRenderedPageBreak/>
            <w:t xml:space="preserve">For further information on this research paper please </w:t>
          </w:r>
          <w:r w:rsidRPr="00B91524">
            <w:t xml:space="preserve">contact: </w:t>
          </w:r>
        </w:p>
        <w:p w14:paraId="168CD925" w14:textId="77777777" w:rsidR="001C0356" w:rsidRPr="00EC76AE" w:rsidRDefault="001C0356" w:rsidP="001C0356">
          <w:pPr>
            <w:pStyle w:val="ReportCoverContact"/>
          </w:pPr>
          <w:r>
            <w:t>Evaluation Unit</w:t>
          </w:r>
        </w:p>
        <w:p w14:paraId="34730D66" w14:textId="5537B12C" w:rsidR="001C0356" w:rsidRPr="00B91524" w:rsidRDefault="001C0356" w:rsidP="001C0356">
          <w:pPr>
            <w:pStyle w:val="ReportCoverContact"/>
          </w:pPr>
          <w:r>
            <w:t xml:space="preserve">Department of Industry, </w:t>
          </w:r>
          <w:r w:rsidR="0078189E">
            <w:t>Science and Resources</w:t>
          </w:r>
        </w:p>
        <w:p w14:paraId="3CD5DB4B" w14:textId="77777777" w:rsidR="001C0356" w:rsidRPr="00EC76AE" w:rsidRDefault="001C0356" w:rsidP="001C0356">
          <w:pPr>
            <w:pStyle w:val="ReportCoverContact"/>
          </w:pPr>
          <w:r w:rsidRPr="00EC76AE">
            <w:t xml:space="preserve">GPO Box </w:t>
          </w:r>
          <w:r>
            <w:t>2013</w:t>
          </w:r>
        </w:p>
        <w:p w14:paraId="734AB2E5" w14:textId="77777777" w:rsidR="001C0356" w:rsidRPr="00EC76AE" w:rsidRDefault="001C0356" w:rsidP="001C0356">
          <w:pPr>
            <w:pStyle w:val="ReportCoverContact"/>
          </w:pPr>
          <w:r w:rsidRPr="00EC76AE">
            <w:t>Canberra ACT 2601</w:t>
          </w:r>
        </w:p>
        <w:p w14:paraId="7981ED86" w14:textId="6F379A9A" w:rsidR="001C0356" w:rsidRDefault="001C0356" w:rsidP="001C0356">
          <w:pPr>
            <w:pStyle w:val="ReportCoverContact"/>
            <w:rPr>
              <w:rStyle w:val="HyperlinkStyleChar"/>
            </w:rPr>
          </w:pPr>
          <w:r w:rsidRPr="00EC76AE">
            <w:t xml:space="preserve">Email: </w:t>
          </w:r>
          <w:hyperlink r:id="rId11" w:history="1">
            <w:r w:rsidR="00F444D9" w:rsidRPr="003269C6">
              <w:rPr>
                <w:rStyle w:val="Hyperlink"/>
              </w:rPr>
              <w:t>Evaluation.Unit@industry.gov.au</w:t>
            </w:r>
          </w:hyperlink>
          <w:r w:rsidR="00F444D9">
            <w:t xml:space="preserve"> </w:t>
          </w:r>
        </w:p>
        <w:p w14:paraId="79453632" w14:textId="77777777" w:rsidR="001C0356" w:rsidRDefault="001C0356" w:rsidP="001C0356">
          <w:pPr>
            <w:rPr>
              <w:rStyle w:val="Hyperlink"/>
              <w:sz w:val="16"/>
              <w:szCs w:val="16"/>
            </w:rPr>
          </w:pPr>
          <w:r w:rsidRPr="001C0356">
            <w:rPr>
              <w:rFonts w:eastAsia="Calibri" w:cs="Arial"/>
              <w:sz w:val="16"/>
              <w:szCs w:val="16"/>
              <w:lang w:val="en"/>
            </w:rPr>
            <w:t>Department’s website at</w:t>
          </w:r>
          <w:r w:rsidRPr="001C0356">
            <w:rPr>
              <w:sz w:val="16"/>
              <w:szCs w:val="16"/>
            </w:rPr>
            <w:t xml:space="preserve">: </w:t>
          </w:r>
          <w:hyperlink r:id="rId12" w:history="1">
            <w:r w:rsidRPr="001C0356">
              <w:rPr>
                <w:rStyle w:val="Hyperlink"/>
                <w:sz w:val="16"/>
                <w:szCs w:val="16"/>
              </w:rPr>
              <w:t>www.industry.gov.au/OCE</w:t>
            </w:r>
          </w:hyperlink>
        </w:p>
        <w:p w14:paraId="146CA6BF" w14:textId="77777777" w:rsidR="001C0356" w:rsidRPr="00F9549A" w:rsidRDefault="001C0356" w:rsidP="001C0356">
          <w:pPr>
            <w:pStyle w:val="DisclaimerHeading"/>
            <w:ind w:left="0"/>
            <w:rPr>
              <w:rFonts w:eastAsia="Calibri"/>
            </w:rPr>
          </w:pPr>
          <w:r w:rsidRPr="00F9549A">
            <w:t xml:space="preserve">Creative Commons </w:t>
          </w:r>
          <w:proofErr w:type="spellStart"/>
          <w:r w:rsidRPr="00F9549A">
            <w:t>Licence</w:t>
          </w:r>
          <w:proofErr w:type="spellEnd"/>
        </w:p>
        <w:p w14:paraId="2745AC8E" w14:textId="65538F28" w:rsidR="001C0356" w:rsidRPr="00F9549A" w:rsidRDefault="001C0356" w:rsidP="001C0356">
          <w:pPr>
            <w:spacing w:after="120"/>
            <w:rPr>
              <w:rFonts w:eastAsia="Calibri" w:cs="Arial"/>
              <w:color w:val="000000"/>
              <w:sz w:val="16"/>
              <w:szCs w:val="18"/>
              <w:lang w:val="en"/>
            </w:rPr>
          </w:pPr>
          <w:r w:rsidRPr="00536765">
            <w:rPr>
              <w:rFonts w:eastAsia="Calibri" w:cs="Arial"/>
              <w:sz w:val="16"/>
              <w:szCs w:val="18"/>
              <w:lang w:val="en"/>
            </w:rPr>
            <w:t>© Commonwealth of Australia 2</w:t>
          </w:r>
          <w:r w:rsidRPr="00536765">
            <w:rPr>
              <w:rFonts w:eastAsia="Calibri" w:cs="Arial"/>
              <w:color w:val="000000"/>
              <w:sz w:val="16"/>
              <w:szCs w:val="18"/>
              <w:lang w:val="en"/>
            </w:rPr>
            <w:t>02</w:t>
          </w:r>
          <w:r w:rsidR="00536765" w:rsidRPr="00536765">
            <w:rPr>
              <w:rFonts w:eastAsia="Calibri" w:cs="Arial"/>
              <w:color w:val="000000"/>
              <w:sz w:val="16"/>
              <w:szCs w:val="18"/>
              <w:lang w:val="en"/>
            </w:rPr>
            <w:t>3</w:t>
          </w:r>
        </w:p>
        <w:p w14:paraId="36F97BC8" w14:textId="51A7F076" w:rsidR="001C0356" w:rsidRPr="00F9549A" w:rsidRDefault="0060545E" w:rsidP="001C0356">
          <w:pPr>
            <w:spacing w:after="120"/>
            <w:rPr>
              <w:rFonts w:eastAsia="Calibri" w:cs="Arial"/>
              <w:sz w:val="16"/>
              <w:szCs w:val="18"/>
              <w:lang w:val="en"/>
            </w:rPr>
          </w:pPr>
          <w:r w:rsidRPr="00F9549A">
            <w:rPr>
              <w:rFonts w:eastAsia="Calibri" w:cs="Arial"/>
              <w:noProof/>
              <w:sz w:val="16"/>
              <w:szCs w:val="18"/>
              <w:lang w:eastAsia="en-AU"/>
            </w:rPr>
            <w:drawing>
              <wp:anchor distT="0" distB="0" distL="114300" distR="114300" simplePos="0" relativeHeight="251658240" behindDoc="0" locked="0" layoutInCell="1" allowOverlap="1" wp14:anchorId="3471F4E5" wp14:editId="422D62B7">
                <wp:simplePos x="0" y="0"/>
                <wp:positionH relativeFrom="margin">
                  <wp:align>left</wp:align>
                </wp:positionH>
                <wp:positionV relativeFrom="paragraph">
                  <wp:posOffset>38100</wp:posOffset>
                </wp:positionV>
                <wp:extent cx="1219200" cy="419100"/>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rsidR="001C0356" w:rsidRPr="00F9549A">
            <w:rPr>
              <w:rFonts w:eastAsia="Calibri" w:cs="Arial"/>
              <w:sz w:val="16"/>
              <w:szCs w:val="18"/>
              <w:lang w:val="en"/>
            </w:rPr>
            <w:t xml:space="preserve">Creative Commons </w:t>
          </w:r>
          <w:r w:rsidR="001C0356" w:rsidRPr="00F9549A">
            <w:rPr>
              <w:rFonts w:eastAsia="Calibri" w:cs="Arial"/>
              <w:sz w:val="16"/>
              <w:szCs w:val="18"/>
              <w:lang w:val="en"/>
            </w:rPr>
            <w:br/>
            <w:t xml:space="preserve">Attribution 4.0 International </w:t>
          </w:r>
          <w:proofErr w:type="spellStart"/>
          <w:r w:rsidR="001C0356" w:rsidRPr="00F9549A">
            <w:rPr>
              <w:rFonts w:eastAsia="Calibri" w:cs="Arial"/>
              <w:sz w:val="16"/>
              <w:szCs w:val="18"/>
              <w:lang w:val="en"/>
            </w:rPr>
            <w:t>Licence</w:t>
          </w:r>
          <w:proofErr w:type="spellEnd"/>
          <w:r w:rsidR="001C0356" w:rsidRPr="00F9549A">
            <w:rPr>
              <w:rFonts w:eastAsia="Calibri" w:cs="Arial"/>
              <w:sz w:val="16"/>
              <w:szCs w:val="18"/>
              <w:lang w:val="en"/>
            </w:rPr>
            <w:br/>
            <w:t xml:space="preserve">CC BY 4.0 </w:t>
          </w:r>
        </w:p>
        <w:p w14:paraId="1C0E8A57" w14:textId="77777777" w:rsidR="001C0356" w:rsidRPr="00F9549A" w:rsidRDefault="001C0356" w:rsidP="001C0356">
          <w:pPr>
            <w:pStyle w:val="DisclaimerandAcknowledgement"/>
          </w:pPr>
          <w:r w:rsidRPr="00F9549A">
            <w:t xml:space="preserve">All material in this publication is licensed under a Creative Commons Attribution 4.0 International </w:t>
          </w:r>
          <w:proofErr w:type="spellStart"/>
          <w:r w:rsidRPr="00F9549A">
            <w:t>Licence</w:t>
          </w:r>
          <w:proofErr w:type="spellEnd"/>
          <w:r w:rsidRPr="00F9549A">
            <w:t xml:space="preserve">, </w:t>
          </w:r>
          <w:proofErr w:type="gramStart"/>
          <w:r w:rsidRPr="00F9549A">
            <w:t>with the exception of</w:t>
          </w:r>
          <w:proofErr w:type="gramEnd"/>
          <w:r w:rsidRPr="00F9549A">
            <w:t>:</w:t>
          </w:r>
        </w:p>
        <w:p w14:paraId="74DDE78C" w14:textId="77777777" w:rsidR="001C0356" w:rsidRPr="00F9549A" w:rsidRDefault="001C0356" w:rsidP="00970285">
          <w:pPr>
            <w:numPr>
              <w:ilvl w:val="0"/>
              <w:numId w:val="13"/>
            </w:numPr>
            <w:spacing w:after="0" w:line="264" w:lineRule="auto"/>
            <w:ind w:left="714" w:hanging="357"/>
            <w:jc w:val="both"/>
            <w:rPr>
              <w:rFonts w:eastAsia="Calibri" w:cs="Arial"/>
              <w:sz w:val="16"/>
              <w:szCs w:val="18"/>
              <w:lang w:val="en"/>
            </w:rPr>
          </w:pPr>
          <w:r w:rsidRPr="00F9549A">
            <w:rPr>
              <w:rFonts w:eastAsia="Calibri" w:cs="Arial"/>
              <w:sz w:val="16"/>
              <w:szCs w:val="18"/>
              <w:lang w:val="en"/>
            </w:rPr>
            <w:t xml:space="preserve">the Commonwealth Coat of </w:t>
          </w:r>
          <w:proofErr w:type="gramStart"/>
          <w:r w:rsidRPr="00F9549A">
            <w:rPr>
              <w:rFonts w:eastAsia="Calibri" w:cs="Arial"/>
              <w:sz w:val="16"/>
              <w:szCs w:val="18"/>
              <w:lang w:val="en"/>
            </w:rPr>
            <w:t>Arms;</w:t>
          </w:r>
          <w:proofErr w:type="gramEnd"/>
        </w:p>
        <w:p w14:paraId="0008CBB1" w14:textId="77777777" w:rsidR="001C0356" w:rsidRPr="00F9549A" w:rsidRDefault="001C0356" w:rsidP="00970285">
          <w:pPr>
            <w:numPr>
              <w:ilvl w:val="0"/>
              <w:numId w:val="13"/>
            </w:numPr>
            <w:spacing w:after="0" w:line="264" w:lineRule="auto"/>
            <w:ind w:left="714" w:hanging="357"/>
            <w:jc w:val="both"/>
            <w:rPr>
              <w:rFonts w:eastAsia="Calibri" w:cs="Arial"/>
              <w:sz w:val="16"/>
              <w:szCs w:val="18"/>
              <w:lang w:val="en"/>
            </w:rPr>
          </w:pPr>
          <w:r w:rsidRPr="00F9549A">
            <w:rPr>
              <w:rFonts w:eastAsia="Calibri" w:cs="Arial"/>
              <w:sz w:val="16"/>
              <w:szCs w:val="18"/>
              <w:lang w:val="en"/>
            </w:rPr>
            <w:t xml:space="preserve">content supplied by third </w:t>
          </w:r>
          <w:proofErr w:type="gramStart"/>
          <w:r w:rsidRPr="00F9549A">
            <w:rPr>
              <w:rFonts w:eastAsia="Calibri" w:cs="Arial"/>
              <w:sz w:val="16"/>
              <w:szCs w:val="18"/>
              <w:lang w:val="en"/>
            </w:rPr>
            <w:t>parties;</w:t>
          </w:r>
          <w:proofErr w:type="gramEnd"/>
        </w:p>
        <w:p w14:paraId="6C7AF314" w14:textId="77777777" w:rsidR="001C0356" w:rsidRPr="00F9549A" w:rsidRDefault="001C0356" w:rsidP="00970285">
          <w:pPr>
            <w:numPr>
              <w:ilvl w:val="0"/>
              <w:numId w:val="13"/>
            </w:numPr>
            <w:spacing w:after="0" w:line="264" w:lineRule="auto"/>
            <w:ind w:left="714" w:hanging="357"/>
            <w:jc w:val="both"/>
            <w:rPr>
              <w:rFonts w:eastAsia="Calibri" w:cs="Arial"/>
              <w:sz w:val="16"/>
              <w:szCs w:val="18"/>
              <w:lang w:val="en"/>
            </w:rPr>
          </w:pPr>
          <w:r w:rsidRPr="00F9549A">
            <w:rPr>
              <w:rFonts w:eastAsia="Calibri" w:cs="Arial"/>
              <w:sz w:val="16"/>
              <w:szCs w:val="18"/>
              <w:lang w:val="en"/>
            </w:rPr>
            <w:t>logos; and</w:t>
          </w:r>
        </w:p>
        <w:p w14:paraId="43CC45CC" w14:textId="77777777" w:rsidR="001C0356" w:rsidRPr="00F9549A" w:rsidRDefault="001C0356" w:rsidP="00970285">
          <w:pPr>
            <w:numPr>
              <w:ilvl w:val="0"/>
              <w:numId w:val="13"/>
            </w:numPr>
            <w:spacing w:after="120" w:line="264" w:lineRule="auto"/>
            <w:ind w:left="714" w:hanging="357"/>
            <w:jc w:val="both"/>
            <w:rPr>
              <w:rFonts w:eastAsia="Calibri" w:cs="Arial"/>
              <w:sz w:val="16"/>
              <w:szCs w:val="18"/>
              <w:lang w:val="en"/>
            </w:rPr>
          </w:pPr>
          <w:r w:rsidRPr="00F9549A">
            <w:rPr>
              <w:rFonts w:eastAsia="Calibri" w:cs="Arial"/>
              <w:sz w:val="16"/>
              <w:szCs w:val="18"/>
              <w:lang w:val="en"/>
            </w:rPr>
            <w:t>any material protected by trademark or otherwise noted in this publication.</w:t>
          </w:r>
        </w:p>
        <w:p w14:paraId="0E9E6A38" w14:textId="77777777" w:rsidR="001C0356" w:rsidRPr="00F9549A" w:rsidRDefault="001C0356" w:rsidP="001C0356">
          <w:pPr>
            <w:pStyle w:val="DisclaimerandAcknowledgement"/>
          </w:pPr>
          <w:r w:rsidRPr="00F9549A">
            <w:t xml:space="preserve">Creative Commons Attribution 4.0 International </w:t>
          </w:r>
          <w:proofErr w:type="spellStart"/>
          <w:r w:rsidRPr="00F9549A">
            <w:t>Licence</w:t>
          </w:r>
          <w:proofErr w:type="spellEnd"/>
          <w:r w:rsidRPr="00F9549A">
            <w:t xml:space="preserve"> is a standard form </w:t>
          </w:r>
          <w:proofErr w:type="spellStart"/>
          <w:r w:rsidRPr="00F9549A">
            <w:t>licence</w:t>
          </w:r>
          <w:proofErr w:type="spellEnd"/>
          <w:r w:rsidRPr="00F9549A">
            <w:t xml:space="preserve"> agreement that allows you to copy, distribute, transmit and adapt this publication provided you attribute the work. A summary of the </w:t>
          </w:r>
          <w:proofErr w:type="spellStart"/>
          <w:r w:rsidRPr="00F9549A">
            <w:t>licence</w:t>
          </w:r>
          <w:proofErr w:type="spellEnd"/>
          <w:r w:rsidRPr="00F9549A">
            <w:t xml:space="preserve"> terms is available from </w:t>
          </w:r>
          <w:hyperlink r:id="rId14" w:history="1">
            <w:r w:rsidRPr="00F9549A">
              <w:rPr>
                <w:color w:val="005CAF"/>
              </w:rPr>
              <w:t>https://creativecommons.org/licenses/by/4.0/</w:t>
            </w:r>
          </w:hyperlink>
        </w:p>
        <w:p w14:paraId="6E5DA847" w14:textId="77777777" w:rsidR="001C0356" w:rsidRPr="00F9549A" w:rsidRDefault="001C0356" w:rsidP="001C0356">
          <w:pPr>
            <w:pStyle w:val="DisclaimerandAcknowledgement"/>
          </w:pPr>
          <w:r w:rsidRPr="00F9549A">
            <w:t>Wherever a third party holds copyright in material contained in this publication, the copyright remains with that party. Their permission may be required to use the material. Please contact them directly.</w:t>
          </w:r>
        </w:p>
        <w:p w14:paraId="1A0DA601" w14:textId="77777777" w:rsidR="001C0356" w:rsidRPr="00F9549A" w:rsidRDefault="001C0356" w:rsidP="001C0356">
          <w:pPr>
            <w:pStyle w:val="DisclaimerHeading"/>
            <w:ind w:left="0"/>
          </w:pPr>
          <w:r w:rsidRPr="00F9549A">
            <w:t>Attribution</w:t>
          </w:r>
        </w:p>
        <w:p w14:paraId="18A631BB" w14:textId="77777777" w:rsidR="001C0356" w:rsidRPr="00F9549A" w:rsidRDefault="001C0356" w:rsidP="001C0356">
          <w:pPr>
            <w:pStyle w:val="DisclaimerandAcknowledgement"/>
          </w:pPr>
          <w:r w:rsidRPr="00F9549A">
            <w:t>Content contained herein should be attributed as follows:</w:t>
          </w:r>
        </w:p>
        <w:p w14:paraId="3ACEA3B5" w14:textId="73F20064" w:rsidR="001C0356" w:rsidRPr="00F9549A" w:rsidRDefault="001C0356" w:rsidP="001C0356">
          <w:pPr>
            <w:pStyle w:val="DisclaimerandAcknowledgement"/>
          </w:pPr>
          <w:r w:rsidRPr="00F9549A">
            <w:t>Department of Industry, Science</w:t>
          </w:r>
          <w:r>
            <w:t xml:space="preserve"> </w:t>
          </w:r>
          <w:r w:rsidRPr="00F9549A">
            <w:t xml:space="preserve">and Resources, Commonwealth of Australia </w:t>
          </w:r>
          <w:r w:rsidRPr="00F9549A">
            <w:br/>
            <w:t>&lt;</w:t>
          </w:r>
          <w:r>
            <w:t>Australian Industry Participation (AIP) Policy</w:t>
          </w:r>
          <w:r w:rsidR="00366DC2">
            <w:t xml:space="preserve"> </w:t>
          </w:r>
          <w:r w:rsidRPr="00F9549A">
            <w:t>Evaluation&gt;. The Commonwealth of Australia does not necessarily endorse the content of this publication.</w:t>
          </w:r>
        </w:p>
        <w:p w14:paraId="246B2941" w14:textId="147D2B72" w:rsidR="001C0356" w:rsidRPr="00F9549A" w:rsidRDefault="001C0356" w:rsidP="001C0356">
          <w:pPr>
            <w:pStyle w:val="DisclaimerandAcknowledgement"/>
          </w:pPr>
          <w:r w:rsidRPr="00F9549A">
            <w:t xml:space="preserve">Requests and inquiries concerning reproduction and rights should be addressed to </w:t>
          </w:r>
          <w:hyperlink r:id="rId15" w:history="1">
            <w:r w:rsidR="008E12A7" w:rsidRPr="003269C6">
              <w:rPr>
                <w:rStyle w:val="Hyperlink"/>
              </w:rPr>
              <w:t>Evaluation.Unit@industry.gov.au</w:t>
            </w:r>
          </w:hyperlink>
          <w:r w:rsidR="008E12A7">
            <w:rPr>
              <w:rStyle w:val="Hyperlink"/>
            </w:rPr>
            <w:t xml:space="preserve">. </w:t>
          </w:r>
        </w:p>
        <w:p w14:paraId="3E1A5591" w14:textId="77777777" w:rsidR="001C0356" w:rsidRPr="00F9549A" w:rsidRDefault="001C0356" w:rsidP="001C0356">
          <w:pPr>
            <w:pStyle w:val="DisclaimerHeading"/>
            <w:ind w:left="0"/>
          </w:pPr>
          <w:r w:rsidRPr="00F9549A">
            <w:t>Disclaimer</w:t>
          </w:r>
        </w:p>
        <w:p w14:paraId="135162F0" w14:textId="79E47BD9" w:rsidR="001C0356" w:rsidRPr="00F9549A" w:rsidRDefault="001C0356" w:rsidP="001C0356">
          <w:pPr>
            <w:pStyle w:val="DisclaimerandAcknowledgement"/>
          </w:pPr>
          <w:r w:rsidRPr="00F9549A">
            <w:t>The views expressed in this report are those of the author(s) and do not necessarily reflect those of the Australian Government or the Department of Industry, Science and Resources.</w:t>
          </w:r>
        </w:p>
        <w:p w14:paraId="344D3AB3" w14:textId="77777777" w:rsidR="001C0356" w:rsidRPr="00F9549A" w:rsidRDefault="001C0356" w:rsidP="001C0356">
          <w:pPr>
            <w:pStyle w:val="DisclaimerandAcknowledgement"/>
          </w:pPr>
          <w:r w:rsidRPr="00F9549A">
            <w:t>This publication is not legal or professional advice. The Commonwealth of Australia does not guarantee the accuracy or reliability of the information and data in the publication. Third parties rely upon this publication entirely at their own risk.</w:t>
          </w:r>
        </w:p>
        <w:p w14:paraId="11D1B0A2" w14:textId="77777777" w:rsidR="001C0356" w:rsidRDefault="001C0356" w:rsidP="001C0356">
          <w:pPr>
            <w:spacing w:after="120"/>
            <w:ind w:left="720"/>
            <w:rPr>
              <w:rFonts w:eastAsia="Calibri" w:cs="Arial"/>
              <w:color w:val="005CAF"/>
              <w:sz w:val="16"/>
              <w:szCs w:val="18"/>
              <w:lang w:val="en"/>
            </w:rPr>
          </w:pPr>
          <w:r w:rsidRPr="00F9549A">
            <w:rPr>
              <w:rStyle w:val="DisclaimerandAcknowledgementChar"/>
            </w:rPr>
            <w:t>For more information on Office of the Chief Economist research papers please access the Department’s website at</w:t>
          </w:r>
          <w:r w:rsidRPr="00F9549A">
            <w:rPr>
              <w:rFonts w:eastAsia="Calibri" w:cs="Arial"/>
              <w:sz w:val="16"/>
              <w:szCs w:val="18"/>
              <w:lang w:val="en"/>
            </w:rPr>
            <w:t xml:space="preserve">: </w:t>
          </w:r>
          <w:hyperlink r:id="rId16" w:history="1">
            <w:r w:rsidRPr="00F9549A">
              <w:rPr>
                <w:rFonts w:eastAsia="Calibri" w:cs="Arial"/>
                <w:color w:val="005CAF"/>
                <w:sz w:val="16"/>
                <w:szCs w:val="18"/>
                <w:lang w:val="en"/>
              </w:rPr>
              <w:t>www.industry.gov.au/OCE</w:t>
            </w:r>
          </w:hyperlink>
        </w:p>
        <w:p w14:paraId="4118EDE6" w14:textId="113AC832" w:rsidR="00CA6F9B" w:rsidRDefault="00E32679"/>
      </w:sdtContent>
    </w:sdt>
    <w:sdt>
      <w:sdtPr>
        <w:rPr>
          <w:rFonts w:ascii="Arial" w:eastAsiaTheme="minorHAnsi" w:hAnsi="Arial" w:cstheme="minorBidi"/>
          <w:b w:val="0"/>
          <w:color w:val="373737"/>
          <w:sz w:val="20"/>
          <w:szCs w:val="22"/>
        </w:rPr>
        <w:id w:val="1248545803"/>
        <w:docPartObj>
          <w:docPartGallery w:val="Table of Contents"/>
          <w:docPartUnique/>
        </w:docPartObj>
      </w:sdtPr>
      <w:sdtEndPr/>
      <w:sdtContent>
        <w:p w14:paraId="33DD8911" w14:textId="14A5518B" w:rsidR="003F00E8" w:rsidRPr="00FD4F2D" w:rsidRDefault="003F00E8" w:rsidP="008E12A7">
          <w:pPr>
            <w:pStyle w:val="Keypointsheader"/>
          </w:pPr>
          <w:r w:rsidRPr="005548B4">
            <w:t>Contents</w:t>
          </w:r>
        </w:p>
        <w:p w14:paraId="47BBFFBF" w14:textId="348834FE" w:rsidR="00EB0673" w:rsidRDefault="003F00E8">
          <w:pPr>
            <w:pStyle w:val="TOC1"/>
            <w:rPr>
              <w:rFonts w:asciiTheme="minorHAnsi" w:eastAsiaTheme="minorEastAsia" w:hAnsiTheme="minorHAnsi"/>
              <w:b w:val="0"/>
              <w:color w:val="auto"/>
              <w:kern w:val="2"/>
              <w:sz w:val="22"/>
              <w:szCs w:val="22"/>
              <w:lang w:eastAsia="en-AU"/>
              <w14:ligatures w14:val="standardContextual"/>
            </w:rPr>
          </w:pPr>
          <w:r>
            <w:rPr>
              <w:color w:val="595A5B"/>
            </w:rPr>
            <w:fldChar w:fldCharType="begin"/>
          </w:r>
          <w:r>
            <w:instrText xml:space="preserve"> TOC \o "1-1" \t "Heading 2,2,Heading 6,6" </w:instrText>
          </w:r>
          <w:r>
            <w:rPr>
              <w:color w:val="595A5B"/>
            </w:rPr>
            <w:fldChar w:fldCharType="separate"/>
          </w:r>
          <w:r w:rsidR="00EB0673">
            <w:t>Abbreviations and acronyms</w:t>
          </w:r>
          <w:r w:rsidR="00EB0673">
            <w:tab/>
          </w:r>
          <w:r w:rsidR="00EB0673">
            <w:fldChar w:fldCharType="begin"/>
          </w:r>
          <w:r w:rsidR="00EB0673">
            <w:instrText xml:space="preserve"> PAGEREF _Toc174018013 \h </w:instrText>
          </w:r>
          <w:r w:rsidR="00EB0673">
            <w:fldChar w:fldCharType="separate"/>
          </w:r>
          <w:r w:rsidR="00E32679">
            <w:t>ii</w:t>
          </w:r>
          <w:r w:rsidR="00EB0673">
            <w:fldChar w:fldCharType="end"/>
          </w:r>
        </w:p>
        <w:p w14:paraId="124F1A5B" w14:textId="2478C205" w:rsidR="00EB0673" w:rsidRDefault="00EB0673">
          <w:pPr>
            <w:pStyle w:val="TOC1"/>
            <w:rPr>
              <w:rFonts w:asciiTheme="minorHAnsi" w:eastAsiaTheme="minorEastAsia" w:hAnsiTheme="minorHAnsi"/>
              <w:b w:val="0"/>
              <w:color w:val="auto"/>
              <w:kern w:val="2"/>
              <w:sz w:val="22"/>
              <w:szCs w:val="22"/>
              <w:lang w:eastAsia="en-AU"/>
              <w14:ligatures w14:val="standardContextual"/>
            </w:rPr>
          </w:pPr>
          <w:r>
            <w:t xml:space="preserve">Executive </w:t>
          </w:r>
          <w:r w:rsidRPr="00274BDF">
            <w:t>summary</w:t>
          </w:r>
          <w:r>
            <w:tab/>
          </w:r>
          <w:r>
            <w:fldChar w:fldCharType="begin"/>
          </w:r>
          <w:r>
            <w:instrText xml:space="preserve"> PAGEREF _Toc174018014 \h </w:instrText>
          </w:r>
          <w:r>
            <w:fldChar w:fldCharType="separate"/>
          </w:r>
          <w:r w:rsidR="00E32679">
            <w:t>1</w:t>
          </w:r>
          <w:r>
            <w:fldChar w:fldCharType="end"/>
          </w:r>
        </w:p>
        <w:p w14:paraId="7FB2D1F9" w14:textId="78EB8753" w:rsidR="00EB0673" w:rsidRDefault="00EB0673">
          <w:pPr>
            <w:pStyle w:val="TOC1"/>
            <w:rPr>
              <w:rFonts w:asciiTheme="minorHAnsi" w:eastAsiaTheme="minorEastAsia" w:hAnsiTheme="minorHAnsi"/>
              <w:b w:val="0"/>
              <w:color w:val="auto"/>
              <w:kern w:val="2"/>
              <w:sz w:val="22"/>
              <w:szCs w:val="22"/>
              <w:lang w:eastAsia="en-AU"/>
              <w14:ligatures w14:val="standardContextual"/>
            </w:rPr>
          </w:pPr>
          <w:r>
            <w:t>Summary of findings and recommendations</w:t>
          </w:r>
          <w:r>
            <w:tab/>
          </w:r>
          <w:r>
            <w:fldChar w:fldCharType="begin"/>
          </w:r>
          <w:r>
            <w:instrText xml:space="preserve"> PAGEREF _Toc174018015 \h </w:instrText>
          </w:r>
          <w:r>
            <w:fldChar w:fldCharType="separate"/>
          </w:r>
          <w:r w:rsidR="00E32679">
            <w:t>3</w:t>
          </w:r>
          <w:r>
            <w:fldChar w:fldCharType="end"/>
          </w:r>
        </w:p>
        <w:p w14:paraId="0A2E3126" w14:textId="4617693D" w:rsidR="00EB0673" w:rsidRDefault="00EB0673">
          <w:pPr>
            <w:pStyle w:val="TOC1"/>
            <w:rPr>
              <w:rFonts w:asciiTheme="minorHAnsi" w:eastAsiaTheme="minorEastAsia" w:hAnsiTheme="minorHAnsi"/>
              <w:b w:val="0"/>
              <w:color w:val="auto"/>
              <w:kern w:val="2"/>
              <w:sz w:val="22"/>
              <w:szCs w:val="22"/>
              <w:lang w:eastAsia="en-AU"/>
              <w14:ligatures w14:val="standardContextual"/>
            </w:rPr>
          </w:pPr>
          <w:r>
            <w:t>1.</w:t>
          </w:r>
          <w:r>
            <w:rPr>
              <w:rFonts w:asciiTheme="minorHAnsi" w:eastAsiaTheme="minorEastAsia" w:hAnsiTheme="minorHAnsi"/>
              <w:b w:val="0"/>
              <w:color w:val="auto"/>
              <w:kern w:val="2"/>
              <w:sz w:val="22"/>
              <w:szCs w:val="22"/>
              <w:lang w:eastAsia="en-AU"/>
              <w14:ligatures w14:val="standardContextual"/>
            </w:rPr>
            <w:tab/>
          </w:r>
          <w:r>
            <w:t>Introduction</w:t>
          </w:r>
          <w:r>
            <w:tab/>
          </w:r>
          <w:r>
            <w:fldChar w:fldCharType="begin"/>
          </w:r>
          <w:r>
            <w:instrText xml:space="preserve"> PAGEREF _Toc174018016 \h </w:instrText>
          </w:r>
          <w:r>
            <w:fldChar w:fldCharType="separate"/>
          </w:r>
          <w:r w:rsidR="00E32679">
            <w:t>6</w:t>
          </w:r>
          <w:r>
            <w:fldChar w:fldCharType="end"/>
          </w:r>
        </w:p>
        <w:p w14:paraId="292043AA" w14:textId="5BD2DD9F" w:rsidR="00EB0673" w:rsidRDefault="00EB0673">
          <w:pPr>
            <w:pStyle w:val="TOC2"/>
            <w:rPr>
              <w:rFonts w:asciiTheme="minorHAnsi" w:eastAsiaTheme="minorEastAsia" w:hAnsiTheme="minorHAnsi"/>
              <w:color w:val="auto"/>
              <w:kern w:val="2"/>
              <w:sz w:val="22"/>
              <w:lang w:eastAsia="en-AU"/>
              <w14:ligatures w14:val="standardContextual"/>
            </w:rPr>
          </w:pPr>
          <w:r w:rsidRPr="00274BDF">
            <w:rPr>
              <w:bCs/>
            </w:rPr>
            <w:t>1.1</w:t>
          </w:r>
          <w:r>
            <w:rPr>
              <w:rFonts w:asciiTheme="minorHAnsi" w:eastAsiaTheme="minorEastAsia" w:hAnsiTheme="minorHAnsi"/>
              <w:color w:val="auto"/>
              <w:kern w:val="2"/>
              <w:sz w:val="22"/>
              <w:lang w:eastAsia="en-AU"/>
              <w14:ligatures w14:val="standardContextual"/>
            </w:rPr>
            <w:tab/>
          </w:r>
          <w:r w:rsidRPr="00274BDF">
            <w:rPr>
              <w:bCs/>
            </w:rPr>
            <w:t>Australian Industry Participation (AIP) policy</w:t>
          </w:r>
          <w:r>
            <w:tab/>
          </w:r>
          <w:r>
            <w:fldChar w:fldCharType="begin"/>
          </w:r>
          <w:r>
            <w:instrText xml:space="preserve"> PAGEREF _Toc174018017 \h </w:instrText>
          </w:r>
          <w:r>
            <w:fldChar w:fldCharType="separate"/>
          </w:r>
          <w:r w:rsidR="00E32679">
            <w:t>6</w:t>
          </w:r>
          <w:r>
            <w:fldChar w:fldCharType="end"/>
          </w:r>
        </w:p>
        <w:p w14:paraId="55D0A7D3" w14:textId="141C29C1" w:rsidR="00EB0673" w:rsidRDefault="00EB0673">
          <w:pPr>
            <w:pStyle w:val="TOC2"/>
            <w:rPr>
              <w:rFonts w:asciiTheme="minorHAnsi" w:eastAsiaTheme="minorEastAsia" w:hAnsiTheme="minorHAnsi"/>
              <w:color w:val="auto"/>
              <w:kern w:val="2"/>
              <w:sz w:val="22"/>
              <w:lang w:eastAsia="en-AU"/>
              <w14:ligatures w14:val="standardContextual"/>
            </w:rPr>
          </w:pPr>
          <w:r>
            <w:t>1.2</w:t>
          </w:r>
          <w:r>
            <w:rPr>
              <w:rFonts w:asciiTheme="minorHAnsi" w:eastAsiaTheme="minorEastAsia" w:hAnsiTheme="minorHAnsi"/>
              <w:color w:val="auto"/>
              <w:kern w:val="2"/>
              <w:sz w:val="22"/>
              <w:lang w:eastAsia="en-AU"/>
              <w14:ligatures w14:val="standardContextual"/>
            </w:rPr>
            <w:tab/>
          </w:r>
          <w:r>
            <w:t>Authority for the evaluation</w:t>
          </w:r>
          <w:r>
            <w:tab/>
          </w:r>
          <w:r>
            <w:fldChar w:fldCharType="begin"/>
          </w:r>
          <w:r>
            <w:instrText xml:space="preserve"> PAGEREF _Toc174018018 \h </w:instrText>
          </w:r>
          <w:r>
            <w:fldChar w:fldCharType="separate"/>
          </w:r>
          <w:r w:rsidR="00E32679">
            <w:t>8</w:t>
          </w:r>
          <w:r>
            <w:fldChar w:fldCharType="end"/>
          </w:r>
        </w:p>
        <w:p w14:paraId="40C3260A" w14:textId="55230529" w:rsidR="00EB0673" w:rsidRDefault="00EB0673">
          <w:pPr>
            <w:pStyle w:val="TOC2"/>
            <w:rPr>
              <w:rFonts w:asciiTheme="minorHAnsi" w:eastAsiaTheme="minorEastAsia" w:hAnsiTheme="minorHAnsi"/>
              <w:color w:val="auto"/>
              <w:kern w:val="2"/>
              <w:sz w:val="22"/>
              <w:lang w:eastAsia="en-AU"/>
              <w14:ligatures w14:val="standardContextual"/>
            </w:rPr>
          </w:pPr>
          <w:r>
            <w:t>1.3</w:t>
          </w:r>
          <w:r>
            <w:rPr>
              <w:rFonts w:asciiTheme="minorHAnsi" w:eastAsiaTheme="minorEastAsia" w:hAnsiTheme="minorHAnsi"/>
              <w:color w:val="auto"/>
              <w:kern w:val="2"/>
              <w:sz w:val="22"/>
              <w:lang w:eastAsia="en-AU"/>
              <w14:ligatures w14:val="standardContextual"/>
            </w:rPr>
            <w:tab/>
          </w:r>
          <w:r>
            <w:t>Evaluation scope, timing and questions</w:t>
          </w:r>
          <w:r>
            <w:tab/>
          </w:r>
          <w:r>
            <w:fldChar w:fldCharType="begin"/>
          </w:r>
          <w:r>
            <w:instrText xml:space="preserve"> PAGEREF _Toc174018019 \h </w:instrText>
          </w:r>
          <w:r>
            <w:fldChar w:fldCharType="separate"/>
          </w:r>
          <w:r w:rsidR="00E32679">
            <w:t>8</w:t>
          </w:r>
          <w:r>
            <w:fldChar w:fldCharType="end"/>
          </w:r>
        </w:p>
        <w:p w14:paraId="1997260D" w14:textId="32859EDD" w:rsidR="00EB0673" w:rsidRDefault="00EB0673">
          <w:pPr>
            <w:pStyle w:val="TOC2"/>
            <w:rPr>
              <w:rFonts w:asciiTheme="minorHAnsi" w:eastAsiaTheme="minorEastAsia" w:hAnsiTheme="minorHAnsi"/>
              <w:color w:val="auto"/>
              <w:kern w:val="2"/>
              <w:sz w:val="22"/>
              <w:lang w:eastAsia="en-AU"/>
              <w14:ligatures w14:val="standardContextual"/>
            </w:rPr>
          </w:pPr>
          <w:r>
            <w:t>1.4</w:t>
          </w:r>
          <w:r>
            <w:rPr>
              <w:rFonts w:asciiTheme="minorHAnsi" w:eastAsiaTheme="minorEastAsia" w:hAnsiTheme="minorHAnsi"/>
              <w:color w:val="auto"/>
              <w:kern w:val="2"/>
              <w:sz w:val="22"/>
              <w:lang w:eastAsia="en-AU"/>
              <w14:ligatures w14:val="standardContextual"/>
            </w:rPr>
            <w:tab/>
          </w:r>
          <w:r>
            <w:t>Governance of the evaluation</w:t>
          </w:r>
          <w:r>
            <w:tab/>
          </w:r>
          <w:r>
            <w:fldChar w:fldCharType="begin"/>
          </w:r>
          <w:r>
            <w:instrText xml:space="preserve"> PAGEREF _Toc174018020 \h </w:instrText>
          </w:r>
          <w:r>
            <w:fldChar w:fldCharType="separate"/>
          </w:r>
          <w:r w:rsidR="00E32679">
            <w:t>9</w:t>
          </w:r>
          <w:r>
            <w:fldChar w:fldCharType="end"/>
          </w:r>
        </w:p>
        <w:p w14:paraId="569B8116" w14:textId="7FD906A8" w:rsidR="00EB0673" w:rsidRDefault="00EB0673">
          <w:pPr>
            <w:pStyle w:val="TOC2"/>
            <w:rPr>
              <w:rFonts w:asciiTheme="minorHAnsi" w:eastAsiaTheme="minorEastAsia" w:hAnsiTheme="minorHAnsi"/>
              <w:color w:val="auto"/>
              <w:kern w:val="2"/>
              <w:sz w:val="22"/>
              <w:lang w:eastAsia="en-AU"/>
              <w14:ligatures w14:val="standardContextual"/>
            </w:rPr>
          </w:pPr>
          <w:r>
            <w:t>1.5</w:t>
          </w:r>
          <w:r>
            <w:rPr>
              <w:rFonts w:asciiTheme="minorHAnsi" w:eastAsiaTheme="minorEastAsia" w:hAnsiTheme="minorHAnsi"/>
              <w:color w:val="auto"/>
              <w:kern w:val="2"/>
              <w:sz w:val="22"/>
              <w:lang w:eastAsia="en-AU"/>
              <w14:ligatures w14:val="standardContextual"/>
            </w:rPr>
            <w:tab/>
          </w:r>
          <w:r>
            <w:t>Evaluation methodology</w:t>
          </w:r>
          <w:r>
            <w:tab/>
          </w:r>
          <w:r>
            <w:fldChar w:fldCharType="begin"/>
          </w:r>
          <w:r>
            <w:instrText xml:space="preserve"> PAGEREF _Toc174018021 \h </w:instrText>
          </w:r>
          <w:r>
            <w:fldChar w:fldCharType="separate"/>
          </w:r>
          <w:r w:rsidR="00E32679">
            <w:t>10</w:t>
          </w:r>
          <w:r>
            <w:fldChar w:fldCharType="end"/>
          </w:r>
        </w:p>
        <w:p w14:paraId="26B403F5" w14:textId="3633ED07" w:rsidR="00EB0673" w:rsidRDefault="00EB0673">
          <w:pPr>
            <w:pStyle w:val="TOC2"/>
            <w:rPr>
              <w:rFonts w:asciiTheme="minorHAnsi" w:eastAsiaTheme="minorEastAsia" w:hAnsiTheme="minorHAnsi"/>
              <w:color w:val="auto"/>
              <w:kern w:val="2"/>
              <w:sz w:val="22"/>
              <w:lang w:eastAsia="en-AU"/>
              <w14:ligatures w14:val="standardContextual"/>
            </w:rPr>
          </w:pPr>
          <w:r>
            <w:t>1.6</w:t>
          </w:r>
          <w:r>
            <w:rPr>
              <w:rFonts w:asciiTheme="minorHAnsi" w:eastAsiaTheme="minorEastAsia" w:hAnsiTheme="minorHAnsi"/>
              <w:color w:val="auto"/>
              <w:kern w:val="2"/>
              <w:sz w:val="22"/>
              <w:lang w:eastAsia="en-AU"/>
              <w14:ligatures w14:val="standardContextual"/>
            </w:rPr>
            <w:tab/>
          </w:r>
          <w:r>
            <w:t>Structure of the report</w:t>
          </w:r>
          <w:r>
            <w:tab/>
          </w:r>
          <w:r>
            <w:fldChar w:fldCharType="begin"/>
          </w:r>
          <w:r>
            <w:instrText xml:space="preserve"> PAGEREF _Toc174018022 \h </w:instrText>
          </w:r>
          <w:r>
            <w:fldChar w:fldCharType="separate"/>
          </w:r>
          <w:r w:rsidR="00E32679">
            <w:t>10</w:t>
          </w:r>
          <w:r>
            <w:fldChar w:fldCharType="end"/>
          </w:r>
        </w:p>
        <w:p w14:paraId="6308951C" w14:textId="383236F4" w:rsidR="00EB0673" w:rsidRDefault="00EB0673">
          <w:pPr>
            <w:pStyle w:val="TOC1"/>
            <w:rPr>
              <w:rFonts w:asciiTheme="minorHAnsi" w:eastAsiaTheme="minorEastAsia" w:hAnsiTheme="minorHAnsi"/>
              <w:b w:val="0"/>
              <w:color w:val="auto"/>
              <w:kern w:val="2"/>
              <w:sz w:val="22"/>
              <w:szCs w:val="22"/>
              <w:lang w:eastAsia="en-AU"/>
              <w14:ligatures w14:val="standardContextual"/>
            </w:rPr>
          </w:pPr>
          <w:r>
            <w:t>2.</w:t>
          </w:r>
          <w:r>
            <w:rPr>
              <w:rFonts w:asciiTheme="minorHAnsi" w:eastAsiaTheme="minorEastAsia" w:hAnsiTheme="minorHAnsi"/>
              <w:b w:val="0"/>
              <w:color w:val="auto"/>
              <w:kern w:val="2"/>
              <w:sz w:val="22"/>
              <w:szCs w:val="22"/>
              <w:lang w:eastAsia="en-AU"/>
              <w14:ligatures w14:val="standardContextual"/>
            </w:rPr>
            <w:tab/>
          </w:r>
          <w:r>
            <w:t>Design</w:t>
          </w:r>
          <w:r>
            <w:tab/>
          </w:r>
          <w:r>
            <w:fldChar w:fldCharType="begin"/>
          </w:r>
          <w:r>
            <w:instrText xml:space="preserve"> PAGEREF _Toc174018023 \h </w:instrText>
          </w:r>
          <w:r>
            <w:fldChar w:fldCharType="separate"/>
          </w:r>
          <w:r w:rsidR="00E32679">
            <w:t>11</w:t>
          </w:r>
          <w:r>
            <w:fldChar w:fldCharType="end"/>
          </w:r>
        </w:p>
        <w:p w14:paraId="5B4D3B79" w14:textId="4CA918DD" w:rsidR="00EB0673" w:rsidRDefault="00EB0673">
          <w:pPr>
            <w:pStyle w:val="TOC2"/>
            <w:rPr>
              <w:rFonts w:asciiTheme="minorHAnsi" w:eastAsiaTheme="minorEastAsia" w:hAnsiTheme="minorHAnsi"/>
              <w:color w:val="auto"/>
              <w:kern w:val="2"/>
              <w:sz w:val="22"/>
              <w:lang w:eastAsia="en-AU"/>
              <w14:ligatures w14:val="standardContextual"/>
            </w:rPr>
          </w:pPr>
          <w:r>
            <w:t>2.1</w:t>
          </w:r>
          <w:r>
            <w:rPr>
              <w:rFonts w:asciiTheme="minorHAnsi" w:eastAsiaTheme="minorEastAsia" w:hAnsiTheme="minorHAnsi"/>
              <w:color w:val="auto"/>
              <w:kern w:val="2"/>
              <w:sz w:val="22"/>
              <w:lang w:eastAsia="en-AU"/>
              <w14:ligatures w14:val="standardContextual"/>
            </w:rPr>
            <w:tab/>
          </w:r>
          <w:r>
            <w:t>Systemic Barriers and AIP objectives</w:t>
          </w:r>
          <w:r>
            <w:tab/>
          </w:r>
          <w:r>
            <w:fldChar w:fldCharType="begin"/>
          </w:r>
          <w:r>
            <w:instrText xml:space="preserve"> PAGEREF _Toc174018024 \h </w:instrText>
          </w:r>
          <w:r>
            <w:fldChar w:fldCharType="separate"/>
          </w:r>
          <w:r w:rsidR="00E32679">
            <w:t>11</w:t>
          </w:r>
          <w:r>
            <w:fldChar w:fldCharType="end"/>
          </w:r>
        </w:p>
        <w:p w14:paraId="3CEF64CD" w14:textId="3CE28F5E" w:rsidR="00EB0673" w:rsidRDefault="00EB0673">
          <w:pPr>
            <w:pStyle w:val="TOC2"/>
            <w:rPr>
              <w:rFonts w:asciiTheme="minorHAnsi" w:eastAsiaTheme="minorEastAsia" w:hAnsiTheme="minorHAnsi"/>
              <w:color w:val="auto"/>
              <w:kern w:val="2"/>
              <w:sz w:val="22"/>
              <w:lang w:eastAsia="en-AU"/>
              <w14:ligatures w14:val="standardContextual"/>
            </w:rPr>
          </w:pPr>
          <w:r>
            <w:t>2.2</w:t>
          </w:r>
          <w:r>
            <w:rPr>
              <w:rFonts w:asciiTheme="minorHAnsi" w:eastAsiaTheme="minorEastAsia" w:hAnsiTheme="minorHAnsi"/>
              <w:color w:val="auto"/>
              <w:kern w:val="2"/>
              <w:sz w:val="22"/>
              <w:lang w:eastAsia="en-AU"/>
              <w14:ligatures w14:val="standardContextual"/>
            </w:rPr>
            <w:tab/>
          </w:r>
          <w:r>
            <w:t>AIP National Framework</w:t>
          </w:r>
          <w:r>
            <w:tab/>
          </w:r>
          <w:r>
            <w:fldChar w:fldCharType="begin"/>
          </w:r>
          <w:r>
            <w:instrText xml:space="preserve"> PAGEREF _Toc174018025 \h </w:instrText>
          </w:r>
          <w:r>
            <w:fldChar w:fldCharType="separate"/>
          </w:r>
          <w:r w:rsidR="00E32679">
            <w:t>12</w:t>
          </w:r>
          <w:r>
            <w:fldChar w:fldCharType="end"/>
          </w:r>
        </w:p>
        <w:p w14:paraId="46FAF021" w14:textId="343BA8FB" w:rsidR="00EB0673" w:rsidRDefault="00EB0673">
          <w:pPr>
            <w:pStyle w:val="TOC2"/>
            <w:rPr>
              <w:rFonts w:asciiTheme="minorHAnsi" w:eastAsiaTheme="minorEastAsia" w:hAnsiTheme="minorHAnsi"/>
              <w:color w:val="auto"/>
              <w:kern w:val="2"/>
              <w:sz w:val="22"/>
              <w:lang w:eastAsia="en-AU"/>
              <w14:ligatures w14:val="standardContextual"/>
            </w:rPr>
          </w:pPr>
          <w:r>
            <w:t>2.3</w:t>
          </w:r>
          <w:r>
            <w:rPr>
              <w:rFonts w:asciiTheme="minorHAnsi" w:eastAsiaTheme="minorEastAsia" w:hAnsiTheme="minorHAnsi"/>
              <w:color w:val="auto"/>
              <w:kern w:val="2"/>
              <w:sz w:val="22"/>
              <w:lang w:eastAsia="en-AU"/>
              <w14:ligatures w14:val="standardContextual"/>
            </w:rPr>
            <w:tab/>
          </w:r>
          <w:r>
            <w:t>AIP thresholds, scope, criteria and trigger dates</w:t>
          </w:r>
          <w:r>
            <w:tab/>
          </w:r>
          <w:r>
            <w:fldChar w:fldCharType="begin"/>
          </w:r>
          <w:r>
            <w:instrText xml:space="preserve"> PAGEREF _Toc174018026 \h </w:instrText>
          </w:r>
          <w:r>
            <w:fldChar w:fldCharType="separate"/>
          </w:r>
          <w:r w:rsidR="00E32679">
            <w:t>13</w:t>
          </w:r>
          <w:r>
            <w:fldChar w:fldCharType="end"/>
          </w:r>
        </w:p>
        <w:p w14:paraId="23DAEBCB" w14:textId="60815420" w:rsidR="00EB0673" w:rsidRDefault="00EB0673">
          <w:pPr>
            <w:pStyle w:val="TOC1"/>
            <w:rPr>
              <w:rFonts w:asciiTheme="minorHAnsi" w:eastAsiaTheme="minorEastAsia" w:hAnsiTheme="minorHAnsi"/>
              <w:b w:val="0"/>
              <w:color w:val="auto"/>
              <w:kern w:val="2"/>
              <w:sz w:val="22"/>
              <w:szCs w:val="22"/>
              <w:lang w:eastAsia="en-AU"/>
              <w14:ligatures w14:val="standardContextual"/>
            </w:rPr>
          </w:pPr>
          <w:r>
            <w:t>3.</w:t>
          </w:r>
          <w:r>
            <w:rPr>
              <w:rFonts w:asciiTheme="minorHAnsi" w:eastAsiaTheme="minorEastAsia" w:hAnsiTheme="minorHAnsi"/>
              <w:b w:val="0"/>
              <w:color w:val="auto"/>
              <w:kern w:val="2"/>
              <w:sz w:val="22"/>
              <w:szCs w:val="22"/>
              <w:lang w:eastAsia="en-AU"/>
              <w14:ligatures w14:val="standardContextual"/>
            </w:rPr>
            <w:tab/>
          </w:r>
          <w:r>
            <w:t>Implementation</w:t>
          </w:r>
          <w:r>
            <w:tab/>
          </w:r>
          <w:r>
            <w:fldChar w:fldCharType="begin"/>
          </w:r>
          <w:r>
            <w:instrText xml:space="preserve"> PAGEREF _Toc174018027 \h </w:instrText>
          </w:r>
          <w:r>
            <w:fldChar w:fldCharType="separate"/>
          </w:r>
          <w:r w:rsidR="00E32679">
            <w:t>17</w:t>
          </w:r>
          <w:r>
            <w:fldChar w:fldCharType="end"/>
          </w:r>
        </w:p>
        <w:p w14:paraId="2094A15E" w14:textId="7DEA7100" w:rsidR="00EB0673" w:rsidRDefault="00EB0673">
          <w:pPr>
            <w:pStyle w:val="TOC2"/>
            <w:rPr>
              <w:rFonts w:asciiTheme="minorHAnsi" w:eastAsiaTheme="minorEastAsia" w:hAnsiTheme="minorHAnsi"/>
              <w:color w:val="auto"/>
              <w:kern w:val="2"/>
              <w:sz w:val="22"/>
              <w:lang w:eastAsia="en-AU"/>
              <w14:ligatures w14:val="standardContextual"/>
            </w:rPr>
          </w:pPr>
          <w:r>
            <w:t>3.1</w:t>
          </w:r>
          <w:r>
            <w:rPr>
              <w:rFonts w:asciiTheme="minorHAnsi" w:eastAsiaTheme="minorEastAsia" w:hAnsiTheme="minorHAnsi"/>
              <w:color w:val="auto"/>
              <w:kern w:val="2"/>
              <w:sz w:val="22"/>
              <w:lang w:eastAsia="en-AU"/>
              <w14:ligatures w14:val="standardContextual"/>
            </w:rPr>
            <w:tab/>
          </w:r>
          <w:r>
            <w:t>Implementation of the Jobs Act</w:t>
          </w:r>
          <w:r>
            <w:tab/>
          </w:r>
          <w:r>
            <w:fldChar w:fldCharType="begin"/>
          </w:r>
          <w:r>
            <w:instrText xml:space="preserve"> PAGEREF _Toc174018028 \h </w:instrText>
          </w:r>
          <w:r>
            <w:fldChar w:fldCharType="separate"/>
          </w:r>
          <w:r w:rsidR="00E32679">
            <w:t>17</w:t>
          </w:r>
          <w:r>
            <w:fldChar w:fldCharType="end"/>
          </w:r>
        </w:p>
        <w:p w14:paraId="00FF45BB" w14:textId="1C422D2D" w:rsidR="00EB0673" w:rsidRDefault="00EB0673">
          <w:pPr>
            <w:pStyle w:val="TOC2"/>
            <w:rPr>
              <w:rFonts w:asciiTheme="minorHAnsi" w:eastAsiaTheme="minorEastAsia" w:hAnsiTheme="minorHAnsi"/>
              <w:color w:val="auto"/>
              <w:kern w:val="2"/>
              <w:sz w:val="22"/>
              <w:lang w:eastAsia="en-AU"/>
              <w14:ligatures w14:val="standardContextual"/>
            </w:rPr>
          </w:pPr>
          <w:r>
            <w:t>3.2</w:t>
          </w:r>
          <w:r>
            <w:rPr>
              <w:rFonts w:asciiTheme="minorHAnsi" w:eastAsiaTheme="minorEastAsia" w:hAnsiTheme="minorHAnsi"/>
              <w:color w:val="auto"/>
              <w:kern w:val="2"/>
              <w:sz w:val="22"/>
              <w:lang w:eastAsia="en-AU"/>
              <w14:ligatures w14:val="standardContextual"/>
            </w:rPr>
            <w:tab/>
          </w:r>
          <w:r>
            <w:t>Compliance and Governance</w:t>
          </w:r>
          <w:r>
            <w:tab/>
          </w:r>
          <w:r>
            <w:fldChar w:fldCharType="begin"/>
          </w:r>
          <w:r>
            <w:instrText xml:space="preserve"> PAGEREF _Toc174018029 \h </w:instrText>
          </w:r>
          <w:r>
            <w:fldChar w:fldCharType="separate"/>
          </w:r>
          <w:r w:rsidR="00E32679">
            <w:t>19</w:t>
          </w:r>
          <w:r>
            <w:fldChar w:fldCharType="end"/>
          </w:r>
        </w:p>
        <w:p w14:paraId="5C22BB59" w14:textId="7655829A" w:rsidR="00EB0673" w:rsidRDefault="00EB0673">
          <w:pPr>
            <w:pStyle w:val="TOC2"/>
            <w:rPr>
              <w:rFonts w:asciiTheme="minorHAnsi" w:eastAsiaTheme="minorEastAsia" w:hAnsiTheme="minorHAnsi"/>
              <w:color w:val="auto"/>
              <w:kern w:val="2"/>
              <w:sz w:val="22"/>
              <w:lang w:eastAsia="en-AU"/>
              <w14:ligatures w14:val="standardContextual"/>
            </w:rPr>
          </w:pPr>
          <w:r>
            <w:t>3.3</w:t>
          </w:r>
          <w:r>
            <w:rPr>
              <w:rFonts w:asciiTheme="minorHAnsi" w:eastAsiaTheme="minorEastAsia" w:hAnsiTheme="minorHAnsi"/>
              <w:color w:val="auto"/>
              <w:kern w:val="2"/>
              <w:sz w:val="22"/>
              <w:lang w:eastAsia="en-AU"/>
              <w14:ligatures w14:val="standardContextual"/>
            </w:rPr>
            <w:tab/>
          </w:r>
          <w:r>
            <w:t>Data collection, management and analysis</w:t>
          </w:r>
          <w:r>
            <w:tab/>
          </w:r>
          <w:r>
            <w:fldChar w:fldCharType="begin"/>
          </w:r>
          <w:r>
            <w:instrText xml:space="preserve"> PAGEREF _Toc174018030 \h </w:instrText>
          </w:r>
          <w:r>
            <w:fldChar w:fldCharType="separate"/>
          </w:r>
          <w:r w:rsidR="00E32679">
            <w:t>23</w:t>
          </w:r>
          <w:r>
            <w:fldChar w:fldCharType="end"/>
          </w:r>
        </w:p>
        <w:p w14:paraId="3B7A29D0" w14:textId="5685A4B1" w:rsidR="00EB0673" w:rsidRDefault="00EB0673">
          <w:pPr>
            <w:pStyle w:val="TOC1"/>
            <w:rPr>
              <w:rFonts w:asciiTheme="minorHAnsi" w:eastAsiaTheme="minorEastAsia" w:hAnsiTheme="minorHAnsi"/>
              <w:b w:val="0"/>
              <w:color w:val="auto"/>
              <w:kern w:val="2"/>
              <w:sz w:val="22"/>
              <w:szCs w:val="22"/>
              <w:lang w:eastAsia="en-AU"/>
              <w14:ligatures w14:val="standardContextual"/>
            </w:rPr>
          </w:pPr>
          <w:r>
            <w:t>4.</w:t>
          </w:r>
          <w:r>
            <w:rPr>
              <w:rFonts w:asciiTheme="minorHAnsi" w:eastAsiaTheme="minorEastAsia" w:hAnsiTheme="minorHAnsi"/>
              <w:b w:val="0"/>
              <w:color w:val="auto"/>
              <w:kern w:val="2"/>
              <w:sz w:val="22"/>
              <w:szCs w:val="22"/>
              <w:lang w:eastAsia="en-AU"/>
              <w14:ligatures w14:val="standardContextual"/>
            </w:rPr>
            <w:tab/>
          </w:r>
          <w:r>
            <w:t>Outcomes</w:t>
          </w:r>
          <w:r>
            <w:tab/>
          </w:r>
          <w:r>
            <w:fldChar w:fldCharType="begin"/>
          </w:r>
          <w:r>
            <w:instrText xml:space="preserve"> PAGEREF _Toc174018031 \h </w:instrText>
          </w:r>
          <w:r>
            <w:fldChar w:fldCharType="separate"/>
          </w:r>
          <w:r w:rsidR="00E32679">
            <w:t>25</w:t>
          </w:r>
          <w:r>
            <w:fldChar w:fldCharType="end"/>
          </w:r>
        </w:p>
        <w:p w14:paraId="58A2E5C1" w14:textId="4656F29A" w:rsidR="00EB0673" w:rsidRDefault="00EB0673">
          <w:pPr>
            <w:pStyle w:val="TOC2"/>
            <w:rPr>
              <w:rFonts w:asciiTheme="minorHAnsi" w:eastAsiaTheme="minorEastAsia" w:hAnsiTheme="minorHAnsi"/>
              <w:color w:val="auto"/>
              <w:kern w:val="2"/>
              <w:sz w:val="22"/>
              <w:lang w:eastAsia="en-AU"/>
              <w14:ligatures w14:val="standardContextual"/>
            </w:rPr>
          </w:pPr>
          <w:r>
            <w:t>4.1</w:t>
          </w:r>
          <w:r>
            <w:rPr>
              <w:rFonts w:asciiTheme="minorHAnsi" w:eastAsiaTheme="minorEastAsia" w:hAnsiTheme="minorHAnsi"/>
              <w:color w:val="auto"/>
              <w:kern w:val="2"/>
              <w:sz w:val="22"/>
              <w:lang w:eastAsia="en-AU"/>
              <w14:ligatures w14:val="standardContextual"/>
            </w:rPr>
            <w:tab/>
          </w:r>
          <w:r>
            <w:t>Awareness of supplier capability and project opportunities</w:t>
          </w:r>
          <w:r>
            <w:tab/>
          </w:r>
          <w:r>
            <w:fldChar w:fldCharType="begin"/>
          </w:r>
          <w:r>
            <w:instrText xml:space="preserve"> PAGEREF _Toc174018032 \h </w:instrText>
          </w:r>
          <w:r>
            <w:fldChar w:fldCharType="separate"/>
          </w:r>
          <w:r w:rsidR="00E32679">
            <w:t>25</w:t>
          </w:r>
          <w:r>
            <w:fldChar w:fldCharType="end"/>
          </w:r>
        </w:p>
        <w:p w14:paraId="7C550B1B" w14:textId="4698DD14" w:rsidR="00EB0673" w:rsidRDefault="00EB0673">
          <w:pPr>
            <w:pStyle w:val="TOC2"/>
            <w:rPr>
              <w:rFonts w:asciiTheme="minorHAnsi" w:eastAsiaTheme="minorEastAsia" w:hAnsiTheme="minorHAnsi"/>
              <w:color w:val="auto"/>
              <w:kern w:val="2"/>
              <w:sz w:val="22"/>
              <w:lang w:eastAsia="en-AU"/>
              <w14:ligatures w14:val="standardContextual"/>
            </w:rPr>
          </w:pPr>
          <w:r>
            <w:t>4.2</w:t>
          </w:r>
          <w:r>
            <w:rPr>
              <w:rFonts w:asciiTheme="minorHAnsi" w:eastAsiaTheme="minorEastAsia" w:hAnsiTheme="minorHAnsi"/>
              <w:color w:val="auto"/>
              <w:kern w:val="2"/>
              <w:sz w:val="22"/>
              <w:lang w:eastAsia="en-AU"/>
              <w14:ligatures w14:val="standardContextual"/>
            </w:rPr>
            <w:tab/>
          </w:r>
          <w:r>
            <w:t>Feedback to suppliers</w:t>
          </w:r>
          <w:r>
            <w:tab/>
          </w:r>
          <w:r>
            <w:fldChar w:fldCharType="begin"/>
          </w:r>
          <w:r>
            <w:instrText xml:space="preserve"> PAGEREF _Toc174018033 \h </w:instrText>
          </w:r>
          <w:r>
            <w:fldChar w:fldCharType="separate"/>
          </w:r>
          <w:r w:rsidR="00E32679">
            <w:t>25</w:t>
          </w:r>
          <w:r>
            <w:fldChar w:fldCharType="end"/>
          </w:r>
        </w:p>
        <w:p w14:paraId="6597FD86" w14:textId="7559E170" w:rsidR="00EB0673" w:rsidRDefault="00EB0673">
          <w:pPr>
            <w:pStyle w:val="TOC2"/>
            <w:rPr>
              <w:rFonts w:asciiTheme="minorHAnsi" w:eastAsiaTheme="minorEastAsia" w:hAnsiTheme="minorHAnsi"/>
              <w:color w:val="auto"/>
              <w:kern w:val="2"/>
              <w:sz w:val="22"/>
              <w:lang w:eastAsia="en-AU"/>
              <w14:ligatures w14:val="standardContextual"/>
            </w:rPr>
          </w:pPr>
          <w:r>
            <w:t>4.3</w:t>
          </w:r>
          <w:r>
            <w:rPr>
              <w:rFonts w:asciiTheme="minorHAnsi" w:eastAsiaTheme="minorEastAsia" w:hAnsiTheme="minorHAnsi"/>
              <w:color w:val="auto"/>
              <w:kern w:val="2"/>
              <w:sz w:val="22"/>
              <w:lang w:eastAsia="en-AU"/>
              <w14:ligatures w14:val="standardContextual"/>
            </w:rPr>
            <w:tab/>
          </w:r>
          <w:r>
            <w:t>Role of vendor identification agencies (VIAs)</w:t>
          </w:r>
          <w:r>
            <w:tab/>
          </w:r>
          <w:r>
            <w:fldChar w:fldCharType="begin"/>
          </w:r>
          <w:r>
            <w:instrText xml:space="preserve"> PAGEREF _Toc174018034 \h </w:instrText>
          </w:r>
          <w:r>
            <w:fldChar w:fldCharType="separate"/>
          </w:r>
          <w:r w:rsidR="00E32679">
            <w:t>26</w:t>
          </w:r>
          <w:r>
            <w:fldChar w:fldCharType="end"/>
          </w:r>
        </w:p>
        <w:p w14:paraId="12E5DB1E" w14:textId="3A20BE76" w:rsidR="00EB0673" w:rsidRDefault="00EB0673">
          <w:pPr>
            <w:pStyle w:val="TOC2"/>
            <w:rPr>
              <w:rFonts w:asciiTheme="minorHAnsi" w:eastAsiaTheme="minorEastAsia" w:hAnsiTheme="minorHAnsi"/>
              <w:color w:val="auto"/>
              <w:kern w:val="2"/>
              <w:sz w:val="22"/>
              <w:lang w:eastAsia="en-AU"/>
              <w14:ligatures w14:val="standardContextual"/>
            </w:rPr>
          </w:pPr>
          <w:r>
            <w:t>4.4</w:t>
          </w:r>
          <w:r>
            <w:rPr>
              <w:rFonts w:asciiTheme="minorHAnsi" w:eastAsiaTheme="minorEastAsia" w:hAnsiTheme="minorHAnsi"/>
              <w:color w:val="auto"/>
              <w:kern w:val="2"/>
              <w:sz w:val="22"/>
              <w:lang w:eastAsia="en-AU"/>
              <w14:ligatures w14:val="standardContextual"/>
            </w:rPr>
            <w:tab/>
          </w:r>
          <w:r>
            <w:t>Support for the creation and retention of Australian jobs</w:t>
          </w:r>
          <w:r>
            <w:tab/>
          </w:r>
          <w:r>
            <w:fldChar w:fldCharType="begin"/>
          </w:r>
          <w:r>
            <w:instrText xml:space="preserve"> PAGEREF _Toc174018035 \h </w:instrText>
          </w:r>
          <w:r>
            <w:fldChar w:fldCharType="separate"/>
          </w:r>
          <w:r w:rsidR="00E32679">
            <w:t>27</w:t>
          </w:r>
          <w:r>
            <w:fldChar w:fldCharType="end"/>
          </w:r>
        </w:p>
        <w:p w14:paraId="1713D4C9" w14:textId="0E1FF64D" w:rsidR="00EB0673" w:rsidRDefault="00EB0673">
          <w:pPr>
            <w:pStyle w:val="TOC2"/>
            <w:rPr>
              <w:rFonts w:asciiTheme="minorHAnsi" w:eastAsiaTheme="minorEastAsia" w:hAnsiTheme="minorHAnsi"/>
              <w:color w:val="auto"/>
              <w:kern w:val="2"/>
              <w:sz w:val="22"/>
              <w:lang w:eastAsia="en-AU"/>
              <w14:ligatures w14:val="standardContextual"/>
            </w:rPr>
          </w:pPr>
          <w:r>
            <w:rPr>
              <w:lang w:eastAsia="en-AU"/>
            </w:rPr>
            <w:t>4.5</w:t>
          </w:r>
          <w:r>
            <w:rPr>
              <w:rFonts w:asciiTheme="minorHAnsi" w:eastAsiaTheme="minorEastAsia" w:hAnsiTheme="minorHAnsi"/>
              <w:color w:val="auto"/>
              <w:kern w:val="2"/>
              <w:sz w:val="22"/>
              <w:lang w:eastAsia="en-AU"/>
              <w14:ligatures w14:val="standardContextual"/>
            </w:rPr>
            <w:tab/>
          </w:r>
          <w:r>
            <w:rPr>
              <w:lang w:eastAsia="en-AU"/>
            </w:rPr>
            <w:t>Unintended consequences</w:t>
          </w:r>
          <w:r>
            <w:tab/>
          </w:r>
          <w:r>
            <w:fldChar w:fldCharType="begin"/>
          </w:r>
          <w:r>
            <w:instrText xml:space="preserve"> PAGEREF _Toc174018036 \h </w:instrText>
          </w:r>
          <w:r>
            <w:fldChar w:fldCharType="separate"/>
          </w:r>
          <w:r w:rsidR="00E32679">
            <w:t>27</w:t>
          </w:r>
          <w:r>
            <w:fldChar w:fldCharType="end"/>
          </w:r>
        </w:p>
        <w:p w14:paraId="6ED6D00D" w14:textId="47A765D1" w:rsidR="00EB0673" w:rsidRDefault="00EB0673">
          <w:pPr>
            <w:pStyle w:val="TOC1"/>
            <w:rPr>
              <w:rFonts w:asciiTheme="minorHAnsi" w:eastAsiaTheme="minorEastAsia" w:hAnsiTheme="minorHAnsi"/>
              <w:b w:val="0"/>
              <w:color w:val="auto"/>
              <w:kern w:val="2"/>
              <w:sz w:val="22"/>
              <w:szCs w:val="22"/>
              <w:lang w:eastAsia="en-AU"/>
              <w14:ligatures w14:val="standardContextual"/>
            </w:rPr>
          </w:pPr>
          <w:r>
            <w:rPr>
              <w:lang w:eastAsia="en-AU"/>
            </w:rPr>
            <w:t>5.</w:t>
          </w:r>
          <w:r>
            <w:rPr>
              <w:rFonts w:asciiTheme="minorHAnsi" w:eastAsiaTheme="minorEastAsia" w:hAnsiTheme="minorHAnsi"/>
              <w:b w:val="0"/>
              <w:color w:val="auto"/>
              <w:kern w:val="2"/>
              <w:sz w:val="22"/>
              <w:szCs w:val="22"/>
              <w:lang w:eastAsia="en-AU"/>
              <w14:ligatures w14:val="standardContextual"/>
            </w:rPr>
            <w:tab/>
          </w:r>
          <w:r>
            <w:rPr>
              <w:lang w:eastAsia="en-AU"/>
            </w:rPr>
            <w:t>Conclusion</w:t>
          </w:r>
          <w:r>
            <w:tab/>
          </w:r>
          <w:r>
            <w:fldChar w:fldCharType="begin"/>
          </w:r>
          <w:r>
            <w:instrText xml:space="preserve"> PAGEREF _Toc174018037 \h </w:instrText>
          </w:r>
          <w:r>
            <w:fldChar w:fldCharType="separate"/>
          </w:r>
          <w:r w:rsidR="00E32679">
            <w:t>28</w:t>
          </w:r>
          <w:r>
            <w:fldChar w:fldCharType="end"/>
          </w:r>
        </w:p>
        <w:p w14:paraId="41F862EE" w14:textId="3CB0D034" w:rsidR="00EB0673" w:rsidRDefault="00EB0673">
          <w:pPr>
            <w:pStyle w:val="TOC1"/>
            <w:rPr>
              <w:rFonts w:asciiTheme="minorHAnsi" w:eastAsiaTheme="minorEastAsia" w:hAnsiTheme="minorHAnsi"/>
              <w:b w:val="0"/>
              <w:color w:val="auto"/>
              <w:kern w:val="2"/>
              <w:sz w:val="22"/>
              <w:szCs w:val="22"/>
              <w:lang w:eastAsia="en-AU"/>
              <w14:ligatures w14:val="standardContextual"/>
            </w:rPr>
          </w:pPr>
          <w:r>
            <w:t>6.</w:t>
          </w:r>
          <w:r>
            <w:rPr>
              <w:rFonts w:asciiTheme="minorHAnsi" w:eastAsiaTheme="minorEastAsia" w:hAnsiTheme="minorHAnsi"/>
              <w:b w:val="0"/>
              <w:color w:val="auto"/>
              <w:kern w:val="2"/>
              <w:sz w:val="22"/>
              <w:szCs w:val="22"/>
              <w:lang w:eastAsia="en-AU"/>
              <w14:ligatures w14:val="standardContextual"/>
            </w:rPr>
            <w:tab/>
          </w:r>
          <w:r>
            <w:t>Appendix A – Consultation methodology</w:t>
          </w:r>
          <w:r>
            <w:tab/>
          </w:r>
          <w:r>
            <w:fldChar w:fldCharType="begin"/>
          </w:r>
          <w:r>
            <w:instrText xml:space="preserve"> PAGEREF _Toc174018038 \h </w:instrText>
          </w:r>
          <w:r>
            <w:fldChar w:fldCharType="separate"/>
          </w:r>
          <w:r w:rsidR="00E32679">
            <w:t>29</w:t>
          </w:r>
          <w:r>
            <w:fldChar w:fldCharType="end"/>
          </w:r>
        </w:p>
        <w:p w14:paraId="25B129B4" w14:textId="70F826FD" w:rsidR="003F00E8" w:rsidRDefault="003F00E8" w:rsidP="00F1311D">
          <w:pPr>
            <w:pStyle w:val="CoverNormal"/>
            <w:tabs>
              <w:tab w:val="left" w:pos="709"/>
            </w:tabs>
            <w:ind w:left="142"/>
            <w:rPr>
              <w:rFonts w:ascii="Arial" w:eastAsia="Times New Roman" w:hAnsi="Arial"/>
              <w:b/>
              <w:noProof/>
              <w:szCs w:val="24"/>
            </w:rPr>
          </w:pPr>
          <w:r>
            <w:rPr>
              <w:rFonts w:ascii="Arial" w:eastAsia="Times New Roman" w:hAnsi="Arial"/>
              <w:b/>
              <w:noProof/>
              <w:szCs w:val="24"/>
            </w:rPr>
            <w:fldChar w:fldCharType="end"/>
          </w:r>
        </w:p>
        <w:p w14:paraId="280A4FEC" w14:textId="77777777" w:rsidR="003F00E8" w:rsidRDefault="00E32679" w:rsidP="00F1311D">
          <w:pPr>
            <w:tabs>
              <w:tab w:val="left" w:pos="709"/>
            </w:tabs>
            <w:ind w:left="142"/>
          </w:pPr>
        </w:p>
      </w:sdtContent>
    </w:sdt>
    <w:p w14:paraId="1A11BF19" w14:textId="11722A45" w:rsidR="003340FB" w:rsidRDefault="003340FB" w:rsidP="003340FB">
      <w:pPr>
        <w:pStyle w:val="BodyText"/>
        <w:tabs>
          <w:tab w:val="left" w:pos="5422"/>
        </w:tabs>
        <w:rPr>
          <w:rFonts w:ascii="Arial" w:hAnsi="Arial"/>
        </w:rPr>
      </w:pPr>
      <w:r>
        <w:rPr>
          <w:rFonts w:ascii="Arial" w:hAnsi="Arial"/>
        </w:rPr>
        <w:tab/>
      </w:r>
    </w:p>
    <w:p w14:paraId="1899A247" w14:textId="0F5BD0DD" w:rsidR="003340FB" w:rsidRPr="003340FB" w:rsidRDefault="003340FB" w:rsidP="003340FB">
      <w:pPr>
        <w:pStyle w:val="BodyText"/>
        <w:tabs>
          <w:tab w:val="left" w:pos="5422"/>
        </w:tabs>
        <w:sectPr w:rsidR="003340FB" w:rsidRPr="003340FB" w:rsidSect="0006256C">
          <w:headerReference w:type="even" r:id="rId17"/>
          <w:headerReference w:type="default" r:id="rId18"/>
          <w:footerReference w:type="default" r:id="rId19"/>
          <w:headerReference w:type="first" r:id="rId20"/>
          <w:footerReference w:type="first" r:id="rId21"/>
          <w:pgSz w:w="11906" w:h="16838" w:code="9"/>
          <w:pgMar w:top="1440" w:right="1440" w:bottom="1440" w:left="1440" w:header="709" w:footer="709" w:gutter="0"/>
          <w:pgNumType w:fmt="lowerRoman" w:start="0"/>
          <w:cols w:space="708"/>
          <w:docGrid w:linePitch="360"/>
        </w:sectPr>
      </w:pPr>
      <w:r>
        <w:tab/>
      </w:r>
    </w:p>
    <w:p w14:paraId="5F0BCCAC" w14:textId="192688F6" w:rsidR="00BF4619" w:rsidRDefault="00BF4619" w:rsidP="008E12A7">
      <w:pPr>
        <w:pStyle w:val="Style1"/>
      </w:pPr>
      <w:bookmarkStart w:id="1" w:name="_Toc174018013"/>
      <w:r>
        <w:lastRenderedPageBreak/>
        <w:t xml:space="preserve">Abbreviations and </w:t>
      </w:r>
      <w:r w:rsidR="00071FBD">
        <w:t>a</w:t>
      </w:r>
      <w:r>
        <w:t>cronyms</w:t>
      </w:r>
      <w:bookmarkEnd w:id="1"/>
    </w:p>
    <w:p w14:paraId="0F4D2712" w14:textId="77777777" w:rsidR="00BF4619" w:rsidRDefault="00BF4619" w:rsidP="00BF4619">
      <w:pPr>
        <w:pStyle w:val="BodyText"/>
      </w:pPr>
    </w:p>
    <w:tbl>
      <w:tblPr>
        <w:tblStyle w:val="OCETable"/>
        <w:tblW w:w="5000" w:type="pct"/>
        <w:tblLook w:val="04A0" w:firstRow="1" w:lastRow="0" w:firstColumn="1" w:lastColumn="0" w:noHBand="0" w:noVBand="1"/>
      </w:tblPr>
      <w:tblGrid>
        <w:gridCol w:w="1843"/>
        <w:gridCol w:w="7183"/>
      </w:tblGrid>
      <w:tr w:rsidR="00BF4619" w14:paraId="2EFE84E1" w14:textId="77777777" w:rsidTr="008E12A7">
        <w:trPr>
          <w:cnfStyle w:val="100000000000" w:firstRow="1" w:lastRow="0" w:firstColumn="0" w:lastColumn="0" w:oddVBand="0" w:evenVBand="0" w:oddHBand="0" w:evenHBand="0" w:firstRowFirstColumn="0" w:firstRowLastColumn="0" w:lastRowFirstColumn="0" w:lastRowLastColumn="0"/>
          <w:trHeight w:val="653"/>
        </w:trPr>
        <w:tc>
          <w:tcPr>
            <w:tcW w:w="1021" w:type="pct"/>
            <w:shd w:val="clear" w:color="auto" w:fill="005677" w:themeFill="background2"/>
          </w:tcPr>
          <w:p w14:paraId="33ADC6EA" w14:textId="77777777" w:rsidR="00BF4619" w:rsidRDefault="00BF4619" w:rsidP="0089135F">
            <w:pPr>
              <w:pStyle w:val="Tableheadertext"/>
            </w:pPr>
            <w:r>
              <w:t>Abbreviation or acronym</w:t>
            </w:r>
          </w:p>
        </w:tc>
        <w:tc>
          <w:tcPr>
            <w:tcW w:w="3979" w:type="pct"/>
            <w:shd w:val="clear" w:color="auto" w:fill="005677" w:themeFill="background2"/>
          </w:tcPr>
          <w:p w14:paraId="2CB4CBE3" w14:textId="77777777" w:rsidR="00BF4619" w:rsidRDefault="00BF4619" w:rsidP="0089135F">
            <w:pPr>
              <w:pStyle w:val="Tableheadertext"/>
            </w:pPr>
            <w:r>
              <w:t>Full name</w:t>
            </w:r>
          </w:p>
        </w:tc>
      </w:tr>
      <w:tr w:rsidR="00BF4619" w14:paraId="48271C19" w14:textId="77777777" w:rsidTr="008E12A7">
        <w:trPr>
          <w:cnfStyle w:val="000000100000" w:firstRow="0" w:lastRow="0" w:firstColumn="0" w:lastColumn="0" w:oddVBand="0" w:evenVBand="0" w:oddHBand="1" w:evenHBand="0" w:firstRowFirstColumn="0" w:firstRowLastColumn="0" w:lastRowFirstColumn="0" w:lastRowLastColumn="0"/>
        </w:trPr>
        <w:tc>
          <w:tcPr>
            <w:tcW w:w="1021" w:type="pct"/>
          </w:tcPr>
          <w:p w14:paraId="753C752A" w14:textId="77777777" w:rsidR="00BF4619" w:rsidRPr="008E12A7" w:rsidRDefault="00BF4619" w:rsidP="0089135F">
            <w:pPr>
              <w:pStyle w:val="Tablebodytext"/>
              <w:rPr>
                <w:b/>
                <w:bCs/>
              </w:rPr>
            </w:pPr>
            <w:r w:rsidRPr="008E12A7">
              <w:rPr>
                <w:b/>
                <w:bCs/>
              </w:rPr>
              <w:t>AIC</w:t>
            </w:r>
          </w:p>
        </w:tc>
        <w:tc>
          <w:tcPr>
            <w:tcW w:w="3979" w:type="pct"/>
          </w:tcPr>
          <w:p w14:paraId="2B67CCC3" w14:textId="77777777" w:rsidR="00BF4619" w:rsidRDefault="00BF4619" w:rsidP="0089135F">
            <w:pPr>
              <w:pStyle w:val="Tablebodytext"/>
            </w:pPr>
            <w:r>
              <w:t>Australian Industry Capability program (Defence portfolio)</w:t>
            </w:r>
          </w:p>
        </w:tc>
      </w:tr>
      <w:tr w:rsidR="00BF4619" w14:paraId="4AE562B6" w14:textId="77777777" w:rsidTr="008E12A7">
        <w:trPr>
          <w:cnfStyle w:val="000000010000" w:firstRow="0" w:lastRow="0" w:firstColumn="0" w:lastColumn="0" w:oddVBand="0" w:evenVBand="0" w:oddHBand="0" w:evenHBand="1" w:firstRowFirstColumn="0" w:firstRowLastColumn="0" w:lastRowFirstColumn="0" w:lastRowLastColumn="0"/>
        </w:trPr>
        <w:tc>
          <w:tcPr>
            <w:tcW w:w="1021" w:type="pct"/>
          </w:tcPr>
          <w:p w14:paraId="1F6DBAF5" w14:textId="77777777" w:rsidR="00BF4619" w:rsidRPr="008E12A7" w:rsidRDefault="00BF4619" w:rsidP="0089135F">
            <w:pPr>
              <w:pStyle w:val="Tablebodytext"/>
              <w:rPr>
                <w:b/>
                <w:bCs/>
              </w:rPr>
            </w:pPr>
            <w:r w:rsidRPr="008E12A7">
              <w:rPr>
                <w:b/>
                <w:bCs/>
              </w:rPr>
              <w:t>AIP</w:t>
            </w:r>
          </w:p>
        </w:tc>
        <w:tc>
          <w:tcPr>
            <w:tcW w:w="3979" w:type="pct"/>
          </w:tcPr>
          <w:p w14:paraId="4FAA149B" w14:textId="77777777" w:rsidR="00BF4619" w:rsidRDefault="00BF4619" w:rsidP="0089135F">
            <w:pPr>
              <w:pStyle w:val="Tablebodytext"/>
            </w:pPr>
            <w:r>
              <w:t>Australian Industry Participation</w:t>
            </w:r>
          </w:p>
        </w:tc>
      </w:tr>
      <w:tr w:rsidR="00BF4619" w14:paraId="39DFD0EF" w14:textId="77777777" w:rsidTr="008E12A7">
        <w:trPr>
          <w:cnfStyle w:val="000000100000" w:firstRow="0" w:lastRow="0" w:firstColumn="0" w:lastColumn="0" w:oddVBand="0" w:evenVBand="0" w:oddHBand="1" w:evenHBand="0" w:firstRowFirstColumn="0" w:firstRowLastColumn="0" w:lastRowFirstColumn="0" w:lastRowLastColumn="0"/>
        </w:trPr>
        <w:tc>
          <w:tcPr>
            <w:tcW w:w="1021" w:type="pct"/>
          </w:tcPr>
          <w:p w14:paraId="5D08C93D" w14:textId="77777777" w:rsidR="00BF4619" w:rsidRPr="008E12A7" w:rsidRDefault="00BF4619" w:rsidP="0089135F">
            <w:pPr>
              <w:pStyle w:val="Tablebodytext"/>
              <w:rPr>
                <w:b/>
                <w:bCs/>
              </w:rPr>
            </w:pPr>
            <w:r w:rsidRPr="008E12A7">
              <w:rPr>
                <w:b/>
                <w:bCs/>
              </w:rPr>
              <w:t>ANZGPA</w:t>
            </w:r>
          </w:p>
        </w:tc>
        <w:tc>
          <w:tcPr>
            <w:tcW w:w="3979" w:type="pct"/>
          </w:tcPr>
          <w:p w14:paraId="351D234B" w14:textId="77777777" w:rsidR="00BF4619" w:rsidRDefault="00BF4619" w:rsidP="0089135F">
            <w:pPr>
              <w:pStyle w:val="Tablebodytext"/>
            </w:pPr>
            <w:r w:rsidRPr="00E56388">
              <w:t>Australia and New Zealand Government Procurement Agreement</w:t>
            </w:r>
          </w:p>
        </w:tc>
      </w:tr>
      <w:tr w:rsidR="00BF4619" w14:paraId="320359BC" w14:textId="77777777" w:rsidTr="008E12A7">
        <w:trPr>
          <w:cnfStyle w:val="000000010000" w:firstRow="0" w:lastRow="0" w:firstColumn="0" w:lastColumn="0" w:oddVBand="0" w:evenVBand="0" w:oddHBand="0" w:evenHBand="1" w:firstRowFirstColumn="0" w:firstRowLastColumn="0" w:lastRowFirstColumn="0" w:lastRowLastColumn="0"/>
        </w:trPr>
        <w:tc>
          <w:tcPr>
            <w:tcW w:w="1021" w:type="pct"/>
          </w:tcPr>
          <w:p w14:paraId="5A5F2EC0" w14:textId="77777777" w:rsidR="00BF4619" w:rsidRPr="008E12A7" w:rsidRDefault="00BF4619" w:rsidP="0089135F">
            <w:pPr>
              <w:pStyle w:val="Tablebodytext"/>
              <w:rPr>
                <w:b/>
                <w:bCs/>
              </w:rPr>
            </w:pPr>
            <w:r w:rsidRPr="008E12A7">
              <w:rPr>
                <w:b/>
                <w:bCs/>
              </w:rPr>
              <w:t>ARENA</w:t>
            </w:r>
          </w:p>
        </w:tc>
        <w:tc>
          <w:tcPr>
            <w:tcW w:w="3979" w:type="pct"/>
          </w:tcPr>
          <w:p w14:paraId="109151FF" w14:textId="77777777" w:rsidR="00BF4619" w:rsidRDefault="00BF4619" w:rsidP="0089135F">
            <w:pPr>
              <w:pStyle w:val="Tablebodytext"/>
            </w:pPr>
            <w:r>
              <w:t>Australian Renewable Energy Agency</w:t>
            </w:r>
          </w:p>
        </w:tc>
      </w:tr>
      <w:tr w:rsidR="00BF4619" w14:paraId="08A28E44" w14:textId="77777777" w:rsidTr="008E12A7">
        <w:trPr>
          <w:cnfStyle w:val="000000100000" w:firstRow="0" w:lastRow="0" w:firstColumn="0" w:lastColumn="0" w:oddVBand="0" w:evenVBand="0" w:oddHBand="1" w:evenHBand="0" w:firstRowFirstColumn="0" w:firstRowLastColumn="0" w:lastRowFirstColumn="0" w:lastRowLastColumn="0"/>
        </w:trPr>
        <w:tc>
          <w:tcPr>
            <w:tcW w:w="1021" w:type="pct"/>
          </w:tcPr>
          <w:p w14:paraId="459660AE" w14:textId="77777777" w:rsidR="00BF4619" w:rsidRPr="008E12A7" w:rsidRDefault="00BF4619" w:rsidP="0089135F">
            <w:pPr>
              <w:pStyle w:val="Tablebodytext"/>
              <w:rPr>
                <w:b/>
                <w:bCs/>
              </w:rPr>
            </w:pPr>
            <w:r w:rsidRPr="008E12A7">
              <w:rPr>
                <w:b/>
                <w:bCs/>
              </w:rPr>
              <w:t>CEFC</w:t>
            </w:r>
          </w:p>
        </w:tc>
        <w:tc>
          <w:tcPr>
            <w:tcW w:w="3979" w:type="pct"/>
          </w:tcPr>
          <w:p w14:paraId="3507D5D1" w14:textId="77777777" w:rsidR="00BF4619" w:rsidRDefault="00BF4619" w:rsidP="0089135F">
            <w:pPr>
              <w:pStyle w:val="Tablebodytext"/>
            </w:pPr>
            <w:r>
              <w:t>Clean Energy Finance Corporation</w:t>
            </w:r>
          </w:p>
        </w:tc>
      </w:tr>
      <w:tr w:rsidR="00C847BD" w14:paraId="42C8A808" w14:textId="77777777" w:rsidTr="008E12A7">
        <w:trPr>
          <w:cnfStyle w:val="000000010000" w:firstRow="0" w:lastRow="0" w:firstColumn="0" w:lastColumn="0" w:oddVBand="0" w:evenVBand="0" w:oddHBand="0" w:evenHBand="1" w:firstRowFirstColumn="0" w:firstRowLastColumn="0" w:lastRowFirstColumn="0" w:lastRowLastColumn="0"/>
        </w:trPr>
        <w:tc>
          <w:tcPr>
            <w:tcW w:w="1021" w:type="pct"/>
          </w:tcPr>
          <w:p w14:paraId="4631C6D7" w14:textId="53289050" w:rsidR="00C847BD" w:rsidRPr="008E12A7" w:rsidRDefault="00C847BD" w:rsidP="0089135F">
            <w:pPr>
              <w:pStyle w:val="Tablebodytext"/>
              <w:rPr>
                <w:b/>
                <w:bCs/>
              </w:rPr>
            </w:pPr>
            <w:r w:rsidRPr="008E12A7">
              <w:rPr>
                <w:b/>
                <w:bCs/>
              </w:rPr>
              <w:t>CPR</w:t>
            </w:r>
          </w:p>
        </w:tc>
        <w:tc>
          <w:tcPr>
            <w:tcW w:w="3979" w:type="pct"/>
          </w:tcPr>
          <w:p w14:paraId="7EA60988" w14:textId="12BCD677" w:rsidR="00C847BD" w:rsidRDefault="00C847BD" w:rsidP="0089135F">
            <w:pPr>
              <w:pStyle w:val="Tablebodytext"/>
            </w:pPr>
            <w:r>
              <w:t>Commonwealth Procurement Rules</w:t>
            </w:r>
          </w:p>
        </w:tc>
      </w:tr>
      <w:tr w:rsidR="00BF4619" w14:paraId="76D55F7B" w14:textId="77777777" w:rsidTr="008E12A7">
        <w:trPr>
          <w:cnfStyle w:val="000000100000" w:firstRow="0" w:lastRow="0" w:firstColumn="0" w:lastColumn="0" w:oddVBand="0" w:evenVBand="0" w:oddHBand="1" w:evenHBand="0" w:firstRowFirstColumn="0" w:firstRowLastColumn="0" w:lastRowFirstColumn="0" w:lastRowLastColumn="0"/>
        </w:trPr>
        <w:tc>
          <w:tcPr>
            <w:tcW w:w="1021" w:type="pct"/>
          </w:tcPr>
          <w:p w14:paraId="5F388A49" w14:textId="77777777" w:rsidR="00BF4619" w:rsidRPr="008E12A7" w:rsidRDefault="00BF4619" w:rsidP="0089135F">
            <w:pPr>
              <w:pStyle w:val="Tablebodytext"/>
              <w:rPr>
                <w:b/>
                <w:bCs/>
              </w:rPr>
            </w:pPr>
            <w:r w:rsidRPr="008E12A7">
              <w:rPr>
                <w:b/>
                <w:bCs/>
              </w:rPr>
              <w:t>DISR</w:t>
            </w:r>
          </w:p>
        </w:tc>
        <w:tc>
          <w:tcPr>
            <w:tcW w:w="3979" w:type="pct"/>
          </w:tcPr>
          <w:p w14:paraId="171E0C95" w14:textId="4708F04F" w:rsidR="00BF4619" w:rsidRDefault="00BF4619" w:rsidP="0089135F">
            <w:pPr>
              <w:pStyle w:val="Tablebodytext"/>
            </w:pPr>
            <w:r>
              <w:t xml:space="preserve">Department of Industry, Science and Resources </w:t>
            </w:r>
          </w:p>
        </w:tc>
      </w:tr>
      <w:tr w:rsidR="00BF4619" w14:paraId="0587EA6D" w14:textId="77777777" w:rsidTr="008E12A7">
        <w:trPr>
          <w:cnfStyle w:val="000000010000" w:firstRow="0" w:lastRow="0" w:firstColumn="0" w:lastColumn="0" w:oddVBand="0" w:evenVBand="0" w:oddHBand="0" w:evenHBand="1" w:firstRowFirstColumn="0" w:firstRowLastColumn="0" w:lastRowFirstColumn="0" w:lastRowLastColumn="0"/>
        </w:trPr>
        <w:tc>
          <w:tcPr>
            <w:tcW w:w="1021" w:type="pct"/>
          </w:tcPr>
          <w:p w14:paraId="72BCEA17" w14:textId="45D06674" w:rsidR="00BF4619" w:rsidRPr="008E12A7" w:rsidRDefault="004607AC" w:rsidP="0089135F">
            <w:pPr>
              <w:pStyle w:val="Tablebodytext"/>
              <w:rPr>
                <w:b/>
                <w:bCs/>
              </w:rPr>
            </w:pPr>
            <w:r w:rsidRPr="008E12A7">
              <w:rPr>
                <w:b/>
                <w:bCs/>
              </w:rPr>
              <w:t>DoF</w:t>
            </w:r>
          </w:p>
        </w:tc>
        <w:tc>
          <w:tcPr>
            <w:tcW w:w="3979" w:type="pct"/>
          </w:tcPr>
          <w:p w14:paraId="546D70A9" w14:textId="3CF7EBA1" w:rsidR="00BF4619" w:rsidRDefault="004607AC" w:rsidP="0089135F">
            <w:pPr>
              <w:pStyle w:val="Tablebodytext"/>
            </w:pPr>
            <w:r>
              <w:t>Department of Finance</w:t>
            </w:r>
          </w:p>
        </w:tc>
      </w:tr>
      <w:tr w:rsidR="009D1BF0" w14:paraId="4EA586BB" w14:textId="77777777" w:rsidTr="008E12A7">
        <w:trPr>
          <w:cnfStyle w:val="000000100000" w:firstRow="0" w:lastRow="0" w:firstColumn="0" w:lastColumn="0" w:oddVBand="0" w:evenVBand="0" w:oddHBand="1" w:evenHBand="0" w:firstRowFirstColumn="0" w:firstRowLastColumn="0" w:lastRowFirstColumn="0" w:lastRowLastColumn="0"/>
        </w:trPr>
        <w:tc>
          <w:tcPr>
            <w:tcW w:w="1021" w:type="pct"/>
          </w:tcPr>
          <w:p w14:paraId="2E12B1B0" w14:textId="250C3C1E" w:rsidR="009D1BF0" w:rsidRPr="008E12A7" w:rsidRDefault="009D1BF0" w:rsidP="0089135F">
            <w:pPr>
              <w:pStyle w:val="Tablebodytext"/>
              <w:rPr>
                <w:b/>
                <w:bCs/>
              </w:rPr>
            </w:pPr>
            <w:r w:rsidRPr="008E12A7">
              <w:rPr>
                <w:b/>
                <w:bCs/>
              </w:rPr>
              <w:t>GPA</w:t>
            </w:r>
          </w:p>
        </w:tc>
        <w:tc>
          <w:tcPr>
            <w:tcW w:w="3979" w:type="pct"/>
          </w:tcPr>
          <w:p w14:paraId="1E376835" w14:textId="750265D5" w:rsidR="009D1BF0" w:rsidRDefault="009D1BF0" w:rsidP="0089135F">
            <w:pPr>
              <w:pStyle w:val="Tablebodytext"/>
            </w:pPr>
            <w:r>
              <w:t>Agreement on Government Procurement</w:t>
            </w:r>
          </w:p>
        </w:tc>
      </w:tr>
      <w:tr w:rsidR="00BF4619" w14:paraId="03969177" w14:textId="77777777" w:rsidTr="008E12A7">
        <w:trPr>
          <w:cnfStyle w:val="000000010000" w:firstRow="0" w:lastRow="0" w:firstColumn="0" w:lastColumn="0" w:oddVBand="0" w:evenVBand="0" w:oddHBand="0" w:evenHBand="1" w:firstRowFirstColumn="0" w:firstRowLastColumn="0" w:lastRowFirstColumn="0" w:lastRowLastColumn="0"/>
        </w:trPr>
        <w:tc>
          <w:tcPr>
            <w:tcW w:w="1021" w:type="pct"/>
          </w:tcPr>
          <w:p w14:paraId="4A3901B5" w14:textId="77777777" w:rsidR="00BF4619" w:rsidRPr="008E12A7" w:rsidRDefault="00BF4619" w:rsidP="0089135F">
            <w:pPr>
              <w:pStyle w:val="Tablebodytext"/>
              <w:rPr>
                <w:b/>
                <w:bCs/>
                <w:lang w:eastAsia="en-AU"/>
              </w:rPr>
            </w:pPr>
            <w:r w:rsidRPr="008E12A7">
              <w:rPr>
                <w:b/>
                <w:bCs/>
                <w:lang w:eastAsia="en-AU"/>
              </w:rPr>
              <w:t>ICN</w:t>
            </w:r>
          </w:p>
        </w:tc>
        <w:tc>
          <w:tcPr>
            <w:tcW w:w="3979" w:type="pct"/>
          </w:tcPr>
          <w:p w14:paraId="080359BE" w14:textId="77777777" w:rsidR="00BF4619" w:rsidRPr="00EA2AFB" w:rsidRDefault="00BF4619" w:rsidP="0089135F">
            <w:pPr>
              <w:pStyle w:val="Tablebodytext"/>
              <w:rPr>
                <w:lang w:eastAsia="en-AU"/>
              </w:rPr>
            </w:pPr>
            <w:r>
              <w:rPr>
                <w:lang w:eastAsia="en-AU"/>
              </w:rPr>
              <w:t>Industry Capability Network</w:t>
            </w:r>
          </w:p>
        </w:tc>
      </w:tr>
      <w:tr w:rsidR="00BF4619" w14:paraId="78487E49" w14:textId="77777777" w:rsidTr="008E12A7">
        <w:trPr>
          <w:cnfStyle w:val="000000100000" w:firstRow="0" w:lastRow="0" w:firstColumn="0" w:lastColumn="0" w:oddVBand="0" w:evenVBand="0" w:oddHBand="1" w:evenHBand="0" w:firstRowFirstColumn="0" w:firstRowLastColumn="0" w:lastRowFirstColumn="0" w:lastRowLastColumn="0"/>
        </w:trPr>
        <w:tc>
          <w:tcPr>
            <w:tcW w:w="1021" w:type="pct"/>
          </w:tcPr>
          <w:p w14:paraId="425721A0" w14:textId="77777777" w:rsidR="00BF4619" w:rsidRPr="008E12A7" w:rsidRDefault="00BF4619" w:rsidP="0089135F">
            <w:pPr>
              <w:pStyle w:val="Tablebodytext"/>
              <w:rPr>
                <w:b/>
                <w:bCs/>
                <w:lang w:eastAsia="en-AU"/>
              </w:rPr>
            </w:pPr>
            <w:r w:rsidRPr="008E12A7">
              <w:rPr>
                <w:b/>
                <w:bCs/>
                <w:lang w:eastAsia="en-AU"/>
              </w:rPr>
              <w:t>ICNL</w:t>
            </w:r>
          </w:p>
        </w:tc>
        <w:tc>
          <w:tcPr>
            <w:tcW w:w="3979" w:type="pct"/>
          </w:tcPr>
          <w:p w14:paraId="23B1D516" w14:textId="77777777" w:rsidR="00BF4619" w:rsidRPr="0053628D" w:rsidRDefault="00BF4619" w:rsidP="0089135F">
            <w:pPr>
              <w:pStyle w:val="Tablebodytext"/>
              <w:rPr>
                <w:rFonts w:cstheme="minorHAnsi"/>
                <w:color w:val="000000" w:themeColor="text1"/>
              </w:rPr>
            </w:pPr>
            <w:r>
              <w:rPr>
                <w:lang w:eastAsia="en-AU"/>
              </w:rPr>
              <w:t>Industry Capability Network Limited</w:t>
            </w:r>
          </w:p>
        </w:tc>
      </w:tr>
      <w:tr w:rsidR="0002770D" w14:paraId="0853FFB1" w14:textId="77777777" w:rsidTr="008E12A7">
        <w:trPr>
          <w:cnfStyle w:val="000000010000" w:firstRow="0" w:lastRow="0" w:firstColumn="0" w:lastColumn="0" w:oddVBand="0" w:evenVBand="0" w:oddHBand="0" w:evenHBand="1" w:firstRowFirstColumn="0" w:firstRowLastColumn="0" w:lastRowFirstColumn="0" w:lastRowLastColumn="0"/>
        </w:trPr>
        <w:tc>
          <w:tcPr>
            <w:tcW w:w="1021" w:type="pct"/>
          </w:tcPr>
          <w:p w14:paraId="5B347B72" w14:textId="66F6252B" w:rsidR="0002770D" w:rsidRPr="008E12A7" w:rsidRDefault="0002770D" w:rsidP="0089135F">
            <w:pPr>
              <w:pStyle w:val="Tablebodytext"/>
              <w:rPr>
                <w:b/>
                <w:bCs/>
                <w:lang w:eastAsia="en-AU"/>
              </w:rPr>
            </w:pPr>
            <w:r w:rsidRPr="008E12A7">
              <w:rPr>
                <w:b/>
                <w:bCs/>
                <w:lang w:eastAsia="en-AU"/>
              </w:rPr>
              <w:t>MPFA</w:t>
            </w:r>
          </w:p>
        </w:tc>
        <w:tc>
          <w:tcPr>
            <w:tcW w:w="3979" w:type="pct"/>
          </w:tcPr>
          <w:p w14:paraId="0770AAC5" w14:textId="66739976" w:rsidR="0002770D" w:rsidRDefault="0002770D" w:rsidP="0089135F">
            <w:pPr>
              <w:pStyle w:val="Tablebodytext"/>
              <w:rPr>
                <w:lang w:eastAsia="en-AU"/>
              </w:rPr>
            </w:pPr>
            <w:r w:rsidRPr="0002770D">
              <w:rPr>
                <w:lang w:eastAsia="en-AU"/>
              </w:rPr>
              <w:t>Major Project Facilitation Agency</w:t>
            </w:r>
          </w:p>
        </w:tc>
      </w:tr>
      <w:tr w:rsidR="00BF4619" w14:paraId="2E706517" w14:textId="77777777" w:rsidTr="008E12A7">
        <w:trPr>
          <w:cnfStyle w:val="000000100000" w:firstRow="0" w:lastRow="0" w:firstColumn="0" w:lastColumn="0" w:oddVBand="0" w:evenVBand="0" w:oddHBand="1" w:evenHBand="0" w:firstRowFirstColumn="0" w:firstRowLastColumn="0" w:lastRowFirstColumn="0" w:lastRowLastColumn="0"/>
        </w:trPr>
        <w:tc>
          <w:tcPr>
            <w:tcW w:w="1021" w:type="pct"/>
          </w:tcPr>
          <w:p w14:paraId="4B4A2DAD" w14:textId="77777777" w:rsidR="00BF4619" w:rsidRPr="008E12A7" w:rsidRDefault="00BF4619" w:rsidP="0089135F">
            <w:pPr>
              <w:pStyle w:val="Tablebodytext"/>
              <w:rPr>
                <w:b/>
                <w:bCs/>
              </w:rPr>
            </w:pPr>
            <w:r w:rsidRPr="008E12A7">
              <w:rPr>
                <w:b/>
                <w:bCs/>
              </w:rPr>
              <w:t>NAIF</w:t>
            </w:r>
          </w:p>
        </w:tc>
        <w:tc>
          <w:tcPr>
            <w:tcW w:w="3979" w:type="pct"/>
          </w:tcPr>
          <w:p w14:paraId="77C728AD" w14:textId="77777777" w:rsidR="00BF4619" w:rsidRDefault="00BF4619" w:rsidP="0089135F">
            <w:pPr>
              <w:pStyle w:val="Tablebodytext"/>
            </w:pPr>
            <w:r>
              <w:t>Northern Australia Infrastructure Facility</w:t>
            </w:r>
          </w:p>
        </w:tc>
      </w:tr>
      <w:tr w:rsidR="009D1BF0" w14:paraId="4092ADE1" w14:textId="77777777" w:rsidTr="008E12A7">
        <w:trPr>
          <w:cnfStyle w:val="000000010000" w:firstRow="0" w:lastRow="0" w:firstColumn="0" w:lastColumn="0" w:oddVBand="0" w:evenVBand="0" w:oddHBand="0" w:evenHBand="1" w:firstRowFirstColumn="0" w:firstRowLastColumn="0" w:lastRowFirstColumn="0" w:lastRowLastColumn="0"/>
        </w:trPr>
        <w:tc>
          <w:tcPr>
            <w:tcW w:w="1021" w:type="pct"/>
          </w:tcPr>
          <w:p w14:paraId="205596DC" w14:textId="4A5BB806" w:rsidR="009D1BF0" w:rsidRPr="008E12A7" w:rsidRDefault="009D1BF0" w:rsidP="0089135F">
            <w:pPr>
              <w:pStyle w:val="Tablebodytext"/>
              <w:rPr>
                <w:b/>
                <w:bCs/>
              </w:rPr>
            </w:pPr>
            <w:r w:rsidRPr="008E12A7">
              <w:rPr>
                <w:b/>
                <w:bCs/>
              </w:rPr>
              <w:t>PCP</w:t>
            </w:r>
          </w:p>
        </w:tc>
        <w:tc>
          <w:tcPr>
            <w:tcW w:w="3979" w:type="pct"/>
          </w:tcPr>
          <w:p w14:paraId="0E8933BE" w14:textId="509F29CD" w:rsidR="009D1BF0" w:rsidRDefault="009D1BF0" w:rsidP="0089135F">
            <w:pPr>
              <w:pStyle w:val="Tablebodytext"/>
            </w:pPr>
            <w:r>
              <w:t>Procurement Connected Policy</w:t>
            </w:r>
          </w:p>
        </w:tc>
      </w:tr>
      <w:tr w:rsidR="00204599" w14:paraId="0925D7C4" w14:textId="77777777" w:rsidTr="008E12A7">
        <w:trPr>
          <w:cnfStyle w:val="000000100000" w:firstRow="0" w:lastRow="0" w:firstColumn="0" w:lastColumn="0" w:oddVBand="0" w:evenVBand="0" w:oddHBand="1" w:evenHBand="0" w:firstRowFirstColumn="0" w:firstRowLastColumn="0" w:lastRowFirstColumn="0" w:lastRowLastColumn="0"/>
        </w:trPr>
        <w:tc>
          <w:tcPr>
            <w:tcW w:w="1021" w:type="pct"/>
          </w:tcPr>
          <w:p w14:paraId="2A9FEBEE" w14:textId="319469D6" w:rsidR="00204599" w:rsidRPr="008E12A7" w:rsidRDefault="00204599" w:rsidP="0089135F">
            <w:pPr>
              <w:pStyle w:val="Tablebodytext"/>
              <w:rPr>
                <w:b/>
                <w:bCs/>
              </w:rPr>
            </w:pPr>
            <w:r w:rsidRPr="008E12A7">
              <w:rPr>
                <w:b/>
                <w:bCs/>
              </w:rPr>
              <w:t>SOM</w:t>
            </w:r>
          </w:p>
        </w:tc>
        <w:tc>
          <w:tcPr>
            <w:tcW w:w="3979" w:type="pct"/>
          </w:tcPr>
          <w:p w14:paraId="542ACDCB" w14:textId="082D32A7" w:rsidR="00204599" w:rsidRDefault="00204599" w:rsidP="0089135F">
            <w:pPr>
              <w:pStyle w:val="Tablebodytext"/>
            </w:pPr>
            <w:r>
              <w:t>Senior Officials Meetings</w:t>
            </w:r>
          </w:p>
        </w:tc>
      </w:tr>
      <w:tr w:rsidR="00BF4619" w14:paraId="7E0935C5" w14:textId="77777777" w:rsidTr="008E12A7">
        <w:trPr>
          <w:cnfStyle w:val="000000010000" w:firstRow="0" w:lastRow="0" w:firstColumn="0" w:lastColumn="0" w:oddVBand="0" w:evenVBand="0" w:oddHBand="0" w:evenHBand="1" w:firstRowFirstColumn="0" w:firstRowLastColumn="0" w:lastRowFirstColumn="0" w:lastRowLastColumn="0"/>
        </w:trPr>
        <w:tc>
          <w:tcPr>
            <w:tcW w:w="1021" w:type="pct"/>
          </w:tcPr>
          <w:p w14:paraId="7E1FB7B9" w14:textId="77777777" w:rsidR="00BF4619" w:rsidRPr="008E12A7" w:rsidRDefault="00BF4619" w:rsidP="0089135F">
            <w:pPr>
              <w:pStyle w:val="Tablebodytext"/>
              <w:rPr>
                <w:b/>
                <w:bCs/>
              </w:rPr>
            </w:pPr>
            <w:r w:rsidRPr="008E12A7">
              <w:rPr>
                <w:b/>
                <w:bCs/>
              </w:rPr>
              <w:t>VIA</w:t>
            </w:r>
          </w:p>
        </w:tc>
        <w:tc>
          <w:tcPr>
            <w:tcW w:w="3979" w:type="pct"/>
          </w:tcPr>
          <w:p w14:paraId="21D8322A" w14:textId="77777777" w:rsidR="00BF4619" w:rsidRDefault="00BF4619" w:rsidP="0089135F">
            <w:pPr>
              <w:pStyle w:val="Tablebodytext"/>
            </w:pPr>
            <w:r>
              <w:t>Vendor Identification Agency</w:t>
            </w:r>
          </w:p>
        </w:tc>
      </w:tr>
      <w:tr w:rsidR="00BF4619" w14:paraId="15006A8E" w14:textId="77777777" w:rsidTr="008E12A7">
        <w:trPr>
          <w:cnfStyle w:val="000000100000" w:firstRow="0" w:lastRow="0" w:firstColumn="0" w:lastColumn="0" w:oddVBand="0" w:evenVBand="0" w:oddHBand="1" w:evenHBand="0" w:firstRowFirstColumn="0" w:firstRowLastColumn="0" w:lastRowFirstColumn="0" w:lastRowLastColumn="0"/>
        </w:trPr>
        <w:tc>
          <w:tcPr>
            <w:tcW w:w="1021" w:type="pct"/>
          </w:tcPr>
          <w:p w14:paraId="4260AF77" w14:textId="77777777" w:rsidR="00BF4619" w:rsidRPr="008E12A7" w:rsidRDefault="00BF4619" w:rsidP="0089135F">
            <w:pPr>
              <w:pStyle w:val="Tablebodytext"/>
              <w:rPr>
                <w:b/>
                <w:bCs/>
              </w:rPr>
            </w:pPr>
            <w:r w:rsidRPr="008E12A7">
              <w:rPr>
                <w:b/>
                <w:bCs/>
              </w:rPr>
              <w:t>WTO</w:t>
            </w:r>
          </w:p>
        </w:tc>
        <w:tc>
          <w:tcPr>
            <w:tcW w:w="3979" w:type="pct"/>
          </w:tcPr>
          <w:p w14:paraId="12384D76" w14:textId="77777777" w:rsidR="00BF4619" w:rsidRPr="00F45479" w:rsidRDefault="00BF4619" w:rsidP="0089135F">
            <w:pPr>
              <w:pStyle w:val="Tablebodytext"/>
            </w:pPr>
            <w:r>
              <w:t>World Trade Organization</w:t>
            </w:r>
          </w:p>
        </w:tc>
      </w:tr>
    </w:tbl>
    <w:p w14:paraId="40CE1F5F" w14:textId="169C9001" w:rsidR="00BF4619" w:rsidRDefault="00BF4619" w:rsidP="00BF4619">
      <w:pPr>
        <w:pStyle w:val="BodyText"/>
        <w:sectPr w:rsidR="00BF4619" w:rsidSect="008E12A7">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09" w:footer="709" w:gutter="0"/>
          <w:pgNumType w:fmt="lowerRoman"/>
          <w:cols w:space="708"/>
          <w:docGrid w:linePitch="360"/>
        </w:sectPr>
      </w:pPr>
    </w:p>
    <w:p w14:paraId="2FFC0565" w14:textId="09BEF4CC" w:rsidR="00831666" w:rsidRDefault="00CD7EDD" w:rsidP="008E12A7">
      <w:pPr>
        <w:pStyle w:val="Style1"/>
        <w:rPr>
          <w:rFonts w:ascii="Arial" w:hAnsi="Arial"/>
        </w:rPr>
      </w:pPr>
      <w:bookmarkStart w:id="2" w:name="_Toc174018014"/>
      <w:r>
        <w:lastRenderedPageBreak/>
        <w:t xml:space="preserve">Executive </w:t>
      </w:r>
      <w:r w:rsidR="00071FBD">
        <w:rPr>
          <w:rFonts w:ascii="Arial" w:hAnsi="Arial"/>
        </w:rPr>
        <w:t>s</w:t>
      </w:r>
      <w:r w:rsidRPr="00CD7EDD">
        <w:rPr>
          <w:rFonts w:ascii="Arial" w:hAnsi="Arial"/>
        </w:rPr>
        <w:t>ummary</w:t>
      </w:r>
      <w:bookmarkEnd w:id="2"/>
    </w:p>
    <w:p w14:paraId="6CFCDCC2" w14:textId="3BB04ADE" w:rsidR="00084015" w:rsidRDefault="00881796" w:rsidP="00604279">
      <w:pPr>
        <w:pStyle w:val="BodyText"/>
        <w:rPr>
          <w:rFonts w:ascii="Arial" w:hAnsi="Arial" w:cs="Arial"/>
          <w:noProof/>
        </w:rPr>
      </w:pPr>
      <w:bookmarkStart w:id="3" w:name="_Hlk131410482"/>
      <w:r>
        <w:rPr>
          <w:rFonts w:ascii="Arial" w:hAnsi="Arial" w:cs="Arial"/>
          <w:noProof/>
        </w:rPr>
        <w:t xml:space="preserve">The Australian Industry Participation (AIP) policy aims to </w:t>
      </w:r>
      <w:bookmarkStart w:id="4" w:name="_Hlk132192557"/>
      <w:r>
        <w:rPr>
          <w:rFonts w:ascii="Arial" w:hAnsi="Arial" w:cs="Arial"/>
          <w:noProof/>
        </w:rPr>
        <w:t>ensure</w:t>
      </w:r>
      <w:r w:rsidR="00185461">
        <w:rPr>
          <w:rFonts w:ascii="Arial" w:hAnsi="Arial" w:cs="Arial"/>
          <w:noProof/>
        </w:rPr>
        <w:t xml:space="preserve"> that Australian </w:t>
      </w:r>
      <w:bookmarkStart w:id="5" w:name="_Hlk132193491"/>
      <w:r w:rsidR="00185461">
        <w:rPr>
          <w:rFonts w:ascii="Arial" w:hAnsi="Arial" w:cs="Arial"/>
          <w:noProof/>
        </w:rPr>
        <w:t>industry has</w:t>
      </w:r>
      <w:r>
        <w:rPr>
          <w:rFonts w:ascii="Arial" w:hAnsi="Arial" w:cs="Arial"/>
          <w:noProof/>
        </w:rPr>
        <w:t xml:space="preserve"> full, fair and reasonable opportunity to</w:t>
      </w:r>
      <w:r w:rsidR="00487841">
        <w:rPr>
          <w:rFonts w:ascii="Arial" w:hAnsi="Arial" w:cs="Arial"/>
          <w:noProof/>
        </w:rPr>
        <w:t xml:space="preserve"> compete </w:t>
      </w:r>
      <w:r w:rsidR="002F4C27">
        <w:rPr>
          <w:rFonts w:ascii="Arial" w:hAnsi="Arial" w:cs="Arial"/>
          <w:noProof/>
        </w:rPr>
        <w:t xml:space="preserve">for </w:t>
      </w:r>
      <w:r>
        <w:rPr>
          <w:rFonts w:ascii="Arial" w:hAnsi="Arial" w:cs="Arial"/>
          <w:noProof/>
        </w:rPr>
        <w:t>work</w:t>
      </w:r>
      <w:r w:rsidR="002F4C27">
        <w:rPr>
          <w:rFonts w:ascii="Arial" w:hAnsi="Arial" w:cs="Arial"/>
          <w:noProof/>
        </w:rPr>
        <w:t xml:space="preserve"> </w:t>
      </w:r>
      <w:r w:rsidR="00084015" w:rsidRPr="00084015">
        <w:rPr>
          <w:rFonts w:ascii="Arial" w:hAnsi="Arial" w:cs="Arial"/>
          <w:noProof/>
        </w:rPr>
        <w:t>as subcontractor</w:t>
      </w:r>
      <w:r w:rsidR="00185461">
        <w:rPr>
          <w:rFonts w:ascii="Arial" w:hAnsi="Arial" w:cs="Arial"/>
          <w:noProof/>
        </w:rPr>
        <w:t xml:space="preserve">s in major </w:t>
      </w:r>
      <w:r w:rsidR="001F6143">
        <w:rPr>
          <w:rFonts w:ascii="Arial" w:hAnsi="Arial" w:cs="Arial"/>
          <w:noProof/>
        </w:rPr>
        <w:t xml:space="preserve">private and </w:t>
      </w:r>
      <w:r w:rsidR="005A1327">
        <w:rPr>
          <w:rFonts w:ascii="Arial" w:hAnsi="Arial" w:cs="Arial"/>
          <w:noProof/>
        </w:rPr>
        <w:t xml:space="preserve">public </w:t>
      </w:r>
      <w:r w:rsidR="00185461">
        <w:rPr>
          <w:rFonts w:ascii="Arial" w:hAnsi="Arial" w:cs="Arial"/>
          <w:noProof/>
        </w:rPr>
        <w:t>projects</w:t>
      </w:r>
      <w:r w:rsidR="00B34EDA">
        <w:rPr>
          <w:rFonts w:ascii="Arial" w:hAnsi="Arial" w:cs="Arial"/>
          <w:noProof/>
        </w:rPr>
        <w:t xml:space="preserve"> and </w:t>
      </w:r>
      <w:r w:rsidR="0072169C">
        <w:rPr>
          <w:rFonts w:ascii="Arial" w:hAnsi="Arial" w:cs="Arial"/>
          <w:noProof/>
        </w:rPr>
        <w:t xml:space="preserve">to </w:t>
      </w:r>
      <w:r w:rsidR="00B34EDA">
        <w:rPr>
          <w:rFonts w:ascii="Arial" w:hAnsi="Arial" w:cs="Arial"/>
          <w:noProof/>
        </w:rPr>
        <w:t>enhance industry capabilities</w:t>
      </w:r>
      <w:r w:rsidR="00084015">
        <w:rPr>
          <w:rFonts w:ascii="Arial" w:hAnsi="Arial" w:cs="Arial"/>
          <w:noProof/>
        </w:rPr>
        <w:t xml:space="preserve">. </w:t>
      </w:r>
      <w:bookmarkEnd w:id="4"/>
      <w:r w:rsidR="00084015">
        <w:rPr>
          <w:rFonts w:ascii="Arial" w:hAnsi="Arial" w:cs="Arial"/>
          <w:noProof/>
        </w:rPr>
        <w:t>The</w:t>
      </w:r>
      <w:r w:rsidR="00DC15AD">
        <w:rPr>
          <w:rFonts w:ascii="Arial" w:hAnsi="Arial" w:cs="Arial"/>
          <w:noProof/>
        </w:rPr>
        <w:t xml:space="preserve"> Commonwealth Department of Industry, Science and Resources (DISR) is responsible for administering the AIP </w:t>
      </w:r>
      <w:r w:rsidR="00B56A8E">
        <w:rPr>
          <w:rFonts w:ascii="Arial" w:hAnsi="Arial" w:cs="Arial"/>
          <w:noProof/>
        </w:rPr>
        <w:t>p</w:t>
      </w:r>
      <w:r w:rsidR="00DC15AD">
        <w:rPr>
          <w:rFonts w:ascii="Arial" w:hAnsi="Arial" w:cs="Arial"/>
          <w:noProof/>
        </w:rPr>
        <w:t>olicy and associated requirements.</w:t>
      </w:r>
    </w:p>
    <w:p w14:paraId="6B0B7363" w14:textId="0F323822" w:rsidR="00A72DD0" w:rsidRDefault="00084015" w:rsidP="00604279">
      <w:pPr>
        <w:pStyle w:val="BodyText"/>
        <w:rPr>
          <w:rFonts w:ascii="Arial" w:hAnsi="Arial" w:cs="Arial"/>
          <w:noProof/>
        </w:rPr>
      </w:pPr>
      <w:r>
        <w:rPr>
          <w:rFonts w:ascii="Arial" w:hAnsi="Arial" w:cs="Arial"/>
          <w:noProof/>
        </w:rPr>
        <w:t>Under t</w:t>
      </w:r>
      <w:r w:rsidR="00A72DD0" w:rsidRPr="00A72DD0">
        <w:rPr>
          <w:rFonts w:ascii="Arial" w:hAnsi="Arial" w:cs="Arial"/>
          <w:noProof/>
        </w:rPr>
        <w:t xml:space="preserve">he </w:t>
      </w:r>
      <w:r w:rsidR="00A72DD0" w:rsidRPr="005A1327">
        <w:rPr>
          <w:rFonts w:ascii="Arial" w:hAnsi="Arial" w:cs="Arial"/>
          <w:i/>
          <w:iCs/>
          <w:noProof/>
        </w:rPr>
        <w:t>Australian Jobs Act 2013</w:t>
      </w:r>
      <w:r w:rsidR="00A72DD0" w:rsidRPr="00A72DD0">
        <w:rPr>
          <w:rFonts w:ascii="Arial" w:hAnsi="Arial" w:cs="Arial"/>
          <w:noProof/>
        </w:rPr>
        <w:t xml:space="preserve"> (the Jobs Act</w:t>
      </w:r>
      <w:r w:rsidR="00A72DD0">
        <w:rPr>
          <w:rFonts w:ascii="Arial" w:hAnsi="Arial" w:cs="Arial"/>
          <w:noProof/>
        </w:rPr>
        <w:t>)</w:t>
      </w:r>
      <w:r>
        <w:rPr>
          <w:rFonts w:ascii="Arial" w:hAnsi="Arial" w:cs="Arial"/>
          <w:noProof/>
        </w:rPr>
        <w:t>,</w:t>
      </w:r>
      <w:r w:rsidR="00A72DD0">
        <w:rPr>
          <w:rFonts w:ascii="Arial" w:hAnsi="Arial" w:cs="Arial"/>
          <w:noProof/>
        </w:rPr>
        <w:t xml:space="preserve"> major projects</w:t>
      </w:r>
      <w:r w:rsidR="0022326C">
        <w:rPr>
          <w:rFonts w:ascii="Arial" w:hAnsi="Arial" w:cs="Arial"/>
          <w:noProof/>
        </w:rPr>
        <w:t xml:space="preserve"> </w:t>
      </w:r>
      <w:r w:rsidR="00AC176C">
        <w:rPr>
          <w:rFonts w:ascii="Arial" w:hAnsi="Arial" w:cs="Arial"/>
          <w:noProof/>
        </w:rPr>
        <w:t xml:space="preserve">are defined as projects with a capital expenditure of $500 million or </w:t>
      </w:r>
      <w:r w:rsidR="00536765">
        <w:rPr>
          <w:rFonts w:ascii="Arial" w:hAnsi="Arial" w:cs="Arial"/>
          <w:noProof/>
        </w:rPr>
        <w:t>more</w:t>
      </w:r>
      <w:r w:rsidR="00AC176C">
        <w:rPr>
          <w:rFonts w:ascii="Arial" w:hAnsi="Arial" w:cs="Arial"/>
          <w:noProof/>
        </w:rPr>
        <w:t>. P</w:t>
      </w:r>
      <w:r w:rsidR="00752E4C">
        <w:rPr>
          <w:rFonts w:ascii="Arial" w:hAnsi="Arial" w:cs="Arial"/>
          <w:noProof/>
        </w:rPr>
        <w:t xml:space="preserve">roponents of </w:t>
      </w:r>
      <w:r w:rsidR="00A72DD0">
        <w:rPr>
          <w:rFonts w:ascii="Arial" w:hAnsi="Arial" w:cs="Arial"/>
          <w:noProof/>
        </w:rPr>
        <w:t>projects</w:t>
      </w:r>
      <w:r w:rsidR="0022326C">
        <w:rPr>
          <w:rFonts w:ascii="Arial" w:hAnsi="Arial" w:cs="Arial"/>
          <w:noProof/>
        </w:rPr>
        <w:t xml:space="preserve"> meeting </w:t>
      </w:r>
      <w:r w:rsidR="00536765">
        <w:rPr>
          <w:rFonts w:ascii="Arial" w:hAnsi="Arial" w:cs="Arial"/>
          <w:noProof/>
        </w:rPr>
        <w:t>AIP criteria</w:t>
      </w:r>
      <w:r w:rsidR="007845A9">
        <w:rPr>
          <w:rFonts w:ascii="Arial" w:hAnsi="Arial" w:cs="Arial"/>
          <w:noProof/>
        </w:rPr>
        <w:t xml:space="preserve"> </w:t>
      </w:r>
      <w:r w:rsidR="00752E4C">
        <w:rPr>
          <w:rFonts w:ascii="Arial" w:hAnsi="Arial" w:cs="Arial"/>
          <w:noProof/>
        </w:rPr>
        <w:t>are required to</w:t>
      </w:r>
      <w:r w:rsidR="00EE784A" w:rsidRPr="00EE784A">
        <w:rPr>
          <w:rFonts w:ascii="Arial" w:hAnsi="Arial" w:cs="Arial"/>
          <w:noProof/>
        </w:rPr>
        <w:t xml:space="preserve"> prepare an AIP plan </w:t>
      </w:r>
      <w:r w:rsidR="00A551E0">
        <w:rPr>
          <w:rFonts w:ascii="Arial" w:hAnsi="Arial" w:cs="Arial"/>
          <w:noProof/>
        </w:rPr>
        <w:t>addressing</w:t>
      </w:r>
      <w:r w:rsidR="00EE784A" w:rsidRPr="00EE784A">
        <w:rPr>
          <w:rFonts w:ascii="Arial" w:hAnsi="Arial" w:cs="Arial"/>
          <w:noProof/>
        </w:rPr>
        <w:t xml:space="preserve"> </w:t>
      </w:r>
      <w:r w:rsidR="00EE784A">
        <w:rPr>
          <w:rFonts w:ascii="Arial" w:hAnsi="Arial" w:cs="Arial"/>
          <w:noProof/>
        </w:rPr>
        <w:t>how they will</w:t>
      </w:r>
      <w:r w:rsidR="00EE784A" w:rsidRPr="00EE784A">
        <w:rPr>
          <w:rFonts w:ascii="Arial" w:hAnsi="Arial" w:cs="Arial"/>
          <w:noProof/>
        </w:rPr>
        <w:t xml:space="preserve"> ensure that Australian businesses have opportunit</w:t>
      </w:r>
      <w:r w:rsidR="00185461">
        <w:rPr>
          <w:rFonts w:ascii="Arial" w:hAnsi="Arial" w:cs="Arial"/>
          <w:noProof/>
        </w:rPr>
        <w:t>ies</w:t>
      </w:r>
      <w:r w:rsidR="00EE784A" w:rsidRPr="00EE784A">
        <w:rPr>
          <w:rFonts w:ascii="Arial" w:hAnsi="Arial" w:cs="Arial"/>
          <w:noProof/>
        </w:rPr>
        <w:t xml:space="preserve"> to bid for work. </w:t>
      </w:r>
      <w:r w:rsidR="00A4745E" w:rsidRPr="00A4745E">
        <w:rPr>
          <w:rFonts w:ascii="Arial" w:hAnsi="Arial" w:cs="Arial"/>
          <w:noProof/>
        </w:rPr>
        <w:t xml:space="preserve">Under their AIP plans, proponents must advertise all procurements of key goods and services valued $1 million and above. </w:t>
      </w:r>
      <w:r w:rsidR="00EE784A" w:rsidRPr="00EE784A">
        <w:rPr>
          <w:rFonts w:ascii="Arial" w:hAnsi="Arial" w:cs="Arial"/>
          <w:noProof/>
        </w:rPr>
        <w:t xml:space="preserve">Similar </w:t>
      </w:r>
      <w:r w:rsidR="00A4745E">
        <w:rPr>
          <w:rFonts w:ascii="Arial" w:hAnsi="Arial" w:cs="Arial"/>
          <w:noProof/>
        </w:rPr>
        <w:t xml:space="preserve">AIP plan </w:t>
      </w:r>
      <w:r w:rsidR="00EE784A" w:rsidRPr="00EE784A">
        <w:rPr>
          <w:rFonts w:ascii="Arial" w:hAnsi="Arial" w:cs="Arial"/>
          <w:noProof/>
        </w:rPr>
        <w:t xml:space="preserve">requirements are </w:t>
      </w:r>
      <w:r w:rsidR="0022326C">
        <w:rPr>
          <w:rFonts w:ascii="Arial" w:hAnsi="Arial" w:cs="Arial"/>
          <w:noProof/>
        </w:rPr>
        <w:t>in place</w:t>
      </w:r>
      <w:r w:rsidR="00EE784A" w:rsidRPr="00EE784A">
        <w:rPr>
          <w:rFonts w:ascii="Arial" w:hAnsi="Arial" w:cs="Arial"/>
          <w:noProof/>
        </w:rPr>
        <w:t xml:space="preserve"> for </w:t>
      </w:r>
      <w:r w:rsidR="00C87879">
        <w:rPr>
          <w:rFonts w:ascii="Arial" w:hAnsi="Arial" w:cs="Arial"/>
          <w:noProof/>
        </w:rPr>
        <w:t xml:space="preserve">eligible projects receiving </w:t>
      </w:r>
      <w:r w:rsidR="00EE784A" w:rsidRPr="00EE784A">
        <w:rPr>
          <w:rFonts w:ascii="Arial" w:hAnsi="Arial" w:cs="Arial"/>
          <w:noProof/>
        </w:rPr>
        <w:t xml:space="preserve">Commonwealth </w:t>
      </w:r>
      <w:r w:rsidR="00C87879">
        <w:rPr>
          <w:rFonts w:ascii="Arial" w:hAnsi="Arial" w:cs="Arial"/>
          <w:noProof/>
        </w:rPr>
        <w:t>funding or investment</w:t>
      </w:r>
      <w:r w:rsidR="00C87879" w:rsidRPr="00EE784A">
        <w:rPr>
          <w:rFonts w:ascii="Arial" w:hAnsi="Arial" w:cs="Arial"/>
          <w:noProof/>
        </w:rPr>
        <w:t xml:space="preserve"> </w:t>
      </w:r>
      <w:r w:rsidR="00EE784A">
        <w:rPr>
          <w:rFonts w:ascii="Arial" w:hAnsi="Arial" w:cs="Arial"/>
          <w:noProof/>
        </w:rPr>
        <w:t>of</w:t>
      </w:r>
      <w:r w:rsidR="00EE784A" w:rsidRPr="00EE784A">
        <w:rPr>
          <w:rFonts w:ascii="Arial" w:hAnsi="Arial" w:cs="Arial"/>
          <w:noProof/>
        </w:rPr>
        <w:t xml:space="preserve"> $20 million</w:t>
      </w:r>
      <w:r w:rsidR="00EE784A">
        <w:rPr>
          <w:rFonts w:ascii="Arial" w:hAnsi="Arial" w:cs="Arial"/>
          <w:noProof/>
        </w:rPr>
        <w:t xml:space="preserve"> or more, including </w:t>
      </w:r>
      <w:r w:rsidR="00EE784A" w:rsidRPr="00EE784A">
        <w:rPr>
          <w:rFonts w:ascii="Arial" w:hAnsi="Arial" w:cs="Arial"/>
          <w:noProof/>
        </w:rPr>
        <w:t xml:space="preserve">procurements, grants, loans or payments to </w:t>
      </w:r>
      <w:r w:rsidR="00B56A8E">
        <w:rPr>
          <w:rFonts w:ascii="Arial" w:hAnsi="Arial" w:cs="Arial"/>
          <w:noProof/>
        </w:rPr>
        <w:t>s</w:t>
      </w:r>
      <w:r w:rsidR="00EE784A" w:rsidRPr="00EE784A">
        <w:rPr>
          <w:rFonts w:ascii="Arial" w:hAnsi="Arial" w:cs="Arial"/>
          <w:noProof/>
        </w:rPr>
        <w:t xml:space="preserve">tates and </w:t>
      </w:r>
      <w:r w:rsidR="00B56A8E">
        <w:rPr>
          <w:rFonts w:ascii="Arial" w:hAnsi="Arial" w:cs="Arial"/>
          <w:noProof/>
        </w:rPr>
        <w:t>t</w:t>
      </w:r>
      <w:r w:rsidR="00EE784A" w:rsidRPr="00EE784A">
        <w:rPr>
          <w:rFonts w:ascii="Arial" w:hAnsi="Arial" w:cs="Arial"/>
          <w:noProof/>
        </w:rPr>
        <w:t>erritories for large infrastructure projects</w:t>
      </w:r>
      <w:r w:rsidR="00EE784A">
        <w:rPr>
          <w:rFonts w:ascii="Arial" w:hAnsi="Arial" w:cs="Arial"/>
          <w:noProof/>
        </w:rPr>
        <w:t>.</w:t>
      </w:r>
      <w:r w:rsidR="00A72DD0">
        <w:rPr>
          <w:rFonts w:ascii="Arial" w:hAnsi="Arial" w:cs="Arial"/>
          <w:noProof/>
        </w:rPr>
        <w:t xml:space="preserve"> </w:t>
      </w:r>
      <w:r w:rsidR="00B20459">
        <w:rPr>
          <w:rFonts w:ascii="Arial" w:hAnsi="Arial" w:cs="Arial"/>
          <w:noProof/>
        </w:rPr>
        <w:t>There</w:t>
      </w:r>
      <w:r w:rsidR="00A4745E">
        <w:rPr>
          <w:rFonts w:ascii="Arial" w:hAnsi="Arial" w:cs="Arial"/>
          <w:noProof/>
        </w:rPr>
        <w:t xml:space="preserve"> is no minimum </w:t>
      </w:r>
      <w:r w:rsidR="004F3F79">
        <w:rPr>
          <w:rFonts w:ascii="Arial" w:hAnsi="Arial" w:cs="Arial"/>
          <w:noProof/>
        </w:rPr>
        <w:t xml:space="preserve">procurement </w:t>
      </w:r>
      <w:r w:rsidR="00A4745E">
        <w:rPr>
          <w:rFonts w:ascii="Arial" w:hAnsi="Arial" w:cs="Arial"/>
          <w:noProof/>
        </w:rPr>
        <w:t>contract threshold for Commonwealth funded projects.</w:t>
      </w:r>
    </w:p>
    <w:p w14:paraId="78860B37" w14:textId="5BB44986" w:rsidR="00C85EA1" w:rsidRDefault="00A72DD0" w:rsidP="00604279">
      <w:pPr>
        <w:pStyle w:val="BodyText"/>
        <w:rPr>
          <w:rFonts w:ascii="Arial" w:hAnsi="Arial" w:cs="Arial"/>
          <w:noProof/>
        </w:rPr>
      </w:pPr>
      <w:r>
        <w:rPr>
          <w:rFonts w:ascii="Arial" w:hAnsi="Arial" w:cs="Arial"/>
          <w:noProof/>
        </w:rPr>
        <w:t>The AIP policy</w:t>
      </w:r>
      <w:r w:rsidR="005B3BC9">
        <w:rPr>
          <w:rFonts w:ascii="Arial" w:hAnsi="Arial" w:cs="Arial"/>
          <w:noProof/>
        </w:rPr>
        <w:t xml:space="preserve"> </w:t>
      </w:r>
      <w:r w:rsidR="00B54C7C">
        <w:rPr>
          <w:rFonts w:ascii="Arial" w:hAnsi="Arial" w:cs="Arial"/>
          <w:noProof/>
        </w:rPr>
        <w:t>gives effect to the principles outlined in</w:t>
      </w:r>
      <w:r w:rsidR="00D5564A" w:rsidRPr="00D5564A">
        <w:rPr>
          <w:rFonts w:ascii="Arial" w:hAnsi="Arial" w:cs="Arial"/>
          <w:noProof/>
        </w:rPr>
        <w:t xml:space="preserve"> the </w:t>
      </w:r>
      <w:r w:rsidR="00752E4C">
        <w:rPr>
          <w:rFonts w:ascii="Arial" w:hAnsi="Arial" w:cs="Arial"/>
          <w:noProof/>
        </w:rPr>
        <w:t xml:space="preserve">2001 cross-jurisdictional </w:t>
      </w:r>
      <w:r w:rsidR="00D5564A" w:rsidRPr="00D5564A">
        <w:rPr>
          <w:rFonts w:ascii="Arial" w:hAnsi="Arial" w:cs="Arial"/>
          <w:noProof/>
        </w:rPr>
        <w:t>AIP National Framework</w:t>
      </w:r>
      <w:r w:rsidR="00752E4C">
        <w:rPr>
          <w:rFonts w:ascii="Arial" w:hAnsi="Arial" w:cs="Arial"/>
          <w:noProof/>
        </w:rPr>
        <w:t xml:space="preserve"> </w:t>
      </w:r>
      <w:r w:rsidR="00733C0D">
        <w:rPr>
          <w:rFonts w:ascii="Arial" w:hAnsi="Arial" w:cs="Arial"/>
          <w:noProof/>
        </w:rPr>
        <w:t xml:space="preserve">which </w:t>
      </w:r>
      <w:r w:rsidR="00D5564A" w:rsidRPr="00D5564A">
        <w:rPr>
          <w:rFonts w:ascii="Arial" w:hAnsi="Arial" w:cs="Arial"/>
          <w:noProof/>
        </w:rPr>
        <w:t>supports a nationally consistent approach to maximising Australian industry participation.</w:t>
      </w:r>
      <w:r w:rsidR="00E71AE1">
        <w:rPr>
          <w:rFonts w:ascii="Arial" w:hAnsi="Arial" w:cs="Arial"/>
          <w:noProof/>
        </w:rPr>
        <w:t xml:space="preserve"> </w:t>
      </w:r>
      <w:r w:rsidR="007845A9">
        <w:rPr>
          <w:rFonts w:ascii="Arial" w:hAnsi="Arial" w:cs="Arial"/>
          <w:noProof/>
        </w:rPr>
        <w:t xml:space="preserve">Most </w:t>
      </w:r>
      <w:r w:rsidR="0011663C">
        <w:rPr>
          <w:rFonts w:ascii="Arial" w:hAnsi="Arial" w:cs="Arial"/>
          <w:noProof/>
        </w:rPr>
        <w:t>s</w:t>
      </w:r>
      <w:r w:rsidR="005A1327">
        <w:rPr>
          <w:rFonts w:ascii="Arial" w:hAnsi="Arial" w:cs="Arial"/>
          <w:noProof/>
        </w:rPr>
        <w:t xml:space="preserve">tate and </w:t>
      </w:r>
      <w:r w:rsidR="0011663C">
        <w:rPr>
          <w:rFonts w:ascii="Arial" w:hAnsi="Arial" w:cs="Arial"/>
          <w:noProof/>
        </w:rPr>
        <w:t>t</w:t>
      </w:r>
      <w:r w:rsidR="005A1327">
        <w:rPr>
          <w:rFonts w:ascii="Arial" w:hAnsi="Arial" w:cs="Arial"/>
          <w:noProof/>
        </w:rPr>
        <w:t xml:space="preserve">erritory governments </w:t>
      </w:r>
      <w:r w:rsidR="007845A9">
        <w:rPr>
          <w:rFonts w:ascii="Arial" w:hAnsi="Arial" w:cs="Arial"/>
          <w:noProof/>
        </w:rPr>
        <w:t>apply their own local participation policies</w:t>
      </w:r>
      <w:r w:rsidR="00DC15AD">
        <w:rPr>
          <w:rFonts w:ascii="Arial" w:hAnsi="Arial" w:cs="Arial"/>
          <w:noProof/>
        </w:rPr>
        <w:t xml:space="preserve">, which are separate from </w:t>
      </w:r>
      <w:r w:rsidR="001B546D">
        <w:rPr>
          <w:rFonts w:ascii="Arial" w:hAnsi="Arial" w:cs="Arial"/>
          <w:noProof/>
        </w:rPr>
        <w:t xml:space="preserve">the </w:t>
      </w:r>
      <w:r w:rsidR="00C87879">
        <w:rPr>
          <w:rFonts w:ascii="Arial" w:hAnsi="Arial" w:cs="Arial"/>
          <w:noProof/>
        </w:rPr>
        <w:t xml:space="preserve">Commonwealth </w:t>
      </w:r>
      <w:r w:rsidR="005A1327">
        <w:rPr>
          <w:rFonts w:ascii="Arial" w:hAnsi="Arial" w:cs="Arial"/>
          <w:noProof/>
        </w:rPr>
        <w:t xml:space="preserve">government </w:t>
      </w:r>
      <w:r w:rsidR="00DC15AD">
        <w:rPr>
          <w:rFonts w:ascii="Arial" w:hAnsi="Arial" w:cs="Arial"/>
          <w:noProof/>
        </w:rPr>
        <w:t xml:space="preserve">AIP </w:t>
      </w:r>
      <w:r w:rsidR="00B56A8E">
        <w:rPr>
          <w:rFonts w:ascii="Arial" w:hAnsi="Arial" w:cs="Arial"/>
          <w:noProof/>
        </w:rPr>
        <w:t>p</w:t>
      </w:r>
      <w:r w:rsidR="00DC15AD">
        <w:rPr>
          <w:rFonts w:ascii="Arial" w:hAnsi="Arial" w:cs="Arial"/>
          <w:noProof/>
        </w:rPr>
        <w:t>olicy.</w:t>
      </w:r>
    </w:p>
    <w:p w14:paraId="38425FA4" w14:textId="4A85EE78" w:rsidR="00E71AE1" w:rsidRDefault="00BB77BF" w:rsidP="00604279">
      <w:pPr>
        <w:pStyle w:val="BodyText"/>
        <w:rPr>
          <w:rFonts w:ascii="Arial" w:hAnsi="Arial" w:cs="Arial"/>
          <w:noProof/>
        </w:rPr>
      </w:pPr>
      <w:r w:rsidRPr="004F6832">
        <w:rPr>
          <w:rFonts w:ascii="Arial" w:hAnsi="Arial" w:cs="Arial"/>
          <w:noProof/>
        </w:rPr>
        <w:t xml:space="preserve">The DISR Evaluation Unit </w:t>
      </w:r>
      <w:r w:rsidR="002F4C27" w:rsidRPr="004F6832">
        <w:rPr>
          <w:rFonts w:ascii="Arial" w:hAnsi="Arial" w:cs="Arial"/>
          <w:noProof/>
        </w:rPr>
        <w:t>conducted</w:t>
      </w:r>
      <w:r w:rsidRPr="004F6832">
        <w:rPr>
          <w:rFonts w:ascii="Arial" w:hAnsi="Arial" w:cs="Arial"/>
          <w:noProof/>
        </w:rPr>
        <w:t xml:space="preserve"> </w:t>
      </w:r>
      <w:r w:rsidR="00FE667C" w:rsidRPr="004F6832">
        <w:rPr>
          <w:rFonts w:ascii="Arial" w:hAnsi="Arial" w:cs="Arial"/>
          <w:noProof/>
        </w:rPr>
        <w:t xml:space="preserve">the evaluation of the AIP </w:t>
      </w:r>
      <w:r w:rsidR="00B56A8E">
        <w:rPr>
          <w:rFonts w:ascii="Arial" w:hAnsi="Arial" w:cs="Arial"/>
          <w:noProof/>
        </w:rPr>
        <w:t>p</w:t>
      </w:r>
      <w:r w:rsidR="00FE667C" w:rsidRPr="004F6832">
        <w:rPr>
          <w:rFonts w:ascii="Arial" w:hAnsi="Arial" w:cs="Arial"/>
          <w:noProof/>
        </w:rPr>
        <w:t>olicy</w:t>
      </w:r>
      <w:r w:rsidRPr="004F6832">
        <w:rPr>
          <w:rFonts w:ascii="Arial" w:hAnsi="Arial" w:cs="Arial"/>
          <w:noProof/>
        </w:rPr>
        <w:t xml:space="preserve"> </w:t>
      </w:r>
      <w:r w:rsidR="003D06C2" w:rsidRPr="004F6832">
        <w:rPr>
          <w:rFonts w:ascii="Arial" w:hAnsi="Arial" w:cs="Arial"/>
          <w:noProof/>
        </w:rPr>
        <w:t>from October 2022 to April 2023</w:t>
      </w:r>
      <w:r w:rsidR="003D06C2">
        <w:rPr>
          <w:rFonts w:ascii="Arial" w:hAnsi="Arial" w:cs="Arial"/>
          <w:noProof/>
        </w:rPr>
        <w:t xml:space="preserve"> </w:t>
      </w:r>
      <w:r w:rsidR="002F4C27">
        <w:rPr>
          <w:rFonts w:ascii="Arial" w:hAnsi="Arial" w:cs="Arial"/>
          <w:noProof/>
        </w:rPr>
        <w:t>with</w:t>
      </w:r>
      <w:r w:rsidR="00E71AE1">
        <w:rPr>
          <w:rFonts w:ascii="Arial" w:hAnsi="Arial" w:cs="Arial"/>
          <w:noProof/>
        </w:rPr>
        <w:t xml:space="preserve"> </w:t>
      </w:r>
      <w:r w:rsidR="002F4C27">
        <w:rPr>
          <w:rFonts w:ascii="Arial" w:hAnsi="Arial" w:cs="Arial"/>
          <w:noProof/>
        </w:rPr>
        <w:t xml:space="preserve">oversight from </w:t>
      </w:r>
      <w:r w:rsidR="00BA3912">
        <w:rPr>
          <w:rFonts w:ascii="Arial" w:hAnsi="Arial" w:cs="Arial"/>
          <w:noProof/>
        </w:rPr>
        <w:t xml:space="preserve">a </w:t>
      </w:r>
      <w:r w:rsidR="005A1327">
        <w:rPr>
          <w:rFonts w:ascii="Arial" w:hAnsi="Arial" w:cs="Arial"/>
          <w:noProof/>
        </w:rPr>
        <w:t>Senior Executive Service (</w:t>
      </w:r>
      <w:r w:rsidR="00BA3912">
        <w:rPr>
          <w:rFonts w:ascii="Arial" w:hAnsi="Arial" w:cs="Arial"/>
          <w:noProof/>
        </w:rPr>
        <w:t>SES</w:t>
      </w:r>
      <w:r w:rsidR="005A1327">
        <w:rPr>
          <w:rFonts w:ascii="Arial" w:hAnsi="Arial" w:cs="Arial"/>
          <w:noProof/>
        </w:rPr>
        <w:t>)</w:t>
      </w:r>
      <w:r w:rsidR="00BA3912">
        <w:rPr>
          <w:rFonts w:ascii="Arial" w:hAnsi="Arial" w:cs="Arial"/>
          <w:noProof/>
        </w:rPr>
        <w:t xml:space="preserve"> Band </w:t>
      </w:r>
      <w:r w:rsidR="00100C2A">
        <w:rPr>
          <w:rFonts w:ascii="Arial" w:hAnsi="Arial" w:cs="Arial"/>
          <w:noProof/>
        </w:rPr>
        <w:t>1</w:t>
      </w:r>
      <w:r w:rsidR="0011663C">
        <w:rPr>
          <w:rFonts w:ascii="Arial" w:hAnsi="Arial" w:cs="Arial"/>
          <w:noProof/>
        </w:rPr>
        <w:t xml:space="preserve"> </w:t>
      </w:r>
      <w:r w:rsidR="00100C2A">
        <w:rPr>
          <w:rFonts w:ascii="Arial" w:hAnsi="Arial" w:cs="Arial"/>
          <w:noProof/>
        </w:rPr>
        <w:t>r</w:t>
      </w:r>
      <w:r w:rsidR="00BA3912">
        <w:rPr>
          <w:rFonts w:ascii="Arial" w:hAnsi="Arial" w:cs="Arial"/>
          <w:noProof/>
        </w:rPr>
        <w:t xml:space="preserve">eference </w:t>
      </w:r>
      <w:r w:rsidR="00100C2A">
        <w:rPr>
          <w:rFonts w:ascii="Arial" w:hAnsi="Arial" w:cs="Arial"/>
          <w:noProof/>
        </w:rPr>
        <w:t>g</w:t>
      </w:r>
      <w:r w:rsidR="00BA3912">
        <w:rPr>
          <w:rFonts w:ascii="Arial" w:hAnsi="Arial" w:cs="Arial"/>
          <w:noProof/>
        </w:rPr>
        <w:t>roup</w:t>
      </w:r>
      <w:r w:rsidR="00C2753C">
        <w:rPr>
          <w:rFonts w:ascii="Arial" w:hAnsi="Arial" w:cs="Arial"/>
          <w:noProof/>
        </w:rPr>
        <w:t xml:space="preserve">. </w:t>
      </w:r>
      <w:r w:rsidR="00724618">
        <w:rPr>
          <w:rFonts w:ascii="Arial" w:hAnsi="Arial" w:cs="Arial"/>
          <w:noProof/>
        </w:rPr>
        <w:t xml:space="preserve">The evaluation </w:t>
      </w:r>
      <w:r w:rsidR="002C6BEE">
        <w:rPr>
          <w:rFonts w:ascii="Arial" w:hAnsi="Arial" w:cs="Arial"/>
          <w:noProof/>
        </w:rPr>
        <w:t>assessed</w:t>
      </w:r>
      <w:r w:rsidR="00724618">
        <w:rPr>
          <w:rFonts w:ascii="Arial" w:hAnsi="Arial" w:cs="Arial"/>
          <w:noProof/>
        </w:rPr>
        <w:t xml:space="preserve"> </w:t>
      </w:r>
      <w:r w:rsidR="00724618" w:rsidRPr="00724618">
        <w:rPr>
          <w:rFonts w:ascii="Arial" w:hAnsi="Arial" w:cs="Arial"/>
          <w:noProof/>
        </w:rPr>
        <w:t>the AIP policy’s design, implementation and outcomes</w:t>
      </w:r>
      <w:r w:rsidR="00724618">
        <w:rPr>
          <w:rFonts w:ascii="Arial" w:hAnsi="Arial" w:cs="Arial"/>
          <w:noProof/>
        </w:rPr>
        <w:t xml:space="preserve"> to </w:t>
      </w:r>
      <w:r w:rsidR="00724618" w:rsidRPr="00724618">
        <w:rPr>
          <w:rFonts w:ascii="Arial" w:hAnsi="Arial" w:cs="Arial"/>
          <w:noProof/>
        </w:rPr>
        <w:t xml:space="preserve">assess whether </w:t>
      </w:r>
      <w:r w:rsidR="002C6BEE">
        <w:rPr>
          <w:rFonts w:ascii="Arial" w:hAnsi="Arial" w:cs="Arial"/>
          <w:noProof/>
        </w:rPr>
        <w:t xml:space="preserve">it was achieving its intended objectives. </w:t>
      </w:r>
    </w:p>
    <w:p w14:paraId="08FA5BD4" w14:textId="73790320" w:rsidR="00392279" w:rsidRDefault="00FA2D24" w:rsidP="00604279">
      <w:pPr>
        <w:pStyle w:val="BodyText"/>
        <w:rPr>
          <w:rFonts w:ascii="Arial" w:hAnsi="Arial" w:cs="Arial"/>
          <w:noProof/>
        </w:rPr>
      </w:pPr>
      <w:r w:rsidRPr="00FA2D24">
        <w:rPr>
          <w:rFonts w:ascii="Arial" w:hAnsi="Arial" w:cs="Arial"/>
          <w:noProof/>
        </w:rPr>
        <w:t>The</w:t>
      </w:r>
      <w:r w:rsidR="00EC141C">
        <w:rPr>
          <w:rFonts w:ascii="Arial" w:hAnsi="Arial" w:cs="Arial"/>
          <w:noProof/>
        </w:rPr>
        <w:t xml:space="preserve"> evaluation found the</w:t>
      </w:r>
      <w:r w:rsidRPr="00FA2D24">
        <w:rPr>
          <w:rFonts w:ascii="Arial" w:hAnsi="Arial" w:cs="Arial"/>
          <w:noProof/>
        </w:rPr>
        <w:t xml:space="preserve"> objectives of the AIP policy remain relevant. The underlying barriers to Australian businesses competing for work continue to exist</w:t>
      </w:r>
      <w:r w:rsidR="00C70626">
        <w:rPr>
          <w:rFonts w:ascii="Arial" w:hAnsi="Arial" w:cs="Arial"/>
          <w:noProof/>
        </w:rPr>
        <w:t>, such as</w:t>
      </w:r>
      <w:r w:rsidRPr="00FA2D24">
        <w:rPr>
          <w:rFonts w:ascii="Arial" w:hAnsi="Arial" w:cs="Arial"/>
          <w:noProof/>
        </w:rPr>
        <w:t xml:space="preserve"> the size and complexity of tender packages</w:t>
      </w:r>
      <w:r w:rsidR="00EE0B37">
        <w:rPr>
          <w:rFonts w:ascii="Arial" w:hAnsi="Arial" w:cs="Arial"/>
          <w:noProof/>
        </w:rPr>
        <w:t xml:space="preserve">, </w:t>
      </w:r>
      <w:r w:rsidRPr="00FA2D24">
        <w:rPr>
          <w:rFonts w:ascii="Arial" w:hAnsi="Arial" w:cs="Arial"/>
          <w:noProof/>
        </w:rPr>
        <w:t>project proponents</w:t>
      </w:r>
      <w:r w:rsidR="00FE667C">
        <w:rPr>
          <w:rFonts w:ascii="Arial" w:hAnsi="Arial" w:cs="Arial"/>
          <w:noProof/>
        </w:rPr>
        <w:t>’</w:t>
      </w:r>
      <w:r w:rsidRPr="00FA2D24">
        <w:rPr>
          <w:rFonts w:ascii="Arial" w:hAnsi="Arial" w:cs="Arial"/>
          <w:noProof/>
        </w:rPr>
        <w:t xml:space="preserve"> use of established supply chains</w:t>
      </w:r>
      <w:r w:rsidR="00EE0B37">
        <w:rPr>
          <w:rFonts w:ascii="Arial" w:hAnsi="Arial" w:cs="Arial"/>
          <w:noProof/>
        </w:rPr>
        <w:t xml:space="preserve"> and information asymmetries</w:t>
      </w:r>
      <w:r w:rsidRPr="00FA2D24">
        <w:rPr>
          <w:rFonts w:ascii="Arial" w:hAnsi="Arial" w:cs="Arial"/>
          <w:noProof/>
        </w:rPr>
        <w:t xml:space="preserve">. AIP policy continues to help </w:t>
      </w:r>
      <w:r w:rsidR="00B54C7C">
        <w:rPr>
          <w:rFonts w:ascii="Arial" w:hAnsi="Arial" w:cs="Arial"/>
          <w:noProof/>
        </w:rPr>
        <w:t>address those</w:t>
      </w:r>
      <w:r w:rsidR="00B54C7C" w:rsidRPr="00FA2D24">
        <w:rPr>
          <w:rFonts w:ascii="Arial" w:hAnsi="Arial" w:cs="Arial"/>
          <w:noProof/>
        </w:rPr>
        <w:t xml:space="preserve"> </w:t>
      </w:r>
      <w:r w:rsidRPr="00FA2D24">
        <w:rPr>
          <w:rFonts w:ascii="Arial" w:hAnsi="Arial" w:cs="Arial"/>
          <w:noProof/>
        </w:rPr>
        <w:t>barriers</w:t>
      </w:r>
      <w:r w:rsidR="00B54C7C">
        <w:rPr>
          <w:rFonts w:ascii="Arial" w:hAnsi="Arial" w:cs="Arial"/>
          <w:noProof/>
        </w:rPr>
        <w:t xml:space="preserve"> </w:t>
      </w:r>
      <w:r w:rsidR="00C70626">
        <w:rPr>
          <w:rFonts w:ascii="Arial" w:hAnsi="Arial" w:cs="Arial"/>
          <w:noProof/>
        </w:rPr>
        <w:t>while also</w:t>
      </w:r>
      <w:r w:rsidRPr="00FA2D24">
        <w:rPr>
          <w:rFonts w:ascii="Arial" w:hAnsi="Arial" w:cs="Arial"/>
          <w:noProof/>
        </w:rPr>
        <w:t xml:space="preserve"> </w:t>
      </w:r>
      <w:r w:rsidR="00C70626">
        <w:rPr>
          <w:rFonts w:ascii="Arial" w:hAnsi="Arial" w:cs="Arial"/>
          <w:noProof/>
        </w:rPr>
        <w:t>aligning</w:t>
      </w:r>
      <w:r w:rsidR="00C70626" w:rsidRPr="00FA2D24">
        <w:rPr>
          <w:rFonts w:ascii="Arial" w:hAnsi="Arial" w:cs="Arial"/>
          <w:noProof/>
        </w:rPr>
        <w:t xml:space="preserve"> </w:t>
      </w:r>
      <w:r w:rsidR="00A4745E">
        <w:rPr>
          <w:rFonts w:ascii="Arial" w:hAnsi="Arial" w:cs="Arial"/>
          <w:noProof/>
        </w:rPr>
        <w:t xml:space="preserve">with </w:t>
      </w:r>
      <w:r w:rsidRPr="00FA2D24">
        <w:rPr>
          <w:rFonts w:ascii="Arial" w:hAnsi="Arial" w:cs="Arial"/>
          <w:noProof/>
        </w:rPr>
        <w:t xml:space="preserve">the current </w:t>
      </w:r>
      <w:r w:rsidR="00C70626">
        <w:rPr>
          <w:rFonts w:ascii="Arial" w:hAnsi="Arial" w:cs="Arial"/>
          <w:noProof/>
        </w:rPr>
        <w:t xml:space="preserve">policy </w:t>
      </w:r>
      <w:r w:rsidRPr="00FA2D24">
        <w:rPr>
          <w:rFonts w:ascii="Arial" w:hAnsi="Arial" w:cs="Arial"/>
          <w:noProof/>
        </w:rPr>
        <w:t>focus on Australia’s sovereign capability.</w:t>
      </w:r>
      <w:r w:rsidR="00C70626">
        <w:rPr>
          <w:rFonts w:ascii="Arial" w:hAnsi="Arial" w:cs="Arial"/>
          <w:noProof/>
        </w:rPr>
        <w:t xml:space="preserve"> </w:t>
      </w:r>
      <w:r w:rsidR="00392279">
        <w:rPr>
          <w:rFonts w:ascii="Arial" w:hAnsi="Arial" w:cs="Arial"/>
          <w:noProof/>
        </w:rPr>
        <w:t xml:space="preserve">There are opportunities to </w:t>
      </w:r>
      <w:r w:rsidR="005A1327">
        <w:rPr>
          <w:rFonts w:ascii="Arial" w:hAnsi="Arial" w:cs="Arial"/>
          <w:noProof/>
        </w:rPr>
        <w:t xml:space="preserve">increase the impact of the policy by </w:t>
      </w:r>
      <w:r w:rsidR="00EC141C">
        <w:rPr>
          <w:rFonts w:ascii="Arial" w:hAnsi="Arial" w:cs="Arial"/>
          <w:noProof/>
        </w:rPr>
        <w:t xml:space="preserve">improving </w:t>
      </w:r>
      <w:r w:rsidR="00392279">
        <w:rPr>
          <w:rFonts w:ascii="Arial" w:hAnsi="Arial" w:cs="Arial"/>
          <w:noProof/>
        </w:rPr>
        <w:t xml:space="preserve">stakeholder communication and </w:t>
      </w:r>
      <w:r w:rsidR="00EC141C">
        <w:rPr>
          <w:rFonts w:ascii="Arial" w:hAnsi="Arial" w:cs="Arial"/>
          <w:noProof/>
        </w:rPr>
        <w:t>raising</w:t>
      </w:r>
      <w:r w:rsidR="00392279">
        <w:rPr>
          <w:rFonts w:ascii="Arial" w:hAnsi="Arial" w:cs="Arial"/>
          <w:noProof/>
        </w:rPr>
        <w:t xml:space="preserve"> awareness </w:t>
      </w:r>
      <w:r w:rsidR="00533306">
        <w:rPr>
          <w:rFonts w:ascii="Arial" w:hAnsi="Arial" w:cs="Arial"/>
          <w:noProof/>
        </w:rPr>
        <w:t>of AIP requirements within industry and Commonwealth agencies</w:t>
      </w:r>
      <w:r w:rsidR="00392279">
        <w:rPr>
          <w:rFonts w:ascii="Arial" w:hAnsi="Arial" w:cs="Arial"/>
          <w:noProof/>
        </w:rPr>
        <w:t>.</w:t>
      </w:r>
    </w:p>
    <w:p w14:paraId="53FD8500" w14:textId="4FE895B7" w:rsidR="00392279" w:rsidRDefault="00B54C7C" w:rsidP="00604279">
      <w:pPr>
        <w:pStyle w:val="BodyText"/>
        <w:rPr>
          <w:rFonts w:ascii="Arial" w:hAnsi="Arial" w:cs="Arial"/>
          <w:noProof/>
        </w:rPr>
      </w:pPr>
      <w:r w:rsidRPr="00B54C7C">
        <w:rPr>
          <w:rFonts w:ascii="Arial" w:hAnsi="Arial" w:cs="Arial"/>
          <w:noProof/>
        </w:rPr>
        <w:t>The 2001 AIP National Framework itself could benefit from a</w:t>
      </w:r>
      <w:r w:rsidR="00A551E0">
        <w:rPr>
          <w:rFonts w:ascii="Arial" w:hAnsi="Arial" w:cs="Arial"/>
          <w:noProof/>
        </w:rPr>
        <w:t xml:space="preserve"> </w:t>
      </w:r>
      <w:r w:rsidRPr="00B54C7C">
        <w:rPr>
          <w:rFonts w:ascii="Arial" w:hAnsi="Arial" w:cs="Arial"/>
          <w:noProof/>
        </w:rPr>
        <w:t>refresh to remain relevant as a guiding document into the future.</w:t>
      </w:r>
      <w:r w:rsidR="00827535">
        <w:rPr>
          <w:rFonts w:ascii="Arial" w:hAnsi="Arial" w:cs="Arial"/>
          <w:noProof/>
        </w:rPr>
        <w:t xml:space="preserve"> </w:t>
      </w:r>
      <w:r w:rsidR="00392279" w:rsidRPr="00392279">
        <w:rPr>
          <w:rFonts w:ascii="Arial" w:hAnsi="Arial" w:cs="Arial"/>
          <w:noProof/>
        </w:rPr>
        <w:t xml:space="preserve">This </w:t>
      </w:r>
      <w:r w:rsidR="00392279">
        <w:rPr>
          <w:rFonts w:ascii="Arial" w:hAnsi="Arial" w:cs="Arial"/>
          <w:noProof/>
        </w:rPr>
        <w:t xml:space="preserve">process </w:t>
      </w:r>
      <w:r w:rsidR="00392279" w:rsidRPr="00392279">
        <w:rPr>
          <w:rFonts w:ascii="Arial" w:hAnsi="Arial" w:cs="Arial"/>
          <w:noProof/>
        </w:rPr>
        <w:t xml:space="preserve">could include deliberation on </w:t>
      </w:r>
      <w:r w:rsidR="006403A9">
        <w:rPr>
          <w:rFonts w:ascii="Arial" w:hAnsi="Arial" w:cs="Arial"/>
          <w:noProof/>
        </w:rPr>
        <w:t>harmonising</w:t>
      </w:r>
      <w:r w:rsidR="00392279" w:rsidRPr="00392279">
        <w:rPr>
          <w:rFonts w:ascii="Arial" w:hAnsi="Arial" w:cs="Arial"/>
          <w:noProof/>
        </w:rPr>
        <w:t xml:space="preserve"> </w:t>
      </w:r>
      <w:r w:rsidR="00392279">
        <w:rPr>
          <w:rFonts w:ascii="Arial" w:hAnsi="Arial" w:cs="Arial"/>
          <w:noProof/>
        </w:rPr>
        <w:t xml:space="preserve">Commonwealth, </w:t>
      </w:r>
      <w:r w:rsidR="00392279" w:rsidRPr="00392279">
        <w:rPr>
          <w:rFonts w:ascii="Arial" w:hAnsi="Arial" w:cs="Arial"/>
          <w:noProof/>
        </w:rPr>
        <w:t>State and Territory approaches</w:t>
      </w:r>
      <w:r w:rsidR="00392279">
        <w:rPr>
          <w:rFonts w:ascii="Arial" w:hAnsi="Arial" w:cs="Arial"/>
          <w:noProof/>
        </w:rPr>
        <w:t xml:space="preserve"> to further support a nationally consistent approach.</w:t>
      </w:r>
    </w:p>
    <w:p w14:paraId="2A376D59" w14:textId="697B7060" w:rsidR="00C70626" w:rsidRDefault="00C70626" w:rsidP="00C70626">
      <w:pPr>
        <w:pStyle w:val="BodyText"/>
        <w:rPr>
          <w:rFonts w:ascii="Arial" w:hAnsi="Arial" w:cs="Arial"/>
          <w:noProof/>
        </w:rPr>
      </w:pPr>
      <w:r>
        <w:rPr>
          <w:rFonts w:ascii="Arial" w:hAnsi="Arial" w:cs="Arial"/>
          <w:noProof/>
        </w:rPr>
        <w:t xml:space="preserve">Stakeholder </w:t>
      </w:r>
      <w:r w:rsidRPr="00A11389">
        <w:rPr>
          <w:rFonts w:ascii="Arial" w:hAnsi="Arial" w:cs="Arial"/>
          <w:noProof/>
        </w:rPr>
        <w:t xml:space="preserve">sentiment </w:t>
      </w:r>
      <w:r>
        <w:rPr>
          <w:rFonts w:ascii="Arial" w:hAnsi="Arial" w:cs="Arial"/>
          <w:noProof/>
        </w:rPr>
        <w:t>indicated general support for current levels of AIP financial threshold</w:t>
      </w:r>
      <w:r w:rsidR="00D04D2D">
        <w:rPr>
          <w:rFonts w:ascii="Arial" w:hAnsi="Arial" w:cs="Arial"/>
          <w:noProof/>
        </w:rPr>
        <w:t>s</w:t>
      </w:r>
      <w:r>
        <w:rPr>
          <w:rFonts w:ascii="Arial" w:hAnsi="Arial" w:cs="Arial"/>
          <w:noProof/>
        </w:rPr>
        <w:t xml:space="preserve"> for Jobs Act </w:t>
      </w:r>
      <w:r w:rsidR="00D04D2D">
        <w:rPr>
          <w:rFonts w:ascii="Arial" w:hAnsi="Arial" w:cs="Arial"/>
          <w:noProof/>
        </w:rPr>
        <w:t xml:space="preserve">projects </w:t>
      </w:r>
      <w:r>
        <w:rPr>
          <w:rFonts w:ascii="Arial" w:hAnsi="Arial" w:cs="Arial"/>
          <w:noProof/>
        </w:rPr>
        <w:t xml:space="preserve">and </w:t>
      </w:r>
      <w:r w:rsidR="00D04D2D">
        <w:rPr>
          <w:rFonts w:ascii="Arial" w:hAnsi="Arial" w:cs="Arial"/>
          <w:noProof/>
        </w:rPr>
        <w:t xml:space="preserve">for projects receiving </w:t>
      </w:r>
      <w:r>
        <w:rPr>
          <w:rFonts w:ascii="Arial" w:hAnsi="Arial" w:cs="Arial"/>
          <w:noProof/>
        </w:rPr>
        <w:t xml:space="preserve">Commonwealth </w:t>
      </w:r>
      <w:r w:rsidR="00D04D2D">
        <w:rPr>
          <w:rFonts w:ascii="Arial" w:hAnsi="Arial" w:cs="Arial"/>
          <w:noProof/>
        </w:rPr>
        <w:t>funding or investment</w:t>
      </w:r>
      <w:r>
        <w:rPr>
          <w:rFonts w:ascii="Arial" w:hAnsi="Arial" w:cs="Arial"/>
          <w:noProof/>
        </w:rPr>
        <w:t>. However, f</w:t>
      </w:r>
      <w:r w:rsidRPr="004D6B57">
        <w:rPr>
          <w:rFonts w:ascii="Arial" w:hAnsi="Arial" w:cs="Arial"/>
          <w:noProof/>
        </w:rPr>
        <w:t xml:space="preserve">urther analysis of the thresholds </w:t>
      </w:r>
      <w:r w:rsidR="005A1327">
        <w:rPr>
          <w:rFonts w:ascii="Arial" w:hAnsi="Arial" w:cs="Arial"/>
          <w:noProof/>
        </w:rPr>
        <w:t>is</w:t>
      </w:r>
      <w:r w:rsidRPr="004D6B57">
        <w:rPr>
          <w:rFonts w:ascii="Arial" w:hAnsi="Arial" w:cs="Arial"/>
          <w:noProof/>
        </w:rPr>
        <w:t xml:space="preserve"> needed to ensure they are set at the most appropriate levels to achieve the policy objective</w:t>
      </w:r>
      <w:r>
        <w:rPr>
          <w:rFonts w:ascii="Arial" w:hAnsi="Arial" w:cs="Arial"/>
          <w:noProof/>
        </w:rPr>
        <w:t xml:space="preserve"> and balance </w:t>
      </w:r>
      <w:r w:rsidRPr="004B4B9C">
        <w:rPr>
          <w:rFonts w:ascii="Arial" w:hAnsi="Arial" w:cs="Arial"/>
          <w:noProof/>
        </w:rPr>
        <w:t xml:space="preserve">the administrative burden for both proponents and </w:t>
      </w:r>
      <w:r>
        <w:rPr>
          <w:rFonts w:ascii="Arial" w:hAnsi="Arial" w:cs="Arial"/>
          <w:noProof/>
        </w:rPr>
        <w:t xml:space="preserve">the regulator. Consideration could also be given </w:t>
      </w:r>
      <w:r w:rsidRPr="00DC7641">
        <w:rPr>
          <w:rFonts w:ascii="Arial" w:hAnsi="Arial" w:cs="Arial"/>
          <w:noProof/>
        </w:rPr>
        <w:t xml:space="preserve">to </w:t>
      </w:r>
      <w:r w:rsidR="00B20459">
        <w:rPr>
          <w:rFonts w:ascii="Arial" w:hAnsi="Arial" w:cs="Arial"/>
          <w:noProof/>
        </w:rPr>
        <w:t xml:space="preserve">aligning </w:t>
      </w:r>
      <w:r>
        <w:rPr>
          <w:rFonts w:ascii="Arial" w:hAnsi="Arial" w:cs="Arial"/>
          <w:noProof/>
        </w:rPr>
        <w:t>t</w:t>
      </w:r>
      <w:r w:rsidRPr="00440CD5">
        <w:rPr>
          <w:rFonts w:ascii="Arial" w:hAnsi="Arial" w:cs="Arial"/>
          <w:noProof/>
        </w:rPr>
        <w:t>he scope of project types covered by the Jobs Act and how</w:t>
      </w:r>
      <w:r>
        <w:rPr>
          <w:rFonts w:ascii="Arial" w:hAnsi="Arial" w:cs="Arial"/>
          <w:noProof/>
        </w:rPr>
        <w:t xml:space="preserve"> to best</w:t>
      </w:r>
      <w:r w:rsidRPr="00440CD5">
        <w:rPr>
          <w:rFonts w:ascii="Arial" w:hAnsi="Arial" w:cs="Arial"/>
          <w:noProof/>
        </w:rPr>
        <w:t xml:space="preserve"> focus on sectors </w:t>
      </w:r>
      <w:r w:rsidRPr="00440CD5">
        <w:rPr>
          <w:lang w:eastAsia="en-AU"/>
        </w:rPr>
        <w:t>where there are</w:t>
      </w:r>
      <w:r w:rsidR="00224780">
        <w:rPr>
          <w:lang w:eastAsia="en-AU"/>
        </w:rPr>
        <w:t xml:space="preserve"> </w:t>
      </w:r>
      <w:r w:rsidR="00B20459">
        <w:rPr>
          <w:lang w:eastAsia="en-AU"/>
        </w:rPr>
        <w:t>currently lower levels</w:t>
      </w:r>
      <w:r>
        <w:rPr>
          <w:lang w:eastAsia="en-AU"/>
        </w:rPr>
        <w:t xml:space="preserve"> </w:t>
      </w:r>
      <w:r w:rsidR="00056CCC">
        <w:rPr>
          <w:lang w:eastAsia="en-AU"/>
        </w:rPr>
        <w:t xml:space="preserve">of </w:t>
      </w:r>
      <w:r w:rsidRPr="00440CD5">
        <w:rPr>
          <w:lang w:eastAsia="en-AU"/>
        </w:rPr>
        <w:t>Australian industry participation</w:t>
      </w:r>
      <w:r w:rsidR="00B20459">
        <w:rPr>
          <w:lang w:eastAsia="en-AU"/>
        </w:rPr>
        <w:t xml:space="preserve"> and in line with Government priorities</w:t>
      </w:r>
      <w:r w:rsidRPr="00440CD5">
        <w:rPr>
          <w:rFonts w:ascii="Arial" w:hAnsi="Arial" w:cs="Arial"/>
          <w:noProof/>
        </w:rPr>
        <w:t>.</w:t>
      </w:r>
    </w:p>
    <w:p w14:paraId="40E68095" w14:textId="20E64E10" w:rsidR="00AB483B" w:rsidRDefault="00B54C7C" w:rsidP="00604279">
      <w:pPr>
        <w:pStyle w:val="BodyText"/>
        <w:rPr>
          <w:rFonts w:ascii="Arial" w:hAnsi="Arial" w:cs="Arial"/>
          <w:noProof/>
        </w:rPr>
      </w:pPr>
      <w:r>
        <w:rPr>
          <w:rFonts w:ascii="Arial" w:hAnsi="Arial" w:cs="Arial"/>
          <w:noProof/>
        </w:rPr>
        <w:t xml:space="preserve">Certain elements </w:t>
      </w:r>
      <w:r w:rsidR="000C5B49">
        <w:rPr>
          <w:rFonts w:ascii="Arial" w:hAnsi="Arial" w:cs="Arial"/>
          <w:noProof/>
        </w:rPr>
        <w:t xml:space="preserve">of the </w:t>
      </w:r>
      <w:r w:rsidR="00AB483B">
        <w:rPr>
          <w:rFonts w:ascii="Arial" w:hAnsi="Arial" w:cs="Arial"/>
          <w:noProof/>
        </w:rPr>
        <w:t xml:space="preserve">Jobs Act </w:t>
      </w:r>
      <w:r w:rsidR="000C5B49">
        <w:rPr>
          <w:rFonts w:ascii="Arial" w:hAnsi="Arial" w:cs="Arial"/>
          <w:noProof/>
        </w:rPr>
        <w:t xml:space="preserve">have not been implemented. An AIP </w:t>
      </w:r>
      <w:r w:rsidR="00B56A8E">
        <w:rPr>
          <w:rFonts w:ascii="Arial" w:hAnsi="Arial" w:cs="Arial"/>
          <w:noProof/>
        </w:rPr>
        <w:t>a</w:t>
      </w:r>
      <w:r w:rsidR="000C5B49">
        <w:rPr>
          <w:rFonts w:ascii="Arial" w:hAnsi="Arial" w:cs="Arial"/>
          <w:noProof/>
        </w:rPr>
        <w:t xml:space="preserve">dvisory </w:t>
      </w:r>
      <w:r w:rsidR="00B56A8E">
        <w:rPr>
          <w:rFonts w:ascii="Arial" w:hAnsi="Arial" w:cs="Arial"/>
          <w:noProof/>
        </w:rPr>
        <w:t>b</w:t>
      </w:r>
      <w:r w:rsidR="000C5B49">
        <w:rPr>
          <w:rFonts w:ascii="Arial" w:hAnsi="Arial" w:cs="Arial"/>
          <w:noProof/>
        </w:rPr>
        <w:t xml:space="preserve">oard has not been established </w:t>
      </w:r>
      <w:r>
        <w:rPr>
          <w:rFonts w:ascii="Arial" w:hAnsi="Arial" w:cs="Arial"/>
          <w:noProof/>
        </w:rPr>
        <w:t>and</w:t>
      </w:r>
      <w:r w:rsidR="000C5B49">
        <w:rPr>
          <w:rFonts w:ascii="Arial" w:hAnsi="Arial" w:cs="Arial"/>
          <w:noProof/>
        </w:rPr>
        <w:t xml:space="preserve"> a permanent AIP Authority </w:t>
      </w:r>
      <w:r>
        <w:rPr>
          <w:rFonts w:ascii="Arial" w:hAnsi="Arial" w:cs="Arial"/>
          <w:noProof/>
        </w:rPr>
        <w:t xml:space="preserve">has not </w:t>
      </w:r>
      <w:r w:rsidR="000C5B49">
        <w:rPr>
          <w:rFonts w:ascii="Arial" w:hAnsi="Arial" w:cs="Arial"/>
          <w:noProof/>
        </w:rPr>
        <w:t xml:space="preserve">been appointed. </w:t>
      </w:r>
      <w:r w:rsidR="00C90EC8">
        <w:rPr>
          <w:rFonts w:ascii="Arial" w:hAnsi="Arial" w:cs="Arial"/>
          <w:noProof/>
        </w:rPr>
        <w:t xml:space="preserve">The latter role has been filled </w:t>
      </w:r>
      <w:r w:rsidR="00224780">
        <w:rPr>
          <w:rFonts w:ascii="Arial" w:hAnsi="Arial" w:cs="Arial"/>
          <w:noProof/>
        </w:rPr>
        <w:t xml:space="preserve">by </w:t>
      </w:r>
      <w:r w:rsidR="004F3F79">
        <w:rPr>
          <w:rFonts w:ascii="Arial" w:hAnsi="Arial" w:cs="Arial"/>
          <w:noProof/>
        </w:rPr>
        <w:t xml:space="preserve">DISR senior executive officer </w:t>
      </w:r>
      <w:r w:rsidR="00C90EC8">
        <w:rPr>
          <w:rFonts w:ascii="Arial" w:hAnsi="Arial" w:cs="Arial"/>
          <w:noProof/>
        </w:rPr>
        <w:t>as the acting AIP Authority</w:t>
      </w:r>
      <w:r w:rsidR="00E33BA4">
        <w:rPr>
          <w:rFonts w:ascii="Arial" w:hAnsi="Arial" w:cs="Arial"/>
          <w:noProof/>
        </w:rPr>
        <w:t>,</w:t>
      </w:r>
      <w:r w:rsidR="00C90EC8">
        <w:rPr>
          <w:rFonts w:ascii="Arial" w:hAnsi="Arial" w:cs="Arial"/>
          <w:noProof/>
        </w:rPr>
        <w:t xml:space="preserve"> in addition to their other </w:t>
      </w:r>
      <w:r w:rsidR="00FF2EDA">
        <w:rPr>
          <w:rFonts w:ascii="Arial" w:hAnsi="Arial" w:cs="Arial"/>
          <w:noProof/>
        </w:rPr>
        <w:t xml:space="preserve">regular </w:t>
      </w:r>
      <w:r w:rsidR="00C90EC8">
        <w:rPr>
          <w:rFonts w:ascii="Arial" w:hAnsi="Arial" w:cs="Arial"/>
          <w:noProof/>
        </w:rPr>
        <w:t>duties. To fully realise the potential benefits of the Jobs Act, consideration could be given to</w:t>
      </w:r>
      <w:r w:rsidR="00C90EC8" w:rsidRPr="00C90EC8">
        <w:rPr>
          <w:rFonts w:ascii="Arial" w:hAnsi="Arial" w:cs="Arial"/>
          <w:noProof/>
        </w:rPr>
        <w:t xml:space="preserve"> appointing an AIP Authority and AIP </w:t>
      </w:r>
      <w:r w:rsidR="00B56A8E">
        <w:rPr>
          <w:rFonts w:ascii="Arial" w:hAnsi="Arial" w:cs="Arial"/>
          <w:noProof/>
        </w:rPr>
        <w:t>a</w:t>
      </w:r>
      <w:r w:rsidR="00C90EC8" w:rsidRPr="00C90EC8">
        <w:rPr>
          <w:rFonts w:ascii="Arial" w:hAnsi="Arial" w:cs="Arial"/>
          <w:noProof/>
        </w:rPr>
        <w:t xml:space="preserve">dvisory </w:t>
      </w:r>
      <w:r w:rsidR="00B56A8E">
        <w:rPr>
          <w:rFonts w:ascii="Arial" w:hAnsi="Arial" w:cs="Arial"/>
          <w:noProof/>
        </w:rPr>
        <w:t>b</w:t>
      </w:r>
      <w:r w:rsidR="00C90EC8" w:rsidRPr="00C90EC8">
        <w:rPr>
          <w:rFonts w:ascii="Arial" w:hAnsi="Arial" w:cs="Arial"/>
          <w:noProof/>
        </w:rPr>
        <w:t>oard in accordance with the Act.</w:t>
      </w:r>
    </w:p>
    <w:p w14:paraId="4D76E032" w14:textId="7178C5DD" w:rsidR="00C70626" w:rsidRDefault="00C70626" w:rsidP="00C70626">
      <w:pPr>
        <w:pStyle w:val="BodyText"/>
        <w:rPr>
          <w:rFonts w:ascii="Arial" w:hAnsi="Arial" w:cs="Arial"/>
          <w:noProof/>
        </w:rPr>
      </w:pPr>
      <w:r w:rsidRPr="00B43688">
        <w:rPr>
          <w:rFonts w:ascii="Arial" w:hAnsi="Arial" w:cs="Arial"/>
          <w:noProof/>
        </w:rPr>
        <w:lastRenderedPageBreak/>
        <w:t xml:space="preserve">The Jobs </w:t>
      </w:r>
      <w:r>
        <w:rPr>
          <w:rFonts w:ascii="Arial" w:hAnsi="Arial" w:cs="Arial"/>
          <w:noProof/>
        </w:rPr>
        <w:t xml:space="preserve">Act provides the AIP Authority with considerable compliance powers in regard to projects of $500 million or </w:t>
      </w:r>
      <w:r w:rsidR="00536765">
        <w:rPr>
          <w:rFonts w:ascii="Arial" w:hAnsi="Arial" w:cs="Arial"/>
          <w:noProof/>
        </w:rPr>
        <w:t>more</w:t>
      </w:r>
      <w:r>
        <w:rPr>
          <w:rFonts w:ascii="Arial" w:hAnsi="Arial" w:cs="Arial"/>
          <w:noProof/>
        </w:rPr>
        <w:t xml:space="preserve">. </w:t>
      </w:r>
      <w:r w:rsidR="00872BEB">
        <w:rPr>
          <w:rFonts w:ascii="Arial" w:hAnsi="Arial" w:cs="Arial"/>
          <w:noProof/>
        </w:rPr>
        <w:t>The evaluation identified that while these compliance powers have not been used to date, they may act to deter non-compliance and help resolve issues before compliance powers need to be enacted.</w:t>
      </w:r>
    </w:p>
    <w:p w14:paraId="6483C244" w14:textId="3D374A19" w:rsidR="00C70626" w:rsidRDefault="00C70626" w:rsidP="00C70626">
      <w:pPr>
        <w:pStyle w:val="BodyText"/>
        <w:rPr>
          <w:rFonts w:ascii="Arial" w:hAnsi="Arial" w:cs="Arial"/>
          <w:noProof/>
        </w:rPr>
      </w:pPr>
      <w:r>
        <w:rPr>
          <w:rFonts w:ascii="Arial" w:hAnsi="Arial" w:cs="Arial"/>
          <w:noProof/>
        </w:rPr>
        <w:t>DISR</w:t>
      </w:r>
      <w:r w:rsidR="004A72B6">
        <w:rPr>
          <w:rFonts w:ascii="Arial" w:hAnsi="Arial" w:cs="Arial"/>
          <w:noProof/>
        </w:rPr>
        <w:t>,</w:t>
      </w:r>
      <w:r>
        <w:rPr>
          <w:rFonts w:ascii="Arial" w:hAnsi="Arial" w:cs="Arial"/>
          <w:noProof/>
        </w:rPr>
        <w:t xml:space="preserve"> </w:t>
      </w:r>
      <w:r w:rsidR="004A72B6">
        <w:rPr>
          <w:rFonts w:ascii="Arial" w:hAnsi="Arial" w:cs="Arial"/>
          <w:noProof/>
        </w:rPr>
        <w:t>through its application of</w:t>
      </w:r>
      <w:r w:rsidR="00056CCC">
        <w:rPr>
          <w:rFonts w:ascii="Arial" w:hAnsi="Arial" w:cs="Arial"/>
          <w:noProof/>
        </w:rPr>
        <w:t>,</w:t>
      </w:r>
      <w:r w:rsidR="004A72B6">
        <w:rPr>
          <w:rFonts w:ascii="Arial" w:hAnsi="Arial" w:cs="Arial"/>
          <w:noProof/>
        </w:rPr>
        <w:t xml:space="preserve"> and authority for</w:t>
      </w:r>
      <w:r w:rsidR="00056CCC">
        <w:rPr>
          <w:rFonts w:ascii="Arial" w:hAnsi="Arial" w:cs="Arial"/>
          <w:noProof/>
        </w:rPr>
        <w:t>,</w:t>
      </w:r>
      <w:r w:rsidR="004A72B6">
        <w:rPr>
          <w:rFonts w:ascii="Arial" w:hAnsi="Arial" w:cs="Arial"/>
          <w:noProof/>
        </w:rPr>
        <w:t xml:space="preserve"> the Commonwealth AIP </w:t>
      </w:r>
      <w:r w:rsidR="00B56A8E">
        <w:rPr>
          <w:rFonts w:ascii="Arial" w:hAnsi="Arial" w:cs="Arial"/>
          <w:noProof/>
        </w:rPr>
        <w:t>p</w:t>
      </w:r>
      <w:r w:rsidR="004A72B6">
        <w:rPr>
          <w:rFonts w:ascii="Arial" w:hAnsi="Arial" w:cs="Arial"/>
          <w:noProof/>
        </w:rPr>
        <w:t xml:space="preserve">olicy, </w:t>
      </w:r>
      <w:r>
        <w:rPr>
          <w:rFonts w:ascii="Arial" w:hAnsi="Arial" w:cs="Arial"/>
          <w:noProof/>
        </w:rPr>
        <w:t xml:space="preserve">does not have compliance powers and has </w:t>
      </w:r>
      <w:r w:rsidRPr="003E7B99">
        <w:rPr>
          <w:rFonts w:ascii="Arial" w:hAnsi="Arial" w:cs="Arial"/>
          <w:noProof/>
        </w:rPr>
        <w:t>limited visibility of</w:t>
      </w:r>
      <w:r>
        <w:rPr>
          <w:rFonts w:ascii="Arial" w:hAnsi="Arial" w:cs="Arial"/>
          <w:noProof/>
        </w:rPr>
        <w:t xml:space="preserve"> any</w:t>
      </w:r>
      <w:r w:rsidRPr="003E7B99">
        <w:rPr>
          <w:rFonts w:ascii="Arial" w:hAnsi="Arial" w:cs="Arial"/>
          <w:noProof/>
        </w:rPr>
        <w:t xml:space="preserve"> non-compliance</w:t>
      </w:r>
      <w:r>
        <w:rPr>
          <w:rFonts w:ascii="Arial" w:hAnsi="Arial" w:cs="Arial"/>
          <w:noProof/>
        </w:rPr>
        <w:t xml:space="preserve"> </w:t>
      </w:r>
      <w:r w:rsidR="004A72B6">
        <w:rPr>
          <w:rFonts w:ascii="Arial" w:hAnsi="Arial" w:cs="Arial"/>
          <w:noProof/>
        </w:rPr>
        <w:t xml:space="preserve">of the Commonwealth AIP </w:t>
      </w:r>
      <w:r w:rsidR="00B56A8E">
        <w:rPr>
          <w:rFonts w:ascii="Arial" w:hAnsi="Arial" w:cs="Arial"/>
          <w:noProof/>
        </w:rPr>
        <w:t>p</w:t>
      </w:r>
      <w:r w:rsidR="004A72B6">
        <w:rPr>
          <w:rFonts w:ascii="Arial" w:hAnsi="Arial" w:cs="Arial"/>
          <w:noProof/>
        </w:rPr>
        <w:t xml:space="preserve">olicy. This is because </w:t>
      </w:r>
      <w:r w:rsidRPr="003E7B99">
        <w:rPr>
          <w:rFonts w:ascii="Arial" w:hAnsi="Arial" w:cs="Arial"/>
          <w:noProof/>
        </w:rPr>
        <w:t xml:space="preserve">individual agencies are responsible for reporting </w:t>
      </w:r>
      <w:r w:rsidR="004A72B6">
        <w:rPr>
          <w:rFonts w:ascii="Arial" w:hAnsi="Arial" w:cs="Arial"/>
          <w:noProof/>
        </w:rPr>
        <w:t xml:space="preserve">any </w:t>
      </w:r>
      <w:r w:rsidRPr="003E7B99">
        <w:rPr>
          <w:rFonts w:ascii="Arial" w:hAnsi="Arial" w:cs="Arial"/>
          <w:noProof/>
        </w:rPr>
        <w:t>breaches</w:t>
      </w:r>
      <w:r w:rsidR="004A72B6">
        <w:rPr>
          <w:rFonts w:ascii="Arial" w:hAnsi="Arial" w:cs="Arial"/>
          <w:noProof/>
        </w:rPr>
        <w:t xml:space="preserve"> of the </w:t>
      </w:r>
      <w:r w:rsidR="00544A8A">
        <w:rPr>
          <w:rFonts w:ascii="Arial" w:hAnsi="Arial" w:cs="Arial"/>
          <w:noProof/>
        </w:rPr>
        <w:t>Commonwealth Procurement Rules (CPRs) and their related policies for Commonwealth-funded projects to the Department of Finance (DoF)</w:t>
      </w:r>
      <w:r w:rsidRPr="003E7B99">
        <w:rPr>
          <w:rFonts w:ascii="Arial" w:hAnsi="Arial" w:cs="Arial"/>
          <w:noProof/>
        </w:rPr>
        <w:t>.</w:t>
      </w:r>
      <w:r>
        <w:rPr>
          <w:rFonts w:ascii="Arial" w:hAnsi="Arial" w:cs="Arial"/>
          <w:noProof/>
        </w:rPr>
        <w:t xml:space="preserve"> The</w:t>
      </w:r>
      <w:r w:rsidR="00537651">
        <w:rPr>
          <w:rFonts w:ascii="Arial" w:hAnsi="Arial" w:cs="Arial"/>
          <w:noProof/>
        </w:rPr>
        <w:t xml:space="preserve">re are </w:t>
      </w:r>
      <w:r>
        <w:rPr>
          <w:rFonts w:ascii="Arial" w:hAnsi="Arial" w:cs="Arial"/>
          <w:noProof/>
        </w:rPr>
        <w:t xml:space="preserve">opportunities for </w:t>
      </w:r>
      <w:r w:rsidR="00873236">
        <w:rPr>
          <w:rFonts w:ascii="Arial" w:hAnsi="Arial" w:cs="Arial"/>
          <w:noProof/>
        </w:rPr>
        <w:t>DISR</w:t>
      </w:r>
      <w:r>
        <w:rPr>
          <w:rFonts w:ascii="Arial" w:hAnsi="Arial" w:cs="Arial"/>
          <w:noProof/>
        </w:rPr>
        <w:t xml:space="preserve"> </w:t>
      </w:r>
      <w:r w:rsidR="00873236">
        <w:rPr>
          <w:rFonts w:ascii="Arial" w:hAnsi="Arial" w:cs="Arial"/>
          <w:noProof/>
        </w:rPr>
        <w:t xml:space="preserve">and DoF </w:t>
      </w:r>
      <w:r>
        <w:rPr>
          <w:rFonts w:ascii="Arial" w:hAnsi="Arial" w:cs="Arial"/>
          <w:noProof/>
        </w:rPr>
        <w:t xml:space="preserve">to work </w:t>
      </w:r>
      <w:r w:rsidR="00873236">
        <w:rPr>
          <w:rFonts w:ascii="Arial" w:hAnsi="Arial" w:cs="Arial"/>
          <w:noProof/>
        </w:rPr>
        <w:t>together</w:t>
      </w:r>
      <w:r>
        <w:rPr>
          <w:rFonts w:ascii="Arial" w:hAnsi="Arial" w:cs="Arial"/>
          <w:noProof/>
        </w:rPr>
        <w:t xml:space="preserve"> to clarify </w:t>
      </w:r>
      <w:r w:rsidRPr="004607AC">
        <w:rPr>
          <w:rFonts w:ascii="Arial" w:hAnsi="Arial" w:cs="Arial"/>
          <w:noProof/>
        </w:rPr>
        <w:t>Commonwealth AIP requirements, including a compliance reporting mechanism</w:t>
      </w:r>
      <w:r>
        <w:rPr>
          <w:rFonts w:ascii="Arial" w:hAnsi="Arial" w:cs="Arial"/>
          <w:noProof/>
        </w:rPr>
        <w:t>.</w:t>
      </w:r>
      <w:r w:rsidR="00537651">
        <w:rPr>
          <w:rFonts w:ascii="Arial" w:hAnsi="Arial" w:cs="Arial"/>
          <w:noProof/>
        </w:rPr>
        <w:t xml:space="preserve"> Additionally, there would be value in</w:t>
      </w:r>
      <w:r w:rsidR="00537651" w:rsidRPr="00537651">
        <w:t xml:space="preserve"> </w:t>
      </w:r>
      <w:r w:rsidR="00537651">
        <w:t xml:space="preserve">developing </w:t>
      </w:r>
      <w:r w:rsidR="00537651" w:rsidRPr="00537651">
        <w:rPr>
          <w:rFonts w:ascii="Arial" w:hAnsi="Arial" w:cs="Arial"/>
          <w:noProof/>
        </w:rPr>
        <w:t>a comprehensive governance framework for AIP requirements as they apply to Commonwealth funding</w:t>
      </w:r>
      <w:r w:rsidR="00537651">
        <w:rPr>
          <w:rFonts w:ascii="Arial" w:hAnsi="Arial" w:cs="Arial"/>
          <w:noProof/>
        </w:rPr>
        <w:t xml:space="preserve">. </w:t>
      </w:r>
    </w:p>
    <w:p w14:paraId="2DAFB050" w14:textId="4309EF87" w:rsidR="00F936E2" w:rsidRDefault="00F936E2" w:rsidP="00F936E2">
      <w:pPr>
        <w:pStyle w:val="BodyText"/>
        <w:rPr>
          <w:rFonts w:ascii="Arial" w:hAnsi="Arial" w:cs="Arial"/>
        </w:rPr>
      </w:pPr>
      <w:r>
        <w:rPr>
          <w:rFonts w:ascii="Arial" w:hAnsi="Arial" w:cs="Arial"/>
          <w:noProof/>
        </w:rPr>
        <w:t xml:space="preserve">AIP </w:t>
      </w:r>
      <w:r w:rsidRPr="009E5AB7">
        <w:rPr>
          <w:rFonts w:ascii="Arial" w:hAnsi="Arial" w:cs="Arial"/>
          <w:noProof/>
        </w:rPr>
        <w:t xml:space="preserve">data collection and management </w:t>
      </w:r>
      <w:r>
        <w:rPr>
          <w:rFonts w:cs="Arial"/>
          <w:noProof/>
        </w:rPr>
        <w:t>processes</w:t>
      </w:r>
      <w:r>
        <w:rPr>
          <w:rFonts w:ascii="Arial" w:hAnsi="Arial" w:cs="Arial"/>
          <w:noProof/>
        </w:rPr>
        <w:t xml:space="preserve"> </w:t>
      </w:r>
      <w:r w:rsidRPr="009E5AB7">
        <w:rPr>
          <w:rFonts w:ascii="Arial" w:hAnsi="Arial" w:cs="Arial"/>
          <w:noProof/>
        </w:rPr>
        <w:t>have significant limitations.</w:t>
      </w:r>
      <w:r>
        <w:rPr>
          <w:rFonts w:ascii="Arial" w:hAnsi="Arial" w:cs="Arial"/>
          <w:noProof/>
        </w:rPr>
        <w:t xml:space="preserve"> Regularly collected data is not formatted in a way </w:t>
      </w:r>
      <w:r w:rsidR="00CD124F">
        <w:rPr>
          <w:rFonts w:ascii="Arial" w:hAnsi="Arial" w:cs="Arial"/>
          <w:noProof/>
        </w:rPr>
        <w:t xml:space="preserve">that easily supports </w:t>
      </w:r>
      <w:r w:rsidRPr="00B34EDA">
        <w:rPr>
          <w:rFonts w:ascii="Arial" w:hAnsi="Arial" w:cs="Arial"/>
          <w:noProof/>
        </w:rPr>
        <w:t xml:space="preserve">analysis </w:t>
      </w:r>
      <w:r>
        <w:rPr>
          <w:rFonts w:ascii="Arial" w:hAnsi="Arial" w:cs="Arial"/>
          <w:noProof/>
        </w:rPr>
        <w:t xml:space="preserve">to better inform </w:t>
      </w:r>
      <w:r w:rsidR="00212F5A">
        <w:rPr>
          <w:rFonts w:ascii="Arial" w:hAnsi="Arial" w:cs="Arial"/>
          <w:noProof/>
        </w:rPr>
        <w:t xml:space="preserve">broader </w:t>
      </w:r>
      <w:r>
        <w:rPr>
          <w:rFonts w:ascii="Arial" w:hAnsi="Arial" w:cs="Arial"/>
          <w:noProof/>
        </w:rPr>
        <w:t xml:space="preserve">AIP </w:t>
      </w:r>
      <w:r w:rsidR="00212F5A">
        <w:rPr>
          <w:rFonts w:ascii="Arial" w:hAnsi="Arial" w:cs="Arial"/>
          <w:noProof/>
        </w:rPr>
        <w:t xml:space="preserve">policy </w:t>
      </w:r>
      <w:r w:rsidRPr="00B34EDA">
        <w:rPr>
          <w:rFonts w:ascii="Arial" w:hAnsi="Arial" w:cs="Arial"/>
          <w:noProof/>
        </w:rPr>
        <w:t>decision</w:t>
      </w:r>
      <w:r>
        <w:rPr>
          <w:rFonts w:ascii="Arial" w:hAnsi="Arial" w:cs="Arial"/>
          <w:noProof/>
        </w:rPr>
        <w:t>-</w:t>
      </w:r>
      <w:r w:rsidRPr="00B34EDA">
        <w:rPr>
          <w:rFonts w:ascii="Arial" w:hAnsi="Arial" w:cs="Arial"/>
          <w:noProof/>
        </w:rPr>
        <w:t>making</w:t>
      </w:r>
      <w:r>
        <w:rPr>
          <w:rFonts w:ascii="Arial" w:hAnsi="Arial" w:cs="Arial"/>
          <w:noProof/>
        </w:rPr>
        <w:t xml:space="preserve">, stakeholder communication strategies and compliance activities. </w:t>
      </w:r>
      <w:r>
        <w:rPr>
          <w:rFonts w:cs="Arial"/>
          <w:noProof/>
        </w:rPr>
        <w:t>The policy also does</w:t>
      </w:r>
      <w:r w:rsidR="00392279">
        <w:rPr>
          <w:rFonts w:cs="Arial"/>
          <w:noProof/>
        </w:rPr>
        <w:t xml:space="preserve"> </w:t>
      </w:r>
      <w:r>
        <w:rPr>
          <w:rFonts w:cs="Arial"/>
          <w:noProof/>
        </w:rPr>
        <w:t>n</w:t>
      </w:r>
      <w:r w:rsidR="00392279">
        <w:rPr>
          <w:rFonts w:cs="Arial"/>
          <w:noProof/>
        </w:rPr>
        <w:t>o</w:t>
      </w:r>
      <w:r>
        <w:rPr>
          <w:rFonts w:cs="Arial"/>
          <w:noProof/>
        </w:rPr>
        <w:t>t have a</w:t>
      </w:r>
      <w:r w:rsidR="006403A9">
        <w:rPr>
          <w:rFonts w:cs="Arial"/>
          <w:noProof/>
        </w:rPr>
        <w:t xml:space="preserve"> </w:t>
      </w:r>
      <w:r w:rsidR="004954C3">
        <w:t>monitoring and evaluation</w:t>
      </w:r>
      <w:r w:rsidRPr="00970285">
        <w:t xml:space="preserve"> framework</w:t>
      </w:r>
      <w:r w:rsidR="00A21920">
        <w:t xml:space="preserve"> to support the assessment of the</w:t>
      </w:r>
      <w:r w:rsidR="00A21920" w:rsidRPr="00970285">
        <w:t xml:space="preserve"> AIP policy outcomes.</w:t>
      </w:r>
      <w:r w:rsidR="00DF29CB">
        <w:rPr>
          <w:rFonts w:cs="Arial"/>
          <w:noProof/>
        </w:rPr>
        <w:t xml:space="preserve"> </w:t>
      </w:r>
      <w:r>
        <w:rPr>
          <w:rFonts w:cs="Arial"/>
          <w:noProof/>
        </w:rPr>
        <w:t xml:space="preserve">Implementation of a monitoring </w:t>
      </w:r>
      <w:r w:rsidR="00757438" w:rsidRPr="00D75558">
        <w:rPr>
          <w:rFonts w:cs="Arial"/>
        </w:rPr>
        <w:t>and evaluation</w:t>
      </w:r>
      <w:r w:rsidR="00757438">
        <w:rPr>
          <w:rFonts w:cs="Arial"/>
          <w:noProof/>
        </w:rPr>
        <w:t xml:space="preserve"> </w:t>
      </w:r>
      <w:r>
        <w:rPr>
          <w:rFonts w:cs="Arial"/>
          <w:noProof/>
        </w:rPr>
        <w:t>framework</w:t>
      </w:r>
      <w:r w:rsidR="007D2BB6">
        <w:rPr>
          <w:rFonts w:cs="Arial"/>
          <w:noProof/>
        </w:rPr>
        <w:t>,</w:t>
      </w:r>
      <w:r>
        <w:rPr>
          <w:rFonts w:cs="Arial"/>
          <w:noProof/>
        </w:rPr>
        <w:t xml:space="preserve"> and i</w:t>
      </w:r>
      <w:r w:rsidRPr="00827535">
        <w:rPr>
          <w:rFonts w:ascii="Arial" w:hAnsi="Arial" w:cs="Arial"/>
          <w:noProof/>
        </w:rPr>
        <w:t>mproved data collection and management</w:t>
      </w:r>
      <w:r w:rsidR="007D2BB6">
        <w:rPr>
          <w:rFonts w:ascii="Arial" w:hAnsi="Arial" w:cs="Arial"/>
          <w:noProof/>
        </w:rPr>
        <w:t>,</w:t>
      </w:r>
      <w:r w:rsidRPr="00827535">
        <w:rPr>
          <w:rFonts w:ascii="Arial" w:hAnsi="Arial" w:cs="Arial"/>
          <w:noProof/>
        </w:rPr>
        <w:t xml:space="preserve"> would support </w:t>
      </w:r>
      <w:r>
        <w:rPr>
          <w:rFonts w:ascii="Arial" w:hAnsi="Arial" w:cs="Arial"/>
          <w:noProof/>
        </w:rPr>
        <w:t xml:space="preserve">the </w:t>
      </w:r>
      <w:r>
        <w:rPr>
          <w:rFonts w:cs="Arial"/>
          <w:noProof/>
        </w:rPr>
        <w:t xml:space="preserve">assessment of the policy </w:t>
      </w:r>
      <w:r w:rsidRPr="00827535">
        <w:rPr>
          <w:rFonts w:ascii="Arial" w:hAnsi="Arial" w:cs="Arial"/>
          <w:noProof/>
        </w:rPr>
        <w:t>outcomes</w:t>
      </w:r>
      <w:r>
        <w:rPr>
          <w:rFonts w:cs="Arial"/>
          <w:noProof/>
        </w:rPr>
        <w:t xml:space="preserve">, </w:t>
      </w:r>
      <w:r w:rsidR="007D2BB6">
        <w:rPr>
          <w:rFonts w:cs="Arial"/>
          <w:noProof/>
        </w:rPr>
        <w:t>and provide</w:t>
      </w:r>
      <w:r>
        <w:rPr>
          <w:rFonts w:cs="Arial"/>
          <w:noProof/>
        </w:rPr>
        <w:t xml:space="preserve"> </w:t>
      </w:r>
      <w:r w:rsidRPr="00827535">
        <w:rPr>
          <w:rFonts w:ascii="Arial" w:hAnsi="Arial" w:cs="Arial"/>
          <w:noProof/>
        </w:rPr>
        <w:t>a</w:t>
      </w:r>
      <w:r w:rsidR="007D2BB6">
        <w:rPr>
          <w:rFonts w:ascii="Arial" w:hAnsi="Arial" w:cs="Arial"/>
          <w:noProof/>
        </w:rPr>
        <w:t xml:space="preserve"> more</w:t>
      </w:r>
      <w:r w:rsidRPr="00827535">
        <w:rPr>
          <w:rFonts w:ascii="Arial" w:hAnsi="Arial" w:cs="Arial"/>
          <w:noProof/>
        </w:rPr>
        <w:t xml:space="preserve"> targeted approach to stakeholder communication and</w:t>
      </w:r>
      <w:r w:rsidR="00CD124F">
        <w:rPr>
          <w:rFonts w:ascii="Arial" w:hAnsi="Arial" w:cs="Arial"/>
          <w:noProof/>
        </w:rPr>
        <w:t xml:space="preserve"> </w:t>
      </w:r>
      <w:r w:rsidRPr="00827535">
        <w:rPr>
          <w:rFonts w:ascii="Arial" w:hAnsi="Arial" w:cs="Arial"/>
          <w:noProof/>
        </w:rPr>
        <w:t>risk-based compliance.</w:t>
      </w:r>
      <w:r>
        <w:rPr>
          <w:rFonts w:ascii="Arial" w:hAnsi="Arial" w:cs="Arial"/>
          <w:noProof/>
        </w:rPr>
        <w:t xml:space="preserve"> </w:t>
      </w:r>
    </w:p>
    <w:p w14:paraId="54EDB501" w14:textId="5B9DE782" w:rsidR="00DF29CB" w:rsidRPr="005D7517" w:rsidRDefault="00F11087" w:rsidP="00F936E2">
      <w:pPr>
        <w:pStyle w:val="BodyText"/>
        <w:rPr>
          <w:rFonts w:cs="Arial"/>
        </w:rPr>
        <w:sectPr w:rsidR="00DF29CB" w:rsidRPr="005D7517" w:rsidSect="008E12A7">
          <w:pgSz w:w="11906" w:h="16838" w:code="9"/>
          <w:pgMar w:top="1440" w:right="1440" w:bottom="1440" w:left="1440" w:header="709" w:footer="709" w:gutter="0"/>
          <w:pgNumType w:start="1"/>
          <w:cols w:space="708"/>
          <w:docGrid w:linePitch="360"/>
        </w:sectPr>
      </w:pPr>
      <w:bookmarkStart w:id="6" w:name="_Hlk132633829"/>
      <w:r>
        <w:rPr>
          <w:rFonts w:ascii="Arial" w:hAnsi="Arial" w:cs="Arial"/>
        </w:rPr>
        <w:t xml:space="preserve">The evaluation found that the AIP </w:t>
      </w:r>
      <w:r w:rsidR="001974D6">
        <w:rPr>
          <w:rFonts w:ascii="Arial" w:hAnsi="Arial" w:cs="Arial"/>
          <w:noProof/>
        </w:rPr>
        <w:t xml:space="preserve">policy </w:t>
      </w:r>
      <w:r w:rsidR="005D7517">
        <w:rPr>
          <w:rFonts w:ascii="Arial" w:hAnsi="Arial" w:cs="Arial"/>
          <w:noProof/>
        </w:rPr>
        <w:t>was contributing to the achievement of</w:t>
      </w:r>
      <w:r w:rsidR="001974D6">
        <w:rPr>
          <w:rFonts w:ascii="Arial" w:hAnsi="Arial" w:cs="Arial"/>
          <w:noProof/>
        </w:rPr>
        <w:t xml:space="preserve"> </w:t>
      </w:r>
      <w:r>
        <w:rPr>
          <w:rFonts w:ascii="Arial" w:hAnsi="Arial" w:cs="Arial"/>
        </w:rPr>
        <w:t xml:space="preserve">intended </w:t>
      </w:r>
      <w:r w:rsidR="001974D6">
        <w:rPr>
          <w:rFonts w:ascii="Arial" w:hAnsi="Arial" w:cs="Arial"/>
          <w:noProof/>
        </w:rPr>
        <w:t>outcomes, such as</w:t>
      </w:r>
      <w:r w:rsidRPr="00F11087">
        <w:t xml:space="preserve"> </w:t>
      </w:r>
      <w:r w:rsidRPr="001974D6">
        <w:rPr>
          <w:rFonts w:ascii="Arial" w:hAnsi="Arial" w:cs="Arial"/>
        </w:rPr>
        <w:t>increased supplier awareness of project opportunities</w:t>
      </w:r>
      <w:r w:rsidR="001974D6">
        <w:rPr>
          <w:rFonts w:ascii="Arial" w:hAnsi="Arial" w:cs="Arial"/>
          <w:noProof/>
        </w:rPr>
        <w:t>;</w:t>
      </w:r>
      <w:r w:rsidRPr="001974D6">
        <w:rPr>
          <w:rFonts w:ascii="Arial" w:hAnsi="Arial" w:cs="Arial"/>
        </w:rPr>
        <w:t xml:space="preserve"> increased proponent awareness of supplier capabilities to meet their project needs</w:t>
      </w:r>
      <w:r w:rsidR="001974D6">
        <w:rPr>
          <w:rFonts w:ascii="Arial" w:hAnsi="Arial" w:cs="Arial"/>
          <w:noProof/>
        </w:rPr>
        <w:t>;</w:t>
      </w:r>
      <w:r>
        <w:rPr>
          <w:rFonts w:ascii="Arial" w:hAnsi="Arial" w:cs="Arial"/>
        </w:rPr>
        <w:t xml:space="preserve"> </w:t>
      </w:r>
      <w:r w:rsidR="00C11123">
        <w:rPr>
          <w:rFonts w:ascii="Arial" w:hAnsi="Arial" w:cs="Arial"/>
        </w:rPr>
        <w:t xml:space="preserve">and </w:t>
      </w:r>
      <w:r w:rsidRPr="001974D6">
        <w:rPr>
          <w:rFonts w:ascii="Arial" w:hAnsi="Arial" w:cs="Arial"/>
        </w:rPr>
        <w:t>building better connections between suppliers and proponents</w:t>
      </w:r>
      <w:r w:rsidR="001974D6">
        <w:rPr>
          <w:rFonts w:ascii="Arial" w:hAnsi="Arial" w:cs="Arial"/>
          <w:noProof/>
        </w:rPr>
        <w:t xml:space="preserve">. However, data </w:t>
      </w:r>
      <w:r w:rsidR="005D7517">
        <w:rPr>
          <w:rFonts w:ascii="Arial" w:hAnsi="Arial" w:cs="Arial"/>
          <w:noProof/>
        </w:rPr>
        <w:t>limitations</w:t>
      </w:r>
      <w:r w:rsidR="001974D6">
        <w:rPr>
          <w:rFonts w:ascii="Arial" w:hAnsi="Arial" w:cs="Arial"/>
          <w:noProof/>
        </w:rPr>
        <w:t xml:space="preserve"> made it difficult to quantify the contribution the program made to these outcomes and fully assess the various policy outcomes.</w:t>
      </w:r>
    </w:p>
    <w:p w14:paraId="38138565" w14:textId="7BDE836A" w:rsidR="00264660" w:rsidRDefault="00831666" w:rsidP="008E12A7">
      <w:pPr>
        <w:pStyle w:val="Style1"/>
      </w:pPr>
      <w:bookmarkStart w:id="7" w:name="_Toc83652236"/>
      <w:bookmarkStart w:id="8" w:name="_Toc83897177"/>
      <w:bookmarkStart w:id="9" w:name="_Toc85207645"/>
      <w:bookmarkStart w:id="10" w:name="_Toc88138351"/>
      <w:bookmarkStart w:id="11" w:name="_Toc174018015"/>
      <w:bookmarkStart w:id="12" w:name="_Hlk131519311"/>
      <w:bookmarkEnd w:id="3"/>
      <w:bookmarkEnd w:id="5"/>
      <w:bookmarkEnd w:id="6"/>
      <w:r>
        <w:lastRenderedPageBreak/>
        <w:t xml:space="preserve">Summary of </w:t>
      </w:r>
      <w:r w:rsidR="00B56A8E">
        <w:t>f</w:t>
      </w:r>
      <w:r>
        <w:t xml:space="preserve">indings and </w:t>
      </w:r>
      <w:r w:rsidR="00B56A8E">
        <w:t>r</w:t>
      </w:r>
      <w:r>
        <w:t>ecommendations</w:t>
      </w:r>
      <w:bookmarkEnd w:id="7"/>
      <w:bookmarkEnd w:id="8"/>
      <w:bookmarkEnd w:id="9"/>
      <w:bookmarkEnd w:id="10"/>
      <w:bookmarkEnd w:id="11"/>
    </w:p>
    <w:tbl>
      <w:tblPr>
        <w:tblStyle w:val="OCETable"/>
        <w:tblpPr w:leftFromText="180" w:rightFromText="180" w:vertAnchor="text" w:tblpX="-34" w:tblpY="1"/>
        <w:tblOverlap w:val="never"/>
        <w:tblW w:w="5229" w:type="pct"/>
        <w:tblLayout w:type="fixed"/>
        <w:tblLook w:val="04A0" w:firstRow="1" w:lastRow="0" w:firstColumn="1" w:lastColumn="0" w:noHBand="0" w:noVBand="1"/>
      </w:tblPr>
      <w:tblGrid>
        <w:gridCol w:w="5209"/>
        <w:gridCol w:w="4230"/>
      </w:tblGrid>
      <w:tr w:rsidR="00264660" w:rsidRPr="00F9549A" w14:paraId="332A8AE3" w14:textId="77777777" w:rsidTr="008E12A7">
        <w:trPr>
          <w:cnfStyle w:val="100000000000" w:firstRow="1" w:lastRow="0" w:firstColumn="0" w:lastColumn="0" w:oddVBand="0" w:evenVBand="0" w:oddHBand="0" w:evenHBand="0" w:firstRowFirstColumn="0" w:firstRowLastColumn="0" w:lastRowFirstColumn="0" w:lastRowLastColumn="0"/>
          <w:cantSplit/>
        </w:trPr>
        <w:tc>
          <w:tcPr>
            <w:tcW w:w="5210" w:type="dxa"/>
            <w:shd w:val="clear" w:color="auto" w:fill="005677" w:themeFill="background2"/>
          </w:tcPr>
          <w:p w14:paraId="7BD6E03C" w14:textId="77777777" w:rsidR="00264660" w:rsidRPr="00F9549A" w:rsidRDefault="00264660" w:rsidP="00A07FC3">
            <w:pPr>
              <w:pStyle w:val="Tableheadertext"/>
            </w:pPr>
            <w:bookmarkStart w:id="13" w:name="_Hlk131672859"/>
            <w:bookmarkEnd w:id="12"/>
            <w:r w:rsidRPr="00F9549A">
              <w:t>Finding</w:t>
            </w:r>
          </w:p>
        </w:tc>
        <w:tc>
          <w:tcPr>
            <w:tcW w:w="4230" w:type="dxa"/>
            <w:shd w:val="clear" w:color="auto" w:fill="005677" w:themeFill="background2"/>
          </w:tcPr>
          <w:p w14:paraId="7D6552E8" w14:textId="77777777" w:rsidR="00264660" w:rsidRPr="00F9549A" w:rsidRDefault="00264660" w:rsidP="00A07FC3">
            <w:pPr>
              <w:pStyle w:val="Tableheadertext"/>
            </w:pPr>
            <w:r w:rsidRPr="00F9549A">
              <w:t xml:space="preserve">Recommendation </w:t>
            </w:r>
          </w:p>
        </w:tc>
      </w:tr>
      <w:tr w:rsidR="00264660" w:rsidRPr="00F9549A" w14:paraId="257E442F" w14:textId="77777777" w:rsidTr="008E12A7">
        <w:trPr>
          <w:cnfStyle w:val="000000100000" w:firstRow="0" w:lastRow="0" w:firstColumn="0" w:lastColumn="0" w:oddVBand="0" w:evenVBand="0" w:oddHBand="1" w:evenHBand="0" w:firstRowFirstColumn="0" w:firstRowLastColumn="0" w:lastRowFirstColumn="0" w:lastRowLastColumn="0"/>
        </w:trPr>
        <w:tc>
          <w:tcPr>
            <w:tcW w:w="5210" w:type="dxa"/>
            <w:shd w:val="clear" w:color="auto" w:fill="C3E8EC" w:themeFill="accent3" w:themeFillTint="99"/>
          </w:tcPr>
          <w:p w14:paraId="021F0301" w14:textId="20C102B8" w:rsidR="00264660" w:rsidRPr="00F9549A" w:rsidRDefault="00264660" w:rsidP="00A07FC3">
            <w:pPr>
              <w:pStyle w:val="Tablebodytext"/>
              <w:rPr>
                <w:b/>
              </w:rPr>
            </w:pPr>
            <w:bookmarkStart w:id="14" w:name="_Hlk131670031"/>
            <w:r>
              <w:rPr>
                <w:b/>
              </w:rPr>
              <w:t>Systematic</w:t>
            </w:r>
            <w:r w:rsidR="0007706C">
              <w:rPr>
                <w:b/>
              </w:rPr>
              <w:t xml:space="preserve"> </w:t>
            </w:r>
            <w:r w:rsidR="006C51F0">
              <w:rPr>
                <w:b/>
              </w:rPr>
              <w:t xml:space="preserve">barriers </w:t>
            </w:r>
            <w:r w:rsidR="00DA2376">
              <w:rPr>
                <w:b/>
              </w:rPr>
              <w:t xml:space="preserve">and AIP objectives </w:t>
            </w:r>
          </w:p>
        </w:tc>
        <w:tc>
          <w:tcPr>
            <w:tcW w:w="4230" w:type="dxa"/>
            <w:shd w:val="clear" w:color="auto" w:fill="C3E8EC" w:themeFill="accent3" w:themeFillTint="99"/>
          </w:tcPr>
          <w:p w14:paraId="7AC2FD59" w14:textId="77777777" w:rsidR="00264660" w:rsidRPr="00F9549A" w:rsidRDefault="00264660" w:rsidP="00A07FC3">
            <w:pPr>
              <w:pStyle w:val="Tablebodytext"/>
              <w:rPr>
                <w:b/>
              </w:rPr>
            </w:pPr>
          </w:p>
        </w:tc>
      </w:tr>
      <w:tr w:rsidR="00264660" w:rsidRPr="00F9549A" w14:paraId="081EEA6F" w14:textId="77777777" w:rsidTr="008E12A7">
        <w:trPr>
          <w:cnfStyle w:val="000000010000" w:firstRow="0" w:lastRow="0" w:firstColumn="0" w:lastColumn="0" w:oddVBand="0" w:evenVBand="0" w:oddHBand="0" w:evenHBand="1" w:firstRowFirstColumn="0" w:firstRowLastColumn="0" w:lastRowFirstColumn="0" w:lastRowLastColumn="0"/>
        </w:trPr>
        <w:tc>
          <w:tcPr>
            <w:tcW w:w="5210" w:type="dxa"/>
          </w:tcPr>
          <w:p w14:paraId="780A8B6C" w14:textId="27E9E41A" w:rsidR="00264660" w:rsidRPr="00544EFE" w:rsidRDefault="00264660" w:rsidP="00A07FC3">
            <w:pPr>
              <w:pStyle w:val="Tablebodytext"/>
              <w:numPr>
                <w:ilvl w:val="0"/>
                <w:numId w:val="22"/>
              </w:numPr>
              <w:rPr>
                <w:bCs/>
              </w:rPr>
            </w:pPr>
            <w:r w:rsidRPr="00544EFE">
              <w:rPr>
                <w:bCs/>
                <w:lang w:eastAsia="en-AU"/>
              </w:rPr>
              <w:t>The underlying barriers originally driving AIP policy still exist.</w:t>
            </w:r>
          </w:p>
        </w:tc>
        <w:tc>
          <w:tcPr>
            <w:tcW w:w="4230" w:type="dxa"/>
          </w:tcPr>
          <w:p w14:paraId="4793B1F5" w14:textId="77777777" w:rsidR="00264660" w:rsidRPr="00F9549A" w:rsidRDefault="00264660" w:rsidP="00A07FC3">
            <w:pPr>
              <w:pStyle w:val="Tabletext"/>
            </w:pPr>
          </w:p>
        </w:tc>
      </w:tr>
      <w:tr w:rsidR="0007706C" w:rsidRPr="00F9549A" w14:paraId="00206DD8" w14:textId="77777777" w:rsidTr="008E12A7">
        <w:trPr>
          <w:cnfStyle w:val="000000100000" w:firstRow="0" w:lastRow="0" w:firstColumn="0" w:lastColumn="0" w:oddVBand="0" w:evenVBand="0" w:oddHBand="1" w:evenHBand="0" w:firstRowFirstColumn="0" w:firstRowLastColumn="0" w:lastRowFirstColumn="0" w:lastRowLastColumn="0"/>
        </w:trPr>
        <w:tc>
          <w:tcPr>
            <w:tcW w:w="5210" w:type="dxa"/>
            <w:shd w:val="clear" w:color="auto" w:fill="E9E9EA" w:themeFill="accent5" w:themeFillTint="33"/>
          </w:tcPr>
          <w:p w14:paraId="0AE4483D" w14:textId="5A446185" w:rsidR="0007706C" w:rsidRPr="0007706C" w:rsidRDefault="0007706C" w:rsidP="00A07FC3">
            <w:pPr>
              <w:pStyle w:val="Tabletext"/>
              <w:numPr>
                <w:ilvl w:val="0"/>
                <w:numId w:val="22"/>
              </w:numPr>
              <w:rPr>
                <w:bCs/>
                <w:lang w:eastAsia="en-AU"/>
              </w:rPr>
            </w:pPr>
            <w:r w:rsidRPr="00544EFE">
              <w:rPr>
                <w:bCs/>
                <w:lang w:eastAsia="en-AU"/>
              </w:rPr>
              <w:t xml:space="preserve">COVID-19 had a largely negative impact on the </w:t>
            </w:r>
            <w:r w:rsidRPr="00544EFE" w:rsidDel="0036303B">
              <w:rPr>
                <w:bCs/>
                <w:lang w:eastAsia="en-AU"/>
              </w:rPr>
              <w:t xml:space="preserve">Australian </w:t>
            </w:r>
            <w:r w:rsidRPr="00544EFE">
              <w:rPr>
                <w:bCs/>
                <w:lang w:eastAsia="en-AU"/>
              </w:rPr>
              <w:t xml:space="preserve">businesses that responded to the AIP survey. </w:t>
            </w:r>
          </w:p>
        </w:tc>
        <w:tc>
          <w:tcPr>
            <w:tcW w:w="4230" w:type="dxa"/>
            <w:shd w:val="clear" w:color="auto" w:fill="E9E9EA" w:themeFill="accent5" w:themeFillTint="33"/>
          </w:tcPr>
          <w:p w14:paraId="72B40B3F" w14:textId="77777777" w:rsidR="0007706C" w:rsidRPr="00F9549A" w:rsidRDefault="0007706C" w:rsidP="00A07FC3">
            <w:pPr>
              <w:pStyle w:val="Tabletext"/>
            </w:pPr>
          </w:p>
        </w:tc>
      </w:tr>
      <w:tr w:rsidR="00264660" w:rsidRPr="00F9549A" w14:paraId="214D9CF1" w14:textId="77777777" w:rsidTr="008E12A7">
        <w:trPr>
          <w:cnfStyle w:val="000000010000" w:firstRow="0" w:lastRow="0" w:firstColumn="0" w:lastColumn="0" w:oddVBand="0" w:evenVBand="0" w:oddHBand="0" w:evenHBand="1" w:firstRowFirstColumn="0" w:firstRowLastColumn="0" w:lastRowFirstColumn="0" w:lastRowLastColumn="0"/>
        </w:trPr>
        <w:tc>
          <w:tcPr>
            <w:tcW w:w="5210" w:type="dxa"/>
          </w:tcPr>
          <w:p w14:paraId="195ED1F3" w14:textId="45E50015" w:rsidR="00264660" w:rsidRPr="00366DC2" w:rsidRDefault="00264660" w:rsidP="00A07FC3">
            <w:pPr>
              <w:pStyle w:val="Tablebodytext"/>
              <w:numPr>
                <w:ilvl w:val="0"/>
                <w:numId w:val="22"/>
              </w:numPr>
            </w:pPr>
            <w:r>
              <w:t xml:space="preserve">The </w:t>
            </w:r>
            <w:r w:rsidRPr="00562B9A">
              <w:t xml:space="preserve">current objective of the </w:t>
            </w:r>
            <w:r w:rsidRPr="00A335BA">
              <w:rPr>
                <w:i/>
              </w:rPr>
              <w:t>Australian Jobs Act 2013</w:t>
            </w:r>
            <w:r w:rsidRPr="00562B9A">
              <w:t xml:space="preserve"> (Jobs Act) and AIP policy remains relevant</w:t>
            </w:r>
            <w:r w:rsidRPr="00562B9A" w:rsidDel="000D6908">
              <w:t xml:space="preserve"> </w:t>
            </w:r>
            <w:r w:rsidRPr="00ED16F0" w:rsidDel="000D6908">
              <w:t>today</w:t>
            </w:r>
            <w:r w:rsidRPr="00ED16F0">
              <w:t>.</w:t>
            </w:r>
            <w:r w:rsidR="00DA2376" w:rsidRPr="00ED16F0">
              <w:t xml:space="preserve"> </w:t>
            </w:r>
            <w:r w:rsidR="00366DC2" w:rsidRPr="00ED16F0">
              <w:t>However, some business stakeholder</w:t>
            </w:r>
            <w:r w:rsidR="003D1A87" w:rsidRPr="00ED16F0">
              <w:t>s do not fully understand</w:t>
            </w:r>
            <w:r w:rsidR="00366DC2" w:rsidRPr="00ED16F0">
              <w:t xml:space="preserve"> AIP requirements.</w:t>
            </w:r>
          </w:p>
        </w:tc>
        <w:tc>
          <w:tcPr>
            <w:tcW w:w="4230" w:type="dxa"/>
          </w:tcPr>
          <w:p w14:paraId="65A90C66" w14:textId="53E6CB58" w:rsidR="00264660" w:rsidRDefault="00264660" w:rsidP="00A07FC3">
            <w:pPr>
              <w:pStyle w:val="Tabletext"/>
              <w:rPr>
                <w:b/>
              </w:rPr>
            </w:pPr>
            <w:r w:rsidRPr="00800BC8">
              <w:rPr>
                <w:b/>
                <w:bCs/>
              </w:rPr>
              <w:t xml:space="preserve">Recommendation </w:t>
            </w:r>
            <w:r w:rsidR="00DA2376">
              <w:rPr>
                <w:b/>
                <w:bCs/>
              </w:rPr>
              <w:t>1</w:t>
            </w:r>
            <w:r w:rsidRPr="00800BC8">
              <w:rPr>
                <w:b/>
                <w:bCs/>
              </w:rPr>
              <w:t>:</w:t>
            </w:r>
            <w:r w:rsidRPr="00800BC8">
              <w:t xml:space="preserve"> That DISR improve communication and promotion materials to clearly explain the scope of AIP requirements.</w:t>
            </w:r>
          </w:p>
        </w:tc>
      </w:tr>
      <w:tr w:rsidR="00264660" w:rsidRPr="00F9549A" w14:paraId="3C2F8D22" w14:textId="77777777" w:rsidTr="008E12A7">
        <w:trPr>
          <w:cnfStyle w:val="000000100000" w:firstRow="0" w:lastRow="0" w:firstColumn="0" w:lastColumn="0" w:oddVBand="0" w:evenVBand="0" w:oddHBand="1" w:evenHBand="0" w:firstRowFirstColumn="0" w:firstRowLastColumn="0" w:lastRowFirstColumn="0" w:lastRowLastColumn="0"/>
        </w:trPr>
        <w:tc>
          <w:tcPr>
            <w:tcW w:w="5210" w:type="dxa"/>
            <w:shd w:val="clear" w:color="auto" w:fill="E9E9EA" w:themeFill="accent5" w:themeFillTint="33"/>
          </w:tcPr>
          <w:p w14:paraId="32821F5B" w14:textId="59B859A5" w:rsidR="00264660" w:rsidRPr="00544EFE" w:rsidRDefault="00261184" w:rsidP="00A07FC3">
            <w:pPr>
              <w:pStyle w:val="Tablebodytext"/>
              <w:numPr>
                <w:ilvl w:val="0"/>
                <w:numId w:val="22"/>
              </w:numPr>
              <w:rPr>
                <w:bCs/>
              </w:rPr>
            </w:pPr>
            <w:r w:rsidRPr="00261184">
              <w:rPr>
                <w:lang w:eastAsia="en-AU"/>
              </w:rPr>
              <w:t>The AIP National Framework has overall support from State and Territory stakeholders, along with their agreement that some elements of the framework should be refreshed.</w:t>
            </w:r>
          </w:p>
        </w:tc>
        <w:tc>
          <w:tcPr>
            <w:tcW w:w="4230" w:type="dxa"/>
            <w:shd w:val="clear" w:color="auto" w:fill="E9E9EA" w:themeFill="accent5" w:themeFillTint="33"/>
          </w:tcPr>
          <w:p w14:paraId="44F9BF60" w14:textId="77777777" w:rsidR="00264660" w:rsidRPr="00073F13" w:rsidRDefault="00264660" w:rsidP="00A07FC3">
            <w:pPr>
              <w:pStyle w:val="Tablebodytext"/>
              <w:tabs>
                <w:tab w:val="left" w:pos="2280"/>
              </w:tabs>
              <w:rPr>
                <w:b/>
              </w:rPr>
            </w:pPr>
          </w:p>
        </w:tc>
      </w:tr>
      <w:tr w:rsidR="00DA2376" w:rsidRPr="00F9549A" w14:paraId="51880518" w14:textId="77777777" w:rsidTr="008E12A7">
        <w:trPr>
          <w:cnfStyle w:val="000000010000" w:firstRow="0" w:lastRow="0" w:firstColumn="0" w:lastColumn="0" w:oddVBand="0" w:evenVBand="0" w:oddHBand="0" w:evenHBand="1" w:firstRowFirstColumn="0" w:firstRowLastColumn="0" w:lastRowFirstColumn="0" w:lastRowLastColumn="0"/>
        </w:trPr>
        <w:tc>
          <w:tcPr>
            <w:tcW w:w="5210" w:type="dxa"/>
          </w:tcPr>
          <w:p w14:paraId="690B8E78" w14:textId="008B7289" w:rsidR="00DA2376" w:rsidRPr="00264660" w:rsidRDefault="00261184" w:rsidP="00A07FC3">
            <w:pPr>
              <w:pStyle w:val="Tablebodytext"/>
              <w:numPr>
                <w:ilvl w:val="0"/>
                <w:numId w:val="22"/>
              </w:numPr>
              <w:rPr>
                <w:bCs/>
              </w:rPr>
            </w:pPr>
            <w:r>
              <w:rPr>
                <w:lang w:eastAsia="en-AU"/>
              </w:rPr>
              <w:t xml:space="preserve">Within </w:t>
            </w:r>
            <w:r w:rsidRPr="00261184">
              <w:rPr>
                <w:lang w:eastAsia="en-AU"/>
              </w:rPr>
              <w:t xml:space="preserve">the context of the AIP National Framework, there continues </w:t>
            </w:r>
            <w:r w:rsidRPr="00ED16F0">
              <w:rPr>
                <w:lang w:eastAsia="en-AU"/>
              </w:rPr>
              <w:t>to be</w:t>
            </w:r>
            <w:r w:rsidR="00131732" w:rsidRPr="00ED16F0">
              <w:rPr>
                <w:lang w:eastAsia="en-AU"/>
              </w:rPr>
              <w:t xml:space="preserve"> wide</w:t>
            </w:r>
            <w:r w:rsidRPr="00ED16F0">
              <w:rPr>
                <w:lang w:eastAsia="en-AU"/>
              </w:rPr>
              <w:t xml:space="preserve"> variation</w:t>
            </w:r>
            <w:r w:rsidRPr="00261184">
              <w:rPr>
                <w:lang w:eastAsia="en-AU"/>
              </w:rPr>
              <w:t xml:space="preserve"> across federal, State and Territory levels in applying their own industry participation policies</w:t>
            </w:r>
          </w:p>
        </w:tc>
        <w:tc>
          <w:tcPr>
            <w:tcW w:w="4230" w:type="dxa"/>
          </w:tcPr>
          <w:p w14:paraId="7B657DF0" w14:textId="69CEDDC7" w:rsidR="00DA2376" w:rsidRDefault="00DA2376" w:rsidP="00A07FC3">
            <w:pPr>
              <w:pStyle w:val="Tabletext"/>
              <w:rPr>
                <w:b/>
                <w:lang w:eastAsia="en-AU"/>
              </w:rPr>
            </w:pPr>
            <w:r>
              <w:rPr>
                <w:b/>
                <w:lang w:eastAsia="en-AU"/>
              </w:rPr>
              <w:t xml:space="preserve">Recommendation 2: </w:t>
            </w:r>
          </w:p>
          <w:p w14:paraId="7F9D530D" w14:textId="77777777" w:rsidR="00DA2376" w:rsidRPr="00544EFE" w:rsidRDefault="00DA2376" w:rsidP="00A07FC3">
            <w:pPr>
              <w:pStyle w:val="Tabletext"/>
              <w:rPr>
                <w:lang w:eastAsia="en-AU"/>
              </w:rPr>
            </w:pPr>
            <w:r>
              <w:rPr>
                <w:lang w:eastAsia="en-AU"/>
              </w:rPr>
              <w:t xml:space="preserve">That </w:t>
            </w:r>
            <w:r w:rsidRPr="00264660">
              <w:rPr>
                <w:lang w:eastAsia="en-AU"/>
              </w:rPr>
              <w:t xml:space="preserve">DISR work with </w:t>
            </w:r>
            <w:r>
              <w:rPr>
                <w:lang w:eastAsia="en-AU"/>
              </w:rPr>
              <w:t>State and Territory</w:t>
            </w:r>
            <w:r w:rsidRPr="00264660">
              <w:rPr>
                <w:lang w:eastAsia="en-AU"/>
              </w:rPr>
              <w:t xml:space="preserve"> jurisdictions to refresh the AIP National Framework. This could include deliberation on harmonisation of State and Territory approaches</w:t>
            </w:r>
          </w:p>
        </w:tc>
      </w:tr>
      <w:bookmarkEnd w:id="14"/>
      <w:tr w:rsidR="00264660" w:rsidRPr="00F9549A" w14:paraId="75E860DF" w14:textId="77777777" w:rsidTr="008E12A7">
        <w:trPr>
          <w:cnfStyle w:val="000000100000" w:firstRow="0" w:lastRow="0" w:firstColumn="0" w:lastColumn="0" w:oddVBand="0" w:evenVBand="0" w:oddHBand="1" w:evenHBand="0" w:firstRowFirstColumn="0" w:firstRowLastColumn="0" w:lastRowFirstColumn="0" w:lastRowLastColumn="0"/>
        </w:trPr>
        <w:tc>
          <w:tcPr>
            <w:tcW w:w="5210" w:type="dxa"/>
            <w:shd w:val="clear" w:color="auto" w:fill="C3E8EC" w:themeFill="accent3" w:themeFillTint="99"/>
          </w:tcPr>
          <w:p w14:paraId="105DBBF8" w14:textId="2BF2CD3E" w:rsidR="00264660" w:rsidRPr="00ED64E5" w:rsidRDefault="00264660" w:rsidP="00A07FC3">
            <w:pPr>
              <w:pStyle w:val="Tablebodytext"/>
              <w:rPr>
                <w:b/>
                <w:bCs/>
                <w:lang w:eastAsia="en-AU"/>
              </w:rPr>
            </w:pPr>
            <w:r w:rsidRPr="00264660">
              <w:rPr>
                <w:b/>
                <w:bCs/>
                <w:lang w:eastAsia="en-AU"/>
              </w:rPr>
              <w:t>AIP thresholds, scope</w:t>
            </w:r>
            <w:r w:rsidR="0007706C">
              <w:rPr>
                <w:b/>
                <w:bCs/>
                <w:lang w:eastAsia="en-AU"/>
              </w:rPr>
              <w:t xml:space="preserve">, </w:t>
            </w:r>
            <w:proofErr w:type="gramStart"/>
            <w:r w:rsidRPr="00264660">
              <w:rPr>
                <w:b/>
                <w:bCs/>
                <w:lang w:eastAsia="en-AU"/>
              </w:rPr>
              <w:t>criteria</w:t>
            </w:r>
            <w:proofErr w:type="gramEnd"/>
            <w:r w:rsidR="0007706C">
              <w:rPr>
                <w:b/>
                <w:bCs/>
                <w:lang w:eastAsia="en-AU"/>
              </w:rPr>
              <w:t xml:space="preserve"> and trigger dates</w:t>
            </w:r>
          </w:p>
        </w:tc>
        <w:tc>
          <w:tcPr>
            <w:tcW w:w="4230" w:type="dxa"/>
            <w:shd w:val="clear" w:color="auto" w:fill="C3E8EC" w:themeFill="accent3" w:themeFillTint="99"/>
          </w:tcPr>
          <w:p w14:paraId="7700D495" w14:textId="77777777" w:rsidR="00264660" w:rsidRPr="00073F13" w:rsidRDefault="00264660" w:rsidP="00A07FC3">
            <w:pPr>
              <w:pStyle w:val="Tablebodytext"/>
              <w:tabs>
                <w:tab w:val="left" w:pos="2280"/>
              </w:tabs>
              <w:rPr>
                <w:b/>
              </w:rPr>
            </w:pPr>
          </w:p>
        </w:tc>
      </w:tr>
      <w:tr w:rsidR="00264660" w:rsidRPr="00F9549A" w14:paraId="3902B4B5" w14:textId="77777777" w:rsidTr="008E12A7">
        <w:trPr>
          <w:cnfStyle w:val="000000010000" w:firstRow="0" w:lastRow="0" w:firstColumn="0" w:lastColumn="0" w:oddVBand="0" w:evenVBand="0" w:oddHBand="0" w:evenHBand="1" w:firstRowFirstColumn="0" w:firstRowLastColumn="0" w:lastRowFirstColumn="0" w:lastRowLastColumn="0"/>
        </w:trPr>
        <w:tc>
          <w:tcPr>
            <w:tcW w:w="5210" w:type="dxa"/>
            <w:shd w:val="clear" w:color="auto" w:fill="E9E9EA" w:themeFill="accent5" w:themeFillTint="33"/>
          </w:tcPr>
          <w:p w14:paraId="1E41B018" w14:textId="3F104A15" w:rsidR="00264660" w:rsidRDefault="00264660" w:rsidP="00A07FC3">
            <w:pPr>
              <w:pStyle w:val="Tabletext"/>
              <w:numPr>
                <w:ilvl w:val="0"/>
                <w:numId w:val="22"/>
              </w:numPr>
              <w:rPr>
                <w:lang w:eastAsia="en-AU"/>
              </w:rPr>
            </w:pPr>
            <w:r>
              <w:rPr>
                <w:lang w:eastAsia="en-AU"/>
              </w:rPr>
              <w:t xml:space="preserve">Most </w:t>
            </w:r>
            <w:r w:rsidRPr="00264660">
              <w:rPr>
                <w:lang w:eastAsia="en-AU"/>
              </w:rPr>
              <w:t>stakeholder groups supported retaining the $500</w:t>
            </w:r>
            <w:r w:rsidR="00F95AED">
              <w:rPr>
                <w:lang w:eastAsia="en-AU"/>
              </w:rPr>
              <w:t xml:space="preserve"> </w:t>
            </w:r>
            <w:r w:rsidRPr="00264660">
              <w:rPr>
                <w:lang w:eastAsia="en-AU"/>
              </w:rPr>
              <w:t>m</w:t>
            </w:r>
            <w:r w:rsidR="00F95AED">
              <w:rPr>
                <w:lang w:eastAsia="en-AU"/>
              </w:rPr>
              <w:t>illion</w:t>
            </w:r>
            <w:r w:rsidRPr="00264660">
              <w:rPr>
                <w:lang w:eastAsia="en-AU"/>
              </w:rPr>
              <w:t xml:space="preserve"> threshold for major projects under the Jobs Act. Most groups also supported retaining the $1</w:t>
            </w:r>
            <w:r w:rsidR="00F95AED">
              <w:rPr>
                <w:lang w:eastAsia="en-AU"/>
              </w:rPr>
              <w:t xml:space="preserve"> </w:t>
            </w:r>
            <w:r w:rsidRPr="00264660">
              <w:rPr>
                <w:lang w:eastAsia="en-AU"/>
              </w:rPr>
              <w:t>m</w:t>
            </w:r>
            <w:r w:rsidR="00F95AED">
              <w:rPr>
                <w:lang w:eastAsia="en-AU"/>
              </w:rPr>
              <w:t>illion</w:t>
            </w:r>
            <w:r w:rsidRPr="00264660">
              <w:rPr>
                <w:lang w:eastAsia="en-AU"/>
              </w:rPr>
              <w:t xml:space="preserve"> minimum contract threshold, although some proponents thought it should be raised and some suppliers thought it should be removed or </w:t>
            </w:r>
            <w:r w:rsidRPr="00ED16F0">
              <w:rPr>
                <w:lang w:eastAsia="en-AU"/>
              </w:rPr>
              <w:t>lowered.</w:t>
            </w:r>
            <w:r w:rsidR="00743FF9" w:rsidRPr="00ED16F0">
              <w:t xml:space="preserve"> </w:t>
            </w:r>
            <w:r w:rsidR="00743FF9" w:rsidRPr="00ED16F0">
              <w:rPr>
                <w:lang w:eastAsia="en-AU"/>
              </w:rPr>
              <w:t>Further analysis of the financial thresholds is needed.</w:t>
            </w:r>
          </w:p>
        </w:tc>
        <w:tc>
          <w:tcPr>
            <w:tcW w:w="4230" w:type="dxa"/>
            <w:shd w:val="clear" w:color="auto" w:fill="E9E9EA" w:themeFill="accent5" w:themeFillTint="33"/>
          </w:tcPr>
          <w:p w14:paraId="70E4211F" w14:textId="77A97B41" w:rsidR="00264660" w:rsidRPr="00D92B35" w:rsidRDefault="00ED16F0" w:rsidP="00A07FC3">
            <w:pPr>
              <w:pStyle w:val="Tabletext"/>
              <w:rPr>
                <w:b/>
                <w:bCs/>
                <w:lang w:eastAsia="en-AU"/>
              </w:rPr>
            </w:pPr>
            <w:bookmarkStart w:id="15" w:name="_Hlk138776381"/>
            <w:r w:rsidRPr="00D92B35">
              <w:rPr>
                <w:b/>
                <w:bCs/>
                <w:lang w:eastAsia="en-AU"/>
              </w:rPr>
              <w:t>Recommendation 3:</w:t>
            </w:r>
          </w:p>
          <w:p w14:paraId="7AD7847D" w14:textId="4EB04892" w:rsidR="00264660" w:rsidRPr="00D92B35" w:rsidRDefault="00ED16F0" w:rsidP="00A07FC3">
            <w:pPr>
              <w:pStyle w:val="Tablebodytext"/>
              <w:tabs>
                <w:tab w:val="left" w:pos="2280"/>
              </w:tabs>
              <w:rPr>
                <w:bCs/>
              </w:rPr>
            </w:pPr>
            <w:r w:rsidRPr="000671CF">
              <w:rPr>
                <w:bCs/>
              </w:rPr>
              <w:t xml:space="preserve">That DISR undertake further analysis of financial thresholds to assess </w:t>
            </w:r>
            <w:r w:rsidR="00056CCC">
              <w:rPr>
                <w:bCs/>
              </w:rPr>
              <w:t xml:space="preserve">the </w:t>
            </w:r>
            <w:r w:rsidRPr="000671CF">
              <w:rPr>
                <w:bCs/>
              </w:rPr>
              <w:t xml:space="preserve">most appropriate </w:t>
            </w:r>
            <w:r w:rsidR="001E43B0">
              <w:rPr>
                <w:bCs/>
              </w:rPr>
              <w:t>levels</w:t>
            </w:r>
            <w:r w:rsidRPr="000671CF">
              <w:rPr>
                <w:bCs/>
              </w:rPr>
              <w:t xml:space="preserve"> to achieve the intended policy objectives.</w:t>
            </w:r>
            <w:bookmarkEnd w:id="15"/>
          </w:p>
        </w:tc>
      </w:tr>
      <w:tr w:rsidR="00451B11" w:rsidRPr="00F9549A" w14:paraId="48A9E0A5" w14:textId="77777777" w:rsidTr="008E12A7">
        <w:trPr>
          <w:cnfStyle w:val="000000100000" w:firstRow="0" w:lastRow="0" w:firstColumn="0" w:lastColumn="0" w:oddVBand="0" w:evenVBand="0" w:oddHBand="1" w:evenHBand="0" w:firstRowFirstColumn="0" w:firstRowLastColumn="0" w:lastRowFirstColumn="0" w:lastRowLastColumn="0"/>
        </w:trPr>
        <w:tc>
          <w:tcPr>
            <w:tcW w:w="5210" w:type="dxa"/>
            <w:shd w:val="clear" w:color="auto" w:fill="FFFFFF" w:themeFill="background1"/>
          </w:tcPr>
          <w:p w14:paraId="2256E864" w14:textId="6B5BBFDC" w:rsidR="00451B11" w:rsidRDefault="00451B11" w:rsidP="00A07FC3">
            <w:pPr>
              <w:pStyle w:val="Tabletext"/>
              <w:numPr>
                <w:ilvl w:val="0"/>
                <w:numId w:val="22"/>
              </w:numPr>
              <w:rPr>
                <w:lang w:eastAsia="en-AU"/>
              </w:rPr>
            </w:pPr>
            <w:r>
              <w:rPr>
                <w:lang w:eastAsia="en-AU"/>
              </w:rPr>
              <w:t xml:space="preserve">Proponents </w:t>
            </w:r>
            <w:r w:rsidRPr="00451B11">
              <w:rPr>
                <w:lang w:eastAsia="en-AU"/>
              </w:rPr>
              <w:t>and suppliers generally thought the $20</w:t>
            </w:r>
            <w:r w:rsidR="00F95AED">
              <w:rPr>
                <w:lang w:eastAsia="en-AU"/>
              </w:rPr>
              <w:t xml:space="preserve"> </w:t>
            </w:r>
            <w:r w:rsidRPr="00451B11">
              <w:rPr>
                <w:lang w:eastAsia="en-AU"/>
              </w:rPr>
              <w:t>m</w:t>
            </w:r>
            <w:r w:rsidR="00F95AED">
              <w:rPr>
                <w:lang w:eastAsia="en-AU"/>
              </w:rPr>
              <w:t>illion</w:t>
            </w:r>
            <w:r w:rsidRPr="00451B11">
              <w:rPr>
                <w:lang w:eastAsia="en-AU"/>
              </w:rPr>
              <w:t xml:space="preserve"> threshold for Commonwealth </w:t>
            </w:r>
            <w:r w:rsidR="00D252E6">
              <w:rPr>
                <w:lang w:eastAsia="en-AU"/>
              </w:rPr>
              <w:t>funding into projects and procurements</w:t>
            </w:r>
            <w:r w:rsidRPr="00451B11">
              <w:rPr>
                <w:lang w:eastAsia="en-AU"/>
              </w:rPr>
              <w:t xml:space="preserve"> was appropriate, while peak </w:t>
            </w:r>
            <w:r w:rsidRPr="00ED16F0">
              <w:rPr>
                <w:lang w:eastAsia="en-AU"/>
              </w:rPr>
              <w:t>bodies and unions generally supported removing the threshold.</w:t>
            </w:r>
            <w:r w:rsidR="00743FF9" w:rsidRPr="00ED16F0">
              <w:rPr>
                <w:lang w:eastAsia="en-AU"/>
              </w:rPr>
              <w:t xml:space="preserve"> Further analysis of the financial thresholds is needed.</w:t>
            </w:r>
          </w:p>
        </w:tc>
        <w:tc>
          <w:tcPr>
            <w:tcW w:w="4230" w:type="dxa"/>
            <w:shd w:val="clear" w:color="auto" w:fill="FFFFFF" w:themeFill="background1"/>
          </w:tcPr>
          <w:p w14:paraId="7B1DFE18" w14:textId="28448D4D" w:rsidR="00451B11" w:rsidRPr="00451B11" w:rsidRDefault="00451B11" w:rsidP="00A07FC3">
            <w:pPr>
              <w:pStyle w:val="Tablebodytext"/>
              <w:tabs>
                <w:tab w:val="left" w:pos="2280"/>
              </w:tabs>
              <w:rPr>
                <w:b/>
              </w:rPr>
            </w:pPr>
          </w:p>
        </w:tc>
      </w:tr>
      <w:tr w:rsidR="00451B11" w:rsidRPr="00F9549A" w14:paraId="62E6BC65" w14:textId="77777777" w:rsidTr="008E12A7">
        <w:trPr>
          <w:cnfStyle w:val="000000010000" w:firstRow="0" w:lastRow="0" w:firstColumn="0" w:lastColumn="0" w:oddVBand="0" w:evenVBand="0" w:oddHBand="0" w:evenHBand="1" w:firstRowFirstColumn="0" w:firstRowLastColumn="0" w:lastRowFirstColumn="0" w:lastRowLastColumn="0"/>
        </w:trPr>
        <w:tc>
          <w:tcPr>
            <w:tcW w:w="5210" w:type="dxa"/>
            <w:shd w:val="clear" w:color="auto" w:fill="E9E9EA" w:themeFill="accent5" w:themeFillTint="33"/>
          </w:tcPr>
          <w:p w14:paraId="365A0108" w14:textId="6B3B9551" w:rsidR="00451B11" w:rsidRDefault="00451B11" w:rsidP="00A07FC3">
            <w:pPr>
              <w:pStyle w:val="Tabletext"/>
              <w:numPr>
                <w:ilvl w:val="0"/>
                <w:numId w:val="22"/>
              </w:numPr>
              <w:rPr>
                <w:lang w:eastAsia="en-AU"/>
              </w:rPr>
            </w:pPr>
            <w:r>
              <w:rPr>
                <w:lang w:eastAsia="en-AU"/>
              </w:rPr>
              <w:t xml:space="preserve">There </w:t>
            </w:r>
            <w:r w:rsidRPr="00451B11">
              <w:rPr>
                <w:lang w:eastAsia="en-AU"/>
              </w:rPr>
              <w:t xml:space="preserve">was general support for the current scope and criteria for AIP requirements under the Jobs Act. However, there were some suggestions about </w:t>
            </w:r>
            <w:r w:rsidR="004124CB">
              <w:rPr>
                <w:lang w:eastAsia="en-AU"/>
              </w:rPr>
              <w:t>the</w:t>
            </w:r>
            <w:r w:rsidRPr="00451B11">
              <w:rPr>
                <w:lang w:eastAsia="en-AU"/>
              </w:rPr>
              <w:t xml:space="preserve"> types of projects that DISR could consider including in any revisions to the Jobs Act.</w:t>
            </w:r>
          </w:p>
        </w:tc>
        <w:tc>
          <w:tcPr>
            <w:tcW w:w="4230" w:type="dxa"/>
            <w:shd w:val="clear" w:color="auto" w:fill="E9E9EA" w:themeFill="accent5" w:themeFillTint="33"/>
          </w:tcPr>
          <w:p w14:paraId="3563EBF8" w14:textId="5A60D7F1" w:rsidR="00451B11" w:rsidRDefault="00451B11" w:rsidP="00A07FC3">
            <w:pPr>
              <w:pStyle w:val="Tablebodytext"/>
              <w:tabs>
                <w:tab w:val="left" w:pos="2280"/>
              </w:tabs>
              <w:rPr>
                <w:b/>
              </w:rPr>
            </w:pPr>
            <w:r>
              <w:rPr>
                <w:b/>
              </w:rPr>
              <w:t xml:space="preserve">Recommendation </w:t>
            </w:r>
            <w:r w:rsidR="00ED16F0">
              <w:rPr>
                <w:b/>
              </w:rPr>
              <w:t>4</w:t>
            </w:r>
            <w:r>
              <w:rPr>
                <w:b/>
              </w:rPr>
              <w:t>:</w:t>
            </w:r>
          </w:p>
          <w:p w14:paraId="2DDBCE60" w14:textId="77777777" w:rsidR="00451B11" w:rsidRDefault="00451B11" w:rsidP="00A07FC3">
            <w:pPr>
              <w:pStyle w:val="Tabletext"/>
              <w:rPr>
                <w:bCs/>
                <w:lang w:eastAsia="en-AU"/>
              </w:rPr>
            </w:pPr>
            <w:r>
              <w:rPr>
                <w:bCs/>
                <w:lang w:eastAsia="en-AU"/>
              </w:rPr>
              <w:t xml:space="preserve">That DISR should consider expanding the scope of the Jobs Act to include </w:t>
            </w:r>
            <w:r w:rsidRPr="00451B11">
              <w:rPr>
                <w:bCs/>
                <w:lang w:eastAsia="en-AU"/>
              </w:rPr>
              <w:t>decommissioning and rehabilitation projects and consider other opportunities as appropriate.</w:t>
            </w:r>
          </w:p>
          <w:p w14:paraId="35E66613" w14:textId="4C8F6D60" w:rsidR="00451B11" w:rsidRPr="00451B11" w:rsidRDefault="00451B11" w:rsidP="00A07FC3">
            <w:pPr>
              <w:pStyle w:val="Tablebodytext"/>
              <w:tabs>
                <w:tab w:val="left" w:pos="2280"/>
              </w:tabs>
              <w:rPr>
                <w:b/>
              </w:rPr>
            </w:pPr>
          </w:p>
        </w:tc>
      </w:tr>
      <w:tr w:rsidR="00451B11" w:rsidRPr="00F9549A" w14:paraId="2598F761" w14:textId="77777777" w:rsidTr="008E12A7">
        <w:trPr>
          <w:cnfStyle w:val="000000100000" w:firstRow="0" w:lastRow="0" w:firstColumn="0" w:lastColumn="0" w:oddVBand="0" w:evenVBand="0" w:oddHBand="1" w:evenHBand="0" w:firstRowFirstColumn="0" w:firstRowLastColumn="0" w:lastRowFirstColumn="0" w:lastRowLastColumn="0"/>
        </w:trPr>
        <w:tc>
          <w:tcPr>
            <w:tcW w:w="5210" w:type="dxa"/>
            <w:shd w:val="clear" w:color="auto" w:fill="FFFFFF" w:themeFill="background1"/>
          </w:tcPr>
          <w:p w14:paraId="7A593725" w14:textId="0084F4E7" w:rsidR="00451B11" w:rsidRDefault="00451B11" w:rsidP="00A07FC3">
            <w:pPr>
              <w:pStyle w:val="Tabletext"/>
              <w:numPr>
                <w:ilvl w:val="0"/>
                <w:numId w:val="22"/>
              </w:numPr>
              <w:rPr>
                <w:lang w:eastAsia="en-AU"/>
              </w:rPr>
            </w:pPr>
            <w:r>
              <w:rPr>
                <w:lang w:eastAsia="en-AU"/>
              </w:rPr>
              <w:t xml:space="preserve">Several </w:t>
            </w:r>
            <w:r w:rsidRPr="00451B11">
              <w:rPr>
                <w:lang w:eastAsia="en-AU"/>
              </w:rPr>
              <w:t xml:space="preserve">stakeholders expressed the view that AIP plans may have less value for sectors that </w:t>
            </w:r>
            <w:r w:rsidR="00ED16F0">
              <w:rPr>
                <w:lang w:eastAsia="en-AU"/>
              </w:rPr>
              <w:t xml:space="preserve">already </w:t>
            </w:r>
            <w:r w:rsidRPr="00451B11">
              <w:rPr>
                <w:lang w:eastAsia="en-AU"/>
              </w:rPr>
              <w:t>tend to have high levels of Australian content.</w:t>
            </w:r>
          </w:p>
        </w:tc>
        <w:tc>
          <w:tcPr>
            <w:tcW w:w="4230" w:type="dxa"/>
            <w:shd w:val="clear" w:color="auto" w:fill="FFFFFF" w:themeFill="background1"/>
          </w:tcPr>
          <w:p w14:paraId="555AB1CF" w14:textId="78915655" w:rsidR="00451B11" w:rsidRDefault="00451B11" w:rsidP="00A07FC3">
            <w:pPr>
              <w:pStyle w:val="Tablebodytext"/>
              <w:tabs>
                <w:tab w:val="left" w:pos="2280"/>
              </w:tabs>
              <w:rPr>
                <w:b/>
              </w:rPr>
            </w:pPr>
            <w:r>
              <w:rPr>
                <w:b/>
              </w:rPr>
              <w:t xml:space="preserve">Recommendation </w:t>
            </w:r>
            <w:r w:rsidR="00ED16F0">
              <w:rPr>
                <w:b/>
              </w:rPr>
              <w:t>5</w:t>
            </w:r>
            <w:r>
              <w:rPr>
                <w:b/>
              </w:rPr>
              <w:t>:</w:t>
            </w:r>
          </w:p>
          <w:p w14:paraId="4BA5757C" w14:textId="7152647F" w:rsidR="00451B11" w:rsidRPr="00451B11" w:rsidRDefault="00451B11" w:rsidP="00A07FC3">
            <w:pPr>
              <w:pStyle w:val="Tablebodytext"/>
              <w:tabs>
                <w:tab w:val="left" w:pos="2280"/>
              </w:tabs>
              <w:rPr>
                <w:bCs/>
              </w:rPr>
            </w:pPr>
            <w:r w:rsidRPr="00451B11">
              <w:rPr>
                <w:bCs/>
              </w:rPr>
              <w:t xml:space="preserve">That DISR consider how AIP policy could target </w:t>
            </w:r>
            <w:r w:rsidR="0087446C" w:rsidRPr="00ED16F0">
              <w:rPr>
                <w:bCs/>
              </w:rPr>
              <w:t>sectors</w:t>
            </w:r>
            <w:r w:rsidR="0087446C" w:rsidRPr="00451B11">
              <w:rPr>
                <w:bCs/>
              </w:rPr>
              <w:t xml:space="preserve"> </w:t>
            </w:r>
            <w:r w:rsidRPr="00451B11">
              <w:rPr>
                <w:bCs/>
              </w:rPr>
              <w:t xml:space="preserve">where there are </w:t>
            </w:r>
            <w:r w:rsidR="00ED16F0">
              <w:rPr>
                <w:bCs/>
              </w:rPr>
              <w:t xml:space="preserve">currently lower levels of </w:t>
            </w:r>
            <w:r w:rsidRPr="00451B11">
              <w:rPr>
                <w:bCs/>
              </w:rPr>
              <w:t>Australian industry participation and in alignment with government priorities.</w:t>
            </w:r>
          </w:p>
        </w:tc>
      </w:tr>
      <w:tr w:rsidR="00264660" w:rsidRPr="00F9549A" w14:paraId="5A37253D" w14:textId="77777777" w:rsidTr="008E12A7">
        <w:trPr>
          <w:cnfStyle w:val="000000010000" w:firstRow="0" w:lastRow="0" w:firstColumn="0" w:lastColumn="0" w:oddVBand="0" w:evenVBand="0" w:oddHBand="0" w:evenHBand="1" w:firstRowFirstColumn="0" w:firstRowLastColumn="0" w:lastRowFirstColumn="0" w:lastRowLastColumn="0"/>
        </w:trPr>
        <w:tc>
          <w:tcPr>
            <w:tcW w:w="5210" w:type="dxa"/>
            <w:shd w:val="clear" w:color="auto" w:fill="E9E9EA" w:themeFill="accent5" w:themeFillTint="33"/>
          </w:tcPr>
          <w:p w14:paraId="00535E3F" w14:textId="3464210B" w:rsidR="00264660" w:rsidRPr="00ED64E5" w:rsidRDefault="00451B11" w:rsidP="00A07FC3">
            <w:pPr>
              <w:pStyle w:val="Tablebodytext"/>
              <w:numPr>
                <w:ilvl w:val="0"/>
                <w:numId w:val="22"/>
              </w:numPr>
              <w:rPr>
                <w:b/>
                <w:bCs/>
                <w:lang w:eastAsia="en-AU"/>
              </w:rPr>
            </w:pPr>
            <w:r>
              <w:rPr>
                <w:lang w:eastAsia="en-AU"/>
              </w:rPr>
              <w:t xml:space="preserve">Since </w:t>
            </w:r>
            <w:r w:rsidRPr="00451B11">
              <w:rPr>
                <w:lang w:eastAsia="en-AU"/>
              </w:rPr>
              <w:t>2018, DISR has provided guidance on trigger dates to improve proponent understanding of when to submit a Jobs Act AIP plan.  While just over half proponent respondents found the trigger date useful in determining when to submit the plan, a sizeable minority found it not at all useful.</w:t>
            </w:r>
          </w:p>
        </w:tc>
        <w:tc>
          <w:tcPr>
            <w:tcW w:w="4230" w:type="dxa"/>
            <w:shd w:val="clear" w:color="auto" w:fill="E9E9EA" w:themeFill="accent5" w:themeFillTint="33"/>
          </w:tcPr>
          <w:p w14:paraId="1953524F" w14:textId="5405591B" w:rsidR="00264660" w:rsidRDefault="00264660" w:rsidP="00A07FC3">
            <w:pPr>
              <w:pStyle w:val="Tabletext"/>
              <w:rPr>
                <w:b/>
                <w:lang w:eastAsia="en-AU"/>
              </w:rPr>
            </w:pPr>
            <w:r>
              <w:rPr>
                <w:b/>
                <w:lang w:eastAsia="en-AU"/>
              </w:rPr>
              <w:t xml:space="preserve">Recommendation </w:t>
            </w:r>
            <w:r w:rsidR="00ED16F0">
              <w:rPr>
                <w:b/>
                <w:lang w:eastAsia="en-AU"/>
              </w:rPr>
              <w:t>6</w:t>
            </w:r>
            <w:r>
              <w:rPr>
                <w:b/>
                <w:lang w:eastAsia="en-AU"/>
              </w:rPr>
              <w:t xml:space="preserve">: </w:t>
            </w:r>
          </w:p>
          <w:p w14:paraId="6D4DBC21" w14:textId="1068A004" w:rsidR="00264660" w:rsidRPr="00073F13" w:rsidRDefault="00264660" w:rsidP="00A07FC3">
            <w:pPr>
              <w:pStyle w:val="Tabletext"/>
              <w:rPr>
                <w:b/>
              </w:rPr>
            </w:pPr>
            <w:r>
              <w:rPr>
                <w:lang w:eastAsia="en-AU"/>
              </w:rPr>
              <w:t xml:space="preserve">That </w:t>
            </w:r>
            <w:r w:rsidR="00921414" w:rsidRPr="00921414">
              <w:rPr>
                <w:lang w:eastAsia="en-AU"/>
              </w:rPr>
              <w:t>DISR consider consultation with stakeholders to explore whether adjustments can be made to the definition of trigger date in the Jobs Act to ensure that AIP plans are submitted at an appropriate time.</w:t>
            </w:r>
          </w:p>
        </w:tc>
      </w:tr>
      <w:tr w:rsidR="00DD1C27" w:rsidRPr="00F9549A" w14:paraId="7FE38051" w14:textId="77777777" w:rsidTr="008E12A7">
        <w:trPr>
          <w:cnfStyle w:val="000000100000" w:firstRow="0" w:lastRow="0" w:firstColumn="0" w:lastColumn="0" w:oddVBand="0" w:evenVBand="0" w:oddHBand="1" w:evenHBand="0" w:firstRowFirstColumn="0" w:firstRowLastColumn="0" w:lastRowFirstColumn="0" w:lastRowLastColumn="0"/>
        </w:trPr>
        <w:tc>
          <w:tcPr>
            <w:tcW w:w="5210" w:type="dxa"/>
            <w:shd w:val="clear" w:color="auto" w:fill="C3E8EC" w:themeFill="accent3" w:themeFillTint="99"/>
          </w:tcPr>
          <w:p w14:paraId="79200B4B" w14:textId="77777777" w:rsidR="00DD1C27" w:rsidRDefault="00DD1C27" w:rsidP="00A07FC3">
            <w:pPr>
              <w:pStyle w:val="Tablebodytext"/>
              <w:rPr>
                <w:lang w:eastAsia="en-AU"/>
              </w:rPr>
            </w:pPr>
            <w:r w:rsidRPr="00264660">
              <w:rPr>
                <w:b/>
              </w:rPr>
              <w:t>Implementation of the Jobs Act</w:t>
            </w:r>
          </w:p>
        </w:tc>
        <w:tc>
          <w:tcPr>
            <w:tcW w:w="4230" w:type="dxa"/>
            <w:shd w:val="clear" w:color="auto" w:fill="C3E8EC" w:themeFill="accent3" w:themeFillTint="99"/>
          </w:tcPr>
          <w:p w14:paraId="5D5E25F8" w14:textId="77777777" w:rsidR="00DD1C27" w:rsidRPr="00073F13" w:rsidRDefault="00DD1C27" w:rsidP="00A07FC3">
            <w:pPr>
              <w:pStyle w:val="Tablebodytext"/>
              <w:tabs>
                <w:tab w:val="left" w:pos="2280"/>
              </w:tabs>
              <w:rPr>
                <w:b/>
              </w:rPr>
            </w:pPr>
          </w:p>
        </w:tc>
      </w:tr>
      <w:tr w:rsidR="00DD1C27" w:rsidRPr="00F9549A" w14:paraId="567FA2B0" w14:textId="77777777" w:rsidTr="008E12A7">
        <w:trPr>
          <w:cnfStyle w:val="000000010000" w:firstRow="0" w:lastRow="0" w:firstColumn="0" w:lastColumn="0" w:oddVBand="0" w:evenVBand="0" w:oddHBand="0" w:evenHBand="1" w:firstRowFirstColumn="0" w:firstRowLastColumn="0" w:lastRowFirstColumn="0" w:lastRowLastColumn="0"/>
        </w:trPr>
        <w:tc>
          <w:tcPr>
            <w:tcW w:w="5210" w:type="dxa"/>
            <w:shd w:val="clear" w:color="auto" w:fill="auto"/>
          </w:tcPr>
          <w:p w14:paraId="55BEB2D6" w14:textId="070190B7" w:rsidR="00DD1C27" w:rsidRDefault="00DD1C27" w:rsidP="00A07FC3">
            <w:pPr>
              <w:pStyle w:val="Tablebodytext"/>
              <w:numPr>
                <w:ilvl w:val="0"/>
                <w:numId w:val="22"/>
              </w:numPr>
              <w:rPr>
                <w:lang w:eastAsia="en-AU"/>
              </w:rPr>
            </w:pPr>
            <w:r>
              <w:rPr>
                <w:lang w:eastAsia="en-AU"/>
              </w:rPr>
              <w:t xml:space="preserve">The </w:t>
            </w:r>
            <w:r w:rsidRPr="00264660">
              <w:rPr>
                <w:lang w:eastAsia="en-AU"/>
              </w:rPr>
              <w:t xml:space="preserve">Jobs Act has not been fully implemented. The establishment of </w:t>
            </w:r>
            <w:r w:rsidRPr="00ED16F0">
              <w:rPr>
                <w:lang w:eastAsia="en-AU"/>
              </w:rPr>
              <w:t xml:space="preserve">an AIP </w:t>
            </w:r>
            <w:r w:rsidR="007D25EE" w:rsidRPr="00ED16F0">
              <w:rPr>
                <w:lang w:eastAsia="en-AU"/>
              </w:rPr>
              <w:t xml:space="preserve">Authority and </w:t>
            </w:r>
            <w:r w:rsidRPr="00ED16F0">
              <w:rPr>
                <w:lang w:eastAsia="en-AU"/>
              </w:rPr>
              <w:t>Advisory Board as</w:t>
            </w:r>
            <w:r w:rsidRPr="00264660">
              <w:rPr>
                <w:lang w:eastAsia="en-AU"/>
              </w:rPr>
              <w:t xml:space="preserve"> originally intended under the Jobs Act would result in a </w:t>
            </w:r>
            <w:r w:rsidRPr="00264660">
              <w:rPr>
                <w:lang w:eastAsia="en-AU"/>
              </w:rPr>
              <w:lastRenderedPageBreak/>
              <w:t xml:space="preserve">dedicated focus and profile on the challenges for Australian Industry Participation.   </w:t>
            </w:r>
          </w:p>
        </w:tc>
        <w:tc>
          <w:tcPr>
            <w:tcW w:w="4230" w:type="dxa"/>
            <w:shd w:val="clear" w:color="auto" w:fill="auto"/>
          </w:tcPr>
          <w:p w14:paraId="0FDFAF0F" w14:textId="6C3845F6" w:rsidR="00DD1C27" w:rsidRDefault="00DD1C27" w:rsidP="00A07FC3">
            <w:pPr>
              <w:pStyle w:val="Tablebodytext"/>
              <w:tabs>
                <w:tab w:val="left" w:pos="2280"/>
              </w:tabs>
              <w:rPr>
                <w:b/>
              </w:rPr>
            </w:pPr>
            <w:r>
              <w:rPr>
                <w:b/>
              </w:rPr>
              <w:lastRenderedPageBreak/>
              <w:t xml:space="preserve">Recommendation </w:t>
            </w:r>
            <w:r w:rsidR="00ED16F0">
              <w:rPr>
                <w:b/>
              </w:rPr>
              <w:t>7</w:t>
            </w:r>
            <w:r>
              <w:rPr>
                <w:b/>
              </w:rPr>
              <w:t>:</w:t>
            </w:r>
          </w:p>
          <w:p w14:paraId="134B9AD5" w14:textId="39FA6995" w:rsidR="00DD1C27" w:rsidRPr="00264660" w:rsidRDefault="00DD1C27" w:rsidP="00A07FC3">
            <w:pPr>
              <w:pStyle w:val="Tablebodytext"/>
              <w:tabs>
                <w:tab w:val="left" w:pos="2280"/>
              </w:tabs>
              <w:rPr>
                <w:bCs/>
              </w:rPr>
            </w:pPr>
            <w:r w:rsidRPr="00264660">
              <w:rPr>
                <w:bCs/>
              </w:rPr>
              <w:t xml:space="preserve">That DISR recommend that the Minister considers appointing an AIP Authority and AIP Advisory </w:t>
            </w:r>
            <w:r w:rsidRPr="00264660">
              <w:rPr>
                <w:bCs/>
              </w:rPr>
              <w:lastRenderedPageBreak/>
              <w:t xml:space="preserve">Board in accordance with the </w:t>
            </w:r>
            <w:r w:rsidR="007D25EE" w:rsidRPr="00A335BA">
              <w:rPr>
                <w:bCs/>
                <w:i/>
                <w:iCs/>
              </w:rPr>
              <w:t>Australian</w:t>
            </w:r>
            <w:r w:rsidR="007D25EE">
              <w:rPr>
                <w:bCs/>
              </w:rPr>
              <w:t xml:space="preserve"> </w:t>
            </w:r>
            <w:r w:rsidRPr="00264660">
              <w:rPr>
                <w:bCs/>
                <w:i/>
                <w:iCs/>
              </w:rPr>
              <w:t>Jobs Act 2013.</w:t>
            </w:r>
          </w:p>
        </w:tc>
      </w:tr>
      <w:tr w:rsidR="00DD1C27" w:rsidRPr="00F9549A" w14:paraId="6D08815F" w14:textId="77777777" w:rsidTr="008E12A7">
        <w:trPr>
          <w:cnfStyle w:val="000000100000" w:firstRow="0" w:lastRow="0" w:firstColumn="0" w:lastColumn="0" w:oddVBand="0" w:evenVBand="0" w:oddHBand="1" w:evenHBand="0" w:firstRowFirstColumn="0" w:firstRowLastColumn="0" w:lastRowFirstColumn="0" w:lastRowLastColumn="0"/>
        </w:trPr>
        <w:tc>
          <w:tcPr>
            <w:tcW w:w="5210" w:type="dxa"/>
            <w:shd w:val="clear" w:color="auto" w:fill="E9E9EA" w:themeFill="accent5" w:themeFillTint="33"/>
          </w:tcPr>
          <w:p w14:paraId="79911473" w14:textId="77777777" w:rsidR="00DD1C27" w:rsidRDefault="00DD1C27" w:rsidP="00A07FC3">
            <w:pPr>
              <w:pStyle w:val="Tabletext"/>
              <w:numPr>
                <w:ilvl w:val="0"/>
                <w:numId w:val="22"/>
              </w:numPr>
              <w:rPr>
                <w:lang w:eastAsia="en-AU"/>
              </w:rPr>
            </w:pPr>
            <w:r w:rsidRPr="00264660">
              <w:rPr>
                <w:lang w:eastAsia="en-AU"/>
              </w:rPr>
              <w:lastRenderedPageBreak/>
              <w:t>AIP approval and decision-making powers under the Jobs Act are appropriately delegated to staff supporting the AIP Authority. There would be value in clearer guidance for delegations regarding Commonwealth AIP requirements.</w:t>
            </w:r>
          </w:p>
          <w:p w14:paraId="4DCA69CD" w14:textId="77777777" w:rsidR="00DD1C27" w:rsidRDefault="00DD1C27" w:rsidP="00A07FC3">
            <w:pPr>
              <w:pStyle w:val="Tablebodytext"/>
              <w:ind w:left="360"/>
              <w:rPr>
                <w:lang w:eastAsia="en-AU"/>
              </w:rPr>
            </w:pPr>
          </w:p>
        </w:tc>
        <w:tc>
          <w:tcPr>
            <w:tcW w:w="4230" w:type="dxa"/>
            <w:shd w:val="clear" w:color="auto" w:fill="E9E9EA" w:themeFill="accent5" w:themeFillTint="33"/>
          </w:tcPr>
          <w:p w14:paraId="6949B835" w14:textId="798EAA88" w:rsidR="00DD1C27" w:rsidRDefault="00DD1C27" w:rsidP="00A07FC3">
            <w:pPr>
              <w:pStyle w:val="Tablebodytext"/>
              <w:tabs>
                <w:tab w:val="left" w:pos="2280"/>
              </w:tabs>
              <w:rPr>
                <w:b/>
              </w:rPr>
            </w:pPr>
            <w:r>
              <w:rPr>
                <w:b/>
              </w:rPr>
              <w:t xml:space="preserve">Recommendation </w:t>
            </w:r>
            <w:r w:rsidR="00ED16F0">
              <w:rPr>
                <w:b/>
              </w:rPr>
              <w:t>8</w:t>
            </w:r>
            <w:r>
              <w:rPr>
                <w:b/>
              </w:rPr>
              <w:t>:</w:t>
            </w:r>
          </w:p>
          <w:p w14:paraId="4C2CC82F" w14:textId="77777777" w:rsidR="00DD1C27" w:rsidRPr="00264660" w:rsidRDefault="00DD1C27" w:rsidP="00A07FC3">
            <w:pPr>
              <w:pStyle w:val="Tablebodytext"/>
              <w:tabs>
                <w:tab w:val="left" w:pos="2280"/>
              </w:tabs>
              <w:rPr>
                <w:bCs/>
              </w:rPr>
            </w:pPr>
            <w:r w:rsidRPr="00264660">
              <w:rPr>
                <w:bCs/>
              </w:rPr>
              <w:t>That DISR centralise guidance for delegations regarding Commonwealth AIP requirements.</w:t>
            </w:r>
          </w:p>
        </w:tc>
      </w:tr>
      <w:tr w:rsidR="00264660" w:rsidRPr="00F9549A" w14:paraId="62833AD1" w14:textId="77777777" w:rsidTr="008E12A7">
        <w:trPr>
          <w:cnfStyle w:val="000000010000" w:firstRow="0" w:lastRow="0" w:firstColumn="0" w:lastColumn="0" w:oddVBand="0" w:evenVBand="0" w:oddHBand="0" w:evenHBand="1" w:firstRowFirstColumn="0" w:firstRowLastColumn="0" w:lastRowFirstColumn="0" w:lastRowLastColumn="0"/>
        </w:trPr>
        <w:tc>
          <w:tcPr>
            <w:tcW w:w="5210" w:type="dxa"/>
            <w:shd w:val="clear" w:color="auto" w:fill="C3E8EC" w:themeFill="accent3" w:themeFillTint="99"/>
          </w:tcPr>
          <w:p w14:paraId="109C7AB1" w14:textId="226482EE" w:rsidR="00264660" w:rsidRPr="00ED64E5" w:rsidRDefault="00DD1C27" w:rsidP="00A07FC3">
            <w:pPr>
              <w:pStyle w:val="Tablebodytext"/>
              <w:rPr>
                <w:b/>
                <w:bCs/>
                <w:lang w:eastAsia="en-AU"/>
              </w:rPr>
            </w:pPr>
            <w:r>
              <w:rPr>
                <w:b/>
                <w:bCs/>
                <w:lang w:eastAsia="en-AU"/>
              </w:rPr>
              <w:t xml:space="preserve">Compliance and </w:t>
            </w:r>
            <w:r w:rsidR="00B56A8E">
              <w:rPr>
                <w:b/>
                <w:bCs/>
                <w:lang w:eastAsia="en-AU"/>
              </w:rPr>
              <w:t>g</w:t>
            </w:r>
            <w:r w:rsidR="00B41B82">
              <w:rPr>
                <w:b/>
                <w:bCs/>
                <w:lang w:eastAsia="en-AU"/>
              </w:rPr>
              <w:t>overnance</w:t>
            </w:r>
          </w:p>
        </w:tc>
        <w:tc>
          <w:tcPr>
            <w:tcW w:w="4230" w:type="dxa"/>
            <w:shd w:val="clear" w:color="auto" w:fill="C3E8EC" w:themeFill="accent3" w:themeFillTint="99"/>
          </w:tcPr>
          <w:p w14:paraId="5E1B907F" w14:textId="77777777" w:rsidR="00264660" w:rsidRPr="00073F13" w:rsidRDefault="00264660" w:rsidP="00A07FC3">
            <w:pPr>
              <w:pStyle w:val="Tablebodytext"/>
              <w:tabs>
                <w:tab w:val="left" w:pos="2280"/>
              </w:tabs>
              <w:rPr>
                <w:b/>
              </w:rPr>
            </w:pPr>
          </w:p>
        </w:tc>
      </w:tr>
      <w:tr w:rsidR="00DD1C27" w:rsidRPr="00F9549A" w14:paraId="3B72F9BE" w14:textId="77777777" w:rsidTr="008E12A7">
        <w:trPr>
          <w:cnfStyle w:val="000000100000" w:firstRow="0" w:lastRow="0" w:firstColumn="0" w:lastColumn="0" w:oddVBand="0" w:evenVBand="0" w:oddHBand="1" w:evenHBand="0" w:firstRowFirstColumn="0" w:firstRowLastColumn="0" w:lastRowFirstColumn="0" w:lastRowLastColumn="0"/>
        </w:trPr>
        <w:tc>
          <w:tcPr>
            <w:tcW w:w="5210" w:type="dxa"/>
            <w:shd w:val="clear" w:color="auto" w:fill="auto"/>
          </w:tcPr>
          <w:p w14:paraId="599F592B" w14:textId="77777777" w:rsidR="00DD1C27" w:rsidRPr="00C95953" w:rsidRDefault="00DD1C27" w:rsidP="00A07FC3">
            <w:pPr>
              <w:pStyle w:val="Tabletext"/>
              <w:numPr>
                <w:ilvl w:val="0"/>
                <w:numId w:val="22"/>
              </w:numPr>
              <w:rPr>
                <w:b/>
                <w:bCs/>
                <w:lang w:eastAsia="en-AU"/>
              </w:rPr>
            </w:pPr>
            <w:r w:rsidRPr="00C95953">
              <w:t xml:space="preserve">The Jobs Act provides adequate compliance powers for the AIP Authority. These powers and penalties have not been used but may effectively deter non-compliance.  </w:t>
            </w:r>
          </w:p>
        </w:tc>
        <w:tc>
          <w:tcPr>
            <w:tcW w:w="4230" w:type="dxa"/>
            <w:shd w:val="clear" w:color="auto" w:fill="auto"/>
          </w:tcPr>
          <w:p w14:paraId="512CB6F0" w14:textId="77777777" w:rsidR="00DD1C27" w:rsidRPr="00C95953" w:rsidRDefault="00DD1C27" w:rsidP="00A07FC3">
            <w:pPr>
              <w:pStyle w:val="Tabletext"/>
              <w:rPr>
                <w:b/>
                <w:lang w:eastAsia="en-AU"/>
              </w:rPr>
            </w:pPr>
          </w:p>
        </w:tc>
      </w:tr>
      <w:tr w:rsidR="00DD1C27" w:rsidRPr="00F9549A" w14:paraId="4318196C" w14:textId="77777777" w:rsidTr="008E12A7">
        <w:trPr>
          <w:cnfStyle w:val="000000010000" w:firstRow="0" w:lastRow="0" w:firstColumn="0" w:lastColumn="0" w:oddVBand="0" w:evenVBand="0" w:oddHBand="0" w:evenHBand="1" w:firstRowFirstColumn="0" w:firstRowLastColumn="0" w:lastRowFirstColumn="0" w:lastRowLastColumn="0"/>
        </w:trPr>
        <w:tc>
          <w:tcPr>
            <w:tcW w:w="5210" w:type="dxa"/>
            <w:shd w:val="clear" w:color="auto" w:fill="E9E9EA" w:themeFill="accent5" w:themeFillTint="33"/>
          </w:tcPr>
          <w:p w14:paraId="3DEC300E" w14:textId="37B3FEF1" w:rsidR="00DD1C27" w:rsidRDefault="00C56578" w:rsidP="00A07FC3">
            <w:pPr>
              <w:pStyle w:val="Tabletext"/>
              <w:numPr>
                <w:ilvl w:val="0"/>
                <w:numId w:val="22"/>
              </w:numPr>
            </w:pPr>
            <w:r>
              <w:t xml:space="preserve">Some suppliers </w:t>
            </w:r>
            <w:r w:rsidR="00DD1C27" w:rsidRPr="00970285">
              <w:t>perceive that AIP requirements are not enforced and that there are no consequences for non-compliance. The extent to which this is due to actual non-compliance or lack of supplier visibility of compliance activities is unclear, but both factors are likely important.</w:t>
            </w:r>
          </w:p>
        </w:tc>
        <w:tc>
          <w:tcPr>
            <w:tcW w:w="4230" w:type="dxa"/>
            <w:shd w:val="clear" w:color="auto" w:fill="E9E9EA" w:themeFill="accent5" w:themeFillTint="33"/>
          </w:tcPr>
          <w:p w14:paraId="28FC5A9D" w14:textId="52D2F2BA" w:rsidR="00DD1C27" w:rsidRDefault="00DD1C27" w:rsidP="00A07FC3">
            <w:pPr>
              <w:pStyle w:val="Tabletext"/>
              <w:rPr>
                <w:b/>
                <w:lang w:eastAsia="en-AU"/>
              </w:rPr>
            </w:pPr>
            <w:r>
              <w:rPr>
                <w:b/>
                <w:lang w:eastAsia="en-AU"/>
              </w:rPr>
              <w:t xml:space="preserve">Recommendation </w:t>
            </w:r>
            <w:r w:rsidR="00ED16F0">
              <w:rPr>
                <w:b/>
                <w:lang w:eastAsia="en-AU"/>
              </w:rPr>
              <w:t>9</w:t>
            </w:r>
            <w:r>
              <w:rPr>
                <w:b/>
                <w:lang w:eastAsia="en-AU"/>
              </w:rPr>
              <w:t>:</w:t>
            </w:r>
          </w:p>
          <w:p w14:paraId="742CF520" w14:textId="77777777" w:rsidR="00DD1C27" w:rsidRPr="00970285" w:rsidRDefault="00DD1C27" w:rsidP="00A07FC3">
            <w:pPr>
              <w:pStyle w:val="Tabletext"/>
              <w:rPr>
                <w:bCs/>
                <w:lang w:eastAsia="en-AU"/>
              </w:rPr>
            </w:pPr>
            <w:r w:rsidRPr="00970285">
              <w:rPr>
                <w:bCs/>
                <w:lang w:eastAsia="en-AU"/>
              </w:rPr>
              <w:t>That DISR increase transparency about compliance monitoring activities and actions to increase supplier visibility and confidence in AIP processes. This could include publishing examples of compliance monitoring activities, examples of good practice compliance, and sharing compliance related data.</w:t>
            </w:r>
          </w:p>
          <w:p w14:paraId="7BC4C063" w14:textId="77777777" w:rsidR="00DD1C27" w:rsidRPr="00970285" w:rsidRDefault="00DD1C27" w:rsidP="00A07FC3">
            <w:pPr>
              <w:pStyle w:val="Tabletext"/>
              <w:rPr>
                <w:bCs/>
                <w:lang w:eastAsia="en-AU"/>
              </w:rPr>
            </w:pPr>
          </w:p>
          <w:p w14:paraId="4615883B" w14:textId="57AA1F45" w:rsidR="00DD1C27" w:rsidRDefault="00C0406F" w:rsidP="00A07FC3">
            <w:pPr>
              <w:pStyle w:val="Tabletext"/>
              <w:rPr>
                <w:b/>
                <w:lang w:eastAsia="en-AU"/>
              </w:rPr>
            </w:pPr>
            <w:r w:rsidRPr="002F60CA">
              <w:rPr>
                <w:bCs/>
                <w:lang w:eastAsia="en-AU"/>
              </w:rPr>
              <w:t>That DISR consider</w:t>
            </w:r>
            <w:r w:rsidR="00DD1C27" w:rsidRPr="002F60CA">
              <w:rPr>
                <w:bCs/>
                <w:lang w:eastAsia="en-AU"/>
              </w:rPr>
              <w:t xml:space="preserve"> introducing</w:t>
            </w:r>
            <w:r w:rsidR="00DD1C27" w:rsidRPr="00970285">
              <w:rPr>
                <w:bCs/>
                <w:lang w:eastAsia="en-AU"/>
              </w:rPr>
              <w:t xml:space="preserve"> an audit function and provide stakeholders with the opportunity to report suspected non-compliance.</w:t>
            </w:r>
          </w:p>
        </w:tc>
      </w:tr>
      <w:tr w:rsidR="00357756" w:rsidRPr="00F9549A" w14:paraId="2357DF03" w14:textId="77777777" w:rsidTr="008E12A7">
        <w:trPr>
          <w:cnfStyle w:val="000000100000" w:firstRow="0" w:lastRow="0" w:firstColumn="0" w:lastColumn="0" w:oddVBand="0" w:evenVBand="0" w:oddHBand="1" w:evenHBand="0" w:firstRowFirstColumn="0" w:firstRowLastColumn="0" w:lastRowFirstColumn="0" w:lastRowLastColumn="0"/>
        </w:trPr>
        <w:tc>
          <w:tcPr>
            <w:tcW w:w="5210" w:type="dxa"/>
            <w:shd w:val="clear" w:color="auto" w:fill="auto"/>
          </w:tcPr>
          <w:p w14:paraId="4057B6BD" w14:textId="72956704" w:rsidR="00357756" w:rsidRDefault="00357756" w:rsidP="00A07FC3">
            <w:pPr>
              <w:pStyle w:val="Tabletext"/>
              <w:numPr>
                <w:ilvl w:val="0"/>
                <w:numId w:val="22"/>
              </w:numPr>
            </w:pPr>
            <w:r>
              <w:t xml:space="preserve">Proponents </w:t>
            </w:r>
            <w:r w:rsidRPr="00372381">
              <w:t xml:space="preserve">incur costs in developing and implementing AIP plans, with the latter accounting for the greater cost. </w:t>
            </w:r>
            <w:bookmarkStart w:id="16" w:name="_Hlk132101972"/>
            <w:r w:rsidRPr="00372381">
              <w:t xml:space="preserve">However, the extent to which this cost is an additional burden </w:t>
            </w:r>
            <w:proofErr w:type="gramStart"/>
            <w:r w:rsidRPr="00372381">
              <w:t>over</w:t>
            </w:r>
            <w:proofErr w:type="gramEnd"/>
            <w:r w:rsidRPr="00372381">
              <w:t xml:space="preserve"> and above ‘good’ business practice is unclear.</w:t>
            </w:r>
            <w:bookmarkEnd w:id="16"/>
          </w:p>
        </w:tc>
        <w:tc>
          <w:tcPr>
            <w:tcW w:w="4230" w:type="dxa"/>
            <w:shd w:val="clear" w:color="auto" w:fill="auto"/>
          </w:tcPr>
          <w:p w14:paraId="0414C684" w14:textId="1BD5D4AF" w:rsidR="00357756" w:rsidRDefault="00357756" w:rsidP="00A07FC3">
            <w:pPr>
              <w:pStyle w:val="Tabletext"/>
              <w:rPr>
                <w:b/>
                <w:lang w:eastAsia="en-AU"/>
              </w:rPr>
            </w:pPr>
            <w:r>
              <w:rPr>
                <w:b/>
                <w:lang w:eastAsia="en-AU"/>
              </w:rPr>
              <w:t xml:space="preserve">Recommendation </w:t>
            </w:r>
            <w:r w:rsidR="00ED16F0">
              <w:rPr>
                <w:b/>
                <w:lang w:eastAsia="en-AU"/>
              </w:rPr>
              <w:t>10</w:t>
            </w:r>
            <w:r>
              <w:rPr>
                <w:b/>
                <w:lang w:eastAsia="en-AU"/>
              </w:rPr>
              <w:t>:</w:t>
            </w:r>
          </w:p>
          <w:p w14:paraId="000A39CB" w14:textId="31ED37ED" w:rsidR="00357756" w:rsidRDefault="00C0406F" w:rsidP="00A07FC3">
            <w:pPr>
              <w:pStyle w:val="Tabletext"/>
              <w:rPr>
                <w:b/>
                <w:lang w:eastAsia="en-AU"/>
              </w:rPr>
            </w:pPr>
            <w:r w:rsidRPr="002F60CA">
              <w:rPr>
                <w:bCs/>
                <w:lang w:eastAsia="en-AU"/>
              </w:rPr>
              <w:t xml:space="preserve">That </w:t>
            </w:r>
            <w:r w:rsidR="00357756" w:rsidRPr="002F60CA">
              <w:rPr>
                <w:lang w:eastAsia="en-AU"/>
              </w:rPr>
              <w:t>DISR identify</w:t>
            </w:r>
            <w:r w:rsidR="00357756" w:rsidRPr="00372381">
              <w:rPr>
                <w:bCs/>
                <w:lang w:eastAsia="en-AU"/>
              </w:rPr>
              <w:t xml:space="preserve"> opportunities for further efficiencies in the reporting process. This should be supported by a deeper understanding of proponent experience of the reporting process.</w:t>
            </w:r>
          </w:p>
        </w:tc>
      </w:tr>
      <w:tr w:rsidR="00357756" w:rsidRPr="00F9549A" w14:paraId="66A854C2" w14:textId="77777777" w:rsidTr="008E12A7">
        <w:trPr>
          <w:cnfStyle w:val="000000010000" w:firstRow="0" w:lastRow="0" w:firstColumn="0" w:lastColumn="0" w:oddVBand="0" w:evenVBand="0" w:oddHBand="0" w:evenHBand="1" w:firstRowFirstColumn="0" w:firstRowLastColumn="0" w:lastRowFirstColumn="0" w:lastRowLastColumn="0"/>
        </w:trPr>
        <w:tc>
          <w:tcPr>
            <w:tcW w:w="5210" w:type="dxa"/>
            <w:shd w:val="clear" w:color="auto" w:fill="E9E9EA" w:themeFill="accent5" w:themeFillTint="33"/>
          </w:tcPr>
          <w:p w14:paraId="44C6EA48" w14:textId="65C5561F" w:rsidR="00357756" w:rsidRDefault="00357756" w:rsidP="00A07FC3">
            <w:pPr>
              <w:pStyle w:val="Tabletext"/>
              <w:numPr>
                <w:ilvl w:val="0"/>
                <w:numId w:val="22"/>
              </w:numPr>
            </w:pPr>
            <w:r>
              <w:rPr>
                <w:lang w:eastAsia="en-AU"/>
              </w:rPr>
              <w:t xml:space="preserve">Awareness </w:t>
            </w:r>
            <w:r w:rsidRPr="00C95953">
              <w:rPr>
                <w:lang w:eastAsia="en-AU"/>
              </w:rPr>
              <w:t>of, and engagement with, Commonwealth AIP requirements appears to be low among Commonwealth entities.</w:t>
            </w:r>
          </w:p>
        </w:tc>
        <w:tc>
          <w:tcPr>
            <w:tcW w:w="4230" w:type="dxa"/>
            <w:shd w:val="clear" w:color="auto" w:fill="E9E9EA" w:themeFill="accent5" w:themeFillTint="33"/>
          </w:tcPr>
          <w:p w14:paraId="1E16AAEF" w14:textId="77777777" w:rsidR="00357756" w:rsidRDefault="00357756" w:rsidP="00A07FC3">
            <w:pPr>
              <w:pStyle w:val="Tabletext"/>
              <w:rPr>
                <w:b/>
                <w:lang w:eastAsia="en-AU"/>
              </w:rPr>
            </w:pPr>
          </w:p>
        </w:tc>
      </w:tr>
      <w:tr w:rsidR="00357756" w:rsidRPr="00F9549A" w14:paraId="30037D69" w14:textId="77777777" w:rsidTr="008E12A7">
        <w:trPr>
          <w:cnfStyle w:val="000000100000" w:firstRow="0" w:lastRow="0" w:firstColumn="0" w:lastColumn="0" w:oddVBand="0" w:evenVBand="0" w:oddHBand="1" w:evenHBand="0" w:firstRowFirstColumn="0" w:firstRowLastColumn="0" w:lastRowFirstColumn="0" w:lastRowLastColumn="0"/>
        </w:trPr>
        <w:tc>
          <w:tcPr>
            <w:tcW w:w="5210" w:type="dxa"/>
            <w:shd w:val="clear" w:color="auto" w:fill="FFFFFF" w:themeFill="background1"/>
          </w:tcPr>
          <w:p w14:paraId="5F74463B" w14:textId="6D171D0B" w:rsidR="00357756" w:rsidRPr="00ED64E5" w:rsidRDefault="00357756" w:rsidP="00A07FC3">
            <w:pPr>
              <w:pStyle w:val="Tablebodytext"/>
              <w:numPr>
                <w:ilvl w:val="0"/>
                <w:numId w:val="22"/>
              </w:numPr>
              <w:rPr>
                <w:b/>
                <w:bCs/>
                <w:lang w:eastAsia="en-AU"/>
              </w:rPr>
            </w:pPr>
            <w:r>
              <w:rPr>
                <w:lang w:eastAsia="en-AU"/>
              </w:rPr>
              <w:t>AIP requirements for projects with Commonwealth funding are not united by a single governance framework.</w:t>
            </w:r>
          </w:p>
        </w:tc>
        <w:tc>
          <w:tcPr>
            <w:tcW w:w="4230" w:type="dxa"/>
            <w:shd w:val="clear" w:color="auto" w:fill="FFFFFF" w:themeFill="background1"/>
          </w:tcPr>
          <w:p w14:paraId="2AC2289C" w14:textId="754CFCA9" w:rsidR="00357756" w:rsidRDefault="00357756" w:rsidP="00A07FC3">
            <w:pPr>
              <w:pStyle w:val="Tabletext"/>
              <w:rPr>
                <w:b/>
                <w:lang w:eastAsia="en-AU"/>
              </w:rPr>
            </w:pPr>
            <w:r>
              <w:rPr>
                <w:b/>
                <w:lang w:eastAsia="en-AU"/>
              </w:rPr>
              <w:t xml:space="preserve">Recommendation </w:t>
            </w:r>
            <w:r w:rsidR="002F60CA">
              <w:rPr>
                <w:b/>
                <w:lang w:eastAsia="en-AU"/>
              </w:rPr>
              <w:t>11</w:t>
            </w:r>
            <w:r>
              <w:rPr>
                <w:b/>
                <w:lang w:eastAsia="en-AU"/>
              </w:rPr>
              <w:t xml:space="preserve">: </w:t>
            </w:r>
          </w:p>
          <w:p w14:paraId="6BF081DD" w14:textId="77777777" w:rsidR="00357756" w:rsidRDefault="00357756" w:rsidP="00A07FC3">
            <w:pPr>
              <w:pStyle w:val="Tabletext"/>
              <w:rPr>
                <w:lang w:eastAsia="en-AU"/>
              </w:rPr>
            </w:pPr>
            <w:r>
              <w:rPr>
                <w:lang w:eastAsia="en-AU"/>
              </w:rPr>
              <w:t>That DISR develop a comprehensive governance framework for AIP requirements as they apply to Commonwealth funding. This should include roles and responsibilities, risk management, compliance program, stakeholder engagement activities, and a performance framework.</w:t>
            </w:r>
          </w:p>
          <w:p w14:paraId="04B2E95C" w14:textId="77777777" w:rsidR="00357756" w:rsidRDefault="00357756" w:rsidP="00A07FC3">
            <w:pPr>
              <w:pStyle w:val="Tabletext"/>
              <w:rPr>
                <w:lang w:eastAsia="en-AU"/>
              </w:rPr>
            </w:pPr>
          </w:p>
          <w:p w14:paraId="0AB72B44" w14:textId="5EAF1B74" w:rsidR="00357756" w:rsidRPr="00073F13" w:rsidRDefault="00357756" w:rsidP="00A07FC3">
            <w:pPr>
              <w:pStyle w:val="Tablebodytext"/>
              <w:tabs>
                <w:tab w:val="left" w:pos="2280"/>
              </w:tabs>
              <w:rPr>
                <w:b/>
              </w:rPr>
            </w:pPr>
            <w:r>
              <w:rPr>
                <w:lang w:eastAsia="en-AU"/>
              </w:rPr>
              <w:t>As part of developing a governance framework for Commonwealth AIP requirements, DISR could consider moving to a self-assessment model where agencies take responsibility for implementing AIP requirements. This should be done in close consultation with stakeholders.</w:t>
            </w:r>
          </w:p>
        </w:tc>
      </w:tr>
      <w:tr w:rsidR="00357756" w:rsidRPr="00F9549A" w14:paraId="7AB49FE0" w14:textId="77777777" w:rsidTr="008E12A7">
        <w:trPr>
          <w:cnfStyle w:val="000000010000" w:firstRow="0" w:lastRow="0" w:firstColumn="0" w:lastColumn="0" w:oddVBand="0" w:evenVBand="0" w:oddHBand="0" w:evenHBand="1" w:firstRowFirstColumn="0" w:firstRowLastColumn="0" w:lastRowFirstColumn="0" w:lastRowLastColumn="0"/>
        </w:trPr>
        <w:tc>
          <w:tcPr>
            <w:tcW w:w="5210" w:type="dxa"/>
            <w:shd w:val="clear" w:color="auto" w:fill="E9E9EA" w:themeFill="accent5" w:themeFillTint="33"/>
          </w:tcPr>
          <w:p w14:paraId="1837400B" w14:textId="77777777" w:rsidR="00357756" w:rsidRDefault="00357756" w:rsidP="00A07FC3">
            <w:pPr>
              <w:pStyle w:val="Tabletext"/>
              <w:numPr>
                <w:ilvl w:val="0"/>
                <w:numId w:val="22"/>
              </w:numPr>
            </w:pPr>
            <w:r>
              <w:t xml:space="preserve">The </w:t>
            </w:r>
            <w:r w:rsidRPr="00C95953">
              <w:t>General Manager AIP has influence, but no compliance powers, for Commonwealth-funded projects and limited visibility of non-compliance.</w:t>
            </w:r>
          </w:p>
        </w:tc>
        <w:tc>
          <w:tcPr>
            <w:tcW w:w="4230" w:type="dxa"/>
            <w:shd w:val="clear" w:color="auto" w:fill="E9E9EA" w:themeFill="accent5" w:themeFillTint="33"/>
          </w:tcPr>
          <w:p w14:paraId="1AA0A4DD" w14:textId="5D685F31" w:rsidR="00357756" w:rsidRDefault="00357756" w:rsidP="00A07FC3">
            <w:pPr>
              <w:pStyle w:val="Tabletext"/>
              <w:rPr>
                <w:b/>
                <w:lang w:eastAsia="en-AU"/>
              </w:rPr>
            </w:pPr>
            <w:r>
              <w:rPr>
                <w:b/>
                <w:lang w:eastAsia="en-AU"/>
              </w:rPr>
              <w:t>Recommendation 1</w:t>
            </w:r>
            <w:r w:rsidR="002F60CA">
              <w:rPr>
                <w:b/>
                <w:lang w:eastAsia="en-AU"/>
              </w:rPr>
              <w:t>2</w:t>
            </w:r>
            <w:r>
              <w:rPr>
                <w:b/>
                <w:lang w:eastAsia="en-AU"/>
              </w:rPr>
              <w:t>:</w:t>
            </w:r>
          </w:p>
          <w:p w14:paraId="1FE174F9" w14:textId="77777777" w:rsidR="00357756" w:rsidRPr="00970285" w:rsidRDefault="00357756" w:rsidP="00A07FC3">
            <w:pPr>
              <w:pStyle w:val="Tabletext"/>
              <w:rPr>
                <w:bCs/>
                <w:lang w:eastAsia="en-AU"/>
              </w:rPr>
            </w:pPr>
            <w:r w:rsidRPr="00970285">
              <w:rPr>
                <w:bCs/>
                <w:lang w:eastAsia="en-AU"/>
              </w:rPr>
              <w:t xml:space="preserve">That DISR: </w:t>
            </w:r>
          </w:p>
          <w:p w14:paraId="27514143" w14:textId="77777777" w:rsidR="00357756" w:rsidRPr="00970285" w:rsidRDefault="00357756" w:rsidP="00A07FC3">
            <w:pPr>
              <w:pStyle w:val="Tabletext"/>
              <w:numPr>
                <w:ilvl w:val="0"/>
                <w:numId w:val="23"/>
              </w:numPr>
              <w:rPr>
                <w:bCs/>
                <w:lang w:eastAsia="en-AU"/>
              </w:rPr>
            </w:pPr>
            <w:r w:rsidRPr="00970285">
              <w:rPr>
                <w:bCs/>
                <w:lang w:eastAsia="en-AU"/>
              </w:rPr>
              <w:t>work with DOF on the aims and objectives of Commonwealth AIP requirements, including consideration of introducing a compliance reporting mechanism (which exists for some other Procurement Connected Policies)</w:t>
            </w:r>
          </w:p>
          <w:p w14:paraId="734161C8" w14:textId="77777777" w:rsidR="00357756" w:rsidRPr="00970285" w:rsidRDefault="00357756" w:rsidP="00A07FC3">
            <w:pPr>
              <w:pStyle w:val="Tabletext"/>
              <w:numPr>
                <w:ilvl w:val="0"/>
                <w:numId w:val="23"/>
              </w:numPr>
              <w:rPr>
                <w:bCs/>
                <w:lang w:eastAsia="en-AU"/>
              </w:rPr>
            </w:pPr>
            <w:r w:rsidRPr="00970285">
              <w:rPr>
                <w:bCs/>
                <w:lang w:eastAsia="en-AU"/>
              </w:rPr>
              <w:t>consider introducing a common data identifier to enable more efficient comparison of AusTender and AIP datasets to facilitate compliance monitoring, and</w:t>
            </w:r>
          </w:p>
          <w:p w14:paraId="2E512992" w14:textId="77777777" w:rsidR="00357756" w:rsidRPr="00C95953" w:rsidRDefault="00357756" w:rsidP="00A07FC3">
            <w:pPr>
              <w:pStyle w:val="Tabletext"/>
              <w:numPr>
                <w:ilvl w:val="0"/>
                <w:numId w:val="23"/>
              </w:numPr>
              <w:rPr>
                <w:b/>
                <w:lang w:eastAsia="en-AU"/>
              </w:rPr>
            </w:pPr>
            <w:r w:rsidRPr="00970285">
              <w:rPr>
                <w:bCs/>
                <w:lang w:eastAsia="en-AU"/>
              </w:rPr>
              <w:t xml:space="preserve">raise awareness of Commonwealth AIP among Commonwealth agencies, including </w:t>
            </w:r>
            <w:r w:rsidRPr="00970285">
              <w:rPr>
                <w:bCs/>
                <w:lang w:eastAsia="en-AU"/>
              </w:rPr>
              <w:lastRenderedPageBreak/>
              <w:t>through their procurement areas once Commonwealth AIP requirements are further clarified.</w:t>
            </w:r>
          </w:p>
        </w:tc>
      </w:tr>
      <w:tr w:rsidR="00357756" w:rsidRPr="00F9549A" w14:paraId="4AAFE872" w14:textId="77777777" w:rsidTr="008E12A7">
        <w:trPr>
          <w:cnfStyle w:val="000000100000" w:firstRow="0" w:lastRow="0" w:firstColumn="0" w:lastColumn="0" w:oddVBand="0" w:evenVBand="0" w:oddHBand="1" w:evenHBand="0" w:firstRowFirstColumn="0" w:firstRowLastColumn="0" w:lastRowFirstColumn="0" w:lastRowLastColumn="0"/>
        </w:trPr>
        <w:tc>
          <w:tcPr>
            <w:tcW w:w="5210" w:type="dxa"/>
            <w:shd w:val="clear" w:color="auto" w:fill="C3E8EC" w:themeFill="accent3" w:themeFillTint="99"/>
          </w:tcPr>
          <w:p w14:paraId="30163FEB" w14:textId="255B1CFE" w:rsidR="00357756" w:rsidRDefault="00357756" w:rsidP="00A07FC3">
            <w:pPr>
              <w:pStyle w:val="Tabletext"/>
              <w:rPr>
                <w:lang w:eastAsia="en-AU"/>
              </w:rPr>
            </w:pPr>
            <w:r w:rsidRPr="00C95953">
              <w:rPr>
                <w:b/>
                <w:bCs/>
                <w:lang w:eastAsia="en-AU"/>
              </w:rPr>
              <w:lastRenderedPageBreak/>
              <w:t xml:space="preserve">Data collection, </w:t>
            </w:r>
            <w:proofErr w:type="gramStart"/>
            <w:r w:rsidRPr="00C95953">
              <w:rPr>
                <w:b/>
                <w:bCs/>
                <w:lang w:eastAsia="en-AU"/>
              </w:rPr>
              <w:t>management</w:t>
            </w:r>
            <w:proofErr w:type="gramEnd"/>
            <w:r w:rsidRPr="00C95953">
              <w:rPr>
                <w:b/>
                <w:bCs/>
                <w:lang w:eastAsia="en-AU"/>
              </w:rPr>
              <w:t xml:space="preserve"> and analysis</w:t>
            </w:r>
          </w:p>
        </w:tc>
        <w:tc>
          <w:tcPr>
            <w:tcW w:w="4230" w:type="dxa"/>
            <w:shd w:val="clear" w:color="auto" w:fill="C3E8EC" w:themeFill="accent3" w:themeFillTint="99"/>
          </w:tcPr>
          <w:p w14:paraId="609EE479" w14:textId="77777777" w:rsidR="00357756" w:rsidRDefault="00357756" w:rsidP="00A07FC3">
            <w:pPr>
              <w:pStyle w:val="Tabletext"/>
              <w:rPr>
                <w:b/>
                <w:bCs/>
                <w:lang w:eastAsia="en-AU"/>
              </w:rPr>
            </w:pPr>
          </w:p>
        </w:tc>
      </w:tr>
      <w:tr w:rsidR="00357756" w:rsidRPr="00F9549A" w14:paraId="382ABD4C" w14:textId="77777777" w:rsidTr="008E12A7">
        <w:trPr>
          <w:cnfStyle w:val="000000010000" w:firstRow="0" w:lastRow="0" w:firstColumn="0" w:lastColumn="0" w:oddVBand="0" w:evenVBand="0" w:oddHBand="0" w:evenHBand="1" w:firstRowFirstColumn="0" w:firstRowLastColumn="0" w:lastRowFirstColumn="0" w:lastRowLastColumn="0"/>
        </w:trPr>
        <w:tc>
          <w:tcPr>
            <w:tcW w:w="5210" w:type="dxa"/>
          </w:tcPr>
          <w:p w14:paraId="59754C3B" w14:textId="78E21191" w:rsidR="00357756" w:rsidRPr="00775007" w:rsidRDefault="00357756" w:rsidP="00A07FC3">
            <w:pPr>
              <w:pStyle w:val="Tabletext"/>
              <w:numPr>
                <w:ilvl w:val="0"/>
                <w:numId w:val="22"/>
              </w:numPr>
              <w:rPr>
                <w:u w:val="single"/>
                <w:lang w:eastAsia="en-AU"/>
              </w:rPr>
            </w:pPr>
            <w:r>
              <w:rPr>
                <w:lang w:eastAsia="en-AU"/>
              </w:rPr>
              <w:t xml:space="preserve">The </w:t>
            </w:r>
            <w:r w:rsidRPr="00C95953">
              <w:rPr>
                <w:lang w:eastAsia="en-AU"/>
              </w:rPr>
              <w:t>current data collection and management processes and system have significant limitations. They do not effectively support a targeted approach to communication, a risk-based approach to compliance, or assessment of whether the AIP Policy is achieving its outcomes.</w:t>
            </w:r>
          </w:p>
        </w:tc>
        <w:tc>
          <w:tcPr>
            <w:tcW w:w="4230" w:type="dxa"/>
          </w:tcPr>
          <w:p w14:paraId="7E93A888" w14:textId="55F0DAD6" w:rsidR="00357756" w:rsidRDefault="00357756" w:rsidP="00A07FC3">
            <w:pPr>
              <w:pStyle w:val="Tablebodytext"/>
              <w:tabs>
                <w:tab w:val="left" w:pos="2280"/>
              </w:tabs>
              <w:rPr>
                <w:b/>
              </w:rPr>
            </w:pPr>
            <w:r>
              <w:rPr>
                <w:b/>
              </w:rPr>
              <w:t>Recommendation 1</w:t>
            </w:r>
            <w:r w:rsidR="002F60CA">
              <w:rPr>
                <w:b/>
              </w:rPr>
              <w:t>3</w:t>
            </w:r>
            <w:r>
              <w:rPr>
                <w:b/>
              </w:rPr>
              <w:t>:</w:t>
            </w:r>
          </w:p>
          <w:p w14:paraId="03FA6614" w14:textId="4EE5E650" w:rsidR="00357756" w:rsidRDefault="00357756" w:rsidP="00A07FC3">
            <w:pPr>
              <w:pStyle w:val="Tabletext"/>
              <w:rPr>
                <w:b/>
                <w:bCs/>
                <w:lang w:eastAsia="en-AU"/>
              </w:rPr>
            </w:pPr>
            <w:r w:rsidRPr="00451B11">
              <w:rPr>
                <w:bCs/>
              </w:rPr>
              <w:t xml:space="preserve">That </w:t>
            </w:r>
            <w:r w:rsidRPr="00C95953">
              <w:rPr>
                <w:bCs/>
              </w:rPr>
              <w:t xml:space="preserve">DISR implement improved data collection and management to support analysis and inform future </w:t>
            </w:r>
            <w:r w:rsidR="00F74F8C">
              <w:rPr>
                <w:bCs/>
              </w:rPr>
              <w:t xml:space="preserve">policy </w:t>
            </w:r>
            <w:r w:rsidRPr="00C95953">
              <w:rPr>
                <w:bCs/>
              </w:rPr>
              <w:t xml:space="preserve">decision-making. This would allow DISR to better target education, information and compliance activities to </w:t>
            </w:r>
            <w:proofErr w:type="gramStart"/>
            <w:r w:rsidRPr="00C95953">
              <w:rPr>
                <w:bCs/>
              </w:rPr>
              <w:t>particular sectors</w:t>
            </w:r>
            <w:proofErr w:type="gramEnd"/>
            <w:r w:rsidRPr="00C95953">
              <w:rPr>
                <w:bCs/>
              </w:rPr>
              <w:t xml:space="preserve"> and locations. It would also support assessment of </w:t>
            </w:r>
            <w:proofErr w:type="gramStart"/>
            <w:r w:rsidRPr="00C95953">
              <w:rPr>
                <w:bCs/>
              </w:rPr>
              <w:t>whether or not</w:t>
            </w:r>
            <w:proofErr w:type="gramEnd"/>
            <w:r w:rsidRPr="00C95953">
              <w:rPr>
                <w:bCs/>
              </w:rPr>
              <w:t xml:space="preserve"> AIP Policy is achieving its intended </w:t>
            </w:r>
            <w:r w:rsidR="00F74F8C">
              <w:rPr>
                <w:bCs/>
              </w:rPr>
              <w:t xml:space="preserve">policy </w:t>
            </w:r>
            <w:r w:rsidRPr="00C95953">
              <w:rPr>
                <w:bCs/>
              </w:rPr>
              <w:t>outcomes.</w:t>
            </w:r>
          </w:p>
        </w:tc>
      </w:tr>
      <w:tr w:rsidR="00357756" w:rsidRPr="00F9549A" w14:paraId="7EE05B1E" w14:textId="77777777" w:rsidTr="008E12A7">
        <w:trPr>
          <w:cnfStyle w:val="000000100000" w:firstRow="0" w:lastRow="0" w:firstColumn="0" w:lastColumn="0" w:oddVBand="0" w:evenVBand="0" w:oddHBand="1" w:evenHBand="0" w:firstRowFirstColumn="0" w:firstRowLastColumn="0" w:lastRowFirstColumn="0" w:lastRowLastColumn="0"/>
        </w:trPr>
        <w:tc>
          <w:tcPr>
            <w:tcW w:w="5210" w:type="dxa"/>
            <w:shd w:val="clear" w:color="auto" w:fill="E9E9EA" w:themeFill="accent5" w:themeFillTint="33"/>
          </w:tcPr>
          <w:p w14:paraId="6DC8A633" w14:textId="64BF2EEC" w:rsidR="00357756" w:rsidRPr="00775007" w:rsidRDefault="00357756" w:rsidP="00A07FC3">
            <w:pPr>
              <w:pStyle w:val="Tabletext"/>
              <w:numPr>
                <w:ilvl w:val="0"/>
                <w:numId w:val="22"/>
              </w:numPr>
            </w:pPr>
            <w:r>
              <w:t xml:space="preserve">The </w:t>
            </w:r>
            <w:r w:rsidRPr="00F74F8C">
              <w:t>lack of a</w:t>
            </w:r>
            <w:bookmarkStart w:id="17" w:name="_Hlk132108416"/>
            <w:r w:rsidR="00147928" w:rsidRPr="00F74F8C">
              <w:t xml:space="preserve"> </w:t>
            </w:r>
            <w:r w:rsidR="004954C3" w:rsidRPr="00F74F8C">
              <w:t>monitoring and evaluation</w:t>
            </w:r>
            <w:r w:rsidRPr="00F74F8C">
              <w:t xml:space="preserve"> framework</w:t>
            </w:r>
            <w:r w:rsidRPr="00970285">
              <w:t xml:space="preserve"> </w:t>
            </w:r>
            <w:bookmarkEnd w:id="17"/>
            <w:r w:rsidRPr="00970285">
              <w:t xml:space="preserve">and fit-for-purpose data system make it difficult to clearly establish the extent to which AIP policy is achieving its </w:t>
            </w:r>
            <w:r w:rsidR="00993A7E">
              <w:t xml:space="preserve">policy </w:t>
            </w:r>
            <w:r w:rsidRPr="00970285">
              <w:t>outcomes.</w:t>
            </w:r>
          </w:p>
        </w:tc>
        <w:tc>
          <w:tcPr>
            <w:tcW w:w="4230" w:type="dxa"/>
            <w:shd w:val="clear" w:color="auto" w:fill="E9E9EA" w:themeFill="accent5" w:themeFillTint="33"/>
          </w:tcPr>
          <w:p w14:paraId="459CDB0D" w14:textId="6913F300" w:rsidR="00357756" w:rsidRPr="00970285" w:rsidRDefault="00357756" w:rsidP="00A07FC3">
            <w:pPr>
              <w:pStyle w:val="Tabletext"/>
              <w:rPr>
                <w:b/>
                <w:bCs/>
                <w:lang w:eastAsia="en-AU"/>
              </w:rPr>
            </w:pPr>
            <w:r w:rsidRPr="00970285">
              <w:rPr>
                <w:b/>
                <w:bCs/>
                <w:lang w:eastAsia="en-AU"/>
              </w:rPr>
              <w:t>Recommendation 1</w:t>
            </w:r>
            <w:r w:rsidR="00993A7E">
              <w:rPr>
                <w:b/>
                <w:bCs/>
                <w:lang w:eastAsia="en-AU"/>
              </w:rPr>
              <w:t>4</w:t>
            </w:r>
            <w:r w:rsidRPr="00970285">
              <w:rPr>
                <w:b/>
                <w:bCs/>
                <w:lang w:eastAsia="en-AU"/>
              </w:rPr>
              <w:t>:</w:t>
            </w:r>
          </w:p>
          <w:p w14:paraId="2D8C6A8C" w14:textId="4C7328E0" w:rsidR="00357756" w:rsidRPr="00775007" w:rsidRDefault="00357756" w:rsidP="00A07FC3">
            <w:pPr>
              <w:pStyle w:val="Tabletext"/>
              <w:rPr>
                <w:lang w:eastAsia="en-AU"/>
              </w:rPr>
            </w:pPr>
            <w:r w:rsidRPr="00970285">
              <w:rPr>
                <w:lang w:eastAsia="en-AU"/>
              </w:rPr>
              <w:t xml:space="preserve">That the AIP </w:t>
            </w:r>
            <w:r w:rsidR="0011663C" w:rsidRPr="00970285">
              <w:rPr>
                <w:lang w:eastAsia="en-AU"/>
              </w:rPr>
              <w:t>team</w:t>
            </w:r>
            <w:r w:rsidR="0011663C">
              <w:rPr>
                <w:lang w:eastAsia="en-AU"/>
              </w:rPr>
              <w:t>work</w:t>
            </w:r>
            <w:r w:rsidRPr="00970285">
              <w:rPr>
                <w:lang w:eastAsia="en-AU"/>
              </w:rPr>
              <w:t xml:space="preserve"> with the Analysis and Insights Division (AID) to finalise and implement a </w:t>
            </w:r>
            <w:r w:rsidRPr="00F74F8C">
              <w:rPr>
                <w:lang w:eastAsia="en-AU"/>
              </w:rPr>
              <w:t xml:space="preserve">monitoring </w:t>
            </w:r>
            <w:r w:rsidR="00757438" w:rsidRPr="00F74F8C">
              <w:rPr>
                <w:lang w:eastAsia="en-AU"/>
              </w:rPr>
              <w:t>and evaluation</w:t>
            </w:r>
            <w:r w:rsidR="00757438">
              <w:rPr>
                <w:lang w:eastAsia="en-AU"/>
              </w:rPr>
              <w:t xml:space="preserve"> </w:t>
            </w:r>
            <w:r w:rsidRPr="00970285">
              <w:rPr>
                <w:lang w:eastAsia="en-AU"/>
              </w:rPr>
              <w:t xml:space="preserve">framework </w:t>
            </w:r>
            <w:r w:rsidR="00993A7E">
              <w:rPr>
                <w:lang w:eastAsia="en-AU"/>
              </w:rPr>
              <w:t xml:space="preserve">as a priority </w:t>
            </w:r>
            <w:r w:rsidRPr="00970285">
              <w:rPr>
                <w:lang w:eastAsia="en-AU"/>
              </w:rPr>
              <w:t>to support the ongoing assessment of AIP outcomes.</w:t>
            </w:r>
          </w:p>
        </w:tc>
      </w:tr>
      <w:tr w:rsidR="00357756" w:rsidRPr="00F9549A" w14:paraId="07111148" w14:textId="77777777" w:rsidTr="008E12A7">
        <w:trPr>
          <w:cnfStyle w:val="000000010000" w:firstRow="0" w:lastRow="0" w:firstColumn="0" w:lastColumn="0" w:oddVBand="0" w:evenVBand="0" w:oddHBand="0" w:evenHBand="1" w:firstRowFirstColumn="0" w:firstRowLastColumn="0" w:lastRowFirstColumn="0" w:lastRowLastColumn="0"/>
        </w:trPr>
        <w:tc>
          <w:tcPr>
            <w:tcW w:w="5210" w:type="dxa"/>
            <w:shd w:val="clear" w:color="auto" w:fill="C3E8EC" w:themeFill="accent3" w:themeFillTint="99"/>
          </w:tcPr>
          <w:p w14:paraId="7F3989E2" w14:textId="082D6081" w:rsidR="00357756" w:rsidRPr="00775007" w:rsidRDefault="00357756" w:rsidP="00A07FC3">
            <w:pPr>
              <w:pStyle w:val="Tabletext"/>
              <w:rPr>
                <w:b/>
                <w:bCs/>
              </w:rPr>
            </w:pPr>
            <w:r>
              <w:rPr>
                <w:b/>
                <w:bCs/>
              </w:rPr>
              <w:t>Outcomes</w:t>
            </w:r>
          </w:p>
        </w:tc>
        <w:tc>
          <w:tcPr>
            <w:tcW w:w="4230" w:type="dxa"/>
            <w:shd w:val="clear" w:color="auto" w:fill="C3E8EC" w:themeFill="accent3" w:themeFillTint="99"/>
          </w:tcPr>
          <w:p w14:paraId="5D6BAE78" w14:textId="77777777" w:rsidR="00357756" w:rsidRDefault="00357756" w:rsidP="00A07FC3">
            <w:pPr>
              <w:pStyle w:val="Tabletext"/>
              <w:rPr>
                <w:b/>
                <w:lang w:eastAsia="en-AU"/>
              </w:rPr>
            </w:pPr>
          </w:p>
        </w:tc>
      </w:tr>
      <w:tr w:rsidR="00357756" w:rsidRPr="00F9549A" w14:paraId="72B58C95" w14:textId="77777777" w:rsidTr="008E12A7">
        <w:trPr>
          <w:cnfStyle w:val="000000100000" w:firstRow="0" w:lastRow="0" w:firstColumn="0" w:lastColumn="0" w:oddVBand="0" w:evenVBand="0" w:oddHBand="1" w:evenHBand="0" w:firstRowFirstColumn="0" w:firstRowLastColumn="0" w:lastRowFirstColumn="0" w:lastRowLastColumn="0"/>
        </w:trPr>
        <w:tc>
          <w:tcPr>
            <w:tcW w:w="5210" w:type="dxa"/>
            <w:shd w:val="clear" w:color="auto" w:fill="FFFFFF" w:themeFill="background1"/>
          </w:tcPr>
          <w:p w14:paraId="3CE56CEE" w14:textId="33C29F5C" w:rsidR="00357756" w:rsidRDefault="00357756" w:rsidP="00A07FC3">
            <w:pPr>
              <w:pStyle w:val="Tabletext"/>
              <w:numPr>
                <w:ilvl w:val="0"/>
                <w:numId w:val="22"/>
              </w:numPr>
            </w:pPr>
            <w:r w:rsidRPr="00F74F8C">
              <w:t>There is evidence that</w:t>
            </w:r>
            <w:r w:rsidRPr="00372381">
              <w:t xml:space="preserve"> proponents’ awareness of Australian supplier capability has increased, and that AIP Policy has contributed to this outcome.</w:t>
            </w:r>
          </w:p>
        </w:tc>
        <w:tc>
          <w:tcPr>
            <w:tcW w:w="4230" w:type="dxa"/>
            <w:shd w:val="clear" w:color="auto" w:fill="FFFFFF" w:themeFill="background1"/>
          </w:tcPr>
          <w:p w14:paraId="4890B67C" w14:textId="77777777" w:rsidR="00357756" w:rsidRPr="00372381" w:rsidRDefault="00357756" w:rsidP="00A07FC3">
            <w:pPr>
              <w:pStyle w:val="Tabletext"/>
              <w:rPr>
                <w:b/>
                <w:bCs/>
                <w:lang w:eastAsia="en-AU"/>
              </w:rPr>
            </w:pPr>
          </w:p>
        </w:tc>
      </w:tr>
      <w:tr w:rsidR="00357756" w:rsidRPr="00F9549A" w14:paraId="41490A86" w14:textId="77777777" w:rsidTr="008E12A7">
        <w:trPr>
          <w:cnfStyle w:val="000000010000" w:firstRow="0" w:lastRow="0" w:firstColumn="0" w:lastColumn="0" w:oddVBand="0" w:evenVBand="0" w:oddHBand="0" w:evenHBand="1" w:firstRowFirstColumn="0" w:firstRowLastColumn="0" w:lastRowFirstColumn="0" w:lastRowLastColumn="0"/>
        </w:trPr>
        <w:tc>
          <w:tcPr>
            <w:tcW w:w="5210" w:type="dxa"/>
            <w:shd w:val="clear" w:color="auto" w:fill="E9E9EA" w:themeFill="accent5" w:themeFillTint="33"/>
          </w:tcPr>
          <w:p w14:paraId="625CDDFF" w14:textId="20D2891B" w:rsidR="00357756" w:rsidRDefault="00357756" w:rsidP="00A07FC3">
            <w:pPr>
              <w:pStyle w:val="Tabletext"/>
              <w:numPr>
                <w:ilvl w:val="0"/>
                <w:numId w:val="22"/>
              </w:numPr>
            </w:pPr>
            <w:r>
              <w:t xml:space="preserve">There </w:t>
            </w:r>
            <w:r w:rsidRPr="00372381">
              <w:t xml:space="preserve">is </w:t>
            </w:r>
            <w:r w:rsidRPr="00F74F8C">
              <w:t>evidence that Australian suppliers have an increased awareness of opportunities</w:t>
            </w:r>
            <w:r w:rsidRPr="00372381">
              <w:t>. It is unclear the extent to which these changes are being driven by AIP policy.</w:t>
            </w:r>
          </w:p>
        </w:tc>
        <w:tc>
          <w:tcPr>
            <w:tcW w:w="4230" w:type="dxa"/>
            <w:shd w:val="clear" w:color="auto" w:fill="E9E9EA" w:themeFill="accent5" w:themeFillTint="33"/>
          </w:tcPr>
          <w:p w14:paraId="1FBD6E9C" w14:textId="77777777" w:rsidR="00357756" w:rsidRPr="00372381" w:rsidRDefault="00357756" w:rsidP="00A07FC3">
            <w:pPr>
              <w:pStyle w:val="Tabletext"/>
              <w:rPr>
                <w:b/>
                <w:bCs/>
                <w:lang w:eastAsia="en-AU"/>
              </w:rPr>
            </w:pPr>
          </w:p>
        </w:tc>
      </w:tr>
      <w:tr w:rsidR="00357756" w:rsidRPr="00F9549A" w14:paraId="4186DDD9" w14:textId="77777777" w:rsidTr="008E12A7">
        <w:trPr>
          <w:cnfStyle w:val="000000100000" w:firstRow="0" w:lastRow="0" w:firstColumn="0" w:lastColumn="0" w:oddVBand="0" w:evenVBand="0" w:oddHBand="1" w:evenHBand="0" w:firstRowFirstColumn="0" w:firstRowLastColumn="0" w:lastRowFirstColumn="0" w:lastRowLastColumn="0"/>
        </w:trPr>
        <w:tc>
          <w:tcPr>
            <w:tcW w:w="5210" w:type="dxa"/>
            <w:shd w:val="clear" w:color="auto" w:fill="auto"/>
          </w:tcPr>
          <w:p w14:paraId="7672335B" w14:textId="3F4D4967" w:rsidR="00357756" w:rsidRDefault="00357756" w:rsidP="00A07FC3">
            <w:pPr>
              <w:pStyle w:val="Tabletext"/>
              <w:numPr>
                <w:ilvl w:val="0"/>
                <w:numId w:val="22"/>
              </w:numPr>
            </w:pPr>
            <w:r>
              <w:t xml:space="preserve">Evidence </w:t>
            </w:r>
            <w:bookmarkStart w:id="18" w:name="_Hlk129275703"/>
            <w:r w:rsidRPr="00973F88">
              <w:t>from proponents indicates that they are providing opportunities for feedback to suppliers. Separately, suppliers surveyed indicate that</w:t>
            </w:r>
            <w:r>
              <w:t xml:space="preserve"> </w:t>
            </w:r>
            <w:r w:rsidRPr="009A2E82">
              <w:t>they are not receiving feedback, however, it is not known whether these suppliers are connected to projects with AIP plans in place.</w:t>
            </w:r>
            <w:bookmarkEnd w:id="18"/>
          </w:p>
        </w:tc>
        <w:tc>
          <w:tcPr>
            <w:tcW w:w="4230" w:type="dxa"/>
            <w:shd w:val="clear" w:color="auto" w:fill="auto"/>
          </w:tcPr>
          <w:p w14:paraId="2DC9069F" w14:textId="438DD35F" w:rsidR="00357756" w:rsidRPr="00372381" w:rsidRDefault="00357756" w:rsidP="00A07FC3">
            <w:pPr>
              <w:pStyle w:val="Tabletext"/>
              <w:rPr>
                <w:b/>
                <w:bCs/>
                <w:lang w:eastAsia="en-AU"/>
              </w:rPr>
            </w:pPr>
            <w:r w:rsidRPr="00372381">
              <w:rPr>
                <w:b/>
                <w:bCs/>
                <w:lang w:eastAsia="en-AU"/>
              </w:rPr>
              <w:t>Recommendation 1</w:t>
            </w:r>
            <w:r w:rsidR="00993A7E">
              <w:rPr>
                <w:b/>
                <w:bCs/>
                <w:lang w:eastAsia="en-AU"/>
              </w:rPr>
              <w:t>5</w:t>
            </w:r>
            <w:r w:rsidRPr="00372381">
              <w:rPr>
                <w:b/>
                <w:bCs/>
                <w:lang w:eastAsia="en-AU"/>
              </w:rPr>
              <w:t>:</w:t>
            </w:r>
          </w:p>
          <w:p w14:paraId="162917E8" w14:textId="7A08A99F" w:rsidR="00357756" w:rsidRPr="00775007" w:rsidRDefault="00357756" w:rsidP="00A07FC3">
            <w:pPr>
              <w:pStyle w:val="Tabletext"/>
              <w:rPr>
                <w:lang w:eastAsia="en-AU"/>
              </w:rPr>
            </w:pPr>
            <w:r w:rsidRPr="00973F88">
              <w:rPr>
                <w:lang w:eastAsia="en-AU"/>
              </w:rPr>
              <w:t>That DISR increase communication and promotion to give greater emphasis on providing</w:t>
            </w:r>
            <w:r>
              <w:rPr>
                <w:lang w:eastAsia="en-AU"/>
              </w:rPr>
              <w:t xml:space="preserve"> </w:t>
            </w:r>
            <w:r w:rsidRPr="00973F88">
              <w:rPr>
                <w:lang w:eastAsia="en-AU"/>
              </w:rPr>
              <w:t>feedback and consider including activities such as industry forums, training packages for industry, as well as a community of practice within the APS. It could also include elements of positive promotion, such as best practice examples.</w:t>
            </w:r>
          </w:p>
        </w:tc>
      </w:tr>
      <w:tr w:rsidR="00357756" w:rsidRPr="00F9549A" w14:paraId="2F93C63E" w14:textId="77777777" w:rsidTr="008E12A7">
        <w:trPr>
          <w:cnfStyle w:val="000000010000" w:firstRow="0" w:lastRow="0" w:firstColumn="0" w:lastColumn="0" w:oddVBand="0" w:evenVBand="0" w:oddHBand="0" w:evenHBand="1" w:firstRowFirstColumn="0" w:firstRowLastColumn="0" w:lastRowFirstColumn="0" w:lastRowLastColumn="0"/>
        </w:trPr>
        <w:tc>
          <w:tcPr>
            <w:tcW w:w="5210" w:type="dxa"/>
            <w:shd w:val="clear" w:color="auto" w:fill="E9E9EA" w:themeFill="accent5" w:themeFillTint="33"/>
          </w:tcPr>
          <w:p w14:paraId="057C3446" w14:textId="582096D2" w:rsidR="00357756" w:rsidRDefault="00357756" w:rsidP="00A07FC3">
            <w:pPr>
              <w:pStyle w:val="Tabletext"/>
              <w:numPr>
                <w:ilvl w:val="0"/>
                <w:numId w:val="22"/>
              </w:numPr>
            </w:pPr>
            <w:r w:rsidRPr="00544EFE">
              <w:rPr>
                <w:bCs/>
                <w:lang w:eastAsia="en-AU"/>
              </w:rPr>
              <w:t xml:space="preserve">Vendor Identification Agencies (VIAs), including </w:t>
            </w:r>
            <w:r w:rsidR="00B2750F">
              <w:rPr>
                <w:bCs/>
                <w:lang w:eastAsia="en-AU"/>
              </w:rPr>
              <w:t>the</w:t>
            </w:r>
            <w:r w:rsidRPr="00544EFE">
              <w:rPr>
                <w:bCs/>
                <w:lang w:eastAsia="en-AU"/>
              </w:rPr>
              <w:t xml:space="preserve"> Industry Capability Network (ICN), play an important role in capability matching and awareness of opportunities. Most ICN users found </w:t>
            </w:r>
            <w:r w:rsidR="0099470C">
              <w:rPr>
                <w:bCs/>
                <w:lang w:eastAsia="en-AU"/>
              </w:rPr>
              <w:t>the ICN</w:t>
            </w:r>
            <w:r w:rsidR="0099470C" w:rsidRPr="00544EFE">
              <w:rPr>
                <w:bCs/>
                <w:lang w:eastAsia="en-AU"/>
              </w:rPr>
              <w:t xml:space="preserve"> </w:t>
            </w:r>
            <w:r w:rsidRPr="00544EFE">
              <w:rPr>
                <w:bCs/>
                <w:lang w:eastAsia="en-AU"/>
              </w:rPr>
              <w:t>to be useful, although services vary by jurisdiction and some suppliers considered the cost of using ICN to be a barrier.</w:t>
            </w:r>
          </w:p>
        </w:tc>
        <w:tc>
          <w:tcPr>
            <w:tcW w:w="4230" w:type="dxa"/>
            <w:shd w:val="clear" w:color="auto" w:fill="E9E9EA" w:themeFill="accent5" w:themeFillTint="33"/>
          </w:tcPr>
          <w:p w14:paraId="3B018244" w14:textId="1B337AFB" w:rsidR="00357756" w:rsidRPr="00800BC8" w:rsidRDefault="00357756" w:rsidP="00A07FC3">
            <w:pPr>
              <w:pStyle w:val="Tabletext"/>
              <w:rPr>
                <w:b/>
                <w:bCs/>
                <w:lang w:eastAsia="en-AU"/>
              </w:rPr>
            </w:pPr>
            <w:r w:rsidRPr="00800BC8">
              <w:rPr>
                <w:b/>
                <w:bCs/>
                <w:lang w:eastAsia="en-AU"/>
              </w:rPr>
              <w:t xml:space="preserve">Recommendation </w:t>
            </w:r>
            <w:r>
              <w:rPr>
                <w:b/>
                <w:bCs/>
                <w:lang w:eastAsia="en-AU"/>
              </w:rPr>
              <w:t>1</w:t>
            </w:r>
            <w:r w:rsidR="00993A7E">
              <w:rPr>
                <w:b/>
                <w:bCs/>
                <w:lang w:eastAsia="en-AU"/>
              </w:rPr>
              <w:t>6</w:t>
            </w:r>
            <w:r w:rsidRPr="00800BC8">
              <w:rPr>
                <w:b/>
                <w:bCs/>
                <w:lang w:eastAsia="en-AU"/>
              </w:rPr>
              <w:t>:</w:t>
            </w:r>
          </w:p>
          <w:p w14:paraId="43EF2D51" w14:textId="665B1707" w:rsidR="00357756" w:rsidRDefault="00357756" w:rsidP="00A07FC3">
            <w:pPr>
              <w:pStyle w:val="Tabletext"/>
              <w:rPr>
                <w:lang w:eastAsia="en-AU"/>
              </w:rPr>
            </w:pPr>
            <w:r w:rsidRPr="00800BC8">
              <w:rPr>
                <w:lang w:eastAsia="en-AU"/>
              </w:rPr>
              <w:t xml:space="preserve">That DISR encourage the use and awareness of VIAs by project </w:t>
            </w:r>
            <w:r w:rsidRPr="00D36982">
              <w:rPr>
                <w:lang w:eastAsia="en-AU"/>
              </w:rPr>
              <w:t xml:space="preserve">proponents and suppliers in </w:t>
            </w:r>
            <w:r w:rsidR="0099470C" w:rsidRPr="00D36982">
              <w:rPr>
                <w:lang w:eastAsia="en-AU"/>
              </w:rPr>
              <w:t xml:space="preserve">preparing and </w:t>
            </w:r>
            <w:r w:rsidRPr="00D36982">
              <w:rPr>
                <w:lang w:eastAsia="en-AU"/>
              </w:rPr>
              <w:t>implementing AIP plans.</w:t>
            </w:r>
          </w:p>
          <w:p w14:paraId="08EE0DCA" w14:textId="77777777" w:rsidR="00357756" w:rsidRPr="00775007" w:rsidRDefault="00357756" w:rsidP="00A07FC3">
            <w:pPr>
              <w:pStyle w:val="Tabletext"/>
              <w:rPr>
                <w:lang w:eastAsia="en-AU"/>
              </w:rPr>
            </w:pPr>
          </w:p>
        </w:tc>
      </w:tr>
      <w:tr w:rsidR="00357756" w:rsidRPr="00F9549A" w14:paraId="605C1C1C" w14:textId="77777777" w:rsidTr="008E12A7">
        <w:trPr>
          <w:cnfStyle w:val="000000100000" w:firstRow="0" w:lastRow="0" w:firstColumn="0" w:lastColumn="0" w:oddVBand="0" w:evenVBand="0" w:oddHBand="1" w:evenHBand="0" w:firstRowFirstColumn="0" w:firstRowLastColumn="0" w:lastRowFirstColumn="0" w:lastRowLastColumn="0"/>
        </w:trPr>
        <w:tc>
          <w:tcPr>
            <w:tcW w:w="5210" w:type="dxa"/>
            <w:shd w:val="clear" w:color="auto" w:fill="auto"/>
          </w:tcPr>
          <w:p w14:paraId="25DF4EBD" w14:textId="53155BCD" w:rsidR="00357756" w:rsidRDefault="00357756" w:rsidP="00A07FC3">
            <w:pPr>
              <w:pStyle w:val="Tabletext"/>
              <w:numPr>
                <w:ilvl w:val="0"/>
                <w:numId w:val="22"/>
              </w:numPr>
            </w:pPr>
            <w:r>
              <w:t xml:space="preserve">A </w:t>
            </w:r>
            <w:r w:rsidRPr="00372381">
              <w:t>small number of stakeholders indicated they experienced unexpected benefits of AIP, including building better connections between suppliers and proponents.</w:t>
            </w:r>
          </w:p>
        </w:tc>
        <w:tc>
          <w:tcPr>
            <w:tcW w:w="4230" w:type="dxa"/>
            <w:shd w:val="clear" w:color="auto" w:fill="auto"/>
          </w:tcPr>
          <w:p w14:paraId="02DC8161" w14:textId="4BAB00B4" w:rsidR="00357756" w:rsidRDefault="00357756" w:rsidP="00A07FC3">
            <w:pPr>
              <w:pStyle w:val="Tabletext"/>
              <w:rPr>
                <w:b/>
                <w:lang w:eastAsia="en-AU"/>
              </w:rPr>
            </w:pPr>
          </w:p>
        </w:tc>
      </w:tr>
      <w:tr w:rsidR="00357756" w:rsidRPr="00F9549A" w14:paraId="72B4E93B" w14:textId="77777777" w:rsidTr="008E12A7">
        <w:trPr>
          <w:cnfStyle w:val="000000010000" w:firstRow="0" w:lastRow="0" w:firstColumn="0" w:lastColumn="0" w:oddVBand="0" w:evenVBand="0" w:oddHBand="0" w:evenHBand="1" w:firstRowFirstColumn="0" w:firstRowLastColumn="0" w:lastRowFirstColumn="0" w:lastRowLastColumn="0"/>
        </w:trPr>
        <w:tc>
          <w:tcPr>
            <w:tcW w:w="5210" w:type="dxa"/>
            <w:shd w:val="clear" w:color="auto" w:fill="E9E9EA" w:themeFill="accent5" w:themeFillTint="33"/>
          </w:tcPr>
          <w:p w14:paraId="74094376" w14:textId="2B632624" w:rsidR="00357756" w:rsidRDefault="00357756" w:rsidP="00A07FC3">
            <w:pPr>
              <w:pStyle w:val="Tabletext"/>
              <w:numPr>
                <w:ilvl w:val="0"/>
                <w:numId w:val="22"/>
              </w:numPr>
            </w:pPr>
            <w:r>
              <w:t xml:space="preserve">A </w:t>
            </w:r>
            <w:r w:rsidRPr="00372381">
              <w:t xml:space="preserve">small number of stakeholders experienced unexpected negative </w:t>
            </w:r>
            <w:r w:rsidRPr="00D36982">
              <w:t>consequences</w:t>
            </w:r>
            <w:r w:rsidR="00DE2F2C" w:rsidRPr="00D36982">
              <w:t xml:space="preserve"> </w:t>
            </w:r>
            <w:r w:rsidR="000E4F69" w:rsidRPr="00D36982">
              <w:t>or challenges from AIP requirements, including compliance costs</w:t>
            </w:r>
            <w:r w:rsidR="00D36982">
              <w:t xml:space="preserve"> and a perception that some proponents </w:t>
            </w:r>
            <w:r w:rsidR="001B1700">
              <w:t xml:space="preserve">treat </w:t>
            </w:r>
            <w:r w:rsidR="00D36982">
              <w:t>AIP plans as a box ticking exercise.</w:t>
            </w:r>
          </w:p>
        </w:tc>
        <w:tc>
          <w:tcPr>
            <w:tcW w:w="4230" w:type="dxa"/>
            <w:shd w:val="clear" w:color="auto" w:fill="E9E9EA" w:themeFill="accent5" w:themeFillTint="33"/>
          </w:tcPr>
          <w:p w14:paraId="226E0B51" w14:textId="77777777" w:rsidR="00357756" w:rsidRDefault="00357756" w:rsidP="00A07FC3">
            <w:pPr>
              <w:pStyle w:val="Tabletext"/>
              <w:rPr>
                <w:b/>
                <w:lang w:eastAsia="en-AU"/>
              </w:rPr>
            </w:pPr>
          </w:p>
        </w:tc>
      </w:tr>
    </w:tbl>
    <w:p w14:paraId="0152ABC3" w14:textId="67E05CE3" w:rsidR="00DA2376" w:rsidRPr="00865F98" w:rsidRDefault="00DA2376" w:rsidP="00C0682A">
      <w:pPr>
        <w:pStyle w:val="Heading1"/>
        <w:numPr>
          <w:ilvl w:val="0"/>
          <w:numId w:val="28"/>
        </w:numPr>
      </w:pPr>
      <w:bookmarkStart w:id="19" w:name="_Toc127440369"/>
      <w:bookmarkEnd w:id="13"/>
      <w:r>
        <w:br w:type="page"/>
      </w:r>
      <w:bookmarkStart w:id="20" w:name="_Toc174018016"/>
      <w:r w:rsidR="00CD7EDD">
        <w:lastRenderedPageBreak/>
        <w:t>Introduction</w:t>
      </w:r>
      <w:bookmarkEnd w:id="19"/>
      <w:bookmarkEnd w:id="20"/>
    </w:p>
    <w:p w14:paraId="6DDCDF26" w14:textId="0B14D95D" w:rsidR="00FB3E9B" w:rsidRPr="00FB3E9B" w:rsidRDefault="00FB3E9B" w:rsidP="00C0682A">
      <w:pPr>
        <w:pStyle w:val="Heading2"/>
        <w:rPr>
          <w:rStyle w:val="Heading2Char"/>
          <w:b/>
          <w:bCs/>
        </w:rPr>
      </w:pPr>
      <w:bookmarkStart w:id="21" w:name="_Toc174018017"/>
      <w:r w:rsidRPr="00FB3E9B">
        <w:rPr>
          <w:rStyle w:val="Heading2Char"/>
          <w:b/>
          <w:bCs/>
        </w:rPr>
        <w:t xml:space="preserve">Australian Industry Participation (AIP) </w:t>
      </w:r>
      <w:r w:rsidR="00B56A8E">
        <w:rPr>
          <w:rStyle w:val="Heading2Char"/>
          <w:b/>
          <w:bCs/>
        </w:rPr>
        <w:t>p</w:t>
      </w:r>
      <w:r w:rsidRPr="00FB3E9B">
        <w:rPr>
          <w:rStyle w:val="Heading2Char"/>
          <w:b/>
          <w:bCs/>
        </w:rPr>
        <w:t>olicy</w:t>
      </w:r>
      <w:bookmarkEnd w:id="21"/>
    </w:p>
    <w:p w14:paraId="7CCC2FB9" w14:textId="400A6717" w:rsidR="003F00E8" w:rsidRDefault="003F00E8" w:rsidP="00E41BCD">
      <w:pPr>
        <w:pStyle w:val="Heading3"/>
        <w:numPr>
          <w:ilvl w:val="0"/>
          <w:numId w:val="0"/>
        </w:numPr>
      </w:pPr>
      <w:r>
        <w:t>Background</w:t>
      </w:r>
    </w:p>
    <w:p w14:paraId="22135CAB" w14:textId="1A06CF17" w:rsidR="00403328" w:rsidRPr="00403328" w:rsidRDefault="00B90097" w:rsidP="00403328">
      <w:pPr>
        <w:pStyle w:val="BodyText"/>
        <w:rPr>
          <w:szCs w:val="20"/>
        </w:rPr>
      </w:pPr>
      <w:r>
        <w:rPr>
          <w:szCs w:val="20"/>
        </w:rPr>
        <w:t xml:space="preserve">The </w:t>
      </w:r>
      <w:r w:rsidR="00403328" w:rsidRPr="00403328">
        <w:rPr>
          <w:szCs w:val="20"/>
        </w:rPr>
        <w:t>AIP policy and associated requirements</w:t>
      </w:r>
      <w:r w:rsidR="00E56388">
        <w:rPr>
          <w:szCs w:val="20"/>
        </w:rPr>
        <w:t xml:space="preserve"> aim to</w:t>
      </w:r>
      <w:r w:rsidR="00403328" w:rsidRPr="00403328">
        <w:rPr>
          <w:szCs w:val="20"/>
        </w:rPr>
        <w:t xml:space="preserve"> ensure </w:t>
      </w:r>
      <w:r w:rsidR="00403328" w:rsidRPr="0072169C">
        <w:rPr>
          <w:i/>
          <w:szCs w:val="20"/>
        </w:rPr>
        <w:t>full</w:t>
      </w:r>
      <w:r w:rsidR="00403328" w:rsidRPr="00403328">
        <w:rPr>
          <w:szCs w:val="20"/>
        </w:rPr>
        <w:t xml:space="preserve">, </w:t>
      </w:r>
      <w:proofErr w:type="gramStart"/>
      <w:r w:rsidR="00403328" w:rsidRPr="0072169C">
        <w:rPr>
          <w:i/>
          <w:szCs w:val="20"/>
        </w:rPr>
        <w:t>fair</w:t>
      </w:r>
      <w:proofErr w:type="gramEnd"/>
      <w:r w:rsidR="00403328" w:rsidRPr="00403328">
        <w:rPr>
          <w:szCs w:val="20"/>
        </w:rPr>
        <w:t xml:space="preserve"> and </w:t>
      </w:r>
      <w:r w:rsidR="00403328" w:rsidRPr="0072169C">
        <w:rPr>
          <w:i/>
          <w:szCs w:val="20"/>
        </w:rPr>
        <w:t>reasonable</w:t>
      </w:r>
      <w:r w:rsidR="00403328" w:rsidRPr="00403328">
        <w:rPr>
          <w:szCs w:val="20"/>
        </w:rPr>
        <w:t xml:space="preserve"> opportunity for Australian industry to compete for work</w:t>
      </w:r>
      <w:r w:rsidR="0072169C" w:rsidRPr="0072169C">
        <w:t xml:space="preserve"> </w:t>
      </w:r>
      <w:r w:rsidR="0072169C" w:rsidRPr="0072169C">
        <w:rPr>
          <w:szCs w:val="20"/>
        </w:rPr>
        <w:t>as subcontractors in major private and public projects</w:t>
      </w:r>
      <w:r w:rsidR="00403328" w:rsidRPr="00403328">
        <w:rPr>
          <w:szCs w:val="20"/>
        </w:rPr>
        <w:t>. These concepts are defined</w:t>
      </w:r>
      <w:r w:rsidR="00365705">
        <w:rPr>
          <w:szCs w:val="20"/>
        </w:rPr>
        <w:t xml:space="preserve"> as</w:t>
      </w:r>
      <w:r w:rsidR="00365705">
        <w:rPr>
          <w:rStyle w:val="FootnoteReference"/>
          <w:szCs w:val="20"/>
        </w:rPr>
        <w:footnoteReference w:id="2"/>
      </w:r>
      <w:r w:rsidR="00403328" w:rsidRPr="00403328">
        <w:rPr>
          <w:szCs w:val="20"/>
        </w:rPr>
        <w:t>:</w:t>
      </w:r>
    </w:p>
    <w:p w14:paraId="5BD6C896" w14:textId="6A2106E1" w:rsidR="00403328" w:rsidRPr="001D127E" w:rsidRDefault="00403328" w:rsidP="00970285">
      <w:pPr>
        <w:pStyle w:val="BodyText"/>
        <w:numPr>
          <w:ilvl w:val="0"/>
          <w:numId w:val="14"/>
        </w:numPr>
        <w:rPr>
          <w:rFonts w:ascii="Arial" w:hAnsi="Arial" w:cs="Arial"/>
          <w:szCs w:val="20"/>
        </w:rPr>
      </w:pPr>
      <w:r w:rsidRPr="001D127E">
        <w:rPr>
          <w:rFonts w:ascii="Arial" w:hAnsi="Arial" w:cs="Arial"/>
          <w:b/>
          <w:bCs/>
          <w:szCs w:val="20"/>
        </w:rPr>
        <w:t>Full</w:t>
      </w:r>
      <w:r w:rsidRPr="001D127E">
        <w:rPr>
          <w:rFonts w:ascii="Arial" w:hAnsi="Arial" w:cs="Arial"/>
          <w:szCs w:val="20"/>
        </w:rPr>
        <w:t xml:space="preserve">: Australian industry has the same opportunity afforded to </w:t>
      </w:r>
      <w:r w:rsidR="00365705" w:rsidRPr="001D127E">
        <w:rPr>
          <w:rFonts w:ascii="Arial" w:hAnsi="Arial" w:cs="Arial"/>
          <w:szCs w:val="20"/>
        </w:rPr>
        <w:t>global</w:t>
      </w:r>
      <w:r w:rsidRPr="001D127E">
        <w:rPr>
          <w:rFonts w:ascii="Arial" w:hAnsi="Arial" w:cs="Arial"/>
          <w:szCs w:val="20"/>
        </w:rPr>
        <w:t xml:space="preserve"> supply chain partners to participate in all aspects of an investment project (</w:t>
      </w:r>
      <w:r w:rsidR="00453488" w:rsidRPr="001D127E">
        <w:rPr>
          <w:rFonts w:ascii="Arial" w:hAnsi="Arial" w:cs="Arial"/>
          <w:szCs w:val="20"/>
        </w:rPr>
        <w:t>for example</w:t>
      </w:r>
      <w:r w:rsidRPr="001D127E">
        <w:rPr>
          <w:rFonts w:ascii="Arial" w:hAnsi="Arial" w:cs="Arial"/>
          <w:szCs w:val="20"/>
        </w:rPr>
        <w:t xml:space="preserve"> design, engineering, project management, professional services, and IT architecture). </w:t>
      </w:r>
    </w:p>
    <w:p w14:paraId="59DA12BC" w14:textId="3D599571" w:rsidR="00403328" w:rsidRPr="001D127E" w:rsidRDefault="00403328" w:rsidP="00970285">
      <w:pPr>
        <w:pStyle w:val="BodyText"/>
        <w:numPr>
          <w:ilvl w:val="0"/>
          <w:numId w:val="14"/>
        </w:numPr>
        <w:rPr>
          <w:rFonts w:ascii="Arial" w:hAnsi="Arial" w:cs="Arial"/>
          <w:szCs w:val="20"/>
        </w:rPr>
      </w:pPr>
      <w:r w:rsidRPr="001D127E">
        <w:rPr>
          <w:rFonts w:ascii="Arial" w:hAnsi="Arial" w:cs="Arial"/>
          <w:b/>
          <w:bCs/>
          <w:szCs w:val="20"/>
        </w:rPr>
        <w:t>Fair</w:t>
      </w:r>
      <w:r w:rsidRPr="001D127E">
        <w:rPr>
          <w:rFonts w:ascii="Arial" w:hAnsi="Arial" w:cs="Arial"/>
          <w:szCs w:val="20"/>
        </w:rPr>
        <w:t xml:space="preserve">: Australian industry is provided the same opportunity as </w:t>
      </w:r>
      <w:r w:rsidR="00365705" w:rsidRPr="001D127E">
        <w:rPr>
          <w:rFonts w:ascii="Arial" w:hAnsi="Arial" w:cs="Arial"/>
          <w:szCs w:val="20"/>
        </w:rPr>
        <w:t>global</w:t>
      </w:r>
      <w:r w:rsidR="00E56388" w:rsidRPr="001D127E">
        <w:rPr>
          <w:rFonts w:ascii="Arial" w:hAnsi="Arial" w:cs="Arial"/>
          <w:szCs w:val="20"/>
        </w:rPr>
        <w:t xml:space="preserve"> </w:t>
      </w:r>
      <w:r w:rsidRPr="001D127E">
        <w:rPr>
          <w:rFonts w:ascii="Arial" w:hAnsi="Arial" w:cs="Arial"/>
          <w:szCs w:val="20"/>
        </w:rPr>
        <w:t xml:space="preserve">suppliers to compete on investment projects on an equal and transparent basis, including being given reasonable time in which to tender. </w:t>
      </w:r>
    </w:p>
    <w:p w14:paraId="3F8E4869" w14:textId="3011123E" w:rsidR="001513E4" w:rsidRPr="001513E4" w:rsidRDefault="00403328" w:rsidP="001513E4">
      <w:pPr>
        <w:pStyle w:val="BodyText"/>
        <w:numPr>
          <w:ilvl w:val="0"/>
          <w:numId w:val="14"/>
        </w:numPr>
        <w:rPr>
          <w:szCs w:val="20"/>
        </w:rPr>
      </w:pPr>
      <w:r w:rsidRPr="001D127E">
        <w:rPr>
          <w:b/>
          <w:bCs/>
          <w:szCs w:val="20"/>
        </w:rPr>
        <w:t>Reasonable</w:t>
      </w:r>
      <w:r w:rsidRPr="001D127E">
        <w:rPr>
          <w:szCs w:val="20"/>
        </w:rPr>
        <w:t>: tenders are free from non-market burdens that might rule out Australian industry and are structured in such a way as to provide Australian industries the opportunity to participate in projects.</w:t>
      </w:r>
    </w:p>
    <w:p w14:paraId="368A5E14" w14:textId="79B78BD5" w:rsidR="0085728B" w:rsidRDefault="00403328" w:rsidP="00403328">
      <w:pPr>
        <w:pStyle w:val="BodyText"/>
        <w:rPr>
          <w:szCs w:val="20"/>
        </w:rPr>
      </w:pPr>
      <w:r w:rsidRPr="00403328">
        <w:rPr>
          <w:szCs w:val="20"/>
        </w:rPr>
        <w:t xml:space="preserve">AIP policy </w:t>
      </w:r>
      <w:bookmarkStart w:id="22" w:name="_Hlk131155464"/>
      <w:r w:rsidR="00E447AC" w:rsidRPr="00E447AC">
        <w:rPr>
          <w:szCs w:val="20"/>
        </w:rPr>
        <w:t xml:space="preserve">gives effect to the principles outlined </w:t>
      </w:r>
      <w:r w:rsidR="00E447AC">
        <w:rPr>
          <w:szCs w:val="20"/>
        </w:rPr>
        <w:t>in</w:t>
      </w:r>
      <w:r w:rsidRPr="00403328">
        <w:rPr>
          <w:szCs w:val="20"/>
        </w:rPr>
        <w:t xml:space="preserve"> the AIP National Framework, signed in 2001 by all Commonwealth, </w:t>
      </w:r>
      <w:r w:rsidR="00E56388">
        <w:rPr>
          <w:szCs w:val="20"/>
        </w:rPr>
        <w:t>S</w:t>
      </w:r>
      <w:r w:rsidRPr="00403328">
        <w:rPr>
          <w:szCs w:val="20"/>
        </w:rPr>
        <w:t xml:space="preserve">tate and </w:t>
      </w:r>
      <w:r w:rsidR="00E56388">
        <w:rPr>
          <w:szCs w:val="20"/>
        </w:rPr>
        <w:t>T</w:t>
      </w:r>
      <w:r w:rsidRPr="00403328">
        <w:rPr>
          <w:szCs w:val="20"/>
        </w:rPr>
        <w:t>erritory industry ministers. The Framework supports a nationally</w:t>
      </w:r>
      <w:r w:rsidR="00E56388">
        <w:rPr>
          <w:szCs w:val="20"/>
        </w:rPr>
        <w:t xml:space="preserve"> </w:t>
      </w:r>
      <w:r w:rsidRPr="00403328">
        <w:rPr>
          <w:szCs w:val="20"/>
        </w:rPr>
        <w:t xml:space="preserve">consistent approach to maximising Australian industry participation. </w:t>
      </w:r>
      <w:bookmarkEnd w:id="22"/>
      <w:r w:rsidR="0085728B">
        <w:rPr>
          <w:szCs w:val="20"/>
        </w:rPr>
        <w:t xml:space="preserve">Most </w:t>
      </w:r>
      <w:r w:rsidR="0085728B" w:rsidRPr="0085728B">
        <w:rPr>
          <w:szCs w:val="20"/>
        </w:rPr>
        <w:t>State</w:t>
      </w:r>
      <w:r w:rsidR="0085728B">
        <w:rPr>
          <w:szCs w:val="20"/>
        </w:rPr>
        <w:t>s</w:t>
      </w:r>
      <w:r w:rsidR="0085728B" w:rsidRPr="0085728B">
        <w:rPr>
          <w:szCs w:val="20"/>
        </w:rPr>
        <w:t xml:space="preserve"> and Territor</w:t>
      </w:r>
      <w:r w:rsidR="0085728B">
        <w:rPr>
          <w:szCs w:val="20"/>
        </w:rPr>
        <w:t>ies</w:t>
      </w:r>
      <w:r w:rsidR="0085728B" w:rsidRPr="0085728B">
        <w:rPr>
          <w:szCs w:val="20"/>
        </w:rPr>
        <w:t xml:space="preserve"> </w:t>
      </w:r>
      <w:r w:rsidR="0085728B">
        <w:rPr>
          <w:szCs w:val="20"/>
        </w:rPr>
        <w:t xml:space="preserve">apply their own </w:t>
      </w:r>
      <w:r w:rsidR="0085728B" w:rsidRPr="0085728B">
        <w:rPr>
          <w:szCs w:val="20"/>
        </w:rPr>
        <w:t>local industry participation policies and plans</w:t>
      </w:r>
      <w:r w:rsidR="0085728B">
        <w:rPr>
          <w:szCs w:val="20"/>
        </w:rPr>
        <w:t xml:space="preserve"> under the National Framework</w:t>
      </w:r>
      <w:r w:rsidR="0085728B" w:rsidRPr="0085728B">
        <w:rPr>
          <w:szCs w:val="20"/>
        </w:rPr>
        <w:t xml:space="preserve">. </w:t>
      </w:r>
      <w:r w:rsidR="0085728B">
        <w:rPr>
          <w:szCs w:val="20"/>
        </w:rPr>
        <w:t>T</w:t>
      </w:r>
      <w:r w:rsidR="0085728B" w:rsidRPr="0085728B">
        <w:rPr>
          <w:szCs w:val="20"/>
        </w:rPr>
        <w:t xml:space="preserve">hose jurisdictional initiatives typically have lower capital investment thresholds than AIP plans and </w:t>
      </w:r>
      <w:r w:rsidR="0085728B">
        <w:rPr>
          <w:szCs w:val="20"/>
        </w:rPr>
        <w:t>some</w:t>
      </w:r>
      <w:r w:rsidR="0085728B" w:rsidRPr="0085728B">
        <w:rPr>
          <w:szCs w:val="20"/>
        </w:rPr>
        <w:t xml:space="preserve"> </w:t>
      </w:r>
      <w:bookmarkStart w:id="23" w:name="_Hlk131576050"/>
      <w:r w:rsidR="0085728B" w:rsidRPr="0085728B">
        <w:rPr>
          <w:szCs w:val="20"/>
        </w:rPr>
        <w:t xml:space="preserve">mandate minimum levels of </w:t>
      </w:r>
      <w:r w:rsidR="0085728B">
        <w:rPr>
          <w:szCs w:val="20"/>
        </w:rPr>
        <w:t>local</w:t>
      </w:r>
      <w:r w:rsidR="0085728B" w:rsidRPr="0085728B">
        <w:rPr>
          <w:szCs w:val="20"/>
        </w:rPr>
        <w:t xml:space="preserve"> content.</w:t>
      </w:r>
      <w:bookmarkEnd w:id="23"/>
    </w:p>
    <w:p w14:paraId="38277F30" w14:textId="0CB376B0" w:rsidR="0099403E" w:rsidRDefault="007E7846" w:rsidP="00403328">
      <w:pPr>
        <w:pStyle w:val="BodyText"/>
        <w:rPr>
          <w:szCs w:val="20"/>
        </w:rPr>
      </w:pPr>
      <w:r>
        <w:rPr>
          <w:szCs w:val="20"/>
        </w:rPr>
        <w:t xml:space="preserve">At the Commonwealth level, </w:t>
      </w:r>
      <w:r w:rsidR="00403328" w:rsidRPr="00403328">
        <w:rPr>
          <w:szCs w:val="20"/>
        </w:rPr>
        <w:t xml:space="preserve">the </w:t>
      </w:r>
      <w:r w:rsidR="00403328" w:rsidRPr="00403328">
        <w:rPr>
          <w:i/>
          <w:szCs w:val="20"/>
        </w:rPr>
        <w:t>Australian Jobs Act 2013</w:t>
      </w:r>
      <w:r w:rsidR="00403328" w:rsidRPr="00403328">
        <w:rPr>
          <w:szCs w:val="20"/>
        </w:rPr>
        <w:t xml:space="preserve"> (the Jobs Act) and the Australian Jobs (Australian Industry Participation) Rule 2014 (the Rule)</w:t>
      </w:r>
      <w:r w:rsidR="0072169C">
        <w:rPr>
          <w:szCs w:val="20"/>
        </w:rPr>
        <w:t xml:space="preserve"> apply to</w:t>
      </w:r>
      <w:r w:rsidR="003E2A24">
        <w:rPr>
          <w:szCs w:val="20"/>
        </w:rPr>
        <w:t xml:space="preserve"> </w:t>
      </w:r>
      <w:r w:rsidR="003E2A24" w:rsidRPr="00403328">
        <w:rPr>
          <w:szCs w:val="20"/>
        </w:rPr>
        <w:t xml:space="preserve">Australian industry participation </w:t>
      </w:r>
      <w:r w:rsidR="003E2A24">
        <w:rPr>
          <w:szCs w:val="20"/>
        </w:rPr>
        <w:t>in</w:t>
      </w:r>
      <w:r w:rsidR="0072169C">
        <w:rPr>
          <w:szCs w:val="20"/>
        </w:rPr>
        <w:t xml:space="preserve"> </w:t>
      </w:r>
      <w:r w:rsidR="003E2A24">
        <w:rPr>
          <w:szCs w:val="20"/>
        </w:rPr>
        <w:t>m</w:t>
      </w:r>
      <w:r w:rsidR="0072169C">
        <w:rPr>
          <w:szCs w:val="20"/>
        </w:rPr>
        <w:t xml:space="preserve">ajor projects. These are </w:t>
      </w:r>
      <w:r w:rsidR="003E2A24">
        <w:rPr>
          <w:szCs w:val="20"/>
        </w:rPr>
        <w:t>projects</w:t>
      </w:r>
      <w:r w:rsidR="0072169C">
        <w:rPr>
          <w:szCs w:val="20"/>
        </w:rPr>
        <w:t xml:space="preserve"> </w:t>
      </w:r>
      <w:r w:rsidR="003E2A24">
        <w:rPr>
          <w:szCs w:val="20"/>
        </w:rPr>
        <w:t xml:space="preserve">with capital expenditure of $500 million or </w:t>
      </w:r>
      <w:r w:rsidR="00536765">
        <w:rPr>
          <w:szCs w:val="20"/>
        </w:rPr>
        <w:t>more</w:t>
      </w:r>
      <w:r w:rsidR="003E2A24">
        <w:rPr>
          <w:szCs w:val="20"/>
        </w:rPr>
        <w:t xml:space="preserve"> and </w:t>
      </w:r>
      <w:r w:rsidR="003E2A24" w:rsidRPr="0099403E">
        <w:rPr>
          <w:szCs w:val="20"/>
        </w:rPr>
        <w:t xml:space="preserve">establish, expand, </w:t>
      </w:r>
      <w:proofErr w:type="gramStart"/>
      <w:r w:rsidR="003E2A24" w:rsidRPr="0099403E">
        <w:rPr>
          <w:szCs w:val="20"/>
        </w:rPr>
        <w:t>improve</w:t>
      </w:r>
      <w:proofErr w:type="gramEnd"/>
      <w:r w:rsidR="003E2A24" w:rsidRPr="0099403E">
        <w:rPr>
          <w:szCs w:val="20"/>
        </w:rPr>
        <w:t xml:space="preserve"> or upgrade </w:t>
      </w:r>
      <w:r w:rsidR="003E2A24">
        <w:rPr>
          <w:szCs w:val="20"/>
        </w:rPr>
        <w:t>eligible</w:t>
      </w:r>
      <w:r w:rsidR="003E2A24" w:rsidRPr="0099403E">
        <w:rPr>
          <w:szCs w:val="20"/>
        </w:rPr>
        <w:t xml:space="preserve"> facilit</w:t>
      </w:r>
      <w:r w:rsidR="003E2A24">
        <w:rPr>
          <w:szCs w:val="20"/>
        </w:rPr>
        <w:t>ies</w:t>
      </w:r>
      <w:r w:rsidR="003E2A24">
        <w:rPr>
          <w:rStyle w:val="FootnoteReference"/>
          <w:szCs w:val="20"/>
        </w:rPr>
        <w:footnoteReference w:id="3"/>
      </w:r>
      <w:r w:rsidR="003E2A24">
        <w:rPr>
          <w:szCs w:val="20"/>
        </w:rPr>
        <w:t>. This report refers to these as Jobs Act projects.</w:t>
      </w:r>
      <w:r w:rsidR="00403328" w:rsidRPr="00403328">
        <w:rPr>
          <w:szCs w:val="20"/>
        </w:rPr>
        <w:t xml:space="preserve"> </w:t>
      </w:r>
      <w:bookmarkStart w:id="24" w:name="_Hlk131413046"/>
      <w:r w:rsidR="004D314E" w:rsidRPr="004D314E">
        <w:rPr>
          <w:szCs w:val="20"/>
        </w:rPr>
        <w:t>The Department of Industry, Science and Resources (DISR) is responsible for administering AIP policy and associated requirement</w:t>
      </w:r>
      <w:r w:rsidR="001D127E">
        <w:rPr>
          <w:szCs w:val="20"/>
        </w:rPr>
        <w:t>s</w:t>
      </w:r>
      <w:r w:rsidR="004D314E" w:rsidRPr="004D314E">
        <w:rPr>
          <w:szCs w:val="20"/>
        </w:rPr>
        <w:t>.</w:t>
      </w:r>
    </w:p>
    <w:p w14:paraId="6C860D8B" w14:textId="5448A51A" w:rsidR="0099403E" w:rsidRDefault="0099403E" w:rsidP="00403328">
      <w:pPr>
        <w:pStyle w:val="BodyText"/>
        <w:rPr>
          <w:szCs w:val="20"/>
        </w:rPr>
      </w:pPr>
      <w:r w:rsidRPr="0099403E">
        <w:rPr>
          <w:szCs w:val="20"/>
        </w:rPr>
        <w:t>Where AIP requirements apply</w:t>
      </w:r>
      <w:r w:rsidR="00984AA6">
        <w:rPr>
          <w:szCs w:val="20"/>
        </w:rPr>
        <w:t xml:space="preserve"> to a major project</w:t>
      </w:r>
      <w:r w:rsidRPr="0099403E">
        <w:rPr>
          <w:szCs w:val="20"/>
        </w:rPr>
        <w:t xml:space="preserve">, </w:t>
      </w:r>
      <w:r w:rsidR="00984AA6">
        <w:rPr>
          <w:szCs w:val="20"/>
        </w:rPr>
        <w:t>the entity undertaking the project</w:t>
      </w:r>
      <w:r w:rsidRPr="0099403E">
        <w:rPr>
          <w:szCs w:val="20"/>
        </w:rPr>
        <w:t xml:space="preserve"> (</w:t>
      </w:r>
      <w:r w:rsidR="00403328" w:rsidRPr="00403328">
        <w:rPr>
          <w:szCs w:val="20"/>
        </w:rPr>
        <w:t>proponents</w:t>
      </w:r>
      <w:r w:rsidRPr="0099403E">
        <w:rPr>
          <w:szCs w:val="20"/>
        </w:rPr>
        <w:t xml:space="preserve">) must </w:t>
      </w:r>
      <w:r w:rsidR="00403328" w:rsidRPr="00403328">
        <w:rPr>
          <w:szCs w:val="20"/>
        </w:rPr>
        <w:t>prepare an AIP plan</w:t>
      </w:r>
      <w:r w:rsidRPr="0099403E">
        <w:rPr>
          <w:szCs w:val="20"/>
        </w:rPr>
        <w:t>. A proponent’s AIP plan</w:t>
      </w:r>
      <w:r w:rsidR="00403328" w:rsidRPr="00403328">
        <w:rPr>
          <w:szCs w:val="20"/>
        </w:rPr>
        <w:t xml:space="preserve"> sets out the activities they will undertake to ensure that Australian businesses </w:t>
      </w:r>
      <w:r w:rsidRPr="0099403E">
        <w:rPr>
          <w:szCs w:val="20"/>
        </w:rPr>
        <w:t xml:space="preserve">(suppliers) </w:t>
      </w:r>
      <w:r w:rsidR="00403328" w:rsidRPr="00403328">
        <w:rPr>
          <w:szCs w:val="20"/>
        </w:rPr>
        <w:t xml:space="preserve">have a full, </w:t>
      </w:r>
      <w:proofErr w:type="gramStart"/>
      <w:r w:rsidR="00403328" w:rsidRPr="00403328">
        <w:rPr>
          <w:szCs w:val="20"/>
        </w:rPr>
        <w:t>fair</w:t>
      </w:r>
      <w:proofErr w:type="gramEnd"/>
      <w:r w:rsidR="00403328" w:rsidRPr="00403328">
        <w:rPr>
          <w:szCs w:val="20"/>
        </w:rPr>
        <w:t xml:space="preserve"> and reasonable opportunity to bid for work as a subcontractor. </w:t>
      </w:r>
    </w:p>
    <w:p w14:paraId="7D9EE900" w14:textId="77648510" w:rsidR="001D127E" w:rsidRDefault="001D127E" w:rsidP="00403328">
      <w:pPr>
        <w:pStyle w:val="BodyText"/>
        <w:rPr>
          <w:szCs w:val="20"/>
        </w:rPr>
      </w:pPr>
      <w:r w:rsidRPr="001D127E">
        <w:rPr>
          <w:szCs w:val="20"/>
        </w:rPr>
        <w:t xml:space="preserve">Under Jobs Act AIP plans, proponents must advertise all procurements of key goods and services valued $1 million and above. </w:t>
      </w:r>
      <w:r w:rsidR="003E2A24">
        <w:rPr>
          <w:szCs w:val="20"/>
        </w:rPr>
        <w:t>Jobs Act project p</w:t>
      </w:r>
      <w:r w:rsidRPr="001D127E">
        <w:rPr>
          <w:szCs w:val="20"/>
        </w:rPr>
        <w:t>roponents also have reporting and compliance requirements as part of implementing their plan. There are no mandated minimum levels of local content</w:t>
      </w:r>
      <w:r w:rsidR="00592A5F">
        <w:rPr>
          <w:szCs w:val="20"/>
        </w:rPr>
        <w:t xml:space="preserve"> in AIP Plans</w:t>
      </w:r>
      <w:r w:rsidRPr="001D127E">
        <w:rPr>
          <w:szCs w:val="20"/>
        </w:rPr>
        <w:t>.</w:t>
      </w:r>
    </w:p>
    <w:p w14:paraId="09EF19ED" w14:textId="488DCBDE" w:rsidR="00403328" w:rsidRDefault="00403328" w:rsidP="00403328">
      <w:pPr>
        <w:pStyle w:val="BodyText"/>
        <w:rPr>
          <w:szCs w:val="20"/>
        </w:rPr>
      </w:pPr>
      <w:r w:rsidRPr="00403328">
        <w:rPr>
          <w:szCs w:val="20"/>
        </w:rPr>
        <w:t xml:space="preserve">Similar requirements </w:t>
      </w:r>
      <w:r w:rsidR="008A1161">
        <w:rPr>
          <w:szCs w:val="20"/>
        </w:rPr>
        <w:t>apply to</w:t>
      </w:r>
      <w:r w:rsidR="00D04D2D">
        <w:rPr>
          <w:szCs w:val="20"/>
        </w:rPr>
        <w:t xml:space="preserve"> eligible projects receiving</w:t>
      </w:r>
      <w:r w:rsidRPr="00403328">
        <w:rPr>
          <w:szCs w:val="20"/>
        </w:rPr>
        <w:t xml:space="preserve"> Commonwealth </w:t>
      </w:r>
      <w:r w:rsidR="00592A5F">
        <w:rPr>
          <w:szCs w:val="20"/>
        </w:rPr>
        <w:t>funding or investment</w:t>
      </w:r>
      <w:r w:rsidR="00592A5F" w:rsidRPr="00403328">
        <w:rPr>
          <w:szCs w:val="20"/>
        </w:rPr>
        <w:t xml:space="preserve"> </w:t>
      </w:r>
      <w:r w:rsidR="009D1BF0">
        <w:rPr>
          <w:szCs w:val="20"/>
        </w:rPr>
        <w:t>of</w:t>
      </w:r>
      <w:r w:rsidRPr="00403328">
        <w:rPr>
          <w:szCs w:val="20"/>
        </w:rPr>
        <w:t xml:space="preserve"> $20 million</w:t>
      </w:r>
      <w:r w:rsidR="009D1BF0">
        <w:rPr>
          <w:szCs w:val="20"/>
        </w:rPr>
        <w:t xml:space="preserve"> </w:t>
      </w:r>
      <w:r w:rsidR="001F28B6">
        <w:rPr>
          <w:szCs w:val="20"/>
        </w:rPr>
        <w:t xml:space="preserve">or </w:t>
      </w:r>
      <w:r w:rsidR="00536765">
        <w:rPr>
          <w:szCs w:val="20"/>
        </w:rPr>
        <w:t>more</w:t>
      </w:r>
      <w:r w:rsidRPr="00403328">
        <w:rPr>
          <w:szCs w:val="20"/>
        </w:rPr>
        <w:t xml:space="preserve">, including </w:t>
      </w:r>
      <w:bookmarkStart w:id="25" w:name="_Hlk131413447"/>
      <w:r w:rsidRPr="00403328">
        <w:rPr>
          <w:szCs w:val="20"/>
        </w:rPr>
        <w:t xml:space="preserve">procurements, grants, loans or payments to </w:t>
      </w:r>
      <w:r w:rsidR="00E56388">
        <w:rPr>
          <w:szCs w:val="20"/>
        </w:rPr>
        <w:t>States and Territories</w:t>
      </w:r>
      <w:r w:rsidRPr="00403328">
        <w:rPr>
          <w:szCs w:val="20"/>
        </w:rPr>
        <w:t xml:space="preserve"> for large infrastructure projects </w:t>
      </w:r>
      <w:bookmarkEnd w:id="24"/>
      <w:bookmarkEnd w:id="25"/>
      <w:r w:rsidRPr="00403328">
        <w:rPr>
          <w:szCs w:val="20"/>
        </w:rPr>
        <w:t>(the mechanisms for this are outlined below</w:t>
      </w:r>
      <w:r w:rsidRPr="004A7C86">
        <w:rPr>
          <w:szCs w:val="20"/>
        </w:rPr>
        <w:t>).</w:t>
      </w:r>
      <w:r w:rsidR="001D127E">
        <w:rPr>
          <w:szCs w:val="20"/>
        </w:rPr>
        <w:t xml:space="preserve"> </w:t>
      </w:r>
      <w:r w:rsidR="004A7C86">
        <w:rPr>
          <w:szCs w:val="20"/>
        </w:rPr>
        <w:t xml:space="preserve">Unlike Jobs Act projects, there is </w:t>
      </w:r>
      <w:r w:rsidR="004A7C86" w:rsidRPr="004A7C86">
        <w:rPr>
          <w:szCs w:val="20"/>
        </w:rPr>
        <w:lastRenderedPageBreak/>
        <w:t>no minimum contract value threshold</w:t>
      </w:r>
      <w:r w:rsidR="004A7C86">
        <w:rPr>
          <w:szCs w:val="20"/>
        </w:rPr>
        <w:t xml:space="preserve"> for </w:t>
      </w:r>
      <w:r w:rsidR="00D04D2D">
        <w:rPr>
          <w:szCs w:val="20"/>
        </w:rPr>
        <w:t xml:space="preserve">these projects receiving </w:t>
      </w:r>
      <w:r w:rsidR="004A7C86">
        <w:rPr>
          <w:szCs w:val="20"/>
        </w:rPr>
        <w:t xml:space="preserve">Commonwealth </w:t>
      </w:r>
      <w:r w:rsidR="00D04D2D">
        <w:rPr>
          <w:szCs w:val="20"/>
        </w:rPr>
        <w:t xml:space="preserve">funding and investment </w:t>
      </w:r>
      <w:r w:rsidR="004A7C86">
        <w:rPr>
          <w:szCs w:val="20"/>
        </w:rPr>
        <w:t xml:space="preserve">to </w:t>
      </w:r>
      <w:r w:rsidR="004A7C86" w:rsidRPr="004A7C86">
        <w:rPr>
          <w:szCs w:val="20"/>
        </w:rPr>
        <w:t>advertise procurements of key goods and services</w:t>
      </w:r>
      <w:r w:rsidR="004A7C86">
        <w:rPr>
          <w:szCs w:val="20"/>
        </w:rPr>
        <w:t>.</w:t>
      </w:r>
    </w:p>
    <w:p w14:paraId="02D2DAF2" w14:textId="2021A0E4" w:rsidR="00C41059" w:rsidRDefault="00C41059" w:rsidP="00403328">
      <w:pPr>
        <w:pStyle w:val="BodyText"/>
        <w:rPr>
          <w:szCs w:val="20"/>
        </w:rPr>
      </w:pPr>
      <w:r>
        <w:rPr>
          <w:szCs w:val="20"/>
        </w:rPr>
        <w:t xml:space="preserve">Since </w:t>
      </w:r>
      <w:r w:rsidR="00B56A8E">
        <w:rPr>
          <w:szCs w:val="20"/>
        </w:rPr>
        <w:t xml:space="preserve">1 </w:t>
      </w:r>
      <w:proofErr w:type="gramStart"/>
      <w:r>
        <w:rPr>
          <w:szCs w:val="20"/>
        </w:rPr>
        <w:t>December  2013</w:t>
      </w:r>
      <w:proofErr w:type="gramEnd"/>
      <w:r>
        <w:rPr>
          <w:szCs w:val="20"/>
        </w:rPr>
        <w:t xml:space="preserve">, </w:t>
      </w:r>
      <w:r w:rsidR="00596780">
        <w:rPr>
          <w:szCs w:val="20"/>
        </w:rPr>
        <w:t xml:space="preserve">a total of </w:t>
      </w:r>
      <w:r w:rsidR="00023FA7">
        <w:rPr>
          <w:szCs w:val="20"/>
        </w:rPr>
        <w:t>173</w:t>
      </w:r>
      <w:r>
        <w:rPr>
          <w:szCs w:val="20"/>
        </w:rPr>
        <w:t xml:space="preserve"> AIP plans have been approved</w:t>
      </w:r>
      <w:r w:rsidR="00596780">
        <w:rPr>
          <w:szCs w:val="20"/>
        </w:rPr>
        <w:t xml:space="preserve"> under the Jobs Act 2013</w:t>
      </w:r>
      <w:r w:rsidR="00B56A8E">
        <w:rPr>
          <w:szCs w:val="20"/>
        </w:rPr>
        <w:t>. With</w:t>
      </w:r>
      <w:r>
        <w:rPr>
          <w:szCs w:val="20"/>
        </w:rPr>
        <w:t xml:space="preserve"> </w:t>
      </w:r>
      <w:r w:rsidR="00023FA7">
        <w:rPr>
          <w:szCs w:val="20"/>
        </w:rPr>
        <w:t>8</w:t>
      </w:r>
      <w:r>
        <w:rPr>
          <w:szCs w:val="20"/>
        </w:rPr>
        <w:t>0% of the</w:t>
      </w:r>
      <w:r w:rsidR="00596780">
        <w:rPr>
          <w:szCs w:val="20"/>
        </w:rPr>
        <w:t xml:space="preserve"> plans</w:t>
      </w:r>
      <w:r>
        <w:rPr>
          <w:szCs w:val="20"/>
        </w:rPr>
        <w:t xml:space="preserve"> </w:t>
      </w:r>
      <w:r w:rsidR="003654F0">
        <w:rPr>
          <w:szCs w:val="20"/>
        </w:rPr>
        <w:t xml:space="preserve">being </w:t>
      </w:r>
      <w:r>
        <w:rPr>
          <w:szCs w:val="20"/>
        </w:rPr>
        <w:t xml:space="preserve">from </w:t>
      </w:r>
      <w:r w:rsidR="00596780">
        <w:rPr>
          <w:szCs w:val="20"/>
        </w:rPr>
        <w:t xml:space="preserve">the </w:t>
      </w:r>
      <w:r w:rsidR="00B56A8E">
        <w:rPr>
          <w:szCs w:val="20"/>
        </w:rPr>
        <w:t>3</w:t>
      </w:r>
      <w:r w:rsidR="00596780">
        <w:rPr>
          <w:szCs w:val="20"/>
        </w:rPr>
        <w:t xml:space="preserve">states of </w:t>
      </w:r>
      <w:r>
        <w:rPr>
          <w:szCs w:val="20"/>
        </w:rPr>
        <w:t>W</w:t>
      </w:r>
      <w:r w:rsidR="00596780">
        <w:rPr>
          <w:szCs w:val="20"/>
        </w:rPr>
        <w:t xml:space="preserve">estern Australia, New South Wales, and Queensland. </w:t>
      </w:r>
      <w:r>
        <w:rPr>
          <w:szCs w:val="20"/>
        </w:rPr>
        <w:t xml:space="preserve">The </w:t>
      </w:r>
      <w:r w:rsidR="00023FA7">
        <w:rPr>
          <w:szCs w:val="20"/>
        </w:rPr>
        <w:t>AIP plans</w:t>
      </w:r>
      <w:r>
        <w:rPr>
          <w:szCs w:val="20"/>
        </w:rPr>
        <w:t xml:space="preserve"> approved m</w:t>
      </w:r>
      <w:r w:rsidR="00D92B35">
        <w:rPr>
          <w:szCs w:val="20"/>
        </w:rPr>
        <w:t>ost</w:t>
      </w:r>
      <w:r>
        <w:rPr>
          <w:szCs w:val="20"/>
        </w:rPr>
        <w:t>ly belong</w:t>
      </w:r>
      <w:r w:rsidR="00596780">
        <w:rPr>
          <w:szCs w:val="20"/>
        </w:rPr>
        <w:t>ed to</w:t>
      </w:r>
      <w:r>
        <w:rPr>
          <w:szCs w:val="20"/>
        </w:rPr>
        <w:t xml:space="preserve"> the facilities </w:t>
      </w:r>
      <w:r w:rsidR="00596780">
        <w:rPr>
          <w:szCs w:val="20"/>
        </w:rPr>
        <w:t xml:space="preserve">of </w:t>
      </w:r>
      <w:r>
        <w:rPr>
          <w:szCs w:val="20"/>
        </w:rPr>
        <w:t>mine/quarry, electrical facility, petroleum facility and land transport facility. Under the Commonwealth AIP policy, a total of 3</w:t>
      </w:r>
      <w:r w:rsidR="00023FA7">
        <w:rPr>
          <w:szCs w:val="20"/>
        </w:rPr>
        <w:t>45</w:t>
      </w:r>
      <w:r>
        <w:rPr>
          <w:szCs w:val="20"/>
        </w:rPr>
        <w:t xml:space="preserve"> projects have been approved through Commonwealth procurement since its inception on </w:t>
      </w:r>
      <w:r w:rsidR="00B56A8E">
        <w:rPr>
          <w:szCs w:val="20"/>
        </w:rPr>
        <w:t xml:space="preserve">1 </w:t>
      </w:r>
      <w:r>
        <w:rPr>
          <w:szCs w:val="20"/>
        </w:rPr>
        <w:t xml:space="preserve">Jan 2010. </w:t>
      </w:r>
    </w:p>
    <w:p w14:paraId="34C23DE3" w14:textId="41E35CA2" w:rsidR="00403328" w:rsidRPr="00403328" w:rsidRDefault="00403328" w:rsidP="00403328">
      <w:pPr>
        <w:pStyle w:val="BodyText"/>
        <w:rPr>
          <w:szCs w:val="20"/>
        </w:rPr>
      </w:pPr>
      <w:r w:rsidRPr="00403328">
        <w:rPr>
          <w:szCs w:val="20"/>
        </w:rPr>
        <w:t xml:space="preserve">The Jobs Act provides for the appointment of an AIP Authority </w:t>
      </w:r>
      <w:r w:rsidR="004D314E">
        <w:rPr>
          <w:szCs w:val="20"/>
        </w:rPr>
        <w:t xml:space="preserve">(a </w:t>
      </w:r>
      <w:r w:rsidR="00592A5F">
        <w:rPr>
          <w:szCs w:val="20"/>
        </w:rPr>
        <w:t>statutory office holder</w:t>
      </w:r>
      <w:r w:rsidR="004D314E">
        <w:rPr>
          <w:szCs w:val="20"/>
        </w:rPr>
        <w:t xml:space="preserve">) </w:t>
      </w:r>
      <w:r w:rsidRPr="00403328">
        <w:rPr>
          <w:szCs w:val="20"/>
        </w:rPr>
        <w:t xml:space="preserve">whose role is to provide guidance to major project proponents on obligations under the Jobs Act including requirements for AIP plans, approving AIP plans, and enforcing compliance. </w:t>
      </w:r>
      <w:r w:rsidR="00592A5F">
        <w:rPr>
          <w:szCs w:val="20"/>
        </w:rPr>
        <w:t>Since the inception of the Jobs Act, a</w:t>
      </w:r>
      <w:r w:rsidRPr="00403328">
        <w:rPr>
          <w:szCs w:val="20"/>
        </w:rPr>
        <w:t xml:space="preserve"> senior executive officer within the department </w:t>
      </w:r>
      <w:r w:rsidR="004B4A01">
        <w:rPr>
          <w:szCs w:val="20"/>
        </w:rPr>
        <w:t>has been</w:t>
      </w:r>
      <w:r w:rsidRPr="00403328">
        <w:rPr>
          <w:szCs w:val="20"/>
        </w:rPr>
        <w:t xml:space="preserve"> appointed as the </w:t>
      </w:r>
      <w:r w:rsidR="00023FA7">
        <w:rPr>
          <w:szCs w:val="20"/>
        </w:rPr>
        <w:t xml:space="preserve">acting </w:t>
      </w:r>
      <w:r w:rsidRPr="00403328">
        <w:rPr>
          <w:szCs w:val="20"/>
        </w:rPr>
        <w:t>AIP Authority</w:t>
      </w:r>
      <w:r w:rsidR="00023FA7">
        <w:rPr>
          <w:szCs w:val="20"/>
        </w:rPr>
        <w:t xml:space="preserve">, </w:t>
      </w:r>
      <w:r w:rsidR="003C4B4A">
        <w:rPr>
          <w:szCs w:val="20"/>
        </w:rPr>
        <w:t>in addition to their other duties</w:t>
      </w:r>
      <w:r w:rsidRPr="00403328">
        <w:rPr>
          <w:szCs w:val="20"/>
        </w:rPr>
        <w:t xml:space="preserve">. </w:t>
      </w:r>
    </w:p>
    <w:p w14:paraId="6BA1D18B" w14:textId="5D5A8ADA" w:rsidR="00403328" w:rsidRPr="00403328" w:rsidRDefault="00403328" w:rsidP="00403328">
      <w:pPr>
        <w:pStyle w:val="BodyText"/>
        <w:rPr>
          <w:szCs w:val="20"/>
        </w:rPr>
      </w:pPr>
      <w:r w:rsidRPr="00403328">
        <w:t xml:space="preserve">The Rule sets out additional functions of the AIP Authority. These functions include representing </w:t>
      </w:r>
      <w:r w:rsidR="003C4B4A">
        <w:t>DISR</w:t>
      </w:r>
      <w:r w:rsidRPr="00403328">
        <w:t xml:space="preserve"> in relation to the department’s company membership in Industry Capability Network Limited (ICNL) and managing funding for ICNL to undertake national</w:t>
      </w:r>
      <w:r>
        <w:t xml:space="preserve"> </w:t>
      </w:r>
      <w:r w:rsidR="00233E6F" w:rsidRPr="00403328">
        <w:rPr>
          <w:szCs w:val="20"/>
        </w:rPr>
        <w:t>coordination of</w:t>
      </w:r>
      <w:r w:rsidRPr="00403328">
        <w:rPr>
          <w:szCs w:val="20"/>
        </w:rPr>
        <w:t xml:space="preserve"> the </w:t>
      </w:r>
      <w:r w:rsidR="00B56A8E">
        <w:rPr>
          <w:szCs w:val="20"/>
        </w:rPr>
        <w:t>s</w:t>
      </w:r>
      <w:r w:rsidR="00E56388">
        <w:rPr>
          <w:szCs w:val="20"/>
        </w:rPr>
        <w:t xml:space="preserve">tate and </w:t>
      </w:r>
      <w:r w:rsidR="00B56A8E">
        <w:rPr>
          <w:szCs w:val="20"/>
        </w:rPr>
        <w:t>t</w:t>
      </w:r>
      <w:r w:rsidR="00E56388">
        <w:rPr>
          <w:szCs w:val="20"/>
        </w:rPr>
        <w:t>erritory</w:t>
      </w:r>
      <w:r w:rsidRPr="00403328">
        <w:rPr>
          <w:szCs w:val="20"/>
        </w:rPr>
        <w:t xml:space="preserve"> Industry Capability Network (ICN) and </w:t>
      </w:r>
      <w:r w:rsidR="00592A5F">
        <w:rPr>
          <w:szCs w:val="20"/>
        </w:rPr>
        <w:t xml:space="preserve">manage </w:t>
      </w:r>
      <w:r w:rsidRPr="00403328">
        <w:rPr>
          <w:szCs w:val="20"/>
        </w:rPr>
        <w:t xml:space="preserve">the national industry capability and project opportunities database (ICN Gateway). ICNL is a Corporations Act company originally founded in 1995 (renamed as ICNL in 2003) to nationally coordinate and provide IT support to the ICN. </w:t>
      </w:r>
      <w:r w:rsidR="00592A5F">
        <w:rPr>
          <w:szCs w:val="20"/>
        </w:rPr>
        <w:t xml:space="preserve">DISR is a founding company member of ICNL. </w:t>
      </w:r>
      <w:r w:rsidRPr="00403328">
        <w:rPr>
          <w:szCs w:val="20"/>
        </w:rPr>
        <w:t xml:space="preserve">ICNL also supports other government policies, including the </w:t>
      </w:r>
      <w:r w:rsidR="00E56388">
        <w:rPr>
          <w:szCs w:val="20"/>
        </w:rPr>
        <w:t xml:space="preserve">Department of </w:t>
      </w:r>
      <w:r w:rsidRPr="00403328">
        <w:rPr>
          <w:szCs w:val="20"/>
        </w:rPr>
        <w:t>Defence</w:t>
      </w:r>
      <w:r w:rsidR="00E56388">
        <w:rPr>
          <w:szCs w:val="20"/>
        </w:rPr>
        <w:t>’s</w:t>
      </w:r>
      <w:r w:rsidRPr="00403328">
        <w:rPr>
          <w:szCs w:val="20"/>
        </w:rPr>
        <w:t xml:space="preserve"> Australian Industry Capability</w:t>
      </w:r>
      <w:r w:rsidR="00E56388">
        <w:rPr>
          <w:szCs w:val="20"/>
        </w:rPr>
        <w:t xml:space="preserve"> (AIC)</w:t>
      </w:r>
      <w:r w:rsidRPr="00403328">
        <w:rPr>
          <w:szCs w:val="20"/>
        </w:rPr>
        <w:t xml:space="preserve"> program.</w:t>
      </w:r>
    </w:p>
    <w:p w14:paraId="39F0BFE7" w14:textId="0AD9F75E" w:rsidR="00403328" w:rsidRPr="00403328" w:rsidRDefault="003C4B4A" w:rsidP="00403328">
      <w:pPr>
        <w:pStyle w:val="BodyText"/>
        <w:rPr>
          <w:szCs w:val="20"/>
        </w:rPr>
      </w:pPr>
      <w:bookmarkStart w:id="26" w:name="_Hlk131583800"/>
      <w:r>
        <w:rPr>
          <w:szCs w:val="20"/>
        </w:rPr>
        <w:t xml:space="preserve">AIP requirements for Commonwealth funding are applied through the following </w:t>
      </w:r>
      <w:r w:rsidR="00403328" w:rsidRPr="00403328">
        <w:rPr>
          <w:szCs w:val="20"/>
        </w:rPr>
        <w:t>mechanisms:</w:t>
      </w:r>
    </w:p>
    <w:p w14:paraId="63FEC4E0" w14:textId="77777777" w:rsidR="00403328" w:rsidRPr="00403328" w:rsidRDefault="00403328" w:rsidP="00970285">
      <w:pPr>
        <w:pStyle w:val="BodyText"/>
        <w:numPr>
          <w:ilvl w:val="0"/>
          <w:numId w:val="15"/>
        </w:numPr>
        <w:rPr>
          <w:rFonts w:ascii="Arial" w:hAnsi="Arial" w:cs="Arial"/>
          <w:szCs w:val="20"/>
        </w:rPr>
      </w:pPr>
      <w:r w:rsidRPr="00403328">
        <w:rPr>
          <w:rFonts w:ascii="Arial" w:hAnsi="Arial" w:cs="Arial"/>
          <w:szCs w:val="20"/>
        </w:rPr>
        <w:t>The AIP Procurement Connected Policy (PCP) provides for the application of AIP to Commonwealth procurements.</w:t>
      </w:r>
    </w:p>
    <w:p w14:paraId="3FD3BBE9" w14:textId="77777777" w:rsidR="00403328" w:rsidRPr="00403328" w:rsidRDefault="00403328" w:rsidP="00970285">
      <w:pPr>
        <w:pStyle w:val="BodyText"/>
        <w:numPr>
          <w:ilvl w:val="0"/>
          <w:numId w:val="15"/>
        </w:numPr>
        <w:rPr>
          <w:rFonts w:ascii="Arial" w:hAnsi="Arial" w:cs="Arial"/>
          <w:szCs w:val="20"/>
        </w:rPr>
      </w:pPr>
      <w:r w:rsidRPr="00403328">
        <w:rPr>
          <w:rFonts w:ascii="Arial" w:hAnsi="Arial" w:cs="Arial"/>
          <w:szCs w:val="20"/>
        </w:rPr>
        <w:t>The Commonwealth Grants Rules and Guidelines provide for AIP to be applied to Commonwealth Grants.</w:t>
      </w:r>
    </w:p>
    <w:p w14:paraId="38DCC11F" w14:textId="7565E449" w:rsidR="00403328" w:rsidRPr="00403328" w:rsidRDefault="00403328" w:rsidP="00970285">
      <w:pPr>
        <w:pStyle w:val="BodyText"/>
        <w:numPr>
          <w:ilvl w:val="0"/>
          <w:numId w:val="15"/>
        </w:numPr>
        <w:rPr>
          <w:rFonts w:ascii="Arial" w:hAnsi="Arial" w:cs="Arial"/>
          <w:szCs w:val="20"/>
        </w:rPr>
      </w:pPr>
      <w:r w:rsidRPr="00403328">
        <w:rPr>
          <w:rFonts w:ascii="Arial" w:hAnsi="Arial" w:cs="Arial"/>
          <w:szCs w:val="20"/>
        </w:rPr>
        <w:t>The Clean Energy Finance Corporation</w:t>
      </w:r>
      <w:r w:rsidR="00E56388">
        <w:rPr>
          <w:rFonts w:ascii="Arial" w:hAnsi="Arial" w:cs="Arial"/>
          <w:szCs w:val="20"/>
        </w:rPr>
        <w:t xml:space="preserve"> (CEFC)</w:t>
      </w:r>
      <w:r w:rsidRPr="00403328">
        <w:rPr>
          <w:rFonts w:ascii="Arial" w:hAnsi="Arial" w:cs="Arial"/>
          <w:szCs w:val="20"/>
        </w:rPr>
        <w:t xml:space="preserve"> and Northern Australia Infrastructure Facility</w:t>
      </w:r>
      <w:r w:rsidR="00E56388">
        <w:rPr>
          <w:rFonts w:ascii="Arial" w:hAnsi="Arial" w:cs="Arial"/>
          <w:szCs w:val="20"/>
        </w:rPr>
        <w:t xml:space="preserve"> (NAIF)</w:t>
      </w:r>
      <w:r w:rsidRPr="00403328">
        <w:rPr>
          <w:rFonts w:ascii="Arial" w:hAnsi="Arial" w:cs="Arial"/>
          <w:szCs w:val="20"/>
        </w:rPr>
        <w:t xml:space="preserve"> specify the application of AIP within their mandates.</w:t>
      </w:r>
    </w:p>
    <w:p w14:paraId="07E9962F" w14:textId="58533EA9" w:rsidR="00403328" w:rsidRPr="00403328" w:rsidRDefault="00403328" w:rsidP="00970285">
      <w:pPr>
        <w:pStyle w:val="BodyText"/>
        <w:numPr>
          <w:ilvl w:val="0"/>
          <w:numId w:val="15"/>
        </w:numPr>
        <w:rPr>
          <w:rFonts w:ascii="Arial" w:hAnsi="Arial" w:cs="Arial"/>
          <w:szCs w:val="20"/>
        </w:rPr>
      </w:pPr>
      <w:r w:rsidRPr="00403328">
        <w:rPr>
          <w:rFonts w:ascii="Arial" w:hAnsi="Arial" w:cs="Arial"/>
          <w:szCs w:val="20"/>
        </w:rPr>
        <w:t xml:space="preserve">The National Partnership Agreement on Land Transport provides for the application of AIP to payments to </w:t>
      </w:r>
      <w:r w:rsidR="005F12F7">
        <w:rPr>
          <w:rFonts w:ascii="Arial" w:hAnsi="Arial" w:cs="Arial"/>
          <w:szCs w:val="20"/>
        </w:rPr>
        <w:t>s</w:t>
      </w:r>
      <w:r w:rsidR="00E56388">
        <w:rPr>
          <w:rFonts w:ascii="Arial" w:hAnsi="Arial" w:cs="Arial"/>
          <w:szCs w:val="20"/>
        </w:rPr>
        <w:t xml:space="preserve">tates and </w:t>
      </w:r>
      <w:r w:rsidR="005F12F7">
        <w:rPr>
          <w:rFonts w:ascii="Arial" w:hAnsi="Arial" w:cs="Arial"/>
          <w:szCs w:val="20"/>
        </w:rPr>
        <w:t>t</w:t>
      </w:r>
      <w:r w:rsidR="00E56388">
        <w:rPr>
          <w:rFonts w:ascii="Arial" w:hAnsi="Arial" w:cs="Arial"/>
          <w:szCs w:val="20"/>
        </w:rPr>
        <w:t>erritories</w:t>
      </w:r>
      <w:r w:rsidRPr="00403328">
        <w:rPr>
          <w:rFonts w:ascii="Arial" w:hAnsi="Arial" w:cs="Arial"/>
          <w:szCs w:val="20"/>
        </w:rPr>
        <w:t xml:space="preserve">. </w:t>
      </w:r>
      <w:r w:rsidRPr="00403328" w:rsidDel="00832A62">
        <w:rPr>
          <w:rFonts w:ascii="Arial" w:hAnsi="Arial" w:cs="Arial"/>
          <w:szCs w:val="20"/>
        </w:rPr>
        <w:t xml:space="preserve"> </w:t>
      </w:r>
    </w:p>
    <w:bookmarkEnd w:id="26"/>
    <w:p w14:paraId="27334D56" w14:textId="5F5EDCE8" w:rsidR="00403328" w:rsidRPr="00E601BB" w:rsidRDefault="00403328" w:rsidP="00E601BB">
      <w:pPr>
        <w:pStyle w:val="BodyText"/>
      </w:pPr>
      <w:r w:rsidRPr="00E601BB">
        <w:t>The application and review of AIP requirements as they relate to Commonwealth funding needs to maintain an understanding and awareness of international agreements</w:t>
      </w:r>
      <w:r w:rsidR="00E56388">
        <w:t xml:space="preserve">. This includes </w:t>
      </w:r>
      <w:r w:rsidRPr="00E601BB">
        <w:t>the Australia and New Zealand Government Procurement Agreement</w:t>
      </w:r>
      <w:r w:rsidR="00E56388">
        <w:t xml:space="preserve"> (ANZGPA)</w:t>
      </w:r>
      <w:r w:rsidRPr="00E601BB">
        <w:t xml:space="preserve"> and the </w:t>
      </w:r>
      <w:r w:rsidR="00E56388">
        <w:t>World Trade Organization (WTO)</w:t>
      </w:r>
      <w:r w:rsidRPr="00E601BB">
        <w:t xml:space="preserve"> Agreement on Government Procurement</w:t>
      </w:r>
      <w:r w:rsidR="00E56388">
        <w:t xml:space="preserve"> (GPA)</w:t>
      </w:r>
      <w:r w:rsidRPr="00E601BB">
        <w:t>.</w:t>
      </w:r>
    </w:p>
    <w:p w14:paraId="6272D87C" w14:textId="4AE4AC7C" w:rsidR="00CD7EDD" w:rsidRDefault="004B0D49" w:rsidP="004D314E">
      <w:pPr>
        <w:pStyle w:val="Heading3"/>
        <w:numPr>
          <w:ilvl w:val="0"/>
          <w:numId w:val="0"/>
        </w:numPr>
      </w:pPr>
      <w:bookmarkStart w:id="27" w:name="_Toc127440371"/>
      <w:r>
        <w:t xml:space="preserve">Previous reviews and evaluations of the AIP </w:t>
      </w:r>
      <w:r w:rsidR="00071FBD">
        <w:t>p</w:t>
      </w:r>
      <w:r>
        <w:t>olicy</w:t>
      </w:r>
      <w:bookmarkEnd w:id="27"/>
    </w:p>
    <w:p w14:paraId="54EC8737" w14:textId="77777777" w:rsidR="004B0D49" w:rsidRPr="004B0D49" w:rsidRDefault="004B0D49" w:rsidP="004B0D49">
      <w:pPr>
        <w:pStyle w:val="BodyText"/>
        <w:rPr>
          <w:rFonts w:cstheme="minorHAnsi"/>
          <w:color w:val="auto"/>
          <w:szCs w:val="20"/>
        </w:rPr>
      </w:pPr>
      <w:r w:rsidRPr="004B0D49">
        <w:rPr>
          <w:rFonts w:cstheme="minorHAnsi"/>
          <w:color w:val="auto"/>
          <w:szCs w:val="20"/>
        </w:rPr>
        <w:t xml:space="preserve">Previous evaluations and reviews of the AIP policy are listed in Table 1.1 below. </w:t>
      </w:r>
    </w:p>
    <w:p w14:paraId="28CC4A05" w14:textId="16E7C754" w:rsidR="004B0D49" w:rsidRPr="008E12A7" w:rsidRDefault="004B0D49" w:rsidP="00BC0415">
      <w:pPr>
        <w:pStyle w:val="Caption"/>
        <w:rPr>
          <w:color w:val="005677" w:themeColor="background2"/>
        </w:rPr>
      </w:pPr>
      <w:r w:rsidRPr="008E12A7">
        <w:rPr>
          <w:color w:val="005677" w:themeColor="background2"/>
        </w:rPr>
        <w:lastRenderedPageBreak/>
        <w:t xml:space="preserve">Table </w:t>
      </w:r>
      <w:r w:rsidR="000C7A4E" w:rsidRPr="008E12A7">
        <w:rPr>
          <w:color w:val="005677" w:themeColor="background2"/>
        </w:rPr>
        <w:fldChar w:fldCharType="begin"/>
      </w:r>
      <w:r w:rsidR="000C7A4E" w:rsidRPr="008E12A7">
        <w:rPr>
          <w:color w:val="005677" w:themeColor="background2"/>
        </w:rPr>
        <w:instrText xml:space="preserve"> STYLEREF 1 \s </w:instrText>
      </w:r>
      <w:r w:rsidR="000C7A4E" w:rsidRPr="008E12A7">
        <w:rPr>
          <w:color w:val="005677" w:themeColor="background2"/>
        </w:rPr>
        <w:fldChar w:fldCharType="separate"/>
      </w:r>
      <w:r w:rsidR="00E32679">
        <w:rPr>
          <w:noProof/>
          <w:color w:val="005677" w:themeColor="background2"/>
        </w:rPr>
        <w:t>1</w:t>
      </w:r>
      <w:r w:rsidR="000C7A4E" w:rsidRPr="008E12A7">
        <w:rPr>
          <w:noProof/>
          <w:color w:val="005677" w:themeColor="background2"/>
        </w:rPr>
        <w:fldChar w:fldCharType="end"/>
      </w:r>
      <w:r w:rsidRPr="008E12A7">
        <w:rPr>
          <w:color w:val="005677" w:themeColor="background2"/>
        </w:rPr>
        <w:t>.</w:t>
      </w:r>
      <w:r w:rsidRPr="008E12A7">
        <w:rPr>
          <w:noProof/>
          <w:color w:val="005677" w:themeColor="background2"/>
        </w:rPr>
        <w:fldChar w:fldCharType="begin"/>
      </w:r>
      <w:r w:rsidRPr="008E12A7">
        <w:rPr>
          <w:noProof/>
          <w:color w:val="005677" w:themeColor="background2"/>
        </w:rPr>
        <w:instrText xml:space="preserve"> SEQ Table \* ARABIC \s 1 </w:instrText>
      </w:r>
      <w:r w:rsidRPr="008E12A7">
        <w:rPr>
          <w:noProof/>
          <w:color w:val="005677" w:themeColor="background2"/>
        </w:rPr>
        <w:fldChar w:fldCharType="separate"/>
      </w:r>
      <w:r w:rsidR="00E32679">
        <w:rPr>
          <w:noProof/>
          <w:color w:val="005677" w:themeColor="background2"/>
        </w:rPr>
        <w:t>1</w:t>
      </w:r>
      <w:r w:rsidRPr="008E12A7">
        <w:rPr>
          <w:noProof/>
          <w:color w:val="005677" w:themeColor="background2"/>
        </w:rPr>
        <w:fldChar w:fldCharType="end"/>
      </w:r>
      <w:r w:rsidRPr="008E12A7">
        <w:rPr>
          <w:color w:val="005677" w:themeColor="background2"/>
        </w:rPr>
        <w:t xml:space="preserve">: Previous reviews and evaluations </w:t>
      </w:r>
      <w:r w:rsidR="006403A9" w:rsidRPr="008E12A7">
        <w:rPr>
          <w:color w:val="005677" w:themeColor="background2"/>
        </w:rPr>
        <w:t>relevant to</w:t>
      </w:r>
      <w:r w:rsidRPr="008E12A7">
        <w:rPr>
          <w:color w:val="005677" w:themeColor="background2"/>
        </w:rPr>
        <w:t xml:space="preserve"> the AIP Policy</w:t>
      </w:r>
    </w:p>
    <w:tbl>
      <w:tblPr>
        <w:tblStyle w:val="OCETable"/>
        <w:tblW w:w="5000" w:type="pct"/>
        <w:tblInd w:w="57" w:type="dxa"/>
        <w:tblLayout w:type="fixed"/>
        <w:tblLook w:val="04A0" w:firstRow="1" w:lastRow="0" w:firstColumn="1" w:lastColumn="0" w:noHBand="0" w:noVBand="1"/>
      </w:tblPr>
      <w:tblGrid>
        <w:gridCol w:w="1410"/>
        <w:gridCol w:w="2599"/>
        <w:gridCol w:w="5017"/>
      </w:tblGrid>
      <w:tr w:rsidR="004B0D49" w14:paraId="2FB904AB" w14:textId="77777777" w:rsidTr="008E12A7">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677" w:themeFill="background2"/>
          </w:tcPr>
          <w:p w14:paraId="40407B35" w14:textId="7B87AEB4" w:rsidR="004B0D49" w:rsidRDefault="004B0D49" w:rsidP="00654A2B">
            <w:pPr>
              <w:pStyle w:val="Tableheader"/>
              <w:rPr>
                <w:lang w:eastAsia="en-AU"/>
              </w:rPr>
            </w:pPr>
            <w:r>
              <w:rPr>
                <w:lang w:eastAsia="en-AU"/>
              </w:rPr>
              <w:t>Date</w:t>
            </w:r>
          </w:p>
        </w:tc>
        <w:tc>
          <w:tcPr>
            <w:tcW w:w="0" w:type="dxa"/>
            <w:shd w:val="clear" w:color="auto" w:fill="005677" w:themeFill="background2"/>
          </w:tcPr>
          <w:p w14:paraId="04C36E7C" w14:textId="0C9F9202" w:rsidR="004B0D49" w:rsidRDefault="004B0D49" w:rsidP="00654A2B">
            <w:pPr>
              <w:pStyle w:val="Tableheader"/>
              <w:rPr>
                <w:lang w:eastAsia="en-AU"/>
              </w:rPr>
            </w:pPr>
            <w:r>
              <w:rPr>
                <w:lang w:eastAsia="en-AU"/>
              </w:rPr>
              <w:t>Evaluator</w:t>
            </w:r>
          </w:p>
        </w:tc>
        <w:tc>
          <w:tcPr>
            <w:tcW w:w="0" w:type="dxa"/>
            <w:shd w:val="clear" w:color="auto" w:fill="005677" w:themeFill="background2"/>
          </w:tcPr>
          <w:p w14:paraId="5872306F" w14:textId="29EF9A65" w:rsidR="004B0D49" w:rsidRDefault="004B0D49" w:rsidP="00654A2B">
            <w:pPr>
              <w:pStyle w:val="Tableheader"/>
              <w:rPr>
                <w:lang w:eastAsia="en-AU"/>
              </w:rPr>
            </w:pPr>
            <w:r>
              <w:rPr>
                <w:lang w:eastAsia="en-AU"/>
              </w:rPr>
              <w:t>Type</w:t>
            </w:r>
          </w:p>
        </w:tc>
      </w:tr>
      <w:tr w:rsidR="004B0D49" w14:paraId="7F051CA5" w14:textId="77777777" w:rsidTr="008E12A7">
        <w:trPr>
          <w:cnfStyle w:val="000000100000" w:firstRow="0" w:lastRow="0" w:firstColumn="0" w:lastColumn="0" w:oddVBand="0" w:evenVBand="0" w:oddHBand="1" w:evenHBand="0" w:firstRowFirstColumn="0" w:firstRowLastColumn="0" w:lastRowFirstColumn="0" w:lastRowLastColumn="0"/>
        </w:trPr>
        <w:tc>
          <w:tcPr>
            <w:tcW w:w="0" w:type="dxa"/>
            <w:shd w:val="clear" w:color="auto" w:fill="E9E9EA" w:themeFill="accent5" w:themeFillTint="33"/>
          </w:tcPr>
          <w:p w14:paraId="67F4CEA3" w14:textId="1280ADA3" w:rsidR="004B0D49" w:rsidRDefault="004B0D49" w:rsidP="00654A2B">
            <w:pPr>
              <w:pStyle w:val="Tabletext"/>
              <w:rPr>
                <w:lang w:eastAsia="en-AU"/>
              </w:rPr>
            </w:pPr>
            <w:r>
              <w:rPr>
                <w:lang w:eastAsia="en-AU"/>
              </w:rPr>
              <w:t>2014</w:t>
            </w:r>
          </w:p>
        </w:tc>
        <w:tc>
          <w:tcPr>
            <w:tcW w:w="0" w:type="dxa"/>
            <w:shd w:val="clear" w:color="auto" w:fill="E9E9EA" w:themeFill="accent5" w:themeFillTint="33"/>
          </w:tcPr>
          <w:p w14:paraId="35A83E19" w14:textId="03D14E0E" w:rsidR="004B0D49" w:rsidRDefault="004B0D49" w:rsidP="00654A2B">
            <w:pPr>
              <w:pStyle w:val="Tabletext"/>
              <w:rPr>
                <w:lang w:eastAsia="en-AU"/>
              </w:rPr>
            </w:pPr>
            <w:r>
              <w:rPr>
                <w:lang w:eastAsia="en-AU"/>
              </w:rPr>
              <w:t>Ernst &amp; Young</w:t>
            </w:r>
          </w:p>
        </w:tc>
        <w:tc>
          <w:tcPr>
            <w:tcW w:w="0" w:type="dxa"/>
            <w:shd w:val="clear" w:color="auto" w:fill="E9E9EA" w:themeFill="accent5" w:themeFillTint="33"/>
          </w:tcPr>
          <w:p w14:paraId="12631ABA" w14:textId="07847B3A" w:rsidR="004B0D49" w:rsidRDefault="004B0D49" w:rsidP="00654A2B">
            <w:pPr>
              <w:pStyle w:val="Tabletext"/>
              <w:rPr>
                <w:lang w:eastAsia="en-AU"/>
              </w:rPr>
            </w:pPr>
            <w:r>
              <w:rPr>
                <w:lang w:eastAsia="en-AU"/>
              </w:rPr>
              <w:t>Review of Australian Industry Participation policies and programmes (not publicly released)</w:t>
            </w:r>
          </w:p>
        </w:tc>
      </w:tr>
      <w:tr w:rsidR="004B0D49" w14:paraId="3624C3B3" w14:textId="77777777" w:rsidTr="004B0D49">
        <w:trPr>
          <w:cnfStyle w:val="000000010000" w:firstRow="0" w:lastRow="0" w:firstColumn="0" w:lastColumn="0" w:oddVBand="0" w:evenVBand="0" w:oddHBand="0" w:evenHBand="1" w:firstRowFirstColumn="0" w:firstRowLastColumn="0" w:lastRowFirstColumn="0" w:lastRowLastColumn="0"/>
        </w:trPr>
        <w:tc>
          <w:tcPr>
            <w:tcW w:w="1077" w:type="dxa"/>
          </w:tcPr>
          <w:p w14:paraId="0228E64C" w14:textId="1878D6C8" w:rsidR="004B0D49" w:rsidRDefault="004B0D49" w:rsidP="00654A2B">
            <w:pPr>
              <w:pStyle w:val="Tabletext"/>
              <w:rPr>
                <w:lang w:eastAsia="en-AU"/>
              </w:rPr>
            </w:pPr>
            <w:r>
              <w:rPr>
                <w:lang w:eastAsia="en-AU"/>
              </w:rPr>
              <w:t>2018</w:t>
            </w:r>
          </w:p>
        </w:tc>
        <w:tc>
          <w:tcPr>
            <w:tcW w:w="1985" w:type="dxa"/>
          </w:tcPr>
          <w:p w14:paraId="7617AAED" w14:textId="59E2BD6F" w:rsidR="004B0D49" w:rsidRDefault="004B0D49" w:rsidP="00654A2B">
            <w:pPr>
              <w:pStyle w:val="Tabletext"/>
              <w:rPr>
                <w:lang w:eastAsia="en-AU"/>
              </w:rPr>
            </w:pPr>
            <w:r>
              <w:rPr>
                <w:lang w:eastAsia="en-AU"/>
              </w:rPr>
              <w:t>Deloitte</w:t>
            </w:r>
          </w:p>
        </w:tc>
        <w:tc>
          <w:tcPr>
            <w:tcW w:w="3832" w:type="dxa"/>
          </w:tcPr>
          <w:p w14:paraId="05054495" w14:textId="6DF9B466" w:rsidR="004B0D49" w:rsidRDefault="004B0D49" w:rsidP="00654A2B">
            <w:pPr>
              <w:pStyle w:val="Tabletext"/>
              <w:rPr>
                <w:lang w:eastAsia="en-AU"/>
              </w:rPr>
            </w:pPr>
            <w:r>
              <w:rPr>
                <w:lang w:eastAsia="en-AU"/>
              </w:rPr>
              <w:t>Industry Capability Platform: Review and recommended approach (not publicly released)</w:t>
            </w:r>
          </w:p>
        </w:tc>
      </w:tr>
      <w:tr w:rsidR="004B0D49" w14:paraId="3087B118" w14:textId="77777777" w:rsidTr="008E12A7">
        <w:trPr>
          <w:cnfStyle w:val="000000100000" w:firstRow="0" w:lastRow="0" w:firstColumn="0" w:lastColumn="0" w:oddVBand="0" w:evenVBand="0" w:oddHBand="1" w:evenHBand="0" w:firstRowFirstColumn="0" w:firstRowLastColumn="0" w:lastRowFirstColumn="0" w:lastRowLastColumn="0"/>
        </w:trPr>
        <w:tc>
          <w:tcPr>
            <w:tcW w:w="0" w:type="dxa"/>
            <w:shd w:val="clear" w:color="auto" w:fill="E9E9EA" w:themeFill="accent5" w:themeFillTint="33"/>
          </w:tcPr>
          <w:p w14:paraId="3B746D04" w14:textId="1B428A44" w:rsidR="004B0D49" w:rsidRDefault="004B0D49" w:rsidP="00654A2B">
            <w:pPr>
              <w:pStyle w:val="Tabletext"/>
              <w:rPr>
                <w:lang w:eastAsia="en-AU"/>
              </w:rPr>
            </w:pPr>
            <w:r>
              <w:rPr>
                <w:lang w:eastAsia="en-AU"/>
              </w:rPr>
              <w:t>2018</w:t>
            </w:r>
          </w:p>
        </w:tc>
        <w:tc>
          <w:tcPr>
            <w:tcW w:w="0" w:type="dxa"/>
            <w:shd w:val="clear" w:color="auto" w:fill="E9E9EA" w:themeFill="accent5" w:themeFillTint="33"/>
          </w:tcPr>
          <w:p w14:paraId="7C86F4C3" w14:textId="4C9329ED" w:rsidR="004B0D49" w:rsidRDefault="004B0D49" w:rsidP="00654A2B">
            <w:pPr>
              <w:pStyle w:val="Tabletext"/>
              <w:rPr>
                <w:lang w:eastAsia="en-AU"/>
              </w:rPr>
            </w:pPr>
            <w:r>
              <w:rPr>
                <w:lang w:eastAsia="en-AU"/>
              </w:rPr>
              <w:t>Quantum Consulting Australia</w:t>
            </w:r>
          </w:p>
        </w:tc>
        <w:tc>
          <w:tcPr>
            <w:tcW w:w="0" w:type="dxa"/>
            <w:shd w:val="clear" w:color="auto" w:fill="E9E9EA" w:themeFill="accent5" w:themeFillTint="33"/>
          </w:tcPr>
          <w:p w14:paraId="6068D386" w14:textId="0CCC8389" w:rsidR="004B0D49" w:rsidRDefault="00E32679" w:rsidP="00654A2B">
            <w:pPr>
              <w:pStyle w:val="Tabletext"/>
              <w:rPr>
                <w:lang w:eastAsia="en-AU"/>
              </w:rPr>
            </w:pPr>
            <w:hyperlink r:id="rId28" w:history="1">
              <w:r w:rsidR="004B0D49" w:rsidRPr="00AA7D1D">
                <w:rPr>
                  <w:rStyle w:val="Hyperlink"/>
                  <w:color w:val="auto"/>
                  <w:lang w:eastAsia="en-AU"/>
                </w:rPr>
                <w:t xml:space="preserve">Review of the Implementation of the </w:t>
              </w:r>
              <w:r w:rsidR="004B0D49" w:rsidRPr="00AA7D1D">
                <w:rPr>
                  <w:rStyle w:val="Hyperlink"/>
                  <w:i/>
                  <w:iCs/>
                  <w:color w:val="auto"/>
                  <w:lang w:eastAsia="en-AU"/>
                </w:rPr>
                <w:t>Australian Jobs Act 2013</w:t>
              </w:r>
            </w:hyperlink>
            <w:r w:rsidR="00794687" w:rsidRPr="00AA7D1D">
              <w:rPr>
                <w:color w:val="auto"/>
                <w:lang w:eastAsia="en-AU"/>
              </w:rPr>
              <w:t xml:space="preserve"> </w:t>
            </w:r>
            <w:r w:rsidR="00794687" w:rsidRPr="00794687">
              <w:rPr>
                <w:lang w:eastAsia="en-AU"/>
              </w:rPr>
              <w:t>(publicly released</w:t>
            </w:r>
            <w:r w:rsidR="00AA7D1D">
              <w:rPr>
                <w:rStyle w:val="FootnoteReference"/>
                <w:lang w:eastAsia="en-AU"/>
              </w:rPr>
              <w:footnoteReference w:id="4"/>
            </w:r>
            <w:r w:rsidR="00794687" w:rsidRPr="00794687">
              <w:rPr>
                <w:lang w:eastAsia="en-AU"/>
              </w:rPr>
              <w:t>)</w:t>
            </w:r>
          </w:p>
        </w:tc>
      </w:tr>
      <w:tr w:rsidR="004B0D49" w14:paraId="5582E8B5" w14:textId="77777777" w:rsidTr="004B0D49">
        <w:trPr>
          <w:cnfStyle w:val="000000010000" w:firstRow="0" w:lastRow="0" w:firstColumn="0" w:lastColumn="0" w:oddVBand="0" w:evenVBand="0" w:oddHBand="0" w:evenHBand="1" w:firstRowFirstColumn="0" w:firstRowLastColumn="0" w:lastRowFirstColumn="0" w:lastRowLastColumn="0"/>
        </w:trPr>
        <w:tc>
          <w:tcPr>
            <w:tcW w:w="1077" w:type="dxa"/>
          </w:tcPr>
          <w:p w14:paraId="7D6E911B" w14:textId="0EA5B02F" w:rsidR="004B0D49" w:rsidRDefault="004B0D49" w:rsidP="00654A2B">
            <w:pPr>
              <w:pStyle w:val="Tabletext"/>
              <w:rPr>
                <w:lang w:eastAsia="en-AU"/>
              </w:rPr>
            </w:pPr>
            <w:r>
              <w:rPr>
                <w:lang w:eastAsia="en-AU"/>
              </w:rPr>
              <w:t>2020</w:t>
            </w:r>
          </w:p>
        </w:tc>
        <w:tc>
          <w:tcPr>
            <w:tcW w:w="1985" w:type="dxa"/>
          </w:tcPr>
          <w:p w14:paraId="15C1BBF0" w14:textId="5FB424C1" w:rsidR="004B0D49" w:rsidRDefault="004B0D49" w:rsidP="00654A2B">
            <w:pPr>
              <w:pStyle w:val="Tabletext"/>
              <w:rPr>
                <w:lang w:eastAsia="en-AU"/>
              </w:rPr>
            </w:pPr>
            <w:r>
              <w:rPr>
                <w:lang w:eastAsia="en-AU"/>
              </w:rPr>
              <w:t>NintiOne</w:t>
            </w:r>
          </w:p>
        </w:tc>
        <w:tc>
          <w:tcPr>
            <w:tcW w:w="3832" w:type="dxa"/>
          </w:tcPr>
          <w:p w14:paraId="445394DE" w14:textId="138DE23B" w:rsidR="004B0D49" w:rsidRDefault="004B0D49" w:rsidP="00654A2B">
            <w:pPr>
              <w:pStyle w:val="Tabletext"/>
              <w:rPr>
                <w:lang w:eastAsia="en-AU"/>
              </w:rPr>
            </w:pPr>
            <w:r>
              <w:rPr>
                <w:lang w:eastAsia="en-AU"/>
              </w:rPr>
              <w:t>SMEs Participating in Major Projects Research Project</w:t>
            </w:r>
            <w:r w:rsidR="00794687">
              <w:rPr>
                <w:lang w:eastAsia="en-AU"/>
              </w:rPr>
              <w:t xml:space="preserve"> (not publicly released)</w:t>
            </w:r>
          </w:p>
        </w:tc>
      </w:tr>
      <w:tr w:rsidR="004B0D49" w14:paraId="15669C66" w14:textId="77777777" w:rsidTr="008E12A7">
        <w:trPr>
          <w:cnfStyle w:val="000000100000" w:firstRow="0" w:lastRow="0" w:firstColumn="0" w:lastColumn="0" w:oddVBand="0" w:evenVBand="0" w:oddHBand="1" w:evenHBand="0" w:firstRowFirstColumn="0" w:firstRowLastColumn="0" w:lastRowFirstColumn="0" w:lastRowLastColumn="0"/>
        </w:trPr>
        <w:tc>
          <w:tcPr>
            <w:tcW w:w="0" w:type="dxa"/>
            <w:shd w:val="clear" w:color="auto" w:fill="E9E9EA" w:themeFill="accent5" w:themeFillTint="33"/>
          </w:tcPr>
          <w:p w14:paraId="582CBFEB" w14:textId="31E364D2" w:rsidR="004B0D49" w:rsidRDefault="004B0D49" w:rsidP="00654A2B">
            <w:pPr>
              <w:pStyle w:val="Tabletext"/>
              <w:rPr>
                <w:lang w:eastAsia="en-AU"/>
              </w:rPr>
            </w:pPr>
            <w:r>
              <w:rPr>
                <w:lang w:eastAsia="en-AU"/>
              </w:rPr>
              <w:t>2021</w:t>
            </w:r>
          </w:p>
        </w:tc>
        <w:tc>
          <w:tcPr>
            <w:tcW w:w="0" w:type="dxa"/>
            <w:shd w:val="clear" w:color="auto" w:fill="E9E9EA" w:themeFill="accent5" w:themeFillTint="33"/>
          </w:tcPr>
          <w:p w14:paraId="47CB8C1D" w14:textId="5A2D700D" w:rsidR="004B0D49" w:rsidRDefault="004B0D49" w:rsidP="00654A2B">
            <w:pPr>
              <w:pStyle w:val="Tabletext"/>
              <w:rPr>
                <w:lang w:eastAsia="en-AU"/>
              </w:rPr>
            </w:pPr>
            <w:r>
              <w:rPr>
                <w:lang w:eastAsia="en-AU"/>
              </w:rPr>
              <w:t>DISR</w:t>
            </w:r>
          </w:p>
        </w:tc>
        <w:tc>
          <w:tcPr>
            <w:tcW w:w="0" w:type="dxa"/>
            <w:shd w:val="clear" w:color="auto" w:fill="E9E9EA" w:themeFill="accent5" w:themeFillTint="33"/>
          </w:tcPr>
          <w:p w14:paraId="66CB0408" w14:textId="620C428E" w:rsidR="004B0D49" w:rsidRDefault="004B0D49" w:rsidP="00654A2B">
            <w:pPr>
              <w:pStyle w:val="Tabletext"/>
              <w:rPr>
                <w:lang w:eastAsia="en-AU"/>
              </w:rPr>
            </w:pPr>
            <w:r>
              <w:rPr>
                <w:lang w:eastAsia="en-AU"/>
              </w:rPr>
              <w:t>Review of the Australian Industry Participation Procurement Connected Policy (</w:t>
            </w:r>
            <w:r w:rsidR="00794687">
              <w:rPr>
                <w:lang w:eastAsia="en-AU"/>
              </w:rPr>
              <w:t>not publicly released)</w:t>
            </w:r>
          </w:p>
        </w:tc>
      </w:tr>
    </w:tbl>
    <w:p w14:paraId="361F5B11" w14:textId="1E0B6DE0" w:rsidR="004B0D49" w:rsidRDefault="004B0D49" w:rsidP="00654A2B">
      <w:pPr>
        <w:pStyle w:val="Source"/>
        <w:rPr>
          <w:lang w:eastAsia="en-AU"/>
        </w:rPr>
      </w:pPr>
    </w:p>
    <w:p w14:paraId="4787883A" w14:textId="6B29423B" w:rsidR="004A2960" w:rsidRDefault="004A2960" w:rsidP="00C0682A">
      <w:pPr>
        <w:pStyle w:val="Heading2"/>
      </w:pPr>
      <w:bookmarkStart w:id="28" w:name="_Toc127440372"/>
      <w:bookmarkStart w:id="29" w:name="_Toc174018018"/>
      <w:r>
        <w:t>Authority for the evaluation</w:t>
      </w:r>
      <w:bookmarkEnd w:id="28"/>
      <w:bookmarkEnd w:id="29"/>
    </w:p>
    <w:p w14:paraId="41AE822E" w14:textId="1CF92CA0" w:rsidR="00BD03B5" w:rsidRDefault="002C0A45" w:rsidP="00E601BB">
      <w:pPr>
        <w:pStyle w:val="BodyText"/>
      </w:pPr>
      <w:r w:rsidRPr="002C0A45">
        <w:t>The acting AIP Authority agreed in June 2019 that an evaluation of AIP policy would be undertaken in 2022</w:t>
      </w:r>
      <w:r w:rsidR="00071FBD">
        <w:t>-</w:t>
      </w:r>
      <w:r w:rsidRPr="002C0A45">
        <w:t xml:space="preserve">23. In line with the department’s </w:t>
      </w:r>
      <w:r w:rsidRPr="002C0A45">
        <w:rPr>
          <w:i/>
        </w:rPr>
        <w:t xml:space="preserve">Evaluation Strategy 2017-2021, </w:t>
      </w:r>
      <w:r w:rsidRPr="002C0A45">
        <w:t xml:space="preserve">the evaluation of AIP policy </w:t>
      </w:r>
      <w:r>
        <w:t>w</w:t>
      </w:r>
      <w:r w:rsidRPr="002C0A45">
        <w:t xml:space="preserve">as identified as a </w:t>
      </w:r>
      <w:r w:rsidR="00E76371">
        <w:t>T</w:t>
      </w:r>
      <w:r w:rsidRPr="002C0A45">
        <w:t xml:space="preserve">ier </w:t>
      </w:r>
      <w:r w:rsidR="00E76371">
        <w:t>T</w:t>
      </w:r>
      <w:r w:rsidRPr="002C0A45">
        <w:t xml:space="preserve">wo evaluation to be undertaken by the Evaluation Unit with support from </w:t>
      </w:r>
      <w:r w:rsidR="00023FA7">
        <w:t xml:space="preserve">Industry Participation </w:t>
      </w:r>
      <w:r w:rsidR="0002770D">
        <w:t>and</w:t>
      </w:r>
      <w:r w:rsidR="0002770D" w:rsidRPr="0002770D">
        <w:t xml:space="preserve"> Major Project</w:t>
      </w:r>
      <w:r w:rsidR="00023FA7">
        <w:t>s</w:t>
      </w:r>
      <w:r w:rsidR="0002770D" w:rsidRPr="0002770D">
        <w:t xml:space="preserve"> Facilitation </w:t>
      </w:r>
      <w:r w:rsidRPr="0002770D">
        <w:t>Branch</w:t>
      </w:r>
      <w:r w:rsidR="00AA7D1D">
        <w:t xml:space="preserve"> (known as Australian Industry Participation Branch at the inception of the evaluation)</w:t>
      </w:r>
      <w:r w:rsidRPr="002C0A45">
        <w:t xml:space="preserve">. Tier </w:t>
      </w:r>
      <w:r w:rsidR="00E76371">
        <w:t>T</w:t>
      </w:r>
      <w:r w:rsidRPr="002C0A45">
        <w:t xml:space="preserve">wo evaluations are for programs with moderate risk, of medium strategic importance and public profile; this corresponds to a reasonable level of rigour and resourcing in the conduct of the evaluation. </w:t>
      </w:r>
    </w:p>
    <w:p w14:paraId="65256B42" w14:textId="2FCF0B8C" w:rsidR="002C0A45" w:rsidRPr="002C0A45" w:rsidRDefault="002C0A45" w:rsidP="00E601BB">
      <w:pPr>
        <w:pStyle w:val="BodyText"/>
      </w:pPr>
      <w:r w:rsidRPr="002C0A45">
        <w:t xml:space="preserve">For context, </w:t>
      </w:r>
      <w:r w:rsidR="00BD03B5">
        <w:t xml:space="preserve">under </w:t>
      </w:r>
      <w:r w:rsidRPr="002C0A45">
        <w:t xml:space="preserve">this </w:t>
      </w:r>
      <w:r w:rsidR="00BD03B5">
        <w:t>tiering system,</w:t>
      </w:r>
      <w:r w:rsidRPr="002C0A45">
        <w:t xml:space="preserve"> </w:t>
      </w:r>
      <w:r w:rsidR="00E76371">
        <w:t>T</w:t>
      </w:r>
      <w:r w:rsidRPr="002C0A45">
        <w:t xml:space="preserve">ier </w:t>
      </w:r>
      <w:r w:rsidR="00E76371">
        <w:t>O</w:t>
      </w:r>
      <w:r w:rsidRPr="002C0A45">
        <w:t xml:space="preserve">ne evaluations </w:t>
      </w:r>
      <w:r w:rsidR="00BD03B5">
        <w:t>involve</w:t>
      </w:r>
      <w:r w:rsidRPr="002C0A45">
        <w:t xml:space="preserve"> extensive public consultation and are highly resource intensive for programs involving significant funding and risk</w:t>
      </w:r>
      <w:r w:rsidR="00BD03B5">
        <w:t>. T</w:t>
      </w:r>
      <w:r w:rsidRPr="002C0A45">
        <w:t xml:space="preserve">ier </w:t>
      </w:r>
      <w:r w:rsidR="00BD03B5">
        <w:t>T</w:t>
      </w:r>
      <w:r w:rsidRPr="002C0A45">
        <w:t xml:space="preserve">hree evaluations are less formal and </w:t>
      </w:r>
      <w:r w:rsidR="00BD03B5">
        <w:t>are</w:t>
      </w:r>
      <w:r w:rsidRPr="002C0A45">
        <w:t xml:space="preserve"> used for lower value and lower risk programs with less public engagement. </w:t>
      </w:r>
    </w:p>
    <w:p w14:paraId="7DFFB4E5" w14:textId="523ADF55" w:rsidR="004A2960" w:rsidRDefault="004A2960" w:rsidP="00C0682A">
      <w:pPr>
        <w:pStyle w:val="Heading2"/>
      </w:pPr>
      <w:bookmarkStart w:id="30" w:name="_Toc127440373"/>
      <w:bookmarkStart w:id="31" w:name="_Toc174018019"/>
      <w:r>
        <w:t xml:space="preserve">Evaluation </w:t>
      </w:r>
      <w:r w:rsidR="002C0A45">
        <w:t xml:space="preserve">scope, </w:t>
      </w:r>
      <w:proofErr w:type="gramStart"/>
      <w:r w:rsidR="002C0A45">
        <w:t>timing</w:t>
      </w:r>
      <w:proofErr w:type="gramEnd"/>
      <w:r w:rsidR="002C0A45">
        <w:t xml:space="preserve"> </w:t>
      </w:r>
      <w:r>
        <w:t>and questions</w:t>
      </w:r>
      <w:bookmarkEnd w:id="30"/>
      <w:bookmarkEnd w:id="31"/>
    </w:p>
    <w:p w14:paraId="4CC4B7EA" w14:textId="3ADC8750" w:rsidR="004A2960" w:rsidRPr="00E601BB" w:rsidRDefault="002C0A45" w:rsidP="00E601BB">
      <w:pPr>
        <w:pStyle w:val="Heading3"/>
      </w:pPr>
      <w:bookmarkStart w:id="32" w:name="_Toc127440374"/>
      <w:r w:rsidRPr="00E601BB">
        <w:t>Scope and timing</w:t>
      </w:r>
      <w:bookmarkEnd w:id="32"/>
    </w:p>
    <w:p w14:paraId="59005F58" w14:textId="7A51740C" w:rsidR="002C0A45" w:rsidRDefault="003707ED" w:rsidP="003707ED">
      <w:pPr>
        <w:pStyle w:val="BodyText"/>
      </w:pPr>
      <w:r w:rsidRPr="003707ED">
        <w:t>The evaluation examined AIP policy’s effectiveness in meeting the intended objectives, by focusing on the design, implementation, outcomes,</w:t>
      </w:r>
      <w:r>
        <w:t xml:space="preserve"> and any unintended consequences</w:t>
      </w:r>
      <w:r w:rsidR="002C0A45">
        <w:t>.</w:t>
      </w:r>
      <w:r>
        <w:t xml:space="preserve"> </w:t>
      </w:r>
      <w:r w:rsidR="002C0A45">
        <w:t xml:space="preserve">The evaluation’s scope encompassed AIP requirements </w:t>
      </w:r>
      <w:r w:rsidR="00A03C6E">
        <w:t xml:space="preserve">as they </w:t>
      </w:r>
      <w:r w:rsidR="002C0A45">
        <w:t xml:space="preserve">applied </w:t>
      </w:r>
      <w:r w:rsidR="000E00AE">
        <w:t>to Jobs Act projects and</w:t>
      </w:r>
      <w:r w:rsidR="002C0A45">
        <w:t xml:space="preserve"> Commonwealth </w:t>
      </w:r>
      <w:r w:rsidR="003E4CD2">
        <w:t>funded projects.</w:t>
      </w:r>
      <w:r w:rsidR="002C0A45">
        <w:t xml:space="preserve"> </w:t>
      </w:r>
    </w:p>
    <w:p w14:paraId="301E6706" w14:textId="31D887AC" w:rsidR="00FE4A02" w:rsidRDefault="002C0A45" w:rsidP="00E601BB">
      <w:pPr>
        <w:pStyle w:val="BodyText"/>
      </w:pPr>
      <w:r>
        <w:t xml:space="preserve">The evaluation reflected on the extent to which this policy has achieved its intended outcomes, building on the insights gained through the 2018 Review of the Implementation of the </w:t>
      </w:r>
      <w:r w:rsidRPr="006A20E2">
        <w:rPr>
          <w:i/>
        </w:rPr>
        <w:t>Australian Jobs Act 2013</w:t>
      </w:r>
      <w:r>
        <w:t xml:space="preserve">. </w:t>
      </w:r>
      <w:r w:rsidR="00A03C6E">
        <w:t xml:space="preserve">The evaluation </w:t>
      </w:r>
      <w:r w:rsidR="00AE1FDC">
        <w:t>identified</w:t>
      </w:r>
      <w:r>
        <w:t xml:space="preserve"> areas of opportunity to improve AIP policy and ensure that it is attuned to the challenges industry and businesses face within the contemporary economic landscape</w:t>
      </w:r>
      <w:r w:rsidR="00651E90">
        <w:t>.</w:t>
      </w:r>
    </w:p>
    <w:p w14:paraId="1A219303" w14:textId="56950A72" w:rsidR="00FE4A02" w:rsidRDefault="00FE4A02" w:rsidP="00E601BB">
      <w:pPr>
        <w:pStyle w:val="BodyText"/>
      </w:pPr>
      <w:r>
        <w:t xml:space="preserve">The evaluation’s final scope did </w:t>
      </w:r>
      <w:r w:rsidRPr="00FE4A02">
        <w:t>not</w:t>
      </w:r>
      <w:r>
        <w:t xml:space="preserve"> look at</w:t>
      </w:r>
      <w:r w:rsidRPr="00FE4A02">
        <w:t xml:space="preserve"> </w:t>
      </w:r>
      <w:r>
        <w:t xml:space="preserve">alternative regulator models and did not include an assessment of </w:t>
      </w:r>
      <w:r w:rsidRPr="00FE4A02">
        <w:t>the Industry Capability Network Limited (ICNL)</w:t>
      </w:r>
      <w:r>
        <w:t>. An internal assessment of funding for ICNL was undertaken</w:t>
      </w:r>
      <w:r w:rsidR="00023FA7">
        <w:t xml:space="preserve"> separately</w:t>
      </w:r>
      <w:r>
        <w:t xml:space="preserve"> in late 2022.</w:t>
      </w:r>
    </w:p>
    <w:p w14:paraId="38E1F2E8" w14:textId="2612DD69" w:rsidR="00651E90" w:rsidRDefault="00651E90" w:rsidP="00E601BB">
      <w:pPr>
        <w:pStyle w:val="BodyText"/>
      </w:pPr>
      <w:r>
        <w:t xml:space="preserve">This evaluation process commenced in </w:t>
      </w:r>
      <w:r w:rsidR="00A543EE">
        <w:t>October</w:t>
      </w:r>
      <w:r>
        <w:t xml:space="preserve"> 2022 with data collection and analysis occurring </w:t>
      </w:r>
      <w:r w:rsidR="00C8211B">
        <w:t>from</w:t>
      </w:r>
      <w:r>
        <w:t xml:space="preserve"> late 2022 </w:t>
      </w:r>
      <w:r w:rsidR="00C8211B">
        <w:t>to</w:t>
      </w:r>
      <w:r>
        <w:t xml:space="preserve"> early 2023. This evaluation report reflects available data up to April 2023.</w:t>
      </w:r>
    </w:p>
    <w:p w14:paraId="4576A0CE" w14:textId="40AFDA05" w:rsidR="002C0A45" w:rsidRDefault="002C0A45" w:rsidP="002C0A45">
      <w:pPr>
        <w:pStyle w:val="Heading3"/>
      </w:pPr>
      <w:bookmarkStart w:id="33" w:name="_Toc127440375"/>
      <w:r>
        <w:lastRenderedPageBreak/>
        <w:t>Evaluation questions</w:t>
      </w:r>
      <w:bookmarkEnd w:id="33"/>
    </w:p>
    <w:p w14:paraId="274424B6" w14:textId="52C2533D" w:rsidR="002C0A45" w:rsidRPr="00DE59B7" w:rsidRDefault="002C0A45" w:rsidP="00E601BB">
      <w:pPr>
        <w:pStyle w:val="BodyText"/>
      </w:pPr>
      <w:r w:rsidRPr="00DE59B7">
        <w:t xml:space="preserve">The evaluation sought to answer the overarching question: </w:t>
      </w:r>
    </w:p>
    <w:p w14:paraId="7C412FE8" w14:textId="29C7B905" w:rsidR="002C0A45" w:rsidRPr="00DE59B7" w:rsidRDefault="002C0A45" w:rsidP="008E12A7">
      <w:pPr>
        <w:pStyle w:val="BodyText"/>
        <w:ind w:left="720" w:right="946"/>
        <w:rPr>
          <w:i/>
        </w:rPr>
      </w:pPr>
      <w:r w:rsidRPr="00DE59B7">
        <w:rPr>
          <w:i/>
        </w:rPr>
        <w:t>Has Australian Industry Participation policy provided Australian businesses full,</w:t>
      </w:r>
      <w:r w:rsidR="007463B8">
        <w:rPr>
          <w:i/>
        </w:rPr>
        <w:t xml:space="preserve"> </w:t>
      </w:r>
      <w:proofErr w:type="gramStart"/>
      <w:r w:rsidRPr="00DE59B7">
        <w:rPr>
          <w:i/>
        </w:rPr>
        <w:t>fair</w:t>
      </w:r>
      <w:proofErr w:type="gramEnd"/>
      <w:r w:rsidRPr="00DE59B7">
        <w:rPr>
          <w:i/>
        </w:rPr>
        <w:t xml:space="preserve"> and reasonable opportunity to participate in major projects and large Commonwealth Government funded projects, while minimising the regulation’s burden on procurement entities?</w:t>
      </w:r>
    </w:p>
    <w:p w14:paraId="6BD7D6A8" w14:textId="6135C251" w:rsidR="002C0A45" w:rsidRPr="00DE59B7" w:rsidRDefault="002C0A45" w:rsidP="00E601BB">
      <w:pPr>
        <w:pStyle w:val="BodyText"/>
      </w:pPr>
      <w:r w:rsidRPr="00DE59B7">
        <w:t xml:space="preserve">To answer this overarching question, this evaluation sought to answer the sub-questions below. </w:t>
      </w:r>
    </w:p>
    <w:p w14:paraId="50E0BC83" w14:textId="020C7DF9" w:rsidR="002C0A45" w:rsidRPr="0021530D" w:rsidRDefault="002C0A45" w:rsidP="0021530D">
      <w:pPr>
        <w:pStyle w:val="BodyText"/>
        <w:rPr>
          <w:b/>
          <w:bCs/>
          <w:i/>
          <w:iCs/>
        </w:rPr>
      </w:pPr>
      <w:r w:rsidRPr="0021530D">
        <w:rPr>
          <w:b/>
          <w:bCs/>
          <w:i/>
          <w:iCs/>
        </w:rPr>
        <w:t xml:space="preserve">Design and </w:t>
      </w:r>
      <w:proofErr w:type="gramStart"/>
      <w:r w:rsidR="005F12F7">
        <w:rPr>
          <w:b/>
          <w:bCs/>
          <w:i/>
          <w:iCs/>
        </w:rPr>
        <w:t>i</w:t>
      </w:r>
      <w:r w:rsidRPr="0021530D">
        <w:rPr>
          <w:b/>
          <w:bCs/>
          <w:i/>
          <w:iCs/>
        </w:rPr>
        <w:t>mplementation</w:t>
      </w:r>
      <w:proofErr w:type="gramEnd"/>
      <w:r w:rsidRPr="0021530D">
        <w:rPr>
          <w:b/>
          <w:bCs/>
          <w:i/>
          <w:iCs/>
        </w:rPr>
        <w:t xml:space="preserve"> </w:t>
      </w:r>
    </w:p>
    <w:p w14:paraId="58ACBEA9" w14:textId="77777777" w:rsidR="002C0A45" w:rsidRDefault="002C0A45" w:rsidP="00970285">
      <w:pPr>
        <w:pStyle w:val="BodyText"/>
        <w:numPr>
          <w:ilvl w:val="0"/>
          <w:numId w:val="16"/>
        </w:numPr>
      </w:pPr>
      <w:r>
        <w:t>What was the problem that the AIP policy was intended to address? Does this problem still exist?</w:t>
      </w:r>
    </w:p>
    <w:p w14:paraId="761B47C3" w14:textId="77777777" w:rsidR="002C0A45" w:rsidRPr="000D56FF" w:rsidRDefault="002C0A45" w:rsidP="00970285">
      <w:pPr>
        <w:pStyle w:val="BodyText"/>
        <w:numPr>
          <w:ilvl w:val="0"/>
          <w:numId w:val="16"/>
        </w:numPr>
      </w:pPr>
      <w:r>
        <w:t xml:space="preserve">How appropriate was the design of the AIP requirements, including the thresholds, scope and criteria used? </w:t>
      </w:r>
    </w:p>
    <w:p w14:paraId="0F9CF309" w14:textId="45F178CC" w:rsidR="002C0A45" w:rsidRPr="0086636C" w:rsidRDefault="002C0A45" w:rsidP="00970285">
      <w:pPr>
        <w:pStyle w:val="BodyText"/>
        <w:numPr>
          <w:ilvl w:val="0"/>
          <w:numId w:val="16"/>
        </w:numPr>
      </w:pPr>
      <w:r w:rsidRPr="00D541DE">
        <w:t>Are the governance arrangements for AIP appropriate?</w:t>
      </w:r>
      <w:r w:rsidRPr="0086636C">
        <w:t xml:space="preserve"> </w:t>
      </w:r>
    </w:p>
    <w:p w14:paraId="13246907" w14:textId="3D144741" w:rsidR="002C0A45" w:rsidRPr="0021530D" w:rsidRDefault="002C0A45" w:rsidP="0021530D">
      <w:pPr>
        <w:pStyle w:val="BodyText"/>
        <w:rPr>
          <w:b/>
          <w:bCs/>
          <w:i/>
          <w:iCs/>
        </w:rPr>
      </w:pPr>
      <w:r w:rsidRPr="0021530D">
        <w:rPr>
          <w:b/>
          <w:bCs/>
          <w:i/>
          <w:iCs/>
        </w:rPr>
        <w:t>Outcomes</w:t>
      </w:r>
    </w:p>
    <w:p w14:paraId="76DDF354" w14:textId="66402744" w:rsidR="002C0A45" w:rsidRPr="008C32F0" w:rsidRDefault="002C0A45" w:rsidP="00970285">
      <w:pPr>
        <w:pStyle w:val="BodyText"/>
        <w:numPr>
          <w:ilvl w:val="0"/>
          <w:numId w:val="16"/>
        </w:numPr>
      </w:pPr>
      <w:r w:rsidRPr="000D56FF">
        <w:t xml:space="preserve">Has the </w:t>
      </w:r>
      <w:r>
        <w:t>implementation of</w:t>
      </w:r>
      <w:r w:rsidRPr="000D56FF">
        <w:t xml:space="preserve"> AIP </w:t>
      </w:r>
      <w:r>
        <w:t xml:space="preserve">policy and </w:t>
      </w:r>
      <w:r w:rsidRPr="000D56FF">
        <w:t xml:space="preserve">requirements ensured full, </w:t>
      </w:r>
      <w:proofErr w:type="gramStart"/>
      <w:r w:rsidRPr="000D56FF">
        <w:t>fair</w:t>
      </w:r>
      <w:proofErr w:type="gramEnd"/>
      <w:r w:rsidRPr="000D56FF">
        <w:t xml:space="preserve"> and reasonable opportunity for Australian </w:t>
      </w:r>
      <w:r>
        <w:t>businesses</w:t>
      </w:r>
      <w:r w:rsidRPr="000D56FF">
        <w:t xml:space="preserve"> to compete for work</w:t>
      </w:r>
      <w:r>
        <w:t xml:space="preserve"> and supported the creation and retention of Australian jobs</w:t>
      </w:r>
      <w:r w:rsidRPr="000D56FF">
        <w:t>?</w:t>
      </w:r>
    </w:p>
    <w:p w14:paraId="3BCCC9CA" w14:textId="77777777" w:rsidR="002C0A45" w:rsidRPr="000D56FF" w:rsidRDefault="002C0A45" w:rsidP="00970285">
      <w:pPr>
        <w:pStyle w:val="BodyText"/>
        <w:numPr>
          <w:ilvl w:val="0"/>
          <w:numId w:val="16"/>
        </w:numPr>
      </w:pPr>
      <w:r>
        <w:t xml:space="preserve">Describe and quantify (where possible) the impacts of the AIP on Australian industry, the average cost of meeting AIP requirements for proponents, and the range of costs across different sized businesses. </w:t>
      </w:r>
    </w:p>
    <w:p w14:paraId="3A660FFE" w14:textId="620698CA" w:rsidR="002C0A45" w:rsidRPr="000D56FF" w:rsidRDefault="002C0A45" w:rsidP="00970285">
      <w:pPr>
        <w:pStyle w:val="BodyText"/>
        <w:numPr>
          <w:ilvl w:val="0"/>
          <w:numId w:val="16"/>
        </w:numPr>
      </w:pPr>
      <w:r w:rsidRPr="000D56FF">
        <w:t xml:space="preserve">Have </w:t>
      </w:r>
      <w:r>
        <w:t xml:space="preserve">the </w:t>
      </w:r>
      <w:r w:rsidRPr="000D56FF">
        <w:t xml:space="preserve">AIP requirements had any unintended </w:t>
      </w:r>
      <w:r>
        <w:t>consequences (positive or negative)</w:t>
      </w:r>
      <w:r w:rsidRPr="000D56FF">
        <w:t xml:space="preserve"> </w:t>
      </w:r>
      <w:r>
        <w:t>for</w:t>
      </w:r>
      <w:r w:rsidRPr="000D56FF">
        <w:t xml:space="preserve"> </w:t>
      </w:r>
      <w:r>
        <w:t>Australian industry</w:t>
      </w:r>
      <w:r w:rsidRPr="000D56FF">
        <w:t xml:space="preserve">? </w:t>
      </w:r>
      <w:r>
        <w:t>If so, what unintended consequences have there been, who has been affected, and how have they been affected</w:t>
      </w:r>
      <w:r w:rsidR="00500D97">
        <w:t>?</w:t>
      </w:r>
    </w:p>
    <w:p w14:paraId="7880534B" w14:textId="1023B261" w:rsidR="002C0A45" w:rsidRPr="0021530D" w:rsidRDefault="002C0A45" w:rsidP="0021530D">
      <w:pPr>
        <w:pStyle w:val="BodyText"/>
        <w:rPr>
          <w:b/>
          <w:bCs/>
          <w:i/>
          <w:iCs/>
        </w:rPr>
      </w:pPr>
      <w:r w:rsidRPr="0021530D">
        <w:rPr>
          <w:b/>
          <w:bCs/>
          <w:i/>
          <w:iCs/>
        </w:rPr>
        <w:t xml:space="preserve">Lessons </w:t>
      </w:r>
      <w:proofErr w:type="gramStart"/>
      <w:r w:rsidRPr="0021530D">
        <w:rPr>
          <w:b/>
          <w:bCs/>
          <w:i/>
          <w:iCs/>
        </w:rPr>
        <w:t>learned</w:t>
      </w:r>
      <w:proofErr w:type="gramEnd"/>
    </w:p>
    <w:p w14:paraId="6E086425" w14:textId="59669F64" w:rsidR="002C0A45" w:rsidRPr="000D56FF" w:rsidRDefault="002C0A45" w:rsidP="00970285">
      <w:pPr>
        <w:pStyle w:val="BodyText"/>
        <w:numPr>
          <w:ilvl w:val="0"/>
          <w:numId w:val="16"/>
        </w:numPr>
      </w:pPr>
      <w:r w:rsidRPr="000D56FF">
        <w:t xml:space="preserve">What lessons can be drawn from the program to </w:t>
      </w:r>
      <w:bookmarkStart w:id="34" w:name="_Hlk132180935"/>
      <w:r w:rsidRPr="000D56FF">
        <w:t xml:space="preserve">improve the efficiency or effectiveness </w:t>
      </w:r>
      <w:bookmarkEnd w:id="34"/>
      <w:r w:rsidRPr="000D56FF">
        <w:t xml:space="preserve">of </w:t>
      </w:r>
      <w:r>
        <w:t xml:space="preserve">AIP policy and </w:t>
      </w:r>
      <w:r w:rsidRPr="000D56FF">
        <w:t xml:space="preserve">future initiatives? </w:t>
      </w:r>
    </w:p>
    <w:p w14:paraId="6CD1A5CE" w14:textId="0D8FB8A5" w:rsidR="004A2960" w:rsidRDefault="004A2960" w:rsidP="00C0682A">
      <w:pPr>
        <w:pStyle w:val="Heading2"/>
      </w:pPr>
      <w:bookmarkStart w:id="35" w:name="_Toc127440376"/>
      <w:bookmarkStart w:id="36" w:name="_Toc174018020"/>
      <w:r>
        <w:t>Governance of the evaluation</w:t>
      </w:r>
      <w:bookmarkEnd w:id="35"/>
      <w:bookmarkEnd w:id="36"/>
    </w:p>
    <w:p w14:paraId="69E74A60" w14:textId="565F24D9" w:rsidR="0021530D" w:rsidRPr="00E601BB" w:rsidRDefault="0021530D" w:rsidP="00E601BB">
      <w:pPr>
        <w:pStyle w:val="BodyText"/>
      </w:pPr>
      <w:r w:rsidRPr="00E601BB">
        <w:t xml:space="preserve">The evaluation was governed by a </w:t>
      </w:r>
      <w:r w:rsidR="00A2407B">
        <w:t xml:space="preserve">Senior </w:t>
      </w:r>
      <w:r w:rsidR="00071FBD">
        <w:t>E</w:t>
      </w:r>
      <w:r w:rsidR="00A2407B">
        <w:t xml:space="preserve">xecutive </w:t>
      </w:r>
      <w:r w:rsidR="00071FBD">
        <w:t>S</w:t>
      </w:r>
      <w:r w:rsidR="00A2407B">
        <w:t xml:space="preserve">ervice (SES) level </w:t>
      </w:r>
      <w:r w:rsidR="00071FBD">
        <w:t>r</w:t>
      </w:r>
      <w:r w:rsidRPr="00E601BB">
        <w:t xml:space="preserve">eference </w:t>
      </w:r>
      <w:r w:rsidR="00071FBD">
        <w:t>g</w:t>
      </w:r>
      <w:r w:rsidRPr="00E601BB">
        <w:t xml:space="preserve">roup, which provided strategic guidance and direction throughout the evaluation. This included endorsing the </w:t>
      </w:r>
      <w:r w:rsidR="00071FBD">
        <w:t>t</w:t>
      </w:r>
      <w:r w:rsidRPr="00E601BB">
        <w:t xml:space="preserve">erms of </w:t>
      </w:r>
      <w:r w:rsidR="00071FBD">
        <w:t>r</w:t>
      </w:r>
      <w:r w:rsidRPr="00E601BB">
        <w:t>eference and providing feedback on the draft report.</w:t>
      </w:r>
      <w:r w:rsidR="00733988" w:rsidRPr="00E601BB">
        <w:t xml:space="preserve"> </w:t>
      </w:r>
      <w:r w:rsidR="00733988" w:rsidRPr="00131732">
        <w:t xml:space="preserve">The final report </w:t>
      </w:r>
      <w:r w:rsidR="00C6016B" w:rsidRPr="00131732">
        <w:t>was</w:t>
      </w:r>
      <w:r w:rsidR="00733988" w:rsidRPr="00131732">
        <w:t xml:space="preserve"> signed off by the Chair of the </w:t>
      </w:r>
      <w:r w:rsidR="00071FBD">
        <w:t>r</w:t>
      </w:r>
      <w:r w:rsidR="00733988" w:rsidRPr="00131732">
        <w:t xml:space="preserve">eference </w:t>
      </w:r>
      <w:r w:rsidR="00071FBD">
        <w:t>g</w:t>
      </w:r>
      <w:r w:rsidR="00733988" w:rsidRPr="00131732">
        <w:t>roup.</w:t>
      </w:r>
    </w:p>
    <w:p w14:paraId="691D24DB" w14:textId="377F98FB" w:rsidR="0021530D" w:rsidRPr="00E601BB" w:rsidRDefault="0021530D" w:rsidP="00E601BB">
      <w:pPr>
        <w:pStyle w:val="BodyText"/>
      </w:pPr>
      <w:r w:rsidRPr="00E601BB">
        <w:t xml:space="preserve">The </w:t>
      </w:r>
      <w:r w:rsidR="00071FBD">
        <w:t>r</w:t>
      </w:r>
      <w:r w:rsidRPr="00E601BB">
        <w:t xml:space="preserve">eference </w:t>
      </w:r>
      <w:r w:rsidR="00071FBD">
        <w:t>g</w:t>
      </w:r>
      <w:r w:rsidRPr="00E601BB">
        <w:t xml:space="preserve">roup comprised the following members: </w:t>
      </w:r>
    </w:p>
    <w:p w14:paraId="1E1BD98D" w14:textId="4FAE7F99" w:rsidR="0021530D" w:rsidRPr="00E601BB" w:rsidRDefault="0021530D" w:rsidP="00865F98">
      <w:pPr>
        <w:pStyle w:val="BodyText"/>
        <w:numPr>
          <w:ilvl w:val="0"/>
          <w:numId w:val="20"/>
        </w:numPr>
      </w:pPr>
      <w:r w:rsidRPr="00E601BB">
        <w:t xml:space="preserve">SES Band 1, Data and Evaluation </w:t>
      </w:r>
      <w:r w:rsidR="00C6016B">
        <w:t>Branch</w:t>
      </w:r>
      <w:r w:rsidRPr="00E601BB">
        <w:t xml:space="preserve"> (Chair)</w:t>
      </w:r>
      <w:r w:rsidR="00672AF1">
        <w:t>.</w:t>
      </w:r>
    </w:p>
    <w:p w14:paraId="2D75B098" w14:textId="3E3CC644" w:rsidR="0021530D" w:rsidRPr="00E601BB" w:rsidRDefault="0021530D" w:rsidP="00865F98">
      <w:pPr>
        <w:pStyle w:val="BodyText"/>
        <w:numPr>
          <w:ilvl w:val="0"/>
          <w:numId w:val="20"/>
        </w:numPr>
      </w:pPr>
      <w:r w:rsidRPr="00E601BB">
        <w:t xml:space="preserve">SES Band 1, </w:t>
      </w:r>
      <w:r w:rsidR="002755BA">
        <w:t xml:space="preserve">Industry Participation and Major Projects Facilitation </w:t>
      </w:r>
      <w:r w:rsidR="002D3411" w:rsidRPr="002D3411">
        <w:t>Branch</w:t>
      </w:r>
      <w:r w:rsidR="002755BA">
        <w:t xml:space="preserve"> (known as Australian Industry Participation Branch at the inception of the evaluation). </w:t>
      </w:r>
    </w:p>
    <w:p w14:paraId="17047DCE" w14:textId="38B5EAAA" w:rsidR="0021530D" w:rsidRPr="00E601BB" w:rsidRDefault="0021530D" w:rsidP="00865F98">
      <w:pPr>
        <w:pStyle w:val="BodyText"/>
        <w:numPr>
          <w:ilvl w:val="0"/>
          <w:numId w:val="20"/>
        </w:numPr>
      </w:pPr>
      <w:r w:rsidRPr="00E601BB">
        <w:t xml:space="preserve">SES Band 1, </w:t>
      </w:r>
      <w:r w:rsidR="002D3411">
        <w:t>Mining</w:t>
      </w:r>
      <w:r w:rsidRPr="00E601BB">
        <w:t xml:space="preserve"> Branch</w:t>
      </w:r>
      <w:r w:rsidR="002755BA">
        <w:t xml:space="preserve"> (known as Major Projects Branch at the inception of the evaluation)</w:t>
      </w:r>
      <w:r w:rsidRPr="00E601BB">
        <w:t>.</w:t>
      </w:r>
    </w:p>
    <w:p w14:paraId="225AFF5C" w14:textId="2776C01D" w:rsidR="0021530D" w:rsidRPr="00E601BB" w:rsidRDefault="0021530D" w:rsidP="00865F98">
      <w:pPr>
        <w:pStyle w:val="BodyText"/>
        <w:numPr>
          <w:ilvl w:val="0"/>
          <w:numId w:val="20"/>
        </w:numPr>
      </w:pPr>
      <w:r w:rsidRPr="00E601BB">
        <w:lastRenderedPageBreak/>
        <w:t>SES Band</w:t>
      </w:r>
      <w:r w:rsidR="00FD5842">
        <w:t xml:space="preserve"> </w:t>
      </w:r>
      <w:r w:rsidRPr="00E601BB">
        <w:t xml:space="preserve">1, </w:t>
      </w:r>
      <w:r w:rsidR="00204D35">
        <w:t xml:space="preserve">Australian Industry Capability Delivery, </w:t>
      </w:r>
      <w:r w:rsidRPr="00E601BB">
        <w:t>Department of Defence</w:t>
      </w:r>
      <w:r w:rsidR="00A95F92">
        <w:t>.</w:t>
      </w:r>
    </w:p>
    <w:p w14:paraId="439FA211" w14:textId="4F870BEE" w:rsidR="004A2960" w:rsidRDefault="004A2960" w:rsidP="00C0682A">
      <w:pPr>
        <w:pStyle w:val="Heading2"/>
      </w:pPr>
      <w:bookmarkStart w:id="37" w:name="_Toc127440377"/>
      <w:bookmarkStart w:id="38" w:name="_Toc174018021"/>
      <w:r>
        <w:t>Evaluation methodology</w:t>
      </w:r>
      <w:bookmarkEnd w:id="37"/>
      <w:bookmarkEnd w:id="38"/>
    </w:p>
    <w:p w14:paraId="09090137" w14:textId="22FCE305" w:rsidR="004A2960" w:rsidRPr="00E601BB" w:rsidRDefault="004A7C86" w:rsidP="00E601BB">
      <w:pPr>
        <w:pStyle w:val="BodyText"/>
      </w:pPr>
      <w:r>
        <w:t xml:space="preserve">The </w:t>
      </w:r>
      <w:r w:rsidRPr="00E601BB">
        <w:t>evaluation</w:t>
      </w:r>
      <w:r w:rsidR="004A2960" w:rsidRPr="00E601BB">
        <w:t xml:space="preserve"> used a</w:t>
      </w:r>
      <w:r w:rsidR="003707ED">
        <w:t xml:space="preserve"> mixed qualitative and quantitative </w:t>
      </w:r>
      <w:r w:rsidR="004A2960" w:rsidRPr="00E601BB">
        <w:t>approach</w:t>
      </w:r>
      <w:r w:rsidR="000B7AF6">
        <w:t xml:space="preserve"> to </w:t>
      </w:r>
      <w:r w:rsidR="004A2960" w:rsidRPr="00E601BB">
        <w:t xml:space="preserve">draw on a range of sources to answer the </w:t>
      </w:r>
      <w:r w:rsidR="000B7AF6">
        <w:t xml:space="preserve">key </w:t>
      </w:r>
      <w:r w:rsidR="004A2960" w:rsidRPr="00E601BB">
        <w:t xml:space="preserve">evaluation questions. The evaluators: </w:t>
      </w:r>
    </w:p>
    <w:p w14:paraId="098E18D8" w14:textId="3FF212C9" w:rsidR="004A2960" w:rsidRPr="00F9549A" w:rsidRDefault="00247E77" w:rsidP="00970285">
      <w:pPr>
        <w:pStyle w:val="ListBullet"/>
        <w:numPr>
          <w:ilvl w:val="0"/>
          <w:numId w:val="17"/>
        </w:numPr>
      </w:pPr>
      <w:r>
        <w:t>Surveyed businesses</w:t>
      </w:r>
      <w:r w:rsidR="006245C2">
        <w:t>, and peak</w:t>
      </w:r>
      <w:r w:rsidR="00CD0985">
        <w:t xml:space="preserve"> bodies</w:t>
      </w:r>
      <w:r w:rsidR="006245C2">
        <w:t xml:space="preserve"> and unions.</w:t>
      </w:r>
    </w:p>
    <w:p w14:paraId="5315D840" w14:textId="34497207" w:rsidR="00E4063D" w:rsidRDefault="00833011" w:rsidP="00225F46">
      <w:pPr>
        <w:pStyle w:val="ListBullet2"/>
        <w:numPr>
          <w:ilvl w:val="1"/>
          <w:numId w:val="18"/>
        </w:numPr>
      </w:pPr>
      <w:r>
        <w:t>Three</w:t>
      </w:r>
      <w:r w:rsidR="00E4063D">
        <w:t xml:space="preserve"> </w:t>
      </w:r>
      <w:r>
        <w:t xml:space="preserve">separate </w:t>
      </w:r>
      <w:r w:rsidR="00E4063D">
        <w:t>surveys were prepared</w:t>
      </w:r>
      <w:r>
        <w:t xml:space="preserve"> with</w:t>
      </w:r>
      <w:r w:rsidR="00692C42">
        <w:t xml:space="preserve"> tailored</w:t>
      </w:r>
      <w:r>
        <w:t xml:space="preserve"> questions </w:t>
      </w:r>
      <w:r w:rsidR="00692C42">
        <w:t>for</w:t>
      </w:r>
      <w:r>
        <w:t xml:space="preserve"> </w:t>
      </w:r>
      <w:r w:rsidR="00247E77">
        <w:t>suppliers, proponents, and peak</w:t>
      </w:r>
      <w:r w:rsidR="009034BC">
        <w:t xml:space="preserve"> bodies</w:t>
      </w:r>
      <w:r w:rsidR="00247E77">
        <w:t xml:space="preserve"> and </w:t>
      </w:r>
      <w:r w:rsidR="0011663C">
        <w:t>unions.</w:t>
      </w:r>
    </w:p>
    <w:p w14:paraId="39DE313F" w14:textId="7FA52D0A" w:rsidR="003707ED" w:rsidRDefault="0008709B" w:rsidP="00A54C6C">
      <w:pPr>
        <w:pStyle w:val="ListBullet2"/>
        <w:numPr>
          <w:ilvl w:val="1"/>
          <w:numId w:val="18"/>
        </w:numPr>
      </w:pPr>
      <w:r>
        <w:t>The s</w:t>
      </w:r>
      <w:r w:rsidR="006245C2">
        <w:t>urveys were</w:t>
      </w:r>
      <w:r w:rsidR="00225F46">
        <w:t xml:space="preserve"> accessible</w:t>
      </w:r>
      <w:r w:rsidR="006245C2">
        <w:t xml:space="preserve"> on the </w:t>
      </w:r>
      <w:r w:rsidR="00225F46">
        <w:t>DISR’s</w:t>
      </w:r>
      <w:r w:rsidR="006245C2">
        <w:t xml:space="preserve"> Consultation Hub</w:t>
      </w:r>
      <w:r w:rsidR="0021530D">
        <w:t xml:space="preserve"> </w:t>
      </w:r>
      <w:r w:rsidR="00F625F9">
        <w:t xml:space="preserve">and </w:t>
      </w:r>
      <w:r w:rsidR="006F540E">
        <w:t xml:space="preserve">promoted </w:t>
      </w:r>
      <w:r>
        <w:t>to a large cross-section of potential respondents</w:t>
      </w:r>
      <w:r w:rsidR="00050162">
        <w:t xml:space="preserve"> through direct emails and DISR social media. </w:t>
      </w:r>
    </w:p>
    <w:p w14:paraId="04D6EC8D" w14:textId="78816DF4" w:rsidR="00A016EA" w:rsidRDefault="00A016EA" w:rsidP="00A016EA">
      <w:pPr>
        <w:pStyle w:val="ListBullet2"/>
        <w:numPr>
          <w:ilvl w:val="1"/>
          <w:numId w:val="18"/>
        </w:numPr>
      </w:pPr>
      <w:r>
        <w:t>66 business</w:t>
      </w:r>
      <w:r w:rsidR="00B1312A">
        <w:t>es completed</w:t>
      </w:r>
      <w:r>
        <w:t xml:space="preserve"> the survey</w:t>
      </w:r>
      <w:r w:rsidR="00033DFF">
        <w:t>:</w:t>
      </w:r>
    </w:p>
    <w:p w14:paraId="443D8D2D" w14:textId="33B3294B" w:rsidR="00A016EA" w:rsidRDefault="00A016EA" w:rsidP="007B523B">
      <w:pPr>
        <w:pStyle w:val="ListBullet2"/>
        <w:numPr>
          <w:ilvl w:val="2"/>
          <w:numId w:val="18"/>
        </w:numPr>
      </w:pPr>
      <w:r>
        <w:t>26 business respondents identif</w:t>
      </w:r>
      <w:r w:rsidR="00A40C65">
        <w:t>ied</w:t>
      </w:r>
      <w:r>
        <w:t xml:space="preserve"> as proponents.</w:t>
      </w:r>
    </w:p>
    <w:p w14:paraId="24E4384B" w14:textId="00A855B5" w:rsidR="00A32191" w:rsidRDefault="00A016EA" w:rsidP="00A32191">
      <w:pPr>
        <w:pStyle w:val="ListBullet2"/>
        <w:numPr>
          <w:ilvl w:val="2"/>
          <w:numId w:val="18"/>
        </w:numPr>
      </w:pPr>
      <w:r>
        <w:t>40 business respondents identifi</w:t>
      </w:r>
      <w:r w:rsidR="00A40C65">
        <w:t>ed</w:t>
      </w:r>
      <w:r>
        <w:t xml:space="preserve"> as </w:t>
      </w:r>
      <w:r w:rsidR="0011663C">
        <w:t>suppliers.</w:t>
      </w:r>
    </w:p>
    <w:p w14:paraId="7BE273AE" w14:textId="5A1A65B9" w:rsidR="001B546D" w:rsidRDefault="001B546D" w:rsidP="00A32191">
      <w:pPr>
        <w:pStyle w:val="ListBullet2"/>
        <w:numPr>
          <w:ilvl w:val="1"/>
          <w:numId w:val="18"/>
        </w:numPr>
      </w:pPr>
      <w:bookmarkStart w:id="39" w:name="_Hlk132699509"/>
      <w:r>
        <w:t>7</w:t>
      </w:r>
      <w:r w:rsidR="00A016EA">
        <w:t xml:space="preserve"> peak bodies and unions </w:t>
      </w:r>
      <w:r>
        <w:t>completed the survey.</w:t>
      </w:r>
    </w:p>
    <w:p w14:paraId="41BD5654" w14:textId="2827D1D5" w:rsidR="002A4C3A" w:rsidRDefault="002A4C3A" w:rsidP="00A32191">
      <w:pPr>
        <w:pStyle w:val="ListBullet2"/>
        <w:numPr>
          <w:ilvl w:val="1"/>
          <w:numId w:val="18"/>
        </w:numPr>
      </w:pPr>
      <w:bookmarkStart w:id="40" w:name="_Hlk132643887"/>
      <w:bookmarkEnd w:id="39"/>
      <w:r>
        <w:t xml:space="preserve">Survey results are presented as a </w:t>
      </w:r>
      <w:r w:rsidR="00915602">
        <w:t>figure</w:t>
      </w:r>
      <w:r>
        <w:t xml:space="preserve"> out </w:t>
      </w:r>
      <w:r w:rsidR="00915602">
        <w:t xml:space="preserve">of the number of respondents for a particular question. For example, </w:t>
      </w:r>
      <w:r w:rsidR="00915602" w:rsidRPr="00915602">
        <w:t xml:space="preserve">(18 of </w:t>
      </w:r>
      <w:r w:rsidR="00915602" w:rsidRPr="00915602">
        <w:rPr>
          <w:i/>
          <w:iCs/>
        </w:rPr>
        <w:t>24</w:t>
      </w:r>
      <w:r w:rsidR="00915602" w:rsidRPr="00915602">
        <w:t xml:space="preserve">) </w:t>
      </w:r>
      <w:r w:rsidR="00915602">
        <w:t>or</w:t>
      </w:r>
      <w:r w:rsidR="00915602" w:rsidRPr="00915602">
        <w:t xml:space="preserve"> (21 of </w:t>
      </w:r>
      <w:r w:rsidR="00915602" w:rsidRPr="00915602">
        <w:rPr>
          <w:i/>
          <w:iCs/>
        </w:rPr>
        <w:t>39</w:t>
      </w:r>
      <w:r w:rsidR="00915602" w:rsidRPr="00915602">
        <w:t xml:space="preserve">) </w:t>
      </w:r>
      <w:r w:rsidR="00FF5A67">
        <w:t>indicates that</w:t>
      </w:r>
      <w:r w:rsidR="00915602">
        <w:t xml:space="preserve"> not all proponents</w:t>
      </w:r>
      <w:r w:rsidR="00FF5A67">
        <w:t xml:space="preserve"> (26)</w:t>
      </w:r>
      <w:r w:rsidR="00915602">
        <w:t xml:space="preserve"> or suppliers</w:t>
      </w:r>
      <w:r w:rsidR="00FF5A67">
        <w:t xml:space="preserve"> (40)</w:t>
      </w:r>
      <w:r w:rsidR="00915602">
        <w:t xml:space="preserve"> responded to </w:t>
      </w:r>
      <w:r w:rsidR="00FF5A67">
        <w:t>that</w:t>
      </w:r>
      <w:r w:rsidR="00915602">
        <w:t xml:space="preserve"> qu</w:t>
      </w:r>
      <w:r w:rsidR="00FF5074">
        <w:t>estion</w:t>
      </w:r>
      <w:r w:rsidR="00915602">
        <w:t>.</w:t>
      </w:r>
      <w:r w:rsidR="00915602" w:rsidRPr="00915602">
        <w:t xml:space="preserve">   </w:t>
      </w:r>
    </w:p>
    <w:bookmarkEnd w:id="40"/>
    <w:p w14:paraId="7C702E4C" w14:textId="58BA8D43" w:rsidR="004A2960" w:rsidRPr="00F9549A" w:rsidRDefault="004A2960" w:rsidP="00970285">
      <w:pPr>
        <w:pStyle w:val="ListBullet"/>
        <w:numPr>
          <w:ilvl w:val="0"/>
          <w:numId w:val="17"/>
        </w:numPr>
      </w:pPr>
      <w:r w:rsidRPr="00F9549A">
        <w:t xml:space="preserve">Conducted </w:t>
      </w:r>
      <w:r w:rsidR="006245C2">
        <w:t>14</w:t>
      </w:r>
      <w:r w:rsidRPr="00F9549A">
        <w:t xml:space="preserve"> semi-structured interviews, with a total of </w:t>
      </w:r>
      <w:r w:rsidR="00451DC8">
        <w:t>20</w:t>
      </w:r>
      <w:r w:rsidRPr="00F9549A">
        <w:t xml:space="preserve"> stakeholders representing </w:t>
      </w:r>
      <w:r w:rsidR="0049129C">
        <w:t xml:space="preserve">DISR and </w:t>
      </w:r>
      <w:r w:rsidR="001B546D">
        <w:t xml:space="preserve">5 </w:t>
      </w:r>
      <w:r w:rsidR="0049129C">
        <w:t>external</w:t>
      </w:r>
      <w:r w:rsidRPr="00F9549A">
        <w:t xml:space="preserve"> organisations</w:t>
      </w:r>
      <w:r w:rsidR="000E4B4B">
        <w:t>.</w:t>
      </w:r>
    </w:p>
    <w:p w14:paraId="056EF9AB" w14:textId="6D9D6161" w:rsidR="006245C2" w:rsidRDefault="006245C2" w:rsidP="00970285">
      <w:pPr>
        <w:pStyle w:val="ListParagraph"/>
        <w:numPr>
          <w:ilvl w:val="0"/>
          <w:numId w:val="17"/>
        </w:numPr>
      </w:pPr>
      <w:r w:rsidRPr="00F9549A">
        <w:t xml:space="preserve">Reviewed </w:t>
      </w:r>
      <w:r w:rsidR="006875CB">
        <w:t xml:space="preserve">AIP </w:t>
      </w:r>
      <w:r w:rsidRPr="00F9549A">
        <w:t>documentation</w:t>
      </w:r>
      <w:r>
        <w:t xml:space="preserve"> and data</w:t>
      </w:r>
      <w:r w:rsidR="003E4CD2">
        <w:t xml:space="preserve">, including a sample of </w:t>
      </w:r>
      <w:r w:rsidR="007F384C">
        <w:t xml:space="preserve">AIP Plans, </w:t>
      </w:r>
      <w:r w:rsidR="003E4CD2">
        <w:t xml:space="preserve">Compliance </w:t>
      </w:r>
      <w:r w:rsidR="00A56FB0">
        <w:t xml:space="preserve">Reports </w:t>
      </w:r>
      <w:r w:rsidR="005159BA">
        <w:t xml:space="preserve">(for Jobs Act projects) </w:t>
      </w:r>
      <w:r w:rsidR="003E4CD2">
        <w:t>and Implementation Reports</w:t>
      </w:r>
      <w:r w:rsidR="005159BA">
        <w:t xml:space="preserve"> (for </w:t>
      </w:r>
      <w:r w:rsidR="00D04D2D">
        <w:t xml:space="preserve">projects receiving </w:t>
      </w:r>
      <w:r w:rsidR="005159BA">
        <w:t xml:space="preserve">Commonwealth </w:t>
      </w:r>
      <w:r w:rsidR="00D04D2D">
        <w:t>funding or investment</w:t>
      </w:r>
      <w:r w:rsidR="005159BA">
        <w:t>)</w:t>
      </w:r>
      <w:r w:rsidR="000E4B4B">
        <w:t>.</w:t>
      </w:r>
    </w:p>
    <w:p w14:paraId="771F9684" w14:textId="1DCE4F97" w:rsidR="000B7AF6" w:rsidRPr="000B7AF6" w:rsidRDefault="000B7AF6" w:rsidP="000B7AF6">
      <w:pPr>
        <w:pStyle w:val="ListParagraph"/>
        <w:numPr>
          <w:ilvl w:val="0"/>
          <w:numId w:val="17"/>
        </w:numPr>
      </w:pPr>
      <w:r w:rsidRPr="000B7AF6">
        <w:t xml:space="preserve">Reviewed submissions from </w:t>
      </w:r>
      <w:r w:rsidR="00071FBD">
        <w:t>s</w:t>
      </w:r>
      <w:r w:rsidRPr="000B7AF6">
        <w:t xml:space="preserve">tates and </w:t>
      </w:r>
      <w:r w:rsidR="00071FBD">
        <w:t>t</w:t>
      </w:r>
      <w:r w:rsidRPr="000B7AF6">
        <w:t>erritories received in response to a December 2022 DISR Discussion Paper on AIP Reform</w:t>
      </w:r>
      <w:r w:rsidR="00E072C3">
        <w:t>.</w:t>
      </w:r>
      <w:r>
        <w:t xml:space="preserve"> </w:t>
      </w:r>
    </w:p>
    <w:p w14:paraId="6CAC5E0C" w14:textId="18EAE1A4" w:rsidR="004A2960" w:rsidRDefault="006245C2" w:rsidP="000B7AF6">
      <w:pPr>
        <w:pStyle w:val="ListParagraph"/>
        <w:numPr>
          <w:ilvl w:val="0"/>
          <w:numId w:val="17"/>
        </w:numPr>
      </w:pPr>
      <w:r>
        <w:t xml:space="preserve">Drew on a literature review </w:t>
      </w:r>
      <w:r w:rsidR="006875CB">
        <w:t>conducted by DISR’s</w:t>
      </w:r>
      <w:r w:rsidR="00EB4E41">
        <w:t xml:space="preserve"> </w:t>
      </w:r>
      <w:r w:rsidR="003E4CD2">
        <w:t xml:space="preserve">former </w:t>
      </w:r>
      <w:r w:rsidR="006875CB">
        <w:t>PolicyLab</w:t>
      </w:r>
      <w:r w:rsidR="003E4CD2">
        <w:t xml:space="preserve"> team</w:t>
      </w:r>
      <w:r w:rsidR="000E4B4B">
        <w:t>.</w:t>
      </w:r>
    </w:p>
    <w:p w14:paraId="42B0754B" w14:textId="0613A65F" w:rsidR="006875CB" w:rsidRDefault="006875CB" w:rsidP="00C0682A">
      <w:pPr>
        <w:pStyle w:val="Heading2"/>
      </w:pPr>
      <w:bookmarkStart w:id="41" w:name="_Toc127440378"/>
      <w:bookmarkStart w:id="42" w:name="_Toc174018022"/>
      <w:r>
        <w:t>Structure of th</w:t>
      </w:r>
      <w:r w:rsidR="00A95F92">
        <w:t>e</w:t>
      </w:r>
      <w:r>
        <w:t xml:space="preserve"> report</w:t>
      </w:r>
      <w:bookmarkEnd w:id="41"/>
      <w:bookmarkEnd w:id="42"/>
    </w:p>
    <w:p w14:paraId="710157FA" w14:textId="279E3C86" w:rsidR="00EB4E41" w:rsidRPr="00E601BB" w:rsidRDefault="00691747" w:rsidP="00E601BB">
      <w:pPr>
        <w:pStyle w:val="BodyText"/>
      </w:pPr>
      <w:r>
        <w:t>Findings and recommendations a</w:t>
      </w:r>
      <w:r w:rsidR="00280FBF">
        <w:t>re</w:t>
      </w:r>
      <w:r>
        <w:t xml:space="preserve"> grouped under the following</w:t>
      </w:r>
      <w:r w:rsidR="00280FBF">
        <w:t xml:space="preserve"> </w:t>
      </w:r>
      <w:r>
        <w:t>themes</w:t>
      </w:r>
      <w:r w:rsidR="00280FBF">
        <w:t xml:space="preserve"> with l</w:t>
      </w:r>
      <w:r w:rsidR="00E63FCC">
        <w:t xml:space="preserve">essons learned </w:t>
      </w:r>
      <w:r w:rsidR="00280FBF">
        <w:t>covered under these headings</w:t>
      </w:r>
      <w:r w:rsidR="00E63FCC">
        <w:t xml:space="preserve"> rather than in a stand-alone section.</w:t>
      </w:r>
    </w:p>
    <w:p w14:paraId="39D43E78" w14:textId="0C80B0D8" w:rsidR="00DE59B7" w:rsidRPr="00005BDD" w:rsidRDefault="00DE59B7" w:rsidP="00865F98">
      <w:pPr>
        <w:pStyle w:val="BodyText"/>
        <w:numPr>
          <w:ilvl w:val="0"/>
          <w:numId w:val="21"/>
        </w:numPr>
        <w:shd w:val="clear" w:color="auto" w:fill="FFFFFF" w:themeFill="background1"/>
      </w:pPr>
      <w:r w:rsidRPr="00005BDD">
        <w:t>Design</w:t>
      </w:r>
    </w:p>
    <w:p w14:paraId="400CF7E8" w14:textId="0AE33CB9" w:rsidR="00DE59B7" w:rsidRPr="00005BDD" w:rsidRDefault="00DE59B7" w:rsidP="00865F98">
      <w:pPr>
        <w:pStyle w:val="BodyText"/>
        <w:numPr>
          <w:ilvl w:val="0"/>
          <w:numId w:val="21"/>
        </w:numPr>
        <w:shd w:val="clear" w:color="auto" w:fill="FFFFFF" w:themeFill="background1"/>
      </w:pPr>
      <w:r w:rsidRPr="00005BDD">
        <w:t>Implementation</w:t>
      </w:r>
    </w:p>
    <w:p w14:paraId="4A9D2F51" w14:textId="3F5E8CB6" w:rsidR="00DE59B7" w:rsidRPr="00005BDD" w:rsidRDefault="00DE59B7" w:rsidP="00865F98">
      <w:pPr>
        <w:pStyle w:val="BodyText"/>
        <w:numPr>
          <w:ilvl w:val="0"/>
          <w:numId w:val="21"/>
        </w:numPr>
        <w:shd w:val="clear" w:color="auto" w:fill="FFFFFF" w:themeFill="background1"/>
      </w:pPr>
      <w:r w:rsidRPr="00005BDD">
        <w:t>Outcomes</w:t>
      </w:r>
    </w:p>
    <w:p w14:paraId="2948E8C7" w14:textId="1FC4E246" w:rsidR="00DE59B7" w:rsidRPr="00005BDD" w:rsidRDefault="00092C01" w:rsidP="00865F98">
      <w:pPr>
        <w:pStyle w:val="BodyText"/>
        <w:numPr>
          <w:ilvl w:val="0"/>
          <w:numId w:val="21"/>
        </w:numPr>
        <w:shd w:val="clear" w:color="auto" w:fill="FFFFFF" w:themeFill="background1"/>
      </w:pPr>
      <w:r w:rsidRPr="00005BDD">
        <w:t>Conclusion</w:t>
      </w:r>
      <w:r w:rsidR="00606FD6">
        <w:t xml:space="preserve"> </w:t>
      </w:r>
    </w:p>
    <w:p w14:paraId="779254F8" w14:textId="18D93FCF" w:rsidR="00F06AE1" w:rsidRPr="00F06AE1" w:rsidRDefault="00865F98" w:rsidP="00C0682A">
      <w:pPr>
        <w:pStyle w:val="Heading1"/>
      </w:pPr>
      <w:bookmarkStart w:id="43" w:name="_Toc127440379"/>
      <w:r>
        <w:lastRenderedPageBreak/>
        <w:tab/>
      </w:r>
      <w:bookmarkStart w:id="44" w:name="_Toc174018023"/>
      <w:r w:rsidR="00544EFE">
        <w:t>Design</w:t>
      </w:r>
      <w:bookmarkEnd w:id="43"/>
      <w:bookmarkEnd w:id="44"/>
    </w:p>
    <w:p w14:paraId="6CD86679" w14:textId="54ECBF18" w:rsidR="00FB3E9B" w:rsidRPr="00FB3E9B" w:rsidRDefault="006D3162" w:rsidP="00C0682A">
      <w:pPr>
        <w:pStyle w:val="Heading2"/>
      </w:pPr>
      <w:bookmarkStart w:id="45" w:name="_Toc174018024"/>
      <w:bookmarkStart w:id="46" w:name="_Hlk131674733"/>
      <w:r>
        <w:t xml:space="preserve">Systemic </w:t>
      </w:r>
      <w:r w:rsidR="00184675">
        <w:t>Barriers</w:t>
      </w:r>
      <w:r w:rsidR="0091711B">
        <w:t xml:space="preserve"> and AIP </w:t>
      </w:r>
      <w:r w:rsidR="00B56A8E">
        <w:t>o</w:t>
      </w:r>
      <w:r w:rsidR="0091711B">
        <w:t>bjectives</w:t>
      </w:r>
      <w:bookmarkEnd w:id="45"/>
      <w:r w:rsidR="0091711B">
        <w:t xml:space="preserve"> </w:t>
      </w:r>
      <w:bookmarkEnd w:id="46"/>
    </w:p>
    <w:p w14:paraId="4825DD98" w14:textId="26255970" w:rsidR="0036303B" w:rsidRPr="0036303B" w:rsidRDefault="00173907" w:rsidP="00FB3E9B">
      <w:pPr>
        <w:pStyle w:val="Heading3"/>
      </w:pPr>
      <w:r>
        <w:t>Systemic</w:t>
      </w:r>
      <w:r w:rsidR="0036303B" w:rsidRPr="0036303B">
        <w:t xml:space="preserve"> barriers for Australian businesses</w:t>
      </w:r>
    </w:p>
    <w:p w14:paraId="66470BC8" w14:textId="725F80AD" w:rsidR="00210234" w:rsidRDefault="00461DF9" w:rsidP="00E601BB">
      <w:pPr>
        <w:pStyle w:val="BodyText"/>
      </w:pPr>
      <w:r w:rsidRPr="00FA6A73">
        <w:t>An</w:t>
      </w:r>
      <w:r w:rsidR="00763179" w:rsidRPr="00FA6A73">
        <w:t xml:space="preserve"> analysis of relevant documentation and stakeholder views</w:t>
      </w:r>
      <w:r w:rsidRPr="00FA6A73">
        <w:t xml:space="preserve"> indicate </w:t>
      </w:r>
      <w:r w:rsidR="00763179" w:rsidRPr="00FA6A73">
        <w:t xml:space="preserve">that the </w:t>
      </w:r>
      <w:r w:rsidR="002F65E4" w:rsidRPr="00FA6A73">
        <w:t>underlying barriers</w:t>
      </w:r>
      <w:r w:rsidR="0066703D">
        <w:t xml:space="preserve"> to</w:t>
      </w:r>
      <w:r w:rsidR="0066703D" w:rsidRPr="0066703D">
        <w:t xml:space="preserve"> </w:t>
      </w:r>
      <w:r w:rsidR="0066703D">
        <w:t xml:space="preserve">the </w:t>
      </w:r>
      <w:r w:rsidR="0066703D" w:rsidRPr="0066703D">
        <w:t xml:space="preserve">full, </w:t>
      </w:r>
      <w:proofErr w:type="gramStart"/>
      <w:r w:rsidR="0066703D" w:rsidRPr="0066703D">
        <w:t>fair</w:t>
      </w:r>
      <w:proofErr w:type="gramEnd"/>
      <w:r w:rsidR="0066703D" w:rsidRPr="0066703D">
        <w:t xml:space="preserve"> and reasonable opportunity for Australian industry to compete for work</w:t>
      </w:r>
      <w:r w:rsidR="009E40EA">
        <w:t xml:space="preserve">, which </w:t>
      </w:r>
      <w:r w:rsidR="00FB1584">
        <w:t>underpin</w:t>
      </w:r>
      <w:r w:rsidR="009E40EA">
        <w:t xml:space="preserve"> the AIP policy,</w:t>
      </w:r>
      <w:r w:rsidR="0066703D">
        <w:t xml:space="preserve"> </w:t>
      </w:r>
      <w:r w:rsidR="002F65E4" w:rsidRPr="00FA6A73">
        <w:t>continue</w:t>
      </w:r>
      <w:r w:rsidR="009E40EA">
        <w:t xml:space="preserve"> </w:t>
      </w:r>
      <w:r w:rsidR="002F65E4" w:rsidRPr="00FA6A73">
        <w:t xml:space="preserve">to exist. </w:t>
      </w:r>
      <w:r w:rsidR="00210234" w:rsidRPr="00FA6A73">
        <w:t xml:space="preserve">For </w:t>
      </w:r>
      <w:r w:rsidR="00210234" w:rsidRPr="004A7C86">
        <w:t xml:space="preserve">example, over the last five years, three-quarters of supplier </w:t>
      </w:r>
      <w:r w:rsidR="000E2DD4" w:rsidRPr="004A7C86">
        <w:t>respondents</w:t>
      </w:r>
      <w:r w:rsidR="00210234" w:rsidRPr="004A7C86">
        <w:t xml:space="preserve"> (30 of 40) had experienced barriers supplying to projects, while just under half of proponent survey</w:t>
      </w:r>
      <w:r w:rsidR="000E2DD4" w:rsidRPr="004A7C86">
        <w:t xml:space="preserve"> respondents</w:t>
      </w:r>
      <w:r w:rsidR="00210234" w:rsidRPr="004A7C86">
        <w:t xml:space="preserve"> (11 of 26) had</w:t>
      </w:r>
      <w:r w:rsidR="00210234" w:rsidRPr="00FA6A73">
        <w:t xml:space="preserve"> experienced barriers to engaging Australian industry as subcontractors.</w:t>
      </w:r>
    </w:p>
    <w:p w14:paraId="6D7F34BF" w14:textId="0492F087" w:rsidR="00544EFE" w:rsidRDefault="00D111E4" w:rsidP="00E601BB">
      <w:pPr>
        <w:pStyle w:val="BodyText"/>
      </w:pPr>
      <w:r>
        <w:t>Identified</w:t>
      </w:r>
      <w:r w:rsidR="002F65E4" w:rsidRPr="00FA6A73">
        <w:t xml:space="preserve"> </w:t>
      </w:r>
      <w:r w:rsidR="00C50606" w:rsidRPr="00FA6A73">
        <w:t xml:space="preserve">barriers </w:t>
      </w:r>
      <w:r w:rsidR="002F65E4" w:rsidRPr="00FA6A73">
        <w:t>include the size and complexity of tender packages</w:t>
      </w:r>
      <w:r w:rsidR="003C3A9C">
        <w:t xml:space="preserve"> and </w:t>
      </w:r>
      <w:r w:rsidR="002F65E4" w:rsidRPr="00FA6A73">
        <w:t>the use of established supply chains by project proponents</w:t>
      </w:r>
      <w:r w:rsidR="003C3A9C">
        <w:t>.</w:t>
      </w:r>
      <w:r w:rsidR="00965938">
        <w:t xml:space="preserve"> I</w:t>
      </w:r>
      <w:r w:rsidR="003C3A9C">
        <w:t>nformation asymme</w:t>
      </w:r>
      <w:r w:rsidR="001F1287">
        <w:t xml:space="preserve">tries </w:t>
      </w:r>
      <w:r w:rsidR="00965938">
        <w:t xml:space="preserve">also </w:t>
      </w:r>
      <w:r w:rsidR="001F1287">
        <w:t>remain with</w:t>
      </w:r>
      <w:r w:rsidR="00965938">
        <w:t xml:space="preserve"> </w:t>
      </w:r>
      <w:r w:rsidR="00965938" w:rsidRPr="000D6105">
        <w:t>survey data indicating</w:t>
      </w:r>
      <w:r w:rsidR="001F1287">
        <w:t xml:space="preserve"> </w:t>
      </w:r>
      <w:r w:rsidR="002F65E4" w:rsidRPr="00FA6A73">
        <w:t xml:space="preserve">proponents </w:t>
      </w:r>
      <w:r w:rsidR="00A016EA">
        <w:t xml:space="preserve">continue </w:t>
      </w:r>
      <w:r w:rsidR="001F1287">
        <w:t>to</w:t>
      </w:r>
      <w:r w:rsidR="00C50606" w:rsidRPr="00FA6A73">
        <w:t xml:space="preserve"> </w:t>
      </w:r>
      <w:r w:rsidR="002F65E4" w:rsidRPr="00FA6A73">
        <w:t>have a limited understanding of Australian industry capability, while suppliers</w:t>
      </w:r>
      <w:r w:rsidR="00C50606" w:rsidRPr="00FA6A73">
        <w:t xml:space="preserve"> continue</w:t>
      </w:r>
      <w:r w:rsidR="002F65E4" w:rsidRPr="00FA6A73">
        <w:t xml:space="preserve"> </w:t>
      </w:r>
      <w:r w:rsidR="001F1287">
        <w:t xml:space="preserve">to </w:t>
      </w:r>
      <w:r w:rsidR="002F65E4" w:rsidRPr="00FA6A73">
        <w:t>have limited awareness of project opportunities</w:t>
      </w:r>
      <w:r w:rsidR="00CF61B7">
        <w:t xml:space="preserve">. This mirrors many of the barriers to Australian businesses securing work in major projects </w:t>
      </w:r>
      <w:r w:rsidR="00694E82">
        <w:t xml:space="preserve">originally identified at </w:t>
      </w:r>
      <w:r w:rsidR="006322EF">
        <w:t>establishment</w:t>
      </w:r>
      <w:r w:rsidR="00694E82">
        <w:t xml:space="preserve"> of the AIP policy</w:t>
      </w:r>
      <w:r w:rsidR="00233E6F">
        <w:t xml:space="preserve"> in the 2013 </w:t>
      </w:r>
      <w:hyperlink r:id="rId29" w:history="1">
        <w:r w:rsidR="00233E6F" w:rsidRPr="00EB0673">
          <w:rPr>
            <w:rStyle w:val="Hyperlink"/>
            <w:u w:val="single"/>
          </w:rPr>
          <w:t>Regulation Impact Statement</w:t>
        </w:r>
      </w:hyperlink>
      <w:r w:rsidR="00CF61B7">
        <w:rPr>
          <w:rStyle w:val="FootnoteReference"/>
        </w:rPr>
        <w:footnoteReference w:id="5"/>
      </w:r>
      <w:r w:rsidR="002F65E4" w:rsidRPr="00FA6A73">
        <w:t xml:space="preserve">. </w:t>
      </w:r>
    </w:p>
    <w:p w14:paraId="253F42FC" w14:textId="65A0BD82" w:rsidR="00BC334F" w:rsidRPr="000A1784" w:rsidRDefault="002F65E4" w:rsidP="000A1784">
      <w:pPr>
        <w:pStyle w:val="BodyText"/>
        <w:shd w:val="clear" w:color="auto" w:fill="D7EFF2" w:themeFill="accent3" w:themeFillTint="66"/>
      </w:pPr>
      <w:r w:rsidRPr="000A1784">
        <w:rPr>
          <w:b/>
          <w:bCs/>
        </w:rPr>
        <w:t>Finding</w:t>
      </w:r>
      <w:r w:rsidR="006777C3" w:rsidRPr="000A1784">
        <w:rPr>
          <w:b/>
          <w:bCs/>
        </w:rPr>
        <w:t xml:space="preserve"> 1</w:t>
      </w:r>
      <w:r w:rsidRPr="000A1784">
        <w:rPr>
          <w:b/>
          <w:bCs/>
        </w:rPr>
        <w:t>:</w:t>
      </w:r>
      <w:r w:rsidRPr="000A1784">
        <w:t xml:space="preserve"> The underlying barriers originally driving AIP policy still exist.</w:t>
      </w:r>
    </w:p>
    <w:p w14:paraId="204F253E" w14:textId="77777777" w:rsidR="00005BDD" w:rsidRPr="0036303B" w:rsidRDefault="00005BDD" w:rsidP="00FB3E9B">
      <w:pPr>
        <w:pStyle w:val="Heading3"/>
      </w:pPr>
      <w:bookmarkStart w:id="47" w:name="_Hlk131591264"/>
      <w:r w:rsidRPr="0036303B">
        <w:t xml:space="preserve">Impact of </w:t>
      </w:r>
      <w:r>
        <w:t xml:space="preserve">the </w:t>
      </w:r>
      <w:r w:rsidRPr="0036303B">
        <w:t>COVID-19</w:t>
      </w:r>
      <w:r>
        <w:t xml:space="preserve"> pandemic</w:t>
      </w:r>
    </w:p>
    <w:p w14:paraId="6F3BA747" w14:textId="77777777" w:rsidR="00233E6F" w:rsidRDefault="00005BDD" w:rsidP="00005BDD">
      <w:pPr>
        <w:pStyle w:val="BodyText"/>
        <w:rPr>
          <w:color w:val="auto"/>
        </w:rPr>
      </w:pPr>
      <w:bookmarkStart w:id="48" w:name="_Hlk131591375"/>
      <w:r w:rsidRPr="00005BDD">
        <w:rPr>
          <w:color w:val="auto"/>
        </w:rPr>
        <w:t>The evaluation identified that the COVID-19 pandemic had implications for individual business</w:t>
      </w:r>
      <w:r w:rsidR="004E2259">
        <w:rPr>
          <w:color w:val="auto"/>
        </w:rPr>
        <w:t>es</w:t>
      </w:r>
      <w:r w:rsidRPr="00005BDD">
        <w:rPr>
          <w:color w:val="auto"/>
        </w:rPr>
        <w:t xml:space="preserve">. </w:t>
      </w:r>
      <w:r w:rsidR="00363D3E">
        <w:rPr>
          <w:color w:val="auto"/>
        </w:rPr>
        <w:t xml:space="preserve">The majority of proponent and supplier respondents indicated that the COVID-19 pandemic had a largely negative impact on their businesses (16 </w:t>
      </w:r>
      <w:r w:rsidR="005D46BF">
        <w:rPr>
          <w:color w:val="auto"/>
        </w:rPr>
        <w:t xml:space="preserve">of </w:t>
      </w:r>
      <w:r w:rsidR="00363D3E">
        <w:rPr>
          <w:color w:val="auto"/>
        </w:rPr>
        <w:t>26 proponents and 28 of 40 suppliers).</w:t>
      </w:r>
      <w:r w:rsidR="00B47013">
        <w:rPr>
          <w:color w:val="auto"/>
        </w:rPr>
        <w:t xml:space="preserve"> </w:t>
      </w:r>
    </w:p>
    <w:p w14:paraId="0C207275" w14:textId="6ED18565" w:rsidR="00E21D8D" w:rsidRDefault="00B47013" w:rsidP="00005BDD">
      <w:pPr>
        <w:pStyle w:val="BodyText"/>
        <w:rPr>
          <w:color w:val="auto"/>
        </w:rPr>
      </w:pPr>
      <w:r w:rsidRPr="005A706E">
        <w:rPr>
          <w:color w:val="auto"/>
        </w:rPr>
        <w:t xml:space="preserve">This is in line with </w:t>
      </w:r>
      <w:r w:rsidR="00233E6F" w:rsidRPr="005A706E">
        <w:rPr>
          <w:color w:val="auto"/>
        </w:rPr>
        <w:t>other research</w:t>
      </w:r>
      <w:r w:rsidRPr="005A706E">
        <w:rPr>
          <w:color w:val="auto"/>
        </w:rPr>
        <w:t xml:space="preserve"> findings </w:t>
      </w:r>
      <w:r w:rsidR="00233E6F" w:rsidRPr="005A706E">
        <w:rPr>
          <w:color w:val="auto"/>
        </w:rPr>
        <w:t xml:space="preserve">on the pandemic’s </w:t>
      </w:r>
      <w:r w:rsidR="008048B8" w:rsidRPr="005A706E">
        <w:rPr>
          <w:color w:val="auto"/>
        </w:rPr>
        <w:t xml:space="preserve">negative </w:t>
      </w:r>
      <w:r w:rsidR="00A815A2" w:rsidRPr="005A706E">
        <w:rPr>
          <w:color w:val="auto"/>
        </w:rPr>
        <w:t xml:space="preserve">impact </w:t>
      </w:r>
      <w:r w:rsidR="00233E6F" w:rsidRPr="005A706E">
        <w:rPr>
          <w:color w:val="auto"/>
        </w:rPr>
        <w:t xml:space="preserve">on </w:t>
      </w:r>
      <w:r w:rsidRPr="005A706E">
        <w:rPr>
          <w:color w:val="auto"/>
        </w:rPr>
        <w:t>Australian businesses</w:t>
      </w:r>
      <w:r w:rsidR="00B7207F" w:rsidRPr="005A706E">
        <w:rPr>
          <w:color w:val="auto"/>
        </w:rPr>
        <w:t xml:space="preserve">. </w:t>
      </w:r>
      <w:r w:rsidR="00233E6F" w:rsidRPr="005A706E">
        <w:rPr>
          <w:color w:val="auto"/>
        </w:rPr>
        <w:t xml:space="preserve">For example, </w:t>
      </w:r>
      <w:r w:rsidR="008048B8" w:rsidRPr="005A706E">
        <w:rPr>
          <w:color w:val="auto"/>
        </w:rPr>
        <w:t xml:space="preserve">business </w:t>
      </w:r>
      <w:r w:rsidR="00B42423" w:rsidRPr="005A706E">
        <w:rPr>
          <w:color w:val="auto"/>
        </w:rPr>
        <w:t xml:space="preserve">time and effort required to adjust to </w:t>
      </w:r>
      <w:r w:rsidR="00A815A2" w:rsidRPr="005A706E">
        <w:rPr>
          <w:color w:val="auto"/>
        </w:rPr>
        <w:t>global supply chain</w:t>
      </w:r>
      <w:r w:rsidR="008048B8" w:rsidRPr="005A706E">
        <w:rPr>
          <w:color w:val="auto"/>
        </w:rPr>
        <w:t xml:space="preserve"> and transportation</w:t>
      </w:r>
      <w:r w:rsidR="00A815A2" w:rsidRPr="005A706E">
        <w:rPr>
          <w:color w:val="auto"/>
        </w:rPr>
        <w:t xml:space="preserve"> </w:t>
      </w:r>
      <w:r w:rsidR="009034BC" w:rsidRPr="005A706E">
        <w:rPr>
          <w:color w:val="auto"/>
        </w:rPr>
        <w:t>disruptions</w:t>
      </w:r>
      <w:r w:rsidR="008048B8" w:rsidRPr="005A706E">
        <w:rPr>
          <w:color w:val="auto"/>
        </w:rPr>
        <w:t xml:space="preserve"> and related increased cost</w:t>
      </w:r>
      <w:r w:rsidR="00A815A2" w:rsidRPr="005A706E">
        <w:rPr>
          <w:color w:val="auto"/>
        </w:rPr>
        <w:t>s</w:t>
      </w:r>
      <w:r w:rsidR="00B7207F" w:rsidRPr="005A706E">
        <w:rPr>
          <w:rStyle w:val="FootnoteReference"/>
          <w:color w:val="auto"/>
        </w:rPr>
        <w:footnoteReference w:id="6"/>
      </w:r>
      <w:r w:rsidR="00A815A2" w:rsidRPr="005A706E">
        <w:rPr>
          <w:color w:val="auto"/>
        </w:rPr>
        <w:t>.</w:t>
      </w:r>
      <w:r w:rsidR="00A815A2">
        <w:rPr>
          <w:color w:val="auto"/>
        </w:rPr>
        <w:t xml:space="preserve">  </w:t>
      </w:r>
    </w:p>
    <w:p w14:paraId="22158C6B" w14:textId="4FEB2CBF" w:rsidR="00005BDD" w:rsidRDefault="00005BDD" w:rsidP="00005BDD">
      <w:pPr>
        <w:pStyle w:val="BodyText"/>
        <w:rPr>
          <w:color w:val="auto"/>
        </w:rPr>
      </w:pPr>
      <w:r w:rsidRPr="005F3A51">
        <w:rPr>
          <w:color w:val="auto"/>
        </w:rPr>
        <w:t xml:space="preserve">While the evaluation did not </w:t>
      </w:r>
      <w:r w:rsidR="004A7C86">
        <w:rPr>
          <w:color w:val="auto"/>
        </w:rPr>
        <w:t xml:space="preserve">assess </w:t>
      </w:r>
      <w:r w:rsidRPr="005F3A51">
        <w:rPr>
          <w:color w:val="auto"/>
        </w:rPr>
        <w:t>link</w:t>
      </w:r>
      <w:r w:rsidR="004A7C86">
        <w:rPr>
          <w:color w:val="auto"/>
        </w:rPr>
        <w:t>ages</w:t>
      </w:r>
      <w:r w:rsidRPr="005F3A51">
        <w:rPr>
          <w:color w:val="auto"/>
        </w:rPr>
        <w:t xml:space="preserve"> </w:t>
      </w:r>
      <w:r>
        <w:rPr>
          <w:color w:val="auto"/>
        </w:rPr>
        <w:t xml:space="preserve">between </w:t>
      </w:r>
      <w:r w:rsidRPr="005F3A51">
        <w:rPr>
          <w:color w:val="auto"/>
        </w:rPr>
        <w:t xml:space="preserve">COVID-19 disruptions </w:t>
      </w:r>
      <w:r>
        <w:rPr>
          <w:color w:val="auto"/>
        </w:rPr>
        <w:t>and AIP</w:t>
      </w:r>
      <w:r w:rsidRPr="005F3A51">
        <w:rPr>
          <w:color w:val="auto"/>
        </w:rPr>
        <w:t xml:space="preserve"> systemic barriers, the pandemic</w:t>
      </w:r>
      <w:r w:rsidR="001C4286">
        <w:rPr>
          <w:color w:val="auto"/>
        </w:rPr>
        <w:t xml:space="preserve">’s impact on </w:t>
      </w:r>
      <w:r w:rsidRPr="005F3A51">
        <w:rPr>
          <w:color w:val="auto"/>
        </w:rPr>
        <w:t>broader business environment and supply arrangements</w:t>
      </w:r>
      <w:r>
        <w:rPr>
          <w:color w:val="auto"/>
        </w:rPr>
        <w:t xml:space="preserve"> </w:t>
      </w:r>
      <w:r w:rsidR="001C4286">
        <w:rPr>
          <w:color w:val="auto"/>
        </w:rPr>
        <w:t xml:space="preserve">has </w:t>
      </w:r>
      <w:r w:rsidRPr="00005BDD">
        <w:rPr>
          <w:color w:val="auto"/>
        </w:rPr>
        <w:t>added to the relevance of the AIP policy, as noted by the DISR interviewees.</w:t>
      </w:r>
    </w:p>
    <w:p w14:paraId="096C2B41" w14:textId="2DF67A16" w:rsidR="00005BDD" w:rsidRPr="00005BDD" w:rsidRDefault="00005BDD" w:rsidP="00005BDD">
      <w:pPr>
        <w:pStyle w:val="BodyText"/>
        <w:shd w:val="clear" w:color="auto" w:fill="D7EFF2" w:themeFill="accent3" w:themeFillTint="66"/>
      </w:pPr>
      <w:bookmarkStart w:id="49" w:name="_Hlk131671812"/>
      <w:bookmarkEnd w:id="48"/>
      <w:r w:rsidRPr="000A1784">
        <w:rPr>
          <w:b/>
          <w:bCs/>
        </w:rPr>
        <w:t xml:space="preserve">Finding </w:t>
      </w:r>
      <w:r w:rsidR="001C4286">
        <w:rPr>
          <w:b/>
          <w:bCs/>
        </w:rPr>
        <w:t>2</w:t>
      </w:r>
      <w:r w:rsidRPr="000A1784">
        <w:rPr>
          <w:b/>
          <w:bCs/>
        </w:rPr>
        <w:t>:</w:t>
      </w:r>
      <w:r w:rsidRPr="000A1784">
        <w:t xml:space="preserve"> COVID-19 had a largely negative impact on the </w:t>
      </w:r>
      <w:r w:rsidRPr="000A1784" w:rsidDel="000E7171">
        <w:t xml:space="preserve">Australian </w:t>
      </w:r>
      <w:r w:rsidRPr="000A1784">
        <w:t>businesses that responded to the AIP survey</w:t>
      </w:r>
      <w:r>
        <w:t>.</w:t>
      </w:r>
      <w:bookmarkEnd w:id="49"/>
      <w:r w:rsidR="001C4286">
        <w:t xml:space="preserve"> </w:t>
      </w:r>
    </w:p>
    <w:p w14:paraId="5800B88F" w14:textId="00D0DFE4" w:rsidR="00173907" w:rsidRPr="00173907" w:rsidRDefault="00173907" w:rsidP="00FB3E9B">
      <w:pPr>
        <w:pStyle w:val="Heading3"/>
      </w:pPr>
      <w:r w:rsidRPr="00173907">
        <w:t xml:space="preserve">AIP </w:t>
      </w:r>
      <w:r w:rsidR="00B56A8E">
        <w:t>o</w:t>
      </w:r>
      <w:r w:rsidRPr="00173907">
        <w:t>bjectives</w:t>
      </w:r>
    </w:p>
    <w:p w14:paraId="5FCC2E05" w14:textId="1F771CE7" w:rsidR="000E3532" w:rsidRDefault="00005BDD" w:rsidP="00005BDD">
      <w:pPr>
        <w:pStyle w:val="BodyText"/>
        <w:rPr>
          <w:color w:val="auto"/>
        </w:rPr>
      </w:pPr>
      <w:r w:rsidRPr="00005BDD">
        <w:rPr>
          <w:color w:val="auto"/>
        </w:rPr>
        <w:t xml:space="preserve">The objective of the AIP policy is to </w:t>
      </w:r>
      <w:r w:rsidR="007B02BA">
        <w:rPr>
          <w:color w:val="auto"/>
        </w:rPr>
        <w:t xml:space="preserve">ensure </w:t>
      </w:r>
      <w:r w:rsidRPr="00005BDD">
        <w:rPr>
          <w:color w:val="auto"/>
        </w:rPr>
        <w:t>‘full, fair and reasonable’ opportunity for Australian industry to compete for work in major public and private sector projects in Australia.</w:t>
      </w:r>
      <w:r w:rsidR="000E3532">
        <w:rPr>
          <w:color w:val="auto"/>
        </w:rPr>
        <w:t xml:space="preserve"> </w:t>
      </w:r>
      <w:r w:rsidRPr="00005BDD">
        <w:rPr>
          <w:color w:val="auto"/>
        </w:rPr>
        <w:t xml:space="preserve">All stakeholder groups interviewed, </w:t>
      </w:r>
      <w:r w:rsidR="00D20210">
        <w:rPr>
          <w:color w:val="auto"/>
        </w:rPr>
        <w:t>comprising</w:t>
      </w:r>
      <w:r w:rsidR="00D20210" w:rsidRPr="00005BDD">
        <w:rPr>
          <w:color w:val="auto"/>
        </w:rPr>
        <w:t xml:space="preserve"> </w:t>
      </w:r>
      <w:r w:rsidRPr="00005BDD">
        <w:rPr>
          <w:color w:val="auto"/>
        </w:rPr>
        <w:t>DISR, other Commonwealth agencies and ICN</w:t>
      </w:r>
      <w:r w:rsidR="00D20210">
        <w:rPr>
          <w:color w:val="auto"/>
        </w:rPr>
        <w:t xml:space="preserve"> representatives</w:t>
      </w:r>
      <w:r w:rsidRPr="00005BDD">
        <w:rPr>
          <w:color w:val="auto"/>
        </w:rPr>
        <w:t xml:space="preserve">, agreed with this intent of the policy. </w:t>
      </w:r>
    </w:p>
    <w:p w14:paraId="7B5F76AD" w14:textId="701D2943" w:rsidR="00005BDD" w:rsidRPr="00005BDD" w:rsidRDefault="000E3532" w:rsidP="00005BDD">
      <w:pPr>
        <w:pStyle w:val="BodyText"/>
        <w:rPr>
          <w:color w:val="auto"/>
        </w:rPr>
      </w:pPr>
      <w:r w:rsidRPr="00005BDD">
        <w:rPr>
          <w:color w:val="auto"/>
        </w:rPr>
        <w:lastRenderedPageBreak/>
        <w:t>AIP objectives were found to be relevant in the context of continuing systemic barriers identified above.</w:t>
      </w:r>
      <w:r>
        <w:rPr>
          <w:color w:val="auto"/>
        </w:rPr>
        <w:t xml:space="preserve"> </w:t>
      </w:r>
      <w:r w:rsidR="00005BDD" w:rsidRPr="00005BDD">
        <w:rPr>
          <w:color w:val="auto"/>
        </w:rPr>
        <w:t xml:space="preserve">DISR </w:t>
      </w:r>
      <w:r w:rsidR="001C4286">
        <w:rPr>
          <w:color w:val="auto"/>
        </w:rPr>
        <w:t>s</w:t>
      </w:r>
      <w:r w:rsidR="00005BDD" w:rsidRPr="00005BDD">
        <w:rPr>
          <w:color w:val="auto"/>
        </w:rPr>
        <w:t xml:space="preserve">takeholders also commented that the </w:t>
      </w:r>
      <w:bookmarkStart w:id="50" w:name="_Hlk131690907"/>
      <w:r w:rsidR="00005BDD" w:rsidRPr="00005BDD">
        <w:rPr>
          <w:color w:val="auto"/>
        </w:rPr>
        <w:t>AIP policy had likely increased in relevance in the context of the Government’s agenda to ensure sovereign capability</w:t>
      </w:r>
      <w:r w:rsidR="00E421B0">
        <w:rPr>
          <w:color w:val="auto"/>
        </w:rPr>
        <w:t xml:space="preserve"> and supporting skills, </w:t>
      </w:r>
      <w:proofErr w:type="gramStart"/>
      <w:r w:rsidR="00E421B0">
        <w:rPr>
          <w:color w:val="auto"/>
        </w:rPr>
        <w:t>employment</w:t>
      </w:r>
      <w:proofErr w:type="gramEnd"/>
      <w:r w:rsidR="00E421B0">
        <w:rPr>
          <w:color w:val="auto"/>
        </w:rPr>
        <w:t xml:space="preserve"> and </w:t>
      </w:r>
      <w:r w:rsidR="00D557E6">
        <w:rPr>
          <w:color w:val="auto"/>
        </w:rPr>
        <w:t>productive capacity</w:t>
      </w:r>
      <w:r w:rsidR="00005BDD" w:rsidRPr="00005BDD">
        <w:rPr>
          <w:color w:val="auto"/>
        </w:rPr>
        <w:t>.</w:t>
      </w:r>
      <w:bookmarkEnd w:id="50"/>
    </w:p>
    <w:p w14:paraId="219501EB" w14:textId="3D9C26D9" w:rsidR="00005BDD" w:rsidRPr="00005BDD" w:rsidRDefault="00691747" w:rsidP="00005BDD">
      <w:pPr>
        <w:pStyle w:val="BodyText"/>
        <w:rPr>
          <w:color w:val="auto"/>
        </w:rPr>
      </w:pPr>
      <w:r>
        <w:rPr>
          <w:color w:val="auto"/>
        </w:rPr>
        <w:t>Interviews indicated</w:t>
      </w:r>
      <w:r w:rsidR="004A7C86">
        <w:rPr>
          <w:color w:val="auto"/>
        </w:rPr>
        <w:t xml:space="preserve"> that government s</w:t>
      </w:r>
      <w:r w:rsidR="00005BDD" w:rsidRPr="00005BDD">
        <w:rPr>
          <w:color w:val="auto"/>
        </w:rPr>
        <w:t>takeholder</w:t>
      </w:r>
      <w:r>
        <w:rPr>
          <w:color w:val="auto"/>
        </w:rPr>
        <w:t>s</w:t>
      </w:r>
      <w:r w:rsidR="00005BDD" w:rsidRPr="00005BDD">
        <w:rPr>
          <w:color w:val="auto"/>
        </w:rPr>
        <w:t xml:space="preserve"> clearly underst</w:t>
      </w:r>
      <w:r w:rsidR="004A7C86">
        <w:rPr>
          <w:color w:val="auto"/>
        </w:rPr>
        <w:t>an</w:t>
      </w:r>
      <w:r w:rsidR="00005BDD" w:rsidRPr="00005BDD">
        <w:rPr>
          <w:color w:val="auto"/>
        </w:rPr>
        <w:t>d the purpose of AIP. However, DISR interviewees noted that some stakeholders</w:t>
      </w:r>
      <w:r w:rsidR="004A7C86">
        <w:rPr>
          <w:color w:val="auto"/>
        </w:rPr>
        <w:t xml:space="preserve">, </w:t>
      </w:r>
      <w:r w:rsidR="00005BDD" w:rsidRPr="00005BDD">
        <w:rPr>
          <w:color w:val="auto"/>
        </w:rPr>
        <w:t>including some proponents and suppliers</w:t>
      </w:r>
      <w:r w:rsidR="004A7C86">
        <w:rPr>
          <w:color w:val="auto"/>
        </w:rPr>
        <w:t>,</w:t>
      </w:r>
      <w:r w:rsidR="00005BDD" w:rsidRPr="00005BDD">
        <w:rPr>
          <w:color w:val="auto"/>
        </w:rPr>
        <w:t xml:space="preserve"> incorrectly perceive that AIP mandates the use of Australian suppliers and service providers. This indicated opportunities for improved communication around AIP objectives.</w:t>
      </w:r>
    </w:p>
    <w:p w14:paraId="6C7769A3" w14:textId="4BB1B6A0" w:rsidR="00005BDD" w:rsidRDefault="00005BDD" w:rsidP="008E12A7">
      <w:pPr>
        <w:pStyle w:val="BodyText"/>
        <w:ind w:left="720" w:right="946"/>
        <w:rPr>
          <w:i/>
          <w:iCs/>
          <w:color w:val="auto"/>
        </w:rPr>
      </w:pPr>
      <w:r w:rsidRPr="00005BDD">
        <w:rPr>
          <w:i/>
          <w:iCs/>
          <w:color w:val="auto"/>
        </w:rPr>
        <w:t>There</w:t>
      </w:r>
      <w:r w:rsidR="00FC07A6">
        <w:rPr>
          <w:i/>
          <w:iCs/>
          <w:color w:val="auto"/>
        </w:rPr>
        <w:t xml:space="preserve"> i</w:t>
      </w:r>
      <w:r w:rsidRPr="00005BDD">
        <w:rPr>
          <w:i/>
          <w:iCs/>
          <w:color w:val="auto"/>
        </w:rPr>
        <w:t>s a perception that we do mandate use of local content… I think perhaps [it is] an unintended consequence</w:t>
      </w:r>
      <w:r>
        <w:rPr>
          <w:i/>
          <w:iCs/>
          <w:color w:val="auto"/>
        </w:rPr>
        <w:t>.</w:t>
      </w:r>
    </w:p>
    <w:p w14:paraId="5A8E7BE6" w14:textId="665F850D" w:rsidR="00CC77CE" w:rsidRPr="00CC77CE" w:rsidRDefault="00CC77CE" w:rsidP="00CC77CE">
      <w:pPr>
        <w:pStyle w:val="BodyText"/>
        <w:rPr>
          <w:color w:val="auto"/>
        </w:rPr>
      </w:pPr>
      <w:r w:rsidRPr="00CC77CE">
        <w:t>There was a similar finding in 2018 review that the AIP Authority enhanc</w:t>
      </w:r>
      <w:r w:rsidR="002164C5">
        <w:t>e</w:t>
      </w:r>
      <w:r w:rsidRPr="00CC77CE">
        <w:t xml:space="preserve"> its communication strategy to promote AIP plans and </w:t>
      </w:r>
      <w:r w:rsidR="008048B8" w:rsidRPr="00CC77CE">
        <w:t>outcomes and</w:t>
      </w:r>
      <w:r w:rsidRPr="00CC77CE">
        <w:t xml:space="preserve"> raise industry awareness through information dissemination</w:t>
      </w:r>
      <w:r w:rsidR="005A4807">
        <w:rPr>
          <w:rStyle w:val="FootnoteReference"/>
        </w:rPr>
        <w:footnoteReference w:id="7"/>
      </w:r>
      <w:r>
        <w:t>.</w:t>
      </w:r>
    </w:p>
    <w:p w14:paraId="4CCDDFF3" w14:textId="6FC1F891" w:rsidR="00005BDD" w:rsidRPr="00005BDD" w:rsidRDefault="00005BDD" w:rsidP="00005BDD">
      <w:pPr>
        <w:pStyle w:val="BodyText"/>
        <w:shd w:val="clear" w:color="auto" w:fill="D7EFF2" w:themeFill="accent3" w:themeFillTint="66"/>
      </w:pPr>
      <w:r w:rsidRPr="000A1784">
        <w:rPr>
          <w:b/>
          <w:bCs/>
        </w:rPr>
        <w:t xml:space="preserve">Finding </w:t>
      </w:r>
      <w:r w:rsidR="001C4286">
        <w:rPr>
          <w:b/>
          <w:bCs/>
        </w:rPr>
        <w:t>3</w:t>
      </w:r>
      <w:r w:rsidRPr="000A1784">
        <w:t xml:space="preserve">: The current objective of the </w:t>
      </w:r>
      <w:r w:rsidRPr="0089330F">
        <w:rPr>
          <w:i/>
        </w:rPr>
        <w:t>Australian Jobs Act 2013</w:t>
      </w:r>
      <w:r>
        <w:t xml:space="preserve"> (Jobs Act)</w:t>
      </w:r>
      <w:r w:rsidRPr="000A1784">
        <w:t xml:space="preserve"> and AIP policy remains relevant</w:t>
      </w:r>
      <w:r w:rsidRPr="000A1784" w:rsidDel="00B57D9D">
        <w:t xml:space="preserve"> t</w:t>
      </w:r>
      <w:r w:rsidRPr="005A706E" w:rsidDel="00B57D9D">
        <w:t>oday</w:t>
      </w:r>
      <w:r w:rsidRPr="005A706E">
        <w:t>.</w:t>
      </w:r>
      <w:r w:rsidR="004A7C86" w:rsidRPr="005A706E">
        <w:t xml:space="preserve"> However, some </w:t>
      </w:r>
      <w:r w:rsidR="003D1A87" w:rsidRPr="005A706E">
        <w:t>business stakeholders do not fully understand AIP requirements.</w:t>
      </w:r>
    </w:p>
    <w:p w14:paraId="6D8DBF55" w14:textId="48C532EF" w:rsidR="00173907" w:rsidRDefault="00173907" w:rsidP="00173907">
      <w:pPr>
        <w:pStyle w:val="Caption"/>
        <w:rPr>
          <w:color w:val="005677" w:themeColor="background2"/>
        </w:rPr>
      </w:pPr>
      <w:r w:rsidRPr="008E12A7">
        <w:rPr>
          <w:color w:val="005677" w:themeColor="background2"/>
        </w:rPr>
        <w:t xml:space="preserve">Box </w:t>
      </w:r>
      <w:r w:rsidR="000C7A4E" w:rsidRPr="008E12A7">
        <w:rPr>
          <w:color w:val="005677" w:themeColor="background2"/>
        </w:rPr>
        <w:fldChar w:fldCharType="begin"/>
      </w:r>
      <w:r w:rsidR="000C7A4E" w:rsidRPr="008E12A7">
        <w:rPr>
          <w:color w:val="005677" w:themeColor="background2"/>
        </w:rPr>
        <w:instrText xml:space="preserve"> STYLEREF 1 \s </w:instrText>
      </w:r>
      <w:r w:rsidR="000C7A4E" w:rsidRPr="008E12A7">
        <w:rPr>
          <w:color w:val="005677" w:themeColor="background2"/>
        </w:rPr>
        <w:fldChar w:fldCharType="separate"/>
      </w:r>
      <w:r w:rsidR="00E32679">
        <w:rPr>
          <w:noProof/>
          <w:color w:val="005677" w:themeColor="background2"/>
        </w:rPr>
        <w:t>2</w:t>
      </w:r>
      <w:r w:rsidR="000C7A4E" w:rsidRPr="008E12A7">
        <w:rPr>
          <w:noProof/>
          <w:color w:val="005677" w:themeColor="background2"/>
        </w:rPr>
        <w:fldChar w:fldCharType="end"/>
      </w:r>
      <w:r w:rsidRPr="008E12A7">
        <w:rPr>
          <w:color w:val="005677" w:themeColor="background2"/>
        </w:rPr>
        <w:t>.</w:t>
      </w:r>
      <w:r w:rsidR="001C4286" w:rsidRPr="008E12A7">
        <w:rPr>
          <w:color w:val="005677" w:themeColor="background2"/>
        </w:rPr>
        <w:t>1</w:t>
      </w:r>
      <w:r w:rsidR="00101C24" w:rsidRPr="008E12A7">
        <w:rPr>
          <w:color w:val="005677" w:themeColor="background2"/>
        </w:rPr>
        <w:t>.1</w:t>
      </w:r>
      <w:r w:rsidRPr="008E12A7">
        <w:rPr>
          <w:color w:val="005677" w:themeColor="background2"/>
        </w:rPr>
        <w:t xml:space="preserve"> Recommendation </w:t>
      </w:r>
      <w:r w:rsidR="00CD623C" w:rsidRPr="008E12A7">
        <w:rPr>
          <w:color w:val="005677" w:themeColor="background2"/>
        </w:rPr>
        <w:t>1</w:t>
      </w:r>
    </w:p>
    <w:p w14:paraId="085937F7" w14:textId="61C4A2EB" w:rsidR="00071FBD" w:rsidRPr="00071FBD" w:rsidRDefault="00071FBD" w:rsidP="00071FBD">
      <w:pPr>
        <w:pStyle w:val="Placeholder"/>
        <w:shd w:val="clear" w:color="auto" w:fill="E9E9EA" w:themeFill="accent5" w:themeFillTint="33"/>
        <w:jc w:val="left"/>
      </w:pPr>
      <w:r w:rsidRPr="00071FBD">
        <w:rPr>
          <w:b/>
          <w:bCs/>
          <w:color w:val="auto"/>
        </w:rPr>
        <w:t>Recommendation 1:</w:t>
      </w:r>
      <w:r w:rsidRPr="00934133">
        <w:rPr>
          <w:bCs/>
          <w:color w:val="auto"/>
        </w:rPr>
        <w:t xml:space="preserve"> That DISR improve communication and promotion materials to clearly explain the scope of AIP requirements.</w:t>
      </w:r>
    </w:p>
    <w:bookmarkEnd w:id="47"/>
    <w:p w14:paraId="2D08AD46" w14:textId="7EDC4EFE" w:rsidR="006777C3" w:rsidRDefault="006777C3" w:rsidP="00654A2B">
      <w:pPr>
        <w:pStyle w:val="Source"/>
        <w:rPr>
          <w:lang w:eastAsia="en-AU"/>
        </w:rPr>
      </w:pPr>
    </w:p>
    <w:p w14:paraId="44750235" w14:textId="0A4CD6B5" w:rsidR="00D57E7B" w:rsidRDefault="00D57E7B" w:rsidP="00C0682A">
      <w:pPr>
        <w:pStyle w:val="Heading2"/>
      </w:pPr>
      <w:bookmarkStart w:id="51" w:name="_Toc174018025"/>
      <w:bookmarkStart w:id="52" w:name="_Toc127440384"/>
      <w:r>
        <w:t>AIP National Framework</w:t>
      </w:r>
      <w:bookmarkEnd w:id="51"/>
    </w:p>
    <w:p w14:paraId="3B3393F4" w14:textId="7128D9C7" w:rsidR="001C4286" w:rsidRPr="003E608D" w:rsidRDefault="00BD4040" w:rsidP="00FB3E9B">
      <w:pPr>
        <w:pStyle w:val="Heading3"/>
      </w:pPr>
      <w:r>
        <w:t xml:space="preserve">Overall support for the </w:t>
      </w:r>
      <w:r w:rsidR="001C4286" w:rsidRPr="003E608D">
        <w:t>AIP National Framework</w:t>
      </w:r>
    </w:p>
    <w:p w14:paraId="44BFD587" w14:textId="4F8B8FA4" w:rsidR="001C4286" w:rsidRDefault="001C4286" w:rsidP="001C4286">
      <w:pPr>
        <w:pStyle w:val="BodyText"/>
        <w:rPr>
          <w:color w:val="auto"/>
        </w:rPr>
      </w:pPr>
      <w:r>
        <w:rPr>
          <w:color w:val="auto"/>
        </w:rPr>
        <w:t xml:space="preserve">In </w:t>
      </w:r>
      <w:r w:rsidR="00327B66">
        <w:rPr>
          <w:color w:val="auto"/>
        </w:rPr>
        <w:t xml:space="preserve">April </w:t>
      </w:r>
      <w:r>
        <w:rPr>
          <w:color w:val="auto"/>
        </w:rPr>
        <w:t>2001, t</w:t>
      </w:r>
      <w:r w:rsidRPr="003C4F65">
        <w:rPr>
          <w:color w:val="auto"/>
        </w:rPr>
        <w:t xml:space="preserve">he </w:t>
      </w:r>
      <w:r>
        <w:rPr>
          <w:color w:val="auto"/>
        </w:rPr>
        <w:t xml:space="preserve">Commonwealth along with all </w:t>
      </w:r>
      <w:r w:rsidR="005F12F7">
        <w:rPr>
          <w:color w:val="auto"/>
        </w:rPr>
        <w:t>s</w:t>
      </w:r>
      <w:r>
        <w:rPr>
          <w:color w:val="auto"/>
        </w:rPr>
        <w:t xml:space="preserve">tate and </w:t>
      </w:r>
      <w:r w:rsidR="005F12F7">
        <w:rPr>
          <w:color w:val="auto"/>
        </w:rPr>
        <w:t>t</w:t>
      </w:r>
      <w:r>
        <w:rPr>
          <w:color w:val="auto"/>
        </w:rPr>
        <w:t>erritory jurisdictions agreed to the AIP National Framework</w:t>
      </w:r>
      <w:r w:rsidR="00327B66">
        <w:rPr>
          <w:rStyle w:val="FootnoteReference"/>
          <w:color w:val="auto"/>
        </w:rPr>
        <w:footnoteReference w:id="8"/>
      </w:r>
      <w:r>
        <w:rPr>
          <w:color w:val="auto"/>
        </w:rPr>
        <w:t xml:space="preserve">. The </w:t>
      </w:r>
      <w:r w:rsidR="005F12F7">
        <w:rPr>
          <w:color w:val="auto"/>
        </w:rPr>
        <w:t>f</w:t>
      </w:r>
      <w:r>
        <w:rPr>
          <w:color w:val="auto"/>
        </w:rPr>
        <w:t>ramework committed Commonwealth</w:t>
      </w:r>
      <w:r w:rsidR="00E779C9">
        <w:rPr>
          <w:color w:val="auto"/>
        </w:rPr>
        <w:t>,</w:t>
      </w:r>
      <w:r w:rsidDel="00E779C9">
        <w:rPr>
          <w:color w:val="auto"/>
        </w:rPr>
        <w:t xml:space="preserve"> </w:t>
      </w:r>
      <w:r>
        <w:rPr>
          <w:color w:val="auto"/>
        </w:rPr>
        <w:t>S</w:t>
      </w:r>
      <w:r w:rsidRPr="002911C8">
        <w:rPr>
          <w:color w:val="auto"/>
        </w:rPr>
        <w:t xml:space="preserve">tate and </w:t>
      </w:r>
      <w:r>
        <w:rPr>
          <w:color w:val="auto"/>
        </w:rPr>
        <w:t>T</w:t>
      </w:r>
      <w:r w:rsidRPr="002911C8">
        <w:rPr>
          <w:color w:val="auto"/>
        </w:rPr>
        <w:t>erritory governments to adopting a consistent national approach</w:t>
      </w:r>
      <w:r>
        <w:rPr>
          <w:color w:val="auto"/>
        </w:rPr>
        <w:t xml:space="preserve"> </w:t>
      </w:r>
      <w:r w:rsidRPr="002911C8">
        <w:rPr>
          <w:color w:val="auto"/>
        </w:rPr>
        <w:t>to maximise Australian industry participation in major projects</w:t>
      </w:r>
      <w:r>
        <w:rPr>
          <w:color w:val="auto"/>
        </w:rPr>
        <w:t xml:space="preserve">. Under the </w:t>
      </w:r>
      <w:r w:rsidR="005F12F7">
        <w:rPr>
          <w:color w:val="auto"/>
        </w:rPr>
        <w:t>f</w:t>
      </w:r>
      <w:r>
        <w:rPr>
          <w:color w:val="auto"/>
        </w:rPr>
        <w:t xml:space="preserve">ramework, the Commonwealth operates the AIP policy while </w:t>
      </w:r>
      <w:r w:rsidR="005F12F7">
        <w:rPr>
          <w:color w:val="auto"/>
        </w:rPr>
        <w:t>s</w:t>
      </w:r>
      <w:r>
        <w:rPr>
          <w:color w:val="auto"/>
        </w:rPr>
        <w:t xml:space="preserve">tate and </w:t>
      </w:r>
      <w:r w:rsidR="005F12F7">
        <w:rPr>
          <w:color w:val="auto"/>
        </w:rPr>
        <w:t>t</w:t>
      </w:r>
      <w:r>
        <w:rPr>
          <w:color w:val="auto"/>
        </w:rPr>
        <w:t xml:space="preserve">erritory governments operate their own separate local participation policies. </w:t>
      </w:r>
    </w:p>
    <w:p w14:paraId="0E6F6660" w14:textId="094D98EB" w:rsidR="001C4286" w:rsidRDefault="001C4286" w:rsidP="001C4286">
      <w:pPr>
        <w:pStyle w:val="BodyText"/>
        <w:rPr>
          <w:color w:val="auto"/>
        </w:rPr>
      </w:pPr>
      <w:r>
        <w:rPr>
          <w:color w:val="auto"/>
        </w:rPr>
        <w:t xml:space="preserve">State and </w:t>
      </w:r>
      <w:r w:rsidR="005F12F7">
        <w:rPr>
          <w:color w:val="auto"/>
        </w:rPr>
        <w:t>t</w:t>
      </w:r>
      <w:r>
        <w:rPr>
          <w:color w:val="auto"/>
        </w:rPr>
        <w:t xml:space="preserve">erritory submissions received as part of the evaluation indicated overall support for the </w:t>
      </w:r>
      <w:r w:rsidR="005F12F7">
        <w:rPr>
          <w:color w:val="auto"/>
        </w:rPr>
        <w:t>f</w:t>
      </w:r>
      <w:r>
        <w:rPr>
          <w:color w:val="auto"/>
        </w:rPr>
        <w:t xml:space="preserve">ramework. Furthermore, </w:t>
      </w:r>
      <w:r w:rsidR="005F12F7">
        <w:rPr>
          <w:color w:val="auto"/>
        </w:rPr>
        <w:t>s</w:t>
      </w:r>
      <w:r>
        <w:rPr>
          <w:color w:val="auto"/>
        </w:rPr>
        <w:t xml:space="preserve">tate and </w:t>
      </w:r>
      <w:r w:rsidR="005F12F7">
        <w:rPr>
          <w:color w:val="auto"/>
        </w:rPr>
        <w:t>t</w:t>
      </w:r>
      <w:r>
        <w:rPr>
          <w:color w:val="auto"/>
        </w:rPr>
        <w:t xml:space="preserve">erritory stakeholders </w:t>
      </w:r>
      <w:r w:rsidR="0008709B">
        <w:rPr>
          <w:color w:val="auto"/>
        </w:rPr>
        <w:t>were</w:t>
      </w:r>
      <w:r w:rsidRPr="00FA4D97">
        <w:rPr>
          <w:color w:val="auto"/>
        </w:rPr>
        <w:t xml:space="preserve"> supportive of a refresh of the original text in collaboration with the Commonwealth</w:t>
      </w:r>
      <w:r>
        <w:rPr>
          <w:color w:val="auto"/>
        </w:rPr>
        <w:t xml:space="preserve"> to help ensure that the </w:t>
      </w:r>
      <w:r w:rsidR="005F12F7">
        <w:rPr>
          <w:color w:val="auto"/>
        </w:rPr>
        <w:t>f</w:t>
      </w:r>
      <w:r>
        <w:rPr>
          <w:color w:val="auto"/>
        </w:rPr>
        <w:t>ramework remains relevant as a guiding document into the future</w:t>
      </w:r>
      <w:r w:rsidRPr="00FA4D97">
        <w:rPr>
          <w:color w:val="auto"/>
        </w:rPr>
        <w:t xml:space="preserve">. Identified areas for improvement included revising out-of-date terminology and clarifying definitions. </w:t>
      </w:r>
    </w:p>
    <w:p w14:paraId="62B72B8B" w14:textId="16AF67CF" w:rsidR="001C4286" w:rsidRDefault="001C4286" w:rsidP="001C4286">
      <w:pPr>
        <w:pStyle w:val="BodyText"/>
        <w:shd w:val="clear" w:color="auto" w:fill="D7EFF2" w:themeFill="accent3" w:themeFillTint="66"/>
      </w:pPr>
      <w:r w:rsidRPr="000A1784">
        <w:rPr>
          <w:b/>
          <w:bCs/>
        </w:rPr>
        <w:t xml:space="preserve">Finding </w:t>
      </w:r>
      <w:r w:rsidR="00CD623C">
        <w:rPr>
          <w:b/>
          <w:bCs/>
        </w:rPr>
        <w:t>4</w:t>
      </w:r>
      <w:r w:rsidRPr="000A1784">
        <w:t xml:space="preserve">: The </w:t>
      </w:r>
      <w:r w:rsidRPr="007E4220">
        <w:t xml:space="preserve">AIP National Framework </w:t>
      </w:r>
      <w:bookmarkStart w:id="53" w:name="_Hlk131692559"/>
      <w:r w:rsidRPr="007E4220">
        <w:t xml:space="preserve">has overall support from </w:t>
      </w:r>
      <w:r w:rsidR="005F12F7">
        <w:t>s</w:t>
      </w:r>
      <w:r w:rsidRPr="007E4220">
        <w:t xml:space="preserve">tate and </w:t>
      </w:r>
      <w:r w:rsidR="005F12F7">
        <w:t>t</w:t>
      </w:r>
      <w:r w:rsidRPr="007E4220">
        <w:t>erritory stakeholders</w:t>
      </w:r>
      <w:bookmarkEnd w:id="53"/>
      <w:r w:rsidRPr="007E4220">
        <w:t>, along with their agreement that some elements of the framework should be refreshed.</w:t>
      </w:r>
    </w:p>
    <w:p w14:paraId="280E55F4" w14:textId="77777777" w:rsidR="001C4286" w:rsidRPr="00BD0443" w:rsidRDefault="001C4286" w:rsidP="00FB3E9B">
      <w:pPr>
        <w:pStyle w:val="Heading3"/>
      </w:pPr>
      <w:r w:rsidRPr="00BD0443">
        <w:t>Jurisdictional differences under the</w:t>
      </w:r>
      <w:r>
        <w:t xml:space="preserve"> AIP</w:t>
      </w:r>
      <w:r w:rsidRPr="00BD0443">
        <w:t xml:space="preserve"> National Framework</w:t>
      </w:r>
    </w:p>
    <w:p w14:paraId="043721E1" w14:textId="1E677D1D" w:rsidR="003D1A87" w:rsidRDefault="003D1A87" w:rsidP="001C4286">
      <w:pPr>
        <w:pStyle w:val="BodyText"/>
      </w:pPr>
      <w:r>
        <w:t>Under</w:t>
      </w:r>
      <w:r w:rsidR="001C4286" w:rsidRPr="00BA4DD2">
        <w:t xml:space="preserve"> the National Framework, </w:t>
      </w:r>
      <w:r w:rsidR="005F12F7">
        <w:t>s</w:t>
      </w:r>
      <w:r w:rsidR="001C4286" w:rsidRPr="00BA4DD2">
        <w:t xml:space="preserve">tate and </w:t>
      </w:r>
      <w:r w:rsidR="005F12F7">
        <w:t>t</w:t>
      </w:r>
      <w:r w:rsidR="001C4286" w:rsidRPr="00BA4DD2">
        <w:t xml:space="preserve">erritory governments apply different industry participation policies. Jurisdictional differences include </w:t>
      </w:r>
      <w:r w:rsidR="001C4286">
        <w:t>financial</w:t>
      </w:r>
      <w:r w:rsidR="001C4286" w:rsidRPr="00BA4DD2">
        <w:t xml:space="preserve"> thresholds, industry priorities and local content </w:t>
      </w:r>
      <w:r w:rsidR="001C4286" w:rsidRPr="00BA4DD2">
        <w:lastRenderedPageBreak/>
        <w:t xml:space="preserve">requirements. </w:t>
      </w:r>
      <w:r>
        <w:t>These differences</w:t>
      </w:r>
      <w:r w:rsidR="001C4286" w:rsidRPr="00BA4DD2">
        <w:t xml:space="preserve"> </w:t>
      </w:r>
      <w:r w:rsidR="001C4286">
        <w:t xml:space="preserve">may </w:t>
      </w:r>
      <w:r w:rsidR="001C4286" w:rsidRPr="00BA4DD2">
        <w:t xml:space="preserve">allow flexibility for jurisdictions to apply policies </w:t>
      </w:r>
      <w:r w:rsidR="001C4286">
        <w:t xml:space="preserve">which </w:t>
      </w:r>
      <w:r w:rsidR="008C132A">
        <w:t xml:space="preserve">are </w:t>
      </w:r>
      <w:r w:rsidR="001C4286" w:rsidRPr="00BA4DD2">
        <w:t>best suited to local priorities</w:t>
      </w:r>
      <w:r w:rsidR="008C132A">
        <w:t xml:space="preserve"> and </w:t>
      </w:r>
      <w:r w:rsidR="00B70D54">
        <w:t>conditions</w:t>
      </w:r>
      <w:r w:rsidR="001C4286" w:rsidRPr="00BA4DD2">
        <w:t xml:space="preserve">. </w:t>
      </w:r>
    </w:p>
    <w:p w14:paraId="281C362B" w14:textId="036DF04C" w:rsidR="006F5F87" w:rsidRDefault="001C4286" w:rsidP="001C4286">
      <w:pPr>
        <w:pStyle w:val="BodyText"/>
      </w:pPr>
      <w:r w:rsidRPr="00BA4DD2">
        <w:t xml:space="preserve">However, </w:t>
      </w:r>
      <w:r w:rsidR="008C132A">
        <w:t>variation across jurisdictions</w:t>
      </w:r>
      <w:r w:rsidR="003D1A87">
        <w:t xml:space="preserve"> </w:t>
      </w:r>
      <w:r w:rsidR="006F5F87">
        <w:t>does create administrative and regulatory burden</w:t>
      </w:r>
      <w:r w:rsidR="008C132A">
        <w:t>.</w:t>
      </w:r>
      <w:r w:rsidR="003D1A87">
        <w:t xml:space="preserve"> </w:t>
      </w:r>
      <w:r w:rsidR="006F5F87">
        <w:t xml:space="preserve">For example, there is </w:t>
      </w:r>
      <w:r w:rsidR="006F5F87" w:rsidRPr="006F5F87">
        <w:t>administrati</w:t>
      </w:r>
      <w:r w:rsidR="008E772E">
        <w:t>ve</w:t>
      </w:r>
      <w:r w:rsidR="006F5F87" w:rsidRPr="006F5F87">
        <w:t xml:space="preserve"> burden for AIP staff to determine whether</w:t>
      </w:r>
      <w:r w:rsidR="006F5F87">
        <w:t xml:space="preserve"> </w:t>
      </w:r>
      <w:r w:rsidR="006A0F6D">
        <w:t xml:space="preserve">there </w:t>
      </w:r>
      <w:r w:rsidR="006F5F87">
        <w:t xml:space="preserve">are gaps </w:t>
      </w:r>
      <w:r w:rsidR="006A0F6D">
        <w:t xml:space="preserve">needing </w:t>
      </w:r>
      <w:r w:rsidR="006F5F87">
        <w:t>to be addressed in</w:t>
      </w:r>
      <w:r w:rsidR="006F5F87" w:rsidRPr="006F5F87">
        <w:t xml:space="preserve"> </w:t>
      </w:r>
      <w:r w:rsidR="006F5F87">
        <w:t xml:space="preserve">project plans designed </w:t>
      </w:r>
      <w:r w:rsidR="003D1A87">
        <w:t xml:space="preserve">according </w:t>
      </w:r>
      <w:r w:rsidR="006F5F87">
        <w:t>to a particular state or territory’s standards.</w:t>
      </w:r>
      <w:r w:rsidR="008C132A" w:rsidRPr="008C132A">
        <w:t xml:space="preserve"> In this context, there have been discussions with </w:t>
      </w:r>
      <w:r w:rsidR="005F12F7">
        <w:t>s</w:t>
      </w:r>
      <w:r w:rsidR="008C132A" w:rsidRPr="008C132A">
        <w:t xml:space="preserve">tates and </w:t>
      </w:r>
      <w:r w:rsidR="005F12F7">
        <w:t>t</w:t>
      </w:r>
      <w:r w:rsidR="008C132A" w:rsidRPr="008C132A">
        <w:t>erritories on the option of accrediting jurisdictional processes.</w:t>
      </w:r>
    </w:p>
    <w:p w14:paraId="296D97D8" w14:textId="72A1F54F" w:rsidR="00FB69C9" w:rsidRPr="00224780" w:rsidRDefault="00EA7E39" w:rsidP="001C4286">
      <w:pPr>
        <w:pStyle w:val="BodyText"/>
      </w:pPr>
      <w:r w:rsidRPr="002E5F09">
        <w:t xml:space="preserve">Overall, most </w:t>
      </w:r>
      <w:r>
        <w:t>industry participation plans</w:t>
      </w:r>
      <w:r w:rsidRPr="002E5F09">
        <w:t xml:space="preserve"> require proponents to outline how they will provide a full, </w:t>
      </w:r>
      <w:proofErr w:type="gramStart"/>
      <w:r w:rsidRPr="002E5F09">
        <w:t>fair</w:t>
      </w:r>
      <w:proofErr w:type="gramEnd"/>
      <w:r w:rsidRPr="002E5F09">
        <w:t xml:space="preserve"> and reasonable opportunity </w:t>
      </w:r>
      <w:r>
        <w:t>for</w:t>
      </w:r>
      <w:r w:rsidRPr="002E5F09">
        <w:t xml:space="preserve"> local industry. </w:t>
      </w:r>
      <w:r>
        <w:t xml:space="preserve">Where a </w:t>
      </w:r>
      <w:r w:rsidR="005F12F7">
        <w:t>s</w:t>
      </w:r>
      <w:r>
        <w:t xml:space="preserve">tate or </w:t>
      </w:r>
      <w:r w:rsidR="005F12F7">
        <w:t>t</w:t>
      </w:r>
      <w:r>
        <w:t xml:space="preserve">erritory industry participation plan complies with the conditions of the Commonwealth AIP policy or Jobs Act, an </w:t>
      </w:r>
      <w:r w:rsidRPr="00A9735B">
        <w:t>exception from providing a</w:t>
      </w:r>
      <w:r>
        <w:t>n</w:t>
      </w:r>
      <w:r w:rsidRPr="00A9735B">
        <w:t xml:space="preserve"> AIP plan </w:t>
      </w:r>
      <w:r>
        <w:t>can be given.</w:t>
      </w:r>
    </w:p>
    <w:p w14:paraId="260DEF0F" w14:textId="6A7F81DA" w:rsidR="006F5F87" w:rsidRDefault="003D1A87" w:rsidP="006F5F87">
      <w:pPr>
        <w:pStyle w:val="BodyText"/>
      </w:pPr>
      <w:r>
        <w:t xml:space="preserve">DISR stakeholders considered there is an important role for the Commonwealth in bringing jurisdictions together under a single umbrella. </w:t>
      </w:r>
      <w:r w:rsidR="006F5F87" w:rsidRPr="006F5F87">
        <w:t xml:space="preserve">DISR stakeholders </w:t>
      </w:r>
      <w:r>
        <w:t xml:space="preserve">also </w:t>
      </w:r>
      <w:r w:rsidR="006F5F87" w:rsidRPr="006F5F87">
        <w:t xml:space="preserve">commented on the need for different jurisdictional approaches to be complementary and </w:t>
      </w:r>
      <w:r w:rsidR="006F5F87">
        <w:t xml:space="preserve">the </w:t>
      </w:r>
      <w:r>
        <w:t xml:space="preserve">ongoing </w:t>
      </w:r>
      <w:r w:rsidR="006F5F87">
        <w:t xml:space="preserve">potential for streamlining and harmonising processes:   </w:t>
      </w:r>
    </w:p>
    <w:p w14:paraId="7A0BE7F1" w14:textId="010F5133" w:rsidR="006F5F87" w:rsidRPr="006F5F87" w:rsidRDefault="006F5F87" w:rsidP="008E12A7">
      <w:pPr>
        <w:pStyle w:val="BodyText"/>
        <w:ind w:left="720" w:right="946"/>
        <w:rPr>
          <w:i/>
          <w:iCs/>
          <w:color w:val="auto"/>
        </w:rPr>
      </w:pPr>
      <w:r w:rsidRPr="00005BDD">
        <w:rPr>
          <w:i/>
          <w:iCs/>
          <w:color w:val="auto"/>
        </w:rPr>
        <w:t>There</w:t>
      </w:r>
      <w:r w:rsidR="00EA7E39">
        <w:rPr>
          <w:i/>
          <w:iCs/>
          <w:color w:val="auto"/>
        </w:rPr>
        <w:t xml:space="preserve"> are</w:t>
      </w:r>
      <w:r w:rsidR="00BB6BC0">
        <w:rPr>
          <w:i/>
          <w:iCs/>
          <w:color w:val="auto"/>
        </w:rPr>
        <w:t xml:space="preserve"> </w:t>
      </w:r>
      <w:r w:rsidRPr="006F5F87">
        <w:rPr>
          <w:i/>
          <w:iCs/>
          <w:color w:val="auto"/>
        </w:rPr>
        <w:t>always opportunities for streamlining; there</w:t>
      </w:r>
      <w:r w:rsidR="00BB6BC0">
        <w:rPr>
          <w:i/>
          <w:iCs/>
          <w:color w:val="auto"/>
        </w:rPr>
        <w:t>’re</w:t>
      </w:r>
      <w:r w:rsidRPr="006F5F87">
        <w:rPr>
          <w:i/>
          <w:iCs/>
          <w:color w:val="auto"/>
        </w:rPr>
        <w:t xml:space="preserve"> always opportunities to reduce administrative burden on </w:t>
      </w:r>
      <w:r w:rsidR="00BB6BC0" w:rsidRPr="006F5F87">
        <w:rPr>
          <w:i/>
          <w:iCs/>
          <w:color w:val="auto"/>
        </w:rPr>
        <w:t>us and</w:t>
      </w:r>
      <w:r w:rsidRPr="006F5F87">
        <w:rPr>
          <w:i/>
          <w:iCs/>
          <w:color w:val="auto"/>
        </w:rPr>
        <w:t xml:space="preserve"> reduce regulatory burden on businesses in states and territories.</w:t>
      </w:r>
    </w:p>
    <w:p w14:paraId="7A8DFB60" w14:textId="4B820C49" w:rsidR="00BD4040" w:rsidRPr="00BD4040" w:rsidRDefault="005B6527" w:rsidP="00BD4040">
      <w:pPr>
        <w:pStyle w:val="BodyText"/>
      </w:pPr>
      <w:r>
        <w:t xml:space="preserve">Currently, </w:t>
      </w:r>
      <w:r w:rsidR="003D1A87" w:rsidRPr="003D1A87">
        <w:t>AIP and jurisdictional representatives engage on these issues</w:t>
      </w:r>
      <w:r w:rsidR="00BD55F6">
        <w:t xml:space="preserve"> and on opportunities for data sharing</w:t>
      </w:r>
      <w:r w:rsidR="003D1A87" w:rsidRPr="003D1A87">
        <w:t xml:space="preserve"> through </w:t>
      </w:r>
      <w:r w:rsidR="00BD55F6">
        <w:t>S</w:t>
      </w:r>
      <w:r w:rsidR="003D1A87" w:rsidRPr="003D1A87">
        <w:t xml:space="preserve">enior </w:t>
      </w:r>
      <w:r w:rsidR="00BD55F6">
        <w:t>O</w:t>
      </w:r>
      <w:r w:rsidR="003D1A87" w:rsidRPr="003D1A87">
        <w:t>fficials</w:t>
      </w:r>
      <w:r w:rsidR="00BD55F6">
        <w:t xml:space="preserve"> M</w:t>
      </w:r>
      <w:r w:rsidR="003D1A87" w:rsidRPr="003D1A87">
        <w:t>eetings (SOMs).</w:t>
      </w:r>
      <w:r w:rsidR="00BD55F6">
        <w:t xml:space="preserve"> </w:t>
      </w:r>
      <w:r w:rsidR="00373765">
        <w:t>On data sharing, s</w:t>
      </w:r>
      <w:r w:rsidR="00BD4040" w:rsidRPr="00BD4040">
        <w:t xml:space="preserve">ubmissions from State and Territory representatives indicated in principle support for </w:t>
      </w:r>
      <w:bookmarkStart w:id="54" w:name="_Hlk131692536"/>
      <w:r w:rsidR="00BD4040" w:rsidRPr="00BD4040">
        <w:t xml:space="preserve">enhanced </w:t>
      </w:r>
      <w:r w:rsidR="00373765">
        <w:t xml:space="preserve">cross jurisdictional </w:t>
      </w:r>
      <w:r w:rsidR="00BD4040" w:rsidRPr="00BD4040">
        <w:t>data sharing arrangements</w:t>
      </w:r>
      <w:bookmarkEnd w:id="54"/>
      <w:r w:rsidR="00373765">
        <w:t xml:space="preserve">. </w:t>
      </w:r>
      <w:r w:rsidR="00BD4040" w:rsidRPr="00BD4040">
        <w:t>Submissions recognised the benefits of the regular sharing of data and insights.</w:t>
      </w:r>
    </w:p>
    <w:p w14:paraId="50F0728D" w14:textId="6B242942" w:rsidR="003A5E24" w:rsidRPr="00BD4040" w:rsidRDefault="00373765" w:rsidP="00BD4040">
      <w:pPr>
        <w:pStyle w:val="BodyText"/>
      </w:pPr>
      <w:r>
        <w:t>A</w:t>
      </w:r>
      <w:r w:rsidR="00BD4040" w:rsidRPr="00BD4040">
        <w:t xml:space="preserve"> range of issues were identified which would need to continue to be worked through by the Commonwealth and jurisdictions. These included establishing consistent metrics and indicators against intended outcomes; consistent formatting to have comparable data across jurisdictions; and </w:t>
      </w:r>
      <w:r w:rsidR="007B02BA">
        <w:t>ensuring the protection of</w:t>
      </w:r>
      <w:r w:rsidR="00BD4040" w:rsidRPr="00BD4040">
        <w:t xml:space="preserve"> privacy</w:t>
      </w:r>
      <w:r w:rsidR="007B02BA">
        <w:t xml:space="preserve"> </w:t>
      </w:r>
      <w:r w:rsidR="00BD4040" w:rsidRPr="00BD4040">
        <w:t xml:space="preserve">and </w:t>
      </w:r>
      <w:r w:rsidR="007B02BA">
        <w:t>confidentiality</w:t>
      </w:r>
      <w:r w:rsidR="00BD4040" w:rsidRPr="00BD4040">
        <w:t xml:space="preserve"> when sharing such data</w:t>
      </w:r>
      <w:r w:rsidR="00BD4040" w:rsidRPr="005A706E">
        <w:t>. </w:t>
      </w:r>
      <w:r w:rsidR="008048B8" w:rsidRPr="005A706E">
        <w:t xml:space="preserve">There is the potential to leverage arrangements and experience in other data sharing arrangements between the Commonwealth, </w:t>
      </w:r>
      <w:r w:rsidR="005F12F7">
        <w:t>s</w:t>
      </w:r>
      <w:r w:rsidR="008048B8" w:rsidRPr="005A706E">
        <w:t xml:space="preserve">tates and </w:t>
      </w:r>
      <w:r w:rsidR="005F12F7">
        <w:t>t</w:t>
      </w:r>
      <w:r w:rsidR="008048B8" w:rsidRPr="005A706E">
        <w:t>erritories</w:t>
      </w:r>
      <w:r w:rsidR="00C940D7" w:rsidRPr="005A706E">
        <w:t xml:space="preserve"> involving the Department of Finance</w:t>
      </w:r>
      <w:r w:rsidR="008048B8" w:rsidRPr="005A706E">
        <w:t>.</w:t>
      </w:r>
      <w:r w:rsidR="005B6527" w:rsidRPr="005A706E">
        <w:t xml:space="preserve"> This would build on work following the 2018 review which recommended improved data sharing with </w:t>
      </w:r>
      <w:r w:rsidR="005F12F7">
        <w:t>s</w:t>
      </w:r>
      <w:r w:rsidR="005B6527" w:rsidRPr="005A706E">
        <w:t xml:space="preserve">tate and </w:t>
      </w:r>
      <w:r w:rsidR="005F12F7">
        <w:t>t</w:t>
      </w:r>
      <w:r w:rsidR="005B6527" w:rsidRPr="005A706E">
        <w:t>erritory governments.</w:t>
      </w:r>
      <w:r w:rsidR="005B6527" w:rsidRPr="005A706E">
        <w:rPr>
          <w:rStyle w:val="FootnoteReference"/>
        </w:rPr>
        <w:footnoteReference w:id="9"/>
      </w:r>
    </w:p>
    <w:p w14:paraId="751FCB57" w14:textId="5715A132" w:rsidR="001C4286" w:rsidRDefault="001C4286" w:rsidP="001C4286">
      <w:pPr>
        <w:pStyle w:val="BodyText"/>
        <w:shd w:val="clear" w:color="auto" w:fill="D7EFF2" w:themeFill="accent3" w:themeFillTint="66"/>
      </w:pPr>
      <w:r w:rsidRPr="000A1784">
        <w:rPr>
          <w:b/>
          <w:bCs/>
        </w:rPr>
        <w:t xml:space="preserve">Finding </w:t>
      </w:r>
      <w:r w:rsidR="00CD623C">
        <w:rPr>
          <w:b/>
          <w:bCs/>
        </w:rPr>
        <w:t>5</w:t>
      </w:r>
      <w:r w:rsidRPr="000A1784">
        <w:t xml:space="preserve">: </w:t>
      </w:r>
      <w:r w:rsidRPr="002E1A07">
        <w:t>Within the context of the AIP National Framework, there continues to be</w:t>
      </w:r>
      <w:r w:rsidR="000C1D25">
        <w:t xml:space="preserve"> </w:t>
      </w:r>
      <w:r w:rsidR="000C1D25" w:rsidRPr="005A706E">
        <w:t>wide</w:t>
      </w:r>
      <w:r w:rsidRPr="002E1A07">
        <w:t xml:space="preserve"> variation across federal, state and territory levels in applying their own industry participation policies.</w:t>
      </w:r>
    </w:p>
    <w:p w14:paraId="36079D7D" w14:textId="3F09AFE5" w:rsidR="001C4286" w:rsidRDefault="001C4286" w:rsidP="001C4286">
      <w:pPr>
        <w:pStyle w:val="Caption"/>
      </w:pPr>
      <w:r>
        <w:t>Box</w:t>
      </w:r>
      <w:r w:rsidRPr="000618FB">
        <w:t xml:space="preserve"> </w:t>
      </w:r>
      <w:r w:rsidR="0060545E">
        <w:fldChar w:fldCharType="begin"/>
      </w:r>
      <w:r w:rsidR="0060545E">
        <w:instrText xml:space="preserve"> STYLEREF 1 \s </w:instrText>
      </w:r>
      <w:r w:rsidR="0060545E">
        <w:fldChar w:fldCharType="separate"/>
      </w:r>
      <w:r w:rsidR="00E32679">
        <w:rPr>
          <w:noProof/>
        </w:rPr>
        <w:t>2</w:t>
      </w:r>
      <w:r w:rsidR="0060545E">
        <w:rPr>
          <w:noProof/>
        </w:rPr>
        <w:fldChar w:fldCharType="end"/>
      </w:r>
      <w:r w:rsidRPr="000618FB">
        <w:t>.</w:t>
      </w:r>
      <w:r w:rsidR="00CD623C">
        <w:t>2</w:t>
      </w:r>
      <w:r w:rsidR="00101C24">
        <w:t>.1</w:t>
      </w:r>
      <w:r>
        <w:t xml:space="preserve"> Recommendation </w:t>
      </w:r>
      <w:r w:rsidR="00CD623C">
        <w:t>2</w:t>
      </w:r>
    </w:p>
    <w:p w14:paraId="4CA6AF3B" w14:textId="119BC2CA" w:rsidR="00100C2A" w:rsidRPr="00100C2A" w:rsidRDefault="00100C2A" w:rsidP="00EB0673">
      <w:pPr>
        <w:pStyle w:val="Placeholder"/>
        <w:shd w:val="clear" w:color="auto" w:fill="E9E9EA" w:themeFill="accent5" w:themeFillTint="33"/>
        <w:jc w:val="left"/>
      </w:pPr>
      <w:r w:rsidRPr="00EB0673">
        <w:rPr>
          <w:b/>
          <w:bCs/>
        </w:rPr>
        <w:t>Recommendation 2:</w:t>
      </w:r>
      <w:r w:rsidRPr="00100C2A">
        <w:t xml:space="preserve"> That DISR work with State and Territory jurisdictions to refresh the AIP National Framework. This could include deliberation on harmonisation of State and Territory approaches.</w:t>
      </w:r>
    </w:p>
    <w:p w14:paraId="4F2AF17B" w14:textId="77777777" w:rsidR="00C86C56" w:rsidRDefault="00C86C56" w:rsidP="00C86C56">
      <w:pPr>
        <w:pStyle w:val="Source"/>
        <w:rPr>
          <w:lang w:eastAsia="en-AU"/>
        </w:rPr>
      </w:pPr>
    </w:p>
    <w:p w14:paraId="65FCEE3F" w14:textId="1BB5E5C7" w:rsidR="00CD623C" w:rsidRPr="00CD623C" w:rsidRDefault="001C4286" w:rsidP="00C0682A">
      <w:pPr>
        <w:pStyle w:val="Heading2"/>
      </w:pPr>
      <w:bookmarkStart w:id="55" w:name="_Toc174018026"/>
      <w:r>
        <w:t>AIP thresholds, scope</w:t>
      </w:r>
      <w:r w:rsidR="00CD623C">
        <w:t xml:space="preserve">, </w:t>
      </w:r>
      <w:proofErr w:type="gramStart"/>
      <w:r>
        <w:t>criteria</w:t>
      </w:r>
      <w:bookmarkEnd w:id="52"/>
      <w:proofErr w:type="gramEnd"/>
      <w:r w:rsidR="00CD623C">
        <w:t xml:space="preserve"> and trigger dates</w:t>
      </w:r>
      <w:bookmarkEnd w:id="55"/>
    </w:p>
    <w:p w14:paraId="56A39277" w14:textId="1021CBB6" w:rsidR="001C4286" w:rsidRPr="00CC56BF" w:rsidRDefault="001C4286" w:rsidP="00CC56BF">
      <w:pPr>
        <w:pStyle w:val="Heading3"/>
      </w:pPr>
      <w:r w:rsidRPr="00CC56BF">
        <w:t xml:space="preserve">Financial Thresholds – Jobs Act </w:t>
      </w:r>
      <w:r w:rsidR="00B56A8E">
        <w:t>p</w:t>
      </w:r>
      <w:r w:rsidRPr="00CC56BF">
        <w:t>rojects</w:t>
      </w:r>
    </w:p>
    <w:p w14:paraId="55818431" w14:textId="5D61A3AA" w:rsidR="004E38DC" w:rsidRDefault="001C4286" w:rsidP="001C4286">
      <w:pPr>
        <w:pStyle w:val="BodyText"/>
        <w:rPr>
          <w:color w:val="auto"/>
          <w:lang w:eastAsia="en-AU"/>
        </w:rPr>
      </w:pPr>
      <w:r w:rsidRPr="00A67CB6">
        <w:rPr>
          <w:color w:val="auto"/>
          <w:lang w:eastAsia="en-AU"/>
        </w:rPr>
        <w:t>Under the</w:t>
      </w:r>
      <w:r w:rsidR="0089330F">
        <w:rPr>
          <w:color w:val="auto"/>
          <w:lang w:eastAsia="en-AU"/>
        </w:rPr>
        <w:t xml:space="preserve"> </w:t>
      </w:r>
      <w:r w:rsidR="0089330F" w:rsidRPr="0089330F">
        <w:rPr>
          <w:i/>
          <w:iCs/>
          <w:color w:val="auto"/>
          <w:lang w:eastAsia="en-AU"/>
        </w:rPr>
        <w:t>Australian</w:t>
      </w:r>
      <w:r w:rsidRPr="0089330F">
        <w:rPr>
          <w:i/>
          <w:color w:val="auto"/>
          <w:lang w:eastAsia="en-AU"/>
        </w:rPr>
        <w:t xml:space="preserve"> Jobs Act 2013</w:t>
      </w:r>
      <w:r w:rsidRPr="00A67CB6">
        <w:rPr>
          <w:color w:val="auto"/>
          <w:lang w:eastAsia="en-AU"/>
        </w:rPr>
        <w:t xml:space="preserve">, </w:t>
      </w:r>
      <w:r>
        <w:rPr>
          <w:color w:val="auto"/>
          <w:lang w:eastAsia="en-AU"/>
        </w:rPr>
        <w:t>eligible projects whose expected capital expenditure meets or exceeds the major project threshold amount of</w:t>
      </w:r>
      <w:r w:rsidR="005A706E">
        <w:rPr>
          <w:color w:val="auto"/>
          <w:lang w:eastAsia="en-AU"/>
        </w:rPr>
        <w:t xml:space="preserve"> </w:t>
      </w:r>
      <w:r w:rsidR="00B12D1D" w:rsidRPr="00A67CB6">
        <w:rPr>
          <w:color w:val="auto"/>
          <w:lang w:eastAsia="en-AU"/>
        </w:rPr>
        <w:t>$500</w:t>
      </w:r>
      <w:r w:rsidR="00B12D1D">
        <w:rPr>
          <w:color w:val="auto"/>
          <w:lang w:eastAsia="en-AU"/>
        </w:rPr>
        <w:t> </w:t>
      </w:r>
      <w:r w:rsidR="00B12D1D" w:rsidRPr="00A67CB6">
        <w:rPr>
          <w:color w:val="auto"/>
          <w:lang w:eastAsia="en-AU"/>
        </w:rPr>
        <w:t xml:space="preserve">million </w:t>
      </w:r>
      <w:r w:rsidR="0012038A">
        <w:rPr>
          <w:color w:val="auto"/>
          <w:lang w:eastAsia="en-AU"/>
        </w:rPr>
        <w:t xml:space="preserve">are </w:t>
      </w:r>
      <w:r w:rsidRPr="00A67CB6">
        <w:rPr>
          <w:color w:val="auto"/>
          <w:lang w:eastAsia="en-AU"/>
        </w:rPr>
        <w:t>require</w:t>
      </w:r>
      <w:r w:rsidR="0012038A">
        <w:rPr>
          <w:color w:val="auto"/>
          <w:lang w:eastAsia="en-AU"/>
        </w:rPr>
        <w:t>d</w:t>
      </w:r>
      <w:r w:rsidRPr="00A67CB6">
        <w:rPr>
          <w:color w:val="auto"/>
          <w:lang w:eastAsia="en-AU"/>
        </w:rPr>
        <w:t xml:space="preserve"> </w:t>
      </w:r>
      <w:r w:rsidR="0012038A">
        <w:rPr>
          <w:color w:val="auto"/>
          <w:lang w:eastAsia="en-AU"/>
        </w:rPr>
        <w:t>to</w:t>
      </w:r>
      <w:r w:rsidR="00691747">
        <w:rPr>
          <w:color w:val="auto"/>
          <w:lang w:eastAsia="en-AU"/>
        </w:rPr>
        <w:t xml:space="preserve"> prepar</w:t>
      </w:r>
      <w:r w:rsidR="0012038A">
        <w:rPr>
          <w:color w:val="auto"/>
          <w:lang w:eastAsia="en-AU"/>
        </w:rPr>
        <w:t>e</w:t>
      </w:r>
      <w:r w:rsidR="00691747">
        <w:rPr>
          <w:color w:val="auto"/>
          <w:lang w:eastAsia="en-AU"/>
        </w:rPr>
        <w:t xml:space="preserve"> and implement an</w:t>
      </w:r>
      <w:r w:rsidRPr="00A67CB6">
        <w:rPr>
          <w:color w:val="auto"/>
          <w:lang w:eastAsia="en-AU"/>
        </w:rPr>
        <w:t xml:space="preserve"> </w:t>
      </w:r>
      <w:r w:rsidRPr="00A67CB6">
        <w:rPr>
          <w:color w:val="auto"/>
          <w:lang w:eastAsia="en-AU"/>
        </w:rPr>
        <w:lastRenderedPageBreak/>
        <w:t>AIP plan.</w:t>
      </w:r>
      <w:r>
        <w:rPr>
          <w:color w:val="auto"/>
          <w:lang w:eastAsia="en-AU"/>
        </w:rPr>
        <w:t xml:space="preserve"> This threshold amount is defined in the Act</w:t>
      </w:r>
      <w:r>
        <w:rPr>
          <w:rStyle w:val="FootnoteReference"/>
          <w:color w:val="auto"/>
          <w:lang w:eastAsia="en-AU"/>
        </w:rPr>
        <w:footnoteReference w:id="10"/>
      </w:r>
      <w:r>
        <w:rPr>
          <w:color w:val="auto"/>
          <w:lang w:eastAsia="en-AU"/>
        </w:rPr>
        <w:t xml:space="preserve"> and</w:t>
      </w:r>
      <w:r w:rsidR="004E3D10">
        <w:rPr>
          <w:color w:val="auto"/>
          <w:lang w:eastAsia="en-AU"/>
        </w:rPr>
        <w:t>, at the time,</w:t>
      </w:r>
      <w:r>
        <w:rPr>
          <w:color w:val="auto"/>
          <w:lang w:eastAsia="en-AU"/>
        </w:rPr>
        <w:t xml:space="preserve"> was seen as striking a balance between capturing intended major projects</w:t>
      </w:r>
      <w:r w:rsidR="004E3D10">
        <w:rPr>
          <w:color w:val="auto"/>
          <w:lang w:eastAsia="en-AU"/>
        </w:rPr>
        <w:t xml:space="preserve"> </w:t>
      </w:r>
      <w:r>
        <w:rPr>
          <w:color w:val="auto"/>
          <w:lang w:eastAsia="en-AU"/>
        </w:rPr>
        <w:t>and the corresponding compliance and administration burden for proponents and regulators</w:t>
      </w:r>
      <w:r>
        <w:rPr>
          <w:rStyle w:val="FootnoteReference"/>
          <w:color w:val="auto"/>
          <w:lang w:eastAsia="en-AU"/>
        </w:rPr>
        <w:footnoteReference w:id="11"/>
      </w:r>
      <w:r>
        <w:rPr>
          <w:color w:val="auto"/>
          <w:lang w:eastAsia="en-AU"/>
        </w:rPr>
        <w:t xml:space="preserve">.  </w:t>
      </w:r>
    </w:p>
    <w:p w14:paraId="39C8A053" w14:textId="5890D197" w:rsidR="001C4286" w:rsidRPr="0008709B" w:rsidRDefault="004E38DC" w:rsidP="00383CAC">
      <w:pPr>
        <w:pStyle w:val="CommentText"/>
        <w:spacing w:line="270" w:lineRule="exact"/>
        <w:ind w:left="0"/>
        <w:rPr>
          <w:rFonts w:asciiTheme="minorHAnsi" w:hAnsiTheme="minorHAnsi"/>
          <w:color w:val="auto"/>
          <w:szCs w:val="22"/>
          <w:lang w:eastAsia="en-AU"/>
        </w:rPr>
      </w:pPr>
      <w:r w:rsidRPr="0008709B">
        <w:rPr>
          <w:rFonts w:asciiTheme="minorHAnsi" w:hAnsiTheme="minorHAnsi"/>
          <w:color w:val="auto"/>
          <w:szCs w:val="22"/>
          <w:lang w:eastAsia="en-AU"/>
        </w:rPr>
        <w:t>Most proponents (18 of 24) and just over half of suppliers (21 of 39)</w:t>
      </w:r>
      <w:r w:rsidR="00915602">
        <w:rPr>
          <w:rStyle w:val="FootnoteReference"/>
          <w:rFonts w:asciiTheme="minorHAnsi" w:hAnsiTheme="minorHAnsi"/>
          <w:color w:val="auto"/>
          <w:szCs w:val="22"/>
          <w:lang w:eastAsia="en-AU"/>
        </w:rPr>
        <w:footnoteReference w:id="12"/>
      </w:r>
      <w:r w:rsidRPr="0008709B">
        <w:rPr>
          <w:rFonts w:asciiTheme="minorHAnsi" w:hAnsiTheme="minorHAnsi"/>
          <w:color w:val="auto"/>
          <w:szCs w:val="22"/>
          <w:lang w:eastAsia="en-AU"/>
        </w:rPr>
        <w:t xml:space="preserve"> supported retaining the current threshold level. </w:t>
      </w:r>
      <w:r w:rsidR="00691747" w:rsidRPr="0008709B">
        <w:rPr>
          <w:rFonts w:asciiTheme="minorHAnsi" w:hAnsiTheme="minorHAnsi"/>
          <w:color w:val="auto"/>
          <w:szCs w:val="22"/>
          <w:lang w:eastAsia="en-AU"/>
        </w:rPr>
        <w:t xml:space="preserve">Just </w:t>
      </w:r>
      <w:r w:rsidR="001C4286" w:rsidRPr="0008709B">
        <w:rPr>
          <w:rFonts w:asciiTheme="minorHAnsi" w:hAnsiTheme="minorHAnsi"/>
          <w:color w:val="auto"/>
          <w:szCs w:val="22"/>
          <w:lang w:eastAsia="en-AU"/>
        </w:rPr>
        <w:t xml:space="preserve">under half of </w:t>
      </w:r>
      <w:r w:rsidR="005F12F7">
        <w:rPr>
          <w:rFonts w:asciiTheme="minorHAnsi" w:hAnsiTheme="minorHAnsi"/>
          <w:color w:val="auto"/>
          <w:szCs w:val="22"/>
          <w:lang w:eastAsia="en-AU"/>
        </w:rPr>
        <w:t>p</w:t>
      </w:r>
      <w:r w:rsidR="001C4286" w:rsidRPr="0008709B">
        <w:rPr>
          <w:rFonts w:asciiTheme="minorHAnsi" w:hAnsiTheme="minorHAnsi"/>
          <w:color w:val="auto"/>
          <w:szCs w:val="22"/>
          <w:lang w:eastAsia="en-AU"/>
        </w:rPr>
        <w:t xml:space="preserve">eaks and </w:t>
      </w:r>
      <w:r w:rsidR="005F12F7">
        <w:rPr>
          <w:rFonts w:asciiTheme="minorHAnsi" w:hAnsiTheme="minorHAnsi"/>
          <w:color w:val="auto"/>
          <w:szCs w:val="22"/>
          <w:lang w:eastAsia="en-AU"/>
        </w:rPr>
        <w:t>u</w:t>
      </w:r>
      <w:r w:rsidR="001C4286" w:rsidRPr="0008709B">
        <w:rPr>
          <w:rFonts w:asciiTheme="minorHAnsi" w:hAnsiTheme="minorHAnsi"/>
          <w:color w:val="auto"/>
          <w:szCs w:val="22"/>
          <w:lang w:eastAsia="en-AU"/>
        </w:rPr>
        <w:t xml:space="preserve">nions (3 of 7) considered this threshold to be appropriate. Of those who did not support the current threshold, proponents were divided as to whether it should be lowered or raised, while suppliers and </w:t>
      </w:r>
      <w:r w:rsidR="005F12F7">
        <w:rPr>
          <w:rFonts w:asciiTheme="minorHAnsi" w:hAnsiTheme="minorHAnsi"/>
          <w:color w:val="auto"/>
          <w:szCs w:val="22"/>
          <w:lang w:eastAsia="en-AU"/>
        </w:rPr>
        <w:t>p</w:t>
      </w:r>
      <w:r w:rsidR="001C4286" w:rsidRPr="0008709B">
        <w:rPr>
          <w:rFonts w:asciiTheme="minorHAnsi" w:hAnsiTheme="minorHAnsi"/>
          <w:color w:val="auto"/>
          <w:szCs w:val="22"/>
          <w:lang w:eastAsia="en-AU"/>
        </w:rPr>
        <w:t xml:space="preserve">eaks and </w:t>
      </w:r>
      <w:r w:rsidR="005F12F7">
        <w:rPr>
          <w:rFonts w:asciiTheme="minorHAnsi" w:hAnsiTheme="minorHAnsi"/>
          <w:color w:val="auto"/>
          <w:szCs w:val="22"/>
          <w:lang w:eastAsia="en-AU"/>
        </w:rPr>
        <w:t>u</w:t>
      </w:r>
      <w:r w:rsidR="001C4286" w:rsidRPr="0008709B">
        <w:rPr>
          <w:rFonts w:asciiTheme="minorHAnsi" w:hAnsiTheme="minorHAnsi"/>
          <w:color w:val="auto"/>
          <w:szCs w:val="22"/>
          <w:lang w:eastAsia="en-AU"/>
        </w:rPr>
        <w:t>nions thought it should be lowered or removed.</w:t>
      </w:r>
    </w:p>
    <w:p w14:paraId="60BB6605" w14:textId="69DC45F7" w:rsidR="001C4286" w:rsidRDefault="001C4286" w:rsidP="001C4286">
      <w:pPr>
        <w:pStyle w:val="BodyText"/>
        <w:rPr>
          <w:color w:val="auto"/>
          <w:lang w:eastAsia="en-AU"/>
        </w:rPr>
      </w:pPr>
      <w:r>
        <w:rPr>
          <w:color w:val="auto"/>
          <w:lang w:eastAsia="en-AU"/>
        </w:rPr>
        <w:t>Evaluation i</w:t>
      </w:r>
      <w:r w:rsidRPr="00B42905">
        <w:rPr>
          <w:color w:val="auto"/>
          <w:lang w:eastAsia="en-AU"/>
        </w:rPr>
        <w:t xml:space="preserve">nterviews did not </w:t>
      </w:r>
      <w:r>
        <w:rPr>
          <w:color w:val="auto"/>
          <w:lang w:eastAsia="en-AU"/>
        </w:rPr>
        <w:t>produce strong views</w:t>
      </w:r>
      <w:r w:rsidRPr="00B42905">
        <w:rPr>
          <w:color w:val="auto"/>
          <w:lang w:eastAsia="en-AU"/>
        </w:rPr>
        <w:t xml:space="preserve"> on</w:t>
      </w:r>
      <w:r w:rsidRPr="00C0424E">
        <w:t xml:space="preserve"> </w:t>
      </w:r>
      <w:r w:rsidRPr="00C0424E">
        <w:rPr>
          <w:color w:val="auto"/>
          <w:lang w:eastAsia="en-AU"/>
        </w:rPr>
        <w:t xml:space="preserve">the appropriateness of the current </w:t>
      </w:r>
      <w:r w:rsidRPr="005A706E">
        <w:rPr>
          <w:color w:val="auto"/>
          <w:lang w:eastAsia="en-AU"/>
        </w:rPr>
        <w:t>threshold</w:t>
      </w:r>
      <w:r w:rsidR="002164C5" w:rsidRPr="005A706E">
        <w:rPr>
          <w:color w:val="auto"/>
          <w:lang w:eastAsia="en-AU"/>
        </w:rPr>
        <w:t xml:space="preserve"> as t</w:t>
      </w:r>
      <w:r w:rsidR="008048B8" w:rsidRPr="005A706E">
        <w:rPr>
          <w:color w:val="auto"/>
          <w:lang w:eastAsia="en-AU"/>
        </w:rPr>
        <w:t>here is not one</w:t>
      </w:r>
      <w:r w:rsidR="0097606A" w:rsidRPr="005A706E">
        <w:rPr>
          <w:color w:val="auto"/>
          <w:lang w:eastAsia="en-AU"/>
        </w:rPr>
        <w:t xml:space="preserve"> </w:t>
      </w:r>
      <w:r w:rsidRPr="005A706E">
        <w:rPr>
          <w:color w:val="auto"/>
          <w:lang w:eastAsia="en-AU"/>
        </w:rPr>
        <w:t>correct</w:t>
      </w:r>
      <w:r w:rsidR="000569B4" w:rsidRPr="005A706E">
        <w:rPr>
          <w:color w:val="auto"/>
          <w:lang w:eastAsia="en-AU"/>
        </w:rPr>
        <w:t xml:space="preserve"> </w:t>
      </w:r>
      <w:r w:rsidRPr="005A706E">
        <w:rPr>
          <w:color w:val="auto"/>
          <w:lang w:eastAsia="en-AU"/>
        </w:rPr>
        <w:t>threshold level</w:t>
      </w:r>
      <w:r w:rsidR="002164C5" w:rsidRPr="005A706E">
        <w:rPr>
          <w:color w:val="auto"/>
          <w:lang w:eastAsia="en-AU"/>
        </w:rPr>
        <w:t>. Di</w:t>
      </w:r>
      <w:r w:rsidR="00891D62" w:rsidRPr="005A706E">
        <w:rPr>
          <w:color w:val="auto"/>
          <w:lang w:eastAsia="en-AU"/>
        </w:rPr>
        <w:t>fferent threshold levels</w:t>
      </w:r>
      <w:r w:rsidR="002164C5" w:rsidRPr="005A706E">
        <w:rPr>
          <w:color w:val="auto"/>
          <w:lang w:eastAsia="en-AU"/>
        </w:rPr>
        <w:t xml:space="preserve"> will</w:t>
      </w:r>
      <w:r w:rsidR="00891D62" w:rsidRPr="005A706E">
        <w:rPr>
          <w:color w:val="auto"/>
          <w:lang w:eastAsia="en-AU"/>
        </w:rPr>
        <w:t xml:space="preserve"> bring their own costs and benefits which need to be considered in a policy context</w:t>
      </w:r>
      <w:r w:rsidRPr="005A706E">
        <w:rPr>
          <w:color w:val="auto"/>
          <w:lang w:eastAsia="en-AU"/>
        </w:rPr>
        <w:t xml:space="preserve">. </w:t>
      </w:r>
      <w:proofErr w:type="gramStart"/>
      <w:r w:rsidRPr="005A706E">
        <w:rPr>
          <w:color w:val="auto"/>
          <w:lang w:eastAsia="en-AU"/>
        </w:rPr>
        <w:t>Similar to</w:t>
      </w:r>
      <w:proofErr w:type="gramEnd"/>
      <w:r w:rsidRPr="005A706E">
        <w:rPr>
          <w:color w:val="auto"/>
          <w:lang w:eastAsia="en-AU"/>
        </w:rPr>
        <w:t xml:space="preserve"> the view expressed in the original 2013 RIS, interviewees highlighted the</w:t>
      </w:r>
      <w:r>
        <w:rPr>
          <w:color w:val="auto"/>
          <w:lang w:eastAsia="en-AU"/>
        </w:rPr>
        <w:t xml:space="preserve"> </w:t>
      </w:r>
      <w:r w:rsidRPr="00B42905">
        <w:rPr>
          <w:color w:val="auto"/>
          <w:lang w:eastAsia="en-AU"/>
        </w:rPr>
        <w:t>need to balance the benefits and burden for both proponents and government</w:t>
      </w:r>
      <w:r>
        <w:rPr>
          <w:color w:val="auto"/>
          <w:lang w:eastAsia="en-AU"/>
        </w:rPr>
        <w:t xml:space="preserve"> when determining the threshold.</w:t>
      </w:r>
      <w:r w:rsidR="004E3D10">
        <w:rPr>
          <w:color w:val="auto"/>
          <w:lang w:eastAsia="en-AU"/>
        </w:rPr>
        <w:t xml:space="preserve"> A DISR interviewee expressed it as follows:</w:t>
      </w:r>
      <w:r>
        <w:rPr>
          <w:color w:val="auto"/>
          <w:lang w:eastAsia="en-AU"/>
        </w:rPr>
        <w:t xml:space="preserve"> </w:t>
      </w:r>
    </w:p>
    <w:p w14:paraId="1045ADCE" w14:textId="25FB786D" w:rsidR="001C4286" w:rsidRPr="00F9549A" w:rsidRDefault="001C4286" w:rsidP="008E12A7">
      <w:pPr>
        <w:pStyle w:val="BodyText"/>
        <w:ind w:left="720" w:right="946"/>
        <w:jc w:val="left"/>
      </w:pPr>
      <w:r w:rsidRPr="00CC08D8">
        <w:rPr>
          <w:i/>
        </w:rPr>
        <w:t>I</w:t>
      </w:r>
      <w:r w:rsidR="00DC7641">
        <w:rPr>
          <w:i/>
        </w:rPr>
        <w:t xml:space="preserve"> would</w:t>
      </w:r>
      <w:r w:rsidRPr="00CC08D8">
        <w:rPr>
          <w:i/>
        </w:rPr>
        <w:t xml:space="preserve"> say the benefits of lowering the thresholds could be that more activity is </w:t>
      </w:r>
      <w:proofErr w:type="gramStart"/>
      <w:r w:rsidRPr="00CC08D8">
        <w:rPr>
          <w:i/>
        </w:rPr>
        <w:t>captured</w:t>
      </w:r>
      <w:proofErr w:type="gramEnd"/>
      <w:r w:rsidRPr="00CC08D8">
        <w:rPr>
          <w:i/>
        </w:rPr>
        <w:t xml:space="preserve"> and the base of Australian industry is broadened.</w:t>
      </w:r>
      <w:r w:rsidR="00DC7641">
        <w:rPr>
          <w:i/>
        </w:rPr>
        <w:t xml:space="preserve"> </w:t>
      </w:r>
      <w:r w:rsidRPr="00CC08D8">
        <w:rPr>
          <w:i/>
        </w:rPr>
        <w:t>The risks would be increased regulatory burden, capturing more businesses for smaller projects that maybe have less time and the need to match resourcing levels within the regulator</w:t>
      </w:r>
      <w:r>
        <w:rPr>
          <w:i/>
        </w:rPr>
        <w:t>.</w:t>
      </w:r>
    </w:p>
    <w:p w14:paraId="3A3222D1" w14:textId="04A9C92F" w:rsidR="001C4286" w:rsidRDefault="001C4286" w:rsidP="001C4286">
      <w:pPr>
        <w:pStyle w:val="BodyText"/>
        <w:rPr>
          <w:color w:val="auto"/>
          <w:lang w:eastAsia="en-AU"/>
        </w:rPr>
      </w:pPr>
      <w:bookmarkStart w:id="56" w:name="_Hlk131581614"/>
      <w:r>
        <w:rPr>
          <w:color w:val="auto"/>
          <w:lang w:eastAsia="en-AU"/>
        </w:rPr>
        <w:t xml:space="preserve">Under their AIP plans, proponents must advertise all </w:t>
      </w:r>
      <w:r w:rsidRPr="00F96820">
        <w:rPr>
          <w:color w:val="auto"/>
          <w:lang w:eastAsia="en-AU"/>
        </w:rPr>
        <w:t>procurements of key goods and</w:t>
      </w:r>
      <w:r>
        <w:rPr>
          <w:color w:val="auto"/>
          <w:lang w:eastAsia="en-AU"/>
        </w:rPr>
        <w:t xml:space="preserve"> </w:t>
      </w:r>
      <w:r w:rsidRPr="00F96820">
        <w:rPr>
          <w:color w:val="auto"/>
          <w:lang w:eastAsia="en-AU"/>
        </w:rPr>
        <w:t xml:space="preserve">services </w:t>
      </w:r>
      <w:r>
        <w:rPr>
          <w:color w:val="auto"/>
          <w:lang w:eastAsia="en-AU"/>
        </w:rPr>
        <w:t xml:space="preserve">valued </w:t>
      </w:r>
      <w:r w:rsidRPr="00F96820">
        <w:rPr>
          <w:color w:val="auto"/>
          <w:lang w:eastAsia="en-AU"/>
        </w:rPr>
        <w:t>$1 million and above</w:t>
      </w:r>
      <w:r>
        <w:rPr>
          <w:color w:val="auto"/>
          <w:lang w:eastAsia="en-AU"/>
        </w:rPr>
        <w:t xml:space="preserve">. </w:t>
      </w:r>
      <w:bookmarkEnd w:id="56"/>
      <w:r>
        <w:rPr>
          <w:color w:val="auto"/>
          <w:lang w:eastAsia="en-AU"/>
        </w:rPr>
        <w:t>This is aimed to support opportunities for Australian businesses to bid for these opportunities</w:t>
      </w:r>
      <w:r>
        <w:rPr>
          <w:rStyle w:val="FootnoteReference"/>
          <w:color w:val="auto"/>
          <w:lang w:eastAsia="en-AU"/>
        </w:rPr>
        <w:footnoteReference w:id="13"/>
      </w:r>
      <w:r>
        <w:rPr>
          <w:color w:val="auto"/>
          <w:lang w:eastAsia="en-AU"/>
        </w:rPr>
        <w:t>.Overall, a</w:t>
      </w:r>
      <w:r w:rsidRPr="00CE7236">
        <w:rPr>
          <w:color w:val="auto"/>
          <w:lang w:eastAsia="en-AU"/>
        </w:rPr>
        <w:t xml:space="preserve"> </w:t>
      </w:r>
      <w:r>
        <w:rPr>
          <w:color w:val="auto"/>
          <w:lang w:eastAsia="en-AU"/>
        </w:rPr>
        <w:t>slight</w:t>
      </w:r>
      <w:r w:rsidRPr="00CE7236">
        <w:rPr>
          <w:color w:val="auto"/>
          <w:lang w:eastAsia="en-AU"/>
        </w:rPr>
        <w:t xml:space="preserve"> majority of stakeholders thought that the </w:t>
      </w:r>
      <w:r w:rsidR="00666F43" w:rsidRPr="00D64787">
        <w:rPr>
          <w:color w:val="auto"/>
          <w:lang w:eastAsia="en-AU"/>
        </w:rPr>
        <w:t>$1</w:t>
      </w:r>
      <w:r w:rsidR="00666F43">
        <w:rPr>
          <w:color w:val="auto"/>
          <w:lang w:eastAsia="en-AU"/>
        </w:rPr>
        <w:t> </w:t>
      </w:r>
      <w:r w:rsidR="00666F43" w:rsidRPr="00D64787">
        <w:rPr>
          <w:color w:val="auto"/>
          <w:lang w:eastAsia="en-AU"/>
        </w:rPr>
        <w:t xml:space="preserve">million </w:t>
      </w:r>
      <w:r w:rsidRPr="00CE7236">
        <w:rPr>
          <w:color w:val="auto"/>
          <w:lang w:eastAsia="en-AU"/>
        </w:rPr>
        <w:t>contract threshold was appropriate.</w:t>
      </w:r>
      <w:r>
        <w:rPr>
          <w:color w:val="auto"/>
          <w:lang w:eastAsia="en-AU"/>
        </w:rPr>
        <w:t xml:space="preserve"> </w:t>
      </w:r>
      <w:r w:rsidR="00D64787">
        <w:rPr>
          <w:color w:val="auto"/>
          <w:lang w:eastAsia="en-AU"/>
        </w:rPr>
        <w:t>S</w:t>
      </w:r>
      <w:r>
        <w:rPr>
          <w:color w:val="auto"/>
          <w:lang w:eastAsia="en-AU"/>
        </w:rPr>
        <w:t xml:space="preserve">takeholder views generally aligned with their group interests. </w:t>
      </w:r>
    </w:p>
    <w:p w14:paraId="306E7282" w14:textId="7F14D499" w:rsidR="001C4286" w:rsidRDefault="001C4286" w:rsidP="001C4286">
      <w:pPr>
        <w:pStyle w:val="BodyText"/>
        <w:rPr>
          <w:color w:val="auto"/>
          <w:lang w:eastAsia="en-AU"/>
        </w:rPr>
      </w:pPr>
      <w:r w:rsidRPr="00D64787">
        <w:rPr>
          <w:color w:val="auto"/>
          <w:lang w:eastAsia="en-AU"/>
        </w:rPr>
        <w:t xml:space="preserve">Just over half of supplier respondents (22 of 38) and under half (3 of 7) </w:t>
      </w:r>
      <w:r w:rsidR="005F12F7">
        <w:rPr>
          <w:color w:val="auto"/>
          <w:lang w:eastAsia="en-AU"/>
        </w:rPr>
        <w:t>p</w:t>
      </w:r>
      <w:r w:rsidRPr="00D64787">
        <w:rPr>
          <w:color w:val="auto"/>
          <w:lang w:eastAsia="en-AU"/>
        </w:rPr>
        <w:t xml:space="preserve">eaks and </w:t>
      </w:r>
      <w:r w:rsidR="005F12F7">
        <w:rPr>
          <w:color w:val="auto"/>
          <w:lang w:eastAsia="en-AU"/>
        </w:rPr>
        <w:t>u</w:t>
      </w:r>
      <w:r w:rsidRPr="00D64787">
        <w:rPr>
          <w:color w:val="auto"/>
          <w:lang w:eastAsia="en-AU"/>
        </w:rPr>
        <w:t xml:space="preserve">nions consider the Jobs Act $1 million contract threshold to be appropriate. Of the suppliers and </w:t>
      </w:r>
      <w:r w:rsidR="005F12F7">
        <w:rPr>
          <w:color w:val="auto"/>
          <w:lang w:eastAsia="en-AU"/>
        </w:rPr>
        <w:t>p</w:t>
      </w:r>
      <w:r w:rsidRPr="00D64787">
        <w:rPr>
          <w:color w:val="auto"/>
          <w:lang w:eastAsia="en-AU"/>
        </w:rPr>
        <w:t xml:space="preserve">eaks and </w:t>
      </w:r>
      <w:r w:rsidR="005F12F7">
        <w:rPr>
          <w:color w:val="auto"/>
          <w:lang w:eastAsia="en-AU"/>
        </w:rPr>
        <w:t>u</w:t>
      </w:r>
      <w:r w:rsidRPr="00D64787">
        <w:rPr>
          <w:color w:val="auto"/>
          <w:lang w:eastAsia="en-AU"/>
        </w:rPr>
        <w:t xml:space="preserve">nions who did not think the </w:t>
      </w:r>
      <w:r w:rsidR="00666F43" w:rsidRPr="00D64787">
        <w:rPr>
          <w:color w:val="auto"/>
          <w:lang w:eastAsia="en-AU"/>
        </w:rPr>
        <w:t>$1</w:t>
      </w:r>
      <w:r w:rsidR="00666F43">
        <w:rPr>
          <w:color w:val="auto"/>
          <w:lang w:eastAsia="en-AU"/>
        </w:rPr>
        <w:t> </w:t>
      </w:r>
      <w:r w:rsidR="00666F43" w:rsidRPr="00D64787">
        <w:rPr>
          <w:color w:val="auto"/>
          <w:lang w:eastAsia="en-AU"/>
        </w:rPr>
        <w:t xml:space="preserve">million </w:t>
      </w:r>
      <w:r w:rsidRPr="00D64787">
        <w:rPr>
          <w:color w:val="auto"/>
          <w:lang w:eastAsia="en-AU"/>
        </w:rPr>
        <w:t>contract threshold to be appropriate, most thought it should be removed or lowered to give more opportunities for small businesses.</w:t>
      </w:r>
      <w:r w:rsidRPr="00D64787">
        <w:t xml:space="preserve"> </w:t>
      </w:r>
      <w:r w:rsidRPr="00D64787">
        <w:rPr>
          <w:color w:val="auto"/>
          <w:lang w:eastAsia="en-AU"/>
        </w:rPr>
        <w:t>On the other hand, over half of the proponents surveyed (13 of 25) did not think the current threshold to be appropriate, with most of them indicating it should</w:t>
      </w:r>
      <w:r w:rsidRPr="001377B2">
        <w:rPr>
          <w:color w:val="auto"/>
          <w:lang w:eastAsia="en-AU"/>
        </w:rPr>
        <w:t xml:space="preserve"> be increased to above $2 million.</w:t>
      </w:r>
      <w:r w:rsidRPr="001377B2">
        <w:t xml:space="preserve"> </w:t>
      </w:r>
    </w:p>
    <w:p w14:paraId="182BC31D" w14:textId="4BDC25C4" w:rsidR="001C4286" w:rsidRDefault="001C4286" w:rsidP="001C4286">
      <w:pPr>
        <w:pStyle w:val="BodyText"/>
        <w:rPr>
          <w:color w:val="auto"/>
          <w:lang w:eastAsia="en-AU"/>
        </w:rPr>
      </w:pPr>
      <w:bookmarkStart w:id="57" w:name="_Hlk130569459"/>
      <w:r>
        <w:rPr>
          <w:color w:val="auto"/>
          <w:lang w:eastAsia="en-AU"/>
        </w:rPr>
        <w:t xml:space="preserve">One external </w:t>
      </w:r>
      <w:r w:rsidRPr="00917C09">
        <w:rPr>
          <w:color w:val="auto"/>
          <w:lang w:eastAsia="en-AU"/>
        </w:rPr>
        <w:t xml:space="preserve">stakeholder commented that a negative consequence of this </w:t>
      </w:r>
      <w:r w:rsidR="00666F43" w:rsidRPr="00D64787">
        <w:rPr>
          <w:color w:val="auto"/>
          <w:lang w:eastAsia="en-AU"/>
        </w:rPr>
        <w:t>$1</w:t>
      </w:r>
      <w:r w:rsidR="00666F43">
        <w:rPr>
          <w:color w:val="auto"/>
          <w:lang w:eastAsia="en-AU"/>
        </w:rPr>
        <w:t> </w:t>
      </w:r>
      <w:r w:rsidR="00666F43" w:rsidRPr="00D64787">
        <w:rPr>
          <w:color w:val="auto"/>
          <w:lang w:eastAsia="en-AU"/>
        </w:rPr>
        <w:t xml:space="preserve">million </w:t>
      </w:r>
      <w:r w:rsidRPr="00917C09">
        <w:rPr>
          <w:color w:val="auto"/>
          <w:lang w:eastAsia="en-AU"/>
        </w:rPr>
        <w:t>threshold was that proponents often did not feel obliged to advertise smaller work packages</w:t>
      </w:r>
      <w:r>
        <w:rPr>
          <w:color w:val="auto"/>
          <w:lang w:eastAsia="en-AU"/>
        </w:rPr>
        <w:t>. As a result,</w:t>
      </w:r>
      <w:r w:rsidRPr="00917C09">
        <w:rPr>
          <w:color w:val="auto"/>
          <w:lang w:eastAsia="en-AU"/>
        </w:rPr>
        <w:t xml:space="preserve"> smaller businesses </w:t>
      </w:r>
      <w:r>
        <w:rPr>
          <w:color w:val="auto"/>
          <w:lang w:eastAsia="en-AU"/>
        </w:rPr>
        <w:t xml:space="preserve">which may have the capability to deliver those smaller pieces of work are not seeing those </w:t>
      </w:r>
      <w:r w:rsidRPr="00917C09">
        <w:rPr>
          <w:color w:val="auto"/>
          <w:lang w:eastAsia="en-AU"/>
        </w:rPr>
        <w:t xml:space="preserve">opportunities. </w:t>
      </w:r>
    </w:p>
    <w:p w14:paraId="41C67451" w14:textId="5609A621" w:rsidR="001C4286" w:rsidRPr="00DF0CB5" w:rsidRDefault="001C4286" w:rsidP="00DF0CB5">
      <w:pPr>
        <w:pStyle w:val="BodyText"/>
        <w:ind w:left="720"/>
        <w:jc w:val="left"/>
      </w:pPr>
      <w:r w:rsidRPr="00E121B7">
        <w:rPr>
          <w:i/>
        </w:rPr>
        <w:t>Given the requirement for work packages $1</w:t>
      </w:r>
      <w:r>
        <w:rPr>
          <w:i/>
        </w:rPr>
        <w:t xml:space="preserve"> </w:t>
      </w:r>
      <w:r w:rsidRPr="00E121B7">
        <w:rPr>
          <w:i/>
        </w:rPr>
        <w:t>m</w:t>
      </w:r>
      <w:r>
        <w:rPr>
          <w:i/>
        </w:rPr>
        <w:t>illion</w:t>
      </w:r>
      <w:r w:rsidRPr="00E121B7">
        <w:rPr>
          <w:i/>
        </w:rPr>
        <w:t xml:space="preserve"> and above to be advertised, proponents don’t feel an obligation to advertise work packages less than $1</w:t>
      </w:r>
      <w:r>
        <w:rPr>
          <w:i/>
        </w:rPr>
        <w:t xml:space="preserve"> </w:t>
      </w:r>
      <w:r w:rsidRPr="00E121B7">
        <w:rPr>
          <w:i/>
        </w:rPr>
        <w:t>m</w:t>
      </w:r>
      <w:r>
        <w:rPr>
          <w:i/>
        </w:rPr>
        <w:t>illion</w:t>
      </w:r>
      <w:r w:rsidRPr="00E121B7">
        <w:rPr>
          <w:i/>
        </w:rPr>
        <w:t>. Some companies do still advertise, for example if they want to target regional or Indigenous businesses, but otherwise they don’t</w:t>
      </w:r>
      <w:r>
        <w:rPr>
          <w:i/>
        </w:rPr>
        <w:t>,</w:t>
      </w:r>
      <w:r w:rsidRPr="00E121B7">
        <w:rPr>
          <w:i/>
        </w:rPr>
        <w:t xml:space="preserve"> so smaller companies that can’t deliver the larger contract work are missing out.</w:t>
      </w:r>
      <w:bookmarkEnd w:id="57"/>
    </w:p>
    <w:p w14:paraId="756929E1" w14:textId="3A7E4CCA" w:rsidR="001C4286" w:rsidRPr="00917C09" w:rsidRDefault="001C4286" w:rsidP="001C4286">
      <w:pPr>
        <w:pStyle w:val="BodyText"/>
        <w:rPr>
          <w:color w:val="auto"/>
          <w:lang w:eastAsia="en-AU"/>
        </w:rPr>
      </w:pPr>
      <w:bookmarkStart w:id="58" w:name="_Hlk130994478"/>
      <w:r w:rsidRPr="00917C09">
        <w:rPr>
          <w:color w:val="auto"/>
          <w:lang w:eastAsia="en-AU"/>
        </w:rPr>
        <w:t xml:space="preserve">While </w:t>
      </w:r>
      <w:r w:rsidR="004B3CD3">
        <w:rPr>
          <w:color w:val="auto"/>
          <w:lang w:eastAsia="en-AU"/>
        </w:rPr>
        <w:t xml:space="preserve">the evaluation found </w:t>
      </w:r>
      <w:r w:rsidR="00E5137B" w:rsidRPr="00E5137B">
        <w:rPr>
          <w:color w:val="auto"/>
          <w:lang w:eastAsia="en-AU"/>
        </w:rPr>
        <w:t>a general level of support for current threshold levels</w:t>
      </w:r>
      <w:r w:rsidR="00E5137B" w:rsidRPr="00E5137B" w:rsidDel="00E5137B">
        <w:rPr>
          <w:color w:val="auto"/>
          <w:lang w:eastAsia="en-AU"/>
        </w:rPr>
        <w:t xml:space="preserve"> </w:t>
      </w:r>
      <w:r w:rsidR="004B3CD3">
        <w:rPr>
          <w:color w:val="auto"/>
          <w:lang w:eastAsia="en-AU"/>
        </w:rPr>
        <w:t>amongst consulted stakeholders</w:t>
      </w:r>
      <w:r w:rsidR="00712745">
        <w:rPr>
          <w:color w:val="auto"/>
          <w:lang w:eastAsia="en-AU"/>
        </w:rPr>
        <w:t>,</w:t>
      </w:r>
      <w:r>
        <w:rPr>
          <w:color w:val="auto"/>
          <w:lang w:eastAsia="en-AU"/>
        </w:rPr>
        <w:t xml:space="preserve"> further </w:t>
      </w:r>
      <w:r w:rsidR="00891D62" w:rsidRPr="008B24D7">
        <w:rPr>
          <w:color w:val="auto"/>
          <w:lang w:eastAsia="en-AU"/>
        </w:rPr>
        <w:t xml:space="preserve">economic and </w:t>
      </w:r>
      <w:r w:rsidRPr="008B24D7">
        <w:rPr>
          <w:color w:val="auto"/>
          <w:lang w:eastAsia="en-AU"/>
        </w:rPr>
        <w:t xml:space="preserve">policy analysis of thresholds would be needed to ensure they are set at the most appropriate levels under current market conditions to achieve the policy objectives. </w:t>
      </w:r>
      <w:r w:rsidR="006F4981" w:rsidRPr="008B24D7">
        <w:rPr>
          <w:color w:val="auto"/>
          <w:lang w:eastAsia="en-AU"/>
        </w:rPr>
        <w:t xml:space="preserve">A </w:t>
      </w:r>
      <w:r w:rsidR="006F4981" w:rsidRPr="008B24D7">
        <w:rPr>
          <w:color w:val="auto"/>
          <w:lang w:eastAsia="en-AU"/>
        </w:rPr>
        <w:lastRenderedPageBreak/>
        <w:t>revision of current</w:t>
      </w:r>
      <w:r w:rsidR="00891D62" w:rsidRPr="008B24D7">
        <w:rPr>
          <w:color w:val="auto"/>
          <w:lang w:eastAsia="en-AU"/>
        </w:rPr>
        <w:t xml:space="preserve"> $500 million project and $1 million contract</w:t>
      </w:r>
      <w:r w:rsidR="006F4981" w:rsidRPr="008B24D7">
        <w:rPr>
          <w:color w:val="auto"/>
          <w:lang w:eastAsia="en-AU"/>
        </w:rPr>
        <w:t xml:space="preserve"> thresholds </w:t>
      </w:r>
      <w:r w:rsidR="000B3BD6" w:rsidRPr="008B24D7">
        <w:rPr>
          <w:color w:val="auto"/>
          <w:lang w:eastAsia="en-AU"/>
        </w:rPr>
        <w:t xml:space="preserve">would also </w:t>
      </w:r>
      <w:r w:rsidR="00542893" w:rsidRPr="008B24D7">
        <w:rPr>
          <w:color w:val="auto"/>
          <w:lang w:eastAsia="en-AU"/>
        </w:rPr>
        <w:t xml:space="preserve">need to consider </w:t>
      </w:r>
      <w:r w:rsidR="006F4981" w:rsidRPr="008B24D7">
        <w:rPr>
          <w:color w:val="auto"/>
          <w:lang w:eastAsia="en-AU"/>
        </w:rPr>
        <w:t xml:space="preserve">inflationary changes that have taken place since the </w:t>
      </w:r>
      <w:r w:rsidR="002172A1" w:rsidRPr="008B24D7">
        <w:rPr>
          <w:color w:val="auto"/>
          <w:lang w:eastAsia="en-AU"/>
        </w:rPr>
        <w:t xml:space="preserve">introduction of those </w:t>
      </w:r>
      <w:r w:rsidR="006F4981" w:rsidRPr="008B24D7">
        <w:rPr>
          <w:color w:val="auto"/>
          <w:lang w:eastAsia="en-AU"/>
        </w:rPr>
        <w:t xml:space="preserve">thresholds. </w:t>
      </w:r>
      <w:r w:rsidRPr="008B24D7">
        <w:rPr>
          <w:color w:val="auto"/>
          <w:lang w:eastAsia="en-AU"/>
        </w:rPr>
        <w:t>Any changes to Jobs Act thresholds would have implications for the coverage of the policy</w:t>
      </w:r>
      <w:r w:rsidRPr="00917C09">
        <w:rPr>
          <w:color w:val="auto"/>
          <w:lang w:eastAsia="en-AU"/>
        </w:rPr>
        <w:t xml:space="preserve"> and the administrative burden for both proponents and government, which would need to be considered as part of any changes.</w:t>
      </w:r>
    </w:p>
    <w:bookmarkEnd w:id="58"/>
    <w:p w14:paraId="5E789080" w14:textId="7D835049" w:rsidR="001C4286" w:rsidRDefault="001C4286" w:rsidP="001C4286">
      <w:pPr>
        <w:pStyle w:val="BodyText"/>
        <w:shd w:val="clear" w:color="auto" w:fill="D7EFF2" w:themeFill="accent3" w:themeFillTint="66"/>
        <w:rPr>
          <w:lang w:eastAsia="en-AU"/>
        </w:rPr>
      </w:pPr>
      <w:r w:rsidRPr="007D0B59">
        <w:rPr>
          <w:b/>
          <w:bCs/>
          <w:lang w:eastAsia="en-AU"/>
        </w:rPr>
        <w:t xml:space="preserve">Finding </w:t>
      </w:r>
      <w:r w:rsidR="00CD623C">
        <w:rPr>
          <w:b/>
          <w:bCs/>
          <w:lang w:eastAsia="en-AU"/>
        </w:rPr>
        <w:t>6</w:t>
      </w:r>
      <w:r w:rsidRPr="007D0B59">
        <w:rPr>
          <w:b/>
          <w:bCs/>
          <w:lang w:eastAsia="en-AU"/>
        </w:rPr>
        <w:t>:</w:t>
      </w:r>
      <w:r>
        <w:rPr>
          <w:lang w:eastAsia="en-AU"/>
        </w:rPr>
        <w:t xml:space="preserve"> Most </w:t>
      </w:r>
      <w:r w:rsidRPr="00B57D9D">
        <w:rPr>
          <w:lang w:eastAsia="en-AU"/>
        </w:rPr>
        <w:t>stakeholder groups supported retaining the $500</w:t>
      </w:r>
      <w:r w:rsidR="00F95AED">
        <w:rPr>
          <w:lang w:eastAsia="en-AU"/>
        </w:rPr>
        <w:t xml:space="preserve"> </w:t>
      </w:r>
      <w:r w:rsidRPr="00B57D9D">
        <w:rPr>
          <w:lang w:eastAsia="en-AU"/>
        </w:rPr>
        <w:t>m</w:t>
      </w:r>
      <w:r w:rsidR="00F95AED">
        <w:rPr>
          <w:lang w:eastAsia="en-AU"/>
        </w:rPr>
        <w:t>illion</w:t>
      </w:r>
      <w:r w:rsidRPr="00B57D9D">
        <w:rPr>
          <w:lang w:eastAsia="en-AU"/>
        </w:rPr>
        <w:t xml:space="preserve"> threshold for major projects under the Jobs Act. Most groups also supported retaining the $1</w:t>
      </w:r>
      <w:r w:rsidR="00F95AED">
        <w:rPr>
          <w:lang w:eastAsia="en-AU"/>
        </w:rPr>
        <w:t xml:space="preserve"> </w:t>
      </w:r>
      <w:r w:rsidRPr="00B57D9D">
        <w:rPr>
          <w:lang w:eastAsia="en-AU"/>
        </w:rPr>
        <w:t>m</w:t>
      </w:r>
      <w:r w:rsidR="00F95AED">
        <w:rPr>
          <w:lang w:eastAsia="en-AU"/>
        </w:rPr>
        <w:t>illion</w:t>
      </w:r>
      <w:r w:rsidRPr="00B57D9D">
        <w:rPr>
          <w:lang w:eastAsia="en-AU"/>
        </w:rPr>
        <w:t xml:space="preserve"> minimum contract threshold, although some proponents thought it should be raised and some suppliers thought it should be removed or lowered</w:t>
      </w:r>
      <w:r w:rsidRPr="008B24D7">
        <w:rPr>
          <w:lang w:eastAsia="en-AU"/>
        </w:rPr>
        <w:t>.</w:t>
      </w:r>
      <w:r w:rsidR="00891D62" w:rsidRPr="008B24D7">
        <w:t xml:space="preserve"> </w:t>
      </w:r>
      <w:r w:rsidR="00891D62" w:rsidRPr="008B24D7">
        <w:rPr>
          <w:lang w:eastAsia="en-AU"/>
        </w:rPr>
        <w:t>Further analysis of the financial thresholds is needed.</w:t>
      </w:r>
    </w:p>
    <w:p w14:paraId="4A943702" w14:textId="76CC633D" w:rsidR="000671CF" w:rsidRDefault="000671CF" w:rsidP="000671CF">
      <w:pPr>
        <w:pStyle w:val="Caption"/>
        <w:rPr>
          <w:color w:val="005677" w:themeColor="background2"/>
        </w:rPr>
      </w:pPr>
      <w:r w:rsidRPr="008E12A7">
        <w:rPr>
          <w:color w:val="005677" w:themeColor="background2"/>
        </w:rPr>
        <w:t xml:space="preserve">Box </w:t>
      </w:r>
      <w:r w:rsidR="001B71FC" w:rsidRPr="008E12A7">
        <w:rPr>
          <w:color w:val="005677" w:themeColor="background2"/>
        </w:rPr>
        <w:fldChar w:fldCharType="begin"/>
      </w:r>
      <w:r w:rsidR="001B71FC" w:rsidRPr="008E12A7">
        <w:rPr>
          <w:color w:val="005677" w:themeColor="background2"/>
        </w:rPr>
        <w:instrText xml:space="preserve"> STYLEREF 1 \s </w:instrText>
      </w:r>
      <w:r w:rsidR="001B71FC" w:rsidRPr="008E12A7">
        <w:rPr>
          <w:color w:val="005677" w:themeColor="background2"/>
        </w:rPr>
        <w:fldChar w:fldCharType="separate"/>
      </w:r>
      <w:r w:rsidR="00E32679">
        <w:rPr>
          <w:noProof/>
          <w:color w:val="005677" w:themeColor="background2"/>
        </w:rPr>
        <w:t>2</w:t>
      </w:r>
      <w:r w:rsidR="001B71FC" w:rsidRPr="008E12A7">
        <w:rPr>
          <w:noProof/>
          <w:color w:val="005677" w:themeColor="background2"/>
        </w:rPr>
        <w:fldChar w:fldCharType="end"/>
      </w:r>
      <w:r w:rsidRPr="008E12A7">
        <w:rPr>
          <w:color w:val="005677" w:themeColor="background2"/>
        </w:rPr>
        <w:t>.3.1 Recommendation 3</w:t>
      </w:r>
    </w:p>
    <w:p w14:paraId="44E5E551" w14:textId="011D2C73" w:rsidR="00100C2A" w:rsidRPr="00EB0673" w:rsidRDefault="00100C2A" w:rsidP="00EB0673">
      <w:pPr>
        <w:pStyle w:val="Placeholder"/>
        <w:jc w:val="left"/>
      </w:pPr>
      <w:r w:rsidRPr="00EB0673">
        <w:rPr>
          <w:b/>
          <w:bCs/>
        </w:rPr>
        <w:t>Recommendation 3:</w:t>
      </w:r>
      <w:r w:rsidRPr="00100C2A">
        <w:t xml:space="preserve"> That DISR undertake further analysis of financial thresholds to assess the most appropriate settings to achieve the intended policy </w:t>
      </w:r>
      <w:r w:rsidR="0011663C" w:rsidRPr="00100C2A">
        <w:t>objectives.</w:t>
      </w:r>
    </w:p>
    <w:p w14:paraId="28250ADC" w14:textId="77777777" w:rsidR="000671CF" w:rsidRDefault="000671CF" w:rsidP="000671CF">
      <w:pPr>
        <w:pStyle w:val="Source"/>
        <w:rPr>
          <w:lang w:eastAsia="en-AU"/>
        </w:rPr>
      </w:pPr>
    </w:p>
    <w:p w14:paraId="524C70C4" w14:textId="5ED8073B" w:rsidR="001C4286" w:rsidRDefault="001C4286" w:rsidP="001C4286">
      <w:pPr>
        <w:pStyle w:val="Heading3"/>
        <w:rPr>
          <w:lang w:eastAsia="en-AU"/>
        </w:rPr>
      </w:pPr>
      <w:r>
        <w:rPr>
          <w:lang w:eastAsia="en-AU"/>
        </w:rPr>
        <w:t xml:space="preserve">Financial </w:t>
      </w:r>
      <w:r w:rsidR="00100C2A">
        <w:rPr>
          <w:lang w:eastAsia="en-AU"/>
        </w:rPr>
        <w:t>t</w:t>
      </w:r>
      <w:r>
        <w:rPr>
          <w:lang w:eastAsia="en-AU"/>
        </w:rPr>
        <w:t xml:space="preserve">hresholds – Commonwealth </w:t>
      </w:r>
      <w:r w:rsidR="00100C2A">
        <w:rPr>
          <w:lang w:eastAsia="en-AU"/>
        </w:rPr>
        <w:t>f</w:t>
      </w:r>
      <w:r w:rsidR="00D04D2D">
        <w:rPr>
          <w:lang w:eastAsia="en-AU"/>
        </w:rPr>
        <w:t xml:space="preserve">unding or </w:t>
      </w:r>
      <w:r w:rsidR="00100C2A">
        <w:rPr>
          <w:lang w:eastAsia="en-AU"/>
        </w:rPr>
        <w:t>i</w:t>
      </w:r>
      <w:r w:rsidR="00D04D2D">
        <w:rPr>
          <w:lang w:eastAsia="en-AU"/>
        </w:rPr>
        <w:t>nvestment</w:t>
      </w:r>
    </w:p>
    <w:p w14:paraId="598EE91E" w14:textId="1B0F2E65" w:rsidR="001C4286" w:rsidRDefault="001C4286" w:rsidP="001C4286">
      <w:pPr>
        <w:pStyle w:val="BodyText"/>
        <w:rPr>
          <w:color w:val="auto"/>
          <w:lang w:eastAsia="en-AU"/>
        </w:rPr>
      </w:pPr>
      <w:r w:rsidRPr="008D40AA">
        <w:rPr>
          <w:color w:val="auto"/>
          <w:lang w:eastAsia="en-AU"/>
        </w:rPr>
        <w:t xml:space="preserve">AIP plans are </w:t>
      </w:r>
      <w:r>
        <w:rPr>
          <w:color w:val="auto"/>
          <w:lang w:eastAsia="en-AU"/>
        </w:rPr>
        <w:t xml:space="preserve">also required for </w:t>
      </w:r>
      <w:r w:rsidR="00D04D2D">
        <w:rPr>
          <w:color w:val="auto"/>
          <w:lang w:eastAsia="en-AU"/>
        </w:rPr>
        <w:t xml:space="preserve">eligible projects receiving </w:t>
      </w:r>
      <w:r>
        <w:rPr>
          <w:color w:val="auto"/>
          <w:lang w:eastAsia="en-AU"/>
        </w:rPr>
        <w:t xml:space="preserve">Commonwealth </w:t>
      </w:r>
      <w:r w:rsidR="00D04D2D">
        <w:rPr>
          <w:color w:val="auto"/>
          <w:lang w:eastAsia="en-AU"/>
        </w:rPr>
        <w:t xml:space="preserve">funding or investment </w:t>
      </w:r>
      <w:r>
        <w:rPr>
          <w:color w:val="auto"/>
          <w:lang w:eastAsia="en-AU"/>
        </w:rPr>
        <w:t xml:space="preserve">of $20 million or </w:t>
      </w:r>
      <w:r w:rsidR="00D04D2D">
        <w:rPr>
          <w:color w:val="auto"/>
          <w:lang w:eastAsia="en-AU"/>
        </w:rPr>
        <w:t>more</w:t>
      </w:r>
      <w:r>
        <w:rPr>
          <w:color w:val="auto"/>
          <w:lang w:eastAsia="en-AU"/>
        </w:rPr>
        <w:t xml:space="preserve">, </w:t>
      </w:r>
      <w:r>
        <w:t xml:space="preserve">including procurement, </w:t>
      </w:r>
      <w:proofErr w:type="gramStart"/>
      <w:r>
        <w:t>grants</w:t>
      </w:r>
      <w:proofErr w:type="gramEnd"/>
      <w:r>
        <w:t xml:space="preserve"> and loans</w:t>
      </w:r>
      <w:r>
        <w:rPr>
          <w:color w:val="auto"/>
          <w:lang w:eastAsia="en-AU"/>
        </w:rPr>
        <w:t xml:space="preserve">. The evaluation found general </w:t>
      </w:r>
      <w:r w:rsidR="00554CC9">
        <w:rPr>
          <w:color w:val="auto"/>
          <w:lang w:eastAsia="en-AU"/>
        </w:rPr>
        <w:t xml:space="preserve">agreement </w:t>
      </w:r>
      <w:r>
        <w:rPr>
          <w:color w:val="auto"/>
          <w:lang w:eastAsia="en-AU"/>
        </w:rPr>
        <w:t xml:space="preserve">amongst surveyed proponents and suppliers that the </w:t>
      </w:r>
      <w:r w:rsidRPr="00284D19">
        <w:rPr>
          <w:color w:val="auto"/>
          <w:lang w:eastAsia="en-AU"/>
        </w:rPr>
        <w:t>$20</w:t>
      </w:r>
      <w:r w:rsidR="00F95AED">
        <w:rPr>
          <w:color w:val="auto"/>
          <w:lang w:eastAsia="en-AU"/>
        </w:rPr>
        <w:t xml:space="preserve"> </w:t>
      </w:r>
      <w:r w:rsidRPr="00284D19">
        <w:rPr>
          <w:color w:val="auto"/>
          <w:lang w:eastAsia="en-AU"/>
        </w:rPr>
        <w:t>m</w:t>
      </w:r>
      <w:r w:rsidR="00F95AED">
        <w:rPr>
          <w:color w:val="auto"/>
          <w:lang w:eastAsia="en-AU"/>
        </w:rPr>
        <w:t>illion</w:t>
      </w:r>
      <w:r w:rsidRPr="00284D19">
        <w:rPr>
          <w:color w:val="auto"/>
          <w:lang w:eastAsia="en-AU"/>
        </w:rPr>
        <w:t xml:space="preserve"> threshold for Commonwealth funded project </w:t>
      </w:r>
      <w:r>
        <w:rPr>
          <w:color w:val="auto"/>
          <w:lang w:eastAsia="en-AU"/>
        </w:rPr>
        <w:t>is</w:t>
      </w:r>
      <w:r w:rsidRPr="00284D19">
        <w:rPr>
          <w:color w:val="auto"/>
          <w:lang w:eastAsia="en-AU"/>
        </w:rPr>
        <w:t xml:space="preserve"> appropriate</w:t>
      </w:r>
      <w:r>
        <w:rPr>
          <w:color w:val="auto"/>
          <w:lang w:eastAsia="en-AU"/>
        </w:rPr>
        <w:t xml:space="preserve">. </w:t>
      </w:r>
    </w:p>
    <w:p w14:paraId="5A91FC8A" w14:textId="727D7BA9" w:rsidR="001C4286" w:rsidRPr="00D64787" w:rsidRDefault="001C4286" w:rsidP="001C4286">
      <w:pPr>
        <w:pStyle w:val="BodyText"/>
        <w:rPr>
          <w:color w:val="auto"/>
          <w:lang w:eastAsia="en-AU"/>
        </w:rPr>
      </w:pPr>
      <w:r>
        <w:rPr>
          <w:color w:val="auto"/>
          <w:lang w:eastAsia="en-AU"/>
        </w:rPr>
        <w:t xml:space="preserve">Most proponents </w:t>
      </w:r>
      <w:r w:rsidRPr="00D64787">
        <w:rPr>
          <w:color w:val="auto"/>
          <w:lang w:eastAsia="en-AU"/>
        </w:rPr>
        <w:t>(20 of 25) and most suppliers (27 of 39) surveyed considered the current threshold to be appropriate. Proponents who did not agree with the current $20 million threshold thought it should be higher than $</w:t>
      </w:r>
      <w:r w:rsidRPr="004F65C3">
        <w:rPr>
          <w:color w:val="auto"/>
          <w:lang w:eastAsia="en-AU"/>
        </w:rPr>
        <w:t>31 million</w:t>
      </w:r>
      <w:r w:rsidR="00BC51FD" w:rsidRPr="004F65C3">
        <w:rPr>
          <w:color w:val="auto"/>
          <w:lang w:eastAsia="en-AU"/>
        </w:rPr>
        <w:t xml:space="preserve"> based on dollar ranges in the survey (1 proponent respondent supported a threshold range of $31 - $50 million, while four supported a range of $51 - $70 million)</w:t>
      </w:r>
      <w:r w:rsidRPr="004F65C3">
        <w:rPr>
          <w:color w:val="auto"/>
          <w:lang w:eastAsia="en-AU"/>
        </w:rPr>
        <w:t>. In contrast, suppliers who did not agree with the current $20 million threshold</w:t>
      </w:r>
      <w:r w:rsidRPr="00D64787">
        <w:rPr>
          <w:color w:val="auto"/>
          <w:lang w:eastAsia="en-AU"/>
        </w:rPr>
        <w:t xml:space="preserve"> thought it should be removed altogether believing that projects receiving any amount of government funding should be subject to AIP requirements. </w:t>
      </w:r>
    </w:p>
    <w:p w14:paraId="2D920F67" w14:textId="464B0F8F" w:rsidR="001C4286" w:rsidRPr="00D64787" w:rsidRDefault="001C4286" w:rsidP="001C4286">
      <w:pPr>
        <w:pStyle w:val="BodyText"/>
        <w:rPr>
          <w:color w:val="auto"/>
          <w:lang w:eastAsia="en-AU"/>
        </w:rPr>
      </w:pPr>
      <w:r w:rsidRPr="00D64787">
        <w:rPr>
          <w:color w:val="auto"/>
          <w:lang w:eastAsia="en-AU"/>
        </w:rPr>
        <w:t xml:space="preserve">Unlike Jobs Act projects which have a $1 million contract threshold, there is no minimum contract threshold value for </w:t>
      </w:r>
      <w:r w:rsidR="006746EA">
        <w:rPr>
          <w:color w:val="auto"/>
          <w:lang w:eastAsia="en-AU"/>
        </w:rPr>
        <w:t xml:space="preserve">projects receiving </w:t>
      </w:r>
      <w:r w:rsidRPr="00D64787">
        <w:rPr>
          <w:color w:val="auto"/>
          <w:lang w:eastAsia="en-AU"/>
        </w:rPr>
        <w:t xml:space="preserve">Commonwealth </w:t>
      </w:r>
      <w:r w:rsidR="006746EA">
        <w:rPr>
          <w:color w:val="auto"/>
          <w:lang w:eastAsia="en-AU"/>
        </w:rPr>
        <w:t>funding or investment of</w:t>
      </w:r>
      <w:r w:rsidR="006746EA" w:rsidRPr="00D64787">
        <w:rPr>
          <w:color w:val="auto"/>
          <w:lang w:eastAsia="en-AU"/>
        </w:rPr>
        <w:t xml:space="preserve"> </w:t>
      </w:r>
      <w:r w:rsidRPr="00D64787">
        <w:rPr>
          <w:color w:val="auto"/>
          <w:lang w:eastAsia="en-AU"/>
        </w:rPr>
        <w:t xml:space="preserve">$20 million or </w:t>
      </w:r>
      <w:r w:rsidR="006746EA">
        <w:rPr>
          <w:color w:val="auto"/>
          <w:lang w:eastAsia="en-AU"/>
        </w:rPr>
        <w:t>more</w:t>
      </w:r>
      <w:r w:rsidR="006746EA" w:rsidRPr="00D64787">
        <w:rPr>
          <w:color w:val="auto"/>
          <w:lang w:eastAsia="en-AU"/>
        </w:rPr>
        <w:t xml:space="preserve"> </w:t>
      </w:r>
      <w:r w:rsidRPr="00D64787">
        <w:rPr>
          <w:color w:val="auto"/>
          <w:lang w:eastAsia="en-AU"/>
        </w:rPr>
        <w:t>requiring AIP plans. Most proponents (20 of 25) and almost all suppliers (37 of 39) surveyed supported the current arrangement of no minimum contract value threshold.</w:t>
      </w:r>
      <w:r w:rsidRPr="00D64787">
        <w:t xml:space="preserve"> Of those proponents in favour of establishing </w:t>
      </w:r>
      <w:r w:rsidRPr="00D64787">
        <w:rPr>
          <w:color w:val="auto"/>
          <w:lang w:eastAsia="en-AU"/>
        </w:rPr>
        <w:t>minimum contract threshold, four suggest a range of $2 to 3 million to be a more appropriate threshold for these projects.</w:t>
      </w:r>
    </w:p>
    <w:p w14:paraId="5765B104" w14:textId="67C821A5" w:rsidR="001C4286" w:rsidRDefault="001C4286" w:rsidP="001C4286">
      <w:pPr>
        <w:pStyle w:val="BodyText"/>
        <w:rPr>
          <w:color w:val="auto"/>
          <w:lang w:eastAsia="en-AU"/>
        </w:rPr>
      </w:pPr>
      <w:r w:rsidRPr="00D64787">
        <w:rPr>
          <w:color w:val="auto"/>
          <w:lang w:eastAsia="en-AU"/>
        </w:rPr>
        <w:t xml:space="preserve">Most </w:t>
      </w:r>
      <w:bookmarkStart w:id="59" w:name="_Hlk130994260"/>
      <w:r w:rsidRPr="00D64787">
        <w:rPr>
          <w:color w:val="auto"/>
          <w:lang w:eastAsia="en-AU"/>
        </w:rPr>
        <w:t xml:space="preserve">peak bodies and unions surveyed </w:t>
      </w:r>
      <w:bookmarkEnd w:id="59"/>
      <w:r w:rsidRPr="00D64787">
        <w:rPr>
          <w:color w:val="auto"/>
          <w:lang w:eastAsia="en-AU"/>
        </w:rPr>
        <w:t>(5 of 7) did not consider the current $20 million threshold</w:t>
      </w:r>
      <w:r w:rsidR="00554CC9">
        <w:rPr>
          <w:color w:val="auto"/>
          <w:lang w:eastAsia="en-AU"/>
        </w:rPr>
        <w:t xml:space="preserve"> to be appropriate</w:t>
      </w:r>
      <w:r w:rsidRPr="00D64787">
        <w:rPr>
          <w:color w:val="auto"/>
          <w:lang w:eastAsia="en-AU"/>
        </w:rPr>
        <w:t xml:space="preserve"> and generally supported removing the threshold for </w:t>
      </w:r>
      <w:r w:rsidR="00542893">
        <w:rPr>
          <w:color w:val="auto"/>
          <w:lang w:eastAsia="en-AU"/>
        </w:rPr>
        <w:t>these</w:t>
      </w:r>
      <w:r w:rsidR="0048705F" w:rsidRPr="00D64787">
        <w:rPr>
          <w:color w:val="auto"/>
          <w:lang w:eastAsia="en-AU"/>
        </w:rPr>
        <w:t xml:space="preserve"> </w:t>
      </w:r>
      <w:r w:rsidRPr="00D64787">
        <w:rPr>
          <w:color w:val="auto"/>
          <w:lang w:eastAsia="en-AU"/>
        </w:rPr>
        <w:t>projects. Similarly, most peak bodies and unions surveyed (4 of 7) thought not having a minimum contract value threshold was appropriate.</w:t>
      </w:r>
    </w:p>
    <w:p w14:paraId="7344D50B" w14:textId="1643F147" w:rsidR="001C4286" w:rsidRDefault="001C4286" w:rsidP="001C4286">
      <w:pPr>
        <w:pStyle w:val="BodyText"/>
        <w:rPr>
          <w:color w:val="auto"/>
          <w:lang w:eastAsia="en-AU"/>
        </w:rPr>
      </w:pPr>
      <w:proofErr w:type="gramStart"/>
      <w:r>
        <w:rPr>
          <w:color w:val="auto"/>
          <w:lang w:eastAsia="en-AU"/>
        </w:rPr>
        <w:t>Similar to</w:t>
      </w:r>
      <w:proofErr w:type="gramEnd"/>
      <w:r>
        <w:rPr>
          <w:color w:val="auto"/>
          <w:lang w:eastAsia="en-AU"/>
        </w:rPr>
        <w:t xml:space="preserve"> any changes in the Jobs Act financial thresholds, changing the financial thresholds for </w:t>
      </w:r>
      <w:r w:rsidR="0048705F">
        <w:rPr>
          <w:color w:val="auto"/>
          <w:lang w:eastAsia="en-AU"/>
        </w:rPr>
        <w:t xml:space="preserve">eligible </w:t>
      </w:r>
      <w:r>
        <w:rPr>
          <w:color w:val="auto"/>
          <w:lang w:eastAsia="en-AU"/>
        </w:rPr>
        <w:t xml:space="preserve">projects </w:t>
      </w:r>
      <w:r w:rsidR="0048705F">
        <w:rPr>
          <w:color w:val="auto"/>
          <w:lang w:eastAsia="en-AU"/>
        </w:rPr>
        <w:t xml:space="preserve">receiving Commonwealth funding or investment </w:t>
      </w:r>
      <w:r>
        <w:rPr>
          <w:color w:val="auto"/>
          <w:lang w:eastAsia="en-AU"/>
        </w:rPr>
        <w:t xml:space="preserve">would </w:t>
      </w:r>
      <w:r w:rsidR="00554CC9">
        <w:rPr>
          <w:color w:val="auto"/>
          <w:lang w:eastAsia="en-AU"/>
        </w:rPr>
        <w:t xml:space="preserve">have </w:t>
      </w:r>
      <w:r>
        <w:rPr>
          <w:color w:val="auto"/>
          <w:lang w:eastAsia="en-AU"/>
        </w:rPr>
        <w:t xml:space="preserve">implications for administrative burden and practices. For example, </w:t>
      </w:r>
      <w:r w:rsidRPr="007727B5">
        <w:rPr>
          <w:color w:val="auto"/>
          <w:lang w:eastAsia="en-AU"/>
        </w:rPr>
        <w:t>DISR interviewees noted that lowering the $20</w:t>
      </w:r>
      <w:r>
        <w:rPr>
          <w:color w:val="auto"/>
          <w:lang w:eastAsia="en-AU"/>
        </w:rPr>
        <w:t xml:space="preserve"> </w:t>
      </w:r>
      <w:r w:rsidRPr="007727B5">
        <w:rPr>
          <w:color w:val="auto"/>
          <w:lang w:eastAsia="en-AU"/>
        </w:rPr>
        <w:t>m</w:t>
      </w:r>
      <w:r>
        <w:rPr>
          <w:color w:val="auto"/>
          <w:lang w:eastAsia="en-AU"/>
        </w:rPr>
        <w:t>illion</w:t>
      </w:r>
      <w:r w:rsidRPr="007727B5">
        <w:rPr>
          <w:color w:val="auto"/>
          <w:lang w:eastAsia="en-AU"/>
        </w:rPr>
        <w:t xml:space="preserve"> threshold would increas</w:t>
      </w:r>
      <w:r w:rsidR="00E5137B">
        <w:rPr>
          <w:color w:val="auto"/>
          <w:lang w:eastAsia="en-AU"/>
        </w:rPr>
        <w:t>e</w:t>
      </w:r>
      <w:r w:rsidRPr="007727B5">
        <w:rPr>
          <w:color w:val="auto"/>
          <w:lang w:eastAsia="en-AU"/>
        </w:rPr>
        <w:t xml:space="preserve"> the administrative burden for DISR</w:t>
      </w:r>
      <w:r>
        <w:rPr>
          <w:color w:val="auto"/>
          <w:lang w:eastAsia="en-AU"/>
        </w:rPr>
        <w:t xml:space="preserve">, </w:t>
      </w:r>
      <w:r w:rsidRPr="007727B5">
        <w:rPr>
          <w:color w:val="auto"/>
          <w:lang w:eastAsia="en-AU"/>
        </w:rPr>
        <w:t>would require more resourcing</w:t>
      </w:r>
      <w:r>
        <w:rPr>
          <w:color w:val="auto"/>
          <w:lang w:eastAsia="en-AU"/>
        </w:rPr>
        <w:t xml:space="preserve"> and potentially a change in procedures to process</w:t>
      </w:r>
      <w:r w:rsidR="00E5137B">
        <w:rPr>
          <w:color w:val="auto"/>
          <w:lang w:eastAsia="en-AU"/>
        </w:rPr>
        <w:t xml:space="preserve"> </w:t>
      </w:r>
      <w:r>
        <w:rPr>
          <w:color w:val="auto"/>
          <w:lang w:eastAsia="en-AU"/>
        </w:rPr>
        <w:t xml:space="preserve">more plans. </w:t>
      </w:r>
    </w:p>
    <w:p w14:paraId="32AE0B19" w14:textId="0B46B529" w:rsidR="001C4286" w:rsidRDefault="001C4286" w:rsidP="001C4286">
      <w:pPr>
        <w:pStyle w:val="BodyText"/>
        <w:rPr>
          <w:color w:val="auto"/>
          <w:lang w:eastAsia="en-AU"/>
        </w:rPr>
      </w:pPr>
      <w:r w:rsidRPr="007727B5">
        <w:rPr>
          <w:color w:val="auto"/>
          <w:lang w:eastAsia="en-AU"/>
        </w:rPr>
        <w:t xml:space="preserve">While </w:t>
      </w:r>
      <w:r w:rsidR="00042EA6">
        <w:rPr>
          <w:color w:val="auto"/>
          <w:lang w:eastAsia="en-AU"/>
        </w:rPr>
        <w:t>the evaluation f</w:t>
      </w:r>
      <w:r w:rsidR="004E38DC">
        <w:rPr>
          <w:color w:val="auto"/>
          <w:lang w:eastAsia="en-AU"/>
        </w:rPr>
        <w:t>o</w:t>
      </w:r>
      <w:r w:rsidR="00042EA6">
        <w:rPr>
          <w:color w:val="auto"/>
          <w:lang w:eastAsia="en-AU"/>
        </w:rPr>
        <w:t>und</w:t>
      </w:r>
      <w:r w:rsidR="00E5137B" w:rsidDel="00042EA6">
        <w:rPr>
          <w:color w:val="auto"/>
          <w:lang w:eastAsia="en-AU"/>
        </w:rPr>
        <w:t xml:space="preserve"> </w:t>
      </w:r>
      <w:r w:rsidRPr="007727B5">
        <w:rPr>
          <w:color w:val="auto"/>
          <w:lang w:eastAsia="en-AU"/>
        </w:rPr>
        <w:t xml:space="preserve">a general </w:t>
      </w:r>
      <w:r w:rsidRPr="00B12D1D">
        <w:rPr>
          <w:color w:val="auto"/>
          <w:lang w:eastAsia="en-AU"/>
        </w:rPr>
        <w:t>level of support</w:t>
      </w:r>
      <w:r w:rsidR="008B2F17" w:rsidRPr="00B12D1D">
        <w:rPr>
          <w:color w:val="auto"/>
          <w:lang w:eastAsia="en-AU"/>
        </w:rPr>
        <w:t xml:space="preserve"> for </w:t>
      </w:r>
      <w:r w:rsidRPr="00B12D1D">
        <w:rPr>
          <w:color w:val="auto"/>
          <w:lang w:eastAsia="en-AU"/>
        </w:rPr>
        <w:t>current threshold levels</w:t>
      </w:r>
      <w:r w:rsidR="00042EA6" w:rsidRPr="00B12D1D">
        <w:rPr>
          <w:color w:val="auto"/>
          <w:lang w:eastAsia="en-AU"/>
        </w:rPr>
        <w:t xml:space="preserve"> amongst consulted stakeholders</w:t>
      </w:r>
      <w:r w:rsidRPr="00B12D1D">
        <w:rPr>
          <w:color w:val="auto"/>
          <w:lang w:eastAsia="en-AU"/>
        </w:rPr>
        <w:t xml:space="preserve">, further </w:t>
      </w:r>
      <w:r w:rsidR="00891D62" w:rsidRPr="00B12D1D">
        <w:rPr>
          <w:color w:val="auto"/>
          <w:lang w:eastAsia="en-AU"/>
        </w:rPr>
        <w:t xml:space="preserve">economic and </w:t>
      </w:r>
      <w:r w:rsidRPr="00B12D1D">
        <w:rPr>
          <w:color w:val="auto"/>
          <w:lang w:eastAsia="en-AU"/>
        </w:rPr>
        <w:t>policy analysis of thresholds would be needed to ensure they are set at the most appropriate levels under current market conditions to achieve the policy objectives.</w:t>
      </w:r>
      <w:r w:rsidR="00891D62" w:rsidRPr="00B12D1D">
        <w:rPr>
          <w:color w:val="auto"/>
          <w:lang w:eastAsia="en-AU"/>
        </w:rPr>
        <w:t xml:space="preserve"> A revision of current $20 million threshold for projects receiving Commonwealth funding or investment </w:t>
      </w:r>
      <w:r w:rsidR="00891D62" w:rsidRPr="00B12D1D">
        <w:rPr>
          <w:color w:val="auto"/>
          <w:lang w:eastAsia="en-AU"/>
        </w:rPr>
        <w:lastRenderedPageBreak/>
        <w:t xml:space="preserve">would also need to consider inflationary changes that have taken place since </w:t>
      </w:r>
      <w:r w:rsidR="002172A1" w:rsidRPr="00B12D1D">
        <w:rPr>
          <w:color w:val="auto"/>
          <w:lang w:eastAsia="en-AU"/>
        </w:rPr>
        <w:t>the introduction of the</w:t>
      </w:r>
      <w:r w:rsidR="00891D62" w:rsidRPr="00B12D1D">
        <w:rPr>
          <w:color w:val="auto"/>
          <w:lang w:eastAsia="en-AU"/>
        </w:rPr>
        <w:t xml:space="preserve"> threshold. </w:t>
      </w:r>
      <w:r w:rsidRPr="00B12D1D">
        <w:rPr>
          <w:color w:val="auto"/>
          <w:lang w:eastAsia="en-AU"/>
        </w:rPr>
        <w:t>Any changes to thresholds would have implications for the coverage of the policy and the administrative burden for both proponents and government, which</w:t>
      </w:r>
      <w:r w:rsidRPr="007727B5">
        <w:rPr>
          <w:color w:val="auto"/>
          <w:lang w:eastAsia="en-AU"/>
        </w:rPr>
        <w:t xml:space="preserve"> would need to be considered as part of any changes.</w:t>
      </w:r>
    </w:p>
    <w:p w14:paraId="59EC7A8C" w14:textId="31ABF808" w:rsidR="001C4286" w:rsidRPr="00412F57" w:rsidRDefault="001C4286" w:rsidP="001C4286">
      <w:pPr>
        <w:pStyle w:val="BodyText"/>
        <w:shd w:val="clear" w:color="auto" w:fill="D7EFF2" w:themeFill="accent3" w:themeFillTint="66"/>
        <w:rPr>
          <w:lang w:eastAsia="en-AU"/>
        </w:rPr>
      </w:pPr>
      <w:r w:rsidRPr="007D0B59">
        <w:rPr>
          <w:b/>
          <w:bCs/>
          <w:lang w:eastAsia="en-AU"/>
        </w:rPr>
        <w:t xml:space="preserve">Finding </w:t>
      </w:r>
      <w:r w:rsidR="00101C24">
        <w:rPr>
          <w:b/>
          <w:bCs/>
          <w:lang w:eastAsia="en-AU"/>
        </w:rPr>
        <w:t>7</w:t>
      </w:r>
      <w:r w:rsidRPr="007D0B59">
        <w:rPr>
          <w:b/>
          <w:bCs/>
          <w:lang w:eastAsia="en-AU"/>
        </w:rPr>
        <w:t>:</w:t>
      </w:r>
      <w:r>
        <w:rPr>
          <w:lang w:eastAsia="en-AU"/>
        </w:rPr>
        <w:t xml:space="preserve"> </w:t>
      </w:r>
      <w:r w:rsidRPr="00412F57">
        <w:rPr>
          <w:lang w:eastAsia="en-AU"/>
        </w:rPr>
        <w:t>Proponents and suppliers generally thought the $20</w:t>
      </w:r>
      <w:r w:rsidR="00F95AED">
        <w:rPr>
          <w:lang w:eastAsia="en-AU"/>
        </w:rPr>
        <w:t xml:space="preserve"> </w:t>
      </w:r>
      <w:r w:rsidRPr="00412F57">
        <w:rPr>
          <w:lang w:eastAsia="en-AU"/>
        </w:rPr>
        <w:t>m</w:t>
      </w:r>
      <w:r w:rsidR="00F95AED">
        <w:rPr>
          <w:lang w:eastAsia="en-AU"/>
        </w:rPr>
        <w:t>illion</w:t>
      </w:r>
      <w:r w:rsidRPr="00412F57">
        <w:rPr>
          <w:lang w:eastAsia="en-AU"/>
        </w:rPr>
        <w:t xml:space="preserve"> threshold for Commonwealth </w:t>
      </w:r>
      <w:r w:rsidR="00EC29AC">
        <w:rPr>
          <w:lang w:eastAsia="en-AU"/>
        </w:rPr>
        <w:t>funding</w:t>
      </w:r>
      <w:r w:rsidR="00EC29AC" w:rsidRPr="00412F57">
        <w:rPr>
          <w:lang w:eastAsia="en-AU"/>
        </w:rPr>
        <w:t xml:space="preserve"> </w:t>
      </w:r>
      <w:r w:rsidR="00D252E6">
        <w:rPr>
          <w:lang w:eastAsia="en-AU"/>
        </w:rPr>
        <w:t>into projects and procurements</w:t>
      </w:r>
      <w:r w:rsidRPr="00412F57">
        <w:rPr>
          <w:lang w:eastAsia="en-AU"/>
        </w:rPr>
        <w:t xml:space="preserve"> was appropriate, while peak bodies and unions generally </w:t>
      </w:r>
      <w:r w:rsidRPr="00B12D1D">
        <w:rPr>
          <w:lang w:eastAsia="en-AU"/>
        </w:rPr>
        <w:t>supported removing the threshold.</w:t>
      </w:r>
      <w:r w:rsidR="00891D62" w:rsidRPr="00B12D1D">
        <w:rPr>
          <w:lang w:eastAsia="en-AU"/>
        </w:rPr>
        <w:t xml:space="preserve"> Further analysis of the financial thresholds is needed.</w:t>
      </w:r>
    </w:p>
    <w:p w14:paraId="60263D1A" w14:textId="77777777" w:rsidR="001C4286" w:rsidRPr="00582039" w:rsidRDefault="001C4286" w:rsidP="001C4286">
      <w:pPr>
        <w:pStyle w:val="Heading3"/>
        <w:rPr>
          <w:lang w:eastAsia="en-AU"/>
        </w:rPr>
      </w:pPr>
      <w:bookmarkStart w:id="60" w:name="_Hlk131071733"/>
      <w:r w:rsidRPr="00582039">
        <w:rPr>
          <w:lang w:eastAsia="en-AU"/>
        </w:rPr>
        <w:t>Scope and criteria</w:t>
      </w:r>
    </w:p>
    <w:p w14:paraId="3602EC08" w14:textId="3310BE18" w:rsidR="001C4286" w:rsidRPr="006D204D" w:rsidRDefault="001C4286" w:rsidP="001C4286">
      <w:pPr>
        <w:pStyle w:val="BodyText"/>
        <w:rPr>
          <w:color w:val="auto"/>
          <w:lang w:eastAsia="en-AU"/>
        </w:rPr>
      </w:pPr>
      <w:r>
        <w:rPr>
          <w:color w:val="auto"/>
          <w:lang w:eastAsia="en-AU"/>
        </w:rPr>
        <w:t xml:space="preserve">The evaluation found general support for the current scope and criteria of AIP requirements under the Jobs Act. </w:t>
      </w:r>
      <w:r w:rsidRPr="006D204D">
        <w:rPr>
          <w:color w:val="auto"/>
          <w:lang w:eastAsia="en-AU"/>
        </w:rPr>
        <w:t>All stakeholder groups agree</w:t>
      </w:r>
      <w:r>
        <w:rPr>
          <w:color w:val="auto"/>
          <w:lang w:eastAsia="en-AU"/>
        </w:rPr>
        <w:t>d</w:t>
      </w:r>
      <w:r w:rsidRPr="006D204D">
        <w:rPr>
          <w:color w:val="auto"/>
          <w:lang w:eastAsia="en-AU"/>
        </w:rPr>
        <w:t xml:space="preserve"> that </w:t>
      </w:r>
      <w:r>
        <w:rPr>
          <w:color w:val="auto"/>
          <w:lang w:eastAsia="en-AU"/>
        </w:rPr>
        <w:t>no</w:t>
      </w:r>
      <w:r w:rsidRPr="006D204D">
        <w:rPr>
          <w:color w:val="auto"/>
          <w:lang w:eastAsia="en-AU"/>
        </w:rPr>
        <w:t xml:space="preserve"> project types currently within the scope of the Jobs Act should be removed. However, </w:t>
      </w:r>
      <w:r>
        <w:rPr>
          <w:color w:val="auto"/>
          <w:lang w:eastAsia="en-AU"/>
        </w:rPr>
        <w:t xml:space="preserve">a small number of respondents from the different stakeholder groups did identify opportunities </w:t>
      </w:r>
      <w:r w:rsidRPr="00DC7641">
        <w:rPr>
          <w:color w:val="auto"/>
          <w:lang w:eastAsia="en-AU"/>
        </w:rPr>
        <w:t>for expanding the</w:t>
      </w:r>
      <w:r>
        <w:rPr>
          <w:color w:val="auto"/>
          <w:lang w:eastAsia="en-AU"/>
        </w:rPr>
        <w:t xml:space="preserve"> scope of the Jobs Act to include additional project types</w:t>
      </w:r>
      <w:r w:rsidRPr="006D204D">
        <w:rPr>
          <w:color w:val="auto"/>
          <w:lang w:eastAsia="en-AU"/>
        </w:rPr>
        <w:t>.</w:t>
      </w:r>
    </w:p>
    <w:p w14:paraId="2925C3BA" w14:textId="3BF84C9B" w:rsidR="001C4286" w:rsidRPr="00582039" w:rsidRDefault="001C4286" w:rsidP="001C4286">
      <w:pPr>
        <w:pStyle w:val="BodyText"/>
        <w:rPr>
          <w:color w:val="auto"/>
          <w:lang w:eastAsia="en-AU"/>
        </w:rPr>
      </w:pPr>
      <w:r>
        <w:rPr>
          <w:color w:val="auto"/>
          <w:lang w:eastAsia="en-AU"/>
        </w:rPr>
        <w:t>S</w:t>
      </w:r>
      <w:r w:rsidRPr="006D204D">
        <w:rPr>
          <w:color w:val="auto"/>
          <w:lang w:eastAsia="en-AU"/>
        </w:rPr>
        <w:t xml:space="preserve">uggested </w:t>
      </w:r>
      <w:r w:rsidR="000D464C">
        <w:rPr>
          <w:color w:val="auto"/>
          <w:lang w:eastAsia="en-AU"/>
        </w:rPr>
        <w:t xml:space="preserve">inclusions comprised </w:t>
      </w:r>
      <w:r w:rsidRPr="006D204D">
        <w:rPr>
          <w:color w:val="auto"/>
          <w:lang w:eastAsia="en-AU"/>
        </w:rPr>
        <w:t xml:space="preserve">decommissioning </w:t>
      </w:r>
      <w:r>
        <w:rPr>
          <w:color w:val="auto"/>
          <w:lang w:eastAsia="en-AU"/>
        </w:rPr>
        <w:t>and rehabilitation</w:t>
      </w:r>
      <w:r w:rsidRPr="006D204D">
        <w:rPr>
          <w:color w:val="auto"/>
          <w:lang w:eastAsia="en-AU"/>
        </w:rPr>
        <w:t xml:space="preserve"> projects, ‘non-productive facilities’ such as health, aged care, correctional, justice and education, cultural facilities, IT projects and scientific projects. Other projects currently outside the scope of the Jobs Act because they are not considered to be a physical facility were also suggested including rolling stock, ship/boat building and ship chartering.</w:t>
      </w:r>
      <w:r>
        <w:rPr>
          <w:color w:val="auto"/>
          <w:lang w:eastAsia="en-AU"/>
        </w:rPr>
        <w:t xml:space="preserve"> </w:t>
      </w:r>
      <w:r w:rsidR="0034057E">
        <w:rPr>
          <w:color w:val="auto"/>
          <w:lang w:eastAsia="en-AU"/>
        </w:rPr>
        <w:t xml:space="preserve"> </w:t>
      </w:r>
    </w:p>
    <w:bookmarkEnd w:id="60"/>
    <w:p w14:paraId="28D281BA" w14:textId="6E23AED2" w:rsidR="001C4286" w:rsidRDefault="001C4286" w:rsidP="001C4286">
      <w:pPr>
        <w:pStyle w:val="BodyText"/>
        <w:shd w:val="clear" w:color="auto" w:fill="D7EFF2" w:themeFill="accent3" w:themeFillTint="66"/>
        <w:rPr>
          <w:lang w:eastAsia="en-AU"/>
        </w:rPr>
      </w:pPr>
      <w:r w:rsidRPr="007D0B59">
        <w:rPr>
          <w:b/>
          <w:bCs/>
          <w:lang w:eastAsia="en-AU"/>
        </w:rPr>
        <w:t xml:space="preserve">Finding </w:t>
      </w:r>
      <w:r w:rsidR="00101C24">
        <w:rPr>
          <w:b/>
          <w:bCs/>
          <w:lang w:eastAsia="en-AU"/>
        </w:rPr>
        <w:t>8</w:t>
      </w:r>
      <w:r>
        <w:rPr>
          <w:lang w:eastAsia="en-AU"/>
        </w:rPr>
        <w:t xml:space="preserve">: </w:t>
      </w:r>
      <w:bookmarkStart w:id="61" w:name="_Hlk131072521"/>
      <w:r>
        <w:rPr>
          <w:lang w:eastAsia="en-AU"/>
        </w:rPr>
        <w:t>There</w:t>
      </w:r>
      <w:r w:rsidRPr="00563424">
        <w:t xml:space="preserve"> </w:t>
      </w:r>
      <w:r w:rsidRPr="00563424">
        <w:rPr>
          <w:lang w:eastAsia="en-AU"/>
        </w:rPr>
        <w:t>was general support for the current scope and criteria for AIP requirements under the Jobs Act.</w:t>
      </w:r>
      <w:bookmarkEnd w:id="61"/>
      <w:r w:rsidRPr="00563424">
        <w:rPr>
          <w:lang w:eastAsia="en-AU"/>
        </w:rPr>
        <w:t xml:space="preserve"> However, there were some suggestions about </w:t>
      </w:r>
      <w:r w:rsidR="004124CB">
        <w:rPr>
          <w:lang w:eastAsia="en-AU"/>
        </w:rPr>
        <w:t>the</w:t>
      </w:r>
      <w:r w:rsidRPr="00563424">
        <w:rPr>
          <w:lang w:eastAsia="en-AU"/>
        </w:rPr>
        <w:t xml:space="preserve"> types of projects that DISR could consider including in any revisions to the Jobs Act</w:t>
      </w:r>
      <w:r>
        <w:rPr>
          <w:lang w:eastAsia="en-AU"/>
        </w:rPr>
        <w:t>.</w:t>
      </w:r>
    </w:p>
    <w:p w14:paraId="2EC7772A" w14:textId="109C40CA" w:rsidR="001C4286" w:rsidRDefault="001C4286" w:rsidP="001C4286">
      <w:pPr>
        <w:pStyle w:val="Caption"/>
        <w:rPr>
          <w:color w:val="005677" w:themeColor="background2"/>
        </w:rPr>
      </w:pPr>
      <w:r w:rsidRPr="008E12A7">
        <w:rPr>
          <w:color w:val="005677" w:themeColor="background2"/>
        </w:rPr>
        <w:t xml:space="preserve">Box </w:t>
      </w:r>
      <w:r w:rsidR="00101C24" w:rsidRPr="008E12A7">
        <w:rPr>
          <w:color w:val="005677" w:themeColor="background2"/>
        </w:rPr>
        <w:t>2.</w:t>
      </w:r>
      <w:r w:rsidRPr="008E12A7">
        <w:rPr>
          <w:color w:val="005677" w:themeColor="background2"/>
        </w:rPr>
        <w:t>3</w:t>
      </w:r>
      <w:r w:rsidR="00101C24" w:rsidRPr="008E12A7">
        <w:rPr>
          <w:color w:val="005677" w:themeColor="background2"/>
        </w:rPr>
        <w:t>.</w:t>
      </w:r>
      <w:r w:rsidR="008F6601" w:rsidRPr="008E12A7">
        <w:rPr>
          <w:color w:val="005677" w:themeColor="background2"/>
        </w:rPr>
        <w:t>2</w:t>
      </w:r>
      <w:r w:rsidRPr="008E12A7">
        <w:rPr>
          <w:color w:val="005677" w:themeColor="background2"/>
        </w:rPr>
        <w:t xml:space="preserve"> Recommendation </w:t>
      </w:r>
      <w:r w:rsidR="008F6601" w:rsidRPr="008E12A7">
        <w:rPr>
          <w:color w:val="005677" w:themeColor="background2"/>
        </w:rPr>
        <w:t>4</w:t>
      </w:r>
    </w:p>
    <w:p w14:paraId="47A2EEFB" w14:textId="3F563629" w:rsidR="005F12F7" w:rsidRPr="00EB0673" w:rsidRDefault="005F12F7" w:rsidP="00EB0673">
      <w:pPr>
        <w:pStyle w:val="Placeholder"/>
        <w:shd w:val="clear" w:color="auto" w:fill="E9E9EA" w:themeFill="accent5" w:themeFillTint="33"/>
        <w:jc w:val="left"/>
      </w:pPr>
      <w:r w:rsidRPr="00EB0673">
        <w:rPr>
          <w:b/>
          <w:bCs/>
        </w:rPr>
        <w:t>Recommendation 4:</w:t>
      </w:r>
      <w:r w:rsidRPr="005F12F7">
        <w:t xml:space="preserve"> The DISR should consider expanding the scope of the Jobs Act to include decommissioning and rehabilitation projects and consider other opportunities as appropriate.</w:t>
      </w:r>
    </w:p>
    <w:p w14:paraId="32D18F19" w14:textId="77777777" w:rsidR="001C4286" w:rsidRPr="007A2539" w:rsidRDefault="001C4286" w:rsidP="003E0CC9">
      <w:pPr>
        <w:pStyle w:val="Heading3"/>
        <w:rPr>
          <w:lang w:eastAsia="en-AU"/>
        </w:rPr>
      </w:pPr>
      <w:r w:rsidRPr="007A2539">
        <w:rPr>
          <w:lang w:eastAsia="en-AU"/>
        </w:rPr>
        <w:t>Locally sourced sectors</w:t>
      </w:r>
    </w:p>
    <w:p w14:paraId="2C6B888D" w14:textId="59FC4D30" w:rsidR="001C4286" w:rsidRDefault="001C4286" w:rsidP="001C4286">
      <w:pPr>
        <w:pStyle w:val="BodyText"/>
        <w:rPr>
          <w:color w:val="auto"/>
          <w:lang w:eastAsia="en-AU"/>
        </w:rPr>
      </w:pPr>
      <w:r w:rsidRPr="009B0DDD">
        <w:rPr>
          <w:color w:val="auto"/>
          <w:lang w:eastAsia="en-AU"/>
        </w:rPr>
        <w:t>The DISR and ICN interviewees stated that the ability of AIP plans to increase opportunities for domestic suppliers varies by industry sector</w:t>
      </w:r>
      <w:r>
        <w:rPr>
          <w:color w:val="auto"/>
          <w:lang w:eastAsia="en-AU"/>
        </w:rPr>
        <w:t xml:space="preserve">. Specifically, </w:t>
      </w:r>
      <w:r w:rsidRPr="009B0DDD">
        <w:rPr>
          <w:color w:val="auto"/>
          <w:lang w:eastAsia="en-AU"/>
        </w:rPr>
        <w:t xml:space="preserve">projects </w:t>
      </w:r>
      <w:r>
        <w:rPr>
          <w:color w:val="auto"/>
          <w:lang w:eastAsia="en-AU"/>
        </w:rPr>
        <w:t xml:space="preserve">in industry sectors </w:t>
      </w:r>
      <w:r w:rsidRPr="009B0DDD">
        <w:rPr>
          <w:color w:val="auto"/>
          <w:lang w:eastAsia="en-AU"/>
        </w:rPr>
        <w:t xml:space="preserve">with greater contestability and international procurement stand to benefit more from the AIP policy. </w:t>
      </w:r>
      <w:r>
        <w:rPr>
          <w:color w:val="auto"/>
          <w:lang w:eastAsia="en-AU"/>
        </w:rPr>
        <w:t xml:space="preserve">There would be value in considering how </w:t>
      </w:r>
      <w:r w:rsidRPr="0010783C">
        <w:rPr>
          <w:color w:val="auto"/>
          <w:lang w:eastAsia="en-AU"/>
        </w:rPr>
        <w:t xml:space="preserve">AIP policy could target </w:t>
      </w:r>
      <w:r w:rsidR="009B2BF5">
        <w:rPr>
          <w:color w:val="auto"/>
          <w:lang w:eastAsia="en-AU"/>
        </w:rPr>
        <w:t xml:space="preserve">key </w:t>
      </w:r>
      <w:r>
        <w:rPr>
          <w:color w:val="auto"/>
          <w:lang w:eastAsia="en-AU"/>
        </w:rPr>
        <w:t>sectors.</w:t>
      </w:r>
    </w:p>
    <w:p w14:paraId="3462543A" w14:textId="70056AA1" w:rsidR="001C4286" w:rsidRDefault="001C4286" w:rsidP="001C4286">
      <w:pPr>
        <w:pStyle w:val="BodyText"/>
        <w:rPr>
          <w:color w:val="1B9590" w:themeColor="accent1"/>
          <w:lang w:eastAsia="en-AU"/>
        </w:rPr>
      </w:pPr>
      <w:r>
        <w:rPr>
          <w:color w:val="auto"/>
          <w:lang w:eastAsia="en-AU"/>
        </w:rPr>
        <w:t xml:space="preserve">Conversely, </w:t>
      </w:r>
      <w:r w:rsidRPr="009B0DDD">
        <w:rPr>
          <w:color w:val="auto"/>
          <w:lang w:eastAsia="en-AU"/>
        </w:rPr>
        <w:t xml:space="preserve">the AIP policy is of less value to </w:t>
      </w:r>
      <w:r>
        <w:rPr>
          <w:color w:val="auto"/>
          <w:lang w:eastAsia="en-AU"/>
        </w:rPr>
        <w:t xml:space="preserve">industries which are predominantly locally sourced such as </w:t>
      </w:r>
      <w:r w:rsidRPr="009B0DDD">
        <w:rPr>
          <w:color w:val="auto"/>
          <w:lang w:eastAsia="en-AU"/>
        </w:rPr>
        <w:t>the construction industr</w:t>
      </w:r>
      <w:r>
        <w:rPr>
          <w:color w:val="auto"/>
          <w:lang w:eastAsia="en-AU"/>
        </w:rPr>
        <w:t>y</w:t>
      </w:r>
      <w:r w:rsidRPr="009B0DDD">
        <w:rPr>
          <w:color w:val="auto"/>
          <w:lang w:eastAsia="en-AU"/>
        </w:rPr>
        <w:t xml:space="preserve">. </w:t>
      </w:r>
      <w:r w:rsidRPr="0010783C">
        <w:rPr>
          <w:color w:val="1B9590" w:themeColor="accent1"/>
          <w:lang w:eastAsia="en-AU"/>
        </w:rPr>
        <w:t xml:space="preserve"> </w:t>
      </w:r>
      <w:r w:rsidRPr="009025A6">
        <w:rPr>
          <w:color w:val="auto"/>
          <w:lang w:eastAsia="en-AU"/>
        </w:rPr>
        <w:t>However, there may be other benefits of AIP policy for these sectors</w:t>
      </w:r>
      <w:r w:rsidR="006D2E73">
        <w:rPr>
          <w:color w:val="auto"/>
          <w:lang w:eastAsia="en-AU"/>
        </w:rPr>
        <w:t>, for example,</w:t>
      </w:r>
      <w:r w:rsidRPr="009025A6">
        <w:rPr>
          <w:color w:val="auto"/>
          <w:lang w:eastAsia="en-AU"/>
        </w:rPr>
        <w:t xml:space="preserve"> AIP plans may encourage companies to increase their awareness of a range of local suppliers</w:t>
      </w:r>
      <w:r w:rsidRPr="008E12A7">
        <w:rPr>
          <w:color w:val="auto"/>
          <w:lang w:eastAsia="en-AU"/>
        </w:rPr>
        <w:t>.</w:t>
      </w:r>
    </w:p>
    <w:p w14:paraId="30DA7912" w14:textId="77777777" w:rsidR="00EB0673" w:rsidRDefault="001C4286" w:rsidP="00EB0673">
      <w:pPr>
        <w:pStyle w:val="BodyText"/>
        <w:shd w:val="clear" w:color="auto" w:fill="D7EFF2" w:themeFill="accent3" w:themeFillTint="66"/>
        <w:rPr>
          <w:color w:val="auto"/>
          <w:lang w:eastAsia="en-AU"/>
        </w:rPr>
      </w:pPr>
      <w:r w:rsidRPr="007D0B59">
        <w:rPr>
          <w:b/>
          <w:bCs/>
          <w:color w:val="auto"/>
          <w:lang w:eastAsia="en-AU"/>
        </w:rPr>
        <w:t xml:space="preserve">Finding </w:t>
      </w:r>
      <w:r w:rsidR="00101C24">
        <w:rPr>
          <w:b/>
          <w:bCs/>
          <w:color w:val="auto"/>
          <w:lang w:eastAsia="en-AU"/>
        </w:rPr>
        <w:t>9</w:t>
      </w:r>
      <w:r w:rsidRPr="007D0B59">
        <w:rPr>
          <w:b/>
          <w:bCs/>
          <w:color w:val="auto"/>
          <w:lang w:eastAsia="en-AU"/>
        </w:rPr>
        <w:t>:</w:t>
      </w:r>
      <w:r>
        <w:rPr>
          <w:color w:val="auto"/>
          <w:lang w:eastAsia="en-AU"/>
        </w:rPr>
        <w:t xml:space="preserve"> Several </w:t>
      </w:r>
      <w:r w:rsidRPr="002561F6">
        <w:rPr>
          <w:color w:val="auto"/>
          <w:lang w:eastAsia="en-AU"/>
        </w:rPr>
        <w:t xml:space="preserve">stakeholders expressed the view that AIP plans may have less value for sectors that </w:t>
      </w:r>
      <w:r w:rsidR="007F325A">
        <w:rPr>
          <w:color w:val="auto"/>
          <w:lang w:eastAsia="en-AU"/>
        </w:rPr>
        <w:t xml:space="preserve">already </w:t>
      </w:r>
      <w:r w:rsidRPr="002561F6">
        <w:rPr>
          <w:color w:val="auto"/>
          <w:lang w:eastAsia="en-AU"/>
        </w:rPr>
        <w:t>tend to have high levels of Australian content</w:t>
      </w:r>
      <w:r>
        <w:rPr>
          <w:color w:val="auto"/>
          <w:lang w:eastAsia="en-AU"/>
        </w:rPr>
        <w:t>.</w:t>
      </w:r>
    </w:p>
    <w:p w14:paraId="08B13E17" w14:textId="07E68073" w:rsidR="001C4286" w:rsidRDefault="001C4286" w:rsidP="00EB0673">
      <w:pPr>
        <w:pStyle w:val="BodyText"/>
        <w:pBdr>
          <w:top w:val="single" w:sz="4" w:space="1" w:color="auto"/>
        </w:pBdr>
        <w:rPr>
          <w:color w:val="005677" w:themeColor="background2"/>
        </w:rPr>
      </w:pPr>
      <w:r w:rsidRPr="008E12A7">
        <w:rPr>
          <w:color w:val="005677" w:themeColor="background2"/>
        </w:rPr>
        <w:t xml:space="preserve">Box </w:t>
      </w:r>
      <w:r w:rsidR="00101C24" w:rsidRPr="008E12A7">
        <w:rPr>
          <w:color w:val="005677" w:themeColor="background2"/>
        </w:rPr>
        <w:t>2.</w:t>
      </w:r>
      <w:r w:rsidRPr="008E12A7">
        <w:rPr>
          <w:color w:val="005677" w:themeColor="background2"/>
        </w:rPr>
        <w:t>3.</w:t>
      </w:r>
      <w:r w:rsidR="007F325A" w:rsidRPr="008E12A7">
        <w:rPr>
          <w:color w:val="005677" w:themeColor="background2"/>
        </w:rPr>
        <w:t>3</w:t>
      </w:r>
      <w:r w:rsidRPr="008E12A7">
        <w:rPr>
          <w:color w:val="005677" w:themeColor="background2"/>
        </w:rPr>
        <w:t xml:space="preserve"> Recommendation </w:t>
      </w:r>
      <w:r w:rsidR="007F325A" w:rsidRPr="008E12A7">
        <w:rPr>
          <w:color w:val="005677" w:themeColor="background2"/>
        </w:rPr>
        <w:t>5</w:t>
      </w:r>
    </w:p>
    <w:p w14:paraId="61066653" w14:textId="6A32F4D5" w:rsidR="00EB0673" w:rsidRDefault="000C6F87" w:rsidP="00EB0673">
      <w:pPr>
        <w:pStyle w:val="Placeholder"/>
        <w:pBdr>
          <w:bottom w:val="single" w:sz="4" w:space="1" w:color="auto"/>
        </w:pBdr>
        <w:shd w:val="clear" w:color="auto" w:fill="E9E9EA" w:themeFill="accent5" w:themeFillTint="33"/>
        <w:jc w:val="left"/>
      </w:pPr>
      <w:r w:rsidRPr="00EB0673">
        <w:rPr>
          <w:b/>
          <w:bCs/>
        </w:rPr>
        <w:t>Recommendation 5:</w:t>
      </w:r>
      <w:r w:rsidRPr="000C6F87">
        <w:t xml:space="preserve"> That DISR consider how AIP policy could target sectors where there are currently lower levels of Australian industry participation and in alignment with government priorities.</w:t>
      </w:r>
    </w:p>
    <w:p w14:paraId="304886A4" w14:textId="77777777" w:rsidR="00EB0673" w:rsidRPr="00EB0673" w:rsidRDefault="00EB0673" w:rsidP="00EB0673">
      <w:pPr>
        <w:pStyle w:val="Placeholder"/>
        <w:pBdr>
          <w:bottom w:val="single" w:sz="4" w:space="1" w:color="auto"/>
        </w:pBdr>
        <w:jc w:val="left"/>
      </w:pPr>
    </w:p>
    <w:p w14:paraId="30117199" w14:textId="7CF9DDDA" w:rsidR="00CD623C" w:rsidRPr="00BA7ADC" w:rsidRDefault="00CD623C" w:rsidP="00BA7ADC">
      <w:pPr>
        <w:pStyle w:val="Heading3"/>
      </w:pPr>
      <w:r w:rsidRPr="00BA7ADC">
        <w:t xml:space="preserve">Trigger </w:t>
      </w:r>
      <w:proofErr w:type="gramStart"/>
      <w:r w:rsidRPr="00BA7ADC">
        <w:t>dates</w:t>
      </w:r>
      <w:proofErr w:type="gramEnd"/>
    </w:p>
    <w:p w14:paraId="0C747EF3" w14:textId="2575475B" w:rsidR="001C4286" w:rsidRPr="00D91DF4" w:rsidRDefault="00537C77" w:rsidP="001C4286">
      <w:pPr>
        <w:pStyle w:val="BodyText"/>
        <w:rPr>
          <w:color w:val="auto"/>
          <w:lang w:eastAsia="en-AU"/>
        </w:rPr>
      </w:pPr>
      <w:r>
        <w:rPr>
          <w:color w:val="auto"/>
          <w:lang w:eastAsia="en-AU"/>
        </w:rPr>
        <w:t>Jobs Act p</w:t>
      </w:r>
      <w:r w:rsidR="001C4286">
        <w:rPr>
          <w:color w:val="auto"/>
          <w:lang w:eastAsia="en-AU"/>
        </w:rPr>
        <w:t>rojects requiring an AIP plan</w:t>
      </w:r>
      <w:r w:rsidR="001C4286" w:rsidRPr="00415C3C">
        <w:rPr>
          <w:color w:val="auto"/>
          <w:lang w:eastAsia="en-AU"/>
        </w:rPr>
        <w:t xml:space="preserve"> are subject to a ‘trigger date’</w:t>
      </w:r>
      <w:r w:rsidR="001C4286">
        <w:rPr>
          <w:color w:val="auto"/>
          <w:lang w:eastAsia="en-AU"/>
        </w:rPr>
        <w:t xml:space="preserve"> which </w:t>
      </w:r>
      <w:r>
        <w:rPr>
          <w:color w:val="auto"/>
          <w:lang w:eastAsia="en-AU"/>
        </w:rPr>
        <w:t xml:space="preserve">determines </w:t>
      </w:r>
      <w:r w:rsidR="001C4286">
        <w:rPr>
          <w:color w:val="auto"/>
          <w:lang w:eastAsia="en-AU"/>
        </w:rPr>
        <w:t>when an AIP plan must be submitted to the Authority</w:t>
      </w:r>
      <w:r w:rsidR="001C4286" w:rsidRPr="00415C3C">
        <w:rPr>
          <w:color w:val="auto"/>
          <w:lang w:eastAsia="en-AU"/>
        </w:rPr>
        <w:t xml:space="preserve">. </w:t>
      </w:r>
      <w:r w:rsidR="001C4286">
        <w:rPr>
          <w:color w:val="auto"/>
          <w:lang w:eastAsia="en-AU"/>
        </w:rPr>
        <w:t>A project’s</w:t>
      </w:r>
      <w:r w:rsidR="001C4286" w:rsidRPr="00415C3C">
        <w:rPr>
          <w:color w:val="auto"/>
          <w:lang w:eastAsia="en-AU"/>
        </w:rPr>
        <w:t xml:space="preserve"> trigger date</w:t>
      </w:r>
      <w:r w:rsidR="001C4286">
        <w:rPr>
          <w:color w:val="auto"/>
          <w:lang w:eastAsia="en-AU"/>
        </w:rPr>
        <w:t xml:space="preserve"> is determined by an event early in the </w:t>
      </w:r>
      <w:r w:rsidR="001C4286">
        <w:rPr>
          <w:color w:val="auto"/>
          <w:lang w:eastAsia="en-AU"/>
        </w:rPr>
        <w:lastRenderedPageBreak/>
        <w:t>lifecycle of a project. This procedure is aimed at ensuring that ‘</w:t>
      </w:r>
      <w:r w:rsidR="001C4286" w:rsidRPr="003E5AFE">
        <w:rPr>
          <w:color w:val="auto"/>
          <w:lang w:eastAsia="en-AU"/>
        </w:rPr>
        <w:t>proponents develop AIP plans early in their project’s timeline to enable them to consider and include Australian industry in the design and procurement</w:t>
      </w:r>
      <w:r w:rsidR="001C4286">
        <w:rPr>
          <w:color w:val="auto"/>
          <w:lang w:eastAsia="en-AU"/>
        </w:rPr>
        <w:t>’</w:t>
      </w:r>
      <w:r w:rsidR="001C4286">
        <w:rPr>
          <w:rStyle w:val="FootnoteReference"/>
          <w:color w:val="auto"/>
          <w:lang w:eastAsia="en-AU"/>
        </w:rPr>
        <w:footnoteReference w:id="14"/>
      </w:r>
      <w:r w:rsidR="001C4286">
        <w:rPr>
          <w:color w:val="auto"/>
          <w:lang w:eastAsia="en-AU"/>
        </w:rPr>
        <w:t xml:space="preserve">. </w:t>
      </w:r>
    </w:p>
    <w:p w14:paraId="6C36EC84" w14:textId="034F93B0" w:rsidR="001C4286" w:rsidRPr="006739C2" w:rsidRDefault="001C4286" w:rsidP="001C4286">
      <w:pPr>
        <w:pStyle w:val="BodyText"/>
        <w:rPr>
          <w:color w:val="auto"/>
          <w:lang w:eastAsia="en-AU"/>
        </w:rPr>
      </w:pPr>
      <w:r>
        <w:rPr>
          <w:color w:val="auto"/>
          <w:lang w:eastAsia="en-AU"/>
        </w:rPr>
        <w:t>The</w:t>
      </w:r>
      <w:r w:rsidRPr="00D91DF4">
        <w:rPr>
          <w:color w:val="auto"/>
          <w:lang w:eastAsia="en-AU"/>
        </w:rPr>
        <w:t xml:space="preserve"> 2018 </w:t>
      </w:r>
      <w:r w:rsidRPr="00125E21">
        <w:rPr>
          <w:color w:val="auto"/>
          <w:lang w:eastAsia="en-AU"/>
        </w:rPr>
        <w:t>Jobs Act Review</w:t>
      </w:r>
      <w:r>
        <w:rPr>
          <w:color w:val="auto"/>
          <w:lang w:eastAsia="en-AU"/>
        </w:rPr>
        <w:t xml:space="preserve"> </w:t>
      </w:r>
      <w:r w:rsidRPr="00125E21">
        <w:rPr>
          <w:color w:val="auto"/>
          <w:lang w:eastAsia="en-AU"/>
        </w:rPr>
        <w:t xml:space="preserve">identified that the trigger date for projects </w:t>
      </w:r>
      <w:r w:rsidR="0065626F">
        <w:rPr>
          <w:color w:val="auto"/>
          <w:lang w:eastAsia="en-AU"/>
        </w:rPr>
        <w:t>needed further clarification</w:t>
      </w:r>
      <w:r w:rsidR="0065626F">
        <w:rPr>
          <w:rStyle w:val="FootnoteReference"/>
          <w:color w:val="auto"/>
          <w:lang w:eastAsia="en-AU"/>
        </w:rPr>
        <w:footnoteReference w:id="15"/>
      </w:r>
      <w:r w:rsidRPr="00125E21">
        <w:rPr>
          <w:color w:val="auto"/>
          <w:lang w:eastAsia="en-AU"/>
        </w:rPr>
        <w:t xml:space="preserve">. In response, DISR provided </w:t>
      </w:r>
      <w:r>
        <w:rPr>
          <w:color w:val="auto"/>
          <w:lang w:eastAsia="en-AU"/>
        </w:rPr>
        <w:t xml:space="preserve">updated </w:t>
      </w:r>
      <w:r w:rsidRPr="00125E21">
        <w:rPr>
          <w:color w:val="auto"/>
          <w:lang w:eastAsia="en-AU"/>
        </w:rPr>
        <w:t xml:space="preserve">guidance on the </w:t>
      </w:r>
      <w:r>
        <w:rPr>
          <w:color w:val="auto"/>
          <w:lang w:eastAsia="en-AU"/>
        </w:rPr>
        <w:t xml:space="preserve">department’s </w:t>
      </w:r>
      <w:r w:rsidRPr="00125E21">
        <w:rPr>
          <w:color w:val="auto"/>
          <w:lang w:eastAsia="en-AU"/>
        </w:rPr>
        <w:t>website</w:t>
      </w:r>
      <w:r w:rsidR="008E1743">
        <w:rPr>
          <w:color w:val="auto"/>
          <w:lang w:eastAsia="en-AU"/>
        </w:rPr>
        <w:t>. A</w:t>
      </w:r>
      <w:r>
        <w:rPr>
          <w:color w:val="auto"/>
          <w:lang w:eastAsia="en-AU"/>
        </w:rPr>
        <w:t>ccording to</w:t>
      </w:r>
      <w:r w:rsidRPr="00125E21">
        <w:rPr>
          <w:color w:val="auto"/>
          <w:lang w:eastAsia="en-AU"/>
        </w:rPr>
        <w:t xml:space="preserve"> </w:t>
      </w:r>
      <w:r>
        <w:rPr>
          <w:color w:val="auto"/>
          <w:lang w:eastAsia="en-AU"/>
        </w:rPr>
        <w:t xml:space="preserve">a </w:t>
      </w:r>
      <w:r w:rsidRPr="00125E21">
        <w:rPr>
          <w:color w:val="auto"/>
          <w:lang w:eastAsia="en-AU"/>
        </w:rPr>
        <w:t>DISR interview</w:t>
      </w:r>
      <w:r>
        <w:rPr>
          <w:color w:val="auto"/>
          <w:lang w:eastAsia="en-AU"/>
        </w:rPr>
        <w:t xml:space="preserve">ee, </w:t>
      </w:r>
      <w:r w:rsidRPr="00125E21">
        <w:rPr>
          <w:color w:val="auto"/>
          <w:lang w:eastAsia="en-AU"/>
        </w:rPr>
        <w:t xml:space="preserve">there </w:t>
      </w:r>
      <w:r>
        <w:rPr>
          <w:color w:val="auto"/>
          <w:lang w:eastAsia="en-AU"/>
        </w:rPr>
        <w:t xml:space="preserve">had </w:t>
      </w:r>
      <w:r w:rsidRPr="00125E21">
        <w:rPr>
          <w:color w:val="auto"/>
          <w:lang w:eastAsia="en-AU"/>
        </w:rPr>
        <w:t xml:space="preserve">been fewer queries and concerns </w:t>
      </w:r>
      <w:r>
        <w:rPr>
          <w:color w:val="auto"/>
          <w:lang w:eastAsia="en-AU"/>
        </w:rPr>
        <w:t>over trigger dates since the publication of that updated guidance</w:t>
      </w:r>
      <w:r w:rsidRPr="00125E21">
        <w:rPr>
          <w:color w:val="auto"/>
          <w:lang w:eastAsia="en-AU"/>
        </w:rPr>
        <w:t xml:space="preserve">. In practice, </w:t>
      </w:r>
      <w:r>
        <w:rPr>
          <w:color w:val="auto"/>
          <w:lang w:eastAsia="en-AU"/>
        </w:rPr>
        <w:t xml:space="preserve">AIP </w:t>
      </w:r>
      <w:r w:rsidRPr="00125E21">
        <w:rPr>
          <w:color w:val="auto"/>
          <w:lang w:eastAsia="en-AU"/>
        </w:rPr>
        <w:t>officials</w:t>
      </w:r>
      <w:r>
        <w:rPr>
          <w:color w:val="auto"/>
          <w:lang w:eastAsia="en-AU"/>
        </w:rPr>
        <w:t xml:space="preserve"> apply trigger dates pragmatically and </w:t>
      </w:r>
      <w:r w:rsidRPr="00125E21">
        <w:rPr>
          <w:color w:val="auto"/>
          <w:lang w:eastAsia="en-AU"/>
        </w:rPr>
        <w:t xml:space="preserve">negotiate an appropriate time with proponents to </w:t>
      </w:r>
      <w:r w:rsidRPr="006739C2">
        <w:rPr>
          <w:color w:val="auto"/>
          <w:lang w:eastAsia="en-AU"/>
        </w:rPr>
        <w:t>have an AIP Plan in place.</w:t>
      </w:r>
    </w:p>
    <w:p w14:paraId="121C85A8" w14:textId="56A2E68D" w:rsidR="001C4286" w:rsidRPr="006739C2" w:rsidRDefault="001C4286" w:rsidP="001C4286">
      <w:pPr>
        <w:pStyle w:val="BodyText"/>
        <w:rPr>
          <w:color w:val="auto"/>
          <w:lang w:eastAsia="en-AU"/>
        </w:rPr>
      </w:pPr>
      <w:r w:rsidRPr="006739C2">
        <w:rPr>
          <w:color w:val="auto"/>
          <w:lang w:eastAsia="en-AU"/>
        </w:rPr>
        <w:t>Of the 22 proponent respondents</w:t>
      </w:r>
      <w:r w:rsidR="003A13C6">
        <w:rPr>
          <w:color w:val="auto"/>
          <w:lang w:eastAsia="en-AU"/>
        </w:rPr>
        <w:t xml:space="preserve"> who had been required to prepare</w:t>
      </w:r>
      <w:r w:rsidRPr="006739C2">
        <w:rPr>
          <w:color w:val="auto"/>
          <w:lang w:eastAsia="en-AU"/>
        </w:rPr>
        <w:t xml:space="preserve"> an AIP plan, just over half (12) had found the trigger date either ‘moderately’ or ‘very’ useful in determining when to submit the plan. However, a sizeable minority (9) found it </w:t>
      </w:r>
      <w:r w:rsidR="008E1743">
        <w:rPr>
          <w:color w:val="auto"/>
          <w:lang w:eastAsia="en-AU"/>
        </w:rPr>
        <w:t>‘</w:t>
      </w:r>
      <w:r w:rsidRPr="006739C2">
        <w:rPr>
          <w:color w:val="auto"/>
          <w:lang w:eastAsia="en-AU"/>
        </w:rPr>
        <w:t>not at all useful</w:t>
      </w:r>
      <w:r w:rsidR="008E1743">
        <w:rPr>
          <w:color w:val="auto"/>
          <w:lang w:eastAsia="en-AU"/>
        </w:rPr>
        <w:t>’</w:t>
      </w:r>
      <w:r w:rsidRPr="006739C2">
        <w:rPr>
          <w:color w:val="auto"/>
          <w:lang w:eastAsia="en-AU"/>
        </w:rPr>
        <w:t xml:space="preserve">. </w:t>
      </w:r>
    </w:p>
    <w:p w14:paraId="5619CCC5" w14:textId="434A8A12" w:rsidR="00A75A9C" w:rsidRPr="00FE1ACD" w:rsidRDefault="001C4286" w:rsidP="001C4286">
      <w:pPr>
        <w:pStyle w:val="BodyText"/>
        <w:rPr>
          <w:color w:val="auto"/>
          <w:lang w:eastAsia="en-AU"/>
        </w:rPr>
      </w:pPr>
      <w:r w:rsidRPr="006739C2">
        <w:rPr>
          <w:color w:val="auto"/>
          <w:lang w:eastAsia="en-AU"/>
        </w:rPr>
        <w:t xml:space="preserve">Proponents who found the trigger date </w:t>
      </w:r>
      <w:r w:rsidR="00481E0A">
        <w:rPr>
          <w:color w:val="auto"/>
          <w:lang w:eastAsia="en-AU"/>
        </w:rPr>
        <w:t>‘</w:t>
      </w:r>
      <w:r w:rsidRPr="006739C2">
        <w:rPr>
          <w:color w:val="auto"/>
          <w:lang w:eastAsia="en-AU"/>
        </w:rPr>
        <w:t>not at all useful</w:t>
      </w:r>
      <w:r w:rsidR="00481E0A">
        <w:rPr>
          <w:color w:val="auto"/>
          <w:lang w:eastAsia="en-AU"/>
        </w:rPr>
        <w:t xml:space="preserve">’ </w:t>
      </w:r>
      <w:r w:rsidR="00FA0926">
        <w:rPr>
          <w:color w:val="auto"/>
          <w:lang w:eastAsia="en-AU"/>
        </w:rPr>
        <w:t>noted that</w:t>
      </w:r>
      <w:r w:rsidRPr="00FE1ACD">
        <w:rPr>
          <w:color w:val="auto"/>
          <w:lang w:eastAsia="en-AU"/>
        </w:rPr>
        <w:t xml:space="preserve"> many </w:t>
      </w:r>
      <w:r w:rsidR="00481E0A">
        <w:rPr>
          <w:color w:val="auto"/>
          <w:lang w:eastAsia="en-AU"/>
        </w:rPr>
        <w:t xml:space="preserve">early </w:t>
      </w:r>
      <w:r w:rsidR="00FA0926">
        <w:rPr>
          <w:color w:val="auto"/>
          <w:lang w:eastAsia="en-AU"/>
        </w:rPr>
        <w:t xml:space="preserve">project milestones considered as trigger dates resulted in AIP plans being developed too early in the project’s lifecycle and well before packages are tendered to suppliers. </w:t>
      </w:r>
      <w:r w:rsidRPr="00FE1ACD">
        <w:rPr>
          <w:color w:val="auto"/>
          <w:lang w:eastAsia="en-AU"/>
        </w:rPr>
        <w:t>Other</w:t>
      </w:r>
      <w:r w:rsidR="00ED0DC1">
        <w:rPr>
          <w:color w:val="auto"/>
          <w:lang w:eastAsia="en-AU"/>
        </w:rPr>
        <w:t>s</w:t>
      </w:r>
      <w:r w:rsidRPr="00FE1ACD">
        <w:rPr>
          <w:color w:val="auto"/>
          <w:lang w:eastAsia="en-AU"/>
        </w:rPr>
        <w:t xml:space="preserve"> noted that the trigger date is too generic and should be tied to a specific project development activity</w:t>
      </w:r>
      <w:r w:rsidR="00915389">
        <w:rPr>
          <w:color w:val="auto"/>
          <w:lang w:eastAsia="en-AU"/>
        </w:rPr>
        <w:t xml:space="preserve"> </w:t>
      </w:r>
      <w:r w:rsidR="00915389" w:rsidRPr="001D44DF">
        <w:rPr>
          <w:color w:val="auto"/>
          <w:lang w:eastAsia="en-AU"/>
        </w:rPr>
        <w:t>or milestone</w:t>
      </w:r>
      <w:r w:rsidR="0089564A" w:rsidRPr="001D44DF">
        <w:rPr>
          <w:color w:val="auto"/>
          <w:lang w:eastAsia="en-AU"/>
        </w:rPr>
        <w:t xml:space="preserve">, which could be an interim step in updated guidance material. </w:t>
      </w:r>
      <w:r w:rsidR="0089564A">
        <w:rPr>
          <w:color w:val="auto"/>
          <w:lang w:eastAsia="en-AU"/>
        </w:rPr>
        <w:t xml:space="preserve"> </w:t>
      </w:r>
    </w:p>
    <w:p w14:paraId="1B24FDF7" w14:textId="06996EA4" w:rsidR="001C4286" w:rsidRDefault="001C4286" w:rsidP="001C4286">
      <w:pPr>
        <w:pStyle w:val="BodyText"/>
        <w:shd w:val="clear" w:color="auto" w:fill="D7EFF2" w:themeFill="accent3" w:themeFillTint="66"/>
        <w:rPr>
          <w:lang w:eastAsia="en-AU"/>
        </w:rPr>
      </w:pPr>
      <w:r w:rsidRPr="007D0B59">
        <w:rPr>
          <w:b/>
          <w:bCs/>
          <w:lang w:eastAsia="en-AU"/>
        </w:rPr>
        <w:t>Finding 1</w:t>
      </w:r>
      <w:r w:rsidR="00101C24">
        <w:rPr>
          <w:b/>
          <w:bCs/>
          <w:lang w:eastAsia="en-AU"/>
        </w:rPr>
        <w:t>0</w:t>
      </w:r>
      <w:r w:rsidRPr="007D0B59">
        <w:rPr>
          <w:b/>
          <w:bCs/>
          <w:lang w:eastAsia="en-AU"/>
        </w:rPr>
        <w:t>:</w:t>
      </w:r>
      <w:r>
        <w:rPr>
          <w:lang w:eastAsia="en-AU"/>
        </w:rPr>
        <w:t xml:space="preserve"> Since 2018, </w:t>
      </w:r>
      <w:r w:rsidRPr="0053173C">
        <w:rPr>
          <w:lang w:eastAsia="en-AU"/>
        </w:rPr>
        <w:t>DISR has provided guidance on trigger dates to improve proponent understanding of when to submit a Jobs Act AIP plan.  While just over half proponent respondents found the trigger date useful in determining when to submit the plan, a sizeable minority found it not at all useful.</w:t>
      </w:r>
    </w:p>
    <w:p w14:paraId="752FBE79" w14:textId="04190DF2" w:rsidR="001C4286" w:rsidRDefault="001C4286" w:rsidP="001C4286">
      <w:pPr>
        <w:pStyle w:val="Caption"/>
        <w:rPr>
          <w:color w:val="005677" w:themeColor="background2"/>
        </w:rPr>
      </w:pPr>
      <w:r w:rsidRPr="008E12A7">
        <w:rPr>
          <w:color w:val="005677" w:themeColor="background2"/>
        </w:rPr>
        <w:t xml:space="preserve">Box </w:t>
      </w:r>
      <w:r w:rsidR="00101C24" w:rsidRPr="008E12A7">
        <w:rPr>
          <w:color w:val="005677" w:themeColor="background2"/>
        </w:rPr>
        <w:t>2.</w:t>
      </w:r>
      <w:r w:rsidRPr="008E12A7">
        <w:rPr>
          <w:color w:val="005677" w:themeColor="background2"/>
        </w:rPr>
        <w:t xml:space="preserve">3.3 Recommendation </w:t>
      </w:r>
      <w:r w:rsidR="006C501F" w:rsidRPr="008E12A7">
        <w:rPr>
          <w:color w:val="005677" w:themeColor="background2"/>
        </w:rPr>
        <w:t>6</w:t>
      </w:r>
    </w:p>
    <w:p w14:paraId="00034684" w14:textId="60679294" w:rsidR="000C6F87" w:rsidRPr="00EB0673" w:rsidRDefault="000C6F87" w:rsidP="00EB0673">
      <w:pPr>
        <w:pStyle w:val="Placeholder"/>
        <w:shd w:val="clear" w:color="auto" w:fill="E9E9EA" w:themeFill="accent5" w:themeFillTint="33"/>
        <w:jc w:val="left"/>
      </w:pPr>
      <w:r w:rsidRPr="00EB0673">
        <w:rPr>
          <w:b/>
          <w:bCs/>
        </w:rPr>
        <w:t>Recommendation 6</w:t>
      </w:r>
      <w:r w:rsidRPr="000C6F87">
        <w:t>: That DISR consider consultation with stakeholders to explore whether adjustments can be made to the definition of trigger date in the Jobs Act to ensure that AIP plans are submitted at an appropriate time.</w:t>
      </w:r>
    </w:p>
    <w:p w14:paraId="547D4E89" w14:textId="77777777" w:rsidR="002E1A07" w:rsidRPr="007E4220" w:rsidRDefault="002E1A07" w:rsidP="00EB0673">
      <w:pPr>
        <w:pStyle w:val="BodyText"/>
        <w:pBdr>
          <w:bottom w:val="single" w:sz="4" w:space="1" w:color="auto"/>
        </w:pBdr>
      </w:pPr>
      <w:bookmarkStart w:id="62" w:name="_Toc127440382"/>
    </w:p>
    <w:p w14:paraId="2B13C65F" w14:textId="4E9FB572" w:rsidR="006777C3" w:rsidRDefault="000A1784" w:rsidP="00C0682A">
      <w:pPr>
        <w:pStyle w:val="Heading1"/>
      </w:pPr>
      <w:bookmarkStart w:id="63" w:name="_Toc174018027"/>
      <w:r>
        <w:t>Implementation</w:t>
      </w:r>
      <w:bookmarkEnd w:id="62"/>
      <w:bookmarkEnd w:id="63"/>
    </w:p>
    <w:p w14:paraId="00644072" w14:textId="6C0F32DE" w:rsidR="002A066C" w:rsidRPr="002A066C" w:rsidRDefault="000A1784" w:rsidP="00C0682A">
      <w:pPr>
        <w:pStyle w:val="Heading2"/>
      </w:pPr>
      <w:bookmarkStart w:id="64" w:name="_Toc127440383"/>
      <w:bookmarkStart w:id="65" w:name="_Toc174018028"/>
      <w:r>
        <w:t>Implementation of the Jobs Act</w:t>
      </w:r>
      <w:bookmarkEnd w:id="64"/>
      <w:bookmarkEnd w:id="65"/>
    </w:p>
    <w:p w14:paraId="0D8284F9" w14:textId="09A0E6A3" w:rsidR="00AA71D2" w:rsidRPr="00AA71D2" w:rsidRDefault="00AA71D2" w:rsidP="00BA7ADC">
      <w:pPr>
        <w:pStyle w:val="Heading3"/>
      </w:pPr>
      <w:r w:rsidRPr="00191AB4">
        <w:t xml:space="preserve">AIP Authority and </w:t>
      </w:r>
      <w:r w:rsidR="000C6F87">
        <w:t>b</w:t>
      </w:r>
      <w:r w:rsidRPr="00191AB4">
        <w:t>oard</w:t>
      </w:r>
    </w:p>
    <w:p w14:paraId="56A18A81" w14:textId="421801AB" w:rsidR="002A066C" w:rsidRPr="002A066C" w:rsidRDefault="002A066C" w:rsidP="00191AB4">
      <w:pPr>
        <w:pStyle w:val="BodyText"/>
        <w:rPr>
          <w:color w:val="auto"/>
          <w:lang w:eastAsia="en-AU"/>
        </w:rPr>
      </w:pPr>
      <w:r>
        <w:rPr>
          <w:color w:val="auto"/>
          <w:lang w:eastAsia="en-AU"/>
        </w:rPr>
        <w:t>While t</w:t>
      </w:r>
      <w:r w:rsidRPr="00BD21C4">
        <w:rPr>
          <w:color w:val="auto"/>
          <w:lang w:eastAsia="en-AU"/>
        </w:rPr>
        <w:t>he Jobs Act</w:t>
      </w:r>
      <w:r w:rsidRPr="00BD21C4">
        <w:rPr>
          <w:rStyle w:val="FootnoteReference"/>
          <w:color w:val="auto"/>
          <w:lang w:eastAsia="en-AU"/>
        </w:rPr>
        <w:footnoteReference w:id="16"/>
      </w:r>
      <w:r w:rsidRPr="00BD21C4">
        <w:rPr>
          <w:color w:val="auto"/>
          <w:lang w:eastAsia="en-AU"/>
        </w:rPr>
        <w:t xml:space="preserve"> originally intended the appointment of an AIP Authority and an AIP </w:t>
      </w:r>
      <w:r w:rsidR="000C6F87">
        <w:rPr>
          <w:color w:val="auto"/>
          <w:lang w:eastAsia="en-AU"/>
        </w:rPr>
        <w:t>a</w:t>
      </w:r>
      <w:r w:rsidRPr="00BD21C4">
        <w:rPr>
          <w:color w:val="auto"/>
          <w:lang w:eastAsia="en-AU"/>
        </w:rPr>
        <w:t xml:space="preserve">dvisory </w:t>
      </w:r>
      <w:r w:rsidR="000C6F87">
        <w:rPr>
          <w:color w:val="auto"/>
          <w:lang w:eastAsia="en-AU"/>
        </w:rPr>
        <w:t>b</w:t>
      </w:r>
      <w:r w:rsidRPr="00BD21C4">
        <w:rPr>
          <w:color w:val="auto"/>
          <w:lang w:eastAsia="en-AU"/>
        </w:rPr>
        <w:t>oard</w:t>
      </w:r>
      <w:r>
        <w:rPr>
          <w:color w:val="auto"/>
          <w:lang w:eastAsia="en-AU"/>
        </w:rPr>
        <w:t xml:space="preserve">, a </w:t>
      </w:r>
      <w:r w:rsidRPr="00BD21C4">
        <w:rPr>
          <w:color w:val="auto"/>
          <w:lang w:eastAsia="en-AU"/>
        </w:rPr>
        <w:t xml:space="preserve">permanent AIP Authority </w:t>
      </w:r>
      <w:r w:rsidR="00984271">
        <w:rPr>
          <w:color w:val="auto"/>
          <w:lang w:eastAsia="en-AU"/>
        </w:rPr>
        <w:t xml:space="preserve">and </w:t>
      </w:r>
      <w:r w:rsidR="000C6F87">
        <w:rPr>
          <w:color w:val="auto"/>
          <w:lang w:eastAsia="en-AU"/>
        </w:rPr>
        <w:t>a</w:t>
      </w:r>
      <w:r w:rsidR="00984271">
        <w:rPr>
          <w:color w:val="auto"/>
          <w:lang w:eastAsia="en-AU"/>
        </w:rPr>
        <w:t xml:space="preserve">dvisory </w:t>
      </w:r>
      <w:r w:rsidR="000C6F87">
        <w:rPr>
          <w:color w:val="auto"/>
          <w:lang w:eastAsia="en-AU"/>
        </w:rPr>
        <w:t>b</w:t>
      </w:r>
      <w:r w:rsidR="00984271">
        <w:rPr>
          <w:color w:val="auto"/>
          <w:lang w:eastAsia="en-AU"/>
        </w:rPr>
        <w:t xml:space="preserve">oard have </w:t>
      </w:r>
      <w:r w:rsidRPr="00BD21C4">
        <w:rPr>
          <w:color w:val="auto"/>
          <w:lang w:eastAsia="en-AU"/>
        </w:rPr>
        <w:t>not been appointed.</w:t>
      </w:r>
      <w:r>
        <w:rPr>
          <w:color w:val="auto"/>
          <w:lang w:eastAsia="en-AU"/>
        </w:rPr>
        <w:t xml:space="preserve"> As such, the Jobs Act ha</w:t>
      </w:r>
      <w:r w:rsidR="00DD6243">
        <w:rPr>
          <w:color w:val="auto"/>
          <w:lang w:eastAsia="en-AU"/>
        </w:rPr>
        <w:t>s</w:t>
      </w:r>
      <w:r>
        <w:rPr>
          <w:color w:val="auto"/>
          <w:lang w:eastAsia="en-AU"/>
        </w:rPr>
        <w:t xml:space="preserve"> not been fully implemented and the potential benefits of the Jobs Act </w:t>
      </w:r>
      <w:r w:rsidR="00984271">
        <w:rPr>
          <w:color w:val="auto"/>
          <w:lang w:eastAsia="en-AU"/>
        </w:rPr>
        <w:t xml:space="preserve">may </w:t>
      </w:r>
      <w:r>
        <w:rPr>
          <w:color w:val="auto"/>
          <w:lang w:eastAsia="en-AU"/>
        </w:rPr>
        <w:t>have not been fully realised.</w:t>
      </w:r>
    </w:p>
    <w:p w14:paraId="4048BC23" w14:textId="086467D0" w:rsidR="00BD21C4" w:rsidRDefault="00BD21C4" w:rsidP="000A1784">
      <w:pPr>
        <w:pStyle w:val="BodyText"/>
        <w:rPr>
          <w:color w:val="auto"/>
          <w:lang w:eastAsia="en-AU"/>
        </w:rPr>
      </w:pPr>
      <w:r w:rsidRPr="00BD21C4">
        <w:rPr>
          <w:color w:val="auto"/>
          <w:lang w:eastAsia="en-AU"/>
        </w:rPr>
        <w:t>The AIP Authority was intended to be an individual working on a full-time basis</w:t>
      </w:r>
      <w:r w:rsidR="0075257B">
        <w:rPr>
          <w:color w:val="auto"/>
          <w:lang w:eastAsia="en-AU"/>
        </w:rPr>
        <w:t xml:space="preserve"> with, according to the Act,</w:t>
      </w:r>
      <w:r w:rsidRPr="00A01025">
        <w:rPr>
          <w:color w:val="auto"/>
        </w:rPr>
        <w:t xml:space="preserve"> </w:t>
      </w:r>
      <w:r w:rsidR="0075257B" w:rsidRPr="00A01025">
        <w:rPr>
          <w:color w:val="auto"/>
        </w:rPr>
        <w:t xml:space="preserve">substantial experience or knowledge and significant standing in at least one of the following fields: economics, </w:t>
      </w:r>
      <w:proofErr w:type="gramStart"/>
      <w:r w:rsidR="0075257B" w:rsidRPr="00A01025">
        <w:rPr>
          <w:color w:val="auto"/>
        </w:rPr>
        <w:t>industry</w:t>
      </w:r>
      <w:proofErr w:type="gramEnd"/>
      <w:r w:rsidR="0075257B" w:rsidRPr="00A01025">
        <w:rPr>
          <w:color w:val="auto"/>
        </w:rPr>
        <w:t xml:space="preserve"> or public administration. However, instead of a permanent AIP Authority</w:t>
      </w:r>
      <w:r w:rsidR="00AA71D2" w:rsidRPr="00A01025">
        <w:rPr>
          <w:color w:val="auto"/>
        </w:rPr>
        <w:t xml:space="preserve"> with a </w:t>
      </w:r>
      <w:r w:rsidR="000C6F87">
        <w:rPr>
          <w:color w:val="auto"/>
        </w:rPr>
        <w:t>5</w:t>
      </w:r>
      <w:r w:rsidR="00AA71D2" w:rsidRPr="00A01025">
        <w:rPr>
          <w:color w:val="auto"/>
        </w:rPr>
        <w:t>-year appointment</w:t>
      </w:r>
      <w:r w:rsidR="0075257B" w:rsidRPr="00A01025">
        <w:rPr>
          <w:color w:val="auto"/>
        </w:rPr>
        <w:t xml:space="preserve">, </w:t>
      </w:r>
      <w:r w:rsidR="008D7DD0">
        <w:rPr>
          <w:color w:val="auto"/>
          <w:lang w:eastAsia="en-AU"/>
        </w:rPr>
        <w:t>a part-time</w:t>
      </w:r>
      <w:r w:rsidRPr="00BD21C4">
        <w:rPr>
          <w:color w:val="auto"/>
          <w:lang w:eastAsia="en-AU"/>
        </w:rPr>
        <w:t xml:space="preserve"> </w:t>
      </w:r>
      <w:r w:rsidR="00DC6410">
        <w:rPr>
          <w:color w:val="auto"/>
          <w:lang w:eastAsia="en-AU"/>
        </w:rPr>
        <w:t xml:space="preserve">acting </w:t>
      </w:r>
      <w:r w:rsidRPr="00BD21C4">
        <w:rPr>
          <w:color w:val="auto"/>
          <w:lang w:eastAsia="en-AU"/>
        </w:rPr>
        <w:t xml:space="preserve">AIP Authority has been appointed every 12 months (a public servant at the substantive SES Band </w:t>
      </w:r>
      <w:r w:rsidR="007F5FE3">
        <w:rPr>
          <w:color w:val="auto"/>
          <w:lang w:eastAsia="en-AU"/>
        </w:rPr>
        <w:t xml:space="preserve">1 </w:t>
      </w:r>
      <w:r w:rsidR="00537C77">
        <w:rPr>
          <w:color w:val="auto"/>
          <w:lang w:eastAsia="en-AU"/>
        </w:rPr>
        <w:t xml:space="preserve">or </w:t>
      </w:r>
      <w:r w:rsidR="007F5FE3">
        <w:rPr>
          <w:color w:val="auto"/>
          <w:lang w:eastAsia="en-AU"/>
        </w:rPr>
        <w:t xml:space="preserve">2 </w:t>
      </w:r>
      <w:r w:rsidR="0011663C" w:rsidRPr="00BD21C4">
        <w:rPr>
          <w:color w:val="auto"/>
          <w:lang w:eastAsia="en-AU"/>
        </w:rPr>
        <w:t>levels</w:t>
      </w:r>
      <w:r w:rsidRPr="00BD21C4">
        <w:rPr>
          <w:color w:val="auto"/>
          <w:lang w:eastAsia="en-AU"/>
        </w:rPr>
        <w:t>).</w:t>
      </w:r>
      <w:r w:rsidR="0075257B">
        <w:rPr>
          <w:color w:val="auto"/>
          <w:lang w:eastAsia="en-AU"/>
        </w:rPr>
        <w:t xml:space="preserve"> While </w:t>
      </w:r>
      <w:r w:rsidR="0087446C">
        <w:rPr>
          <w:color w:val="auto"/>
          <w:lang w:eastAsia="en-AU"/>
        </w:rPr>
        <w:t xml:space="preserve">the people in the </w:t>
      </w:r>
      <w:r w:rsidR="008D7DD0">
        <w:rPr>
          <w:color w:val="auto"/>
          <w:lang w:eastAsia="en-AU"/>
        </w:rPr>
        <w:t xml:space="preserve">part-time </w:t>
      </w:r>
      <w:r w:rsidR="0087446C">
        <w:rPr>
          <w:color w:val="auto"/>
          <w:lang w:eastAsia="en-AU"/>
        </w:rPr>
        <w:t xml:space="preserve">acting AIP Authority </w:t>
      </w:r>
      <w:r w:rsidR="0087446C">
        <w:rPr>
          <w:color w:val="auto"/>
          <w:lang w:eastAsia="en-AU"/>
        </w:rPr>
        <w:lastRenderedPageBreak/>
        <w:t>position</w:t>
      </w:r>
      <w:r w:rsidR="0087446C" w:rsidRPr="0075257B">
        <w:rPr>
          <w:color w:val="auto"/>
          <w:lang w:eastAsia="en-AU"/>
        </w:rPr>
        <w:t xml:space="preserve"> </w:t>
      </w:r>
      <w:r w:rsidR="0087446C">
        <w:rPr>
          <w:color w:val="auto"/>
          <w:lang w:eastAsia="en-AU"/>
        </w:rPr>
        <w:t xml:space="preserve">generally have </w:t>
      </w:r>
      <w:r w:rsidR="0075257B" w:rsidRPr="0075257B">
        <w:rPr>
          <w:color w:val="auto"/>
          <w:lang w:eastAsia="en-AU"/>
        </w:rPr>
        <w:t xml:space="preserve">deep knowledge of industry for the purpose of their public service position, </w:t>
      </w:r>
      <w:r w:rsidR="0087446C">
        <w:rPr>
          <w:color w:val="auto"/>
          <w:lang w:eastAsia="en-AU"/>
        </w:rPr>
        <w:t>they</w:t>
      </w:r>
      <w:r w:rsidR="0075257B" w:rsidRPr="0075257B">
        <w:rPr>
          <w:color w:val="auto"/>
          <w:lang w:eastAsia="en-AU"/>
        </w:rPr>
        <w:t xml:space="preserve"> </w:t>
      </w:r>
      <w:r w:rsidR="00AB2EB1">
        <w:rPr>
          <w:color w:val="auto"/>
          <w:lang w:eastAsia="en-AU"/>
        </w:rPr>
        <w:t xml:space="preserve">have </w:t>
      </w:r>
      <w:r w:rsidR="0075257B" w:rsidRPr="0075257B">
        <w:rPr>
          <w:color w:val="auto"/>
          <w:lang w:eastAsia="en-AU"/>
        </w:rPr>
        <w:t>not been specifically recruited for the Authority role</w:t>
      </w:r>
      <w:r w:rsidR="0075257B">
        <w:rPr>
          <w:color w:val="auto"/>
          <w:lang w:eastAsia="en-AU"/>
        </w:rPr>
        <w:t xml:space="preserve">. </w:t>
      </w:r>
      <w:r w:rsidR="0087446C">
        <w:rPr>
          <w:color w:val="auto"/>
          <w:lang w:eastAsia="en-AU"/>
        </w:rPr>
        <w:t>The</w:t>
      </w:r>
      <w:r w:rsidR="0075257B">
        <w:rPr>
          <w:color w:val="auto"/>
          <w:lang w:eastAsia="en-AU"/>
        </w:rPr>
        <w:t xml:space="preserve"> </w:t>
      </w:r>
      <w:r w:rsidR="008D7DD0">
        <w:rPr>
          <w:color w:val="auto"/>
          <w:lang w:eastAsia="en-AU"/>
        </w:rPr>
        <w:t xml:space="preserve">part-time </w:t>
      </w:r>
      <w:r w:rsidR="0075257B" w:rsidRPr="0075257B">
        <w:rPr>
          <w:color w:val="auto"/>
          <w:lang w:eastAsia="en-AU"/>
        </w:rPr>
        <w:t xml:space="preserve">acting AIP Authority </w:t>
      </w:r>
      <w:r w:rsidR="0087446C">
        <w:rPr>
          <w:color w:val="auto"/>
          <w:lang w:eastAsia="en-AU"/>
        </w:rPr>
        <w:t xml:space="preserve">also performs that role </w:t>
      </w:r>
      <w:r w:rsidR="0075257B" w:rsidRPr="0075257B">
        <w:rPr>
          <w:color w:val="auto"/>
          <w:lang w:eastAsia="en-AU"/>
        </w:rPr>
        <w:t xml:space="preserve">in addition to their responsibilities as a General Manager, reducing their </w:t>
      </w:r>
      <w:r w:rsidR="00730CDE">
        <w:rPr>
          <w:color w:val="auto"/>
          <w:lang w:eastAsia="en-AU"/>
        </w:rPr>
        <w:t>capacity</w:t>
      </w:r>
      <w:r w:rsidR="0075257B" w:rsidRPr="0075257B">
        <w:rPr>
          <w:color w:val="auto"/>
          <w:lang w:eastAsia="en-AU"/>
        </w:rPr>
        <w:t xml:space="preserve"> to focus on the AIP Authority position.</w:t>
      </w:r>
    </w:p>
    <w:p w14:paraId="2BB565AC" w14:textId="0C37851E" w:rsidR="00134E47" w:rsidRPr="00A01025" w:rsidRDefault="00CE26E6" w:rsidP="000A1784">
      <w:pPr>
        <w:pStyle w:val="BodyText"/>
        <w:rPr>
          <w:color w:val="auto"/>
        </w:rPr>
      </w:pPr>
      <w:r>
        <w:rPr>
          <w:color w:val="auto"/>
        </w:rPr>
        <w:t xml:space="preserve">In addition to the AIP Authority, the </w:t>
      </w:r>
      <w:r w:rsidR="002A066C" w:rsidRPr="00A01025">
        <w:rPr>
          <w:color w:val="auto"/>
        </w:rPr>
        <w:t>Jobs Act</w:t>
      </w:r>
      <w:r>
        <w:rPr>
          <w:color w:val="auto"/>
        </w:rPr>
        <w:t xml:space="preserve"> outlines</w:t>
      </w:r>
      <w:r w:rsidR="002A066C" w:rsidRPr="00A01025">
        <w:rPr>
          <w:color w:val="auto"/>
        </w:rPr>
        <w:t xml:space="preserve"> a</w:t>
      </w:r>
      <w:r w:rsidR="00013587" w:rsidRPr="00A01025">
        <w:rPr>
          <w:color w:val="auto"/>
        </w:rPr>
        <w:t xml:space="preserve"> ministerially appointed</w:t>
      </w:r>
      <w:r w:rsidR="002A066C" w:rsidRPr="00A01025">
        <w:rPr>
          <w:color w:val="auto"/>
        </w:rPr>
        <w:t xml:space="preserve"> AIP </w:t>
      </w:r>
      <w:r w:rsidR="000C6F87">
        <w:rPr>
          <w:color w:val="auto"/>
        </w:rPr>
        <w:t>a</w:t>
      </w:r>
      <w:r w:rsidR="002A066C" w:rsidRPr="00A01025">
        <w:rPr>
          <w:color w:val="auto"/>
        </w:rPr>
        <w:t xml:space="preserve">dvisory </w:t>
      </w:r>
      <w:r w:rsidR="000C6F87">
        <w:rPr>
          <w:color w:val="auto"/>
        </w:rPr>
        <w:t>b</w:t>
      </w:r>
      <w:r w:rsidR="002A066C" w:rsidRPr="00A01025">
        <w:rPr>
          <w:color w:val="auto"/>
        </w:rPr>
        <w:t>oard</w:t>
      </w:r>
      <w:r w:rsidR="00013587" w:rsidRPr="00A01025">
        <w:rPr>
          <w:color w:val="auto"/>
        </w:rPr>
        <w:t xml:space="preserve">’s </w:t>
      </w:r>
      <w:r w:rsidR="002A066C" w:rsidRPr="00A01025">
        <w:rPr>
          <w:color w:val="auto"/>
        </w:rPr>
        <w:t xml:space="preserve">main functions would be to advise the Authority on matters relating to the performance of the Authority’s functions and to advise the Minister about AIP matters. </w:t>
      </w:r>
      <w:r w:rsidR="00013587" w:rsidRPr="00A01025">
        <w:rPr>
          <w:color w:val="auto"/>
        </w:rPr>
        <w:t xml:space="preserve">However, an </w:t>
      </w:r>
      <w:r w:rsidR="000C6F87">
        <w:rPr>
          <w:color w:val="auto"/>
        </w:rPr>
        <w:t>a</w:t>
      </w:r>
      <w:r w:rsidR="00013587" w:rsidRPr="00A01025">
        <w:rPr>
          <w:color w:val="auto"/>
        </w:rPr>
        <w:t xml:space="preserve">dvisory </w:t>
      </w:r>
      <w:r w:rsidR="000C6F87">
        <w:rPr>
          <w:color w:val="auto"/>
        </w:rPr>
        <w:t>b</w:t>
      </w:r>
      <w:r w:rsidR="00013587" w:rsidRPr="00A01025">
        <w:rPr>
          <w:color w:val="auto"/>
        </w:rPr>
        <w:t>oard has not been appointed.</w:t>
      </w:r>
    </w:p>
    <w:p w14:paraId="6D00A363" w14:textId="4DFEE681" w:rsidR="00AA71D2" w:rsidRPr="00F9549A" w:rsidRDefault="000A1784" w:rsidP="00AA71D2">
      <w:pPr>
        <w:pStyle w:val="BodyText"/>
      </w:pPr>
      <w:r w:rsidRPr="00AA71D2">
        <w:rPr>
          <w:color w:val="auto"/>
          <w:lang w:eastAsia="en-AU"/>
        </w:rPr>
        <w:t xml:space="preserve">Some DISR interviewees commented </w:t>
      </w:r>
      <w:r w:rsidR="00AA71D2">
        <w:rPr>
          <w:color w:val="auto"/>
          <w:lang w:eastAsia="en-AU"/>
        </w:rPr>
        <w:t>on the benefit of fully utilising the governance structures provided in the Act. The</w:t>
      </w:r>
      <w:r w:rsidRPr="00AA71D2">
        <w:rPr>
          <w:color w:val="auto"/>
          <w:lang w:eastAsia="en-AU"/>
        </w:rPr>
        <w:t xml:space="preserve"> appointment of an AIP Authority and an </w:t>
      </w:r>
      <w:r w:rsidR="000C6F87">
        <w:rPr>
          <w:color w:val="auto"/>
          <w:lang w:eastAsia="en-AU"/>
        </w:rPr>
        <w:t>a</w:t>
      </w:r>
      <w:r w:rsidRPr="00AA71D2">
        <w:rPr>
          <w:color w:val="auto"/>
          <w:lang w:eastAsia="en-AU"/>
        </w:rPr>
        <w:t xml:space="preserve">dvisory </w:t>
      </w:r>
      <w:r w:rsidR="000C6F87">
        <w:rPr>
          <w:color w:val="auto"/>
          <w:lang w:eastAsia="en-AU"/>
        </w:rPr>
        <w:t>b</w:t>
      </w:r>
      <w:r w:rsidRPr="00AA71D2">
        <w:rPr>
          <w:color w:val="auto"/>
          <w:lang w:eastAsia="en-AU"/>
        </w:rPr>
        <w:t xml:space="preserve">oard would </w:t>
      </w:r>
      <w:r w:rsidRPr="00AA71D2">
        <w:rPr>
          <w:color w:val="auto"/>
        </w:rPr>
        <w:t>provide greater continuity, direction and facilitate building relationships with stakeholders.</w:t>
      </w:r>
    </w:p>
    <w:p w14:paraId="4F067E53" w14:textId="409BA84E" w:rsidR="00AA71D2" w:rsidRPr="00BD4040" w:rsidRDefault="00AA71D2" w:rsidP="008E12A7">
      <w:pPr>
        <w:pStyle w:val="BodyText"/>
        <w:ind w:left="720" w:right="946"/>
        <w:jc w:val="left"/>
      </w:pPr>
      <w:r w:rsidRPr="00AA71D2">
        <w:rPr>
          <w:i/>
        </w:rPr>
        <w:t>If you have someone for five years who really has the background</w:t>
      </w:r>
      <w:r>
        <w:rPr>
          <w:i/>
        </w:rPr>
        <w:t xml:space="preserve">… </w:t>
      </w:r>
      <w:r w:rsidRPr="00AA71D2">
        <w:rPr>
          <w:i/>
        </w:rPr>
        <w:t xml:space="preserve">they could provide some </w:t>
      </w:r>
      <w:proofErr w:type="gramStart"/>
      <w:r w:rsidRPr="00AA71D2">
        <w:rPr>
          <w:i/>
        </w:rPr>
        <w:t>really good</w:t>
      </w:r>
      <w:proofErr w:type="gramEnd"/>
      <w:r w:rsidRPr="00AA71D2">
        <w:rPr>
          <w:i/>
        </w:rPr>
        <w:t xml:space="preserve"> direction on where to move it and keep track on things that are happening internationally, things that are happening across States and Territories, help just bring it all together and actually continually optimise it and make sure that it's being reformed and strengthened</w:t>
      </w:r>
      <w:r>
        <w:rPr>
          <w:i/>
        </w:rPr>
        <w:t>.</w:t>
      </w:r>
      <w:r w:rsidRPr="009F3DAD">
        <w:rPr>
          <w:i/>
        </w:rPr>
        <w:t xml:space="preserve"> </w:t>
      </w:r>
    </w:p>
    <w:p w14:paraId="5D99FB6F" w14:textId="3315C966" w:rsidR="000A1784" w:rsidRPr="000A1784" w:rsidRDefault="000A1784" w:rsidP="000A1784">
      <w:pPr>
        <w:pStyle w:val="BodyText"/>
        <w:shd w:val="clear" w:color="auto" w:fill="D7EFF2" w:themeFill="accent3" w:themeFillTint="66"/>
      </w:pPr>
      <w:r w:rsidRPr="000A1784">
        <w:rPr>
          <w:b/>
          <w:bCs/>
        </w:rPr>
        <w:t xml:space="preserve">Finding </w:t>
      </w:r>
      <w:r w:rsidR="00101C24">
        <w:rPr>
          <w:b/>
          <w:bCs/>
        </w:rPr>
        <w:t>11</w:t>
      </w:r>
      <w:r w:rsidRPr="000A1784">
        <w:t xml:space="preserve">: The </w:t>
      </w:r>
      <w:r w:rsidR="002E1A07" w:rsidRPr="002E1A07">
        <w:t xml:space="preserve">Jobs Act </w:t>
      </w:r>
      <w:r w:rsidR="002E1A07" w:rsidRPr="008B5E6C">
        <w:t xml:space="preserve">has not been fully implemented. The establishment of an AIP </w:t>
      </w:r>
      <w:r w:rsidR="00D51C8A" w:rsidRPr="008B5E6C">
        <w:t>Authority and</w:t>
      </w:r>
      <w:r w:rsidR="002E1A07" w:rsidRPr="008B5E6C">
        <w:t xml:space="preserve"> Advisory Board as</w:t>
      </w:r>
      <w:r w:rsidR="002E1A07" w:rsidRPr="002E1A07">
        <w:t xml:space="preserve"> originally intended under the Jobs Act would result in a dedicated focus and profile on the challenges for Australian Industry Participation.   </w:t>
      </w:r>
      <w:r w:rsidRPr="000A1784">
        <w:tab/>
      </w:r>
    </w:p>
    <w:p w14:paraId="2ED45E99" w14:textId="302DDD36" w:rsidR="000A1784" w:rsidRDefault="000A1784" w:rsidP="000A1784">
      <w:pPr>
        <w:pStyle w:val="Caption"/>
        <w:rPr>
          <w:color w:val="005677" w:themeColor="background2"/>
        </w:rPr>
      </w:pPr>
      <w:r w:rsidRPr="008E12A7">
        <w:rPr>
          <w:color w:val="005677" w:themeColor="background2"/>
        </w:rPr>
        <w:t>Box 3.</w:t>
      </w:r>
      <w:r w:rsidR="00101C24" w:rsidRPr="008E12A7">
        <w:rPr>
          <w:color w:val="005677" w:themeColor="background2"/>
        </w:rPr>
        <w:t>1.</w:t>
      </w:r>
      <w:r w:rsidRPr="008E12A7">
        <w:rPr>
          <w:color w:val="005677" w:themeColor="background2"/>
        </w:rPr>
        <w:t xml:space="preserve">1 Recommendation </w:t>
      </w:r>
      <w:r w:rsidR="006C501F" w:rsidRPr="008E12A7">
        <w:rPr>
          <w:color w:val="005677" w:themeColor="background2"/>
        </w:rPr>
        <w:t>7</w:t>
      </w:r>
    </w:p>
    <w:p w14:paraId="02969AC3" w14:textId="7FBF90FF" w:rsidR="000C6F87" w:rsidRPr="00EB0673" w:rsidRDefault="000C6F87" w:rsidP="00EB0673">
      <w:pPr>
        <w:pStyle w:val="Placeholder"/>
        <w:shd w:val="clear" w:color="auto" w:fill="E9E9EA" w:themeFill="accent5" w:themeFillTint="33"/>
        <w:jc w:val="left"/>
      </w:pPr>
      <w:r w:rsidRPr="00EB0673">
        <w:rPr>
          <w:b/>
          <w:bCs/>
        </w:rPr>
        <w:t>Recommendation 7:</w:t>
      </w:r>
      <w:r w:rsidRPr="000C6F87">
        <w:t xml:space="preserve"> That DISR recommend that the Minister considers appointing an AIP Authority and AIP Advisory Board in accordance with the Australian Jobs Act 2013.</w:t>
      </w:r>
    </w:p>
    <w:p w14:paraId="2F7C4A94" w14:textId="77777777" w:rsidR="00A679AF" w:rsidRDefault="00A679AF" w:rsidP="00A679AF">
      <w:pPr>
        <w:pStyle w:val="Source"/>
        <w:rPr>
          <w:lang w:eastAsia="en-AU"/>
        </w:rPr>
      </w:pPr>
    </w:p>
    <w:p w14:paraId="03A326F2" w14:textId="37EF8671" w:rsidR="00224525" w:rsidRPr="00BA7ADC" w:rsidRDefault="00224525" w:rsidP="00BA7ADC">
      <w:pPr>
        <w:pStyle w:val="Heading3"/>
      </w:pPr>
      <w:r w:rsidRPr="00BA7ADC">
        <w:t>Delegation of powers</w:t>
      </w:r>
    </w:p>
    <w:p w14:paraId="3A14006F" w14:textId="1E35FF77" w:rsidR="000A1784" w:rsidRPr="00F374D4" w:rsidRDefault="000A1784" w:rsidP="000A1784">
      <w:pPr>
        <w:pStyle w:val="BodyText"/>
        <w:rPr>
          <w:rFonts w:ascii="Arial" w:hAnsi="Arial"/>
          <w:color w:val="auto"/>
          <w:lang w:eastAsia="en-AU"/>
        </w:rPr>
      </w:pPr>
      <w:r w:rsidRPr="00F374D4">
        <w:rPr>
          <w:color w:val="auto"/>
          <w:lang w:eastAsia="en-AU"/>
        </w:rPr>
        <w:t xml:space="preserve">Under the Jobs Act, certain </w:t>
      </w:r>
      <w:r w:rsidR="00F374D4">
        <w:rPr>
          <w:color w:val="auto"/>
          <w:lang w:eastAsia="en-AU"/>
        </w:rPr>
        <w:t>approvals and decision-making</w:t>
      </w:r>
      <w:r w:rsidRPr="00F374D4">
        <w:rPr>
          <w:color w:val="auto"/>
          <w:lang w:eastAsia="en-AU"/>
        </w:rPr>
        <w:t xml:space="preserve"> are required to be made by the AIP Authority. </w:t>
      </w:r>
      <w:r w:rsidR="00F374D4" w:rsidRPr="00F374D4">
        <w:rPr>
          <w:color w:val="auto"/>
          <w:lang w:eastAsia="en-AU"/>
        </w:rPr>
        <w:t>For example, the approval of AIP plans and agreeing to an extension for compliance report</w:t>
      </w:r>
      <w:r w:rsidR="00D51C8A">
        <w:rPr>
          <w:color w:val="auto"/>
          <w:lang w:eastAsia="en-AU"/>
        </w:rPr>
        <w:t>ing period</w:t>
      </w:r>
      <w:r w:rsidR="00F374D4" w:rsidRPr="00F374D4">
        <w:rPr>
          <w:color w:val="auto"/>
          <w:lang w:eastAsia="en-AU"/>
        </w:rPr>
        <w:t xml:space="preserve">s. </w:t>
      </w:r>
      <w:r w:rsidRPr="00F374D4">
        <w:rPr>
          <w:color w:val="auto"/>
          <w:lang w:eastAsia="en-AU"/>
        </w:rPr>
        <w:t xml:space="preserve"> </w:t>
      </w:r>
      <w:r w:rsidR="00F374D4" w:rsidRPr="00F374D4">
        <w:rPr>
          <w:color w:val="auto"/>
          <w:lang w:eastAsia="en-AU"/>
        </w:rPr>
        <w:t>DISR interviewees indicated that where</w:t>
      </w:r>
      <w:r w:rsidRPr="00F374D4">
        <w:rPr>
          <w:color w:val="auto"/>
          <w:lang w:eastAsia="en-AU"/>
        </w:rPr>
        <w:t xml:space="preserve"> decision-making powers are not legislated, some decisions </w:t>
      </w:r>
      <w:r w:rsidR="00F374D4" w:rsidRPr="00F374D4">
        <w:rPr>
          <w:color w:val="auto"/>
          <w:lang w:eastAsia="en-AU"/>
        </w:rPr>
        <w:t>are</w:t>
      </w:r>
      <w:r w:rsidRPr="00F374D4">
        <w:rPr>
          <w:color w:val="auto"/>
          <w:lang w:eastAsia="en-AU"/>
        </w:rPr>
        <w:t xml:space="preserve"> pragmatically delegated</w:t>
      </w:r>
      <w:r w:rsidR="00F374D4" w:rsidRPr="00F374D4">
        <w:rPr>
          <w:color w:val="auto"/>
          <w:lang w:eastAsia="en-AU"/>
        </w:rPr>
        <w:t>,</w:t>
      </w:r>
      <w:r w:rsidRPr="00F374D4">
        <w:rPr>
          <w:color w:val="auto"/>
          <w:lang w:eastAsia="en-AU"/>
        </w:rPr>
        <w:t xml:space="preserve"> </w:t>
      </w:r>
      <w:proofErr w:type="gramStart"/>
      <w:r w:rsidRPr="00F374D4">
        <w:rPr>
          <w:color w:val="auto"/>
          <w:lang w:eastAsia="en-AU"/>
        </w:rPr>
        <w:t>taking into account</w:t>
      </w:r>
      <w:proofErr w:type="gramEnd"/>
      <w:r w:rsidRPr="00F374D4">
        <w:rPr>
          <w:color w:val="auto"/>
          <w:lang w:eastAsia="en-AU"/>
        </w:rPr>
        <w:t xml:space="preserve"> the level of risk. This has been articulated in the </w:t>
      </w:r>
      <w:r w:rsidR="003C65B2">
        <w:rPr>
          <w:color w:val="auto"/>
          <w:lang w:eastAsia="en-AU"/>
        </w:rPr>
        <w:t xml:space="preserve">Jobs Act </w:t>
      </w:r>
      <w:r w:rsidR="000C6F87">
        <w:rPr>
          <w:color w:val="auto"/>
          <w:lang w:eastAsia="en-AU"/>
        </w:rPr>
        <w:t>s</w:t>
      </w:r>
      <w:r w:rsidRPr="00F374D4">
        <w:rPr>
          <w:color w:val="auto"/>
          <w:lang w:eastAsia="en-AU"/>
        </w:rPr>
        <w:t xml:space="preserve">tandard </w:t>
      </w:r>
      <w:r w:rsidR="000C6F87">
        <w:rPr>
          <w:color w:val="auto"/>
          <w:lang w:eastAsia="en-AU"/>
        </w:rPr>
        <w:t>o</w:t>
      </w:r>
      <w:r w:rsidRPr="00F374D4">
        <w:rPr>
          <w:color w:val="auto"/>
          <w:lang w:eastAsia="en-AU"/>
        </w:rPr>
        <w:t xml:space="preserve">perating </w:t>
      </w:r>
      <w:r w:rsidR="000C6F87">
        <w:rPr>
          <w:color w:val="auto"/>
          <w:lang w:eastAsia="en-AU"/>
        </w:rPr>
        <w:t>p</w:t>
      </w:r>
      <w:r w:rsidRPr="00F374D4">
        <w:rPr>
          <w:color w:val="auto"/>
          <w:lang w:eastAsia="en-AU"/>
        </w:rPr>
        <w:t>rocedures (SOPs).</w:t>
      </w:r>
    </w:p>
    <w:p w14:paraId="613DB220" w14:textId="0B8DFF0B" w:rsidR="000A1784" w:rsidRPr="00F374D4" w:rsidRDefault="000A1784" w:rsidP="000A1784">
      <w:pPr>
        <w:pStyle w:val="BodyText"/>
        <w:rPr>
          <w:color w:val="auto"/>
          <w:lang w:eastAsia="en-AU"/>
        </w:rPr>
      </w:pPr>
      <w:r w:rsidRPr="00F374D4">
        <w:rPr>
          <w:color w:val="auto"/>
          <w:lang w:eastAsia="en-AU"/>
        </w:rPr>
        <w:t xml:space="preserve">For Commonwealth AIP requirements, the SOPs guidance on decision-making powers is distributed throughout the document, according to the type of Commonwealth </w:t>
      </w:r>
      <w:r w:rsidR="003C65B2">
        <w:rPr>
          <w:color w:val="auto"/>
          <w:lang w:eastAsia="en-AU"/>
        </w:rPr>
        <w:t>funding or investment</w:t>
      </w:r>
      <w:r w:rsidRPr="00F374D4">
        <w:rPr>
          <w:color w:val="auto"/>
          <w:lang w:eastAsia="en-AU"/>
        </w:rPr>
        <w:t xml:space="preserve">. There would be value in </w:t>
      </w:r>
      <w:r w:rsidR="00F374D4" w:rsidRPr="00F374D4">
        <w:rPr>
          <w:color w:val="auto"/>
          <w:lang w:eastAsia="en-AU"/>
        </w:rPr>
        <w:t xml:space="preserve">clearer guidance for delegations regarding Commonwealth AIP requirements and </w:t>
      </w:r>
      <w:r w:rsidRPr="00F374D4">
        <w:rPr>
          <w:color w:val="auto"/>
          <w:lang w:eastAsia="en-AU"/>
        </w:rPr>
        <w:t>centralising information about decision-making powers.</w:t>
      </w:r>
    </w:p>
    <w:p w14:paraId="5DBBE113" w14:textId="45918AE8" w:rsidR="00450218" w:rsidRPr="00BA7ADC" w:rsidRDefault="00450218" w:rsidP="00BA7ADC">
      <w:pPr>
        <w:pStyle w:val="BodyText"/>
        <w:shd w:val="clear" w:color="auto" w:fill="D7EFF2" w:themeFill="accent3" w:themeFillTint="66"/>
      </w:pPr>
      <w:r w:rsidRPr="000A1784">
        <w:rPr>
          <w:b/>
          <w:bCs/>
        </w:rPr>
        <w:t xml:space="preserve">Finding </w:t>
      </w:r>
      <w:r w:rsidR="00101C24">
        <w:rPr>
          <w:b/>
          <w:bCs/>
        </w:rPr>
        <w:t>12</w:t>
      </w:r>
      <w:r w:rsidRPr="000A1784">
        <w:rPr>
          <w:b/>
          <w:bCs/>
        </w:rPr>
        <w:t>:</w:t>
      </w:r>
      <w:r w:rsidRPr="000A1784">
        <w:t xml:space="preserve"> AIP approval and decision-making powers under the Jobs Act are appropriately delegated to staff supporting the AIP Authority. There would be value in clearer guidance for delegations regarding Commonwealth AIP requirements.</w:t>
      </w:r>
    </w:p>
    <w:p w14:paraId="4B3EE274" w14:textId="1C899BC5" w:rsidR="00450218" w:rsidRDefault="00450218" w:rsidP="00450218">
      <w:pPr>
        <w:pStyle w:val="Caption"/>
        <w:rPr>
          <w:color w:val="005677" w:themeColor="background2"/>
        </w:rPr>
      </w:pPr>
      <w:r w:rsidRPr="008E12A7">
        <w:rPr>
          <w:color w:val="005677" w:themeColor="background2"/>
        </w:rPr>
        <w:t>Box 3.1</w:t>
      </w:r>
      <w:r w:rsidR="00101C24" w:rsidRPr="008E12A7">
        <w:rPr>
          <w:color w:val="005677" w:themeColor="background2"/>
        </w:rPr>
        <w:t>.2</w:t>
      </w:r>
      <w:r w:rsidRPr="008E12A7">
        <w:rPr>
          <w:color w:val="005677" w:themeColor="background2"/>
        </w:rPr>
        <w:t xml:space="preserve"> Recommendation </w:t>
      </w:r>
      <w:r w:rsidR="006C501F" w:rsidRPr="008E12A7">
        <w:rPr>
          <w:color w:val="005677" w:themeColor="background2"/>
        </w:rPr>
        <w:t>8</w:t>
      </w:r>
    </w:p>
    <w:p w14:paraId="6ABDB68B" w14:textId="3F11BF92" w:rsidR="000C6F87" w:rsidRPr="00EB0673" w:rsidRDefault="000C6F87" w:rsidP="00EB0673">
      <w:pPr>
        <w:pStyle w:val="Placeholder"/>
        <w:shd w:val="clear" w:color="auto" w:fill="E9E9EA" w:themeFill="accent5" w:themeFillTint="33"/>
        <w:jc w:val="left"/>
      </w:pPr>
      <w:r w:rsidRPr="00EB0673">
        <w:rPr>
          <w:b/>
          <w:bCs/>
          <w:shd w:val="clear" w:color="auto" w:fill="E9E9EA" w:themeFill="accent5" w:themeFillTint="33"/>
        </w:rPr>
        <w:t>Recommendation 8:</w:t>
      </w:r>
      <w:r w:rsidRPr="00EB0673">
        <w:rPr>
          <w:shd w:val="clear" w:color="auto" w:fill="E9E9EA" w:themeFill="accent5" w:themeFillTint="33"/>
        </w:rPr>
        <w:t xml:space="preserve"> That DISR centralise guidance for delegations regarding Commonwealth AIP requirements</w:t>
      </w:r>
      <w:r w:rsidRPr="000C6F87">
        <w:t>.</w:t>
      </w:r>
    </w:p>
    <w:p w14:paraId="2DB8C8F5" w14:textId="77777777" w:rsidR="00450218" w:rsidRDefault="00450218" w:rsidP="00450218">
      <w:pPr>
        <w:pStyle w:val="Source"/>
        <w:rPr>
          <w:lang w:eastAsia="en-AU"/>
        </w:rPr>
      </w:pPr>
    </w:p>
    <w:p w14:paraId="3F743349" w14:textId="171567FF" w:rsidR="008F5ED6" w:rsidRDefault="00DF0CB5" w:rsidP="00C0682A">
      <w:pPr>
        <w:pStyle w:val="Heading2"/>
      </w:pPr>
      <w:bookmarkStart w:id="66" w:name="_Toc174018029"/>
      <w:bookmarkStart w:id="67" w:name="_Toc131574546"/>
      <w:r>
        <w:lastRenderedPageBreak/>
        <w:t xml:space="preserve">Compliance and </w:t>
      </w:r>
      <w:r w:rsidR="00BA395B">
        <w:t>Governance</w:t>
      </w:r>
      <w:bookmarkEnd w:id="66"/>
      <w:r w:rsidR="008F5ED6" w:rsidRPr="008F5ED6">
        <w:t xml:space="preserve"> </w:t>
      </w:r>
      <w:bookmarkEnd w:id="67"/>
    </w:p>
    <w:p w14:paraId="3FFAF0E8" w14:textId="77777777" w:rsidR="00DF0CB5" w:rsidRDefault="00DF0CB5" w:rsidP="00DF0CB5">
      <w:pPr>
        <w:pStyle w:val="Heading3"/>
        <w:rPr>
          <w:lang w:eastAsia="en-AU"/>
        </w:rPr>
      </w:pPr>
      <w:r>
        <w:rPr>
          <w:lang w:eastAsia="en-AU"/>
        </w:rPr>
        <w:t xml:space="preserve">Compliance </w:t>
      </w:r>
      <w:r w:rsidRPr="00DF0CB5">
        <w:t>powers under the Jobs Act</w:t>
      </w:r>
    </w:p>
    <w:p w14:paraId="18F8C5BB" w14:textId="581122A5" w:rsidR="00DF0CB5" w:rsidRPr="00F50CDB" w:rsidRDefault="00DF0CB5" w:rsidP="00DF0CB5">
      <w:pPr>
        <w:pStyle w:val="BodyText"/>
        <w:rPr>
          <w:color w:val="auto"/>
          <w:lang w:eastAsia="en-AU"/>
        </w:rPr>
      </w:pPr>
      <w:r w:rsidRPr="003A2A2F">
        <w:rPr>
          <w:color w:val="auto"/>
          <w:lang w:eastAsia="en-AU"/>
        </w:rPr>
        <w:t xml:space="preserve">The </w:t>
      </w:r>
      <w:r w:rsidR="0089330F" w:rsidRPr="0089330F">
        <w:rPr>
          <w:i/>
          <w:iCs/>
          <w:color w:val="auto"/>
          <w:lang w:eastAsia="en-AU"/>
        </w:rPr>
        <w:t>Australian</w:t>
      </w:r>
      <w:r w:rsidRPr="0089330F">
        <w:rPr>
          <w:i/>
          <w:color w:val="auto"/>
          <w:lang w:eastAsia="en-AU"/>
        </w:rPr>
        <w:t xml:space="preserve"> Jobs Act</w:t>
      </w:r>
      <w:r w:rsidRPr="003A2A2F">
        <w:rPr>
          <w:color w:val="auto"/>
          <w:lang w:eastAsia="en-AU"/>
        </w:rPr>
        <w:t xml:space="preserve"> 2013 legislates powers for the AIP Authority to monitor and ensure compliance with AIP requirements.</w:t>
      </w:r>
      <w:r>
        <w:rPr>
          <w:color w:val="auto"/>
          <w:lang w:eastAsia="en-AU"/>
        </w:rPr>
        <w:t xml:space="preserve"> This legislative approach was taken due </w:t>
      </w:r>
      <w:r w:rsidR="00A01025">
        <w:rPr>
          <w:color w:val="auto"/>
          <w:lang w:eastAsia="en-AU"/>
        </w:rPr>
        <w:t xml:space="preserve">to </w:t>
      </w:r>
      <w:proofErr w:type="gramStart"/>
      <w:r>
        <w:rPr>
          <w:color w:val="auto"/>
          <w:lang w:eastAsia="en-AU"/>
        </w:rPr>
        <w:t>a number of</w:t>
      </w:r>
      <w:proofErr w:type="gramEnd"/>
      <w:r>
        <w:rPr>
          <w:color w:val="auto"/>
          <w:lang w:eastAsia="en-AU"/>
        </w:rPr>
        <w:t xml:space="preserve"> reasons, including ‘a </w:t>
      </w:r>
      <w:r w:rsidRPr="00723DB4">
        <w:rPr>
          <w:color w:val="auto"/>
          <w:lang w:eastAsia="en-AU"/>
        </w:rPr>
        <w:t xml:space="preserve">history of systematic non-compliance with industry-led or softer regulatory </w:t>
      </w:r>
      <w:r w:rsidR="0011663C" w:rsidRPr="00723DB4">
        <w:rPr>
          <w:color w:val="auto"/>
          <w:lang w:eastAsia="en-AU"/>
        </w:rPr>
        <w:t>approaches</w:t>
      </w:r>
      <w:r>
        <w:rPr>
          <w:color w:val="auto"/>
          <w:lang w:eastAsia="en-AU"/>
        </w:rPr>
        <w:t xml:space="preserve"> and existing industry bodies either lacking comprehensive industry coverage or lacking commitment to the need to change industry practices</w:t>
      </w:r>
      <w:r>
        <w:rPr>
          <w:rStyle w:val="FootnoteReference"/>
          <w:color w:val="auto"/>
          <w:lang w:eastAsia="en-AU"/>
        </w:rPr>
        <w:footnoteReference w:id="17"/>
      </w:r>
      <w:r>
        <w:rPr>
          <w:color w:val="auto"/>
          <w:lang w:eastAsia="en-AU"/>
        </w:rPr>
        <w:t>.</w:t>
      </w:r>
    </w:p>
    <w:p w14:paraId="1AC65B6C" w14:textId="77777777" w:rsidR="00DF0CB5" w:rsidRDefault="00DF0CB5" w:rsidP="00DF0CB5">
      <w:pPr>
        <w:pStyle w:val="BodyText"/>
        <w:rPr>
          <w:color w:val="auto"/>
          <w:lang w:eastAsia="en-AU"/>
        </w:rPr>
      </w:pPr>
      <w:r w:rsidRPr="00FA7F80">
        <w:rPr>
          <w:color w:val="auto"/>
          <w:lang w:eastAsia="en-AU"/>
        </w:rPr>
        <w:t>DISR interviewees indicated that</w:t>
      </w:r>
      <w:r>
        <w:rPr>
          <w:color w:val="auto"/>
          <w:lang w:eastAsia="en-AU"/>
        </w:rPr>
        <w:t xml:space="preserve"> the Jobs Act provides the AIP Authority with appropriate and sufficient compliance powers, such as the Authority’s power to apply for a court injunction against a project</w:t>
      </w:r>
      <w:r>
        <w:rPr>
          <w:rStyle w:val="FootnoteReference"/>
          <w:color w:val="auto"/>
          <w:lang w:eastAsia="en-AU"/>
        </w:rPr>
        <w:footnoteReference w:id="18"/>
      </w:r>
      <w:r>
        <w:rPr>
          <w:color w:val="auto"/>
          <w:lang w:eastAsia="en-AU"/>
        </w:rPr>
        <w:t xml:space="preserve">. </w:t>
      </w:r>
      <w:r w:rsidRPr="00FA7F80">
        <w:rPr>
          <w:color w:val="auto"/>
          <w:lang w:eastAsia="en-AU"/>
        </w:rPr>
        <w:t xml:space="preserve">DISR interviewees also noted, </w:t>
      </w:r>
      <w:bookmarkStart w:id="68" w:name="_Hlk130899856"/>
      <w:r w:rsidRPr="00FA7F80">
        <w:rPr>
          <w:color w:val="auto"/>
          <w:lang w:eastAsia="en-AU"/>
        </w:rPr>
        <w:t xml:space="preserve">however, that these powers have not been used to date. </w:t>
      </w:r>
    </w:p>
    <w:p w14:paraId="46ADF276" w14:textId="0F95AB6F" w:rsidR="00DF0CB5" w:rsidRPr="00F9549A" w:rsidRDefault="00DF0CB5" w:rsidP="008E12A7">
      <w:pPr>
        <w:pStyle w:val="BodyText"/>
        <w:ind w:left="720" w:right="946"/>
        <w:jc w:val="left"/>
      </w:pPr>
      <w:bookmarkStart w:id="69" w:name="_Hlk132022545"/>
      <w:r w:rsidRPr="00FA7F80">
        <w:rPr>
          <w:i/>
        </w:rPr>
        <w:t>I don’t think there’s been any issues that have arisen that we haven't been able to address either informally or formally through the Jobs Act</w:t>
      </w:r>
      <w:r>
        <w:rPr>
          <w:i/>
        </w:rPr>
        <w:t>.</w:t>
      </w:r>
      <w:bookmarkEnd w:id="69"/>
    </w:p>
    <w:p w14:paraId="1A3B6380" w14:textId="160473D3" w:rsidR="00DF0CB5" w:rsidRDefault="00DF0CB5" w:rsidP="00DF0CB5">
      <w:pPr>
        <w:pStyle w:val="BodyText"/>
        <w:rPr>
          <w:color w:val="auto"/>
          <w:lang w:eastAsia="en-AU"/>
        </w:rPr>
      </w:pPr>
      <w:r>
        <w:rPr>
          <w:color w:val="auto"/>
          <w:lang w:eastAsia="en-AU"/>
        </w:rPr>
        <w:t xml:space="preserve">DISR interviewees also noted that the Authority’s compliance powers have a strong deterrent effect on non-compliance. </w:t>
      </w:r>
      <w:r w:rsidR="00794BB4">
        <w:rPr>
          <w:color w:val="auto"/>
          <w:lang w:eastAsia="en-AU"/>
        </w:rPr>
        <w:t>In</w:t>
      </w:r>
      <w:r w:rsidRPr="00FA7F80">
        <w:rPr>
          <w:color w:val="auto"/>
          <w:lang w:eastAsia="en-AU"/>
        </w:rPr>
        <w:t xml:space="preserve"> practice, issues have been able to be resolved before getting to the point where the AIP Authority needed to exercise the available powers.  </w:t>
      </w:r>
    </w:p>
    <w:bookmarkEnd w:id="68"/>
    <w:p w14:paraId="7364D5AD" w14:textId="77777777" w:rsidR="00DF0CB5" w:rsidRPr="00743FD7" w:rsidRDefault="00DF0CB5" w:rsidP="008E12A7">
      <w:pPr>
        <w:pStyle w:val="BodyText"/>
        <w:ind w:left="720" w:right="946"/>
        <w:rPr>
          <w:color w:val="1B9590" w:themeColor="accent1"/>
          <w:lang w:eastAsia="en-AU"/>
        </w:rPr>
      </w:pPr>
      <w:r>
        <w:rPr>
          <w:i/>
        </w:rPr>
        <w:t xml:space="preserve">[This] </w:t>
      </w:r>
      <w:r w:rsidRPr="007E2FE0">
        <w:rPr>
          <w:i/>
        </w:rPr>
        <w:t>probably points in the direction that they</w:t>
      </w:r>
      <w:r>
        <w:rPr>
          <w:i/>
        </w:rPr>
        <w:t xml:space="preserve"> [the AIP Authority’s compliance powers]</w:t>
      </w:r>
      <w:r w:rsidRPr="007E2FE0">
        <w:rPr>
          <w:i/>
        </w:rPr>
        <w:t xml:space="preserve"> are doing what they're meant to do, which is stopping the behaviour before it gets to that point</w:t>
      </w:r>
      <w:r>
        <w:rPr>
          <w:i/>
        </w:rPr>
        <w:t>.</w:t>
      </w:r>
    </w:p>
    <w:p w14:paraId="7E66462E" w14:textId="77777777" w:rsidR="00DF0CB5" w:rsidRPr="00637DAF" w:rsidRDefault="00DF0CB5" w:rsidP="00DF0CB5">
      <w:pPr>
        <w:pStyle w:val="BodyText"/>
        <w:rPr>
          <w:color w:val="auto"/>
          <w:lang w:eastAsia="en-AU"/>
        </w:rPr>
      </w:pPr>
      <w:r w:rsidRPr="00637DAF">
        <w:rPr>
          <w:color w:val="auto"/>
          <w:lang w:eastAsia="en-AU"/>
        </w:rPr>
        <w:t>However, proponent awareness of the AIP Authority’s compliance powers should also not be assumed. ICN interviewees noted that proponents often asked about the penalties during AIP training run by ICN.</w:t>
      </w:r>
    </w:p>
    <w:p w14:paraId="349F4820" w14:textId="43D55656" w:rsidR="00DF0CB5" w:rsidRPr="00E621DC" w:rsidRDefault="00DF0CB5" w:rsidP="00DF0CB5">
      <w:pPr>
        <w:pStyle w:val="BodyText"/>
        <w:shd w:val="clear" w:color="auto" w:fill="D7EFF2" w:themeFill="accent3" w:themeFillTint="66"/>
        <w:rPr>
          <w:u w:val="single"/>
          <w:lang w:eastAsia="en-AU"/>
        </w:rPr>
      </w:pPr>
      <w:r w:rsidRPr="00934133">
        <w:rPr>
          <w:b/>
          <w:bCs/>
          <w:lang w:eastAsia="en-AU"/>
        </w:rPr>
        <w:t>Finding 1</w:t>
      </w:r>
      <w:r w:rsidR="00BD4040">
        <w:rPr>
          <w:b/>
          <w:bCs/>
          <w:lang w:eastAsia="en-AU"/>
        </w:rPr>
        <w:t>3</w:t>
      </w:r>
      <w:r w:rsidRPr="00934133">
        <w:rPr>
          <w:b/>
          <w:bCs/>
          <w:lang w:eastAsia="en-AU"/>
        </w:rPr>
        <w:t>:</w:t>
      </w:r>
      <w:r>
        <w:rPr>
          <w:lang w:eastAsia="en-AU"/>
        </w:rPr>
        <w:t xml:space="preserve"> </w:t>
      </w:r>
      <w:bookmarkStart w:id="70" w:name="_Hlk131692937"/>
      <w:r>
        <w:rPr>
          <w:lang w:eastAsia="en-AU"/>
        </w:rPr>
        <w:t xml:space="preserve">The </w:t>
      </w:r>
      <w:r w:rsidRPr="00DF5661">
        <w:rPr>
          <w:lang w:eastAsia="en-AU"/>
        </w:rPr>
        <w:t>Jobs Act provides adequate compliance powers for the AIP Authority. These powers and penalties have not been used but may effectively deter non-compliance.</w:t>
      </w:r>
      <w:bookmarkEnd w:id="70"/>
      <w:r w:rsidRPr="00DF5661">
        <w:rPr>
          <w:lang w:eastAsia="en-AU"/>
        </w:rPr>
        <w:t xml:space="preserve">  </w:t>
      </w:r>
    </w:p>
    <w:p w14:paraId="4ADBACFA" w14:textId="77777777" w:rsidR="00DF0CB5" w:rsidRDefault="00DF0CB5" w:rsidP="00DF0CB5">
      <w:pPr>
        <w:pStyle w:val="Heading3"/>
      </w:pPr>
      <w:r>
        <w:t>Enforcement and non-compliance</w:t>
      </w:r>
    </w:p>
    <w:p w14:paraId="6887DF3D" w14:textId="2EBB1675" w:rsidR="00DF0CB5" w:rsidRDefault="00DF0CB5" w:rsidP="00DF0CB5">
      <w:pPr>
        <w:pStyle w:val="BodyText"/>
        <w:rPr>
          <w:color w:val="auto"/>
          <w:lang w:eastAsia="en-AU"/>
        </w:rPr>
      </w:pPr>
      <w:r w:rsidRPr="00451918">
        <w:rPr>
          <w:color w:val="auto"/>
          <w:lang w:eastAsia="en-AU"/>
        </w:rPr>
        <w:t xml:space="preserve">The evaluation found a perception amongst </w:t>
      </w:r>
      <w:r>
        <w:rPr>
          <w:color w:val="auto"/>
          <w:lang w:eastAsia="en-AU"/>
        </w:rPr>
        <w:t xml:space="preserve">some </w:t>
      </w:r>
      <w:r w:rsidRPr="00451918">
        <w:rPr>
          <w:color w:val="auto"/>
          <w:lang w:eastAsia="en-AU"/>
        </w:rPr>
        <w:t>suppliers that</w:t>
      </w:r>
      <w:r>
        <w:rPr>
          <w:color w:val="auto"/>
          <w:lang w:eastAsia="en-AU"/>
        </w:rPr>
        <w:t xml:space="preserve"> AIP requirements are not enforced and that there are no </w:t>
      </w:r>
      <w:r w:rsidRPr="00451918">
        <w:rPr>
          <w:color w:val="auto"/>
          <w:lang w:eastAsia="en-AU"/>
        </w:rPr>
        <w:t>consequences for non-compliance.</w:t>
      </w:r>
      <w:r>
        <w:rPr>
          <w:color w:val="auto"/>
          <w:lang w:eastAsia="en-AU"/>
        </w:rPr>
        <w:t xml:space="preserve"> While </w:t>
      </w:r>
      <w:proofErr w:type="gramStart"/>
      <w:r>
        <w:rPr>
          <w:color w:val="auto"/>
          <w:lang w:eastAsia="en-AU"/>
        </w:rPr>
        <w:t>a majority of</w:t>
      </w:r>
      <w:proofErr w:type="gramEnd"/>
      <w:r>
        <w:rPr>
          <w:color w:val="auto"/>
          <w:lang w:eastAsia="en-AU"/>
        </w:rPr>
        <w:t xml:space="preserve"> </w:t>
      </w:r>
      <w:r w:rsidRPr="00451918">
        <w:rPr>
          <w:color w:val="auto"/>
          <w:lang w:eastAsia="en-AU"/>
        </w:rPr>
        <w:t xml:space="preserve">supplier respondents </w:t>
      </w:r>
      <w:r>
        <w:rPr>
          <w:color w:val="auto"/>
          <w:lang w:eastAsia="en-AU"/>
        </w:rPr>
        <w:t>were not aware of proponent non-compliance with Jobs Act requirements, a</w:t>
      </w:r>
      <w:r w:rsidRPr="00451918">
        <w:rPr>
          <w:color w:val="auto"/>
          <w:lang w:eastAsia="en-AU"/>
        </w:rPr>
        <w:t xml:space="preserve">bout a third of supplier </w:t>
      </w:r>
      <w:r w:rsidRPr="006739C2">
        <w:rPr>
          <w:color w:val="auto"/>
          <w:lang w:eastAsia="en-AU"/>
        </w:rPr>
        <w:t>respondents (12 of 39) did indicate awareness of varying degrees of non-compliance by proponents. Examples</w:t>
      </w:r>
      <w:r>
        <w:rPr>
          <w:color w:val="auto"/>
          <w:lang w:eastAsia="en-AU"/>
        </w:rPr>
        <w:t xml:space="preserve"> included </w:t>
      </w:r>
      <w:r w:rsidRPr="00451918">
        <w:rPr>
          <w:color w:val="auto"/>
          <w:lang w:eastAsia="en-AU"/>
        </w:rPr>
        <w:t>proponents breaking down projects and using Australia registered subsidiaries of international companies</w:t>
      </w:r>
      <w:r>
        <w:rPr>
          <w:color w:val="auto"/>
          <w:lang w:eastAsia="en-AU"/>
        </w:rPr>
        <w:t xml:space="preserve">. Supplier responses </w:t>
      </w:r>
      <w:r w:rsidRPr="00451918">
        <w:rPr>
          <w:color w:val="auto"/>
          <w:lang w:eastAsia="en-AU"/>
        </w:rPr>
        <w:t xml:space="preserve">also </w:t>
      </w:r>
      <w:r>
        <w:rPr>
          <w:color w:val="auto"/>
          <w:lang w:eastAsia="en-AU"/>
        </w:rPr>
        <w:t xml:space="preserve">indicated a </w:t>
      </w:r>
      <w:r w:rsidRPr="00451918">
        <w:rPr>
          <w:color w:val="auto"/>
          <w:lang w:eastAsia="en-AU"/>
        </w:rPr>
        <w:t>perceived lack of consequences for non-compliance</w:t>
      </w:r>
      <w:r>
        <w:rPr>
          <w:color w:val="auto"/>
          <w:lang w:eastAsia="en-AU"/>
        </w:rPr>
        <w:t>.</w:t>
      </w:r>
    </w:p>
    <w:p w14:paraId="3F8C20FE" w14:textId="2841C568" w:rsidR="00DF0CB5" w:rsidRPr="0009785D" w:rsidRDefault="00DF0CB5" w:rsidP="00DF0CB5">
      <w:pPr>
        <w:pStyle w:val="BodyText"/>
        <w:rPr>
          <w:color w:val="auto"/>
          <w:lang w:eastAsia="en-AU"/>
        </w:rPr>
      </w:pPr>
      <w:r>
        <w:rPr>
          <w:color w:val="auto"/>
          <w:lang w:eastAsia="en-AU"/>
        </w:rPr>
        <w:t xml:space="preserve">ICN interviewees noted that the extent to which proponents adhere to AIP requirements is mixed. </w:t>
      </w:r>
      <w:r w:rsidRPr="0009785D">
        <w:rPr>
          <w:color w:val="auto"/>
          <w:lang w:eastAsia="en-AU"/>
        </w:rPr>
        <w:t xml:space="preserve">For example, ICN interviewees noted that some project proponents engage effectively with suppliers, while others (often smaller proponents) do not, and without apparent consequence. As a result, suppliers view the AIP framework as a </w:t>
      </w:r>
      <w:r w:rsidRPr="001318B9">
        <w:rPr>
          <w:color w:val="auto"/>
          <w:lang w:eastAsia="en-AU"/>
        </w:rPr>
        <w:t>bit ‘toothless’</w:t>
      </w:r>
      <w:r w:rsidR="00794BB4">
        <w:rPr>
          <w:color w:val="auto"/>
          <w:lang w:eastAsia="en-AU"/>
        </w:rPr>
        <w:t>, in the words of one ICN interviewee,</w:t>
      </w:r>
      <w:r w:rsidRPr="0009785D">
        <w:rPr>
          <w:color w:val="auto"/>
          <w:lang w:eastAsia="en-AU"/>
        </w:rPr>
        <w:t xml:space="preserve"> and would like to see AIP requirements enforced.</w:t>
      </w:r>
    </w:p>
    <w:p w14:paraId="7DDA9772" w14:textId="6BF3EA02" w:rsidR="00DF0CB5" w:rsidRDefault="00DF0CB5" w:rsidP="00DF0CB5">
      <w:pPr>
        <w:pStyle w:val="BodyText"/>
        <w:rPr>
          <w:color w:val="auto"/>
        </w:rPr>
      </w:pPr>
      <w:r w:rsidRPr="00873379">
        <w:rPr>
          <w:color w:val="auto"/>
          <w:lang w:eastAsia="en-AU"/>
        </w:rPr>
        <w:t xml:space="preserve">The survey results and interview data are consistent with the 2018 Jobs Act </w:t>
      </w:r>
      <w:r w:rsidR="00653680">
        <w:rPr>
          <w:color w:val="auto"/>
          <w:lang w:eastAsia="en-AU"/>
        </w:rPr>
        <w:t>R</w:t>
      </w:r>
      <w:r w:rsidRPr="00873379">
        <w:rPr>
          <w:color w:val="auto"/>
          <w:lang w:eastAsia="en-AU"/>
        </w:rPr>
        <w:t xml:space="preserve">eview, which identified that suppliers perceive non-compliance but do not see AIP Authority </w:t>
      </w:r>
      <w:r w:rsidR="00F72119" w:rsidRPr="00873379">
        <w:rPr>
          <w:color w:val="auto"/>
          <w:lang w:eastAsia="en-AU"/>
        </w:rPr>
        <w:t>investigating</w:t>
      </w:r>
      <w:r w:rsidR="00F72119">
        <w:rPr>
          <w:color w:val="auto"/>
          <w:lang w:eastAsia="en-AU"/>
        </w:rPr>
        <w:t xml:space="preserve"> it</w:t>
      </w:r>
      <w:r w:rsidRPr="00873379">
        <w:rPr>
          <w:color w:val="auto"/>
          <w:lang w:eastAsia="en-AU"/>
        </w:rPr>
        <w:t xml:space="preserve">. </w:t>
      </w:r>
      <w:r w:rsidRPr="00873379">
        <w:rPr>
          <w:color w:val="auto"/>
        </w:rPr>
        <w:t xml:space="preserve">In addition, most </w:t>
      </w:r>
      <w:r w:rsidRPr="00873379">
        <w:rPr>
          <w:color w:val="auto"/>
        </w:rPr>
        <w:lastRenderedPageBreak/>
        <w:t>stakeholders thought there was an absence of information and lack of transparency about AIP processes.</w:t>
      </w:r>
    </w:p>
    <w:p w14:paraId="45F0F530" w14:textId="2F481F5B" w:rsidR="00DF0CB5" w:rsidRDefault="00DF0CB5" w:rsidP="00DF0CB5">
      <w:pPr>
        <w:pStyle w:val="BodyText"/>
        <w:rPr>
          <w:color w:val="auto"/>
          <w:lang w:eastAsia="en-AU"/>
        </w:rPr>
      </w:pPr>
      <w:r w:rsidRPr="0009785D">
        <w:rPr>
          <w:color w:val="auto"/>
          <w:lang w:eastAsia="en-AU"/>
        </w:rPr>
        <w:t>The extent to which th</w:t>
      </w:r>
      <w:r>
        <w:rPr>
          <w:color w:val="auto"/>
          <w:lang w:eastAsia="en-AU"/>
        </w:rPr>
        <w:t xml:space="preserve">ese responses were </w:t>
      </w:r>
      <w:r w:rsidRPr="0009785D">
        <w:rPr>
          <w:color w:val="auto"/>
          <w:lang w:eastAsia="en-AU"/>
        </w:rPr>
        <w:t xml:space="preserve">due to actual non-compliance, or </w:t>
      </w:r>
      <w:r>
        <w:rPr>
          <w:color w:val="auto"/>
          <w:lang w:eastAsia="en-AU"/>
        </w:rPr>
        <w:t xml:space="preserve">a </w:t>
      </w:r>
      <w:r w:rsidRPr="0009785D">
        <w:rPr>
          <w:color w:val="auto"/>
          <w:lang w:eastAsia="en-AU"/>
        </w:rPr>
        <w:t>lack of supplier visibility of compliance activities</w:t>
      </w:r>
      <w:r w:rsidR="004D53AD">
        <w:rPr>
          <w:color w:val="auto"/>
          <w:lang w:eastAsia="en-AU"/>
        </w:rPr>
        <w:t>,</w:t>
      </w:r>
      <w:r w:rsidRPr="0009785D">
        <w:rPr>
          <w:color w:val="auto"/>
          <w:lang w:eastAsia="en-AU"/>
        </w:rPr>
        <w:t xml:space="preserve"> is unclear</w:t>
      </w:r>
      <w:r>
        <w:rPr>
          <w:color w:val="auto"/>
          <w:lang w:eastAsia="en-AU"/>
        </w:rPr>
        <w:t>. In either case,</w:t>
      </w:r>
      <w:r w:rsidR="00F72119">
        <w:rPr>
          <w:color w:val="auto"/>
          <w:lang w:eastAsia="en-AU"/>
        </w:rPr>
        <w:t xml:space="preserve"> there would be value in</w:t>
      </w:r>
      <w:r>
        <w:rPr>
          <w:color w:val="auto"/>
          <w:lang w:eastAsia="en-AU"/>
        </w:rPr>
        <w:t xml:space="preserve"> DISR </w:t>
      </w:r>
      <w:r w:rsidRPr="0009785D">
        <w:rPr>
          <w:color w:val="auto"/>
          <w:lang w:eastAsia="en-AU"/>
        </w:rPr>
        <w:t>increas</w:t>
      </w:r>
      <w:r>
        <w:rPr>
          <w:color w:val="auto"/>
          <w:lang w:eastAsia="en-AU"/>
        </w:rPr>
        <w:t>ing</w:t>
      </w:r>
      <w:r w:rsidRPr="0009785D">
        <w:rPr>
          <w:color w:val="auto"/>
          <w:lang w:eastAsia="en-AU"/>
        </w:rPr>
        <w:t xml:space="preserve"> transparency about compliance monitoring activities and actions to increase supplier visibility </w:t>
      </w:r>
      <w:r w:rsidR="00C4181C">
        <w:rPr>
          <w:color w:val="auto"/>
          <w:lang w:eastAsia="en-AU"/>
        </w:rPr>
        <w:t>of compliance</w:t>
      </w:r>
      <w:r w:rsidR="00F72119">
        <w:rPr>
          <w:color w:val="auto"/>
          <w:lang w:eastAsia="en-AU"/>
        </w:rPr>
        <w:t xml:space="preserve"> activities</w:t>
      </w:r>
      <w:r w:rsidR="00C4181C">
        <w:rPr>
          <w:color w:val="auto"/>
          <w:lang w:eastAsia="en-AU"/>
        </w:rPr>
        <w:t xml:space="preserve"> </w:t>
      </w:r>
      <w:r w:rsidRPr="0009785D">
        <w:rPr>
          <w:color w:val="auto"/>
          <w:lang w:eastAsia="en-AU"/>
        </w:rPr>
        <w:t>and confidence in AIP processes.</w:t>
      </w:r>
    </w:p>
    <w:p w14:paraId="47FB072E" w14:textId="294D8025" w:rsidR="00DF0CB5" w:rsidRPr="00873379" w:rsidRDefault="00DF0CB5" w:rsidP="00DF0CB5">
      <w:pPr>
        <w:pStyle w:val="BodyText"/>
        <w:rPr>
          <w:color w:val="auto"/>
          <w:lang w:eastAsia="en-AU"/>
        </w:rPr>
      </w:pPr>
      <w:r>
        <w:rPr>
          <w:color w:val="auto"/>
          <w:lang w:eastAsia="en-AU"/>
        </w:rPr>
        <w:t xml:space="preserve">The introduction of </w:t>
      </w:r>
      <w:r w:rsidR="00653680">
        <w:rPr>
          <w:color w:val="auto"/>
          <w:lang w:eastAsia="en-AU"/>
        </w:rPr>
        <w:t xml:space="preserve">an </w:t>
      </w:r>
      <w:r>
        <w:rPr>
          <w:color w:val="auto"/>
          <w:lang w:eastAsia="en-AU"/>
        </w:rPr>
        <w:t xml:space="preserve">audit function could be considered. </w:t>
      </w:r>
      <w:r w:rsidRPr="00E93DEA">
        <w:rPr>
          <w:color w:val="auto"/>
          <w:lang w:eastAsia="en-AU"/>
        </w:rPr>
        <w:t xml:space="preserve">ICN interviewees thought the AIP Authority would benefit from having an audit function, like the Victorian model. </w:t>
      </w:r>
      <w:r>
        <w:rPr>
          <w:color w:val="auto"/>
          <w:lang w:eastAsia="en-AU"/>
        </w:rPr>
        <w:t xml:space="preserve">A </w:t>
      </w:r>
      <w:r w:rsidRPr="00E93DEA">
        <w:rPr>
          <w:color w:val="auto"/>
          <w:lang w:eastAsia="en-AU"/>
        </w:rPr>
        <w:t>Defence interviewee</w:t>
      </w:r>
      <w:r>
        <w:rPr>
          <w:color w:val="auto"/>
          <w:lang w:eastAsia="en-AU"/>
        </w:rPr>
        <w:t xml:space="preserve"> also</w:t>
      </w:r>
      <w:r w:rsidRPr="00E93DEA">
        <w:rPr>
          <w:color w:val="auto"/>
          <w:lang w:eastAsia="en-AU"/>
        </w:rPr>
        <w:t xml:space="preserve"> commented that their Australian Industry Capability (AIC) audit function had been beneficial. </w:t>
      </w:r>
      <w:r>
        <w:rPr>
          <w:color w:val="auto"/>
          <w:lang w:eastAsia="en-AU"/>
        </w:rPr>
        <w:t>In the AIP Authority’s case,</w:t>
      </w:r>
      <w:r w:rsidRPr="00E93DEA">
        <w:rPr>
          <w:color w:val="auto"/>
          <w:lang w:eastAsia="en-AU"/>
        </w:rPr>
        <w:t xml:space="preserve"> Section 50 of the </w:t>
      </w:r>
      <w:r w:rsidR="0089330F" w:rsidRPr="0089330F">
        <w:rPr>
          <w:i/>
          <w:iCs/>
          <w:color w:val="auto"/>
          <w:lang w:eastAsia="en-AU"/>
        </w:rPr>
        <w:t xml:space="preserve">Australian </w:t>
      </w:r>
      <w:r w:rsidRPr="0089330F">
        <w:rPr>
          <w:i/>
          <w:color w:val="auto"/>
          <w:lang w:eastAsia="en-AU"/>
        </w:rPr>
        <w:t>Jobs Act</w:t>
      </w:r>
      <w:r w:rsidRPr="00E93DEA">
        <w:rPr>
          <w:color w:val="auto"/>
          <w:lang w:eastAsia="en-AU"/>
        </w:rPr>
        <w:t xml:space="preserve"> </w:t>
      </w:r>
      <w:r w:rsidRPr="001A6F20">
        <w:rPr>
          <w:i/>
          <w:iCs/>
          <w:color w:val="auto"/>
          <w:lang w:eastAsia="en-AU"/>
        </w:rPr>
        <w:t xml:space="preserve">2013 </w:t>
      </w:r>
      <w:r w:rsidR="00B52A1A">
        <w:rPr>
          <w:color w:val="auto"/>
          <w:lang w:eastAsia="en-AU"/>
        </w:rPr>
        <w:t xml:space="preserve">appears to give </w:t>
      </w:r>
      <w:r>
        <w:rPr>
          <w:color w:val="auto"/>
          <w:lang w:eastAsia="en-AU"/>
        </w:rPr>
        <w:t xml:space="preserve">it powers to </w:t>
      </w:r>
      <w:r w:rsidRPr="003B2F94">
        <w:rPr>
          <w:color w:val="auto"/>
          <w:lang w:eastAsia="en-AU"/>
        </w:rPr>
        <w:t>obtain information or documents</w:t>
      </w:r>
      <w:r>
        <w:rPr>
          <w:color w:val="auto"/>
          <w:lang w:eastAsia="en-AU"/>
        </w:rPr>
        <w:t xml:space="preserve"> relevant to the operation of the Act</w:t>
      </w:r>
      <w:r>
        <w:rPr>
          <w:rStyle w:val="FootnoteReference"/>
          <w:color w:val="auto"/>
          <w:lang w:eastAsia="en-AU"/>
        </w:rPr>
        <w:footnoteReference w:id="19"/>
      </w:r>
      <w:r w:rsidRPr="00E93DEA">
        <w:rPr>
          <w:color w:val="auto"/>
          <w:lang w:eastAsia="en-AU"/>
        </w:rPr>
        <w:t xml:space="preserve"> </w:t>
      </w:r>
      <w:r w:rsidR="008853FA">
        <w:rPr>
          <w:color w:val="auto"/>
          <w:lang w:eastAsia="en-AU"/>
        </w:rPr>
        <w:t xml:space="preserve">that </w:t>
      </w:r>
      <w:r>
        <w:rPr>
          <w:color w:val="auto"/>
          <w:lang w:eastAsia="en-AU"/>
        </w:rPr>
        <w:t>would</w:t>
      </w:r>
      <w:r w:rsidRPr="00E93DEA">
        <w:rPr>
          <w:color w:val="auto"/>
          <w:lang w:eastAsia="en-AU"/>
        </w:rPr>
        <w:t xml:space="preserve"> appear to provide scope for an audit function of compliance with AIP requirements.</w:t>
      </w:r>
      <w:r w:rsidR="00B52A1A">
        <w:rPr>
          <w:color w:val="auto"/>
          <w:lang w:eastAsia="en-AU"/>
        </w:rPr>
        <w:t xml:space="preserve"> However, formal legal advice would be required to confirm that the Act authorises an audit function.</w:t>
      </w:r>
    </w:p>
    <w:p w14:paraId="044F5A43" w14:textId="119BDA4E" w:rsidR="00DF0CB5" w:rsidRDefault="00DF0CB5" w:rsidP="00DF0CB5">
      <w:pPr>
        <w:pStyle w:val="BodyText"/>
        <w:shd w:val="clear" w:color="auto" w:fill="D7EFF2" w:themeFill="accent3" w:themeFillTint="66"/>
        <w:rPr>
          <w:lang w:eastAsia="en-AU"/>
        </w:rPr>
      </w:pPr>
      <w:r w:rsidRPr="00934133">
        <w:rPr>
          <w:b/>
          <w:bCs/>
          <w:lang w:eastAsia="en-AU"/>
        </w:rPr>
        <w:t>Finding 1</w:t>
      </w:r>
      <w:r w:rsidR="00BD4040">
        <w:rPr>
          <w:b/>
          <w:bCs/>
          <w:lang w:eastAsia="en-AU"/>
        </w:rPr>
        <w:t>4</w:t>
      </w:r>
      <w:r w:rsidRPr="00934133">
        <w:rPr>
          <w:lang w:eastAsia="en-AU"/>
        </w:rPr>
        <w:t>:</w:t>
      </w:r>
      <w:r>
        <w:rPr>
          <w:lang w:eastAsia="en-AU"/>
        </w:rPr>
        <w:t xml:space="preserve"> </w:t>
      </w:r>
      <w:bookmarkStart w:id="71" w:name="_Hlk131692959"/>
      <w:r w:rsidR="006C501F">
        <w:rPr>
          <w:lang w:eastAsia="en-AU"/>
        </w:rPr>
        <w:t xml:space="preserve">Some suppliers </w:t>
      </w:r>
      <w:r w:rsidRPr="00DF5661">
        <w:rPr>
          <w:lang w:eastAsia="en-AU"/>
        </w:rPr>
        <w:t xml:space="preserve">perceive that AIP requirements are not enforced and that there are no consequences for non-compliance. </w:t>
      </w:r>
      <w:bookmarkEnd w:id="71"/>
      <w:r w:rsidRPr="00DF5661">
        <w:rPr>
          <w:lang w:eastAsia="en-AU"/>
        </w:rPr>
        <w:t>The extent to which this is due to actual non-compliance or lack of supplier visibility of compliance activities is unclear, but both factors are likely important.</w:t>
      </w:r>
    </w:p>
    <w:p w14:paraId="73467B0D" w14:textId="6F5B44E1" w:rsidR="00DF0CB5" w:rsidRDefault="00DF0CB5" w:rsidP="00DF0CB5">
      <w:pPr>
        <w:pStyle w:val="Caption"/>
        <w:rPr>
          <w:color w:val="005677" w:themeColor="background2"/>
        </w:rPr>
      </w:pPr>
      <w:r w:rsidRPr="008E12A7">
        <w:rPr>
          <w:color w:val="005677" w:themeColor="background2"/>
        </w:rPr>
        <w:t>Box 3.</w:t>
      </w:r>
      <w:r w:rsidR="00BD4040" w:rsidRPr="008E12A7">
        <w:rPr>
          <w:color w:val="005677" w:themeColor="background2"/>
        </w:rPr>
        <w:t>2.1</w:t>
      </w:r>
      <w:r w:rsidRPr="008E12A7">
        <w:rPr>
          <w:color w:val="005677" w:themeColor="background2"/>
        </w:rPr>
        <w:t xml:space="preserve"> Recommendation </w:t>
      </w:r>
      <w:r w:rsidR="00336287" w:rsidRPr="008E12A7">
        <w:rPr>
          <w:color w:val="005677" w:themeColor="background2"/>
        </w:rPr>
        <w:t>9</w:t>
      </w:r>
    </w:p>
    <w:p w14:paraId="358219AF" w14:textId="77777777" w:rsidR="000C6F87" w:rsidRDefault="000C6F87" w:rsidP="00EB0673">
      <w:pPr>
        <w:pStyle w:val="Placeholder"/>
        <w:shd w:val="clear" w:color="auto" w:fill="E9E9EA" w:themeFill="accent5" w:themeFillTint="33"/>
        <w:jc w:val="left"/>
      </w:pPr>
      <w:r w:rsidRPr="00EB0673">
        <w:rPr>
          <w:b/>
          <w:bCs/>
        </w:rPr>
        <w:t>Recommendation 9:</w:t>
      </w:r>
      <w:r>
        <w:t xml:space="preserve"> That DISR increase transparency about compliance monitoring activities and actions to increase supplier visibility and confidence in AIP processes. This could include publishing examples of compliance monitoring activities, examples of good practice compliance, and sharing compliance related data.</w:t>
      </w:r>
    </w:p>
    <w:p w14:paraId="652D0074" w14:textId="5B2022B8" w:rsidR="000C6F87" w:rsidRPr="00EB0673" w:rsidRDefault="000C6F87" w:rsidP="00EB0673">
      <w:pPr>
        <w:pStyle w:val="Placeholder"/>
        <w:shd w:val="clear" w:color="auto" w:fill="E9E9EA" w:themeFill="accent5" w:themeFillTint="33"/>
        <w:jc w:val="left"/>
      </w:pPr>
      <w:r>
        <w:t>That DISR consider introducing an audit function and provide stakeholders with the opportunity to report suspected non-compliance.</w:t>
      </w:r>
    </w:p>
    <w:p w14:paraId="37BD9922" w14:textId="77777777" w:rsidR="00A679AF" w:rsidRDefault="00A679AF" w:rsidP="00A679AF">
      <w:pPr>
        <w:pStyle w:val="Source"/>
        <w:rPr>
          <w:lang w:eastAsia="en-AU"/>
        </w:rPr>
      </w:pPr>
      <w:bookmarkStart w:id="72" w:name="_Toc127440386"/>
      <w:bookmarkStart w:id="73" w:name="_Toc131574547"/>
    </w:p>
    <w:p w14:paraId="172FC823" w14:textId="246AEC49" w:rsidR="00CD75A7" w:rsidRDefault="00CD75A7" w:rsidP="00CD75A7">
      <w:pPr>
        <w:pStyle w:val="Heading3"/>
      </w:pPr>
      <w:r>
        <w:t>Cost</w:t>
      </w:r>
      <w:r w:rsidR="0036344F">
        <w:t xml:space="preserve"> for </w:t>
      </w:r>
      <w:r w:rsidR="000C6F87">
        <w:t>p</w:t>
      </w:r>
      <w:r w:rsidR="0036344F">
        <w:t>roponents</w:t>
      </w:r>
      <w:r>
        <w:t xml:space="preserve"> </w:t>
      </w:r>
      <w:r w:rsidR="0036344F">
        <w:t>to</w:t>
      </w:r>
      <w:r>
        <w:t xml:space="preserve"> implement AIP </w:t>
      </w:r>
      <w:proofErr w:type="gramStart"/>
      <w:r>
        <w:t>requirements</w:t>
      </w:r>
      <w:proofErr w:type="gramEnd"/>
    </w:p>
    <w:p w14:paraId="6B847391" w14:textId="470D5A57" w:rsidR="00C5125A" w:rsidRDefault="00CD75A7" w:rsidP="00CD75A7">
      <w:pPr>
        <w:pStyle w:val="BodyText"/>
        <w:rPr>
          <w:color w:val="auto"/>
        </w:rPr>
      </w:pPr>
      <w:r w:rsidRPr="000F39BB">
        <w:rPr>
          <w:color w:val="auto"/>
        </w:rPr>
        <w:t xml:space="preserve">AIP requirements inevitably place a cost on proponents to </w:t>
      </w:r>
      <w:r w:rsidR="000C7A4E" w:rsidRPr="000F39BB">
        <w:rPr>
          <w:color w:val="auto"/>
        </w:rPr>
        <w:t>develop</w:t>
      </w:r>
      <w:r w:rsidR="000C7A4E">
        <w:rPr>
          <w:color w:val="auto"/>
        </w:rPr>
        <w:t>,</w:t>
      </w:r>
      <w:r w:rsidRPr="000F39BB">
        <w:rPr>
          <w:color w:val="auto"/>
        </w:rPr>
        <w:t xml:space="preserve"> implement</w:t>
      </w:r>
      <w:r w:rsidR="00A36543">
        <w:rPr>
          <w:color w:val="auto"/>
        </w:rPr>
        <w:t xml:space="preserve"> and report on</w:t>
      </w:r>
      <w:r w:rsidRPr="000F39BB">
        <w:rPr>
          <w:color w:val="auto"/>
        </w:rPr>
        <w:t xml:space="preserve"> AIP plans. </w:t>
      </w:r>
      <w:r w:rsidR="00C55559">
        <w:rPr>
          <w:color w:val="auto"/>
        </w:rPr>
        <w:t>For example, t</w:t>
      </w:r>
      <w:r w:rsidR="00C5125A">
        <w:rPr>
          <w:color w:val="auto"/>
        </w:rPr>
        <w:t xml:space="preserve">he internal </w:t>
      </w:r>
      <w:r w:rsidR="00C5125A" w:rsidRPr="00C5125A">
        <w:rPr>
          <w:color w:val="auto"/>
        </w:rPr>
        <w:t>DISR Procurement Connected Policy (PCP) review, which collected responses from 9 proponents who had AIP plans in place between July 2016 to June 2021, noted that proponents reported that the preparation of AIP plans required the investment of significant effort. The PCP review also noted the burden of AIP on businesses organisations will vary depending on the scale and complexity of their organisation and the project.</w:t>
      </w:r>
    </w:p>
    <w:p w14:paraId="0065F9AE" w14:textId="1CC7B508" w:rsidR="002949B9" w:rsidRPr="00B54F6E" w:rsidRDefault="00C55559" w:rsidP="00CD75A7">
      <w:pPr>
        <w:pStyle w:val="BodyText"/>
        <w:rPr>
          <w:color w:val="1B9590" w:themeColor="accent1"/>
          <w:lang w:eastAsia="en-AU"/>
        </w:rPr>
      </w:pPr>
      <w:r>
        <w:rPr>
          <w:color w:val="auto"/>
        </w:rPr>
        <w:t xml:space="preserve">As part of this evaluation, </w:t>
      </w:r>
      <w:r w:rsidR="00CD75A7" w:rsidRPr="000F39BB">
        <w:rPr>
          <w:color w:val="auto"/>
        </w:rPr>
        <w:t>DISR</w:t>
      </w:r>
      <w:r w:rsidR="00CD75A7">
        <w:rPr>
          <w:color w:val="auto"/>
        </w:rPr>
        <w:t xml:space="preserve"> interviewees expected the main cost would be the time to develop the AIP plan. However, proponent survey responses indicate that more time is needed to implement rather than develop AIP plans.</w:t>
      </w:r>
      <w:r w:rsidR="00CD75A7" w:rsidRPr="000F39BB">
        <w:rPr>
          <w:color w:val="auto"/>
        </w:rPr>
        <w:t xml:space="preserve"> </w:t>
      </w:r>
      <w:r w:rsidR="00CD75A7">
        <w:rPr>
          <w:color w:val="auto"/>
        </w:rPr>
        <w:t>But</w:t>
      </w:r>
      <w:r w:rsidR="002949B9">
        <w:rPr>
          <w:color w:val="auto"/>
        </w:rPr>
        <w:t xml:space="preserve"> it is unclear to what </w:t>
      </w:r>
      <w:r w:rsidR="00CD75A7" w:rsidRPr="00D67BA8">
        <w:rPr>
          <w:color w:val="auto"/>
        </w:rPr>
        <w:t>extent this cost is an additional burden over and above ‘good’ business practice</w:t>
      </w:r>
      <w:r w:rsidR="002949B9">
        <w:rPr>
          <w:color w:val="auto"/>
        </w:rPr>
        <w:t>, such as in a business regularly investigating supplier capabilities to maximise value for money and cultivate competition in their supply chains.</w:t>
      </w:r>
      <w:r w:rsidR="002949B9" w:rsidRPr="002949B9">
        <w:rPr>
          <w:i/>
        </w:rPr>
        <w:t xml:space="preserve"> </w:t>
      </w:r>
    </w:p>
    <w:p w14:paraId="5020DF69" w14:textId="61869BF5" w:rsidR="00CD75A7" w:rsidRPr="00B54F6E" w:rsidRDefault="00CD75A7" w:rsidP="00CD75A7">
      <w:pPr>
        <w:pStyle w:val="BodyText"/>
        <w:rPr>
          <w:color w:val="1B9590" w:themeColor="accent1"/>
        </w:rPr>
      </w:pPr>
      <w:r w:rsidRPr="00E0077D">
        <w:rPr>
          <w:color w:val="auto"/>
        </w:rPr>
        <w:t>For</w:t>
      </w:r>
      <w:r>
        <w:rPr>
          <w:color w:val="auto"/>
        </w:rPr>
        <w:t xml:space="preserve"> project proponents, the median average staff time to develop and submit an </w:t>
      </w:r>
      <w:r w:rsidRPr="00E0077D">
        <w:rPr>
          <w:color w:val="auto"/>
        </w:rPr>
        <w:t xml:space="preserve">AIP plan was 61-80 hours and, from start to finish, the median average length of time taken to develop and submit an AIP plan </w:t>
      </w:r>
      <w:r>
        <w:rPr>
          <w:color w:val="auto"/>
        </w:rPr>
        <w:t>was four to five</w:t>
      </w:r>
      <w:r w:rsidRPr="00E0077D">
        <w:rPr>
          <w:color w:val="auto"/>
        </w:rPr>
        <w:t xml:space="preserve"> weeks. Finally, the median average total staff time per annum spent on implementing an AIP plan</w:t>
      </w:r>
      <w:r w:rsidR="00535481">
        <w:rPr>
          <w:color w:val="auto"/>
        </w:rPr>
        <w:t xml:space="preserve"> including undertaking compliance reporting activities</w:t>
      </w:r>
      <w:r w:rsidRPr="00E0077D">
        <w:rPr>
          <w:color w:val="auto"/>
        </w:rPr>
        <w:t xml:space="preserve"> was </w:t>
      </w:r>
      <w:r>
        <w:rPr>
          <w:color w:val="auto"/>
        </w:rPr>
        <w:t>g</w:t>
      </w:r>
      <w:r w:rsidRPr="00E0077D">
        <w:rPr>
          <w:color w:val="auto"/>
        </w:rPr>
        <w:t xml:space="preserve">reater than 80 hours. </w:t>
      </w:r>
      <w:bookmarkStart w:id="74" w:name="_Hlk132698736"/>
      <w:r w:rsidR="002805D3">
        <w:rPr>
          <w:color w:val="auto"/>
        </w:rPr>
        <w:t>However, based off these results, t</w:t>
      </w:r>
      <w:r w:rsidRPr="00E0077D">
        <w:rPr>
          <w:color w:val="auto"/>
        </w:rPr>
        <w:t xml:space="preserve">he AIP survey </w:t>
      </w:r>
      <w:r w:rsidR="002805D3">
        <w:rPr>
          <w:color w:val="auto"/>
        </w:rPr>
        <w:t xml:space="preserve">design </w:t>
      </w:r>
      <w:r w:rsidR="007F54DE">
        <w:rPr>
          <w:color w:val="auto"/>
        </w:rPr>
        <w:t>did</w:t>
      </w:r>
      <w:r w:rsidRPr="00E0077D">
        <w:rPr>
          <w:color w:val="auto"/>
        </w:rPr>
        <w:t xml:space="preserve"> not provide sufficient response </w:t>
      </w:r>
      <w:r w:rsidRPr="00E0077D">
        <w:rPr>
          <w:color w:val="auto"/>
        </w:rPr>
        <w:lastRenderedPageBreak/>
        <w:t xml:space="preserve">options to get </w:t>
      </w:r>
      <w:r>
        <w:rPr>
          <w:color w:val="auto"/>
        </w:rPr>
        <w:t>a more granular b</w:t>
      </w:r>
      <w:r w:rsidR="00282AF3">
        <w:rPr>
          <w:color w:val="auto"/>
        </w:rPr>
        <w:t>reakdown</w:t>
      </w:r>
      <w:r>
        <w:rPr>
          <w:color w:val="auto"/>
        </w:rPr>
        <w:t xml:space="preserve"> of </w:t>
      </w:r>
      <w:r w:rsidRPr="00E0077D">
        <w:rPr>
          <w:color w:val="auto"/>
        </w:rPr>
        <w:t xml:space="preserve">information about how long the implementation process takes. </w:t>
      </w:r>
      <w:bookmarkEnd w:id="74"/>
    </w:p>
    <w:p w14:paraId="18278CA0" w14:textId="68D64736" w:rsidR="00CD75A7" w:rsidRPr="00653199" w:rsidRDefault="00CD75A7" w:rsidP="00CD75A7">
      <w:pPr>
        <w:pStyle w:val="BodyText"/>
        <w:rPr>
          <w:color w:val="auto"/>
        </w:rPr>
      </w:pPr>
      <w:r w:rsidRPr="00000802">
        <w:rPr>
          <w:color w:val="auto"/>
        </w:rPr>
        <w:t xml:space="preserve">Just over half of proponents who had prepared an AIP plan incurred costs in addition to staff time. Other costs noted by proponents included consultant fees, </w:t>
      </w:r>
      <w:r w:rsidR="00F72119">
        <w:rPr>
          <w:color w:val="auto"/>
        </w:rPr>
        <w:t>vendor identification agency (VIA)</w:t>
      </w:r>
      <w:r w:rsidRPr="00000802">
        <w:rPr>
          <w:color w:val="auto"/>
        </w:rPr>
        <w:t xml:space="preserve"> fees, maintenance of communication platforms, compliance costs passed on by the head contractor, increased administrative costs to flow down AIP requirements to subcontractors, supplier capability development including briefing sessions, and generally costs </w:t>
      </w:r>
      <w:r w:rsidRPr="00653199">
        <w:rPr>
          <w:color w:val="auto"/>
        </w:rPr>
        <w:t>incurred when changing procurement practices.</w:t>
      </w:r>
    </w:p>
    <w:p w14:paraId="1369787C" w14:textId="52176749" w:rsidR="00C53D28" w:rsidRPr="00653199" w:rsidRDefault="00C53D28" w:rsidP="00CD75A7">
      <w:pPr>
        <w:pStyle w:val="BodyText"/>
        <w:rPr>
          <w:color w:val="auto"/>
        </w:rPr>
      </w:pPr>
      <w:r w:rsidRPr="00653199">
        <w:rPr>
          <w:color w:val="auto"/>
        </w:rPr>
        <w:t>The 2018 Review recommended the review and improvement of AIP plan templates and reporting templates streamline information administration</w:t>
      </w:r>
      <w:r w:rsidRPr="00653199">
        <w:rPr>
          <w:rStyle w:val="FootnoteReference"/>
          <w:color w:val="auto"/>
        </w:rPr>
        <w:footnoteReference w:id="20"/>
      </w:r>
      <w:r w:rsidRPr="00653199">
        <w:rPr>
          <w:color w:val="auto"/>
        </w:rPr>
        <w:t>. T</w:t>
      </w:r>
      <w:r w:rsidR="00CD75A7" w:rsidRPr="00653199">
        <w:rPr>
          <w:color w:val="auto"/>
        </w:rPr>
        <w:t xml:space="preserve">he AIP team </w:t>
      </w:r>
      <w:r w:rsidRPr="00653199">
        <w:rPr>
          <w:color w:val="auto"/>
        </w:rPr>
        <w:t xml:space="preserve">since 2018 </w:t>
      </w:r>
      <w:r w:rsidR="00CD75A7" w:rsidRPr="00653199">
        <w:rPr>
          <w:color w:val="auto"/>
        </w:rPr>
        <w:t>has introduced Smart</w:t>
      </w:r>
      <w:r w:rsidR="00226F00" w:rsidRPr="00653199">
        <w:rPr>
          <w:color w:val="auto"/>
        </w:rPr>
        <w:t>F</w:t>
      </w:r>
      <w:r w:rsidR="00CD75A7" w:rsidRPr="00653199">
        <w:rPr>
          <w:color w:val="auto"/>
        </w:rPr>
        <w:t>orm</w:t>
      </w:r>
      <w:r w:rsidR="00F42AB8" w:rsidRPr="00653199">
        <w:rPr>
          <w:color w:val="auto"/>
        </w:rPr>
        <w:t>s</w:t>
      </w:r>
      <w:r w:rsidR="00FA0926" w:rsidRPr="00653199">
        <w:rPr>
          <w:color w:val="auto"/>
        </w:rPr>
        <w:t xml:space="preserve"> </w:t>
      </w:r>
      <w:r w:rsidR="00CD75A7" w:rsidRPr="00653199">
        <w:rPr>
          <w:color w:val="auto"/>
        </w:rPr>
        <w:t xml:space="preserve">for new projects to improve efficiencies and the user experience. </w:t>
      </w:r>
      <w:r w:rsidRPr="00653199">
        <w:rPr>
          <w:color w:val="auto"/>
        </w:rPr>
        <w:t>This reform was in line with Recommendation</w:t>
      </w:r>
      <w:r w:rsidR="00653199">
        <w:rPr>
          <w:color w:val="auto"/>
        </w:rPr>
        <w:t xml:space="preserve"> 1 of the 2018 Review.</w:t>
      </w:r>
      <w:r w:rsidRPr="00653199">
        <w:rPr>
          <w:color w:val="auto"/>
        </w:rPr>
        <w:t xml:space="preserve"> </w:t>
      </w:r>
      <w:r w:rsidR="00CD75A7" w:rsidRPr="00653199">
        <w:rPr>
          <w:color w:val="auto"/>
        </w:rPr>
        <w:t>It is not clear from the survey whether proponents have used the Smart</w:t>
      </w:r>
      <w:r w:rsidR="00226F00" w:rsidRPr="00653199">
        <w:rPr>
          <w:color w:val="auto"/>
        </w:rPr>
        <w:t>F</w:t>
      </w:r>
      <w:r w:rsidR="00CD75A7" w:rsidRPr="00653199">
        <w:rPr>
          <w:color w:val="auto"/>
        </w:rPr>
        <w:t>orm</w:t>
      </w:r>
      <w:r w:rsidR="00AC7A20" w:rsidRPr="00653199">
        <w:rPr>
          <w:color w:val="auto"/>
        </w:rPr>
        <w:t>s</w:t>
      </w:r>
      <w:r w:rsidR="00CD75A7" w:rsidRPr="00653199">
        <w:rPr>
          <w:color w:val="auto"/>
        </w:rPr>
        <w:t xml:space="preserve"> process.</w:t>
      </w:r>
      <w:r w:rsidR="00C55559" w:rsidRPr="00653199">
        <w:rPr>
          <w:color w:val="auto"/>
        </w:rPr>
        <w:t xml:space="preserve"> </w:t>
      </w:r>
    </w:p>
    <w:p w14:paraId="404A828F" w14:textId="3549EC2A" w:rsidR="00CD75A7" w:rsidRPr="00000802" w:rsidRDefault="00C55559" w:rsidP="00CD75A7">
      <w:pPr>
        <w:pStyle w:val="BodyText"/>
        <w:rPr>
          <w:color w:val="auto"/>
        </w:rPr>
      </w:pPr>
      <w:r w:rsidRPr="00653199">
        <w:rPr>
          <w:color w:val="auto"/>
        </w:rPr>
        <w:t xml:space="preserve">Future data collection, informed by a monitoring and evaluation framework (see </w:t>
      </w:r>
      <w:r w:rsidRPr="00653199">
        <w:rPr>
          <w:i/>
          <w:iCs/>
          <w:color w:val="auto"/>
        </w:rPr>
        <w:t>Finding 20</w:t>
      </w:r>
      <w:r w:rsidRPr="00653199">
        <w:rPr>
          <w:color w:val="auto"/>
        </w:rPr>
        <w:t xml:space="preserve"> and </w:t>
      </w:r>
      <w:r w:rsidRPr="00653199">
        <w:rPr>
          <w:i/>
          <w:iCs/>
          <w:color w:val="auto"/>
        </w:rPr>
        <w:t>Recommendation 13</w:t>
      </w:r>
      <w:r w:rsidRPr="00653199">
        <w:rPr>
          <w:color w:val="auto"/>
        </w:rPr>
        <w:t xml:space="preserve">) could record </w:t>
      </w:r>
      <w:r w:rsidR="00396A2A" w:rsidRPr="00653199">
        <w:rPr>
          <w:color w:val="auto"/>
        </w:rPr>
        <w:t xml:space="preserve">the </w:t>
      </w:r>
      <w:r w:rsidRPr="00653199">
        <w:rPr>
          <w:color w:val="auto"/>
        </w:rPr>
        <w:t>time proponents spend on these activities</w:t>
      </w:r>
      <w:r w:rsidR="00C53D28" w:rsidRPr="00653199">
        <w:rPr>
          <w:color w:val="auto"/>
        </w:rPr>
        <w:t>. This would inform future</w:t>
      </w:r>
      <w:r w:rsidRPr="00653199">
        <w:rPr>
          <w:color w:val="auto"/>
        </w:rPr>
        <w:t xml:space="preserve"> analysis of the costs, including a comparison of proponent costs based on size of the business and project.</w:t>
      </w:r>
    </w:p>
    <w:p w14:paraId="1BBC86BE" w14:textId="34F765EA" w:rsidR="00CD75A7" w:rsidRDefault="00CD75A7" w:rsidP="00CD75A7">
      <w:pPr>
        <w:pStyle w:val="BodyText"/>
        <w:shd w:val="clear" w:color="auto" w:fill="D7EFF2" w:themeFill="accent3" w:themeFillTint="66"/>
      </w:pPr>
      <w:r w:rsidRPr="00ED0CD8">
        <w:rPr>
          <w:b/>
          <w:bCs/>
        </w:rPr>
        <w:t xml:space="preserve">Finding </w:t>
      </w:r>
      <w:r w:rsidR="001E1A70">
        <w:rPr>
          <w:b/>
          <w:bCs/>
        </w:rPr>
        <w:t>15</w:t>
      </w:r>
      <w:r w:rsidRPr="00ED0CD8">
        <w:t xml:space="preserve">: Proponents incur costs in developing and implementing AIP plans, with the latter accounting for the greater cost. However, the extent to which this cost is an additional burden </w:t>
      </w:r>
      <w:r w:rsidR="0011663C" w:rsidRPr="00ED0CD8">
        <w:t>over,</w:t>
      </w:r>
      <w:r w:rsidRPr="00ED0CD8">
        <w:t xml:space="preserve"> and above ‘good’ business practice is unclear.</w:t>
      </w:r>
    </w:p>
    <w:p w14:paraId="2A89DF5F" w14:textId="714A8605" w:rsidR="00CD75A7" w:rsidRDefault="00CD75A7" w:rsidP="00CD75A7">
      <w:pPr>
        <w:pStyle w:val="Caption"/>
        <w:rPr>
          <w:color w:val="005677" w:themeColor="background2"/>
        </w:rPr>
      </w:pPr>
      <w:r w:rsidRPr="008E12A7">
        <w:rPr>
          <w:color w:val="005677" w:themeColor="background2"/>
        </w:rPr>
        <w:t xml:space="preserve">Box </w:t>
      </w:r>
      <w:r w:rsidR="001E1A70" w:rsidRPr="008E12A7">
        <w:rPr>
          <w:color w:val="005677" w:themeColor="background2"/>
        </w:rPr>
        <w:t>3.2.2</w:t>
      </w:r>
      <w:r w:rsidRPr="008E12A7">
        <w:rPr>
          <w:color w:val="005677" w:themeColor="background2"/>
        </w:rPr>
        <w:t xml:space="preserve"> Recommendation </w:t>
      </w:r>
      <w:r w:rsidR="00653199" w:rsidRPr="008E12A7">
        <w:rPr>
          <w:color w:val="005677" w:themeColor="background2"/>
        </w:rPr>
        <w:t>10</w:t>
      </w:r>
    </w:p>
    <w:p w14:paraId="1FD1A33C" w14:textId="6646B88A" w:rsidR="000C6F87" w:rsidRPr="00EB0673" w:rsidRDefault="000C6F87" w:rsidP="00EB0673">
      <w:pPr>
        <w:pStyle w:val="Placeholder"/>
        <w:shd w:val="clear" w:color="auto" w:fill="E9E9EA" w:themeFill="accent5" w:themeFillTint="33"/>
        <w:jc w:val="left"/>
      </w:pPr>
      <w:r w:rsidRPr="00EB0673">
        <w:rPr>
          <w:b/>
          <w:bCs/>
        </w:rPr>
        <w:t>Recommendation 10:</w:t>
      </w:r>
      <w:r w:rsidRPr="000C6F87">
        <w:t xml:space="preserve"> That DISR identify opportunities for further efficiencies in the reporting process. This should be supported by a deeper understanding of proponent experience of the reporting process.</w:t>
      </w:r>
    </w:p>
    <w:p w14:paraId="515FB763" w14:textId="77777777" w:rsidR="00CD75A7" w:rsidRPr="00E601BB" w:rsidRDefault="00CD75A7" w:rsidP="00CD75A7">
      <w:pPr>
        <w:pStyle w:val="BodyText"/>
        <w:pBdr>
          <w:bottom w:val="single" w:sz="4" w:space="1" w:color="auto"/>
        </w:pBdr>
      </w:pPr>
    </w:p>
    <w:p w14:paraId="14072613" w14:textId="2E67BC22" w:rsidR="00247349" w:rsidRPr="00247349" w:rsidRDefault="00247349" w:rsidP="00F01332">
      <w:pPr>
        <w:pStyle w:val="Heading3"/>
      </w:pPr>
      <w:r w:rsidRPr="00F01332">
        <w:rPr>
          <w:bCs w:val="0"/>
        </w:rPr>
        <w:t>Awareness of Commonwealth AIP requirements</w:t>
      </w:r>
      <w:bookmarkEnd w:id="72"/>
      <w:bookmarkEnd w:id="73"/>
    </w:p>
    <w:p w14:paraId="714C64A4" w14:textId="5E1856EF" w:rsidR="00247349" w:rsidRPr="00221951" w:rsidRDefault="00247349" w:rsidP="00247349">
      <w:pPr>
        <w:pStyle w:val="BodyText"/>
        <w:rPr>
          <w:color w:val="auto"/>
          <w:lang w:eastAsia="en-AU"/>
        </w:rPr>
      </w:pPr>
      <w:r>
        <w:rPr>
          <w:color w:val="auto"/>
          <w:lang w:eastAsia="en-AU"/>
        </w:rPr>
        <w:t xml:space="preserve">Commonwealth entities’ awareness of, and engagement with, Commonwealth AIP requirements appear low. The </w:t>
      </w:r>
      <w:r w:rsidR="009B36F1">
        <w:rPr>
          <w:color w:val="auto"/>
          <w:lang w:eastAsia="en-AU"/>
        </w:rPr>
        <w:t>evaluation team</w:t>
      </w:r>
      <w:r>
        <w:rPr>
          <w:color w:val="auto"/>
          <w:lang w:eastAsia="en-AU"/>
        </w:rPr>
        <w:t xml:space="preserve"> approached a range of </w:t>
      </w:r>
      <w:r w:rsidR="009B36F1">
        <w:rPr>
          <w:color w:val="auto"/>
          <w:lang w:eastAsia="en-AU"/>
        </w:rPr>
        <w:t xml:space="preserve">nominated </w:t>
      </w:r>
      <w:r w:rsidRPr="00221951">
        <w:rPr>
          <w:color w:val="auto"/>
          <w:lang w:eastAsia="en-AU"/>
        </w:rPr>
        <w:t>Commonwealth stakeholders</w:t>
      </w:r>
      <w:r>
        <w:rPr>
          <w:color w:val="auto"/>
          <w:lang w:eastAsia="en-AU"/>
        </w:rPr>
        <w:t>. However,</w:t>
      </w:r>
      <w:r w:rsidRPr="00221951">
        <w:rPr>
          <w:color w:val="auto"/>
          <w:lang w:eastAsia="en-AU"/>
        </w:rPr>
        <w:t xml:space="preserve"> most of these </w:t>
      </w:r>
      <w:r w:rsidR="009B36F1">
        <w:rPr>
          <w:color w:val="auto"/>
          <w:lang w:eastAsia="en-AU"/>
        </w:rPr>
        <w:t xml:space="preserve">Commonwealth </w:t>
      </w:r>
      <w:r w:rsidRPr="00221951">
        <w:rPr>
          <w:color w:val="auto"/>
          <w:lang w:eastAsia="en-AU"/>
        </w:rPr>
        <w:t>stakeholders advised that they did not have an adequate level of experience working with AIP requirements to comment. This was due to a combination of staff turnover and limited experience with AIP requirements.</w:t>
      </w:r>
    </w:p>
    <w:p w14:paraId="1ABDDB32" w14:textId="0CD48D18" w:rsidR="00247349" w:rsidRPr="00221951" w:rsidRDefault="00247349" w:rsidP="00247349">
      <w:pPr>
        <w:pStyle w:val="BodyText"/>
        <w:rPr>
          <w:color w:val="auto"/>
          <w:lang w:eastAsia="en-AU"/>
        </w:rPr>
      </w:pPr>
      <w:r w:rsidRPr="00221951">
        <w:rPr>
          <w:color w:val="auto"/>
          <w:lang w:eastAsia="en-AU"/>
        </w:rPr>
        <w:t xml:space="preserve">The external entity stakeholders </w:t>
      </w:r>
      <w:r w:rsidR="009B36F1">
        <w:rPr>
          <w:color w:val="auto"/>
          <w:lang w:eastAsia="en-AU"/>
        </w:rPr>
        <w:t xml:space="preserve">with </w:t>
      </w:r>
      <w:r w:rsidRPr="00221951">
        <w:rPr>
          <w:color w:val="auto"/>
          <w:lang w:eastAsia="en-AU"/>
        </w:rPr>
        <w:t>who</w:t>
      </w:r>
      <w:r w:rsidR="009B36F1">
        <w:rPr>
          <w:color w:val="auto"/>
          <w:lang w:eastAsia="en-AU"/>
        </w:rPr>
        <w:t>m</w:t>
      </w:r>
      <w:r w:rsidRPr="00221951">
        <w:rPr>
          <w:color w:val="auto"/>
          <w:lang w:eastAsia="en-AU"/>
        </w:rPr>
        <w:t xml:space="preserve"> the evaluation team spoke were positive about their interactions with, and advice provided by, the AIP team</w:t>
      </w:r>
      <w:r w:rsidRPr="009B36F1">
        <w:rPr>
          <w:color w:val="auto"/>
          <w:lang w:eastAsia="en-AU"/>
        </w:rPr>
        <w:t>. Three DISR interviewees and one external entity interviewee identified that awareness of Commonwealth AIP requirements varies depending on the entit</w:t>
      </w:r>
      <w:r w:rsidR="009B36F1" w:rsidRPr="009B36F1">
        <w:rPr>
          <w:color w:val="auto"/>
          <w:lang w:eastAsia="en-AU"/>
        </w:rPr>
        <w:t>y.</w:t>
      </w:r>
    </w:p>
    <w:p w14:paraId="008ECB22" w14:textId="4C9C6F48" w:rsidR="00247349" w:rsidRDefault="00247349" w:rsidP="00247349">
      <w:pPr>
        <w:pStyle w:val="BodyText"/>
        <w:shd w:val="clear" w:color="auto" w:fill="D7EFF2" w:themeFill="accent3" w:themeFillTint="66"/>
      </w:pPr>
      <w:r w:rsidRPr="00934133">
        <w:rPr>
          <w:b/>
          <w:bCs/>
        </w:rPr>
        <w:t xml:space="preserve">Finding </w:t>
      </w:r>
      <w:r>
        <w:rPr>
          <w:b/>
          <w:bCs/>
        </w:rPr>
        <w:t>1</w:t>
      </w:r>
      <w:r w:rsidR="001E1A70">
        <w:rPr>
          <w:b/>
          <w:bCs/>
        </w:rPr>
        <w:t>6</w:t>
      </w:r>
      <w:r w:rsidRPr="00934133">
        <w:t>: Awareness</w:t>
      </w:r>
      <w:r>
        <w:t xml:space="preserve"> </w:t>
      </w:r>
      <w:r w:rsidRPr="00063678">
        <w:t>of, and engagement with, Commonwealth AIP requirements appears to be low among Commonwealth entities.</w:t>
      </w:r>
    </w:p>
    <w:p w14:paraId="6E8355D5" w14:textId="677C878E" w:rsidR="00DF0CB5" w:rsidRPr="00247349" w:rsidRDefault="00247349" w:rsidP="00247349">
      <w:pPr>
        <w:pStyle w:val="Heading3"/>
      </w:pPr>
      <w:r w:rsidRPr="00247349">
        <w:lastRenderedPageBreak/>
        <w:t xml:space="preserve">Governance for Commonwealth AIP </w:t>
      </w:r>
      <w:r w:rsidR="008659AD">
        <w:t>r</w:t>
      </w:r>
      <w:r w:rsidRPr="00247349">
        <w:t xml:space="preserve">equirements </w:t>
      </w:r>
    </w:p>
    <w:p w14:paraId="19FBE437" w14:textId="2F6942E8" w:rsidR="00BD7358" w:rsidRDefault="0026248F" w:rsidP="008F5ED6">
      <w:pPr>
        <w:pStyle w:val="BodyText"/>
        <w:rPr>
          <w:color w:val="auto"/>
          <w:lang w:eastAsia="en-AU"/>
        </w:rPr>
      </w:pPr>
      <w:r>
        <w:t>There is n</w:t>
      </w:r>
      <w:r w:rsidRPr="0026248F">
        <w:rPr>
          <w:color w:val="auto"/>
          <w:lang w:eastAsia="en-AU"/>
        </w:rPr>
        <w:t>o single policy</w:t>
      </w:r>
      <w:r w:rsidR="00213EA1">
        <w:rPr>
          <w:color w:val="auto"/>
          <w:lang w:eastAsia="en-AU"/>
        </w:rPr>
        <w:t xml:space="preserve"> or framework</w:t>
      </w:r>
      <w:r>
        <w:rPr>
          <w:color w:val="auto"/>
          <w:lang w:eastAsia="en-AU"/>
        </w:rPr>
        <w:t xml:space="preserve"> that</w:t>
      </w:r>
      <w:r w:rsidRPr="0026248F">
        <w:rPr>
          <w:color w:val="auto"/>
          <w:lang w:eastAsia="en-AU"/>
        </w:rPr>
        <w:t xml:space="preserve"> outlines AIP requirements as they apply to Commonwealth </w:t>
      </w:r>
      <w:r w:rsidR="00D266CD">
        <w:rPr>
          <w:color w:val="auto"/>
          <w:lang w:eastAsia="en-AU"/>
        </w:rPr>
        <w:t>funding or investments</w:t>
      </w:r>
      <w:r w:rsidRPr="0026248F">
        <w:rPr>
          <w:color w:val="auto"/>
          <w:lang w:eastAsia="en-AU"/>
        </w:rPr>
        <w:t>.</w:t>
      </w:r>
      <w:r w:rsidRPr="0026248F">
        <w:t xml:space="preserve"> </w:t>
      </w:r>
      <w:r w:rsidR="00422B35">
        <w:rPr>
          <w:color w:val="auto"/>
          <w:lang w:eastAsia="en-AU"/>
        </w:rPr>
        <w:t xml:space="preserve">Rather they </w:t>
      </w:r>
      <w:r w:rsidRPr="0026248F">
        <w:rPr>
          <w:color w:val="auto"/>
          <w:lang w:eastAsia="en-AU"/>
        </w:rPr>
        <w:t xml:space="preserve">are </w:t>
      </w:r>
      <w:r w:rsidR="00422B35">
        <w:rPr>
          <w:color w:val="auto"/>
          <w:lang w:eastAsia="en-AU"/>
        </w:rPr>
        <w:t xml:space="preserve">applied in at least </w:t>
      </w:r>
      <w:r w:rsidR="008659AD">
        <w:rPr>
          <w:color w:val="auto"/>
          <w:lang w:eastAsia="en-AU"/>
        </w:rPr>
        <w:t>6</w:t>
      </w:r>
      <w:r w:rsidR="00422B35">
        <w:rPr>
          <w:color w:val="auto"/>
          <w:lang w:eastAsia="en-AU"/>
        </w:rPr>
        <w:t>different ways. These are:</w:t>
      </w:r>
    </w:p>
    <w:p w14:paraId="029B7D05" w14:textId="7E1E6FC1" w:rsidR="00825CB1" w:rsidRDefault="00825CB1" w:rsidP="0044332C">
      <w:pPr>
        <w:pStyle w:val="BodyText"/>
        <w:numPr>
          <w:ilvl w:val="0"/>
          <w:numId w:val="26"/>
        </w:numPr>
        <w:rPr>
          <w:color w:val="auto"/>
          <w:lang w:eastAsia="en-AU"/>
        </w:rPr>
      </w:pPr>
      <w:r w:rsidRPr="00825CB1">
        <w:rPr>
          <w:color w:val="auto"/>
          <w:lang w:eastAsia="en-AU"/>
        </w:rPr>
        <w:t>Commonwealth procurements (since 1 January 2010)</w:t>
      </w:r>
    </w:p>
    <w:p w14:paraId="3011B7D8" w14:textId="38A65A35" w:rsidR="00825CB1" w:rsidRDefault="00825CB1" w:rsidP="0044332C">
      <w:pPr>
        <w:pStyle w:val="BodyText"/>
        <w:numPr>
          <w:ilvl w:val="0"/>
          <w:numId w:val="25"/>
        </w:numPr>
        <w:rPr>
          <w:color w:val="auto"/>
          <w:lang w:eastAsia="en-AU"/>
        </w:rPr>
      </w:pPr>
      <w:r w:rsidRPr="00825CB1">
        <w:rPr>
          <w:color w:val="auto"/>
          <w:lang w:eastAsia="en-AU"/>
        </w:rPr>
        <w:t>Commonwealth grants (from 1 July 2012)</w:t>
      </w:r>
    </w:p>
    <w:p w14:paraId="3C8400BC" w14:textId="360BFEA8" w:rsidR="00825CB1" w:rsidRDefault="00825CB1" w:rsidP="0044332C">
      <w:pPr>
        <w:pStyle w:val="BodyText"/>
        <w:numPr>
          <w:ilvl w:val="0"/>
          <w:numId w:val="25"/>
        </w:numPr>
        <w:rPr>
          <w:color w:val="auto"/>
          <w:lang w:eastAsia="en-AU"/>
        </w:rPr>
      </w:pPr>
      <w:r w:rsidRPr="00825CB1">
        <w:rPr>
          <w:color w:val="auto"/>
          <w:lang w:eastAsia="en-AU"/>
        </w:rPr>
        <w:t xml:space="preserve">Australian Government Payments under the Federal Financial Relations Act 2009 to </w:t>
      </w:r>
      <w:r w:rsidR="008659AD">
        <w:rPr>
          <w:color w:val="auto"/>
          <w:lang w:eastAsia="en-AU"/>
        </w:rPr>
        <w:t>s</w:t>
      </w:r>
      <w:r w:rsidRPr="00825CB1">
        <w:rPr>
          <w:color w:val="auto"/>
          <w:lang w:eastAsia="en-AU"/>
        </w:rPr>
        <w:t xml:space="preserve">tates and </w:t>
      </w:r>
      <w:r w:rsidR="008659AD">
        <w:rPr>
          <w:color w:val="auto"/>
          <w:lang w:eastAsia="en-AU"/>
        </w:rPr>
        <w:t>t</w:t>
      </w:r>
      <w:r w:rsidRPr="00825CB1">
        <w:rPr>
          <w:color w:val="auto"/>
          <w:lang w:eastAsia="en-AU"/>
        </w:rPr>
        <w:t>erritories through the National Partnership Agreement on Land Transport Infrastructure Projects for large infrastructure projects (since 1 July 2012)</w:t>
      </w:r>
    </w:p>
    <w:p w14:paraId="17C27412" w14:textId="6EB6AD97" w:rsidR="00825CB1" w:rsidRDefault="00825CB1" w:rsidP="0044332C">
      <w:pPr>
        <w:pStyle w:val="BodyText"/>
        <w:numPr>
          <w:ilvl w:val="0"/>
          <w:numId w:val="25"/>
        </w:numPr>
        <w:rPr>
          <w:color w:val="auto"/>
          <w:lang w:eastAsia="en-AU"/>
        </w:rPr>
      </w:pPr>
      <w:r w:rsidRPr="00825CB1">
        <w:rPr>
          <w:color w:val="auto"/>
          <w:lang w:eastAsia="en-AU"/>
        </w:rPr>
        <w:t xml:space="preserve">Northern Australian Infrastructure Facility </w:t>
      </w:r>
      <w:r w:rsidR="0026248F">
        <w:rPr>
          <w:color w:val="auto"/>
          <w:lang w:eastAsia="en-AU"/>
        </w:rPr>
        <w:t xml:space="preserve">(NAIF) </w:t>
      </w:r>
      <w:r w:rsidRPr="00825CB1">
        <w:rPr>
          <w:color w:val="auto"/>
          <w:lang w:eastAsia="en-AU"/>
        </w:rPr>
        <w:t>loans (from 1 July 2016)</w:t>
      </w:r>
    </w:p>
    <w:p w14:paraId="6B47E62D" w14:textId="70B5AD01" w:rsidR="00825CB1" w:rsidRDefault="00825CB1" w:rsidP="0044332C">
      <w:pPr>
        <w:pStyle w:val="BodyText"/>
        <w:numPr>
          <w:ilvl w:val="0"/>
          <w:numId w:val="25"/>
        </w:numPr>
        <w:rPr>
          <w:color w:val="auto"/>
          <w:lang w:eastAsia="en-AU"/>
        </w:rPr>
      </w:pPr>
      <w:r w:rsidRPr="00825CB1">
        <w:rPr>
          <w:color w:val="auto"/>
          <w:lang w:eastAsia="en-AU"/>
        </w:rPr>
        <w:t>Clean Energy Finance Corporation</w:t>
      </w:r>
      <w:r w:rsidR="0026248F">
        <w:rPr>
          <w:color w:val="auto"/>
          <w:lang w:eastAsia="en-AU"/>
        </w:rPr>
        <w:t xml:space="preserve"> (CEFC)</w:t>
      </w:r>
      <w:r w:rsidRPr="00825CB1">
        <w:rPr>
          <w:color w:val="auto"/>
          <w:lang w:eastAsia="en-AU"/>
        </w:rPr>
        <w:t xml:space="preserve"> investments (from 1 July 2013)</w:t>
      </w:r>
      <w:r>
        <w:rPr>
          <w:color w:val="auto"/>
          <w:lang w:eastAsia="en-AU"/>
        </w:rPr>
        <w:t>,</w:t>
      </w:r>
      <w:r w:rsidRPr="00825CB1">
        <w:rPr>
          <w:color w:val="auto"/>
          <w:lang w:eastAsia="en-AU"/>
        </w:rPr>
        <w:t xml:space="preserve"> and </w:t>
      </w:r>
    </w:p>
    <w:p w14:paraId="740A0C30" w14:textId="5C692FD1" w:rsidR="00825CB1" w:rsidRDefault="00825CB1" w:rsidP="0044332C">
      <w:pPr>
        <w:pStyle w:val="BodyText"/>
        <w:numPr>
          <w:ilvl w:val="0"/>
          <w:numId w:val="25"/>
        </w:numPr>
        <w:rPr>
          <w:color w:val="auto"/>
          <w:lang w:eastAsia="en-AU"/>
        </w:rPr>
      </w:pPr>
      <w:r w:rsidRPr="00825CB1">
        <w:rPr>
          <w:color w:val="auto"/>
          <w:lang w:eastAsia="en-AU"/>
        </w:rPr>
        <w:t>grants from the Australian Renewable Energy Agency</w:t>
      </w:r>
      <w:r w:rsidR="0026248F">
        <w:rPr>
          <w:color w:val="auto"/>
          <w:lang w:eastAsia="en-AU"/>
        </w:rPr>
        <w:t xml:space="preserve"> (ARENA)</w:t>
      </w:r>
      <w:r w:rsidRPr="00825CB1">
        <w:rPr>
          <w:color w:val="auto"/>
          <w:lang w:eastAsia="en-AU"/>
        </w:rPr>
        <w:t xml:space="preserve"> </w:t>
      </w:r>
      <w:r w:rsidR="00B9781E">
        <w:rPr>
          <w:color w:val="auto"/>
          <w:lang w:eastAsia="en-AU"/>
        </w:rPr>
        <w:t>(</w:t>
      </w:r>
      <w:r w:rsidRPr="00825CB1">
        <w:rPr>
          <w:color w:val="auto"/>
          <w:lang w:eastAsia="en-AU"/>
        </w:rPr>
        <w:t>from 2013</w:t>
      </w:r>
      <w:r>
        <w:rPr>
          <w:color w:val="auto"/>
          <w:lang w:eastAsia="en-AU"/>
        </w:rPr>
        <w:t xml:space="preserve"> on a voluntary basis</w:t>
      </w:r>
      <w:r w:rsidR="00B9781E">
        <w:rPr>
          <w:color w:val="auto"/>
          <w:lang w:eastAsia="en-AU"/>
        </w:rPr>
        <w:t>)</w:t>
      </w:r>
      <w:r>
        <w:rPr>
          <w:color w:val="auto"/>
          <w:lang w:eastAsia="en-AU"/>
        </w:rPr>
        <w:t>.</w:t>
      </w:r>
    </w:p>
    <w:p w14:paraId="33474BCF" w14:textId="25B2721A" w:rsidR="00D031B7" w:rsidRDefault="00B755FB" w:rsidP="008F5ED6">
      <w:pPr>
        <w:pStyle w:val="BodyText"/>
        <w:rPr>
          <w:lang w:eastAsia="en-AU"/>
        </w:rPr>
      </w:pPr>
      <w:r>
        <w:rPr>
          <w:color w:val="auto"/>
          <w:lang w:eastAsia="en-AU"/>
        </w:rPr>
        <w:t xml:space="preserve">As </w:t>
      </w:r>
      <w:r w:rsidR="009B36F1">
        <w:rPr>
          <w:color w:val="auto"/>
          <w:lang w:eastAsia="en-AU"/>
        </w:rPr>
        <w:t>demonstrated above</w:t>
      </w:r>
      <w:r>
        <w:rPr>
          <w:color w:val="auto"/>
          <w:lang w:eastAsia="en-AU"/>
        </w:rPr>
        <w:t xml:space="preserve">, </w:t>
      </w:r>
      <w:r w:rsidR="00D031B7" w:rsidRPr="00D031B7">
        <w:rPr>
          <w:lang w:eastAsia="en-AU"/>
        </w:rPr>
        <w:t>AIP requirements for projects with Commonwealth funding are not united by a single governance framework</w:t>
      </w:r>
      <w:r w:rsidR="006A08C3">
        <w:rPr>
          <w:lang w:eastAsia="en-AU"/>
        </w:rPr>
        <w:t xml:space="preserve">. A coherent framework could outline </w:t>
      </w:r>
      <w:r w:rsidRPr="00B755FB">
        <w:rPr>
          <w:lang w:eastAsia="en-AU"/>
        </w:rPr>
        <w:t>roles and responsibilities, risk management, compliance program, stakeholder engagement activities, and a performance framework.</w:t>
      </w:r>
    </w:p>
    <w:p w14:paraId="200CFBE9" w14:textId="05353EA3" w:rsidR="003C1919" w:rsidRDefault="00B73911" w:rsidP="008F5ED6">
      <w:pPr>
        <w:pStyle w:val="BodyText"/>
        <w:rPr>
          <w:lang w:eastAsia="en-AU"/>
        </w:rPr>
      </w:pPr>
      <w:r>
        <w:rPr>
          <w:lang w:eastAsia="en-AU"/>
        </w:rPr>
        <w:t>As part of developing a</w:t>
      </w:r>
      <w:r w:rsidRPr="00B73911">
        <w:rPr>
          <w:lang w:eastAsia="en-AU"/>
        </w:rPr>
        <w:t xml:space="preserve"> single governance framework</w:t>
      </w:r>
      <w:r>
        <w:rPr>
          <w:lang w:eastAsia="en-AU"/>
        </w:rPr>
        <w:t xml:space="preserve"> for Commonwealth AIP requirements, DISR would have the opportunity to consider different models for governance and compliance. For example, </w:t>
      </w:r>
      <w:r w:rsidR="008659AD">
        <w:rPr>
          <w:lang w:eastAsia="en-AU"/>
        </w:rPr>
        <w:t>2</w:t>
      </w:r>
      <w:r w:rsidRPr="00B73911">
        <w:rPr>
          <w:lang w:eastAsia="en-AU"/>
        </w:rPr>
        <w:t xml:space="preserve">DISR interviewees </w:t>
      </w:r>
      <w:r>
        <w:rPr>
          <w:lang w:eastAsia="en-AU"/>
        </w:rPr>
        <w:t xml:space="preserve">highlighted the idea of moving towards </w:t>
      </w:r>
      <w:r w:rsidRPr="00B73911">
        <w:rPr>
          <w:lang w:eastAsia="en-AU"/>
        </w:rPr>
        <w:t>a self-assessment model</w:t>
      </w:r>
      <w:r>
        <w:rPr>
          <w:lang w:eastAsia="en-AU"/>
        </w:rPr>
        <w:t xml:space="preserve"> for individual agencies and</w:t>
      </w:r>
      <w:r w:rsidRPr="00B73911">
        <w:rPr>
          <w:lang w:eastAsia="en-AU"/>
        </w:rPr>
        <w:t xml:space="preserve"> DISR playing an advisory rather than regulatory role. This would reduce administrative burden, encourage agencies to take greater responsibility for meeting AIP requirements and</w:t>
      </w:r>
      <w:r w:rsidR="00477519">
        <w:rPr>
          <w:lang w:eastAsia="en-AU"/>
        </w:rPr>
        <w:t xml:space="preserve"> </w:t>
      </w:r>
      <w:r w:rsidR="00387670">
        <w:rPr>
          <w:lang w:eastAsia="en-AU"/>
        </w:rPr>
        <w:t>potentially</w:t>
      </w:r>
      <w:r w:rsidRPr="00B73911">
        <w:rPr>
          <w:lang w:eastAsia="en-AU"/>
        </w:rPr>
        <w:t xml:space="preserve"> increase compliance</w:t>
      </w:r>
      <w:r w:rsidR="00477519">
        <w:rPr>
          <w:lang w:eastAsia="en-AU"/>
        </w:rPr>
        <w:t>,</w:t>
      </w:r>
      <w:r w:rsidRPr="00B73911">
        <w:rPr>
          <w:lang w:eastAsia="en-AU"/>
        </w:rPr>
        <w:t xml:space="preserve"> which may lead to better outcomes.  </w:t>
      </w:r>
    </w:p>
    <w:p w14:paraId="2CF7DD24" w14:textId="6F8B316A" w:rsidR="00387670" w:rsidRPr="00387670" w:rsidRDefault="00387670" w:rsidP="008E12A7">
      <w:pPr>
        <w:pStyle w:val="BodyText"/>
        <w:ind w:left="720" w:right="946"/>
        <w:rPr>
          <w:color w:val="1B9590" w:themeColor="accent1"/>
          <w:lang w:eastAsia="en-AU"/>
        </w:rPr>
      </w:pPr>
      <w:r>
        <w:rPr>
          <w:i/>
        </w:rPr>
        <w:t>I</w:t>
      </w:r>
      <w:r w:rsidRPr="00387670">
        <w:rPr>
          <w:i/>
        </w:rPr>
        <w:t>f we move to a self-assessment model…</w:t>
      </w:r>
      <w:r w:rsidR="00264FCE">
        <w:rPr>
          <w:i/>
        </w:rPr>
        <w:t xml:space="preserve"> </w:t>
      </w:r>
      <w:r>
        <w:rPr>
          <w:i/>
        </w:rPr>
        <w:t>[with]</w:t>
      </w:r>
      <w:r w:rsidRPr="00387670">
        <w:rPr>
          <w:i/>
        </w:rPr>
        <w:t xml:space="preserve"> individual agencies and procurement agencies and bodies and grant bodies, et cetera, taking on that responsibility, then you might see a much broader application of AIP, or understanding of AIP, and that might help in getting some more favourable outcomes.</w:t>
      </w:r>
    </w:p>
    <w:p w14:paraId="221D4CC3" w14:textId="76394505" w:rsidR="008F5ED6" w:rsidRDefault="008F5ED6" w:rsidP="008F5ED6">
      <w:pPr>
        <w:pStyle w:val="BodyText"/>
        <w:shd w:val="clear" w:color="auto" w:fill="D7EFF2" w:themeFill="accent3" w:themeFillTint="66"/>
        <w:rPr>
          <w:lang w:eastAsia="en-AU"/>
        </w:rPr>
      </w:pPr>
      <w:r w:rsidRPr="007D0B59">
        <w:rPr>
          <w:b/>
          <w:bCs/>
          <w:lang w:eastAsia="en-AU"/>
        </w:rPr>
        <w:t>Finding 1</w:t>
      </w:r>
      <w:r w:rsidR="001E1A70">
        <w:rPr>
          <w:b/>
          <w:bCs/>
          <w:lang w:eastAsia="en-AU"/>
        </w:rPr>
        <w:t>7</w:t>
      </w:r>
      <w:r w:rsidRPr="007D0B59">
        <w:rPr>
          <w:b/>
          <w:bCs/>
          <w:lang w:eastAsia="en-AU"/>
        </w:rPr>
        <w:t>:</w:t>
      </w:r>
      <w:r>
        <w:rPr>
          <w:lang w:eastAsia="en-AU"/>
        </w:rPr>
        <w:t xml:space="preserve"> </w:t>
      </w:r>
      <w:r w:rsidR="00BA395B">
        <w:rPr>
          <w:lang w:eastAsia="en-AU"/>
        </w:rPr>
        <w:t>AIP</w:t>
      </w:r>
      <w:r w:rsidR="00BA395B" w:rsidRPr="00BA395B">
        <w:t xml:space="preserve"> </w:t>
      </w:r>
      <w:r w:rsidR="00BA395B" w:rsidRPr="00BA395B">
        <w:rPr>
          <w:lang w:eastAsia="en-AU"/>
        </w:rPr>
        <w:t>requirements for projects with Commonwealth funding are not united by a single governance framework.</w:t>
      </w:r>
      <w:r w:rsidR="00BA395B">
        <w:rPr>
          <w:lang w:eastAsia="en-AU"/>
        </w:rPr>
        <w:t xml:space="preserve"> </w:t>
      </w:r>
    </w:p>
    <w:p w14:paraId="06390353" w14:textId="6862D126" w:rsidR="00BA395B" w:rsidRDefault="00BA395B" w:rsidP="00BA395B">
      <w:pPr>
        <w:pStyle w:val="Caption"/>
        <w:rPr>
          <w:color w:val="005677" w:themeColor="background2"/>
        </w:rPr>
      </w:pPr>
      <w:r w:rsidRPr="008E12A7">
        <w:rPr>
          <w:color w:val="005677" w:themeColor="background2"/>
        </w:rPr>
        <w:t>Box 3.</w:t>
      </w:r>
      <w:r w:rsidR="00BD4040" w:rsidRPr="008E12A7">
        <w:rPr>
          <w:color w:val="005677" w:themeColor="background2"/>
        </w:rPr>
        <w:t>2.</w:t>
      </w:r>
      <w:r w:rsidR="001E1A70" w:rsidRPr="008E12A7">
        <w:rPr>
          <w:color w:val="005677" w:themeColor="background2"/>
        </w:rPr>
        <w:t>3</w:t>
      </w:r>
      <w:r w:rsidRPr="008E12A7">
        <w:rPr>
          <w:color w:val="005677" w:themeColor="background2"/>
        </w:rPr>
        <w:t xml:space="preserve"> Recommendation </w:t>
      </w:r>
      <w:r w:rsidR="001E1A70" w:rsidRPr="008E12A7">
        <w:rPr>
          <w:color w:val="005677" w:themeColor="background2"/>
        </w:rPr>
        <w:t>1</w:t>
      </w:r>
      <w:r w:rsidR="00653199" w:rsidRPr="008E12A7">
        <w:rPr>
          <w:color w:val="005677" w:themeColor="background2"/>
        </w:rPr>
        <w:t>1</w:t>
      </w:r>
    </w:p>
    <w:p w14:paraId="2F5B5AD5" w14:textId="77777777" w:rsidR="008659AD" w:rsidRDefault="008659AD" w:rsidP="00EB0673">
      <w:pPr>
        <w:pStyle w:val="Placeholder"/>
        <w:shd w:val="clear" w:color="auto" w:fill="E9E9EA" w:themeFill="accent5" w:themeFillTint="33"/>
        <w:jc w:val="left"/>
      </w:pPr>
      <w:r w:rsidRPr="00EB0673">
        <w:rPr>
          <w:b/>
          <w:bCs/>
        </w:rPr>
        <w:t>Recommendation 11:</w:t>
      </w:r>
      <w:r>
        <w:t xml:space="preserve"> That DISR develop a comprehensive governance framework for AIP requirements as they apply to Commonwealth funding. This should include roles and responsibilities, risk management, compliance program, stakeholder engagement activities, and a performance framework.</w:t>
      </w:r>
    </w:p>
    <w:p w14:paraId="5EB87079" w14:textId="77777777" w:rsidR="008659AD" w:rsidRDefault="008659AD" w:rsidP="00EB0673">
      <w:pPr>
        <w:pStyle w:val="Placeholder"/>
        <w:shd w:val="clear" w:color="auto" w:fill="E9E9EA" w:themeFill="accent5" w:themeFillTint="33"/>
      </w:pPr>
    </w:p>
    <w:p w14:paraId="4B934533" w14:textId="64BFBCA7" w:rsidR="008659AD" w:rsidRPr="00EB0673" w:rsidRDefault="008659AD" w:rsidP="00EB0673">
      <w:pPr>
        <w:pStyle w:val="Placeholder"/>
        <w:shd w:val="clear" w:color="auto" w:fill="E9E9EA" w:themeFill="accent5" w:themeFillTint="33"/>
        <w:jc w:val="left"/>
      </w:pPr>
      <w:r>
        <w:t>As part of developing a governance framework for Commonwealth AIP requirements, DISR could consider moving to a self-assessment model where agencies take responsibility for implementing AIP requirements. This should be done in close consultation with stakeholders.</w:t>
      </w:r>
    </w:p>
    <w:p w14:paraId="49A51E88" w14:textId="77777777" w:rsidR="00BA395B" w:rsidRDefault="00BA395B" w:rsidP="00BA395B">
      <w:pPr>
        <w:pStyle w:val="Source"/>
        <w:rPr>
          <w:color w:val="auto"/>
          <w:lang w:eastAsia="en-AU"/>
        </w:rPr>
      </w:pPr>
    </w:p>
    <w:p w14:paraId="2A9075ED" w14:textId="238CF3BD" w:rsidR="00DF0CB5" w:rsidRPr="00DF0CB5" w:rsidRDefault="00DF0CB5" w:rsidP="00DF0CB5">
      <w:pPr>
        <w:pStyle w:val="Heading3"/>
      </w:pPr>
      <w:bookmarkStart w:id="75" w:name="_Toc127440388"/>
      <w:bookmarkStart w:id="76" w:name="_Toc131574548"/>
      <w:r>
        <w:rPr>
          <w:lang w:eastAsia="en-AU"/>
        </w:rPr>
        <w:t xml:space="preserve">Compliance powers for </w:t>
      </w:r>
      <w:r w:rsidRPr="00DF0CB5">
        <w:t xml:space="preserve">Commonwealth </w:t>
      </w:r>
      <w:r w:rsidR="008659AD">
        <w:t>p</w:t>
      </w:r>
      <w:r w:rsidRPr="00DF0CB5">
        <w:t xml:space="preserve">rocurements and </w:t>
      </w:r>
      <w:r w:rsidR="008659AD">
        <w:t>g</w:t>
      </w:r>
      <w:r w:rsidRPr="00DF0CB5">
        <w:t>rants</w:t>
      </w:r>
    </w:p>
    <w:p w14:paraId="0308C8FD" w14:textId="77777777" w:rsidR="00DF0CB5" w:rsidRDefault="00DF0CB5" w:rsidP="00DF0CB5">
      <w:pPr>
        <w:pStyle w:val="BodyText"/>
        <w:rPr>
          <w:color w:val="auto"/>
          <w:lang w:eastAsia="en-AU"/>
        </w:rPr>
      </w:pPr>
      <w:r w:rsidRPr="00637DAF">
        <w:rPr>
          <w:color w:val="auto"/>
          <w:lang w:eastAsia="en-AU"/>
        </w:rPr>
        <w:t xml:space="preserve">For Commonwealth procurements, non-compliance is a breach of the Commonwealth Procurement Rules since mid-2022 and individual agencies are responsible for reporting breaches. </w:t>
      </w:r>
      <w:r>
        <w:rPr>
          <w:color w:val="auto"/>
          <w:lang w:eastAsia="en-AU"/>
        </w:rPr>
        <w:t xml:space="preserve">Furthermore, </w:t>
      </w:r>
      <w:r w:rsidRPr="00030840">
        <w:rPr>
          <w:color w:val="auto"/>
          <w:lang w:eastAsia="en-AU"/>
        </w:rPr>
        <w:t>there is no common identifier between AusTender and AIP datasets, which would support compliance monitoring</w:t>
      </w:r>
      <w:r>
        <w:rPr>
          <w:color w:val="auto"/>
          <w:lang w:eastAsia="en-AU"/>
        </w:rPr>
        <w:t xml:space="preserve">, and </w:t>
      </w:r>
      <w:r w:rsidRPr="00030840">
        <w:rPr>
          <w:color w:val="auto"/>
          <w:lang w:eastAsia="en-AU"/>
        </w:rPr>
        <w:t>there do</w:t>
      </w:r>
      <w:r>
        <w:rPr>
          <w:color w:val="auto"/>
          <w:lang w:eastAsia="en-AU"/>
        </w:rPr>
        <w:t>es</w:t>
      </w:r>
      <w:r w:rsidRPr="00030840">
        <w:rPr>
          <w:color w:val="auto"/>
          <w:lang w:eastAsia="en-AU"/>
        </w:rPr>
        <w:t xml:space="preserve"> not appear to be any consequences for non-compliance.</w:t>
      </w:r>
    </w:p>
    <w:p w14:paraId="03134BC2" w14:textId="5AC5F1A5" w:rsidR="00DF0CB5" w:rsidRDefault="00DF0CB5" w:rsidP="00DF0CB5">
      <w:pPr>
        <w:pStyle w:val="BodyText"/>
        <w:rPr>
          <w:color w:val="auto"/>
          <w:lang w:eastAsia="en-AU"/>
        </w:rPr>
      </w:pPr>
      <w:r>
        <w:rPr>
          <w:color w:val="auto"/>
          <w:lang w:eastAsia="en-AU"/>
        </w:rPr>
        <w:lastRenderedPageBreak/>
        <w:t xml:space="preserve">Under these arrangements, </w:t>
      </w:r>
      <w:r w:rsidRPr="00637DAF">
        <w:rPr>
          <w:color w:val="auto"/>
          <w:lang w:eastAsia="en-AU"/>
        </w:rPr>
        <w:t xml:space="preserve">DISR </w:t>
      </w:r>
      <w:r>
        <w:rPr>
          <w:color w:val="auto"/>
          <w:lang w:eastAsia="en-AU"/>
        </w:rPr>
        <w:t xml:space="preserve">and the AIP </w:t>
      </w:r>
      <w:r w:rsidR="008659AD">
        <w:rPr>
          <w:color w:val="auto"/>
          <w:lang w:eastAsia="en-AU"/>
        </w:rPr>
        <w:t>g</w:t>
      </w:r>
      <w:r>
        <w:rPr>
          <w:color w:val="auto"/>
          <w:lang w:eastAsia="en-AU"/>
        </w:rPr>
        <w:t xml:space="preserve">eneral </w:t>
      </w:r>
      <w:r w:rsidR="008659AD">
        <w:rPr>
          <w:color w:val="auto"/>
          <w:lang w:eastAsia="en-AU"/>
        </w:rPr>
        <w:t>m</w:t>
      </w:r>
      <w:r>
        <w:rPr>
          <w:color w:val="auto"/>
          <w:lang w:eastAsia="en-AU"/>
        </w:rPr>
        <w:t xml:space="preserve">anager has </w:t>
      </w:r>
      <w:r w:rsidRPr="00637DAF">
        <w:rPr>
          <w:color w:val="auto"/>
          <w:lang w:eastAsia="en-AU"/>
        </w:rPr>
        <w:t>influence, but no compliance powers for Commonwealth-funded projects and limited visibility of non-compliance.</w:t>
      </w:r>
      <w:r w:rsidRPr="00030840">
        <w:t xml:space="preserve"> </w:t>
      </w:r>
      <w:r w:rsidRPr="00030840">
        <w:rPr>
          <w:color w:val="auto"/>
          <w:lang w:eastAsia="en-AU"/>
        </w:rPr>
        <w:t>For Commonwealth grants, DISR’s visibility of non-compliance is further reduced.</w:t>
      </w:r>
    </w:p>
    <w:p w14:paraId="164E0DA6" w14:textId="169FAFF5" w:rsidR="00DF0CB5" w:rsidRPr="00030840" w:rsidRDefault="00DF0CB5" w:rsidP="00DF0CB5">
      <w:pPr>
        <w:pStyle w:val="BodyText"/>
        <w:rPr>
          <w:color w:val="auto"/>
          <w:lang w:eastAsia="en-AU"/>
        </w:rPr>
      </w:pPr>
      <w:r w:rsidRPr="00030840">
        <w:rPr>
          <w:color w:val="auto"/>
          <w:lang w:eastAsia="en-AU"/>
        </w:rPr>
        <w:t xml:space="preserve">The findings of this evaluation align with those of the 2014 review of </w:t>
      </w:r>
      <w:r w:rsidR="007A696F">
        <w:rPr>
          <w:color w:val="auto"/>
          <w:lang w:eastAsia="en-AU"/>
        </w:rPr>
        <w:t>AIP</w:t>
      </w:r>
      <w:r w:rsidRPr="00030840">
        <w:rPr>
          <w:color w:val="auto"/>
          <w:lang w:eastAsia="en-AU"/>
        </w:rPr>
        <w:t xml:space="preserve"> policies and programs. That review identified that the ‘owner’ of the AIP framework (DISR) is detached from the ‘implementation’ agencies and that there were not ‘effective mechanisms in place to ensure compliance’.</w:t>
      </w:r>
    </w:p>
    <w:p w14:paraId="4B6E5E4F" w14:textId="77777777" w:rsidR="00DF0CB5" w:rsidRPr="00353235" w:rsidRDefault="00DF0CB5" w:rsidP="00DF0CB5">
      <w:pPr>
        <w:pStyle w:val="BodyText"/>
        <w:rPr>
          <w:color w:val="auto"/>
          <w:lang w:eastAsia="en-AU"/>
        </w:rPr>
      </w:pPr>
      <w:bookmarkStart w:id="77" w:name="_Hlk132114686"/>
      <w:r w:rsidRPr="00353235">
        <w:rPr>
          <w:color w:val="auto"/>
          <w:lang w:eastAsia="en-AU"/>
        </w:rPr>
        <w:t>To address these factors, further</w:t>
      </w:r>
      <w:r>
        <w:rPr>
          <w:color w:val="auto"/>
          <w:lang w:eastAsia="en-AU"/>
        </w:rPr>
        <w:t xml:space="preserve"> work is required on the </w:t>
      </w:r>
      <w:r w:rsidRPr="00353235">
        <w:rPr>
          <w:color w:val="auto"/>
          <w:lang w:eastAsia="en-AU"/>
        </w:rPr>
        <w:t>aims and objectives of Commonwealth AIP requirements,</w:t>
      </w:r>
      <w:r>
        <w:rPr>
          <w:color w:val="auto"/>
          <w:lang w:eastAsia="en-AU"/>
        </w:rPr>
        <w:t xml:space="preserve"> monitoring and compliance arrangements, and awareness raising of </w:t>
      </w:r>
      <w:r w:rsidRPr="00353235">
        <w:rPr>
          <w:color w:val="auto"/>
          <w:lang w:eastAsia="en-AU"/>
        </w:rPr>
        <w:t>Commonwealth AIP</w:t>
      </w:r>
      <w:r>
        <w:rPr>
          <w:color w:val="auto"/>
          <w:lang w:eastAsia="en-AU"/>
        </w:rPr>
        <w:t xml:space="preserve"> obligations</w:t>
      </w:r>
      <w:r w:rsidRPr="00353235">
        <w:rPr>
          <w:color w:val="auto"/>
          <w:lang w:eastAsia="en-AU"/>
        </w:rPr>
        <w:t xml:space="preserve"> among Commonwealth agencies</w:t>
      </w:r>
      <w:r>
        <w:rPr>
          <w:color w:val="auto"/>
          <w:lang w:eastAsia="en-AU"/>
        </w:rPr>
        <w:t>.</w:t>
      </w:r>
    </w:p>
    <w:bookmarkEnd w:id="77"/>
    <w:p w14:paraId="6424DA14" w14:textId="46F3FC8C" w:rsidR="00DF0CB5" w:rsidRDefault="00DF0CB5" w:rsidP="00DF0CB5">
      <w:pPr>
        <w:pStyle w:val="BodyText"/>
        <w:shd w:val="clear" w:color="auto" w:fill="D7EFF2" w:themeFill="accent3" w:themeFillTint="66"/>
        <w:rPr>
          <w:lang w:eastAsia="en-AU"/>
        </w:rPr>
      </w:pPr>
      <w:r w:rsidRPr="00934133">
        <w:rPr>
          <w:b/>
          <w:bCs/>
          <w:lang w:eastAsia="en-AU"/>
        </w:rPr>
        <w:t>Finding 1</w:t>
      </w:r>
      <w:r w:rsidR="001E1A70">
        <w:rPr>
          <w:b/>
          <w:bCs/>
          <w:lang w:eastAsia="en-AU"/>
        </w:rPr>
        <w:t>8</w:t>
      </w:r>
      <w:r w:rsidRPr="00934133">
        <w:rPr>
          <w:lang w:eastAsia="en-AU"/>
        </w:rPr>
        <w:t xml:space="preserve">: The </w:t>
      </w:r>
      <w:r w:rsidR="008659AD">
        <w:rPr>
          <w:lang w:eastAsia="en-AU"/>
        </w:rPr>
        <w:t>g</w:t>
      </w:r>
      <w:r w:rsidRPr="00934133">
        <w:rPr>
          <w:lang w:eastAsia="en-AU"/>
        </w:rPr>
        <w:t>eneral</w:t>
      </w:r>
      <w:r w:rsidRPr="00DF5661">
        <w:rPr>
          <w:lang w:eastAsia="en-AU"/>
        </w:rPr>
        <w:t xml:space="preserve"> </w:t>
      </w:r>
      <w:r w:rsidR="008659AD">
        <w:rPr>
          <w:lang w:eastAsia="en-AU"/>
        </w:rPr>
        <w:t>m</w:t>
      </w:r>
      <w:r w:rsidRPr="00DF5661">
        <w:rPr>
          <w:lang w:eastAsia="en-AU"/>
        </w:rPr>
        <w:t>anager AIP has influence, but no compliance powers for Commonwealth-funded projects and limited visibility of non-compliance.</w:t>
      </w:r>
    </w:p>
    <w:p w14:paraId="74CF0FAC" w14:textId="6DB06C1B" w:rsidR="00DF0CB5" w:rsidRDefault="00DF0CB5" w:rsidP="00DF0CB5">
      <w:pPr>
        <w:pStyle w:val="Caption"/>
        <w:rPr>
          <w:color w:val="005677" w:themeColor="background2"/>
        </w:rPr>
      </w:pPr>
      <w:r w:rsidRPr="008E12A7">
        <w:rPr>
          <w:color w:val="005677" w:themeColor="background2"/>
        </w:rPr>
        <w:t>Box 3.</w:t>
      </w:r>
      <w:r w:rsidR="00247349" w:rsidRPr="008E12A7">
        <w:rPr>
          <w:color w:val="005677" w:themeColor="background2"/>
        </w:rPr>
        <w:t>2.</w:t>
      </w:r>
      <w:r w:rsidR="001E1A70" w:rsidRPr="008E12A7">
        <w:rPr>
          <w:color w:val="005677" w:themeColor="background2"/>
        </w:rPr>
        <w:t>4</w:t>
      </w:r>
      <w:r w:rsidRPr="008E12A7">
        <w:rPr>
          <w:color w:val="005677" w:themeColor="background2"/>
        </w:rPr>
        <w:t xml:space="preserve"> Recommendation 1</w:t>
      </w:r>
      <w:r w:rsidR="00653199" w:rsidRPr="008E12A7">
        <w:rPr>
          <w:color w:val="005677" w:themeColor="background2"/>
        </w:rPr>
        <w:t>2</w:t>
      </w:r>
    </w:p>
    <w:p w14:paraId="17AEFA6B" w14:textId="77777777" w:rsidR="008659AD" w:rsidRPr="00EB0673" w:rsidRDefault="008659AD" w:rsidP="00EB0673">
      <w:pPr>
        <w:pStyle w:val="Tabletext"/>
        <w:shd w:val="clear" w:color="auto" w:fill="E9E9EA" w:themeFill="accent5" w:themeFillTint="33"/>
        <w:rPr>
          <w:rFonts w:asciiTheme="minorHAnsi" w:hAnsiTheme="minorHAnsi" w:cstheme="minorHAnsi"/>
          <w:b/>
          <w:bCs/>
          <w:color w:val="auto"/>
        </w:rPr>
      </w:pPr>
      <w:r w:rsidRPr="00EB0673">
        <w:rPr>
          <w:rFonts w:asciiTheme="minorHAnsi" w:hAnsiTheme="minorHAnsi" w:cstheme="minorHAnsi"/>
          <w:b/>
          <w:bCs/>
          <w:color w:val="auto"/>
        </w:rPr>
        <w:t xml:space="preserve">Recommendation 12: </w:t>
      </w:r>
    </w:p>
    <w:p w14:paraId="2EC99444" w14:textId="77777777" w:rsidR="008659AD" w:rsidRPr="00EB0673" w:rsidRDefault="008659AD" w:rsidP="00EB0673">
      <w:pPr>
        <w:pStyle w:val="Tabletext"/>
        <w:shd w:val="clear" w:color="auto" w:fill="E9E9EA" w:themeFill="accent5" w:themeFillTint="33"/>
        <w:rPr>
          <w:rFonts w:asciiTheme="minorHAnsi" w:hAnsiTheme="minorHAnsi" w:cstheme="minorHAnsi"/>
          <w:color w:val="auto"/>
        </w:rPr>
      </w:pPr>
      <w:r w:rsidRPr="00EB0673">
        <w:rPr>
          <w:rFonts w:asciiTheme="minorHAnsi" w:hAnsiTheme="minorHAnsi" w:cstheme="minorHAnsi"/>
          <w:color w:val="auto"/>
        </w:rPr>
        <w:t xml:space="preserve">That DISR: </w:t>
      </w:r>
    </w:p>
    <w:p w14:paraId="0649D3CA" w14:textId="77777777" w:rsidR="008659AD" w:rsidRPr="00EB0673" w:rsidRDefault="008659AD" w:rsidP="00EB0673">
      <w:pPr>
        <w:pStyle w:val="Tabletext"/>
        <w:numPr>
          <w:ilvl w:val="0"/>
          <w:numId w:val="24"/>
        </w:numPr>
        <w:shd w:val="clear" w:color="auto" w:fill="E9E9EA" w:themeFill="accent5" w:themeFillTint="33"/>
        <w:rPr>
          <w:rFonts w:asciiTheme="minorHAnsi" w:hAnsiTheme="minorHAnsi" w:cstheme="minorHAnsi"/>
          <w:color w:val="auto"/>
        </w:rPr>
      </w:pPr>
      <w:r w:rsidRPr="00EB0673">
        <w:rPr>
          <w:rFonts w:asciiTheme="minorHAnsi" w:hAnsiTheme="minorHAnsi" w:cstheme="minorHAnsi"/>
          <w:color w:val="auto"/>
        </w:rPr>
        <w:t>work with DOF on the aims and objectives of Commonwealth AIP requirements, including consideration of introducing a compliance reporting mechanism (which exists for some other Procurement Connected Policies)</w:t>
      </w:r>
    </w:p>
    <w:p w14:paraId="5DA2DA4E" w14:textId="77777777" w:rsidR="008659AD" w:rsidRPr="00EB0673" w:rsidRDefault="008659AD" w:rsidP="00EB0673">
      <w:pPr>
        <w:pStyle w:val="Tabletext"/>
        <w:numPr>
          <w:ilvl w:val="0"/>
          <w:numId w:val="24"/>
        </w:numPr>
        <w:shd w:val="clear" w:color="auto" w:fill="E9E9EA" w:themeFill="accent5" w:themeFillTint="33"/>
        <w:rPr>
          <w:rFonts w:asciiTheme="minorHAnsi" w:hAnsiTheme="minorHAnsi" w:cstheme="minorHAnsi"/>
          <w:color w:val="auto"/>
        </w:rPr>
      </w:pPr>
      <w:r w:rsidRPr="00EB0673">
        <w:rPr>
          <w:rFonts w:asciiTheme="minorHAnsi" w:hAnsiTheme="minorHAnsi" w:cstheme="minorHAnsi"/>
          <w:color w:val="auto"/>
        </w:rPr>
        <w:t>consider introducing a common data identifier to enable more efficient comparison of AusTender and AIP datasets to facilitate compliance monitoring, and</w:t>
      </w:r>
    </w:p>
    <w:p w14:paraId="482BBEE0" w14:textId="19293A00" w:rsidR="008659AD" w:rsidRPr="00EB0673" w:rsidRDefault="008659AD" w:rsidP="00EB0673">
      <w:pPr>
        <w:pStyle w:val="Tabletext"/>
        <w:numPr>
          <w:ilvl w:val="0"/>
          <w:numId w:val="24"/>
        </w:numPr>
        <w:shd w:val="clear" w:color="auto" w:fill="E9E9EA" w:themeFill="accent5" w:themeFillTint="33"/>
        <w:rPr>
          <w:rFonts w:asciiTheme="minorHAnsi" w:hAnsiTheme="minorHAnsi" w:cstheme="minorHAnsi"/>
          <w:color w:val="auto"/>
        </w:rPr>
      </w:pPr>
      <w:r w:rsidRPr="00EB0673">
        <w:rPr>
          <w:rFonts w:asciiTheme="minorHAnsi" w:hAnsiTheme="minorHAnsi" w:cstheme="minorHAnsi"/>
          <w:color w:val="auto"/>
        </w:rPr>
        <w:t>raise awareness of Commonwealth AIP among Commonwealth agencies, including through their procurement areas once Commonwealth AIP requirements are further clarified.</w:t>
      </w:r>
    </w:p>
    <w:p w14:paraId="2F521772" w14:textId="77777777" w:rsidR="00A679AF" w:rsidRDefault="00A679AF" w:rsidP="00A679AF">
      <w:pPr>
        <w:pStyle w:val="Source"/>
        <w:rPr>
          <w:lang w:eastAsia="en-AU"/>
        </w:rPr>
      </w:pPr>
    </w:p>
    <w:p w14:paraId="73C1168A" w14:textId="3B5B2D3C" w:rsidR="008C7513" w:rsidRDefault="008C7513" w:rsidP="00C0682A">
      <w:pPr>
        <w:pStyle w:val="Heading2"/>
      </w:pPr>
      <w:bookmarkStart w:id="78" w:name="_Toc174018030"/>
      <w:r>
        <w:t xml:space="preserve">Data collection, </w:t>
      </w:r>
      <w:proofErr w:type="gramStart"/>
      <w:r>
        <w:t>management</w:t>
      </w:r>
      <w:proofErr w:type="gramEnd"/>
      <w:r>
        <w:t xml:space="preserve"> and analysis</w:t>
      </w:r>
      <w:bookmarkEnd w:id="75"/>
      <w:bookmarkEnd w:id="76"/>
      <w:bookmarkEnd w:id="78"/>
    </w:p>
    <w:p w14:paraId="1E857366" w14:textId="37C0F76D" w:rsidR="00BA7ADC" w:rsidRDefault="00BA7ADC" w:rsidP="00BA7ADC">
      <w:pPr>
        <w:pStyle w:val="Heading3"/>
        <w:rPr>
          <w:lang w:eastAsia="en-AU"/>
        </w:rPr>
      </w:pPr>
      <w:bookmarkStart w:id="79" w:name="_Hlk130568685"/>
      <w:bookmarkStart w:id="80" w:name="_Hlk129785240"/>
      <w:r>
        <w:rPr>
          <w:lang w:eastAsia="en-AU"/>
        </w:rPr>
        <w:t xml:space="preserve">Data collection, </w:t>
      </w:r>
      <w:proofErr w:type="gramStart"/>
      <w:r>
        <w:rPr>
          <w:lang w:eastAsia="en-AU"/>
        </w:rPr>
        <w:t>management</w:t>
      </w:r>
      <w:proofErr w:type="gramEnd"/>
      <w:r>
        <w:rPr>
          <w:lang w:eastAsia="en-AU"/>
        </w:rPr>
        <w:t xml:space="preserve"> and analysis</w:t>
      </w:r>
    </w:p>
    <w:p w14:paraId="4968AD67" w14:textId="44CF6484" w:rsidR="0065019D" w:rsidRDefault="00D31C56" w:rsidP="008C7513">
      <w:pPr>
        <w:pStyle w:val="BodyText"/>
        <w:rPr>
          <w:color w:val="000000" w:themeColor="text1"/>
          <w:lang w:eastAsia="en-AU"/>
        </w:rPr>
      </w:pPr>
      <w:r w:rsidRPr="00D31C56">
        <w:rPr>
          <w:color w:val="000000" w:themeColor="text1"/>
          <w:lang w:eastAsia="en-AU"/>
        </w:rPr>
        <w:t xml:space="preserve">The </w:t>
      </w:r>
      <w:r>
        <w:rPr>
          <w:color w:val="000000" w:themeColor="text1"/>
          <w:lang w:eastAsia="en-AU"/>
        </w:rPr>
        <w:t xml:space="preserve">current approach to data collection and management has significant limitations. </w:t>
      </w:r>
      <w:r w:rsidR="0065019D">
        <w:rPr>
          <w:color w:val="000000" w:themeColor="text1"/>
          <w:lang w:eastAsia="en-AU"/>
        </w:rPr>
        <w:t xml:space="preserve">While data </w:t>
      </w:r>
      <w:r w:rsidR="0065019D" w:rsidRPr="00653199">
        <w:rPr>
          <w:color w:val="000000" w:themeColor="text1"/>
          <w:lang w:eastAsia="en-AU"/>
        </w:rPr>
        <w:t xml:space="preserve">is being </w:t>
      </w:r>
      <w:r w:rsidR="00C4492F" w:rsidRPr="00653199">
        <w:rPr>
          <w:color w:val="000000" w:themeColor="text1"/>
          <w:lang w:eastAsia="en-AU"/>
        </w:rPr>
        <w:t>collected, it is gathered in various types of forms and formats</w:t>
      </w:r>
      <w:r w:rsidR="00CC0C05" w:rsidRPr="00653199">
        <w:rPr>
          <w:color w:val="000000" w:themeColor="text1"/>
          <w:lang w:eastAsia="en-AU"/>
        </w:rPr>
        <w:t>. This makes</w:t>
      </w:r>
      <w:r w:rsidR="00C4492F" w:rsidRPr="00653199">
        <w:rPr>
          <w:color w:val="000000" w:themeColor="text1"/>
          <w:lang w:eastAsia="en-AU"/>
        </w:rPr>
        <w:t xml:space="preserve"> </w:t>
      </w:r>
      <w:r w:rsidR="00CC0C05" w:rsidRPr="00653199">
        <w:rPr>
          <w:color w:val="000000" w:themeColor="text1"/>
          <w:lang w:eastAsia="en-AU"/>
        </w:rPr>
        <w:t>the collation and analysis of data both manual in nature rather than automated.</w:t>
      </w:r>
      <w:r w:rsidR="00C4492F" w:rsidRPr="00653199">
        <w:rPr>
          <w:color w:val="000000" w:themeColor="text1"/>
          <w:lang w:eastAsia="en-AU"/>
        </w:rPr>
        <w:t xml:space="preserve"> </w:t>
      </w:r>
      <w:r w:rsidR="00CC0C05" w:rsidRPr="00653199">
        <w:rPr>
          <w:color w:val="000000" w:themeColor="text1"/>
          <w:lang w:eastAsia="en-AU"/>
        </w:rPr>
        <w:t>I</w:t>
      </w:r>
      <w:r w:rsidR="00C4492F" w:rsidRPr="00653199">
        <w:rPr>
          <w:color w:val="000000" w:themeColor="text1"/>
          <w:lang w:eastAsia="en-AU"/>
        </w:rPr>
        <w:t>n the</w:t>
      </w:r>
      <w:r w:rsidR="00C4492F">
        <w:rPr>
          <w:color w:val="000000" w:themeColor="text1"/>
          <w:lang w:eastAsia="en-AU"/>
        </w:rPr>
        <w:t xml:space="preserve"> case of SmartForms, </w:t>
      </w:r>
      <w:r w:rsidR="00B77FA5">
        <w:rPr>
          <w:color w:val="000000" w:themeColor="text1"/>
          <w:lang w:eastAsia="en-AU"/>
        </w:rPr>
        <w:t>while this format may have improved the user experience for businesses, the forms do not allow for easy data extraction. D</w:t>
      </w:r>
      <w:r w:rsidR="00C4492F" w:rsidRPr="00C4492F">
        <w:rPr>
          <w:color w:val="000000" w:themeColor="text1"/>
          <w:lang w:eastAsia="en-AU"/>
        </w:rPr>
        <w:t>ata first need</w:t>
      </w:r>
      <w:r w:rsidR="00B77FA5">
        <w:rPr>
          <w:color w:val="000000" w:themeColor="text1"/>
          <w:lang w:eastAsia="en-AU"/>
        </w:rPr>
        <w:t>ed</w:t>
      </w:r>
      <w:r w:rsidR="00C4492F" w:rsidRPr="00C4492F">
        <w:rPr>
          <w:color w:val="000000" w:themeColor="text1"/>
          <w:lang w:eastAsia="en-AU"/>
        </w:rPr>
        <w:t xml:space="preserve"> to be manually extracted from PDFs and collated into a useful format</w:t>
      </w:r>
      <w:r w:rsidR="00B77FA5">
        <w:rPr>
          <w:color w:val="000000" w:themeColor="text1"/>
          <w:lang w:eastAsia="en-AU"/>
        </w:rPr>
        <w:t xml:space="preserve"> for analysis</w:t>
      </w:r>
      <w:r w:rsidR="00C4492F" w:rsidRPr="00C4492F">
        <w:rPr>
          <w:color w:val="000000" w:themeColor="text1"/>
          <w:lang w:eastAsia="en-AU"/>
        </w:rPr>
        <w:t>.</w:t>
      </w:r>
      <w:r w:rsidR="00221951">
        <w:rPr>
          <w:color w:val="000000" w:themeColor="text1"/>
          <w:lang w:eastAsia="en-AU"/>
        </w:rPr>
        <w:t xml:space="preserve"> </w:t>
      </w:r>
      <w:r w:rsidR="008B2F17">
        <w:rPr>
          <w:color w:val="000000" w:themeColor="text1"/>
          <w:lang w:eastAsia="en-AU"/>
        </w:rPr>
        <w:t>A DISR interviewee observed that:</w:t>
      </w:r>
    </w:p>
    <w:p w14:paraId="3D2E4004" w14:textId="6E04BE0A" w:rsidR="008B2F17" w:rsidRPr="00B77FA5" w:rsidRDefault="008B2F17" w:rsidP="008E12A7">
      <w:pPr>
        <w:pStyle w:val="BodyText"/>
        <w:ind w:left="720" w:right="946"/>
        <w:rPr>
          <w:color w:val="1B9590" w:themeColor="accent1"/>
          <w:lang w:eastAsia="en-AU"/>
        </w:rPr>
      </w:pPr>
      <w:r w:rsidRPr="008B2F17">
        <w:rPr>
          <w:i/>
        </w:rPr>
        <w:t>We collect a lot of data, but the way we utilise that data, I think there’s room for improvement there, because we can mine it a lot better, and I think connect it a lot better to outcomes.”</w:t>
      </w:r>
    </w:p>
    <w:p w14:paraId="150508AE" w14:textId="0FC7F067" w:rsidR="00C4492F" w:rsidRDefault="00B77FA5" w:rsidP="008C7513">
      <w:pPr>
        <w:pStyle w:val="BodyText"/>
        <w:rPr>
          <w:color w:val="000000" w:themeColor="text1"/>
          <w:lang w:eastAsia="en-AU"/>
        </w:rPr>
      </w:pPr>
      <w:r>
        <w:rPr>
          <w:color w:val="000000" w:themeColor="text1"/>
          <w:lang w:eastAsia="en-AU"/>
        </w:rPr>
        <w:t>C</w:t>
      </w:r>
      <w:r w:rsidR="00C4492F">
        <w:rPr>
          <w:color w:val="000000" w:themeColor="text1"/>
          <w:lang w:eastAsia="en-AU"/>
        </w:rPr>
        <w:t xml:space="preserve">urrent arrangements </w:t>
      </w:r>
      <w:r>
        <w:rPr>
          <w:color w:val="000000" w:themeColor="text1"/>
          <w:lang w:eastAsia="en-AU"/>
        </w:rPr>
        <w:t xml:space="preserve">including the lack of </w:t>
      </w:r>
      <w:r w:rsidR="004954C3">
        <w:rPr>
          <w:color w:val="000000" w:themeColor="text1"/>
          <w:lang w:eastAsia="en-AU"/>
        </w:rPr>
        <w:t>a monitoring and evaluation</w:t>
      </w:r>
      <w:r w:rsidRPr="003E3CF3">
        <w:rPr>
          <w:color w:val="auto"/>
        </w:rPr>
        <w:t xml:space="preserve"> framework</w:t>
      </w:r>
      <w:r>
        <w:rPr>
          <w:color w:val="auto"/>
        </w:rPr>
        <w:t xml:space="preserve"> (see below),</w:t>
      </w:r>
      <w:r>
        <w:rPr>
          <w:color w:val="000000" w:themeColor="text1"/>
          <w:lang w:eastAsia="en-AU"/>
        </w:rPr>
        <w:t xml:space="preserve"> </w:t>
      </w:r>
      <w:r w:rsidR="00C4492F">
        <w:rPr>
          <w:color w:val="000000" w:themeColor="text1"/>
          <w:lang w:eastAsia="en-AU"/>
        </w:rPr>
        <w:t>do</w:t>
      </w:r>
      <w:r w:rsidR="00C4492F" w:rsidRPr="00C4492F">
        <w:rPr>
          <w:color w:val="000000" w:themeColor="text1"/>
          <w:lang w:eastAsia="en-AU"/>
        </w:rPr>
        <w:t xml:space="preserve"> not effectively support data analysis, compliance monitoring</w:t>
      </w:r>
      <w:r w:rsidR="00C4492F">
        <w:rPr>
          <w:color w:val="000000" w:themeColor="text1"/>
          <w:lang w:eastAsia="en-AU"/>
        </w:rPr>
        <w:t xml:space="preserve"> and</w:t>
      </w:r>
      <w:r w:rsidR="00C4492F" w:rsidRPr="00C4492F">
        <w:rPr>
          <w:color w:val="000000" w:themeColor="text1"/>
          <w:lang w:eastAsia="en-AU"/>
        </w:rPr>
        <w:t xml:space="preserve"> the tracking of outcomes and impacts</w:t>
      </w:r>
      <w:r w:rsidR="00C4492F">
        <w:rPr>
          <w:color w:val="000000" w:themeColor="text1"/>
          <w:lang w:eastAsia="en-AU"/>
        </w:rPr>
        <w:t xml:space="preserve">. It also </w:t>
      </w:r>
      <w:r w:rsidR="007C58CF">
        <w:rPr>
          <w:color w:val="000000" w:themeColor="text1"/>
          <w:lang w:eastAsia="en-AU"/>
        </w:rPr>
        <w:t xml:space="preserve">does not </w:t>
      </w:r>
      <w:r w:rsidR="00FA3F00">
        <w:rPr>
          <w:color w:val="000000" w:themeColor="text1"/>
          <w:lang w:eastAsia="en-AU"/>
        </w:rPr>
        <w:t xml:space="preserve">effectively </w:t>
      </w:r>
      <w:r w:rsidR="007C58CF">
        <w:rPr>
          <w:color w:val="000000" w:themeColor="text1"/>
          <w:lang w:eastAsia="en-AU"/>
        </w:rPr>
        <w:t xml:space="preserve">support </w:t>
      </w:r>
      <w:r w:rsidR="009E3D91">
        <w:rPr>
          <w:color w:val="000000" w:themeColor="text1"/>
          <w:lang w:eastAsia="en-AU"/>
        </w:rPr>
        <w:t>evidence</w:t>
      </w:r>
      <w:r w:rsidR="007C58CF">
        <w:rPr>
          <w:color w:val="000000" w:themeColor="text1"/>
          <w:lang w:eastAsia="en-AU"/>
        </w:rPr>
        <w:t>-based</w:t>
      </w:r>
      <w:r w:rsidR="00C4492F" w:rsidRPr="00C4492F">
        <w:rPr>
          <w:color w:val="000000" w:themeColor="text1"/>
          <w:lang w:eastAsia="en-AU"/>
        </w:rPr>
        <w:t xml:space="preserve"> insights for</w:t>
      </w:r>
      <w:r w:rsidR="00FA3F00">
        <w:rPr>
          <w:color w:val="000000" w:themeColor="text1"/>
          <w:lang w:eastAsia="en-AU"/>
        </w:rPr>
        <w:t xml:space="preserve"> </w:t>
      </w:r>
      <w:r w:rsidR="005621CB">
        <w:rPr>
          <w:color w:val="000000" w:themeColor="text1"/>
          <w:lang w:eastAsia="en-AU"/>
        </w:rPr>
        <w:t>a more</w:t>
      </w:r>
      <w:r w:rsidR="00FA3F00" w:rsidRPr="00FA3F00">
        <w:rPr>
          <w:color w:val="000000" w:themeColor="text1"/>
          <w:lang w:eastAsia="en-AU"/>
        </w:rPr>
        <w:t xml:space="preserve"> targeted approach to communicatio</w:t>
      </w:r>
      <w:r w:rsidR="00FA3F00">
        <w:rPr>
          <w:color w:val="000000" w:themeColor="text1"/>
          <w:lang w:eastAsia="en-AU"/>
        </w:rPr>
        <w:t>n and</w:t>
      </w:r>
      <w:r w:rsidR="00FA3F00" w:rsidRPr="00FA3F00">
        <w:rPr>
          <w:color w:val="000000" w:themeColor="text1"/>
          <w:lang w:eastAsia="en-AU"/>
        </w:rPr>
        <w:t xml:space="preserve"> risk-based compliance</w:t>
      </w:r>
      <w:r w:rsidR="00FA3F00">
        <w:rPr>
          <w:color w:val="000000" w:themeColor="text1"/>
          <w:lang w:eastAsia="en-AU"/>
        </w:rPr>
        <w:t>.</w:t>
      </w:r>
      <w:r w:rsidR="00221951">
        <w:rPr>
          <w:color w:val="000000" w:themeColor="text1"/>
          <w:lang w:eastAsia="en-AU"/>
        </w:rPr>
        <w:t xml:space="preserve"> </w:t>
      </w:r>
    </w:p>
    <w:p w14:paraId="02F70C4D" w14:textId="7A47F995" w:rsidR="005A7FAA" w:rsidRPr="00D31C56" w:rsidRDefault="005A7FAA" w:rsidP="008C7513">
      <w:pPr>
        <w:pStyle w:val="BodyText"/>
        <w:rPr>
          <w:color w:val="000000" w:themeColor="text1"/>
          <w:lang w:eastAsia="en-AU"/>
        </w:rPr>
      </w:pPr>
      <w:r>
        <w:rPr>
          <w:color w:val="000000" w:themeColor="text1"/>
          <w:lang w:eastAsia="en-AU"/>
        </w:rPr>
        <w:t xml:space="preserve">In relation to Commonwealth procurements, the evaluation also found the lack of a </w:t>
      </w:r>
      <w:r w:rsidRPr="005A7FAA">
        <w:rPr>
          <w:color w:val="000000" w:themeColor="text1"/>
          <w:lang w:eastAsia="en-AU"/>
        </w:rPr>
        <w:t>common identifier between AusTender and AIP datasets limits DISR’s ability to monitor compliance</w:t>
      </w:r>
      <w:r w:rsidR="00847016">
        <w:rPr>
          <w:color w:val="000000" w:themeColor="text1"/>
          <w:lang w:eastAsia="en-AU"/>
        </w:rPr>
        <w:t xml:space="preserve"> and support targeted communication</w:t>
      </w:r>
      <w:r w:rsidR="00C83900">
        <w:rPr>
          <w:color w:val="000000" w:themeColor="text1"/>
          <w:lang w:eastAsia="en-AU"/>
        </w:rPr>
        <w:t xml:space="preserve"> with the suppliers</w:t>
      </w:r>
      <w:r w:rsidR="00847016">
        <w:rPr>
          <w:color w:val="000000" w:themeColor="text1"/>
          <w:lang w:eastAsia="en-AU"/>
        </w:rPr>
        <w:t xml:space="preserve"> on non-compliance.</w:t>
      </w:r>
    </w:p>
    <w:p w14:paraId="0B9D0582" w14:textId="65BDE711" w:rsidR="008C7513" w:rsidRDefault="008C7513" w:rsidP="008C7513">
      <w:pPr>
        <w:pStyle w:val="BodyText"/>
        <w:rPr>
          <w:lang w:eastAsia="en-AU"/>
        </w:rPr>
      </w:pPr>
      <w:r w:rsidRPr="005A7FAA">
        <w:rPr>
          <w:color w:val="000000" w:themeColor="text1"/>
          <w:lang w:eastAsia="en-AU"/>
        </w:rPr>
        <w:lastRenderedPageBreak/>
        <w:t>ICN interviewees noted that the Victorian system better facilitated outcome tracing due to the early engagement of ICN and cascading reporting required through the supply chain.</w:t>
      </w:r>
      <w:r w:rsidR="005A7FAA" w:rsidRPr="005A7FAA">
        <w:rPr>
          <w:color w:val="000000" w:themeColor="text1"/>
        </w:rPr>
        <w:t xml:space="preserve"> </w:t>
      </w:r>
      <w:r w:rsidR="005A7FAA" w:rsidRPr="00B63A30">
        <w:rPr>
          <w:lang w:eastAsia="en-AU"/>
        </w:rPr>
        <w:t>They also emphasised that ICN benefits from the common systems and processes established throughout the organisation.</w:t>
      </w:r>
    </w:p>
    <w:bookmarkEnd w:id="79"/>
    <w:p w14:paraId="03838EDF" w14:textId="7F5C276D" w:rsidR="008C7513" w:rsidRDefault="008C7513" w:rsidP="008C7513">
      <w:pPr>
        <w:pStyle w:val="BodyText"/>
        <w:shd w:val="clear" w:color="auto" w:fill="D7EFF2" w:themeFill="accent3" w:themeFillTint="66"/>
        <w:rPr>
          <w:lang w:eastAsia="en-AU"/>
        </w:rPr>
      </w:pPr>
      <w:r w:rsidRPr="00934133">
        <w:rPr>
          <w:b/>
          <w:bCs/>
          <w:lang w:eastAsia="en-AU"/>
        </w:rPr>
        <w:t>Finding 1</w:t>
      </w:r>
      <w:r w:rsidR="001E1A70">
        <w:rPr>
          <w:b/>
          <w:bCs/>
          <w:lang w:eastAsia="en-AU"/>
        </w:rPr>
        <w:t>9</w:t>
      </w:r>
      <w:r w:rsidR="00BD4040">
        <w:rPr>
          <w:b/>
          <w:bCs/>
          <w:lang w:eastAsia="en-AU"/>
        </w:rPr>
        <w:t>:</w:t>
      </w:r>
      <w:r w:rsidRPr="00934133">
        <w:rPr>
          <w:lang w:eastAsia="en-AU"/>
        </w:rPr>
        <w:t xml:space="preserve"> The</w:t>
      </w:r>
      <w:r>
        <w:rPr>
          <w:lang w:eastAsia="en-AU"/>
        </w:rPr>
        <w:t xml:space="preserve"> </w:t>
      </w:r>
      <w:r w:rsidR="008A742F" w:rsidRPr="008A742F">
        <w:rPr>
          <w:lang w:eastAsia="en-AU"/>
        </w:rPr>
        <w:t>current data collection and management processes and system have significant limitations. They do not effectively support a targeted approach to communication, a risk-based approach to compliance, or assessment of whether the AIP Policy is achieving its outcomes</w:t>
      </w:r>
      <w:r w:rsidR="008A742F">
        <w:rPr>
          <w:lang w:eastAsia="en-AU"/>
        </w:rPr>
        <w:t>.</w:t>
      </w:r>
    </w:p>
    <w:bookmarkEnd w:id="80"/>
    <w:p w14:paraId="0FF231D6" w14:textId="66764464" w:rsidR="00ED4552" w:rsidRDefault="00ED4552" w:rsidP="00ED4552">
      <w:pPr>
        <w:pStyle w:val="Caption"/>
        <w:rPr>
          <w:color w:val="005677" w:themeColor="background2"/>
        </w:rPr>
      </w:pPr>
      <w:r w:rsidRPr="008E12A7">
        <w:rPr>
          <w:color w:val="005677" w:themeColor="background2"/>
        </w:rPr>
        <w:t>Box 3.</w:t>
      </w:r>
      <w:r w:rsidR="00247349" w:rsidRPr="008E12A7">
        <w:rPr>
          <w:color w:val="005677" w:themeColor="background2"/>
        </w:rPr>
        <w:t>3</w:t>
      </w:r>
      <w:r w:rsidR="00BD4040" w:rsidRPr="008E12A7">
        <w:rPr>
          <w:color w:val="005677" w:themeColor="background2"/>
        </w:rPr>
        <w:t xml:space="preserve">.1 </w:t>
      </w:r>
      <w:r w:rsidRPr="008E12A7">
        <w:rPr>
          <w:color w:val="005677" w:themeColor="background2"/>
        </w:rPr>
        <w:t xml:space="preserve">Recommendation </w:t>
      </w:r>
      <w:r w:rsidR="008A742F" w:rsidRPr="008E12A7">
        <w:rPr>
          <w:color w:val="005677" w:themeColor="background2"/>
        </w:rPr>
        <w:t>1</w:t>
      </w:r>
      <w:r w:rsidR="009915C9" w:rsidRPr="008E12A7">
        <w:rPr>
          <w:color w:val="005677" w:themeColor="background2"/>
        </w:rPr>
        <w:t>3</w:t>
      </w:r>
    </w:p>
    <w:p w14:paraId="6B4CB465" w14:textId="42C02CAF" w:rsidR="008659AD" w:rsidRPr="00EB0673" w:rsidRDefault="008659AD" w:rsidP="00EB0673">
      <w:pPr>
        <w:pStyle w:val="Placeholder"/>
        <w:shd w:val="clear" w:color="auto" w:fill="E9E9EA" w:themeFill="accent5" w:themeFillTint="33"/>
        <w:jc w:val="left"/>
        <w:rPr>
          <w:rFonts w:asciiTheme="minorHAnsi" w:hAnsiTheme="minorHAnsi" w:cstheme="minorHAnsi"/>
        </w:rPr>
      </w:pPr>
      <w:r w:rsidRPr="00EB0673">
        <w:rPr>
          <w:rFonts w:asciiTheme="minorHAnsi" w:hAnsiTheme="minorHAnsi" w:cstheme="minorHAnsi"/>
          <w:b/>
          <w:bCs/>
          <w:color w:val="auto"/>
        </w:rPr>
        <w:t xml:space="preserve">Recommendation 13: </w:t>
      </w:r>
      <w:r w:rsidRPr="00EB0673">
        <w:rPr>
          <w:rFonts w:asciiTheme="minorHAnsi" w:hAnsiTheme="minorHAnsi" w:cstheme="minorHAnsi"/>
          <w:lang w:eastAsia="en-AU"/>
        </w:rPr>
        <w:t xml:space="preserve">That DISR implement improved data collection and management to support analysis and inform future policy decision-making. This would allow DISR to better target education, information and compliance activities to </w:t>
      </w:r>
      <w:proofErr w:type="gramStart"/>
      <w:r w:rsidRPr="00EB0673">
        <w:rPr>
          <w:rFonts w:asciiTheme="minorHAnsi" w:hAnsiTheme="minorHAnsi" w:cstheme="minorHAnsi"/>
          <w:lang w:eastAsia="en-AU"/>
        </w:rPr>
        <w:t>particular sectors</w:t>
      </w:r>
      <w:proofErr w:type="gramEnd"/>
      <w:r w:rsidRPr="00EB0673">
        <w:rPr>
          <w:rFonts w:asciiTheme="minorHAnsi" w:hAnsiTheme="minorHAnsi" w:cstheme="minorHAnsi"/>
          <w:lang w:eastAsia="en-AU"/>
        </w:rPr>
        <w:t xml:space="preserve"> and locations. It would also support assessment of </w:t>
      </w:r>
      <w:proofErr w:type="gramStart"/>
      <w:r w:rsidRPr="00EB0673">
        <w:rPr>
          <w:rFonts w:asciiTheme="minorHAnsi" w:hAnsiTheme="minorHAnsi" w:cstheme="minorHAnsi"/>
          <w:lang w:eastAsia="en-AU"/>
        </w:rPr>
        <w:t xml:space="preserve">whether </w:t>
      </w:r>
      <w:r w:rsidRPr="00EB0673" w:rsidDel="00951047">
        <w:rPr>
          <w:rFonts w:asciiTheme="minorHAnsi" w:hAnsiTheme="minorHAnsi" w:cstheme="minorHAnsi"/>
          <w:lang w:eastAsia="en-AU"/>
        </w:rPr>
        <w:t>or not</w:t>
      </w:r>
      <w:proofErr w:type="gramEnd"/>
      <w:r w:rsidRPr="00EB0673" w:rsidDel="00951047">
        <w:rPr>
          <w:rFonts w:asciiTheme="minorHAnsi" w:hAnsiTheme="minorHAnsi" w:cstheme="minorHAnsi"/>
          <w:lang w:eastAsia="en-AU"/>
        </w:rPr>
        <w:t xml:space="preserve"> AIP </w:t>
      </w:r>
      <w:r w:rsidRPr="00EB0673">
        <w:rPr>
          <w:rFonts w:asciiTheme="minorHAnsi" w:hAnsiTheme="minorHAnsi" w:cstheme="minorHAnsi"/>
          <w:lang w:eastAsia="en-AU"/>
        </w:rPr>
        <w:t>policy is achieving its intended policy outcomes.</w:t>
      </w:r>
    </w:p>
    <w:p w14:paraId="63874D38" w14:textId="77777777" w:rsidR="00ED4552" w:rsidRPr="00E601BB" w:rsidRDefault="00ED4552" w:rsidP="00730852">
      <w:pPr>
        <w:pStyle w:val="BodyText"/>
        <w:pBdr>
          <w:bottom w:val="single" w:sz="4" w:space="1" w:color="auto"/>
        </w:pBdr>
      </w:pPr>
      <w:bookmarkStart w:id="81" w:name="_Hlk130894699"/>
    </w:p>
    <w:p w14:paraId="2718705B" w14:textId="084611DC" w:rsidR="00DF0CB5" w:rsidRPr="00DF0CB5" w:rsidRDefault="00DF0CB5" w:rsidP="00DF0CB5">
      <w:pPr>
        <w:pStyle w:val="Heading3"/>
      </w:pPr>
      <w:bookmarkStart w:id="82" w:name="_Toc127440390"/>
      <w:bookmarkEnd w:id="81"/>
      <w:r w:rsidRPr="00DF0CB5">
        <w:t>Monitoring and evaluation framework</w:t>
      </w:r>
    </w:p>
    <w:p w14:paraId="2C9B364B" w14:textId="2F8B782E" w:rsidR="00F72119" w:rsidRPr="00F72119" w:rsidRDefault="00F72119" w:rsidP="00F72119">
      <w:pPr>
        <w:pStyle w:val="BodyText"/>
        <w:rPr>
          <w:color w:val="auto"/>
        </w:rPr>
      </w:pPr>
      <w:bookmarkStart w:id="83" w:name="_Hlk132114910"/>
      <w:r w:rsidRPr="00F72119">
        <w:rPr>
          <w:color w:val="auto"/>
        </w:rPr>
        <w:t xml:space="preserve">The AIP policy lacks a </w:t>
      </w:r>
      <w:r w:rsidR="002741BD">
        <w:rPr>
          <w:color w:val="auto"/>
        </w:rPr>
        <w:t>monitoring and evaluation</w:t>
      </w:r>
      <w:r w:rsidRPr="00F72119">
        <w:rPr>
          <w:color w:val="auto"/>
        </w:rPr>
        <w:t xml:space="preserve"> framework and fit-for-purpose data system which make it difficult to clearly establish the extent to which AIP policy is achieving its intended outcomes. As noted above, the current data collection and management processes also have significant limitations and do not effectively support data analysis.</w:t>
      </w:r>
    </w:p>
    <w:p w14:paraId="597EB8C1" w14:textId="2C5275C2" w:rsidR="00F72119" w:rsidRPr="008B3D3F" w:rsidRDefault="00F72119" w:rsidP="00F72119">
      <w:pPr>
        <w:pStyle w:val="BodyText"/>
        <w:rPr>
          <w:color w:val="auto"/>
        </w:rPr>
      </w:pPr>
      <w:r w:rsidRPr="00F72119">
        <w:rPr>
          <w:color w:val="auto"/>
        </w:rPr>
        <w:t xml:space="preserve">Previously work was done on preparing a framework. In response to </w:t>
      </w:r>
      <w:r w:rsidR="008659AD">
        <w:rPr>
          <w:color w:val="auto"/>
        </w:rPr>
        <w:t>r</w:t>
      </w:r>
      <w:r w:rsidRPr="00F72119">
        <w:rPr>
          <w:color w:val="auto"/>
        </w:rPr>
        <w:t>ecommendation of the 2018 Jobs Act Review</w:t>
      </w:r>
      <w:r w:rsidR="00E132D9">
        <w:rPr>
          <w:rStyle w:val="FootnoteReference"/>
          <w:color w:val="auto"/>
        </w:rPr>
        <w:footnoteReference w:id="21"/>
      </w:r>
      <w:r w:rsidRPr="00F72119">
        <w:rPr>
          <w:color w:val="auto"/>
        </w:rPr>
        <w:t xml:space="preserve">, a draft evaluation framework for AIP was </w:t>
      </w:r>
      <w:r w:rsidRPr="008B3D3F">
        <w:rPr>
          <w:color w:val="auto"/>
        </w:rPr>
        <w:t>prepared in 2019. However, it was not finalised and approved</w:t>
      </w:r>
      <w:r w:rsidR="00116102" w:rsidRPr="008B3D3F">
        <w:rPr>
          <w:color w:val="auto"/>
        </w:rPr>
        <w:t xml:space="preserve"> due to </w:t>
      </w:r>
      <w:r w:rsidR="001C3AB7" w:rsidRPr="008B3D3F">
        <w:rPr>
          <w:color w:val="auto"/>
        </w:rPr>
        <w:t>other priorities and staff turnover</w:t>
      </w:r>
      <w:r w:rsidRPr="008B3D3F">
        <w:rPr>
          <w:color w:val="auto"/>
        </w:rPr>
        <w:t xml:space="preserve">. </w:t>
      </w:r>
    </w:p>
    <w:p w14:paraId="6D82B853" w14:textId="460A3C5C" w:rsidR="00F72119" w:rsidRPr="008B3D3F" w:rsidRDefault="00F72119" w:rsidP="00F72119">
      <w:pPr>
        <w:pStyle w:val="BodyText"/>
        <w:rPr>
          <w:color w:val="auto"/>
        </w:rPr>
      </w:pPr>
      <w:r w:rsidRPr="008B3D3F">
        <w:rPr>
          <w:color w:val="auto"/>
        </w:rPr>
        <w:t>The 2018 Review noted that ‘without specific measurements and quantifiable data captured over time it is difficult for stakeholders (and the AIP Authority) to develop knowledge, make decisions and continually improve. It is important that the AIP Authority has a framework in place that aims to generate credible information to measure progress toward achieving outcomes and for regulatory improvement, learning and accountability.’</w:t>
      </w:r>
    </w:p>
    <w:p w14:paraId="358F9BE7" w14:textId="55088A23" w:rsidR="00CE6DC8" w:rsidRPr="008B3D3F" w:rsidRDefault="00915389" w:rsidP="00915389">
      <w:pPr>
        <w:pStyle w:val="BodyText"/>
        <w:rPr>
          <w:color w:val="auto"/>
        </w:rPr>
      </w:pPr>
      <w:r w:rsidRPr="008B3D3F">
        <w:rPr>
          <w:color w:val="auto"/>
        </w:rPr>
        <w:t xml:space="preserve">In connection with this, monitoring </w:t>
      </w:r>
      <w:r w:rsidR="00CE6DC8" w:rsidRPr="008B3D3F">
        <w:rPr>
          <w:color w:val="auto"/>
        </w:rPr>
        <w:t xml:space="preserve">the implementation of </w:t>
      </w:r>
      <w:r w:rsidR="00107B89" w:rsidRPr="008B3D3F">
        <w:rPr>
          <w:color w:val="auto"/>
        </w:rPr>
        <w:t xml:space="preserve">AIP review and evaluation </w:t>
      </w:r>
      <w:r w:rsidR="00CE6DC8" w:rsidRPr="008B3D3F">
        <w:rPr>
          <w:color w:val="auto"/>
        </w:rPr>
        <w:t>recommendations</w:t>
      </w:r>
      <w:r w:rsidRPr="008B3D3F">
        <w:rPr>
          <w:color w:val="auto"/>
        </w:rPr>
        <w:t xml:space="preserve"> can be built into a </w:t>
      </w:r>
      <w:r w:rsidRPr="008B3D3F">
        <w:t>framework</w:t>
      </w:r>
      <w:r w:rsidRPr="008B3D3F">
        <w:rPr>
          <w:color w:val="auto"/>
        </w:rPr>
        <w:t>. This</w:t>
      </w:r>
      <w:r w:rsidR="00CE6DC8" w:rsidRPr="008B3D3F">
        <w:rPr>
          <w:color w:val="auto"/>
        </w:rPr>
        <w:t xml:space="preserve"> would </w:t>
      </w:r>
      <w:r w:rsidRPr="008B3D3F">
        <w:rPr>
          <w:color w:val="auto"/>
        </w:rPr>
        <w:t>support</w:t>
      </w:r>
      <w:r w:rsidR="00CE6DC8" w:rsidRPr="008B3D3F">
        <w:rPr>
          <w:color w:val="auto"/>
        </w:rPr>
        <w:t xml:space="preserve"> </w:t>
      </w:r>
      <w:r w:rsidRPr="008B3D3F">
        <w:rPr>
          <w:color w:val="auto"/>
        </w:rPr>
        <w:t>the implementation of</w:t>
      </w:r>
      <w:r w:rsidR="00CE6DC8" w:rsidRPr="008B3D3F">
        <w:rPr>
          <w:color w:val="auto"/>
        </w:rPr>
        <w:t xml:space="preserve"> recommendations</w:t>
      </w:r>
      <w:r w:rsidRPr="008B3D3F">
        <w:rPr>
          <w:color w:val="auto"/>
        </w:rPr>
        <w:t xml:space="preserve">, </w:t>
      </w:r>
      <w:r w:rsidR="00AD1449" w:rsidRPr="008B3D3F">
        <w:rPr>
          <w:color w:val="auto"/>
        </w:rPr>
        <w:t>measurement of</w:t>
      </w:r>
      <w:r w:rsidRPr="008B3D3F">
        <w:rPr>
          <w:color w:val="auto"/>
        </w:rPr>
        <w:t xml:space="preserve"> impacts and </w:t>
      </w:r>
      <w:r w:rsidR="00AD1449" w:rsidRPr="008B3D3F">
        <w:rPr>
          <w:color w:val="auto"/>
        </w:rPr>
        <w:t>assessing</w:t>
      </w:r>
      <w:r w:rsidR="00CE6DC8" w:rsidRPr="008B3D3F">
        <w:rPr>
          <w:color w:val="auto"/>
        </w:rPr>
        <w:t xml:space="preserve"> </w:t>
      </w:r>
      <w:r w:rsidR="00AD1449" w:rsidRPr="008B3D3F">
        <w:rPr>
          <w:color w:val="auto"/>
        </w:rPr>
        <w:t>whether</w:t>
      </w:r>
      <w:r w:rsidR="00CE6DC8" w:rsidRPr="008B3D3F">
        <w:rPr>
          <w:color w:val="auto"/>
        </w:rPr>
        <w:t xml:space="preserve"> the </w:t>
      </w:r>
      <w:r w:rsidR="00107B89" w:rsidRPr="008B3D3F">
        <w:rPr>
          <w:color w:val="auto"/>
        </w:rPr>
        <w:t>intended</w:t>
      </w:r>
      <w:r w:rsidR="00CE6DC8" w:rsidRPr="008B3D3F">
        <w:rPr>
          <w:color w:val="auto"/>
        </w:rPr>
        <w:t xml:space="preserve"> </w:t>
      </w:r>
      <w:r w:rsidR="00107B89" w:rsidRPr="008B3D3F">
        <w:rPr>
          <w:color w:val="auto"/>
        </w:rPr>
        <w:t>benefit had occurred due to their implementation.</w:t>
      </w:r>
    </w:p>
    <w:p w14:paraId="6C50EF64" w14:textId="35A2EA7B" w:rsidR="00F72119" w:rsidRDefault="00F72119" w:rsidP="00F72119">
      <w:pPr>
        <w:pStyle w:val="BodyText"/>
        <w:rPr>
          <w:color w:val="auto"/>
        </w:rPr>
      </w:pPr>
      <w:r w:rsidRPr="008B3D3F">
        <w:rPr>
          <w:color w:val="auto"/>
        </w:rPr>
        <w:t xml:space="preserve">Thus, </w:t>
      </w:r>
      <w:r w:rsidR="002B65CF" w:rsidRPr="008B3D3F">
        <w:rPr>
          <w:color w:val="auto"/>
        </w:rPr>
        <w:t xml:space="preserve">the </w:t>
      </w:r>
      <w:r w:rsidRPr="008B3D3F">
        <w:rPr>
          <w:color w:val="auto"/>
        </w:rPr>
        <w:t>AIP</w:t>
      </w:r>
      <w:r w:rsidR="002B65CF" w:rsidRPr="008B3D3F">
        <w:rPr>
          <w:color w:val="auto"/>
        </w:rPr>
        <w:t xml:space="preserve"> Authority</w:t>
      </w:r>
      <w:r w:rsidRPr="00F72119">
        <w:rPr>
          <w:color w:val="auto"/>
        </w:rPr>
        <w:t xml:space="preserve"> needs to implement a monitoring and evaluation framework </w:t>
      </w:r>
      <w:r w:rsidR="00915389">
        <w:rPr>
          <w:color w:val="auto"/>
        </w:rPr>
        <w:t>detailing inputs,</w:t>
      </w:r>
      <w:r w:rsidRPr="00F72119">
        <w:rPr>
          <w:color w:val="auto"/>
        </w:rPr>
        <w:t xml:space="preserve"> key </w:t>
      </w:r>
      <w:proofErr w:type="gramStart"/>
      <w:r w:rsidRPr="00F72119">
        <w:rPr>
          <w:color w:val="auto"/>
        </w:rPr>
        <w:t>outputs</w:t>
      </w:r>
      <w:proofErr w:type="gramEnd"/>
      <w:r w:rsidRPr="00F72119">
        <w:rPr>
          <w:color w:val="auto"/>
        </w:rPr>
        <w:t xml:space="preserve"> and outcomes; clear metrics and indicators for monitoring; and evaluation planning.  </w:t>
      </w:r>
    </w:p>
    <w:bookmarkEnd w:id="83"/>
    <w:p w14:paraId="29389616" w14:textId="23EEEC94" w:rsidR="00DF0CB5" w:rsidRDefault="00DF0CB5" w:rsidP="00DF0CB5">
      <w:pPr>
        <w:pStyle w:val="BodyText"/>
        <w:shd w:val="clear" w:color="auto" w:fill="D7EFF2" w:themeFill="accent3" w:themeFillTint="66"/>
      </w:pPr>
      <w:r w:rsidRPr="00934133">
        <w:rPr>
          <w:b/>
          <w:bCs/>
        </w:rPr>
        <w:t xml:space="preserve">Finding </w:t>
      </w:r>
      <w:r w:rsidR="001E1A70">
        <w:rPr>
          <w:b/>
          <w:bCs/>
        </w:rPr>
        <w:t>20</w:t>
      </w:r>
      <w:r w:rsidRPr="00934133">
        <w:rPr>
          <w:b/>
          <w:bCs/>
        </w:rPr>
        <w:t>:</w:t>
      </w:r>
      <w:r w:rsidRPr="00934133">
        <w:t xml:space="preserve"> The</w:t>
      </w:r>
      <w:r w:rsidRPr="00ED4552">
        <w:t xml:space="preserve"> </w:t>
      </w:r>
      <w:r w:rsidRPr="00B141B3">
        <w:t xml:space="preserve">lack of </w:t>
      </w:r>
      <w:r w:rsidRPr="008B3D3F">
        <w:t>a</w:t>
      </w:r>
      <w:bookmarkStart w:id="84" w:name="_Hlk132629904"/>
      <w:r w:rsidR="00147928" w:rsidRPr="008B3D3F">
        <w:t xml:space="preserve"> </w:t>
      </w:r>
      <w:r w:rsidR="002B65CF" w:rsidRPr="008B3D3F">
        <w:t>monitoring and evaluation</w:t>
      </w:r>
      <w:r w:rsidRPr="008B3D3F">
        <w:t xml:space="preserve"> framework </w:t>
      </w:r>
      <w:bookmarkEnd w:id="84"/>
      <w:r w:rsidRPr="008B3D3F">
        <w:t>and fit-for-purpose data system make it difficult to clearly establish the extent to which AIP policy is achieving its</w:t>
      </w:r>
      <w:r w:rsidR="008B3D3F">
        <w:t xml:space="preserve"> policy</w:t>
      </w:r>
      <w:r w:rsidRPr="008B3D3F">
        <w:t xml:space="preserve"> outcomes.</w:t>
      </w:r>
    </w:p>
    <w:p w14:paraId="7AE284A8" w14:textId="67C8096D" w:rsidR="00DF0CB5" w:rsidRDefault="00DF0CB5" w:rsidP="00DF0CB5">
      <w:pPr>
        <w:pStyle w:val="Caption"/>
        <w:rPr>
          <w:color w:val="005677" w:themeColor="background2"/>
        </w:rPr>
      </w:pPr>
      <w:r w:rsidRPr="008E12A7">
        <w:rPr>
          <w:color w:val="005677" w:themeColor="background2"/>
        </w:rPr>
        <w:t>Box 3.</w:t>
      </w:r>
      <w:r w:rsidR="00247349" w:rsidRPr="008E12A7">
        <w:rPr>
          <w:color w:val="005677" w:themeColor="background2"/>
        </w:rPr>
        <w:t>3</w:t>
      </w:r>
      <w:r w:rsidRPr="008E12A7">
        <w:rPr>
          <w:color w:val="005677" w:themeColor="background2"/>
        </w:rPr>
        <w:t>.2 Recommendation 1</w:t>
      </w:r>
      <w:r w:rsidR="008B3D3F" w:rsidRPr="008E12A7">
        <w:rPr>
          <w:color w:val="005677" w:themeColor="background2"/>
        </w:rPr>
        <w:t>4</w:t>
      </w:r>
    </w:p>
    <w:p w14:paraId="5DF49894" w14:textId="5FAB9468" w:rsidR="008659AD" w:rsidRPr="00EB0673" w:rsidRDefault="008659AD" w:rsidP="00EB0673">
      <w:pPr>
        <w:pStyle w:val="Placeholder"/>
        <w:shd w:val="clear" w:color="auto" w:fill="E9E9EA" w:themeFill="accent5" w:themeFillTint="33"/>
        <w:jc w:val="left"/>
        <w:rPr>
          <w:rFonts w:asciiTheme="minorHAnsi" w:hAnsiTheme="minorHAnsi" w:cstheme="minorHAnsi"/>
        </w:rPr>
      </w:pPr>
      <w:r w:rsidRPr="00EB4120">
        <w:rPr>
          <w:rFonts w:asciiTheme="minorHAnsi" w:hAnsiTheme="minorHAnsi" w:cstheme="minorHAnsi"/>
          <w:b/>
          <w:bCs/>
          <w:color w:val="auto"/>
        </w:rPr>
        <w:t>Recommendation 14:</w:t>
      </w:r>
      <w:r w:rsidRPr="00EB4120">
        <w:rPr>
          <w:rFonts w:asciiTheme="minorHAnsi" w:hAnsiTheme="minorHAnsi" w:cstheme="minorHAnsi"/>
          <w:lang w:eastAsia="en-AU"/>
        </w:rPr>
        <w:t xml:space="preserve"> That the AIP </w:t>
      </w:r>
      <w:r w:rsidR="0011663C" w:rsidRPr="00EB4120">
        <w:rPr>
          <w:rFonts w:asciiTheme="minorHAnsi" w:hAnsiTheme="minorHAnsi" w:cstheme="minorHAnsi"/>
          <w:lang w:eastAsia="en-AU"/>
        </w:rPr>
        <w:t>teamwork</w:t>
      </w:r>
      <w:r w:rsidRPr="00EB4120">
        <w:rPr>
          <w:rFonts w:asciiTheme="minorHAnsi" w:hAnsiTheme="minorHAnsi" w:cstheme="minorHAnsi"/>
          <w:lang w:eastAsia="en-AU"/>
        </w:rPr>
        <w:t xml:space="preserve"> with the Analysis and Insights Division (AID) to finalise and implement a monitoring and evaluation framework as a priority to support the ongoing assessment of AIP outcomes.</w:t>
      </w:r>
    </w:p>
    <w:p w14:paraId="5B7CDB6E" w14:textId="77777777" w:rsidR="00A81D61" w:rsidRDefault="00A81D61" w:rsidP="00A81D61">
      <w:pPr>
        <w:pStyle w:val="Source"/>
        <w:rPr>
          <w:lang w:eastAsia="en-AU"/>
        </w:rPr>
      </w:pPr>
    </w:p>
    <w:p w14:paraId="465B614E" w14:textId="43A2CD23" w:rsidR="00865F98" w:rsidRPr="00865F98" w:rsidRDefault="00DF0CB5" w:rsidP="00C0682A">
      <w:pPr>
        <w:pStyle w:val="Heading1"/>
      </w:pPr>
      <w:bookmarkStart w:id="85" w:name="_Toc174018031"/>
      <w:r w:rsidRPr="00865F98">
        <w:lastRenderedPageBreak/>
        <w:t>Outcomes</w:t>
      </w:r>
      <w:bookmarkEnd w:id="85"/>
    </w:p>
    <w:p w14:paraId="5EDC3626" w14:textId="12C2B11E" w:rsidR="00BA7ADC" w:rsidRDefault="009B36F1" w:rsidP="00C0682A">
      <w:pPr>
        <w:pStyle w:val="Heading2"/>
      </w:pPr>
      <w:bookmarkStart w:id="86" w:name="_Toc174018032"/>
      <w:bookmarkStart w:id="87" w:name="_Hlk131689254"/>
      <w:bookmarkEnd w:id="82"/>
      <w:r>
        <w:t>A</w:t>
      </w:r>
      <w:r w:rsidR="00D06242">
        <w:t>wareness of supplier capability and project opportunities</w:t>
      </w:r>
      <w:bookmarkEnd w:id="86"/>
      <w:r w:rsidR="00D06242">
        <w:t xml:space="preserve"> </w:t>
      </w:r>
    </w:p>
    <w:bookmarkEnd w:id="87"/>
    <w:p w14:paraId="550BF640" w14:textId="77777777" w:rsidR="00D06242" w:rsidRDefault="00D06242" w:rsidP="00D06242">
      <w:pPr>
        <w:pStyle w:val="Heading3"/>
        <w:rPr>
          <w:lang w:eastAsia="en-AU"/>
        </w:rPr>
      </w:pPr>
      <w:r>
        <w:rPr>
          <w:lang w:eastAsia="en-AU"/>
        </w:rPr>
        <w:t>Proponent awareness of supplier capability</w:t>
      </w:r>
    </w:p>
    <w:p w14:paraId="46F2CB1E" w14:textId="513AE5BA" w:rsidR="00D06242" w:rsidRPr="00E62ABF" w:rsidRDefault="00D06242" w:rsidP="00D06242">
      <w:pPr>
        <w:pStyle w:val="BodyText"/>
        <w:rPr>
          <w:color w:val="1B9590" w:themeColor="accent1"/>
        </w:rPr>
      </w:pPr>
      <w:r w:rsidRPr="002F4F80">
        <w:rPr>
          <w:color w:val="auto"/>
        </w:rPr>
        <w:t>Just over half of proponent survey respondents who had prepared an AIP plan (12 of 22) had experienced benefits from implementing it. The most common benefits that these proponents had experienced included: ‘gaining increased awareness of</w:t>
      </w:r>
      <w:r w:rsidRPr="00761320">
        <w:rPr>
          <w:color w:val="auto"/>
        </w:rPr>
        <w:t xml:space="preserve"> potential Australian suppliers’, ‘evidencing to local communities that our business has offered Australian suppliers a fair opportunity to compete for work’, and ‘establishing a clear framework for engaging Australian suppliers’.  </w:t>
      </w:r>
    </w:p>
    <w:p w14:paraId="6B671DE1" w14:textId="77777777" w:rsidR="00D06242" w:rsidRPr="00761320" w:rsidRDefault="00D06242" w:rsidP="00D06242">
      <w:pPr>
        <w:pStyle w:val="BodyText"/>
        <w:rPr>
          <w:color w:val="auto"/>
        </w:rPr>
      </w:pPr>
      <w:r w:rsidRPr="00761320">
        <w:rPr>
          <w:color w:val="auto"/>
        </w:rPr>
        <w:t xml:space="preserve">For the respondents that had not experienced benefits, the most frequent reason was that they already had processes in place to support engagement with Australian suppliers. </w:t>
      </w:r>
    </w:p>
    <w:p w14:paraId="6DF234BA" w14:textId="6C3ABA31" w:rsidR="00D06242" w:rsidRPr="00761320" w:rsidRDefault="00D06242" w:rsidP="00D06242">
      <w:pPr>
        <w:pStyle w:val="BodyText"/>
        <w:rPr>
          <w:color w:val="auto"/>
        </w:rPr>
      </w:pPr>
      <w:r w:rsidRPr="00761320">
        <w:rPr>
          <w:color w:val="auto"/>
        </w:rPr>
        <w:t xml:space="preserve">The evaluation reviewed a sample of proponent </w:t>
      </w:r>
      <w:r w:rsidR="008659AD">
        <w:rPr>
          <w:color w:val="auto"/>
        </w:rPr>
        <w:t>c</w:t>
      </w:r>
      <w:r w:rsidRPr="00761320">
        <w:rPr>
          <w:color w:val="auto"/>
        </w:rPr>
        <w:t xml:space="preserve">ompliance </w:t>
      </w:r>
      <w:r w:rsidR="008659AD">
        <w:rPr>
          <w:color w:val="auto"/>
        </w:rPr>
        <w:t>r</w:t>
      </w:r>
      <w:r w:rsidRPr="00761320">
        <w:rPr>
          <w:color w:val="auto"/>
        </w:rPr>
        <w:t>eports, covering the newer SmartForm</w:t>
      </w:r>
      <w:r w:rsidR="00AC7A20">
        <w:rPr>
          <w:color w:val="auto"/>
        </w:rPr>
        <w:t>s</w:t>
      </w:r>
      <w:r w:rsidRPr="00761320">
        <w:rPr>
          <w:color w:val="auto"/>
        </w:rPr>
        <w:t xml:space="preserve"> design and earlier versions. Of 11 proponent </w:t>
      </w:r>
      <w:r w:rsidR="008659AD">
        <w:rPr>
          <w:color w:val="auto"/>
        </w:rPr>
        <w:t>c</w:t>
      </w:r>
      <w:r w:rsidRPr="00761320">
        <w:rPr>
          <w:color w:val="auto"/>
        </w:rPr>
        <w:t xml:space="preserve">ompliance </w:t>
      </w:r>
      <w:r w:rsidR="008659AD">
        <w:rPr>
          <w:color w:val="auto"/>
        </w:rPr>
        <w:t>r</w:t>
      </w:r>
      <w:r w:rsidRPr="00761320">
        <w:rPr>
          <w:color w:val="auto"/>
        </w:rPr>
        <w:t>eports that provided ratings, most considered AIP to be ‘effective’ to ‘highly effective’ in increasing their awareness of Australian industry capability to supply to their project.</w:t>
      </w:r>
    </w:p>
    <w:p w14:paraId="7FDDA44D" w14:textId="2405CD3C" w:rsidR="00D06242" w:rsidRDefault="00D06242" w:rsidP="00D06242">
      <w:pPr>
        <w:pStyle w:val="BodyText"/>
        <w:shd w:val="clear" w:color="auto" w:fill="D7EFF2" w:themeFill="accent3" w:themeFillTint="66"/>
      </w:pPr>
      <w:r w:rsidRPr="00ED0CD8">
        <w:rPr>
          <w:b/>
          <w:bCs/>
        </w:rPr>
        <w:t>Finding 2</w:t>
      </w:r>
      <w:r w:rsidR="001E1A70">
        <w:rPr>
          <w:b/>
          <w:bCs/>
        </w:rPr>
        <w:t>1</w:t>
      </w:r>
      <w:r w:rsidRPr="00ED0CD8">
        <w:rPr>
          <w:b/>
          <w:bCs/>
        </w:rPr>
        <w:t>:</w:t>
      </w:r>
      <w:r w:rsidRPr="00ED0CD8">
        <w:t xml:space="preserve"> </w:t>
      </w:r>
      <w:r w:rsidRPr="0023709A">
        <w:t>There is evidence that proponents’</w:t>
      </w:r>
      <w:r w:rsidRPr="00E9088E">
        <w:t xml:space="preserve"> awareness of Australian supplier capability has increased, and that AIP </w:t>
      </w:r>
      <w:r w:rsidR="008659AD">
        <w:t>p</w:t>
      </w:r>
      <w:r w:rsidRPr="00E9088E">
        <w:t>olicy has contributed to this outcome.</w:t>
      </w:r>
    </w:p>
    <w:p w14:paraId="74F50AFE" w14:textId="77777777" w:rsidR="00D06242" w:rsidRPr="00E42058" w:rsidRDefault="00D06242" w:rsidP="00D06242">
      <w:pPr>
        <w:pStyle w:val="Heading3"/>
      </w:pPr>
      <w:r>
        <w:t>Supplier a</w:t>
      </w:r>
      <w:r w:rsidRPr="00E42058">
        <w:t xml:space="preserve">wareness of </w:t>
      </w:r>
      <w:r>
        <w:t xml:space="preserve">project </w:t>
      </w:r>
      <w:r w:rsidRPr="00E42058">
        <w:t>opportunities</w:t>
      </w:r>
    </w:p>
    <w:p w14:paraId="77B39733" w14:textId="5BFA967D" w:rsidR="00D06242" w:rsidRPr="00772192" w:rsidRDefault="00E7116E" w:rsidP="00D06242">
      <w:pPr>
        <w:pStyle w:val="BodyText"/>
        <w:rPr>
          <w:color w:val="auto"/>
        </w:rPr>
      </w:pPr>
      <w:r>
        <w:rPr>
          <w:color w:val="auto"/>
        </w:rPr>
        <w:t xml:space="preserve">Most supplier respondents advised that over the last five years they ‘somewhat’ or ‘to a greater extent’ had visibility of project opportunities and </w:t>
      </w:r>
      <w:r w:rsidR="00D06242" w:rsidRPr="00772192">
        <w:rPr>
          <w:color w:val="auto"/>
        </w:rPr>
        <w:t xml:space="preserve">improved </w:t>
      </w:r>
      <w:r w:rsidR="002D4781">
        <w:rPr>
          <w:color w:val="auto"/>
        </w:rPr>
        <w:t>their</w:t>
      </w:r>
      <w:r w:rsidR="00D06242" w:rsidRPr="00772192">
        <w:rPr>
          <w:color w:val="auto"/>
        </w:rPr>
        <w:t xml:space="preserve"> capability to supply good</w:t>
      </w:r>
      <w:r w:rsidR="0029288F">
        <w:rPr>
          <w:color w:val="auto"/>
        </w:rPr>
        <w:t>s</w:t>
      </w:r>
      <w:r w:rsidR="00D06242" w:rsidRPr="00772192">
        <w:rPr>
          <w:color w:val="auto"/>
        </w:rPr>
        <w:t xml:space="preserve"> and/or services to projects.</w:t>
      </w:r>
      <w:r w:rsidR="00D06242">
        <w:rPr>
          <w:color w:val="auto"/>
        </w:rPr>
        <w:t xml:space="preserve"> However,</w:t>
      </w:r>
      <w:r w:rsidR="00CD124F">
        <w:rPr>
          <w:color w:val="auto"/>
        </w:rPr>
        <w:t xml:space="preserve"> these changes could have been driven by factors other than AIP and the survey did not determine to what extent these changes can be attributed to AIP plans.</w:t>
      </w:r>
      <w:r w:rsidR="00D06242">
        <w:rPr>
          <w:color w:val="auto"/>
        </w:rPr>
        <w:t xml:space="preserve"> </w:t>
      </w:r>
    </w:p>
    <w:p w14:paraId="438EA727" w14:textId="40F5E76F" w:rsidR="0029288F" w:rsidRDefault="00D06242" w:rsidP="0029288F">
      <w:pPr>
        <w:pStyle w:val="BodyText"/>
        <w:rPr>
          <w:color w:val="auto"/>
        </w:rPr>
      </w:pPr>
      <w:r>
        <w:rPr>
          <w:color w:val="auto"/>
        </w:rPr>
        <w:t xml:space="preserve">Of the proponent respondents </w:t>
      </w:r>
      <w:r w:rsidRPr="00D653D2">
        <w:rPr>
          <w:color w:val="auto"/>
        </w:rPr>
        <w:t>who had prepared an AIP plan, half said it had changed their approach to procuring subcontractors. The most common changes these proponents made were</w:t>
      </w:r>
      <w:r>
        <w:rPr>
          <w:color w:val="auto"/>
        </w:rPr>
        <w:t xml:space="preserve"> </w:t>
      </w:r>
      <w:r w:rsidRPr="00D653D2">
        <w:rPr>
          <w:color w:val="auto"/>
        </w:rPr>
        <w:t xml:space="preserve">advertising more broadly for expressions of interest, requiring AIP head contractors to implement AIP plan activities, reviewing pre-qualification </w:t>
      </w:r>
      <w:proofErr w:type="gramStart"/>
      <w:r w:rsidRPr="00D653D2">
        <w:rPr>
          <w:color w:val="auto"/>
        </w:rPr>
        <w:t>requirements</w:t>
      </w:r>
      <w:proofErr w:type="gramEnd"/>
      <w:r w:rsidRPr="00D653D2">
        <w:rPr>
          <w:color w:val="auto"/>
        </w:rPr>
        <w:t xml:space="preserve"> and using VIAs to understand supplier capability.</w:t>
      </w:r>
    </w:p>
    <w:p w14:paraId="56045425" w14:textId="7441218B" w:rsidR="0029288F" w:rsidRPr="00BB6BC0" w:rsidRDefault="00D06242" w:rsidP="00BB6BC0">
      <w:pPr>
        <w:pStyle w:val="BodyText"/>
        <w:shd w:val="clear" w:color="auto" w:fill="D7EFF2" w:themeFill="accent3" w:themeFillTint="66"/>
      </w:pPr>
      <w:r w:rsidRPr="00ED0CD8">
        <w:rPr>
          <w:b/>
          <w:bCs/>
        </w:rPr>
        <w:t>Finding 2</w:t>
      </w:r>
      <w:r w:rsidR="001E1A70">
        <w:rPr>
          <w:b/>
          <w:bCs/>
        </w:rPr>
        <w:t>2</w:t>
      </w:r>
      <w:r w:rsidRPr="00ED0CD8">
        <w:rPr>
          <w:b/>
          <w:bCs/>
        </w:rPr>
        <w:t>:</w:t>
      </w:r>
      <w:r w:rsidRPr="00ED0CD8">
        <w:t xml:space="preserve"> </w:t>
      </w:r>
      <w:r w:rsidRPr="0023709A">
        <w:t>There is evidence that Australian suppliers have an increased awareness of opportunities. It is unclear the extent to which these changes are being driven by AIP policy.</w:t>
      </w:r>
      <w:bookmarkStart w:id="88" w:name="_Hlk131689266"/>
    </w:p>
    <w:p w14:paraId="0AD23B32" w14:textId="3291736B" w:rsidR="00AA3317" w:rsidRDefault="00AA3317" w:rsidP="00C0682A">
      <w:pPr>
        <w:pStyle w:val="Heading2"/>
      </w:pPr>
      <w:bookmarkStart w:id="89" w:name="_Toc174018033"/>
      <w:r>
        <w:t>Feedback to suppliers</w:t>
      </w:r>
      <w:bookmarkEnd w:id="89"/>
      <w:r>
        <w:t xml:space="preserve"> </w:t>
      </w:r>
    </w:p>
    <w:bookmarkEnd w:id="88"/>
    <w:p w14:paraId="6816C8AB" w14:textId="051C1D5D" w:rsidR="00ED4552" w:rsidRPr="0029288F" w:rsidRDefault="00AA3317" w:rsidP="00AA3317">
      <w:pPr>
        <w:pStyle w:val="Heading3"/>
      </w:pPr>
      <w:r w:rsidRPr="0029288F">
        <w:t xml:space="preserve">Feedback to </w:t>
      </w:r>
      <w:r w:rsidR="00D06242" w:rsidRPr="0029288F">
        <w:t xml:space="preserve">suppliers </w:t>
      </w:r>
      <w:r w:rsidRPr="0029288F">
        <w:t xml:space="preserve">to </w:t>
      </w:r>
      <w:r w:rsidR="005C25D5" w:rsidRPr="0029288F">
        <w:t>raise</w:t>
      </w:r>
      <w:r w:rsidRPr="0029288F">
        <w:t xml:space="preserve"> </w:t>
      </w:r>
      <w:proofErr w:type="gramStart"/>
      <w:r w:rsidRPr="0029288F">
        <w:t>capabilities</w:t>
      </w:r>
      <w:proofErr w:type="gramEnd"/>
      <w:r w:rsidRPr="0029288F">
        <w:t xml:space="preserve"> </w:t>
      </w:r>
    </w:p>
    <w:p w14:paraId="3F614A19" w14:textId="41E45852" w:rsidR="0027566C" w:rsidRDefault="005B6F6E" w:rsidP="00ED4552">
      <w:pPr>
        <w:pStyle w:val="BodyText"/>
        <w:rPr>
          <w:color w:val="auto"/>
        </w:rPr>
      </w:pPr>
      <w:r w:rsidRPr="005B6F6E">
        <w:rPr>
          <w:color w:val="auto"/>
        </w:rPr>
        <w:t xml:space="preserve">Feedback </w:t>
      </w:r>
      <w:r>
        <w:rPr>
          <w:color w:val="auto"/>
        </w:rPr>
        <w:t xml:space="preserve">to suppliers on their bids from project proponents is intended to support suppliers </w:t>
      </w:r>
      <w:bookmarkStart w:id="90" w:name="_Hlk131688884"/>
      <w:r>
        <w:rPr>
          <w:color w:val="auto"/>
        </w:rPr>
        <w:t xml:space="preserve">develop their capabilities to compete </w:t>
      </w:r>
      <w:bookmarkEnd w:id="90"/>
      <w:r>
        <w:rPr>
          <w:color w:val="auto"/>
        </w:rPr>
        <w:t xml:space="preserve">for major projects and access global supply chains. </w:t>
      </w:r>
      <w:r w:rsidR="003A48DD">
        <w:rPr>
          <w:color w:val="auto"/>
        </w:rPr>
        <w:t xml:space="preserve">In interviews, an ICN stakeholder noted the critical importance of feedback to raise the capabilities of suppliers which had unsuccessfully </w:t>
      </w:r>
      <w:r w:rsidR="003A48DD" w:rsidRPr="0023709A">
        <w:rPr>
          <w:color w:val="auto"/>
        </w:rPr>
        <w:t>bid for work packages.</w:t>
      </w:r>
      <w:r w:rsidR="00D557E6" w:rsidRPr="0023709A">
        <w:rPr>
          <w:color w:val="auto"/>
        </w:rPr>
        <w:t xml:space="preserve"> This element of AIP objectives aligns well with current policy focus on sovereign capability, skills, </w:t>
      </w:r>
      <w:proofErr w:type="gramStart"/>
      <w:r w:rsidR="00D557E6" w:rsidRPr="0023709A">
        <w:rPr>
          <w:color w:val="auto"/>
        </w:rPr>
        <w:t>employment</w:t>
      </w:r>
      <w:proofErr w:type="gramEnd"/>
      <w:r w:rsidR="00D557E6" w:rsidRPr="0023709A">
        <w:rPr>
          <w:color w:val="auto"/>
        </w:rPr>
        <w:t xml:space="preserve"> and productive capacity.</w:t>
      </w:r>
    </w:p>
    <w:p w14:paraId="02A0268B" w14:textId="603AF6A1" w:rsidR="0027566C" w:rsidRDefault="0027566C" w:rsidP="00ED4552">
      <w:pPr>
        <w:pStyle w:val="BodyText"/>
        <w:rPr>
          <w:color w:val="auto"/>
        </w:rPr>
      </w:pPr>
      <w:r w:rsidRPr="00555576">
        <w:rPr>
          <w:rFonts w:cstheme="minorHAnsi"/>
          <w:color w:val="auto"/>
          <w:szCs w:val="20"/>
          <w:lang w:eastAsia="en-AU"/>
        </w:rPr>
        <w:t xml:space="preserve">Proponents </w:t>
      </w:r>
      <w:r w:rsidRPr="00555576">
        <w:rPr>
          <w:color w:val="auto"/>
        </w:rPr>
        <w:t xml:space="preserve">with AIP plans in place under the Jobs Act </w:t>
      </w:r>
      <w:r w:rsidRPr="00D75558">
        <w:rPr>
          <w:color w:val="auto"/>
        </w:rPr>
        <w:t xml:space="preserve">are </w:t>
      </w:r>
      <w:r w:rsidR="00D266CD">
        <w:rPr>
          <w:color w:val="auto"/>
        </w:rPr>
        <w:t xml:space="preserve">required to provide evidence of </w:t>
      </w:r>
      <w:r w:rsidR="00D75558">
        <w:rPr>
          <w:color w:val="auto"/>
        </w:rPr>
        <w:t>how</w:t>
      </w:r>
      <w:r>
        <w:rPr>
          <w:color w:val="auto"/>
        </w:rPr>
        <w:t xml:space="preserve"> they </w:t>
      </w:r>
      <w:r w:rsidR="00D75558">
        <w:rPr>
          <w:color w:val="auto"/>
        </w:rPr>
        <w:t xml:space="preserve">ensure suppliers are </w:t>
      </w:r>
      <w:r w:rsidRPr="00555576">
        <w:rPr>
          <w:color w:val="auto"/>
        </w:rPr>
        <w:t>offere</w:t>
      </w:r>
      <w:r>
        <w:rPr>
          <w:color w:val="auto"/>
        </w:rPr>
        <w:t xml:space="preserve">d </w:t>
      </w:r>
      <w:r w:rsidR="00D75558">
        <w:rPr>
          <w:color w:val="auto"/>
        </w:rPr>
        <w:t xml:space="preserve">and provided </w:t>
      </w:r>
      <w:r>
        <w:rPr>
          <w:color w:val="auto"/>
        </w:rPr>
        <w:t>feedback</w:t>
      </w:r>
      <w:r w:rsidR="00D75558">
        <w:rPr>
          <w:color w:val="auto"/>
        </w:rPr>
        <w:t>.</w:t>
      </w:r>
      <w:r>
        <w:rPr>
          <w:color w:val="auto"/>
        </w:rPr>
        <w:t xml:space="preserve"> </w:t>
      </w:r>
      <w:r w:rsidR="00500D8E">
        <w:rPr>
          <w:color w:val="auto"/>
        </w:rPr>
        <w:t>Based on the assessment of the compliance reports, t</w:t>
      </w:r>
      <w:r>
        <w:rPr>
          <w:color w:val="auto"/>
        </w:rPr>
        <w:t xml:space="preserve">he AIP team </w:t>
      </w:r>
      <w:r w:rsidRPr="00555576">
        <w:rPr>
          <w:color w:val="auto"/>
        </w:rPr>
        <w:t>advise</w:t>
      </w:r>
      <w:r w:rsidR="00500D8E">
        <w:rPr>
          <w:color w:val="auto"/>
        </w:rPr>
        <w:t>d</w:t>
      </w:r>
      <w:r w:rsidRPr="00555576">
        <w:rPr>
          <w:color w:val="auto"/>
        </w:rPr>
        <w:t xml:space="preserve"> that proponents </w:t>
      </w:r>
      <w:r>
        <w:rPr>
          <w:color w:val="auto"/>
        </w:rPr>
        <w:t>are complying with the requirement of providing the feedback opportunit</w:t>
      </w:r>
      <w:r w:rsidR="00500D8E">
        <w:rPr>
          <w:color w:val="auto"/>
        </w:rPr>
        <w:t xml:space="preserve">ies </w:t>
      </w:r>
      <w:r>
        <w:rPr>
          <w:color w:val="auto"/>
        </w:rPr>
        <w:t>to suppliers</w:t>
      </w:r>
      <w:r w:rsidRPr="00555576">
        <w:rPr>
          <w:color w:val="auto"/>
        </w:rPr>
        <w:t>.</w:t>
      </w:r>
      <w:r w:rsidRPr="00555576">
        <w:t xml:space="preserve"> </w:t>
      </w:r>
      <w:r w:rsidRPr="00555576">
        <w:rPr>
          <w:color w:val="auto"/>
        </w:rPr>
        <w:t>Evidence from proponent</w:t>
      </w:r>
      <w:r w:rsidR="00500D8E">
        <w:rPr>
          <w:color w:val="auto"/>
        </w:rPr>
        <w:t xml:space="preserve"> survey</w:t>
      </w:r>
      <w:r w:rsidRPr="00555576">
        <w:rPr>
          <w:color w:val="auto"/>
        </w:rPr>
        <w:t xml:space="preserve"> </w:t>
      </w:r>
      <w:r w:rsidR="00500D8E">
        <w:rPr>
          <w:color w:val="auto"/>
        </w:rPr>
        <w:t xml:space="preserve">also </w:t>
      </w:r>
      <w:r w:rsidRPr="00555576">
        <w:rPr>
          <w:color w:val="auto"/>
        </w:rPr>
        <w:t>indicates that they are providing opportunities for feedback to suppliers</w:t>
      </w:r>
      <w:r>
        <w:rPr>
          <w:color w:val="auto"/>
        </w:rPr>
        <w:t>.</w:t>
      </w:r>
    </w:p>
    <w:p w14:paraId="41D8C7DC" w14:textId="47E432AA" w:rsidR="00500D8E" w:rsidRPr="009054D0" w:rsidRDefault="00500D8E" w:rsidP="009054D0">
      <w:pPr>
        <w:pStyle w:val="BodyText"/>
        <w:rPr>
          <w:color w:val="auto"/>
        </w:rPr>
      </w:pPr>
      <w:r>
        <w:rPr>
          <w:color w:val="auto"/>
        </w:rPr>
        <w:lastRenderedPageBreak/>
        <w:t xml:space="preserve">In contrast, </w:t>
      </w:r>
      <w:r w:rsidR="00555576">
        <w:rPr>
          <w:color w:val="auto"/>
        </w:rPr>
        <w:t>m</w:t>
      </w:r>
      <w:r w:rsidR="00555576" w:rsidRPr="00555576">
        <w:rPr>
          <w:color w:val="auto"/>
        </w:rPr>
        <w:t>ost supplier respondents indicated that they received ‘not at all’ or only ‘very little’ useful feedback from proponents on their bids and performance.</w:t>
      </w:r>
      <w:r w:rsidR="00555576">
        <w:rPr>
          <w:color w:val="auto"/>
        </w:rPr>
        <w:t xml:space="preserve"> </w:t>
      </w:r>
      <w:r>
        <w:rPr>
          <w:color w:val="auto"/>
        </w:rPr>
        <w:t>They</w:t>
      </w:r>
      <w:r w:rsidR="00555576">
        <w:rPr>
          <w:color w:val="auto"/>
        </w:rPr>
        <w:t xml:space="preserve"> also </w:t>
      </w:r>
      <w:r w:rsidR="000E2DD4">
        <w:rPr>
          <w:color w:val="auto"/>
        </w:rPr>
        <w:t>indicated</w:t>
      </w:r>
      <w:r w:rsidR="00555576">
        <w:rPr>
          <w:color w:val="auto"/>
        </w:rPr>
        <w:t xml:space="preserve"> that they </w:t>
      </w:r>
      <w:r w:rsidR="00555576" w:rsidRPr="00555576">
        <w:rPr>
          <w:color w:val="auto"/>
        </w:rPr>
        <w:t>were offered ‘not at all’ or only ‘very little’ opportunities for capability development and for entering the global supply chains.</w:t>
      </w:r>
      <w:r w:rsidR="00555576">
        <w:rPr>
          <w:color w:val="auto"/>
        </w:rPr>
        <w:t xml:space="preserve"> </w:t>
      </w:r>
      <w:r w:rsidR="00463C19">
        <w:rPr>
          <w:color w:val="auto"/>
        </w:rPr>
        <w:t xml:space="preserve">However, due to the methodology and delivery of the survey, it </w:t>
      </w:r>
      <w:r>
        <w:rPr>
          <w:color w:val="auto"/>
        </w:rPr>
        <w:t>is</w:t>
      </w:r>
      <w:r w:rsidR="00463C19" w:rsidRPr="00463C19">
        <w:rPr>
          <w:color w:val="auto"/>
        </w:rPr>
        <w:t xml:space="preserve"> not known whether these suppliers </w:t>
      </w:r>
      <w:r>
        <w:rPr>
          <w:color w:val="auto"/>
        </w:rPr>
        <w:t>were</w:t>
      </w:r>
      <w:r w:rsidR="00463C19" w:rsidRPr="00463C19">
        <w:rPr>
          <w:color w:val="auto"/>
        </w:rPr>
        <w:t xml:space="preserve"> connected to projects with AIP plans in place.</w:t>
      </w:r>
      <w:r w:rsidR="009054D0">
        <w:rPr>
          <w:color w:val="auto"/>
        </w:rPr>
        <w:t xml:space="preserve"> </w:t>
      </w:r>
      <w:r w:rsidRPr="00500D8E">
        <w:rPr>
          <w:color w:val="000000" w:themeColor="text1" w:themeShade="BF"/>
        </w:rPr>
        <w:t xml:space="preserve">The conflicting feedback from proponents and suppliers indicates that there is an opportunity to improve communication on feedback opportunities. </w:t>
      </w:r>
    </w:p>
    <w:p w14:paraId="4C4374C5" w14:textId="317EBB33" w:rsidR="00546775" w:rsidRDefault="00ED4552" w:rsidP="00ED4552">
      <w:pPr>
        <w:pStyle w:val="BodyText"/>
        <w:rPr>
          <w:color w:val="auto"/>
        </w:rPr>
      </w:pPr>
      <w:r w:rsidRPr="00864ADF">
        <w:rPr>
          <w:color w:val="auto"/>
        </w:rPr>
        <w:t>The above survey evidence aligns with the findings of the 2018 Jobs Act Review. The review recommended that the ‘AIP Authority consider enhancing its communication strategy to promote AIP plans and outcomes and raise industry awareness through information dissemination’</w:t>
      </w:r>
      <w:r w:rsidR="0065626F">
        <w:rPr>
          <w:rStyle w:val="FootnoteReference"/>
          <w:color w:val="auto"/>
        </w:rPr>
        <w:footnoteReference w:id="22"/>
      </w:r>
      <w:r w:rsidRPr="00864ADF">
        <w:rPr>
          <w:color w:val="auto"/>
        </w:rPr>
        <w:t>.</w:t>
      </w:r>
      <w:r w:rsidR="00864ADF" w:rsidRPr="00864ADF">
        <w:rPr>
          <w:color w:val="auto"/>
        </w:rPr>
        <w:t xml:space="preserve"> </w:t>
      </w:r>
    </w:p>
    <w:p w14:paraId="4C6CC596" w14:textId="38BDCEB0" w:rsidR="00ED4552" w:rsidRPr="00864ADF" w:rsidRDefault="00ED4552" w:rsidP="00ED4552">
      <w:pPr>
        <w:pStyle w:val="BodyText"/>
        <w:rPr>
          <w:color w:val="auto"/>
        </w:rPr>
      </w:pPr>
      <w:r w:rsidRPr="00864ADF">
        <w:rPr>
          <w:color w:val="auto"/>
        </w:rPr>
        <w:t xml:space="preserve">The Department of Defence advised that it has recently started an industry forum for the </w:t>
      </w:r>
      <w:r w:rsidR="00500D8E">
        <w:rPr>
          <w:color w:val="auto"/>
        </w:rPr>
        <w:t>Australian Industry Capability (</w:t>
      </w:r>
      <w:r w:rsidRPr="00864ADF">
        <w:rPr>
          <w:color w:val="auto"/>
        </w:rPr>
        <w:t>AIC</w:t>
      </w:r>
      <w:r w:rsidR="00500D8E">
        <w:rPr>
          <w:color w:val="auto"/>
        </w:rPr>
        <w:t>)</w:t>
      </w:r>
      <w:r w:rsidRPr="00864ADF">
        <w:rPr>
          <w:color w:val="auto"/>
        </w:rPr>
        <w:t xml:space="preserve"> program (held on a quarterly basis). It also holds AIC training sessions for Defence industry, as well as a community of practice within the department.</w:t>
      </w:r>
      <w:r w:rsidR="00546775">
        <w:rPr>
          <w:color w:val="auto"/>
        </w:rPr>
        <w:t xml:space="preserve"> </w:t>
      </w:r>
      <w:r w:rsidR="00FE130B">
        <w:rPr>
          <w:color w:val="auto"/>
        </w:rPr>
        <w:t xml:space="preserve">AIP can </w:t>
      </w:r>
      <w:r w:rsidR="009054D0">
        <w:rPr>
          <w:color w:val="auto"/>
        </w:rPr>
        <w:t>consider leveraging any lesson</w:t>
      </w:r>
      <w:r w:rsidR="00574814">
        <w:rPr>
          <w:color w:val="auto"/>
        </w:rPr>
        <w:t>s</w:t>
      </w:r>
      <w:r w:rsidR="009054D0">
        <w:rPr>
          <w:color w:val="auto"/>
        </w:rPr>
        <w:t xml:space="preserve"> learned from Defence’s AIC experiences in working</w:t>
      </w:r>
      <w:r w:rsidR="00FE130B">
        <w:rPr>
          <w:color w:val="auto"/>
        </w:rPr>
        <w:t xml:space="preserve"> to raise supplier and proponent awareness on the feedback opportunities. </w:t>
      </w:r>
    </w:p>
    <w:p w14:paraId="66159AEC" w14:textId="5208CBE9" w:rsidR="00ED4552" w:rsidRDefault="0072638C" w:rsidP="00E62ABF">
      <w:pPr>
        <w:pStyle w:val="BodyText"/>
        <w:shd w:val="clear" w:color="auto" w:fill="D7EFF2" w:themeFill="accent3" w:themeFillTint="66"/>
      </w:pPr>
      <w:r w:rsidRPr="00ED0CD8">
        <w:rPr>
          <w:b/>
          <w:bCs/>
        </w:rPr>
        <w:t xml:space="preserve">Finding </w:t>
      </w:r>
      <w:r w:rsidR="00E9088E" w:rsidRPr="00ED0CD8">
        <w:rPr>
          <w:b/>
          <w:bCs/>
        </w:rPr>
        <w:t>2</w:t>
      </w:r>
      <w:r w:rsidR="001E1A70">
        <w:rPr>
          <w:b/>
          <w:bCs/>
        </w:rPr>
        <w:t>3</w:t>
      </w:r>
      <w:r w:rsidRPr="00ED0CD8">
        <w:rPr>
          <w:b/>
          <w:bCs/>
        </w:rPr>
        <w:t>:</w:t>
      </w:r>
      <w:r w:rsidRPr="00ED0CD8">
        <w:t xml:space="preserve"> </w:t>
      </w:r>
      <w:r w:rsidR="00ED4552" w:rsidRPr="00ED0CD8">
        <w:t>Evidence</w:t>
      </w:r>
      <w:r w:rsidR="00ED4552">
        <w:t xml:space="preserve"> </w:t>
      </w:r>
      <w:r w:rsidR="009A2E82" w:rsidRPr="009A2E82">
        <w:t>from proponents indicates that they are providing opportunities for feedback to suppliers. Separately, suppliers surveyed indicate that they are not receiving feedback, however, it is not known whether these suppliers are connected to projects with AIP plans in place.</w:t>
      </w:r>
    </w:p>
    <w:p w14:paraId="24099E5E" w14:textId="1B013055" w:rsidR="00E62ABF" w:rsidRDefault="00E62ABF" w:rsidP="00E62ABF">
      <w:pPr>
        <w:pStyle w:val="Caption"/>
        <w:rPr>
          <w:color w:val="005677" w:themeColor="background2"/>
        </w:rPr>
      </w:pPr>
      <w:r w:rsidRPr="008E12A7">
        <w:rPr>
          <w:color w:val="005677" w:themeColor="background2"/>
        </w:rPr>
        <w:t xml:space="preserve">Box </w:t>
      </w:r>
      <w:r w:rsidR="00BD4040" w:rsidRPr="008E12A7">
        <w:rPr>
          <w:color w:val="005677" w:themeColor="background2"/>
        </w:rPr>
        <w:t>4.2.1</w:t>
      </w:r>
      <w:r w:rsidRPr="008E12A7">
        <w:rPr>
          <w:color w:val="005677" w:themeColor="background2"/>
        </w:rPr>
        <w:t xml:space="preserve"> Recommendation 1</w:t>
      </w:r>
      <w:r w:rsidR="001F1822" w:rsidRPr="008E12A7">
        <w:rPr>
          <w:color w:val="005677" w:themeColor="background2"/>
        </w:rPr>
        <w:t>5</w:t>
      </w:r>
    </w:p>
    <w:p w14:paraId="65159E07" w14:textId="24D82059" w:rsidR="008659AD" w:rsidRPr="00EB0673" w:rsidRDefault="008659AD" w:rsidP="00EB0673">
      <w:pPr>
        <w:pStyle w:val="Placeholder"/>
        <w:shd w:val="clear" w:color="auto" w:fill="E9E9EA" w:themeFill="accent5" w:themeFillTint="33"/>
        <w:jc w:val="left"/>
      </w:pPr>
      <w:r w:rsidRPr="00ED0CD8">
        <w:rPr>
          <w:rFonts w:cs="Arial"/>
          <w:b/>
          <w:bCs/>
          <w:color w:val="auto"/>
          <w:szCs w:val="18"/>
        </w:rPr>
        <w:t>Recommendation 1</w:t>
      </w:r>
      <w:r>
        <w:rPr>
          <w:rFonts w:cs="Arial"/>
          <w:b/>
          <w:bCs/>
          <w:color w:val="auto"/>
          <w:szCs w:val="18"/>
        </w:rPr>
        <w:t xml:space="preserve">5 </w:t>
      </w:r>
      <w:r w:rsidRPr="00ED0CD8">
        <w:rPr>
          <w:rFonts w:cs="Arial"/>
          <w:szCs w:val="18"/>
          <w:lang w:eastAsia="en-AU"/>
        </w:rPr>
        <w:t>That DISR increase communication and promotion to give greater emphasis on providing feedback and consider including activities such as industry forums, training packages for industry, as well as a community of practice within the APS. It could also include elements of positive promotion, such as best practice examples.</w:t>
      </w:r>
    </w:p>
    <w:p w14:paraId="62359BE6" w14:textId="77777777" w:rsidR="00E62ABF" w:rsidRPr="00E601BB" w:rsidRDefault="00E62ABF" w:rsidP="00E62ABF">
      <w:pPr>
        <w:pStyle w:val="BodyText"/>
        <w:pBdr>
          <w:bottom w:val="single" w:sz="4" w:space="1" w:color="auto"/>
        </w:pBdr>
      </w:pPr>
    </w:p>
    <w:p w14:paraId="7D1A6A16" w14:textId="0FBCB1A7" w:rsidR="00D06242" w:rsidRPr="0036303B" w:rsidRDefault="00D06242" w:rsidP="00C0682A">
      <w:pPr>
        <w:pStyle w:val="Heading2"/>
      </w:pPr>
      <w:bookmarkStart w:id="91" w:name="_Toc174018034"/>
      <w:bookmarkStart w:id="92" w:name="_Hlk131689274"/>
      <w:r w:rsidRPr="0036303B">
        <w:t xml:space="preserve">Role of </w:t>
      </w:r>
      <w:r w:rsidR="008659AD">
        <w:t>v</w:t>
      </w:r>
      <w:r w:rsidRPr="0036303B">
        <w:t xml:space="preserve">endor </w:t>
      </w:r>
      <w:r w:rsidR="008659AD">
        <w:t>i</w:t>
      </w:r>
      <w:r w:rsidRPr="0036303B">
        <w:t xml:space="preserve">dentification </w:t>
      </w:r>
      <w:r w:rsidR="008659AD">
        <w:t>a</w:t>
      </w:r>
      <w:r w:rsidRPr="0036303B">
        <w:t>gencies (VIAs)</w:t>
      </w:r>
      <w:bookmarkEnd w:id="91"/>
    </w:p>
    <w:p w14:paraId="7964C80C" w14:textId="77777777" w:rsidR="00D06242" w:rsidRPr="00DE2F2C" w:rsidRDefault="00D06242" w:rsidP="00D06242">
      <w:pPr>
        <w:pStyle w:val="BodyText"/>
        <w:rPr>
          <w:color w:val="auto"/>
        </w:rPr>
      </w:pPr>
      <w:bookmarkStart w:id="93" w:name="_Toc127440392"/>
      <w:bookmarkEnd w:id="92"/>
      <w:r>
        <w:rPr>
          <w:color w:val="auto"/>
        </w:rPr>
        <w:t>A</w:t>
      </w:r>
      <w:r w:rsidRPr="006A61B6">
        <w:rPr>
          <w:color w:val="auto"/>
        </w:rPr>
        <w:t>dvances in digital technology since the introduction of the AIP policy ha</w:t>
      </w:r>
      <w:r>
        <w:rPr>
          <w:color w:val="auto"/>
        </w:rPr>
        <w:t>ve</w:t>
      </w:r>
      <w:r w:rsidRPr="006A61B6">
        <w:rPr>
          <w:color w:val="auto"/>
        </w:rPr>
        <w:t xml:space="preserve"> likely improved access to market information</w:t>
      </w:r>
      <w:r>
        <w:rPr>
          <w:color w:val="auto"/>
        </w:rPr>
        <w:t>. Despite this technological change, information asymmetries remain.</w:t>
      </w:r>
      <w:r w:rsidRPr="006A61B6">
        <w:rPr>
          <w:color w:val="auto"/>
        </w:rPr>
        <w:t xml:space="preserve"> </w:t>
      </w:r>
      <w:r>
        <w:rPr>
          <w:color w:val="auto"/>
        </w:rPr>
        <w:t xml:space="preserve">In this context, </w:t>
      </w:r>
      <w:bookmarkStart w:id="94" w:name="_Hlk129696634"/>
      <w:bookmarkStart w:id="95" w:name="_Hlk129703925"/>
      <w:r>
        <w:rPr>
          <w:color w:val="auto"/>
        </w:rPr>
        <w:t>v</w:t>
      </w:r>
      <w:r w:rsidRPr="006A61B6">
        <w:rPr>
          <w:color w:val="auto"/>
        </w:rPr>
        <w:t xml:space="preserve">endor identification agencies (VIAs), </w:t>
      </w:r>
      <w:bookmarkEnd w:id="94"/>
      <w:r w:rsidRPr="006A61B6">
        <w:rPr>
          <w:color w:val="auto"/>
        </w:rPr>
        <w:t xml:space="preserve">including the Industry Capability Network (ICN), </w:t>
      </w:r>
      <w:r>
        <w:rPr>
          <w:color w:val="auto"/>
        </w:rPr>
        <w:t xml:space="preserve">still </w:t>
      </w:r>
      <w:r w:rsidRPr="006A61B6">
        <w:rPr>
          <w:color w:val="auto"/>
        </w:rPr>
        <w:t xml:space="preserve">perform a positive and </w:t>
      </w:r>
      <w:r w:rsidRPr="00DE2F2C">
        <w:rPr>
          <w:color w:val="auto"/>
        </w:rPr>
        <w:t>useful function for project proponents and suppliers</w:t>
      </w:r>
      <w:bookmarkEnd w:id="95"/>
      <w:r w:rsidRPr="00DE2F2C">
        <w:rPr>
          <w:color w:val="auto"/>
        </w:rPr>
        <w:t xml:space="preserve">. </w:t>
      </w:r>
    </w:p>
    <w:p w14:paraId="2A5B7084" w14:textId="17B71F32" w:rsidR="00D06242" w:rsidRPr="006A61B6" w:rsidRDefault="00D06242" w:rsidP="00D06242">
      <w:pPr>
        <w:pStyle w:val="BodyText"/>
        <w:rPr>
          <w:color w:val="auto"/>
        </w:rPr>
      </w:pPr>
      <w:r w:rsidRPr="00DE2F2C">
        <w:rPr>
          <w:color w:val="auto"/>
        </w:rPr>
        <w:t>Most proponent respondents (16 of 26) used one or more VIAs. Of those that used ICN, most (13) found the service to be ‘moderately’, ‘very’ or ‘extremely’ useful. However, some noted that the quality of services offered by ICN varied by jurisdiction. Just under half of supplier respondents (18 of 40) used one or more VIAs. Of those that used ICN, most found the service to be ‘slightly’, ‘moderately’ or ‘very’ useful’. However, some suppliers felt the cost of ICN services was high.</w:t>
      </w:r>
    </w:p>
    <w:p w14:paraId="10F8510C" w14:textId="4998CF3A" w:rsidR="00D06242" w:rsidRDefault="00D06242" w:rsidP="00D06242">
      <w:pPr>
        <w:pStyle w:val="BodyText"/>
        <w:shd w:val="clear" w:color="auto" w:fill="D7EFF2" w:themeFill="accent3" w:themeFillTint="66"/>
        <w:spacing w:after="0"/>
      </w:pPr>
      <w:r w:rsidRPr="000A1784">
        <w:rPr>
          <w:b/>
          <w:bCs/>
        </w:rPr>
        <w:t xml:space="preserve">Finding </w:t>
      </w:r>
      <w:r>
        <w:rPr>
          <w:b/>
          <w:bCs/>
        </w:rPr>
        <w:t>2</w:t>
      </w:r>
      <w:r w:rsidR="001E1A70">
        <w:rPr>
          <w:b/>
          <w:bCs/>
        </w:rPr>
        <w:t>4</w:t>
      </w:r>
      <w:r w:rsidRPr="000A1784">
        <w:rPr>
          <w:b/>
          <w:bCs/>
        </w:rPr>
        <w:t>:</w:t>
      </w:r>
      <w:r w:rsidRPr="000A1784">
        <w:t xml:space="preserve"> Vendor </w:t>
      </w:r>
      <w:r w:rsidR="008659AD">
        <w:t>i</w:t>
      </w:r>
      <w:r w:rsidRPr="000A1784">
        <w:t xml:space="preserve">dentification </w:t>
      </w:r>
      <w:r w:rsidR="008659AD">
        <w:t>a</w:t>
      </w:r>
      <w:r w:rsidRPr="000A1784">
        <w:t xml:space="preserve">gencies (VIAs), including </w:t>
      </w:r>
      <w:r w:rsidR="00D45705">
        <w:t xml:space="preserve">the </w:t>
      </w:r>
      <w:r w:rsidRPr="000A1784">
        <w:t xml:space="preserve">Industry Capability Network (ICN), play an important role in </w:t>
      </w:r>
      <w:r w:rsidRPr="001F1822">
        <w:t xml:space="preserve">capability matching and awareness of opportunities. Most ICN users found </w:t>
      </w:r>
      <w:r w:rsidR="00D266CD" w:rsidRPr="001F1822">
        <w:t xml:space="preserve">the ICN </w:t>
      </w:r>
      <w:r w:rsidRPr="001F1822">
        <w:t>to be useful, although services vary by jurisdiction and some suppliers considered the cost of using ICN to be a barrier.</w:t>
      </w:r>
    </w:p>
    <w:p w14:paraId="2149EBB7" w14:textId="20847BA5" w:rsidR="00D06242" w:rsidRDefault="00D06242" w:rsidP="00D06242">
      <w:pPr>
        <w:pStyle w:val="Caption"/>
        <w:rPr>
          <w:color w:val="005677" w:themeColor="background2"/>
        </w:rPr>
      </w:pPr>
      <w:r w:rsidRPr="008E12A7">
        <w:rPr>
          <w:color w:val="005677" w:themeColor="background2"/>
        </w:rPr>
        <w:lastRenderedPageBreak/>
        <w:t>Box 4.</w:t>
      </w:r>
      <w:r w:rsidR="00AA3317" w:rsidRPr="008E12A7">
        <w:rPr>
          <w:color w:val="005677" w:themeColor="background2"/>
        </w:rPr>
        <w:t>3</w:t>
      </w:r>
      <w:r w:rsidRPr="008E12A7">
        <w:rPr>
          <w:color w:val="005677" w:themeColor="background2"/>
        </w:rPr>
        <w:t>.1 Recommendation 1</w:t>
      </w:r>
      <w:r w:rsidR="001F1822" w:rsidRPr="008E12A7">
        <w:rPr>
          <w:color w:val="005677" w:themeColor="background2"/>
        </w:rPr>
        <w:t>6</w:t>
      </w:r>
    </w:p>
    <w:p w14:paraId="02EAAC75" w14:textId="3C26BE65" w:rsidR="008659AD" w:rsidRPr="00EB0673" w:rsidRDefault="008659AD" w:rsidP="00EB0673">
      <w:pPr>
        <w:pStyle w:val="Placeholder"/>
        <w:shd w:val="clear" w:color="auto" w:fill="E9E9EA" w:themeFill="accent5" w:themeFillTint="33"/>
        <w:jc w:val="left"/>
      </w:pPr>
      <w:r w:rsidRPr="00EB0673">
        <w:rPr>
          <w:b/>
          <w:bCs/>
          <w:color w:val="auto"/>
        </w:rPr>
        <w:t>Recommendation 16:</w:t>
      </w:r>
      <w:r w:rsidRPr="00934133">
        <w:rPr>
          <w:bCs/>
          <w:color w:val="auto"/>
        </w:rPr>
        <w:t xml:space="preserve"> That DISR </w:t>
      </w:r>
      <w:r w:rsidRPr="001F1822">
        <w:rPr>
          <w:bCs/>
          <w:color w:val="auto"/>
        </w:rPr>
        <w:t>encourage the use and awareness of VIAs by project proponents and suppliers in preparing and implementing</w:t>
      </w:r>
      <w:r w:rsidRPr="00934133">
        <w:rPr>
          <w:bCs/>
          <w:color w:val="auto"/>
        </w:rPr>
        <w:t xml:space="preserve"> AIP plans.</w:t>
      </w:r>
    </w:p>
    <w:p w14:paraId="488F58BD" w14:textId="1949697C" w:rsidR="00D06242" w:rsidRPr="00E601BB" w:rsidRDefault="00D06242" w:rsidP="00D06242">
      <w:pPr>
        <w:pStyle w:val="BodyText"/>
        <w:pBdr>
          <w:bottom w:val="single" w:sz="4" w:space="1" w:color="auto"/>
        </w:pBdr>
      </w:pPr>
    </w:p>
    <w:p w14:paraId="2B468238" w14:textId="03629838" w:rsidR="00F42AB8" w:rsidRPr="00F42AB8" w:rsidRDefault="00F42AB8" w:rsidP="00C0682A">
      <w:pPr>
        <w:pStyle w:val="Heading2"/>
      </w:pPr>
      <w:bookmarkStart w:id="96" w:name="_Toc174018035"/>
      <w:bookmarkStart w:id="97" w:name="_Toc127440393"/>
      <w:bookmarkEnd w:id="93"/>
      <w:r w:rsidRPr="00F42AB8">
        <w:t xml:space="preserve">Support for the creation and retention of Australian </w:t>
      </w:r>
      <w:proofErr w:type="gramStart"/>
      <w:r w:rsidRPr="00F42AB8">
        <w:t>jobs</w:t>
      </w:r>
      <w:bookmarkEnd w:id="96"/>
      <w:proofErr w:type="gramEnd"/>
    </w:p>
    <w:p w14:paraId="3EFE51AE" w14:textId="6A0A8860" w:rsidR="00A32191" w:rsidRDefault="00A32191" w:rsidP="009C1E09">
      <w:pPr>
        <w:pStyle w:val="BodyText"/>
        <w:rPr>
          <w:color w:val="000000" w:themeColor="text1" w:themeShade="BF"/>
        </w:rPr>
      </w:pPr>
      <w:r>
        <w:rPr>
          <w:color w:val="000000" w:themeColor="text1" w:themeShade="BF"/>
        </w:rPr>
        <w:t xml:space="preserve">The supplier survey found that most supplier respondents (26 of 40) </w:t>
      </w:r>
      <w:r>
        <w:t>had been able to increase the number of employees in their business</w:t>
      </w:r>
      <w:r w:rsidR="00AF2C77">
        <w:t xml:space="preserve"> o</w:t>
      </w:r>
      <w:r>
        <w:t>ver the last five years</w:t>
      </w:r>
      <w:r w:rsidR="00AF2C77">
        <w:t xml:space="preserve">. </w:t>
      </w:r>
      <w:r>
        <w:t xml:space="preserve">16 </w:t>
      </w:r>
      <w:r w:rsidR="00765BE3">
        <w:t>respondents</w:t>
      </w:r>
      <w:r>
        <w:t xml:space="preserve"> added 1-10 new jobs, 7 added 11-40 new jobs and 1 added 41-100 new jobs.</w:t>
      </w:r>
      <w:r w:rsidR="00AF2C77">
        <w:t xml:space="preserve"> </w:t>
      </w:r>
      <w:r w:rsidR="00AF2C77">
        <w:rPr>
          <w:color w:val="auto"/>
        </w:rPr>
        <w:t xml:space="preserve">However, this job creation could have been driven by factors other than AIP and the survey did not determine to what extent these changes can be attributed to AIP plans. </w:t>
      </w:r>
      <w:r>
        <w:t xml:space="preserve">  </w:t>
      </w:r>
    </w:p>
    <w:p w14:paraId="03BEB6CF" w14:textId="3E9D825D" w:rsidR="009C1E09" w:rsidRDefault="00293FC4" w:rsidP="009C1E09">
      <w:pPr>
        <w:pStyle w:val="BodyText"/>
        <w:rPr>
          <w:color w:val="000000" w:themeColor="text1" w:themeShade="BF"/>
        </w:rPr>
      </w:pPr>
      <w:r>
        <w:rPr>
          <w:color w:val="000000" w:themeColor="text1" w:themeShade="BF"/>
        </w:rPr>
        <w:t xml:space="preserve">AIP </w:t>
      </w:r>
      <w:r w:rsidR="00CD6068">
        <w:rPr>
          <w:color w:val="000000" w:themeColor="text1" w:themeShade="BF"/>
        </w:rPr>
        <w:t>p</w:t>
      </w:r>
      <w:r>
        <w:rPr>
          <w:color w:val="000000" w:themeColor="text1" w:themeShade="BF"/>
        </w:rPr>
        <w:t>lan</w:t>
      </w:r>
      <w:r w:rsidR="00765BE3">
        <w:rPr>
          <w:color w:val="000000" w:themeColor="text1" w:themeShade="BF"/>
        </w:rPr>
        <w:t>s</w:t>
      </w:r>
      <w:r>
        <w:rPr>
          <w:color w:val="000000" w:themeColor="text1" w:themeShade="BF"/>
        </w:rPr>
        <w:t xml:space="preserve"> and </w:t>
      </w:r>
      <w:r w:rsidR="00CD6068">
        <w:rPr>
          <w:color w:val="000000" w:themeColor="text1" w:themeShade="BF"/>
        </w:rPr>
        <w:t>c</w:t>
      </w:r>
      <w:r>
        <w:rPr>
          <w:color w:val="000000" w:themeColor="text1" w:themeShade="BF"/>
        </w:rPr>
        <w:t xml:space="preserve">ompliance and </w:t>
      </w:r>
      <w:r w:rsidR="00CD6068">
        <w:rPr>
          <w:color w:val="000000" w:themeColor="text1" w:themeShade="BF"/>
        </w:rPr>
        <w:t>i</w:t>
      </w:r>
      <w:r>
        <w:rPr>
          <w:color w:val="000000" w:themeColor="text1" w:themeShade="BF"/>
        </w:rPr>
        <w:t xml:space="preserve">mplementation </w:t>
      </w:r>
      <w:r w:rsidR="00CD6068">
        <w:rPr>
          <w:color w:val="000000" w:themeColor="text1" w:themeShade="BF"/>
        </w:rPr>
        <w:t>r</w:t>
      </w:r>
      <w:r>
        <w:rPr>
          <w:color w:val="000000" w:themeColor="text1" w:themeShade="BF"/>
        </w:rPr>
        <w:t>eport</w:t>
      </w:r>
      <w:r w:rsidR="00070E07">
        <w:rPr>
          <w:color w:val="000000" w:themeColor="text1" w:themeShade="BF"/>
        </w:rPr>
        <w:t>s</w:t>
      </w:r>
      <w:r w:rsidR="00E800F8">
        <w:rPr>
          <w:color w:val="000000" w:themeColor="text1" w:themeShade="BF"/>
        </w:rPr>
        <w:t xml:space="preserve"> </w:t>
      </w:r>
      <w:r>
        <w:rPr>
          <w:color w:val="000000" w:themeColor="text1" w:themeShade="BF"/>
        </w:rPr>
        <w:t>do not collect data on job creation and retention claims.</w:t>
      </w:r>
      <w:r w:rsidR="00AF2C77">
        <w:rPr>
          <w:color w:val="000000" w:themeColor="text1" w:themeShade="BF"/>
        </w:rPr>
        <w:t xml:space="preserve"> </w:t>
      </w:r>
      <w:r w:rsidR="00F910F4">
        <w:rPr>
          <w:color w:val="000000" w:themeColor="text1" w:themeShade="BF"/>
        </w:rPr>
        <w:t xml:space="preserve">The collection of employment data in the future under a </w:t>
      </w:r>
      <w:r w:rsidR="00F910F4" w:rsidRPr="00F910F4">
        <w:rPr>
          <w:color w:val="000000" w:themeColor="text1" w:themeShade="BF"/>
        </w:rPr>
        <w:t xml:space="preserve">monitoring and evaluation framework </w:t>
      </w:r>
      <w:r w:rsidR="00F910F4">
        <w:rPr>
          <w:color w:val="000000" w:themeColor="text1" w:themeShade="BF"/>
        </w:rPr>
        <w:t xml:space="preserve">would build an evidence base on the </w:t>
      </w:r>
      <w:r w:rsidR="00CD6068">
        <w:rPr>
          <w:color w:val="000000" w:themeColor="text1" w:themeShade="BF"/>
        </w:rPr>
        <w:t>p</w:t>
      </w:r>
      <w:r w:rsidR="00F910F4">
        <w:rPr>
          <w:color w:val="000000" w:themeColor="text1" w:themeShade="BF"/>
        </w:rPr>
        <w:t xml:space="preserve">olicy’s achievement of </w:t>
      </w:r>
      <w:r>
        <w:rPr>
          <w:color w:val="000000" w:themeColor="text1" w:themeShade="BF"/>
        </w:rPr>
        <w:t>employment outcomes</w:t>
      </w:r>
      <w:r w:rsidR="009C1E09" w:rsidRPr="0029288F">
        <w:rPr>
          <w:color w:val="000000" w:themeColor="text1" w:themeShade="BF"/>
        </w:rPr>
        <w:t xml:space="preserve">. </w:t>
      </w:r>
    </w:p>
    <w:p w14:paraId="70F04599" w14:textId="25AB9901" w:rsidR="006D1FE2" w:rsidRDefault="006D1FE2" w:rsidP="00C0682A">
      <w:pPr>
        <w:pStyle w:val="Heading2"/>
        <w:rPr>
          <w:lang w:eastAsia="en-AU"/>
        </w:rPr>
      </w:pPr>
      <w:bookmarkStart w:id="98" w:name="_Toc174018036"/>
      <w:r>
        <w:rPr>
          <w:lang w:eastAsia="en-AU"/>
        </w:rPr>
        <w:t>Unintended consequences</w:t>
      </w:r>
      <w:bookmarkEnd w:id="97"/>
      <w:bookmarkEnd w:id="98"/>
    </w:p>
    <w:p w14:paraId="1AA0FFDE" w14:textId="63DD55B7" w:rsidR="00903F62" w:rsidRPr="00903F62" w:rsidRDefault="00903F62" w:rsidP="005B262F">
      <w:pPr>
        <w:pStyle w:val="Heading3"/>
        <w:rPr>
          <w:rFonts w:asciiTheme="minorHAnsi" w:eastAsiaTheme="minorHAnsi" w:hAnsiTheme="minorHAnsi" w:cstheme="minorBidi"/>
          <w:bCs w:val="0"/>
          <w:color w:val="auto"/>
          <w:sz w:val="20"/>
        </w:rPr>
      </w:pPr>
      <w:bookmarkStart w:id="99" w:name="_Hlk130206203"/>
      <w:r w:rsidRPr="00903F62">
        <w:rPr>
          <w:rFonts w:asciiTheme="minorHAnsi" w:eastAsiaTheme="minorHAnsi" w:hAnsiTheme="minorHAnsi" w:cstheme="minorBidi"/>
          <w:bCs w:val="0"/>
          <w:color w:val="auto"/>
          <w:sz w:val="20"/>
        </w:rPr>
        <w:t xml:space="preserve">In addition to those outcomes intended by the policy, evaluators asked survey respondents whether they experienced unintended consequences, either positive or negative. </w:t>
      </w:r>
    </w:p>
    <w:p w14:paraId="6DC32EE0" w14:textId="2FB3C6D1" w:rsidR="005B262F" w:rsidRDefault="005B262F" w:rsidP="005B262F">
      <w:pPr>
        <w:pStyle w:val="Heading3"/>
      </w:pPr>
      <w:r>
        <w:t xml:space="preserve">Unexpected </w:t>
      </w:r>
      <w:r w:rsidR="00AA5622">
        <w:t>benefits</w:t>
      </w:r>
    </w:p>
    <w:p w14:paraId="7280EF76" w14:textId="706969F5" w:rsidR="006D1FE2" w:rsidRPr="006D1FE2" w:rsidRDefault="008B32AC" w:rsidP="006D1FE2">
      <w:pPr>
        <w:pStyle w:val="BodyText"/>
        <w:rPr>
          <w:color w:val="1B9590" w:themeColor="accent1"/>
        </w:rPr>
      </w:pPr>
      <w:r>
        <w:rPr>
          <w:color w:val="auto"/>
        </w:rPr>
        <w:t xml:space="preserve">A small number of </w:t>
      </w:r>
      <w:r w:rsidR="00304F9B">
        <w:rPr>
          <w:color w:val="auto"/>
        </w:rPr>
        <w:t>stakeholders identified unexpected benefits. P</w:t>
      </w:r>
      <w:r w:rsidR="00A30D5D">
        <w:rPr>
          <w:color w:val="auto"/>
        </w:rPr>
        <w:t>roponent</w:t>
      </w:r>
      <w:r w:rsidR="000E2DD4">
        <w:rPr>
          <w:color w:val="auto"/>
        </w:rPr>
        <w:t xml:space="preserve"> respondent</w:t>
      </w:r>
      <w:r w:rsidR="00A30D5D">
        <w:rPr>
          <w:color w:val="auto"/>
        </w:rPr>
        <w:t xml:space="preserve">s identified unexpected benefits. These </w:t>
      </w:r>
      <w:r w:rsidR="00A30D5D" w:rsidRPr="00A30D5D">
        <w:rPr>
          <w:color w:val="auto"/>
        </w:rPr>
        <w:t xml:space="preserve">included </w:t>
      </w:r>
      <w:r w:rsidR="006D1FE2" w:rsidRPr="00A30D5D">
        <w:rPr>
          <w:color w:val="auto"/>
        </w:rPr>
        <w:t xml:space="preserve">attracting more interest in their expression of interest and finding new suppliers that delivered costs and technology benefits. </w:t>
      </w:r>
    </w:p>
    <w:p w14:paraId="4D86A6DD" w14:textId="35653659" w:rsidR="006D1FE2" w:rsidRPr="009046E8" w:rsidRDefault="006D1FE2" w:rsidP="006D1FE2">
      <w:pPr>
        <w:pStyle w:val="BodyText"/>
        <w:rPr>
          <w:color w:val="auto"/>
        </w:rPr>
      </w:pPr>
      <w:r w:rsidRPr="009046E8">
        <w:rPr>
          <w:color w:val="auto"/>
        </w:rPr>
        <w:t>Unexpected benefits for supplier</w:t>
      </w:r>
      <w:r w:rsidR="000E2DD4">
        <w:rPr>
          <w:color w:val="auto"/>
        </w:rPr>
        <w:t xml:space="preserve"> respondent</w:t>
      </w:r>
      <w:r w:rsidRPr="009046E8">
        <w:rPr>
          <w:color w:val="auto"/>
        </w:rPr>
        <w:t>s included being introduced to other subcontractors.</w:t>
      </w:r>
      <w:r w:rsidR="00A30D5D" w:rsidRPr="009046E8">
        <w:rPr>
          <w:color w:val="auto"/>
        </w:rPr>
        <w:t xml:space="preserve"> </w:t>
      </w:r>
      <w:r w:rsidRPr="009046E8">
        <w:rPr>
          <w:color w:val="auto"/>
        </w:rPr>
        <w:t>Unexpected benefits highlighted by peaks and unions included instances of project proponents contacting ICN consultants to identify local content services due to AIP requirements, and foreign companies having been encouraged to engage with domestic industries on terms other than commercial.</w:t>
      </w:r>
    </w:p>
    <w:p w14:paraId="66F5CD1D" w14:textId="53F2CF8C" w:rsidR="006D1FE2" w:rsidRDefault="006D1FE2" w:rsidP="007A3A83">
      <w:pPr>
        <w:pStyle w:val="BodyText"/>
        <w:shd w:val="clear" w:color="auto" w:fill="D7EFF2" w:themeFill="accent3" w:themeFillTint="66"/>
        <w:spacing w:after="0"/>
      </w:pPr>
      <w:r w:rsidRPr="00ED0CD8">
        <w:rPr>
          <w:b/>
          <w:bCs/>
        </w:rPr>
        <w:t>Finding 2</w:t>
      </w:r>
      <w:r w:rsidR="001E1A70">
        <w:rPr>
          <w:b/>
          <w:bCs/>
        </w:rPr>
        <w:t>5</w:t>
      </w:r>
      <w:r w:rsidRPr="00ED0CD8">
        <w:t xml:space="preserve">: A </w:t>
      </w:r>
      <w:r w:rsidR="00E9088E" w:rsidRPr="00ED0CD8">
        <w:t>small number of stakeholders indicated they experienced unexpected benefits of AIP, including building better connections between suppliers and proponents.</w:t>
      </w:r>
    </w:p>
    <w:p w14:paraId="61E8E874" w14:textId="51ADCDE5" w:rsidR="005B262F" w:rsidRPr="00C053A9" w:rsidRDefault="005B262F" w:rsidP="000B56A6">
      <w:pPr>
        <w:pStyle w:val="Heading3"/>
        <w:numPr>
          <w:ilvl w:val="0"/>
          <w:numId w:val="0"/>
        </w:numPr>
      </w:pPr>
      <w:r w:rsidRPr="00C053A9">
        <w:t>Unexpected negative consequences</w:t>
      </w:r>
    </w:p>
    <w:p w14:paraId="4683445B" w14:textId="5690E972" w:rsidR="006D1FE2" w:rsidRPr="00CC4469" w:rsidRDefault="006D1FE2" w:rsidP="006D1FE2">
      <w:pPr>
        <w:pStyle w:val="BodyText"/>
        <w:rPr>
          <w:color w:val="auto"/>
        </w:rPr>
      </w:pPr>
      <w:r w:rsidRPr="00CC4469">
        <w:rPr>
          <w:color w:val="auto"/>
        </w:rPr>
        <w:t>Just under a third of proponent</w:t>
      </w:r>
      <w:r w:rsidR="00CC4469" w:rsidRPr="00CC4469">
        <w:rPr>
          <w:color w:val="auto"/>
        </w:rPr>
        <w:t xml:space="preserve"> survey</w:t>
      </w:r>
      <w:r w:rsidRPr="00CC4469">
        <w:rPr>
          <w:color w:val="auto"/>
        </w:rPr>
        <w:t xml:space="preserve"> respondents noted negative consequences </w:t>
      </w:r>
      <w:r w:rsidR="00CC4469" w:rsidRPr="00DE2F2C">
        <w:rPr>
          <w:color w:val="auto"/>
        </w:rPr>
        <w:t>or challenges</w:t>
      </w:r>
      <w:r w:rsidR="00CC4469" w:rsidRPr="00CC4469">
        <w:rPr>
          <w:color w:val="auto"/>
        </w:rPr>
        <w:t xml:space="preserve"> </w:t>
      </w:r>
      <w:r w:rsidRPr="00CC4469">
        <w:rPr>
          <w:color w:val="auto"/>
        </w:rPr>
        <w:t>of AIP policy. Examples</w:t>
      </w:r>
      <w:r w:rsidR="00CC4469" w:rsidRPr="00CC4469">
        <w:rPr>
          <w:color w:val="auto"/>
        </w:rPr>
        <w:t xml:space="preserve"> </w:t>
      </w:r>
      <w:r w:rsidRPr="00CC4469">
        <w:rPr>
          <w:color w:val="auto"/>
        </w:rPr>
        <w:t xml:space="preserve">included challenges getting contractors to provide the information needed for accurate reporting and higher costs of compliance than originally indicated by </w:t>
      </w:r>
      <w:r w:rsidR="00CD6068">
        <w:rPr>
          <w:color w:val="auto"/>
        </w:rPr>
        <w:t>g</w:t>
      </w:r>
      <w:r w:rsidRPr="00CC4469">
        <w:rPr>
          <w:color w:val="auto"/>
        </w:rPr>
        <w:t>overnment without clarity on the benefit</w:t>
      </w:r>
      <w:r w:rsidR="00CC4469" w:rsidRPr="00CC4469">
        <w:rPr>
          <w:color w:val="auto"/>
        </w:rPr>
        <w:t xml:space="preserve">. </w:t>
      </w:r>
    </w:p>
    <w:p w14:paraId="0B73C9C8" w14:textId="2786A321" w:rsidR="006D1FE2" w:rsidRDefault="006D1FE2" w:rsidP="006D1FE2">
      <w:pPr>
        <w:pStyle w:val="BodyText"/>
        <w:rPr>
          <w:color w:val="auto"/>
        </w:rPr>
      </w:pPr>
      <w:r w:rsidRPr="00D67BA8">
        <w:rPr>
          <w:color w:val="auto"/>
        </w:rPr>
        <w:t>Just under half the peak and union respondents</w:t>
      </w:r>
      <w:r w:rsidR="00DE2F2C">
        <w:rPr>
          <w:color w:val="auto"/>
        </w:rPr>
        <w:t xml:space="preserve"> </w:t>
      </w:r>
      <w:r w:rsidRPr="00D67BA8">
        <w:rPr>
          <w:color w:val="auto"/>
        </w:rPr>
        <w:t>indicated negative consequences. This included perceptions that some proponents treat AIP plans as a tick and flick exercise.</w:t>
      </w:r>
      <w:r w:rsidR="00C053A9">
        <w:rPr>
          <w:color w:val="auto"/>
        </w:rPr>
        <w:t xml:space="preserve"> An ICN interviewee noted this perception amongst some project proponents: </w:t>
      </w:r>
    </w:p>
    <w:p w14:paraId="17914097" w14:textId="1909BC5E" w:rsidR="00C053A9" w:rsidRPr="00C053A9" w:rsidRDefault="00C053A9" w:rsidP="008E12A7">
      <w:pPr>
        <w:pStyle w:val="BodyText"/>
        <w:ind w:left="720" w:right="946"/>
        <w:rPr>
          <w:i/>
          <w:iCs/>
          <w:color w:val="auto"/>
        </w:rPr>
      </w:pPr>
      <w:r w:rsidRPr="00C053A9">
        <w:rPr>
          <w:i/>
          <w:iCs/>
          <w:color w:val="auto"/>
        </w:rPr>
        <w:t xml:space="preserve">For project proponents AIP policy is often just a box ticking exercise. This is because they know that it is unlikely there will be ramifications if they don’t fulfil their </w:t>
      </w:r>
      <w:proofErr w:type="gramStart"/>
      <w:r w:rsidRPr="00C053A9">
        <w:rPr>
          <w:i/>
          <w:iCs/>
          <w:color w:val="auto"/>
        </w:rPr>
        <w:t>obligations</w:t>
      </w:r>
      <w:proofErr w:type="gramEnd"/>
    </w:p>
    <w:p w14:paraId="75E87F34" w14:textId="7FF75DAC" w:rsidR="006D1FE2" w:rsidRDefault="006D1FE2" w:rsidP="006D1FE2">
      <w:pPr>
        <w:pStyle w:val="BodyText"/>
        <w:shd w:val="clear" w:color="auto" w:fill="D7EFF2" w:themeFill="accent3" w:themeFillTint="66"/>
      </w:pPr>
      <w:bookmarkStart w:id="100" w:name="_Hlk132187546"/>
      <w:r w:rsidRPr="00ED0CD8">
        <w:rPr>
          <w:b/>
          <w:bCs/>
        </w:rPr>
        <w:lastRenderedPageBreak/>
        <w:t>Finding 2</w:t>
      </w:r>
      <w:r w:rsidR="001E1A70">
        <w:rPr>
          <w:b/>
          <w:bCs/>
        </w:rPr>
        <w:t>6</w:t>
      </w:r>
      <w:r w:rsidRPr="00ED0CD8">
        <w:rPr>
          <w:b/>
          <w:bCs/>
        </w:rPr>
        <w:t>:</w:t>
      </w:r>
      <w:r w:rsidRPr="00ED0CD8">
        <w:t xml:space="preserve"> A </w:t>
      </w:r>
      <w:r w:rsidR="00E9088E" w:rsidRPr="00ED0CD8">
        <w:t xml:space="preserve">small number of stakeholders experienced unexpected negative </w:t>
      </w:r>
      <w:r w:rsidR="00E9088E" w:rsidRPr="00B757C1">
        <w:t>consequences</w:t>
      </w:r>
      <w:r w:rsidR="00DE2F2C" w:rsidRPr="00B757C1">
        <w:t xml:space="preserve"> or challenges</w:t>
      </w:r>
      <w:r w:rsidR="00E9088E" w:rsidRPr="00B757C1">
        <w:t xml:space="preserve"> from AIP requirements</w:t>
      </w:r>
      <w:r w:rsidR="00C053A9" w:rsidRPr="00B757C1">
        <w:t xml:space="preserve">, </w:t>
      </w:r>
      <w:r w:rsidR="00DE2F2C" w:rsidRPr="00B757C1">
        <w:t xml:space="preserve">including </w:t>
      </w:r>
      <w:r w:rsidR="00661E3E" w:rsidRPr="00B757C1">
        <w:t>compliance costs</w:t>
      </w:r>
      <w:r w:rsidR="00B757C1">
        <w:t xml:space="preserve"> and a perception that some proponents treat AIP plans as a box ticking exercise.</w:t>
      </w:r>
    </w:p>
    <w:p w14:paraId="5F50386A" w14:textId="26D3A148" w:rsidR="006D1FE2" w:rsidRDefault="00092C01" w:rsidP="00C0682A">
      <w:pPr>
        <w:pStyle w:val="Heading1"/>
        <w:numPr>
          <w:ilvl w:val="0"/>
          <w:numId w:val="27"/>
        </w:numPr>
        <w:rPr>
          <w:lang w:eastAsia="en-AU"/>
        </w:rPr>
      </w:pPr>
      <w:bookmarkStart w:id="101" w:name="_Toc127440394"/>
      <w:bookmarkStart w:id="102" w:name="_Toc174018037"/>
      <w:bookmarkEnd w:id="99"/>
      <w:bookmarkEnd w:id="100"/>
      <w:r>
        <w:rPr>
          <w:lang w:eastAsia="en-AU"/>
        </w:rPr>
        <w:t>Conclusion</w:t>
      </w:r>
      <w:bookmarkEnd w:id="101"/>
      <w:bookmarkEnd w:id="102"/>
    </w:p>
    <w:p w14:paraId="0EA3159B" w14:textId="6B49ED02" w:rsidR="00007357" w:rsidRDefault="00856D71" w:rsidP="00127976">
      <w:pPr>
        <w:pStyle w:val="BodyText"/>
      </w:pPr>
      <w:bookmarkStart w:id="103" w:name="_Hlk132115252"/>
      <w:bookmarkStart w:id="104" w:name="_Hlk132103709"/>
      <w:r>
        <w:t>The evaluation found that</w:t>
      </w:r>
      <w:r w:rsidR="00F900CB">
        <w:t xml:space="preserve"> AIP Policy objectives remain relevant </w:t>
      </w:r>
      <w:r w:rsidR="0017669E">
        <w:t xml:space="preserve">within the current policy context </w:t>
      </w:r>
      <w:r w:rsidR="00F900CB">
        <w:t>and that underlying barriers to Australian businesses competing for work continue to exist.</w:t>
      </w:r>
      <w:r>
        <w:t xml:space="preserve"> </w:t>
      </w:r>
      <w:r w:rsidR="00007357">
        <w:t>It also identified</w:t>
      </w:r>
      <w:r w:rsidR="00007357" w:rsidRPr="00007357">
        <w:t xml:space="preserve"> opportunities to improve stakeholder communication and the awareness of AIP requirements within industry and Commonwealth agencies.</w:t>
      </w:r>
    </w:p>
    <w:p w14:paraId="546CA086" w14:textId="124E8663" w:rsidR="00F900CB" w:rsidRDefault="0017669E" w:rsidP="00127976">
      <w:pPr>
        <w:pStyle w:val="BodyText"/>
      </w:pPr>
      <w:r>
        <w:t xml:space="preserve">The </w:t>
      </w:r>
      <w:r w:rsidR="00173821">
        <w:t>P</w:t>
      </w:r>
      <w:r w:rsidRPr="0017669E">
        <w:t xml:space="preserve">olicy gives effect to the principles outlined in the </w:t>
      </w:r>
      <w:r>
        <w:t xml:space="preserve">2001 </w:t>
      </w:r>
      <w:r w:rsidRPr="0017669E">
        <w:t>AIP National Framework</w:t>
      </w:r>
      <w:r>
        <w:t xml:space="preserve">. The </w:t>
      </w:r>
      <w:r w:rsidR="00CD6068">
        <w:t>f</w:t>
      </w:r>
      <w:r>
        <w:t xml:space="preserve">ramework </w:t>
      </w:r>
      <w:r w:rsidRPr="0017669E">
        <w:t xml:space="preserve">could benefit from a refresh </w:t>
      </w:r>
      <w:r>
        <w:t>alongside</w:t>
      </w:r>
      <w:r w:rsidRPr="0017669E">
        <w:t xml:space="preserve"> deliberation</w:t>
      </w:r>
      <w:r>
        <w:t xml:space="preserve"> amongst </w:t>
      </w:r>
      <w:r w:rsidRPr="0017669E">
        <w:t xml:space="preserve">Commonwealth, </w:t>
      </w:r>
      <w:proofErr w:type="gramStart"/>
      <w:r w:rsidR="00CD6068">
        <w:t>s</w:t>
      </w:r>
      <w:r w:rsidRPr="0017669E">
        <w:t>tate</w:t>
      </w:r>
      <w:proofErr w:type="gramEnd"/>
      <w:r w:rsidRPr="0017669E">
        <w:t xml:space="preserve"> and </w:t>
      </w:r>
      <w:r w:rsidR="00CD6068">
        <w:t>t</w:t>
      </w:r>
      <w:r w:rsidRPr="0017669E">
        <w:t>erritory</w:t>
      </w:r>
      <w:r>
        <w:t xml:space="preserve"> governments</w:t>
      </w:r>
      <w:r w:rsidRPr="0017669E">
        <w:t xml:space="preserve"> on </w:t>
      </w:r>
      <w:r>
        <w:t xml:space="preserve">harmonising </w:t>
      </w:r>
      <w:r w:rsidRPr="0017669E">
        <w:t>approaches to further support a nationally consistent approach</w:t>
      </w:r>
      <w:r>
        <w:t>.</w:t>
      </w:r>
    </w:p>
    <w:p w14:paraId="4FFC57A6" w14:textId="45D55555" w:rsidR="0017669E" w:rsidRDefault="0017669E" w:rsidP="00127976">
      <w:pPr>
        <w:pStyle w:val="BodyText"/>
      </w:pPr>
      <w:r>
        <w:t xml:space="preserve">The evaluation found </w:t>
      </w:r>
      <w:r w:rsidR="006D3CE1">
        <w:t>general support for the AIP Policy’s design</w:t>
      </w:r>
      <w:r w:rsidR="00EC511B">
        <w:t xml:space="preserve"> amongst consulted stakeholders</w:t>
      </w:r>
      <w:r w:rsidR="006D3CE1">
        <w:t>, while highlighting potential changes such as extending project scope and criteria and the need for further analysis on financial thresholds. It also found that c</w:t>
      </w:r>
      <w:r w:rsidR="006D3CE1" w:rsidRPr="006D3CE1">
        <w:t xml:space="preserve">ertain elements of the </w:t>
      </w:r>
      <w:r w:rsidR="008A7B1D" w:rsidRPr="00F91D9A">
        <w:rPr>
          <w:i/>
          <w:iCs/>
        </w:rPr>
        <w:t xml:space="preserve">Australian </w:t>
      </w:r>
      <w:r w:rsidR="006D3CE1" w:rsidRPr="00F91D9A">
        <w:rPr>
          <w:i/>
          <w:iCs/>
        </w:rPr>
        <w:t>Jobs Act</w:t>
      </w:r>
      <w:r w:rsidR="008A7B1D" w:rsidRPr="00F91D9A">
        <w:rPr>
          <w:i/>
          <w:iCs/>
        </w:rPr>
        <w:t xml:space="preserve"> 2013</w:t>
      </w:r>
      <w:r w:rsidR="006D3CE1" w:rsidRPr="006D3CE1">
        <w:t xml:space="preserve"> have not been </w:t>
      </w:r>
      <w:r w:rsidR="00DC6410">
        <w:t xml:space="preserve">fully </w:t>
      </w:r>
      <w:r w:rsidR="006D3CE1" w:rsidRPr="006D3CE1">
        <w:t>implemented</w:t>
      </w:r>
      <w:r w:rsidR="006D3CE1">
        <w:t xml:space="preserve"> and </w:t>
      </w:r>
      <w:r w:rsidR="006D3CE1" w:rsidRPr="006D3CE1">
        <w:t>consideration could be given to appointing an AIP Authority and Advisory Board in accordance with the Act.</w:t>
      </w:r>
    </w:p>
    <w:p w14:paraId="43F1AC52" w14:textId="3322592A" w:rsidR="006D3CE1" w:rsidRDefault="006D3CE1" w:rsidP="00127976">
      <w:pPr>
        <w:pStyle w:val="BodyText"/>
      </w:pPr>
      <w:r>
        <w:t xml:space="preserve">While </w:t>
      </w:r>
      <w:r w:rsidR="00EC511B">
        <w:t xml:space="preserve">the </w:t>
      </w:r>
      <w:r w:rsidRPr="006D3CE1">
        <w:t xml:space="preserve">AIP Authority </w:t>
      </w:r>
      <w:r w:rsidR="00EC511B">
        <w:t>has</w:t>
      </w:r>
      <w:r w:rsidR="00EC511B" w:rsidRPr="006D3CE1">
        <w:t xml:space="preserve"> </w:t>
      </w:r>
      <w:r w:rsidRPr="006D3CE1">
        <w:t xml:space="preserve">considerable compliance powers </w:t>
      </w:r>
      <w:r w:rsidR="00EC511B" w:rsidRPr="006D3CE1">
        <w:t>regarding</w:t>
      </w:r>
      <w:r w:rsidRPr="006D3CE1">
        <w:t xml:space="preserve"> </w:t>
      </w:r>
      <w:r>
        <w:t xml:space="preserve">Jobs Act projects, DISR could </w:t>
      </w:r>
      <w:r w:rsidRPr="006D3CE1">
        <w:t>work with the Department of Finance (DoF) to clarify Commonwealth AIP requirements, including a compliance reporting mechanism.</w:t>
      </w:r>
      <w:r w:rsidR="00EC511B" w:rsidRPr="00EC511B">
        <w:t xml:space="preserve"> Additionally, there would be value in developing a comprehensive governance framework for AIP requirements as they apply to Commonwealth funding.</w:t>
      </w:r>
    </w:p>
    <w:p w14:paraId="2574D1D4" w14:textId="5F0305A0" w:rsidR="00EC511B" w:rsidRDefault="00EC511B" w:rsidP="00127976">
      <w:pPr>
        <w:pStyle w:val="BodyText"/>
        <w:rPr>
          <w:lang w:eastAsia="en-AU"/>
        </w:rPr>
      </w:pPr>
      <w:r>
        <w:t xml:space="preserve">The evaluation identified that </w:t>
      </w:r>
      <w:r w:rsidRPr="00EC511B">
        <w:t>AIP data collection and management processes have significant limitations.</w:t>
      </w:r>
      <w:r>
        <w:t xml:space="preserve"> It recommended</w:t>
      </w:r>
      <w:r w:rsidRPr="00EC511B">
        <w:t xml:space="preserve"> improved data collection and management</w:t>
      </w:r>
      <w:r>
        <w:t xml:space="preserve"> and the implementation of a monitoring and evaluation framework. This </w:t>
      </w:r>
      <w:r w:rsidR="00007357">
        <w:t xml:space="preserve">would support the </w:t>
      </w:r>
      <w:r w:rsidR="00007357">
        <w:rPr>
          <w:lang w:eastAsia="en-AU"/>
        </w:rPr>
        <w:t>ongoing assessment of AIP policy outcomes</w:t>
      </w:r>
      <w:r w:rsidR="00B468AA">
        <w:rPr>
          <w:lang w:eastAsia="en-AU"/>
        </w:rPr>
        <w:t xml:space="preserve">, </w:t>
      </w:r>
      <w:r w:rsidR="00007357" w:rsidRPr="00934133">
        <w:rPr>
          <w:lang w:eastAsia="en-AU"/>
        </w:rPr>
        <w:t xml:space="preserve">future </w:t>
      </w:r>
      <w:proofErr w:type="gramStart"/>
      <w:r w:rsidR="00007357" w:rsidRPr="00934133">
        <w:rPr>
          <w:lang w:eastAsia="en-AU"/>
        </w:rPr>
        <w:t>decision-making</w:t>
      </w:r>
      <w:proofErr w:type="gramEnd"/>
      <w:r w:rsidR="00B468AA">
        <w:rPr>
          <w:lang w:eastAsia="en-AU"/>
        </w:rPr>
        <w:t xml:space="preserve"> and risk-based compliance.</w:t>
      </w:r>
    </w:p>
    <w:p w14:paraId="38CC78A1" w14:textId="46A242B2" w:rsidR="00EC511B" w:rsidRDefault="00EC511B" w:rsidP="00127976">
      <w:pPr>
        <w:pStyle w:val="BodyText"/>
      </w:pPr>
      <w:r>
        <w:t>The</w:t>
      </w:r>
      <w:r w:rsidR="00B468AA">
        <w:t xml:space="preserve"> </w:t>
      </w:r>
      <w:r>
        <w:t xml:space="preserve">evaluation </w:t>
      </w:r>
      <w:r w:rsidRPr="00EC511B">
        <w:t xml:space="preserve">found that the AIP </w:t>
      </w:r>
      <w:r w:rsidR="00295826" w:rsidRPr="00295826">
        <w:t>policy was contributing</w:t>
      </w:r>
      <w:r w:rsidRPr="00EC511B">
        <w:t xml:space="preserve"> to </w:t>
      </w:r>
      <w:r w:rsidR="00295826" w:rsidRPr="00295826">
        <w:t xml:space="preserve">the achievement of </w:t>
      </w:r>
      <w:r w:rsidRPr="00EC511B">
        <w:t xml:space="preserve">intended </w:t>
      </w:r>
      <w:r w:rsidR="00F11087">
        <w:t>o</w:t>
      </w:r>
      <w:r w:rsidR="00F11087" w:rsidRPr="00F11087">
        <w:t>utcomes</w:t>
      </w:r>
      <w:r w:rsidR="00295826" w:rsidRPr="00295826">
        <w:t>, such as</w:t>
      </w:r>
      <w:r w:rsidR="00F11087" w:rsidRPr="00F11087">
        <w:t xml:space="preserve"> increased supplier awareness of project opportunities</w:t>
      </w:r>
      <w:r w:rsidR="00295826" w:rsidRPr="00295826">
        <w:t>;</w:t>
      </w:r>
      <w:r w:rsidR="00F11087" w:rsidRPr="00F11087">
        <w:t xml:space="preserve"> increased proponent awareness of supplier capabilities to meet their project needs</w:t>
      </w:r>
      <w:r w:rsidR="00295826" w:rsidRPr="00295826">
        <w:t>;</w:t>
      </w:r>
      <w:r w:rsidR="00F11087" w:rsidRPr="00F11087">
        <w:t xml:space="preserve"> </w:t>
      </w:r>
      <w:r w:rsidR="00B468AA">
        <w:t xml:space="preserve">and </w:t>
      </w:r>
      <w:r w:rsidR="00F11087" w:rsidRPr="00F11087">
        <w:t>building better connections between suppliers and proponents</w:t>
      </w:r>
      <w:r w:rsidR="005551B1">
        <w:t>.</w:t>
      </w:r>
      <w:r w:rsidR="00B468AA">
        <w:t xml:space="preserve"> However, </w:t>
      </w:r>
      <w:r w:rsidR="00B468AA" w:rsidRPr="00B468AA">
        <w:t>data limitations made it difficult to quantify the contribution the program made to these outcomes and fully assess the various policy outcomes.</w:t>
      </w:r>
    </w:p>
    <w:bookmarkEnd w:id="103"/>
    <w:bookmarkEnd w:id="104"/>
    <w:p w14:paraId="048586CD" w14:textId="28CE004A" w:rsidR="002254D9" w:rsidRDefault="002254D9" w:rsidP="00092C01">
      <w:pPr>
        <w:pStyle w:val="BodyText"/>
        <w:sectPr w:rsidR="002254D9" w:rsidSect="008E12A7">
          <w:pgSz w:w="11906" w:h="16838" w:code="9"/>
          <w:pgMar w:top="1440" w:right="1440" w:bottom="1440" w:left="1440" w:header="709" w:footer="709" w:gutter="0"/>
          <w:cols w:space="708"/>
          <w:docGrid w:linePitch="360"/>
        </w:sectPr>
      </w:pPr>
    </w:p>
    <w:p w14:paraId="350D53CF" w14:textId="3149612C" w:rsidR="00F249B2" w:rsidRDefault="00F249B2" w:rsidP="00C0682A">
      <w:pPr>
        <w:pStyle w:val="Heading1"/>
        <w:rPr>
          <w:noProof/>
        </w:rPr>
      </w:pPr>
      <w:bookmarkStart w:id="105" w:name="_Toc174018038"/>
      <w:bookmarkStart w:id="106" w:name="_Hlk132382740"/>
      <w:r>
        <w:rPr>
          <w:noProof/>
        </w:rPr>
        <w:lastRenderedPageBreak/>
        <w:t xml:space="preserve">Appendix </w:t>
      </w:r>
      <w:r w:rsidR="00320E16">
        <w:rPr>
          <w:noProof/>
        </w:rPr>
        <w:t>A</w:t>
      </w:r>
      <w:r>
        <w:rPr>
          <w:noProof/>
        </w:rPr>
        <w:t xml:space="preserve"> – Consultation </w:t>
      </w:r>
      <w:r w:rsidR="00CD6068">
        <w:rPr>
          <w:noProof/>
        </w:rPr>
        <w:t>m</w:t>
      </w:r>
      <w:r>
        <w:rPr>
          <w:noProof/>
        </w:rPr>
        <w:t>ethodology</w:t>
      </w:r>
      <w:bookmarkEnd w:id="105"/>
    </w:p>
    <w:p w14:paraId="5FA2D4D4" w14:textId="6721B2B8" w:rsidR="00F625F9" w:rsidRDefault="00F625F9" w:rsidP="003D7B1C">
      <w:pPr>
        <w:pStyle w:val="Heading3"/>
      </w:pPr>
      <w:r>
        <w:t>Survey</w:t>
      </w:r>
      <w:r w:rsidR="00514470">
        <w:t xml:space="preserve"> </w:t>
      </w:r>
      <w:proofErr w:type="gramStart"/>
      <w:r w:rsidR="00CD6068">
        <w:t>q</w:t>
      </w:r>
      <w:r w:rsidR="00514470">
        <w:t>uestions</w:t>
      </w:r>
      <w:proofErr w:type="gramEnd"/>
    </w:p>
    <w:p w14:paraId="215EC718" w14:textId="7CC678BA" w:rsidR="00187022" w:rsidRDefault="00187022" w:rsidP="00187022">
      <w:pPr>
        <w:pStyle w:val="ListBullet2"/>
        <w:numPr>
          <w:ilvl w:val="0"/>
          <w:numId w:val="0"/>
        </w:numPr>
      </w:pPr>
      <w:r>
        <w:t>Three separate surveys were prepared with tailored questions for suppliers, proponents, and peaks and unions.</w:t>
      </w:r>
      <w:r w:rsidR="00F062B6">
        <w:t xml:space="preserve"> The surveys included multiple choice, free </w:t>
      </w:r>
      <w:proofErr w:type="gramStart"/>
      <w:r w:rsidR="00F062B6">
        <w:t>text</w:t>
      </w:r>
      <w:proofErr w:type="gramEnd"/>
      <w:r w:rsidR="00F062B6">
        <w:t xml:space="preserve"> and Likert scale questions.  </w:t>
      </w:r>
    </w:p>
    <w:p w14:paraId="59742FE3" w14:textId="205F57D2" w:rsidR="00187022" w:rsidRPr="00187022" w:rsidRDefault="00187022" w:rsidP="0044332C">
      <w:pPr>
        <w:pStyle w:val="ListBullet2"/>
        <w:numPr>
          <w:ilvl w:val="0"/>
          <w:numId w:val="29"/>
        </w:numPr>
      </w:pPr>
      <w:r w:rsidRPr="00514470">
        <w:rPr>
          <w:color w:val="auto"/>
        </w:rPr>
        <w:t xml:space="preserve">The </w:t>
      </w:r>
      <w:r>
        <w:rPr>
          <w:color w:val="auto"/>
        </w:rPr>
        <w:t xml:space="preserve">proponent survey had </w:t>
      </w:r>
      <w:r w:rsidR="00F062B6">
        <w:rPr>
          <w:color w:val="auto"/>
        </w:rPr>
        <w:t>35</w:t>
      </w:r>
      <w:r>
        <w:rPr>
          <w:color w:val="auto"/>
        </w:rPr>
        <w:t xml:space="preserve"> questions. </w:t>
      </w:r>
    </w:p>
    <w:p w14:paraId="0D24EC9C" w14:textId="12D21F9A" w:rsidR="00187022" w:rsidRPr="00187022" w:rsidRDefault="00187022" w:rsidP="0044332C">
      <w:pPr>
        <w:pStyle w:val="ListBullet2"/>
        <w:numPr>
          <w:ilvl w:val="0"/>
          <w:numId w:val="29"/>
        </w:numPr>
      </w:pPr>
      <w:r>
        <w:rPr>
          <w:color w:val="auto"/>
        </w:rPr>
        <w:t xml:space="preserve">The supplier survey had </w:t>
      </w:r>
      <w:r w:rsidR="00F062B6">
        <w:rPr>
          <w:color w:val="auto"/>
        </w:rPr>
        <w:t>28</w:t>
      </w:r>
      <w:r>
        <w:rPr>
          <w:color w:val="auto"/>
        </w:rPr>
        <w:t xml:space="preserve"> </w:t>
      </w:r>
      <w:r w:rsidR="0011663C">
        <w:rPr>
          <w:color w:val="auto"/>
        </w:rPr>
        <w:t>questions.</w:t>
      </w:r>
    </w:p>
    <w:p w14:paraId="375D7916" w14:textId="0EC5E97E" w:rsidR="00187022" w:rsidRPr="00574814" w:rsidRDefault="00187022" w:rsidP="0044332C">
      <w:pPr>
        <w:pStyle w:val="ListBullet2"/>
        <w:numPr>
          <w:ilvl w:val="0"/>
          <w:numId w:val="29"/>
        </w:numPr>
      </w:pPr>
      <w:r>
        <w:rPr>
          <w:color w:val="auto"/>
        </w:rPr>
        <w:t xml:space="preserve">The Peaks and Unions survey had </w:t>
      </w:r>
      <w:r w:rsidR="00F062B6">
        <w:rPr>
          <w:color w:val="auto"/>
        </w:rPr>
        <w:t>14</w:t>
      </w:r>
      <w:r>
        <w:rPr>
          <w:color w:val="auto"/>
        </w:rPr>
        <w:t xml:space="preserve"> questions. </w:t>
      </w:r>
    </w:p>
    <w:p w14:paraId="0F36E3F1" w14:textId="221319DC" w:rsidR="00514470" w:rsidRDefault="0003163D" w:rsidP="003D7B1C">
      <w:pPr>
        <w:pStyle w:val="Heading3"/>
      </w:pPr>
      <w:r>
        <w:t xml:space="preserve">Administering </w:t>
      </w:r>
      <w:r w:rsidR="00CD6068">
        <w:t>s</w:t>
      </w:r>
      <w:r w:rsidR="00514470">
        <w:t>urveys</w:t>
      </w:r>
    </w:p>
    <w:p w14:paraId="756E533E" w14:textId="0C80B318" w:rsidR="00F625F9" w:rsidRPr="00C00E4C" w:rsidRDefault="00F625F9" w:rsidP="00C00E4C">
      <w:pPr>
        <w:numPr>
          <w:ilvl w:val="0"/>
          <w:numId w:val="18"/>
        </w:numPr>
      </w:pPr>
      <w:r w:rsidRPr="00514470">
        <w:rPr>
          <w:color w:val="auto"/>
        </w:rPr>
        <w:t>The</w:t>
      </w:r>
      <w:r w:rsidR="00C00E4C" w:rsidRPr="00187022">
        <w:rPr>
          <w:color w:val="auto"/>
        </w:rPr>
        <w:t xml:space="preserve"> </w:t>
      </w:r>
      <w:r w:rsidR="00C00E4C">
        <w:rPr>
          <w:color w:val="auto"/>
        </w:rPr>
        <w:t xml:space="preserve">online </w:t>
      </w:r>
      <w:r w:rsidRPr="00514470">
        <w:rPr>
          <w:color w:val="auto"/>
        </w:rPr>
        <w:t xml:space="preserve">surveys </w:t>
      </w:r>
      <w:r w:rsidR="00C00E4C" w:rsidRPr="00C00E4C">
        <w:rPr>
          <w:color w:val="auto"/>
        </w:rPr>
        <w:t>were accessible on the DISR’s Consultation Hub</w:t>
      </w:r>
      <w:r w:rsidR="00F062B6">
        <w:rPr>
          <w:color w:val="auto"/>
        </w:rPr>
        <w:t xml:space="preserve"> </w:t>
      </w:r>
      <w:r w:rsidR="009F4F88">
        <w:rPr>
          <w:color w:val="auto"/>
        </w:rPr>
        <w:t xml:space="preserve">and </w:t>
      </w:r>
      <w:r w:rsidR="00C00E4C" w:rsidRPr="00514470">
        <w:rPr>
          <w:color w:val="auto"/>
        </w:rPr>
        <w:t xml:space="preserve">opened on 21 November 2022 </w:t>
      </w:r>
      <w:r w:rsidR="00C00E4C" w:rsidRPr="00514470">
        <w:rPr>
          <w:rFonts w:eastAsia="Times New Roman"/>
          <w:color w:val="auto"/>
        </w:rPr>
        <w:t>with an initial closing date of 9 December 2022</w:t>
      </w:r>
      <w:r w:rsidR="00C00E4C">
        <w:rPr>
          <w:rFonts w:eastAsia="Times New Roman"/>
          <w:color w:val="auto"/>
        </w:rPr>
        <w:t xml:space="preserve"> which was </w:t>
      </w:r>
      <w:r w:rsidR="00C00E4C" w:rsidRPr="00514470">
        <w:rPr>
          <w:rFonts w:eastAsia="Times New Roman"/>
          <w:color w:val="auto"/>
        </w:rPr>
        <w:t>later extended to 19 December 2022.</w:t>
      </w:r>
    </w:p>
    <w:p w14:paraId="2FDEEE19" w14:textId="4BA21F02" w:rsidR="00514470" w:rsidRPr="00514470" w:rsidRDefault="00514470" w:rsidP="00514470">
      <w:pPr>
        <w:numPr>
          <w:ilvl w:val="0"/>
          <w:numId w:val="18"/>
        </w:numPr>
        <w:rPr>
          <w:rFonts w:eastAsia="Times New Roman"/>
          <w:color w:val="auto"/>
        </w:rPr>
      </w:pPr>
      <w:r w:rsidRPr="00514470">
        <w:rPr>
          <w:rFonts w:eastAsia="Times New Roman"/>
          <w:color w:val="auto"/>
        </w:rPr>
        <w:t xml:space="preserve">The </w:t>
      </w:r>
      <w:r w:rsidR="00187022">
        <w:rPr>
          <w:rFonts w:eastAsia="Times New Roman"/>
          <w:color w:val="auto"/>
        </w:rPr>
        <w:t xml:space="preserve">surveys were </w:t>
      </w:r>
      <w:r w:rsidRPr="00514470">
        <w:rPr>
          <w:rFonts w:eastAsia="Times New Roman"/>
          <w:color w:val="auto"/>
        </w:rPr>
        <w:t>promoted via direct email</w:t>
      </w:r>
      <w:r>
        <w:rPr>
          <w:rFonts w:eastAsia="Times New Roman"/>
          <w:color w:val="auto"/>
        </w:rPr>
        <w:t xml:space="preserve"> and DISR social media (</w:t>
      </w:r>
      <w:r w:rsidRPr="00514470">
        <w:rPr>
          <w:rFonts w:eastAsia="Times New Roman"/>
          <w:color w:val="auto"/>
        </w:rPr>
        <w:t xml:space="preserve">Twitter, </w:t>
      </w:r>
      <w:proofErr w:type="gramStart"/>
      <w:r w:rsidRPr="00514470">
        <w:rPr>
          <w:rFonts w:eastAsia="Times New Roman"/>
          <w:color w:val="auto"/>
        </w:rPr>
        <w:t>LinkedIn</w:t>
      </w:r>
      <w:proofErr w:type="gramEnd"/>
      <w:r w:rsidRPr="00514470">
        <w:rPr>
          <w:color w:val="auto"/>
        </w:rPr>
        <w:t xml:space="preserve"> and </w:t>
      </w:r>
      <w:r w:rsidRPr="00514470">
        <w:rPr>
          <w:rFonts w:eastAsia="Times New Roman"/>
          <w:color w:val="auto"/>
        </w:rPr>
        <w:t>Facebook</w:t>
      </w:r>
      <w:r>
        <w:rPr>
          <w:rFonts w:eastAsia="Times New Roman"/>
          <w:color w:val="auto"/>
        </w:rPr>
        <w:t xml:space="preserve">). </w:t>
      </w:r>
    </w:p>
    <w:p w14:paraId="16610363" w14:textId="33104079" w:rsidR="00514470" w:rsidRPr="00514470" w:rsidRDefault="00514470" w:rsidP="00514470">
      <w:pPr>
        <w:numPr>
          <w:ilvl w:val="1"/>
          <w:numId w:val="18"/>
        </w:numPr>
        <w:rPr>
          <w:rFonts w:eastAsia="Times New Roman"/>
          <w:color w:val="auto"/>
        </w:rPr>
      </w:pPr>
      <w:r w:rsidRPr="00514470">
        <w:rPr>
          <w:rFonts w:eastAsia="Times New Roman"/>
          <w:color w:val="auto"/>
        </w:rPr>
        <w:t>Survey link emailed by DISR to 19 peak bodies and unions</w:t>
      </w:r>
      <w:r>
        <w:rPr>
          <w:rFonts w:eastAsia="Times New Roman"/>
          <w:color w:val="auto"/>
        </w:rPr>
        <w:t>.</w:t>
      </w:r>
    </w:p>
    <w:p w14:paraId="22CB9953" w14:textId="0D1F3C9D" w:rsidR="00514470" w:rsidRDefault="00514470" w:rsidP="00514470">
      <w:pPr>
        <w:numPr>
          <w:ilvl w:val="1"/>
          <w:numId w:val="18"/>
        </w:numPr>
        <w:rPr>
          <w:rFonts w:eastAsia="Times New Roman"/>
        </w:rPr>
      </w:pPr>
      <w:r>
        <w:rPr>
          <w:rFonts w:eastAsia="Times New Roman"/>
        </w:rPr>
        <w:t>Survey link emailed by DISR to 283 proponent contacts.</w:t>
      </w:r>
    </w:p>
    <w:p w14:paraId="36976BA4" w14:textId="48AF4A3D" w:rsidR="00F625F9" w:rsidRPr="00C00E4C" w:rsidRDefault="00514470" w:rsidP="00023E90">
      <w:pPr>
        <w:numPr>
          <w:ilvl w:val="1"/>
          <w:numId w:val="18"/>
        </w:numPr>
      </w:pPr>
      <w:r>
        <w:rPr>
          <w:rFonts w:eastAsia="Times New Roman"/>
        </w:rPr>
        <w:t xml:space="preserve">The survey link </w:t>
      </w:r>
      <w:r w:rsidR="00027529">
        <w:rPr>
          <w:rFonts w:eastAsia="Times New Roman"/>
        </w:rPr>
        <w:t>emailed by</w:t>
      </w:r>
      <w:r>
        <w:rPr>
          <w:rFonts w:eastAsia="Times New Roman"/>
        </w:rPr>
        <w:t xml:space="preserve"> ICNL on 12 December 2022 to 32,315 contacts on their database</w:t>
      </w:r>
      <w:r w:rsidR="00722848">
        <w:rPr>
          <w:rFonts w:eastAsia="Times New Roman"/>
        </w:rPr>
        <w:t xml:space="preserve">. </w:t>
      </w:r>
    </w:p>
    <w:p w14:paraId="2FA6ADA9" w14:textId="51D3C844" w:rsidR="00187022" w:rsidRDefault="00187022" w:rsidP="003D7B1C">
      <w:pPr>
        <w:pStyle w:val="Heading3"/>
      </w:pPr>
      <w:r>
        <w:t xml:space="preserve">Survey </w:t>
      </w:r>
      <w:proofErr w:type="gramStart"/>
      <w:r w:rsidR="00CD6068">
        <w:t>r</w:t>
      </w:r>
      <w:r>
        <w:t>espondents</w:t>
      </w:r>
      <w:proofErr w:type="gramEnd"/>
      <w:r>
        <w:t xml:space="preserve"> </w:t>
      </w:r>
    </w:p>
    <w:p w14:paraId="18F4FFB0" w14:textId="5B874BFE" w:rsidR="00C00E4C" w:rsidRDefault="00C00E4C" w:rsidP="00187022">
      <w:pPr>
        <w:pStyle w:val="ListBullet2"/>
        <w:numPr>
          <w:ilvl w:val="0"/>
          <w:numId w:val="0"/>
        </w:numPr>
      </w:pPr>
      <w:r>
        <w:t xml:space="preserve">A total of 66 businesses completed the survey. </w:t>
      </w:r>
    </w:p>
    <w:p w14:paraId="793ED64D" w14:textId="01A5A3D0" w:rsidR="00AE4EC4" w:rsidRDefault="00514470" w:rsidP="0044332C">
      <w:pPr>
        <w:pStyle w:val="ListBullet2"/>
        <w:numPr>
          <w:ilvl w:val="0"/>
          <w:numId w:val="30"/>
        </w:numPr>
      </w:pPr>
      <w:r>
        <w:t>26 business respondents identif</w:t>
      </w:r>
      <w:r w:rsidR="00C00E4C">
        <w:t>ied</w:t>
      </w:r>
      <w:r>
        <w:t xml:space="preserve"> as proponents</w:t>
      </w:r>
      <w:r w:rsidR="0052795B">
        <w:t xml:space="preserve"> who had engaged with the AIP policies i</w:t>
      </w:r>
      <w:r w:rsidRPr="00D07C5C">
        <w:t>n the last 5 years</w:t>
      </w:r>
      <w:r w:rsidR="007C7C15">
        <w:t>:</w:t>
      </w:r>
      <w:r w:rsidR="0052795B">
        <w:t xml:space="preserve"> </w:t>
      </w:r>
    </w:p>
    <w:p w14:paraId="6471A475" w14:textId="2F9D3CAE" w:rsidR="00AE4EC4" w:rsidRDefault="00514470" w:rsidP="0044332C">
      <w:pPr>
        <w:pStyle w:val="ListBullet2"/>
        <w:numPr>
          <w:ilvl w:val="1"/>
          <w:numId w:val="30"/>
        </w:numPr>
      </w:pPr>
      <w:r>
        <w:t>1</w:t>
      </w:r>
      <w:r w:rsidRPr="00D07C5C">
        <w:t>6</w:t>
      </w:r>
      <w:r>
        <w:t xml:space="preserve"> of them </w:t>
      </w:r>
      <w:r w:rsidRPr="00D07C5C">
        <w:t xml:space="preserve">had engaged with the </w:t>
      </w:r>
      <w:r w:rsidRPr="0089330F">
        <w:rPr>
          <w:i/>
        </w:rPr>
        <w:t>Australian Jobs Act</w:t>
      </w:r>
      <w:r w:rsidRPr="00D07C5C">
        <w:t xml:space="preserve"> 2013</w:t>
      </w:r>
      <w:r w:rsidR="00AE4EC4">
        <w:t>.</w:t>
      </w:r>
      <w:r>
        <w:t xml:space="preserve"> </w:t>
      </w:r>
    </w:p>
    <w:p w14:paraId="1E028091" w14:textId="6AF4D38A" w:rsidR="007C7C15" w:rsidRDefault="00514470" w:rsidP="0044332C">
      <w:pPr>
        <w:pStyle w:val="ListBullet2"/>
        <w:numPr>
          <w:ilvl w:val="1"/>
          <w:numId w:val="30"/>
        </w:numPr>
      </w:pPr>
      <w:r>
        <w:t>7 with</w:t>
      </w:r>
      <w:r w:rsidRPr="00D07C5C">
        <w:t xml:space="preserve"> NAIF</w:t>
      </w:r>
      <w:r w:rsidR="007C7C15">
        <w:t>.</w:t>
      </w:r>
      <w:r>
        <w:t xml:space="preserve"> </w:t>
      </w:r>
    </w:p>
    <w:p w14:paraId="4F504DAD" w14:textId="41EF8D0A" w:rsidR="00AE4EC4" w:rsidRDefault="00514470" w:rsidP="0044332C">
      <w:pPr>
        <w:pStyle w:val="ListBullet2"/>
        <w:numPr>
          <w:ilvl w:val="1"/>
          <w:numId w:val="30"/>
        </w:numPr>
      </w:pPr>
      <w:r>
        <w:t>6 with</w:t>
      </w:r>
      <w:r w:rsidRPr="00D07C5C">
        <w:t xml:space="preserve"> CEFC</w:t>
      </w:r>
      <w:r w:rsidR="00AE4EC4">
        <w:t>.</w:t>
      </w:r>
      <w:r w:rsidRPr="00D07C5C">
        <w:t xml:space="preserve"> </w:t>
      </w:r>
    </w:p>
    <w:p w14:paraId="12282471" w14:textId="4DD6834F" w:rsidR="00AE4EC4" w:rsidRDefault="00514470" w:rsidP="0044332C">
      <w:pPr>
        <w:pStyle w:val="ListBullet2"/>
        <w:numPr>
          <w:ilvl w:val="1"/>
          <w:numId w:val="30"/>
        </w:numPr>
      </w:pPr>
      <w:r>
        <w:t xml:space="preserve">6 with </w:t>
      </w:r>
      <w:r w:rsidRPr="00D07C5C">
        <w:t>Commonwealth Procurements of $20</w:t>
      </w:r>
      <w:r w:rsidR="00F95AED">
        <w:t xml:space="preserve"> </w:t>
      </w:r>
      <w:r w:rsidRPr="00D07C5C">
        <w:t>m</w:t>
      </w:r>
      <w:r w:rsidR="00F95AED">
        <w:t>illion</w:t>
      </w:r>
      <w:r w:rsidRPr="00D07C5C">
        <w:t xml:space="preserve"> or more</w:t>
      </w:r>
      <w:r w:rsidR="00AE4EC4">
        <w:t>.</w:t>
      </w:r>
      <w:r>
        <w:t xml:space="preserve"> </w:t>
      </w:r>
    </w:p>
    <w:p w14:paraId="6025C09E" w14:textId="1DAE5F69" w:rsidR="00AE4EC4" w:rsidRDefault="00514470" w:rsidP="0044332C">
      <w:pPr>
        <w:pStyle w:val="ListBullet2"/>
        <w:numPr>
          <w:ilvl w:val="1"/>
          <w:numId w:val="30"/>
        </w:numPr>
      </w:pPr>
      <w:r>
        <w:t>6 with</w:t>
      </w:r>
      <w:r w:rsidRPr="00D07C5C">
        <w:t xml:space="preserve"> Commonwealth Grants of $20</w:t>
      </w:r>
      <w:r w:rsidR="00F95AED">
        <w:t xml:space="preserve"> </w:t>
      </w:r>
      <w:r w:rsidRPr="00D07C5C">
        <w:t>m</w:t>
      </w:r>
      <w:r w:rsidR="00F95AED">
        <w:t>illion</w:t>
      </w:r>
      <w:r w:rsidRPr="00D07C5C">
        <w:t xml:space="preserve"> or more</w:t>
      </w:r>
      <w:r w:rsidR="00AE4EC4">
        <w:t>.</w:t>
      </w:r>
      <w:r>
        <w:t xml:space="preserve"> </w:t>
      </w:r>
    </w:p>
    <w:p w14:paraId="6FB64184" w14:textId="42F3BF7B" w:rsidR="00AE4EC4" w:rsidRDefault="00514470" w:rsidP="0044332C">
      <w:pPr>
        <w:pStyle w:val="ListBullet2"/>
        <w:numPr>
          <w:ilvl w:val="1"/>
          <w:numId w:val="30"/>
        </w:numPr>
      </w:pPr>
      <w:r>
        <w:t xml:space="preserve">4 </w:t>
      </w:r>
      <w:r w:rsidRPr="00D07C5C">
        <w:t>with ARENA</w:t>
      </w:r>
      <w:r w:rsidR="00AE4EC4">
        <w:t>.</w:t>
      </w:r>
      <w:r>
        <w:t xml:space="preserve"> </w:t>
      </w:r>
    </w:p>
    <w:p w14:paraId="55B7B7B9" w14:textId="77777777" w:rsidR="00AE4EC4" w:rsidRDefault="00514470" w:rsidP="0044332C">
      <w:pPr>
        <w:pStyle w:val="ListBullet2"/>
        <w:numPr>
          <w:ilvl w:val="1"/>
          <w:numId w:val="30"/>
        </w:numPr>
      </w:pPr>
      <w:r>
        <w:t>1 with</w:t>
      </w:r>
      <w:r w:rsidRPr="00D07C5C">
        <w:t xml:space="preserve"> Commonwealth payment to States/Territories</w:t>
      </w:r>
      <w:r>
        <w:t xml:space="preserve">, and </w:t>
      </w:r>
    </w:p>
    <w:p w14:paraId="38A87A6F" w14:textId="5FB59F93" w:rsidR="00514470" w:rsidRDefault="00514470" w:rsidP="0044332C">
      <w:pPr>
        <w:pStyle w:val="ListBullet2"/>
        <w:numPr>
          <w:ilvl w:val="1"/>
          <w:numId w:val="30"/>
        </w:numPr>
      </w:pPr>
      <w:r>
        <w:t xml:space="preserve">5 with ‘Other’. Those who selected other didn’t provide any useful details in the text description for this option. </w:t>
      </w:r>
    </w:p>
    <w:p w14:paraId="11A6A13C" w14:textId="7D85C83F" w:rsidR="00514470" w:rsidRDefault="00514470" w:rsidP="0044332C">
      <w:pPr>
        <w:pStyle w:val="ListBullet2"/>
        <w:numPr>
          <w:ilvl w:val="0"/>
          <w:numId w:val="30"/>
        </w:numPr>
      </w:pPr>
      <w:r>
        <w:t>40 business respondents identif</w:t>
      </w:r>
      <w:r w:rsidR="00C00E4C">
        <w:t>ied</w:t>
      </w:r>
      <w:r>
        <w:t xml:space="preserve"> as suppliers. </w:t>
      </w:r>
      <w:r w:rsidR="00187022">
        <w:t>They represented project suppliers from different industry sectors who might or might not have submitted a bid for projects with</w:t>
      </w:r>
      <w:r>
        <w:t xml:space="preserve"> AIP requirements. </w:t>
      </w:r>
    </w:p>
    <w:p w14:paraId="10600E3A" w14:textId="450826E6" w:rsidR="003D7B1C" w:rsidRDefault="003D7B1C" w:rsidP="003D7B1C">
      <w:pPr>
        <w:pStyle w:val="ListBullet2"/>
        <w:numPr>
          <w:ilvl w:val="0"/>
          <w:numId w:val="0"/>
        </w:numPr>
        <w:ind w:left="340" w:hanging="340"/>
      </w:pPr>
      <w:r>
        <w:t xml:space="preserve">A total of </w:t>
      </w:r>
      <w:r w:rsidRPr="003D7B1C">
        <w:t>7 peak bodies and unions completed the survey.</w:t>
      </w:r>
    </w:p>
    <w:p w14:paraId="6FABC42D" w14:textId="0F8FD72B" w:rsidR="008778CA" w:rsidRDefault="008778CA" w:rsidP="003D7B1C">
      <w:pPr>
        <w:pStyle w:val="Heading3"/>
      </w:pPr>
      <w:r>
        <w:lastRenderedPageBreak/>
        <w:t>Interviews</w:t>
      </w:r>
    </w:p>
    <w:p w14:paraId="42307848" w14:textId="734437D7" w:rsidR="00F062B6" w:rsidRPr="00933B67" w:rsidRDefault="00F062B6" w:rsidP="00F438F9">
      <w:pPr>
        <w:spacing w:after="180" w:line="270" w:lineRule="exact"/>
        <w:jc w:val="both"/>
        <w:rPr>
          <w:rFonts w:asciiTheme="minorHAnsi" w:hAnsiTheme="minorHAnsi"/>
          <w:color w:val="auto"/>
        </w:rPr>
      </w:pPr>
      <w:r w:rsidRPr="00933B67">
        <w:rPr>
          <w:rFonts w:asciiTheme="minorHAnsi" w:hAnsiTheme="minorHAnsi"/>
          <w:color w:val="auto"/>
        </w:rPr>
        <w:t xml:space="preserve">The evaluators conducted </w:t>
      </w:r>
      <w:r>
        <w:rPr>
          <w:rFonts w:asciiTheme="minorHAnsi" w:hAnsiTheme="minorHAnsi"/>
          <w:color w:val="auto"/>
        </w:rPr>
        <w:t xml:space="preserve">semi-structured interviews asking </w:t>
      </w:r>
      <w:r w:rsidRPr="00933B67">
        <w:rPr>
          <w:color w:val="auto"/>
        </w:rPr>
        <w:t xml:space="preserve">questions </w:t>
      </w:r>
      <w:r w:rsidR="00F438F9">
        <w:rPr>
          <w:color w:val="auto"/>
        </w:rPr>
        <w:t>related to</w:t>
      </w:r>
      <w:r w:rsidRPr="00933B67">
        <w:rPr>
          <w:color w:val="auto"/>
        </w:rPr>
        <w:t xml:space="preserve"> the </w:t>
      </w:r>
      <w:r w:rsidR="00F438F9">
        <w:rPr>
          <w:color w:val="auto"/>
        </w:rPr>
        <w:t xml:space="preserve">key </w:t>
      </w:r>
      <w:r w:rsidRPr="00933B67">
        <w:rPr>
          <w:color w:val="auto"/>
        </w:rPr>
        <w:t>evaluation question</w:t>
      </w:r>
      <w:r w:rsidR="00F438F9">
        <w:rPr>
          <w:color w:val="auto"/>
        </w:rPr>
        <w:t>s. The questions were</w:t>
      </w:r>
      <w:r w:rsidRPr="00933B67">
        <w:rPr>
          <w:color w:val="auto"/>
        </w:rPr>
        <w:t xml:space="preserve"> adjusted to suit the interviewee.</w:t>
      </w:r>
      <w:r w:rsidR="00F438F9">
        <w:rPr>
          <w:color w:val="auto"/>
        </w:rPr>
        <w:t xml:space="preserve"> </w:t>
      </w:r>
      <w:r w:rsidR="00F438F9">
        <w:rPr>
          <w:rFonts w:asciiTheme="minorHAnsi" w:hAnsiTheme="minorHAnsi"/>
          <w:color w:val="auto"/>
        </w:rPr>
        <w:t>A</w:t>
      </w:r>
      <w:r w:rsidRPr="00933B67">
        <w:rPr>
          <w:rFonts w:asciiTheme="minorHAnsi" w:hAnsiTheme="minorHAnsi"/>
          <w:color w:val="auto"/>
        </w:rPr>
        <w:t xml:space="preserve"> total of 14 interviews were held involving </w:t>
      </w:r>
      <w:r w:rsidR="0044332C">
        <w:rPr>
          <w:rFonts w:asciiTheme="minorHAnsi" w:hAnsiTheme="minorHAnsi"/>
          <w:color w:val="auto"/>
        </w:rPr>
        <w:t>20</w:t>
      </w:r>
      <w:r w:rsidR="0044332C" w:rsidRPr="00F438F9">
        <w:rPr>
          <w:rFonts w:asciiTheme="minorHAnsi" w:hAnsiTheme="minorHAnsi"/>
          <w:color w:val="auto"/>
        </w:rPr>
        <w:t xml:space="preserve"> </w:t>
      </w:r>
      <w:r w:rsidR="00F438F9">
        <w:rPr>
          <w:rFonts w:asciiTheme="minorHAnsi" w:hAnsiTheme="minorHAnsi"/>
          <w:color w:val="auto"/>
        </w:rPr>
        <w:t xml:space="preserve">interviewees </w:t>
      </w:r>
      <w:r w:rsidRPr="00933B67">
        <w:rPr>
          <w:rFonts w:asciiTheme="minorHAnsi" w:hAnsiTheme="minorHAnsi"/>
          <w:color w:val="auto"/>
        </w:rPr>
        <w:t>representing 6 organisations</w:t>
      </w:r>
      <w:r w:rsidR="007162C7">
        <w:rPr>
          <w:rFonts w:asciiTheme="minorHAnsi" w:hAnsiTheme="minorHAnsi"/>
          <w:color w:val="auto"/>
        </w:rPr>
        <w:t>:</w:t>
      </w:r>
      <w:r w:rsidRPr="00933B67">
        <w:rPr>
          <w:rFonts w:asciiTheme="minorHAnsi" w:hAnsiTheme="minorHAnsi"/>
          <w:color w:val="auto"/>
        </w:rPr>
        <w:t xml:space="preserve"> </w:t>
      </w:r>
    </w:p>
    <w:p w14:paraId="0675E96A" w14:textId="0548DA2D" w:rsidR="00933B67" w:rsidRPr="009D4659" w:rsidRDefault="0044332C" w:rsidP="00933B67">
      <w:pPr>
        <w:numPr>
          <w:ilvl w:val="1"/>
          <w:numId w:val="19"/>
        </w:numPr>
        <w:spacing w:after="120" w:line="270" w:lineRule="exact"/>
        <w:jc w:val="both"/>
        <w:rPr>
          <w:rFonts w:asciiTheme="minorHAnsi" w:hAnsiTheme="minorHAnsi"/>
          <w:color w:val="auto"/>
        </w:rPr>
      </w:pPr>
      <w:r w:rsidRPr="009D4659">
        <w:rPr>
          <w:rFonts w:asciiTheme="minorHAnsi" w:hAnsiTheme="minorHAnsi"/>
          <w:color w:val="auto"/>
        </w:rPr>
        <w:t xml:space="preserve">Five </w:t>
      </w:r>
      <w:r w:rsidR="00933B67" w:rsidRPr="009D4659">
        <w:rPr>
          <w:rFonts w:asciiTheme="minorHAnsi" w:hAnsiTheme="minorHAnsi"/>
          <w:color w:val="auto"/>
        </w:rPr>
        <w:t xml:space="preserve">internal interviews involving </w:t>
      </w:r>
      <w:r w:rsidRPr="009D4659">
        <w:rPr>
          <w:rFonts w:asciiTheme="minorHAnsi" w:hAnsiTheme="minorHAnsi"/>
          <w:color w:val="auto"/>
        </w:rPr>
        <w:t>8</w:t>
      </w:r>
      <w:r w:rsidR="009D4659" w:rsidRPr="009D4659">
        <w:rPr>
          <w:rFonts w:asciiTheme="minorHAnsi" w:hAnsiTheme="minorHAnsi"/>
          <w:color w:val="auto"/>
        </w:rPr>
        <w:t xml:space="preserve"> internal DISR</w:t>
      </w:r>
      <w:r w:rsidR="00933B67" w:rsidRPr="009D4659">
        <w:rPr>
          <w:rFonts w:asciiTheme="minorHAnsi" w:hAnsiTheme="minorHAnsi"/>
          <w:color w:val="auto"/>
        </w:rPr>
        <w:t xml:space="preserve"> </w:t>
      </w:r>
      <w:proofErr w:type="gramStart"/>
      <w:r w:rsidR="00F438F9" w:rsidRPr="009D4659">
        <w:rPr>
          <w:rFonts w:asciiTheme="minorHAnsi" w:hAnsiTheme="minorHAnsi"/>
          <w:color w:val="auto"/>
        </w:rPr>
        <w:t>interviewees</w:t>
      </w:r>
      <w:proofErr w:type="gramEnd"/>
    </w:p>
    <w:p w14:paraId="748831D7" w14:textId="72A61CF8" w:rsidR="00933B67" w:rsidRPr="009D4659" w:rsidRDefault="0044332C" w:rsidP="00933B67">
      <w:pPr>
        <w:numPr>
          <w:ilvl w:val="1"/>
          <w:numId w:val="19"/>
        </w:numPr>
        <w:spacing w:after="120" w:line="270" w:lineRule="exact"/>
        <w:jc w:val="both"/>
        <w:rPr>
          <w:rFonts w:asciiTheme="minorHAnsi" w:hAnsiTheme="minorHAnsi"/>
          <w:color w:val="auto"/>
        </w:rPr>
      </w:pPr>
      <w:r w:rsidRPr="009D4659">
        <w:rPr>
          <w:rFonts w:asciiTheme="minorHAnsi" w:hAnsiTheme="minorHAnsi"/>
          <w:color w:val="auto"/>
        </w:rPr>
        <w:t xml:space="preserve">Five </w:t>
      </w:r>
      <w:r w:rsidR="00933B67" w:rsidRPr="009D4659">
        <w:rPr>
          <w:rFonts w:asciiTheme="minorHAnsi" w:hAnsiTheme="minorHAnsi"/>
          <w:color w:val="auto"/>
        </w:rPr>
        <w:t xml:space="preserve">external interviews involving </w:t>
      </w:r>
      <w:r w:rsidRPr="009D4659">
        <w:rPr>
          <w:rFonts w:asciiTheme="minorHAnsi" w:hAnsiTheme="minorHAnsi"/>
          <w:color w:val="auto"/>
        </w:rPr>
        <w:t xml:space="preserve">6 </w:t>
      </w:r>
      <w:r w:rsidR="00F438F9" w:rsidRPr="009D4659">
        <w:rPr>
          <w:rFonts w:asciiTheme="minorHAnsi" w:hAnsiTheme="minorHAnsi"/>
          <w:color w:val="auto"/>
        </w:rPr>
        <w:t xml:space="preserve">interviewees </w:t>
      </w:r>
      <w:r w:rsidR="00933B67" w:rsidRPr="009D4659">
        <w:rPr>
          <w:rFonts w:asciiTheme="minorHAnsi" w:hAnsiTheme="minorHAnsi"/>
          <w:color w:val="auto"/>
        </w:rPr>
        <w:t xml:space="preserve">representing </w:t>
      </w:r>
      <w:r w:rsidRPr="009D4659">
        <w:rPr>
          <w:rFonts w:asciiTheme="minorHAnsi" w:hAnsiTheme="minorHAnsi"/>
          <w:color w:val="auto"/>
        </w:rPr>
        <w:t>5</w:t>
      </w:r>
      <w:r w:rsidR="00933B67" w:rsidRPr="009D4659">
        <w:rPr>
          <w:rFonts w:asciiTheme="minorHAnsi" w:hAnsiTheme="minorHAnsi"/>
          <w:color w:val="auto"/>
        </w:rPr>
        <w:t> external Commonwealth agencies</w:t>
      </w:r>
      <w:r w:rsidR="007231B4" w:rsidRPr="009D4659">
        <w:rPr>
          <w:rFonts w:asciiTheme="minorHAnsi" w:hAnsiTheme="minorHAnsi"/>
          <w:color w:val="auto"/>
        </w:rPr>
        <w:t xml:space="preserve">: </w:t>
      </w:r>
    </w:p>
    <w:p w14:paraId="14B4A31E" w14:textId="50D612C6" w:rsidR="0044332C" w:rsidRPr="009D4659" w:rsidRDefault="0044332C" w:rsidP="0044332C">
      <w:pPr>
        <w:numPr>
          <w:ilvl w:val="2"/>
          <w:numId w:val="19"/>
        </w:numPr>
        <w:spacing w:after="120" w:line="270" w:lineRule="exact"/>
        <w:jc w:val="both"/>
        <w:rPr>
          <w:rFonts w:asciiTheme="minorHAnsi" w:hAnsiTheme="minorHAnsi"/>
          <w:color w:val="auto"/>
        </w:rPr>
      </w:pPr>
      <w:r w:rsidRPr="009D4659">
        <w:rPr>
          <w:rFonts w:asciiTheme="minorHAnsi" w:hAnsiTheme="minorHAnsi"/>
          <w:color w:val="auto"/>
        </w:rPr>
        <w:t>C</w:t>
      </w:r>
      <w:r w:rsidR="009D4659">
        <w:rPr>
          <w:rFonts w:asciiTheme="minorHAnsi" w:hAnsiTheme="minorHAnsi"/>
          <w:color w:val="auto"/>
        </w:rPr>
        <w:t>lean Energy Finance Corporation (C</w:t>
      </w:r>
      <w:r w:rsidRPr="009D4659">
        <w:rPr>
          <w:rFonts w:asciiTheme="minorHAnsi" w:hAnsiTheme="minorHAnsi"/>
          <w:color w:val="auto"/>
        </w:rPr>
        <w:t>EFC</w:t>
      </w:r>
      <w:r w:rsidR="009D4659">
        <w:rPr>
          <w:rFonts w:asciiTheme="minorHAnsi" w:hAnsiTheme="minorHAnsi"/>
          <w:color w:val="auto"/>
        </w:rPr>
        <w:t>)</w:t>
      </w:r>
    </w:p>
    <w:p w14:paraId="20AD3E7C" w14:textId="37716822" w:rsidR="0044332C" w:rsidRPr="009D4659" w:rsidRDefault="0044332C" w:rsidP="0044332C">
      <w:pPr>
        <w:numPr>
          <w:ilvl w:val="2"/>
          <w:numId w:val="19"/>
        </w:numPr>
        <w:spacing w:after="120" w:line="270" w:lineRule="exact"/>
        <w:jc w:val="both"/>
        <w:rPr>
          <w:rFonts w:asciiTheme="minorHAnsi" w:hAnsiTheme="minorHAnsi"/>
          <w:color w:val="auto"/>
        </w:rPr>
      </w:pPr>
      <w:r w:rsidRPr="009D4659">
        <w:rPr>
          <w:rFonts w:asciiTheme="minorHAnsi" w:hAnsiTheme="minorHAnsi"/>
          <w:color w:val="auto"/>
        </w:rPr>
        <w:t>Department of Defence</w:t>
      </w:r>
    </w:p>
    <w:p w14:paraId="36261EBF" w14:textId="25ECF596" w:rsidR="0044332C" w:rsidRPr="009D4659" w:rsidRDefault="0044332C" w:rsidP="0044332C">
      <w:pPr>
        <w:numPr>
          <w:ilvl w:val="2"/>
          <w:numId w:val="19"/>
        </w:numPr>
        <w:spacing w:after="120" w:line="270" w:lineRule="exact"/>
        <w:jc w:val="both"/>
        <w:rPr>
          <w:rFonts w:asciiTheme="minorHAnsi" w:hAnsiTheme="minorHAnsi"/>
          <w:color w:val="auto"/>
        </w:rPr>
      </w:pPr>
      <w:r w:rsidRPr="009D4659">
        <w:rPr>
          <w:rFonts w:asciiTheme="minorHAnsi" w:hAnsiTheme="minorHAnsi"/>
          <w:color w:val="auto"/>
        </w:rPr>
        <w:t>Department of Finance</w:t>
      </w:r>
    </w:p>
    <w:p w14:paraId="0E9636C4" w14:textId="1DCCA74F" w:rsidR="0044332C" w:rsidRPr="009D4659" w:rsidRDefault="0044332C" w:rsidP="0044332C">
      <w:pPr>
        <w:numPr>
          <w:ilvl w:val="2"/>
          <w:numId w:val="19"/>
        </w:numPr>
        <w:spacing w:after="120" w:line="270" w:lineRule="exact"/>
        <w:jc w:val="both"/>
        <w:rPr>
          <w:rFonts w:asciiTheme="minorHAnsi" w:hAnsiTheme="minorHAnsi"/>
          <w:color w:val="auto"/>
        </w:rPr>
      </w:pPr>
      <w:r w:rsidRPr="009D4659">
        <w:rPr>
          <w:rFonts w:asciiTheme="minorHAnsi" w:hAnsiTheme="minorHAnsi"/>
          <w:color w:val="auto"/>
        </w:rPr>
        <w:t>Department of Infrastructure</w:t>
      </w:r>
      <w:r w:rsidR="007162C7" w:rsidRPr="007162C7">
        <w:rPr>
          <w:rFonts w:asciiTheme="minorHAnsi" w:hAnsiTheme="minorHAnsi"/>
          <w:color w:val="auto"/>
        </w:rPr>
        <w:t xml:space="preserve">, Transport, Regional Development, </w:t>
      </w:r>
      <w:proofErr w:type="gramStart"/>
      <w:r w:rsidR="007162C7" w:rsidRPr="007162C7">
        <w:rPr>
          <w:rFonts w:asciiTheme="minorHAnsi" w:hAnsiTheme="minorHAnsi"/>
          <w:color w:val="auto"/>
        </w:rPr>
        <w:t>Communications</w:t>
      </w:r>
      <w:proofErr w:type="gramEnd"/>
      <w:r w:rsidR="007162C7" w:rsidRPr="007162C7">
        <w:rPr>
          <w:rFonts w:asciiTheme="minorHAnsi" w:hAnsiTheme="minorHAnsi"/>
          <w:color w:val="auto"/>
        </w:rPr>
        <w:t xml:space="preserve"> and the Arts</w:t>
      </w:r>
    </w:p>
    <w:p w14:paraId="2CC43B1D" w14:textId="498BF243" w:rsidR="0044332C" w:rsidRPr="009D4659" w:rsidRDefault="0044332C" w:rsidP="0044332C">
      <w:pPr>
        <w:numPr>
          <w:ilvl w:val="2"/>
          <w:numId w:val="19"/>
        </w:numPr>
        <w:spacing w:after="120" w:line="270" w:lineRule="exact"/>
        <w:jc w:val="both"/>
        <w:rPr>
          <w:rFonts w:asciiTheme="minorHAnsi" w:hAnsiTheme="minorHAnsi"/>
          <w:color w:val="auto"/>
        </w:rPr>
      </w:pPr>
      <w:r w:rsidRPr="009D4659">
        <w:rPr>
          <w:rFonts w:asciiTheme="minorHAnsi" w:hAnsiTheme="minorHAnsi"/>
          <w:color w:val="auto"/>
        </w:rPr>
        <w:t>Northern Australia Infrastructure Facility (NAIF)</w:t>
      </w:r>
    </w:p>
    <w:p w14:paraId="27ECF700" w14:textId="272FEE94" w:rsidR="00933B67" w:rsidRPr="00933B67" w:rsidRDefault="00933B67" w:rsidP="00933B67">
      <w:pPr>
        <w:numPr>
          <w:ilvl w:val="1"/>
          <w:numId w:val="19"/>
        </w:numPr>
        <w:spacing w:after="120" w:line="270" w:lineRule="exact"/>
        <w:jc w:val="both"/>
        <w:rPr>
          <w:rFonts w:asciiTheme="minorHAnsi" w:hAnsiTheme="minorHAnsi"/>
          <w:color w:val="auto"/>
        </w:rPr>
      </w:pPr>
      <w:r w:rsidRPr="00933B67">
        <w:rPr>
          <w:rFonts w:asciiTheme="minorHAnsi" w:hAnsiTheme="minorHAnsi"/>
          <w:color w:val="auto"/>
        </w:rPr>
        <w:t xml:space="preserve">Four interviews involving 6 </w:t>
      </w:r>
      <w:r w:rsidR="00F438F9">
        <w:rPr>
          <w:rFonts w:asciiTheme="minorHAnsi" w:hAnsiTheme="minorHAnsi"/>
          <w:color w:val="auto"/>
        </w:rPr>
        <w:t>interviewees</w:t>
      </w:r>
      <w:r w:rsidR="00F438F9" w:rsidRPr="00933B67">
        <w:rPr>
          <w:rFonts w:asciiTheme="minorHAnsi" w:hAnsiTheme="minorHAnsi"/>
          <w:color w:val="auto"/>
        </w:rPr>
        <w:t xml:space="preserve"> </w:t>
      </w:r>
      <w:r w:rsidRPr="00933B67">
        <w:rPr>
          <w:rFonts w:asciiTheme="minorHAnsi" w:hAnsiTheme="minorHAnsi"/>
          <w:color w:val="auto"/>
        </w:rPr>
        <w:t>representing the Industry Capability Network (ICN).</w:t>
      </w:r>
    </w:p>
    <w:p w14:paraId="5E982D9B" w14:textId="44B6AD26" w:rsidR="00C00E4C" w:rsidRDefault="003D7B1C" w:rsidP="003D7B1C">
      <w:pPr>
        <w:pStyle w:val="Heading3"/>
      </w:pPr>
      <w:r>
        <w:t xml:space="preserve">Written </w:t>
      </w:r>
      <w:r w:rsidR="00CD6068">
        <w:t>s</w:t>
      </w:r>
      <w:r w:rsidR="00143DF2">
        <w:t>ubmissions</w:t>
      </w:r>
    </w:p>
    <w:p w14:paraId="324BEFF1" w14:textId="58B64B75" w:rsidR="007162C7" w:rsidRPr="00933B67" w:rsidRDefault="00143DF2" w:rsidP="007162C7">
      <w:pPr>
        <w:spacing w:after="180" w:line="270" w:lineRule="exact"/>
        <w:jc w:val="both"/>
        <w:rPr>
          <w:rFonts w:asciiTheme="minorHAnsi" w:hAnsiTheme="minorHAnsi"/>
          <w:color w:val="auto"/>
        </w:rPr>
      </w:pPr>
      <w:r>
        <w:rPr>
          <w:rFonts w:asciiTheme="minorHAnsi" w:hAnsiTheme="minorHAnsi"/>
          <w:color w:val="auto"/>
        </w:rPr>
        <w:t>S</w:t>
      </w:r>
      <w:r w:rsidRPr="00143DF2">
        <w:rPr>
          <w:rFonts w:asciiTheme="minorHAnsi" w:hAnsiTheme="minorHAnsi"/>
          <w:color w:val="auto"/>
        </w:rPr>
        <w:t xml:space="preserve">ubmissions from States and Territories </w:t>
      </w:r>
      <w:r w:rsidR="00A02516">
        <w:rPr>
          <w:rFonts w:asciiTheme="minorHAnsi" w:hAnsiTheme="minorHAnsi"/>
          <w:color w:val="auto"/>
        </w:rPr>
        <w:t xml:space="preserve">were </w:t>
      </w:r>
      <w:r w:rsidRPr="00143DF2">
        <w:rPr>
          <w:rFonts w:asciiTheme="minorHAnsi" w:hAnsiTheme="minorHAnsi"/>
          <w:color w:val="auto"/>
        </w:rPr>
        <w:t>received in response to a December 2022 DISR Discussion Paper on AIP Reform</w:t>
      </w:r>
      <w:r w:rsidRPr="00A02516">
        <w:rPr>
          <w:rFonts w:asciiTheme="minorHAnsi" w:hAnsiTheme="minorHAnsi"/>
          <w:color w:val="auto"/>
        </w:rPr>
        <w:t xml:space="preserve">. </w:t>
      </w:r>
      <w:r w:rsidR="00A02516" w:rsidRPr="00A02516">
        <w:rPr>
          <w:rFonts w:asciiTheme="minorHAnsi" w:hAnsiTheme="minorHAnsi"/>
          <w:color w:val="auto"/>
        </w:rPr>
        <w:t>S</w:t>
      </w:r>
      <w:r w:rsidRPr="00A02516">
        <w:rPr>
          <w:rFonts w:asciiTheme="minorHAnsi" w:hAnsiTheme="minorHAnsi"/>
          <w:color w:val="auto"/>
        </w:rPr>
        <w:t>ubmissions</w:t>
      </w:r>
      <w:r w:rsidRPr="00143DF2">
        <w:rPr>
          <w:rFonts w:asciiTheme="minorHAnsi" w:hAnsiTheme="minorHAnsi"/>
          <w:color w:val="auto"/>
        </w:rPr>
        <w:t xml:space="preserve"> were received from </w:t>
      </w:r>
      <w:r w:rsidR="00A02516">
        <w:rPr>
          <w:rFonts w:asciiTheme="minorHAnsi" w:hAnsiTheme="minorHAnsi"/>
          <w:color w:val="auto"/>
        </w:rPr>
        <w:t xml:space="preserve">7 </w:t>
      </w:r>
      <w:r w:rsidRPr="00143DF2">
        <w:rPr>
          <w:rFonts w:asciiTheme="minorHAnsi" w:hAnsiTheme="minorHAnsi"/>
          <w:color w:val="auto"/>
        </w:rPr>
        <w:t>jurisdictions</w:t>
      </w:r>
      <w:r w:rsidR="00A02516">
        <w:rPr>
          <w:rFonts w:asciiTheme="minorHAnsi" w:hAnsiTheme="minorHAnsi"/>
          <w:color w:val="auto"/>
        </w:rPr>
        <w:t>:</w:t>
      </w:r>
    </w:p>
    <w:p w14:paraId="4879AD43" w14:textId="5EB70BA6" w:rsidR="007162C7" w:rsidRDefault="00303E51" w:rsidP="007162C7">
      <w:pPr>
        <w:numPr>
          <w:ilvl w:val="1"/>
          <w:numId w:val="19"/>
        </w:numPr>
        <w:spacing w:after="120" w:line="270" w:lineRule="exact"/>
        <w:jc w:val="both"/>
        <w:rPr>
          <w:rFonts w:asciiTheme="minorHAnsi" w:hAnsiTheme="minorHAnsi"/>
          <w:color w:val="auto"/>
        </w:rPr>
      </w:pPr>
      <w:r w:rsidRPr="007162C7">
        <w:rPr>
          <w:rFonts w:asciiTheme="minorHAnsi" w:hAnsiTheme="minorHAnsi"/>
          <w:color w:val="auto"/>
        </w:rPr>
        <w:t>Queensland</w:t>
      </w:r>
    </w:p>
    <w:p w14:paraId="28787422" w14:textId="47844EC0" w:rsidR="007162C7" w:rsidRDefault="00303E51" w:rsidP="007162C7">
      <w:pPr>
        <w:numPr>
          <w:ilvl w:val="1"/>
          <w:numId w:val="19"/>
        </w:numPr>
        <w:spacing w:after="120" w:line="270" w:lineRule="exact"/>
        <w:jc w:val="both"/>
        <w:rPr>
          <w:rFonts w:asciiTheme="minorHAnsi" w:hAnsiTheme="minorHAnsi"/>
          <w:color w:val="auto"/>
        </w:rPr>
      </w:pPr>
      <w:r w:rsidRPr="007162C7">
        <w:rPr>
          <w:rFonts w:asciiTheme="minorHAnsi" w:hAnsiTheme="minorHAnsi"/>
          <w:color w:val="auto"/>
        </w:rPr>
        <w:t>New South Wales (consolidated response from multiple agencies)</w:t>
      </w:r>
    </w:p>
    <w:p w14:paraId="58B0FF02" w14:textId="2E72E699" w:rsidR="007162C7" w:rsidRDefault="00303E51" w:rsidP="007162C7">
      <w:pPr>
        <w:numPr>
          <w:ilvl w:val="1"/>
          <w:numId w:val="19"/>
        </w:numPr>
        <w:spacing w:after="120" w:line="270" w:lineRule="exact"/>
        <w:jc w:val="both"/>
        <w:rPr>
          <w:rFonts w:asciiTheme="minorHAnsi" w:hAnsiTheme="minorHAnsi"/>
          <w:color w:val="auto"/>
        </w:rPr>
      </w:pPr>
      <w:r w:rsidRPr="007162C7">
        <w:rPr>
          <w:rFonts w:asciiTheme="minorHAnsi" w:hAnsiTheme="minorHAnsi"/>
          <w:color w:val="auto"/>
        </w:rPr>
        <w:t>New Zealand</w:t>
      </w:r>
    </w:p>
    <w:p w14:paraId="75E1EDA7" w14:textId="285553D4" w:rsidR="007162C7" w:rsidRDefault="00143DF2" w:rsidP="007162C7">
      <w:pPr>
        <w:numPr>
          <w:ilvl w:val="1"/>
          <w:numId w:val="19"/>
        </w:numPr>
        <w:spacing w:after="120" w:line="270" w:lineRule="exact"/>
        <w:jc w:val="both"/>
        <w:rPr>
          <w:rFonts w:asciiTheme="minorHAnsi" w:hAnsiTheme="minorHAnsi"/>
          <w:color w:val="auto"/>
        </w:rPr>
      </w:pPr>
      <w:r w:rsidRPr="007162C7">
        <w:rPr>
          <w:rFonts w:asciiTheme="minorHAnsi" w:hAnsiTheme="minorHAnsi"/>
          <w:color w:val="auto"/>
        </w:rPr>
        <w:t>S</w:t>
      </w:r>
      <w:r w:rsidR="00303E51" w:rsidRPr="007162C7">
        <w:rPr>
          <w:rFonts w:asciiTheme="minorHAnsi" w:hAnsiTheme="minorHAnsi"/>
          <w:color w:val="auto"/>
        </w:rPr>
        <w:t xml:space="preserve">outh </w:t>
      </w:r>
      <w:r w:rsidRPr="007162C7">
        <w:rPr>
          <w:rFonts w:asciiTheme="minorHAnsi" w:hAnsiTheme="minorHAnsi"/>
          <w:color w:val="auto"/>
        </w:rPr>
        <w:t>A</w:t>
      </w:r>
      <w:r w:rsidR="00303E51" w:rsidRPr="007162C7">
        <w:rPr>
          <w:rFonts w:asciiTheme="minorHAnsi" w:hAnsiTheme="minorHAnsi"/>
          <w:color w:val="auto"/>
        </w:rPr>
        <w:t>ustralia</w:t>
      </w:r>
      <w:r w:rsidR="00A02516" w:rsidRPr="007162C7">
        <w:rPr>
          <w:rFonts w:asciiTheme="minorHAnsi" w:hAnsiTheme="minorHAnsi"/>
          <w:color w:val="auto"/>
        </w:rPr>
        <w:t xml:space="preserve"> (two separate responses)</w:t>
      </w:r>
    </w:p>
    <w:p w14:paraId="4672EB78" w14:textId="2CF75871" w:rsidR="007162C7" w:rsidRDefault="00A02516" w:rsidP="007162C7">
      <w:pPr>
        <w:numPr>
          <w:ilvl w:val="1"/>
          <w:numId w:val="19"/>
        </w:numPr>
        <w:spacing w:after="120" w:line="270" w:lineRule="exact"/>
        <w:jc w:val="both"/>
        <w:rPr>
          <w:rFonts w:asciiTheme="minorHAnsi" w:hAnsiTheme="minorHAnsi"/>
          <w:color w:val="auto"/>
        </w:rPr>
      </w:pPr>
      <w:r w:rsidRPr="007162C7">
        <w:rPr>
          <w:rFonts w:asciiTheme="minorHAnsi" w:hAnsiTheme="minorHAnsi"/>
          <w:color w:val="auto"/>
        </w:rPr>
        <w:t>Northern Territory</w:t>
      </w:r>
    </w:p>
    <w:p w14:paraId="086B7830" w14:textId="77777777" w:rsidR="007162C7" w:rsidRDefault="00A02516" w:rsidP="007162C7">
      <w:pPr>
        <w:numPr>
          <w:ilvl w:val="1"/>
          <w:numId w:val="19"/>
        </w:numPr>
        <w:spacing w:after="120" w:line="270" w:lineRule="exact"/>
        <w:jc w:val="both"/>
        <w:rPr>
          <w:rFonts w:asciiTheme="minorHAnsi" w:hAnsiTheme="minorHAnsi"/>
          <w:color w:val="auto"/>
        </w:rPr>
      </w:pPr>
      <w:r w:rsidRPr="007162C7">
        <w:rPr>
          <w:rFonts w:asciiTheme="minorHAnsi" w:hAnsiTheme="minorHAnsi"/>
          <w:color w:val="auto"/>
        </w:rPr>
        <w:t>Tasmania</w:t>
      </w:r>
      <w:r w:rsidR="00303E51" w:rsidRPr="007162C7">
        <w:rPr>
          <w:rFonts w:asciiTheme="minorHAnsi" w:hAnsiTheme="minorHAnsi"/>
          <w:color w:val="auto"/>
        </w:rPr>
        <w:t xml:space="preserve">; and </w:t>
      </w:r>
    </w:p>
    <w:p w14:paraId="2F98DB76" w14:textId="41C046DE" w:rsidR="00C00E4C" w:rsidRPr="007162C7" w:rsidRDefault="00303E51" w:rsidP="007162C7">
      <w:pPr>
        <w:numPr>
          <w:ilvl w:val="1"/>
          <w:numId w:val="19"/>
        </w:numPr>
        <w:spacing w:after="120" w:line="270" w:lineRule="exact"/>
        <w:jc w:val="both"/>
        <w:rPr>
          <w:rFonts w:asciiTheme="minorHAnsi" w:hAnsiTheme="minorHAnsi"/>
          <w:color w:val="auto"/>
        </w:rPr>
      </w:pPr>
      <w:r w:rsidRPr="007162C7">
        <w:rPr>
          <w:rFonts w:asciiTheme="minorHAnsi" w:hAnsiTheme="minorHAnsi"/>
          <w:color w:val="auto"/>
        </w:rPr>
        <w:t>Victoria.</w:t>
      </w:r>
    </w:p>
    <w:bookmarkEnd w:id="106"/>
    <w:p w14:paraId="4CE270CD" w14:textId="77777777" w:rsidR="00C00E4C" w:rsidRDefault="00C00E4C" w:rsidP="00396A78">
      <w:pPr>
        <w:pStyle w:val="AbstractHeader"/>
      </w:pPr>
    </w:p>
    <w:sectPr w:rsidR="00C00E4C" w:rsidSect="008E12A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CCAB" w14:textId="77777777" w:rsidR="00D2303E" w:rsidRDefault="00D2303E" w:rsidP="00F244EA">
      <w:pPr>
        <w:spacing w:after="0" w:line="240" w:lineRule="auto"/>
      </w:pPr>
      <w:r>
        <w:separator/>
      </w:r>
    </w:p>
  </w:endnote>
  <w:endnote w:type="continuationSeparator" w:id="0">
    <w:p w14:paraId="74EC20D9" w14:textId="77777777" w:rsidR="00D2303E" w:rsidRDefault="00D2303E" w:rsidP="00F244EA">
      <w:pPr>
        <w:spacing w:after="0" w:line="240" w:lineRule="auto"/>
      </w:pPr>
      <w:r>
        <w:continuationSeparator/>
      </w:r>
    </w:p>
  </w:endnote>
  <w:endnote w:type="continuationNotice" w:id="1">
    <w:p w14:paraId="3D159F1F" w14:textId="77777777" w:rsidR="00EC2AFD" w:rsidRDefault="00EC2A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89A4" w14:textId="4A6DCF9B" w:rsidR="00CA6F9B" w:rsidRPr="001C2E57" w:rsidRDefault="00CA6F9B" w:rsidP="0006256C">
    <w:pPr>
      <w:pStyle w:val="Footer"/>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E32679">
      <w:rPr>
        <w:noProof/>
      </w:rPr>
      <w:instrText>Australian Industry Participation (AIP) Policy Impact Evaluation Report</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E32679">
      <w:rPr>
        <w:noProof/>
      </w:rPr>
      <w:instrText>Australian Industry Participation (AIP) Policy Impact Evaluation Report</w:instrText>
    </w:r>
    <w:r>
      <w:rPr>
        <w:noProof/>
      </w:rPr>
      <w:fldChar w:fldCharType="end"/>
    </w:r>
    <w:r w:rsidRPr="001C2E57">
      <w:instrText xml:space="preserve"> </w:instrText>
    </w:r>
    <w:r w:rsidRPr="001C2E57">
      <w:fldChar w:fldCharType="separate"/>
    </w:r>
    <w:r w:rsidR="00E32679">
      <w:rPr>
        <w:noProof/>
      </w:rPr>
      <w:t>Australian Industry Participation (AIP) Policy Impact Evaluation Report</w:t>
    </w:r>
    <w:r w:rsidRPr="001C2E57">
      <w:fldChar w:fldCharType="end"/>
    </w:r>
    <w:r>
      <w:t xml:space="preserve"> </w:t>
    </w:r>
    <w:r>
      <w:tab/>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2158" w14:textId="3BA0EF8E" w:rsidR="003F00E8" w:rsidRPr="001C2E57" w:rsidRDefault="003F00E8" w:rsidP="0006256C">
    <w:pPr>
      <w:pStyle w:val="Footer"/>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E32679">
      <w:rPr>
        <w:noProof/>
      </w:rPr>
      <w:instrText>Australian Industry Participation (AIP) Policy Impact Evaluation Report</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E32679">
      <w:rPr>
        <w:noProof/>
      </w:rPr>
      <w:instrText>Australian Industry Participation (AIP) Policy Impact Evaluation Report</w:instrText>
    </w:r>
    <w:r>
      <w:rPr>
        <w:noProof/>
      </w:rPr>
      <w:fldChar w:fldCharType="end"/>
    </w:r>
    <w:r w:rsidRPr="001C2E57">
      <w:instrText xml:space="preserve"> </w:instrText>
    </w:r>
    <w:r w:rsidRPr="001C2E57">
      <w:fldChar w:fldCharType="separate"/>
    </w:r>
    <w:r w:rsidR="00E32679">
      <w:rPr>
        <w:noProof/>
      </w:rPr>
      <w:t>Australian Industry Participation (AIP) Policy Impact Evaluation Report</w:t>
    </w:r>
    <w:r w:rsidRPr="001C2E57">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440A" w14:textId="7CD3CEBC" w:rsidR="003F00E8" w:rsidRPr="001C2E57" w:rsidRDefault="003F00E8" w:rsidP="0006256C">
    <w:pPr>
      <w:pStyle w:val="Footer"/>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E32679">
      <w:rPr>
        <w:noProof/>
      </w:rPr>
      <w:instrText>Australian Industry Participation (AIP) Policy Impact Evaluation Report</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E32679">
      <w:rPr>
        <w:noProof/>
      </w:rPr>
      <w:instrText>Australian Industry Participation (AIP) Policy Impact Evaluation Report</w:instrText>
    </w:r>
    <w:r>
      <w:rPr>
        <w:noProof/>
      </w:rPr>
      <w:fldChar w:fldCharType="end"/>
    </w:r>
    <w:r w:rsidRPr="001C2E57">
      <w:instrText xml:space="preserve"> </w:instrText>
    </w:r>
    <w:r w:rsidRPr="001C2E57">
      <w:fldChar w:fldCharType="separate"/>
    </w:r>
    <w:r w:rsidR="00E32679">
      <w:rPr>
        <w:noProof/>
      </w:rPr>
      <w:t>Australian Industry Participation (AIP) Policy Impact Evaluation Report</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0</w:t>
    </w:r>
    <w:r w:rsidRPr="001C2E57">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388B" w14:textId="77777777" w:rsidR="00B2558F" w:rsidRDefault="00B255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847737"/>
      <w:docPartObj>
        <w:docPartGallery w:val="Page Numbers (Bottom of Page)"/>
        <w:docPartUnique/>
      </w:docPartObj>
    </w:sdtPr>
    <w:sdtEndPr>
      <w:rPr>
        <w:noProof/>
      </w:rPr>
    </w:sdtEndPr>
    <w:sdtContent>
      <w:p w14:paraId="15CF0BE3" w14:textId="01961E30" w:rsidR="00E628A5" w:rsidRDefault="00E628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B87B3A" w14:textId="3DE3B68E" w:rsidR="00B2558F" w:rsidRPr="001C2E57" w:rsidRDefault="00AA5C20" w:rsidP="008E12A7">
    <w:pPr>
      <w:pStyle w:val="Footer"/>
      <w:tabs>
        <w:tab w:val="clear" w:pos="9680"/>
        <w:tab w:val="left" w:pos="111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D837" w14:textId="35C7084D" w:rsidR="00B2558F" w:rsidRPr="001C2E57" w:rsidRDefault="00B2558F" w:rsidP="00E35ECE">
    <w:pPr>
      <w:pStyle w:val="Footer"/>
    </w:pPr>
    <w:r w:rsidRPr="001C2E57">
      <w:fldChar w:fldCharType="begin"/>
    </w:r>
    <w:r w:rsidRPr="001C2E57">
      <w:instrText>IF</w:instrText>
    </w:r>
    <w:r w:rsidR="0060545E">
      <w:fldChar w:fldCharType="begin"/>
    </w:r>
    <w:r w:rsidR="0060545E">
      <w:instrText xml:space="preserve"> STYLEREF "Title Heading" \* Charformat </w:instrText>
    </w:r>
    <w:r w:rsidR="0060545E">
      <w:fldChar w:fldCharType="separate"/>
    </w:r>
    <w:r w:rsidR="00E32679">
      <w:rPr>
        <w:noProof/>
      </w:rPr>
      <w:instrText>Australian Industry Participation (AIP) Policy Impact Evaluation Report</w:instrText>
    </w:r>
    <w:r w:rsidR="0060545E">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E32679">
      <w:rPr>
        <w:noProof/>
      </w:rPr>
      <w:instrText>Australian Industry Participation (AIP) Policy Impact Evaluation Report</w:instrText>
    </w:r>
    <w:r>
      <w:rPr>
        <w:noProof/>
      </w:rPr>
      <w:fldChar w:fldCharType="end"/>
    </w:r>
    <w:r w:rsidRPr="001C2E57">
      <w:instrText xml:space="preserve"> </w:instrText>
    </w:r>
    <w:r w:rsidRPr="001C2E57">
      <w:fldChar w:fldCharType="separate"/>
    </w:r>
    <w:r w:rsidR="00E32679">
      <w:rPr>
        <w:noProof/>
      </w:rPr>
      <w:t>Australian Industry Participation (AIP) Policy Impact Evaluation Report</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68C5" w14:textId="77777777" w:rsidR="00D2303E" w:rsidRDefault="00D2303E" w:rsidP="00F244EA">
      <w:pPr>
        <w:spacing w:after="0" w:line="240" w:lineRule="auto"/>
      </w:pPr>
      <w:r>
        <w:separator/>
      </w:r>
    </w:p>
  </w:footnote>
  <w:footnote w:type="continuationSeparator" w:id="0">
    <w:p w14:paraId="03413D71" w14:textId="77777777" w:rsidR="00D2303E" w:rsidRDefault="00D2303E" w:rsidP="00F244EA">
      <w:pPr>
        <w:spacing w:after="0" w:line="240" w:lineRule="auto"/>
      </w:pPr>
      <w:r>
        <w:continuationSeparator/>
      </w:r>
    </w:p>
  </w:footnote>
  <w:footnote w:type="continuationNotice" w:id="1">
    <w:p w14:paraId="14D41B7F" w14:textId="77777777" w:rsidR="00EC2AFD" w:rsidRDefault="00EC2AFD">
      <w:pPr>
        <w:spacing w:after="0" w:line="240" w:lineRule="auto"/>
      </w:pPr>
    </w:p>
  </w:footnote>
  <w:footnote w:id="2">
    <w:p w14:paraId="1E39E178" w14:textId="2925587E" w:rsidR="00365705" w:rsidRDefault="00365705" w:rsidP="008E12A7">
      <w:pPr>
        <w:pStyle w:val="FootnoteText"/>
        <w:ind w:left="0" w:firstLine="0"/>
      </w:pPr>
      <w:r>
        <w:rPr>
          <w:rStyle w:val="FootnoteReference"/>
        </w:rPr>
        <w:footnoteRef/>
      </w:r>
      <w:r>
        <w:t xml:space="preserve"> As outlined in </w:t>
      </w:r>
      <w:r w:rsidRPr="00365705">
        <w:rPr>
          <w:i/>
          <w:iCs/>
        </w:rPr>
        <w:t>Section 3. Principles</w:t>
      </w:r>
      <w:r>
        <w:t xml:space="preserve"> of the </w:t>
      </w:r>
      <w:hyperlink r:id="rId1" w:history="1">
        <w:r w:rsidRPr="00C22A68">
          <w:rPr>
            <w:rStyle w:val="Hyperlink"/>
            <w:i/>
            <w:iCs/>
          </w:rPr>
          <w:t>Australian Industry Participation National Framework</w:t>
        </w:r>
      </w:hyperlink>
      <w:r>
        <w:t xml:space="preserve"> signed by Commonwealth, State and Territory Industry Ministers in April 2001.</w:t>
      </w:r>
      <w:r w:rsidRPr="00365705">
        <w:t xml:space="preserve"> </w:t>
      </w:r>
    </w:p>
  </w:footnote>
  <w:footnote w:id="3">
    <w:p w14:paraId="3E33329A" w14:textId="28F7D796" w:rsidR="003E2A24" w:rsidRDefault="003E2A24" w:rsidP="008E12A7">
      <w:pPr>
        <w:pStyle w:val="FootnoteText"/>
        <w:ind w:left="0" w:firstLine="0"/>
      </w:pPr>
      <w:r>
        <w:rPr>
          <w:rStyle w:val="FootnoteReference"/>
        </w:rPr>
        <w:footnoteRef/>
      </w:r>
      <w:r>
        <w:t xml:space="preserve"> </w:t>
      </w:r>
      <w:r w:rsidR="00C22A68">
        <w:t xml:space="preserve">See the </w:t>
      </w:r>
      <w:hyperlink r:id="rId2" w:history="1">
        <w:r w:rsidRPr="00C22A68">
          <w:rPr>
            <w:rStyle w:val="Hyperlink"/>
            <w:i/>
            <w:iCs/>
          </w:rPr>
          <w:t>Australian Jobs Act 2013</w:t>
        </w:r>
      </w:hyperlink>
      <w:r w:rsidRPr="00C22A68">
        <w:rPr>
          <w:i/>
          <w:iCs/>
        </w:rPr>
        <w:t xml:space="preserve"> </w:t>
      </w:r>
    </w:p>
  </w:footnote>
  <w:footnote w:id="4">
    <w:p w14:paraId="1CDED731" w14:textId="6BF462FF" w:rsidR="00AA7D1D" w:rsidRDefault="00AA7D1D" w:rsidP="008E12A7">
      <w:pPr>
        <w:pStyle w:val="FootnoteText"/>
        <w:ind w:left="0" w:firstLine="0"/>
      </w:pPr>
      <w:r>
        <w:rPr>
          <w:rStyle w:val="FootnoteReference"/>
        </w:rPr>
        <w:footnoteRef/>
      </w:r>
      <w:r>
        <w:t xml:space="preserve"> Available here - </w:t>
      </w:r>
      <w:hyperlink r:id="rId3" w:history="1">
        <w:r w:rsidRPr="001612DE">
          <w:rPr>
            <w:rStyle w:val="Hyperlink"/>
          </w:rPr>
          <w:t>https://www.industry.gov.au/sites/default/files/2019-01/review-of-the-jobs-act-2013-report.pdf</w:t>
        </w:r>
      </w:hyperlink>
      <w:r>
        <w:t xml:space="preserve"> </w:t>
      </w:r>
    </w:p>
  </w:footnote>
  <w:footnote w:id="5">
    <w:p w14:paraId="51370E06" w14:textId="6A13699A" w:rsidR="00CF61B7" w:rsidRDefault="00CF61B7" w:rsidP="008E12A7">
      <w:pPr>
        <w:pStyle w:val="FootnoteText"/>
        <w:ind w:left="0" w:firstLine="0"/>
      </w:pPr>
      <w:r>
        <w:rPr>
          <w:rStyle w:val="FootnoteReference"/>
        </w:rPr>
        <w:footnoteRef/>
      </w:r>
      <w:r>
        <w:t xml:space="preserve"> DIISRTE (2013) </w:t>
      </w:r>
      <w:hyperlink r:id="rId4" w:history="1">
        <w:r w:rsidRPr="00EB0673">
          <w:rPr>
            <w:rStyle w:val="Hyperlink"/>
            <w:i/>
            <w:iCs/>
            <w:u w:val="single"/>
          </w:rPr>
          <w:t>Regulation Impact Statement: Strengthening Australian Industry Participation</w:t>
        </w:r>
      </w:hyperlink>
      <w:r>
        <w:t xml:space="preserve">. See p.18 </w:t>
      </w:r>
      <w:r w:rsidRPr="00CF61B7">
        <w:t xml:space="preserve">‘Statement of the Problem’  </w:t>
      </w:r>
    </w:p>
  </w:footnote>
  <w:footnote w:id="6">
    <w:p w14:paraId="36AD6602" w14:textId="4F2BB9A4" w:rsidR="00B7207F" w:rsidRDefault="00B7207F" w:rsidP="008E12A7">
      <w:pPr>
        <w:pStyle w:val="FootnoteText"/>
        <w:ind w:left="0" w:firstLine="0"/>
      </w:pPr>
      <w:r>
        <w:rPr>
          <w:rStyle w:val="FootnoteReference"/>
        </w:rPr>
        <w:footnoteRef/>
      </w:r>
      <w:r>
        <w:t xml:space="preserve"> </w:t>
      </w:r>
      <w:r w:rsidR="00233E6F">
        <w:t xml:space="preserve">See </w:t>
      </w:r>
      <w:hyperlink r:id="rId5" w:history="1">
        <w:r w:rsidR="00233E6F" w:rsidRPr="00EB0673">
          <w:rPr>
            <w:rStyle w:val="Hyperlink"/>
            <w:i/>
            <w:iCs/>
            <w:u w:val="single"/>
          </w:rPr>
          <w:t>Reserve Bank of Australia Statement on Monetary Policy – May 2021</w:t>
        </w:r>
      </w:hyperlink>
      <w:r w:rsidR="00233E6F">
        <w:t xml:space="preserve"> and</w:t>
      </w:r>
      <w:r w:rsidR="00233E6F" w:rsidRPr="00233E6F">
        <w:rPr>
          <w:i/>
          <w:iCs/>
        </w:rPr>
        <w:t xml:space="preserve"> </w:t>
      </w:r>
      <w:hyperlink r:id="rId6" w:history="1">
        <w:r w:rsidR="00233E6F" w:rsidRPr="00EB0673">
          <w:rPr>
            <w:rStyle w:val="Hyperlink"/>
            <w:i/>
            <w:iCs/>
            <w:u w:val="single"/>
          </w:rPr>
          <w:t>Bankwest Curtin Economics Centre Research Brief COVID-19 Brief 7 – July 2020</w:t>
        </w:r>
        <w:r w:rsidR="00233E6F" w:rsidRPr="00233E6F">
          <w:rPr>
            <w:rStyle w:val="Hyperlink"/>
            <w:i/>
            <w:iCs/>
          </w:rPr>
          <w:t>.</w:t>
        </w:r>
      </w:hyperlink>
    </w:p>
  </w:footnote>
  <w:footnote w:id="7">
    <w:p w14:paraId="7BE221A2" w14:textId="5FE573EE" w:rsidR="005A4807" w:rsidRDefault="005A4807" w:rsidP="008E12A7">
      <w:pPr>
        <w:pStyle w:val="FootnoteText"/>
        <w:ind w:left="0" w:firstLine="0"/>
      </w:pPr>
      <w:r>
        <w:rPr>
          <w:rStyle w:val="FootnoteReference"/>
        </w:rPr>
        <w:footnoteRef/>
      </w:r>
      <w:r>
        <w:t xml:space="preserve"> See Recommendation 2 of the </w:t>
      </w:r>
      <w:hyperlink r:id="rId7" w:history="1">
        <w:r w:rsidRPr="00EB0673">
          <w:rPr>
            <w:rStyle w:val="Hyperlink"/>
            <w:u w:val="single"/>
            <w:lang w:eastAsia="en-AU"/>
          </w:rPr>
          <w:t xml:space="preserve">Review of the Implementation of the </w:t>
        </w:r>
        <w:r w:rsidRPr="00EB0673">
          <w:rPr>
            <w:rStyle w:val="Hyperlink"/>
            <w:i/>
            <w:iCs/>
            <w:u w:val="single"/>
            <w:lang w:eastAsia="en-AU"/>
          </w:rPr>
          <w:t>Australian Jobs Act 2013</w:t>
        </w:r>
      </w:hyperlink>
      <w:r>
        <w:rPr>
          <w:lang w:eastAsia="en-AU"/>
        </w:rPr>
        <w:t xml:space="preserve"> (2018)</w:t>
      </w:r>
    </w:p>
  </w:footnote>
  <w:footnote w:id="8">
    <w:p w14:paraId="14368F96" w14:textId="403BA84D" w:rsidR="00327B66" w:rsidRDefault="00327B66" w:rsidP="008E12A7">
      <w:pPr>
        <w:pStyle w:val="FootnoteText"/>
        <w:ind w:left="0" w:firstLine="0"/>
      </w:pPr>
      <w:r>
        <w:rPr>
          <w:rStyle w:val="FootnoteReference"/>
        </w:rPr>
        <w:footnoteRef/>
      </w:r>
      <w:r>
        <w:t xml:space="preserve"> </w:t>
      </w:r>
      <w:r w:rsidR="00C22A68">
        <w:t xml:space="preserve">See the </w:t>
      </w:r>
      <w:hyperlink r:id="rId8" w:history="1">
        <w:r w:rsidRPr="00EB0673">
          <w:rPr>
            <w:rStyle w:val="Hyperlink"/>
            <w:i/>
            <w:iCs/>
            <w:u w:val="single"/>
          </w:rPr>
          <w:t>Australian Industry Participation National Framework</w:t>
        </w:r>
      </w:hyperlink>
      <w:r>
        <w:t xml:space="preserve"> (April 2001) </w:t>
      </w:r>
      <w:hyperlink r:id="rId9" w:history="1"/>
    </w:p>
  </w:footnote>
  <w:footnote w:id="9">
    <w:p w14:paraId="21FC9E86" w14:textId="71567C9F" w:rsidR="005B6527" w:rsidRDefault="005B6527" w:rsidP="008E12A7">
      <w:pPr>
        <w:pStyle w:val="FootnoteText"/>
        <w:ind w:left="0" w:firstLine="0"/>
      </w:pPr>
      <w:r>
        <w:rPr>
          <w:rStyle w:val="FootnoteReference"/>
        </w:rPr>
        <w:footnoteRef/>
      </w:r>
      <w:r>
        <w:t xml:space="preserve"> </w:t>
      </w:r>
      <w:r w:rsidRPr="005B6527">
        <w:t xml:space="preserve">See Recommendation </w:t>
      </w:r>
      <w:r>
        <w:t>7</w:t>
      </w:r>
      <w:r w:rsidRPr="005B6527">
        <w:t xml:space="preserve"> of the </w:t>
      </w:r>
      <w:hyperlink r:id="rId10" w:history="1">
        <w:r w:rsidRPr="00EB0673">
          <w:rPr>
            <w:rStyle w:val="Hyperlink"/>
            <w:u w:val="single"/>
          </w:rPr>
          <w:t xml:space="preserve">Review of the Implementation of the </w:t>
        </w:r>
        <w:r w:rsidRPr="00EB0673">
          <w:rPr>
            <w:rStyle w:val="Hyperlink"/>
            <w:i/>
            <w:iCs/>
            <w:u w:val="single"/>
          </w:rPr>
          <w:t>Australian Jobs Act 2013</w:t>
        </w:r>
      </w:hyperlink>
      <w:r w:rsidRPr="005B6527">
        <w:t xml:space="preserve"> (2018)</w:t>
      </w:r>
    </w:p>
  </w:footnote>
  <w:footnote w:id="10">
    <w:p w14:paraId="314B73CC" w14:textId="65AC3E63" w:rsidR="001C4286" w:rsidRDefault="001C4286" w:rsidP="008E12A7">
      <w:pPr>
        <w:pStyle w:val="FootnoteText"/>
        <w:ind w:left="0" w:firstLine="0"/>
      </w:pPr>
      <w:r>
        <w:rPr>
          <w:rStyle w:val="FootnoteReference"/>
        </w:rPr>
        <w:footnoteRef/>
      </w:r>
      <w:r>
        <w:t xml:space="preserve"> </w:t>
      </w:r>
      <w:r w:rsidR="00C22A68">
        <w:t xml:space="preserve">See the </w:t>
      </w:r>
      <w:hyperlink r:id="rId11" w:history="1">
        <w:r w:rsidRPr="00EB0673">
          <w:rPr>
            <w:rStyle w:val="Hyperlink"/>
            <w:i/>
            <w:iCs/>
            <w:u w:val="single"/>
          </w:rPr>
          <w:t>Australian Jobs Act 2013</w:t>
        </w:r>
      </w:hyperlink>
      <w:r w:rsidRPr="00C22A68">
        <w:rPr>
          <w:i/>
          <w:iCs/>
        </w:rPr>
        <w:t xml:space="preserve"> </w:t>
      </w:r>
      <w:hyperlink r:id="rId12" w:history="1"/>
      <w:r w:rsidR="00C22A68">
        <w:t xml:space="preserve"> </w:t>
      </w:r>
    </w:p>
  </w:footnote>
  <w:footnote w:id="11">
    <w:p w14:paraId="36A63965" w14:textId="78FC87F1" w:rsidR="001C4286" w:rsidRDefault="001C4286" w:rsidP="008E12A7">
      <w:pPr>
        <w:pStyle w:val="FootnoteText"/>
        <w:ind w:left="0" w:firstLine="0"/>
      </w:pPr>
      <w:r>
        <w:rPr>
          <w:rStyle w:val="FootnoteReference"/>
        </w:rPr>
        <w:footnoteRef/>
      </w:r>
      <w:r>
        <w:t xml:space="preserve"> DIISRTE (2013) </w:t>
      </w:r>
      <w:hyperlink r:id="rId13" w:history="1">
        <w:r w:rsidRPr="00EB0673">
          <w:rPr>
            <w:rStyle w:val="Hyperlink"/>
            <w:i/>
            <w:iCs/>
            <w:u w:val="single"/>
          </w:rPr>
          <w:t>Regulation Impact Statement: Strengthening Australian Industry Participation</w:t>
        </w:r>
      </w:hyperlink>
      <w:r w:rsidRPr="00CF61B7">
        <w:t xml:space="preserve"> </w:t>
      </w:r>
      <w:r>
        <w:t xml:space="preserve">pp. 28-29 </w:t>
      </w:r>
      <w:hyperlink r:id="rId14" w:history="1"/>
    </w:p>
  </w:footnote>
  <w:footnote w:id="12">
    <w:p w14:paraId="6ADFE43B" w14:textId="499AEBF6" w:rsidR="00915602" w:rsidRDefault="00915602" w:rsidP="008E12A7">
      <w:pPr>
        <w:pStyle w:val="FootnoteText"/>
        <w:ind w:left="0" w:firstLine="0"/>
      </w:pPr>
      <w:r>
        <w:rPr>
          <w:rStyle w:val="FootnoteReference"/>
        </w:rPr>
        <w:footnoteRef/>
      </w:r>
      <w:r>
        <w:t xml:space="preserve"> </w:t>
      </w:r>
      <w:r w:rsidRPr="00915602">
        <w:t>Survey results are presented as a figure out of the number of respondents for a particular question. For example, (18 of 24) or (21 of 39) when not all proponents or suppliers responded</w:t>
      </w:r>
      <w:r>
        <w:t xml:space="preserve"> to the particular question</w:t>
      </w:r>
      <w:r w:rsidRPr="00915602">
        <w:t xml:space="preserve">.   </w:t>
      </w:r>
    </w:p>
  </w:footnote>
  <w:footnote w:id="13">
    <w:p w14:paraId="21F49AD4" w14:textId="5DD2A48C" w:rsidR="001C4286" w:rsidRDefault="001C4286" w:rsidP="008E12A7">
      <w:pPr>
        <w:pStyle w:val="FootnoteText"/>
        <w:ind w:left="0" w:firstLine="0"/>
      </w:pPr>
      <w:r>
        <w:rPr>
          <w:rStyle w:val="FootnoteReference"/>
        </w:rPr>
        <w:footnoteRef/>
      </w:r>
      <w:r>
        <w:t xml:space="preserve"> </w:t>
      </w:r>
      <w:r w:rsidR="007D139A">
        <w:t xml:space="preserve">See the </w:t>
      </w:r>
      <w:hyperlink r:id="rId15" w:history="1">
        <w:r w:rsidRPr="00EB0673">
          <w:rPr>
            <w:rStyle w:val="Hyperlink"/>
            <w:i/>
            <w:iCs/>
            <w:u w:val="single"/>
          </w:rPr>
          <w:t>User Guide for Developing an Australian Industry Participation Plans</w:t>
        </w:r>
      </w:hyperlink>
      <w:r w:rsidRPr="007D139A">
        <w:rPr>
          <w:i/>
          <w:iCs/>
        </w:rPr>
        <w:t xml:space="preserve"> </w:t>
      </w:r>
      <w:r w:rsidR="007D139A">
        <w:rPr>
          <w:i/>
          <w:iCs/>
        </w:rPr>
        <w:t xml:space="preserve">– </w:t>
      </w:r>
      <w:r w:rsidR="007D139A" w:rsidRPr="007D139A">
        <w:t xml:space="preserve">December 2020 </w:t>
      </w:r>
    </w:p>
  </w:footnote>
  <w:footnote w:id="14">
    <w:p w14:paraId="3FE48744" w14:textId="659B47A0" w:rsidR="001C4286" w:rsidRDefault="001C4286" w:rsidP="008E12A7">
      <w:pPr>
        <w:pStyle w:val="FootnoteText"/>
        <w:ind w:left="0" w:firstLine="0"/>
      </w:pPr>
      <w:r>
        <w:rPr>
          <w:rStyle w:val="FootnoteReference"/>
        </w:rPr>
        <w:footnoteRef/>
      </w:r>
      <w:r>
        <w:t xml:space="preserve"> </w:t>
      </w:r>
      <w:r w:rsidR="00D06309">
        <w:t xml:space="preserve">See the </w:t>
      </w:r>
      <w:hyperlink r:id="rId16" w:history="1">
        <w:r w:rsidRPr="00EB0673">
          <w:rPr>
            <w:rStyle w:val="Hyperlink"/>
            <w:i/>
            <w:iCs/>
            <w:u w:val="single"/>
          </w:rPr>
          <w:t>Guideline for Australian Industry Participation Plan Trigger Dates</w:t>
        </w:r>
      </w:hyperlink>
      <w:r w:rsidR="00D06309">
        <w:rPr>
          <w:i/>
          <w:iCs/>
        </w:rPr>
        <w:t xml:space="preserve"> </w:t>
      </w:r>
      <w:r>
        <w:t xml:space="preserve"> (September 2019) </w:t>
      </w:r>
    </w:p>
  </w:footnote>
  <w:footnote w:id="15">
    <w:p w14:paraId="151D3477" w14:textId="3FE351DD" w:rsidR="0065626F" w:rsidRDefault="0065626F" w:rsidP="008E12A7">
      <w:pPr>
        <w:pStyle w:val="FootnoteText"/>
        <w:ind w:left="0" w:firstLine="0"/>
      </w:pPr>
      <w:r>
        <w:rPr>
          <w:rStyle w:val="FootnoteReference"/>
        </w:rPr>
        <w:footnoteRef/>
      </w:r>
      <w:r>
        <w:t xml:space="preserve"> </w:t>
      </w:r>
      <w:r w:rsidRPr="0065626F">
        <w:t xml:space="preserve">See Recommendation </w:t>
      </w:r>
      <w:r>
        <w:t>3</w:t>
      </w:r>
      <w:r w:rsidRPr="0065626F">
        <w:t xml:space="preserve"> of the </w:t>
      </w:r>
      <w:hyperlink r:id="rId17" w:history="1">
        <w:r w:rsidRPr="00EB0673">
          <w:rPr>
            <w:rStyle w:val="Hyperlink"/>
            <w:u w:val="single"/>
          </w:rPr>
          <w:t xml:space="preserve">Review of the Implementation of the </w:t>
        </w:r>
        <w:r w:rsidRPr="00EB0673">
          <w:rPr>
            <w:rStyle w:val="Hyperlink"/>
            <w:i/>
            <w:iCs/>
            <w:u w:val="single"/>
          </w:rPr>
          <w:t>Australian Jobs Act 2013</w:t>
        </w:r>
      </w:hyperlink>
      <w:r w:rsidRPr="0065626F">
        <w:t xml:space="preserve"> (2018)</w:t>
      </w:r>
    </w:p>
  </w:footnote>
  <w:footnote w:id="16">
    <w:p w14:paraId="522C4CA3" w14:textId="5A9E7362" w:rsidR="002A066C" w:rsidRDefault="002A066C" w:rsidP="008E12A7">
      <w:pPr>
        <w:pStyle w:val="FootnoteText"/>
        <w:ind w:left="0" w:firstLine="0"/>
      </w:pPr>
      <w:r>
        <w:rPr>
          <w:rStyle w:val="FootnoteReference"/>
        </w:rPr>
        <w:footnoteRef/>
      </w:r>
      <w:r>
        <w:t xml:space="preserve"> </w:t>
      </w:r>
      <w:r w:rsidR="0079313B">
        <w:t>See the</w:t>
      </w:r>
      <w:hyperlink r:id="rId18" w:history="1">
        <w:r w:rsidR="0079313B" w:rsidRPr="0079313B">
          <w:rPr>
            <w:rStyle w:val="Hyperlink"/>
            <w:i/>
            <w:iCs/>
          </w:rPr>
          <w:t xml:space="preserve"> </w:t>
        </w:r>
        <w:r w:rsidRPr="00EB0673">
          <w:rPr>
            <w:rStyle w:val="Hyperlink"/>
            <w:i/>
            <w:iCs/>
            <w:u w:val="single"/>
          </w:rPr>
          <w:t>Australian Jobs Act 2013</w:t>
        </w:r>
      </w:hyperlink>
      <w:r w:rsidRPr="0079313B">
        <w:rPr>
          <w:i/>
          <w:iCs/>
        </w:rPr>
        <w:t xml:space="preserve"> </w:t>
      </w:r>
    </w:p>
  </w:footnote>
  <w:footnote w:id="17">
    <w:p w14:paraId="77DE32E6" w14:textId="4C6FBF80" w:rsidR="00DF0CB5" w:rsidRDefault="00DF0CB5" w:rsidP="008E12A7">
      <w:pPr>
        <w:pStyle w:val="FootnoteText"/>
        <w:ind w:left="0" w:firstLine="0"/>
      </w:pPr>
      <w:r>
        <w:rPr>
          <w:rStyle w:val="FootnoteReference"/>
        </w:rPr>
        <w:footnoteRef/>
      </w:r>
      <w:r>
        <w:t xml:space="preserve"> DIISRTE (2013) </w:t>
      </w:r>
      <w:hyperlink r:id="rId19" w:history="1">
        <w:r w:rsidRPr="00EB0673">
          <w:rPr>
            <w:rStyle w:val="Hyperlink"/>
            <w:i/>
            <w:iCs/>
            <w:u w:val="single"/>
          </w:rPr>
          <w:t>Regulation Impact Statement: Strengthening Australian Industry Participation</w:t>
        </w:r>
      </w:hyperlink>
      <w:r w:rsidRPr="00CF61B7">
        <w:t xml:space="preserve"> </w:t>
      </w:r>
      <w:r>
        <w:t xml:space="preserve">p. 27 </w:t>
      </w:r>
      <w:hyperlink r:id="rId20" w:history="1"/>
    </w:p>
  </w:footnote>
  <w:footnote w:id="18">
    <w:p w14:paraId="2253AC8C" w14:textId="649EC5D4" w:rsidR="00DF0CB5" w:rsidRDefault="00DF0CB5" w:rsidP="008E12A7">
      <w:pPr>
        <w:pStyle w:val="FootnoteText"/>
        <w:ind w:left="0" w:firstLine="0"/>
      </w:pPr>
      <w:r>
        <w:rPr>
          <w:rStyle w:val="FootnoteReference"/>
        </w:rPr>
        <w:footnoteRef/>
      </w:r>
      <w:r>
        <w:t xml:space="preserve"> </w:t>
      </w:r>
      <w:r w:rsidR="0079313B">
        <w:t xml:space="preserve">See the </w:t>
      </w:r>
      <w:hyperlink r:id="rId21" w:history="1">
        <w:r w:rsidRPr="00EB0673">
          <w:rPr>
            <w:rStyle w:val="Hyperlink"/>
            <w:i/>
            <w:iCs/>
            <w:u w:val="single"/>
          </w:rPr>
          <w:t>Australian Jobs Act 2013</w:t>
        </w:r>
      </w:hyperlink>
      <w:r w:rsidRPr="0079313B">
        <w:rPr>
          <w:i/>
          <w:iCs/>
        </w:rPr>
        <w:t xml:space="preserve"> </w:t>
      </w:r>
      <w:hyperlink r:id="rId22" w:history="1"/>
      <w:r w:rsidR="0079313B">
        <w:t xml:space="preserve"> </w:t>
      </w:r>
    </w:p>
  </w:footnote>
  <w:footnote w:id="19">
    <w:p w14:paraId="3AF17339" w14:textId="5C3E33F6" w:rsidR="00DF0CB5" w:rsidRDefault="00DF0CB5" w:rsidP="008E12A7">
      <w:pPr>
        <w:pStyle w:val="FootnoteText"/>
        <w:ind w:left="0" w:firstLine="0"/>
      </w:pPr>
      <w:r>
        <w:rPr>
          <w:rStyle w:val="FootnoteReference"/>
        </w:rPr>
        <w:footnoteRef/>
      </w:r>
      <w:r>
        <w:t xml:space="preserve"> </w:t>
      </w:r>
      <w:r w:rsidR="0079313B">
        <w:t xml:space="preserve">See the </w:t>
      </w:r>
      <w:hyperlink r:id="rId23" w:history="1">
        <w:r w:rsidRPr="00EB0673">
          <w:rPr>
            <w:rStyle w:val="Hyperlink"/>
            <w:i/>
            <w:iCs/>
            <w:u w:val="single"/>
          </w:rPr>
          <w:t>Australian Jobs Act 2013</w:t>
        </w:r>
      </w:hyperlink>
      <w:r w:rsidRPr="0079313B">
        <w:rPr>
          <w:i/>
          <w:iCs/>
        </w:rPr>
        <w:t xml:space="preserve"> </w:t>
      </w:r>
      <w:hyperlink r:id="rId24" w:history="1"/>
    </w:p>
  </w:footnote>
  <w:footnote w:id="20">
    <w:p w14:paraId="4880BA60" w14:textId="5561A81E" w:rsidR="00C53D28" w:rsidRDefault="00C53D28" w:rsidP="008E12A7">
      <w:pPr>
        <w:pStyle w:val="FootnoteText"/>
        <w:ind w:left="0" w:firstLine="0"/>
      </w:pPr>
      <w:r>
        <w:rPr>
          <w:rStyle w:val="FootnoteReference"/>
        </w:rPr>
        <w:footnoteRef/>
      </w:r>
      <w:r>
        <w:t xml:space="preserve"> See Recommendation 1 of</w:t>
      </w:r>
      <w:r w:rsidR="005A4807">
        <w:t xml:space="preserve"> the</w:t>
      </w:r>
      <w:r>
        <w:t xml:space="preserve"> </w:t>
      </w:r>
      <w:hyperlink r:id="rId25" w:history="1">
        <w:r w:rsidRPr="00EB0673">
          <w:rPr>
            <w:rStyle w:val="Hyperlink"/>
            <w:u w:val="single"/>
            <w:lang w:eastAsia="en-AU"/>
          </w:rPr>
          <w:t xml:space="preserve">Review of the Implementation of the </w:t>
        </w:r>
        <w:r w:rsidRPr="00EB0673">
          <w:rPr>
            <w:rStyle w:val="Hyperlink"/>
            <w:i/>
            <w:iCs/>
            <w:u w:val="single"/>
            <w:lang w:eastAsia="en-AU"/>
          </w:rPr>
          <w:t>Australian Jobs Act 2013</w:t>
        </w:r>
      </w:hyperlink>
      <w:r w:rsidRPr="00794687">
        <w:rPr>
          <w:lang w:eastAsia="en-AU"/>
        </w:rPr>
        <w:t xml:space="preserve"> </w:t>
      </w:r>
      <w:r w:rsidR="005A4807">
        <w:rPr>
          <w:lang w:eastAsia="en-AU"/>
        </w:rPr>
        <w:t xml:space="preserve">(2018) </w:t>
      </w:r>
    </w:p>
  </w:footnote>
  <w:footnote w:id="21">
    <w:p w14:paraId="0C7B62E2" w14:textId="6FEDF024" w:rsidR="00E132D9" w:rsidRDefault="00E132D9" w:rsidP="008E12A7">
      <w:pPr>
        <w:pStyle w:val="FootnoteText"/>
        <w:ind w:left="0" w:firstLine="0"/>
      </w:pPr>
      <w:r>
        <w:rPr>
          <w:rStyle w:val="FootnoteReference"/>
        </w:rPr>
        <w:footnoteRef/>
      </w:r>
      <w:r>
        <w:t xml:space="preserve"> </w:t>
      </w:r>
      <w:r w:rsidRPr="00E132D9">
        <w:t xml:space="preserve">See Recommendation </w:t>
      </w:r>
      <w:r>
        <w:t>5</w:t>
      </w:r>
      <w:r w:rsidRPr="00E132D9">
        <w:t xml:space="preserve"> of the </w:t>
      </w:r>
      <w:hyperlink r:id="rId26" w:history="1">
        <w:r w:rsidRPr="00EB0673">
          <w:rPr>
            <w:rStyle w:val="Hyperlink"/>
            <w:u w:val="single"/>
          </w:rPr>
          <w:t xml:space="preserve">Review of the Implementation of the </w:t>
        </w:r>
        <w:r w:rsidRPr="00EB0673">
          <w:rPr>
            <w:rStyle w:val="Hyperlink"/>
            <w:i/>
            <w:iCs/>
            <w:u w:val="single"/>
          </w:rPr>
          <w:t>Australian Jobs Act 2013</w:t>
        </w:r>
      </w:hyperlink>
      <w:r w:rsidRPr="00E132D9">
        <w:t xml:space="preserve"> (2018)</w:t>
      </w:r>
    </w:p>
  </w:footnote>
  <w:footnote w:id="22">
    <w:p w14:paraId="65E05BD5" w14:textId="7B1EA617" w:rsidR="0065626F" w:rsidRDefault="0065626F" w:rsidP="008E12A7">
      <w:pPr>
        <w:pStyle w:val="FootnoteText"/>
        <w:ind w:left="0" w:firstLine="0"/>
      </w:pPr>
      <w:r>
        <w:rPr>
          <w:rStyle w:val="FootnoteReference"/>
        </w:rPr>
        <w:footnoteRef/>
      </w:r>
      <w:r>
        <w:t xml:space="preserve"> </w:t>
      </w:r>
      <w:r w:rsidRPr="0065626F">
        <w:t xml:space="preserve">See Recommendation </w:t>
      </w:r>
      <w:r>
        <w:t xml:space="preserve">2 </w:t>
      </w:r>
      <w:r w:rsidRPr="0065626F">
        <w:t xml:space="preserve">of the </w:t>
      </w:r>
      <w:hyperlink r:id="rId27" w:history="1">
        <w:r w:rsidRPr="00EB0673">
          <w:rPr>
            <w:rStyle w:val="Hyperlink"/>
            <w:u w:val="single"/>
          </w:rPr>
          <w:t xml:space="preserve">Review of the Implementation of the </w:t>
        </w:r>
        <w:r w:rsidRPr="00EB0673">
          <w:rPr>
            <w:rStyle w:val="Hyperlink"/>
            <w:i/>
            <w:iCs/>
            <w:u w:val="single"/>
          </w:rPr>
          <w:t>Australian Jobs Act 2013</w:t>
        </w:r>
      </w:hyperlink>
      <w:r w:rsidRPr="0065626F">
        <w:t xml:space="preserv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A97A" w14:textId="3EEA85F1" w:rsidR="00CD7EDD" w:rsidRPr="008E12A7" w:rsidRDefault="00185B18" w:rsidP="00185B18">
    <w:pPr>
      <w:pStyle w:val="Header"/>
      <w:jc w:val="center"/>
      <w:rPr>
        <w:b/>
        <w:bCs/>
        <w:color w:val="CC0000"/>
      </w:rPr>
    </w:pPr>
    <w:r w:rsidRPr="008E12A7">
      <w:rPr>
        <w:b/>
        <w:bCs/>
        <w:color w:val="CC000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F816" w14:textId="0C81755B" w:rsidR="00470A53" w:rsidRDefault="00470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46FF" w14:textId="5D7FCCF8" w:rsidR="003F00E8" w:rsidRPr="00185B18" w:rsidRDefault="00185B18" w:rsidP="00185B18">
    <w:pPr>
      <w:pStyle w:val="Header"/>
      <w:jc w:val="center"/>
      <w:rPr>
        <w:b/>
        <w:bCs/>
        <w:color w:val="FF0000"/>
      </w:rPr>
    </w:pPr>
    <w:r w:rsidRPr="008E12A7">
      <w:rPr>
        <w:b/>
        <w:bCs/>
        <w:color w:val="CC0000"/>
      </w:rPr>
      <w:t>OFFICIAL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DD63" w14:textId="00BDCD81" w:rsidR="00470A53" w:rsidRDefault="00470A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955D" w14:textId="627CD60A" w:rsidR="00B2558F" w:rsidRDefault="00B255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8B96" w14:textId="6A2C3AD6" w:rsidR="00B2558F" w:rsidRPr="00185B18" w:rsidRDefault="00185B18" w:rsidP="008E12A7">
    <w:pPr>
      <w:pStyle w:val="Header"/>
      <w:jc w:val="center"/>
      <w:rPr>
        <w:b/>
        <w:bCs/>
        <w:color w:val="FF0000"/>
      </w:rPr>
    </w:pPr>
    <w:r w:rsidRPr="008E12A7">
      <w:rPr>
        <w:b/>
        <w:bCs/>
        <w:color w:val="CC0000"/>
      </w:rPr>
      <w:t>OFFICIAL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A529" w14:textId="0AE7322E" w:rsidR="00B2558F" w:rsidRDefault="00B25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002"/>
    <w:multiLevelType w:val="hybridMultilevel"/>
    <w:tmpl w:val="64F48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23B38"/>
    <w:multiLevelType w:val="multilevel"/>
    <w:tmpl w:val="D5BAF582"/>
    <w:styleLink w:val="OCE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lvlText w:val="Appendix %6"/>
      <w:lvlJc w:val="left"/>
      <w:pPr>
        <w:ind w:left="2381" w:hanging="2381"/>
      </w:pPr>
      <w:rPr>
        <w:rFonts w:hint="default"/>
      </w:rPr>
    </w:lvl>
    <w:lvl w:ilvl="6">
      <w:start w:val="1"/>
      <w:numFmt w:val="decimal"/>
      <w:lvlText w:val="%6.%7"/>
      <w:lvlJc w:val="left"/>
      <w:pPr>
        <w:ind w:left="709" w:hanging="709"/>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3DE04F4"/>
    <w:multiLevelType w:val="hybridMultilevel"/>
    <w:tmpl w:val="43B60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323B3"/>
    <w:multiLevelType w:val="hybridMultilevel"/>
    <w:tmpl w:val="9F9E020A"/>
    <w:lvl w:ilvl="0" w:tplc="0C090001">
      <w:start w:val="1"/>
      <w:numFmt w:val="bullet"/>
      <w:lvlText w:val=""/>
      <w:lvlJc w:val="left"/>
      <w:pPr>
        <w:ind w:left="2877" w:hanging="360"/>
      </w:pPr>
      <w:rPr>
        <w:rFonts w:ascii="Symbol" w:hAnsi="Symbol" w:hint="default"/>
      </w:rPr>
    </w:lvl>
    <w:lvl w:ilvl="1" w:tplc="0C090003" w:tentative="1">
      <w:start w:val="1"/>
      <w:numFmt w:val="bullet"/>
      <w:lvlText w:val="o"/>
      <w:lvlJc w:val="left"/>
      <w:pPr>
        <w:ind w:left="3597" w:hanging="360"/>
      </w:pPr>
      <w:rPr>
        <w:rFonts w:ascii="Courier New" w:hAnsi="Courier New" w:cs="Courier New" w:hint="default"/>
      </w:rPr>
    </w:lvl>
    <w:lvl w:ilvl="2" w:tplc="0C090005" w:tentative="1">
      <w:start w:val="1"/>
      <w:numFmt w:val="bullet"/>
      <w:lvlText w:val=""/>
      <w:lvlJc w:val="left"/>
      <w:pPr>
        <w:ind w:left="4317" w:hanging="360"/>
      </w:pPr>
      <w:rPr>
        <w:rFonts w:ascii="Wingdings" w:hAnsi="Wingdings" w:hint="default"/>
      </w:rPr>
    </w:lvl>
    <w:lvl w:ilvl="3" w:tplc="0C090001" w:tentative="1">
      <w:start w:val="1"/>
      <w:numFmt w:val="bullet"/>
      <w:lvlText w:val=""/>
      <w:lvlJc w:val="left"/>
      <w:pPr>
        <w:ind w:left="5037" w:hanging="360"/>
      </w:pPr>
      <w:rPr>
        <w:rFonts w:ascii="Symbol" w:hAnsi="Symbol" w:hint="default"/>
      </w:rPr>
    </w:lvl>
    <w:lvl w:ilvl="4" w:tplc="0C090003" w:tentative="1">
      <w:start w:val="1"/>
      <w:numFmt w:val="bullet"/>
      <w:lvlText w:val="o"/>
      <w:lvlJc w:val="left"/>
      <w:pPr>
        <w:ind w:left="5757" w:hanging="360"/>
      </w:pPr>
      <w:rPr>
        <w:rFonts w:ascii="Courier New" w:hAnsi="Courier New" w:cs="Courier New" w:hint="default"/>
      </w:rPr>
    </w:lvl>
    <w:lvl w:ilvl="5" w:tplc="0C090005" w:tentative="1">
      <w:start w:val="1"/>
      <w:numFmt w:val="bullet"/>
      <w:lvlText w:val=""/>
      <w:lvlJc w:val="left"/>
      <w:pPr>
        <w:ind w:left="6477" w:hanging="360"/>
      </w:pPr>
      <w:rPr>
        <w:rFonts w:ascii="Wingdings" w:hAnsi="Wingdings" w:hint="default"/>
      </w:rPr>
    </w:lvl>
    <w:lvl w:ilvl="6" w:tplc="0C090001" w:tentative="1">
      <w:start w:val="1"/>
      <w:numFmt w:val="bullet"/>
      <w:lvlText w:val=""/>
      <w:lvlJc w:val="left"/>
      <w:pPr>
        <w:ind w:left="7197" w:hanging="360"/>
      </w:pPr>
      <w:rPr>
        <w:rFonts w:ascii="Symbol" w:hAnsi="Symbol" w:hint="default"/>
      </w:rPr>
    </w:lvl>
    <w:lvl w:ilvl="7" w:tplc="0C090003" w:tentative="1">
      <w:start w:val="1"/>
      <w:numFmt w:val="bullet"/>
      <w:lvlText w:val="o"/>
      <w:lvlJc w:val="left"/>
      <w:pPr>
        <w:ind w:left="7917" w:hanging="360"/>
      </w:pPr>
      <w:rPr>
        <w:rFonts w:ascii="Courier New" w:hAnsi="Courier New" w:cs="Courier New" w:hint="default"/>
      </w:rPr>
    </w:lvl>
    <w:lvl w:ilvl="8" w:tplc="0C090005" w:tentative="1">
      <w:start w:val="1"/>
      <w:numFmt w:val="bullet"/>
      <w:lvlText w:val=""/>
      <w:lvlJc w:val="left"/>
      <w:pPr>
        <w:ind w:left="8637" w:hanging="360"/>
      </w:pPr>
      <w:rPr>
        <w:rFonts w:ascii="Wingdings" w:hAnsi="Wingdings" w:hint="default"/>
      </w:rPr>
    </w:lvl>
  </w:abstractNum>
  <w:abstractNum w:abstractNumId="4" w15:restartNumberingAfterBreak="0">
    <w:nsid w:val="0E726696"/>
    <w:multiLevelType w:val="hybridMultilevel"/>
    <w:tmpl w:val="ABE88B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A6EC1"/>
    <w:multiLevelType w:val="multilevel"/>
    <w:tmpl w:val="3BFA39A6"/>
    <w:numStyleLink w:val="OCENumberedList"/>
  </w:abstractNum>
  <w:abstractNum w:abstractNumId="6" w15:restartNumberingAfterBreak="0">
    <w:nsid w:val="182859EC"/>
    <w:multiLevelType w:val="multilevel"/>
    <w:tmpl w:val="B0FC328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7"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8" w15:restartNumberingAfterBreak="0">
    <w:nsid w:val="18801DAD"/>
    <w:multiLevelType w:val="multilevel"/>
    <w:tmpl w:val="3BFA39A6"/>
    <w:styleLink w:val="OCENumberedList"/>
    <w:lvl w:ilvl="0">
      <w:start w:val="1"/>
      <w:numFmt w:val="decimal"/>
      <w:pStyle w:val="ListNumber"/>
      <w:lvlText w:val="%1."/>
      <w:lvlJc w:val="left"/>
      <w:pPr>
        <w:ind w:left="425" w:hanging="425"/>
      </w:pPr>
      <w:rPr>
        <w:color w:val="005CAF"/>
      </w:rPr>
    </w:lvl>
    <w:lvl w:ilvl="1">
      <w:start w:val="1"/>
      <w:numFmt w:val="decimal"/>
      <w:pStyle w:val="ListNumber2"/>
      <w:lvlText w:val="%1.%2"/>
      <w:lvlJc w:val="left"/>
      <w:pPr>
        <w:ind w:left="992" w:hanging="567"/>
      </w:pPr>
      <w:rPr>
        <w:color w:val="005CAF"/>
      </w:rPr>
    </w:lvl>
    <w:lvl w:ilvl="2">
      <w:start w:val="1"/>
      <w:numFmt w:val="decimal"/>
      <w:pStyle w:val="ListNumber3"/>
      <w:lvlText w:val="%1.%2.%3"/>
      <w:lvlJc w:val="left"/>
      <w:pPr>
        <w:ind w:left="1701" w:hanging="709"/>
      </w:pPr>
      <w:rPr>
        <w:color w:val="005CAF"/>
      </w:rPr>
    </w:lvl>
    <w:lvl w:ilvl="3">
      <w:start w:val="1"/>
      <w:numFmt w:val="none"/>
      <w:pStyle w:val="ListNumber4"/>
      <w:suff w:val="nothing"/>
      <w:lvlText w:val=""/>
      <w:lvlJc w:val="left"/>
      <w:pPr>
        <w:ind w:left="1701"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9" w15:restartNumberingAfterBreak="0">
    <w:nsid w:val="197A206C"/>
    <w:multiLevelType w:val="hybridMultilevel"/>
    <w:tmpl w:val="0438552E"/>
    <w:lvl w:ilvl="0" w:tplc="2EA82722">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C7D26CC"/>
    <w:multiLevelType w:val="hybridMultilevel"/>
    <w:tmpl w:val="1048FC0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8947BD"/>
    <w:multiLevelType w:val="hybridMultilevel"/>
    <w:tmpl w:val="A70AC8B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FC7E4E"/>
    <w:multiLevelType w:val="hybridMultilevel"/>
    <w:tmpl w:val="8C946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B646FC"/>
    <w:multiLevelType w:val="hybridMultilevel"/>
    <w:tmpl w:val="FFC26C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72D7A"/>
    <w:multiLevelType w:val="hybridMultilevel"/>
    <w:tmpl w:val="D2662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16" w15:restartNumberingAfterBreak="0">
    <w:nsid w:val="427C52AC"/>
    <w:multiLevelType w:val="hybridMultilevel"/>
    <w:tmpl w:val="B33EFA24"/>
    <w:lvl w:ilvl="0" w:tplc="421473CC">
      <w:start w:val="1"/>
      <w:numFmt w:val="bullet"/>
      <w:pStyle w:val="Keypointsbullet"/>
      <w:lvlText w:val=""/>
      <w:lvlJc w:val="left"/>
      <w:pPr>
        <w:ind w:left="360" w:hanging="360"/>
      </w:pPr>
      <w:rPr>
        <w:rFonts w:ascii="Wingdings" w:hAnsi="Wingdings" w:hint="default"/>
        <w:color w:val="005CAF"/>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15:restartNumberingAfterBreak="0">
    <w:nsid w:val="4B94390E"/>
    <w:multiLevelType w:val="multilevel"/>
    <w:tmpl w:val="98E4FE0A"/>
    <w:styleLink w:val="OCEBulletedList"/>
    <w:lvl w:ilvl="0">
      <w:start w:val="1"/>
      <w:numFmt w:val="bullet"/>
      <w:lvlText w:val=""/>
      <w:lvlJc w:val="left"/>
      <w:pPr>
        <w:ind w:left="340" w:hanging="340"/>
      </w:pPr>
      <w:rPr>
        <w:rFonts w:ascii="Wingdings" w:hAnsi="Wingdings" w:hint="default"/>
        <w:color w:val="005CAF"/>
      </w:rPr>
    </w:lvl>
    <w:lvl w:ilvl="1">
      <w:start w:val="1"/>
      <w:numFmt w:val="bullet"/>
      <w:pStyle w:val="ListBullet2"/>
      <w:lvlText w:val=""/>
      <w:lvlJc w:val="left"/>
      <w:pPr>
        <w:ind w:left="1050" w:hanging="340"/>
      </w:pPr>
      <w:rPr>
        <w:rFonts w:ascii="Wingdings" w:hAnsi="Wingdings" w:hint="default"/>
        <w:b w:val="0"/>
        <w:i w:val="0"/>
        <w:color w:val="005CAF"/>
        <w:w w:val="100"/>
        <w:position w:val="0"/>
        <w:sz w:val="20"/>
        <w:vertAlign w:val="baseline"/>
      </w:rPr>
    </w:lvl>
    <w:lvl w:ilvl="2">
      <w:start w:val="1"/>
      <w:numFmt w:val="bullet"/>
      <w:pStyle w:val="ListBullet3"/>
      <w:lvlText w:val="-"/>
      <w:lvlJc w:val="left"/>
      <w:pPr>
        <w:ind w:left="964" w:hanging="255"/>
      </w:pPr>
      <w:rPr>
        <w:rFonts w:ascii="Courier New" w:hAnsi="Courier New" w:hint="default"/>
        <w:color w:val="005CAF"/>
      </w:rPr>
    </w:lvl>
    <w:lvl w:ilvl="3">
      <w:start w:val="1"/>
      <w:numFmt w:val="none"/>
      <w:pStyle w:val="ListBullet4"/>
      <w:suff w:val="nothing"/>
      <w:lvlText w:val=""/>
      <w:lvlJc w:val="left"/>
      <w:pPr>
        <w:ind w:left="1134"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3813CDC"/>
    <w:multiLevelType w:val="multilevel"/>
    <w:tmpl w:val="8464976C"/>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1560" w:hanging="709"/>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2381" w:hanging="2381"/>
      </w:pPr>
      <w:rPr>
        <w:rFonts w:hint="default"/>
      </w:rPr>
    </w:lvl>
    <w:lvl w:ilvl="6">
      <w:start w:val="1"/>
      <w:numFmt w:val="decimal"/>
      <w:pStyle w:val="Heading7"/>
      <w:lvlText w:val="%6.%7"/>
      <w:lvlJc w:val="left"/>
      <w:pPr>
        <w:ind w:left="709" w:hanging="709"/>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7A926EA"/>
    <w:multiLevelType w:val="hybridMultilevel"/>
    <w:tmpl w:val="1FA0AAE0"/>
    <w:lvl w:ilvl="0" w:tplc="0C090005">
      <w:start w:val="1"/>
      <w:numFmt w:val="bullet"/>
      <w:lvlText w:val=""/>
      <w:lvlJc w:val="left"/>
      <w:pPr>
        <w:ind w:left="108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CAF0278"/>
    <w:multiLevelType w:val="hybridMultilevel"/>
    <w:tmpl w:val="BB7E5E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3B732B"/>
    <w:multiLevelType w:val="hybridMultilevel"/>
    <w:tmpl w:val="927C3C1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2" w15:restartNumberingAfterBreak="0">
    <w:nsid w:val="64235CDA"/>
    <w:multiLevelType w:val="hybridMultilevel"/>
    <w:tmpl w:val="CC707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6D1E97"/>
    <w:multiLevelType w:val="hybridMultilevel"/>
    <w:tmpl w:val="D73248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D9672A"/>
    <w:multiLevelType w:val="hybridMultilevel"/>
    <w:tmpl w:val="04209FD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8519E4"/>
    <w:multiLevelType w:val="hybridMultilevel"/>
    <w:tmpl w:val="E1982096"/>
    <w:lvl w:ilvl="0" w:tplc="FFFFFFFF">
      <w:start w:val="1"/>
      <w:numFmt w:val="bullet"/>
      <w:lvlText w:val=""/>
      <w:lvlJc w:val="left"/>
      <w:pPr>
        <w:ind w:left="720" w:hanging="360"/>
      </w:pPr>
      <w:rPr>
        <w:rFonts w:ascii="Wingdings" w:hAnsi="Wingdings" w:hint="default"/>
      </w:rPr>
    </w:lvl>
    <w:lvl w:ilvl="1" w:tplc="5326590C">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045868"/>
    <w:multiLevelType w:val="hybridMultilevel"/>
    <w:tmpl w:val="C6BE0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0A6741"/>
    <w:multiLevelType w:val="hybridMultilevel"/>
    <w:tmpl w:val="E2EC292C"/>
    <w:lvl w:ilvl="0" w:tplc="FFFFFFFF">
      <w:start w:val="1"/>
      <w:numFmt w:val="bullet"/>
      <w:lvlText w:val=""/>
      <w:lvlJc w:val="left"/>
      <w:pPr>
        <w:ind w:left="720" w:hanging="360"/>
      </w:pPr>
      <w:rPr>
        <w:rFonts w:ascii="Wingdings" w:hAnsi="Wingdings" w:hint="default"/>
      </w:rPr>
    </w:lvl>
    <w:lvl w:ilvl="1" w:tplc="5326590C">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C6D341A"/>
    <w:multiLevelType w:val="hybridMultilevel"/>
    <w:tmpl w:val="EA544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0655813">
    <w:abstractNumId w:val="15"/>
  </w:num>
  <w:num w:numId="2" w16cid:durableId="271061411">
    <w:abstractNumId w:val="29"/>
  </w:num>
  <w:num w:numId="3" w16cid:durableId="1928810763">
    <w:abstractNumId w:val="1"/>
  </w:num>
  <w:num w:numId="4" w16cid:durableId="1423992245">
    <w:abstractNumId w:val="17"/>
  </w:num>
  <w:num w:numId="5" w16cid:durableId="76369614">
    <w:abstractNumId w:val="8"/>
  </w:num>
  <w:num w:numId="6" w16cid:durableId="1378700736">
    <w:abstractNumId w:val="7"/>
  </w:num>
  <w:num w:numId="7" w16cid:durableId="838078761">
    <w:abstractNumId w:val="16"/>
  </w:num>
  <w:num w:numId="8" w16cid:durableId="379591524">
    <w:abstractNumId w:val="6"/>
  </w:num>
  <w:num w:numId="9" w16cid:durableId="509680962">
    <w:abstractNumId w:val="18"/>
  </w:num>
  <w:num w:numId="10" w16cid:durableId="903025487">
    <w:abstractNumId w:val="17"/>
  </w:num>
  <w:num w:numId="11" w16cid:durableId="1600140864">
    <w:abstractNumId w:val="5"/>
  </w:num>
  <w:num w:numId="12" w16cid:durableId="1838571460">
    <w:abstractNumId w:val="6"/>
  </w:num>
  <w:num w:numId="13" w16cid:durableId="719401915">
    <w:abstractNumId w:val="3"/>
  </w:num>
  <w:num w:numId="14" w16cid:durableId="1935894195">
    <w:abstractNumId w:val="19"/>
  </w:num>
  <w:num w:numId="15" w16cid:durableId="77099292">
    <w:abstractNumId w:val="4"/>
  </w:num>
  <w:num w:numId="16" w16cid:durableId="86922655">
    <w:abstractNumId w:val="23"/>
  </w:num>
  <w:num w:numId="17" w16cid:durableId="64035797">
    <w:abstractNumId w:val="24"/>
  </w:num>
  <w:num w:numId="18" w16cid:durableId="1304627377">
    <w:abstractNumId w:val="25"/>
  </w:num>
  <w:num w:numId="19" w16cid:durableId="1583026202">
    <w:abstractNumId w:val="27"/>
  </w:num>
  <w:num w:numId="20" w16cid:durableId="1517384565">
    <w:abstractNumId w:val="11"/>
  </w:num>
  <w:num w:numId="21" w16cid:durableId="266667945">
    <w:abstractNumId w:val="13"/>
  </w:num>
  <w:num w:numId="22" w16cid:durableId="425422719">
    <w:abstractNumId w:val="9"/>
  </w:num>
  <w:num w:numId="23" w16cid:durableId="852886348">
    <w:abstractNumId w:val="12"/>
  </w:num>
  <w:num w:numId="24" w16cid:durableId="2099400638">
    <w:abstractNumId w:val="2"/>
  </w:num>
  <w:num w:numId="25" w16cid:durableId="1775789013">
    <w:abstractNumId w:val="14"/>
  </w:num>
  <w:num w:numId="26" w16cid:durableId="870146317">
    <w:abstractNumId w:val="22"/>
  </w:num>
  <w:num w:numId="27" w16cid:durableId="1069227455">
    <w:abstractNumId w:val="18"/>
    <w:lvlOverride w:ilvl="0">
      <w:startOverride w:val="5"/>
    </w:lvlOverride>
  </w:num>
  <w:num w:numId="28" w16cid:durableId="12121843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8160800">
    <w:abstractNumId w:val="20"/>
  </w:num>
  <w:num w:numId="30" w16cid:durableId="238028153">
    <w:abstractNumId w:val="10"/>
  </w:num>
  <w:num w:numId="31" w16cid:durableId="339159258">
    <w:abstractNumId w:val="21"/>
  </w:num>
  <w:num w:numId="32" w16cid:durableId="738409078">
    <w:abstractNumId w:val="0"/>
  </w:num>
  <w:num w:numId="33" w16cid:durableId="1156262929">
    <w:abstractNumId w:val="28"/>
  </w:num>
  <w:num w:numId="34" w16cid:durableId="1241871684">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lickAndTypeStyle w:val="BodyText"/>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3E"/>
    <w:rsid w:val="0000027D"/>
    <w:rsid w:val="00000802"/>
    <w:rsid w:val="00000A47"/>
    <w:rsid w:val="000012DD"/>
    <w:rsid w:val="000016A1"/>
    <w:rsid w:val="000018D5"/>
    <w:rsid w:val="00002ED6"/>
    <w:rsid w:val="00002F55"/>
    <w:rsid w:val="000036F1"/>
    <w:rsid w:val="00003B81"/>
    <w:rsid w:val="00004365"/>
    <w:rsid w:val="0000457A"/>
    <w:rsid w:val="00004BF6"/>
    <w:rsid w:val="00005077"/>
    <w:rsid w:val="00005533"/>
    <w:rsid w:val="00005BDD"/>
    <w:rsid w:val="00005DDF"/>
    <w:rsid w:val="00006D6E"/>
    <w:rsid w:val="00007357"/>
    <w:rsid w:val="00007EBB"/>
    <w:rsid w:val="00010903"/>
    <w:rsid w:val="0001161C"/>
    <w:rsid w:val="00011BE7"/>
    <w:rsid w:val="000122D8"/>
    <w:rsid w:val="00013587"/>
    <w:rsid w:val="00013F4A"/>
    <w:rsid w:val="00013F80"/>
    <w:rsid w:val="00014FDA"/>
    <w:rsid w:val="00015B76"/>
    <w:rsid w:val="00017BB5"/>
    <w:rsid w:val="000232FE"/>
    <w:rsid w:val="000238B9"/>
    <w:rsid w:val="0002393E"/>
    <w:rsid w:val="00023FA7"/>
    <w:rsid w:val="00026489"/>
    <w:rsid w:val="0002648C"/>
    <w:rsid w:val="00026572"/>
    <w:rsid w:val="00026F93"/>
    <w:rsid w:val="00027529"/>
    <w:rsid w:val="0002770D"/>
    <w:rsid w:val="00030840"/>
    <w:rsid w:val="0003163D"/>
    <w:rsid w:val="0003210B"/>
    <w:rsid w:val="0003313D"/>
    <w:rsid w:val="00033DFF"/>
    <w:rsid w:val="00034E43"/>
    <w:rsid w:val="00035325"/>
    <w:rsid w:val="00037B42"/>
    <w:rsid w:val="0004016E"/>
    <w:rsid w:val="00041564"/>
    <w:rsid w:val="00041FE3"/>
    <w:rsid w:val="00042EA6"/>
    <w:rsid w:val="00043051"/>
    <w:rsid w:val="00044D7D"/>
    <w:rsid w:val="000469AD"/>
    <w:rsid w:val="0004734A"/>
    <w:rsid w:val="00047373"/>
    <w:rsid w:val="00050162"/>
    <w:rsid w:val="00050C62"/>
    <w:rsid w:val="00051136"/>
    <w:rsid w:val="00053819"/>
    <w:rsid w:val="00054DF2"/>
    <w:rsid w:val="000569B4"/>
    <w:rsid w:val="00056CCC"/>
    <w:rsid w:val="0005753A"/>
    <w:rsid w:val="00060184"/>
    <w:rsid w:val="00060500"/>
    <w:rsid w:val="00060761"/>
    <w:rsid w:val="00060CE1"/>
    <w:rsid w:val="000614AF"/>
    <w:rsid w:val="000618FB"/>
    <w:rsid w:val="0006205C"/>
    <w:rsid w:val="00062BF3"/>
    <w:rsid w:val="000634BA"/>
    <w:rsid w:val="00063678"/>
    <w:rsid w:val="000641E0"/>
    <w:rsid w:val="0006492D"/>
    <w:rsid w:val="000671CF"/>
    <w:rsid w:val="00067812"/>
    <w:rsid w:val="00067C63"/>
    <w:rsid w:val="00070749"/>
    <w:rsid w:val="00070E07"/>
    <w:rsid w:val="0007137D"/>
    <w:rsid w:val="00071FBD"/>
    <w:rsid w:val="000724BF"/>
    <w:rsid w:val="000728D2"/>
    <w:rsid w:val="00073148"/>
    <w:rsid w:val="00076E42"/>
    <w:rsid w:val="0007706C"/>
    <w:rsid w:val="000815CE"/>
    <w:rsid w:val="000816D9"/>
    <w:rsid w:val="00082BF4"/>
    <w:rsid w:val="00083FF7"/>
    <w:rsid w:val="00084015"/>
    <w:rsid w:val="00084AA9"/>
    <w:rsid w:val="0008709B"/>
    <w:rsid w:val="00090174"/>
    <w:rsid w:val="000904D3"/>
    <w:rsid w:val="00091048"/>
    <w:rsid w:val="00091824"/>
    <w:rsid w:val="000920D2"/>
    <w:rsid w:val="00092C01"/>
    <w:rsid w:val="00092C4A"/>
    <w:rsid w:val="00093193"/>
    <w:rsid w:val="000933EA"/>
    <w:rsid w:val="00094687"/>
    <w:rsid w:val="0009785D"/>
    <w:rsid w:val="000A011E"/>
    <w:rsid w:val="000A16EC"/>
    <w:rsid w:val="000A1784"/>
    <w:rsid w:val="000A1CD6"/>
    <w:rsid w:val="000A29BA"/>
    <w:rsid w:val="000A3D7F"/>
    <w:rsid w:val="000A461D"/>
    <w:rsid w:val="000A4E45"/>
    <w:rsid w:val="000A5452"/>
    <w:rsid w:val="000A599F"/>
    <w:rsid w:val="000A5CFF"/>
    <w:rsid w:val="000A6370"/>
    <w:rsid w:val="000A63C0"/>
    <w:rsid w:val="000A6F5B"/>
    <w:rsid w:val="000A7599"/>
    <w:rsid w:val="000B0D59"/>
    <w:rsid w:val="000B279E"/>
    <w:rsid w:val="000B2C1B"/>
    <w:rsid w:val="000B2DFC"/>
    <w:rsid w:val="000B2E2B"/>
    <w:rsid w:val="000B2EFE"/>
    <w:rsid w:val="000B3BD6"/>
    <w:rsid w:val="000B48E6"/>
    <w:rsid w:val="000B56A6"/>
    <w:rsid w:val="000B5BC7"/>
    <w:rsid w:val="000B611D"/>
    <w:rsid w:val="000B6158"/>
    <w:rsid w:val="000B63EA"/>
    <w:rsid w:val="000B7919"/>
    <w:rsid w:val="000B7AF6"/>
    <w:rsid w:val="000B7F7A"/>
    <w:rsid w:val="000C0241"/>
    <w:rsid w:val="000C03CF"/>
    <w:rsid w:val="000C0DD7"/>
    <w:rsid w:val="000C19CB"/>
    <w:rsid w:val="000C1D25"/>
    <w:rsid w:val="000C5B49"/>
    <w:rsid w:val="000C5C3C"/>
    <w:rsid w:val="000C6AD6"/>
    <w:rsid w:val="000C6F87"/>
    <w:rsid w:val="000C7A4E"/>
    <w:rsid w:val="000D0642"/>
    <w:rsid w:val="000D2543"/>
    <w:rsid w:val="000D3023"/>
    <w:rsid w:val="000D33DA"/>
    <w:rsid w:val="000D464C"/>
    <w:rsid w:val="000D5059"/>
    <w:rsid w:val="000D5123"/>
    <w:rsid w:val="000D6105"/>
    <w:rsid w:val="000D67C4"/>
    <w:rsid w:val="000D6908"/>
    <w:rsid w:val="000E00AE"/>
    <w:rsid w:val="000E028C"/>
    <w:rsid w:val="000E0F98"/>
    <w:rsid w:val="000E1671"/>
    <w:rsid w:val="000E2903"/>
    <w:rsid w:val="000E2DD4"/>
    <w:rsid w:val="000E3532"/>
    <w:rsid w:val="000E415F"/>
    <w:rsid w:val="000E4B4B"/>
    <w:rsid w:val="000E4F69"/>
    <w:rsid w:val="000E7171"/>
    <w:rsid w:val="000E7230"/>
    <w:rsid w:val="000F0460"/>
    <w:rsid w:val="000F0E5C"/>
    <w:rsid w:val="000F3220"/>
    <w:rsid w:val="000F39BB"/>
    <w:rsid w:val="000F5B10"/>
    <w:rsid w:val="000F6B4F"/>
    <w:rsid w:val="00100B74"/>
    <w:rsid w:val="00100C2A"/>
    <w:rsid w:val="00101A29"/>
    <w:rsid w:val="00101C24"/>
    <w:rsid w:val="00104494"/>
    <w:rsid w:val="0010531D"/>
    <w:rsid w:val="00105FBA"/>
    <w:rsid w:val="0010783C"/>
    <w:rsid w:val="00107A3F"/>
    <w:rsid w:val="00107A64"/>
    <w:rsid w:val="00107B89"/>
    <w:rsid w:val="0011174B"/>
    <w:rsid w:val="00112115"/>
    <w:rsid w:val="00112208"/>
    <w:rsid w:val="00112C75"/>
    <w:rsid w:val="00113E70"/>
    <w:rsid w:val="00113F8E"/>
    <w:rsid w:val="00114BB1"/>
    <w:rsid w:val="00116102"/>
    <w:rsid w:val="0011640A"/>
    <w:rsid w:val="0011663C"/>
    <w:rsid w:val="00116E58"/>
    <w:rsid w:val="00116F35"/>
    <w:rsid w:val="001202CB"/>
    <w:rsid w:val="0012038A"/>
    <w:rsid w:val="0012045F"/>
    <w:rsid w:val="00120E94"/>
    <w:rsid w:val="00122D8D"/>
    <w:rsid w:val="001243D4"/>
    <w:rsid w:val="001246EC"/>
    <w:rsid w:val="00125971"/>
    <w:rsid w:val="00125E21"/>
    <w:rsid w:val="001266ED"/>
    <w:rsid w:val="00126EC3"/>
    <w:rsid w:val="00127976"/>
    <w:rsid w:val="0013066A"/>
    <w:rsid w:val="0013139E"/>
    <w:rsid w:val="00131732"/>
    <w:rsid w:val="001318B9"/>
    <w:rsid w:val="00131B61"/>
    <w:rsid w:val="00132705"/>
    <w:rsid w:val="00134B28"/>
    <w:rsid w:val="00134E47"/>
    <w:rsid w:val="00135A12"/>
    <w:rsid w:val="00135E19"/>
    <w:rsid w:val="001377B2"/>
    <w:rsid w:val="001427EF"/>
    <w:rsid w:val="00143DF2"/>
    <w:rsid w:val="00144481"/>
    <w:rsid w:val="00146F3B"/>
    <w:rsid w:val="001476FD"/>
    <w:rsid w:val="00147928"/>
    <w:rsid w:val="00147C4D"/>
    <w:rsid w:val="0015000D"/>
    <w:rsid w:val="001500B7"/>
    <w:rsid w:val="001513E4"/>
    <w:rsid w:val="001517A1"/>
    <w:rsid w:val="00152BD5"/>
    <w:rsid w:val="00152E27"/>
    <w:rsid w:val="00156510"/>
    <w:rsid w:val="00156591"/>
    <w:rsid w:val="00156B5B"/>
    <w:rsid w:val="00157122"/>
    <w:rsid w:val="00157975"/>
    <w:rsid w:val="00157CE0"/>
    <w:rsid w:val="00162538"/>
    <w:rsid w:val="00162781"/>
    <w:rsid w:val="00162923"/>
    <w:rsid w:val="00163D6E"/>
    <w:rsid w:val="00164B59"/>
    <w:rsid w:val="00165389"/>
    <w:rsid w:val="001658D2"/>
    <w:rsid w:val="00165BBB"/>
    <w:rsid w:val="00165D54"/>
    <w:rsid w:val="0016640A"/>
    <w:rsid w:val="00166576"/>
    <w:rsid w:val="00166996"/>
    <w:rsid w:val="00167D15"/>
    <w:rsid w:val="001704A4"/>
    <w:rsid w:val="00172427"/>
    <w:rsid w:val="00172579"/>
    <w:rsid w:val="0017293E"/>
    <w:rsid w:val="001732B4"/>
    <w:rsid w:val="00173821"/>
    <w:rsid w:val="00173907"/>
    <w:rsid w:val="00174624"/>
    <w:rsid w:val="0017468E"/>
    <w:rsid w:val="0017583B"/>
    <w:rsid w:val="0017669E"/>
    <w:rsid w:val="001809D5"/>
    <w:rsid w:val="00180E4F"/>
    <w:rsid w:val="00182B15"/>
    <w:rsid w:val="00184675"/>
    <w:rsid w:val="00184AFE"/>
    <w:rsid w:val="00185461"/>
    <w:rsid w:val="00185B18"/>
    <w:rsid w:val="00185EF3"/>
    <w:rsid w:val="001862AC"/>
    <w:rsid w:val="00186D3D"/>
    <w:rsid w:val="00186E48"/>
    <w:rsid w:val="00187022"/>
    <w:rsid w:val="001900EE"/>
    <w:rsid w:val="0019036A"/>
    <w:rsid w:val="0019168F"/>
    <w:rsid w:val="00191AB4"/>
    <w:rsid w:val="00191BE2"/>
    <w:rsid w:val="00191C84"/>
    <w:rsid w:val="001924A6"/>
    <w:rsid w:val="001931D8"/>
    <w:rsid w:val="001949D4"/>
    <w:rsid w:val="00195C83"/>
    <w:rsid w:val="00196399"/>
    <w:rsid w:val="001974D6"/>
    <w:rsid w:val="001A322A"/>
    <w:rsid w:val="001A3451"/>
    <w:rsid w:val="001A48B2"/>
    <w:rsid w:val="001A4E10"/>
    <w:rsid w:val="001A55B8"/>
    <w:rsid w:val="001A6352"/>
    <w:rsid w:val="001A6F20"/>
    <w:rsid w:val="001B032F"/>
    <w:rsid w:val="001B1700"/>
    <w:rsid w:val="001B345E"/>
    <w:rsid w:val="001B37D5"/>
    <w:rsid w:val="001B3F96"/>
    <w:rsid w:val="001B546D"/>
    <w:rsid w:val="001B54B9"/>
    <w:rsid w:val="001B5AED"/>
    <w:rsid w:val="001B6316"/>
    <w:rsid w:val="001B6554"/>
    <w:rsid w:val="001B71FC"/>
    <w:rsid w:val="001B7B88"/>
    <w:rsid w:val="001B7E51"/>
    <w:rsid w:val="001C0356"/>
    <w:rsid w:val="001C2DCE"/>
    <w:rsid w:val="001C3064"/>
    <w:rsid w:val="001C3AB7"/>
    <w:rsid w:val="001C4286"/>
    <w:rsid w:val="001C4733"/>
    <w:rsid w:val="001C4981"/>
    <w:rsid w:val="001C4FFC"/>
    <w:rsid w:val="001C5291"/>
    <w:rsid w:val="001C5BA9"/>
    <w:rsid w:val="001C6AE0"/>
    <w:rsid w:val="001D0021"/>
    <w:rsid w:val="001D07A5"/>
    <w:rsid w:val="001D127E"/>
    <w:rsid w:val="001D1925"/>
    <w:rsid w:val="001D1B60"/>
    <w:rsid w:val="001D204F"/>
    <w:rsid w:val="001D2E2D"/>
    <w:rsid w:val="001D418D"/>
    <w:rsid w:val="001D4374"/>
    <w:rsid w:val="001D44DF"/>
    <w:rsid w:val="001D4B87"/>
    <w:rsid w:val="001D5726"/>
    <w:rsid w:val="001E1A70"/>
    <w:rsid w:val="001E2136"/>
    <w:rsid w:val="001E283C"/>
    <w:rsid w:val="001E402A"/>
    <w:rsid w:val="001E43B0"/>
    <w:rsid w:val="001E4942"/>
    <w:rsid w:val="001E4AC7"/>
    <w:rsid w:val="001E6B67"/>
    <w:rsid w:val="001E6FDE"/>
    <w:rsid w:val="001E73D4"/>
    <w:rsid w:val="001E7EBF"/>
    <w:rsid w:val="001F1287"/>
    <w:rsid w:val="001F1822"/>
    <w:rsid w:val="001F1C6B"/>
    <w:rsid w:val="001F1E5D"/>
    <w:rsid w:val="001F28B6"/>
    <w:rsid w:val="001F3838"/>
    <w:rsid w:val="001F3905"/>
    <w:rsid w:val="001F4060"/>
    <w:rsid w:val="001F551B"/>
    <w:rsid w:val="001F5A6B"/>
    <w:rsid w:val="001F5BC1"/>
    <w:rsid w:val="001F5F85"/>
    <w:rsid w:val="001F6143"/>
    <w:rsid w:val="001F61C6"/>
    <w:rsid w:val="001F6FAB"/>
    <w:rsid w:val="001F7477"/>
    <w:rsid w:val="001F74CA"/>
    <w:rsid w:val="002029E0"/>
    <w:rsid w:val="00204599"/>
    <w:rsid w:val="00204D35"/>
    <w:rsid w:val="002059C6"/>
    <w:rsid w:val="002076AF"/>
    <w:rsid w:val="002076C8"/>
    <w:rsid w:val="00207D37"/>
    <w:rsid w:val="00210234"/>
    <w:rsid w:val="00211A41"/>
    <w:rsid w:val="00212F5A"/>
    <w:rsid w:val="00213EA1"/>
    <w:rsid w:val="00214241"/>
    <w:rsid w:val="0021444E"/>
    <w:rsid w:val="0021530D"/>
    <w:rsid w:val="002164C5"/>
    <w:rsid w:val="002172A1"/>
    <w:rsid w:val="00220236"/>
    <w:rsid w:val="00220B89"/>
    <w:rsid w:val="00221951"/>
    <w:rsid w:val="0022326C"/>
    <w:rsid w:val="0022378D"/>
    <w:rsid w:val="00224525"/>
    <w:rsid w:val="00224780"/>
    <w:rsid w:val="002254D9"/>
    <w:rsid w:val="00225842"/>
    <w:rsid w:val="00225F46"/>
    <w:rsid w:val="00226F00"/>
    <w:rsid w:val="0023374A"/>
    <w:rsid w:val="00233E6F"/>
    <w:rsid w:val="00234CEA"/>
    <w:rsid w:val="00234DFF"/>
    <w:rsid w:val="0023709A"/>
    <w:rsid w:val="002400CF"/>
    <w:rsid w:val="00242169"/>
    <w:rsid w:val="00242E69"/>
    <w:rsid w:val="002441AC"/>
    <w:rsid w:val="002468F5"/>
    <w:rsid w:val="00246A91"/>
    <w:rsid w:val="00246F21"/>
    <w:rsid w:val="00247349"/>
    <w:rsid w:val="002474EE"/>
    <w:rsid w:val="00247766"/>
    <w:rsid w:val="00247B26"/>
    <w:rsid w:val="00247E77"/>
    <w:rsid w:val="00251254"/>
    <w:rsid w:val="002517DF"/>
    <w:rsid w:val="00252C28"/>
    <w:rsid w:val="0025503C"/>
    <w:rsid w:val="0025526F"/>
    <w:rsid w:val="00255773"/>
    <w:rsid w:val="002561F6"/>
    <w:rsid w:val="00256BD3"/>
    <w:rsid w:val="00261184"/>
    <w:rsid w:val="0026248F"/>
    <w:rsid w:val="002630DD"/>
    <w:rsid w:val="002632A2"/>
    <w:rsid w:val="002641C4"/>
    <w:rsid w:val="00264660"/>
    <w:rsid w:val="00264FCE"/>
    <w:rsid w:val="0026545D"/>
    <w:rsid w:val="0026576F"/>
    <w:rsid w:val="00265B62"/>
    <w:rsid w:val="0026629E"/>
    <w:rsid w:val="0026658D"/>
    <w:rsid w:val="00267331"/>
    <w:rsid w:val="00267507"/>
    <w:rsid w:val="0026771A"/>
    <w:rsid w:val="00267CB2"/>
    <w:rsid w:val="00267F54"/>
    <w:rsid w:val="00271D62"/>
    <w:rsid w:val="00272952"/>
    <w:rsid w:val="00273132"/>
    <w:rsid w:val="00273CF2"/>
    <w:rsid w:val="00273D43"/>
    <w:rsid w:val="002741BD"/>
    <w:rsid w:val="002755BA"/>
    <w:rsid w:val="0027566C"/>
    <w:rsid w:val="002757A5"/>
    <w:rsid w:val="0027661C"/>
    <w:rsid w:val="0027739F"/>
    <w:rsid w:val="00277478"/>
    <w:rsid w:val="0027776D"/>
    <w:rsid w:val="002805D3"/>
    <w:rsid w:val="00280EB9"/>
    <w:rsid w:val="00280FBF"/>
    <w:rsid w:val="00282AF3"/>
    <w:rsid w:val="002830F6"/>
    <w:rsid w:val="00284D19"/>
    <w:rsid w:val="00285A2F"/>
    <w:rsid w:val="002866DE"/>
    <w:rsid w:val="00286867"/>
    <w:rsid w:val="002907CD"/>
    <w:rsid w:val="00290891"/>
    <w:rsid w:val="002908D5"/>
    <w:rsid w:val="002911C8"/>
    <w:rsid w:val="0029234D"/>
    <w:rsid w:val="0029288F"/>
    <w:rsid w:val="00292AE8"/>
    <w:rsid w:val="00292BAC"/>
    <w:rsid w:val="00293FC4"/>
    <w:rsid w:val="002949B9"/>
    <w:rsid w:val="00294D3A"/>
    <w:rsid w:val="0029515A"/>
    <w:rsid w:val="00295826"/>
    <w:rsid w:val="002966D5"/>
    <w:rsid w:val="002A066C"/>
    <w:rsid w:val="002A1159"/>
    <w:rsid w:val="002A1294"/>
    <w:rsid w:val="002A33E7"/>
    <w:rsid w:val="002A4873"/>
    <w:rsid w:val="002A4C3A"/>
    <w:rsid w:val="002A4C6C"/>
    <w:rsid w:val="002A620E"/>
    <w:rsid w:val="002A6979"/>
    <w:rsid w:val="002A6A32"/>
    <w:rsid w:val="002A7F2D"/>
    <w:rsid w:val="002B0B6F"/>
    <w:rsid w:val="002B1DD2"/>
    <w:rsid w:val="002B3220"/>
    <w:rsid w:val="002B4C25"/>
    <w:rsid w:val="002B577E"/>
    <w:rsid w:val="002B65CF"/>
    <w:rsid w:val="002B74C0"/>
    <w:rsid w:val="002B779D"/>
    <w:rsid w:val="002C0A45"/>
    <w:rsid w:val="002C1206"/>
    <w:rsid w:val="002C276C"/>
    <w:rsid w:val="002C2E69"/>
    <w:rsid w:val="002C42ED"/>
    <w:rsid w:val="002C442E"/>
    <w:rsid w:val="002C46C9"/>
    <w:rsid w:val="002C6BEE"/>
    <w:rsid w:val="002C6E3A"/>
    <w:rsid w:val="002C7B38"/>
    <w:rsid w:val="002D0127"/>
    <w:rsid w:val="002D246D"/>
    <w:rsid w:val="002D25F0"/>
    <w:rsid w:val="002D322E"/>
    <w:rsid w:val="002D3411"/>
    <w:rsid w:val="002D3A26"/>
    <w:rsid w:val="002D4188"/>
    <w:rsid w:val="002D4781"/>
    <w:rsid w:val="002D4DC6"/>
    <w:rsid w:val="002D56BA"/>
    <w:rsid w:val="002D5B1E"/>
    <w:rsid w:val="002D5C65"/>
    <w:rsid w:val="002E1A07"/>
    <w:rsid w:val="002E261A"/>
    <w:rsid w:val="002E3270"/>
    <w:rsid w:val="002E43BD"/>
    <w:rsid w:val="002E44EB"/>
    <w:rsid w:val="002E4961"/>
    <w:rsid w:val="002E5336"/>
    <w:rsid w:val="002E5B28"/>
    <w:rsid w:val="002E78C6"/>
    <w:rsid w:val="002F00C4"/>
    <w:rsid w:val="002F0EEF"/>
    <w:rsid w:val="002F2208"/>
    <w:rsid w:val="002F3F7E"/>
    <w:rsid w:val="002F4803"/>
    <w:rsid w:val="002F487F"/>
    <w:rsid w:val="002F4C27"/>
    <w:rsid w:val="002F4F80"/>
    <w:rsid w:val="002F56EE"/>
    <w:rsid w:val="002F60CA"/>
    <w:rsid w:val="002F65E4"/>
    <w:rsid w:val="002F6A88"/>
    <w:rsid w:val="002F7C58"/>
    <w:rsid w:val="00300738"/>
    <w:rsid w:val="00301D88"/>
    <w:rsid w:val="00303E51"/>
    <w:rsid w:val="0030442F"/>
    <w:rsid w:val="00304F9B"/>
    <w:rsid w:val="00305FEC"/>
    <w:rsid w:val="00306F47"/>
    <w:rsid w:val="003076BF"/>
    <w:rsid w:val="00307AD6"/>
    <w:rsid w:val="00311A07"/>
    <w:rsid w:val="00311B71"/>
    <w:rsid w:val="00313ECE"/>
    <w:rsid w:val="003141C8"/>
    <w:rsid w:val="00315AE5"/>
    <w:rsid w:val="00315B65"/>
    <w:rsid w:val="00315C5C"/>
    <w:rsid w:val="00316898"/>
    <w:rsid w:val="0031724B"/>
    <w:rsid w:val="00317799"/>
    <w:rsid w:val="00320E16"/>
    <w:rsid w:val="0032210D"/>
    <w:rsid w:val="00322630"/>
    <w:rsid w:val="00322656"/>
    <w:rsid w:val="0032338C"/>
    <w:rsid w:val="00327B66"/>
    <w:rsid w:val="00331A48"/>
    <w:rsid w:val="0033220D"/>
    <w:rsid w:val="003322B1"/>
    <w:rsid w:val="003340DE"/>
    <w:rsid w:val="003340FB"/>
    <w:rsid w:val="00334834"/>
    <w:rsid w:val="003348C3"/>
    <w:rsid w:val="003358EF"/>
    <w:rsid w:val="00336287"/>
    <w:rsid w:val="00337978"/>
    <w:rsid w:val="003401BF"/>
    <w:rsid w:val="0034057E"/>
    <w:rsid w:val="00340E62"/>
    <w:rsid w:val="003423CA"/>
    <w:rsid w:val="00343EF3"/>
    <w:rsid w:val="0034538E"/>
    <w:rsid w:val="00345516"/>
    <w:rsid w:val="00347A7F"/>
    <w:rsid w:val="00350C19"/>
    <w:rsid w:val="003513A7"/>
    <w:rsid w:val="00352356"/>
    <w:rsid w:val="00353235"/>
    <w:rsid w:val="00354E7E"/>
    <w:rsid w:val="00354EA2"/>
    <w:rsid w:val="00357018"/>
    <w:rsid w:val="003571FF"/>
    <w:rsid w:val="00357756"/>
    <w:rsid w:val="003578A6"/>
    <w:rsid w:val="00360BA8"/>
    <w:rsid w:val="0036303B"/>
    <w:rsid w:val="0036344F"/>
    <w:rsid w:val="00363D3E"/>
    <w:rsid w:val="003641D9"/>
    <w:rsid w:val="00364BAD"/>
    <w:rsid w:val="003654F0"/>
    <w:rsid w:val="00365705"/>
    <w:rsid w:val="0036645C"/>
    <w:rsid w:val="00366DC2"/>
    <w:rsid w:val="003707ED"/>
    <w:rsid w:val="00370CD0"/>
    <w:rsid w:val="003712D9"/>
    <w:rsid w:val="00371866"/>
    <w:rsid w:val="00371F36"/>
    <w:rsid w:val="00372381"/>
    <w:rsid w:val="00373765"/>
    <w:rsid w:val="00374A92"/>
    <w:rsid w:val="00375BE3"/>
    <w:rsid w:val="0037708E"/>
    <w:rsid w:val="00382BE7"/>
    <w:rsid w:val="00383CAC"/>
    <w:rsid w:val="00385BB6"/>
    <w:rsid w:val="00386D5D"/>
    <w:rsid w:val="00387670"/>
    <w:rsid w:val="00387F73"/>
    <w:rsid w:val="00391DA3"/>
    <w:rsid w:val="00392279"/>
    <w:rsid w:val="003933A8"/>
    <w:rsid w:val="003941A1"/>
    <w:rsid w:val="00395557"/>
    <w:rsid w:val="003960C5"/>
    <w:rsid w:val="003967EE"/>
    <w:rsid w:val="00396A2A"/>
    <w:rsid w:val="00396A78"/>
    <w:rsid w:val="00396E87"/>
    <w:rsid w:val="003A068B"/>
    <w:rsid w:val="003A0C03"/>
    <w:rsid w:val="003A13C6"/>
    <w:rsid w:val="003A253A"/>
    <w:rsid w:val="003A2A2F"/>
    <w:rsid w:val="003A2DAA"/>
    <w:rsid w:val="003A33D9"/>
    <w:rsid w:val="003A3DF8"/>
    <w:rsid w:val="003A48DD"/>
    <w:rsid w:val="003A4CBD"/>
    <w:rsid w:val="003A564E"/>
    <w:rsid w:val="003A5A88"/>
    <w:rsid w:val="003A5E24"/>
    <w:rsid w:val="003A6CE8"/>
    <w:rsid w:val="003B0455"/>
    <w:rsid w:val="003B12F3"/>
    <w:rsid w:val="003B141B"/>
    <w:rsid w:val="003B2064"/>
    <w:rsid w:val="003B2AF7"/>
    <w:rsid w:val="003B2F94"/>
    <w:rsid w:val="003B71BC"/>
    <w:rsid w:val="003B7ABC"/>
    <w:rsid w:val="003B7C70"/>
    <w:rsid w:val="003C0B99"/>
    <w:rsid w:val="003C0FAA"/>
    <w:rsid w:val="003C152C"/>
    <w:rsid w:val="003C1538"/>
    <w:rsid w:val="003C1919"/>
    <w:rsid w:val="003C1ABD"/>
    <w:rsid w:val="003C2231"/>
    <w:rsid w:val="003C3A9C"/>
    <w:rsid w:val="003C3C35"/>
    <w:rsid w:val="003C404D"/>
    <w:rsid w:val="003C4B4A"/>
    <w:rsid w:val="003C4F65"/>
    <w:rsid w:val="003C5819"/>
    <w:rsid w:val="003C587D"/>
    <w:rsid w:val="003C65B2"/>
    <w:rsid w:val="003C6F70"/>
    <w:rsid w:val="003C7200"/>
    <w:rsid w:val="003D06C2"/>
    <w:rsid w:val="003D0E4F"/>
    <w:rsid w:val="003D1A87"/>
    <w:rsid w:val="003D1CCE"/>
    <w:rsid w:val="003D4210"/>
    <w:rsid w:val="003D64EB"/>
    <w:rsid w:val="003D7074"/>
    <w:rsid w:val="003D7B1C"/>
    <w:rsid w:val="003E0CC9"/>
    <w:rsid w:val="003E1E82"/>
    <w:rsid w:val="003E246C"/>
    <w:rsid w:val="003E2A24"/>
    <w:rsid w:val="003E32D9"/>
    <w:rsid w:val="003E3CF3"/>
    <w:rsid w:val="003E4CD2"/>
    <w:rsid w:val="003E50C4"/>
    <w:rsid w:val="003E5AFE"/>
    <w:rsid w:val="003E5ECC"/>
    <w:rsid w:val="003E608D"/>
    <w:rsid w:val="003E762E"/>
    <w:rsid w:val="003E7B99"/>
    <w:rsid w:val="003F00E8"/>
    <w:rsid w:val="003F17A6"/>
    <w:rsid w:val="003F2CCF"/>
    <w:rsid w:val="003F32D8"/>
    <w:rsid w:val="003F6DB3"/>
    <w:rsid w:val="003F7382"/>
    <w:rsid w:val="003F7E51"/>
    <w:rsid w:val="004010C7"/>
    <w:rsid w:val="00403328"/>
    <w:rsid w:val="00407BFB"/>
    <w:rsid w:val="00410A25"/>
    <w:rsid w:val="00410B42"/>
    <w:rsid w:val="004124CB"/>
    <w:rsid w:val="0041256E"/>
    <w:rsid w:val="00412F57"/>
    <w:rsid w:val="00413D2D"/>
    <w:rsid w:val="00415164"/>
    <w:rsid w:val="00415C3C"/>
    <w:rsid w:val="0041757D"/>
    <w:rsid w:val="0042216E"/>
    <w:rsid w:val="00422B35"/>
    <w:rsid w:val="00423E9E"/>
    <w:rsid w:val="004250E7"/>
    <w:rsid w:val="004253A5"/>
    <w:rsid w:val="00426840"/>
    <w:rsid w:val="00426883"/>
    <w:rsid w:val="00426901"/>
    <w:rsid w:val="00430E39"/>
    <w:rsid w:val="00431C6A"/>
    <w:rsid w:val="00432ABB"/>
    <w:rsid w:val="00434C78"/>
    <w:rsid w:val="00434CE0"/>
    <w:rsid w:val="00435C7E"/>
    <w:rsid w:val="00435FDB"/>
    <w:rsid w:val="004365B7"/>
    <w:rsid w:val="004371E8"/>
    <w:rsid w:val="00440CD5"/>
    <w:rsid w:val="00440F7C"/>
    <w:rsid w:val="00441643"/>
    <w:rsid w:val="00443041"/>
    <w:rsid w:val="00443108"/>
    <w:rsid w:val="0044332C"/>
    <w:rsid w:val="0044360D"/>
    <w:rsid w:val="004459B3"/>
    <w:rsid w:val="00445DE2"/>
    <w:rsid w:val="00446C1F"/>
    <w:rsid w:val="00447193"/>
    <w:rsid w:val="004474FD"/>
    <w:rsid w:val="004475E6"/>
    <w:rsid w:val="00447972"/>
    <w:rsid w:val="00447B15"/>
    <w:rsid w:val="00447F83"/>
    <w:rsid w:val="00450218"/>
    <w:rsid w:val="004514A4"/>
    <w:rsid w:val="00451789"/>
    <w:rsid w:val="00451918"/>
    <w:rsid w:val="00451B11"/>
    <w:rsid w:val="00451DC8"/>
    <w:rsid w:val="00452615"/>
    <w:rsid w:val="00452C47"/>
    <w:rsid w:val="00453488"/>
    <w:rsid w:val="004536DD"/>
    <w:rsid w:val="00453DB8"/>
    <w:rsid w:val="00453EFD"/>
    <w:rsid w:val="004561DA"/>
    <w:rsid w:val="0045635D"/>
    <w:rsid w:val="00457D05"/>
    <w:rsid w:val="004607AC"/>
    <w:rsid w:val="00460FB3"/>
    <w:rsid w:val="00461BA4"/>
    <w:rsid w:val="00461DF9"/>
    <w:rsid w:val="00462B00"/>
    <w:rsid w:val="00463C19"/>
    <w:rsid w:val="0046406C"/>
    <w:rsid w:val="00464BD7"/>
    <w:rsid w:val="00464C8C"/>
    <w:rsid w:val="00464F71"/>
    <w:rsid w:val="004660C2"/>
    <w:rsid w:val="00470A53"/>
    <w:rsid w:val="0047180F"/>
    <w:rsid w:val="00471A5E"/>
    <w:rsid w:val="004720D3"/>
    <w:rsid w:val="00474C4B"/>
    <w:rsid w:val="0047563C"/>
    <w:rsid w:val="00477504"/>
    <w:rsid w:val="00477519"/>
    <w:rsid w:val="00477C01"/>
    <w:rsid w:val="0048023B"/>
    <w:rsid w:val="00480CAF"/>
    <w:rsid w:val="004812C0"/>
    <w:rsid w:val="004815DF"/>
    <w:rsid w:val="00481E0A"/>
    <w:rsid w:val="00483169"/>
    <w:rsid w:val="00483F96"/>
    <w:rsid w:val="0048413D"/>
    <w:rsid w:val="004869E9"/>
    <w:rsid w:val="0048705F"/>
    <w:rsid w:val="00487841"/>
    <w:rsid w:val="00490CEB"/>
    <w:rsid w:val="0049129C"/>
    <w:rsid w:val="004925A7"/>
    <w:rsid w:val="00493446"/>
    <w:rsid w:val="004939EA"/>
    <w:rsid w:val="004942C4"/>
    <w:rsid w:val="004954C3"/>
    <w:rsid w:val="00495C1B"/>
    <w:rsid w:val="00496236"/>
    <w:rsid w:val="00496875"/>
    <w:rsid w:val="00496DA4"/>
    <w:rsid w:val="00497819"/>
    <w:rsid w:val="004A2960"/>
    <w:rsid w:val="004A3F5D"/>
    <w:rsid w:val="004A46E3"/>
    <w:rsid w:val="004A5598"/>
    <w:rsid w:val="004A6042"/>
    <w:rsid w:val="004A650C"/>
    <w:rsid w:val="004A72B6"/>
    <w:rsid w:val="004A752B"/>
    <w:rsid w:val="004A756B"/>
    <w:rsid w:val="004A7C86"/>
    <w:rsid w:val="004B0453"/>
    <w:rsid w:val="004B0D49"/>
    <w:rsid w:val="004B0E4F"/>
    <w:rsid w:val="004B22FE"/>
    <w:rsid w:val="004B2A45"/>
    <w:rsid w:val="004B2C98"/>
    <w:rsid w:val="004B2FEA"/>
    <w:rsid w:val="004B3CD3"/>
    <w:rsid w:val="004B3DA9"/>
    <w:rsid w:val="004B4A01"/>
    <w:rsid w:val="004B4B9C"/>
    <w:rsid w:val="004B4E62"/>
    <w:rsid w:val="004B53E7"/>
    <w:rsid w:val="004B70E3"/>
    <w:rsid w:val="004B7488"/>
    <w:rsid w:val="004B7AEA"/>
    <w:rsid w:val="004C1602"/>
    <w:rsid w:val="004C1BB2"/>
    <w:rsid w:val="004C2892"/>
    <w:rsid w:val="004C34F3"/>
    <w:rsid w:val="004C3A58"/>
    <w:rsid w:val="004C5DBC"/>
    <w:rsid w:val="004C7203"/>
    <w:rsid w:val="004D006D"/>
    <w:rsid w:val="004D2C6B"/>
    <w:rsid w:val="004D314E"/>
    <w:rsid w:val="004D3574"/>
    <w:rsid w:val="004D53AD"/>
    <w:rsid w:val="004D6521"/>
    <w:rsid w:val="004D6B57"/>
    <w:rsid w:val="004E0B4D"/>
    <w:rsid w:val="004E1CA5"/>
    <w:rsid w:val="004E2259"/>
    <w:rsid w:val="004E2D4F"/>
    <w:rsid w:val="004E2E6A"/>
    <w:rsid w:val="004E33DE"/>
    <w:rsid w:val="004E38DC"/>
    <w:rsid w:val="004E3D10"/>
    <w:rsid w:val="004E3D67"/>
    <w:rsid w:val="004E630E"/>
    <w:rsid w:val="004E744E"/>
    <w:rsid w:val="004F015D"/>
    <w:rsid w:val="004F0959"/>
    <w:rsid w:val="004F1993"/>
    <w:rsid w:val="004F301D"/>
    <w:rsid w:val="004F3AB0"/>
    <w:rsid w:val="004F3F79"/>
    <w:rsid w:val="004F65C3"/>
    <w:rsid w:val="004F6832"/>
    <w:rsid w:val="004F6A54"/>
    <w:rsid w:val="004F6FB1"/>
    <w:rsid w:val="004F7D5E"/>
    <w:rsid w:val="005008F7"/>
    <w:rsid w:val="00500D8E"/>
    <w:rsid w:val="00500D97"/>
    <w:rsid w:val="00501503"/>
    <w:rsid w:val="00502804"/>
    <w:rsid w:val="0050281C"/>
    <w:rsid w:val="00503C02"/>
    <w:rsid w:val="00504065"/>
    <w:rsid w:val="00504C4C"/>
    <w:rsid w:val="00505701"/>
    <w:rsid w:val="0051017B"/>
    <w:rsid w:val="0051079B"/>
    <w:rsid w:val="0051099B"/>
    <w:rsid w:val="005115A4"/>
    <w:rsid w:val="00511756"/>
    <w:rsid w:val="005126DB"/>
    <w:rsid w:val="0051337A"/>
    <w:rsid w:val="005133AE"/>
    <w:rsid w:val="00513F90"/>
    <w:rsid w:val="005141A1"/>
    <w:rsid w:val="00514470"/>
    <w:rsid w:val="005159BA"/>
    <w:rsid w:val="005168C5"/>
    <w:rsid w:val="00516A09"/>
    <w:rsid w:val="00516C35"/>
    <w:rsid w:val="00516D57"/>
    <w:rsid w:val="00521151"/>
    <w:rsid w:val="00522523"/>
    <w:rsid w:val="00522EBD"/>
    <w:rsid w:val="00523B54"/>
    <w:rsid w:val="00524585"/>
    <w:rsid w:val="0052531E"/>
    <w:rsid w:val="005254F9"/>
    <w:rsid w:val="00525CAD"/>
    <w:rsid w:val="0052795B"/>
    <w:rsid w:val="00527CD7"/>
    <w:rsid w:val="00530869"/>
    <w:rsid w:val="0053173C"/>
    <w:rsid w:val="00532498"/>
    <w:rsid w:val="00533306"/>
    <w:rsid w:val="00534185"/>
    <w:rsid w:val="00534D78"/>
    <w:rsid w:val="00535481"/>
    <w:rsid w:val="00536765"/>
    <w:rsid w:val="00537651"/>
    <w:rsid w:val="00537B12"/>
    <w:rsid w:val="00537C77"/>
    <w:rsid w:val="00542893"/>
    <w:rsid w:val="00544A8A"/>
    <w:rsid w:val="00544EFE"/>
    <w:rsid w:val="005453E2"/>
    <w:rsid w:val="0054604A"/>
    <w:rsid w:val="00546775"/>
    <w:rsid w:val="0054757A"/>
    <w:rsid w:val="00547A0D"/>
    <w:rsid w:val="00550C82"/>
    <w:rsid w:val="00551153"/>
    <w:rsid w:val="005542B7"/>
    <w:rsid w:val="00554CC9"/>
    <w:rsid w:val="005551B1"/>
    <w:rsid w:val="00555576"/>
    <w:rsid w:val="0055597A"/>
    <w:rsid w:val="0055641D"/>
    <w:rsid w:val="005565C1"/>
    <w:rsid w:val="00556CF7"/>
    <w:rsid w:val="005577F2"/>
    <w:rsid w:val="00557C0A"/>
    <w:rsid w:val="0056059B"/>
    <w:rsid w:val="00560C53"/>
    <w:rsid w:val="005621CB"/>
    <w:rsid w:val="00562489"/>
    <w:rsid w:val="00562B9A"/>
    <w:rsid w:val="00563424"/>
    <w:rsid w:val="00563A9F"/>
    <w:rsid w:val="00566A66"/>
    <w:rsid w:val="00570129"/>
    <w:rsid w:val="00570C8E"/>
    <w:rsid w:val="0057169D"/>
    <w:rsid w:val="00573F05"/>
    <w:rsid w:val="00574814"/>
    <w:rsid w:val="00574CEB"/>
    <w:rsid w:val="00575E9D"/>
    <w:rsid w:val="005764B2"/>
    <w:rsid w:val="00576504"/>
    <w:rsid w:val="00576B53"/>
    <w:rsid w:val="00576FE0"/>
    <w:rsid w:val="00582039"/>
    <w:rsid w:val="00582276"/>
    <w:rsid w:val="00582623"/>
    <w:rsid w:val="00583A01"/>
    <w:rsid w:val="00583D01"/>
    <w:rsid w:val="00584542"/>
    <w:rsid w:val="005857E8"/>
    <w:rsid w:val="00585BB3"/>
    <w:rsid w:val="00585C56"/>
    <w:rsid w:val="00585DE3"/>
    <w:rsid w:val="005862E9"/>
    <w:rsid w:val="00587701"/>
    <w:rsid w:val="00587FE9"/>
    <w:rsid w:val="00590B2A"/>
    <w:rsid w:val="00592A5F"/>
    <w:rsid w:val="00596780"/>
    <w:rsid w:val="005971FA"/>
    <w:rsid w:val="005A09DF"/>
    <w:rsid w:val="005A0CBB"/>
    <w:rsid w:val="005A1327"/>
    <w:rsid w:val="005A39A1"/>
    <w:rsid w:val="005A409E"/>
    <w:rsid w:val="005A4671"/>
    <w:rsid w:val="005A4807"/>
    <w:rsid w:val="005A65AA"/>
    <w:rsid w:val="005A6D4C"/>
    <w:rsid w:val="005A706E"/>
    <w:rsid w:val="005A7FAA"/>
    <w:rsid w:val="005B004D"/>
    <w:rsid w:val="005B13A9"/>
    <w:rsid w:val="005B262F"/>
    <w:rsid w:val="005B3BC9"/>
    <w:rsid w:val="005B525D"/>
    <w:rsid w:val="005B6527"/>
    <w:rsid w:val="005B6CC7"/>
    <w:rsid w:val="005B6F6E"/>
    <w:rsid w:val="005C046D"/>
    <w:rsid w:val="005C12D8"/>
    <w:rsid w:val="005C25D5"/>
    <w:rsid w:val="005C36A2"/>
    <w:rsid w:val="005C4185"/>
    <w:rsid w:val="005C4E3C"/>
    <w:rsid w:val="005C4F98"/>
    <w:rsid w:val="005C4F9D"/>
    <w:rsid w:val="005C5D37"/>
    <w:rsid w:val="005C6CF4"/>
    <w:rsid w:val="005C6FB9"/>
    <w:rsid w:val="005D0BB0"/>
    <w:rsid w:val="005D0DE5"/>
    <w:rsid w:val="005D2E98"/>
    <w:rsid w:val="005D3502"/>
    <w:rsid w:val="005D394C"/>
    <w:rsid w:val="005D46BF"/>
    <w:rsid w:val="005D7517"/>
    <w:rsid w:val="005D7981"/>
    <w:rsid w:val="005E121F"/>
    <w:rsid w:val="005E2AA1"/>
    <w:rsid w:val="005E3454"/>
    <w:rsid w:val="005E3870"/>
    <w:rsid w:val="005E5AE3"/>
    <w:rsid w:val="005E6AC0"/>
    <w:rsid w:val="005E7981"/>
    <w:rsid w:val="005E7F57"/>
    <w:rsid w:val="005F12F7"/>
    <w:rsid w:val="005F22F8"/>
    <w:rsid w:val="005F2E3D"/>
    <w:rsid w:val="005F349A"/>
    <w:rsid w:val="005F3A51"/>
    <w:rsid w:val="005F4627"/>
    <w:rsid w:val="005F5226"/>
    <w:rsid w:val="005F7223"/>
    <w:rsid w:val="005F74B5"/>
    <w:rsid w:val="00600E2C"/>
    <w:rsid w:val="00603A3F"/>
    <w:rsid w:val="00603F30"/>
    <w:rsid w:val="00604241"/>
    <w:rsid w:val="00604279"/>
    <w:rsid w:val="006043C0"/>
    <w:rsid w:val="0060545E"/>
    <w:rsid w:val="00605760"/>
    <w:rsid w:val="00605D1E"/>
    <w:rsid w:val="00606DF7"/>
    <w:rsid w:val="00606FD6"/>
    <w:rsid w:val="00611312"/>
    <w:rsid w:val="0061140B"/>
    <w:rsid w:val="006128D9"/>
    <w:rsid w:val="00612A04"/>
    <w:rsid w:val="006132AE"/>
    <w:rsid w:val="00614363"/>
    <w:rsid w:val="00614CA5"/>
    <w:rsid w:val="00616608"/>
    <w:rsid w:val="006169F9"/>
    <w:rsid w:val="00616A03"/>
    <w:rsid w:val="006170F5"/>
    <w:rsid w:val="0062058C"/>
    <w:rsid w:val="00620945"/>
    <w:rsid w:val="00621E26"/>
    <w:rsid w:val="006226A7"/>
    <w:rsid w:val="006245C2"/>
    <w:rsid w:val="00624EDA"/>
    <w:rsid w:val="00625B92"/>
    <w:rsid w:val="00627B0A"/>
    <w:rsid w:val="006300AD"/>
    <w:rsid w:val="0063036B"/>
    <w:rsid w:val="006310B2"/>
    <w:rsid w:val="0063150F"/>
    <w:rsid w:val="006321E5"/>
    <w:rsid w:val="006322EF"/>
    <w:rsid w:val="0063252B"/>
    <w:rsid w:val="00632C94"/>
    <w:rsid w:val="0063349E"/>
    <w:rsid w:val="00633940"/>
    <w:rsid w:val="006346A5"/>
    <w:rsid w:val="00634C2A"/>
    <w:rsid w:val="00635987"/>
    <w:rsid w:val="006370E6"/>
    <w:rsid w:val="0063715E"/>
    <w:rsid w:val="00637DAF"/>
    <w:rsid w:val="00640343"/>
    <w:rsid w:val="006403A9"/>
    <w:rsid w:val="00640B00"/>
    <w:rsid w:val="00640C1D"/>
    <w:rsid w:val="00641BBD"/>
    <w:rsid w:val="006429DE"/>
    <w:rsid w:val="006446EF"/>
    <w:rsid w:val="00646834"/>
    <w:rsid w:val="0065019D"/>
    <w:rsid w:val="00650806"/>
    <w:rsid w:val="0065093E"/>
    <w:rsid w:val="00651476"/>
    <w:rsid w:val="006517D4"/>
    <w:rsid w:val="00651E90"/>
    <w:rsid w:val="0065213F"/>
    <w:rsid w:val="00652346"/>
    <w:rsid w:val="006523E7"/>
    <w:rsid w:val="00652811"/>
    <w:rsid w:val="00653199"/>
    <w:rsid w:val="00653680"/>
    <w:rsid w:val="00654105"/>
    <w:rsid w:val="0065626F"/>
    <w:rsid w:val="0065696F"/>
    <w:rsid w:val="00657D8C"/>
    <w:rsid w:val="00660D2D"/>
    <w:rsid w:val="00660F80"/>
    <w:rsid w:val="00661E3E"/>
    <w:rsid w:val="0066281C"/>
    <w:rsid w:val="00664ACB"/>
    <w:rsid w:val="00665B3D"/>
    <w:rsid w:val="00666013"/>
    <w:rsid w:val="00666F43"/>
    <w:rsid w:val="0066703D"/>
    <w:rsid w:val="00670810"/>
    <w:rsid w:val="00671006"/>
    <w:rsid w:val="00671B11"/>
    <w:rsid w:val="00672152"/>
    <w:rsid w:val="006721A2"/>
    <w:rsid w:val="00672AF1"/>
    <w:rsid w:val="006739C2"/>
    <w:rsid w:val="006746EA"/>
    <w:rsid w:val="00674CCB"/>
    <w:rsid w:val="006777C3"/>
    <w:rsid w:val="0067788D"/>
    <w:rsid w:val="00680CF2"/>
    <w:rsid w:val="00680DB6"/>
    <w:rsid w:val="006816E9"/>
    <w:rsid w:val="006821C4"/>
    <w:rsid w:val="006827C7"/>
    <w:rsid w:val="00682AE9"/>
    <w:rsid w:val="00682B13"/>
    <w:rsid w:val="00684893"/>
    <w:rsid w:val="00685F6E"/>
    <w:rsid w:val="006875CB"/>
    <w:rsid w:val="006901BB"/>
    <w:rsid w:val="006908D0"/>
    <w:rsid w:val="00690952"/>
    <w:rsid w:val="00691556"/>
    <w:rsid w:val="006915ED"/>
    <w:rsid w:val="00691747"/>
    <w:rsid w:val="00692166"/>
    <w:rsid w:val="00692C42"/>
    <w:rsid w:val="00694E82"/>
    <w:rsid w:val="006A08C3"/>
    <w:rsid w:val="006A0F6D"/>
    <w:rsid w:val="006A12D8"/>
    <w:rsid w:val="006A3983"/>
    <w:rsid w:val="006A553E"/>
    <w:rsid w:val="006A61B6"/>
    <w:rsid w:val="006A6873"/>
    <w:rsid w:val="006A6CEA"/>
    <w:rsid w:val="006B2340"/>
    <w:rsid w:val="006B2EBE"/>
    <w:rsid w:val="006B339D"/>
    <w:rsid w:val="006B33B1"/>
    <w:rsid w:val="006B3CB5"/>
    <w:rsid w:val="006B4275"/>
    <w:rsid w:val="006C0A8C"/>
    <w:rsid w:val="006C134D"/>
    <w:rsid w:val="006C1482"/>
    <w:rsid w:val="006C295D"/>
    <w:rsid w:val="006C3D15"/>
    <w:rsid w:val="006C501F"/>
    <w:rsid w:val="006C51F0"/>
    <w:rsid w:val="006C5E1A"/>
    <w:rsid w:val="006C604E"/>
    <w:rsid w:val="006C66CB"/>
    <w:rsid w:val="006C6C27"/>
    <w:rsid w:val="006D1FE2"/>
    <w:rsid w:val="006D2975"/>
    <w:rsid w:val="006D2E73"/>
    <w:rsid w:val="006D3162"/>
    <w:rsid w:val="006D3274"/>
    <w:rsid w:val="006D3CE1"/>
    <w:rsid w:val="006D5CAA"/>
    <w:rsid w:val="006D6C5F"/>
    <w:rsid w:val="006D7511"/>
    <w:rsid w:val="006D7B80"/>
    <w:rsid w:val="006E10E6"/>
    <w:rsid w:val="006E1824"/>
    <w:rsid w:val="006E4627"/>
    <w:rsid w:val="006E63C2"/>
    <w:rsid w:val="006F1085"/>
    <w:rsid w:val="006F1D3B"/>
    <w:rsid w:val="006F1F8D"/>
    <w:rsid w:val="006F29AF"/>
    <w:rsid w:val="006F398D"/>
    <w:rsid w:val="006F427F"/>
    <w:rsid w:val="006F4981"/>
    <w:rsid w:val="006F540E"/>
    <w:rsid w:val="006F5C26"/>
    <w:rsid w:val="006F5F87"/>
    <w:rsid w:val="00703105"/>
    <w:rsid w:val="00703490"/>
    <w:rsid w:val="00704DB0"/>
    <w:rsid w:val="007067DE"/>
    <w:rsid w:val="0071091D"/>
    <w:rsid w:val="00712467"/>
    <w:rsid w:val="00712745"/>
    <w:rsid w:val="00712F84"/>
    <w:rsid w:val="00713173"/>
    <w:rsid w:val="007162C7"/>
    <w:rsid w:val="0071746E"/>
    <w:rsid w:val="0072169C"/>
    <w:rsid w:val="00721BCE"/>
    <w:rsid w:val="007222F1"/>
    <w:rsid w:val="00722631"/>
    <w:rsid w:val="00722848"/>
    <w:rsid w:val="00722986"/>
    <w:rsid w:val="007231B4"/>
    <w:rsid w:val="0072328B"/>
    <w:rsid w:val="00723DB4"/>
    <w:rsid w:val="00724618"/>
    <w:rsid w:val="0072638C"/>
    <w:rsid w:val="00727D3D"/>
    <w:rsid w:val="00730852"/>
    <w:rsid w:val="00730ADA"/>
    <w:rsid w:val="00730CDE"/>
    <w:rsid w:val="00731E8B"/>
    <w:rsid w:val="00732695"/>
    <w:rsid w:val="00732BB5"/>
    <w:rsid w:val="0073384B"/>
    <w:rsid w:val="00733988"/>
    <w:rsid w:val="00733C0D"/>
    <w:rsid w:val="00734F0A"/>
    <w:rsid w:val="0073695C"/>
    <w:rsid w:val="0074188D"/>
    <w:rsid w:val="0074290D"/>
    <w:rsid w:val="007431FF"/>
    <w:rsid w:val="007434AA"/>
    <w:rsid w:val="00743C29"/>
    <w:rsid w:val="00743FD7"/>
    <w:rsid w:val="00743FF9"/>
    <w:rsid w:val="007456F1"/>
    <w:rsid w:val="00746272"/>
    <w:rsid w:val="00746291"/>
    <w:rsid w:val="007463B8"/>
    <w:rsid w:val="00746C95"/>
    <w:rsid w:val="00746DCC"/>
    <w:rsid w:val="00746DDD"/>
    <w:rsid w:val="00751128"/>
    <w:rsid w:val="00752049"/>
    <w:rsid w:val="0075257B"/>
    <w:rsid w:val="007529B4"/>
    <w:rsid w:val="00752E4C"/>
    <w:rsid w:val="00753F80"/>
    <w:rsid w:val="00754819"/>
    <w:rsid w:val="00754C98"/>
    <w:rsid w:val="00757438"/>
    <w:rsid w:val="00757B92"/>
    <w:rsid w:val="007602FD"/>
    <w:rsid w:val="00760E12"/>
    <w:rsid w:val="00761320"/>
    <w:rsid w:val="00763179"/>
    <w:rsid w:val="00765582"/>
    <w:rsid w:val="00765BAA"/>
    <w:rsid w:val="00765BE3"/>
    <w:rsid w:val="007663A5"/>
    <w:rsid w:val="00766E58"/>
    <w:rsid w:val="00767248"/>
    <w:rsid w:val="00770AE9"/>
    <w:rsid w:val="0077111D"/>
    <w:rsid w:val="007719E5"/>
    <w:rsid w:val="00772192"/>
    <w:rsid w:val="007727B5"/>
    <w:rsid w:val="00773CD6"/>
    <w:rsid w:val="0077498F"/>
    <w:rsid w:val="00775007"/>
    <w:rsid w:val="00775E7D"/>
    <w:rsid w:val="00775FAC"/>
    <w:rsid w:val="007765E4"/>
    <w:rsid w:val="007812AE"/>
    <w:rsid w:val="0078189E"/>
    <w:rsid w:val="00783980"/>
    <w:rsid w:val="007845A9"/>
    <w:rsid w:val="0078583A"/>
    <w:rsid w:val="0078751C"/>
    <w:rsid w:val="007900ED"/>
    <w:rsid w:val="0079046B"/>
    <w:rsid w:val="00790A24"/>
    <w:rsid w:val="007916BF"/>
    <w:rsid w:val="00792D85"/>
    <w:rsid w:val="0079313B"/>
    <w:rsid w:val="007932D4"/>
    <w:rsid w:val="00793FEC"/>
    <w:rsid w:val="007940D7"/>
    <w:rsid w:val="00794687"/>
    <w:rsid w:val="00794BB4"/>
    <w:rsid w:val="007953F6"/>
    <w:rsid w:val="007957A5"/>
    <w:rsid w:val="00795CA9"/>
    <w:rsid w:val="00796000"/>
    <w:rsid w:val="00796467"/>
    <w:rsid w:val="0079756D"/>
    <w:rsid w:val="007A0797"/>
    <w:rsid w:val="007A12BB"/>
    <w:rsid w:val="007A2539"/>
    <w:rsid w:val="007A3A83"/>
    <w:rsid w:val="007A59A1"/>
    <w:rsid w:val="007A59E6"/>
    <w:rsid w:val="007A6224"/>
    <w:rsid w:val="007A696F"/>
    <w:rsid w:val="007A6BA0"/>
    <w:rsid w:val="007A7202"/>
    <w:rsid w:val="007A7D5A"/>
    <w:rsid w:val="007B02BA"/>
    <w:rsid w:val="007B090A"/>
    <w:rsid w:val="007B1E61"/>
    <w:rsid w:val="007B315F"/>
    <w:rsid w:val="007B3AAC"/>
    <w:rsid w:val="007B438F"/>
    <w:rsid w:val="007B523B"/>
    <w:rsid w:val="007B61D6"/>
    <w:rsid w:val="007B7B8B"/>
    <w:rsid w:val="007C0D66"/>
    <w:rsid w:val="007C3361"/>
    <w:rsid w:val="007C4191"/>
    <w:rsid w:val="007C58CF"/>
    <w:rsid w:val="007C6F2D"/>
    <w:rsid w:val="007C7C15"/>
    <w:rsid w:val="007D03A3"/>
    <w:rsid w:val="007D0B59"/>
    <w:rsid w:val="007D139A"/>
    <w:rsid w:val="007D25EE"/>
    <w:rsid w:val="007D2BB6"/>
    <w:rsid w:val="007D4447"/>
    <w:rsid w:val="007D5E09"/>
    <w:rsid w:val="007D5E5B"/>
    <w:rsid w:val="007D6F89"/>
    <w:rsid w:val="007D7031"/>
    <w:rsid w:val="007D7C0B"/>
    <w:rsid w:val="007D7D86"/>
    <w:rsid w:val="007E0401"/>
    <w:rsid w:val="007E21A5"/>
    <w:rsid w:val="007E2FE0"/>
    <w:rsid w:val="007E3291"/>
    <w:rsid w:val="007E3902"/>
    <w:rsid w:val="007E3E29"/>
    <w:rsid w:val="007E4220"/>
    <w:rsid w:val="007E42AC"/>
    <w:rsid w:val="007E4556"/>
    <w:rsid w:val="007E46B3"/>
    <w:rsid w:val="007E4F05"/>
    <w:rsid w:val="007E5047"/>
    <w:rsid w:val="007E51D8"/>
    <w:rsid w:val="007E6036"/>
    <w:rsid w:val="007E7846"/>
    <w:rsid w:val="007F016F"/>
    <w:rsid w:val="007F13C4"/>
    <w:rsid w:val="007F194E"/>
    <w:rsid w:val="007F325A"/>
    <w:rsid w:val="007F384C"/>
    <w:rsid w:val="007F493B"/>
    <w:rsid w:val="007F54DE"/>
    <w:rsid w:val="007F5FE3"/>
    <w:rsid w:val="007F6148"/>
    <w:rsid w:val="007F67BE"/>
    <w:rsid w:val="007F75D3"/>
    <w:rsid w:val="007F7C48"/>
    <w:rsid w:val="008006BA"/>
    <w:rsid w:val="00800BC8"/>
    <w:rsid w:val="00800C38"/>
    <w:rsid w:val="00802621"/>
    <w:rsid w:val="008048B8"/>
    <w:rsid w:val="008057E6"/>
    <w:rsid w:val="00810CE1"/>
    <w:rsid w:val="00810F3D"/>
    <w:rsid w:val="00811315"/>
    <w:rsid w:val="00812CBE"/>
    <w:rsid w:val="00812F9E"/>
    <w:rsid w:val="0081501C"/>
    <w:rsid w:val="008174F6"/>
    <w:rsid w:val="008178BF"/>
    <w:rsid w:val="00817A6A"/>
    <w:rsid w:val="00820928"/>
    <w:rsid w:val="00820F49"/>
    <w:rsid w:val="00821E2F"/>
    <w:rsid w:val="008233B0"/>
    <w:rsid w:val="00823429"/>
    <w:rsid w:val="0082355B"/>
    <w:rsid w:val="00823CA6"/>
    <w:rsid w:val="00823F43"/>
    <w:rsid w:val="008240FF"/>
    <w:rsid w:val="008245EB"/>
    <w:rsid w:val="00824D10"/>
    <w:rsid w:val="00825CB1"/>
    <w:rsid w:val="00827535"/>
    <w:rsid w:val="00827AE7"/>
    <w:rsid w:val="00831666"/>
    <w:rsid w:val="00831CA7"/>
    <w:rsid w:val="00832CAA"/>
    <w:rsid w:val="00833011"/>
    <w:rsid w:val="008338C6"/>
    <w:rsid w:val="00835150"/>
    <w:rsid w:val="00835C1C"/>
    <w:rsid w:val="00836BF4"/>
    <w:rsid w:val="00840F4D"/>
    <w:rsid w:val="00847016"/>
    <w:rsid w:val="00847122"/>
    <w:rsid w:val="00847DA1"/>
    <w:rsid w:val="00850697"/>
    <w:rsid w:val="00850C5D"/>
    <w:rsid w:val="008515B0"/>
    <w:rsid w:val="00852183"/>
    <w:rsid w:val="00854CD7"/>
    <w:rsid w:val="00855182"/>
    <w:rsid w:val="008551DB"/>
    <w:rsid w:val="00855D30"/>
    <w:rsid w:val="00856D71"/>
    <w:rsid w:val="0085728B"/>
    <w:rsid w:val="00861B19"/>
    <w:rsid w:val="008620BF"/>
    <w:rsid w:val="0086224D"/>
    <w:rsid w:val="0086226E"/>
    <w:rsid w:val="00863EDD"/>
    <w:rsid w:val="008641F3"/>
    <w:rsid w:val="00864ADF"/>
    <w:rsid w:val="008659AD"/>
    <w:rsid w:val="00865F98"/>
    <w:rsid w:val="0086611B"/>
    <w:rsid w:val="0087267D"/>
    <w:rsid w:val="008729B5"/>
    <w:rsid w:val="00872BEB"/>
    <w:rsid w:val="00872C4F"/>
    <w:rsid w:val="00872D82"/>
    <w:rsid w:val="00873236"/>
    <w:rsid w:val="00873379"/>
    <w:rsid w:val="008735F6"/>
    <w:rsid w:val="0087446C"/>
    <w:rsid w:val="00876BAA"/>
    <w:rsid w:val="008778CA"/>
    <w:rsid w:val="008801E9"/>
    <w:rsid w:val="00880C02"/>
    <w:rsid w:val="00881796"/>
    <w:rsid w:val="00881C1C"/>
    <w:rsid w:val="0088203C"/>
    <w:rsid w:val="0088317C"/>
    <w:rsid w:val="0088501F"/>
    <w:rsid w:val="008853FA"/>
    <w:rsid w:val="00885A1F"/>
    <w:rsid w:val="00886EEE"/>
    <w:rsid w:val="008873F8"/>
    <w:rsid w:val="008875CF"/>
    <w:rsid w:val="00890F2D"/>
    <w:rsid w:val="00891713"/>
    <w:rsid w:val="00891C36"/>
    <w:rsid w:val="00891D62"/>
    <w:rsid w:val="00892097"/>
    <w:rsid w:val="0089219A"/>
    <w:rsid w:val="008921D2"/>
    <w:rsid w:val="00892D84"/>
    <w:rsid w:val="0089330F"/>
    <w:rsid w:val="0089465B"/>
    <w:rsid w:val="00894691"/>
    <w:rsid w:val="00895006"/>
    <w:rsid w:val="00895030"/>
    <w:rsid w:val="0089564A"/>
    <w:rsid w:val="0089612B"/>
    <w:rsid w:val="00897138"/>
    <w:rsid w:val="008975AB"/>
    <w:rsid w:val="008976ED"/>
    <w:rsid w:val="008A1161"/>
    <w:rsid w:val="008A1F4D"/>
    <w:rsid w:val="008A25C6"/>
    <w:rsid w:val="008A3579"/>
    <w:rsid w:val="008A3D49"/>
    <w:rsid w:val="008A5CDC"/>
    <w:rsid w:val="008A742F"/>
    <w:rsid w:val="008A7B1D"/>
    <w:rsid w:val="008B1E13"/>
    <w:rsid w:val="008B24D7"/>
    <w:rsid w:val="008B2F17"/>
    <w:rsid w:val="008B2FF0"/>
    <w:rsid w:val="008B32AC"/>
    <w:rsid w:val="008B3D3F"/>
    <w:rsid w:val="008B4FA8"/>
    <w:rsid w:val="008B5E6C"/>
    <w:rsid w:val="008B5EA3"/>
    <w:rsid w:val="008B73A0"/>
    <w:rsid w:val="008B74FE"/>
    <w:rsid w:val="008C132A"/>
    <w:rsid w:val="008C26F0"/>
    <w:rsid w:val="008C2ED1"/>
    <w:rsid w:val="008C3E24"/>
    <w:rsid w:val="008C4436"/>
    <w:rsid w:val="008C533B"/>
    <w:rsid w:val="008C5A2B"/>
    <w:rsid w:val="008C5FF0"/>
    <w:rsid w:val="008C6145"/>
    <w:rsid w:val="008C7439"/>
    <w:rsid w:val="008C7513"/>
    <w:rsid w:val="008D0685"/>
    <w:rsid w:val="008D0E4A"/>
    <w:rsid w:val="008D1F5D"/>
    <w:rsid w:val="008D2E53"/>
    <w:rsid w:val="008D3084"/>
    <w:rsid w:val="008D311B"/>
    <w:rsid w:val="008D40AA"/>
    <w:rsid w:val="008D4E56"/>
    <w:rsid w:val="008D5981"/>
    <w:rsid w:val="008D5B59"/>
    <w:rsid w:val="008D6586"/>
    <w:rsid w:val="008D6D08"/>
    <w:rsid w:val="008D7DD0"/>
    <w:rsid w:val="008E03F0"/>
    <w:rsid w:val="008E0F9F"/>
    <w:rsid w:val="008E12A7"/>
    <w:rsid w:val="008E1743"/>
    <w:rsid w:val="008E4D04"/>
    <w:rsid w:val="008E55AB"/>
    <w:rsid w:val="008E56D1"/>
    <w:rsid w:val="008E68F8"/>
    <w:rsid w:val="008E772E"/>
    <w:rsid w:val="008F00DE"/>
    <w:rsid w:val="008F03FE"/>
    <w:rsid w:val="008F0F35"/>
    <w:rsid w:val="008F28CD"/>
    <w:rsid w:val="008F3372"/>
    <w:rsid w:val="008F37F6"/>
    <w:rsid w:val="008F3878"/>
    <w:rsid w:val="008F4093"/>
    <w:rsid w:val="008F55F3"/>
    <w:rsid w:val="008F5AC4"/>
    <w:rsid w:val="008F5ED6"/>
    <w:rsid w:val="008F6601"/>
    <w:rsid w:val="0090240E"/>
    <w:rsid w:val="009025A6"/>
    <w:rsid w:val="009029EB"/>
    <w:rsid w:val="00902FF9"/>
    <w:rsid w:val="009034BC"/>
    <w:rsid w:val="00903E9B"/>
    <w:rsid w:val="00903F62"/>
    <w:rsid w:val="009046E8"/>
    <w:rsid w:val="009054D0"/>
    <w:rsid w:val="00905FE0"/>
    <w:rsid w:val="009062AC"/>
    <w:rsid w:val="00907494"/>
    <w:rsid w:val="009079C0"/>
    <w:rsid w:val="0091165E"/>
    <w:rsid w:val="00911A76"/>
    <w:rsid w:val="009121FC"/>
    <w:rsid w:val="00914381"/>
    <w:rsid w:val="00915389"/>
    <w:rsid w:val="00915602"/>
    <w:rsid w:val="00915EE5"/>
    <w:rsid w:val="00916DE5"/>
    <w:rsid w:val="0091711B"/>
    <w:rsid w:val="00917C09"/>
    <w:rsid w:val="00917C8D"/>
    <w:rsid w:val="00917F97"/>
    <w:rsid w:val="009209B2"/>
    <w:rsid w:val="00921365"/>
    <w:rsid w:val="00921414"/>
    <w:rsid w:val="0092152D"/>
    <w:rsid w:val="00921942"/>
    <w:rsid w:val="00921987"/>
    <w:rsid w:val="00921D2E"/>
    <w:rsid w:val="00922621"/>
    <w:rsid w:val="009226AE"/>
    <w:rsid w:val="00922D9A"/>
    <w:rsid w:val="009248C7"/>
    <w:rsid w:val="0092504F"/>
    <w:rsid w:val="0092737D"/>
    <w:rsid w:val="00927923"/>
    <w:rsid w:val="009301C2"/>
    <w:rsid w:val="0093149D"/>
    <w:rsid w:val="0093260C"/>
    <w:rsid w:val="0093309C"/>
    <w:rsid w:val="00933B67"/>
    <w:rsid w:val="00933C6E"/>
    <w:rsid w:val="00934133"/>
    <w:rsid w:val="00935433"/>
    <w:rsid w:val="009366BF"/>
    <w:rsid w:val="00936E71"/>
    <w:rsid w:val="00940A3B"/>
    <w:rsid w:val="00940BB6"/>
    <w:rsid w:val="00941F45"/>
    <w:rsid w:val="00943D24"/>
    <w:rsid w:val="00943E1A"/>
    <w:rsid w:val="009449A1"/>
    <w:rsid w:val="00944C03"/>
    <w:rsid w:val="00945149"/>
    <w:rsid w:val="00947AD1"/>
    <w:rsid w:val="0095006E"/>
    <w:rsid w:val="009506E5"/>
    <w:rsid w:val="00950CD2"/>
    <w:rsid w:val="00951047"/>
    <w:rsid w:val="00951561"/>
    <w:rsid w:val="00952DA8"/>
    <w:rsid w:val="009539D5"/>
    <w:rsid w:val="009547E5"/>
    <w:rsid w:val="009604F3"/>
    <w:rsid w:val="009608A0"/>
    <w:rsid w:val="00960F04"/>
    <w:rsid w:val="00961C81"/>
    <w:rsid w:val="009622CD"/>
    <w:rsid w:val="009635EF"/>
    <w:rsid w:val="009636C1"/>
    <w:rsid w:val="0096514A"/>
    <w:rsid w:val="00965938"/>
    <w:rsid w:val="00970285"/>
    <w:rsid w:val="00970A12"/>
    <w:rsid w:val="00970E8A"/>
    <w:rsid w:val="00972003"/>
    <w:rsid w:val="0097369D"/>
    <w:rsid w:val="009737A7"/>
    <w:rsid w:val="00973C7C"/>
    <w:rsid w:val="00973F88"/>
    <w:rsid w:val="009741F9"/>
    <w:rsid w:val="00975C80"/>
    <w:rsid w:val="00975CD1"/>
    <w:rsid w:val="0097606A"/>
    <w:rsid w:val="009769D8"/>
    <w:rsid w:val="009828CA"/>
    <w:rsid w:val="00984271"/>
    <w:rsid w:val="00984AA6"/>
    <w:rsid w:val="009861EC"/>
    <w:rsid w:val="0099012D"/>
    <w:rsid w:val="009915C9"/>
    <w:rsid w:val="00992603"/>
    <w:rsid w:val="00993A7E"/>
    <w:rsid w:val="0099403E"/>
    <w:rsid w:val="0099470C"/>
    <w:rsid w:val="009A087F"/>
    <w:rsid w:val="009A19CD"/>
    <w:rsid w:val="009A2E82"/>
    <w:rsid w:val="009A3B4E"/>
    <w:rsid w:val="009A3B62"/>
    <w:rsid w:val="009A5C17"/>
    <w:rsid w:val="009A7C8C"/>
    <w:rsid w:val="009B0DDD"/>
    <w:rsid w:val="009B2161"/>
    <w:rsid w:val="009B2BF5"/>
    <w:rsid w:val="009B3448"/>
    <w:rsid w:val="009B36F1"/>
    <w:rsid w:val="009B4161"/>
    <w:rsid w:val="009B5C1C"/>
    <w:rsid w:val="009B7874"/>
    <w:rsid w:val="009C187E"/>
    <w:rsid w:val="009C1E09"/>
    <w:rsid w:val="009C25FD"/>
    <w:rsid w:val="009C3B91"/>
    <w:rsid w:val="009D1323"/>
    <w:rsid w:val="009D1BF0"/>
    <w:rsid w:val="009D2673"/>
    <w:rsid w:val="009D4659"/>
    <w:rsid w:val="009D4BF9"/>
    <w:rsid w:val="009D6B76"/>
    <w:rsid w:val="009D6D28"/>
    <w:rsid w:val="009E01B6"/>
    <w:rsid w:val="009E16E5"/>
    <w:rsid w:val="009E29F9"/>
    <w:rsid w:val="009E3D91"/>
    <w:rsid w:val="009E40EA"/>
    <w:rsid w:val="009E410B"/>
    <w:rsid w:val="009E42B5"/>
    <w:rsid w:val="009E43A0"/>
    <w:rsid w:val="009E5AB7"/>
    <w:rsid w:val="009E5DBE"/>
    <w:rsid w:val="009E628F"/>
    <w:rsid w:val="009E70BE"/>
    <w:rsid w:val="009E7C12"/>
    <w:rsid w:val="009F02A0"/>
    <w:rsid w:val="009F1B17"/>
    <w:rsid w:val="009F2590"/>
    <w:rsid w:val="009F28A8"/>
    <w:rsid w:val="009F2AF2"/>
    <w:rsid w:val="009F3DAD"/>
    <w:rsid w:val="009F49A8"/>
    <w:rsid w:val="009F4D09"/>
    <w:rsid w:val="009F4F88"/>
    <w:rsid w:val="009F5FB3"/>
    <w:rsid w:val="009F76B9"/>
    <w:rsid w:val="009F78F1"/>
    <w:rsid w:val="009F7D32"/>
    <w:rsid w:val="009F7D87"/>
    <w:rsid w:val="00A001C7"/>
    <w:rsid w:val="00A00D02"/>
    <w:rsid w:val="00A01025"/>
    <w:rsid w:val="00A016EA"/>
    <w:rsid w:val="00A01741"/>
    <w:rsid w:val="00A0226E"/>
    <w:rsid w:val="00A02516"/>
    <w:rsid w:val="00A03095"/>
    <w:rsid w:val="00A03212"/>
    <w:rsid w:val="00A034E8"/>
    <w:rsid w:val="00A03598"/>
    <w:rsid w:val="00A03C28"/>
    <w:rsid w:val="00A03C6E"/>
    <w:rsid w:val="00A03F0B"/>
    <w:rsid w:val="00A05049"/>
    <w:rsid w:val="00A05086"/>
    <w:rsid w:val="00A054EF"/>
    <w:rsid w:val="00A0712A"/>
    <w:rsid w:val="00A07F53"/>
    <w:rsid w:val="00A07FC3"/>
    <w:rsid w:val="00A07FE5"/>
    <w:rsid w:val="00A105C2"/>
    <w:rsid w:val="00A11389"/>
    <w:rsid w:val="00A11819"/>
    <w:rsid w:val="00A13119"/>
    <w:rsid w:val="00A15233"/>
    <w:rsid w:val="00A15A6F"/>
    <w:rsid w:val="00A21920"/>
    <w:rsid w:val="00A22747"/>
    <w:rsid w:val="00A22938"/>
    <w:rsid w:val="00A22D39"/>
    <w:rsid w:val="00A23C95"/>
    <w:rsid w:val="00A2407B"/>
    <w:rsid w:val="00A24DE6"/>
    <w:rsid w:val="00A25395"/>
    <w:rsid w:val="00A26825"/>
    <w:rsid w:val="00A2729F"/>
    <w:rsid w:val="00A30089"/>
    <w:rsid w:val="00A30D5D"/>
    <w:rsid w:val="00A31C7C"/>
    <w:rsid w:val="00A31F56"/>
    <w:rsid w:val="00A32191"/>
    <w:rsid w:val="00A32C6A"/>
    <w:rsid w:val="00A335BA"/>
    <w:rsid w:val="00A36543"/>
    <w:rsid w:val="00A36CC5"/>
    <w:rsid w:val="00A37257"/>
    <w:rsid w:val="00A3749F"/>
    <w:rsid w:val="00A374F9"/>
    <w:rsid w:val="00A37D6E"/>
    <w:rsid w:val="00A40C65"/>
    <w:rsid w:val="00A41AE0"/>
    <w:rsid w:val="00A426CF"/>
    <w:rsid w:val="00A4366D"/>
    <w:rsid w:val="00A43C30"/>
    <w:rsid w:val="00A43EB1"/>
    <w:rsid w:val="00A43EC9"/>
    <w:rsid w:val="00A45C3D"/>
    <w:rsid w:val="00A46192"/>
    <w:rsid w:val="00A4745E"/>
    <w:rsid w:val="00A503BF"/>
    <w:rsid w:val="00A527F7"/>
    <w:rsid w:val="00A52AFD"/>
    <w:rsid w:val="00A52C1F"/>
    <w:rsid w:val="00A52DAE"/>
    <w:rsid w:val="00A541C4"/>
    <w:rsid w:val="00A543EE"/>
    <w:rsid w:val="00A54C6C"/>
    <w:rsid w:val="00A551E0"/>
    <w:rsid w:val="00A55880"/>
    <w:rsid w:val="00A56D66"/>
    <w:rsid w:val="00A56FB0"/>
    <w:rsid w:val="00A57414"/>
    <w:rsid w:val="00A5742D"/>
    <w:rsid w:val="00A61083"/>
    <w:rsid w:val="00A61D3F"/>
    <w:rsid w:val="00A61D92"/>
    <w:rsid w:val="00A62F61"/>
    <w:rsid w:val="00A62FE5"/>
    <w:rsid w:val="00A63AD7"/>
    <w:rsid w:val="00A646CC"/>
    <w:rsid w:val="00A65155"/>
    <w:rsid w:val="00A66A90"/>
    <w:rsid w:val="00A6738F"/>
    <w:rsid w:val="00A679AF"/>
    <w:rsid w:val="00A67CB6"/>
    <w:rsid w:val="00A67E97"/>
    <w:rsid w:val="00A7049C"/>
    <w:rsid w:val="00A70ECE"/>
    <w:rsid w:val="00A71905"/>
    <w:rsid w:val="00A71A91"/>
    <w:rsid w:val="00A72DD0"/>
    <w:rsid w:val="00A75A9C"/>
    <w:rsid w:val="00A80144"/>
    <w:rsid w:val="00A815A2"/>
    <w:rsid w:val="00A81D61"/>
    <w:rsid w:val="00A84487"/>
    <w:rsid w:val="00A845DF"/>
    <w:rsid w:val="00A84879"/>
    <w:rsid w:val="00A84D04"/>
    <w:rsid w:val="00A85365"/>
    <w:rsid w:val="00A85A65"/>
    <w:rsid w:val="00A85A6A"/>
    <w:rsid w:val="00A87C5A"/>
    <w:rsid w:val="00A90041"/>
    <w:rsid w:val="00A90D4B"/>
    <w:rsid w:val="00A9133A"/>
    <w:rsid w:val="00A9317B"/>
    <w:rsid w:val="00A955B9"/>
    <w:rsid w:val="00A95F92"/>
    <w:rsid w:val="00A95F9C"/>
    <w:rsid w:val="00AA14E2"/>
    <w:rsid w:val="00AA275E"/>
    <w:rsid w:val="00AA3317"/>
    <w:rsid w:val="00AA415D"/>
    <w:rsid w:val="00AA5622"/>
    <w:rsid w:val="00AA5C20"/>
    <w:rsid w:val="00AA71B0"/>
    <w:rsid w:val="00AA71D2"/>
    <w:rsid w:val="00AA7485"/>
    <w:rsid w:val="00AA785F"/>
    <w:rsid w:val="00AA7D1D"/>
    <w:rsid w:val="00AA7DA7"/>
    <w:rsid w:val="00AB1ED4"/>
    <w:rsid w:val="00AB28E0"/>
    <w:rsid w:val="00AB2EB1"/>
    <w:rsid w:val="00AB3F23"/>
    <w:rsid w:val="00AB46B7"/>
    <w:rsid w:val="00AB483B"/>
    <w:rsid w:val="00AB4844"/>
    <w:rsid w:val="00AB4C03"/>
    <w:rsid w:val="00AB4D42"/>
    <w:rsid w:val="00AB6930"/>
    <w:rsid w:val="00AB7B68"/>
    <w:rsid w:val="00AB7DDF"/>
    <w:rsid w:val="00AC0A27"/>
    <w:rsid w:val="00AC0EE4"/>
    <w:rsid w:val="00AC176C"/>
    <w:rsid w:val="00AC2E4A"/>
    <w:rsid w:val="00AC4F7B"/>
    <w:rsid w:val="00AC7767"/>
    <w:rsid w:val="00AC7A20"/>
    <w:rsid w:val="00AD0027"/>
    <w:rsid w:val="00AD0224"/>
    <w:rsid w:val="00AD04B4"/>
    <w:rsid w:val="00AD1449"/>
    <w:rsid w:val="00AD1586"/>
    <w:rsid w:val="00AD21B8"/>
    <w:rsid w:val="00AD358C"/>
    <w:rsid w:val="00AD4F20"/>
    <w:rsid w:val="00AD5441"/>
    <w:rsid w:val="00AD549C"/>
    <w:rsid w:val="00AD5EB2"/>
    <w:rsid w:val="00AD6E41"/>
    <w:rsid w:val="00AE1FDC"/>
    <w:rsid w:val="00AE2529"/>
    <w:rsid w:val="00AE3349"/>
    <w:rsid w:val="00AE4314"/>
    <w:rsid w:val="00AE448C"/>
    <w:rsid w:val="00AE46E9"/>
    <w:rsid w:val="00AE4EC4"/>
    <w:rsid w:val="00AE57E8"/>
    <w:rsid w:val="00AE5848"/>
    <w:rsid w:val="00AF0526"/>
    <w:rsid w:val="00AF1470"/>
    <w:rsid w:val="00AF1D6E"/>
    <w:rsid w:val="00AF2C77"/>
    <w:rsid w:val="00AF2F00"/>
    <w:rsid w:val="00AF52F7"/>
    <w:rsid w:val="00AF5669"/>
    <w:rsid w:val="00B0306F"/>
    <w:rsid w:val="00B04A6F"/>
    <w:rsid w:val="00B04B73"/>
    <w:rsid w:val="00B0602D"/>
    <w:rsid w:val="00B124FA"/>
    <w:rsid w:val="00B12D1D"/>
    <w:rsid w:val="00B1312A"/>
    <w:rsid w:val="00B141B3"/>
    <w:rsid w:val="00B1429B"/>
    <w:rsid w:val="00B1470F"/>
    <w:rsid w:val="00B15477"/>
    <w:rsid w:val="00B16326"/>
    <w:rsid w:val="00B16F86"/>
    <w:rsid w:val="00B20459"/>
    <w:rsid w:val="00B20516"/>
    <w:rsid w:val="00B206C7"/>
    <w:rsid w:val="00B211CB"/>
    <w:rsid w:val="00B2365E"/>
    <w:rsid w:val="00B2558F"/>
    <w:rsid w:val="00B2750F"/>
    <w:rsid w:val="00B27CBF"/>
    <w:rsid w:val="00B31763"/>
    <w:rsid w:val="00B3291A"/>
    <w:rsid w:val="00B343CA"/>
    <w:rsid w:val="00B3484B"/>
    <w:rsid w:val="00B349EA"/>
    <w:rsid w:val="00B34EDA"/>
    <w:rsid w:val="00B355D7"/>
    <w:rsid w:val="00B3694A"/>
    <w:rsid w:val="00B36D3B"/>
    <w:rsid w:val="00B37952"/>
    <w:rsid w:val="00B4130C"/>
    <w:rsid w:val="00B41B82"/>
    <w:rsid w:val="00B42423"/>
    <w:rsid w:val="00B42905"/>
    <w:rsid w:val="00B42D88"/>
    <w:rsid w:val="00B43161"/>
    <w:rsid w:val="00B43688"/>
    <w:rsid w:val="00B438A3"/>
    <w:rsid w:val="00B43E9A"/>
    <w:rsid w:val="00B4457E"/>
    <w:rsid w:val="00B44F7B"/>
    <w:rsid w:val="00B450B8"/>
    <w:rsid w:val="00B468AA"/>
    <w:rsid w:val="00B47013"/>
    <w:rsid w:val="00B509D5"/>
    <w:rsid w:val="00B50CF8"/>
    <w:rsid w:val="00B51CF2"/>
    <w:rsid w:val="00B52A1A"/>
    <w:rsid w:val="00B52D21"/>
    <w:rsid w:val="00B54C7C"/>
    <w:rsid w:val="00B54F6E"/>
    <w:rsid w:val="00B56A8E"/>
    <w:rsid w:val="00B5752F"/>
    <w:rsid w:val="00B57D9D"/>
    <w:rsid w:val="00B6022F"/>
    <w:rsid w:val="00B62757"/>
    <w:rsid w:val="00B63A30"/>
    <w:rsid w:val="00B64693"/>
    <w:rsid w:val="00B64C83"/>
    <w:rsid w:val="00B65711"/>
    <w:rsid w:val="00B66BEE"/>
    <w:rsid w:val="00B66E64"/>
    <w:rsid w:val="00B67312"/>
    <w:rsid w:val="00B67813"/>
    <w:rsid w:val="00B70D54"/>
    <w:rsid w:val="00B7207F"/>
    <w:rsid w:val="00B7208B"/>
    <w:rsid w:val="00B72811"/>
    <w:rsid w:val="00B72E9A"/>
    <w:rsid w:val="00B73911"/>
    <w:rsid w:val="00B755FB"/>
    <w:rsid w:val="00B757C1"/>
    <w:rsid w:val="00B75E63"/>
    <w:rsid w:val="00B76076"/>
    <w:rsid w:val="00B762FC"/>
    <w:rsid w:val="00B766F7"/>
    <w:rsid w:val="00B76E6A"/>
    <w:rsid w:val="00B7778C"/>
    <w:rsid w:val="00B777C0"/>
    <w:rsid w:val="00B77FA5"/>
    <w:rsid w:val="00B80788"/>
    <w:rsid w:val="00B80B54"/>
    <w:rsid w:val="00B80E78"/>
    <w:rsid w:val="00B81C53"/>
    <w:rsid w:val="00B83D48"/>
    <w:rsid w:val="00B84061"/>
    <w:rsid w:val="00B84180"/>
    <w:rsid w:val="00B84334"/>
    <w:rsid w:val="00B84F2E"/>
    <w:rsid w:val="00B857CA"/>
    <w:rsid w:val="00B8585A"/>
    <w:rsid w:val="00B85A23"/>
    <w:rsid w:val="00B85B86"/>
    <w:rsid w:val="00B85EB7"/>
    <w:rsid w:val="00B86925"/>
    <w:rsid w:val="00B90097"/>
    <w:rsid w:val="00B901C6"/>
    <w:rsid w:val="00B90BF7"/>
    <w:rsid w:val="00B9127E"/>
    <w:rsid w:val="00B924F0"/>
    <w:rsid w:val="00B940DA"/>
    <w:rsid w:val="00B94E5A"/>
    <w:rsid w:val="00B95295"/>
    <w:rsid w:val="00B957E8"/>
    <w:rsid w:val="00B96F46"/>
    <w:rsid w:val="00B9781E"/>
    <w:rsid w:val="00BA05AA"/>
    <w:rsid w:val="00BA0F57"/>
    <w:rsid w:val="00BA1177"/>
    <w:rsid w:val="00BA1EF1"/>
    <w:rsid w:val="00BA31B0"/>
    <w:rsid w:val="00BA3912"/>
    <w:rsid w:val="00BA395B"/>
    <w:rsid w:val="00BA4144"/>
    <w:rsid w:val="00BA478A"/>
    <w:rsid w:val="00BA4DD2"/>
    <w:rsid w:val="00BA683A"/>
    <w:rsid w:val="00BA7ADC"/>
    <w:rsid w:val="00BB087B"/>
    <w:rsid w:val="00BB1609"/>
    <w:rsid w:val="00BB1939"/>
    <w:rsid w:val="00BB24E1"/>
    <w:rsid w:val="00BB2DA1"/>
    <w:rsid w:val="00BB394D"/>
    <w:rsid w:val="00BB4A12"/>
    <w:rsid w:val="00BB4D08"/>
    <w:rsid w:val="00BB5E08"/>
    <w:rsid w:val="00BB6BC0"/>
    <w:rsid w:val="00BB6C1C"/>
    <w:rsid w:val="00BB77BF"/>
    <w:rsid w:val="00BC05D4"/>
    <w:rsid w:val="00BC1EBA"/>
    <w:rsid w:val="00BC32B7"/>
    <w:rsid w:val="00BC334F"/>
    <w:rsid w:val="00BC412E"/>
    <w:rsid w:val="00BC51FD"/>
    <w:rsid w:val="00BC6216"/>
    <w:rsid w:val="00BC6D02"/>
    <w:rsid w:val="00BD0207"/>
    <w:rsid w:val="00BD0210"/>
    <w:rsid w:val="00BD03B5"/>
    <w:rsid w:val="00BD0443"/>
    <w:rsid w:val="00BD0B4A"/>
    <w:rsid w:val="00BD0D0E"/>
    <w:rsid w:val="00BD1765"/>
    <w:rsid w:val="00BD20D7"/>
    <w:rsid w:val="00BD21C4"/>
    <w:rsid w:val="00BD4040"/>
    <w:rsid w:val="00BD5356"/>
    <w:rsid w:val="00BD55F6"/>
    <w:rsid w:val="00BD7358"/>
    <w:rsid w:val="00BD771A"/>
    <w:rsid w:val="00BD7BCE"/>
    <w:rsid w:val="00BD7D60"/>
    <w:rsid w:val="00BE00CA"/>
    <w:rsid w:val="00BE0593"/>
    <w:rsid w:val="00BE2990"/>
    <w:rsid w:val="00BE3354"/>
    <w:rsid w:val="00BE38E6"/>
    <w:rsid w:val="00BE523A"/>
    <w:rsid w:val="00BE5426"/>
    <w:rsid w:val="00BE60BB"/>
    <w:rsid w:val="00BE686C"/>
    <w:rsid w:val="00BF4619"/>
    <w:rsid w:val="00BF5257"/>
    <w:rsid w:val="00BF7420"/>
    <w:rsid w:val="00C003CB"/>
    <w:rsid w:val="00C00493"/>
    <w:rsid w:val="00C005AE"/>
    <w:rsid w:val="00C0070E"/>
    <w:rsid w:val="00C00E4C"/>
    <w:rsid w:val="00C0406F"/>
    <w:rsid w:val="00C0424E"/>
    <w:rsid w:val="00C053A9"/>
    <w:rsid w:val="00C05C09"/>
    <w:rsid w:val="00C05DA9"/>
    <w:rsid w:val="00C0682A"/>
    <w:rsid w:val="00C100C6"/>
    <w:rsid w:val="00C11123"/>
    <w:rsid w:val="00C14DFB"/>
    <w:rsid w:val="00C15C38"/>
    <w:rsid w:val="00C16EC7"/>
    <w:rsid w:val="00C21AAD"/>
    <w:rsid w:val="00C21C5B"/>
    <w:rsid w:val="00C2262E"/>
    <w:rsid w:val="00C22A68"/>
    <w:rsid w:val="00C238A8"/>
    <w:rsid w:val="00C25515"/>
    <w:rsid w:val="00C25BB1"/>
    <w:rsid w:val="00C2753C"/>
    <w:rsid w:val="00C277CD"/>
    <w:rsid w:val="00C27AC7"/>
    <w:rsid w:val="00C27DC2"/>
    <w:rsid w:val="00C27DDD"/>
    <w:rsid w:val="00C3014C"/>
    <w:rsid w:val="00C305FB"/>
    <w:rsid w:val="00C31D36"/>
    <w:rsid w:val="00C325FC"/>
    <w:rsid w:val="00C32667"/>
    <w:rsid w:val="00C3339E"/>
    <w:rsid w:val="00C347B5"/>
    <w:rsid w:val="00C36E29"/>
    <w:rsid w:val="00C36EE4"/>
    <w:rsid w:val="00C373F2"/>
    <w:rsid w:val="00C41059"/>
    <w:rsid w:val="00C4181C"/>
    <w:rsid w:val="00C43342"/>
    <w:rsid w:val="00C436F5"/>
    <w:rsid w:val="00C4445F"/>
    <w:rsid w:val="00C4492F"/>
    <w:rsid w:val="00C44A93"/>
    <w:rsid w:val="00C474D4"/>
    <w:rsid w:val="00C5007B"/>
    <w:rsid w:val="00C5035F"/>
    <w:rsid w:val="00C50571"/>
    <w:rsid w:val="00C50606"/>
    <w:rsid w:val="00C50E36"/>
    <w:rsid w:val="00C50EF9"/>
    <w:rsid w:val="00C5125A"/>
    <w:rsid w:val="00C51D12"/>
    <w:rsid w:val="00C527E6"/>
    <w:rsid w:val="00C52BDD"/>
    <w:rsid w:val="00C53AFB"/>
    <w:rsid w:val="00C53D28"/>
    <w:rsid w:val="00C55559"/>
    <w:rsid w:val="00C55C83"/>
    <w:rsid w:val="00C56578"/>
    <w:rsid w:val="00C57069"/>
    <w:rsid w:val="00C5799E"/>
    <w:rsid w:val="00C6016B"/>
    <w:rsid w:val="00C63F3A"/>
    <w:rsid w:val="00C648E0"/>
    <w:rsid w:val="00C65527"/>
    <w:rsid w:val="00C65595"/>
    <w:rsid w:val="00C700E6"/>
    <w:rsid w:val="00C70626"/>
    <w:rsid w:val="00C712E3"/>
    <w:rsid w:val="00C72106"/>
    <w:rsid w:val="00C726CD"/>
    <w:rsid w:val="00C73580"/>
    <w:rsid w:val="00C73D4E"/>
    <w:rsid w:val="00C8039D"/>
    <w:rsid w:val="00C8211B"/>
    <w:rsid w:val="00C82AB5"/>
    <w:rsid w:val="00C8388E"/>
    <w:rsid w:val="00C83900"/>
    <w:rsid w:val="00C84517"/>
    <w:rsid w:val="00C847BD"/>
    <w:rsid w:val="00C85EA1"/>
    <w:rsid w:val="00C8621D"/>
    <w:rsid w:val="00C86C56"/>
    <w:rsid w:val="00C87879"/>
    <w:rsid w:val="00C90EC8"/>
    <w:rsid w:val="00C91B81"/>
    <w:rsid w:val="00C924A1"/>
    <w:rsid w:val="00C9326C"/>
    <w:rsid w:val="00C940D7"/>
    <w:rsid w:val="00C949F7"/>
    <w:rsid w:val="00C95953"/>
    <w:rsid w:val="00C96AE7"/>
    <w:rsid w:val="00C97018"/>
    <w:rsid w:val="00CA001F"/>
    <w:rsid w:val="00CA0C15"/>
    <w:rsid w:val="00CA1216"/>
    <w:rsid w:val="00CA2628"/>
    <w:rsid w:val="00CA2ABF"/>
    <w:rsid w:val="00CA4D1C"/>
    <w:rsid w:val="00CA6F9B"/>
    <w:rsid w:val="00CB0B7C"/>
    <w:rsid w:val="00CB267B"/>
    <w:rsid w:val="00CB448F"/>
    <w:rsid w:val="00CB50EF"/>
    <w:rsid w:val="00CB7764"/>
    <w:rsid w:val="00CB7D19"/>
    <w:rsid w:val="00CB7E55"/>
    <w:rsid w:val="00CC08D8"/>
    <w:rsid w:val="00CC0C05"/>
    <w:rsid w:val="00CC1D6C"/>
    <w:rsid w:val="00CC2CAB"/>
    <w:rsid w:val="00CC38E3"/>
    <w:rsid w:val="00CC4469"/>
    <w:rsid w:val="00CC56BF"/>
    <w:rsid w:val="00CC6865"/>
    <w:rsid w:val="00CC6D0C"/>
    <w:rsid w:val="00CC77CE"/>
    <w:rsid w:val="00CD00E3"/>
    <w:rsid w:val="00CD0985"/>
    <w:rsid w:val="00CD124F"/>
    <w:rsid w:val="00CD3477"/>
    <w:rsid w:val="00CD3AEB"/>
    <w:rsid w:val="00CD3B00"/>
    <w:rsid w:val="00CD5271"/>
    <w:rsid w:val="00CD595F"/>
    <w:rsid w:val="00CD6068"/>
    <w:rsid w:val="00CD623C"/>
    <w:rsid w:val="00CD66D8"/>
    <w:rsid w:val="00CD75A7"/>
    <w:rsid w:val="00CD7EDD"/>
    <w:rsid w:val="00CE26E6"/>
    <w:rsid w:val="00CE2C82"/>
    <w:rsid w:val="00CE37D2"/>
    <w:rsid w:val="00CE51A0"/>
    <w:rsid w:val="00CE6DC8"/>
    <w:rsid w:val="00CE7236"/>
    <w:rsid w:val="00CF0D8C"/>
    <w:rsid w:val="00CF0FB2"/>
    <w:rsid w:val="00CF30D8"/>
    <w:rsid w:val="00CF357C"/>
    <w:rsid w:val="00CF4D53"/>
    <w:rsid w:val="00CF52CC"/>
    <w:rsid w:val="00CF5419"/>
    <w:rsid w:val="00CF61B7"/>
    <w:rsid w:val="00CF6976"/>
    <w:rsid w:val="00CF6B43"/>
    <w:rsid w:val="00D006FC"/>
    <w:rsid w:val="00D010F6"/>
    <w:rsid w:val="00D01FAB"/>
    <w:rsid w:val="00D02ED6"/>
    <w:rsid w:val="00D031B7"/>
    <w:rsid w:val="00D03244"/>
    <w:rsid w:val="00D045FD"/>
    <w:rsid w:val="00D04D2D"/>
    <w:rsid w:val="00D06242"/>
    <w:rsid w:val="00D06309"/>
    <w:rsid w:val="00D078C6"/>
    <w:rsid w:val="00D07C5C"/>
    <w:rsid w:val="00D111E4"/>
    <w:rsid w:val="00D12B36"/>
    <w:rsid w:val="00D1580C"/>
    <w:rsid w:val="00D15F7F"/>
    <w:rsid w:val="00D161EF"/>
    <w:rsid w:val="00D1663A"/>
    <w:rsid w:val="00D16898"/>
    <w:rsid w:val="00D16DBB"/>
    <w:rsid w:val="00D16F1D"/>
    <w:rsid w:val="00D20210"/>
    <w:rsid w:val="00D20929"/>
    <w:rsid w:val="00D22997"/>
    <w:rsid w:val="00D2303E"/>
    <w:rsid w:val="00D252E6"/>
    <w:rsid w:val="00D25E7F"/>
    <w:rsid w:val="00D266CD"/>
    <w:rsid w:val="00D26C41"/>
    <w:rsid w:val="00D30438"/>
    <w:rsid w:val="00D30BDC"/>
    <w:rsid w:val="00D30C09"/>
    <w:rsid w:val="00D30E39"/>
    <w:rsid w:val="00D31C56"/>
    <w:rsid w:val="00D35D6F"/>
    <w:rsid w:val="00D367B5"/>
    <w:rsid w:val="00D36982"/>
    <w:rsid w:val="00D36E55"/>
    <w:rsid w:val="00D37E46"/>
    <w:rsid w:val="00D43764"/>
    <w:rsid w:val="00D437D7"/>
    <w:rsid w:val="00D4431A"/>
    <w:rsid w:val="00D45705"/>
    <w:rsid w:val="00D45BAF"/>
    <w:rsid w:val="00D45F2A"/>
    <w:rsid w:val="00D46936"/>
    <w:rsid w:val="00D47319"/>
    <w:rsid w:val="00D50174"/>
    <w:rsid w:val="00D50429"/>
    <w:rsid w:val="00D5121F"/>
    <w:rsid w:val="00D519D2"/>
    <w:rsid w:val="00D51C8A"/>
    <w:rsid w:val="00D53B4E"/>
    <w:rsid w:val="00D53B84"/>
    <w:rsid w:val="00D5564A"/>
    <w:rsid w:val="00D557E6"/>
    <w:rsid w:val="00D55C29"/>
    <w:rsid w:val="00D562DD"/>
    <w:rsid w:val="00D56E01"/>
    <w:rsid w:val="00D56EFB"/>
    <w:rsid w:val="00D57E7B"/>
    <w:rsid w:val="00D620AE"/>
    <w:rsid w:val="00D63090"/>
    <w:rsid w:val="00D64787"/>
    <w:rsid w:val="00D653D2"/>
    <w:rsid w:val="00D66B6D"/>
    <w:rsid w:val="00D67873"/>
    <w:rsid w:val="00D67BA8"/>
    <w:rsid w:val="00D70AF6"/>
    <w:rsid w:val="00D71A31"/>
    <w:rsid w:val="00D71BBF"/>
    <w:rsid w:val="00D73C5C"/>
    <w:rsid w:val="00D75558"/>
    <w:rsid w:val="00D755C0"/>
    <w:rsid w:val="00D76DF9"/>
    <w:rsid w:val="00D77D5B"/>
    <w:rsid w:val="00D846F7"/>
    <w:rsid w:val="00D84868"/>
    <w:rsid w:val="00D84AAE"/>
    <w:rsid w:val="00D8534F"/>
    <w:rsid w:val="00D85F56"/>
    <w:rsid w:val="00D86837"/>
    <w:rsid w:val="00D869EB"/>
    <w:rsid w:val="00D87284"/>
    <w:rsid w:val="00D91DF4"/>
    <w:rsid w:val="00D924A8"/>
    <w:rsid w:val="00D9288D"/>
    <w:rsid w:val="00D92B35"/>
    <w:rsid w:val="00D93858"/>
    <w:rsid w:val="00D95189"/>
    <w:rsid w:val="00D96258"/>
    <w:rsid w:val="00D9649E"/>
    <w:rsid w:val="00DA046E"/>
    <w:rsid w:val="00DA04D0"/>
    <w:rsid w:val="00DA12E0"/>
    <w:rsid w:val="00DA16A6"/>
    <w:rsid w:val="00DA2376"/>
    <w:rsid w:val="00DA50A5"/>
    <w:rsid w:val="00DA7831"/>
    <w:rsid w:val="00DB029F"/>
    <w:rsid w:val="00DB2638"/>
    <w:rsid w:val="00DB2724"/>
    <w:rsid w:val="00DB5CB1"/>
    <w:rsid w:val="00DB6D06"/>
    <w:rsid w:val="00DB7053"/>
    <w:rsid w:val="00DB71A8"/>
    <w:rsid w:val="00DC02EA"/>
    <w:rsid w:val="00DC0E9F"/>
    <w:rsid w:val="00DC10F5"/>
    <w:rsid w:val="00DC112D"/>
    <w:rsid w:val="00DC15AD"/>
    <w:rsid w:val="00DC217C"/>
    <w:rsid w:val="00DC3684"/>
    <w:rsid w:val="00DC3A96"/>
    <w:rsid w:val="00DC5EFA"/>
    <w:rsid w:val="00DC637E"/>
    <w:rsid w:val="00DC6410"/>
    <w:rsid w:val="00DC7641"/>
    <w:rsid w:val="00DC7E97"/>
    <w:rsid w:val="00DD1C27"/>
    <w:rsid w:val="00DD1DEA"/>
    <w:rsid w:val="00DD2175"/>
    <w:rsid w:val="00DD2763"/>
    <w:rsid w:val="00DD4037"/>
    <w:rsid w:val="00DD416E"/>
    <w:rsid w:val="00DD43BB"/>
    <w:rsid w:val="00DD45D7"/>
    <w:rsid w:val="00DD4AAB"/>
    <w:rsid w:val="00DD50F8"/>
    <w:rsid w:val="00DD6243"/>
    <w:rsid w:val="00DD701D"/>
    <w:rsid w:val="00DE1337"/>
    <w:rsid w:val="00DE28B6"/>
    <w:rsid w:val="00DE2986"/>
    <w:rsid w:val="00DE2F2C"/>
    <w:rsid w:val="00DE3BD1"/>
    <w:rsid w:val="00DE40EE"/>
    <w:rsid w:val="00DE4703"/>
    <w:rsid w:val="00DE4873"/>
    <w:rsid w:val="00DE59B7"/>
    <w:rsid w:val="00DE7531"/>
    <w:rsid w:val="00DE7755"/>
    <w:rsid w:val="00DF0167"/>
    <w:rsid w:val="00DF04BA"/>
    <w:rsid w:val="00DF0CB5"/>
    <w:rsid w:val="00DF1E20"/>
    <w:rsid w:val="00DF29CB"/>
    <w:rsid w:val="00DF2CDD"/>
    <w:rsid w:val="00DF424F"/>
    <w:rsid w:val="00DF4AAC"/>
    <w:rsid w:val="00DF53F2"/>
    <w:rsid w:val="00DF5661"/>
    <w:rsid w:val="00DF64BA"/>
    <w:rsid w:val="00DF7BBA"/>
    <w:rsid w:val="00E0077D"/>
    <w:rsid w:val="00E00C06"/>
    <w:rsid w:val="00E03969"/>
    <w:rsid w:val="00E049C1"/>
    <w:rsid w:val="00E072C3"/>
    <w:rsid w:val="00E1075F"/>
    <w:rsid w:val="00E113ED"/>
    <w:rsid w:val="00E121B3"/>
    <w:rsid w:val="00E121B7"/>
    <w:rsid w:val="00E122F2"/>
    <w:rsid w:val="00E12B1D"/>
    <w:rsid w:val="00E132D9"/>
    <w:rsid w:val="00E13A6B"/>
    <w:rsid w:val="00E1521B"/>
    <w:rsid w:val="00E17085"/>
    <w:rsid w:val="00E2097B"/>
    <w:rsid w:val="00E21D8D"/>
    <w:rsid w:val="00E248CB"/>
    <w:rsid w:val="00E255C4"/>
    <w:rsid w:val="00E255D1"/>
    <w:rsid w:val="00E26E73"/>
    <w:rsid w:val="00E27448"/>
    <w:rsid w:val="00E2785A"/>
    <w:rsid w:val="00E278C0"/>
    <w:rsid w:val="00E32679"/>
    <w:rsid w:val="00E32D2C"/>
    <w:rsid w:val="00E3314E"/>
    <w:rsid w:val="00E33BA4"/>
    <w:rsid w:val="00E34EC5"/>
    <w:rsid w:val="00E358A8"/>
    <w:rsid w:val="00E35ECE"/>
    <w:rsid w:val="00E379FD"/>
    <w:rsid w:val="00E37C47"/>
    <w:rsid w:val="00E37E99"/>
    <w:rsid w:val="00E4063D"/>
    <w:rsid w:val="00E4080F"/>
    <w:rsid w:val="00E41BCD"/>
    <w:rsid w:val="00E42058"/>
    <w:rsid w:val="00E421B0"/>
    <w:rsid w:val="00E42758"/>
    <w:rsid w:val="00E429B4"/>
    <w:rsid w:val="00E429C3"/>
    <w:rsid w:val="00E447AC"/>
    <w:rsid w:val="00E45C78"/>
    <w:rsid w:val="00E45FE8"/>
    <w:rsid w:val="00E46010"/>
    <w:rsid w:val="00E501EA"/>
    <w:rsid w:val="00E50B69"/>
    <w:rsid w:val="00E5137B"/>
    <w:rsid w:val="00E52C9F"/>
    <w:rsid w:val="00E530CD"/>
    <w:rsid w:val="00E5323A"/>
    <w:rsid w:val="00E54651"/>
    <w:rsid w:val="00E557DE"/>
    <w:rsid w:val="00E56388"/>
    <w:rsid w:val="00E57835"/>
    <w:rsid w:val="00E601BB"/>
    <w:rsid w:val="00E609D5"/>
    <w:rsid w:val="00E60AF7"/>
    <w:rsid w:val="00E610EA"/>
    <w:rsid w:val="00E614C0"/>
    <w:rsid w:val="00E628A5"/>
    <w:rsid w:val="00E62ABF"/>
    <w:rsid w:val="00E6385A"/>
    <w:rsid w:val="00E63CE0"/>
    <w:rsid w:val="00E63FCC"/>
    <w:rsid w:val="00E64624"/>
    <w:rsid w:val="00E66DFD"/>
    <w:rsid w:val="00E67A20"/>
    <w:rsid w:val="00E67F13"/>
    <w:rsid w:val="00E702BF"/>
    <w:rsid w:val="00E70C38"/>
    <w:rsid w:val="00E7116E"/>
    <w:rsid w:val="00E71A85"/>
    <w:rsid w:val="00E71AE1"/>
    <w:rsid w:val="00E743B1"/>
    <w:rsid w:val="00E7471D"/>
    <w:rsid w:val="00E75760"/>
    <w:rsid w:val="00E76371"/>
    <w:rsid w:val="00E76F44"/>
    <w:rsid w:val="00E776DF"/>
    <w:rsid w:val="00E779C9"/>
    <w:rsid w:val="00E77B01"/>
    <w:rsid w:val="00E80072"/>
    <w:rsid w:val="00E800F8"/>
    <w:rsid w:val="00E8095E"/>
    <w:rsid w:val="00E80BC6"/>
    <w:rsid w:val="00E80CBC"/>
    <w:rsid w:val="00E8157A"/>
    <w:rsid w:val="00E819BB"/>
    <w:rsid w:val="00E81C6D"/>
    <w:rsid w:val="00E81C89"/>
    <w:rsid w:val="00E827BF"/>
    <w:rsid w:val="00E82990"/>
    <w:rsid w:val="00E830C8"/>
    <w:rsid w:val="00E83525"/>
    <w:rsid w:val="00E845F8"/>
    <w:rsid w:val="00E84DF0"/>
    <w:rsid w:val="00E850FB"/>
    <w:rsid w:val="00E85A86"/>
    <w:rsid w:val="00E85D18"/>
    <w:rsid w:val="00E9088E"/>
    <w:rsid w:val="00E92652"/>
    <w:rsid w:val="00E929E4"/>
    <w:rsid w:val="00E938D0"/>
    <w:rsid w:val="00E93DEA"/>
    <w:rsid w:val="00E94526"/>
    <w:rsid w:val="00E9567E"/>
    <w:rsid w:val="00E957C3"/>
    <w:rsid w:val="00E96676"/>
    <w:rsid w:val="00EA11C6"/>
    <w:rsid w:val="00EA1C4F"/>
    <w:rsid w:val="00EA3222"/>
    <w:rsid w:val="00EA34B8"/>
    <w:rsid w:val="00EA636B"/>
    <w:rsid w:val="00EA788C"/>
    <w:rsid w:val="00EA7A5E"/>
    <w:rsid w:val="00EA7E39"/>
    <w:rsid w:val="00EB0416"/>
    <w:rsid w:val="00EB0673"/>
    <w:rsid w:val="00EB248F"/>
    <w:rsid w:val="00EB35D7"/>
    <w:rsid w:val="00EB38F2"/>
    <w:rsid w:val="00EB4120"/>
    <w:rsid w:val="00EB4E41"/>
    <w:rsid w:val="00EB6719"/>
    <w:rsid w:val="00EB68CB"/>
    <w:rsid w:val="00EB736A"/>
    <w:rsid w:val="00EB7640"/>
    <w:rsid w:val="00EC0098"/>
    <w:rsid w:val="00EC0548"/>
    <w:rsid w:val="00EC0D3B"/>
    <w:rsid w:val="00EC141C"/>
    <w:rsid w:val="00EC1E65"/>
    <w:rsid w:val="00EC29AC"/>
    <w:rsid w:val="00EC2AFD"/>
    <w:rsid w:val="00EC3441"/>
    <w:rsid w:val="00EC359D"/>
    <w:rsid w:val="00EC375A"/>
    <w:rsid w:val="00EC4AA2"/>
    <w:rsid w:val="00EC511B"/>
    <w:rsid w:val="00EC700F"/>
    <w:rsid w:val="00ED067E"/>
    <w:rsid w:val="00ED0CD8"/>
    <w:rsid w:val="00ED0DC1"/>
    <w:rsid w:val="00ED1389"/>
    <w:rsid w:val="00ED16F0"/>
    <w:rsid w:val="00ED3207"/>
    <w:rsid w:val="00ED4552"/>
    <w:rsid w:val="00ED4E89"/>
    <w:rsid w:val="00ED5BAF"/>
    <w:rsid w:val="00ED5CB3"/>
    <w:rsid w:val="00ED5DDE"/>
    <w:rsid w:val="00ED64E5"/>
    <w:rsid w:val="00ED7C66"/>
    <w:rsid w:val="00EE0A8B"/>
    <w:rsid w:val="00EE0B37"/>
    <w:rsid w:val="00EE1A96"/>
    <w:rsid w:val="00EE2719"/>
    <w:rsid w:val="00EE33B8"/>
    <w:rsid w:val="00EE4D8F"/>
    <w:rsid w:val="00EE7286"/>
    <w:rsid w:val="00EE784A"/>
    <w:rsid w:val="00EF005D"/>
    <w:rsid w:val="00EF054B"/>
    <w:rsid w:val="00EF0AB2"/>
    <w:rsid w:val="00EF1C8C"/>
    <w:rsid w:val="00EF37CC"/>
    <w:rsid w:val="00EF55C2"/>
    <w:rsid w:val="00EF5761"/>
    <w:rsid w:val="00F01332"/>
    <w:rsid w:val="00F04158"/>
    <w:rsid w:val="00F04CC2"/>
    <w:rsid w:val="00F057A8"/>
    <w:rsid w:val="00F062B6"/>
    <w:rsid w:val="00F06AE1"/>
    <w:rsid w:val="00F07260"/>
    <w:rsid w:val="00F1023C"/>
    <w:rsid w:val="00F107AD"/>
    <w:rsid w:val="00F10D22"/>
    <w:rsid w:val="00F11087"/>
    <w:rsid w:val="00F1195C"/>
    <w:rsid w:val="00F11B8F"/>
    <w:rsid w:val="00F12AAF"/>
    <w:rsid w:val="00F1311D"/>
    <w:rsid w:val="00F132F5"/>
    <w:rsid w:val="00F16880"/>
    <w:rsid w:val="00F17117"/>
    <w:rsid w:val="00F1782E"/>
    <w:rsid w:val="00F179EC"/>
    <w:rsid w:val="00F20863"/>
    <w:rsid w:val="00F20A86"/>
    <w:rsid w:val="00F20CCB"/>
    <w:rsid w:val="00F20F51"/>
    <w:rsid w:val="00F20FBF"/>
    <w:rsid w:val="00F228DB"/>
    <w:rsid w:val="00F244EA"/>
    <w:rsid w:val="00F249B2"/>
    <w:rsid w:val="00F25011"/>
    <w:rsid w:val="00F260E2"/>
    <w:rsid w:val="00F26232"/>
    <w:rsid w:val="00F27390"/>
    <w:rsid w:val="00F30D47"/>
    <w:rsid w:val="00F30DB3"/>
    <w:rsid w:val="00F31139"/>
    <w:rsid w:val="00F317E0"/>
    <w:rsid w:val="00F3245D"/>
    <w:rsid w:val="00F32863"/>
    <w:rsid w:val="00F32A6C"/>
    <w:rsid w:val="00F32BE0"/>
    <w:rsid w:val="00F334D2"/>
    <w:rsid w:val="00F337BC"/>
    <w:rsid w:val="00F34137"/>
    <w:rsid w:val="00F34549"/>
    <w:rsid w:val="00F346F1"/>
    <w:rsid w:val="00F37191"/>
    <w:rsid w:val="00F374D4"/>
    <w:rsid w:val="00F37625"/>
    <w:rsid w:val="00F37EF6"/>
    <w:rsid w:val="00F40FA2"/>
    <w:rsid w:val="00F41DEC"/>
    <w:rsid w:val="00F42AB8"/>
    <w:rsid w:val="00F438F9"/>
    <w:rsid w:val="00F43CF2"/>
    <w:rsid w:val="00F444D9"/>
    <w:rsid w:val="00F44FF7"/>
    <w:rsid w:val="00F4550B"/>
    <w:rsid w:val="00F45969"/>
    <w:rsid w:val="00F47C45"/>
    <w:rsid w:val="00F50CDB"/>
    <w:rsid w:val="00F52CA5"/>
    <w:rsid w:val="00F558B0"/>
    <w:rsid w:val="00F56A1E"/>
    <w:rsid w:val="00F61961"/>
    <w:rsid w:val="00F61ECB"/>
    <w:rsid w:val="00F62102"/>
    <w:rsid w:val="00F625F9"/>
    <w:rsid w:val="00F639DA"/>
    <w:rsid w:val="00F66D4F"/>
    <w:rsid w:val="00F66E81"/>
    <w:rsid w:val="00F67D7A"/>
    <w:rsid w:val="00F72119"/>
    <w:rsid w:val="00F72936"/>
    <w:rsid w:val="00F72B98"/>
    <w:rsid w:val="00F739AB"/>
    <w:rsid w:val="00F73CF2"/>
    <w:rsid w:val="00F73D98"/>
    <w:rsid w:val="00F74F8C"/>
    <w:rsid w:val="00F75D7D"/>
    <w:rsid w:val="00F76A77"/>
    <w:rsid w:val="00F81F2F"/>
    <w:rsid w:val="00F82972"/>
    <w:rsid w:val="00F82C39"/>
    <w:rsid w:val="00F84CE3"/>
    <w:rsid w:val="00F86AF8"/>
    <w:rsid w:val="00F870CB"/>
    <w:rsid w:val="00F87674"/>
    <w:rsid w:val="00F87BD3"/>
    <w:rsid w:val="00F87F86"/>
    <w:rsid w:val="00F900CB"/>
    <w:rsid w:val="00F910F4"/>
    <w:rsid w:val="00F91D9A"/>
    <w:rsid w:val="00F936E2"/>
    <w:rsid w:val="00F93FC0"/>
    <w:rsid w:val="00F93FC9"/>
    <w:rsid w:val="00F94061"/>
    <w:rsid w:val="00F946CA"/>
    <w:rsid w:val="00F94921"/>
    <w:rsid w:val="00F94C73"/>
    <w:rsid w:val="00F957CA"/>
    <w:rsid w:val="00F95AED"/>
    <w:rsid w:val="00F96820"/>
    <w:rsid w:val="00F970DE"/>
    <w:rsid w:val="00FA0926"/>
    <w:rsid w:val="00FA242A"/>
    <w:rsid w:val="00FA2D24"/>
    <w:rsid w:val="00FA3F00"/>
    <w:rsid w:val="00FA418A"/>
    <w:rsid w:val="00FA4BAA"/>
    <w:rsid w:val="00FA4D97"/>
    <w:rsid w:val="00FA6A73"/>
    <w:rsid w:val="00FA706E"/>
    <w:rsid w:val="00FA726D"/>
    <w:rsid w:val="00FA7F80"/>
    <w:rsid w:val="00FB1482"/>
    <w:rsid w:val="00FB1584"/>
    <w:rsid w:val="00FB28D2"/>
    <w:rsid w:val="00FB2996"/>
    <w:rsid w:val="00FB3DCF"/>
    <w:rsid w:val="00FB3E9B"/>
    <w:rsid w:val="00FB441A"/>
    <w:rsid w:val="00FB454F"/>
    <w:rsid w:val="00FB520C"/>
    <w:rsid w:val="00FB5E86"/>
    <w:rsid w:val="00FB61FB"/>
    <w:rsid w:val="00FB69C9"/>
    <w:rsid w:val="00FB7682"/>
    <w:rsid w:val="00FB7F6F"/>
    <w:rsid w:val="00FC05A6"/>
    <w:rsid w:val="00FC075A"/>
    <w:rsid w:val="00FC07A6"/>
    <w:rsid w:val="00FC30ED"/>
    <w:rsid w:val="00FC33ED"/>
    <w:rsid w:val="00FC4D5C"/>
    <w:rsid w:val="00FC568F"/>
    <w:rsid w:val="00FC7B9D"/>
    <w:rsid w:val="00FD06D5"/>
    <w:rsid w:val="00FD0B43"/>
    <w:rsid w:val="00FD13F9"/>
    <w:rsid w:val="00FD3206"/>
    <w:rsid w:val="00FD3252"/>
    <w:rsid w:val="00FD3EBC"/>
    <w:rsid w:val="00FD5842"/>
    <w:rsid w:val="00FD5B65"/>
    <w:rsid w:val="00FD62ED"/>
    <w:rsid w:val="00FD6F22"/>
    <w:rsid w:val="00FD6FEF"/>
    <w:rsid w:val="00FE022C"/>
    <w:rsid w:val="00FE046E"/>
    <w:rsid w:val="00FE08FC"/>
    <w:rsid w:val="00FE0ACA"/>
    <w:rsid w:val="00FE0E3E"/>
    <w:rsid w:val="00FE130B"/>
    <w:rsid w:val="00FE132A"/>
    <w:rsid w:val="00FE1ACD"/>
    <w:rsid w:val="00FE1FAB"/>
    <w:rsid w:val="00FE2E33"/>
    <w:rsid w:val="00FE3581"/>
    <w:rsid w:val="00FE35F5"/>
    <w:rsid w:val="00FE4A02"/>
    <w:rsid w:val="00FE4A3C"/>
    <w:rsid w:val="00FE541A"/>
    <w:rsid w:val="00FE64E1"/>
    <w:rsid w:val="00FE667C"/>
    <w:rsid w:val="00FE6CA6"/>
    <w:rsid w:val="00FF26C1"/>
    <w:rsid w:val="00FF2EDA"/>
    <w:rsid w:val="00FF31C6"/>
    <w:rsid w:val="00FF3F08"/>
    <w:rsid w:val="00FF5074"/>
    <w:rsid w:val="00FF588F"/>
    <w:rsid w:val="00FF5A67"/>
    <w:rsid w:val="00FF6C26"/>
    <w:rsid w:val="00FF6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1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40" w:lineRule="exact"/>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1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84517"/>
    <w:rPr>
      <w:rFonts w:ascii="Arial" w:hAnsi="Arial"/>
      <w:color w:val="373737"/>
      <w:sz w:val="20"/>
    </w:rPr>
  </w:style>
  <w:style w:type="paragraph" w:styleId="Heading1">
    <w:name w:val="heading 1"/>
    <w:basedOn w:val="Normal"/>
    <w:next w:val="BodyText"/>
    <w:link w:val="Heading1Char"/>
    <w:autoRedefine/>
    <w:qFormat/>
    <w:rsid w:val="00C0682A"/>
    <w:pPr>
      <w:keepNext/>
      <w:numPr>
        <w:numId w:val="9"/>
      </w:numPr>
      <w:spacing w:before="300" w:line="280" w:lineRule="atLeast"/>
      <w:outlineLvl w:val="0"/>
    </w:pPr>
    <w:rPr>
      <w:rFonts w:asciiTheme="majorHAnsi" w:eastAsia="Times New Roman" w:hAnsiTheme="majorHAnsi" w:cs="Arial"/>
      <w:b/>
      <w:bCs/>
      <w:color w:val="005677" w:themeColor="background2"/>
      <w:kern w:val="32"/>
      <w:sz w:val="32"/>
      <w:szCs w:val="32"/>
    </w:rPr>
  </w:style>
  <w:style w:type="paragraph" w:styleId="Heading2">
    <w:name w:val="heading 2"/>
    <w:basedOn w:val="Heading1"/>
    <w:next w:val="BodyText"/>
    <w:link w:val="Heading2Char"/>
    <w:qFormat/>
    <w:rsid w:val="00BE60BB"/>
    <w:pPr>
      <w:numPr>
        <w:ilvl w:val="1"/>
      </w:numPr>
      <w:outlineLvl w:val="1"/>
    </w:pPr>
    <w:rPr>
      <w:bCs w:val="0"/>
      <w:iCs/>
      <w:color w:val="177F7A"/>
      <w:sz w:val="22"/>
      <w:szCs w:val="28"/>
    </w:rPr>
  </w:style>
  <w:style w:type="paragraph" w:styleId="Heading3">
    <w:name w:val="heading 3"/>
    <w:basedOn w:val="BodyText"/>
    <w:next w:val="BodyText"/>
    <w:link w:val="Heading3Char"/>
    <w:qFormat/>
    <w:rsid w:val="002F7C58"/>
    <w:pPr>
      <w:keepNext/>
      <w:numPr>
        <w:ilvl w:val="2"/>
        <w:numId w:val="9"/>
      </w:numPr>
      <w:spacing w:before="300" w:line="280" w:lineRule="atLeast"/>
      <w:jc w:val="left"/>
      <w:outlineLvl w:val="2"/>
    </w:pPr>
    <w:rPr>
      <w:rFonts w:asciiTheme="majorHAnsi" w:eastAsia="Times New Roman" w:hAnsiTheme="majorHAnsi" w:cs="Arial"/>
      <w:bCs/>
      <w:color w:val="005677" w:themeColor="background2"/>
      <w:sz w:val="22"/>
    </w:rPr>
  </w:style>
  <w:style w:type="paragraph" w:styleId="Heading4">
    <w:name w:val="heading 4"/>
    <w:basedOn w:val="BodyText"/>
    <w:next w:val="BodyText"/>
    <w:link w:val="Heading4Char"/>
    <w:uiPriority w:val="9"/>
    <w:unhideWhenUsed/>
    <w:rsid w:val="009F2590"/>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2F7C58"/>
    <w:pPr>
      <w:keepNext/>
      <w:pageBreakBefore/>
      <w:numPr>
        <w:ilvl w:val="5"/>
        <w:numId w:val="9"/>
      </w:numPr>
      <w:spacing w:before="300" w:line="280" w:lineRule="atLeast"/>
      <w:outlineLvl w:val="5"/>
    </w:pPr>
    <w:rPr>
      <w:rFonts w:asciiTheme="majorHAnsi" w:eastAsiaTheme="majorEastAsia" w:hAnsiTheme="majorHAnsi" w:cstheme="majorBidi"/>
      <w:b/>
      <w:iCs/>
      <w:color w:val="005677" w:themeColor="background2"/>
      <w:sz w:val="32"/>
    </w:rPr>
  </w:style>
  <w:style w:type="paragraph" w:styleId="Heading7">
    <w:name w:val="heading 7"/>
    <w:basedOn w:val="Normal"/>
    <w:next w:val="BodyText"/>
    <w:link w:val="Heading7Char"/>
    <w:uiPriority w:val="1"/>
    <w:qFormat/>
    <w:rsid w:val="002F7C58"/>
    <w:pPr>
      <w:keepNext/>
      <w:keepLines/>
      <w:numPr>
        <w:ilvl w:val="6"/>
        <w:numId w:val="9"/>
      </w:numPr>
      <w:spacing w:before="300" w:line="280" w:lineRule="atLeast"/>
      <w:outlineLvl w:val="6"/>
    </w:pPr>
    <w:rPr>
      <w:rFonts w:asciiTheme="majorHAnsi" w:eastAsiaTheme="majorEastAsia" w:hAnsiTheme="majorHAnsi" w:cstheme="majorBidi"/>
      <w:b/>
      <w:iCs/>
      <w:color w:val="1B9590" w:themeColor="accent1"/>
      <w:sz w:val="22"/>
    </w:rPr>
  </w:style>
  <w:style w:type="paragraph" w:styleId="Heading8">
    <w:name w:val="heading 8"/>
    <w:basedOn w:val="Normal"/>
    <w:next w:val="BodyText"/>
    <w:link w:val="Heading8Char"/>
    <w:uiPriority w:val="1"/>
    <w:qFormat/>
    <w:rsid w:val="002F7C58"/>
    <w:pPr>
      <w:keepNext/>
      <w:keepLines/>
      <w:numPr>
        <w:ilvl w:val="7"/>
        <w:numId w:val="9"/>
      </w:numPr>
      <w:spacing w:before="300"/>
      <w:outlineLvl w:val="7"/>
    </w:pPr>
    <w:rPr>
      <w:rFonts w:asciiTheme="majorHAnsi" w:eastAsiaTheme="majorEastAsia" w:hAnsiTheme="majorHAnsi" w:cstheme="majorBidi"/>
      <w:color w:val="005677" w:themeColor="background2"/>
      <w:sz w:val="22"/>
      <w:szCs w:val="20"/>
    </w:rPr>
  </w:style>
  <w:style w:type="paragraph" w:styleId="Heading9">
    <w:name w:val="heading 9"/>
    <w:basedOn w:val="Normal"/>
    <w:next w:val="Normal"/>
    <w:link w:val="Heading9Char"/>
    <w:unhideWhenUsed/>
    <w:qFormat/>
    <w:rsid w:val="002C0A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9F2590"/>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1"/>
      </w:numPr>
      <w:tabs>
        <w:tab w:val="clear" w:pos="1418"/>
        <w:tab w:val="num" w:pos="360"/>
      </w:tabs>
      <w:spacing w:before="100" w:line="312" w:lineRule="auto"/>
      <w:ind w:left="2160" w:firstLine="0"/>
    </w:pPr>
    <w:rPr>
      <w:rFonts w:eastAsia="Times New Roman"/>
      <w:lang w:eastAsia="en-AU"/>
    </w:rPr>
  </w:style>
  <w:style w:type="character" w:customStyle="1" w:styleId="Heading1Char">
    <w:name w:val="Heading 1 Char"/>
    <w:basedOn w:val="DefaultParagraphFont"/>
    <w:link w:val="Heading1"/>
    <w:rsid w:val="00C0682A"/>
    <w:rPr>
      <w:rFonts w:asciiTheme="majorHAnsi" w:eastAsia="Times New Roman" w:hAnsiTheme="majorHAnsi" w:cs="Arial"/>
      <w:b/>
      <w:bCs/>
      <w:color w:val="005677" w:themeColor="background2"/>
      <w:kern w:val="32"/>
      <w:sz w:val="32"/>
      <w:szCs w:val="32"/>
    </w:rPr>
  </w:style>
  <w:style w:type="character" w:customStyle="1" w:styleId="Heading2Char">
    <w:name w:val="Heading 2 Char"/>
    <w:basedOn w:val="DefaultParagraphFont"/>
    <w:link w:val="Heading2"/>
    <w:rsid w:val="00BE60BB"/>
    <w:rPr>
      <w:rFonts w:asciiTheme="majorHAnsi" w:eastAsia="Times New Roman" w:hAnsiTheme="majorHAnsi" w:cs="Arial"/>
      <w:b/>
      <w:iCs/>
      <w:color w:val="177F7A"/>
      <w:kern w:val="32"/>
      <w:szCs w:val="28"/>
    </w:rPr>
  </w:style>
  <w:style w:type="character" w:customStyle="1" w:styleId="Heading3Char">
    <w:name w:val="Heading 3 Char"/>
    <w:basedOn w:val="DefaultParagraphFont"/>
    <w:link w:val="Heading3"/>
    <w:rsid w:val="002F7C58"/>
    <w:rPr>
      <w:rFonts w:asciiTheme="majorHAnsi" w:eastAsia="Times New Roman" w:hAnsiTheme="majorHAnsi" w:cs="Arial"/>
      <w:bCs/>
      <w:color w:val="005677" w:themeColor="background2"/>
    </w:rPr>
  </w:style>
  <w:style w:type="paragraph" w:styleId="TOC1">
    <w:name w:val="toc 1"/>
    <w:basedOn w:val="Normal"/>
    <w:next w:val="Normal"/>
    <w:autoRedefine/>
    <w:uiPriority w:val="39"/>
    <w:rsid w:val="00722631"/>
    <w:pPr>
      <w:tabs>
        <w:tab w:val="left" w:pos="709"/>
        <w:tab w:val="right" w:pos="8931"/>
      </w:tabs>
      <w:spacing w:before="240" w:after="120"/>
      <w:ind w:left="142" w:right="804"/>
    </w:pPr>
    <w:rPr>
      <w:rFonts w:eastAsia="Times New Roman"/>
      <w:b/>
      <w:noProof/>
      <w:szCs w:val="24"/>
    </w:rPr>
  </w:style>
  <w:style w:type="paragraph" w:styleId="FootnoteText">
    <w:name w:val="footnote text"/>
    <w:basedOn w:val="Normal"/>
    <w:link w:val="FootnoteTextChar"/>
    <w:uiPriority w:val="19"/>
    <w:rsid w:val="009F2590"/>
    <w:pPr>
      <w:ind w:left="2268" w:hanging="108"/>
    </w:pPr>
    <w:rPr>
      <w:rFonts w:eastAsia="Times New Roman"/>
      <w:sz w:val="16"/>
    </w:rPr>
  </w:style>
  <w:style w:type="character" w:customStyle="1" w:styleId="FootnoteTextChar">
    <w:name w:val="Footnote Text Char"/>
    <w:basedOn w:val="DefaultParagraphFont"/>
    <w:link w:val="FootnoteText"/>
    <w:uiPriority w:val="19"/>
    <w:rsid w:val="009F2590"/>
    <w:rPr>
      <w:rFonts w:ascii="Arial" w:eastAsia="Times New Roman" w:hAnsi="Arial"/>
      <w:color w:val="595A5B"/>
      <w:sz w:val="16"/>
    </w:rPr>
  </w:style>
  <w:style w:type="paragraph" w:styleId="Footer">
    <w:name w:val="footer"/>
    <w:basedOn w:val="Normal"/>
    <w:link w:val="FooterChar"/>
    <w:uiPriority w:val="99"/>
    <w:rsid w:val="00E35ECE"/>
    <w:pPr>
      <w:tabs>
        <w:tab w:val="right" w:pos="9680"/>
      </w:tabs>
    </w:pPr>
    <w:rPr>
      <w:rFonts w:eastAsia="Times New Roman"/>
      <w:sz w:val="16"/>
      <w:szCs w:val="16"/>
    </w:rPr>
  </w:style>
  <w:style w:type="character" w:customStyle="1" w:styleId="FooterChar">
    <w:name w:val="Footer Char"/>
    <w:basedOn w:val="DefaultParagraphFont"/>
    <w:link w:val="Footer"/>
    <w:uiPriority w:val="99"/>
    <w:rsid w:val="00E35ECE"/>
    <w:rPr>
      <w:rFonts w:ascii="Arial" w:eastAsia="Times New Roman" w:hAnsi="Arial"/>
      <w:color w:val="595A5B"/>
      <w:sz w:val="16"/>
      <w:szCs w:val="16"/>
    </w:rPr>
  </w:style>
  <w:style w:type="paragraph" w:styleId="TableofFigures">
    <w:name w:val="table of figures"/>
    <w:basedOn w:val="Normal"/>
    <w:next w:val="Normal"/>
    <w:uiPriority w:val="99"/>
    <w:rsid w:val="009F2590"/>
    <w:pPr>
      <w:tabs>
        <w:tab w:val="right" w:pos="8930"/>
      </w:tabs>
      <w:ind w:left="1134" w:right="804" w:hanging="440"/>
    </w:pPr>
    <w:rPr>
      <w:rFonts w:asciiTheme="minorHAnsi" w:eastAsia="Times New Roman" w:hAnsiTheme="minorHAnsi"/>
      <w:b/>
      <w:bCs/>
      <w:noProof/>
      <w:lang w:val="en-US"/>
    </w:rPr>
  </w:style>
  <w:style w:type="character" w:styleId="FootnoteReference">
    <w:name w:val="footnote reference"/>
    <w:basedOn w:val="DefaultParagraphFont"/>
    <w:uiPriority w:val="19"/>
    <w:rsid w:val="009F2590"/>
    <w:rPr>
      <w:vertAlign w:val="superscript"/>
    </w:rPr>
  </w:style>
  <w:style w:type="character" w:styleId="PageNumber">
    <w:name w:val="page number"/>
    <w:rsid w:val="009F2590"/>
    <w:rPr>
      <w:rFonts w:ascii="Arial" w:hAnsi="Arial"/>
      <w:sz w:val="18"/>
    </w:rPr>
  </w:style>
  <w:style w:type="paragraph" w:styleId="BodyText">
    <w:name w:val="Body Text"/>
    <w:link w:val="BodyTextChar"/>
    <w:uiPriority w:val="99"/>
    <w:qFormat/>
    <w:rsid w:val="0051079B"/>
    <w:pPr>
      <w:spacing w:after="180" w:line="270" w:lineRule="exact"/>
      <w:jc w:val="both"/>
    </w:pPr>
    <w:rPr>
      <w:color w:val="373737"/>
      <w:sz w:val="20"/>
    </w:rPr>
  </w:style>
  <w:style w:type="character" w:customStyle="1" w:styleId="BodyTextChar">
    <w:name w:val="Body Text Char"/>
    <w:basedOn w:val="DefaultParagraphFont"/>
    <w:link w:val="BodyText"/>
    <w:uiPriority w:val="99"/>
    <w:rsid w:val="0051079B"/>
    <w:rPr>
      <w:color w:val="373737"/>
      <w:sz w:val="20"/>
    </w:rPr>
  </w:style>
  <w:style w:type="paragraph" w:styleId="Subtitle">
    <w:name w:val="Subtitle"/>
    <w:basedOn w:val="Normal"/>
    <w:next w:val="Normal"/>
    <w:link w:val="SubtitleChar"/>
    <w:rsid w:val="009F2590"/>
    <w:pPr>
      <w:numPr>
        <w:ilvl w:val="1"/>
      </w:numPr>
      <w:ind w:left="2160"/>
    </w:pPr>
    <w:rPr>
      <w:rFonts w:asciiTheme="majorHAnsi" w:eastAsiaTheme="majorEastAsia" w:hAnsiTheme="majorHAnsi" w:cstheme="majorBidi"/>
      <w:i/>
      <w:iCs/>
      <w:color w:val="1B9590" w:themeColor="accent1"/>
      <w:spacing w:val="15"/>
      <w:sz w:val="24"/>
      <w:szCs w:val="24"/>
    </w:rPr>
  </w:style>
  <w:style w:type="character" w:customStyle="1" w:styleId="SubtitleChar">
    <w:name w:val="Subtitle Char"/>
    <w:basedOn w:val="DefaultParagraphFont"/>
    <w:link w:val="Subtitle"/>
    <w:rsid w:val="009F2590"/>
    <w:rPr>
      <w:rFonts w:asciiTheme="majorHAnsi" w:eastAsiaTheme="majorEastAsia" w:hAnsiTheme="majorHAnsi" w:cstheme="majorBidi"/>
      <w:i/>
      <w:iCs/>
      <w:color w:val="1B9590" w:themeColor="accent1"/>
      <w:spacing w:val="15"/>
      <w:sz w:val="24"/>
      <w:szCs w:val="24"/>
    </w:rPr>
  </w:style>
  <w:style w:type="character" w:styleId="Hyperlink">
    <w:name w:val="Hyperlink"/>
    <w:uiPriority w:val="99"/>
    <w:rsid w:val="00F07260"/>
    <w:rPr>
      <w:color w:val="005CAF"/>
      <w:u w:val="none"/>
    </w:rPr>
  </w:style>
  <w:style w:type="table" w:styleId="Table3Deffects1">
    <w:name w:val="Table 3D effects 1"/>
    <w:basedOn w:val="TableNormal"/>
    <w:rsid w:val="009F2590"/>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9F2590"/>
    <w:rPr>
      <w:rFonts w:ascii="Tahoma" w:eastAsia="Times New Roman" w:hAnsi="Tahoma" w:cs="Tahoma"/>
      <w:sz w:val="16"/>
      <w:szCs w:val="16"/>
    </w:rPr>
  </w:style>
  <w:style w:type="character" w:customStyle="1" w:styleId="BalloonTextChar">
    <w:name w:val="Balloon Text Char"/>
    <w:basedOn w:val="DefaultParagraphFont"/>
    <w:link w:val="BalloonText"/>
    <w:rsid w:val="009F2590"/>
    <w:rPr>
      <w:rFonts w:ascii="Tahoma" w:eastAsia="Times New Roman" w:hAnsi="Tahoma" w:cs="Tahoma"/>
      <w:color w:val="595A5B"/>
      <w:sz w:val="16"/>
      <w:szCs w:val="16"/>
    </w:rPr>
  </w:style>
  <w:style w:type="table" w:styleId="TableGrid">
    <w:name w:val="Table Grid"/>
    <w:basedOn w:val="TableNormal"/>
    <w:uiPriority w:val="59"/>
    <w:rsid w:val="009F25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9F2590"/>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2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959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959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959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959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E5E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E5E0" w:themeFill="accent1" w:themeFillTint="7F"/>
      </w:tcPr>
    </w:tblStylePr>
  </w:style>
  <w:style w:type="table" w:styleId="ColorfulGrid-Accent1">
    <w:name w:val="Colorful Grid Accent 1"/>
    <w:basedOn w:val="TableNormal"/>
    <w:uiPriority w:val="73"/>
    <w:rsid w:val="009F2590"/>
    <w:rPr>
      <w:rFonts w:eastAsia="Times New Roman"/>
      <w:color w:val="000000" w:themeColor="text1"/>
      <w:lang w:eastAsia="en-AU"/>
    </w:rPr>
    <w:tblPr>
      <w:tblStyleRowBandSize w:val="1"/>
      <w:tblStyleColBandSize w:val="1"/>
      <w:tblBorders>
        <w:insideH w:val="single" w:sz="4" w:space="0" w:color="FFFFFF" w:themeColor="background1"/>
      </w:tblBorders>
    </w:tblPr>
    <w:tcPr>
      <w:shd w:val="clear" w:color="auto" w:fill="C6F4F2" w:themeFill="accent1" w:themeFillTint="33"/>
    </w:tcPr>
    <w:tblStylePr w:type="firstRow">
      <w:rPr>
        <w:b/>
        <w:bCs/>
      </w:rPr>
      <w:tblPr/>
      <w:tcPr>
        <w:shd w:val="clear" w:color="auto" w:fill="8DEAE6" w:themeFill="accent1" w:themeFillTint="66"/>
      </w:tcPr>
    </w:tblStylePr>
    <w:tblStylePr w:type="lastRow">
      <w:rPr>
        <w:b/>
        <w:bCs/>
        <w:color w:val="000000" w:themeColor="text1"/>
      </w:rPr>
      <w:tblPr/>
      <w:tcPr>
        <w:shd w:val="clear" w:color="auto" w:fill="8DEAE6" w:themeFill="accent1" w:themeFillTint="66"/>
      </w:tcPr>
    </w:tblStylePr>
    <w:tblStylePr w:type="firstCol">
      <w:rPr>
        <w:color w:val="FFFFFF" w:themeColor="background1"/>
      </w:rPr>
      <w:tblPr/>
      <w:tcPr>
        <w:shd w:val="clear" w:color="auto" w:fill="146F6B" w:themeFill="accent1" w:themeFillShade="BF"/>
      </w:tcPr>
    </w:tblStylePr>
    <w:tblStylePr w:type="lastCol">
      <w:rPr>
        <w:color w:val="FFFFFF" w:themeColor="background1"/>
      </w:rPr>
      <w:tblPr/>
      <w:tcPr>
        <w:shd w:val="clear" w:color="auto" w:fill="146F6B" w:themeFill="accent1" w:themeFillShade="BF"/>
      </w:tcPr>
    </w:tblStylePr>
    <w:tblStylePr w:type="band1Vert">
      <w:tblPr/>
      <w:tcPr>
        <w:shd w:val="clear" w:color="auto" w:fill="71E5E0" w:themeFill="accent1" w:themeFillTint="7F"/>
      </w:tcPr>
    </w:tblStylePr>
    <w:tblStylePr w:type="band1Horz">
      <w:tblPr/>
      <w:tcPr>
        <w:shd w:val="clear" w:color="auto" w:fill="71E5E0" w:themeFill="accent1" w:themeFillTint="7F"/>
      </w:tcPr>
    </w:tblStylePr>
  </w:style>
  <w:style w:type="character" w:styleId="IntenseEmphasis">
    <w:name w:val="Intense Emphasis"/>
    <w:basedOn w:val="DefaultParagraphFont"/>
    <w:uiPriority w:val="21"/>
    <w:rsid w:val="009F2590"/>
    <w:rPr>
      <w:b/>
      <w:bCs/>
      <w:i/>
      <w:iCs/>
      <w:color w:val="1B9590" w:themeColor="accent1"/>
    </w:rPr>
  </w:style>
  <w:style w:type="paragraph" w:styleId="Bibliography">
    <w:name w:val="Bibliography"/>
    <w:basedOn w:val="Normal"/>
    <w:next w:val="Normal"/>
    <w:uiPriority w:val="37"/>
    <w:unhideWhenUsed/>
    <w:rsid w:val="009F2590"/>
    <w:rPr>
      <w:rFonts w:eastAsia="Times New Roman"/>
    </w:rPr>
  </w:style>
  <w:style w:type="paragraph" w:styleId="TOCHeading">
    <w:name w:val="TOC Heading"/>
    <w:basedOn w:val="Heading1"/>
    <w:next w:val="Normal"/>
    <w:uiPriority w:val="39"/>
    <w:unhideWhenUsed/>
    <w:qFormat/>
    <w:rsid w:val="002F7C58"/>
    <w:pPr>
      <w:keepLines/>
      <w:spacing w:before="480" w:after="0" w:line="276" w:lineRule="auto"/>
      <w:outlineLvl w:val="9"/>
    </w:pPr>
    <w:rPr>
      <w:rFonts w:eastAsiaTheme="majorEastAsia" w:cstheme="majorBidi"/>
      <w:color w:val="1B9590" w:themeColor="accent1"/>
      <w:kern w:val="0"/>
      <w:sz w:val="28"/>
      <w:szCs w:val="28"/>
      <w:lang w:eastAsia="ja-JP"/>
    </w:rPr>
  </w:style>
  <w:style w:type="table" w:styleId="Table3Deffects2">
    <w:name w:val="Table 3D effects 2"/>
    <w:basedOn w:val="TableNormal"/>
    <w:rsid w:val="009F2590"/>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01161C"/>
    <w:pPr>
      <w:numPr>
        <w:numId w:val="3"/>
      </w:numPr>
    </w:pPr>
  </w:style>
  <w:style w:type="character" w:customStyle="1" w:styleId="Heading4Char">
    <w:name w:val="Heading 4 Char"/>
    <w:basedOn w:val="DefaultParagraphFont"/>
    <w:link w:val="Heading4"/>
    <w:uiPriority w:val="9"/>
    <w:rsid w:val="009F2590"/>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2F7C58"/>
    <w:rPr>
      <w:rFonts w:asciiTheme="majorHAnsi" w:eastAsiaTheme="majorEastAsia" w:hAnsiTheme="majorHAnsi" w:cstheme="majorBidi"/>
      <w:b/>
      <w:iCs/>
      <w:color w:val="005677" w:themeColor="background2"/>
      <w:sz w:val="32"/>
    </w:rPr>
  </w:style>
  <w:style w:type="paragraph" w:styleId="ListParagraph">
    <w:name w:val="List Paragraph"/>
    <w:aliases w:val="List Paragraph1,Recommendation,List Paragraph11,L,bullet point list,Bulletr List Paragraph,FooterText,List Paragraph2,List Paragraph21,Listeafsnit1,NFP GP Bulleted List,Paragraphe de liste1,Parágrafo da Lista1,Párrafo de lista1,b,numbered"/>
    <w:basedOn w:val="ListBullet"/>
    <w:link w:val="ListParagraphChar"/>
    <w:uiPriority w:val="34"/>
    <w:qFormat/>
    <w:rsid w:val="009F2590"/>
    <w:rPr>
      <w:lang w:val="en"/>
    </w:rPr>
  </w:style>
  <w:style w:type="character" w:customStyle="1" w:styleId="ListParagraphChar">
    <w:name w:val="List Paragraph Char"/>
    <w:aliases w:val="List Paragraph1 Char,Recommendation Char,List Paragraph11 Char,L Char,bullet point list Char,Bulletr List Paragraph Char,FooterText Char,List Paragraph2 Char,List Paragraph21 Char,Listeafsnit1 Char,NFP GP Bulleted List Char,b Char"/>
    <w:basedOn w:val="DefaultParagraphFont"/>
    <w:link w:val="ListParagraph"/>
    <w:uiPriority w:val="34"/>
    <w:rsid w:val="009F2590"/>
    <w:rPr>
      <w:color w:val="373737"/>
      <w:sz w:val="20"/>
      <w:lang w:val="en"/>
    </w:rPr>
  </w:style>
  <w:style w:type="numbering" w:customStyle="1" w:styleId="OCEBulletedList">
    <w:name w:val="OCE Bulleted List"/>
    <w:uiPriority w:val="99"/>
    <w:rsid w:val="000B2DFC"/>
    <w:pPr>
      <w:numPr>
        <w:numId w:val="4"/>
      </w:numPr>
    </w:pPr>
  </w:style>
  <w:style w:type="paragraph" w:styleId="ListBullet">
    <w:name w:val="List Bullet"/>
    <w:basedOn w:val="BodyText"/>
    <w:uiPriority w:val="4"/>
    <w:qFormat/>
    <w:rsid w:val="00BE3354"/>
    <w:pPr>
      <w:spacing w:after="120"/>
    </w:pPr>
  </w:style>
  <w:style w:type="paragraph" w:styleId="ListContinue2">
    <w:name w:val="List Continue 2"/>
    <w:basedOn w:val="Normal"/>
    <w:rsid w:val="009F2590"/>
    <w:pPr>
      <w:spacing w:after="120"/>
      <w:ind w:left="566"/>
      <w:contextualSpacing/>
    </w:pPr>
  </w:style>
  <w:style w:type="paragraph" w:styleId="ListBullet2">
    <w:name w:val="List Bullet 2"/>
    <w:basedOn w:val="ListBullet"/>
    <w:uiPriority w:val="4"/>
    <w:qFormat/>
    <w:rsid w:val="00C84517"/>
    <w:pPr>
      <w:numPr>
        <w:ilvl w:val="1"/>
        <w:numId w:val="10"/>
      </w:numPr>
    </w:pPr>
  </w:style>
  <w:style w:type="paragraph" w:styleId="ListBullet4">
    <w:name w:val="List Bullet 4"/>
    <w:basedOn w:val="ListBullet3"/>
    <w:rsid w:val="00B20516"/>
    <w:pPr>
      <w:numPr>
        <w:ilvl w:val="3"/>
      </w:numPr>
    </w:pPr>
  </w:style>
  <w:style w:type="paragraph" w:styleId="ListBullet3">
    <w:name w:val="List Bullet 3"/>
    <w:basedOn w:val="ListBullet2"/>
    <w:uiPriority w:val="4"/>
    <w:qFormat/>
    <w:rsid w:val="00574CEB"/>
    <w:pPr>
      <w:numPr>
        <w:ilvl w:val="2"/>
      </w:numPr>
      <w:ind w:left="851" w:hanging="284"/>
    </w:pPr>
  </w:style>
  <w:style w:type="paragraph" w:styleId="ListNumber">
    <w:name w:val="List Number"/>
    <w:basedOn w:val="Normal"/>
    <w:uiPriority w:val="4"/>
    <w:qFormat/>
    <w:rsid w:val="0093149D"/>
    <w:pPr>
      <w:numPr>
        <w:numId w:val="11"/>
      </w:numPr>
      <w:spacing w:after="120" w:line="270" w:lineRule="exact"/>
      <w:ind w:left="284" w:hanging="284"/>
    </w:pPr>
  </w:style>
  <w:style w:type="paragraph" w:styleId="ListNumber2">
    <w:name w:val="List Number 2"/>
    <w:basedOn w:val="ListNumber"/>
    <w:uiPriority w:val="4"/>
    <w:qFormat/>
    <w:rsid w:val="003F2CCF"/>
    <w:pPr>
      <w:numPr>
        <w:ilvl w:val="1"/>
      </w:numPr>
      <w:ind w:left="709" w:hanging="425"/>
    </w:pPr>
  </w:style>
  <w:style w:type="paragraph" w:styleId="ListNumber3">
    <w:name w:val="List Number 3"/>
    <w:basedOn w:val="ListNumber2"/>
    <w:uiPriority w:val="4"/>
    <w:qFormat/>
    <w:rsid w:val="00574CEB"/>
    <w:pPr>
      <w:numPr>
        <w:ilvl w:val="2"/>
      </w:numPr>
      <w:ind w:left="1276" w:hanging="567"/>
    </w:pPr>
  </w:style>
  <w:style w:type="character" w:customStyle="1" w:styleId="Heading7Char">
    <w:name w:val="Heading 7 Char"/>
    <w:basedOn w:val="DefaultParagraphFont"/>
    <w:link w:val="Heading7"/>
    <w:uiPriority w:val="1"/>
    <w:rsid w:val="002F7C58"/>
    <w:rPr>
      <w:rFonts w:asciiTheme="majorHAnsi" w:eastAsiaTheme="majorEastAsia" w:hAnsiTheme="majorHAnsi" w:cstheme="majorBidi"/>
      <w:b/>
      <w:iCs/>
      <w:color w:val="1B9590" w:themeColor="accent1"/>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1"/>
    <w:rsid w:val="002F7C58"/>
    <w:rPr>
      <w:rFonts w:asciiTheme="majorHAnsi" w:eastAsiaTheme="majorEastAsia" w:hAnsiTheme="majorHAnsi" w:cstheme="majorBidi"/>
      <w:color w:val="005677" w:themeColor="background2"/>
      <w:szCs w:val="20"/>
    </w:rPr>
  </w:style>
  <w:style w:type="paragraph" w:customStyle="1" w:styleId="Source">
    <w:name w:val="Source"/>
    <w:basedOn w:val="Normal"/>
    <w:next w:val="BodyText"/>
    <w:link w:val="SourceChar"/>
    <w:qFormat/>
    <w:rsid w:val="002F7C58"/>
    <w:pPr>
      <w:keepLines/>
      <w:pBdr>
        <w:bottom w:val="single" w:sz="4" w:space="1" w:color="595A5B"/>
      </w:pBdr>
      <w:spacing w:before="60" w:after="360" w:line="270" w:lineRule="exact"/>
    </w:pPr>
    <w:rPr>
      <w:rFonts w:eastAsia="Times New Roman" w:cs="Arial"/>
      <w:color w:val="005677" w:themeColor="background2"/>
      <w:sz w:val="16"/>
      <w:szCs w:val="20"/>
      <w:lang w:val="en"/>
    </w:rPr>
  </w:style>
  <w:style w:type="character" w:customStyle="1" w:styleId="SourceChar">
    <w:name w:val="Source Char"/>
    <w:basedOn w:val="DefaultParagraphFont"/>
    <w:link w:val="Source"/>
    <w:rsid w:val="002F7C58"/>
    <w:rPr>
      <w:rFonts w:ascii="Arial" w:eastAsia="Times New Roman" w:hAnsi="Arial" w:cs="Arial"/>
      <w:color w:val="005677" w:themeColor="background2"/>
      <w:sz w:val="16"/>
      <w:szCs w:val="20"/>
      <w:lang w:val="en"/>
    </w:rPr>
  </w:style>
  <w:style w:type="paragraph" w:customStyle="1" w:styleId="Tabletext">
    <w:name w:val="Table text"/>
    <w:basedOn w:val="Normal"/>
    <w:link w:val="TabletextChar"/>
    <w:qFormat/>
    <w:rsid w:val="00F228DB"/>
    <w:pPr>
      <w:keepNext/>
      <w:keepLines/>
      <w:spacing w:before="60" w:after="60" w:line="240" w:lineRule="auto"/>
    </w:pPr>
    <w:rPr>
      <w:rFonts w:cs="Arial"/>
      <w:sz w:val="18"/>
      <w:szCs w:val="18"/>
    </w:rPr>
  </w:style>
  <w:style w:type="character" w:customStyle="1" w:styleId="TabletextChar">
    <w:name w:val="Table text Char"/>
    <w:basedOn w:val="DefaultParagraphFont"/>
    <w:link w:val="Tabletext"/>
    <w:rsid w:val="00F228DB"/>
    <w:rPr>
      <w:rFonts w:ascii="Arial" w:hAnsi="Arial" w:cs="Arial"/>
      <w:color w:val="373737"/>
      <w:sz w:val="18"/>
      <w:szCs w:val="18"/>
    </w:rPr>
  </w:style>
  <w:style w:type="paragraph" w:customStyle="1" w:styleId="Tableheader">
    <w:name w:val="Table header"/>
    <w:basedOn w:val="Normal"/>
    <w:link w:val="TableheaderChar"/>
    <w:qFormat/>
    <w:rsid w:val="004812C0"/>
    <w:pPr>
      <w:keepNext/>
      <w:spacing w:before="120" w:after="120" w:line="240" w:lineRule="auto"/>
    </w:pPr>
    <w:rPr>
      <w:rFonts w:cs="Arial"/>
      <w:b/>
      <w:color w:val="FFFFFF"/>
      <w:sz w:val="18"/>
      <w:szCs w:val="18"/>
    </w:rPr>
  </w:style>
  <w:style w:type="character" w:customStyle="1" w:styleId="TableheaderChar">
    <w:name w:val="Table header Char"/>
    <w:basedOn w:val="DefaultParagraphFont"/>
    <w:link w:val="Tableheader"/>
    <w:rsid w:val="004812C0"/>
    <w:rPr>
      <w:rFonts w:ascii="Arial" w:hAnsi="Arial" w:cs="Arial"/>
      <w:b/>
      <w:color w:val="FFFFFF"/>
      <w:sz w:val="18"/>
      <w:szCs w:val="18"/>
    </w:rPr>
  </w:style>
  <w:style w:type="paragraph" w:styleId="Caption">
    <w:name w:val="caption"/>
    <w:basedOn w:val="Normal"/>
    <w:next w:val="Placeholder"/>
    <w:rsid w:val="004812C0"/>
    <w:pPr>
      <w:keepNext/>
      <w:keepLines/>
      <w:pBdr>
        <w:top w:val="single" w:sz="2" w:space="1" w:color="595A5B"/>
      </w:pBdr>
      <w:spacing w:before="360" w:after="240" w:line="240" w:lineRule="atLeast"/>
    </w:pPr>
    <w:rPr>
      <w:bCs/>
      <w:color w:val="005CAF"/>
      <w:sz w:val="18"/>
      <w:szCs w:val="18"/>
    </w:rPr>
  </w:style>
  <w:style w:type="paragraph" w:customStyle="1" w:styleId="Note">
    <w:name w:val="Note"/>
    <w:basedOn w:val="Source"/>
    <w:rsid w:val="00300738"/>
    <w:pPr>
      <w:keepNext/>
      <w:pBdr>
        <w:bottom w:val="none" w:sz="0" w:space="0" w:color="auto"/>
      </w:pBdr>
      <w:spacing w:after="60"/>
    </w:pPr>
  </w:style>
  <w:style w:type="table" w:customStyle="1" w:styleId="OCETable">
    <w:name w:val="OCE Table"/>
    <w:basedOn w:val="TableNormal"/>
    <w:uiPriority w:val="99"/>
    <w:rsid w:val="00FE4A3C"/>
    <w:pPr>
      <w:spacing w:after="0" w:line="240" w:lineRule="auto"/>
    </w:pPr>
    <w:rPr>
      <w:color w:val="373737"/>
      <w:sz w:val="18"/>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 w:type="paragraph" w:customStyle="1" w:styleId="CaptionWide">
    <w:name w:val="Caption Wide"/>
    <w:basedOn w:val="Caption"/>
    <w:next w:val="PlaceholderWide"/>
    <w:rsid w:val="00382BE7"/>
    <w:pPr>
      <w:ind w:left="-1985"/>
    </w:pPr>
  </w:style>
  <w:style w:type="paragraph" w:customStyle="1" w:styleId="NoteWide">
    <w:name w:val="Note Wide"/>
    <w:basedOn w:val="Note"/>
    <w:rsid w:val="00114BB1"/>
    <w:pPr>
      <w:ind w:left="-1985"/>
    </w:pPr>
  </w:style>
  <w:style w:type="paragraph" w:customStyle="1" w:styleId="SourceWide">
    <w:name w:val="Source Wide"/>
    <w:basedOn w:val="Source"/>
    <w:next w:val="BodyText"/>
    <w:rsid w:val="00114BB1"/>
    <w:pPr>
      <w:ind w:left="-1985"/>
    </w:pPr>
  </w:style>
  <w:style w:type="paragraph" w:customStyle="1" w:styleId="Placeholder">
    <w:name w:val="Placeholder"/>
    <w:basedOn w:val="Normal"/>
    <w:rsid w:val="000C19CB"/>
    <w:pPr>
      <w:keepNext/>
      <w:keepLines/>
      <w:spacing w:after="0" w:line="240" w:lineRule="auto"/>
      <w:jc w:val="center"/>
    </w:pPr>
    <w:rPr>
      <w:sz w:val="18"/>
    </w:rPr>
  </w:style>
  <w:style w:type="paragraph" w:customStyle="1" w:styleId="PlaceholderWide">
    <w:name w:val="Placeholder Wide"/>
    <w:basedOn w:val="Placeholder"/>
    <w:rsid w:val="000C19CB"/>
  </w:style>
  <w:style w:type="paragraph" w:customStyle="1" w:styleId="Boxtext">
    <w:name w:val="Box text"/>
    <w:basedOn w:val="Placeholder"/>
    <w:rsid w:val="000C19CB"/>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070749"/>
    <w:pPr>
      <w:numPr>
        <w:numId w:val="5"/>
      </w:numPr>
    </w:pPr>
  </w:style>
  <w:style w:type="paragraph" w:customStyle="1" w:styleId="UnnumberedHeading">
    <w:name w:val="Unnumbered Heading"/>
    <w:next w:val="BodyText"/>
    <w:link w:val="UnnumberedHeadingChar"/>
    <w:autoRedefine/>
    <w:rsid w:val="00CE37D2"/>
    <w:pPr>
      <w:keepNext/>
      <w:spacing w:before="300" w:after="180" w:line="280" w:lineRule="exact"/>
      <w:outlineLvl w:val="0"/>
    </w:pPr>
    <w:rPr>
      <w:rFonts w:ascii="Arial" w:eastAsia="Times New Roman" w:hAnsi="Arial" w:cs="Times New Roman"/>
      <w:b/>
      <w:color w:val="005CAF"/>
      <w:kern w:val="32"/>
      <w:sz w:val="32"/>
      <w:szCs w:val="20"/>
    </w:rPr>
  </w:style>
  <w:style w:type="character" w:customStyle="1" w:styleId="UnnumberedHeadingChar">
    <w:name w:val="Unnumbered Heading Char"/>
    <w:basedOn w:val="Heading1Char"/>
    <w:link w:val="UnnumberedHeading"/>
    <w:rsid w:val="00CE37D2"/>
    <w:rPr>
      <w:rFonts w:ascii="Arial" w:eastAsia="Times New Roman" w:hAnsi="Arial" w:cs="Times New Roman"/>
      <w:b/>
      <w:bCs w:val="0"/>
      <w:color w:val="005CAF"/>
      <w:kern w:val="32"/>
      <w:sz w:val="32"/>
      <w:szCs w:val="20"/>
    </w:rPr>
  </w:style>
  <w:style w:type="paragraph" w:styleId="Title">
    <w:name w:val="Title"/>
    <w:basedOn w:val="ResearchPaper"/>
    <w:next w:val="Normal"/>
    <w:link w:val="TitleChar"/>
    <w:rsid w:val="009F2590"/>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9F2590"/>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9F2590"/>
    <w:pPr>
      <w:spacing w:before="240" w:line="270" w:lineRule="exact"/>
    </w:pPr>
    <w:rPr>
      <w:rFonts w:eastAsia="Times New Roman" w:cs="Arial"/>
      <w:b/>
      <w:caps/>
      <w:sz w:val="21"/>
      <w:szCs w:val="20"/>
    </w:rPr>
  </w:style>
  <w:style w:type="character" w:customStyle="1" w:styleId="ResearchPaperChar">
    <w:name w:val="Research Paper # Char"/>
    <w:link w:val="ResearchPaper"/>
    <w:rsid w:val="009F2590"/>
    <w:rPr>
      <w:rFonts w:eastAsia="Times New Roman" w:cs="Arial"/>
      <w:b/>
      <w:caps/>
      <w:color w:val="595A5B"/>
      <w:sz w:val="21"/>
      <w:szCs w:val="20"/>
    </w:rPr>
  </w:style>
  <w:style w:type="paragraph" w:customStyle="1" w:styleId="Author">
    <w:name w:val="Author"/>
    <w:basedOn w:val="Normal"/>
    <w:link w:val="AuthorChar"/>
    <w:rsid w:val="00F20A86"/>
    <w:pPr>
      <w:spacing w:before="180" w:line="270" w:lineRule="exact"/>
    </w:pPr>
    <w:rPr>
      <w:rFonts w:eastAsia="Times New Roman" w:cs="Arial"/>
      <w:b/>
      <w:color w:val="005CAF"/>
      <w:sz w:val="32"/>
      <w:szCs w:val="20"/>
    </w:rPr>
  </w:style>
  <w:style w:type="character" w:customStyle="1" w:styleId="AuthorChar">
    <w:name w:val="Author Char"/>
    <w:basedOn w:val="DefaultParagraphFont"/>
    <w:link w:val="Author"/>
    <w:rsid w:val="00F20A86"/>
    <w:rPr>
      <w:rFonts w:ascii="Arial" w:eastAsia="Times New Roman" w:hAnsi="Arial" w:cs="Arial"/>
      <w:b/>
      <w:color w:val="005CAF"/>
      <w:sz w:val="32"/>
      <w:szCs w:val="20"/>
    </w:rPr>
  </w:style>
  <w:style w:type="paragraph" w:customStyle="1" w:styleId="MonthYear">
    <w:name w:val="Month Year"/>
    <w:basedOn w:val="Normal"/>
    <w:link w:val="MonthYearChar"/>
    <w:qFormat/>
    <w:rsid w:val="00BE60BB"/>
    <w:pPr>
      <w:spacing w:before="720" w:line="270" w:lineRule="exact"/>
    </w:pPr>
    <w:rPr>
      <w:rFonts w:asciiTheme="minorHAnsi" w:eastAsia="Times New Roman" w:hAnsiTheme="minorHAnsi" w:cs="Arial"/>
      <w:b/>
      <w:color w:val="177F7A"/>
      <w:szCs w:val="20"/>
    </w:rPr>
  </w:style>
  <w:style w:type="character" w:customStyle="1" w:styleId="MonthYearChar">
    <w:name w:val="Month Year Char"/>
    <w:basedOn w:val="DefaultParagraphFont"/>
    <w:link w:val="MonthYear"/>
    <w:rsid w:val="00BE60BB"/>
    <w:rPr>
      <w:rFonts w:eastAsia="Times New Roman" w:cs="Arial"/>
      <w:b/>
      <w:color w:val="177F7A"/>
      <w:sz w:val="20"/>
      <w:szCs w:val="20"/>
    </w:rPr>
  </w:style>
  <w:style w:type="paragraph" w:customStyle="1" w:styleId="AbstractHeader">
    <w:name w:val="Abstract Header"/>
    <w:basedOn w:val="Normal"/>
    <w:link w:val="AbstractHeaderChar"/>
    <w:qFormat/>
    <w:rsid w:val="002F7C58"/>
    <w:pPr>
      <w:spacing w:before="360" w:line="270" w:lineRule="exact"/>
    </w:pPr>
    <w:rPr>
      <w:rFonts w:eastAsia="Times New Roman" w:cs="Arial"/>
      <w:color w:val="005677" w:themeColor="background2"/>
      <w:sz w:val="32"/>
      <w:szCs w:val="20"/>
    </w:rPr>
  </w:style>
  <w:style w:type="character" w:customStyle="1" w:styleId="AbstractHeaderChar">
    <w:name w:val="Abstract Header Char"/>
    <w:basedOn w:val="DefaultParagraphFont"/>
    <w:link w:val="AbstractHeader"/>
    <w:rsid w:val="002F7C58"/>
    <w:rPr>
      <w:rFonts w:ascii="Arial" w:eastAsia="Times New Roman" w:hAnsi="Arial" w:cs="Arial"/>
      <w:color w:val="005677" w:themeColor="background2"/>
      <w:sz w:val="32"/>
      <w:szCs w:val="20"/>
    </w:rPr>
  </w:style>
  <w:style w:type="numbering" w:customStyle="1" w:styleId="EASDMultilevelList">
    <w:name w:val="EASD Multilevel List"/>
    <w:uiPriority w:val="99"/>
    <w:rsid w:val="009F2590"/>
    <w:pPr>
      <w:numPr>
        <w:numId w:val="6"/>
      </w:numPr>
    </w:pPr>
  </w:style>
  <w:style w:type="numbering" w:styleId="111111">
    <w:name w:val="Outline List 2"/>
    <w:basedOn w:val="NoList"/>
    <w:rsid w:val="009F2590"/>
    <w:pPr>
      <w:numPr>
        <w:numId w:val="2"/>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F20A86"/>
    <w:pPr>
      <w:spacing w:line="240" w:lineRule="auto"/>
    </w:pPr>
    <w:rPr>
      <w:color w:val="373737"/>
      <w:sz w:val="20"/>
    </w:rPr>
  </w:style>
  <w:style w:type="paragraph" w:customStyle="1" w:styleId="TitleHeading">
    <w:name w:val="Title Heading"/>
    <w:link w:val="TitleHeadingChar"/>
    <w:qFormat/>
    <w:rsid w:val="002F7C58"/>
    <w:pPr>
      <w:keepNext/>
      <w:spacing w:before="600" w:after="600" w:line="240" w:lineRule="auto"/>
      <w:ind w:right="57"/>
    </w:pPr>
    <w:rPr>
      <w:rFonts w:ascii="Arial" w:eastAsia="Times New Roman" w:hAnsi="Arial" w:cs="Times New Roman"/>
      <w:color w:val="005677" w:themeColor="background2"/>
      <w:kern w:val="32"/>
      <w:sz w:val="72"/>
      <w:szCs w:val="20"/>
    </w:rPr>
  </w:style>
  <w:style w:type="character" w:customStyle="1" w:styleId="TitleHeadingChar">
    <w:name w:val="Title Heading Char"/>
    <w:basedOn w:val="Heading2Char"/>
    <w:link w:val="TitleHeading"/>
    <w:rsid w:val="002F7C58"/>
    <w:rPr>
      <w:rFonts w:ascii="Arial" w:eastAsia="Times New Roman" w:hAnsi="Arial" w:cs="Times New Roman"/>
      <w:b w:val="0"/>
      <w:iCs w:val="0"/>
      <w:color w:val="005677" w:themeColor="background2"/>
      <w:kern w:val="32"/>
      <w:sz w:val="72"/>
      <w:szCs w:val="20"/>
    </w:rPr>
  </w:style>
  <w:style w:type="paragraph" w:customStyle="1" w:styleId="Keypointsbullet">
    <w:name w:val="Key points bullet"/>
    <w:basedOn w:val="BodyText"/>
    <w:link w:val="KeypointsbulletChar"/>
    <w:qFormat/>
    <w:rsid w:val="00B766F7"/>
    <w:pPr>
      <w:numPr>
        <w:numId w:val="7"/>
      </w:numPr>
      <w:ind w:left="311" w:right="153" w:hanging="249"/>
    </w:pPr>
    <w:rPr>
      <w:rFonts w:eastAsia="Times New Roman" w:cs="Arial"/>
      <w:b/>
      <w:szCs w:val="20"/>
      <w:lang w:val="en"/>
    </w:rPr>
  </w:style>
  <w:style w:type="character" w:customStyle="1" w:styleId="KeypointsbulletChar">
    <w:name w:val="Key points bullet Char"/>
    <w:basedOn w:val="ListParagraphChar"/>
    <w:link w:val="Keypointsbullet"/>
    <w:rsid w:val="00B766F7"/>
    <w:rPr>
      <w:rFonts w:eastAsia="Times New Roman" w:cs="Arial"/>
      <w:b/>
      <w:color w:val="373737"/>
      <w:sz w:val="20"/>
      <w:szCs w:val="20"/>
      <w:lang w:val="en"/>
    </w:rPr>
  </w:style>
  <w:style w:type="paragraph" w:styleId="Header">
    <w:name w:val="header"/>
    <w:aliases w:val="HeaderPort"/>
    <w:basedOn w:val="Normal"/>
    <w:link w:val="HeaderChar"/>
    <w:uiPriority w:val="99"/>
    <w:unhideWhenUsed/>
    <w:rsid w:val="00E35ECE"/>
    <w:pPr>
      <w:spacing w:after="0" w:line="240" w:lineRule="auto"/>
    </w:pPr>
  </w:style>
  <w:style w:type="character" w:customStyle="1" w:styleId="HeaderChar">
    <w:name w:val="Header Char"/>
    <w:aliases w:val="HeaderPort Char"/>
    <w:basedOn w:val="DefaultParagraphFont"/>
    <w:link w:val="Header"/>
    <w:uiPriority w:val="99"/>
    <w:rsid w:val="00E35ECE"/>
    <w:rPr>
      <w:rFonts w:ascii="Arial" w:hAnsi="Arial"/>
      <w:color w:val="595A5B"/>
      <w:sz w:val="20"/>
    </w:rPr>
  </w:style>
  <w:style w:type="paragraph" w:customStyle="1" w:styleId="CoverAbstract">
    <w:name w:val="Cover Abstract"/>
    <w:basedOn w:val="Normal"/>
    <w:uiPriority w:val="10"/>
    <w:rsid w:val="009F2590"/>
    <w:pPr>
      <w:spacing w:line="270" w:lineRule="exact"/>
    </w:pPr>
    <w:rPr>
      <w:lang w:val="en"/>
    </w:rPr>
  </w:style>
  <w:style w:type="paragraph" w:customStyle="1" w:styleId="ReportCoverContact">
    <w:name w:val="Report Cover Contact"/>
    <w:basedOn w:val="Normal"/>
    <w:rsid w:val="009F2590"/>
    <w:pPr>
      <w:spacing w:after="60" w:line="270" w:lineRule="exact"/>
    </w:pPr>
    <w:rPr>
      <w:rFonts w:eastAsia="Calibri" w:cs="Arial"/>
      <w:sz w:val="16"/>
      <w:szCs w:val="18"/>
      <w:lang w:val="en"/>
    </w:rPr>
  </w:style>
  <w:style w:type="paragraph" w:customStyle="1" w:styleId="ReportCoverInformation">
    <w:name w:val="Report Cover Information"/>
    <w:basedOn w:val="Normal"/>
    <w:rsid w:val="00F20A86"/>
    <w:pPr>
      <w:keepNext/>
      <w:pBdr>
        <w:top w:val="single" w:sz="4" w:space="1" w:color="595A5B"/>
      </w:pBdr>
      <w:spacing w:before="600" w:after="120" w:line="240" w:lineRule="atLeast"/>
      <w:ind w:right="57"/>
      <w:outlineLvl w:val="7"/>
    </w:pPr>
    <w:rPr>
      <w:rFonts w:eastAsia="Times New Roman" w:cs="Times New Roman"/>
      <w:color w:val="005CAF"/>
      <w:sz w:val="16"/>
      <w:szCs w:val="20"/>
      <w:lang w:val="en"/>
    </w:rPr>
  </w:style>
  <w:style w:type="paragraph" w:styleId="TOC2">
    <w:name w:val="toc 2"/>
    <w:basedOn w:val="Normal"/>
    <w:next w:val="Normal"/>
    <w:autoRedefine/>
    <w:uiPriority w:val="39"/>
    <w:rsid w:val="00854CD7"/>
    <w:pPr>
      <w:tabs>
        <w:tab w:val="left" w:pos="1843"/>
        <w:tab w:val="right" w:pos="8931"/>
      </w:tabs>
      <w:spacing w:after="100"/>
      <w:ind w:left="1843" w:right="804" w:hanging="567"/>
    </w:pPr>
    <w:rPr>
      <w:noProof/>
    </w:rPr>
  </w:style>
  <w:style w:type="paragraph" w:styleId="TOC3">
    <w:name w:val="toc 3"/>
    <w:basedOn w:val="Normal"/>
    <w:next w:val="Normal"/>
    <w:autoRedefine/>
    <w:uiPriority w:val="39"/>
    <w:rsid w:val="009F2590"/>
    <w:pPr>
      <w:tabs>
        <w:tab w:val="right" w:pos="8931"/>
      </w:tabs>
      <w:spacing w:after="100"/>
      <w:ind w:left="1843" w:right="804"/>
    </w:pPr>
    <w:rPr>
      <w:noProof/>
    </w:rPr>
  </w:style>
  <w:style w:type="paragraph" w:styleId="TOC6">
    <w:name w:val="toc 6"/>
    <w:basedOn w:val="Normal"/>
    <w:next w:val="Normal"/>
    <w:autoRedefine/>
    <w:uiPriority w:val="39"/>
    <w:rsid w:val="009F2590"/>
    <w:pPr>
      <w:tabs>
        <w:tab w:val="right" w:pos="8931"/>
      </w:tabs>
      <w:spacing w:after="100"/>
      <w:ind w:left="2127" w:right="804" w:hanging="1418"/>
    </w:pPr>
    <w:rPr>
      <w:b/>
    </w:rPr>
  </w:style>
  <w:style w:type="paragraph" w:customStyle="1" w:styleId="Contents">
    <w:name w:val="Contents"/>
    <w:basedOn w:val="CoverNormal"/>
    <w:rsid w:val="007D5E09"/>
    <w:pPr>
      <w:pageBreakBefore/>
      <w:ind w:left="567"/>
      <w:jc w:val="center"/>
    </w:pPr>
    <w:rPr>
      <w:rFonts w:asciiTheme="majorHAnsi" w:hAnsiTheme="majorHAnsi" w:cstheme="majorHAnsi"/>
      <w:b/>
      <w:color w:val="005CAF"/>
      <w:sz w:val="52"/>
      <w:szCs w:val="52"/>
    </w:rPr>
  </w:style>
  <w:style w:type="paragraph" w:customStyle="1" w:styleId="CreativeCommonsLicence">
    <w:name w:val="Creative Commons Licence"/>
    <w:basedOn w:val="DisclaimerHeading"/>
    <w:next w:val="DisclaimerandAcknowledgement"/>
    <w:rsid w:val="009F2590"/>
    <w:pPr>
      <w:keepNext/>
      <w:outlineLvl w:val="7"/>
    </w:pPr>
  </w:style>
  <w:style w:type="paragraph" w:customStyle="1" w:styleId="Keypointsheader">
    <w:name w:val="Key points header"/>
    <w:basedOn w:val="BodyText"/>
    <w:link w:val="KeypointsheaderChar"/>
    <w:qFormat/>
    <w:rsid w:val="002F7C58"/>
    <w:pPr>
      <w:keepNext/>
      <w:pageBreakBefore/>
      <w:spacing w:before="300" w:line="280" w:lineRule="atLeast"/>
      <w:ind w:left="34" w:right="57"/>
      <w:jc w:val="left"/>
    </w:pPr>
    <w:rPr>
      <w:rFonts w:eastAsia="Times New Roman" w:cs="Times New Roman"/>
      <w:b/>
      <w:color w:val="005677" w:themeColor="background2"/>
      <w:sz w:val="32"/>
      <w:szCs w:val="20"/>
    </w:rPr>
  </w:style>
  <w:style w:type="character" w:customStyle="1" w:styleId="KeypointsheaderChar">
    <w:name w:val="Key points header Char"/>
    <w:basedOn w:val="DefaultParagraphFont"/>
    <w:link w:val="Keypointsheader"/>
    <w:rsid w:val="002F7C58"/>
    <w:rPr>
      <w:rFonts w:eastAsia="Times New Roman" w:cs="Times New Roman"/>
      <w:b/>
      <w:color w:val="005677" w:themeColor="background2"/>
      <w:sz w:val="32"/>
      <w:szCs w:val="20"/>
    </w:rPr>
  </w:style>
  <w:style w:type="paragraph" w:customStyle="1" w:styleId="AbstractText">
    <w:name w:val="Abstract Text"/>
    <w:basedOn w:val="CoverNormal"/>
    <w:rsid w:val="005A409E"/>
    <w:pPr>
      <w:spacing w:before="60" w:after="60" w:line="260" w:lineRule="exact"/>
    </w:pPr>
  </w:style>
  <w:style w:type="paragraph" w:customStyle="1" w:styleId="JELCodeheader">
    <w:name w:val="JEL Code header"/>
    <w:link w:val="JELCodeheaderChar"/>
    <w:qFormat/>
    <w:rsid w:val="003E50C4"/>
    <w:pPr>
      <w:spacing w:after="0" w:line="270" w:lineRule="exact"/>
      <w:jc w:val="both"/>
    </w:pPr>
    <w:rPr>
      <w:rFonts w:ascii="Arial" w:eastAsia="Times New Roman" w:hAnsi="Arial" w:cs="Arial"/>
      <w:b/>
      <w:color w:val="373737"/>
      <w:sz w:val="20"/>
      <w:szCs w:val="20"/>
      <w:lang w:val="en"/>
    </w:rPr>
  </w:style>
  <w:style w:type="character" w:customStyle="1" w:styleId="JELCodeheaderChar">
    <w:name w:val="JEL Code header Char"/>
    <w:basedOn w:val="DefaultParagraphFont"/>
    <w:link w:val="JELCodeheader"/>
    <w:rsid w:val="003E50C4"/>
    <w:rPr>
      <w:rFonts w:ascii="Arial" w:eastAsia="Times New Roman" w:hAnsi="Arial" w:cs="Arial"/>
      <w:b/>
      <w:color w:val="373737"/>
      <w:sz w:val="20"/>
      <w:szCs w:val="20"/>
      <w:lang w:val="en"/>
    </w:rPr>
  </w:style>
  <w:style w:type="paragraph" w:customStyle="1" w:styleId="DisclaimerandAcknowledgement">
    <w:name w:val="Disclaimer and Acknowledgement"/>
    <w:basedOn w:val="Normal"/>
    <w:link w:val="DisclaimerandAcknowledgementChar"/>
    <w:autoRedefine/>
    <w:qFormat/>
    <w:rsid w:val="001C0356"/>
    <w:pPr>
      <w:spacing w:after="140" w:line="270" w:lineRule="exact"/>
      <w:ind w:left="720"/>
    </w:pPr>
    <w:rPr>
      <w:rFonts w:eastAsia="Calibri" w:cs="Arial"/>
      <w:sz w:val="16"/>
      <w:szCs w:val="18"/>
      <w:lang w:val="en"/>
    </w:rPr>
  </w:style>
  <w:style w:type="character" w:customStyle="1" w:styleId="DisclaimerandAcknowledgementChar">
    <w:name w:val="Disclaimer and Acknowledgement Char"/>
    <w:link w:val="DisclaimerandAcknowledgement"/>
    <w:rsid w:val="001C0356"/>
    <w:rPr>
      <w:rFonts w:ascii="Arial" w:eastAsia="Calibri" w:hAnsi="Arial" w:cs="Arial"/>
      <w:color w:val="373737"/>
      <w:sz w:val="16"/>
      <w:szCs w:val="18"/>
      <w:lang w:val="en"/>
    </w:rPr>
  </w:style>
  <w:style w:type="paragraph" w:customStyle="1" w:styleId="HyperlinkStyle">
    <w:name w:val="Hyperlink Style"/>
    <w:basedOn w:val="Normal"/>
    <w:link w:val="HyperlinkStyleChar"/>
    <w:qFormat/>
    <w:rsid w:val="002F7C58"/>
    <w:pPr>
      <w:spacing w:line="270" w:lineRule="exact"/>
    </w:pPr>
    <w:rPr>
      <w:rFonts w:eastAsia="Calibri" w:cs="Times New Roman"/>
      <w:color w:val="005677" w:themeColor="background2"/>
      <w:szCs w:val="20"/>
    </w:rPr>
  </w:style>
  <w:style w:type="character" w:customStyle="1" w:styleId="HyperlinkStyleChar">
    <w:name w:val="Hyperlink Style Char"/>
    <w:link w:val="HyperlinkStyle"/>
    <w:rsid w:val="002F7C58"/>
    <w:rPr>
      <w:rFonts w:ascii="Arial" w:eastAsia="Calibri" w:hAnsi="Arial" w:cs="Times New Roman"/>
      <w:color w:val="005677" w:themeColor="background2"/>
      <w:sz w:val="20"/>
      <w:szCs w:val="20"/>
    </w:rPr>
  </w:style>
  <w:style w:type="paragraph" w:customStyle="1" w:styleId="DisclaimerHeading">
    <w:name w:val="Disclaimer Heading"/>
    <w:next w:val="DisclaimerandAcknowledgement"/>
    <w:link w:val="DisclaimerHeadingChar"/>
    <w:qFormat/>
    <w:rsid w:val="002F7C58"/>
    <w:pPr>
      <w:pBdr>
        <w:top w:val="single" w:sz="4" w:space="1" w:color="595A5B"/>
      </w:pBdr>
      <w:spacing w:before="360" w:after="120" w:line="240" w:lineRule="atLeast"/>
      <w:ind w:left="2160" w:right="57"/>
    </w:pPr>
    <w:rPr>
      <w:rFonts w:ascii="Arial" w:eastAsia="Times New Roman" w:hAnsi="Arial" w:cs="Times New Roman"/>
      <w:color w:val="005677" w:themeColor="background2"/>
      <w:sz w:val="16"/>
      <w:szCs w:val="20"/>
      <w:lang w:val="en"/>
    </w:rPr>
  </w:style>
  <w:style w:type="character" w:customStyle="1" w:styleId="DisclaimerHeadingChar">
    <w:name w:val="Disclaimer Heading Char"/>
    <w:basedOn w:val="DefaultParagraphFont"/>
    <w:link w:val="DisclaimerHeading"/>
    <w:rsid w:val="002F7C58"/>
    <w:rPr>
      <w:rFonts w:ascii="Arial" w:eastAsia="Times New Roman" w:hAnsi="Arial" w:cs="Times New Roman"/>
      <w:color w:val="005677" w:themeColor="background2"/>
      <w:sz w:val="16"/>
      <w:szCs w:val="20"/>
      <w:lang w:val="en"/>
    </w:rPr>
  </w:style>
  <w:style w:type="paragraph" w:styleId="Quote">
    <w:name w:val="Quote"/>
    <w:basedOn w:val="Normal"/>
    <w:next w:val="Normal"/>
    <w:link w:val="QuoteChar"/>
    <w:uiPriority w:val="29"/>
    <w:rsid w:val="005A09DF"/>
    <w:pPr>
      <w:ind w:left="284" w:right="522"/>
    </w:pPr>
    <w:rPr>
      <w:rFonts w:asciiTheme="minorHAnsi" w:hAnsiTheme="minorHAnsi"/>
      <w:iCs/>
      <w:sz w:val="18"/>
    </w:rPr>
  </w:style>
  <w:style w:type="character" w:customStyle="1" w:styleId="QuoteChar">
    <w:name w:val="Quote Char"/>
    <w:basedOn w:val="DefaultParagraphFont"/>
    <w:link w:val="Quote"/>
    <w:uiPriority w:val="29"/>
    <w:rsid w:val="005A09DF"/>
    <w:rPr>
      <w:iCs/>
      <w:color w:val="373737"/>
      <w:sz w:val="18"/>
    </w:rPr>
  </w:style>
  <w:style w:type="paragraph" w:customStyle="1" w:styleId="TableListBullet">
    <w:name w:val="Table List Bullet"/>
    <w:basedOn w:val="Tabletext"/>
    <w:next w:val="BodyText"/>
    <w:autoRedefine/>
    <w:rsid w:val="00FD3206"/>
    <w:pPr>
      <w:numPr>
        <w:numId w:val="12"/>
      </w:numPr>
    </w:pPr>
    <w:rPr>
      <w:rFonts w:eastAsia="Times New Roman"/>
      <w:lang w:eastAsia="en-AU"/>
    </w:rPr>
  </w:style>
  <w:style w:type="numbering" w:customStyle="1" w:styleId="OCETableBullets">
    <w:name w:val="OCE Table Bullets"/>
    <w:uiPriority w:val="99"/>
    <w:rsid w:val="009F2590"/>
    <w:pPr>
      <w:numPr>
        <w:numId w:val="8"/>
      </w:numPr>
    </w:pPr>
  </w:style>
  <w:style w:type="paragraph" w:customStyle="1" w:styleId="Logo">
    <w:name w:val="Logo"/>
    <w:basedOn w:val="Normal"/>
    <w:next w:val="DisclaimerHeading"/>
    <w:rsid w:val="009F2590"/>
    <w:pPr>
      <w:spacing w:before="600"/>
    </w:pPr>
    <w:rPr>
      <w:noProof/>
      <w:lang w:eastAsia="en-AU"/>
    </w:rPr>
  </w:style>
  <w:style w:type="paragraph" w:customStyle="1" w:styleId="SideQuote">
    <w:name w:val="Side Quote"/>
    <w:basedOn w:val="Normal"/>
    <w:next w:val="SideQuoteSource"/>
    <w:link w:val="SideQuoteChar"/>
    <w:rsid w:val="00C325FC"/>
    <w:pPr>
      <w:keepNext/>
      <w:framePr w:w="1701" w:hSpace="113" w:vSpace="113" w:wrap="around" w:vAnchor="text" w:hAnchor="margin" w:x="-1984" w:y="1"/>
      <w:pBdr>
        <w:top w:val="single" w:sz="12" w:space="3" w:color="005CAF"/>
        <w:bottom w:val="single" w:sz="12" w:space="3" w:color="005CAF"/>
      </w:pBdr>
      <w:spacing w:before="60" w:after="40" w:line="220" w:lineRule="exact"/>
    </w:pPr>
    <w:rPr>
      <w:rFonts w:asciiTheme="majorHAnsi" w:eastAsia="Times New Roman" w:hAnsiTheme="majorHAnsi" w:cs="Times New Roman"/>
      <w:sz w:val="16"/>
      <w:lang w:eastAsia="en-AU"/>
    </w:rPr>
  </w:style>
  <w:style w:type="character" w:customStyle="1" w:styleId="SideQuoteChar">
    <w:name w:val="Side Quote Char"/>
    <w:basedOn w:val="DefaultParagraphFont"/>
    <w:link w:val="SideQuote"/>
    <w:rsid w:val="00C325FC"/>
    <w:rPr>
      <w:rFonts w:asciiTheme="majorHAnsi" w:eastAsia="Times New Roman" w:hAnsiTheme="majorHAnsi" w:cs="Times New Roman"/>
      <w:color w:val="373737"/>
      <w:sz w:val="16"/>
      <w:lang w:eastAsia="en-AU"/>
    </w:rPr>
  </w:style>
  <w:style w:type="paragraph" w:customStyle="1" w:styleId="SideQuoteSource">
    <w:name w:val="Side Quote Source"/>
    <w:basedOn w:val="SideQuote"/>
    <w:next w:val="BodyText"/>
    <w:rsid w:val="005A09DF"/>
    <w:pPr>
      <w:framePr w:wrap="around"/>
      <w:jc w:val="right"/>
    </w:pPr>
    <w:rPr>
      <w:i/>
      <w:color w:val="005CAF"/>
    </w:rPr>
  </w:style>
  <w:style w:type="paragraph" w:customStyle="1" w:styleId="LetterBody">
    <w:name w:val="Letter Body"/>
    <w:qFormat/>
    <w:rsid w:val="005A409E"/>
    <w:rPr>
      <w:rFonts w:ascii="Arial" w:eastAsia="Times New Roman" w:hAnsi="Arial" w:cs="Times New Roman"/>
      <w:color w:val="373737"/>
      <w:sz w:val="20"/>
      <w:szCs w:val="20"/>
      <w:lang w:eastAsia="en-AU"/>
    </w:rPr>
  </w:style>
  <w:style w:type="paragraph" w:customStyle="1" w:styleId="LetterAddress">
    <w:name w:val="Letter Address"/>
    <w:basedOn w:val="LetterNormal"/>
    <w:qFormat/>
    <w:rsid w:val="009F2590"/>
    <w:pPr>
      <w:spacing w:after="80"/>
      <w:ind w:left="1701"/>
    </w:pPr>
    <w:rPr>
      <w:sz w:val="16"/>
      <w:szCs w:val="16"/>
    </w:rPr>
  </w:style>
  <w:style w:type="paragraph" w:customStyle="1" w:styleId="Addressee">
    <w:name w:val="Addressee"/>
    <w:qFormat/>
    <w:rsid w:val="009F2590"/>
    <w:pPr>
      <w:spacing w:after="0"/>
    </w:pPr>
    <w:rPr>
      <w:rFonts w:ascii="Arial" w:eastAsia="Times New Roman" w:hAnsi="Arial" w:cs="Times New Roman"/>
      <w:sz w:val="20"/>
      <w:szCs w:val="20"/>
      <w:lang w:eastAsia="en-AU"/>
    </w:rPr>
  </w:style>
  <w:style w:type="paragraph" w:customStyle="1" w:styleId="LetterAddressee">
    <w:name w:val="Letter Addressee"/>
    <w:basedOn w:val="LetterNormal"/>
    <w:qFormat/>
    <w:rsid w:val="009F2590"/>
  </w:style>
  <w:style w:type="paragraph" w:customStyle="1" w:styleId="LetterSalutation">
    <w:name w:val="Letter Salutation"/>
    <w:basedOn w:val="LetterBody"/>
    <w:qFormat/>
    <w:rsid w:val="009F2590"/>
  </w:style>
  <w:style w:type="paragraph" w:customStyle="1" w:styleId="LetterSignature">
    <w:name w:val="Letter Signature"/>
    <w:basedOn w:val="LetterNormal"/>
    <w:qFormat/>
    <w:rsid w:val="009F2590"/>
    <w:pPr>
      <w:tabs>
        <w:tab w:val="left" w:pos="6200"/>
      </w:tabs>
    </w:pPr>
  </w:style>
  <w:style w:type="paragraph" w:customStyle="1" w:styleId="LetterNormal">
    <w:name w:val="Letter Normal"/>
    <w:basedOn w:val="Normal"/>
    <w:qFormat/>
    <w:rsid w:val="00CC6865"/>
    <w:pPr>
      <w:suppressAutoHyphens/>
      <w:spacing w:after="0" w:line="240" w:lineRule="auto"/>
    </w:pPr>
    <w:rPr>
      <w:rFonts w:eastAsia="Times New Roman" w:cs="Times New Roman"/>
      <w:szCs w:val="20"/>
      <w:lang w:eastAsia="en-AU"/>
    </w:rPr>
  </w:style>
  <w:style w:type="paragraph" w:customStyle="1" w:styleId="LetterAddressBlock">
    <w:name w:val="Letter Address Block"/>
    <w:basedOn w:val="LetterNormal"/>
    <w:qFormat/>
    <w:rsid w:val="00CC6865"/>
    <w:pPr>
      <w:spacing w:after="80"/>
    </w:pPr>
    <w:rPr>
      <w:sz w:val="16"/>
      <w:szCs w:val="16"/>
    </w:rPr>
  </w:style>
  <w:style w:type="paragraph" w:customStyle="1" w:styleId="AgendaBodyText">
    <w:name w:val="Agenda Body Text"/>
    <w:autoRedefine/>
    <w:qFormat/>
    <w:rsid w:val="008D6D08"/>
    <w:pPr>
      <w:spacing w:before="120" w:after="0" w:line="240" w:lineRule="auto"/>
    </w:pPr>
    <w:rPr>
      <w:rFonts w:ascii="Arial" w:hAnsi="Arial"/>
      <w:color w:val="373737"/>
      <w:sz w:val="18"/>
      <w:lang w:eastAsia="en-AU"/>
    </w:rPr>
  </w:style>
  <w:style w:type="paragraph" w:customStyle="1" w:styleId="AgendaTableSubHeading">
    <w:name w:val="Agenda Table Sub Heading"/>
    <w:qFormat/>
    <w:rsid w:val="007E6036"/>
    <w:pPr>
      <w:spacing w:after="120" w:line="240" w:lineRule="auto"/>
    </w:pPr>
    <w:rPr>
      <w:rFonts w:ascii="Arial" w:hAnsi="Arial"/>
      <w:b/>
      <w:color w:val="373737"/>
      <w:sz w:val="18"/>
      <w:lang w:eastAsia="en-AU"/>
    </w:rPr>
  </w:style>
  <w:style w:type="paragraph" w:customStyle="1" w:styleId="AgendaTableColHeading">
    <w:name w:val="Agenda Table Col Heading"/>
    <w:next w:val="AgendaBodyText"/>
    <w:qFormat/>
    <w:rsid w:val="002F7C58"/>
    <w:pPr>
      <w:spacing w:before="200" w:after="0" w:line="240" w:lineRule="auto"/>
    </w:pPr>
    <w:rPr>
      <w:rFonts w:ascii="Arial" w:eastAsia="Times New Roman" w:hAnsi="Arial"/>
      <w:b/>
      <w:color w:val="005677" w:themeColor="background2"/>
      <w:lang w:eastAsia="en-AU"/>
    </w:rPr>
  </w:style>
  <w:style w:type="paragraph" w:customStyle="1" w:styleId="address">
    <w:name w:val="address"/>
    <w:basedOn w:val="Normal"/>
    <w:rsid w:val="00CC6865"/>
    <w:pPr>
      <w:widowControl w:val="0"/>
      <w:suppressAutoHyphens/>
      <w:spacing w:after="240" w:line="240" w:lineRule="auto"/>
    </w:pPr>
    <w:rPr>
      <w:rFonts w:eastAsia="Times New Roman" w:cs="Times New Roman"/>
      <w:color w:val="auto"/>
      <w:sz w:val="16"/>
      <w:szCs w:val="16"/>
      <w:lang w:val="en-GB" w:eastAsia="en-AU"/>
    </w:rPr>
  </w:style>
  <w:style w:type="paragraph" w:styleId="ListNumber4">
    <w:name w:val="List Number 4"/>
    <w:basedOn w:val="Normal"/>
    <w:rsid w:val="00B20516"/>
    <w:pPr>
      <w:numPr>
        <w:ilvl w:val="3"/>
        <w:numId w:val="11"/>
      </w:numPr>
      <w:contextualSpacing/>
    </w:pPr>
  </w:style>
  <w:style w:type="paragraph" w:customStyle="1" w:styleId="BriefingTitle">
    <w:name w:val="Briefing Title"/>
    <w:basedOn w:val="BodyText"/>
    <w:rsid w:val="00A03095"/>
    <w:pPr>
      <w:spacing w:before="180" w:line="240" w:lineRule="auto"/>
    </w:pPr>
    <w:rPr>
      <w:color w:val="005CAF"/>
      <w:sz w:val="56"/>
    </w:rPr>
  </w:style>
  <w:style w:type="paragraph" w:customStyle="1" w:styleId="OnePagerLinks">
    <w:name w:val="OnePagerLinks"/>
    <w:basedOn w:val="Normal"/>
    <w:rsid w:val="00EF0AB2"/>
    <w:pPr>
      <w:spacing w:after="0" w:line="240" w:lineRule="auto"/>
      <w:ind w:left="114"/>
    </w:pPr>
    <w:rPr>
      <w:color w:val="005CAF"/>
    </w:rPr>
  </w:style>
  <w:style w:type="paragraph" w:customStyle="1" w:styleId="OnePagerLink">
    <w:name w:val="OnePagerLink"/>
    <w:basedOn w:val="Normal"/>
    <w:rsid w:val="0017468E"/>
    <w:pPr>
      <w:spacing w:after="0" w:line="240" w:lineRule="auto"/>
      <w:ind w:left="114"/>
    </w:pPr>
    <w:rPr>
      <w:color w:val="005CAF"/>
    </w:rPr>
  </w:style>
  <w:style w:type="character" w:customStyle="1" w:styleId="BriefingDate">
    <w:name w:val="Briefing Date"/>
    <w:basedOn w:val="DefaultParagraphFont"/>
    <w:uiPriority w:val="1"/>
    <w:rsid w:val="001B3F96"/>
    <w:rPr>
      <w:rFonts w:ascii="Arial" w:hAnsi="Arial"/>
      <w:color w:val="FFFFFF" w:themeColor="background1"/>
      <w:sz w:val="18"/>
    </w:rPr>
  </w:style>
  <w:style w:type="paragraph" w:customStyle="1" w:styleId="Tableheadertext">
    <w:name w:val="Table header text"/>
    <w:basedOn w:val="Normal"/>
    <w:link w:val="TableheadertextChar"/>
    <w:qFormat/>
    <w:rsid w:val="0057169D"/>
    <w:pPr>
      <w:keepNext/>
      <w:spacing w:before="120" w:after="120" w:line="240" w:lineRule="auto"/>
    </w:pPr>
    <w:rPr>
      <w:rFonts w:cs="Arial"/>
      <w:b/>
      <w:color w:val="FFFFFF"/>
      <w:sz w:val="18"/>
      <w:szCs w:val="18"/>
    </w:rPr>
  </w:style>
  <w:style w:type="character" w:customStyle="1" w:styleId="TableheadertextChar">
    <w:name w:val="Table header text Char"/>
    <w:basedOn w:val="DefaultParagraphFont"/>
    <w:link w:val="Tableheadertext"/>
    <w:rsid w:val="0057169D"/>
    <w:rPr>
      <w:rFonts w:ascii="Arial" w:hAnsi="Arial" w:cs="Arial"/>
      <w:b/>
      <w:color w:val="FFFFFF"/>
      <w:sz w:val="18"/>
      <w:szCs w:val="18"/>
    </w:rPr>
  </w:style>
  <w:style w:type="paragraph" w:customStyle="1" w:styleId="Tablebodytext">
    <w:name w:val="Table body text"/>
    <w:basedOn w:val="Normal"/>
    <w:link w:val="TablebodytextChar"/>
    <w:qFormat/>
    <w:rsid w:val="00765BAA"/>
    <w:pPr>
      <w:keepNext/>
      <w:keepLines/>
      <w:spacing w:before="60" w:after="60" w:line="240" w:lineRule="auto"/>
    </w:pPr>
    <w:rPr>
      <w:rFonts w:cs="Arial"/>
      <w:sz w:val="18"/>
      <w:szCs w:val="18"/>
    </w:rPr>
  </w:style>
  <w:style w:type="character" w:customStyle="1" w:styleId="TablebodytextChar">
    <w:name w:val="Table body text Char"/>
    <w:basedOn w:val="DefaultParagraphFont"/>
    <w:link w:val="Tablebodytext"/>
    <w:rsid w:val="00765BAA"/>
    <w:rPr>
      <w:rFonts w:ascii="Arial" w:hAnsi="Arial" w:cs="Arial"/>
      <w:color w:val="373737"/>
      <w:sz w:val="18"/>
      <w:szCs w:val="18"/>
    </w:rPr>
  </w:style>
  <w:style w:type="paragraph" w:customStyle="1" w:styleId="UnnumberedHeading2">
    <w:name w:val="Unnumbered Heading 2"/>
    <w:basedOn w:val="Heading2"/>
    <w:link w:val="UnnumberedHeading2Char"/>
    <w:autoRedefine/>
    <w:qFormat/>
    <w:rsid w:val="0011174B"/>
    <w:pPr>
      <w:numPr>
        <w:ilvl w:val="0"/>
        <w:numId w:val="0"/>
      </w:numPr>
    </w:pPr>
  </w:style>
  <w:style w:type="character" w:customStyle="1" w:styleId="UnnumberedHeading2Char">
    <w:name w:val="Unnumbered Heading 2 Char"/>
    <w:basedOn w:val="Heading2Char"/>
    <w:link w:val="UnnumberedHeading2"/>
    <w:rsid w:val="0011174B"/>
    <w:rPr>
      <w:rFonts w:asciiTheme="majorHAnsi" w:eastAsia="Times New Roman" w:hAnsiTheme="majorHAnsi" w:cs="Arial"/>
      <w:b/>
      <w:iCs/>
      <w:color w:val="56B4DF"/>
      <w:kern w:val="32"/>
      <w:szCs w:val="28"/>
    </w:rPr>
  </w:style>
  <w:style w:type="table" w:customStyle="1" w:styleId="TableGrid1">
    <w:name w:val="Table Grid1"/>
    <w:basedOn w:val="TableNormal"/>
    <w:next w:val="TableGrid"/>
    <w:uiPriority w:val="59"/>
    <w:rsid w:val="000E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6F9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A6F9B"/>
    <w:rPr>
      <w:rFonts w:eastAsiaTheme="minorEastAsia"/>
      <w:lang w:val="en-US"/>
    </w:rPr>
  </w:style>
  <w:style w:type="character" w:customStyle="1" w:styleId="Heading9Char">
    <w:name w:val="Heading 9 Char"/>
    <w:basedOn w:val="DefaultParagraphFont"/>
    <w:link w:val="Heading9"/>
    <w:rsid w:val="002C0A4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30852"/>
    <w:rPr>
      <w:sz w:val="16"/>
      <w:szCs w:val="16"/>
    </w:rPr>
  </w:style>
  <w:style w:type="paragraph" w:styleId="CommentText">
    <w:name w:val="annotation text"/>
    <w:basedOn w:val="Normal"/>
    <w:link w:val="CommentTextChar"/>
    <w:uiPriority w:val="99"/>
    <w:unhideWhenUsed/>
    <w:rsid w:val="00730852"/>
    <w:pPr>
      <w:spacing w:after="180" w:line="240" w:lineRule="auto"/>
      <w:ind w:left="2160"/>
      <w:jc w:val="both"/>
    </w:pPr>
    <w:rPr>
      <w:szCs w:val="20"/>
    </w:rPr>
  </w:style>
  <w:style w:type="character" w:customStyle="1" w:styleId="CommentTextChar">
    <w:name w:val="Comment Text Char"/>
    <w:basedOn w:val="DefaultParagraphFont"/>
    <w:link w:val="CommentText"/>
    <w:uiPriority w:val="99"/>
    <w:rsid w:val="00730852"/>
    <w:rPr>
      <w:rFonts w:ascii="Arial" w:hAnsi="Arial"/>
      <w:color w:val="373737"/>
      <w:sz w:val="20"/>
      <w:szCs w:val="20"/>
    </w:rPr>
  </w:style>
  <w:style w:type="paragraph" w:styleId="CommentSubject">
    <w:name w:val="annotation subject"/>
    <w:basedOn w:val="CommentText"/>
    <w:next w:val="CommentText"/>
    <w:link w:val="CommentSubjectChar"/>
    <w:semiHidden/>
    <w:unhideWhenUsed/>
    <w:rsid w:val="00FD5842"/>
    <w:pPr>
      <w:spacing w:after="160"/>
      <w:ind w:left="0"/>
      <w:jc w:val="left"/>
    </w:pPr>
    <w:rPr>
      <w:b/>
      <w:bCs/>
    </w:rPr>
  </w:style>
  <w:style w:type="character" w:customStyle="1" w:styleId="CommentSubjectChar">
    <w:name w:val="Comment Subject Char"/>
    <w:basedOn w:val="CommentTextChar"/>
    <w:link w:val="CommentSubject"/>
    <w:semiHidden/>
    <w:rsid w:val="00FD5842"/>
    <w:rPr>
      <w:rFonts w:ascii="Arial" w:hAnsi="Arial"/>
      <w:b/>
      <w:bCs/>
      <w:color w:val="373737"/>
      <w:sz w:val="20"/>
      <w:szCs w:val="20"/>
    </w:rPr>
  </w:style>
  <w:style w:type="paragraph" w:styleId="Revision">
    <w:name w:val="Revision"/>
    <w:hidden/>
    <w:uiPriority w:val="99"/>
    <w:semiHidden/>
    <w:rsid w:val="00562B9A"/>
    <w:pPr>
      <w:spacing w:after="0" w:line="240" w:lineRule="auto"/>
    </w:pPr>
    <w:rPr>
      <w:rFonts w:ascii="Arial" w:hAnsi="Arial"/>
      <w:color w:val="373737"/>
      <w:sz w:val="20"/>
    </w:rPr>
  </w:style>
  <w:style w:type="character" w:styleId="UnresolvedMention">
    <w:name w:val="Unresolved Mention"/>
    <w:basedOn w:val="DefaultParagraphFont"/>
    <w:uiPriority w:val="99"/>
    <w:semiHidden/>
    <w:unhideWhenUsed/>
    <w:rsid w:val="00CF61B7"/>
    <w:rPr>
      <w:color w:val="605E5C"/>
      <w:shd w:val="clear" w:color="auto" w:fill="E1DFDD"/>
    </w:rPr>
  </w:style>
  <w:style w:type="character" w:styleId="FollowedHyperlink">
    <w:name w:val="FollowedHyperlink"/>
    <w:basedOn w:val="DefaultParagraphFont"/>
    <w:uiPriority w:val="19"/>
    <w:semiHidden/>
    <w:unhideWhenUsed/>
    <w:rsid w:val="000D5059"/>
    <w:rPr>
      <w:color w:val="954F72" w:themeColor="followedHyperlink"/>
      <w:u w:val="single"/>
    </w:rPr>
  </w:style>
  <w:style w:type="paragraph" w:customStyle="1" w:styleId="Default">
    <w:name w:val="Default"/>
    <w:rsid w:val="00F179EC"/>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DA2376"/>
  </w:style>
  <w:style w:type="paragraph" w:styleId="NormalWeb">
    <w:name w:val="Normal (Web)"/>
    <w:basedOn w:val="Normal"/>
    <w:uiPriority w:val="99"/>
    <w:unhideWhenUsed/>
    <w:rsid w:val="00583A0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Style1">
    <w:name w:val="Style1"/>
    <w:basedOn w:val="Heading1"/>
    <w:link w:val="Style1Char"/>
    <w:qFormat/>
    <w:rsid w:val="00C0682A"/>
    <w:pPr>
      <w:numPr>
        <w:numId w:val="0"/>
      </w:numPr>
    </w:pPr>
    <w:rPr>
      <w:noProof/>
    </w:rPr>
  </w:style>
  <w:style w:type="character" w:customStyle="1" w:styleId="Style1Char">
    <w:name w:val="Style1 Char"/>
    <w:basedOn w:val="Heading1Char"/>
    <w:link w:val="Style1"/>
    <w:rsid w:val="00C0682A"/>
    <w:rPr>
      <w:rFonts w:asciiTheme="majorHAnsi" w:eastAsia="Times New Roman" w:hAnsiTheme="majorHAnsi" w:cs="Arial"/>
      <w:b/>
      <w:bCs/>
      <w:noProof/>
      <w:color w:val="005677" w:themeColor="background2"/>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654">
      <w:bodyDiv w:val="1"/>
      <w:marLeft w:val="0"/>
      <w:marRight w:val="0"/>
      <w:marTop w:val="0"/>
      <w:marBottom w:val="0"/>
      <w:divBdr>
        <w:top w:val="none" w:sz="0" w:space="0" w:color="auto"/>
        <w:left w:val="none" w:sz="0" w:space="0" w:color="auto"/>
        <w:bottom w:val="none" w:sz="0" w:space="0" w:color="auto"/>
        <w:right w:val="none" w:sz="0" w:space="0" w:color="auto"/>
      </w:divBdr>
    </w:div>
    <w:div w:id="34738109">
      <w:bodyDiv w:val="1"/>
      <w:marLeft w:val="0"/>
      <w:marRight w:val="0"/>
      <w:marTop w:val="0"/>
      <w:marBottom w:val="0"/>
      <w:divBdr>
        <w:top w:val="none" w:sz="0" w:space="0" w:color="auto"/>
        <w:left w:val="none" w:sz="0" w:space="0" w:color="auto"/>
        <w:bottom w:val="none" w:sz="0" w:space="0" w:color="auto"/>
        <w:right w:val="none" w:sz="0" w:space="0" w:color="auto"/>
      </w:divBdr>
    </w:div>
    <w:div w:id="229384613">
      <w:bodyDiv w:val="1"/>
      <w:marLeft w:val="0"/>
      <w:marRight w:val="0"/>
      <w:marTop w:val="0"/>
      <w:marBottom w:val="0"/>
      <w:divBdr>
        <w:top w:val="none" w:sz="0" w:space="0" w:color="auto"/>
        <w:left w:val="none" w:sz="0" w:space="0" w:color="auto"/>
        <w:bottom w:val="none" w:sz="0" w:space="0" w:color="auto"/>
        <w:right w:val="none" w:sz="0" w:space="0" w:color="auto"/>
      </w:divBdr>
    </w:div>
    <w:div w:id="292709429">
      <w:bodyDiv w:val="1"/>
      <w:marLeft w:val="0"/>
      <w:marRight w:val="0"/>
      <w:marTop w:val="0"/>
      <w:marBottom w:val="0"/>
      <w:divBdr>
        <w:top w:val="none" w:sz="0" w:space="0" w:color="auto"/>
        <w:left w:val="none" w:sz="0" w:space="0" w:color="auto"/>
        <w:bottom w:val="none" w:sz="0" w:space="0" w:color="auto"/>
        <w:right w:val="none" w:sz="0" w:space="0" w:color="auto"/>
      </w:divBdr>
    </w:div>
    <w:div w:id="318507046">
      <w:bodyDiv w:val="1"/>
      <w:marLeft w:val="0"/>
      <w:marRight w:val="0"/>
      <w:marTop w:val="0"/>
      <w:marBottom w:val="0"/>
      <w:divBdr>
        <w:top w:val="none" w:sz="0" w:space="0" w:color="auto"/>
        <w:left w:val="none" w:sz="0" w:space="0" w:color="auto"/>
        <w:bottom w:val="none" w:sz="0" w:space="0" w:color="auto"/>
        <w:right w:val="none" w:sz="0" w:space="0" w:color="auto"/>
      </w:divBdr>
    </w:div>
    <w:div w:id="335576295">
      <w:bodyDiv w:val="1"/>
      <w:marLeft w:val="0"/>
      <w:marRight w:val="0"/>
      <w:marTop w:val="0"/>
      <w:marBottom w:val="0"/>
      <w:divBdr>
        <w:top w:val="none" w:sz="0" w:space="0" w:color="auto"/>
        <w:left w:val="none" w:sz="0" w:space="0" w:color="auto"/>
        <w:bottom w:val="none" w:sz="0" w:space="0" w:color="auto"/>
        <w:right w:val="none" w:sz="0" w:space="0" w:color="auto"/>
      </w:divBdr>
    </w:div>
    <w:div w:id="355161095">
      <w:bodyDiv w:val="1"/>
      <w:marLeft w:val="0"/>
      <w:marRight w:val="0"/>
      <w:marTop w:val="0"/>
      <w:marBottom w:val="0"/>
      <w:divBdr>
        <w:top w:val="none" w:sz="0" w:space="0" w:color="auto"/>
        <w:left w:val="none" w:sz="0" w:space="0" w:color="auto"/>
        <w:bottom w:val="none" w:sz="0" w:space="0" w:color="auto"/>
        <w:right w:val="none" w:sz="0" w:space="0" w:color="auto"/>
      </w:divBdr>
    </w:div>
    <w:div w:id="373846124">
      <w:bodyDiv w:val="1"/>
      <w:marLeft w:val="0"/>
      <w:marRight w:val="0"/>
      <w:marTop w:val="0"/>
      <w:marBottom w:val="0"/>
      <w:divBdr>
        <w:top w:val="none" w:sz="0" w:space="0" w:color="auto"/>
        <w:left w:val="none" w:sz="0" w:space="0" w:color="auto"/>
        <w:bottom w:val="none" w:sz="0" w:space="0" w:color="auto"/>
        <w:right w:val="none" w:sz="0" w:space="0" w:color="auto"/>
      </w:divBdr>
    </w:div>
    <w:div w:id="376199763">
      <w:bodyDiv w:val="1"/>
      <w:marLeft w:val="0"/>
      <w:marRight w:val="0"/>
      <w:marTop w:val="0"/>
      <w:marBottom w:val="0"/>
      <w:divBdr>
        <w:top w:val="none" w:sz="0" w:space="0" w:color="auto"/>
        <w:left w:val="none" w:sz="0" w:space="0" w:color="auto"/>
        <w:bottom w:val="none" w:sz="0" w:space="0" w:color="auto"/>
        <w:right w:val="none" w:sz="0" w:space="0" w:color="auto"/>
      </w:divBdr>
    </w:div>
    <w:div w:id="378406702">
      <w:bodyDiv w:val="1"/>
      <w:marLeft w:val="0"/>
      <w:marRight w:val="0"/>
      <w:marTop w:val="0"/>
      <w:marBottom w:val="0"/>
      <w:divBdr>
        <w:top w:val="none" w:sz="0" w:space="0" w:color="auto"/>
        <w:left w:val="none" w:sz="0" w:space="0" w:color="auto"/>
        <w:bottom w:val="none" w:sz="0" w:space="0" w:color="auto"/>
        <w:right w:val="none" w:sz="0" w:space="0" w:color="auto"/>
      </w:divBdr>
    </w:div>
    <w:div w:id="411969834">
      <w:bodyDiv w:val="1"/>
      <w:marLeft w:val="0"/>
      <w:marRight w:val="0"/>
      <w:marTop w:val="0"/>
      <w:marBottom w:val="0"/>
      <w:divBdr>
        <w:top w:val="none" w:sz="0" w:space="0" w:color="auto"/>
        <w:left w:val="none" w:sz="0" w:space="0" w:color="auto"/>
        <w:bottom w:val="none" w:sz="0" w:space="0" w:color="auto"/>
        <w:right w:val="none" w:sz="0" w:space="0" w:color="auto"/>
      </w:divBdr>
    </w:div>
    <w:div w:id="434714363">
      <w:bodyDiv w:val="1"/>
      <w:marLeft w:val="0"/>
      <w:marRight w:val="0"/>
      <w:marTop w:val="0"/>
      <w:marBottom w:val="0"/>
      <w:divBdr>
        <w:top w:val="none" w:sz="0" w:space="0" w:color="auto"/>
        <w:left w:val="none" w:sz="0" w:space="0" w:color="auto"/>
        <w:bottom w:val="none" w:sz="0" w:space="0" w:color="auto"/>
        <w:right w:val="none" w:sz="0" w:space="0" w:color="auto"/>
      </w:divBdr>
    </w:div>
    <w:div w:id="502090176">
      <w:bodyDiv w:val="1"/>
      <w:marLeft w:val="0"/>
      <w:marRight w:val="0"/>
      <w:marTop w:val="0"/>
      <w:marBottom w:val="0"/>
      <w:divBdr>
        <w:top w:val="none" w:sz="0" w:space="0" w:color="auto"/>
        <w:left w:val="none" w:sz="0" w:space="0" w:color="auto"/>
        <w:bottom w:val="none" w:sz="0" w:space="0" w:color="auto"/>
        <w:right w:val="none" w:sz="0" w:space="0" w:color="auto"/>
      </w:divBdr>
    </w:div>
    <w:div w:id="507981885">
      <w:bodyDiv w:val="1"/>
      <w:marLeft w:val="0"/>
      <w:marRight w:val="0"/>
      <w:marTop w:val="0"/>
      <w:marBottom w:val="0"/>
      <w:divBdr>
        <w:top w:val="none" w:sz="0" w:space="0" w:color="auto"/>
        <w:left w:val="none" w:sz="0" w:space="0" w:color="auto"/>
        <w:bottom w:val="none" w:sz="0" w:space="0" w:color="auto"/>
        <w:right w:val="none" w:sz="0" w:space="0" w:color="auto"/>
      </w:divBdr>
    </w:div>
    <w:div w:id="573666706">
      <w:bodyDiv w:val="1"/>
      <w:marLeft w:val="0"/>
      <w:marRight w:val="0"/>
      <w:marTop w:val="0"/>
      <w:marBottom w:val="0"/>
      <w:divBdr>
        <w:top w:val="none" w:sz="0" w:space="0" w:color="auto"/>
        <w:left w:val="none" w:sz="0" w:space="0" w:color="auto"/>
        <w:bottom w:val="none" w:sz="0" w:space="0" w:color="auto"/>
        <w:right w:val="none" w:sz="0" w:space="0" w:color="auto"/>
      </w:divBdr>
    </w:div>
    <w:div w:id="662855214">
      <w:bodyDiv w:val="1"/>
      <w:marLeft w:val="0"/>
      <w:marRight w:val="0"/>
      <w:marTop w:val="0"/>
      <w:marBottom w:val="0"/>
      <w:divBdr>
        <w:top w:val="none" w:sz="0" w:space="0" w:color="auto"/>
        <w:left w:val="none" w:sz="0" w:space="0" w:color="auto"/>
        <w:bottom w:val="none" w:sz="0" w:space="0" w:color="auto"/>
        <w:right w:val="none" w:sz="0" w:space="0" w:color="auto"/>
      </w:divBdr>
    </w:div>
    <w:div w:id="697122236">
      <w:bodyDiv w:val="1"/>
      <w:marLeft w:val="0"/>
      <w:marRight w:val="0"/>
      <w:marTop w:val="0"/>
      <w:marBottom w:val="0"/>
      <w:divBdr>
        <w:top w:val="none" w:sz="0" w:space="0" w:color="auto"/>
        <w:left w:val="none" w:sz="0" w:space="0" w:color="auto"/>
        <w:bottom w:val="none" w:sz="0" w:space="0" w:color="auto"/>
        <w:right w:val="none" w:sz="0" w:space="0" w:color="auto"/>
      </w:divBdr>
    </w:div>
    <w:div w:id="766345200">
      <w:bodyDiv w:val="1"/>
      <w:marLeft w:val="0"/>
      <w:marRight w:val="0"/>
      <w:marTop w:val="0"/>
      <w:marBottom w:val="0"/>
      <w:divBdr>
        <w:top w:val="none" w:sz="0" w:space="0" w:color="auto"/>
        <w:left w:val="none" w:sz="0" w:space="0" w:color="auto"/>
        <w:bottom w:val="none" w:sz="0" w:space="0" w:color="auto"/>
        <w:right w:val="none" w:sz="0" w:space="0" w:color="auto"/>
      </w:divBdr>
    </w:div>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789593528">
      <w:bodyDiv w:val="1"/>
      <w:marLeft w:val="0"/>
      <w:marRight w:val="0"/>
      <w:marTop w:val="0"/>
      <w:marBottom w:val="0"/>
      <w:divBdr>
        <w:top w:val="none" w:sz="0" w:space="0" w:color="auto"/>
        <w:left w:val="none" w:sz="0" w:space="0" w:color="auto"/>
        <w:bottom w:val="none" w:sz="0" w:space="0" w:color="auto"/>
        <w:right w:val="none" w:sz="0" w:space="0" w:color="auto"/>
      </w:divBdr>
    </w:div>
    <w:div w:id="792865980">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850534398">
      <w:bodyDiv w:val="1"/>
      <w:marLeft w:val="0"/>
      <w:marRight w:val="0"/>
      <w:marTop w:val="0"/>
      <w:marBottom w:val="0"/>
      <w:divBdr>
        <w:top w:val="none" w:sz="0" w:space="0" w:color="auto"/>
        <w:left w:val="none" w:sz="0" w:space="0" w:color="auto"/>
        <w:bottom w:val="none" w:sz="0" w:space="0" w:color="auto"/>
        <w:right w:val="none" w:sz="0" w:space="0" w:color="auto"/>
      </w:divBdr>
    </w:div>
    <w:div w:id="918513978">
      <w:bodyDiv w:val="1"/>
      <w:marLeft w:val="0"/>
      <w:marRight w:val="0"/>
      <w:marTop w:val="0"/>
      <w:marBottom w:val="0"/>
      <w:divBdr>
        <w:top w:val="none" w:sz="0" w:space="0" w:color="auto"/>
        <w:left w:val="none" w:sz="0" w:space="0" w:color="auto"/>
        <w:bottom w:val="none" w:sz="0" w:space="0" w:color="auto"/>
        <w:right w:val="none" w:sz="0" w:space="0" w:color="auto"/>
      </w:divBdr>
    </w:div>
    <w:div w:id="949320959">
      <w:bodyDiv w:val="1"/>
      <w:marLeft w:val="0"/>
      <w:marRight w:val="0"/>
      <w:marTop w:val="0"/>
      <w:marBottom w:val="0"/>
      <w:divBdr>
        <w:top w:val="none" w:sz="0" w:space="0" w:color="auto"/>
        <w:left w:val="none" w:sz="0" w:space="0" w:color="auto"/>
        <w:bottom w:val="none" w:sz="0" w:space="0" w:color="auto"/>
        <w:right w:val="none" w:sz="0" w:space="0" w:color="auto"/>
      </w:divBdr>
    </w:div>
    <w:div w:id="968127957">
      <w:bodyDiv w:val="1"/>
      <w:marLeft w:val="0"/>
      <w:marRight w:val="0"/>
      <w:marTop w:val="0"/>
      <w:marBottom w:val="0"/>
      <w:divBdr>
        <w:top w:val="none" w:sz="0" w:space="0" w:color="auto"/>
        <w:left w:val="none" w:sz="0" w:space="0" w:color="auto"/>
        <w:bottom w:val="none" w:sz="0" w:space="0" w:color="auto"/>
        <w:right w:val="none" w:sz="0" w:space="0" w:color="auto"/>
      </w:divBdr>
    </w:div>
    <w:div w:id="974142026">
      <w:bodyDiv w:val="1"/>
      <w:marLeft w:val="0"/>
      <w:marRight w:val="0"/>
      <w:marTop w:val="0"/>
      <w:marBottom w:val="0"/>
      <w:divBdr>
        <w:top w:val="none" w:sz="0" w:space="0" w:color="auto"/>
        <w:left w:val="none" w:sz="0" w:space="0" w:color="auto"/>
        <w:bottom w:val="none" w:sz="0" w:space="0" w:color="auto"/>
        <w:right w:val="none" w:sz="0" w:space="0" w:color="auto"/>
      </w:divBdr>
    </w:div>
    <w:div w:id="1038703799">
      <w:bodyDiv w:val="1"/>
      <w:marLeft w:val="0"/>
      <w:marRight w:val="0"/>
      <w:marTop w:val="0"/>
      <w:marBottom w:val="0"/>
      <w:divBdr>
        <w:top w:val="none" w:sz="0" w:space="0" w:color="auto"/>
        <w:left w:val="none" w:sz="0" w:space="0" w:color="auto"/>
        <w:bottom w:val="none" w:sz="0" w:space="0" w:color="auto"/>
        <w:right w:val="none" w:sz="0" w:space="0" w:color="auto"/>
      </w:divBdr>
    </w:div>
    <w:div w:id="1065302021">
      <w:bodyDiv w:val="1"/>
      <w:marLeft w:val="0"/>
      <w:marRight w:val="0"/>
      <w:marTop w:val="0"/>
      <w:marBottom w:val="0"/>
      <w:divBdr>
        <w:top w:val="none" w:sz="0" w:space="0" w:color="auto"/>
        <w:left w:val="none" w:sz="0" w:space="0" w:color="auto"/>
        <w:bottom w:val="none" w:sz="0" w:space="0" w:color="auto"/>
        <w:right w:val="none" w:sz="0" w:space="0" w:color="auto"/>
      </w:divBdr>
    </w:div>
    <w:div w:id="1142507173">
      <w:bodyDiv w:val="1"/>
      <w:marLeft w:val="0"/>
      <w:marRight w:val="0"/>
      <w:marTop w:val="0"/>
      <w:marBottom w:val="0"/>
      <w:divBdr>
        <w:top w:val="none" w:sz="0" w:space="0" w:color="auto"/>
        <w:left w:val="none" w:sz="0" w:space="0" w:color="auto"/>
        <w:bottom w:val="none" w:sz="0" w:space="0" w:color="auto"/>
        <w:right w:val="none" w:sz="0" w:space="0" w:color="auto"/>
      </w:divBdr>
    </w:div>
    <w:div w:id="1196701044">
      <w:bodyDiv w:val="1"/>
      <w:marLeft w:val="0"/>
      <w:marRight w:val="0"/>
      <w:marTop w:val="0"/>
      <w:marBottom w:val="0"/>
      <w:divBdr>
        <w:top w:val="none" w:sz="0" w:space="0" w:color="auto"/>
        <w:left w:val="none" w:sz="0" w:space="0" w:color="auto"/>
        <w:bottom w:val="none" w:sz="0" w:space="0" w:color="auto"/>
        <w:right w:val="none" w:sz="0" w:space="0" w:color="auto"/>
      </w:divBdr>
    </w:div>
    <w:div w:id="1337415719">
      <w:bodyDiv w:val="1"/>
      <w:marLeft w:val="0"/>
      <w:marRight w:val="0"/>
      <w:marTop w:val="0"/>
      <w:marBottom w:val="0"/>
      <w:divBdr>
        <w:top w:val="none" w:sz="0" w:space="0" w:color="auto"/>
        <w:left w:val="none" w:sz="0" w:space="0" w:color="auto"/>
        <w:bottom w:val="none" w:sz="0" w:space="0" w:color="auto"/>
        <w:right w:val="none" w:sz="0" w:space="0" w:color="auto"/>
      </w:divBdr>
    </w:div>
    <w:div w:id="1349403414">
      <w:bodyDiv w:val="1"/>
      <w:marLeft w:val="0"/>
      <w:marRight w:val="0"/>
      <w:marTop w:val="0"/>
      <w:marBottom w:val="0"/>
      <w:divBdr>
        <w:top w:val="none" w:sz="0" w:space="0" w:color="auto"/>
        <w:left w:val="none" w:sz="0" w:space="0" w:color="auto"/>
        <w:bottom w:val="none" w:sz="0" w:space="0" w:color="auto"/>
        <w:right w:val="none" w:sz="0" w:space="0" w:color="auto"/>
      </w:divBdr>
    </w:div>
    <w:div w:id="1360469666">
      <w:bodyDiv w:val="1"/>
      <w:marLeft w:val="0"/>
      <w:marRight w:val="0"/>
      <w:marTop w:val="0"/>
      <w:marBottom w:val="0"/>
      <w:divBdr>
        <w:top w:val="none" w:sz="0" w:space="0" w:color="auto"/>
        <w:left w:val="none" w:sz="0" w:space="0" w:color="auto"/>
        <w:bottom w:val="none" w:sz="0" w:space="0" w:color="auto"/>
        <w:right w:val="none" w:sz="0" w:space="0" w:color="auto"/>
      </w:divBdr>
    </w:div>
    <w:div w:id="1446077854">
      <w:bodyDiv w:val="1"/>
      <w:marLeft w:val="0"/>
      <w:marRight w:val="0"/>
      <w:marTop w:val="0"/>
      <w:marBottom w:val="0"/>
      <w:divBdr>
        <w:top w:val="none" w:sz="0" w:space="0" w:color="auto"/>
        <w:left w:val="none" w:sz="0" w:space="0" w:color="auto"/>
        <w:bottom w:val="none" w:sz="0" w:space="0" w:color="auto"/>
        <w:right w:val="none" w:sz="0" w:space="0" w:color="auto"/>
      </w:divBdr>
    </w:div>
    <w:div w:id="1493448973">
      <w:bodyDiv w:val="1"/>
      <w:marLeft w:val="0"/>
      <w:marRight w:val="0"/>
      <w:marTop w:val="0"/>
      <w:marBottom w:val="0"/>
      <w:divBdr>
        <w:top w:val="none" w:sz="0" w:space="0" w:color="auto"/>
        <w:left w:val="none" w:sz="0" w:space="0" w:color="auto"/>
        <w:bottom w:val="none" w:sz="0" w:space="0" w:color="auto"/>
        <w:right w:val="none" w:sz="0" w:space="0" w:color="auto"/>
      </w:divBdr>
    </w:div>
    <w:div w:id="1660109278">
      <w:bodyDiv w:val="1"/>
      <w:marLeft w:val="0"/>
      <w:marRight w:val="0"/>
      <w:marTop w:val="0"/>
      <w:marBottom w:val="0"/>
      <w:divBdr>
        <w:top w:val="none" w:sz="0" w:space="0" w:color="auto"/>
        <w:left w:val="none" w:sz="0" w:space="0" w:color="auto"/>
        <w:bottom w:val="none" w:sz="0" w:space="0" w:color="auto"/>
        <w:right w:val="none" w:sz="0" w:space="0" w:color="auto"/>
      </w:divBdr>
    </w:div>
    <w:div w:id="1697388378">
      <w:bodyDiv w:val="1"/>
      <w:marLeft w:val="0"/>
      <w:marRight w:val="0"/>
      <w:marTop w:val="0"/>
      <w:marBottom w:val="0"/>
      <w:divBdr>
        <w:top w:val="none" w:sz="0" w:space="0" w:color="auto"/>
        <w:left w:val="none" w:sz="0" w:space="0" w:color="auto"/>
        <w:bottom w:val="none" w:sz="0" w:space="0" w:color="auto"/>
        <w:right w:val="none" w:sz="0" w:space="0" w:color="auto"/>
      </w:divBdr>
    </w:div>
    <w:div w:id="1721781056">
      <w:bodyDiv w:val="1"/>
      <w:marLeft w:val="0"/>
      <w:marRight w:val="0"/>
      <w:marTop w:val="0"/>
      <w:marBottom w:val="0"/>
      <w:divBdr>
        <w:top w:val="none" w:sz="0" w:space="0" w:color="auto"/>
        <w:left w:val="none" w:sz="0" w:space="0" w:color="auto"/>
        <w:bottom w:val="none" w:sz="0" w:space="0" w:color="auto"/>
        <w:right w:val="none" w:sz="0" w:space="0" w:color="auto"/>
      </w:divBdr>
    </w:div>
    <w:div w:id="1799298552">
      <w:bodyDiv w:val="1"/>
      <w:marLeft w:val="0"/>
      <w:marRight w:val="0"/>
      <w:marTop w:val="0"/>
      <w:marBottom w:val="0"/>
      <w:divBdr>
        <w:top w:val="none" w:sz="0" w:space="0" w:color="auto"/>
        <w:left w:val="none" w:sz="0" w:space="0" w:color="auto"/>
        <w:bottom w:val="none" w:sz="0" w:space="0" w:color="auto"/>
        <w:right w:val="none" w:sz="0" w:space="0" w:color="auto"/>
      </w:divBdr>
    </w:div>
    <w:div w:id="1831869322">
      <w:bodyDiv w:val="1"/>
      <w:marLeft w:val="0"/>
      <w:marRight w:val="0"/>
      <w:marTop w:val="0"/>
      <w:marBottom w:val="0"/>
      <w:divBdr>
        <w:top w:val="none" w:sz="0" w:space="0" w:color="auto"/>
        <w:left w:val="none" w:sz="0" w:space="0" w:color="auto"/>
        <w:bottom w:val="none" w:sz="0" w:space="0" w:color="auto"/>
        <w:right w:val="none" w:sz="0" w:space="0" w:color="auto"/>
      </w:divBdr>
    </w:div>
    <w:div w:id="1876118566">
      <w:bodyDiv w:val="1"/>
      <w:marLeft w:val="0"/>
      <w:marRight w:val="0"/>
      <w:marTop w:val="0"/>
      <w:marBottom w:val="0"/>
      <w:divBdr>
        <w:top w:val="none" w:sz="0" w:space="0" w:color="auto"/>
        <w:left w:val="none" w:sz="0" w:space="0" w:color="auto"/>
        <w:bottom w:val="none" w:sz="0" w:space="0" w:color="auto"/>
        <w:right w:val="none" w:sz="0" w:space="0" w:color="auto"/>
      </w:divBdr>
    </w:div>
    <w:div w:id="1876653140">
      <w:bodyDiv w:val="1"/>
      <w:marLeft w:val="0"/>
      <w:marRight w:val="0"/>
      <w:marTop w:val="0"/>
      <w:marBottom w:val="0"/>
      <w:divBdr>
        <w:top w:val="none" w:sz="0" w:space="0" w:color="auto"/>
        <w:left w:val="none" w:sz="0" w:space="0" w:color="auto"/>
        <w:bottom w:val="none" w:sz="0" w:space="0" w:color="auto"/>
        <w:right w:val="none" w:sz="0" w:space="0" w:color="auto"/>
      </w:divBdr>
    </w:div>
    <w:div w:id="1894583249">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 w:id="1959027053">
      <w:bodyDiv w:val="1"/>
      <w:marLeft w:val="0"/>
      <w:marRight w:val="0"/>
      <w:marTop w:val="0"/>
      <w:marBottom w:val="0"/>
      <w:divBdr>
        <w:top w:val="none" w:sz="0" w:space="0" w:color="auto"/>
        <w:left w:val="none" w:sz="0" w:space="0" w:color="auto"/>
        <w:bottom w:val="none" w:sz="0" w:space="0" w:color="auto"/>
        <w:right w:val="none" w:sz="0" w:space="0" w:color="auto"/>
      </w:divBdr>
    </w:div>
    <w:div w:id="1986817341">
      <w:bodyDiv w:val="1"/>
      <w:marLeft w:val="0"/>
      <w:marRight w:val="0"/>
      <w:marTop w:val="0"/>
      <w:marBottom w:val="0"/>
      <w:divBdr>
        <w:top w:val="none" w:sz="0" w:space="0" w:color="auto"/>
        <w:left w:val="none" w:sz="0" w:space="0" w:color="auto"/>
        <w:bottom w:val="none" w:sz="0" w:space="0" w:color="auto"/>
        <w:right w:val="none" w:sz="0" w:space="0" w:color="auto"/>
      </w:divBdr>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21160641">
      <w:bodyDiv w:val="1"/>
      <w:marLeft w:val="0"/>
      <w:marRight w:val="0"/>
      <w:marTop w:val="0"/>
      <w:marBottom w:val="0"/>
      <w:divBdr>
        <w:top w:val="none" w:sz="0" w:space="0" w:color="auto"/>
        <w:left w:val="none" w:sz="0" w:space="0" w:color="auto"/>
        <w:bottom w:val="none" w:sz="0" w:space="0" w:color="auto"/>
        <w:right w:val="none" w:sz="0" w:space="0" w:color="auto"/>
      </w:divBdr>
    </w:div>
    <w:div w:id="2038503697">
      <w:bodyDiv w:val="1"/>
      <w:marLeft w:val="0"/>
      <w:marRight w:val="0"/>
      <w:marTop w:val="0"/>
      <w:marBottom w:val="0"/>
      <w:divBdr>
        <w:top w:val="none" w:sz="0" w:space="0" w:color="auto"/>
        <w:left w:val="none" w:sz="0" w:space="0" w:color="auto"/>
        <w:bottom w:val="none" w:sz="0" w:space="0" w:color="auto"/>
        <w:right w:val="none" w:sz="0" w:space="0" w:color="auto"/>
      </w:divBdr>
    </w:div>
    <w:div w:id="2042169319">
      <w:bodyDiv w:val="1"/>
      <w:marLeft w:val="0"/>
      <w:marRight w:val="0"/>
      <w:marTop w:val="0"/>
      <w:marBottom w:val="0"/>
      <w:divBdr>
        <w:top w:val="none" w:sz="0" w:space="0" w:color="auto"/>
        <w:left w:val="none" w:sz="0" w:space="0" w:color="auto"/>
        <w:bottom w:val="none" w:sz="0" w:space="0" w:color="auto"/>
        <w:right w:val="none" w:sz="0" w:space="0" w:color="auto"/>
      </w:divBdr>
    </w:div>
    <w:div w:id="2053115995">
      <w:bodyDiv w:val="1"/>
      <w:marLeft w:val="0"/>
      <w:marRight w:val="0"/>
      <w:marTop w:val="0"/>
      <w:marBottom w:val="0"/>
      <w:divBdr>
        <w:top w:val="none" w:sz="0" w:space="0" w:color="auto"/>
        <w:left w:val="none" w:sz="0" w:space="0" w:color="auto"/>
        <w:bottom w:val="none" w:sz="0" w:space="0" w:color="auto"/>
        <w:right w:val="none" w:sz="0" w:space="0" w:color="auto"/>
      </w:divBdr>
    </w:div>
    <w:div w:id="2079131659">
      <w:bodyDiv w:val="1"/>
      <w:marLeft w:val="0"/>
      <w:marRight w:val="0"/>
      <w:marTop w:val="0"/>
      <w:marBottom w:val="0"/>
      <w:divBdr>
        <w:top w:val="none" w:sz="0" w:space="0" w:color="auto"/>
        <w:left w:val="none" w:sz="0" w:space="0" w:color="auto"/>
        <w:bottom w:val="none" w:sz="0" w:space="0" w:color="auto"/>
        <w:right w:val="none" w:sz="0" w:space="0" w:color="auto"/>
      </w:divBdr>
    </w:div>
    <w:div w:id="21153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ndustry.gov.au/OCE"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ndustry.gov.au/OCE" TargetMode="External"/><Relationship Id="rId20" Type="http://schemas.openxmlformats.org/officeDocument/2006/relationships/header" Target="header4.xml"/><Relationship Id="rId29" Type="http://schemas.openxmlformats.org/officeDocument/2006/relationships/hyperlink" Target="https://oia.pmc.gov.au/sites/default/files/posts/2013/02/03-Strengthning-Australian-Industry-Participation-RI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luation.Unit@industry.gov.au"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valuation.Unit@industry.gov.au" TargetMode="External"/><Relationship Id="rId23" Type="http://schemas.openxmlformats.org/officeDocument/2006/relationships/header" Target="header6.xml"/><Relationship Id="rId28" Type="http://schemas.openxmlformats.org/officeDocument/2006/relationships/hyperlink" Target="https://www.industry.gov.au/sites/default/files/2019-01/review-of-the-jobs-act-2013-report.pdf" TargetMode="Externa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reativecommons.org/licenses/by/4.0/"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ndustry.gov.au/publications/australian-industry-participation-national-framework" TargetMode="External"/><Relationship Id="rId13" Type="http://schemas.openxmlformats.org/officeDocument/2006/relationships/hyperlink" Target="https://oia.pmc.gov.au/sites/default/files/posts/2013/02/03-Strengthning-Australian-Industry-Participation-RIS.pdf" TargetMode="External"/><Relationship Id="rId18" Type="http://schemas.openxmlformats.org/officeDocument/2006/relationships/hyperlink" Target="https://www.legislation.gov.au/Details/C2021C00410" TargetMode="External"/><Relationship Id="rId26" Type="http://schemas.openxmlformats.org/officeDocument/2006/relationships/hyperlink" Target="https://www.industry.gov.au/sites/default/files/2019-01/review-of-the-jobs-act-2013-report.pdf" TargetMode="External"/><Relationship Id="rId3" Type="http://schemas.openxmlformats.org/officeDocument/2006/relationships/hyperlink" Target="https://www.industry.gov.au/sites/default/files/2019-01/review-of-the-jobs-act-2013-report.pdf" TargetMode="External"/><Relationship Id="rId21" Type="http://schemas.openxmlformats.org/officeDocument/2006/relationships/hyperlink" Target="https://www.legislation.gov.au/Details/C2021C00410" TargetMode="External"/><Relationship Id="rId7" Type="http://schemas.openxmlformats.org/officeDocument/2006/relationships/hyperlink" Target="https://www.industry.gov.au/sites/default/files/2019-01/review-of-the-jobs-act-2013-report.pdf" TargetMode="External"/><Relationship Id="rId12" Type="http://schemas.openxmlformats.org/officeDocument/2006/relationships/hyperlink" Target="https://www.legislation.gov.au/Details/C2021C00410" TargetMode="External"/><Relationship Id="rId17" Type="http://schemas.openxmlformats.org/officeDocument/2006/relationships/hyperlink" Target="https://www.industry.gov.au/sites/default/files/2019-01/review-of-the-jobs-act-2013-report.pdf" TargetMode="External"/><Relationship Id="rId25" Type="http://schemas.openxmlformats.org/officeDocument/2006/relationships/hyperlink" Target="https://www.industry.gov.au/sites/default/files/2019-01/review-of-the-jobs-act-2013-report.pdf" TargetMode="External"/><Relationship Id="rId2" Type="http://schemas.openxmlformats.org/officeDocument/2006/relationships/hyperlink" Target="https://www.legislation.gov.au/Details/C2021C00410" TargetMode="External"/><Relationship Id="rId16" Type="http://schemas.openxmlformats.org/officeDocument/2006/relationships/hyperlink" Target="https://www.industry.gov.au/sites/default/files/2019-10/guideline-for-jobs-act-aipp-trigger-dates.pdf" TargetMode="External"/><Relationship Id="rId20" Type="http://schemas.openxmlformats.org/officeDocument/2006/relationships/hyperlink" Target="https://oia.pmc.gov.au/sites/default/files/posts/2013/02/03-Strengthning-Australian-Industry-Participation-RIS.pdf" TargetMode="External"/><Relationship Id="rId1" Type="http://schemas.openxmlformats.org/officeDocument/2006/relationships/hyperlink" Target="https://www.industry.gov.au/sites/default/files/australian-industry-participation-national-framework.pdf" TargetMode="External"/><Relationship Id="rId6" Type="http://schemas.openxmlformats.org/officeDocument/2006/relationships/hyperlink" Target="https://bcec.edu.au/assets/2020/07/BCEC-COVID19-Brief-7-Business-Impact-and-Response-_final.pdf" TargetMode="External"/><Relationship Id="rId11" Type="http://schemas.openxmlformats.org/officeDocument/2006/relationships/hyperlink" Target="https://www.legislation.gov.au/Details/C2021C00410" TargetMode="External"/><Relationship Id="rId24" Type="http://schemas.openxmlformats.org/officeDocument/2006/relationships/hyperlink" Target="https://www.legislation.gov.au/Details/C2021C00410" TargetMode="External"/><Relationship Id="rId5" Type="http://schemas.openxmlformats.org/officeDocument/2006/relationships/hyperlink" Target="https://www.rba.gov.au/publications/smp/2021/may/box-b-supply-chains-during-the-covid-19-pandemic.html" TargetMode="External"/><Relationship Id="rId15" Type="http://schemas.openxmlformats.org/officeDocument/2006/relationships/hyperlink" Target="https://www.industry.gov.au/sites/default/files/user-guide-for-developing-an-australian-industry-participation-plan-procurement.pdf" TargetMode="External"/><Relationship Id="rId23" Type="http://schemas.openxmlformats.org/officeDocument/2006/relationships/hyperlink" Target="https://www.legislation.gov.au/Details/C2021C00410" TargetMode="External"/><Relationship Id="rId10" Type="http://schemas.openxmlformats.org/officeDocument/2006/relationships/hyperlink" Target="https://www.industry.gov.au/sites/default/files/2019-01/review-of-the-jobs-act-2013-report.pdf" TargetMode="External"/><Relationship Id="rId19" Type="http://schemas.openxmlformats.org/officeDocument/2006/relationships/hyperlink" Target="https://oia.pmc.gov.au/sites/default/files/posts/2013/02/03-Strengthning-Australian-Industry-Participation-RIS.pdf" TargetMode="External"/><Relationship Id="rId4" Type="http://schemas.openxmlformats.org/officeDocument/2006/relationships/hyperlink" Target="https://oia.pmc.gov.au/sites/default/files/posts/2013/02/03-Strengthning-Australian-Industry-Participation-RIS.pdf" TargetMode="External"/><Relationship Id="rId9" Type="http://schemas.openxmlformats.org/officeDocument/2006/relationships/hyperlink" Target="https://www.industry.gov.au/publications/australian-industry-participation-national-framework" TargetMode="External"/><Relationship Id="rId14" Type="http://schemas.openxmlformats.org/officeDocument/2006/relationships/hyperlink" Target="https://oia.pmc.gov.au/sites/default/files/posts/2013/02/03-Strengthning-Australian-Industry-Participation-RIS.pdf" TargetMode="External"/><Relationship Id="rId22" Type="http://schemas.openxmlformats.org/officeDocument/2006/relationships/hyperlink" Target="https://www.legislation.gov.au/Details/C2021C00410" TargetMode="External"/><Relationship Id="rId27" Type="http://schemas.openxmlformats.org/officeDocument/2006/relationships/hyperlink" Target="https://www.industry.gov.au/sites/default/files/2019-01/review-of-the-jobs-act-2013-repor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59BF2B6DFE4E0294619A42FE2A219F"/>
        <w:category>
          <w:name w:val="General"/>
          <w:gallery w:val="placeholder"/>
        </w:category>
        <w:types>
          <w:type w:val="bbPlcHdr"/>
        </w:types>
        <w:behaviors>
          <w:behavior w:val="content"/>
        </w:behaviors>
        <w:guid w:val="{1107468C-D103-4C63-A0A6-144C9FCF2F9B}"/>
      </w:docPartPr>
      <w:docPartBody>
        <w:p w:rsidR="002457DA" w:rsidRDefault="003D4162" w:rsidP="003D4162">
          <w:pPr>
            <w:pStyle w:val="CE59BF2B6DFE4E0294619A42FE2A219F"/>
          </w:pPr>
          <w:r w:rsidRPr="004116C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2"/>
    <w:rsid w:val="000E276E"/>
    <w:rsid w:val="000F1EAC"/>
    <w:rsid w:val="00100269"/>
    <w:rsid w:val="00114B74"/>
    <w:rsid w:val="001166F3"/>
    <w:rsid w:val="00174E55"/>
    <w:rsid w:val="00212C7E"/>
    <w:rsid w:val="002457DA"/>
    <w:rsid w:val="00266202"/>
    <w:rsid w:val="00295393"/>
    <w:rsid w:val="002D0810"/>
    <w:rsid w:val="002D10BA"/>
    <w:rsid w:val="002F4A7F"/>
    <w:rsid w:val="00341B36"/>
    <w:rsid w:val="00361026"/>
    <w:rsid w:val="0037541C"/>
    <w:rsid w:val="003D4162"/>
    <w:rsid w:val="00491D31"/>
    <w:rsid w:val="0049636D"/>
    <w:rsid w:val="004E3274"/>
    <w:rsid w:val="004E3B8D"/>
    <w:rsid w:val="00515FCC"/>
    <w:rsid w:val="0055605C"/>
    <w:rsid w:val="005B5BB5"/>
    <w:rsid w:val="006B2055"/>
    <w:rsid w:val="006C0EF5"/>
    <w:rsid w:val="00703F2C"/>
    <w:rsid w:val="007734F6"/>
    <w:rsid w:val="0079334F"/>
    <w:rsid w:val="007B26DA"/>
    <w:rsid w:val="007B6B97"/>
    <w:rsid w:val="00893365"/>
    <w:rsid w:val="00894478"/>
    <w:rsid w:val="008B0607"/>
    <w:rsid w:val="008B100F"/>
    <w:rsid w:val="00943C95"/>
    <w:rsid w:val="00A02F0D"/>
    <w:rsid w:val="00A30384"/>
    <w:rsid w:val="00A72100"/>
    <w:rsid w:val="00B77774"/>
    <w:rsid w:val="00BD48C3"/>
    <w:rsid w:val="00C3421E"/>
    <w:rsid w:val="00C6057A"/>
    <w:rsid w:val="00C91BEB"/>
    <w:rsid w:val="00CA26E5"/>
    <w:rsid w:val="00D32929"/>
    <w:rsid w:val="00D468C3"/>
    <w:rsid w:val="00D96140"/>
    <w:rsid w:val="00DA14C3"/>
    <w:rsid w:val="00DB5AE1"/>
    <w:rsid w:val="00E83B30"/>
    <w:rsid w:val="00EC136C"/>
    <w:rsid w:val="00EC2743"/>
    <w:rsid w:val="00F26719"/>
    <w:rsid w:val="00F465EC"/>
    <w:rsid w:val="00F51073"/>
    <w:rsid w:val="00F753DF"/>
    <w:rsid w:val="00F940BF"/>
    <w:rsid w:val="00FB3170"/>
    <w:rsid w:val="00FD11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162"/>
    <w:rPr>
      <w:color w:val="808080"/>
    </w:rPr>
  </w:style>
  <w:style w:type="paragraph" w:customStyle="1" w:styleId="CE59BF2B6DFE4E0294619A42FE2A219F">
    <w:name w:val="CE59BF2B6DFE4E0294619A42FE2A219F"/>
    <w:rsid w:val="003D4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CE">
  <a:themeElements>
    <a:clrScheme name="Custom 3">
      <a:dk1>
        <a:sysClr val="windowText" lastClr="000000"/>
      </a:dk1>
      <a:lt1>
        <a:sysClr val="window" lastClr="FFFFFF"/>
      </a:lt1>
      <a:dk2>
        <a:srgbClr val="00283E"/>
      </a:dk2>
      <a:lt2>
        <a:srgbClr val="005677"/>
      </a:lt2>
      <a:accent1>
        <a:srgbClr val="1B9590"/>
      </a:accent1>
      <a:accent2>
        <a:srgbClr val="61C6C6"/>
      </a:accent2>
      <a:accent3>
        <a:srgbClr val="9CD9E0"/>
      </a:accent3>
      <a:accent4>
        <a:srgbClr val="59595B"/>
      </a:accent4>
      <a:accent5>
        <a:srgbClr val="939598"/>
      </a:accent5>
      <a:accent6>
        <a:srgbClr val="C973AF"/>
      </a:accent6>
      <a:hlink>
        <a:srgbClr val="0563C1"/>
      </a:hlink>
      <a:folHlink>
        <a:srgbClr val="954F72"/>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0495-77C5-4F92-8CFE-E844C161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13579</Words>
  <Characters>77405</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2024-08-08T04:05:00Z</dcterms:created>
  <dcterms:modified xsi:type="dcterms:W3CDTF">2024-08-12T04:12:00Z</dcterms:modified>
</cp:coreProperties>
</file>