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3479" w14:textId="77777777" w:rsidR="008D7458" w:rsidRDefault="008D7458" w:rsidP="00363EA7"/>
    <w:p w14:paraId="29B05781" w14:textId="7BEDA08C" w:rsidR="00891698" w:rsidRPr="0055720F" w:rsidRDefault="00CF01D7" w:rsidP="00C10522">
      <w:pPr>
        <w:spacing w:before="4480" w:after="480" w:line="240" w:lineRule="auto"/>
        <w:ind w:right="1031"/>
        <w:rPr>
          <w:b/>
          <w:color w:val="2C2C2D"/>
          <w:sz w:val="64"/>
          <w:szCs w:val="64"/>
        </w:rPr>
      </w:pPr>
      <w:r w:rsidRPr="0055720F">
        <w:rPr>
          <w:b/>
          <w:color w:val="2C2C2D"/>
          <w:sz w:val="64"/>
          <w:szCs w:val="64"/>
        </w:rPr>
        <w:t xml:space="preserve">NITP </w:t>
      </w:r>
      <w:r w:rsidR="002A2A6A" w:rsidRPr="002A2A6A">
        <w:rPr>
          <w:b/>
          <w:color w:val="2C2C2D"/>
          <w:sz w:val="64"/>
          <w:szCs w:val="64"/>
        </w:rPr>
        <w:t>14.2</w:t>
      </w:r>
      <w:r w:rsidRPr="0055720F">
        <w:rPr>
          <w:b/>
          <w:color w:val="2C2C2D"/>
          <w:sz w:val="64"/>
          <w:szCs w:val="64"/>
        </w:rPr>
        <w:br/>
      </w:r>
      <w:r w:rsidR="00D6536C" w:rsidRPr="00EB378E">
        <w:rPr>
          <w:b/>
          <w:color w:val="2C2C2D"/>
          <w:sz w:val="64"/>
          <w:szCs w:val="64"/>
        </w:rPr>
        <w:t xml:space="preserve">Utility </w:t>
      </w:r>
      <w:r w:rsidR="00265CF4">
        <w:rPr>
          <w:b/>
          <w:color w:val="2C2C2D"/>
          <w:sz w:val="64"/>
          <w:szCs w:val="64"/>
        </w:rPr>
        <w:t>m</w:t>
      </w:r>
      <w:r w:rsidR="00265CF4" w:rsidRPr="00EB378E">
        <w:rPr>
          <w:b/>
          <w:color w:val="2C2C2D"/>
          <w:sz w:val="64"/>
          <w:szCs w:val="64"/>
        </w:rPr>
        <w:t xml:space="preserve">eters </w:t>
      </w:r>
      <w:r w:rsidR="00D6536C" w:rsidRPr="00EB378E">
        <w:rPr>
          <w:b/>
          <w:color w:val="2C2C2D"/>
          <w:sz w:val="64"/>
          <w:szCs w:val="64"/>
        </w:rPr>
        <w:t xml:space="preserve">– </w:t>
      </w:r>
      <w:r w:rsidR="00265CF4">
        <w:rPr>
          <w:b/>
          <w:color w:val="2C2C2D"/>
          <w:sz w:val="64"/>
          <w:szCs w:val="64"/>
        </w:rPr>
        <w:t>electricity</w:t>
      </w:r>
      <w:r w:rsidR="00265CF4" w:rsidRPr="0055720F">
        <w:rPr>
          <w:b/>
          <w:color w:val="2C2C2D"/>
          <w:sz w:val="64"/>
          <w:szCs w:val="64"/>
        </w:rPr>
        <w:t xml:space="preserve"> </w:t>
      </w:r>
      <w:r w:rsidR="00265CF4">
        <w:rPr>
          <w:b/>
          <w:color w:val="2C2C2D"/>
          <w:sz w:val="64"/>
          <w:szCs w:val="64"/>
        </w:rPr>
        <w:t>m</w:t>
      </w:r>
      <w:r w:rsidR="00265CF4" w:rsidRPr="0055720F">
        <w:rPr>
          <w:b/>
          <w:color w:val="2C2C2D"/>
          <w:sz w:val="64"/>
          <w:szCs w:val="64"/>
        </w:rPr>
        <w:t>eters</w:t>
      </w:r>
    </w:p>
    <w:p w14:paraId="2A9C5746" w14:textId="4E3D9550" w:rsidR="00891698" w:rsidRPr="00891698" w:rsidRDefault="00285CCD" w:rsidP="00891698">
      <w:pPr>
        <w:rPr>
          <w:b/>
          <w:color w:val="939598"/>
          <w:sz w:val="40"/>
          <w:szCs w:val="40"/>
        </w:rPr>
      </w:pPr>
      <w:r>
        <w:rPr>
          <w:color w:val="939598"/>
          <w:sz w:val="40"/>
          <w:szCs w:val="40"/>
        </w:rPr>
        <w:t>August</w:t>
      </w:r>
      <w:r w:rsidR="00891698" w:rsidRPr="00EB378E">
        <w:rPr>
          <w:b/>
          <w:color w:val="939598"/>
          <w:sz w:val="40"/>
          <w:szCs w:val="40"/>
        </w:rPr>
        <w:t xml:space="preserve"> </w:t>
      </w:r>
      <w:r w:rsidR="00891698" w:rsidRPr="00EB378E">
        <w:rPr>
          <w:color w:val="939598"/>
          <w:sz w:val="40"/>
          <w:szCs w:val="40"/>
        </w:rPr>
        <w:t>202</w:t>
      </w:r>
      <w:r w:rsidR="00C10522">
        <w:rPr>
          <w:color w:val="939598"/>
          <w:sz w:val="40"/>
          <w:szCs w:val="40"/>
        </w:rPr>
        <w:t>4</w:t>
      </w:r>
    </w:p>
    <w:p w14:paraId="14A888FD" w14:textId="7C091FF4" w:rsidR="00160779" w:rsidRDefault="00440352" w:rsidP="00C10522">
      <w:pPr>
        <w:ind w:right="45"/>
        <w:rPr>
          <w:rStyle w:val="Hyperlink"/>
        </w:rPr>
      </w:pPr>
      <w:hyperlink r:id="rId8" w:history="1">
        <w:r w:rsidR="00160779" w:rsidRPr="00F36997">
          <w:rPr>
            <w:rStyle w:val="Hyperlink"/>
          </w:rPr>
          <w:t>www.measurement.gov.au</w:t>
        </w:r>
      </w:hyperlink>
      <w:r w:rsidR="00160779">
        <w:t xml:space="preserve"> </w:t>
      </w:r>
    </w:p>
    <w:p w14:paraId="43C7415A" w14:textId="16FD6B4D" w:rsidR="009741A2" w:rsidRDefault="00CF01D7" w:rsidP="00CF01D7">
      <w:pPr>
        <w:tabs>
          <w:tab w:val="left" w:pos="1014"/>
        </w:tabs>
      </w:pPr>
      <w:r>
        <w:tab/>
      </w:r>
    </w:p>
    <w:p w14:paraId="303C8B45" w14:textId="77777777" w:rsidR="009741A2" w:rsidRPr="009741A2" w:rsidRDefault="009741A2" w:rsidP="009741A2"/>
    <w:p w14:paraId="2B76C25C" w14:textId="77777777" w:rsidR="009741A2" w:rsidRPr="009741A2" w:rsidRDefault="009741A2" w:rsidP="009741A2"/>
    <w:p w14:paraId="709CE578" w14:textId="77777777" w:rsidR="009741A2" w:rsidRPr="009741A2" w:rsidRDefault="009741A2" w:rsidP="009741A2"/>
    <w:p w14:paraId="29A7832A" w14:textId="77777777" w:rsidR="009741A2" w:rsidRPr="009741A2" w:rsidRDefault="009741A2" w:rsidP="009741A2"/>
    <w:p w14:paraId="130A2EE2" w14:textId="1A5FBD86" w:rsidR="009741A2" w:rsidRDefault="009741A2" w:rsidP="009741A2"/>
    <w:p w14:paraId="65F67A4B" w14:textId="27B46B60" w:rsidR="009741A2" w:rsidRDefault="009741A2" w:rsidP="009741A2">
      <w:pPr>
        <w:tabs>
          <w:tab w:val="left" w:pos="4232"/>
        </w:tabs>
      </w:pPr>
      <w:r>
        <w:tab/>
      </w:r>
    </w:p>
    <w:p w14:paraId="184463F2" w14:textId="4CC5CDEA" w:rsidR="009741A2" w:rsidRDefault="009741A2" w:rsidP="009741A2">
      <w:pPr>
        <w:tabs>
          <w:tab w:val="left" w:pos="4232"/>
        </w:tabs>
      </w:pPr>
      <w:r>
        <w:tab/>
      </w:r>
    </w:p>
    <w:p w14:paraId="5B795E27" w14:textId="6D7B31D0" w:rsidR="009741A2" w:rsidRDefault="009741A2" w:rsidP="009741A2">
      <w:pPr>
        <w:tabs>
          <w:tab w:val="left" w:pos="3656"/>
        </w:tabs>
      </w:pPr>
      <w:r>
        <w:tab/>
      </w:r>
    </w:p>
    <w:p w14:paraId="53D6F5EA" w14:textId="77777777" w:rsidR="0075462B" w:rsidRDefault="009741A2" w:rsidP="009741A2">
      <w:pPr>
        <w:tabs>
          <w:tab w:val="left" w:pos="3656"/>
        </w:tabs>
      </w:pPr>
      <w:r>
        <w:tab/>
      </w:r>
    </w:p>
    <w:p w14:paraId="6C6B594F" w14:textId="687EAB1D" w:rsidR="006D7F7F" w:rsidRDefault="006D7F7F" w:rsidP="006D7F7F">
      <w:pPr>
        <w:tabs>
          <w:tab w:val="left" w:pos="3656"/>
        </w:tabs>
      </w:pPr>
      <w:r>
        <w:tab/>
      </w:r>
    </w:p>
    <w:p w14:paraId="45DAB790" w14:textId="6D4E1B6A" w:rsidR="006D7F7F" w:rsidRPr="006D7F7F" w:rsidRDefault="006D7F7F" w:rsidP="006D7F7F">
      <w:pPr>
        <w:tabs>
          <w:tab w:val="left" w:pos="3660"/>
        </w:tabs>
        <w:sectPr w:rsidR="006D7F7F" w:rsidRPr="006D7F7F" w:rsidSect="006D7F7F">
          <w:headerReference w:type="default" r:id="rId9"/>
          <w:pgSz w:w="11900" w:h="16840" w:code="9"/>
          <w:pgMar w:top="0" w:right="0" w:bottom="0" w:left="1797" w:header="709" w:footer="624" w:gutter="0"/>
          <w:cols w:space="708"/>
        </w:sectPr>
      </w:pPr>
      <w:r>
        <w:tab/>
      </w:r>
    </w:p>
    <w:p w14:paraId="465E67D1" w14:textId="110B4D51" w:rsidR="0075462B" w:rsidRPr="0094476D" w:rsidRDefault="0075462B" w:rsidP="0075462B">
      <w:pPr>
        <w:spacing w:after="240"/>
        <w:rPr>
          <w:rFonts w:cs="Arial"/>
        </w:rPr>
      </w:pPr>
      <w:r w:rsidRPr="0094476D">
        <w:rPr>
          <w:rFonts w:cs="Arial"/>
        </w:rPr>
        <w:lastRenderedPageBreak/>
        <w:t xml:space="preserve">© Commonwealth of Australia </w:t>
      </w:r>
      <w:r w:rsidR="009D777F" w:rsidRPr="0094476D">
        <w:rPr>
          <w:rFonts w:cs="Arial"/>
        </w:rPr>
        <w:t>20</w:t>
      </w:r>
      <w:r w:rsidR="00CE685C">
        <w:rPr>
          <w:rFonts w:cs="Arial"/>
        </w:rPr>
        <w:t>11</w:t>
      </w:r>
    </w:p>
    <w:p w14:paraId="321BB156" w14:textId="66351E95" w:rsidR="0055720F" w:rsidRPr="00C74D54" w:rsidRDefault="0055720F" w:rsidP="0055720F">
      <w:pPr>
        <w:tabs>
          <w:tab w:val="left" w:pos="2694"/>
          <w:tab w:val="left" w:pos="3119"/>
        </w:tabs>
        <w:spacing w:after="0"/>
        <w:rPr>
          <w:rFonts w:eastAsia="Times" w:cs="Arial"/>
          <w:b/>
          <w:szCs w:val="20"/>
        </w:rPr>
      </w:pPr>
      <w:r w:rsidRPr="00372927">
        <w:rPr>
          <w:rFonts w:eastAsia="Times" w:cs="Arial"/>
          <w:b/>
          <w:szCs w:val="20"/>
        </w:rPr>
        <w:t>NITP 14</w:t>
      </w:r>
    </w:p>
    <w:p w14:paraId="6B6EF25D" w14:textId="77777777" w:rsidR="0055720F" w:rsidRPr="00C74D54" w:rsidRDefault="0055720F" w:rsidP="0055720F">
      <w:pPr>
        <w:tabs>
          <w:tab w:val="left" w:pos="1080"/>
          <w:tab w:val="left" w:pos="1361"/>
          <w:tab w:val="left" w:pos="3119"/>
        </w:tabs>
        <w:spacing w:after="240"/>
        <w:rPr>
          <w:rFonts w:eastAsia="Times" w:cs="Arial"/>
          <w:szCs w:val="20"/>
        </w:rPr>
      </w:pPr>
      <w:r w:rsidRPr="00C74D54">
        <w:rPr>
          <w:rFonts w:eastAsia="Times" w:cs="Arial"/>
          <w:szCs w:val="20"/>
        </w:rPr>
        <w:t>First edition</w:t>
      </w:r>
      <w:r w:rsidRPr="00C74D54">
        <w:rPr>
          <w:rFonts w:eastAsia="Times" w:cs="Arial"/>
          <w:szCs w:val="20"/>
        </w:rPr>
        <w:tab/>
      </w:r>
      <w:r w:rsidRPr="00C74D54">
        <w:rPr>
          <w:rFonts w:eastAsia="Times" w:cs="Arial"/>
          <w:szCs w:val="20"/>
        </w:rPr>
        <w:tab/>
      </w:r>
      <w:r w:rsidRPr="00C74D54">
        <w:rPr>
          <w:rFonts w:eastAsia="Times" w:cs="Arial"/>
          <w:szCs w:val="20"/>
        </w:rPr>
        <w:tab/>
        <w:t>—</w:t>
      </w:r>
      <w:r w:rsidRPr="00C74D54">
        <w:rPr>
          <w:rFonts w:eastAsia="Times" w:cs="Arial"/>
          <w:szCs w:val="20"/>
        </w:rPr>
        <w:tab/>
      </w:r>
      <w:r w:rsidRPr="00372927">
        <w:rPr>
          <w:rFonts w:eastAsia="Times" w:cs="Arial"/>
          <w:szCs w:val="20"/>
        </w:rPr>
        <w:t>September 2011</w:t>
      </w:r>
    </w:p>
    <w:p w14:paraId="1A54D23C" w14:textId="77777777" w:rsidR="0055720F" w:rsidRPr="00C74D54" w:rsidRDefault="0055720F" w:rsidP="0055720F">
      <w:pPr>
        <w:tabs>
          <w:tab w:val="left" w:pos="3119"/>
        </w:tabs>
        <w:spacing w:after="0"/>
        <w:rPr>
          <w:rFonts w:eastAsia="Times" w:cs="Arial"/>
          <w:b/>
          <w:szCs w:val="20"/>
        </w:rPr>
      </w:pPr>
      <w:r w:rsidRPr="00C74D54">
        <w:rPr>
          <w:rFonts w:eastAsia="Times" w:cs="Arial"/>
          <w:b/>
          <w:szCs w:val="20"/>
        </w:rPr>
        <w:t>N</w:t>
      </w:r>
      <w:r w:rsidRPr="00372927">
        <w:rPr>
          <w:rFonts w:eastAsia="Times" w:cs="Arial"/>
          <w:b/>
          <w:szCs w:val="20"/>
        </w:rPr>
        <w:t>ITP 14</w:t>
      </w:r>
    </w:p>
    <w:p w14:paraId="43120E01" w14:textId="77777777" w:rsidR="0055720F" w:rsidRPr="00C74D54" w:rsidRDefault="0055720F" w:rsidP="0055720F">
      <w:pPr>
        <w:tabs>
          <w:tab w:val="left" w:pos="3119"/>
        </w:tabs>
        <w:spacing w:after="0"/>
        <w:rPr>
          <w:rFonts w:eastAsia="Times" w:cs="Arial"/>
          <w:szCs w:val="20"/>
        </w:rPr>
      </w:pPr>
      <w:r w:rsidRPr="00C74D54">
        <w:rPr>
          <w:rFonts w:eastAsia="Times" w:cs="Arial"/>
          <w:szCs w:val="20"/>
        </w:rPr>
        <w:t>First edition, first revision</w:t>
      </w:r>
      <w:r w:rsidRPr="00C74D54">
        <w:rPr>
          <w:rFonts w:eastAsia="Times" w:cs="Arial"/>
          <w:szCs w:val="20"/>
        </w:rPr>
        <w:tab/>
        <w:t>—</w:t>
      </w:r>
      <w:r w:rsidRPr="00C74D54">
        <w:rPr>
          <w:rFonts w:eastAsia="Times" w:cs="Arial"/>
          <w:szCs w:val="20"/>
        </w:rPr>
        <w:tab/>
      </w:r>
      <w:r w:rsidRPr="00372927">
        <w:rPr>
          <w:rFonts w:eastAsia="Times" w:cs="Arial"/>
          <w:szCs w:val="20"/>
        </w:rPr>
        <w:t>December 2011</w:t>
      </w:r>
    </w:p>
    <w:p w14:paraId="26B01DC6" w14:textId="77777777" w:rsidR="0055720F" w:rsidRPr="00C74D54" w:rsidRDefault="0055720F" w:rsidP="0055720F">
      <w:pPr>
        <w:tabs>
          <w:tab w:val="left" w:pos="3119"/>
        </w:tabs>
        <w:spacing w:after="0"/>
        <w:rPr>
          <w:rFonts w:eastAsia="Times" w:cs="Arial"/>
          <w:szCs w:val="20"/>
        </w:rPr>
      </w:pPr>
      <w:r w:rsidRPr="00372927">
        <w:rPr>
          <w:rFonts w:eastAsia="Times" w:cs="Arial"/>
          <w:szCs w:val="20"/>
        </w:rPr>
        <w:t>Second edition</w:t>
      </w:r>
      <w:r w:rsidRPr="00C74D54">
        <w:rPr>
          <w:rFonts w:eastAsia="Times" w:cs="Arial"/>
          <w:szCs w:val="20"/>
        </w:rPr>
        <w:tab/>
        <w:t>—</w:t>
      </w:r>
      <w:r w:rsidRPr="00C74D54">
        <w:rPr>
          <w:rFonts w:eastAsia="Times" w:cs="Arial"/>
          <w:szCs w:val="20"/>
        </w:rPr>
        <w:tab/>
      </w:r>
      <w:r w:rsidRPr="00372927">
        <w:rPr>
          <w:rFonts w:eastAsia="Times" w:cs="Arial"/>
          <w:szCs w:val="20"/>
        </w:rPr>
        <w:t>August 2012</w:t>
      </w:r>
    </w:p>
    <w:p w14:paraId="4D72ED80" w14:textId="77777777" w:rsidR="0055720F" w:rsidRPr="00372927" w:rsidRDefault="0055720F" w:rsidP="0055720F">
      <w:pPr>
        <w:tabs>
          <w:tab w:val="left" w:pos="2340"/>
          <w:tab w:val="left" w:pos="3119"/>
        </w:tabs>
        <w:spacing w:after="0"/>
        <w:rPr>
          <w:rFonts w:eastAsia="Times" w:cs="Arial"/>
        </w:rPr>
      </w:pPr>
      <w:r w:rsidRPr="00372927">
        <w:rPr>
          <w:rFonts w:eastAsia="Times" w:cs="Arial"/>
        </w:rPr>
        <w:t>Second edition</w:t>
      </w:r>
      <w:r w:rsidRPr="00372927">
        <w:rPr>
          <w:rFonts w:eastAsia="Times" w:cs="Arial"/>
          <w:szCs w:val="20"/>
        </w:rPr>
        <w:t>, first revision</w:t>
      </w:r>
      <w:r w:rsidRPr="00372927" w:rsidDel="00C74D54">
        <w:rPr>
          <w:rFonts w:eastAsia="Times" w:cs="Arial"/>
        </w:rPr>
        <w:t xml:space="preserve"> </w:t>
      </w:r>
      <w:r w:rsidRPr="00C74D54">
        <w:rPr>
          <w:rFonts w:eastAsia="Times" w:cs="Arial"/>
        </w:rPr>
        <w:tab/>
        <w:t>—</w:t>
      </w:r>
      <w:r w:rsidRPr="00C74D54">
        <w:rPr>
          <w:rFonts w:eastAsia="Times" w:cs="Arial"/>
        </w:rPr>
        <w:tab/>
        <w:t>February 201</w:t>
      </w:r>
      <w:r>
        <w:rPr>
          <w:rFonts w:eastAsia="Times" w:cs="Arial"/>
        </w:rPr>
        <w:t>3</w:t>
      </w:r>
    </w:p>
    <w:p w14:paraId="4D0E26A9" w14:textId="77777777" w:rsidR="0055720F" w:rsidRPr="00372927" w:rsidRDefault="0055720F" w:rsidP="0055720F">
      <w:pPr>
        <w:tabs>
          <w:tab w:val="left" w:pos="2340"/>
          <w:tab w:val="left" w:pos="3119"/>
        </w:tabs>
        <w:spacing w:after="0"/>
        <w:rPr>
          <w:rFonts w:eastAsia="Times" w:cs="Arial"/>
        </w:rPr>
      </w:pPr>
      <w:r w:rsidRPr="00372927">
        <w:rPr>
          <w:rFonts w:eastAsia="Times" w:cs="Arial"/>
        </w:rPr>
        <w:t>Second edition</w:t>
      </w:r>
      <w:r w:rsidRPr="00372927">
        <w:rPr>
          <w:rFonts w:eastAsia="Times" w:cs="Arial"/>
          <w:szCs w:val="20"/>
        </w:rPr>
        <w:t>, second revision</w:t>
      </w:r>
      <w:r w:rsidRPr="00372927" w:rsidDel="00C74D54">
        <w:rPr>
          <w:rFonts w:eastAsia="Times" w:cs="Arial"/>
        </w:rPr>
        <w:t xml:space="preserve"> </w:t>
      </w:r>
      <w:r w:rsidRPr="00372927">
        <w:rPr>
          <w:rFonts w:eastAsia="Times" w:cs="Arial"/>
        </w:rPr>
        <w:tab/>
        <w:t>—</w:t>
      </w:r>
      <w:r w:rsidRPr="00372927">
        <w:rPr>
          <w:rFonts w:eastAsia="Times" w:cs="Arial"/>
        </w:rPr>
        <w:tab/>
      </w:r>
      <w:r>
        <w:rPr>
          <w:rFonts w:eastAsia="Times" w:cs="Arial"/>
        </w:rPr>
        <w:t>March 2013</w:t>
      </w:r>
    </w:p>
    <w:p w14:paraId="32EDEF19" w14:textId="77777777" w:rsidR="0055720F" w:rsidRPr="00372927" w:rsidRDefault="0055720F" w:rsidP="0055720F">
      <w:pPr>
        <w:tabs>
          <w:tab w:val="left" w:pos="2340"/>
          <w:tab w:val="left" w:pos="3119"/>
        </w:tabs>
        <w:spacing w:after="0"/>
        <w:rPr>
          <w:rFonts w:eastAsia="Times" w:cs="Arial"/>
        </w:rPr>
      </w:pPr>
    </w:p>
    <w:p w14:paraId="04782388" w14:textId="1EE3208F" w:rsidR="0055720F" w:rsidRPr="00EB378E" w:rsidRDefault="0055720F" w:rsidP="00EB378E">
      <w:pPr>
        <w:tabs>
          <w:tab w:val="left" w:pos="2694"/>
          <w:tab w:val="left" w:pos="3119"/>
        </w:tabs>
        <w:spacing w:after="0"/>
        <w:rPr>
          <w:rFonts w:eastAsia="Times" w:cs="Arial"/>
          <w:b/>
          <w:szCs w:val="20"/>
        </w:rPr>
      </w:pPr>
      <w:r w:rsidRPr="00372927">
        <w:rPr>
          <w:rFonts w:eastAsia="Times" w:cs="Arial"/>
          <w:b/>
          <w:szCs w:val="20"/>
        </w:rPr>
        <w:t>NITP 14</w:t>
      </w:r>
      <w:r w:rsidR="002A2A6A">
        <w:rPr>
          <w:rFonts w:eastAsia="Times" w:cs="Arial"/>
          <w:b/>
          <w:szCs w:val="20"/>
        </w:rPr>
        <w:t>.2</w:t>
      </w:r>
    </w:p>
    <w:p w14:paraId="5741AC3C" w14:textId="1D90610E" w:rsidR="0055720F" w:rsidRPr="00372927" w:rsidRDefault="0055720F" w:rsidP="0055720F">
      <w:pPr>
        <w:tabs>
          <w:tab w:val="left" w:pos="2340"/>
          <w:tab w:val="left" w:pos="3119"/>
        </w:tabs>
        <w:spacing w:after="0"/>
        <w:rPr>
          <w:rFonts w:eastAsia="Times" w:cs="Arial"/>
        </w:rPr>
      </w:pPr>
      <w:r>
        <w:rPr>
          <w:rFonts w:eastAsia="Times" w:cs="Arial"/>
        </w:rPr>
        <w:t xml:space="preserve">First edition                        </w:t>
      </w:r>
      <w:r w:rsidRPr="00372927" w:rsidDel="00C74D54">
        <w:rPr>
          <w:rFonts w:eastAsia="Times" w:cs="Arial"/>
        </w:rPr>
        <w:t xml:space="preserve"> </w:t>
      </w:r>
      <w:r w:rsidRPr="00372927">
        <w:rPr>
          <w:rFonts w:eastAsia="Times" w:cs="Arial"/>
        </w:rPr>
        <w:tab/>
        <w:t>—</w:t>
      </w:r>
      <w:r w:rsidRPr="00372927">
        <w:rPr>
          <w:rFonts w:eastAsia="Times" w:cs="Arial"/>
        </w:rPr>
        <w:tab/>
      </w:r>
      <w:r w:rsidR="00285CCD">
        <w:rPr>
          <w:rFonts w:eastAsia="Times" w:cs="Arial"/>
        </w:rPr>
        <w:t>August</w:t>
      </w:r>
      <w:r>
        <w:rPr>
          <w:rFonts w:eastAsia="Times" w:cs="Arial"/>
        </w:rPr>
        <w:t xml:space="preserve"> 202</w:t>
      </w:r>
      <w:r w:rsidR="00C10522">
        <w:rPr>
          <w:rFonts w:eastAsia="Times" w:cs="Arial"/>
        </w:rPr>
        <w:t>4</w:t>
      </w:r>
    </w:p>
    <w:p w14:paraId="46D43D54" w14:textId="77777777" w:rsidR="0055720F" w:rsidRDefault="0055720F" w:rsidP="0055720F">
      <w:pPr>
        <w:spacing w:after="0"/>
        <w:rPr>
          <w:rFonts w:eastAsia="Times" w:cs="Arial"/>
          <w:b/>
          <w:szCs w:val="20"/>
          <w:highlight w:val="yellow"/>
        </w:rPr>
      </w:pPr>
    </w:p>
    <w:p w14:paraId="0FF7D7BA" w14:textId="77777777" w:rsidR="0055720F" w:rsidRDefault="0055720F" w:rsidP="00604D99">
      <w:pPr>
        <w:spacing w:after="0"/>
        <w:rPr>
          <w:rFonts w:eastAsia="Times" w:cs="Arial"/>
          <w:b/>
          <w:szCs w:val="20"/>
          <w:highlight w:val="yellow"/>
        </w:rPr>
      </w:pPr>
    </w:p>
    <w:p w14:paraId="3444795D" w14:textId="77777777" w:rsidR="00604D99" w:rsidRPr="0094476D" w:rsidRDefault="00604D99" w:rsidP="00604D99">
      <w:pPr>
        <w:spacing w:after="0"/>
        <w:rPr>
          <w:rFonts w:cs="Arial"/>
        </w:rPr>
      </w:pPr>
      <w:bookmarkStart w:id="0" w:name="_Toc50383615"/>
      <w:r w:rsidRPr="0094476D">
        <w:rPr>
          <w:rFonts w:cs="Arial"/>
        </w:rPr>
        <w:t>National Measurement Institute</w:t>
      </w:r>
    </w:p>
    <w:p w14:paraId="41F0AB98" w14:textId="77777777" w:rsidR="00604D99" w:rsidRPr="0094476D" w:rsidRDefault="00604D99" w:rsidP="00160779">
      <w:pPr>
        <w:spacing w:after="0"/>
        <w:contextualSpacing/>
        <w:rPr>
          <w:rFonts w:cs="Arial"/>
        </w:rPr>
      </w:pPr>
      <w:r w:rsidRPr="0094476D">
        <w:rPr>
          <w:rFonts w:cs="Arial"/>
        </w:rPr>
        <w:t>Bradfield Road, Lindfield, NSW 2070</w:t>
      </w:r>
    </w:p>
    <w:p w14:paraId="48F3B2A5" w14:textId="77777777" w:rsidR="00604D99" w:rsidRPr="0094476D" w:rsidRDefault="00604D99" w:rsidP="00160779">
      <w:pPr>
        <w:spacing w:before="240" w:after="0"/>
        <w:rPr>
          <w:rFonts w:cs="Arial"/>
        </w:rPr>
      </w:pPr>
      <w:r w:rsidRPr="0094476D">
        <w:rPr>
          <w:rFonts w:cs="Arial"/>
        </w:rPr>
        <w:t>T</w:t>
      </w:r>
      <w:r>
        <w:rPr>
          <w:rFonts w:cs="Arial"/>
        </w:rPr>
        <w:t>:</w:t>
      </w:r>
      <w:r w:rsidRPr="0094476D">
        <w:rPr>
          <w:rFonts w:cs="Arial"/>
        </w:rPr>
        <w:tab/>
      </w:r>
      <w:r>
        <w:rPr>
          <w:rFonts w:cs="Arial"/>
        </w:rPr>
        <w:t>+</w:t>
      </w:r>
      <w:r w:rsidRPr="0094476D">
        <w:rPr>
          <w:rFonts w:cs="Arial"/>
        </w:rPr>
        <w:t>61 2 8467 3600</w:t>
      </w:r>
    </w:p>
    <w:p w14:paraId="0CF6613A" w14:textId="728CEBC7" w:rsidR="00604D99" w:rsidRDefault="00604D99" w:rsidP="00160779">
      <w:pPr>
        <w:spacing w:after="360"/>
        <w:contextualSpacing/>
        <w:rPr>
          <w:rFonts w:cs="Arial"/>
        </w:rPr>
      </w:pPr>
      <w:r w:rsidRPr="0094476D">
        <w:rPr>
          <w:rFonts w:cs="Arial"/>
        </w:rPr>
        <w:t>W</w:t>
      </w:r>
      <w:r>
        <w:rPr>
          <w:rFonts w:cs="Arial"/>
        </w:rPr>
        <w:t>:</w:t>
      </w:r>
      <w:r w:rsidRPr="0094476D">
        <w:rPr>
          <w:rFonts w:cs="Arial"/>
        </w:rPr>
        <w:tab/>
        <w:t>www.measurement.gov.au</w:t>
      </w:r>
    </w:p>
    <w:p w14:paraId="20742B64" w14:textId="771D0646" w:rsidR="00604D99" w:rsidRPr="00827092" w:rsidRDefault="00604D99" w:rsidP="00C46732">
      <w:pPr>
        <w:pStyle w:val="Heading1-NoNumber"/>
      </w:pPr>
      <w:bookmarkStart w:id="1" w:name="_Toc50364751"/>
      <w:bookmarkStart w:id="2" w:name="_Toc170413876"/>
      <w:bookmarkEnd w:id="0"/>
      <w:r w:rsidRPr="00827092">
        <w:t>Amendments</w:t>
      </w:r>
      <w:bookmarkEnd w:id="1"/>
      <w:bookmarkEnd w:id="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Caption w:val="Amendments Table"/>
        <w:tblDescription w:val="A 5 column table detailing the amendments made to the NITP by item number, date, page, location and detail of change."/>
      </w:tblPr>
      <w:tblGrid>
        <w:gridCol w:w="701"/>
        <w:gridCol w:w="1638"/>
        <w:gridCol w:w="1003"/>
        <w:gridCol w:w="1577"/>
        <w:gridCol w:w="4817"/>
      </w:tblGrid>
      <w:tr w:rsidR="0055720F" w:rsidRPr="009826B2" w14:paraId="2FC381AC" w14:textId="77777777" w:rsidTr="0055720F">
        <w:trPr>
          <w:tblHeader/>
        </w:trPr>
        <w:tc>
          <w:tcPr>
            <w:tcW w:w="360" w:type="pct"/>
            <w:shd w:val="clear" w:color="auto" w:fill="A6192E"/>
            <w:vAlign w:val="center"/>
          </w:tcPr>
          <w:p w14:paraId="25E6ECC3" w14:textId="77777777" w:rsidR="0055720F" w:rsidRPr="009826B2" w:rsidRDefault="0055720F" w:rsidP="0055720F">
            <w:pPr>
              <w:pStyle w:val="TableText"/>
              <w:jc w:val="center"/>
              <w:rPr>
                <w:color w:val="FFFFFF" w:themeColor="background1"/>
              </w:rPr>
            </w:pPr>
            <w:r w:rsidRPr="009826B2">
              <w:rPr>
                <w:color w:val="FFFFFF" w:themeColor="background1"/>
              </w:rPr>
              <w:t>No.</w:t>
            </w:r>
          </w:p>
        </w:tc>
        <w:tc>
          <w:tcPr>
            <w:tcW w:w="841" w:type="pct"/>
            <w:shd w:val="clear" w:color="auto" w:fill="A6192E"/>
            <w:vAlign w:val="center"/>
          </w:tcPr>
          <w:p w14:paraId="2715BCFF" w14:textId="77777777" w:rsidR="0055720F" w:rsidRPr="009826B2" w:rsidRDefault="0055720F" w:rsidP="0055720F">
            <w:pPr>
              <w:pStyle w:val="TableText"/>
              <w:jc w:val="center"/>
              <w:rPr>
                <w:color w:val="FFFFFF" w:themeColor="background1"/>
              </w:rPr>
            </w:pPr>
            <w:r w:rsidRPr="009826B2">
              <w:rPr>
                <w:color w:val="FFFFFF" w:themeColor="background1"/>
              </w:rPr>
              <w:t>Date</w:t>
            </w:r>
          </w:p>
        </w:tc>
        <w:tc>
          <w:tcPr>
            <w:tcW w:w="515" w:type="pct"/>
            <w:shd w:val="clear" w:color="auto" w:fill="A6192E"/>
            <w:vAlign w:val="center"/>
          </w:tcPr>
          <w:p w14:paraId="08005968" w14:textId="77777777" w:rsidR="0055720F" w:rsidRPr="009826B2" w:rsidRDefault="0055720F" w:rsidP="0055720F">
            <w:pPr>
              <w:pStyle w:val="TableText"/>
              <w:jc w:val="center"/>
              <w:rPr>
                <w:color w:val="FFFFFF" w:themeColor="background1"/>
              </w:rPr>
            </w:pPr>
            <w:r w:rsidRPr="009826B2">
              <w:rPr>
                <w:color w:val="FFFFFF" w:themeColor="background1"/>
              </w:rPr>
              <w:t>Page/s</w:t>
            </w:r>
          </w:p>
        </w:tc>
        <w:tc>
          <w:tcPr>
            <w:tcW w:w="810" w:type="pct"/>
            <w:shd w:val="clear" w:color="auto" w:fill="A6192E"/>
            <w:vAlign w:val="center"/>
          </w:tcPr>
          <w:p w14:paraId="1072AB4C" w14:textId="77777777" w:rsidR="0055720F" w:rsidRPr="009826B2" w:rsidRDefault="0055720F" w:rsidP="0055720F">
            <w:pPr>
              <w:pStyle w:val="TableText"/>
              <w:jc w:val="center"/>
              <w:rPr>
                <w:color w:val="FFFFFF" w:themeColor="background1"/>
              </w:rPr>
            </w:pPr>
            <w:r w:rsidRPr="009826B2">
              <w:rPr>
                <w:color w:val="FFFFFF" w:themeColor="background1"/>
              </w:rPr>
              <w:t>Location</w:t>
            </w:r>
          </w:p>
        </w:tc>
        <w:tc>
          <w:tcPr>
            <w:tcW w:w="2474" w:type="pct"/>
            <w:shd w:val="clear" w:color="auto" w:fill="A6192E"/>
            <w:vAlign w:val="center"/>
          </w:tcPr>
          <w:p w14:paraId="1A224526" w14:textId="77777777" w:rsidR="0055720F" w:rsidRPr="009826B2" w:rsidRDefault="0055720F" w:rsidP="0055720F">
            <w:pPr>
              <w:pStyle w:val="TableText"/>
              <w:jc w:val="center"/>
              <w:rPr>
                <w:color w:val="FFFFFF" w:themeColor="background1"/>
              </w:rPr>
            </w:pPr>
            <w:r w:rsidRPr="009826B2">
              <w:rPr>
                <w:color w:val="FFFFFF" w:themeColor="background1"/>
              </w:rPr>
              <w:t>Details of change</w:t>
            </w:r>
          </w:p>
        </w:tc>
      </w:tr>
      <w:tr w:rsidR="00054DCB" w:rsidRPr="009826B2" w14:paraId="32EE15E5" w14:textId="77777777" w:rsidTr="0055720F">
        <w:tc>
          <w:tcPr>
            <w:tcW w:w="360" w:type="pct"/>
            <w:vAlign w:val="center"/>
          </w:tcPr>
          <w:p w14:paraId="200376E3" w14:textId="1330C65C" w:rsidR="00054DCB" w:rsidRDefault="00054DCB" w:rsidP="00054DCB">
            <w:pPr>
              <w:pStyle w:val="TableText"/>
              <w:jc w:val="center"/>
            </w:pPr>
            <w:r>
              <w:t>1</w:t>
            </w:r>
          </w:p>
        </w:tc>
        <w:tc>
          <w:tcPr>
            <w:tcW w:w="841" w:type="pct"/>
            <w:vAlign w:val="center"/>
          </w:tcPr>
          <w:p w14:paraId="3FF4A646" w14:textId="4F0B87C0" w:rsidR="00054DCB" w:rsidRPr="00372927" w:rsidRDefault="00285CCD" w:rsidP="00054DCB">
            <w:pPr>
              <w:pStyle w:val="TableText"/>
              <w:jc w:val="center"/>
            </w:pPr>
            <w:r>
              <w:t>August</w:t>
            </w:r>
            <w:r w:rsidRPr="00B3327A">
              <w:t xml:space="preserve"> 2024</w:t>
            </w:r>
          </w:p>
        </w:tc>
        <w:tc>
          <w:tcPr>
            <w:tcW w:w="515" w:type="pct"/>
            <w:vAlign w:val="center"/>
          </w:tcPr>
          <w:p w14:paraId="279BB408" w14:textId="2F28B14E" w:rsidR="00054DCB" w:rsidRDefault="00054DCB" w:rsidP="00054DCB">
            <w:pPr>
              <w:pStyle w:val="TableText"/>
              <w:jc w:val="center"/>
            </w:pPr>
            <w:r>
              <w:t>-</w:t>
            </w:r>
          </w:p>
        </w:tc>
        <w:tc>
          <w:tcPr>
            <w:tcW w:w="810" w:type="pct"/>
            <w:vAlign w:val="center"/>
          </w:tcPr>
          <w:p w14:paraId="1B566043" w14:textId="0B3031A5" w:rsidR="00054DCB" w:rsidRDefault="002D5ED6" w:rsidP="00054DCB">
            <w:pPr>
              <w:pStyle w:val="TableText"/>
              <w:jc w:val="center"/>
            </w:pPr>
            <w:r>
              <w:t>Various</w:t>
            </w:r>
          </w:p>
        </w:tc>
        <w:tc>
          <w:tcPr>
            <w:tcW w:w="2474" w:type="pct"/>
            <w:vAlign w:val="center"/>
          </w:tcPr>
          <w:p w14:paraId="5BB7BD82" w14:textId="578C5B8F" w:rsidR="00054DCB" w:rsidRPr="00ED3970" w:rsidRDefault="00054DCB" w:rsidP="00054DCB">
            <w:pPr>
              <w:pStyle w:val="TableText"/>
            </w:pPr>
            <w:r>
              <w:t xml:space="preserve">Separation of test procedures for </w:t>
            </w:r>
            <w:r w:rsidR="000E0801">
              <w:t xml:space="preserve">different kinds of </w:t>
            </w:r>
            <w:r>
              <w:t>utility meter</w:t>
            </w:r>
            <w:r w:rsidR="000E0801">
              <w:t xml:space="preserve"> – gas meter, electricity meter and water meter</w:t>
            </w:r>
            <w:r>
              <w:t xml:space="preserve">. </w:t>
            </w:r>
          </w:p>
        </w:tc>
      </w:tr>
      <w:tr w:rsidR="00054DCB" w:rsidRPr="009826B2" w14:paraId="78D6E196" w14:textId="77777777" w:rsidTr="0055720F">
        <w:tc>
          <w:tcPr>
            <w:tcW w:w="360" w:type="pct"/>
            <w:vAlign w:val="center"/>
          </w:tcPr>
          <w:p w14:paraId="7566A939" w14:textId="4C47CFF8" w:rsidR="00054DCB" w:rsidRDefault="00054DCB" w:rsidP="00054DCB">
            <w:pPr>
              <w:pStyle w:val="TableText"/>
              <w:jc w:val="center"/>
            </w:pPr>
            <w:r>
              <w:t>2</w:t>
            </w:r>
          </w:p>
        </w:tc>
        <w:tc>
          <w:tcPr>
            <w:tcW w:w="841" w:type="pct"/>
            <w:vAlign w:val="center"/>
          </w:tcPr>
          <w:p w14:paraId="7E76E8B6" w14:textId="202D2DCD" w:rsidR="00054DCB" w:rsidRPr="00372927" w:rsidRDefault="00285CCD" w:rsidP="00054DCB">
            <w:pPr>
              <w:pStyle w:val="TableText"/>
              <w:jc w:val="center"/>
            </w:pPr>
            <w:r>
              <w:t>August</w:t>
            </w:r>
            <w:r w:rsidRPr="00B3327A">
              <w:t xml:space="preserve"> 2024</w:t>
            </w:r>
          </w:p>
        </w:tc>
        <w:tc>
          <w:tcPr>
            <w:tcW w:w="515" w:type="pct"/>
            <w:vAlign w:val="center"/>
          </w:tcPr>
          <w:p w14:paraId="32CA9BCF" w14:textId="7C2E9A8C" w:rsidR="00054DCB" w:rsidRDefault="00054DCB" w:rsidP="00054DCB">
            <w:pPr>
              <w:pStyle w:val="TableText"/>
              <w:jc w:val="center"/>
            </w:pPr>
            <w:r>
              <w:t>-</w:t>
            </w:r>
          </w:p>
        </w:tc>
        <w:tc>
          <w:tcPr>
            <w:tcW w:w="810" w:type="pct"/>
            <w:vAlign w:val="center"/>
          </w:tcPr>
          <w:p w14:paraId="21C81A42" w14:textId="52ED2E47" w:rsidR="00054DCB" w:rsidRDefault="002D5ED6" w:rsidP="00054DCB">
            <w:pPr>
              <w:pStyle w:val="TableText"/>
              <w:jc w:val="center"/>
            </w:pPr>
            <w:r>
              <w:t>Various</w:t>
            </w:r>
          </w:p>
        </w:tc>
        <w:tc>
          <w:tcPr>
            <w:tcW w:w="2474" w:type="pct"/>
            <w:vAlign w:val="center"/>
          </w:tcPr>
          <w:p w14:paraId="14A42973" w14:textId="10212FB6" w:rsidR="00054DCB" w:rsidRPr="00ED3970" w:rsidRDefault="00054DCB" w:rsidP="00054DCB">
            <w:pPr>
              <w:pStyle w:val="TableText"/>
            </w:pPr>
            <w:r w:rsidRPr="00ED3970">
              <w:t xml:space="preserve">Test procedures for electricity meters updated </w:t>
            </w:r>
            <w:r w:rsidR="000E0801">
              <w:t>for</w:t>
            </w:r>
            <w:r w:rsidRPr="00ED3970">
              <w:t xml:space="preserve"> </w:t>
            </w:r>
            <w:r w:rsidR="008F04B6">
              <w:t xml:space="preserve">electricity </w:t>
            </w:r>
            <w:r w:rsidRPr="00ED3970">
              <w:t>meters approved under NMI</w:t>
            </w:r>
            <w:r w:rsidR="000E0801">
              <w:t> </w:t>
            </w:r>
            <w:r w:rsidRPr="00ED3970">
              <w:t>M</w:t>
            </w:r>
            <w:r w:rsidR="000E0801">
              <w:t> </w:t>
            </w:r>
            <w:r w:rsidRPr="00ED3970">
              <w:t>6, NMI</w:t>
            </w:r>
            <w:r w:rsidR="000E0801">
              <w:t> </w:t>
            </w:r>
            <w:r w:rsidR="000E0801" w:rsidRPr="00ED3970">
              <w:t>M</w:t>
            </w:r>
            <w:r w:rsidR="000E0801">
              <w:t> </w:t>
            </w:r>
            <w:r w:rsidRPr="00ED3970">
              <w:t>13 or NMI</w:t>
            </w:r>
            <w:r w:rsidR="000E0801">
              <w:t> </w:t>
            </w:r>
            <w:r w:rsidRPr="00ED3970">
              <w:t>R</w:t>
            </w:r>
            <w:r w:rsidR="000E0801">
              <w:t> </w:t>
            </w:r>
            <w:r w:rsidRPr="00ED3970">
              <w:t>46</w:t>
            </w:r>
            <w:r w:rsidR="000E0801">
              <w:t>.</w:t>
            </w:r>
          </w:p>
        </w:tc>
      </w:tr>
      <w:tr w:rsidR="00054DCB" w:rsidRPr="009826B2" w14:paraId="08666737" w14:textId="77777777" w:rsidTr="0055720F">
        <w:tc>
          <w:tcPr>
            <w:tcW w:w="360" w:type="pct"/>
            <w:vAlign w:val="center"/>
          </w:tcPr>
          <w:p w14:paraId="42245E73" w14:textId="3A46DC6C" w:rsidR="00054DCB" w:rsidRPr="009826B2" w:rsidRDefault="00054DCB" w:rsidP="00054DCB">
            <w:pPr>
              <w:pStyle w:val="TableText"/>
              <w:jc w:val="center"/>
            </w:pPr>
            <w:r>
              <w:t>3</w:t>
            </w:r>
          </w:p>
        </w:tc>
        <w:tc>
          <w:tcPr>
            <w:tcW w:w="841" w:type="pct"/>
            <w:vAlign w:val="center"/>
          </w:tcPr>
          <w:p w14:paraId="08482764" w14:textId="028F6D4A" w:rsidR="00054DCB" w:rsidRPr="00372927" w:rsidRDefault="00285CCD" w:rsidP="00054DCB">
            <w:pPr>
              <w:pStyle w:val="TableText"/>
              <w:jc w:val="center"/>
            </w:pPr>
            <w:r>
              <w:t>August</w:t>
            </w:r>
            <w:r w:rsidRPr="00B3327A">
              <w:t xml:space="preserve"> 2024</w:t>
            </w:r>
          </w:p>
        </w:tc>
        <w:tc>
          <w:tcPr>
            <w:tcW w:w="515" w:type="pct"/>
            <w:vAlign w:val="center"/>
          </w:tcPr>
          <w:p w14:paraId="531BD0FD" w14:textId="48A962CF" w:rsidR="00054DCB" w:rsidRPr="009826B2" w:rsidRDefault="00054DCB" w:rsidP="00054DCB">
            <w:pPr>
              <w:pStyle w:val="TableText"/>
              <w:jc w:val="center"/>
            </w:pPr>
            <w:r>
              <w:t>-</w:t>
            </w:r>
          </w:p>
        </w:tc>
        <w:tc>
          <w:tcPr>
            <w:tcW w:w="810" w:type="pct"/>
            <w:vAlign w:val="center"/>
          </w:tcPr>
          <w:p w14:paraId="6D2D5372" w14:textId="7015417E" w:rsidR="00054DCB" w:rsidRPr="009826B2" w:rsidRDefault="002D5ED6" w:rsidP="00054DCB">
            <w:pPr>
              <w:pStyle w:val="TableText"/>
              <w:jc w:val="center"/>
            </w:pPr>
            <w:r>
              <w:t>Various</w:t>
            </w:r>
          </w:p>
        </w:tc>
        <w:tc>
          <w:tcPr>
            <w:tcW w:w="2474" w:type="pct"/>
            <w:vAlign w:val="center"/>
          </w:tcPr>
          <w:p w14:paraId="7EE73EF0" w14:textId="114ECDAB" w:rsidR="00054DCB" w:rsidRPr="009826B2" w:rsidRDefault="00054DCB" w:rsidP="00054DCB">
            <w:pPr>
              <w:pStyle w:val="TableText"/>
            </w:pPr>
            <w:r w:rsidRPr="00ED3970">
              <w:t>Clarification of sampling plans and selection</w:t>
            </w:r>
            <w:r>
              <w:t>.</w:t>
            </w:r>
          </w:p>
        </w:tc>
      </w:tr>
      <w:tr w:rsidR="00CA6168" w:rsidRPr="009826B2" w14:paraId="68AD3F42" w14:textId="77777777" w:rsidTr="0055720F">
        <w:tc>
          <w:tcPr>
            <w:tcW w:w="360" w:type="pct"/>
            <w:vAlign w:val="center"/>
          </w:tcPr>
          <w:p w14:paraId="4588324B" w14:textId="572E90FB" w:rsidR="00CA6168" w:rsidRDefault="002D5ED6" w:rsidP="00CA6168">
            <w:pPr>
              <w:pStyle w:val="TableText"/>
              <w:jc w:val="center"/>
            </w:pPr>
            <w:r>
              <w:t>4</w:t>
            </w:r>
          </w:p>
        </w:tc>
        <w:tc>
          <w:tcPr>
            <w:tcW w:w="841" w:type="pct"/>
            <w:vAlign w:val="center"/>
          </w:tcPr>
          <w:p w14:paraId="14FE2E95" w14:textId="5963DF1B" w:rsidR="00CA6168" w:rsidRPr="00372927" w:rsidRDefault="00285CCD" w:rsidP="00CA6168">
            <w:pPr>
              <w:pStyle w:val="TableText"/>
              <w:jc w:val="center"/>
            </w:pPr>
            <w:r>
              <w:t>August</w:t>
            </w:r>
            <w:r w:rsidRPr="00B3327A">
              <w:t xml:space="preserve"> 2024</w:t>
            </w:r>
          </w:p>
        </w:tc>
        <w:tc>
          <w:tcPr>
            <w:tcW w:w="515" w:type="pct"/>
            <w:vAlign w:val="center"/>
          </w:tcPr>
          <w:p w14:paraId="764DBA9B" w14:textId="22887AF8" w:rsidR="00CA6168" w:rsidRPr="00372927" w:rsidRDefault="00CA6168" w:rsidP="00CA6168">
            <w:pPr>
              <w:pStyle w:val="TableText"/>
              <w:jc w:val="center"/>
            </w:pPr>
            <w:r>
              <w:t>-</w:t>
            </w:r>
          </w:p>
        </w:tc>
        <w:tc>
          <w:tcPr>
            <w:tcW w:w="810" w:type="pct"/>
            <w:vAlign w:val="center"/>
          </w:tcPr>
          <w:p w14:paraId="1EFCBA28" w14:textId="68E23FAD" w:rsidR="00CA6168" w:rsidRDefault="00CA6168" w:rsidP="00CA6168">
            <w:pPr>
              <w:pStyle w:val="TableText"/>
              <w:jc w:val="center"/>
            </w:pPr>
            <w:r>
              <w:t>-</w:t>
            </w:r>
          </w:p>
        </w:tc>
        <w:tc>
          <w:tcPr>
            <w:tcW w:w="2474" w:type="pct"/>
            <w:vAlign w:val="center"/>
          </w:tcPr>
          <w:p w14:paraId="607E4F18" w14:textId="4AB1C9E8" w:rsidR="00CA6168" w:rsidRPr="00ED3970" w:rsidRDefault="00CA6168" w:rsidP="00CA6168">
            <w:pPr>
              <w:pStyle w:val="TableText"/>
            </w:pPr>
            <w:r>
              <w:t>Removal of references to in-service inspection.</w:t>
            </w:r>
          </w:p>
        </w:tc>
      </w:tr>
      <w:tr w:rsidR="00CA6168" w:rsidRPr="009826B2" w14:paraId="4FD1F0CC" w14:textId="77777777" w:rsidTr="0055720F">
        <w:tc>
          <w:tcPr>
            <w:tcW w:w="360" w:type="pct"/>
            <w:vAlign w:val="center"/>
          </w:tcPr>
          <w:p w14:paraId="7321C926" w14:textId="307CCDC4" w:rsidR="00CA6168" w:rsidRDefault="002D5ED6" w:rsidP="00CA6168">
            <w:pPr>
              <w:pStyle w:val="TableText"/>
              <w:jc w:val="center"/>
            </w:pPr>
            <w:r>
              <w:t>5</w:t>
            </w:r>
          </w:p>
        </w:tc>
        <w:tc>
          <w:tcPr>
            <w:tcW w:w="841" w:type="pct"/>
            <w:vAlign w:val="center"/>
          </w:tcPr>
          <w:p w14:paraId="722EA1CD" w14:textId="6B77F54D" w:rsidR="00CA6168" w:rsidRDefault="00285CCD" w:rsidP="00CA6168">
            <w:pPr>
              <w:pStyle w:val="TableText"/>
              <w:jc w:val="center"/>
            </w:pPr>
            <w:r>
              <w:t>August</w:t>
            </w:r>
            <w:r w:rsidRPr="00B3327A">
              <w:t xml:space="preserve"> 2024</w:t>
            </w:r>
          </w:p>
        </w:tc>
        <w:tc>
          <w:tcPr>
            <w:tcW w:w="515" w:type="pct"/>
            <w:vAlign w:val="center"/>
          </w:tcPr>
          <w:p w14:paraId="02021E00" w14:textId="167CD3B9" w:rsidR="00CA6168" w:rsidRDefault="00CA6168" w:rsidP="00CA6168">
            <w:pPr>
              <w:pStyle w:val="TableText"/>
              <w:jc w:val="center"/>
            </w:pPr>
            <w:r>
              <w:t>-</w:t>
            </w:r>
          </w:p>
        </w:tc>
        <w:tc>
          <w:tcPr>
            <w:tcW w:w="810" w:type="pct"/>
            <w:vAlign w:val="center"/>
          </w:tcPr>
          <w:p w14:paraId="2645A877" w14:textId="3EEEB736" w:rsidR="00CA6168" w:rsidRDefault="002D5ED6" w:rsidP="00CA6168">
            <w:pPr>
              <w:pStyle w:val="TableText"/>
              <w:jc w:val="center"/>
            </w:pPr>
            <w:r>
              <w:t>Various</w:t>
            </w:r>
          </w:p>
        </w:tc>
        <w:tc>
          <w:tcPr>
            <w:tcW w:w="2474" w:type="pct"/>
            <w:vAlign w:val="center"/>
          </w:tcPr>
          <w:p w14:paraId="595C9521" w14:textId="096032E7" w:rsidR="00CA6168" w:rsidRDefault="00B3513E" w:rsidP="00CA6168">
            <w:pPr>
              <w:pStyle w:val="TableText"/>
            </w:pPr>
            <w:r>
              <w:t>Clarification of requirements for marking of verification marks and issuing of batch verification certificates.</w:t>
            </w:r>
          </w:p>
        </w:tc>
      </w:tr>
    </w:tbl>
    <w:p w14:paraId="269640E9" w14:textId="77777777" w:rsidR="00F00964" w:rsidRDefault="00F00964">
      <w:pPr>
        <w:spacing w:after="200"/>
        <w:rPr>
          <w:rFonts w:ascii="Arial Bold" w:eastAsiaTheme="majorEastAsia" w:hAnsi="Arial Bold" w:cstheme="majorBidi"/>
          <w:b/>
          <w:bCs/>
          <w:color w:val="7C1222"/>
          <w:sz w:val="28"/>
          <w:szCs w:val="28"/>
        </w:rPr>
      </w:pPr>
      <w:bookmarkStart w:id="3" w:name="_Toc45020495"/>
      <w:bookmarkStart w:id="4" w:name="_Toc46140482"/>
      <w:bookmarkStart w:id="5" w:name="_Toc50383616"/>
      <w:r>
        <w:br w:type="page"/>
      </w:r>
    </w:p>
    <w:p w14:paraId="72E8CA79" w14:textId="3493D66F" w:rsidR="00C846D4" w:rsidRPr="00B411FC" w:rsidRDefault="00C846D4" w:rsidP="00160779">
      <w:pPr>
        <w:pStyle w:val="Heading1-NoNumber"/>
      </w:pPr>
      <w:bookmarkStart w:id="6" w:name="_Toc170413877"/>
      <w:r w:rsidRPr="00264944">
        <w:lastRenderedPageBreak/>
        <w:t>Preface</w:t>
      </w:r>
      <w:bookmarkEnd w:id="3"/>
      <w:bookmarkEnd w:id="4"/>
      <w:bookmarkEnd w:id="5"/>
      <w:bookmarkEnd w:id="6"/>
    </w:p>
    <w:p w14:paraId="3757484E" w14:textId="46851808" w:rsidR="00C944A1" w:rsidRPr="00CB2EFD" w:rsidRDefault="00C944A1" w:rsidP="00C944A1">
      <w:pPr>
        <w:rPr>
          <w:szCs w:val="20"/>
        </w:rPr>
      </w:pPr>
      <w:r w:rsidRPr="00CB2EFD">
        <w:rPr>
          <w:szCs w:val="20"/>
        </w:rPr>
        <w:t xml:space="preserve">The </w:t>
      </w:r>
      <w:bookmarkStart w:id="7" w:name="_Hlk147312309"/>
      <w:r w:rsidRPr="00CB2EFD">
        <w:rPr>
          <w:szCs w:val="20"/>
        </w:rPr>
        <w:t xml:space="preserve">Chief Metrologist has determined that NITP 14.0 together with </w:t>
      </w:r>
      <w:r w:rsidRPr="00D4655F">
        <w:rPr>
          <w:szCs w:val="20"/>
        </w:rPr>
        <w:t>NITP</w:t>
      </w:r>
      <w:r w:rsidRPr="00CB2EFD">
        <w:rPr>
          <w:szCs w:val="20"/>
        </w:rPr>
        <w:t xml:space="preserve"> 14.</w:t>
      </w:r>
      <w:r>
        <w:rPr>
          <w:szCs w:val="20"/>
        </w:rPr>
        <w:t>2</w:t>
      </w:r>
      <w:r w:rsidRPr="00CB2EFD">
        <w:rPr>
          <w:szCs w:val="20"/>
        </w:rPr>
        <w:t xml:space="preserve"> are the national instrument test procedures for </w:t>
      </w:r>
      <w:r>
        <w:rPr>
          <w:szCs w:val="20"/>
        </w:rPr>
        <w:t>electricity</w:t>
      </w:r>
      <w:r w:rsidRPr="00CB2EFD">
        <w:rPr>
          <w:szCs w:val="20"/>
        </w:rPr>
        <w:t xml:space="preserve"> meters.</w:t>
      </w:r>
    </w:p>
    <w:p w14:paraId="2A7DABA8" w14:textId="77777777" w:rsidR="00C944A1" w:rsidRPr="00CB2EFD" w:rsidRDefault="00C944A1" w:rsidP="00C944A1">
      <w:r w:rsidRPr="00CB2EFD">
        <w:t>This document specifies:</w:t>
      </w:r>
    </w:p>
    <w:p w14:paraId="322F2546" w14:textId="6E480C84" w:rsidR="00C944A1" w:rsidRPr="00CB2EFD" w:rsidRDefault="00C944A1" w:rsidP="00C944A1">
      <w:pPr>
        <w:pStyle w:val="ListParagraph"/>
        <w:numPr>
          <w:ilvl w:val="0"/>
          <w:numId w:val="28"/>
        </w:numPr>
      </w:pPr>
      <w:r w:rsidRPr="00CB2EFD">
        <w:t xml:space="preserve">the </w:t>
      </w:r>
      <w:r w:rsidRPr="003E5960">
        <w:t>test procedures for</w:t>
      </w:r>
      <w:r w:rsidRPr="00CB2EFD">
        <w:t xml:space="preserve"> the verification of </w:t>
      </w:r>
      <w:r>
        <w:t xml:space="preserve">electricity </w:t>
      </w:r>
      <w:r w:rsidRPr="00CB2EFD">
        <w:t xml:space="preserve">meters including </w:t>
      </w:r>
      <w:r w:rsidRPr="003E5960">
        <w:t xml:space="preserve">individual verification </w:t>
      </w:r>
      <w:r w:rsidRPr="00D4655F">
        <w:t>for individual</w:t>
      </w:r>
      <w:r w:rsidRPr="003E5960">
        <w:t xml:space="preserve"> </w:t>
      </w:r>
      <w:r w:rsidR="008F04B6" w:rsidRPr="008F04B6">
        <w:t xml:space="preserve">electricity </w:t>
      </w:r>
      <w:r w:rsidRPr="003E5960">
        <w:t>meters</w:t>
      </w:r>
      <w:r w:rsidRPr="00D4655F">
        <w:t>, individual</w:t>
      </w:r>
      <w:r w:rsidRPr="003E5960">
        <w:t xml:space="preserve"> verification using </w:t>
      </w:r>
      <w:r w:rsidRPr="00CB2EFD">
        <w:t xml:space="preserve">batch/lot sampling regimes </w:t>
      </w:r>
      <w:r w:rsidRPr="003E5960">
        <w:t xml:space="preserve">to allow for a reduction in the number of test points and batch verification of imported </w:t>
      </w:r>
      <w:r w:rsidR="00592BDE">
        <w:t>electricity</w:t>
      </w:r>
      <w:r w:rsidR="00592BDE" w:rsidRPr="003E5960">
        <w:t xml:space="preserve"> </w:t>
      </w:r>
      <w:proofErr w:type="gramStart"/>
      <w:r w:rsidRPr="003E5960">
        <w:t>meters</w:t>
      </w:r>
      <w:proofErr w:type="gramEnd"/>
    </w:p>
    <w:p w14:paraId="55B5AEB8" w14:textId="77777777" w:rsidR="00C944A1" w:rsidRPr="00CB2EFD" w:rsidRDefault="00C944A1" w:rsidP="00C944A1">
      <w:pPr>
        <w:pStyle w:val="ListParagraph"/>
        <w:numPr>
          <w:ilvl w:val="0"/>
          <w:numId w:val="28"/>
        </w:numPr>
      </w:pPr>
      <w:r w:rsidRPr="00CB2EFD">
        <w:t>the related requirements for utility meter verifiers.</w:t>
      </w:r>
    </w:p>
    <w:p w14:paraId="266A0F48" w14:textId="78B37686" w:rsidR="004B2093" w:rsidRDefault="00C944A1" w:rsidP="00054DCB">
      <w:r w:rsidRPr="00CB2EFD">
        <w:t xml:space="preserve">This document does not mandate the pattern approval or verification of utility meters that are of a type and class exempt from the operation of the </w:t>
      </w:r>
      <w:r w:rsidRPr="00140BC3">
        <w:rPr>
          <w:i/>
          <w:iCs/>
        </w:rPr>
        <w:t>National Measurement Act 1960</w:t>
      </w:r>
      <w:r w:rsidRPr="00CB2EFD">
        <w:t xml:space="preserve"> (</w:t>
      </w:r>
      <w:proofErr w:type="spellStart"/>
      <w:r w:rsidRPr="00CB2EFD">
        <w:t>Cth</w:t>
      </w:r>
      <w:proofErr w:type="spellEnd"/>
      <w:r w:rsidRPr="00CB2EFD">
        <w:t>) (the Act)</w:t>
      </w:r>
      <w:r w:rsidRPr="00CB2EFD">
        <w:rPr>
          <w:i/>
        </w:rPr>
        <w:t xml:space="preserve"> </w:t>
      </w:r>
      <w:r w:rsidRPr="00CB2EFD">
        <w:t xml:space="preserve">under regulation 5.6 of the </w:t>
      </w:r>
      <w:r w:rsidRPr="00CB2EFD">
        <w:rPr>
          <w:i/>
        </w:rPr>
        <w:t>National Trade Measurement Regulations 2009</w:t>
      </w:r>
      <w:r w:rsidRPr="00CB2EFD">
        <w:t xml:space="preserve"> (</w:t>
      </w:r>
      <w:proofErr w:type="spellStart"/>
      <w:r w:rsidRPr="00CB2EFD">
        <w:t>Cth</w:t>
      </w:r>
      <w:proofErr w:type="spellEnd"/>
      <w:r w:rsidRPr="00CB2EFD">
        <w:t>) (the Regulations)</w:t>
      </w:r>
      <w:bookmarkEnd w:id="7"/>
      <w:r w:rsidR="004B2093" w:rsidRPr="00613B58">
        <w:rPr>
          <w:i/>
        </w:rPr>
        <w:t>.</w:t>
      </w:r>
    </w:p>
    <w:p w14:paraId="336338D9" w14:textId="77777777" w:rsidR="000E0801" w:rsidRDefault="000E0801">
      <w:pPr>
        <w:spacing w:after="200"/>
      </w:pPr>
      <w:r>
        <w:br w:type="page"/>
      </w:r>
    </w:p>
    <w:p w14:paraId="072E7166" w14:textId="3D2CFD54" w:rsidR="0075462B" w:rsidRPr="00636A8F" w:rsidRDefault="003345DB" w:rsidP="001776A7">
      <w:pPr>
        <w:tabs>
          <w:tab w:val="left" w:pos="3994"/>
        </w:tabs>
        <w:rPr>
          <w:b/>
          <w:color w:val="7C1222"/>
        </w:rPr>
      </w:pPr>
      <w:bookmarkStart w:id="8" w:name="_Toc357528891"/>
      <w:r w:rsidRPr="00636A8F">
        <w:rPr>
          <w:b/>
          <w:color w:val="7C1222"/>
          <w:sz w:val="28"/>
        </w:rPr>
        <w:lastRenderedPageBreak/>
        <w:t>Contents</w:t>
      </w:r>
      <w:bookmarkEnd w:id="8"/>
    </w:p>
    <w:p w14:paraId="5815DAF0" w14:textId="42B54272" w:rsidR="00140BC3" w:rsidRDefault="0045598A">
      <w:pPr>
        <w:pStyle w:val="TOC1"/>
        <w:rPr>
          <w:rFonts w:asciiTheme="minorHAnsi" w:eastAsiaTheme="minorEastAsia" w:hAnsiTheme="minorHAnsi"/>
          <w:bCs w:val="0"/>
          <w:iCs w:val="0"/>
          <w:noProof/>
          <w:kern w:val="2"/>
          <w:sz w:val="22"/>
          <w:lang w:eastAsia="en-AU"/>
          <w14:ligatures w14:val="standardContextual"/>
        </w:rPr>
      </w:pPr>
      <w:r>
        <w:fldChar w:fldCharType="begin"/>
      </w:r>
      <w:r>
        <w:instrText xml:space="preserve"> TOC \o "1-2" \h \z \u </w:instrText>
      </w:r>
      <w:r>
        <w:fldChar w:fldCharType="separate"/>
      </w:r>
      <w:hyperlink w:anchor="_Toc170413876" w:history="1">
        <w:r w:rsidR="00140BC3" w:rsidRPr="004F17D6">
          <w:rPr>
            <w:rStyle w:val="Hyperlink"/>
            <w:noProof/>
          </w:rPr>
          <w:t>Amendments</w:t>
        </w:r>
        <w:r w:rsidR="00140BC3">
          <w:rPr>
            <w:noProof/>
            <w:webHidden/>
          </w:rPr>
          <w:tab/>
        </w:r>
        <w:r w:rsidR="00140BC3">
          <w:rPr>
            <w:noProof/>
            <w:webHidden/>
          </w:rPr>
          <w:fldChar w:fldCharType="begin"/>
        </w:r>
        <w:r w:rsidR="00140BC3">
          <w:rPr>
            <w:noProof/>
            <w:webHidden/>
          </w:rPr>
          <w:instrText xml:space="preserve"> PAGEREF _Toc170413876 \h </w:instrText>
        </w:r>
        <w:r w:rsidR="00140BC3">
          <w:rPr>
            <w:noProof/>
            <w:webHidden/>
          </w:rPr>
        </w:r>
        <w:r w:rsidR="00140BC3">
          <w:rPr>
            <w:noProof/>
            <w:webHidden/>
          </w:rPr>
          <w:fldChar w:fldCharType="separate"/>
        </w:r>
        <w:r w:rsidR="00140BC3">
          <w:rPr>
            <w:noProof/>
            <w:webHidden/>
          </w:rPr>
          <w:t>ii</w:t>
        </w:r>
        <w:r w:rsidR="00140BC3">
          <w:rPr>
            <w:noProof/>
            <w:webHidden/>
          </w:rPr>
          <w:fldChar w:fldCharType="end"/>
        </w:r>
      </w:hyperlink>
    </w:p>
    <w:p w14:paraId="597D0007" w14:textId="4D2E556B" w:rsidR="00140BC3" w:rsidRDefault="00440352">
      <w:pPr>
        <w:pStyle w:val="TOC1"/>
        <w:rPr>
          <w:rFonts w:asciiTheme="minorHAnsi" w:eastAsiaTheme="minorEastAsia" w:hAnsiTheme="minorHAnsi"/>
          <w:bCs w:val="0"/>
          <w:iCs w:val="0"/>
          <w:noProof/>
          <w:kern w:val="2"/>
          <w:sz w:val="22"/>
          <w:lang w:eastAsia="en-AU"/>
          <w14:ligatures w14:val="standardContextual"/>
        </w:rPr>
      </w:pPr>
      <w:hyperlink w:anchor="_Toc170413877" w:history="1">
        <w:r w:rsidR="00140BC3" w:rsidRPr="004F17D6">
          <w:rPr>
            <w:rStyle w:val="Hyperlink"/>
            <w:noProof/>
          </w:rPr>
          <w:t>Preface</w:t>
        </w:r>
        <w:r w:rsidR="00140BC3">
          <w:rPr>
            <w:noProof/>
            <w:webHidden/>
          </w:rPr>
          <w:tab/>
        </w:r>
        <w:r w:rsidR="00140BC3">
          <w:rPr>
            <w:noProof/>
            <w:webHidden/>
          </w:rPr>
          <w:fldChar w:fldCharType="begin"/>
        </w:r>
        <w:r w:rsidR="00140BC3">
          <w:rPr>
            <w:noProof/>
            <w:webHidden/>
          </w:rPr>
          <w:instrText xml:space="preserve"> PAGEREF _Toc170413877 \h </w:instrText>
        </w:r>
        <w:r w:rsidR="00140BC3">
          <w:rPr>
            <w:noProof/>
            <w:webHidden/>
          </w:rPr>
        </w:r>
        <w:r w:rsidR="00140BC3">
          <w:rPr>
            <w:noProof/>
            <w:webHidden/>
          </w:rPr>
          <w:fldChar w:fldCharType="separate"/>
        </w:r>
        <w:r w:rsidR="00140BC3">
          <w:rPr>
            <w:noProof/>
            <w:webHidden/>
          </w:rPr>
          <w:t>iii</w:t>
        </w:r>
        <w:r w:rsidR="00140BC3">
          <w:rPr>
            <w:noProof/>
            <w:webHidden/>
          </w:rPr>
          <w:fldChar w:fldCharType="end"/>
        </w:r>
      </w:hyperlink>
    </w:p>
    <w:p w14:paraId="2B76FA64" w14:textId="7FC22D38" w:rsidR="00140BC3" w:rsidRDefault="00440352">
      <w:pPr>
        <w:pStyle w:val="TOC1"/>
        <w:rPr>
          <w:rFonts w:asciiTheme="minorHAnsi" w:eastAsiaTheme="minorEastAsia" w:hAnsiTheme="minorHAnsi"/>
          <w:bCs w:val="0"/>
          <w:iCs w:val="0"/>
          <w:noProof/>
          <w:kern w:val="2"/>
          <w:sz w:val="22"/>
          <w:lang w:eastAsia="en-AU"/>
          <w14:ligatures w14:val="standardContextual"/>
        </w:rPr>
      </w:pPr>
      <w:hyperlink w:anchor="_Toc170413878" w:history="1">
        <w:r w:rsidR="00140BC3" w:rsidRPr="004F17D6">
          <w:rPr>
            <w:rStyle w:val="Hyperlink"/>
            <w:noProof/>
          </w:rPr>
          <w:t>Abbreviations</w:t>
        </w:r>
        <w:r w:rsidR="00140BC3">
          <w:rPr>
            <w:noProof/>
            <w:webHidden/>
          </w:rPr>
          <w:tab/>
        </w:r>
        <w:r w:rsidR="00140BC3">
          <w:rPr>
            <w:noProof/>
            <w:webHidden/>
          </w:rPr>
          <w:fldChar w:fldCharType="begin"/>
        </w:r>
        <w:r w:rsidR="00140BC3">
          <w:rPr>
            <w:noProof/>
            <w:webHidden/>
          </w:rPr>
          <w:instrText xml:space="preserve"> PAGEREF _Toc170413878 \h </w:instrText>
        </w:r>
        <w:r w:rsidR="00140BC3">
          <w:rPr>
            <w:noProof/>
            <w:webHidden/>
          </w:rPr>
        </w:r>
        <w:r w:rsidR="00140BC3">
          <w:rPr>
            <w:noProof/>
            <w:webHidden/>
          </w:rPr>
          <w:fldChar w:fldCharType="separate"/>
        </w:r>
        <w:r w:rsidR="00140BC3">
          <w:rPr>
            <w:noProof/>
            <w:webHidden/>
          </w:rPr>
          <w:t>iv</w:t>
        </w:r>
        <w:r w:rsidR="00140BC3">
          <w:rPr>
            <w:noProof/>
            <w:webHidden/>
          </w:rPr>
          <w:fldChar w:fldCharType="end"/>
        </w:r>
      </w:hyperlink>
    </w:p>
    <w:p w14:paraId="0E708CBF" w14:textId="7FE014AA" w:rsidR="00140BC3" w:rsidRDefault="00440352">
      <w:pPr>
        <w:pStyle w:val="TOC1"/>
        <w:rPr>
          <w:rFonts w:asciiTheme="minorHAnsi" w:eastAsiaTheme="minorEastAsia" w:hAnsiTheme="minorHAnsi"/>
          <w:bCs w:val="0"/>
          <w:iCs w:val="0"/>
          <w:noProof/>
          <w:kern w:val="2"/>
          <w:sz w:val="22"/>
          <w:lang w:eastAsia="en-AU"/>
          <w14:ligatures w14:val="standardContextual"/>
        </w:rPr>
      </w:pPr>
      <w:hyperlink w:anchor="_Toc170413879" w:history="1">
        <w:r w:rsidR="00140BC3" w:rsidRPr="004F17D6">
          <w:rPr>
            <w:rStyle w:val="Hyperlink"/>
            <w:noProof/>
          </w:rPr>
          <w:t>1.</w:t>
        </w:r>
        <w:r w:rsidR="00140BC3">
          <w:rPr>
            <w:rFonts w:asciiTheme="minorHAnsi" w:eastAsiaTheme="minorEastAsia" w:hAnsiTheme="minorHAnsi"/>
            <w:bCs w:val="0"/>
            <w:iCs w:val="0"/>
            <w:noProof/>
            <w:kern w:val="2"/>
            <w:sz w:val="22"/>
            <w:lang w:eastAsia="en-AU"/>
            <w14:ligatures w14:val="standardContextual"/>
          </w:rPr>
          <w:tab/>
        </w:r>
        <w:r w:rsidR="00140BC3" w:rsidRPr="004F17D6">
          <w:rPr>
            <w:rStyle w:val="Hyperlink"/>
            <w:noProof/>
          </w:rPr>
          <w:t>Scope</w:t>
        </w:r>
        <w:r w:rsidR="00140BC3">
          <w:rPr>
            <w:noProof/>
            <w:webHidden/>
          </w:rPr>
          <w:tab/>
        </w:r>
        <w:r w:rsidR="00140BC3">
          <w:rPr>
            <w:noProof/>
            <w:webHidden/>
          </w:rPr>
          <w:fldChar w:fldCharType="begin"/>
        </w:r>
        <w:r w:rsidR="00140BC3">
          <w:rPr>
            <w:noProof/>
            <w:webHidden/>
          </w:rPr>
          <w:instrText xml:space="preserve"> PAGEREF _Toc170413879 \h </w:instrText>
        </w:r>
        <w:r w:rsidR="00140BC3">
          <w:rPr>
            <w:noProof/>
            <w:webHidden/>
          </w:rPr>
        </w:r>
        <w:r w:rsidR="00140BC3">
          <w:rPr>
            <w:noProof/>
            <w:webHidden/>
          </w:rPr>
          <w:fldChar w:fldCharType="separate"/>
        </w:r>
        <w:r w:rsidR="00140BC3">
          <w:rPr>
            <w:noProof/>
            <w:webHidden/>
          </w:rPr>
          <w:t>1</w:t>
        </w:r>
        <w:r w:rsidR="00140BC3">
          <w:rPr>
            <w:noProof/>
            <w:webHidden/>
          </w:rPr>
          <w:fldChar w:fldCharType="end"/>
        </w:r>
      </w:hyperlink>
    </w:p>
    <w:p w14:paraId="0ED43AA1" w14:textId="48E3B0DE" w:rsidR="00140BC3" w:rsidRDefault="00440352">
      <w:pPr>
        <w:pStyle w:val="TOC1"/>
        <w:rPr>
          <w:rFonts w:asciiTheme="minorHAnsi" w:eastAsiaTheme="minorEastAsia" w:hAnsiTheme="minorHAnsi"/>
          <w:bCs w:val="0"/>
          <w:iCs w:val="0"/>
          <w:noProof/>
          <w:kern w:val="2"/>
          <w:sz w:val="22"/>
          <w:lang w:eastAsia="en-AU"/>
          <w14:ligatures w14:val="standardContextual"/>
        </w:rPr>
      </w:pPr>
      <w:hyperlink w:anchor="_Toc170413880" w:history="1">
        <w:r w:rsidR="00140BC3" w:rsidRPr="004F17D6">
          <w:rPr>
            <w:rStyle w:val="Hyperlink"/>
            <w:noProof/>
          </w:rPr>
          <w:t>2.</w:t>
        </w:r>
        <w:r w:rsidR="00140BC3">
          <w:rPr>
            <w:rFonts w:asciiTheme="minorHAnsi" w:eastAsiaTheme="minorEastAsia" w:hAnsiTheme="minorHAnsi"/>
            <w:bCs w:val="0"/>
            <w:iCs w:val="0"/>
            <w:noProof/>
            <w:kern w:val="2"/>
            <w:sz w:val="22"/>
            <w:lang w:eastAsia="en-AU"/>
            <w14:ligatures w14:val="standardContextual"/>
          </w:rPr>
          <w:tab/>
        </w:r>
        <w:r w:rsidR="00140BC3" w:rsidRPr="004F17D6">
          <w:rPr>
            <w:rStyle w:val="Hyperlink"/>
            <w:noProof/>
          </w:rPr>
          <w:t>Standard procedures</w:t>
        </w:r>
        <w:r w:rsidR="00140BC3">
          <w:rPr>
            <w:noProof/>
            <w:webHidden/>
          </w:rPr>
          <w:tab/>
        </w:r>
        <w:r w:rsidR="00140BC3">
          <w:rPr>
            <w:noProof/>
            <w:webHidden/>
          </w:rPr>
          <w:fldChar w:fldCharType="begin"/>
        </w:r>
        <w:r w:rsidR="00140BC3">
          <w:rPr>
            <w:noProof/>
            <w:webHidden/>
          </w:rPr>
          <w:instrText xml:space="preserve"> PAGEREF _Toc170413880 \h </w:instrText>
        </w:r>
        <w:r w:rsidR="00140BC3">
          <w:rPr>
            <w:noProof/>
            <w:webHidden/>
          </w:rPr>
        </w:r>
        <w:r w:rsidR="00140BC3">
          <w:rPr>
            <w:noProof/>
            <w:webHidden/>
          </w:rPr>
          <w:fldChar w:fldCharType="separate"/>
        </w:r>
        <w:r w:rsidR="00140BC3">
          <w:rPr>
            <w:noProof/>
            <w:webHidden/>
          </w:rPr>
          <w:t>1</w:t>
        </w:r>
        <w:r w:rsidR="00140BC3">
          <w:rPr>
            <w:noProof/>
            <w:webHidden/>
          </w:rPr>
          <w:fldChar w:fldCharType="end"/>
        </w:r>
      </w:hyperlink>
    </w:p>
    <w:p w14:paraId="7ED9F1A6" w14:textId="307310D3" w:rsidR="00140BC3" w:rsidRDefault="00440352">
      <w:pPr>
        <w:pStyle w:val="TOC2"/>
        <w:rPr>
          <w:rFonts w:asciiTheme="minorHAnsi" w:eastAsiaTheme="minorEastAsia" w:hAnsiTheme="minorHAnsi"/>
          <w:noProof/>
          <w:color w:val="auto"/>
          <w:kern w:val="2"/>
          <w:sz w:val="22"/>
          <w:lang w:eastAsia="en-AU"/>
          <w14:ligatures w14:val="standardContextual"/>
        </w:rPr>
      </w:pPr>
      <w:hyperlink w:anchor="_Toc170413881" w:history="1">
        <w:r w:rsidR="00140BC3" w:rsidRPr="004F17D6">
          <w:rPr>
            <w:rStyle w:val="Hyperlink"/>
            <w:noProof/>
          </w:rPr>
          <w:t>2.1</w:t>
        </w:r>
        <w:r w:rsidR="00140BC3">
          <w:rPr>
            <w:rFonts w:asciiTheme="minorHAnsi" w:eastAsiaTheme="minorEastAsia" w:hAnsiTheme="minorHAnsi"/>
            <w:noProof/>
            <w:color w:val="auto"/>
            <w:kern w:val="2"/>
            <w:sz w:val="22"/>
            <w:lang w:eastAsia="en-AU"/>
            <w14:ligatures w14:val="standardContextual"/>
          </w:rPr>
          <w:tab/>
        </w:r>
        <w:r w:rsidR="00140BC3" w:rsidRPr="004F17D6">
          <w:rPr>
            <w:rStyle w:val="Hyperlink"/>
            <w:noProof/>
          </w:rPr>
          <w:t>Accuracy</w:t>
        </w:r>
        <w:r w:rsidR="00140BC3">
          <w:rPr>
            <w:noProof/>
            <w:webHidden/>
          </w:rPr>
          <w:tab/>
        </w:r>
        <w:r w:rsidR="00140BC3">
          <w:rPr>
            <w:noProof/>
            <w:webHidden/>
          </w:rPr>
          <w:fldChar w:fldCharType="begin"/>
        </w:r>
        <w:r w:rsidR="00140BC3">
          <w:rPr>
            <w:noProof/>
            <w:webHidden/>
          </w:rPr>
          <w:instrText xml:space="preserve"> PAGEREF _Toc170413881 \h </w:instrText>
        </w:r>
        <w:r w:rsidR="00140BC3">
          <w:rPr>
            <w:noProof/>
            <w:webHidden/>
          </w:rPr>
        </w:r>
        <w:r w:rsidR="00140BC3">
          <w:rPr>
            <w:noProof/>
            <w:webHidden/>
          </w:rPr>
          <w:fldChar w:fldCharType="separate"/>
        </w:r>
        <w:r w:rsidR="00140BC3">
          <w:rPr>
            <w:noProof/>
            <w:webHidden/>
          </w:rPr>
          <w:t>1</w:t>
        </w:r>
        <w:r w:rsidR="00140BC3">
          <w:rPr>
            <w:noProof/>
            <w:webHidden/>
          </w:rPr>
          <w:fldChar w:fldCharType="end"/>
        </w:r>
      </w:hyperlink>
    </w:p>
    <w:p w14:paraId="0A18723B" w14:textId="3235A0B6" w:rsidR="00140BC3" w:rsidRDefault="00440352">
      <w:pPr>
        <w:pStyle w:val="TOC2"/>
        <w:rPr>
          <w:rFonts w:asciiTheme="minorHAnsi" w:eastAsiaTheme="minorEastAsia" w:hAnsiTheme="minorHAnsi"/>
          <w:noProof/>
          <w:color w:val="auto"/>
          <w:kern w:val="2"/>
          <w:sz w:val="22"/>
          <w:lang w:eastAsia="en-AU"/>
          <w14:ligatures w14:val="standardContextual"/>
        </w:rPr>
      </w:pPr>
      <w:hyperlink w:anchor="_Toc170413882" w:history="1">
        <w:r w:rsidR="00140BC3" w:rsidRPr="004F17D6">
          <w:rPr>
            <w:rStyle w:val="Hyperlink"/>
            <w:noProof/>
          </w:rPr>
          <w:t>2.2</w:t>
        </w:r>
        <w:r w:rsidR="00140BC3">
          <w:rPr>
            <w:rFonts w:asciiTheme="minorHAnsi" w:eastAsiaTheme="minorEastAsia" w:hAnsiTheme="minorHAnsi"/>
            <w:noProof/>
            <w:color w:val="auto"/>
            <w:kern w:val="2"/>
            <w:sz w:val="22"/>
            <w:lang w:eastAsia="en-AU"/>
            <w14:ligatures w14:val="standardContextual"/>
          </w:rPr>
          <w:tab/>
        </w:r>
        <w:r w:rsidR="00140BC3" w:rsidRPr="004F17D6">
          <w:rPr>
            <w:rStyle w:val="Hyperlink"/>
            <w:noProof/>
          </w:rPr>
          <w:t>No load</w:t>
        </w:r>
        <w:r w:rsidR="00140BC3">
          <w:rPr>
            <w:noProof/>
            <w:webHidden/>
          </w:rPr>
          <w:tab/>
        </w:r>
        <w:r w:rsidR="00140BC3">
          <w:rPr>
            <w:noProof/>
            <w:webHidden/>
          </w:rPr>
          <w:fldChar w:fldCharType="begin"/>
        </w:r>
        <w:r w:rsidR="00140BC3">
          <w:rPr>
            <w:noProof/>
            <w:webHidden/>
          </w:rPr>
          <w:instrText xml:space="preserve"> PAGEREF _Toc170413882 \h </w:instrText>
        </w:r>
        <w:r w:rsidR="00140BC3">
          <w:rPr>
            <w:noProof/>
            <w:webHidden/>
          </w:rPr>
        </w:r>
        <w:r w:rsidR="00140BC3">
          <w:rPr>
            <w:noProof/>
            <w:webHidden/>
          </w:rPr>
          <w:fldChar w:fldCharType="separate"/>
        </w:r>
        <w:r w:rsidR="00140BC3">
          <w:rPr>
            <w:noProof/>
            <w:webHidden/>
          </w:rPr>
          <w:t>3</w:t>
        </w:r>
        <w:r w:rsidR="00140BC3">
          <w:rPr>
            <w:noProof/>
            <w:webHidden/>
          </w:rPr>
          <w:fldChar w:fldCharType="end"/>
        </w:r>
      </w:hyperlink>
    </w:p>
    <w:p w14:paraId="66E2FDE6" w14:textId="6F9C72E7" w:rsidR="00140BC3" w:rsidRDefault="00440352">
      <w:pPr>
        <w:pStyle w:val="TOC2"/>
        <w:rPr>
          <w:rFonts w:asciiTheme="minorHAnsi" w:eastAsiaTheme="minorEastAsia" w:hAnsiTheme="minorHAnsi"/>
          <w:noProof/>
          <w:color w:val="auto"/>
          <w:kern w:val="2"/>
          <w:sz w:val="22"/>
          <w:lang w:eastAsia="en-AU"/>
          <w14:ligatures w14:val="standardContextual"/>
        </w:rPr>
      </w:pPr>
      <w:hyperlink w:anchor="_Toc170413883" w:history="1">
        <w:r w:rsidR="00140BC3" w:rsidRPr="004F17D6">
          <w:rPr>
            <w:rStyle w:val="Hyperlink"/>
            <w:noProof/>
          </w:rPr>
          <w:t>2.3</w:t>
        </w:r>
        <w:r w:rsidR="00140BC3">
          <w:rPr>
            <w:rFonts w:asciiTheme="minorHAnsi" w:eastAsiaTheme="minorEastAsia" w:hAnsiTheme="minorHAnsi"/>
            <w:noProof/>
            <w:color w:val="auto"/>
            <w:kern w:val="2"/>
            <w:sz w:val="22"/>
            <w:lang w:eastAsia="en-AU"/>
            <w14:ligatures w14:val="standardContextual"/>
          </w:rPr>
          <w:tab/>
        </w:r>
        <w:r w:rsidR="00140BC3" w:rsidRPr="004F17D6">
          <w:rPr>
            <w:rStyle w:val="Hyperlink"/>
            <w:noProof/>
          </w:rPr>
          <w:t>Starting</w:t>
        </w:r>
        <w:r w:rsidR="00140BC3">
          <w:rPr>
            <w:noProof/>
            <w:webHidden/>
          </w:rPr>
          <w:tab/>
        </w:r>
        <w:r w:rsidR="00140BC3">
          <w:rPr>
            <w:noProof/>
            <w:webHidden/>
          </w:rPr>
          <w:fldChar w:fldCharType="begin"/>
        </w:r>
        <w:r w:rsidR="00140BC3">
          <w:rPr>
            <w:noProof/>
            <w:webHidden/>
          </w:rPr>
          <w:instrText xml:space="preserve"> PAGEREF _Toc170413883 \h </w:instrText>
        </w:r>
        <w:r w:rsidR="00140BC3">
          <w:rPr>
            <w:noProof/>
            <w:webHidden/>
          </w:rPr>
        </w:r>
        <w:r w:rsidR="00140BC3">
          <w:rPr>
            <w:noProof/>
            <w:webHidden/>
          </w:rPr>
          <w:fldChar w:fldCharType="separate"/>
        </w:r>
        <w:r w:rsidR="00140BC3">
          <w:rPr>
            <w:noProof/>
            <w:webHidden/>
          </w:rPr>
          <w:t>4</w:t>
        </w:r>
        <w:r w:rsidR="00140BC3">
          <w:rPr>
            <w:noProof/>
            <w:webHidden/>
          </w:rPr>
          <w:fldChar w:fldCharType="end"/>
        </w:r>
      </w:hyperlink>
    </w:p>
    <w:p w14:paraId="2D3350CC" w14:textId="08E4D0C3" w:rsidR="00140BC3" w:rsidRDefault="00440352">
      <w:pPr>
        <w:pStyle w:val="TOC1"/>
        <w:rPr>
          <w:rFonts w:asciiTheme="minorHAnsi" w:eastAsiaTheme="minorEastAsia" w:hAnsiTheme="minorHAnsi"/>
          <w:bCs w:val="0"/>
          <w:iCs w:val="0"/>
          <w:noProof/>
          <w:kern w:val="2"/>
          <w:sz w:val="22"/>
          <w:lang w:eastAsia="en-AU"/>
          <w14:ligatures w14:val="standardContextual"/>
        </w:rPr>
      </w:pPr>
      <w:hyperlink w:anchor="_Toc170413884" w:history="1">
        <w:r w:rsidR="00140BC3" w:rsidRPr="004F17D6">
          <w:rPr>
            <w:rStyle w:val="Hyperlink"/>
            <w:noProof/>
          </w:rPr>
          <w:t>3.</w:t>
        </w:r>
        <w:r w:rsidR="00140BC3">
          <w:rPr>
            <w:rFonts w:asciiTheme="minorHAnsi" w:eastAsiaTheme="minorEastAsia" w:hAnsiTheme="minorHAnsi"/>
            <w:bCs w:val="0"/>
            <w:iCs w:val="0"/>
            <w:noProof/>
            <w:kern w:val="2"/>
            <w:sz w:val="22"/>
            <w:lang w:eastAsia="en-AU"/>
            <w14:ligatures w14:val="standardContextual"/>
          </w:rPr>
          <w:tab/>
        </w:r>
        <w:r w:rsidR="00140BC3" w:rsidRPr="004F17D6">
          <w:rPr>
            <w:rStyle w:val="Hyperlink"/>
            <w:noProof/>
          </w:rPr>
          <w:t>Test procedures</w:t>
        </w:r>
        <w:r w:rsidR="00140BC3">
          <w:rPr>
            <w:noProof/>
            <w:webHidden/>
          </w:rPr>
          <w:tab/>
        </w:r>
        <w:r w:rsidR="00140BC3">
          <w:rPr>
            <w:noProof/>
            <w:webHidden/>
          </w:rPr>
          <w:fldChar w:fldCharType="begin"/>
        </w:r>
        <w:r w:rsidR="00140BC3">
          <w:rPr>
            <w:noProof/>
            <w:webHidden/>
          </w:rPr>
          <w:instrText xml:space="preserve"> PAGEREF _Toc170413884 \h </w:instrText>
        </w:r>
        <w:r w:rsidR="00140BC3">
          <w:rPr>
            <w:noProof/>
            <w:webHidden/>
          </w:rPr>
        </w:r>
        <w:r w:rsidR="00140BC3">
          <w:rPr>
            <w:noProof/>
            <w:webHidden/>
          </w:rPr>
          <w:fldChar w:fldCharType="separate"/>
        </w:r>
        <w:r w:rsidR="00140BC3">
          <w:rPr>
            <w:noProof/>
            <w:webHidden/>
          </w:rPr>
          <w:t>4</w:t>
        </w:r>
        <w:r w:rsidR="00140BC3">
          <w:rPr>
            <w:noProof/>
            <w:webHidden/>
          </w:rPr>
          <w:fldChar w:fldCharType="end"/>
        </w:r>
      </w:hyperlink>
    </w:p>
    <w:p w14:paraId="24AF7FB2" w14:textId="6790DBE0" w:rsidR="00140BC3" w:rsidRDefault="00440352">
      <w:pPr>
        <w:pStyle w:val="TOC2"/>
        <w:rPr>
          <w:rFonts w:asciiTheme="minorHAnsi" w:eastAsiaTheme="minorEastAsia" w:hAnsiTheme="minorHAnsi"/>
          <w:noProof/>
          <w:color w:val="auto"/>
          <w:kern w:val="2"/>
          <w:sz w:val="22"/>
          <w:lang w:eastAsia="en-AU"/>
          <w14:ligatures w14:val="standardContextual"/>
        </w:rPr>
      </w:pPr>
      <w:hyperlink w:anchor="_Toc170413885" w:history="1">
        <w:r w:rsidR="00140BC3" w:rsidRPr="004F17D6">
          <w:rPr>
            <w:rStyle w:val="Hyperlink"/>
            <w:noProof/>
          </w:rPr>
          <w:t>3.1</w:t>
        </w:r>
        <w:r w:rsidR="00140BC3">
          <w:rPr>
            <w:rFonts w:asciiTheme="minorHAnsi" w:eastAsiaTheme="minorEastAsia" w:hAnsiTheme="minorHAnsi"/>
            <w:noProof/>
            <w:color w:val="auto"/>
            <w:kern w:val="2"/>
            <w:sz w:val="22"/>
            <w:lang w:eastAsia="en-AU"/>
            <w14:ligatures w14:val="standardContextual"/>
          </w:rPr>
          <w:tab/>
        </w:r>
        <w:r w:rsidR="00140BC3" w:rsidRPr="004F17D6">
          <w:rPr>
            <w:rStyle w:val="Hyperlink"/>
            <w:noProof/>
            <w:lang w:val="en-US"/>
          </w:rPr>
          <w:t>General requirements</w:t>
        </w:r>
        <w:r w:rsidR="00140BC3">
          <w:rPr>
            <w:noProof/>
            <w:webHidden/>
          </w:rPr>
          <w:tab/>
        </w:r>
        <w:r w:rsidR="00140BC3">
          <w:rPr>
            <w:noProof/>
            <w:webHidden/>
          </w:rPr>
          <w:fldChar w:fldCharType="begin"/>
        </w:r>
        <w:r w:rsidR="00140BC3">
          <w:rPr>
            <w:noProof/>
            <w:webHidden/>
          </w:rPr>
          <w:instrText xml:space="preserve"> PAGEREF _Toc170413885 \h </w:instrText>
        </w:r>
        <w:r w:rsidR="00140BC3">
          <w:rPr>
            <w:noProof/>
            <w:webHidden/>
          </w:rPr>
        </w:r>
        <w:r w:rsidR="00140BC3">
          <w:rPr>
            <w:noProof/>
            <w:webHidden/>
          </w:rPr>
          <w:fldChar w:fldCharType="separate"/>
        </w:r>
        <w:r w:rsidR="00140BC3">
          <w:rPr>
            <w:noProof/>
            <w:webHidden/>
          </w:rPr>
          <w:t>4</w:t>
        </w:r>
        <w:r w:rsidR="00140BC3">
          <w:rPr>
            <w:noProof/>
            <w:webHidden/>
          </w:rPr>
          <w:fldChar w:fldCharType="end"/>
        </w:r>
      </w:hyperlink>
    </w:p>
    <w:p w14:paraId="7BC2A47B" w14:textId="1B53C80E" w:rsidR="00140BC3" w:rsidRDefault="00440352">
      <w:pPr>
        <w:pStyle w:val="TOC2"/>
        <w:rPr>
          <w:rFonts w:asciiTheme="minorHAnsi" w:eastAsiaTheme="minorEastAsia" w:hAnsiTheme="minorHAnsi"/>
          <w:noProof/>
          <w:color w:val="auto"/>
          <w:kern w:val="2"/>
          <w:sz w:val="22"/>
          <w:lang w:eastAsia="en-AU"/>
          <w14:ligatures w14:val="standardContextual"/>
        </w:rPr>
      </w:pPr>
      <w:hyperlink w:anchor="_Toc170413886" w:history="1">
        <w:r w:rsidR="00140BC3" w:rsidRPr="004F17D6">
          <w:rPr>
            <w:rStyle w:val="Hyperlink"/>
            <w:noProof/>
            <w:lang w:val="en-US"/>
          </w:rPr>
          <w:t>3.2</w:t>
        </w:r>
        <w:r w:rsidR="00140BC3">
          <w:rPr>
            <w:rFonts w:asciiTheme="minorHAnsi" w:eastAsiaTheme="minorEastAsia" w:hAnsiTheme="minorHAnsi"/>
            <w:noProof/>
            <w:color w:val="auto"/>
            <w:kern w:val="2"/>
            <w:sz w:val="22"/>
            <w:lang w:eastAsia="en-AU"/>
            <w14:ligatures w14:val="standardContextual"/>
          </w:rPr>
          <w:tab/>
        </w:r>
        <w:r w:rsidR="00140BC3" w:rsidRPr="004F17D6">
          <w:rPr>
            <w:rStyle w:val="Hyperlink"/>
            <w:noProof/>
            <w:lang w:val="en-US"/>
          </w:rPr>
          <w:t>Individual verification – individual electricity meter</w:t>
        </w:r>
        <w:r w:rsidR="00140BC3">
          <w:rPr>
            <w:noProof/>
            <w:webHidden/>
          </w:rPr>
          <w:tab/>
        </w:r>
        <w:r w:rsidR="00140BC3">
          <w:rPr>
            <w:noProof/>
            <w:webHidden/>
          </w:rPr>
          <w:fldChar w:fldCharType="begin"/>
        </w:r>
        <w:r w:rsidR="00140BC3">
          <w:rPr>
            <w:noProof/>
            <w:webHidden/>
          </w:rPr>
          <w:instrText xml:space="preserve"> PAGEREF _Toc170413886 \h </w:instrText>
        </w:r>
        <w:r w:rsidR="00140BC3">
          <w:rPr>
            <w:noProof/>
            <w:webHidden/>
          </w:rPr>
        </w:r>
        <w:r w:rsidR="00140BC3">
          <w:rPr>
            <w:noProof/>
            <w:webHidden/>
          </w:rPr>
          <w:fldChar w:fldCharType="separate"/>
        </w:r>
        <w:r w:rsidR="00140BC3">
          <w:rPr>
            <w:noProof/>
            <w:webHidden/>
          </w:rPr>
          <w:t>5</w:t>
        </w:r>
        <w:r w:rsidR="00140BC3">
          <w:rPr>
            <w:noProof/>
            <w:webHidden/>
          </w:rPr>
          <w:fldChar w:fldCharType="end"/>
        </w:r>
      </w:hyperlink>
    </w:p>
    <w:p w14:paraId="752CF432" w14:textId="65338BF6" w:rsidR="00140BC3" w:rsidRDefault="00440352">
      <w:pPr>
        <w:pStyle w:val="TOC2"/>
        <w:rPr>
          <w:rFonts w:asciiTheme="minorHAnsi" w:eastAsiaTheme="minorEastAsia" w:hAnsiTheme="minorHAnsi"/>
          <w:noProof/>
          <w:color w:val="auto"/>
          <w:kern w:val="2"/>
          <w:sz w:val="22"/>
          <w:lang w:eastAsia="en-AU"/>
          <w14:ligatures w14:val="standardContextual"/>
        </w:rPr>
      </w:pPr>
      <w:hyperlink w:anchor="_Toc170413887" w:history="1">
        <w:r w:rsidR="00140BC3" w:rsidRPr="004F17D6">
          <w:rPr>
            <w:rStyle w:val="Hyperlink"/>
            <w:noProof/>
            <w:lang w:val="en-GB"/>
          </w:rPr>
          <w:t>3.3</w:t>
        </w:r>
        <w:r w:rsidR="00140BC3">
          <w:rPr>
            <w:rFonts w:asciiTheme="minorHAnsi" w:eastAsiaTheme="minorEastAsia" w:hAnsiTheme="minorHAnsi"/>
            <w:noProof/>
            <w:color w:val="auto"/>
            <w:kern w:val="2"/>
            <w:sz w:val="22"/>
            <w:lang w:eastAsia="en-AU"/>
            <w14:ligatures w14:val="standardContextual"/>
          </w:rPr>
          <w:tab/>
        </w:r>
        <w:r w:rsidR="00140BC3" w:rsidRPr="004F17D6">
          <w:rPr>
            <w:rStyle w:val="Hyperlink"/>
            <w:noProof/>
          </w:rPr>
          <w:t xml:space="preserve">Individual verification – batch </w:t>
        </w:r>
        <w:r w:rsidR="00140BC3" w:rsidRPr="004F17D6">
          <w:rPr>
            <w:rStyle w:val="Hyperlink"/>
            <w:noProof/>
            <w:lang w:val="en-GB"/>
          </w:rPr>
          <w:t>of locally manufactured electricity meters</w:t>
        </w:r>
        <w:r w:rsidR="00140BC3">
          <w:rPr>
            <w:noProof/>
            <w:webHidden/>
          </w:rPr>
          <w:tab/>
        </w:r>
        <w:r w:rsidR="00140BC3">
          <w:rPr>
            <w:noProof/>
            <w:webHidden/>
          </w:rPr>
          <w:fldChar w:fldCharType="begin"/>
        </w:r>
        <w:r w:rsidR="00140BC3">
          <w:rPr>
            <w:noProof/>
            <w:webHidden/>
          </w:rPr>
          <w:instrText xml:space="preserve"> PAGEREF _Toc170413887 \h </w:instrText>
        </w:r>
        <w:r w:rsidR="00140BC3">
          <w:rPr>
            <w:noProof/>
            <w:webHidden/>
          </w:rPr>
        </w:r>
        <w:r w:rsidR="00140BC3">
          <w:rPr>
            <w:noProof/>
            <w:webHidden/>
          </w:rPr>
          <w:fldChar w:fldCharType="separate"/>
        </w:r>
        <w:r w:rsidR="00140BC3">
          <w:rPr>
            <w:noProof/>
            <w:webHidden/>
          </w:rPr>
          <w:t>5</w:t>
        </w:r>
        <w:r w:rsidR="00140BC3">
          <w:rPr>
            <w:noProof/>
            <w:webHidden/>
          </w:rPr>
          <w:fldChar w:fldCharType="end"/>
        </w:r>
      </w:hyperlink>
    </w:p>
    <w:p w14:paraId="58A1298F" w14:textId="64CEE17B" w:rsidR="00140BC3" w:rsidRDefault="00440352">
      <w:pPr>
        <w:pStyle w:val="TOC2"/>
        <w:rPr>
          <w:rFonts w:asciiTheme="minorHAnsi" w:eastAsiaTheme="minorEastAsia" w:hAnsiTheme="minorHAnsi"/>
          <w:noProof/>
          <w:color w:val="auto"/>
          <w:kern w:val="2"/>
          <w:sz w:val="22"/>
          <w:lang w:eastAsia="en-AU"/>
          <w14:ligatures w14:val="standardContextual"/>
        </w:rPr>
      </w:pPr>
      <w:hyperlink w:anchor="_Toc170413888" w:history="1">
        <w:r w:rsidR="00140BC3" w:rsidRPr="004F17D6">
          <w:rPr>
            <w:rStyle w:val="Hyperlink"/>
            <w:noProof/>
            <w:lang w:val="en-US"/>
          </w:rPr>
          <w:t>3.4</w:t>
        </w:r>
        <w:r w:rsidR="00140BC3">
          <w:rPr>
            <w:rFonts w:asciiTheme="minorHAnsi" w:eastAsiaTheme="minorEastAsia" w:hAnsiTheme="minorHAnsi"/>
            <w:noProof/>
            <w:color w:val="auto"/>
            <w:kern w:val="2"/>
            <w:sz w:val="22"/>
            <w:lang w:eastAsia="en-AU"/>
            <w14:ligatures w14:val="standardContextual"/>
          </w:rPr>
          <w:tab/>
        </w:r>
        <w:r w:rsidR="00140BC3" w:rsidRPr="004F17D6">
          <w:rPr>
            <w:rStyle w:val="Hyperlink"/>
            <w:noProof/>
            <w:lang w:val="en-US"/>
          </w:rPr>
          <w:t>Batch verification – batch of imported electricity meters</w:t>
        </w:r>
        <w:r w:rsidR="00140BC3">
          <w:rPr>
            <w:noProof/>
            <w:webHidden/>
          </w:rPr>
          <w:tab/>
        </w:r>
        <w:r w:rsidR="00140BC3">
          <w:rPr>
            <w:noProof/>
            <w:webHidden/>
          </w:rPr>
          <w:fldChar w:fldCharType="begin"/>
        </w:r>
        <w:r w:rsidR="00140BC3">
          <w:rPr>
            <w:noProof/>
            <w:webHidden/>
          </w:rPr>
          <w:instrText xml:space="preserve"> PAGEREF _Toc170413888 \h </w:instrText>
        </w:r>
        <w:r w:rsidR="00140BC3">
          <w:rPr>
            <w:noProof/>
            <w:webHidden/>
          </w:rPr>
        </w:r>
        <w:r w:rsidR="00140BC3">
          <w:rPr>
            <w:noProof/>
            <w:webHidden/>
          </w:rPr>
          <w:fldChar w:fldCharType="separate"/>
        </w:r>
        <w:r w:rsidR="00140BC3">
          <w:rPr>
            <w:noProof/>
            <w:webHidden/>
          </w:rPr>
          <w:t>7</w:t>
        </w:r>
        <w:r w:rsidR="00140BC3">
          <w:rPr>
            <w:noProof/>
            <w:webHidden/>
          </w:rPr>
          <w:fldChar w:fldCharType="end"/>
        </w:r>
      </w:hyperlink>
    </w:p>
    <w:p w14:paraId="39C4357B" w14:textId="7627581F" w:rsidR="00140BC3" w:rsidRDefault="00440352">
      <w:pPr>
        <w:pStyle w:val="TOC1"/>
        <w:tabs>
          <w:tab w:val="left" w:pos="1540"/>
        </w:tabs>
        <w:rPr>
          <w:rFonts w:asciiTheme="minorHAnsi" w:eastAsiaTheme="minorEastAsia" w:hAnsiTheme="minorHAnsi"/>
          <w:bCs w:val="0"/>
          <w:iCs w:val="0"/>
          <w:noProof/>
          <w:kern w:val="2"/>
          <w:sz w:val="22"/>
          <w:lang w:eastAsia="en-AU"/>
          <w14:ligatures w14:val="standardContextual"/>
        </w:rPr>
      </w:pPr>
      <w:hyperlink w:anchor="_Toc170413889" w:history="1">
        <w:r w:rsidR="00140BC3" w:rsidRPr="004F17D6">
          <w:rPr>
            <w:rStyle w:val="Hyperlink"/>
            <w:noProof/>
          </w:rPr>
          <w:t>Appendix A.</w:t>
        </w:r>
        <w:r w:rsidR="00140BC3">
          <w:rPr>
            <w:rFonts w:asciiTheme="minorHAnsi" w:eastAsiaTheme="minorEastAsia" w:hAnsiTheme="minorHAnsi"/>
            <w:bCs w:val="0"/>
            <w:iCs w:val="0"/>
            <w:noProof/>
            <w:kern w:val="2"/>
            <w:sz w:val="22"/>
            <w:lang w:eastAsia="en-AU"/>
            <w14:ligatures w14:val="standardContextual"/>
          </w:rPr>
          <w:tab/>
        </w:r>
        <w:r w:rsidR="00140BC3" w:rsidRPr="004F17D6">
          <w:rPr>
            <w:rStyle w:val="Hyperlink"/>
            <w:noProof/>
          </w:rPr>
          <w:t>Examples</w:t>
        </w:r>
        <w:r w:rsidR="00140BC3">
          <w:rPr>
            <w:noProof/>
            <w:webHidden/>
          </w:rPr>
          <w:tab/>
        </w:r>
        <w:r w:rsidR="00140BC3">
          <w:rPr>
            <w:noProof/>
            <w:webHidden/>
          </w:rPr>
          <w:fldChar w:fldCharType="begin"/>
        </w:r>
        <w:r w:rsidR="00140BC3">
          <w:rPr>
            <w:noProof/>
            <w:webHidden/>
          </w:rPr>
          <w:instrText xml:space="preserve"> PAGEREF _Toc170413889 \h </w:instrText>
        </w:r>
        <w:r w:rsidR="00140BC3">
          <w:rPr>
            <w:noProof/>
            <w:webHidden/>
          </w:rPr>
        </w:r>
        <w:r w:rsidR="00140BC3">
          <w:rPr>
            <w:noProof/>
            <w:webHidden/>
          </w:rPr>
          <w:fldChar w:fldCharType="separate"/>
        </w:r>
        <w:r w:rsidR="00140BC3">
          <w:rPr>
            <w:noProof/>
            <w:webHidden/>
          </w:rPr>
          <w:t>10</w:t>
        </w:r>
        <w:r w:rsidR="00140BC3">
          <w:rPr>
            <w:noProof/>
            <w:webHidden/>
          </w:rPr>
          <w:fldChar w:fldCharType="end"/>
        </w:r>
      </w:hyperlink>
    </w:p>
    <w:p w14:paraId="3744840E" w14:textId="747D1F06" w:rsidR="00140BC3" w:rsidRDefault="00440352">
      <w:pPr>
        <w:pStyle w:val="TOC2"/>
        <w:rPr>
          <w:rFonts w:asciiTheme="minorHAnsi" w:eastAsiaTheme="minorEastAsia" w:hAnsiTheme="minorHAnsi"/>
          <w:noProof/>
          <w:color w:val="auto"/>
          <w:kern w:val="2"/>
          <w:sz w:val="22"/>
          <w:lang w:eastAsia="en-AU"/>
          <w14:ligatures w14:val="standardContextual"/>
        </w:rPr>
      </w:pPr>
      <w:hyperlink w:anchor="_Toc170413890" w:history="1">
        <w:r w:rsidR="00140BC3" w:rsidRPr="004F17D6">
          <w:rPr>
            <w:rStyle w:val="Hyperlink"/>
            <w:noProof/>
          </w:rPr>
          <w:t>A.1</w:t>
        </w:r>
        <w:r w:rsidR="00140BC3">
          <w:rPr>
            <w:rFonts w:asciiTheme="minorHAnsi" w:eastAsiaTheme="minorEastAsia" w:hAnsiTheme="minorHAnsi"/>
            <w:noProof/>
            <w:color w:val="auto"/>
            <w:kern w:val="2"/>
            <w:sz w:val="22"/>
            <w:lang w:eastAsia="en-AU"/>
            <w14:ligatures w14:val="standardContextual"/>
          </w:rPr>
          <w:tab/>
        </w:r>
        <w:r w:rsidR="00140BC3" w:rsidRPr="004F17D6">
          <w:rPr>
            <w:rStyle w:val="Hyperlink"/>
            <w:noProof/>
          </w:rPr>
          <w:t>Example 1</w:t>
        </w:r>
        <w:r w:rsidR="00140BC3">
          <w:rPr>
            <w:noProof/>
            <w:webHidden/>
          </w:rPr>
          <w:tab/>
        </w:r>
        <w:r w:rsidR="00140BC3">
          <w:rPr>
            <w:noProof/>
            <w:webHidden/>
          </w:rPr>
          <w:fldChar w:fldCharType="begin"/>
        </w:r>
        <w:r w:rsidR="00140BC3">
          <w:rPr>
            <w:noProof/>
            <w:webHidden/>
          </w:rPr>
          <w:instrText xml:space="preserve"> PAGEREF _Toc170413890 \h </w:instrText>
        </w:r>
        <w:r w:rsidR="00140BC3">
          <w:rPr>
            <w:noProof/>
            <w:webHidden/>
          </w:rPr>
        </w:r>
        <w:r w:rsidR="00140BC3">
          <w:rPr>
            <w:noProof/>
            <w:webHidden/>
          </w:rPr>
          <w:fldChar w:fldCharType="separate"/>
        </w:r>
        <w:r w:rsidR="00140BC3">
          <w:rPr>
            <w:noProof/>
            <w:webHidden/>
          </w:rPr>
          <w:t>10</w:t>
        </w:r>
        <w:r w:rsidR="00140BC3">
          <w:rPr>
            <w:noProof/>
            <w:webHidden/>
          </w:rPr>
          <w:fldChar w:fldCharType="end"/>
        </w:r>
      </w:hyperlink>
    </w:p>
    <w:p w14:paraId="5A8AD4CB" w14:textId="7B910AFF" w:rsidR="00140BC3" w:rsidRDefault="00440352">
      <w:pPr>
        <w:pStyle w:val="TOC2"/>
        <w:rPr>
          <w:rFonts w:asciiTheme="minorHAnsi" w:eastAsiaTheme="minorEastAsia" w:hAnsiTheme="minorHAnsi"/>
          <w:noProof/>
          <w:color w:val="auto"/>
          <w:kern w:val="2"/>
          <w:sz w:val="22"/>
          <w:lang w:eastAsia="en-AU"/>
          <w14:ligatures w14:val="standardContextual"/>
        </w:rPr>
      </w:pPr>
      <w:hyperlink w:anchor="_Toc170413891" w:history="1">
        <w:r w:rsidR="00140BC3" w:rsidRPr="004F17D6">
          <w:rPr>
            <w:rStyle w:val="Hyperlink"/>
            <w:noProof/>
          </w:rPr>
          <w:t>A.2</w:t>
        </w:r>
        <w:r w:rsidR="00140BC3">
          <w:rPr>
            <w:rFonts w:asciiTheme="minorHAnsi" w:eastAsiaTheme="minorEastAsia" w:hAnsiTheme="minorHAnsi"/>
            <w:noProof/>
            <w:color w:val="auto"/>
            <w:kern w:val="2"/>
            <w:sz w:val="22"/>
            <w:lang w:eastAsia="en-AU"/>
            <w14:ligatures w14:val="standardContextual"/>
          </w:rPr>
          <w:tab/>
        </w:r>
        <w:r w:rsidR="00140BC3" w:rsidRPr="004F17D6">
          <w:rPr>
            <w:rStyle w:val="Hyperlink"/>
            <w:noProof/>
          </w:rPr>
          <w:t>Example 2</w:t>
        </w:r>
        <w:r w:rsidR="00140BC3">
          <w:rPr>
            <w:noProof/>
            <w:webHidden/>
          </w:rPr>
          <w:tab/>
        </w:r>
        <w:r w:rsidR="00140BC3">
          <w:rPr>
            <w:noProof/>
            <w:webHidden/>
          </w:rPr>
          <w:fldChar w:fldCharType="begin"/>
        </w:r>
        <w:r w:rsidR="00140BC3">
          <w:rPr>
            <w:noProof/>
            <w:webHidden/>
          </w:rPr>
          <w:instrText xml:space="preserve"> PAGEREF _Toc170413891 \h </w:instrText>
        </w:r>
        <w:r w:rsidR="00140BC3">
          <w:rPr>
            <w:noProof/>
            <w:webHidden/>
          </w:rPr>
        </w:r>
        <w:r w:rsidR="00140BC3">
          <w:rPr>
            <w:noProof/>
            <w:webHidden/>
          </w:rPr>
          <w:fldChar w:fldCharType="separate"/>
        </w:r>
        <w:r w:rsidR="00140BC3">
          <w:rPr>
            <w:noProof/>
            <w:webHidden/>
          </w:rPr>
          <w:t>11</w:t>
        </w:r>
        <w:r w:rsidR="00140BC3">
          <w:rPr>
            <w:noProof/>
            <w:webHidden/>
          </w:rPr>
          <w:fldChar w:fldCharType="end"/>
        </w:r>
      </w:hyperlink>
    </w:p>
    <w:p w14:paraId="5C4DF3D7" w14:textId="1E2ADDEB" w:rsidR="00C65F61" w:rsidRDefault="0045598A" w:rsidP="00C10522">
      <w:pPr>
        <w:rPr>
          <w:rFonts w:ascii="Helvetica" w:hAnsi="Helvetica"/>
          <w:sz w:val="28"/>
        </w:rPr>
      </w:pPr>
      <w:r>
        <w:rPr>
          <w:sz w:val="24"/>
        </w:rPr>
        <w:fldChar w:fldCharType="end"/>
      </w:r>
    </w:p>
    <w:p w14:paraId="4FA36FFC" w14:textId="77777777" w:rsidR="00C65F61" w:rsidRPr="00085429" w:rsidRDefault="00C65F61" w:rsidP="00C65F61">
      <w:pPr>
        <w:pStyle w:val="Heading1-NoNumber"/>
        <w:rPr>
          <w:lang w:val="de-DE"/>
        </w:rPr>
      </w:pPr>
      <w:bookmarkStart w:id="9" w:name="_Toc170413878"/>
      <w:r w:rsidRPr="00092884">
        <w:t>Abbreviations</w:t>
      </w:r>
      <w:bookmarkEnd w:id="9"/>
    </w:p>
    <w:p w14:paraId="4C0C0717" w14:textId="77777777" w:rsidR="00C65F61" w:rsidRPr="001D41B0" w:rsidRDefault="00C65F61" w:rsidP="00C65F61">
      <w:pPr>
        <w:spacing w:after="0"/>
        <w:ind w:left="851" w:hanging="851"/>
        <w:rPr>
          <w:rFonts w:cs="Arial"/>
        </w:rPr>
      </w:pPr>
      <w:r>
        <w:rPr>
          <w:rFonts w:cs="Arial"/>
        </w:rPr>
        <w:t xml:space="preserve">Refer to NITP 14.0 for all terms and abbreviations. </w:t>
      </w:r>
    </w:p>
    <w:p w14:paraId="14172CF1" w14:textId="3BBC05E9" w:rsidR="00C65F61" w:rsidRPr="00E606F9" w:rsidRDefault="00C65F61" w:rsidP="00E606F9">
      <w:pPr>
        <w:tabs>
          <w:tab w:val="left" w:pos="3306"/>
        </w:tabs>
        <w:rPr>
          <w:rFonts w:ascii="Helvetica" w:hAnsi="Helvetica"/>
          <w:sz w:val="28"/>
        </w:rPr>
        <w:sectPr w:rsidR="00C65F61" w:rsidRPr="00E606F9" w:rsidSect="006D7F7F">
          <w:headerReference w:type="even" r:id="rId10"/>
          <w:headerReference w:type="default" r:id="rId11"/>
          <w:footerReference w:type="default" r:id="rId12"/>
          <w:headerReference w:type="first" r:id="rId13"/>
          <w:pgSz w:w="11906" w:h="16838" w:code="9"/>
          <w:pgMar w:top="1440" w:right="1077" w:bottom="1440" w:left="1077" w:header="709" w:footer="709" w:gutter="0"/>
          <w:pgNumType w:fmt="lowerRoman"/>
          <w:cols w:space="708"/>
          <w:docGrid w:linePitch="360"/>
        </w:sectPr>
      </w:pPr>
    </w:p>
    <w:p w14:paraId="4E9A8D44" w14:textId="11B19FB6" w:rsidR="0075462B" w:rsidRPr="00B43BAD" w:rsidRDefault="0075462B" w:rsidP="00C46732">
      <w:pPr>
        <w:pStyle w:val="Heading1"/>
      </w:pPr>
      <w:bookmarkStart w:id="10" w:name="_Toc251154672"/>
      <w:bookmarkStart w:id="11" w:name="_Toc251154740"/>
      <w:bookmarkStart w:id="12" w:name="_Toc251155453"/>
      <w:bookmarkStart w:id="13" w:name="_Toc257200858"/>
      <w:bookmarkStart w:id="14" w:name="_Toc258418346"/>
      <w:bookmarkStart w:id="15" w:name="_Toc263761451"/>
      <w:bookmarkStart w:id="16" w:name="_Toc265488887"/>
      <w:bookmarkStart w:id="17" w:name="_Toc265676755"/>
      <w:bookmarkStart w:id="18" w:name="_Toc45020498"/>
      <w:bookmarkStart w:id="19" w:name="_Toc46140485"/>
      <w:bookmarkStart w:id="20" w:name="_Toc50383619"/>
      <w:bookmarkStart w:id="21" w:name="_Toc51138211"/>
      <w:bookmarkStart w:id="22" w:name="_Toc170413879"/>
      <w:r w:rsidRPr="00D60AB5">
        <w:lastRenderedPageBreak/>
        <w:t>Scope</w:t>
      </w:r>
      <w:bookmarkEnd w:id="10"/>
      <w:bookmarkEnd w:id="11"/>
      <w:bookmarkEnd w:id="12"/>
      <w:bookmarkEnd w:id="13"/>
      <w:bookmarkEnd w:id="14"/>
      <w:bookmarkEnd w:id="15"/>
      <w:bookmarkEnd w:id="16"/>
      <w:bookmarkEnd w:id="17"/>
      <w:bookmarkEnd w:id="18"/>
      <w:bookmarkEnd w:id="19"/>
      <w:bookmarkEnd w:id="20"/>
      <w:bookmarkEnd w:id="21"/>
      <w:bookmarkEnd w:id="22"/>
    </w:p>
    <w:p w14:paraId="49B13C02" w14:textId="06E156F0" w:rsidR="00AE671F" w:rsidRDefault="00860A77" w:rsidP="00EB378E">
      <w:pPr>
        <w:spacing w:before="120"/>
      </w:pPr>
      <w:r>
        <w:t>N</w:t>
      </w:r>
      <w:r w:rsidR="00AE671F">
        <w:t>ITP 14.</w:t>
      </w:r>
      <w:r w:rsidR="002A2A6A">
        <w:t>2</w:t>
      </w:r>
      <w:r w:rsidR="00AE671F">
        <w:t xml:space="preserve"> </w:t>
      </w:r>
      <w:r>
        <w:t xml:space="preserve">describes </w:t>
      </w:r>
      <w:r w:rsidR="00AE671F">
        <w:t xml:space="preserve">the </w:t>
      </w:r>
      <w:r>
        <w:t xml:space="preserve">specific </w:t>
      </w:r>
      <w:r w:rsidR="00AE671F">
        <w:t xml:space="preserve">test procedures for the verification of </w:t>
      </w:r>
      <w:r w:rsidR="002A2A6A">
        <w:t>electricity</w:t>
      </w:r>
      <w:r w:rsidR="00AE671F">
        <w:t xml:space="preserve"> meters</w:t>
      </w:r>
      <w:r>
        <w:t>. Together with NITP 14.0 these are the</w:t>
      </w:r>
      <w:r w:rsidR="005849DE">
        <w:t xml:space="preserve"> </w:t>
      </w:r>
      <w:r w:rsidR="00D4655F">
        <w:t>t</w:t>
      </w:r>
      <w:r>
        <w:t xml:space="preserve">est </w:t>
      </w:r>
      <w:r w:rsidR="00D4655F">
        <w:t>p</w:t>
      </w:r>
      <w:r>
        <w:t>rocedures</w:t>
      </w:r>
      <w:r w:rsidR="00AE671F">
        <w:t xml:space="preserve"> to assess whether </w:t>
      </w:r>
      <w:r>
        <w:t xml:space="preserve">electricity meters operate </w:t>
      </w:r>
      <w:r w:rsidR="00AE671F">
        <w:t xml:space="preserve">within the maximum permissible errors (MPEs) and </w:t>
      </w:r>
      <w:r>
        <w:t>are of an approved pattern</w:t>
      </w:r>
      <w:r w:rsidR="00AE671F">
        <w:t>.</w:t>
      </w:r>
    </w:p>
    <w:p w14:paraId="2393ECC2" w14:textId="09CCE471" w:rsidR="00860A77" w:rsidRDefault="00AE671F" w:rsidP="00AE671F">
      <w:r w:rsidRPr="00054DCB">
        <w:t xml:space="preserve">Certificates of </w:t>
      </w:r>
      <w:r w:rsidR="002B78FF">
        <w:t>a</w:t>
      </w:r>
      <w:r w:rsidRPr="00054DCB">
        <w:t>pproval for electricity meters are based on</w:t>
      </w:r>
      <w:r w:rsidR="00E65A50">
        <w:t xml:space="preserve"> one of the following pathways</w:t>
      </w:r>
      <w:r w:rsidR="00860A77">
        <w:t>:</w:t>
      </w:r>
    </w:p>
    <w:p w14:paraId="01CBF7DB" w14:textId="30934CB7" w:rsidR="00860A77" w:rsidRDefault="00AE671F">
      <w:pPr>
        <w:pStyle w:val="ListParagraph"/>
        <w:numPr>
          <w:ilvl w:val="0"/>
          <w:numId w:val="13"/>
        </w:numPr>
      </w:pPr>
      <w:r w:rsidRPr="00413E41">
        <w:rPr>
          <w:i/>
          <w:iCs/>
        </w:rPr>
        <w:t>NMI M 6</w:t>
      </w:r>
      <w:r w:rsidR="00F17714" w:rsidRPr="00413E41">
        <w:rPr>
          <w:i/>
          <w:iCs/>
        </w:rPr>
        <w:t xml:space="preserve"> Active-energy electricity meters (</w:t>
      </w:r>
      <w:proofErr w:type="spellStart"/>
      <w:r w:rsidR="00F17714" w:rsidRPr="00413E41">
        <w:rPr>
          <w:i/>
          <w:iCs/>
        </w:rPr>
        <w:t>a.c.</w:t>
      </w:r>
      <w:proofErr w:type="spellEnd"/>
      <w:r w:rsidR="00F17714" w:rsidRPr="00413E41">
        <w:rPr>
          <w:i/>
          <w:iCs/>
        </w:rPr>
        <w:t xml:space="preserve">) </w:t>
      </w:r>
      <w:r w:rsidR="00FD265C">
        <w:t>(NMI M 6)</w:t>
      </w:r>
    </w:p>
    <w:p w14:paraId="07437221" w14:textId="200DAF5E" w:rsidR="00860A77" w:rsidRDefault="00AE671F">
      <w:pPr>
        <w:pStyle w:val="ListParagraph"/>
        <w:numPr>
          <w:ilvl w:val="0"/>
          <w:numId w:val="13"/>
        </w:numPr>
      </w:pPr>
      <w:r w:rsidRPr="00413E41">
        <w:rPr>
          <w:i/>
          <w:iCs/>
        </w:rPr>
        <w:t>NMI M 13</w:t>
      </w:r>
      <w:r w:rsidR="00F17714" w:rsidRPr="00413E41">
        <w:rPr>
          <w:i/>
          <w:iCs/>
        </w:rPr>
        <w:t xml:space="preserve"> Active-energy electricity meters (</w:t>
      </w:r>
      <w:proofErr w:type="spellStart"/>
      <w:r w:rsidR="00F17714" w:rsidRPr="00413E41">
        <w:rPr>
          <w:i/>
          <w:iCs/>
        </w:rPr>
        <w:t>a.c.</w:t>
      </w:r>
      <w:proofErr w:type="spellEnd"/>
      <w:r w:rsidR="00F17714" w:rsidRPr="00413E41">
        <w:rPr>
          <w:i/>
          <w:iCs/>
        </w:rPr>
        <w:t xml:space="preserve">) </w:t>
      </w:r>
      <w:r w:rsidR="00FD265C">
        <w:t>(NMI M 13)</w:t>
      </w:r>
    </w:p>
    <w:p w14:paraId="59D98F2D" w14:textId="2123153C" w:rsidR="00AE671F" w:rsidRPr="00054DCB" w:rsidRDefault="00F17714">
      <w:pPr>
        <w:pStyle w:val="ListParagraph"/>
        <w:numPr>
          <w:ilvl w:val="0"/>
          <w:numId w:val="13"/>
        </w:numPr>
      </w:pPr>
      <w:r w:rsidRPr="00413E41">
        <w:rPr>
          <w:i/>
          <w:iCs/>
        </w:rPr>
        <w:t>NMI R 46 Active-energy electricity meters</w:t>
      </w:r>
      <w:r w:rsidR="00862D87" w:rsidRPr="00413E41">
        <w:rPr>
          <w:i/>
          <w:iCs/>
        </w:rPr>
        <w:t xml:space="preserve"> </w:t>
      </w:r>
      <w:r w:rsidR="00FD265C">
        <w:t>(NMI R 46)</w:t>
      </w:r>
      <w:r w:rsidR="00AE671F" w:rsidRPr="00054DCB">
        <w:t>.</w:t>
      </w:r>
    </w:p>
    <w:p w14:paraId="6584BC1F" w14:textId="0E9E5900" w:rsidR="004F32DC" w:rsidRPr="004F32DC" w:rsidRDefault="004F32DC" w:rsidP="004F32DC">
      <w:r w:rsidRPr="004F32DC">
        <w:t xml:space="preserve">All </w:t>
      </w:r>
      <w:r w:rsidR="00054DCB">
        <w:t>electricity</w:t>
      </w:r>
      <w:r w:rsidR="00AE671F">
        <w:t xml:space="preserve"> meters</w:t>
      </w:r>
      <w:r w:rsidRPr="004F32DC">
        <w:t xml:space="preserve"> must also comply with the</w:t>
      </w:r>
      <w:r w:rsidR="00D4655F">
        <w:t xml:space="preserve"> Act and </w:t>
      </w:r>
      <w:r w:rsidR="006250DC">
        <w:t xml:space="preserve">the </w:t>
      </w:r>
      <w:r w:rsidR="00D4655F">
        <w:t>Reg</w:t>
      </w:r>
      <w:r w:rsidR="00D4655F" w:rsidRPr="00D4655F">
        <w:t>ulations</w:t>
      </w:r>
      <w:r w:rsidRPr="00D4655F">
        <w:t>.</w:t>
      </w:r>
    </w:p>
    <w:p w14:paraId="53534D1F" w14:textId="43A8463E" w:rsidR="0075462B" w:rsidRDefault="00675E66" w:rsidP="00C46732">
      <w:pPr>
        <w:pStyle w:val="Heading1"/>
      </w:pPr>
      <w:bookmarkStart w:id="23" w:name="_Toc122691670"/>
      <w:bookmarkStart w:id="24" w:name="_Toc127873433"/>
      <w:bookmarkStart w:id="25" w:name="_Toc127875950"/>
      <w:bookmarkStart w:id="26" w:name="_Toc122691671"/>
      <w:bookmarkStart w:id="27" w:name="_Toc127873434"/>
      <w:bookmarkStart w:id="28" w:name="_Toc127875951"/>
      <w:bookmarkStart w:id="29" w:name="_Toc122691672"/>
      <w:bookmarkStart w:id="30" w:name="_Toc127873435"/>
      <w:bookmarkStart w:id="31" w:name="_Toc127875952"/>
      <w:bookmarkStart w:id="32" w:name="_Toc122691673"/>
      <w:bookmarkStart w:id="33" w:name="_Toc127873436"/>
      <w:bookmarkStart w:id="34" w:name="_Toc127875953"/>
      <w:bookmarkStart w:id="35" w:name="_Toc122691674"/>
      <w:bookmarkStart w:id="36" w:name="_Toc127873437"/>
      <w:bookmarkStart w:id="37" w:name="_Toc127875954"/>
      <w:bookmarkStart w:id="38" w:name="_Toc122691675"/>
      <w:bookmarkStart w:id="39" w:name="_Toc127873438"/>
      <w:bookmarkStart w:id="40" w:name="_Toc127875955"/>
      <w:bookmarkStart w:id="41" w:name="_Toc122691676"/>
      <w:bookmarkStart w:id="42" w:name="_Toc127873439"/>
      <w:bookmarkStart w:id="43" w:name="_Toc127875956"/>
      <w:bookmarkStart w:id="44" w:name="_Toc263763518"/>
      <w:bookmarkStart w:id="45" w:name="_Toc263763545"/>
      <w:bookmarkStart w:id="46" w:name="_Toc263763569"/>
      <w:bookmarkStart w:id="47" w:name="_Toc251154680"/>
      <w:bookmarkStart w:id="48" w:name="_Toc251154755"/>
      <w:bookmarkStart w:id="49" w:name="_Toc251155468"/>
      <w:bookmarkStart w:id="50" w:name="_Toc257200871"/>
      <w:bookmarkStart w:id="51" w:name="_Toc258418364"/>
      <w:bookmarkStart w:id="52" w:name="_Toc263761470"/>
      <w:bookmarkStart w:id="53" w:name="_Toc265488893"/>
      <w:bookmarkStart w:id="54" w:name="_Toc265676773"/>
      <w:bookmarkStart w:id="55" w:name="_Toc45020504"/>
      <w:bookmarkStart w:id="56" w:name="_Toc46140491"/>
      <w:bookmarkStart w:id="57" w:name="_Toc50383621"/>
      <w:bookmarkStart w:id="58" w:name="_Toc51138213"/>
      <w:bookmarkStart w:id="59" w:name="_Toc170413880"/>
      <w:bookmarkStart w:id="60" w:name="_Toc16768540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Standard procedures</w:t>
      </w:r>
      <w:bookmarkEnd w:id="47"/>
      <w:bookmarkEnd w:id="48"/>
      <w:bookmarkEnd w:id="49"/>
      <w:bookmarkEnd w:id="50"/>
      <w:bookmarkEnd w:id="51"/>
      <w:bookmarkEnd w:id="52"/>
      <w:bookmarkEnd w:id="53"/>
      <w:bookmarkEnd w:id="54"/>
      <w:bookmarkEnd w:id="55"/>
      <w:bookmarkEnd w:id="56"/>
      <w:bookmarkEnd w:id="57"/>
      <w:bookmarkEnd w:id="58"/>
      <w:bookmarkEnd w:id="59"/>
    </w:p>
    <w:p w14:paraId="34676CC9" w14:textId="4C46F224" w:rsidR="00675E66" w:rsidRDefault="00675E66" w:rsidP="00863C4E">
      <w:pPr>
        <w:pStyle w:val="Heading2"/>
      </w:pPr>
      <w:bookmarkStart w:id="61" w:name="_Toc170413881"/>
      <w:r w:rsidRPr="00863C4E">
        <w:t>Accuracy</w:t>
      </w:r>
      <w:bookmarkEnd w:id="61"/>
    </w:p>
    <w:p w14:paraId="58C43CEC" w14:textId="15170FD1" w:rsidR="00046231" w:rsidRPr="00046231" w:rsidRDefault="00046231" w:rsidP="00413E41">
      <w:pPr>
        <w:pStyle w:val="Heading3"/>
      </w:pPr>
      <w:r>
        <w:t>General</w:t>
      </w:r>
    </w:p>
    <w:p w14:paraId="4383DD38" w14:textId="48F39D03" w:rsidR="00675E66" w:rsidRDefault="00B75D33" w:rsidP="00675E66">
      <w:r>
        <w:t xml:space="preserve">An accuracy test determines whether </w:t>
      </w:r>
      <w:bookmarkStart w:id="62" w:name="_Hlk163222955"/>
      <w:r>
        <w:t>a</w:t>
      </w:r>
      <w:r w:rsidR="008F04B6">
        <w:t>n</w:t>
      </w:r>
      <w:r>
        <w:t xml:space="preserve"> </w:t>
      </w:r>
      <w:r w:rsidR="008F04B6" w:rsidRPr="008F04B6">
        <w:t xml:space="preserve">electricity </w:t>
      </w:r>
      <w:bookmarkEnd w:id="62"/>
      <w:r>
        <w:t>meter complies with the maximum permissible errors</w:t>
      </w:r>
      <w:r w:rsidR="00DC3498">
        <w:t xml:space="preserve"> (MPEs) for specified test points.</w:t>
      </w:r>
    </w:p>
    <w:p w14:paraId="59EB0D3F" w14:textId="77777777" w:rsidR="00DC3498" w:rsidRDefault="00DC3498" w:rsidP="00DC3498">
      <w:pPr>
        <w:pStyle w:val="Heading3"/>
      </w:pPr>
      <w:r>
        <w:t>Maximum permissible errors</w:t>
      </w:r>
    </w:p>
    <w:p w14:paraId="158F11D1" w14:textId="0D74D35B" w:rsidR="00DC3498" w:rsidRDefault="00DC3498" w:rsidP="00DC3498">
      <w:r>
        <w:t xml:space="preserve">MPEs are specified in the </w:t>
      </w:r>
      <w:r w:rsidR="00D4655F">
        <w:t>Regulations</w:t>
      </w:r>
      <w:r>
        <w:t>. Alternative MPEs may be stated in certificates of approval issued on or after 1 July 2007.</w:t>
      </w:r>
    </w:p>
    <w:p w14:paraId="2CAB3001" w14:textId="77777777" w:rsidR="00DC3498" w:rsidRDefault="00DC3498" w:rsidP="00DC3498">
      <w:r>
        <w:t>For reference, the usual MPEs are provided below in:</w:t>
      </w:r>
    </w:p>
    <w:p w14:paraId="3E5D6F3B" w14:textId="79FFD1AF" w:rsidR="00DC3498" w:rsidRDefault="00440352">
      <w:pPr>
        <w:pStyle w:val="ListParagraph"/>
        <w:numPr>
          <w:ilvl w:val="0"/>
          <w:numId w:val="19"/>
        </w:numPr>
      </w:pPr>
      <w:r>
        <w:fldChar w:fldCharType="begin" w:fldLock="1"/>
      </w:r>
      <w:r>
        <w:instrText xml:space="preserve"> REF _Ref146641645 </w:instrText>
      </w:r>
      <w:r>
        <w:fldChar w:fldCharType="separate"/>
      </w:r>
      <w:r w:rsidR="00DC3498">
        <w:t xml:space="preserve">Table </w:t>
      </w:r>
      <w:r w:rsidR="00DC3498">
        <w:rPr>
          <w:noProof/>
        </w:rPr>
        <w:t>1</w:t>
      </w:r>
      <w:r>
        <w:rPr>
          <w:noProof/>
        </w:rPr>
        <w:fldChar w:fldCharType="end"/>
      </w:r>
      <w:r w:rsidR="00DC3498">
        <w:t xml:space="preserve">, </w:t>
      </w:r>
      <w:r>
        <w:fldChar w:fldCharType="begin" w:fldLock="1"/>
      </w:r>
      <w:r>
        <w:instrText xml:space="preserve"> REF _Ref146641646 </w:instrText>
      </w:r>
      <w:r>
        <w:fldChar w:fldCharType="separate"/>
      </w:r>
      <w:r w:rsidR="00DC3498">
        <w:t xml:space="preserve">Table </w:t>
      </w:r>
      <w:r w:rsidR="00DC3498">
        <w:rPr>
          <w:noProof/>
        </w:rPr>
        <w:t>2</w:t>
      </w:r>
      <w:r>
        <w:rPr>
          <w:noProof/>
        </w:rPr>
        <w:fldChar w:fldCharType="end"/>
      </w:r>
      <w:r w:rsidR="00DC3498">
        <w:t xml:space="preserve"> and </w:t>
      </w:r>
      <w:r>
        <w:fldChar w:fldCharType="begin" w:fldLock="1"/>
      </w:r>
      <w:r>
        <w:instrText xml:space="preserve"> REF _Ref146641647 </w:instrText>
      </w:r>
      <w:r>
        <w:fldChar w:fldCharType="separate"/>
      </w:r>
      <w:r w:rsidR="00DC3498">
        <w:t xml:space="preserve">Table </w:t>
      </w:r>
      <w:r w:rsidR="00DC3498">
        <w:rPr>
          <w:noProof/>
        </w:rPr>
        <w:t>3</w:t>
      </w:r>
      <w:r>
        <w:rPr>
          <w:noProof/>
        </w:rPr>
        <w:fldChar w:fldCharType="end"/>
      </w:r>
      <w:r w:rsidR="00DC3498">
        <w:t xml:space="preserve"> for </w:t>
      </w:r>
      <w:r w:rsidR="008F04B6" w:rsidRPr="008F04B6">
        <w:t xml:space="preserve">electricity </w:t>
      </w:r>
      <w:r w:rsidR="00DC3498">
        <w:t>meters approved under NMI M 6</w:t>
      </w:r>
    </w:p>
    <w:p w14:paraId="2180EE3F" w14:textId="2844D1E1" w:rsidR="00DC3498" w:rsidRDefault="00440352">
      <w:pPr>
        <w:pStyle w:val="ListParagraph"/>
        <w:numPr>
          <w:ilvl w:val="0"/>
          <w:numId w:val="19"/>
        </w:numPr>
      </w:pPr>
      <w:r>
        <w:fldChar w:fldCharType="begin" w:fldLock="1"/>
      </w:r>
      <w:r>
        <w:instrText xml:space="preserve"> REF _Ref146641648 </w:instrText>
      </w:r>
      <w:r>
        <w:fldChar w:fldCharType="separate"/>
      </w:r>
      <w:r w:rsidR="00DC3498">
        <w:t xml:space="preserve">Table </w:t>
      </w:r>
      <w:r w:rsidR="00DC3498">
        <w:rPr>
          <w:noProof/>
        </w:rPr>
        <w:t>4</w:t>
      </w:r>
      <w:r>
        <w:rPr>
          <w:noProof/>
        </w:rPr>
        <w:fldChar w:fldCharType="end"/>
      </w:r>
      <w:r w:rsidR="00DC3498">
        <w:t xml:space="preserve"> and </w:t>
      </w:r>
      <w:r>
        <w:fldChar w:fldCharType="begin" w:fldLock="1"/>
      </w:r>
      <w:r>
        <w:instrText xml:space="preserve"> REF _Ref146641649 </w:instrText>
      </w:r>
      <w:r>
        <w:fldChar w:fldCharType="separate"/>
      </w:r>
      <w:r w:rsidR="00DC3498">
        <w:t xml:space="preserve">Table </w:t>
      </w:r>
      <w:r w:rsidR="00DC3498">
        <w:rPr>
          <w:noProof/>
        </w:rPr>
        <w:t>5</w:t>
      </w:r>
      <w:r>
        <w:rPr>
          <w:noProof/>
        </w:rPr>
        <w:fldChar w:fldCharType="end"/>
      </w:r>
      <w:r w:rsidR="00DC3498">
        <w:t xml:space="preserve"> for</w:t>
      </w:r>
      <w:r w:rsidR="008F04B6" w:rsidRPr="008F04B6">
        <w:t xml:space="preserve"> electricity </w:t>
      </w:r>
      <w:r w:rsidR="00DC3498">
        <w:t>meters approved under NMI M 13</w:t>
      </w:r>
    </w:p>
    <w:p w14:paraId="6A40A91F" w14:textId="004134D3" w:rsidR="00DC3498" w:rsidRDefault="00440352">
      <w:pPr>
        <w:pStyle w:val="ListParagraph"/>
        <w:numPr>
          <w:ilvl w:val="0"/>
          <w:numId w:val="19"/>
        </w:numPr>
      </w:pPr>
      <w:r>
        <w:fldChar w:fldCharType="begin" w:fldLock="1"/>
      </w:r>
      <w:r>
        <w:instrText xml:space="preserve"> REF _Ref146641650 </w:instrText>
      </w:r>
      <w:r>
        <w:fldChar w:fldCharType="separate"/>
      </w:r>
      <w:r w:rsidR="00DC3498">
        <w:t xml:space="preserve">Table </w:t>
      </w:r>
      <w:r w:rsidR="00DC3498">
        <w:rPr>
          <w:noProof/>
        </w:rPr>
        <w:t>6</w:t>
      </w:r>
      <w:r>
        <w:rPr>
          <w:noProof/>
        </w:rPr>
        <w:fldChar w:fldCharType="end"/>
      </w:r>
      <w:r w:rsidR="00DC3498">
        <w:t xml:space="preserve"> for</w:t>
      </w:r>
      <w:r w:rsidR="008F04B6" w:rsidRPr="008F04B6">
        <w:t xml:space="preserve"> electricity </w:t>
      </w:r>
      <w:r w:rsidR="00DC3498">
        <w:t>meters approved under NMI R 46.</w:t>
      </w:r>
    </w:p>
    <w:p w14:paraId="4DA4F9FB" w14:textId="55DD1237" w:rsidR="00DC3498" w:rsidRDefault="00DC3498" w:rsidP="00DC3498">
      <w:pPr>
        <w:pStyle w:val="Caption"/>
      </w:pPr>
      <w:bookmarkStart w:id="63" w:name="_Ref146641645"/>
      <w:r>
        <w:t xml:space="preserve">Table </w:t>
      </w:r>
      <w:r w:rsidR="00440352">
        <w:fldChar w:fldCharType="begin"/>
      </w:r>
      <w:r w:rsidR="00440352">
        <w:instrText xml:space="preserve"> SEQ Table \* ARABIC </w:instrText>
      </w:r>
      <w:r w:rsidR="00440352">
        <w:fldChar w:fldCharType="separate"/>
      </w:r>
      <w:r w:rsidR="003F6048">
        <w:rPr>
          <w:noProof/>
        </w:rPr>
        <w:t>1</w:t>
      </w:r>
      <w:r w:rsidR="00440352">
        <w:rPr>
          <w:noProof/>
        </w:rPr>
        <w:fldChar w:fldCharType="end"/>
      </w:r>
      <w:bookmarkEnd w:id="63"/>
      <w:r>
        <w:t xml:space="preserve">. </w:t>
      </w:r>
      <w:r w:rsidR="00D4655F">
        <w:t>MPEs</w:t>
      </w:r>
      <w:r w:rsidRPr="00984937">
        <w:t xml:space="preserve"> for single </w:t>
      </w:r>
      <w:r w:rsidRPr="00675E66">
        <w:t>phase</w:t>
      </w:r>
      <w:r w:rsidRPr="00984937">
        <w:t xml:space="preserve"> and polyphase direct-connected electricity meters with balanced loads</w:t>
      </w:r>
      <w:r>
        <w:t xml:space="preserve"> (NMI M 6)</w:t>
      </w:r>
    </w:p>
    <w:tbl>
      <w:tblPr>
        <w:tblW w:w="0" w:type="auto"/>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1980"/>
        <w:gridCol w:w="1701"/>
        <w:gridCol w:w="2126"/>
        <w:gridCol w:w="1985"/>
      </w:tblGrid>
      <w:tr w:rsidR="00DC3498" w14:paraId="6B6EA5AC" w14:textId="77777777" w:rsidTr="00CB39E7">
        <w:trPr>
          <w:jc w:val="center"/>
        </w:trPr>
        <w:tc>
          <w:tcPr>
            <w:tcW w:w="1980" w:type="dxa"/>
            <w:vMerge w:val="restart"/>
            <w:tcBorders>
              <w:top w:val="single" w:sz="4" w:space="0" w:color="auto"/>
              <w:left w:val="single" w:sz="4" w:space="0" w:color="auto"/>
              <w:right w:val="single" w:sz="4" w:space="0" w:color="auto"/>
            </w:tcBorders>
            <w:shd w:val="clear" w:color="auto" w:fill="A50021"/>
            <w:vAlign w:val="center"/>
            <w:hideMark/>
          </w:tcPr>
          <w:p w14:paraId="4D16E55B" w14:textId="77777777" w:rsidR="00DC3498" w:rsidRPr="00CB39E7" w:rsidRDefault="00DC3498" w:rsidP="00CB39E7">
            <w:pPr>
              <w:pStyle w:val="TableText"/>
              <w:jc w:val="center"/>
              <w:rPr>
                <w:b/>
                <w:bCs/>
              </w:rPr>
            </w:pPr>
            <w:r w:rsidRPr="00CB39E7">
              <w:rPr>
                <w:b/>
                <w:bCs/>
              </w:rPr>
              <w:t>Range for test current</w:t>
            </w:r>
          </w:p>
        </w:tc>
        <w:tc>
          <w:tcPr>
            <w:tcW w:w="1701" w:type="dxa"/>
            <w:vMerge w:val="restart"/>
            <w:tcBorders>
              <w:top w:val="single" w:sz="4" w:space="0" w:color="auto"/>
              <w:left w:val="single" w:sz="4" w:space="0" w:color="auto"/>
              <w:right w:val="single" w:sz="4" w:space="0" w:color="auto"/>
            </w:tcBorders>
            <w:shd w:val="clear" w:color="auto" w:fill="A50021"/>
            <w:vAlign w:val="center"/>
            <w:hideMark/>
          </w:tcPr>
          <w:p w14:paraId="02699F5E" w14:textId="77777777" w:rsidR="00DC3498" w:rsidRPr="00CB39E7" w:rsidRDefault="00DC3498" w:rsidP="00CB39E7">
            <w:pPr>
              <w:pStyle w:val="TableText"/>
              <w:jc w:val="center"/>
              <w:rPr>
                <w:b/>
                <w:bCs/>
              </w:rPr>
            </w:pPr>
            <w:r w:rsidRPr="00CB39E7">
              <w:rPr>
                <w:b/>
                <w:bCs/>
              </w:rPr>
              <w:t>Power factor</w:t>
            </w:r>
          </w:p>
        </w:tc>
        <w:tc>
          <w:tcPr>
            <w:tcW w:w="4111" w:type="dxa"/>
            <w:gridSpan w:val="2"/>
            <w:tcBorders>
              <w:top w:val="single" w:sz="4" w:space="0" w:color="auto"/>
              <w:left w:val="single" w:sz="4" w:space="0" w:color="auto"/>
              <w:right w:val="single" w:sz="4" w:space="0" w:color="auto"/>
            </w:tcBorders>
            <w:shd w:val="clear" w:color="auto" w:fill="A50021"/>
            <w:vAlign w:val="center"/>
          </w:tcPr>
          <w:p w14:paraId="29137B51" w14:textId="77777777" w:rsidR="00DC3498" w:rsidRPr="00CB39E7" w:rsidRDefault="00DC3498" w:rsidP="00CB39E7">
            <w:pPr>
              <w:pStyle w:val="TableText"/>
              <w:jc w:val="center"/>
              <w:rPr>
                <w:b/>
                <w:bCs/>
              </w:rPr>
            </w:pPr>
            <w:r w:rsidRPr="00CB39E7">
              <w:rPr>
                <w:b/>
                <w:bCs/>
              </w:rPr>
              <w:t>Percentage error limits for meter class</w:t>
            </w:r>
          </w:p>
        </w:tc>
      </w:tr>
      <w:tr w:rsidR="00DC3498" w14:paraId="0692F6AE" w14:textId="77777777" w:rsidTr="00CB39E7">
        <w:trPr>
          <w:jc w:val="center"/>
        </w:trPr>
        <w:tc>
          <w:tcPr>
            <w:tcW w:w="1980" w:type="dxa"/>
            <w:vMerge/>
            <w:tcBorders>
              <w:left w:val="single" w:sz="4" w:space="0" w:color="auto"/>
              <w:right w:val="single" w:sz="4" w:space="0" w:color="auto"/>
            </w:tcBorders>
            <w:shd w:val="clear" w:color="auto" w:fill="A50021"/>
            <w:vAlign w:val="center"/>
          </w:tcPr>
          <w:p w14:paraId="0ED6A0C3" w14:textId="77777777" w:rsidR="00DC3498" w:rsidRPr="00CB39E7" w:rsidRDefault="00DC3498" w:rsidP="00CB39E7">
            <w:pPr>
              <w:pStyle w:val="TableText"/>
              <w:jc w:val="center"/>
              <w:rPr>
                <w:b/>
                <w:bCs/>
              </w:rPr>
            </w:pPr>
          </w:p>
        </w:tc>
        <w:tc>
          <w:tcPr>
            <w:tcW w:w="1701" w:type="dxa"/>
            <w:vMerge/>
            <w:tcBorders>
              <w:left w:val="single" w:sz="4" w:space="0" w:color="auto"/>
              <w:right w:val="single" w:sz="4" w:space="0" w:color="auto"/>
            </w:tcBorders>
            <w:shd w:val="clear" w:color="auto" w:fill="A50021"/>
            <w:vAlign w:val="center"/>
          </w:tcPr>
          <w:p w14:paraId="5AE21442" w14:textId="77777777" w:rsidR="00DC3498" w:rsidRPr="00CB39E7" w:rsidRDefault="00DC3498" w:rsidP="00CB39E7">
            <w:pPr>
              <w:pStyle w:val="TableText"/>
              <w:jc w:val="center"/>
              <w:rPr>
                <w:b/>
                <w:bCs/>
              </w:rPr>
            </w:pPr>
          </w:p>
        </w:tc>
        <w:tc>
          <w:tcPr>
            <w:tcW w:w="2126" w:type="dxa"/>
            <w:tcBorders>
              <w:top w:val="single" w:sz="4" w:space="0" w:color="auto"/>
              <w:left w:val="single" w:sz="4" w:space="0" w:color="auto"/>
              <w:right w:val="single" w:sz="4" w:space="0" w:color="auto"/>
            </w:tcBorders>
            <w:shd w:val="clear" w:color="auto" w:fill="A50021"/>
            <w:vAlign w:val="center"/>
          </w:tcPr>
          <w:p w14:paraId="2E300364" w14:textId="77777777" w:rsidR="00DC3498" w:rsidRPr="00CB39E7" w:rsidRDefault="00DC3498" w:rsidP="00CB39E7">
            <w:pPr>
              <w:pStyle w:val="TableText"/>
              <w:jc w:val="center"/>
              <w:rPr>
                <w:b/>
                <w:bCs/>
              </w:rPr>
            </w:pPr>
            <w:r w:rsidRPr="00CB39E7">
              <w:rPr>
                <w:b/>
                <w:bCs/>
              </w:rPr>
              <w:t>1</w:t>
            </w:r>
          </w:p>
        </w:tc>
        <w:tc>
          <w:tcPr>
            <w:tcW w:w="1985" w:type="dxa"/>
            <w:tcBorders>
              <w:top w:val="single" w:sz="4" w:space="0" w:color="auto"/>
              <w:left w:val="single" w:sz="4" w:space="0" w:color="auto"/>
              <w:right w:val="single" w:sz="4" w:space="0" w:color="auto"/>
            </w:tcBorders>
            <w:shd w:val="clear" w:color="auto" w:fill="A50021"/>
            <w:vAlign w:val="center"/>
          </w:tcPr>
          <w:p w14:paraId="02FEDDE3" w14:textId="77777777" w:rsidR="00DC3498" w:rsidRPr="00CB39E7" w:rsidRDefault="00DC3498" w:rsidP="00CB39E7">
            <w:pPr>
              <w:pStyle w:val="TableText"/>
              <w:jc w:val="center"/>
              <w:rPr>
                <w:b/>
                <w:bCs/>
              </w:rPr>
            </w:pPr>
            <w:r w:rsidRPr="00CB39E7">
              <w:rPr>
                <w:b/>
                <w:bCs/>
              </w:rPr>
              <w:t>1.5</w:t>
            </w:r>
          </w:p>
        </w:tc>
      </w:tr>
      <w:tr w:rsidR="00DC3498" w14:paraId="78FEFE30" w14:textId="77777777" w:rsidTr="00CB39E7">
        <w:trPr>
          <w:jc w:val="center"/>
        </w:trPr>
        <w:tc>
          <w:tcPr>
            <w:tcW w:w="1980" w:type="dxa"/>
            <w:tcBorders>
              <w:left w:val="single" w:sz="4" w:space="0" w:color="auto"/>
              <w:bottom w:val="single" w:sz="4" w:space="0" w:color="auto"/>
              <w:right w:val="single" w:sz="4" w:space="0" w:color="auto"/>
            </w:tcBorders>
            <w:vAlign w:val="center"/>
          </w:tcPr>
          <w:p w14:paraId="4F0E20F1" w14:textId="77777777" w:rsidR="00DC3498" w:rsidRPr="00360580" w:rsidRDefault="00DC3498" w:rsidP="00CB39E7">
            <w:pPr>
              <w:pStyle w:val="TableText"/>
              <w:jc w:val="center"/>
            </w:pPr>
            <w:r w:rsidRPr="00360580">
              <w:t xml:space="preserve">0.05 </w:t>
            </w:r>
            <w:proofErr w:type="spellStart"/>
            <w:r w:rsidRPr="00360580">
              <w:rPr>
                <w:i/>
                <w:iCs/>
                <w:lang w:val="en-US"/>
              </w:rPr>
              <w:t>I</w:t>
            </w:r>
            <w:r w:rsidRPr="00360580">
              <w:rPr>
                <w:vertAlign w:val="subscript"/>
                <w:lang w:val="en-US"/>
              </w:rPr>
              <w:t>b</w:t>
            </w:r>
            <w:proofErr w:type="spellEnd"/>
            <w:r w:rsidRPr="00360580">
              <w:rPr>
                <w:lang w:val="en-US"/>
              </w:rPr>
              <w:t xml:space="preserve"> </w:t>
            </w:r>
            <w:r w:rsidRPr="00360580">
              <w:t>≤</w:t>
            </w:r>
            <w:r w:rsidRPr="00C10522">
              <w:rPr>
                <w:iCs/>
              </w:rPr>
              <w:t xml:space="preserve"> </w:t>
            </w:r>
            <w:r w:rsidRPr="00360580">
              <w:rPr>
                <w:i/>
              </w:rPr>
              <w:t>I</w:t>
            </w:r>
            <w:r w:rsidRPr="00360580">
              <w:t xml:space="preserve"> &lt; 0.1</w:t>
            </w:r>
            <w:r w:rsidRPr="00C10522">
              <w:rPr>
                <w:iCs/>
              </w:rPr>
              <w:t xml:space="preserve"> </w:t>
            </w:r>
            <w:r w:rsidRPr="00360580">
              <w:rPr>
                <w:i/>
              </w:rPr>
              <w:t>I</w:t>
            </w:r>
            <w:r w:rsidRPr="00360580">
              <w:rPr>
                <w:vertAlign w:val="subscript"/>
                <w:lang w:val="en-US"/>
              </w:rPr>
              <w:t>b</w:t>
            </w:r>
          </w:p>
        </w:tc>
        <w:tc>
          <w:tcPr>
            <w:tcW w:w="1701" w:type="dxa"/>
            <w:tcBorders>
              <w:left w:val="single" w:sz="4" w:space="0" w:color="auto"/>
              <w:bottom w:val="single" w:sz="4" w:space="0" w:color="auto"/>
              <w:right w:val="single" w:sz="4" w:space="0" w:color="auto"/>
            </w:tcBorders>
            <w:vAlign w:val="center"/>
          </w:tcPr>
          <w:p w14:paraId="6C12A311" w14:textId="77777777" w:rsidR="00DC3498" w:rsidRPr="00360580" w:rsidRDefault="00DC3498" w:rsidP="00CB39E7">
            <w:pPr>
              <w:pStyle w:val="TableText"/>
              <w:jc w:val="center"/>
            </w:pPr>
            <w:r w:rsidRPr="00360580">
              <w:t>1</w:t>
            </w:r>
          </w:p>
        </w:tc>
        <w:tc>
          <w:tcPr>
            <w:tcW w:w="2126" w:type="dxa"/>
            <w:tcBorders>
              <w:left w:val="single" w:sz="4" w:space="0" w:color="auto"/>
              <w:bottom w:val="single" w:sz="4" w:space="0" w:color="auto"/>
              <w:right w:val="single" w:sz="4" w:space="0" w:color="auto"/>
            </w:tcBorders>
            <w:vAlign w:val="center"/>
          </w:tcPr>
          <w:p w14:paraId="2206B8D1" w14:textId="77777777" w:rsidR="00DC3498" w:rsidRPr="00360580" w:rsidRDefault="00DC3498" w:rsidP="00CB39E7">
            <w:pPr>
              <w:pStyle w:val="TableText"/>
              <w:jc w:val="center"/>
            </w:pPr>
            <w:r w:rsidRPr="00360580">
              <w:t>±1.5%</w:t>
            </w:r>
          </w:p>
        </w:tc>
        <w:tc>
          <w:tcPr>
            <w:tcW w:w="1985" w:type="dxa"/>
            <w:tcBorders>
              <w:left w:val="single" w:sz="4" w:space="0" w:color="auto"/>
              <w:bottom w:val="single" w:sz="4" w:space="0" w:color="auto"/>
              <w:right w:val="single" w:sz="4" w:space="0" w:color="auto"/>
            </w:tcBorders>
            <w:vAlign w:val="center"/>
          </w:tcPr>
          <w:p w14:paraId="76ECE44B" w14:textId="77777777" w:rsidR="00DC3498" w:rsidRPr="00360580" w:rsidRDefault="00DC3498" w:rsidP="00CB39E7">
            <w:pPr>
              <w:pStyle w:val="TableText"/>
              <w:jc w:val="center"/>
            </w:pPr>
            <w:r w:rsidRPr="00360580">
              <w:t>±1.5%</w:t>
            </w:r>
          </w:p>
        </w:tc>
      </w:tr>
      <w:tr w:rsidR="00DC3498" w14:paraId="235E6475" w14:textId="77777777" w:rsidTr="00CB39E7">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96A7BD5" w14:textId="77777777" w:rsidR="00DC3498" w:rsidRPr="00360580" w:rsidRDefault="00DC3498" w:rsidP="00CB39E7">
            <w:pPr>
              <w:pStyle w:val="TableText"/>
              <w:jc w:val="center"/>
            </w:pPr>
            <w:r w:rsidRPr="00360580">
              <w:t>0.1</w:t>
            </w:r>
            <w:r w:rsidRPr="00360580">
              <w:rPr>
                <w:i/>
              </w:rPr>
              <w:t xml:space="preserve"> I</w:t>
            </w:r>
            <w:r w:rsidRPr="00360580">
              <w:rPr>
                <w:vertAlign w:val="subscript"/>
                <w:lang w:val="en-US"/>
              </w:rPr>
              <w:t>b</w:t>
            </w:r>
            <w:r w:rsidRPr="00360580">
              <w:rPr>
                <w:lang w:val="en-US"/>
              </w:rPr>
              <w:t xml:space="preserve"> </w:t>
            </w:r>
            <w:r w:rsidRPr="00360580">
              <w:t>≤</w:t>
            </w:r>
            <w:r w:rsidRPr="00C10522">
              <w:rPr>
                <w:iCs/>
              </w:rPr>
              <w:t xml:space="preserve"> </w:t>
            </w:r>
            <w:r w:rsidRPr="00360580">
              <w:rPr>
                <w:i/>
              </w:rPr>
              <w:t>I</w:t>
            </w:r>
            <w:r w:rsidRPr="00360580">
              <w:t xml:space="preserve"> ≤</w:t>
            </w:r>
            <w:r w:rsidRPr="00C10522">
              <w:rPr>
                <w:iCs/>
              </w:rPr>
              <w:t xml:space="preserve"> </w:t>
            </w:r>
            <w:r w:rsidRPr="00360580">
              <w:rPr>
                <w:i/>
              </w:rPr>
              <w:t>I</w:t>
            </w:r>
            <w:r w:rsidRPr="00360580">
              <w:rPr>
                <w:bCs/>
                <w:vertAlign w:val="subscript"/>
              </w:rPr>
              <w:t>max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1D9915" w14:textId="77777777" w:rsidR="00DC3498" w:rsidRPr="00360580" w:rsidRDefault="00DC3498" w:rsidP="00CB39E7">
            <w:pPr>
              <w:pStyle w:val="TableText"/>
              <w:jc w:val="center"/>
            </w:pPr>
            <w:r w:rsidRPr="00360580">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869A63" w14:textId="77777777" w:rsidR="00DC3498" w:rsidRPr="00360580" w:rsidRDefault="00DC3498" w:rsidP="00CB39E7">
            <w:pPr>
              <w:pStyle w:val="TableText"/>
              <w:jc w:val="center"/>
            </w:pPr>
            <w:r w:rsidRPr="00360580">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DA70D" w14:textId="77777777" w:rsidR="00DC3498" w:rsidRPr="00360580" w:rsidRDefault="00DC3498" w:rsidP="00CB39E7">
            <w:pPr>
              <w:pStyle w:val="TableText"/>
              <w:jc w:val="center"/>
            </w:pPr>
            <w:r w:rsidRPr="00360580">
              <w:t>±1.5%</w:t>
            </w:r>
          </w:p>
        </w:tc>
      </w:tr>
      <w:tr w:rsidR="00DC3498" w14:paraId="0E2E93F6" w14:textId="77777777" w:rsidTr="00CB39E7">
        <w:trPr>
          <w:jc w:val="center"/>
        </w:trPr>
        <w:tc>
          <w:tcPr>
            <w:tcW w:w="1980" w:type="dxa"/>
            <w:vMerge w:val="restart"/>
            <w:tcBorders>
              <w:top w:val="single" w:sz="4" w:space="0" w:color="auto"/>
              <w:left w:val="single" w:sz="4" w:space="0" w:color="auto"/>
              <w:right w:val="single" w:sz="4" w:space="0" w:color="auto"/>
            </w:tcBorders>
            <w:vAlign w:val="center"/>
            <w:hideMark/>
          </w:tcPr>
          <w:p w14:paraId="7740A1F6" w14:textId="77777777" w:rsidR="00DC3498" w:rsidRPr="00360580" w:rsidRDefault="00DC3498" w:rsidP="00CB39E7">
            <w:pPr>
              <w:pStyle w:val="TableText"/>
              <w:jc w:val="center"/>
            </w:pPr>
            <w:r w:rsidRPr="00360580">
              <w:t>0.1</w:t>
            </w:r>
            <w:r w:rsidRPr="00360580">
              <w:rPr>
                <w:i/>
                <w:lang w:val="en-US"/>
              </w:rPr>
              <w:t xml:space="preserve"> </w:t>
            </w:r>
            <w:proofErr w:type="spellStart"/>
            <w:r w:rsidRPr="00360580">
              <w:rPr>
                <w:i/>
                <w:lang w:val="en-US"/>
              </w:rPr>
              <w:t>I</w:t>
            </w:r>
            <w:r w:rsidRPr="00360580">
              <w:rPr>
                <w:vertAlign w:val="subscript"/>
                <w:lang w:val="en-US"/>
              </w:rPr>
              <w:t>b</w:t>
            </w:r>
            <w:proofErr w:type="spellEnd"/>
            <w:r w:rsidRPr="00360580">
              <w:rPr>
                <w:lang w:val="en-US"/>
              </w:rPr>
              <w:t xml:space="preserve"> </w:t>
            </w:r>
            <w:r w:rsidRPr="00360580">
              <w:t>≤</w:t>
            </w:r>
            <w:r w:rsidRPr="00C10522">
              <w:rPr>
                <w:iCs/>
              </w:rPr>
              <w:t xml:space="preserve"> </w:t>
            </w:r>
            <w:r w:rsidRPr="00360580">
              <w:rPr>
                <w:i/>
              </w:rPr>
              <w:t>I</w:t>
            </w:r>
            <w:r w:rsidRPr="00360580">
              <w:t xml:space="preserve"> &lt; 0.2</w:t>
            </w:r>
            <w:r w:rsidRPr="00360580">
              <w:rPr>
                <w:i/>
              </w:rPr>
              <w:t xml:space="preserve"> I</w:t>
            </w:r>
            <w:r w:rsidRPr="00360580">
              <w:rPr>
                <w:vertAlign w:val="subscript"/>
                <w:lang w:val="en-US"/>
              </w:rPr>
              <w:t>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9242D2" w14:textId="77777777" w:rsidR="00DC3498" w:rsidRPr="00360580" w:rsidRDefault="00DC3498" w:rsidP="00CB39E7">
            <w:pPr>
              <w:pStyle w:val="TableText"/>
              <w:jc w:val="center"/>
            </w:pPr>
            <w:r w:rsidRPr="00360580">
              <w:t>0.5 inductive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1A2DDB" w14:textId="77777777" w:rsidR="00DC3498" w:rsidRPr="00360580" w:rsidRDefault="00DC3498" w:rsidP="00CB39E7">
            <w:pPr>
              <w:pStyle w:val="TableText"/>
              <w:jc w:val="center"/>
            </w:pPr>
            <w:r w:rsidRPr="00360580">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5E13E9" w14:textId="77777777" w:rsidR="00DC3498" w:rsidRPr="00360580" w:rsidRDefault="00DC3498" w:rsidP="00CB39E7">
            <w:pPr>
              <w:pStyle w:val="TableText"/>
              <w:jc w:val="center"/>
            </w:pPr>
            <w:r w:rsidRPr="00360580">
              <w:t>±1.5%</w:t>
            </w:r>
          </w:p>
        </w:tc>
      </w:tr>
      <w:tr w:rsidR="00DC3498" w14:paraId="0159B62F" w14:textId="77777777" w:rsidTr="00CB39E7">
        <w:trPr>
          <w:jc w:val="center"/>
        </w:trPr>
        <w:tc>
          <w:tcPr>
            <w:tcW w:w="1980" w:type="dxa"/>
            <w:vMerge/>
            <w:tcBorders>
              <w:left w:val="single" w:sz="4" w:space="0" w:color="auto"/>
              <w:bottom w:val="single" w:sz="4" w:space="0" w:color="auto"/>
              <w:right w:val="single" w:sz="4" w:space="0" w:color="auto"/>
            </w:tcBorders>
            <w:vAlign w:val="center"/>
            <w:hideMark/>
          </w:tcPr>
          <w:p w14:paraId="2BEEEE54" w14:textId="77777777" w:rsidR="00DC3498" w:rsidRPr="00360580" w:rsidRDefault="00DC3498" w:rsidP="00CB39E7">
            <w:pPr>
              <w:pStyle w:val="TableText"/>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839DB92" w14:textId="77777777" w:rsidR="00DC3498" w:rsidRPr="00360580" w:rsidRDefault="00DC3498" w:rsidP="00CB39E7">
            <w:pPr>
              <w:pStyle w:val="TableText"/>
              <w:jc w:val="center"/>
            </w:pPr>
            <w:r w:rsidRPr="00360580">
              <w:t>0.8 capacitive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A9155B" w14:textId="77777777" w:rsidR="00DC3498" w:rsidRPr="00360580" w:rsidRDefault="00DC3498" w:rsidP="00CB39E7">
            <w:pPr>
              <w:pStyle w:val="TableText"/>
              <w:jc w:val="center"/>
            </w:pPr>
            <w:r w:rsidRPr="00360580">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A50912" w14:textId="77777777" w:rsidR="00DC3498" w:rsidRPr="00360580" w:rsidRDefault="00DC3498" w:rsidP="00CB39E7">
            <w:pPr>
              <w:pStyle w:val="TableText"/>
              <w:jc w:val="center"/>
            </w:pPr>
            <w:r w:rsidRPr="00360580">
              <w:t>—</w:t>
            </w:r>
          </w:p>
        </w:tc>
      </w:tr>
      <w:tr w:rsidR="00DC3498" w14:paraId="434E31DB" w14:textId="77777777" w:rsidTr="00CB39E7">
        <w:trPr>
          <w:jc w:val="center"/>
        </w:trPr>
        <w:tc>
          <w:tcPr>
            <w:tcW w:w="1980" w:type="dxa"/>
            <w:vMerge w:val="restart"/>
            <w:tcBorders>
              <w:top w:val="single" w:sz="4" w:space="0" w:color="auto"/>
              <w:left w:val="single" w:sz="4" w:space="0" w:color="auto"/>
              <w:right w:val="single" w:sz="4" w:space="0" w:color="auto"/>
            </w:tcBorders>
            <w:vAlign w:val="center"/>
            <w:hideMark/>
          </w:tcPr>
          <w:p w14:paraId="69AED6DA" w14:textId="77777777" w:rsidR="00DC3498" w:rsidRPr="00360580" w:rsidRDefault="00DC3498" w:rsidP="00CB39E7">
            <w:pPr>
              <w:pStyle w:val="TableText"/>
              <w:jc w:val="center"/>
            </w:pPr>
            <w:r w:rsidRPr="00360580">
              <w:t>0.2</w:t>
            </w:r>
            <w:r w:rsidRPr="00360580">
              <w:rPr>
                <w:i/>
                <w:lang w:val="en-US"/>
              </w:rPr>
              <w:t xml:space="preserve"> </w:t>
            </w:r>
            <w:proofErr w:type="spellStart"/>
            <w:r w:rsidRPr="00360580">
              <w:rPr>
                <w:i/>
                <w:lang w:val="en-US"/>
              </w:rPr>
              <w:t>I</w:t>
            </w:r>
            <w:r w:rsidRPr="00360580">
              <w:rPr>
                <w:vertAlign w:val="subscript"/>
                <w:lang w:val="en-US"/>
              </w:rPr>
              <w:t>b</w:t>
            </w:r>
            <w:proofErr w:type="spellEnd"/>
            <w:r w:rsidRPr="00360580">
              <w:rPr>
                <w:lang w:val="en-US"/>
              </w:rPr>
              <w:t xml:space="preserve"> </w:t>
            </w:r>
            <w:r w:rsidRPr="00360580">
              <w:t>≤</w:t>
            </w:r>
            <w:r w:rsidRPr="00C10522">
              <w:rPr>
                <w:iCs/>
              </w:rPr>
              <w:t xml:space="preserve"> </w:t>
            </w:r>
            <w:r w:rsidRPr="00360580">
              <w:rPr>
                <w:i/>
              </w:rPr>
              <w:t>I</w:t>
            </w:r>
            <w:r w:rsidRPr="00360580">
              <w:t xml:space="preserve"> ≤</w:t>
            </w:r>
            <w:r w:rsidRPr="00C10522">
              <w:rPr>
                <w:iCs/>
              </w:rPr>
              <w:t xml:space="preserve"> </w:t>
            </w:r>
            <w:r w:rsidRPr="00360580">
              <w:rPr>
                <w:i/>
              </w:rPr>
              <w:t>I</w:t>
            </w:r>
            <w:r w:rsidRPr="00360580">
              <w:rPr>
                <w:bCs/>
                <w:vertAlign w:val="subscript"/>
              </w:rPr>
              <w:t>max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7568B9" w14:textId="77777777" w:rsidR="00DC3498" w:rsidRPr="00360580" w:rsidRDefault="00DC3498" w:rsidP="00CB39E7">
            <w:pPr>
              <w:pStyle w:val="TableText"/>
              <w:jc w:val="center"/>
            </w:pPr>
            <w:r w:rsidRPr="00360580">
              <w:t>0.5 inductive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3F6C5A" w14:textId="77777777" w:rsidR="00DC3498" w:rsidRPr="00360580" w:rsidRDefault="00DC3498" w:rsidP="00CB39E7">
            <w:pPr>
              <w:pStyle w:val="TableText"/>
              <w:jc w:val="center"/>
            </w:pPr>
            <w:r w:rsidRPr="00360580">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2CAF4E" w14:textId="77777777" w:rsidR="00DC3498" w:rsidRPr="00360580" w:rsidRDefault="00DC3498" w:rsidP="00CB39E7">
            <w:pPr>
              <w:pStyle w:val="TableText"/>
              <w:jc w:val="center"/>
            </w:pPr>
            <w:r w:rsidRPr="00360580">
              <w:t>±1.5%</w:t>
            </w:r>
          </w:p>
        </w:tc>
      </w:tr>
      <w:tr w:rsidR="00DC3498" w14:paraId="6090FD36" w14:textId="77777777" w:rsidTr="00CB39E7">
        <w:trPr>
          <w:jc w:val="center"/>
        </w:trPr>
        <w:tc>
          <w:tcPr>
            <w:tcW w:w="1980" w:type="dxa"/>
            <w:vMerge/>
            <w:tcBorders>
              <w:left w:val="single" w:sz="4" w:space="0" w:color="auto"/>
              <w:bottom w:val="single" w:sz="4" w:space="0" w:color="auto"/>
              <w:right w:val="single" w:sz="4" w:space="0" w:color="auto"/>
            </w:tcBorders>
            <w:vAlign w:val="center"/>
            <w:hideMark/>
          </w:tcPr>
          <w:p w14:paraId="29DB7567" w14:textId="77777777" w:rsidR="00DC3498" w:rsidRPr="00360580" w:rsidRDefault="00DC3498" w:rsidP="00CB39E7">
            <w:pPr>
              <w:pStyle w:val="TableText"/>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333B7E6" w14:textId="77777777" w:rsidR="00DC3498" w:rsidRPr="00360580" w:rsidRDefault="00DC3498" w:rsidP="00CB39E7">
            <w:pPr>
              <w:pStyle w:val="TableText"/>
              <w:jc w:val="center"/>
            </w:pPr>
            <w:r w:rsidRPr="00360580">
              <w:t>0.8 capacitive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22D755" w14:textId="77777777" w:rsidR="00DC3498" w:rsidRPr="00360580" w:rsidRDefault="00DC3498" w:rsidP="00CB39E7">
            <w:pPr>
              <w:pStyle w:val="TableText"/>
              <w:jc w:val="center"/>
            </w:pPr>
            <w:r w:rsidRPr="00360580">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ABBD7C" w14:textId="77777777" w:rsidR="00DC3498" w:rsidRPr="00360580" w:rsidRDefault="00DC3498" w:rsidP="00CB39E7">
            <w:pPr>
              <w:pStyle w:val="TableText"/>
              <w:jc w:val="center"/>
            </w:pPr>
            <w:r w:rsidRPr="00360580">
              <w:t>—</w:t>
            </w:r>
          </w:p>
        </w:tc>
      </w:tr>
    </w:tbl>
    <w:p w14:paraId="354EDF2D" w14:textId="77777777" w:rsidR="00DC3498" w:rsidRDefault="00DC3498" w:rsidP="00DC3498">
      <w:pPr>
        <w:pStyle w:val="Caption"/>
      </w:pPr>
      <w:bookmarkStart w:id="64" w:name="_Ref146641646"/>
    </w:p>
    <w:p w14:paraId="2DD4A408" w14:textId="77777777" w:rsidR="00DC3498" w:rsidRDefault="00DC3498" w:rsidP="00DC3498">
      <w:pPr>
        <w:spacing w:after="200"/>
        <w:rPr>
          <w:b/>
          <w:bCs/>
          <w:color w:val="A6192E"/>
          <w:szCs w:val="18"/>
        </w:rPr>
      </w:pPr>
      <w:r>
        <w:br w:type="page"/>
      </w:r>
    </w:p>
    <w:p w14:paraId="51A582D9" w14:textId="1D109EC0" w:rsidR="00DC3498" w:rsidRDefault="00DC3498" w:rsidP="00DC3498">
      <w:pPr>
        <w:pStyle w:val="Caption"/>
      </w:pPr>
      <w:r>
        <w:lastRenderedPageBreak/>
        <w:t xml:space="preserve">Table </w:t>
      </w:r>
      <w:r w:rsidR="00440352">
        <w:fldChar w:fldCharType="begin"/>
      </w:r>
      <w:r w:rsidR="00440352">
        <w:instrText xml:space="preserve"> SEQ Table \* ARABIC </w:instrText>
      </w:r>
      <w:r w:rsidR="00440352">
        <w:fldChar w:fldCharType="separate"/>
      </w:r>
      <w:r w:rsidR="003F6048">
        <w:rPr>
          <w:noProof/>
        </w:rPr>
        <w:t>2</w:t>
      </w:r>
      <w:r w:rsidR="00440352">
        <w:rPr>
          <w:noProof/>
        </w:rPr>
        <w:fldChar w:fldCharType="end"/>
      </w:r>
      <w:bookmarkEnd w:id="64"/>
      <w:r>
        <w:t xml:space="preserve">. </w:t>
      </w:r>
      <w:r w:rsidR="00D4655F">
        <w:t>MPEs</w:t>
      </w:r>
      <w:r w:rsidRPr="00984937">
        <w:t xml:space="preserve"> for single phase and polyphase transformer-operated electricity meters with </w:t>
      </w:r>
      <w:r w:rsidRPr="00675E66">
        <w:t>balanced</w:t>
      </w:r>
      <w:r w:rsidRPr="00984937">
        <w:t xml:space="preserve"> loads</w:t>
      </w:r>
      <w:r>
        <w:t xml:space="preserve"> (NMI M 6)</w:t>
      </w:r>
    </w:p>
    <w:tbl>
      <w:tblPr>
        <w:tblW w:w="0" w:type="auto"/>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1916"/>
        <w:gridCol w:w="1863"/>
        <w:gridCol w:w="1546"/>
        <w:gridCol w:w="1515"/>
        <w:gridCol w:w="1377"/>
      </w:tblGrid>
      <w:tr w:rsidR="00DC3498" w14:paraId="76E9B767" w14:textId="77777777" w:rsidTr="00CB39E7">
        <w:trPr>
          <w:jc w:val="center"/>
        </w:trPr>
        <w:tc>
          <w:tcPr>
            <w:tcW w:w="1916" w:type="dxa"/>
            <w:vMerge w:val="restart"/>
            <w:tcBorders>
              <w:top w:val="single" w:sz="4" w:space="0" w:color="auto"/>
              <w:left w:val="single" w:sz="4" w:space="0" w:color="auto"/>
              <w:right w:val="single" w:sz="4" w:space="0" w:color="auto"/>
            </w:tcBorders>
            <w:shd w:val="clear" w:color="auto" w:fill="A50021"/>
            <w:vAlign w:val="center"/>
            <w:hideMark/>
          </w:tcPr>
          <w:p w14:paraId="5599A4A9" w14:textId="77777777" w:rsidR="00DC3498" w:rsidRPr="00CB39E7" w:rsidRDefault="00DC3498" w:rsidP="00CB39E7">
            <w:pPr>
              <w:pStyle w:val="TableText"/>
              <w:jc w:val="center"/>
              <w:rPr>
                <w:b/>
                <w:bCs/>
              </w:rPr>
            </w:pPr>
            <w:r w:rsidRPr="00CB39E7">
              <w:rPr>
                <w:b/>
                <w:bCs/>
              </w:rPr>
              <w:t>Range for test current</w:t>
            </w:r>
          </w:p>
        </w:tc>
        <w:tc>
          <w:tcPr>
            <w:tcW w:w="1863" w:type="dxa"/>
            <w:vMerge w:val="restart"/>
            <w:tcBorders>
              <w:top w:val="single" w:sz="4" w:space="0" w:color="auto"/>
              <w:left w:val="single" w:sz="4" w:space="0" w:color="auto"/>
              <w:right w:val="single" w:sz="4" w:space="0" w:color="auto"/>
            </w:tcBorders>
            <w:shd w:val="clear" w:color="auto" w:fill="A50021"/>
            <w:vAlign w:val="center"/>
            <w:hideMark/>
          </w:tcPr>
          <w:p w14:paraId="024EBB78" w14:textId="77777777" w:rsidR="00DC3498" w:rsidRPr="00CB39E7" w:rsidRDefault="00DC3498" w:rsidP="00CB39E7">
            <w:pPr>
              <w:pStyle w:val="TableText"/>
              <w:jc w:val="center"/>
              <w:rPr>
                <w:b/>
                <w:bCs/>
              </w:rPr>
            </w:pPr>
            <w:r w:rsidRPr="00CB39E7">
              <w:rPr>
                <w:b/>
                <w:bCs/>
              </w:rPr>
              <w:t>Power factor</w:t>
            </w:r>
          </w:p>
        </w:tc>
        <w:tc>
          <w:tcPr>
            <w:tcW w:w="4438" w:type="dxa"/>
            <w:gridSpan w:val="3"/>
            <w:tcBorders>
              <w:top w:val="single" w:sz="4" w:space="0" w:color="auto"/>
              <w:left w:val="single" w:sz="4" w:space="0" w:color="auto"/>
              <w:right w:val="single" w:sz="4" w:space="0" w:color="auto"/>
            </w:tcBorders>
            <w:shd w:val="clear" w:color="auto" w:fill="A50021"/>
            <w:vAlign w:val="center"/>
          </w:tcPr>
          <w:p w14:paraId="217A966E" w14:textId="77777777" w:rsidR="00DC3498" w:rsidRPr="00CB39E7" w:rsidDel="00AA2F9C" w:rsidRDefault="00DC3498" w:rsidP="00CB39E7">
            <w:pPr>
              <w:pStyle w:val="TableText"/>
              <w:jc w:val="center"/>
              <w:rPr>
                <w:b/>
                <w:bCs/>
              </w:rPr>
            </w:pPr>
            <w:r w:rsidRPr="00CB39E7">
              <w:rPr>
                <w:b/>
                <w:bCs/>
              </w:rPr>
              <w:t>Percentage error limits for meter class</w:t>
            </w:r>
          </w:p>
        </w:tc>
      </w:tr>
      <w:tr w:rsidR="00DC3498" w14:paraId="55B807F1" w14:textId="77777777" w:rsidTr="00CB39E7">
        <w:trPr>
          <w:jc w:val="center"/>
        </w:trPr>
        <w:tc>
          <w:tcPr>
            <w:tcW w:w="1916" w:type="dxa"/>
            <w:vMerge/>
            <w:tcBorders>
              <w:left w:val="single" w:sz="4" w:space="0" w:color="auto"/>
              <w:right w:val="single" w:sz="4" w:space="0" w:color="auto"/>
            </w:tcBorders>
            <w:shd w:val="clear" w:color="auto" w:fill="A50021"/>
            <w:vAlign w:val="center"/>
          </w:tcPr>
          <w:p w14:paraId="7F2DD929" w14:textId="77777777" w:rsidR="00DC3498" w:rsidRPr="00CB39E7" w:rsidRDefault="00DC3498" w:rsidP="00CB39E7">
            <w:pPr>
              <w:pStyle w:val="TableText"/>
              <w:jc w:val="center"/>
              <w:rPr>
                <w:b/>
                <w:bCs/>
              </w:rPr>
            </w:pPr>
          </w:p>
        </w:tc>
        <w:tc>
          <w:tcPr>
            <w:tcW w:w="1863" w:type="dxa"/>
            <w:vMerge/>
            <w:tcBorders>
              <w:left w:val="single" w:sz="4" w:space="0" w:color="auto"/>
              <w:right w:val="single" w:sz="4" w:space="0" w:color="auto"/>
            </w:tcBorders>
            <w:shd w:val="clear" w:color="auto" w:fill="A50021"/>
            <w:vAlign w:val="center"/>
          </w:tcPr>
          <w:p w14:paraId="1CF0E5B8" w14:textId="77777777" w:rsidR="00DC3498" w:rsidRPr="00CB39E7" w:rsidRDefault="00DC3498" w:rsidP="00CB39E7">
            <w:pPr>
              <w:pStyle w:val="TableText"/>
              <w:jc w:val="center"/>
              <w:rPr>
                <w:b/>
                <w:bCs/>
              </w:rPr>
            </w:pPr>
          </w:p>
        </w:tc>
        <w:tc>
          <w:tcPr>
            <w:tcW w:w="1546" w:type="dxa"/>
            <w:tcBorders>
              <w:top w:val="single" w:sz="4" w:space="0" w:color="auto"/>
              <w:left w:val="single" w:sz="4" w:space="0" w:color="auto"/>
              <w:right w:val="single" w:sz="4" w:space="0" w:color="auto"/>
            </w:tcBorders>
            <w:shd w:val="clear" w:color="auto" w:fill="A50021"/>
            <w:vAlign w:val="center"/>
          </w:tcPr>
          <w:p w14:paraId="60A98601" w14:textId="77777777" w:rsidR="00DC3498" w:rsidRPr="00CB39E7" w:rsidRDefault="00DC3498" w:rsidP="00CB39E7">
            <w:pPr>
              <w:pStyle w:val="TableText"/>
              <w:jc w:val="center"/>
              <w:rPr>
                <w:b/>
                <w:bCs/>
              </w:rPr>
            </w:pPr>
            <w:r w:rsidRPr="00CB39E7">
              <w:rPr>
                <w:b/>
                <w:bCs/>
              </w:rPr>
              <w:t>0.2</w:t>
            </w:r>
          </w:p>
        </w:tc>
        <w:tc>
          <w:tcPr>
            <w:tcW w:w="1515" w:type="dxa"/>
            <w:tcBorders>
              <w:top w:val="single" w:sz="4" w:space="0" w:color="auto"/>
              <w:left w:val="single" w:sz="4" w:space="0" w:color="auto"/>
              <w:right w:val="single" w:sz="4" w:space="0" w:color="auto"/>
            </w:tcBorders>
            <w:shd w:val="clear" w:color="auto" w:fill="A50021"/>
            <w:vAlign w:val="center"/>
          </w:tcPr>
          <w:p w14:paraId="6286BD1C" w14:textId="77777777" w:rsidR="00DC3498" w:rsidRPr="00CB39E7" w:rsidRDefault="00DC3498" w:rsidP="00CB39E7">
            <w:pPr>
              <w:pStyle w:val="TableText"/>
              <w:jc w:val="center"/>
              <w:rPr>
                <w:b/>
                <w:bCs/>
              </w:rPr>
            </w:pPr>
            <w:r w:rsidRPr="00CB39E7">
              <w:rPr>
                <w:b/>
                <w:bCs/>
              </w:rPr>
              <w:t>0.5</w:t>
            </w:r>
          </w:p>
        </w:tc>
        <w:tc>
          <w:tcPr>
            <w:tcW w:w="1377" w:type="dxa"/>
            <w:tcBorders>
              <w:top w:val="single" w:sz="4" w:space="0" w:color="auto"/>
              <w:left w:val="single" w:sz="4" w:space="0" w:color="auto"/>
              <w:right w:val="single" w:sz="4" w:space="0" w:color="auto"/>
            </w:tcBorders>
            <w:shd w:val="clear" w:color="auto" w:fill="A50021"/>
            <w:vAlign w:val="center"/>
          </w:tcPr>
          <w:p w14:paraId="6611D8D3" w14:textId="77777777" w:rsidR="00DC3498" w:rsidRPr="00CB39E7" w:rsidRDefault="00DC3498" w:rsidP="00CB39E7">
            <w:pPr>
              <w:pStyle w:val="TableText"/>
              <w:jc w:val="center"/>
              <w:rPr>
                <w:b/>
                <w:bCs/>
              </w:rPr>
            </w:pPr>
            <w:r w:rsidRPr="00CB39E7">
              <w:rPr>
                <w:b/>
                <w:bCs/>
              </w:rPr>
              <w:t>1</w:t>
            </w:r>
          </w:p>
        </w:tc>
      </w:tr>
      <w:tr w:rsidR="00DC3498" w14:paraId="31064A63" w14:textId="77777777" w:rsidTr="00CB39E7">
        <w:trPr>
          <w:jc w:val="center"/>
        </w:trPr>
        <w:tc>
          <w:tcPr>
            <w:tcW w:w="1916" w:type="dxa"/>
            <w:tcBorders>
              <w:left w:val="single" w:sz="4" w:space="0" w:color="auto"/>
              <w:bottom w:val="single" w:sz="4" w:space="0" w:color="auto"/>
              <w:right w:val="single" w:sz="4" w:space="0" w:color="auto"/>
            </w:tcBorders>
            <w:vAlign w:val="center"/>
          </w:tcPr>
          <w:p w14:paraId="5ECF6D87" w14:textId="77777777" w:rsidR="00DC3498" w:rsidRPr="00360580" w:rsidRDefault="00DC3498" w:rsidP="00CB39E7">
            <w:pPr>
              <w:pStyle w:val="TableText"/>
              <w:jc w:val="center"/>
            </w:pPr>
            <w:r w:rsidRPr="00360580">
              <w:t>0.0</w:t>
            </w:r>
            <w:r>
              <w:t>1</w:t>
            </w:r>
            <w:r w:rsidRPr="00360580">
              <w:t xml:space="preserve"> </w:t>
            </w:r>
            <w:r>
              <w:rPr>
                <w:i/>
                <w:lang w:val="en-GB"/>
              </w:rPr>
              <w:t>I</w:t>
            </w:r>
            <w:r>
              <w:rPr>
                <w:vertAlign w:val="subscript"/>
                <w:lang w:val="en-GB"/>
              </w:rPr>
              <w:t>n</w:t>
            </w:r>
            <w:r w:rsidRPr="00360580">
              <w:rPr>
                <w:lang w:val="en-US"/>
              </w:rPr>
              <w:t xml:space="preserve"> </w:t>
            </w:r>
            <w:r w:rsidRPr="00360580">
              <w:t>≤</w:t>
            </w:r>
            <w:r w:rsidRPr="00360580">
              <w:rPr>
                <w:i/>
              </w:rPr>
              <w:t xml:space="preserve"> I</w:t>
            </w:r>
            <w:r w:rsidRPr="00360580">
              <w:t xml:space="preserve"> &lt; 0.</w:t>
            </w:r>
            <w:r>
              <w:t>05</w:t>
            </w:r>
            <w:r w:rsidRPr="00360580">
              <w:rPr>
                <w:i/>
              </w:rPr>
              <w:t xml:space="preserve"> </w:t>
            </w:r>
            <w:r>
              <w:rPr>
                <w:i/>
                <w:lang w:val="en-GB"/>
              </w:rPr>
              <w:t>I</w:t>
            </w:r>
            <w:r>
              <w:rPr>
                <w:vertAlign w:val="subscript"/>
                <w:lang w:val="en-GB"/>
              </w:rPr>
              <w:t>n</w:t>
            </w:r>
          </w:p>
        </w:tc>
        <w:tc>
          <w:tcPr>
            <w:tcW w:w="1863" w:type="dxa"/>
            <w:tcBorders>
              <w:left w:val="single" w:sz="4" w:space="0" w:color="auto"/>
              <w:bottom w:val="single" w:sz="4" w:space="0" w:color="auto"/>
              <w:right w:val="single" w:sz="4" w:space="0" w:color="auto"/>
            </w:tcBorders>
            <w:vAlign w:val="center"/>
          </w:tcPr>
          <w:p w14:paraId="56A9AA0F" w14:textId="77777777" w:rsidR="00DC3498" w:rsidRPr="00360580" w:rsidRDefault="00DC3498" w:rsidP="00CB39E7">
            <w:pPr>
              <w:pStyle w:val="TableText"/>
              <w:jc w:val="center"/>
            </w:pPr>
            <w:r w:rsidRPr="00360580">
              <w:t>1</w:t>
            </w:r>
          </w:p>
        </w:tc>
        <w:tc>
          <w:tcPr>
            <w:tcW w:w="1546" w:type="dxa"/>
            <w:tcBorders>
              <w:left w:val="single" w:sz="4" w:space="0" w:color="auto"/>
              <w:bottom w:val="single" w:sz="4" w:space="0" w:color="auto"/>
              <w:right w:val="single" w:sz="4" w:space="0" w:color="auto"/>
            </w:tcBorders>
            <w:vAlign w:val="center"/>
          </w:tcPr>
          <w:p w14:paraId="45EDEF5E" w14:textId="77777777" w:rsidR="00DC3498" w:rsidRPr="00360580" w:rsidRDefault="00DC3498" w:rsidP="00CB39E7">
            <w:pPr>
              <w:pStyle w:val="TableText"/>
              <w:jc w:val="center"/>
            </w:pPr>
            <w:r w:rsidRPr="00360580">
              <w:t>±</w:t>
            </w:r>
            <w:r>
              <w:t>0.4</w:t>
            </w:r>
            <w:r w:rsidRPr="00360580">
              <w:t>%</w:t>
            </w:r>
          </w:p>
        </w:tc>
        <w:tc>
          <w:tcPr>
            <w:tcW w:w="1515" w:type="dxa"/>
            <w:tcBorders>
              <w:left w:val="single" w:sz="4" w:space="0" w:color="auto"/>
              <w:bottom w:val="single" w:sz="4" w:space="0" w:color="auto"/>
              <w:right w:val="single" w:sz="4" w:space="0" w:color="auto"/>
            </w:tcBorders>
            <w:vAlign w:val="center"/>
          </w:tcPr>
          <w:p w14:paraId="5404D4E5" w14:textId="77777777" w:rsidR="00DC3498" w:rsidRPr="00360580" w:rsidRDefault="00DC3498" w:rsidP="00CB39E7">
            <w:pPr>
              <w:pStyle w:val="TableText"/>
              <w:jc w:val="center"/>
            </w:pPr>
            <w:r w:rsidRPr="00360580">
              <w:t>±1.</w:t>
            </w:r>
            <w:r>
              <w:t>0</w:t>
            </w:r>
            <w:r w:rsidRPr="00360580">
              <w:t>%</w:t>
            </w:r>
          </w:p>
        </w:tc>
        <w:tc>
          <w:tcPr>
            <w:tcW w:w="1377" w:type="dxa"/>
            <w:tcBorders>
              <w:left w:val="single" w:sz="4" w:space="0" w:color="auto"/>
              <w:bottom w:val="single" w:sz="4" w:space="0" w:color="auto"/>
              <w:right w:val="single" w:sz="4" w:space="0" w:color="auto"/>
            </w:tcBorders>
            <w:vAlign w:val="center"/>
          </w:tcPr>
          <w:p w14:paraId="586836AC" w14:textId="77777777" w:rsidR="00DC3498" w:rsidRPr="00360580" w:rsidRDefault="00DC3498" w:rsidP="00CB39E7">
            <w:pPr>
              <w:pStyle w:val="TableText"/>
              <w:jc w:val="center"/>
            </w:pPr>
            <w:r w:rsidRPr="00360580">
              <w:t>—</w:t>
            </w:r>
          </w:p>
        </w:tc>
      </w:tr>
      <w:tr w:rsidR="00DC3498" w14:paraId="753E72B8" w14:textId="77777777" w:rsidTr="00CB39E7">
        <w:trPr>
          <w:jc w:val="center"/>
        </w:trPr>
        <w:tc>
          <w:tcPr>
            <w:tcW w:w="1916" w:type="dxa"/>
            <w:tcBorders>
              <w:left w:val="single" w:sz="4" w:space="0" w:color="auto"/>
              <w:bottom w:val="single" w:sz="4" w:space="0" w:color="auto"/>
              <w:right w:val="single" w:sz="4" w:space="0" w:color="auto"/>
            </w:tcBorders>
            <w:vAlign w:val="center"/>
          </w:tcPr>
          <w:p w14:paraId="59609300" w14:textId="77777777" w:rsidR="00DC3498" w:rsidRPr="00360580" w:rsidRDefault="00DC3498" w:rsidP="00CB39E7">
            <w:pPr>
              <w:pStyle w:val="TableText"/>
              <w:jc w:val="center"/>
            </w:pPr>
            <w:r w:rsidRPr="00360580">
              <w:t>0.0</w:t>
            </w:r>
            <w:r>
              <w:t>2</w:t>
            </w:r>
            <w:r w:rsidRPr="00360580">
              <w:t xml:space="preserve"> </w:t>
            </w:r>
            <w:r>
              <w:rPr>
                <w:i/>
                <w:lang w:val="en-GB"/>
              </w:rPr>
              <w:t>I</w:t>
            </w:r>
            <w:r>
              <w:rPr>
                <w:vertAlign w:val="subscript"/>
                <w:lang w:val="en-GB"/>
              </w:rPr>
              <w:t>n</w:t>
            </w:r>
            <w:r w:rsidRPr="00360580">
              <w:rPr>
                <w:lang w:val="en-US"/>
              </w:rPr>
              <w:t xml:space="preserve"> </w:t>
            </w:r>
            <w:r w:rsidRPr="00360580">
              <w:t>≤</w:t>
            </w:r>
            <w:r w:rsidRPr="00360580">
              <w:rPr>
                <w:i/>
              </w:rPr>
              <w:t xml:space="preserve"> I</w:t>
            </w:r>
            <w:r w:rsidRPr="00360580">
              <w:t xml:space="preserve"> &lt; 0.</w:t>
            </w:r>
            <w:r>
              <w:t>05</w:t>
            </w:r>
            <w:r w:rsidRPr="00360580">
              <w:rPr>
                <w:i/>
              </w:rPr>
              <w:t xml:space="preserve"> </w:t>
            </w:r>
            <w:r>
              <w:rPr>
                <w:i/>
                <w:lang w:val="en-GB"/>
              </w:rPr>
              <w:t>I</w:t>
            </w:r>
            <w:r>
              <w:rPr>
                <w:vertAlign w:val="subscript"/>
                <w:lang w:val="en-GB"/>
              </w:rPr>
              <w:t>n</w:t>
            </w:r>
          </w:p>
        </w:tc>
        <w:tc>
          <w:tcPr>
            <w:tcW w:w="1863" w:type="dxa"/>
            <w:tcBorders>
              <w:left w:val="single" w:sz="4" w:space="0" w:color="auto"/>
              <w:bottom w:val="single" w:sz="4" w:space="0" w:color="auto"/>
              <w:right w:val="single" w:sz="4" w:space="0" w:color="auto"/>
            </w:tcBorders>
            <w:vAlign w:val="center"/>
          </w:tcPr>
          <w:p w14:paraId="68F45B70" w14:textId="77777777" w:rsidR="00DC3498" w:rsidRPr="00360580" w:rsidRDefault="00DC3498" w:rsidP="00CB39E7">
            <w:pPr>
              <w:pStyle w:val="TableText"/>
              <w:jc w:val="center"/>
            </w:pPr>
            <w:r>
              <w:t>1</w:t>
            </w:r>
          </w:p>
        </w:tc>
        <w:tc>
          <w:tcPr>
            <w:tcW w:w="1546" w:type="dxa"/>
            <w:tcBorders>
              <w:left w:val="single" w:sz="4" w:space="0" w:color="auto"/>
              <w:bottom w:val="single" w:sz="4" w:space="0" w:color="auto"/>
              <w:right w:val="single" w:sz="4" w:space="0" w:color="auto"/>
            </w:tcBorders>
            <w:vAlign w:val="center"/>
          </w:tcPr>
          <w:p w14:paraId="0164BBDF" w14:textId="77777777" w:rsidR="00DC3498" w:rsidRPr="00360580" w:rsidRDefault="00DC3498" w:rsidP="00CB39E7">
            <w:pPr>
              <w:pStyle w:val="TableText"/>
              <w:jc w:val="center"/>
            </w:pPr>
            <w:r w:rsidRPr="00360580">
              <w:t>—</w:t>
            </w:r>
          </w:p>
        </w:tc>
        <w:tc>
          <w:tcPr>
            <w:tcW w:w="1515" w:type="dxa"/>
            <w:tcBorders>
              <w:left w:val="single" w:sz="4" w:space="0" w:color="auto"/>
              <w:bottom w:val="single" w:sz="4" w:space="0" w:color="auto"/>
              <w:right w:val="single" w:sz="4" w:space="0" w:color="auto"/>
            </w:tcBorders>
            <w:vAlign w:val="center"/>
          </w:tcPr>
          <w:p w14:paraId="108807DF" w14:textId="77777777" w:rsidR="00DC3498" w:rsidRPr="00360580" w:rsidRDefault="00DC3498" w:rsidP="00CB39E7">
            <w:pPr>
              <w:pStyle w:val="TableText"/>
              <w:jc w:val="center"/>
            </w:pPr>
            <w:r w:rsidRPr="00360580">
              <w:t>—</w:t>
            </w:r>
          </w:p>
        </w:tc>
        <w:tc>
          <w:tcPr>
            <w:tcW w:w="1377" w:type="dxa"/>
            <w:tcBorders>
              <w:left w:val="single" w:sz="4" w:space="0" w:color="auto"/>
              <w:bottom w:val="single" w:sz="4" w:space="0" w:color="auto"/>
              <w:right w:val="single" w:sz="4" w:space="0" w:color="auto"/>
            </w:tcBorders>
            <w:vAlign w:val="center"/>
          </w:tcPr>
          <w:p w14:paraId="4DA2AFC8" w14:textId="77777777" w:rsidR="00DC3498" w:rsidRPr="00360580" w:rsidRDefault="00DC3498" w:rsidP="00CB39E7">
            <w:pPr>
              <w:pStyle w:val="TableText"/>
              <w:jc w:val="center"/>
            </w:pPr>
            <w:r w:rsidRPr="00360580">
              <w:t>±1.5%</w:t>
            </w:r>
          </w:p>
        </w:tc>
      </w:tr>
      <w:tr w:rsidR="00DC3498" w14:paraId="7B44CBA8" w14:textId="77777777" w:rsidTr="00CB39E7">
        <w:trPr>
          <w:jc w:val="center"/>
        </w:trPr>
        <w:tc>
          <w:tcPr>
            <w:tcW w:w="1916" w:type="dxa"/>
            <w:tcBorders>
              <w:top w:val="single" w:sz="4" w:space="0" w:color="auto"/>
              <w:left w:val="single" w:sz="4" w:space="0" w:color="auto"/>
              <w:bottom w:val="single" w:sz="4" w:space="0" w:color="auto"/>
              <w:right w:val="single" w:sz="4" w:space="0" w:color="auto"/>
            </w:tcBorders>
            <w:vAlign w:val="center"/>
            <w:hideMark/>
          </w:tcPr>
          <w:p w14:paraId="77C3E3F1" w14:textId="77777777" w:rsidR="00DC3498" w:rsidRPr="00360580" w:rsidRDefault="00DC3498" w:rsidP="00CB39E7">
            <w:pPr>
              <w:pStyle w:val="TableText"/>
              <w:jc w:val="center"/>
            </w:pPr>
            <w:r w:rsidRPr="00360580">
              <w:t>0.</w:t>
            </w:r>
            <w:r>
              <w:t>05</w:t>
            </w:r>
            <w:r w:rsidRPr="00360580">
              <w:rPr>
                <w:i/>
              </w:rPr>
              <w:t xml:space="preserve"> </w:t>
            </w:r>
            <w:r>
              <w:rPr>
                <w:i/>
                <w:lang w:val="en-GB"/>
              </w:rPr>
              <w:t>I</w:t>
            </w:r>
            <w:r>
              <w:rPr>
                <w:vertAlign w:val="subscript"/>
                <w:lang w:val="en-GB"/>
              </w:rPr>
              <w:t>n</w:t>
            </w:r>
            <w:r w:rsidRPr="00360580">
              <w:t xml:space="preserve"> ≤</w:t>
            </w:r>
            <w:r w:rsidRPr="00360580">
              <w:rPr>
                <w:i/>
              </w:rPr>
              <w:t xml:space="preserve"> I</w:t>
            </w:r>
            <w:r w:rsidRPr="00360580">
              <w:t xml:space="preserve"> ≤</w:t>
            </w:r>
            <w:r w:rsidRPr="00360580">
              <w:rPr>
                <w:i/>
              </w:rPr>
              <w:t xml:space="preserve"> I</w:t>
            </w:r>
            <w:r w:rsidRPr="00360580">
              <w:rPr>
                <w:bCs/>
                <w:vertAlign w:val="subscript"/>
              </w:rPr>
              <w:t>max</w:t>
            </w:r>
          </w:p>
        </w:tc>
        <w:tc>
          <w:tcPr>
            <w:tcW w:w="1863" w:type="dxa"/>
            <w:tcBorders>
              <w:top w:val="single" w:sz="4" w:space="0" w:color="auto"/>
              <w:left w:val="single" w:sz="4" w:space="0" w:color="auto"/>
              <w:bottom w:val="single" w:sz="4" w:space="0" w:color="auto"/>
              <w:right w:val="single" w:sz="4" w:space="0" w:color="auto"/>
            </w:tcBorders>
            <w:vAlign w:val="center"/>
            <w:hideMark/>
          </w:tcPr>
          <w:p w14:paraId="310C925B" w14:textId="77777777" w:rsidR="00DC3498" w:rsidRPr="00360580" w:rsidRDefault="00DC3498" w:rsidP="00CB39E7">
            <w:pPr>
              <w:pStyle w:val="TableText"/>
              <w:jc w:val="center"/>
            </w:pPr>
            <w:r>
              <w:t>1</w:t>
            </w:r>
          </w:p>
        </w:tc>
        <w:tc>
          <w:tcPr>
            <w:tcW w:w="1546" w:type="dxa"/>
            <w:tcBorders>
              <w:top w:val="single" w:sz="4" w:space="0" w:color="auto"/>
              <w:left w:val="single" w:sz="4" w:space="0" w:color="auto"/>
              <w:bottom w:val="single" w:sz="4" w:space="0" w:color="auto"/>
              <w:right w:val="single" w:sz="4" w:space="0" w:color="auto"/>
            </w:tcBorders>
            <w:vAlign w:val="center"/>
            <w:hideMark/>
          </w:tcPr>
          <w:p w14:paraId="4A578600" w14:textId="77777777" w:rsidR="00DC3498" w:rsidRPr="00360580" w:rsidRDefault="00DC3498" w:rsidP="00CB39E7">
            <w:pPr>
              <w:pStyle w:val="TableText"/>
              <w:jc w:val="center"/>
            </w:pPr>
            <w:r w:rsidRPr="00360580">
              <w:t>±0</w:t>
            </w:r>
            <w:r>
              <w:t>.2</w:t>
            </w:r>
            <w:r w:rsidRPr="00360580">
              <w:t>%</w:t>
            </w:r>
          </w:p>
        </w:tc>
        <w:tc>
          <w:tcPr>
            <w:tcW w:w="1515" w:type="dxa"/>
            <w:tcBorders>
              <w:top w:val="single" w:sz="4" w:space="0" w:color="auto"/>
              <w:left w:val="single" w:sz="4" w:space="0" w:color="auto"/>
              <w:bottom w:val="single" w:sz="4" w:space="0" w:color="auto"/>
              <w:right w:val="single" w:sz="4" w:space="0" w:color="auto"/>
            </w:tcBorders>
            <w:vAlign w:val="center"/>
            <w:hideMark/>
          </w:tcPr>
          <w:p w14:paraId="1ABC78C8" w14:textId="77777777" w:rsidR="00DC3498" w:rsidRPr="00360580" w:rsidRDefault="00DC3498" w:rsidP="00CB39E7">
            <w:pPr>
              <w:pStyle w:val="TableText"/>
              <w:jc w:val="center"/>
            </w:pPr>
            <w:r w:rsidRPr="00360580">
              <w:t>±</w:t>
            </w:r>
            <w:r>
              <w:t>0</w:t>
            </w:r>
            <w:r w:rsidRPr="00360580">
              <w:t>.5%</w:t>
            </w:r>
          </w:p>
        </w:tc>
        <w:tc>
          <w:tcPr>
            <w:tcW w:w="1377" w:type="dxa"/>
            <w:tcBorders>
              <w:top w:val="single" w:sz="4" w:space="0" w:color="auto"/>
              <w:left w:val="single" w:sz="4" w:space="0" w:color="auto"/>
              <w:bottom w:val="single" w:sz="4" w:space="0" w:color="auto"/>
              <w:right w:val="single" w:sz="4" w:space="0" w:color="auto"/>
            </w:tcBorders>
            <w:vAlign w:val="center"/>
          </w:tcPr>
          <w:p w14:paraId="4B724EC5" w14:textId="77777777" w:rsidR="00DC3498" w:rsidRPr="00360580" w:rsidRDefault="00DC3498" w:rsidP="00CB39E7">
            <w:pPr>
              <w:pStyle w:val="TableText"/>
              <w:jc w:val="center"/>
            </w:pPr>
            <w:r w:rsidRPr="00360580">
              <w:t>±1.0%</w:t>
            </w:r>
          </w:p>
        </w:tc>
      </w:tr>
      <w:tr w:rsidR="00DC3498" w14:paraId="79A904A4" w14:textId="77777777" w:rsidTr="00CB39E7">
        <w:trPr>
          <w:jc w:val="center"/>
        </w:trPr>
        <w:tc>
          <w:tcPr>
            <w:tcW w:w="1916" w:type="dxa"/>
            <w:vMerge w:val="restart"/>
            <w:tcBorders>
              <w:top w:val="single" w:sz="4" w:space="0" w:color="auto"/>
              <w:left w:val="single" w:sz="4" w:space="0" w:color="auto"/>
              <w:right w:val="single" w:sz="4" w:space="0" w:color="auto"/>
            </w:tcBorders>
            <w:vAlign w:val="center"/>
            <w:hideMark/>
          </w:tcPr>
          <w:p w14:paraId="1945E20C" w14:textId="77777777" w:rsidR="00DC3498" w:rsidRPr="00360580" w:rsidRDefault="00DC3498" w:rsidP="00CB39E7">
            <w:pPr>
              <w:pStyle w:val="TableText"/>
              <w:jc w:val="center"/>
            </w:pPr>
            <w:r w:rsidRPr="00360580">
              <w:t>0.0</w:t>
            </w:r>
            <w:r>
              <w:t>2</w:t>
            </w:r>
            <w:r w:rsidRPr="00360580">
              <w:t xml:space="preserve"> </w:t>
            </w:r>
            <w:r>
              <w:rPr>
                <w:i/>
                <w:lang w:val="en-GB"/>
              </w:rPr>
              <w:t>I</w:t>
            </w:r>
            <w:r>
              <w:rPr>
                <w:vertAlign w:val="subscript"/>
                <w:lang w:val="en-GB"/>
              </w:rPr>
              <w:t>n</w:t>
            </w:r>
            <w:r w:rsidRPr="00360580">
              <w:rPr>
                <w:lang w:val="en-US"/>
              </w:rPr>
              <w:t xml:space="preserve"> </w:t>
            </w:r>
            <w:r w:rsidRPr="00360580">
              <w:t>≤</w:t>
            </w:r>
            <w:r w:rsidRPr="00360580">
              <w:rPr>
                <w:i/>
              </w:rPr>
              <w:t xml:space="preserve"> I</w:t>
            </w:r>
            <w:r w:rsidRPr="00360580">
              <w:t xml:space="preserve"> &lt; 0.</w:t>
            </w:r>
            <w:r>
              <w:t>1</w:t>
            </w:r>
            <w:r w:rsidRPr="00360580">
              <w:rPr>
                <w:i/>
              </w:rPr>
              <w:t xml:space="preserve"> </w:t>
            </w:r>
            <w:r>
              <w:rPr>
                <w:i/>
                <w:lang w:val="en-GB"/>
              </w:rPr>
              <w:t>I</w:t>
            </w:r>
            <w:r>
              <w:rPr>
                <w:vertAlign w:val="subscript"/>
                <w:lang w:val="en-GB"/>
              </w:rPr>
              <w:t>n</w:t>
            </w:r>
          </w:p>
        </w:tc>
        <w:tc>
          <w:tcPr>
            <w:tcW w:w="1863" w:type="dxa"/>
            <w:tcBorders>
              <w:top w:val="single" w:sz="4" w:space="0" w:color="auto"/>
              <w:left w:val="single" w:sz="4" w:space="0" w:color="auto"/>
              <w:bottom w:val="single" w:sz="4" w:space="0" w:color="auto"/>
              <w:right w:val="single" w:sz="4" w:space="0" w:color="auto"/>
            </w:tcBorders>
            <w:vAlign w:val="center"/>
            <w:hideMark/>
          </w:tcPr>
          <w:p w14:paraId="28FD9D22" w14:textId="77777777" w:rsidR="00DC3498" w:rsidRPr="00360580" w:rsidRDefault="00DC3498" w:rsidP="00CB39E7">
            <w:pPr>
              <w:pStyle w:val="TableText"/>
              <w:jc w:val="center"/>
            </w:pPr>
            <w:r>
              <w:t>0.5 inductive</w:t>
            </w:r>
          </w:p>
        </w:tc>
        <w:tc>
          <w:tcPr>
            <w:tcW w:w="1546" w:type="dxa"/>
            <w:tcBorders>
              <w:top w:val="single" w:sz="4" w:space="0" w:color="auto"/>
              <w:left w:val="single" w:sz="4" w:space="0" w:color="auto"/>
              <w:bottom w:val="single" w:sz="4" w:space="0" w:color="auto"/>
              <w:right w:val="single" w:sz="4" w:space="0" w:color="auto"/>
            </w:tcBorders>
            <w:vAlign w:val="center"/>
            <w:hideMark/>
          </w:tcPr>
          <w:p w14:paraId="2481F2BA" w14:textId="77777777" w:rsidR="00DC3498" w:rsidRPr="00360580" w:rsidRDefault="00DC3498" w:rsidP="00CB39E7">
            <w:pPr>
              <w:pStyle w:val="TableText"/>
              <w:jc w:val="center"/>
            </w:pPr>
            <w:r w:rsidRPr="00360580">
              <w:t>±</w:t>
            </w:r>
            <w:r>
              <w:t>0</w:t>
            </w:r>
            <w:r w:rsidRPr="00360580">
              <w:t>.5%</w:t>
            </w:r>
          </w:p>
        </w:tc>
        <w:tc>
          <w:tcPr>
            <w:tcW w:w="1515" w:type="dxa"/>
            <w:tcBorders>
              <w:top w:val="single" w:sz="4" w:space="0" w:color="auto"/>
              <w:left w:val="single" w:sz="4" w:space="0" w:color="auto"/>
              <w:bottom w:val="single" w:sz="4" w:space="0" w:color="auto"/>
              <w:right w:val="single" w:sz="4" w:space="0" w:color="auto"/>
            </w:tcBorders>
            <w:vAlign w:val="center"/>
            <w:hideMark/>
          </w:tcPr>
          <w:p w14:paraId="28498717" w14:textId="77777777" w:rsidR="00DC3498" w:rsidRPr="00360580" w:rsidRDefault="00DC3498" w:rsidP="00CB39E7">
            <w:pPr>
              <w:pStyle w:val="TableText"/>
              <w:jc w:val="center"/>
            </w:pPr>
            <w:r w:rsidRPr="00360580">
              <w:t>±1.0%</w:t>
            </w:r>
          </w:p>
        </w:tc>
        <w:tc>
          <w:tcPr>
            <w:tcW w:w="1377" w:type="dxa"/>
            <w:tcBorders>
              <w:top w:val="single" w:sz="4" w:space="0" w:color="auto"/>
              <w:left w:val="single" w:sz="4" w:space="0" w:color="auto"/>
              <w:bottom w:val="single" w:sz="4" w:space="0" w:color="auto"/>
              <w:right w:val="single" w:sz="4" w:space="0" w:color="auto"/>
            </w:tcBorders>
            <w:vAlign w:val="center"/>
          </w:tcPr>
          <w:p w14:paraId="27D035B4" w14:textId="77777777" w:rsidR="00DC3498" w:rsidRPr="00360580" w:rsidRDefault="00DC3498" w:rsidP="00CB39E7">
            <w:pPr>
              <w:pStyle w:val="TableText"/>
              <w:jc w:val="center"/>
            </w:pPr>
            <w:r w:rsidRPr="00360580">
              <w:t>—</w:t>
            </w:r>
          </w:p>
        </w:tc>
      </w:tr>
      <w:tr w:rsidR="00DC3498" w14:paraId="00D2809F" w14:textId="77777777" w:rsidTr="00CB39E7">
        <w:trPr>
          <w:jc w:val="center"/>
        </w:trPr>
        <w:tc>
          <w:tcPr>
            <w:tcW w:w="1916" w:type="dxa"/>
            <w:vMerge/>
            <w:tcBorders>
              <w:left w:val="single" w:sz="4" w:space="0" w:color="auto"/>
              <w:bottom w:val="single" w:sz="4" w:space="0" w:color="auto"/>
              <w:right w:val="single" w:sz="4" w:space="0" w:color="auto"/>
            </w:tcBorders>
            <w:vAlign w:val="center"/>
            <w:hideMark/>
          </w:tcPr>
          <w:p w14:paraId="64240801" w14:textId="77777777" w:rsidR="00DC3498" w:rsidRPr="00360580" w:rsidRDefault="00DC3498" w:rsidP="00CB39E7">
            <w:pPr>
              <w:pStyle w:val="TableText"/>
              <w:jc w:val="center"/>
            </w:pPr>
          </w:p>
        </w:tc>
        <w:tc>
          <w:tcPr>
            <w:tcW w:w="1863" w:type="dxa"/>
            <w:tcBorders>
              <w:top w:val="single" w:sz="4" w:space="0" w:color="auto"/>
              <w:left w:val="single" w:sz="4" w:space="0" w:color="auto"/>
              <w:bottom w:val="single" w:sz="4" w:space="0" w:color="auto"/>
              <w:right w:val="single" w:sz="4" w:space="0" w:color="auto"/>
            </w:tcBorders>
            <w:vAlign w:val="center"/>
            <w:hideMark/>
          </w:tcPr>
          <w:p w14:paraId="5553F517" w14:textId="77777777" w:rsidR="00DC3498" w:rsidRPr="00360580" w:rsidRDefault="00DC3498" w:rsidP="00CB39E7">
            <w:pPr>
              <w:pStyle w:val="TableText"/>
              <w:jc w:val="center"/>
            </w:pPr>
            <w:r w:rsidRPr="00360580">
              <w:t>0.</w:t>
            </w:r>
            <w:r>
              <w:t>8</w:t>
            </w:r>
            <w:r w:rsidRPr="00360580">
              <w:t xml:space="preserve"> </w:t>
            </w:r>
            <w:r>
              <w:t>capacitive</w:t>
            </w:r>
          </w:p>
        </w:tc>
        <w:tc>
          <w:tcPr>
            <w:tcW w:w="1546" w:type="dxa"/>
            <w:tcBorders>
              <w:top w:val="single" w:sz="4" w:space="0" w:color="auto"/>
              <w:left w:val="single" w:sz="4" w:space="0" w:color="auto"/>
              <w:bottom w:val="single" w:sz="4" w:space="0" w:color="auto"/>
              <w:right w:val="single" w:sz="4" w:space="0" w:color="auto"/>
            </w:tcBorders>
            <w:vAlign w:val="center"/>
            <w:hideMark/>
          </w:tcPr>
          <w:p w14:paraId="10EE4E52" w14:textId="77777777" w:rsidR="00DC3498" w:rsidRPr="00360580" w:rsidRDefault="00DC3498" w:rsidP="00CB39E7">
            <w:pPr>
              <w:pStyle w:val="TableText"/>
              <w:jc w:val="center"/>
            </w:pPr>
            <w:r w:rsidRPr="00360580">
              <w:t>±</w:t>
            </w:r>
            <w:r>
              <w:t>0</w:t>
            </w:r>
            <w:r w:rsidRPr="00360580">
              <w:t>.5%</w:t>
            </w:r>
          </w:p>
        </w:tc>
        <w:tc>
          <w:tcPr>
            <w:tcW w:w="1515" w:type="dxa"/>
            <w:tcBorders>
              <w:top w:val="single" w:sz="4" w:space="0" w:color="auto"/>
              <w:left w:val="single" w:sz="4" w:space="0" w:color="auto"/>
              <w:bottom w:val="single" w:sz="4" w:space="0" w:color="auto"/>
              <w:right w:val="single" w:sz="4" w:space="0" w:color="auto"/>
            </w:tcBorders>
            <w:vAlign w:val="center"/>
            <w:hideMark/>
          </w:tcPr>
          <w:p w14:paraId="213F66E6" w14:textId="77777777" w:rsidR="00DC3498" w:rsidRPr="00360580" w:rsidRDefault="00DC3498" w:rsidP="00CB39E7">
            <w:pPr>
              <w:pStyle w:val="TableText"/>
              <w:jc w:val="center"/>
            </w:pPr>
            <w:r w:rsidRPr="00360580">
              <w:t>±1.0%</w:t>
            </w:r>
          </w:p>
        </w:tc>
        <w:tc>
          <w:tcPr>
            <w:tcW w:w="1377" w:type="dxa"/>
            <w:tcBorders>
              <w:top w:val="single" w:sz="4" w:space="0" w:color="auto"/>
              <w:left w:val="single" w:sz="4" w:space="0" w:color="auto"/>
              <w:bottom w:val="single" w:sz="4" w:space="0" w:color="auto"/>
              <w:right w:val="single" w:sz="4" w:space="0" w:color="auto"/>
            </w:tcBorders>
            <w:vAlign w:val="center"/>
          </w:tcPr>
          <w:p w14:paraId="185B477F" w14:textId="77777777" w:rsidR="00DC3498" w:rsidRPr="00360580" w:rsidRDefault="00DC3498" w:rsidP="00CB39E7">
            <w:pPr>
              <w:pStyle w:val="TableText"/>
              <w:jc w:val="center"/>
            </w:pPr>
            <w:r w:rsidRPr="00360580">
              <w:t>—</w:t>
            </w:r>
          </w:p>
        </w:tc>
      </w:tr>
      <w:tr w:rsidR="00DC3498" w14:paraId="543BFD4A" w14:textId="77777777" w:rsidTr="00CB39E7">
        <w:trPr>
          <w:jc w:val="center"/>
        </w:trPr>
        <w:tc>
          <w:tcPr>
            <w:tcW w:w="1916" w:type="dxa"/>
            <w:vMerge w:val="restart"/>
            <w:tcBorders>
              <w:top w:val="single" w:sz="4" w:space="0" w:color="auto"/>
              <w:left w:val="single" w:sz="4" w:space="0" w:color="auto"/>
              <w:bottom w:val="single" w:sz="4" w:space="0" w:color="auto"/>
              <w:right w:val="single" w:sz="4" w:space="0" w:color="auto"/>
            </w:tcBorders>
            <w:vAlign w:val="center"/>
            <w:hideMark/>
          </w:tcPr>
          <w:p w14:paraId="269D110E" w14:textId="77777777" w:rsidR="00DC3498" w:rsidRPr="00360580" w:rsidRDefault="00DC3498" w:rsidP="00CB39E7">
            <w:pPr>
              <w:pStyle w:val="TableText"/>
              <w:jc w:val="center"/>
            </w:pPr>
            <w:r w:rsidRPr="00360580">
              <w:t>0.0</w:t>
            </w:r>
            <w:r>
              <w:t>5</w:t>
            </w:r>
            <w:r w:rsidRPr="00360580">
              <w:t xml:space="preserve"> </w:t>
            </w:r>
            <w:r>
              <w:rPr>
                <w:i/>
                <w:lang w:val="en-GB"/>
              </w:rPr>
              <w:t>I</w:t>
            </w:r>
            <w:r>
              <w:rPr>
                <w:vertAlign w:val="subscript"/>
                <w:lang w:val="en-GB"/>
              </w:rPr>
              <w:t>n</w:t>
            </w:r>
            <w:r w:rsidRPr="00360580">
              <w:rPr>
                <w:lang w:val="en-US"/>
              </w:rPr>
              <w:t xml:space="preserve"> </w:t>
            </w:r>
            <w:r w:rsidRPr="00360580">
              <w:t>≤</w:t>
            </w:r>
            <w:r w:rsidRPr="00360580">
              <w:rPr>
                <w:i/>
              </w:rPr>
              <w:t xml:space="preserve"> I</w:t>
            </w:r>
            <w:r w:rsidRPr="00360580">
              <w:t xml:space="preserve"> &lt; 0.</w:t>
            </w:r>
            <w:r>
              <w:t>1</w:t>
            </w:r>
            <w:r w:rsidRPr="00360580">
              <w:rPr>
                <w:i/>
              </w:rPr>
              <w:t xml:space="preserve"> </w:t>
            </w:r>
            <w:r>
              <w:rPr>
                <w:i/>
                <w:lang w:val="en-GB"/>
              </w:rPr>
              <w:t>I</w:t>
            </w:r>
            <w:r>
              <w:rPr>
                <w:vertAlign w:val="subscript"/>
                <w:lang w:val="en-GB"/>
              </w:rPr>
              <w:t>n</w:t>
            </w:r>
          </w:p>
        </w:tc>
        <w:tc>
          <w:tcPr>
            <w:tcW w:w="1863" w:type="dxa"/>
            <w:tcBorders>
              <w:top w:val="single" w:sz="4" w:space="0" w:color="auto"/>
              <w:left w:val="single" w:sz="4" w:space="0" w:color="auto"/>
              <w:bottom w:val="single" w:sz="4" w:space="0" w:color="auto"/>
              <w:right w:val="single" w:sz="4" w:space="0" w:color="auto"/>
            </w:tcBorders>
            <w:vAlign w:val="center"/>
            <w:hideMark/>
          </w:tcPr>
          <w:p w14:paraId="72A40FE4" w14:textId="77777777" w:rsidR="00DC3498" w:rsidRPr="00360580" w:rsidRDefault="00DC3498" w:rsidP="00CB39E7">
            <w:pPr>
              <w:pStyle w:val="TableText"/>
              <w:jc w:val="center"/>
            </w:pPr>
            <w:r>
              <w:t>0.5 inductive</w:t>
            </w:r>
          </w:p>
        </w:tc>
        <w:tc>
          <w:tcPr>
            <w:tcW w:w="1546" w:type="dxa"/>
            <w:tcBorders>
              <w:top w:val="single" w:sz="4" w:space="0" w:color="auto"/>
              <w:left w:val="single" w:sz="4" w:space="0" w:color="auto"/>
              <w:bottom w:val="single" w:sz="4" w:space="0" w:color="auto"/>
              <w:right w:val="single" w:sz="4" w:space="0" w:color="auto"/>
            </w:tcBorders>
            <w:vAlign w:val="center"/>
            <w:hideMark/>
          </w:tcPr>
          <w:p w14:paraId="1B027FF3" w14:textId="77777777" w:rsidR="00DC3498" w:rsidRPr="00360580" w:rsidRDefault="00DC3498" w:rsidP="00CB39E7">
            <w:pPr>
              <w:pStyle w:val="TableText"/>
              <w:jc w:val="center"/>
            </w:pPr>
            <w:r w:rsidRPr="00360580">
              <w:t>—</w:t>
            </w:r>
          </w:p>
        </w:tc>
        <w:tc>
          <w:tcPr>
            <w:tcW w:w="1515" w:type="dxa"/>
            <w:tcBorders>
              <w:top w:val="single" w:sz="4" w:space="0" w:color="auto"/>
              <w:left w:val="single" w:sz="4" w:space="0" w:color="auto"/>
              <w:bottom w:val="single" w:sz="4" w:space="0" w:color="auto"/>
              <w:right w:val="single" w:sz="4" w:space="0" w:color="auto"/>
            </w:tcBorders>
            <w:vAlign w:val="center"/>
            <w:hideMark/>
          </w:tcPr>
          <w:p w14:paraId="49F34E8A" w14:textId="77777777" w:rsidR="00DC3498" w:rsidRPr="00360580" w:rsidRDefault="00DC3498" w:rsidP="00CB39E7">
            <w:pPr>
              <w:pStyle w:val="TableText"/>
              <w:jc w:val="center"/>
            </w:pPr>
            <w:r w:rsidRPr="00360580">
              <w:t>—</w:t>
            </w:r>
          </w:p>
        </w:tc>
        <w:tc>
          <w:tcPr>
            <w:tcW w:w="1377" w:type="dxa"/>
            <w:tcBorders>
              <w:top w:val="single" w:sz="4" w:space="0" w:color="auto"/>
              <w:left w:val="single" w:sz="4" w:space="0" w:color="auto"/>
              <w:bottom w:val="single" w:sz="4" w:space="0" w:color="auto"/>
              <w:right w:val="single" w:sz="4" w:space="0" w:color="auto"/>
            </w:tcBorders>
            <w:vAlign w:val="center"/>
          </w:tcPr>
          <w:p w14:paraId="1618E5FE" w14:textId="77777777" w:rsidR="00DC3498" w:rsidRPr="00360580" w:rsidRDefault="00DC3498" w:rsidP="00CB39E7">
            <w:pPr>
              <w:pStyle w:val="TableText"/>
              <w:jc w:val="center"/>
            </w:pPr>
            <w:r w:rsidRPr="00360580">
              <w:t>±1.5%</w:t>
            </w:r>
          </w:p>
        </w:tc>
      </w:tr>
      <w:tr w:rsidR="00DC3498" w14:paraId="1387809B" w14:textId="77777777" w:rsidTr="00CB39E7">
        <w:trPr>
          <w:jc w:val="center"/>
        </w:trPr>
        <w:tc>
          <w:tcPr>
            <w:tcW w:w="1916" w:type="dxa"/>
            <w:vMerge/>
            <w:tcBorders>
              <w:top w:val="single" w:sz="4" w:space="0" w:color="auto"/>
              <w:left w:val="single" w:sz="4" w:space="0" w:color="auto"/>
              <w:bottom w:val="single" w:sz="4" w:space="0" w:color="auto"/>
              <w:right w:val="single" w:sz="4" w:space="0" w:color="auto"/>
            </w:tcBorders>
            <w:vAlign w:val="center"/>
            <w:hideMark/>
          </w:tcPr>
          <w:p w14:paraId="1C70ECAE" w14:textId="77777777" w:rsidR="00DC3498" w:rsidRPr="00360580" w:rsidRDefault="00DC3498" w:rsidP="00CB39E7">
            <w:pPr>
              <w:pStyle w:val="TableText"/>
              <w:jc w:val="center"/>
            </w:pPr>
          </w:p>
        </w:tc>
        <w:tc>
          <w:tcPr>
            <w:tcW w:w="1863" w:type="dxa"/>
            <w:tcBorders>
              <w:top w:val="single" w:sz="4" w:space="0" w:color="auto"/>
              <w:left w:val="single" w:sz="4" w:space="0" w:color="auto"/>
              <w:bottom w:val="single" w:sz="4" w:space="0" w:color="auto"/>
              <w:right w:val="single" w:sz="4" w:space="0" w:color="auto"/>
            </w:tcBorders>
            <w:vAlign w:val="center"/>
            <w:hideMark/>
          </w:tcPr>
          <w:p w14:paraId="33349F29" w14:textId="77777777" w:rsidR="00DC3498" w:rsidRPr="00360580" w:rsidRDefault="00DC3498" w:rsidP="00CB39E7">
            <w:pPr>
              <w:pStyle w:val="TableText"/>
              <w:jc w:val="center"/>
            </w:pPr>
            <w:r w:rsidRPr="00360580">
              <w:t>0.</w:t>
            </w:r>
            <w:r>
              <w:t>8</w:t>
            </w:r>
            <w:r w:rsidRPr="00360580">
              <w:t xml:space="preserve"> </w:t>
            </w:r>
            <w:r>
              <w:t>capacitive</w:t>
            </w:r>
          </w:p>
        </w:tc>
        <w:tc>
          <w:tcPr>
            <w:tcW w:w="1546" w:type="dxa"/>
            <w:tcBorders>
              <w:top w:val="single" w:sz="4" w:space="0" w:color="auto"/>
              <w:left w:val="single" w:sz="4" w:space="0" w:color="auto"/>
              <w:bottom w:val="single" w:sz="4" w:space="0" w:color="auto"/>
              <w:right w:val="single" w:sz="4" w:space="0" w:color="auto"/>
            </w:tcBorders>
            <w:vAlign w:val="center"/>
            <w:hideMark/>
          </w:tcPr>
          <w:p w14:paraId="04CABA78" w14:textId="77777777" w:rsidR="00DC3498" w:rsidRPr="00360580" w:rsidRDefault="00DC3498" w:rsidP="00CB39E7">
            <w:pPr>
              <w:pStyle w:val="TableText"/>
              <w:jc w:val="center"/>
            </w:pPr>
            <w:r w:rsidRPr="00360580">
              <w:t>—</w:t>
            </w:r>
          </w:p>
        </w:tc>
        <w:tc>
          <w:tcPr>
            <w:tcW w:w="1515" w:type="dxa"/>
            <w:tcBorders>
              <w:top w:val="single" w:sz="4" w:space="0" w:color="auto"/>
              <w:left w:val="single" w:sz="4" w:space="0" w:color="auto"/>
              <w:bottom w:val="single" w:sz="4" w:space="0" w:color="auto"/>
              <w:right w:val="single" w:sz="4" w:space="0" w:color="auto"/>
            </w:tcBorders>
            <w:vAlign w:val="center"/>
            <w:hideMark/>
          </w:tcPr>
          <w:p w14:paraId="70604783" w14:textId="77777777" w:rsidR="00DC3498" w:rsidRPr="00360580" w:rsidRDefault="00DC3498" w:rsidP="00CB39E7">
            <w:pPr>
              <w:pStyle w:val="TableText"/>
              <w:jc w:val="center"/>
            </w:pPr>
            <w:r w:rsidRPr="00360580">
              <w:t>—</w:t>
            </w:r>
          </w:p>
        </w:tc>
        <w:tc>
          <w:tcPr>
            <w:tcW w:w="1377" w:type="dxa"/>
            <w:tcBorders>
              <w:top w:val="single" w:sz="4" w:space="0" w:color="auto"/>
              <w:left w:val="single" w:sz="4" w:space="0" w:color="auto"/>
              <w:bottom w:val="single" w:sz="4" w:space="0" w:color="auto"/>
              <w:right w:val="single" w:sz="4" w:space="0" w:color="auto"/>
            </w:tcBorders>
            <w:vAlign w:val="center"/>
          </w:tcPr>
          <w:p w14:paraId="38A45617" w14:textId="77777777" w:rsidR="00DC3498" w:rsidRPr="00360580" w:rsidRDefault="00DC3498" w:rsidP="00CB39E7">
            <w:pPr>
              <w:pStyle w:val="TableText"/>
              <w:jc w:val="center"/>
            </w:pPr>
            <w:r w:rsidRPr="00360580">
              <w:t>±1.5%</w:t>
            </w:r>
          </w:p>
        </w:tc>
      </w:tr>
      <w:tr w:rsidR="00DC3498" w14:paraId="4DF2135B" w14:textId="77777777" w:rsidTr="00CB39E7">
        <w:trPr>
          <w:jc w:val="center"/>
        </w:trPr>
        <w:tc>
          <w:tcPr>
            <w:tcW w:w="1916" w:type="dxa"/>
            <w:vMerge w:val="restart"/>
            <w:tcBorders>
              <w:top w:val="single" w:sz="4" w:space="0" w:color="auto"/>
              <w:left w:val="single" w:sz="4" w:space="0" w:color="auto"/>
              <w:bottom w:val="single" w:sz="4" w:space="0" w:color="auto"/>
              <w:right w:val="single" w:sz="4" w:space="0" w:color="auto"/>
            </w:tcBorders>
            <w:vAlign w:val="center"/>
          </w:tcPr>
          <w:p w14:paraId="505D8264" w14:textId="77777777" w:rsidR="00DC3498" w:rsidRPr="00360580" w:rsidRDefault="00DC3498" w:rsidP="00CB39E7">
            <w:pPr>
              <w:pStyle w:val="TableText"/>
              <w:jc w:val="center"/>
            </w:pPr>
            <w:r w:rsidRPr="00360580">
              <w:t>0.</w:t>
            </w:r>
            <w:r>
              <w:t>1</w:t>
            </w:r>
            <w:r w:rsidRPr="00360580">
              <w:rPr>
                <w:i/>
                <w:lang w:val="en-US"/>
              </w:rPr>
              <w:t xml:space="preserve"> </w:t>
            </w:r>
            <w:r>
              <w:rPr>
                <w:i/>
                <w:lang w:val="en-GB"/>
              </w:rPr>
              <w:t>I</w:t>
            </w:r>
            <w:r>
              <w:rPr>
                <w:vertAlign w:val="subscript"/>
                <w:lang w:val="en-GB"/>
              </w:rPr>
              <w:t>n</w:t>
            </w:r>
            <w:r w:rsidRPr="00360580">
              <w:rPr>
                <w:lang w:val="en-US"/>
              </w:rPr>
              <w:t xml:space="preserve"> </w:t>
            </w:r>
            <w:r w:rsidRPr="00360580">
              <w:t>≤</w:t>
            </w:r>
            <w:r w:rsidRPr="00360580">
              <w:rPr>
                <w:i/>
              </w:rPr>
              <w:t xml:space="preserve"> I</w:t>
            </w:r>
            <w:r w:rsidRPr="00360580">
              <w:t xml:space="preserve"> ≤</w:t>
            </w:r>
            <w:r w:rsidRPr="00360580">
              <w:rPr>
                <w:i/>
              </w:rPr>
              <w:t xml:space="preserve"> I</w:t>
            </w:r>
            <w:r w:rsidRPr="00360580">
              <w:rPr>
                <w:bCs/>
                <w:vertAlign w:val="subscript"/>
              </w:rPr>
              <w:t>max</w:t>
            </w:r>
          </w:p>
        </w:tc>
        <w:tc>
          <w:tcPr>
            <w:tcW w:w="1863" w:type="dxa"/>
            <w:tcBorders>
              <w:top w:val="single" w:sz="4" w:space="0" w:color="auto"/>
              <w:left w:val="single" w:sz="4" w:space="0" w:color="auto"/>
              <w:bottom w:val="single" w:sz="4" w:space="0" w:color="auto"/>
              <w:right w:val="single" w:sz="4" w:space="0" w:color="auto"/>
            </w:tcBorders>
            <w:vAlign w:val="center"/>
          </w:tcPr>
          <w:p w14:paraId="2E600621" w14:textId="77777777" w:rsidR="00DC3498" w:rsidRPr="00360580" w:rsidRDefault="00DC3498" w:rsidP="00CB39E7">
            <w:pPr>
              <w:pStyle w:val="TableText"/>
              <w:jc w:val="center"/>
            </w:pPr>
            <w:r w:rsidRPr="00360580">
              <w:t>0.</w:t>
            </w:r>
            <w:r>
              <w:t>5</w:t>
            </w:r>
            <w:r w:rsidRPr="00360580">
              <w:t xml:space="preserve"> </w:t>
            </w:r>
            <w:r>
              <w:t>induct</w:t>
            </w:r>
            <w:r w:rsidRPr="00360580">
              <w:t>ive</w:t>
            </w:r>
          </w:p>
        </w:tc>
        <w:tc>
          <w:tcPr>
            <w:tcW w:w="1546" w:type="dxa"/>
            <w:tcBorders>
              <w:top w:val="single" w:sz="4" w:space="0" w:color="auto"/>
              <w:left w:val="single" w:sz="4" w:space="0" w:color="auto"/>
              <w:bottom w:val="single" w:sz="4" w:space="0" w:color="auto"/>
              <w:right w:val="single" w:sz="4" w:space="0" w:color="auto"/>
            </w:tcBorders>
            <w:vAlign w:val="center"/>
          </w:tcPr>
          <w:p w14:paraId="34D7E4A0" w14:textId="77777777" w:rsidR="00DC3498" w:rsidRPr="00360580" w:rsidRDefault="00DC3498" w:rsidP="00CB39E7">
            <w:pPr>
              <w:pStyle w:val="TableText"/>
              <w:jc w:val="center"/>
            </w:pPr>
            <w:r w:rsidRPr="00360580">
              <w:t>±0</w:t>
            </w:r>
            <w:r>
              <w:t>.3</w:t>
            </w:r>
            <w:r w:rsidRPr="00360580">
              <w:t>%</w:t>
            </w:r>
          </w:p>
        </w:tc>
        <w:tc>
          <w:tcPr>
            <w:tcW w:w="1515" w:type="dxa"/>
            <w:tcBorders>
              <w:top w:val="single" w:sz="4" w:space="0" w:color="auto"/>
              <w:left w:val="single" w:sz="4" w:space="0" w:color="auto"/>
              <w:bottom w:val="single" w:sz="4" w:space="0" w:color="auto"/>
              <w:right w:val="single" w:sz="4" w:space="0" w:color="auto"/>
            </w:tcBorders>
            <w:vAlign w:val="center"/>
          </w:tcPr>
          <w:p w14:paraId="596A9049" w14:textId="77777777" w:rsidR="00DC3498" w:rsidRPr="00360580" w:rsidRDefault="00DC3498" w:rsidP="00CB39E7">
            <w:pPr>
              <w:pStyle w:val="TableText"/>
              <w:jc w:val="center"/>
            </w:pPr>
            <w:r w:rsidRPr="00360580">
              <w:t>±</w:t>
            </w:r>
            <w:r>
              <w:t>0.6</w:t>
            </w:r>
            <w:r w:rsidRPr="00360580">
              <w:t>%</w:t>
            </w:r>
          </w:p>
        </w:tc>
        <w:tc>
          <w:tcPr>
            <w:tcW w:w="1377" w:type="dxa"/>
            <w:tcBorders>
              <w:top w:val="single" w:sz="4" w:space="0" w:color="auto"/>
              <w:left w:val="single" w:sz="4" w:space="0" w:color="auto"/>
              <w:bottom w:val="single" w:sz="4" w:space="0" w:color="auto"/>
              <w:right w:val="single" w:sz="4" w:space="0" w:color="auto"/>
            </w:tcBorders>
            <w:vAlign w:val="center"/>
          </w:tcPr>
          <w:p w14:paraId="682E2944" w14:textId="77777777" w:rsidR="00DC3498" w:rsidRPr="00360580" w:rsidRDefault="00DC3498" w:rsidP="00CB39E7">
            <w:pPr>
              <w:pStyle w:val="TableText"/>
              <w:jc w:val="center"/>
            </w:pPr>
            <w:r w:rsidRPr="00360580">
              <w:t>±1.0%</w:t>
            </w:r>
          </w:p>
        </w:tc>
      </w:tr>
      <w:tr w:rsidR="00DC3498" w14:paraId="3F99DA4D" w14:textId="77777777" w:rsidTr="00CB39E7">
        <w:trPr>
          <w:jc w:val="center"/>
        </w:trPr>
        <w:tc>
          <w:tcPr>
            <w:tcW w:w="1916" w:type="dxa"/>
            <w:vMerge/>
            <w:tcBorders>
              <w:top w:val="single" w:sz="4" w:space="0" w:color="auto"/>
              <w:left w:val="single" w:sz="4" w:space="0" w:color="auto"/>
              <w:bottom w:val="single" w:sz="4" w:space="0" w:color="auto"/>
              <w:right w:val="single" w:sz="4" w:space="0" w:color="auto"/>
            </w:tcBorders>
            <w:vAlign w:val="center"/>
          </w:tcPr>
          <w:p w14:paraId="5ADD7B59" w14:textId="77777777" w:rsidR="00DC3498" w:rsidRPr="00360580" w:rsidRDefault="00DC3498" w:rsidP="00CB39E7">
            <w:pPr>
              <w:pStyle w:val="TableText"/>
              <w:jc w:val="center"/>
            </w:pPr>
          </w:p>
        </w:tc>
        <w:tc>
          <w:tcPr>
            <w:tcW w:w="1863" w:type="dxa"/>
            <w:tcBorders>
              <w:top w:val="single" w:sz="4" w:space="0" w:color="auto"/>
              <w:left w:val="single" w:sz="4" w:space="0" w:color="auto"/>
              <w:bottom w:val="single" w:sz="4" w:space="0" w:color="auto"/>
              <w:right w:val="single" w:sz="4" w:space="0" w:color="auto"/>
            </w:tcBorders>
            <w:vAlign w:val="center"/>
          </w:tcPr>
          <w:p w14:paraId="7DD1F7BE" w14:textId="77777777" w:rsidR="00DC3498" w:rsidRPr="00360580" w:rsidRDefault="00DC3498" w:rsidP="00CB39E7">
            <w:pPr>
              <w:pStyle w:val="TableText"/>
              <w:jc w:val="center"/>
            </w:pPr>
            <w:r w:rsidRPr="00360580">
              <w:t>0.</w:t>
            </w:r>
            <w:r>
              <w:t>8</w:t>
            </w:r>
            <w:r w:rsidRPr="00360580">
              <w:t xml:space="preserve"> </w:t>
            </w:r>
            <w:r>
              <w:t>capacitive</w:t>
            </w:r>
          </w:p>
        </w:tc>
        <w:tc>
          <w:tcPr>
            <w:tcW w:w="1546" w:type="dxa"/>
            <w:tcBorders>
              <w:top w:val="single" w:sz="4" w:space="0" w:color="auto"/>
              <w:left w:val="single" w:sz="4" w:space="0" w:color="auto"/>
              <w:bottom w:val="single" w:sz="4" w:space="0" w:color="auto"/>
              <w:right w:val="single" w:sz="4" w:space="0" w:color="auto"/>
            </w:tcBorders>
            <w:vAlign w:val="center"/>
          </w:tcPr>
          <w:p w14:paraId="7B1A423C" w14:textId="77777777" w:rsidR="00DC3498" w:rsidRPr="00360580" w:rsidRDefault="00DC3498" w:rsidP="00CB39E7">
            <w:pPr>
              <w:pStyle w:val="TableText"/>
              <w:jc w:val="center"/>
            </w:pPr>
            <w:r w:rsidRPr="00360580">
              <w:t>±0</w:t>
            </w:r>
            <w:r>
              <w:t>.3</w:t>
            </w:r>
            <w:r w:rsidRPr="00360580">
              <w:t>%</w:t>
            </w:r>
          </w:p>
        </w:tc>
        <w:tc>
          <w:tcPr>
            <w:tcW w:w="1515" w:type="dxa"/>
            <w:tcBorders>
              <w:top w:val="single" w:sz="4" w:space="0" w:color="auto"/>
              <w:left w:val="single" w:sz="4" w:space="0" w:color="auto"/>
              <w:bottom w:val="single" w:sz="4" w:space="0" w:color="auto"/>
              <w:right w:val="single" w:sz="4" w:space="0" w:color="auto"/>
            </w:tcBorders>
            <w:vAlign w:val="center"/>
          </w:tcPr>
          <w:p w14:paraId="396BEEB5" w14:textId="77777777" w:rsidR="00DC3498" w:rsidRPr="00360580" w:rsidRDefault="00DC3498" w:rsidP="00CB39E7">
            <w:pPr>
              <w:pStyle w:val="TableText"/>
              <w:jc w:val="center"/>
            </w:pPr>
            <w:r w:rsidRPr="00360580">
              <w:t>±</w:t>
            </w:r>
            <w:r>
              <w:t>0.6</w:t>
            </w:r>
            <w:r w:rsidRPr="00360580">
              <w:t>%</w:t>
            </w:r>
          </w:p>
        </w:tc>
        <w:tc>
          <w:tcPr>
            <w:tcW w:w="1377" w:type="dxa"/>
            <w:tcBorders>
              <w:top w:val="single" w:sz="4" w:space="0" w:color="auto"/>
              <w:left w:val="single" w:sz="4" w:space="0" w:color="auto"/>
              <w:bottom w:val="single" w:sz="4" w:space="0" w:color="auto"/>
              <w:right w:val="single" w:sz="4" w:space="0" w:color="auto"/>
            </w:tcBorders>
            <w:vAlign w:val="center"/>
          </w:tcPr>
          <w:p w14:paraId="7CB179C8" w14:textId="77777777" w:rsidR="00DC3498" w:rsidRPr="00360580" w:rsidRDefault="00DC3498" w:rsidP="00CB39E7">
            <w:pPr>
              <w:pStyle w:val="TableText"/>
              <w:jc w:val="center"/>
            </w:pPr>
            <w:r w:rsidRPr="00360580">
              <w:t>±1.0%</w:t>
            </w:r>
          </w:p>
        </w:tc>
      </w:tr>
    </w:tbl>
    <w:p w14:paraId="0C58A480" w14:textId="21A6EC44" w:rsidR="00DC3498" w:rsidRDefault="00DC3498" w:rsidP="00DC3498">
      <w:pPr>
        <w:pStyle w:val="Caption"/>
      </w:pPr>
      <w:bookmarkStart w:id="65" w:name="_Ref146641647"/>
      <w:r>
        <w:t xml:space="preserve">Table </w:t>
      </w:r>
      <w:r w:rsidR="00440352">
        <w:fldChar w:fldCharType="begin"/>
      </w:r>
      <w:r w:rsidR="00440352">
        <w:instrText xml:space="preserve"> SEQ Table \* ARABIC </w:instrText>
      </w:r>
      <w:r w:rsidR="00440352">
        <w:fldChar w:fldCharType="separate"/>
      </w:r>
      <w:r w:rsidR="003F6048">
        <w:rPr>
          <w:noProof/>
        </w:rPr>
        <w:t>3</w:t>
      </w:r>
      <w:r w:rsidR="00440352">
        <w:rPr>
          <w:noProof/>
        </w:rPr>
        <w:fldChar w:fldCharType="end"/>
      </w:r>
      <w:bookmarkEnd w:id="65"/>
      <w:r>
        <w:t xml:space="preserve">. </w:t>
      </w:r>
      <w:r w:rsidR="00D4655F">
        <w:t>MPEs</w:t>
      </w:r>
      <w:r w:rsidRPr="00984937">
        <w:t xml:space="preserve"> for polyphase </w:t>
      </w:r>
      <w:r w:rsidRPr="00675E66">
        <w:t>electricity</w:t>
      </w:r>
      <w:r w:rsidRPr="00984937">
        <w:t xml:space="preserve"> meters carrying a single-phase load, but with balanced polyphase voltages applied to voltage circuits</w:t>
      </w:r>
      <w:r>
        <w:t xml:space="preserve"> (NMI M 6)</w:t>
      </w:r>
    </w:p>
    <w:tbl>
      <w:tblPr>
        <w:tblW w:w="5000" w:type="pct"/>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1441"/>
        <w:gridCol w:w="2103"/>
        <w:gridCol w:w="1841"/>
        <w:gridCol w:w="1089"/>
        <w:gridCol w:w="1089"/>
        <w:gridCol w:w="1089"/>
        <w:gridCol w:w="1091"/>
      </w:tblGrid>
      <w:tr w:rsidR="00DC3498" w14:paraId="6B0EA03A" w14:textId="77777777" w:rsidTr="00CB39E7">
        <w:trPr>
          <w:jc w:val="center"/>
        </w:trPr>
        <w:tc>
          <w:tcPr>
            <w:tcW w:w="739" w:type="pct"/>
            <w:vMerge w:val="restart"/>
            <w:tcBorders>
              <w:top w:val="single" w:sz="4" w:space="0" w:color="auto"/>
              <w:left w:val="single" w:sz="4" w:space="0" w:color="auto"/>
              <w:right w:val="single" w:sz="4" w:space="0" w:color="auto"/>
            </w:tcBorders>
            <w:shd w:val="clear" w:color="auto" w:fill="A50021"/>
            <w:vAlign w:val="center"/>
            <w:hideMark/>
          </w:tcPr>
          <w:p w14:paraId="3FAB84E3" w14:textId="77777777" w:rsidR="00DC3498" w:rsidRPr="00CB39E7" w:rsidRDefault="00DC3498" w:rsidP="00CB39E7">
            <w:pPr>
              <w:pStyle w:val="TableText"/>
              <w:jc w:val="center"/>
              <w:rPr>
                <w:b/>
                <w:bCs/>
              </w:rPr>
            </w:pPr>
            <w:r>
              <w:rPr>
                <w:b/>
                <w:bCs/>
              </w:rPr>
              <w:t>Meter</w:t>
            </w:r>
            <w:r w:rsidRPr="00CB39E7">
              <w:rPr>
                <w:b/>
                <w:bCs/>
              </w:rPr>
              <w:t xml:space="preserve"> type</w:t>
            </w:r>
          </w:p>
        </w:tc>
        <w:tc>
          <w:tcPr>
            <w:tcW w:w="1079" w:type="pct"/>
            <w:vMerge w:val="restart"/>
            <w:tcBorders>
              <w:top w:val="single" w:sz="4" w:space="0" w:color="auto"/>
              <w:left w:val="single" w:sz="4" w:space="0" w:color="auto"/>
              <w:right w:val="single" w:sz="4" w:space="0" w:color="auto"/>
            </w:tcBorders>
            <w:shd w:val="clear" w:color="auto" w:fill="A50021"/>
            <w:vAlign w:val="center"/>
          </w:tcPr>
          <w:p w14:paraId="3215CFC2" w14:textId="77777777" w:rsidR="00DC3498" w:rsidRPr="00CB39E7" w:rsidRDefault="00DC3498" w:rsidP="00CB39E7">
            <w:pPr>
              <w:pStyle w:val="TableText"/>
              <w:jc w:val="center"/>
              <w:rPr>
                <w:b/>
                <w:bCs/>
              </w:rPr>
            </w:pPr>
            <w:r w:rsidRPr="00CB39E7">
              <w:rPr>
                <w:b/>
                <w:bCs/>
              </w:rPr>
              <w:t>Range for test current</w:t>
            </w:r>
          </w:p>
        </w:tc>
        <w:tc>
          <w:tcPr>
            <w:tcW w:w="945" w:type="pct"/>
            <w:vMerge w:val="restart"/>
            <w:tcBorders>
              <w:top w:val="single" w:sz="4" w:space="0" w:color="auto"/>
              <w:left w:val="single" w:sz="4" w:space="0" w:color="auto"/>
              <w:right w:val="single" w:sz="4" w:space="0" w:color="auto"/>
            </w:tcBorders>
            <w:shd w:val="clear" w:color="auto" w:fill="A50021"/>
            <w:vAlign w:val="center"/>
          </w:tcPr>
          <w:p w14:paraId="09D01069" w14:textId="77777777" w:rsidR="00DC3498" w:rsidRPr="00CB39E7" w:rsidRDefault="00DC3498" w:rsidP="00CB39E7">
            <w:pPr>
              <w:pStyle w:val="TableText"/>
              <w:jc w:val="center"/>
              <w:rPr>
                <w:b/>
                <w:bCs/>
              </w:rPr>
            </w:pPr>
            <w:r w:rsidRPr="00CB39E7">
              <w:rPr>
                <w:b/>
                <w:bCs/>
              </w:rPr>
              <w:t>Power factor</w:t>
            </w:r>
          </w:p>
        </w:tc>
        <w:tc>
          <w:tcPr>
            <w:tcW w:w="2238" w:type="pct"/>
            <w:gridSpan w:val="4"/>
            <w:tcBorders>
              <w:top w:val="single" w:sz="4" w:space="0" w:color="auto"/>
              <w:left w:val="single" w:sz="4" w:space="0" w:color="auto"/>
              <w:right w:val="single" w:sz="4" w:space="0" w:color="auto"/>
            </w:tcBorders>
            <w:shd w:val="clear" w:color="auto" w:fill="A50021"/>
            <w:vAlign w:val="center"/>
          </w:tcPr>
          <w:p w14:paraId="0E1231D6" w14:textId="77777777" w:rsidR="00DC3498" w:rsidRPr="00CB39E7" w:rsidRDefault="00DC3498" w:rsidP="00CB39E7">
            <w:pPr>
              <w:pStyle w:val="TableText"/>
              <w:jc w:val="center"/>
              <w:rPr>
                <w:b/>
                <w:bCs/>
              </w:rPr>
            </w:pPr>
            <w:r w:rsidRPr="00CB39E7">
              <w:rPr>
                <w:b/>
                <w:bCs/>
              </w:rPr>
              <w:t>Percentage error limits for meter class</w:t>
            </w:r>
          </w:p>
        </w:tc>
      </w:tr>
      <w:tr w:rsidR="00DC3498" w14:paraId="71FC95FD" w14:textId="77777777" w:rsidTr="00CB39E7">
        <w:trPr>
          <w:jc w:val="center"/>
        </w:trPr>
        <w:tc>
          <w:tcPr>
            <w:tcW w:w="739" w:type="pct"/>
            <w:vMerge/>
            <w:tcBorders>
              <w:left w:val="single" w:sz="4" w:space="0" w:color="auto"/>
              <w:bottom w:val="single" w:sz="4" w:space="0" w:color="auto"/>
              <w:right w:val="single" w:sz="4" w:space="0" w:color="auto"/>
            </w:tcBorders>
            <w:shd w:val="clear" w:color="auto" w:fill="A50021"/>
            <w:vAlign w:val="center"/>
          </w:tcPr>
          <w:p w14:paraId="2B25C7D5" w14:textId="77777777" w:rsidR="00DC3498" w:rsidRPr="00CB39E7" w:rsidRDefault="00DC3498" w:rsidP="00CB39E7">
            <w:pPr>
              <w:pStyle w:val="TableText"/>
              <w:jc w:val="center"/>
              <w:rPr>
                <w:b/>
                <w:bCs/>
              </w:rPr>
            </w:pPr>
          </w:p>
        </w:tc>
        <w:tc>
          <w:tcPr>
            <w:tcW w:w="1079" w:type="pct"/>
            <w:vMerge/>
            <w:tcBorders>
              <w:left w:val="single" w:sz="4" w:space="0" w:color="auto"/>
              <w:bottom w:val="single" w:sz="4" w:space="0" w:color="auto"/>
              <w:right w:val="single" w:sz="4" w:space="0" w:color="auto"/>
            </w:tcBorders>
            <w:shd w:val="clear" w:color="auto" w:fill="A50021"/>
            <w:vAlign w:val="center"/>
          </w:tcPr>
          <w:p w14:paraId="63700C78" w14:textId="77777777" w:rsidR="00DC3498" w:rsidRPr="00CB39E7" w:rsidRDefault="00DC3498" w:rsidP="00CB39E7">
            <w:pPr>
              <w:pStyle w:val="TableText"/>
              <w:jc w:val="center"/>
              <w:rPr>
                <w:b/>
                <w:bCs/>
              </w:rPr>
            </w:pPr>
          </w:p>
        </w:tc>
        <w:tc>
          <w:tcPr>
            <w:tcW w:w="945" w:type="pct"/>
            <w:vMerge/>
            <w:tcBorders>
              <w:left w:val="single" w:sz="4" w:space="0" w:color="auto"/>
              <w:bottom w:val="single" w:sz="4" w:space="0" w:color="auto"/>
              <w:right w:val="single" w:sz="4" w:space="0" w:color="auto"/>
            </w:tcBorders>
            <w:shd w:val="clear" w:color="auto" w:fill="A50021"/>
            <w:vAlign w:val="center"/>
          </w:tcPr>
          <w:p w14:paraId="5C9B4C7B" w14:textId="77777777" w:rsidR="00DC3498" w:rsidRPr="00CB39E7" w:rsidRDefault="00DC3498" w:rsidP="00CB39E7">
            <w:pPr>
              <w:pStyle w:val="TableText"/>
              <w:jc w:val="center"/>
              <w:rPr>
                <w:b/>
                <w:bCs/>
              </w:rPr>
            </w:pPr>
          </w:p>
        </w:tc>
        <w:tc>
          <w:tcPr>
            <w:tcW w:w="559" w:type="pct"/>
            <w:tcBorders>
              <w:top w:val="single" w:sz="4" w:space="0" w:color="auto"/>
              <w:left w:val="single" w:sz="4" w:space="0" w:color="auto"/>
              <w:bottom w:val="single" w:sz="4" w:space="0" w:color="auto"/>
              <w:right w:val="single" w:sz="4" w:space="0" w:color="auto"/>
            </w:tcBorders>
            <w:shd w:val="clear" w:color="auto" w:fill="A50021"/>
            <w:vAlign w:val="center"/>
          </w:tcPr>
          <w:p w14:paraId="4CD1F24F" w14:textId="77777777" w:rsidR="00DC3498" w:rsidRPr="00CB39E7" w:rsidRDefault="00DC3498" w:rsidP="00CB39E7">
            <w:pPr>
              <w:pStyle w:val="TableText"/>
              <w:jc w:val="center"/>
              <w:rPr>
                <w:b/>
                <w:bCs/>
              </w:rPr>
            </w:pPr>
            <w:r w:rsidRPr="00CB39E7">
              <w:rPr>
                <w:b/>
                <w:bCs/>
              </w:rPr>
              <w:t>0.2</w:t>
            </w:r>
          </w:p>
        </w:tc>
        <w:tc>
          <w:tcPr>
            <w:tcW w:w="559" w:type="pct"/>
            <w:tcBorders>
              <w:top w:val="single" w:sz="4" w:space="0" w:color="auto"/>
              <w:left w:val="single" w:sz="4" w:space="0" w:color="auto"/>
              <w:right w:val="single" w:sz="4" w:space="0" w:color="auto"/>
            </w:tcBorders>
            <w:shd w:val="clear" w:color="auto" w:fill="A50021"/>
            <w:vAlign w:val="center"/>
          </w:tcPr>
          <w:p w14:paraId="2D49A28F" w14:textId="77777777" w:rsidR="00DC3498" w:rsidRPr="00CB39E7" w:rsidRDefault="00DC3498" w:rsidP="00CB39E7">
            <w:pPr>
              <w:pStyle w:val="TableText"/>
              <w:jc w:val="center"/>
              <w:rPr>
                <w:b/>
                <w:bCs/>
              </w:rPr>
            </w:pPr>
            <w:r w:rsidRPr="00CB39E7">
              <w:rPr>
                <w:b/>
                <w:bCs/>
              </w:rPr>
              <w:t>0.5</w:t>
            </w:r>
          </w:p>
        </w:tc>
        <w:tc>
          <w:tcPr>
            <w:tcW w:w="559" w:type="pct"/>
            <w:tcBorders>
              <w:top w:val="single" w:sz="4" w:space="0" w:color="auto"/>
              <w:left w:val="single" w:sz="4" w:space="0" w:color="auto"/>
              <w:right w:val="single" w:sz="4" w:space="0" w:color="auto"/>
            </w:tcBorders>
            <w:shd w:val="clear" w:color="auto" w:fill="A50021"/>
            <w:vAlign w:val="center"/>
          </w:tcPr>
          <w:p w14:paraId="7CEE03F7" w14:textId="77777777" w:rsidR="00DC3498" w:rsidRPr="00CB39E7" w:rsidRDefault="00DC3498" w:rsidP="00CB39E7">
            <w:pPr>
              <w:pStyle w:val="TableText"/>
              <w:jc w:val="center"/>
              <w:rPr>
                <w:b/>
                <w:bCs/>
              </w:rPr>
            </w:pPr>
            <w:r w:rsidRPr="00CB39E7">
              <w:rPr>
                <w:b/>
                <w:bCs/>
              </w:rPr>
              <w:t>1</w:t>
            </w:r>
          </w:p>
        </w:tc>
        <w:tc>
          <w:tcPr>
            <w:tcW w:w="559" w:type="pct"/>
            <w:tcBorders>
              <w:top w:val="single" w:sz="4" w:space="0" w:color="auto"/>
              <w:left w:val="single" w:sz="4" w:space="0" w:color="auto"/>
              <w:right w:val="single" w:sz="4" w:space="0" w:color="auto"/>
            </w:tcBorders>
            <w:shd w:val="clear" w:color="auto" w:fill="A50021"/>
            <w:vAlign w:val="center"/>
          </w:tcPr>
          <w:p w14:paraId="521B0787" w14:textId="77777777" w:rsidR="00DC3498" w:rsidRPr="00CB39E7" w:rsidRDefault="00DC3498" w:rsidP="00CB39E7">
            <w:pPr>
              <w:pStyle w:val="TableText"/>
              <w:jc w:val="center"/>
              <w:rPr>
                <w:b/>
                <w:bCs/>
              </w:rPr>
            </w:pPr>
            <w:r w:rsidRPr="00CB39E7">
              <w:rPr>
                <w:b/>
                <w:bCs/>
              </w:rPr>
              <w:t>1.5</w:t>
            </w:r>
          </w:p>
        </w:tc>
      </w:tr>
      <w:tr w:rsidR="00DC3498" w14:paraId="11894AD6" w14:textId="77777777" w:rsidTr="00CB39E7">
        <w:trPr>
          <w:jc w:val="center"/>
        </w:trPr>
        <w:tc>
          <w:tcPr>
            <w:tcW w:w="739" w:type="pct"/>
            <w:vMerge w:val="restart"/>
            <w:tcBorders>
              <w:top w:val="single" w:sz="4" w:space="0" w:color="auto"/>
              <w:left w:val="single" w:sz="4" w:space="0" w:color="auto"/>
              <w:bottom w:val="single" w:sz="4" w:space="0" w:color="auto"/>
              <w:right w:val="single" w:sz="4" w:space="0" w:color="auto"/>
            </w:tcBorders>
            <w:vAlign w:val="center"/>
          </w:tcPr>
          <w:p w14:paraId="021303D9" w14:textId="77777777" w:rsidR="00DC3498" w:rsidRPr="00360580" w:rsidRDefault="00DC3498" w:rsidP="00CB39E7">
            <w:pPr>
              <w:pStyle w:val="TableText"/>
              <w:jc w:val="center"/>
            </w:pPr>
            <w:proofErr w:type="gramStart"/>
            <w:r>
              <w:t>Direct-connected</w:t>
            </w:r>
            <w:proofErr w:type="gramEnd"/>
          </w:p>
        </w:tc>
        <w:tc>
          <w:tcPr>
            <w:tcW w:w="1079" w:type="pct"/>
            <w:tcBorders>
              <w:top w:val="single" w:sz="4" w:space="0" w:color="auto"/>
              <w:left w:val="single" w:sz="4" w:space="0" w:color="auto"/>
              <w:bottom w:val="single" w:sz="4" w:space="0" w:color="auto"/>
              <w:right w:val="single" w:sz="4" w:space="0" w:color="auto"/>
            </w:tcBorders>
            <w:vAlign w:val="center"/>
          </w:tcPr>
          <w:p w14:paraId="2E8755E7" w14:textId="77777777" w:rsidR="00DC3498" w:rsidRPr="00B84C8C" w:rsidRDefault="00DC3498" w:rsidP="00CB39E7">
            <w:pPr>
              <w:pStyle w:val="TableText"/>
              <w:jc w:val="center"/>
            </w:pPr>
            <w:r w:rsidRPr="00984937">
              <w:t xml:space="preserve">0.1 </w:t>
            </w:r>
            <w:proofErr w:type="spellStart"/>
            <w:r w:rsidRPr="00984937">
              <w:rPr>
                <w:i/>
                <w:iCs/>
                <w:lang w:val="en-US"/>
              </w:rPr>
              <w:t>I</w:t>
            </w:r>
            <w:r w:rsidRPr="00984937">
              <w:rPr>
                <w:vertAlign w:val="subscript"/>
                <w:lang w:val="en-US"/>
              </w:rPr>
              <w:t>b</w:t>
            </w:r>
            <w:proofErr w:type="spellEnd"/>
            <w:r w:rsidRPr="00984937">
              <w:rPr>
                <w:lang w:val="en-US"/>
              </w:rPr>
              <w:t xml:space="preserve"> </w:t>
            </w:r>
            <w:r w:rsidRPr="00984937">
              <w:t>≤</w:t>
            </w:r>
            <w:r w:rsidRPr="00984937">
              <w:rPr>
                <w:i/>
              </w:rPr>
              <w:t xml:space="preserve"> I</w:t>
            </w:r>
            <w:r w:rsidRPr="00984937">
              <w:t xml:space="preserve"> &lt; </w:t>
            </w:r>
            <w:r w:rsidRPr="00984937">
              <w:rPr>
                <w:i/>
              </w:rPr>
              <w:t>I</w:t>
            </w:r>
            <w:r w:rsidRPr="00984937">
              <w:rPr>
                <w:bCs/>
                <w:vertAlign w:val="subscript"/>
              </w:rPr>
              <w:t>max</w:t>
            </w:r>
          </w:p>
        </w:tc>
        <w:tc>
          <w:tcPr>
            <w:tcW w:w="945" w:type="pct"/>
            <w:tcBorders>
              <w:top w:val="single" w:sz="4" w:space="0" w:color="auto"/>
              <w:left w:val="single" w:sz="4" w:space="0" w:color="auto"/>
              <w:bottom w:val="single" w:sz="4" w:space="0" w:color="auto"/>
              <w:right w:val="single" w:sz="4" w:space="0" w:color="auto"/>
            </w:tcBorders>
            <w:vAlign w:val="center"/>
          </w:tcPr>
          <w:p w14:paraId="18F74FFF" w14:textId="77777777" w:rsidR="00DC3498" w:rsidRPr="00B84C8C" w:rsidRDefault="00DC3498" w:rsidP="00CB39E7">
            <w:pPr>
              <w:pStyle w:val="TableText"/>
              <w:jc w:val="center"/>
            </w:pPr>
            <w:r w:rsidRPr="00B84C8C">
              <w:t>1</w:t>
            </w:r>
          </w:p>
        </w:tc>
        <w:tc>
          <w:tcPr>
            <w:tcW w:w="559" w:type="pct"/>
            <w:tcBorders>
              <w:top w:val="single" w:sz="4" w:space="0" w:color="auto"/>
              <w:left w:val="single" w:sz="4" w:space="0" w:color="auto"/>
              <w:bottom w:val="single" w:sz="4" w:space="0" w:color="auto"/>
              <w:right w:val="single" w:sz="4" w:space="0" w:color="auto"/>
            </w:tcBorders>
            <w:vAlign w:val="center"/>
          </w:tcPr>
          <w:p w14:paraId="62C4A248" w14:textId="77777777" w:rsidR="00DC3498" w:rsidRPr="00360580" w:rsidRDefault="00DC3498" w:rsidP="00CB39E7">
            <w:pPr>
              <w:pStyle w:val="TableText"/>
              <w:jc w:val="center"/>
            </w:pPr>
            <w:r w:rsidRPr="00A56CF9">
              <w:t>—</w:t>
            </w:r>
          </w:p>
        </w:tc>
        <w:tc>
          <w:tcPr>
            <w:tcW w:w="559" w:type="pct"/>
            <w:tcBorders>
              <w:left w:val="single" w:sz="4" w:space="0" w:color="auto"/>
              <w:bottom w:val="single" w:sz="4" w:space="0" w:color="auto"/>
              <w:right w:val="single" w:sz="4" w:space="0" w:color="auto"/>
            </w:tcBorders>
            <w:vAlign w:val="center"/>
          </w:tcPr>
          <w:p w14:paraId="2C928A49" w14:textId="77777777" w:rsidR="00DC3498" w:rsidRPr="00360580" w:rsidRDefault="00DC3498" w:rsidP="00CB39E7">
            <w:pPr>
              <w:pStyle w:val="TableText"/>
              <w:jc w:val="center"/>
            </w:pPr>
            <w:r w:rsidRPr="00A56CF9">
              <w:t>—</w:t>
            </w:r>
          </w:p>
        </w:tc>
        <w:tc>
          <w:tcPr>
            <w:tcW w:w="559" w:type="pct"/>
            <w:tcBorders>
              <w:left w:val="single" w:sz="4" w:space="0" w:color="auto"/>
              <w:bottom w:val="single" w:sz="4" w:space="0" w:color="auto"/>
              <w:right w:val="single" w:sz="4" w:space="0" w:color="auto"/>
            </w:tcBorders>
            <w:vAlign w:val="center"/>
          </w:tcPr>
          <w:p w14:paraId="0CCFDC1A" w14:textId="77777777" w:rsidR="00DC3498" w:rsidRPr="00360580" w:rsidRDefault="00DC3498" w:rsidP="00CB39E7">
            <w:pPr>
              <w:pStyle w:val="TableText"/>
              <w:jc w:val="center"/>
            </w:pPr>
            <w:r w:rsidRPr="00360580">
              <w:t>±</w:t>
            </w:r>
            <w:r>
              <w:t>2</w:t>
            </w:r>
            <w:r w:rsidRPr="00360580">
              <w:t>.0%</w:t>
            </w:r>
          </w:p>
        </w:tc>
        <w:tc>
          <w:tcPr>
            <w:tcW w:w="559" w:type="pct"/>
            <w:tcBorders>
              <w:left w:val="single" w:sz="4" w:space="0" w:color="auto"/>
              <w:bottom w:val="single" w:sz="4" w:space="0" w:color="auto"/>
              <w:right w:val="single" w:sz="4" w:space="0" w:color="auto"/>
            </w:tcBorders>
            <w:vAlign w:val="center"/>
          </w:tcPr>
          <w:p w14:paraId="1D3B9329" w14:textId="77777777" w:rsidR="00DC3498" w:rsidRPr="00360580" w:rsidRDefault="00DC3498" w:rsidP="00CB39E7">
            <w:pPr>
              <w:pStyle w:val="TableText"/>
              <w:jc w:val="center"/>
            </w:pPr>
            <w:r w:rsidRPr="00360580">
              <w:t>±</w:t>
            </w:r>
            <w:r>
              <w:t>2</w:t>
            </w:r>
            <w:r w:rsidRPr="00360580">
              <w:t>.</w:t>
            </w:r>
            <w:r>
              <w:t>5</w:t>
            </w:r>
            <w:r w:rsidRPr="00360580">
              <w:t>%</w:t>
            </w:r>
          </w:p>
        </w:tc>
      </w:tr>
      <w:tr w:rsidR="00DC3498" w14:paraId="6200F59B" w14:textId="77777777" w:rsidTr="00CB39E7">
        <w:trPr>
          <w:jc w:val="center"/>
        </w:trPr>
        <w:tc>
          <w:tcPr>
            <w:tcW w:w="739" w:type="pct"/>
            <w:vMerge/>
            <w:tcBorders>
              <w:top w:val="single" w:sz="4" w:space="0" w:color="auto"/>
              <w:left w:val="single" w:sz="4" w:space="0" w:color="auto"/>
              <w:bottom w:val="single" w:sz="4" w:space="0" w:color="auto"/>
              <w:right w:val="single" w:sz="4" w:space="0" w:color="auto"/>
            </w:tcBorders>
            <w:vAlign w:val="center"/>
          </w:tcPr>
          <w:p w14:paraId="5B08BD65" w14:textId="77777777" w:rsidR="00DC3498" w:rsidRPr="00360580" w:rsidRDefault="00DC3498" w:rsidP="00CB39E7">
            <w:pPr>
              <w:pStyle w:val="TableText"/>
              <w:jc w:val="center"/>
            </w:pPr>
          </w:p>
        </w:tc>
        <w:tc>
          <w:tcPr>
            <w:tcW w:w="1079" w:type="pct"/>
            <w:tcBorders>
              <w:top w:val="single" w:sz="4" w:space="0" w:color="auto"/>
              <w:left w:val="single" w:sz="4" w:space="0" w:color="auto"/>
              <w:bottom w:val="single" w:sz="4" w:space="0" w:color="auto"/>
              <w:right w:val="single" w:sz="4" w:space="0" w:color="auto"/>
            </w:tcBorders>
            <w:vAlign w:val="center"/>
          </w:tcPr>
          <w:p w14:paraId="7956BABB" w14:textId="77777777" w:rsidR="00DC3498" w:rsidRPr="00B84C8C" w:rsidRDefault="00DC3498" w:rsidP="00CB39E7">
            <w:pPr>
              <w:pStyle w:val="TableText"/>
              <w:jc w:val="center"/>
            </w:pPr>
            <w:r w:rsidRPr="00984937">
              <w:t>0.2</w:t>
            </w:r>
            <w:r w:rsidRPr="00984937">
              <w:rPr>
                <w:i/>
              </w:rPr>
              <w:t xml:space="preserve"> I</w:t>
            </w:r>
            <w:r w:rsidRPr="00984937">
              <w:rPr>
                <w:vertAlign w:val="subscript"/>
                <w:lang w:val="en-US"/>
              </w:rPr>
              <w:t>b</w:t>
            </w:r>
            <w:r w:rsidRPr="00984937">
              <w:rPr>
                <w:lang w:val="en-US"/>
              </w:rPr>
              <w:t xml:space="preserve"> </w:t>
            </w:r>
            <w:r w:rsidRPr="00984937">
              <w:t>≤</w:t>
            </w:r>
            <w:r w:rsidRPr="00984937">
              <w:rPr>
                <w:i/>
              </w:rPr>
              <w:t xml:space="preserve"> I</w:t>
            </w:r>
            <w:r w:rsidRPr="00984937">
              <w:t xml:space="preserve"> ≤</w:t>
            </w:r>
            <w:r w:rsidRPr="00984937">
              <w:rPr>
                <w:i/>
              </w:rPr>
              <w:t xml:space="preserve"> I</w:t>
            </w:r>
            <w:r w:rsidRPr="00984937">
              <w:rPr>
                <w:bCs/>
                <w:vertAlign w:val="subscript"/>
              </w:rPr>
              <w:t>max</w:t>
            </w:r>
          </w:p>
        </w:tc>
        <w:tc>
          <w:tcPr>
            <w:tcW w:w="945" w:type="pct"/>
            <w:tcBorders>
              <w:top w:val="single" w:sz="4" w:space="0" w:color="auto"/>
              <w:left w:val="single" w:sz="4" w:space="0" w:color="auto"/>
              <w:bottom w:val="single" w:sz="4" w:space="0" w:color="auto"/>
              <w:right w:val="single" w:sz="4" w:space="0" w:color="auto"/>
            </w:tcBorders>
            <w:vAlign w:val="center"/>
          </w:tcPr>
          <w:p w14:paraId="0F469F7B" w14:textId="77777777" w:rsidR="00DC3498" w:rsidRPr="00B84C8C" w:rsidRDefault="00DC3498" w:rsidP="00CB39E7">
            <w:pPr>
              <w:pStyle w:val="TableText"/>
              <w:jc w:val="center"/>
            </w:pPr>
            <w:r w:rsidRPr="00B84C8C">
              <w:t>0.5 inductive</w:t>
            </w:r>
          </w:p>
        </w:tc>
        <w:tc>
          <w:tcPr>
            <w:tcW w:w="559" w:type="pct"/>
            <w:tcBorders>
              <w:top w:val="single" w:sz="4" w:space="0" w:color="auto"/>
              <w:left w:val="single" w:sz="4" w:space="0" w:color="auto"/>
              <w:bottom w:val="single" w:sz="4" w:space="0" w:color="auto"/>
              <w:right w:val="single" w:sz="4" w:space="0" w:color="auto"/>
            </w:tcBorders>
            <w:vAlign w:val="center"/>
            <w:hideMark/>
          </w:tcPr>
          <w:p w14:paraId="2360FBCA" w14:textId="77777777" w:rsidR="00DC3498" w:rsidRPr="00360580" w:rsidRDefault="00DC3498" w:rsidP="00CB39E7">
            <w:pPr>
              <w:pStyle w:val="TableText"/>
              <w:jc w:val="center"/>
            </w:pPr>
            <w:r w:rsidRPr="00A56CF9">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5AA84082" w14:textId="77777777" w:rsidR="00DC3498" w:rsidRPr="00360580" w:rsidRDefault="00DC3498" w:rsidP="00CB39E7">
            <w:pPr>
              <w:pStyle w:val="TableText"/>
              <w:jc w:val="center"/>
            </w:pPr>
            <w:r w:rsidRPr="00A56CF9">
              <w:t>—</w:t>
            </w:r>
          </w:p>
        </w:tc>
        <w:tc>
          <w:tcPr>
            <w:tcW w:w="559" w:type="pct"/>
            <w:tcBorders>
              <w:top w:val="single" w:sz="4" w:space="0" w:color="auto"/>
              <w:left w:val="single" w:sz="4" w:space="0" w:color="auto"/>
              <w:bottom w:val="single" w:sz="4" w:space="0" w:color="auto"/>
              <w:right w:val="single" w:sz="4" w:space="0" w:color="auto"/>
            </w:tcBorders>
            <w:vAlign w:val="center"/>
          </w:tcPr>
          <w:p w14:paraId="03BFAA0D" w14:textId="77777777" w:rsidR="00DC3498" w:rsidRPr="00360580" w:rsidRDefault="00DC3498" w:rsidP="00CB39E7">
            <w:pPr>
              <w:pStyle w:val="TableText"/>
              <w:jc w:val="center"/>
            </w:pPr>
            <w:r w:rsidRPr="00360580">
              <w:t>±</w:t>
            </w:r>
            <w:r>
              <w:t>2</w:t>
            </w:r>
            <w:r w:rsidRPr="00360580">
              <w:t>.0%</w:t>
            </w:r>
          </w:p>
        </w:tc>
        <w:tc>
          <w:tcPr>
            <w:tcW w:w="559" w:type="pct"/>
            <w:tcBorders>
              <w:top w:val="single" w:sz="4" w:space="0" w:color="auto"/>
              <w:left w:val="single" w:sz="4" w:space="0" w:color="auto"/>
              <w:bottom w:val="single" w:sz="4" w:space="0" w:color="auto"/>
              <w:right w:val="single" w:sz="4" w:space="0" w:color="auto"/>
            </w:tcBorders>
            <w:vAlign w:val="center"/>
          </w:tcPr>
          <w:p w14:paraId="6AEB5AA2" w14:textId="77777777" w:rsidR="00DC3498" w:rsidRPr="00360580" w:rsidRDefault="00DC3498" w:rsidP="00CB39E7">
            <w:pPr>
              <w:pStyle w:val="TableText"/>
              <w:jc w:val="center"/>
            </w:pPr>
            <w:r w:rsidRPr="00360580">
              <w:t>±</w:t>
            </w:r>
            <w:r>
              <w:t>2</w:t>
            </w:r>
            <w:r w:rsidRPr="00360580">
              <w:t>.</w:t>
            </w:r>
            <w:r>
              <w:t>5</w:t>
            </w:r>
            <w:r w:rsidRPr="00360580">
              <w:t>%</w:t>
            </w:r>
          </w:p>
        </w:tc>
      </w:tr>
      <w:tr w:rsidR="00DC3498" w14:paraId="15079874" w14:textId="77777777" w:rsidTr="00CB39E7">
        <w:trPr>
          <w:jc w:val="center"/>
        </w:trPr>
        <w:tc>
          <w:tcPr>
            <w:tcW w:w="739" w:type="pct"/>
            <w:vMerge w:val="restart"/>
            <w:tcBorders>
              <w:top w:val="single" w:sz="4" w:space="0" w:color="auto"/>
              <w:left w:val="single" w:sz="4" w:space="0" w:color="auto"/>
              <w:bottom w:val="single" w:sz="4" w:space="0" w:color="auto"/>
              <w:right w:val="single" w:sz="4" w:space="0" w:color="auto"/>
            </w:tcBorders>
            <w:vAlign w:val="center"/>
          </w:tcPr>
          <w:p w14:paraId="59DB25C8" w14:textId="77777777" w:rsidR="00DC3498" w:rsidRPr="00360580" w:rsidRDefault="00DC3498" w:rsidP="00CB39E7">
            <w:pPr>
              <w:pStyle w:val="TableText"/>
              <w:jc w:val="center"/>
            </w:pPr>
            <w:r>
              <w:t>Transformer-operated</w:t>
            </w:r>
          </w:p>
        </w:tc>
        <w:tc>
          <w:tcPr>
            <w:tcW w:w="1079" w:type="pct"/>
            <w:tcBorders>
              <w:top w:val="single" w:sz="4" w:space="0" w:color="auto"/>
              <w:left w:val="single" w:sz="4" w:space="0" w:color="auto"/>
              <w:bottom w:val="single" w:sz="4" w:space="0" w:color="auto"/>
              <w:right w:val="single" w:sz="4" w:space="0" w:color="auto"/>
            </w:tcBorders>
            <w:vAlign w:val="center"/>
          </w:tcPr>
          <w:p w14:paraId="474547C4" w14:textId="77777777" w:rsidR="00DC3498" w:rsidRPr="00B84C8C" w:rsidRDefault="00DC3498" w:rsidP="00CB39E7">
            <w:pPr>
              <w:pStyle w:val="TableText"/>
              <w:jc w:val="center"/>
            </w:pPr>
            <w:r w:rsidRPr="00984937">
              <w:t>0.05</w:t>
            </w:r>
            <w:r w:rsidRPr="00984937">
              <w:rPr>
                <w:i/>
                <w:lang w:val="en-US"/>
              </w:rPr>
              <w:t xml:space="preserve"> </w:t>
            </w:r>
            <w:r w:rsidRPr="00984937">
              <w:rPr>
                <w:i/>
                <w:lang w:val="en-GB"/>
              </w:rPr>
              <w:t>I</w:t>
            </w:r>
            <w:r w:rsidRPr="00984937">
              <w:rPr>
                <w:vertAlign w:val="subscript"/>
                <w:lang w:val="en-GB"/>
              </w:rPr>
              <w:t>n</w:t>
            </w:r>
            <w:r w:rsidRPr="00984937">
              <w:rPr>
                <w:lang w:val="en-US"/>
              </w:rPr>
              <w:t xml:space="preserve"> </w:t>
            </w:r>
            <w:r w:rsidRPr="00984937">
              <w:t>≤</w:t>
            </w:r>
            <w:r w:rsidRPr="00984937">
              <w:rPr>
                <w:i/>
              </w:rPr>
              <w:t xml:space="preserve"> I</w:t>
            </w:r>
            <w:r w:rsidRPr="00984937">
              <w:t xml:space="preserve"> ≤</w:t>
            </w:r>
            <w:r w:rsidRPr="00984937">
              <w:rPr>
                <w:i/>
              </w:rPr>
              <w:t xml:space="preserve"> I</w:t>
            </w:r>
            <w:r w:rsidRPr="00984937">
              <w:rPr>
                <w:bCs/>
                <w:vertAlign w:val="subscript"/>
              </w:rPr>
              <w:t>max</w:t>
            </w:r>
          </w:p>
        </w:tc>
        <w:tc>
          <w:tcPr>
            <w:tcW w:w="945" w:type="pct"/>
            <w:tcBorders>
              <w:top w:val="single" w:sz="4" w:space="0" w:color="auto"/>
              <w:left w:val="single" w:sz="4" w:space="0" w:color="auto"/>
              <w:bottom w:val="single" w:sz="4" w:space="0" w:color="auto"/>
              <w:right w:val="single" w:sz="4" w:space="0" w:color="auto"/>
            </w:tcBorders>
            <w:vAlign w:val="center"/>
          </w:tcPr>
          <w:p w14:paraId="47DF0970" w14:textId="77777777" w:rsidR="00DC3498" w:rsidRPr="00B84C8C" w:rsidRDefault="00DC3498" w:rsidP="00CB39E7">
            <w:pPr>
              <w:pStyle w:val="TableText"/>
              <w:jc w:val="center"/>
            </w:pPr>
            <w:r w:rsidRPr="00B84C8C">
              <w:t>1</w:t>
            </w:r>
          </w:p>
        </w:tc>
        <w:tc>
          <w:tcPr>
            <w:tcW w:w="559" w:type="pct"/>
            <w:tcBorders>
              <w:top w:val="single" w:sz="4" w:space="0" w:color="auto"/>
              <w:left w:val="single" w:sz="4" w:space="0" w:color="auto"/>
              <w:bottom w:val="single" w:sz="4" w:space="0" w:color="auto"/>
              <w:right w:val="single" w:sz="4" w:space="0" w:color="auto"/>
            </w:tcBorders>
            <w:vAlign w:val="center"/>
            <w:hideMark/>
          </w:tcPr>
          <w:p w14:paraId="5279E25B" w14:textId="77777777" w:rsidR="00DC3498" w:rsidRPr="00360580" w:rsidRDefault="00DC3498" w:rsidP="00CB39E7">
            <w:pPr>
              <w:pStyle w:val="TableText"/>
              <w:jc w:val="center"/>
            </w:pPr>
            <w:r w:rsidRPr="00360580">
              <w:t>±</w:t>
            </w:r>
            <w:r>
              <w:t>0</w:t>
            </w:r>
            <w:r w:rsidRPr="00360580">
              <w:t>.</w:t>
            </w:r>
            <w:r>
              <w:t>3</w:t>
            </w:r>
            <w:r w:rsidRPr="00360580">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28EDA0A4" w14:textId="77777777" w:rsidR="00DC3498" w:rsidRPr="00360580" w:rsidRDefault="00DC3498" w:rsidP="00CB39E7">
            <w:pPr>
              <w:pStyle w:val="TableText"/>
              <w:jc w:val="center"/>
            </w:pPr>
            <w:r w:rsidRPr="00360580">
              <w:t>±</w:t>
            </w:r>
            <w:r>
              <w:t>0</w:t>
            </w:r>
            <w:r w:rsidRPr="00360580">
              <w:t>.</w:t>
            </w:r>
            <w:r>
              <w:t>6</w:t>
            </w:r>
            <w:r w:rsidRPr="00360580">
              <w:t>%</w:t>
            </w:r>
          </w:p>
        </w:tc>
        <w:tc>
          <w:tcPr>
            <w:tcW w:w="559" w:type="pct"/>
            <w:tcBorders>
              <w:top w:val="single" w:sz="4" w:space="0" w:color="auto"/>
              <w:left w:val="single" w:sz="4" w:space="0" w:color="auto"/>
              <w:bottom w:val="single" w:sz="4" w:space="0" w:color="auto"/>
              <w:right w:val="single" w:sz="4" w:space="0" w:color="auto"/>
            </w:tcBorders>
            <w:vAlign w:val="center"/>
          </w:tcPr>
          <w:p w14:paraId="3F38766A" w14:textId="77777777" w:rsidR="00DC3498" w:rsidRPr="00360580" w:rsidRDefault="00DC3498" w:rsidP="00CB39E7">
            <w:pPr>
              <w:pStyle w:val="TableText"/>
              <w:jc w:val="center"/>
            </w:pPr>
            <w:r w:rsidRPr="00360580">
              <w:t>±</w:t>
            </w:r>
            <w:r>
              <w:t>2</w:t>
            </w:r>
            <w:r w:rsidRPr="00360580">
              <w:t>.0%</w:t>
            </w:r>
          </w:p>
        </w:tc>
        <w:tc>
          <w:tcPr>
            <w:tcW w:w="559" w:type="pct"/>
            <w:tcBorders>
              <w:top w:val="single" w:sz="4" w:space="0" w:color="auto"/>
              <w:left w:val="single" w:sz="4" w:space="0" w:color="auto"/>
              <w:bottom w:val="single" w:sz="4" w:space="0" w:color="auto"/>
              <w:right w:val="single" w:sz="4" w:space="0" w:color="auto"/>
            </w:tcBorders>
            <w:vAlign w:val="center"/>
          </w:tcPr>
          <w:p w14:paraId="74239B3E" w14:textId="77777777" w:rsidR="00DC3498" w:rsidRPr="00360580" w:rsidRDefault="00DC3498" w:rsidP="00CB39E7">
            <w:pPr>
              <w:pStyle w:val="TableText"/>
              <w:jc w:val="center"/>
            </w:pPr>
            <w:r w:rsidRPr="00A56CF9">
              <w:t>—</w:t>
            </w:r>
          </w:p>
        </w:tc>
      </w:tr>
      <w:tr w:rsidR="00DC3498" w14:paraId="07C6510F" w14:textId="77777777" w:rsidTr="00CB39E7">
        <w:trPr>
          <w:jc w:val="center"/>
        </w:trPr>
        <w:tc>
          <w:tcPr>
            <w:tcW w:w="739" w:type="pct"/>
            <w:vMerge/>
            <w:tcBorders>
              <w:top w:val="single" w:sz="4" w:space="0" w:color="auto"/>
              <w:left w:val="single" w:sz="4" w:space="0" w:color="auto"/>
              <w:bottom w:val="single" w:sz="4" w:space="0" w:color="auto"/>
              <w:right w:val="single" w:sz="4" w:space="0" w:color="auto"/>
            </w:tcBorders>
            <w:vAlign w:val="center"/>
          </w:tcPr>
          <w:p w14:paraId="5F706897" w14:textId="77777777" w:rsidR="00DC3498" w:rsidRPr="00360580" w:rsidRDefault="00DC3498" w:rsidP="00CB39E7">
            <w:pPr>
              <w:pStyle w:val="TableText"/>
              <w:jc w:val="center"/>
            </w:pPr>
          </w:p>
        </w:tc>
        <w:tc>
          <w:tcPr>
            <w:tcW w:w="1079" w:type="pct"/>
            <w:tcBorders>
              <w:top w:val="single" w:sz="4" w:space="0" w:color="auto"/>
              <w:left w:val="single" w:sz="4" w:space="0" w:color="auto"/>
              <w:bottom w:val="single" w:sz="4" w:space="0" w:color="auto"/>
              <w:right w:val="single" w:sz="4" w:space="0" w:color="auto"/>
            </w:tcBorders>
            <w:vAlign w:val="center"/>
          </w:tcPr>
          <w:p w14:paraId="76694983" w14:textId="77777777" w:rsidR="00DC3498" w:rsidRPr="00B84C8C" w:rsidRDefault="00DC3498" w:rsidP="00CB39E7">
            <w:pPr>
              <w:pStyle w:val="TableText"/>
              <w:jc w:val="center"/>
            </w:pPr>
            <w:r w:rsidRPr="00984937">
              <w:t>0.1</w:t>
            </w:r>
            <w:r w:rsidRPr="00984937">
              <w:rPr>
                <w:i/>
                <w:lang w:val="en-US"/>
              </w:rPr>
              <w:t xml:space="preserve"> </w:t>
            </w:r>
            <w:r w:rsidRPr="00984937">
              <w:rPr>
                <w:i/>
                <w:lang w:val="en-GB"/>
              </w:rPr>
              <w:t>I</w:t>
            </w:r>
            <w:r w:rsidRPr="00984937">
              <w:rPr>
                <w:vertAlign w:val="subscript"/>
                <w:lang w:val="en-GB"/>
              </w:rPr>
              <w:t>n</w:t>
            </w:r>
            <w:r w:rsidRPr="00984937">
              <w:rPr>
                <w:lang w:val="en-US"/>
              </w:rPr>
              <w:t xml:space="preserve"> </w:t>
            </w:r>
            <w:r w:rsidRPr="00984937">
              <w:t>≤</w:t>
            </w:r>
            <w:r w:rsidRPr="00984937">
              <w:rPr>
                <w:i/>
              </w:rPr>
              <w:t xml:space="preserve"> I</w:t>
            </w:r>
            <w:r w:rsidRPr="00984937">
              <w:t xml:space="preserve"> ≤</w:t>
            </w:r>
            <w:r w:rsidRPr="00984937">
              <w:rPr>
                <w:i/>
              </w:rPr>
              <w:t xml:space="preserve"> I</w:t>
            </w:r>
            <w:r w:rsidRPr="00984937">
              <w:rPr>
                <w:bCs/>
                <w:vertAlign w:val="subscript"/>
              </w:rPr>
              <w:t>max</w:t>
            </w:r>
          </w:p>
        </w:tc>
        <w:tc>
          <w:tcPr>
            <w:tcW w:w="945" w:type="pct"/>
            <w:tcBorders>
              <w:top w:val="single" w:sz="4" w:space="0" w:color="auto"/>
              <w:left w:val="single" w:sz="4" w:space="0" w:color="auto"/>
              <w:bottom w:val="single" w:sz="4" w:space="0" w:color="auto"/>
              <w:right w:val="single" w:sz="4" w:space="0" w:color="auto"/>
            </w:tcBorders>
            <w:vAlign w:val="center"/>
          </w:tcPr>
          <w:p w14:paraId="40360C91" w14:textId="77777777" w:rsidR="00DC3498" w:rsidRPr="00B84C8C" w:rsidRDefault="00DC3498" w:rsidP="00CB39E7">
            <w:pPr>
              <w:pStyle w:val="TableText"/>
              <w:jc w:val="center"/>
            </w:pPr>
            <w:r w:rsidRPr="00B84C8C">
              <w:t>0.5 inductive</w:t>
            </w:r>
          </w:p>
        </w:tc>
        <w:tc>
          <w:tcPr>
            <w:tcW w:w="559" w:type="pct"/>
            <w:tcBorders>
              <w:top w:val="single" w:sz="4" w:space="0" w:color="auto"/>
              <w:left w:val="single" w:sz="4" w:space="0" w:color="auto"/>
              <w:bottom w:val="single" w:sz="4" w:space="0" w:color="auto"/>
              <w:right w:val="single" w:sz="4" w:space="0" w:color="auto"/>
            </w:tcBorders>
            <w:vAlign w:val="center"/>
            <w:hideMark/>
          </w:tcPr>
          <w:p w14:paraId="748CF8C1" w14:textId="77777777" w:rsidR="00DC3498" w:rsidRPr="00360580" w:rsidRDefault="00DC3498" w:rsidP="00CB39E7">
            <w:pPr>
              <w:pStyle w:val="TableText"/>
              <w:jc w:val="center"/>
            </w:pPr>
            <w:r w:rsidRPr="00360580">
              <w:t>±</w:t>
            </w:r>
            <w:r>
              <w:t>0</w:t>
            </w:r>
            <w:r w:rsidRPr="00360580">
              <w:t>.</w:t>
            </w:r>
            <w:r>
              <w:t>4</w:t>
            </w:r>
            <w:r w:rsidRPr="00360580">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5F2FFB66" w14:textId="77777777" w:rsidR="00DC3498" w:rsidRPr="00360580" w:rsidRDefault="00DC3498" w:rsidP="00CB39E7">
            <w:pPr>
              <w:pStyle w:val="TableText"/>
              <w:jc w:val="center"/>
            </w:pPr>
            <w:r w:rsidRPr="00360580">
              <w:t>±</w:t>
            </w:r>
            <w:r>
              <w:t>1</w:t>
            </w:r>
            <w:r w:rsidRPr="00360580">
              <w:t>.</w:t>
            </w:r>
            <w:r>
              <w:t>0</w:t>
            </w:r>
            <w:r w:rsidRPr="00360580">
              <w:t>%</w:t>
            </w:r>
          </w:p>
        </w:tc>
        <w:tc>
          <w:tcPr>
            <w:tcW w:w="559" w:type="pct"/>
            <w:tcBorders>
              <w:top w:val="single" w:sz="4" w:space="0" w:color="auto"/>
              <w:left w:val="single" w:sz="4" w:space="0" w:color="auto"/>
              <w:bottom w:val="single" w:sz="4" w:space="0" w:color="auto"/>
              <w:right w:val="single" w:sz="4" w:space="0" w:color="auto"/>
            </w:tcBorders>
            <w:vAlign w:val="center"/>
          </w:tcPr>
          <w:p w14:paraId="4ECC587D" w14:textId="77777777" w:rsidR="00DC3498" w:rsidRPr="00360580" w:rsidRDefault="00DC3498" w:rsidP="00CB39E7">
            <w:pPr>
              <w:pStyle w:val="TableText"/>
              <w:jc w:val="center"/>
            </w:pPr>
            <w:r w:rsidRPr="00360580">
              <w:t>±</w:t>
            </w:r>
            <w:r>
              <w:t>2</w:t>
            </w:r>
            <w:r w:rsidRPr="00360580">
              <w:t>.0%</w:t>
            </w:r>
          </w:p>
        </w:tc>
        <w:tc>
          <w:tcPr>
            <w:tcW w:w="559" w:type="pct"/>
            <w:tcBorders>
              <w:top w:val="single" w:sz="4" w:space="0" w:color="auto"/>
              <w:left w:val="single" w:sz="4" w:space="0" w:color="auto"/>
              <w:bottom w:val="single" w:sz="4" w:space="0" w:color="auto"/>
              <w:right w:val="single" w:sz="4" w:space="0" w:color="auto"/>
            </w:tcBorders>
            <w:vAlign w:val="center"/>
          </w:tcPr>
          <w:p w14:paraId="106B847C" w14:textId="77777777" w:rsidR="00DC3498" w:rsidRPr="00360580" w:rsidRDefault="00DC3498" w:rsidP="00CB39E7">
            <w:pPr>
              <w:pStyle w:val="TableText"/>
              <w:jc w:val="center"/>
            </w:pPr>
            <w:r w:rsidRPr="00A56CF9">
              <w:t>—</w:t>
            </w:r>
          </w:p>
        </w:tc>
      </w:tr>
    </w:tbl>
    <w:p w14:paraId="5E204EEA" w14:textId="1BC2AF3E" w:rsidR="00DC3498" w:rsidRDefault="00DC3498" w:rsidP="00DC3498">
      <w:pPr>
        <w:pStyle w:val="Caption"/>
      </w:pPr>
      <w:bookmarkStart w:id="66" w:name="_Ref146641648"/>
      <w:r>
        <w:t xml:space="preserve">Table </w:t>
      </w:r>
      <w:r w:rsidR="00440352">
        <w:fldChar w:fldCharType="begin"/>
      </w:r>
      <w:r w:rsidR="00440352">
        <w:instrText xml:space="preserve"> SEQ Table \* ARABIC </w:instrText>
      </w:r>
      <w:r w:rsidR="00440352">
        <w:fldChar w:fldCharType="separate"/>
      </w:r>
      <w:r w:rsidR="003F6048">
        <w:rPr>
          <w:noProof/>
        </w:rPr>
        <w:t>4</w:t>
      </w:r>
      <w:r w:rsidR="00440352">
        <w:rPr>
          <w:noProof/>
        </w:rPr>
        <w:fldChar w:fldCharType="end"/>
      </w:r>
      <w:bookmarkEnd w:id="66"/>
      <w:r>
        <w:t xml:space="preserve">. </w:t>
      </w:r>
      <w:r w:rsidR="00D4655F">
        <w:t>MPEs</w:t>
      </w:r>
      <w:r w:rsidRPr="00984937">
        <w:t xml:space="preserve"> for single </w:t>
      </w:r>
      <w:r w:rsidRPr="00675E66">
        <w:t>phase</w:t>
      </w:r>
      <w:r w:rsidRPr="00984937">
        <w:t xml:space="preserve"> and polyphase direct-connected electricity meters with balanced loads</w:t>
      </w:r>
      <w:r>
        <w:t xml:space="preserve"> (NMI M 13)</w:t>
      </w:r>
    </w:p>
    <w:tbl>
      <w:tblPr>
        <w:tblW w:w="5000" w:type="pct"/>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1E0" w:firstRow="1" w:lastRow="1" w:firstColumn="1" w:lastColumn="1" w:noHBand="0" w:noVBand="0"/>
      </w:tblPr>
      <w:tblGrid>
        <w:gridCol w:w="1980"/>
        <w:gridCol w:w="2410"/>
        <w:gridCol w:w="1561"/>
        <w:gridCol w:w="949"/>
        <w:gridCol w:w="949"/>
        <w:gridCol w:w="949"/>
        <w:gridCol w:w="945"/>
      </w:tblGrid>
      <w:tr w:rsidR="00DC3498" w14:paraId="4ADC016C" w14:textId="77777777" w:rsidTr="00CB39E7">
        <w:trPr>
          <w:jc w:val="center"/>
        </w:trPr>
        <w:tc>
          <w:tcPr>
            <w:tcW w:w="2253" w:type="pct"/>
            <w:gridSpan w:val="2"/>
            <w:tcBorders>
              <w:top w:val="single" w:sz="4" w:space="0" w:color="auto"/>
              <w:left w:val="single" w:sz="4" w:space="0" w:color="auto"/>
              <w:bottom w:val="single" w:sz="4" w:space="0" w:color="auto"/>
              <w:right w:val="single" w:sz="4" w:space="0" w:color="auto"/>
            </w:tcBorders>
            <w:shd w:val="clear" w:color="auto" w:fill="A50021"/>
            <w:vAlign w:val="center"/>
          </w:tcPr>
          <w:p w14:paraId="18805621" w14:textId="77777777" w:rsidR="00DC3498" w:rsidRPr="00CB39E7" w:rsidRDefault="00DC3498" w:rsidP="00CB39E7">
            <w:pPr>
              <w:pStyle w:val="TableText"/>
              <w:jc w:val="center"/>
              <w:rPr>
                <w:b/>
                <w:bCs/>
              </w:rPr>
            </w:pPr>
            <w:r w:rsidRPr="00CB39E7">
              <w:rPr>
                <w:b/>
                <w:bCs/>
              </w:rPr>
              <w:t>Value of current</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50021"/>
            <w:vAlign w:val="center"/>
          </w:tcPr>
          <w:p w14:paraId="0E74F1C7" w14:textId="77777777" w:rsidR="00DC3498" w:rsidRPr="00CB39E7" w:rsidRDefault="00DC3498" w:rsidP="00CB39E7">
            <w:pPr>
              <w:pStyle w:val="TableText"/>
              <w:jc w:val="center"/>
              <w:rPr>
                <w:b/>
                <w:bCs/>
              </w:rPr>
            </w:pPr>
            <w:r w:rsidRPr="00CB39E7">
              <w:rPr>
                <w:b/>
                <w:bCs/>
              </w:rPr>
              <w:t>Power factor</w:t>
            </w:r>
          </w:p>
        </w:tc>
        <w:tc>
          <w:tcPr>
            <w:tcW w:w="1946" w:type="pct"/>
            <w:gridSpan w:val="4"/>
            <w:tcBorders>
              <w:top w:val="single" w:sz="4" w:space="0" w:color="auto"/>
              <w:left w:val="single" w:sz="4" w:space="0" w:color="auto"/>
              <w:bottom w:val="single" w:sz="4" w:space="0" w:color="auto"/>
              <w:right w:val="single" w:sz="4" w:space="0" w:color="auto"/>
            </w:tcBorders>
            <w:shd w:val="clear" w:color="auto" w:fill="A50021"/>
            <w:vAlign w:val="center"/>
          </w:tcPr>
          <w:p w14:paraId="376C2534" w14:textId="77777777" w:rsidR="00DC3498" w:rsidRPr="00CB39E7" w:rsidRDefault="00DC3498" w:rsidP="00CB39E7">
            <w:pPr>
              <w:pStyle w:val="TableText"/>
              <w:jc w:val="center"/>
              <w:rPr>
                <w:b/>
                <w:bCs/>
              </w:rPr>
            </w:pPr>
            <w:r w:rsidRPr="00CB39E7">
              <w:rPr>
                <w:b/>
                <w:bCs/>
              </w:rPr>
              <w:t>Percentage error limits for meter class</w:t>
            </w:r>
          </w:p>
        </w:tc>
      </w:tr>
      <w:tr w:rsidR="00DC3498" w14:paraId="34DB1A0A" w14:textId="77777777" w:rsidTr="00CB39E7">
        <w:trPr>
          <w:jc w:val="center"/>
        </w:trPr>
        <w:tc>
          <w:tcPr>
            <w:tcW w:w="1016" w:type="pct"/>
            <w:tcBorders>
              <w:top w:val="single" w:sz="4" w:space="0" w:color="auto"/>
              <w:left w:val="single" w:sz="4" w:space="0" w:color="auto"/>
              <w:bottom w:val="single" w:sz="4" w:space="0" w:color="auto"/>
              <w:right w:val="single" w:sz="4" w:space="0" w:color="auto"/>
            </w:tcBorders>
            <w:shd w:val="clear" w:color="auto" w:fill="A50021"/>
            <w:vAlign w:val="center"/>
          </w:tcPr>
          <w:p w14:paraId="752F7BA6" w14:textId="77777777" w:rsidR="00DC3498" w:rsidRPr="00CB39E7" w:rsidRDefault="00DC3498" w:rsidP="00CB39E7">
            <w:pPr>
              <w:pStyle w:val="TableText"/>
              <w:jc w:val="center"/>
              <w:rPr>
                <w:b/>
                <w:bCs/>
              </w:rPr>
            </w:pPr>
            <w:proofErr w:type="gramStart"/>
            <w:r w:rsidRPr="00CB39E7">
              <w:rPr>
                <w:b/>
                <w:bCs/>
              </w:rPr>
              <w:t>Direct-connected</w:t>
            </w:r>
            <w:proofErr w:type="gramEnd"/>
            <w:r w:rsidRPr="00CB39E7">
              <w:rPr>
                <w:b/>
                <w:bCs/>
              </w:rPr>
              <w:t xml:space="preserve"> </w:t>
            </w:r>
          </w:p>
        </w:tc>
        <w:tc>
          <w:tcPr>
            <w:tcW w:w="1237" w:type="pct"/>
            <w:tcBorders>
              <w:top w:val="single" w:sz="4" w:space="0" w:color="auto"/>
              <w:left w:val="single" w:sz="4" w:space="0" w:color="auto"/>
              <w:bottom w:val="single" w:sz="4" w:space="0" w:color="auto"/>
              <w:right w:val="single" w:sz="4" w:space="0" w:color="auto"/>
            </w:tcBorders>
            <w:shd w:val="clear" w:color="auto" w:fill="A50021"/>
            <w:vAlign w:val="center"/>
          </w:tcPr>
          <w:p w14:paraId="39A79354" w14:textId="77777777" w:rsidR="00DC3498" w:rsidRPr="00CB39E7" w:rsidRDefault="00DC3498" w:rsidP="00CB39E7">
            <w:pPr>
              <w:pStyle w:val="TableText"/>
              <w:jc w:val="center"/>
              <w:rPr>
                <w:b/>
                <w:bCs/>
              </w:rPr>
            </w:pPr>
            <w:r w:rsidRPr="00CB39E7">
              <w:rPr>
                <w:b/>
                <w:bCs/>
              </w:rPr>
              <w:t>Transformer-operated</w:t>
            </w:r>
          </w:p>
        </w:tc>
        <w:tc>
          <w:tcPr>
            <w:tcW w:w="801" w:type="pct"/>
            <w:vMerge/>
            <w:tcBorders>
              <w:top w:val="single" w:sz="4" w:space="0" w:color="auto"/>
              <w:left w:val="single" w:sz="4" w:space="0" w:color="auto"/>
              <w:bottom w:val="single" w:sz="4" w:space="0" w:color="auto"/>
              <w:right w:val="single" w:sz="4" w:space="0" w:color="auto"/>
            </w:tcBorders>
            <w:shd w:val="clear" w:color="auto" w:fill="A50021"/>
            <w:vAlign w:val="center"/>
          </w:tcPr>
          <w:p w14:paraId="6CCBD973" w14:textId="77777777" w:rsidR="00DC3498" w:rsidRPr="00CB39E7" w:rsidRDefault="00DC3498" w:rsidP="00CB39E7">
            <w:pPr>
              <w:pStyle w:val="TableText"/>
              <w:jc w:val="center"/>
              <w:rPr>
                <w:b/>
                <w:bCs/>
              </w:rPr>
            </w:pPr>
          </w:p>
        </w:tc>
        <w:tc>
          <w:tcPr>
            <w:tcW w:w="487" w:type="pct"/>
            <w:tcBorders>
              <w:top w:val="single" w:sz="4" w:space="0" w:color="auto"/>
              <w:left w:val="single" w:sz="4" w:space="0" w:color="auto"/>
              <w:bottom w:val="single" w:sz="4" w:space="0" w:color="auto"/>
              <w:right w:val="single" w:sz="4" w:space="0" w:color="auto"/>
            </w:tcBorders>
            <w:shd w:val="clear" w:color="auto" w:fill="A50021"/>
            <w:vAlign w:val="center"/>
          </w:tcPr>
          <w:p w14:paraId="63620C1C" w14:textId="72E63EE3" w:rsidR="00DC3498" w:rsidRPr="00CB39E7" w:rsidRDefault="00DC3498" w:rsidP="00CB39E7">
            <w:pPr>
              <w:pStyle w:val="TableText"/>
              <w:jc w:val="center"/>
              <w:rPr>
                <w:b/>
                <w:bCs/>
              </w:rPr>
            </w:pPr>
            <w:r w:rsidRPr="00CB39E7">
              <w:rPr>
                <w:b/>
                <w:bCs/>
              </w:rPr>
              <w:t>0.2</w:t>
            </w:r>
            <w:r w:rsidR="0096413F">
              <w:rPr>
                <w:b/>
                <w:bCs/>
              </w:rPr>
              <w:t xml:space="preserve"> </w:t>
            </w:r>
            <w:r w:rsidRPr="00CB39E7">
              <w:rPr>
                <w:b/>
                <w:bCs/>
              </w:rPr>
              <w:t>S</w:t>
            </w:r>
          </w:p>
        </w:tc>
        <w:tc>
          <w:tcPr>
            <w:tcW w:w="487" w:type="pct"/>
            <w:tcBorders>
              <w:top w:val="single" w:sz="4" w:space="0" w:color="auto"/>
              <w:left w:val="single" w:sz="4" w:space="0" w:color="auto"/>
              <w:bottom w:val="single" w:sz="4" w:space="0" w:color="auto"/>
              <w:right w:val="single" w:sz="4" w:space="0" w:color="auto"/>
            </w:tcBorders>
            <w:shd w:val="clear" w:color="auto" w:fill="A50021"/>
            <w:vAlign w:val="center"/>
          </w:tcPr>
          <w:p w14:paraId="43776769" w14:textId="3BCE3D81" w:rsidR="00DC3498" w:rsidRPr="00CB39E7" w:rsidRDefault="00DC3498" w:rsidP="00CB39E7">
            <w:pPr>
              <w:pStyle w:val="TableText"/>
              <w:jc w:val="center"/>
              <w:rPr>
                <w:b/>
                <w:bCs/>
              </w:rPr>
            </w:pPr>
            <w:r w:rsidRPr="00CB39E7">
              <w:rPr>
                <w:b/>
                <w:bCs/>
              </w:rPr>
              <w:t>0.5</w:t>
            </w:r>
            <w:r w:rsidR="0096413F">
              <w:rPr>
                <w:b/>
                <w:bCs/>
              </w:rPr>
              <w:t xml:space="preserve"> </w:t>
            </w:r>
            <w:r w:rsidRPr="00CB39E7">
              <w:rPr>
                <w:b/>
                <w:bCs/>
              </w:rPr>
              <w:t>S</w:t>
            </w:r>
          </w:p>
        </w:tc>
        <w:tc>
          <w:tcPr>
            <w:tcW w:w="487" w:type="pct"/>
            <w:tcBorders>
              <w:top w:val="single" w:sz="4" w:space="0" w:color="auto"/>
              <w:left w:val="single" w:sz="4" w:space="0" w:color="auto"/>
              <w:bottom w:val="single" w:sz="4" w:space="0" w:color="auto"/>
              <w:right w:val="single" w:sz="4" w:space="0" w:color="auto"/>
            </w:tcBorders>
            <w:shd w:val="clear" w:color="auto" w:fill="A50021"/>
            <w:vAlign w:val="center"/>
          </w:tcPr>
          <w:p w14:paraId="56C70DCC" w14:textId="77777777" w:rsidR="00DC3498" w:rsidRPr="00CB39E7" w:rsidRDefault="00DC3498" w:rsidP="00CB39E7">
            <w:pPr>
              <w:pStyle w:val="TableText"/>
              <w:jc w:val="center"/>
              <w:rPr>
                <w:b/>
                <w:bCs/>
              </w:rPr>
            </w:pPr>
            <w:r w:rsidRPr="00CB39E7">
              <w:rPr>
                <w:b/>
                <w:bCs/>
              </w:rPr>
              <w:t>1</w:t>
            </w:r>
          </w:p>
        </w:tc>
        <w:tc>
          <w:tcPr>
            <w:tcW w:w="485" w:type="pct"/>
            <w:tcBorders>
              <w:top w:val="single" w:sz="4" w:space="0" w:color="auto"/>
              <w:left w:val="single" w:sz="4" w:space="0" w:color="auto"/>
              <w:bottom w:val="single" w:sz="4" w:space="0" w:color="auto"/>
              <w:right w:val="single" w:sz="4" w:space="0" w:color="auto"/>
            </w:tcBorders>
            <w:shd w:val="clear" w:color="auto" w:fill="A50021"/>
            <w:vAlign w:val="center"/>
          </w:tcPr>
          <w:p w14:paraId="2D691F1B" w14:textId="77777777" w:rsidR="00DC3498" w:rsidRPr="00CB39E7" w:rsidRDefault="00DC3498" w:rsidP="00CB39E7">
            <w:pPr>
              <w:pStyle w:val="TableText"/>
              <w:jc w:val="center"/>
              <w:rPr>
                <w:b/>
                <w:bCs/>
              </w:rPr>
            </w:pPr>
            <w:r w:rsidRPr="00CB39E7">
              <w:rPr>
                <w:b/>
                <w:bCs/>
              </w:rPr>
              <w:t>2</w:t>
            </w:r>
          </w:p>
        </w:tc>
      </w:tr>
      <w:tr w:rsidR="00DC3498" w:rsidRPr="00360580" w14:paraId="431E5A3F" w14:textId="77777777" w:rsidTr="00CB39E7">
        <w:trPr>
          <w:jc w:val="center"/>
        </w:trPr>
        <w:tc>
          <w:tcPr>
            <w:tcW w:w="1016" w:type="pct"/>
            <w:tcBorders>
              <w:top w:val="single" w:sz="4" w:space="0" w:color="auto"/>
              <w:left w:val="single" w:sz="4" w:space="0" w:color="auto"/>
              <w:bottom w:val="single" w:sz="4" w:space="0" w:color="auto"/>
              <w:right w:val="single" w:sz="4" w:space="0" w:color="auto"/>
            </w:tcBorders>
            <w:vAlign w:val="center"/>
          </w:tcPr>
          <w:p w14:paraId="5482B332" w14:textId="77777777" w:rsidR="00DC3498" w:rsidRPr="00B84C8C" w:rsidRDefault="00DC3498" w:rsidP="00CB39E7">
            <w:pPr>
              <w:pStyle w:val="TableText"/>
              <w:jc w:val="center"/>
            </w:pPr>
            <w:r w:rsidRPr="00CB39E7">
              <w:t>—</w:t>
            </w:r>
          </w:p>
        </w:tc>
        <w:tc>
          <w:tcPr>
            <w:tcW w:w="1237" w:type="pct"/>
            <w:tcBorders>
              <w:top w:val="single" w:sz="4" w:space="0" w:color="auto"/>
              <w:left w:val="single" w:sz="4" w:space="0" w:color="auto"/>
              <w:bottom w:val="single" w:sz="4" w:space="0" w:color="auto"/>
              <w:right w:val="single" w:sz="4" w:space="0" w:color="auto"/>
            </w:tcBorders>
            <w:vAlign w:val="center"/>
          </w:tcPr>
          <w:p w14:paraId="35215C88" w14:textId="77777777" w:rsidR="00DC3498" w:rsidRPr="00CB39E7" w:rsidRDefault="00DC3498" w:rsidP="00CB39E7">
            <w:pPr>
              <w:pStyle w:val="TableText"/>
              <w:jc w:val="center"/>
            </w:pPr>
            <w:r w:rsidRPr="00CB39E7">
              <w:t xml:space="preserve">0.01 </w:t>
            </w:r>
            <w:r w:rsidRPr="00CB39E7">
              <w:rPr>
                <w:i/>
              </w:rPr>
              <w:t>I</w:t>
            </w:r>
            <w:r w:rsidRPr="00CB39E7">
              <w:rPr>
                <w:vertAlign w:val="subscript"/>
              </w:rPr>
              <w:t>n</w:t>
            </w:r>
            <w:r w:rsidRPr="00CB39E7">
              <w:t xml:space="preserve"> ≤ </w:t>
            </w:r>
            <w:r w:rsidRPr="00CB39E7">
              <w:rPr>
                <w:i/>
              </w:rPr>
              <w:t>I</w:t>
            </w:r>
            <w:r w:rsidRPr="00CB39E7">
              <w:t xml:space="preserve"> &lt; 0.05 </w:t>
            </w:r>
            <w:r w:rsidRPr="00CB39E7">
              <w:rPr>
                <w:i/>
              </w:rPr>
              <w:t>I</w:t>
            </w:r>
            <w:r w:rsidRPr="00CB39E7">
              <w:rPr>
                <w:vertAlign w:val="subscript"/>
              </w:rPr>
              <w:t>n</w:t>
            </w:r>
          </w:p>
        </w:tc>
        <w:tc>
          <w:tcPr>
            <w:tcW w:w="801" w:type="pct"/>
            <w:tcBorders>
              <w:top w:val="single" w:sz="4" w:space="0" w:color="auto"/>
              <w:left w:val="single" w:sz="4" w:space="0" w:color="auto"/>
              <w:bottom w:val="single" w:sz="4" w:space="0" w:color="auto"/>
              <w:right w:val="single" w:sz="4" w:space="0" w:color="auto"/>
            </w:tcBorders>
            <w:vAlign w:val="center"/>
          </w:tcPr>
          <w:p w14:paraId="5BE79F4D" w14:textId="77777777" w:rsidR="00DC3498" w:rsidRPr="00B84C8C" w:rsidRDefault="00DC3498" w:rsidP="00CB39E7">
            <w:pPr>
              <w:pStyle w:val="TableText"/>
              <w:jc w:val="center"/>
            </w:pPr>
            <w:r w:rsidRPr="00CB39E7">
              <w:t>1</w:t>
            </w:r>
          </w:p>
        </w:tc>
        <w:tc>
          <w:tcPr>
            <w:tcW w:w="487" w:type="pct"/>
            <w:tcBorders>
              <w:top w:val="single" w:sz="4" w:space="0" w:color="auto"/>
              <w:left w:val="single" w:sz="4" w:space="0" w:color="auto"/>
              <w:bottom w:val="single" w:sz="4" w:space="0" w:color="auto"/>
              <w:right w:val="single" w:sz="4" w:space="0" w:color="auto"/>
            </w:tcBorders>
            <w:vAlign w:val="center"/>
          </w:tcPr>
          <w:p w14:paraId="5FD73B44" w14:textId="77777777" w:rsidR="00DC3498" w:rsidRPr="00B84C8C" w:rsidRDefault="00DC3498" w:rsidP="00CB39E7">
            <w:pPr>
              <w:pStyle w:val="TableText"/>
              <w:jc w:val="center"/>
            </w:pPr>
            <w:r w:rsidRPr="00CB39E7">
              <w:t>±0.4</w:t>
            </w:r>
          </w:p>
        </w:tc>
        <w:tc>
          <w:tcPr>
            <w:tcW w:w="487" w:type="pct"/>
            <w:tcBorders>
              <w:top w:val="single" w:sz="4" w:space="0" w:color="auto"/>
              <w:left w:val="single" w:sz="4" w:space="0" w:color="auto"/>
              <w:bottom w:val="single" w:sz="4" w:space="0" w:color="auto"/>
              <w:right w:val="single" w:sz="4" w:space="0" w:color="auto"/>
            </w:tcBorders>
            <w:vAlign w:val="center"/>
          </w:tcPr>
          <w:p w14:paraId="5F0987ED" w14:textId="77777777" w:rsidR="00DC3498" w:rsidRPr="00B84C8C" w:rsidRDefault="00DC3498" w:rsidP="00CB39E7">
            <w:pPr>
              <w:pStyle w:val="TableText"/>
              <w:jc w:val="center"/>
            </w:pPr>
            <w:r w:rsidRPr="00CB39E7">
              <w:t>±1.0</w:t>
            </w:r>
          </w:p>
        </w:tc>
        <w:tc>
          <w:tcPr>
            <w:tcW w:w="487" w:type="pct"/>
            <w:tcBorders>
              <w:top w:val="single" w:sz="4" w:space="0" w:color="auto"/>
              <w:left w:val="single" w:sz="4" w:space="0" w:color="auto"/>
              <w:bottom w:val="single" w:sz="4" w:space="0" w:color="auto"/>
              <w:right w:val="single" w:sz="4" w:space="0" w:color="auto"/>
            </w:tcBorders>
            <w:vAlign w:val="center"/>
          </w:tcPr>
          <w:p w14:paraId="0BB08257" w14:textId="77777777" w:rsidR="00DC3498" w:rsidRPr="00B84C8C" w:rsidRDefault="00DC3498" w:rsidP="00CB39E7">
            <w:pPr>
              <w:pStyle w:val="TableText"/>
              <w:jc w:val="center"/>
            </w:pPr>
            <w:r w:rsidRPr="00CB39E7">
              <w:t>—</w:t>
            </w:r>
          </w:p>
        </w:tc>
        <w:tc>
          <w:tcPr>
            <w:tcW w:w="485" w:type="pct"/>
            <w:tcBorders>
              <w:top w:val="single" w:sz="4" w:space="0" w:color="auto"/>
              <w:left w:val="single" w:sz="4" w:space="0" w:color="auto"/>
              <w:bottom w:val="single" w:sz="4" w:space="0" w:color="auto"/>
              <w:right w:val="single" w:sz="4" w:space="0" w:color="auto"/>
            </w:tcBorders>
            <w:vAlign w:val="center"/>
          </w:tcPr>
          <w:p w14:paraId="0D850505" w14:textId="77777777" w:rsidR="00DC3498" w:rsidRPr="00B84C8C" w:rsidRDefault="00DC3498" w:rsidP="00CB39E7">
            <w:pPr>
              <w:pStyle w:val="TableText"/>
              <w:jc w:val="center"/>
            </w:pPr>
            <w:r w:rsidRPr="00CB39E7">
              <w:t>—</w:t>
            </w:r>
          </w:p>
        </w:tc>
      </w:tr>
      <w:tr w:rsidR="00DC3498" w:rsidRPr="00360580" w14:paraId="6869B691" w14:textId="77777777" w:rsidTr="00CB39E7">
        <w:trPr>
          <w:jc w:val="center"/>
        </w:trPr>
        <w:tc>
          <w:tcPr>
            <w:tcW w:w="1016" w:type="pct"/>
            <w:tcBorders>
              <w:top w:val="single" w:sz="4" w:space="0" w:color="auto"/>
              <w:left w:val="single" w:sz="4" w:space="0" w:color="auto"/>
              <w:bottom w:val="single" w:sz="4" w:space="0" w:color="auto"/>
              <w:right w:val="single" w:sz="4" w:space="0" w:color="auto"/>
            </w:tcBorders>
            <w:vAlign w:val="center"/>
          </w:tcPr>
          <w:p w14:paraId="7E78FD06" w14:textId="77777777" w:rsidR="00DC3498" w:rsidRPr="00B84C8C" w:rsidRDefault="00DC3498" w:rsidP="00CB39E7">
            <w:pPr>
              <w:pStyle w:val="TableText"/>
              <w:jc w:val="center"/>
            </w:pPr>
            <w:r w:rsidRPr="00CB39E7">
              <w:t xml:space="preserve">0.05 </w:t>
            </w:r>
            <w:proofErr w:type="spellStart"/>
            <w:r w:rsidRPr="00CB39E7">
              <w:rPr>
                <w:i/>
              </w:rPr>
              <w:t>I</w:t>
            </w:r>
            <w:r w:rsidRPr="00CB39E7">
              <w:rPr>
                <w:vertAlign w:val="subscript"/>
              </w:rPr>
              <w:t>b</w:t>
            </w:r>
            <w:proofErr w:type="spellEnd"/>
            <w:r w:rsidRPr="00CB39E7">
              <w:t xml:space="preserve"> ≤ </w:t>
            </w:r>
            <w:r w:rsidRPr="00CB39E7">
              <w:rPr>
                <w:i/>
              </w:rPr>
              <w:t>I</w:t>
            </w:r>
            <w:r w:rsidRPr="00CB39E7">
              <w:t xml:space="preserve"> &lt; 0.1 </w:t>
            </w:r>
            <w:proofErr w:type="spellStart"/>
            <w:r w:rsidRPr="00CB39E7">
              <w:rPr>
                <w:i/>
              </w:rPr>
              <w:t>I</w:t>
            </w:r>
            <w:r w:rsidRPr="00CB39E7">
              <w:rPr>
                <w:vertAlign w:val="subscript"/>
              </w:rPr>
              <w:t>b</w:t>
            </w:r>
            <w:proofErr w:type="spellEnd"/>
          </w:p>
        </w:tc>
        <w:tc>
          <w:tcPr>
            <w:tcW w:w="1237" w:type="pct"/>
            <w:tcBorders>
              <w:top w:val="single" w:sz="4" w:space="0" w:color="auto"/>
              <w:left w:val="single" w:sz="4" w:space="0" w:color="auto"/>
              <w:bottom w:val="single" w:sz="4" w:space="0" w:color="auto"/>
              <w:right w:val="single" w:sz="4" w:space="0" w:color="auto"/>
            </w:tcBorders>
            <w:vAlign w:val="center"/>
          </w:tcPr>
          <w:p w14:paraId="028FBCBB" w14:textId="77777777" w:rsidR="00DC3498" w:rsidRPr="00CB39E7" w:rsidRDefault="00DC3498" w:rsidP="00CB39E7">
            <w:pPr>
              <w:pStyle w:val="TableText"/>
              <w:jc w:val="center"/>
            </w:pPr>
            <w:r w:rsidRPr="00CB39E7">
              <w:t xml:space="preserve">0.02 </w:t>
            </w:r>
            <w:r w:rsidRPr="00CB39E7">
              <w:rPr>
                <w:i/>
              </w:rPr>
              <w:t>I</w:t>
            </w:r>
            <w:r w:rsidRPr="00CB39E7">
              <w:rPr>
                <w:vertAlign w:val="subscript"/>
              </w:rPr>
              <w:t>n</w:t>
            </w:r>
            <w:r w:rsidRPr="00CB39E7">
              <w:t xml:space="preserve"> ≤ </w:t>
            </w:r>
            <w:r w:rsidRPr="00CB39E7">
              <w:rPr>
                <w:i/>
              </w:rPr>
              <w:t>I</w:t>
            </w:r>
            <w:r w:rsidRPr="00CB39E7">
              <w:t xml:space="preserve"> &lt; 0.05 </w:t>
            </w:r>
            <w:r w:rsidRPr="00CB39E7">
              <w:rPr>
                <w:i/>
              </w:rPr>
              <w:t>I</w:t>
            </w:r>
            <w:r w:rsidRPr="00CB39E7">
              <w:rPr>
                <w:vertAlign w:val="subscript"/>
              </w:rPr>
              <w:t>n</w:t>
            </w:r>
          </w:p>
        </w:tc>
        <w:tc>
          <w:tcPr>
            <w:tcW w:w="801" w:type="pct"/>
            <w:tcBorders>
              <w:top w:val="single" w:sz="4" w:space="0" w:color="auto"/>
              <w:left w:val="single" w:sz="4" w:space="0" w:color="auto"/>
              <w:bottom w:val="single" w:sz="4" w:space="0" w:color="auto"/>
              <w:right w:val="single" w:sz="4" w:space="0" w:color="auto"/>
            </w:tcBorders>
            <w:vAlign w:val="center"/>
          </w:tcPr>
          <w:p w14:paraId="5F47F4A0" w14:textId="77777777" w:rsidR="00DC3498" w:rsidRPr="00B84C8C" w:rsidRDefault="00DC3498" w:rsidP="00CB39E7">
            <w:pPr>
              <w:pStyle w:val="TableText"/>
              <w:jc w:val="center"/>
            </w:pPr>
            <w:r w:rsidRPr="00CB39E7">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66807BC9" w14:textId="77777777" w:rsidR="00DC3498" w:rsidRPr="00B84C8C" w:rsidRDefault="00DC3498" w:rsidP="00CB39E7">
            <w:pPr>
              <w:pStyle w:val="TableText"/>
              <w:jc w:val="center"/>
            </w:pPr>
            <w:r w:rsidRPr="00CB39E7">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6A19C0CF" w14:textId="77777777" w:rsidR="00DC3498" w:rsidRPr="00B84C8C" w:rsidRDefault="00DC3498" w:rsidP="00CB39E7">
            <w:pPr>
              <w:pStyle w:val="TableText"/>
              <w:jc w:val="center"/>
            </w:pPr>
            <w:r w:rsidRPr="00CB39E7">
              <w:t>—</w:t>
            </w:r>
          </w:p>
        </w:tc>
        <w:tc>
          <w:tcPr>
            <w:tcW w:w="487" w:type="pct"/>
            <w:tcBorders>
              <w:top w:val="single" w:sz="4" w:space="0" w:color="auto"/>
              <w:left w:val="single" w:sz="4" w:space="0" w:color="auto"/>
              <w:bottom w:val="single" w:sz="4" w:space="0" w:color="auto"/>
              <w:right w:val="single" w:sz="4" w:space="0" w:color="auto"/>
            </w:tcBorders>
            <w:vAlign w:val="center"/>
          </w:tcPr>
          <w:p w14:paraId="7906A986" w14:textId="77777777" w:rsidR="00DC3498" w:rsidRPr="00B84C8C" w:rsidRDefault="00DC3498" w:rsidP="00CB39E7">
            <w:pPr>
              <w:pStyle w:val="TableText"/>
              <w:jc w:val="center"/>
            </w:pPr>
            <w:r w:rsidRPr="00CB39E7">
              <w:t>±1.5</w:t>
            </w:r>
          </w:p>
        </w:tc>
        <w:tc>
          <w:tcPr>
            <w:tcW w:w="485" w:type="pct"/>
            <w:tcBorders>
              <w:top w:val="single" w:sz="4" w:space="0" w:color="auto"/>
              <w:left w:val="single" w:sz="4" w:space="0" w:color="auto"/>
              <w:bottom w:val="single" w:sz="4" w:space="0" w:color="auto"/>
              <w:right w:val="single" w:sz="4" w:space="0" w:color="auto"/>
            </w:tcBorders>
            <w:vAlign w:val="center"/>
          </w:tcPr>
          <w:p w14:paraId="0FA28234" w14:textId="77777777" w:rsidR="00DC3498" w:rsidRPr="00B84C8C" w:rsidRDefault="00DC3498" w:rsidP="00CB39E7">
            <w:pPr>
              <w:pStyle w:val="TableText"/>
              <w:jc w:val="center"/>
            </w:pPr>
            <w:r w:rsidRPr="00CB39E7">
              <w:t>±2.5</w:t>
            </w:r>
          </w:p>
        </w:tc>
      </w:tr>
      <w:tr w:rsidR="00DC3498" w:rsidRPr="00360580" w14:paraId="7E0F7C64" w14:textId="77777777" w:rsidTr="00CB39E7">
        <w:trPr>
          <w:jc w:val="center"/>
        </w:trPr>
        <w:tc>
          <w:tcPr>
            <w:tcW w:w="1016" w:type="pct"/>
            <w:tcBorders>
              <w:top w:val="single" w:sz="4" w:space="0" w:color="auto"/>
              <w:left w:val="single" w:sz="4" w:space="0" w:color="auto"/>
              <w:bottom w:val="single" w:sz="4" w:space="0" w:color="auto"/>
              <w:right w:val="single" w:sz="4" w:space="0" w:color="auto"/>
            </w:tcBorders>
            <w:vAlign w:val="center"/>
          </w:tcPr>
          <w:p w14:paraId="3A8DC2ED" w14:textId="77777777" w:rsidR="00DC3498" w:rsidRPr="00B84C8C" w:rsidRDefault="00DC3498" w:rsidP="00CB39E7">
            <w:pPr>
              <w:pStyle w:val="TableText"/>
              <w:jc w:val="center"/>
            </w:pPr>
            <w:r w:rsidRPr="00CB39E7">
              <w:t xml:space="preserve">0.1 </w:t>
            </w:r>
            <w:proofErr w:type="spellStart"/>
            <w:r w:rsidRPr="00CB39E7">
              <w:rPr>
                <w:i/>
              </w:rPr>
              <w:t>I</w:t>
            </w:r>
            <w:r w:rsidRPr="00CB39E7">
              <w:rPr>
                <w:vertAlign w:val="subscript"/>
              </w:rPr>
              <w:t>b</w:t>
            </w:r>
            <w:proofErr w:type="spellEnd"/>
            <w:r w:rsidRPr="00CB39E7">
              <w:t xml:space="preserve"> ≤ </w:t>
            </w:r>
            <w:r w:rsidRPr="00CB39E7">
              <w:rPr>
                <w:i/>
              </w:rPr>
              <w:t>I</w:t>
            </w:r>
            <w:r w:rsidRPr="00CB39E7">
              <w:t xml:space="preserve"> ≤ </w:t>
            </w:r>
            <w:r w:rsidRPr="00CB39E7">
              <w:rPr>
                <w:i/>
              </w:rPr>
              <w:t>I</w:t>
            </w:r>
            <w:r w:rsidRPr="00CB39E7">
              <w:rPr>
                <w:vertAlign w:val="subscript"/>
              </w:rPr>
              <w:t>max</w:t>
            </w:r>
          </w:p>
        </w:tc>
        <w:tc>
          <w:tcPr>
            <w:tcW w:w="1237" w:type="pct"/>
            <w:tcBorders>
              <w:top w:val="single" w:sz="4" w:space="0" w:color="auto"/>
              <w:left w:val="single" w:sz="4" w:space="0" w:color="auto"/>
              <w:bottom w:val="single" w:sz="4" w:space="0" w:color="auto"/>
              <w:right w:val="single" w:sz="4" w:space="0" w:color="auto"/>
            </w:tcBorders>
            <w:vAlign w:val="center"/>
          </w:tcPr>
          <w:p w14:paraId="6B7BC74D" w14:textId="77777777" w:rsidR="00DC3498" w:rsidRPr="00CB39E7" w:rsidRDefault="00DC3498" w:rsidP="00CB39E7">
            <w:pPr>
              <w:pStyle w:val="TableText"/>
              <w:jc w:val="center"/>
            </w:pPr>
            <w:r w:rsidRPr="00CB39E7">
              <w:t xml:space="preserve">0.05 </w:t>
            </w:r>
            <w:r w:rsidRPr="00CB39E7">
              <w:rPr>
                <w:i/>
              </w:rPr>
              <w:t>I</w:t>
            </w:r>
            <w:r w:rsidRPr="00CB39E7">
              <w:rPr>
                <w:vertAlign w:val="subscript"/>
              </w:rPr>
              <w:t>n</w:t>
            </w:r>
            <w:r w:rsidRPr="00CB39E7">
              <w:t xml:space="preserve"> ≤ </w:t>
            </w:r>
            <w:r w:rsidRPr="00CB39E7">
              <w:rPr>
                <w:i/>
              </w:rPr>
              <w:t>I</w:t>
            </w:r>
            <w:r w:rsidRPr="00CB39E7">
              <w:t xml:space="preserve"> ≤ </w:t>
            </w:r>
            <w:r w:rsidRPr="00CB39E7">
              <w:rPr>
                <w:i/>
              </w:rPr>
              <w:t>I</w:t>
            </w:r>
            <w:r w:rsidRPr="00CB39E7">
              <w:rPr>
                <w:vertAlign w:val="subscript"/>
              </w:rPr>
              <w:t>max</w:t>
            </w:r>
          </w:p>
        </w:tc>
        <w:tc>
          <w:tcPr>
            <w:tcW w:w="801" w:type="pct"/>
            <w:tcBorders>
              <w:top w:val="single" w:sz="4" w:space="0" w:color="auto"/>
              <w:left w:val="single" w:sz="4" w:space="0" w:color="auto"/>
              <w:bottom w:val="single" w:sz="4" w:space="0" w:color="auto"/>
              <w:right w:val="single" w:sz="4" w:space="0" w:color="auto"/>
            </w:tcBorders>
            <w:vAlign w:val="center"/>
          </w:tcPr>
          <w:p w14:paraId="0699C093" w14:textId="77777777" w:rsidR="00DC3498" w:rsidRPr="00B84C8C" w:rsidRDefault="00DC3498" w:rsidP="00CB39E7">
            <w:pPr>
              <w:pStyle w:val="TableText"/>
              <w:jc w:val="center"/>
            </w:pPr>
            <w:r w:rsidRPr="00CB39E7">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537D7495" w14:textId="77777777" w:rsidR="00DC3498" w:rsidRPr="00B84C8C" w:rsidRDefault="00DC3498" w:rsidP="00CB39E7">
            <w:pPr>
              <w:pStyle w:val="TableText"/>
              <w:jc w:val="center"/>
            </w:pPr>
            <w:r w:rsidRPr="00CB39E7">
              <w:t>±0.2</w:t>
            </w:r>
          </w:p>
        </w:tc>
        <w:tc>
          <w:tcPr>
            <w:tcW w:w="487" w:type="pct"/>
            <w:tcBorders>
              <w:top w:val="single" w:sz="4" w:space="0" w:color="auto"/>
              <w:left w:val="single" w:sz="4" w:space="0" w:color="auto"/>
              <w:bottom w:val="single" w:sz="4" w:space="0" w:color="auto"/>
              <w:right w:val="single" w:sz="4" w:space="0" w:color="auto"/>
            </w:tcBorders>
            <w:vAlign w:val="center"/>
            <w:hideMark/>
          </w:tcPr>
          <w:p w14:paraId="0EEE6647" w14:textId="77777777" w:rsidR="00DC3498" w:rsidRPr="00B84C8C" w:rsidRDefault="00DC3498" w:rsidP="00CB39E7">
            <w:pPr>
              <w:pStyle w:val="TableText"/>
              <w:jc w:val="center"/>
            </w:pPr>
            <w:r w:rsidRPr="00CB39E7">
              <w:t>±0.5</w:t>
            </w:r>
          </w:p>
        </w:tc>
        <w:tc>
          <w:tcPr>
            <w:tcW w:w="487" w:type="pct"/>
            <w:tcBorders>
              <w:top w:val="single" w:sz="4" w:space="0" w:color="auto"/>
              <w:left w:val="single" w:sz="4" w:space="0" w:color="auto"/>
              <w:bottom w:val="single" w:sz="4" w:space="0" w:color="auto"/>
              <w:right w:val="single" w:sz="4" w:space="0" w:color="auto"/>
            </w:tcBorders>
            <w:vAlign w:val="center"/>
          </w:tcPr>
          <w:p w14:paraId="6AD665B7" w14:textId="77777777" w:rsidR="00DC3498" w:rsidRPr="00B84C8C" w:rsidRDefault="00DC3498" w:rsidP="00CB39E7">
            <w:pPr>
              <w:pStyle w:val="TableText"/>
              <w:jc w:val="center"/>
            </w:pPr>
            <w:r w:rsidRPr="00CB39E7">
              <w:t>±1.0</w:t>
            </w:r>
          </w:p>
        </w:tc>
        <w:tc>
          <w:tcPr>
            <w:tcW w:w="485" w:type="pct"/>
            <w:tcBorders>
              <w:top w:val="single" w:sz="4" w:space="0" w:color="auto"/>
              <w:left w:val="single" w:sz="4" w:space="0" w:color="auto"/>
              <w:bottom w:val="single" w:sz="4" w:space="0" w:color="auto"/>
              <w:right w:val="single" w:sz="4" w:space="0" w:color="auto"/>
            </w:tcBorders>
            <w:vAlign w:val="center"/>
          </w:tcPr>
          <w:p w14:paraId="3E0918F6" w14:textId="77777777" w:rsidR="00DC3498" w:rsidRPr="00B84C8C" w:rsidRDefault="00DC3498" w:rsidP="00CB39E7">
            <w:pPr>
              <w:pStyle w:val="TableText"/>
              <w:jc w:val="center"/>
            </w:pPr>
            <w:r w:rsidRPr="00CB39E7">
              <w:t>±2.0</w:t>
            </w:r>
          </w:p>
        </w:tc>
      </w:tr>
      <w:tr w:rsidR="00DC3498" w:rsidRPr="00360580" w14:paraId="0608E97D" w14:textId="77777777" w:rsidTr="00CB39E7">
        <w:trPr>
          <w:jc w:val="center"/>
        </w:trPr>
        <w:tc>
          <w:tcPr>
            <w:tcW w:w="1016" w:type="pct"/>
            <w:vMerge w:val="restart"/>
            <w:tcBorders>
              <w:top w:val="single" w:sz="4" w:space="0" w:color="auto"/>
              <w:left w:val="single" w:sz="4" w:space="0" w:color="auto"/>
              <w:right w:val="single" w:sz="4" w:space="0" w:color="auto"/>
            </w:tcBorders>
            <w:vAlign w:val="center"/>
          </w:tcPr>
          <w:p w14:paraId="3323FF2A" w14:textId="77777777" w:rsidR="00DC3498" w:rsidRPr="00B84C8C" w:rsidRDefault="00DC3498" w:rsidP="00CB39E7">
            <w:pPr>
              <w:pStyle w:val="TableText"/>
              <w:jc w:val="center"/>
            </w:pPr>
            <w:r w:rsidRPr="00CB39E7">
              <w:t xml:space="preserve">0.1 </w:t>
            </w:r>
            <w:proofErr w:type="spellStart"/>
            <w:r w:rsidRPr="00CB39E7">
              <w:rPr>
                <w:i/>
              </w:rPr>
              <w:t>I</w:t>
            </w:r>
            <w:r w:rsidRPr="00CB39E7">
              <w:rPr>
                <w:vertAlign w:val="subscript"/>
              </w:rPr>
              <w:t>b</w:t>
            </w:r>
            <w:proofErr w:type="spellEnd"/>
            <w:r w:rsidRPr="00CB39E7">
              <w:t xml:space="preserve"> ≤ </w:t>
            </w:r>
            <w:r w:rsidRPr="00CB39E7">
              <w:rPr>
                <w:i/>
              </w:rPr>
              <w:t>I</w:t>
            </w:r>
            <w:r w:rsidRPr="00CB39E7">
              <w:t xml:space="preserve"> &lt; 0.2 </w:t>
            </w:r>
            <w:proofErr w:type="spellStart"/>
            <w:r w:rsidRPr="00CB39E7">
              <w:rPr>
                <w:i/>
              </w:rPr>
              <w:t>I</w:t>
            </w:r>
            <w:r w:rsidRPr="00CB39E7">
              <w:rPr>
                <w:vertAlign w:val="subscript"/>
              </w:rPr>
              <w:t>b</w:t>
            </w:r>
            <w:proofErr w:type="spellEnd"/>
          </w:p>
        </w:tc>
        <w:tc>
          <w:tcPr>
            <w:tcW w:w="1237" w:type="pct"/>
            <w:vMerge w:val="restart"/>
            <w:tcBorders>
              <w:top w:val="single" w:sz="4" w:space="0" w:color="auto"/>
              <w:left w:val="single" w:sz="4" w:space="0" w:color="auto"/>
              <w:right w:val="single" w:sz="4" w:space="0" w:color="auto"/>
            </w:tcBorders>
            <w:vAlign w:val="center"/>
          </w:tcPr>
          <w:p w14:paraId="0700CB66" w14:textId="77777777" w:rsidR="00DC3498" w:rsidRPr="00CB39E7" w:rsidRDefault="00DC3498" w:rsidP="00CB39E7">
            <w:pPr>
              <w:pStyle w:val="TableText"/>
              <w:jc w:val="center"/>
            </w:pPr>
            <w:r w:rsidRPr="00CB39E7">
              <w:rPr>
                <w:rFonts w:eastAsia="MS Mincho"/>
              </w:rPr>
              <w:t xml:space="preserve">0.02 </w:t>
            </w:r>
            <w:r w:rsidRPr="00CB39E7">
              <w:rPr>
                <w:rFonts w:eastAsia="MS Mincho"/>
                <w:i/>
              </w:rPr>
              <w:t>I</w:t>
            </w:r>
            <w:r w:rsidRPr="00CB39E7">
              <w:rPr>
                <w:rFonts w:eastAsia="MS Mincho"/>
                <w:vertAlign w:val="subscript"/>
              </w:rPr>
              <w:t>n</w:t>
            </w:r>
            <w:r w:rsidRPr="00CB39E7">
              <w:rPr>
                <w:rFonts w:eastAsia="MS Mincho"/>
              </w:rPr>
              <w:t xml:space="preserve"> ≤ </w:t>
            </w:r>
            <w:r w:rsidRPr="00CB39E7">
              <w:rPr>
                <w:rFonts w:eastAsia="MS Mincho"/>
                <w:i/>
              </w:rPr>
              <w:t>I</w:t>
            </w:r>
            <w:r w:rsidRPr="00CB39E7">
              <w:rPr>
                <w:rFonts w:eastAsia="MS Mincho"/>
              </w:rPr>
              <w:t xml:space="preserve"> &lt; 0.1 </w:t>
            </w:r>
            <w:r w:rsidRPr="00CB39E7">
              <w:rPr>
                <w:rFonts w:eastAsia="MS Mincho"/>
                <w:i/>
              </w:rPr>
              <w:t>I</w:t>
            </w:r>
            <w:r w:rsidRPr="00CB39E7">
              <w:rPr>
                <w:rFonts w:eastAsia="MS Mincho"/>
                <w:vertAlign w:val="subscript"/>
              </w:rPr>
              <w:t>n</w:t>
            </w:r>
          </w:p>
        </w:tc>
        <w:tc>
          <w:tcPr>
            <w:tcW w:w="801" w:type="pct"/>
            <w:tcBorders>
              <w:top w:val="single" w:sz="4" w:space="0" w:color="auto"/>
              <w:left w:val="single" w:sz="4" w:space="0" w:color="auto"/>
              <w:bottom w:val="single" w:sz="4" w:space="0" w:color="auto"/>
              <w:right w:val="single" w:sz="4" w:space="0" w:color="auto"/>
            </w:tcBorders>
            <w:vAlign w:val="center"/>
          </w:tcPr>
          <w:p w14:paraId="4487B310" w14:textId="77777777" w:rsidR="00DC3498" w:rsidRPr="00B84C8C" w:rsidRDefault="00DC3498" w:rsidP="00CB39E7">
            <w:pPr>
              <w:pStyle w:val="TableText"/>
              <w:jc w:val="center"/>
            </w:pPr>
            <w:r w:rsidRPr="00CB39E7">
              <w:t>0.5 inductive</w:t>
            </w:r>
          </w:p>
        </w:tc>
        <w:tc>
          <w:tcPr>
            <w:tcW w:w="487" w:type="pct"/>
            <w:tcBorders>
              <w:top w:val="single" w:sz="4" w:space="0" w:color="auto"/>
              <w:left w:val="single" w:sz="4" w:space="0" w:color="auto"/>
              <w:bottom w:val="single" w:sz="4" w:space="0" w:color="auto"/>
              <w:right w:val="single" w:sz="4" w:space="0" w:color="auto"/>
            </w:tcBorders>
            <w:vAlign w:val="center"/>
            <w:hideMark/>
          </w:tcPr>
          <w:p w14:paraId="24ED50B2" w14:textId="77777777" w:rsidR="00DC3498" w:rsidRPr="00B84C8C" w:rsidRDefault="00DC3498" w:rsidP="00CB39E7">
            <w:pPr>
              <w:pStyle w:val="TableText"/>
              <w:jc w:val="center"/>
            </w:pPr>
            <w:r w:rsidRPr="00CB39E7">
              <w:t>±0.5</w:t>
            </w:r>
          </w:p>
        </w:tc>
        <w:tc>
          <w:tcPr>
            <w:tcW w:w="487" w:type="pct"/>
            <w:tcBorders>
              <w:top w:val="single" w:sz="4" w:space="0" w:color="auto"/>
              <w:left w:val="single" w:sz="4" w:space="0" w:color="auto"/>
              <w:bottom w:val="single" w:sz="4" w:space="0" w:color="auto"/>
              <w:right w:val="single" w:sz="4" w:space="0" w:color="auto"/>
            </w:tcBorders>
            <w:vAlign w:val="center"/>
            <w:hideMark/>
          </w:tcPr>
          <w:p w14:paraId="3F3D7503" w14:textId="77777777" w:rsidR="00DC3498" w:rsidRPr="00B84C8C" w:rsidRDefault="00DC3498" w:rsidP="00CB39E7">
            <w:pPr>
              <w:pStyle w:val="TableText"/>
              <w:jc w:val="center"/>
            </w:pPr>
            <w:r w:rsidRPr="00CB39E7">
              <w:t>±1.0</w:t>
            </w:r>
          </w:p>
        </w:tc>
        <w:tc>
          <w:tcPr>
            <w:tcW w:w="487" w:type="pct"/>
            <w:tcBorders>
              <w:top w:val="single" w:sz="4" w:space="0" w:color="auto"/>
              <w:left w:val="single" w:sz="4" w:space="0" w:color="auto"/>
              <w:bottom w:val="single" w:sz="4" w:space="0" w:color="auto"/>
              <w:right w:val="single" w:sz="4" w:space="0" w:color="auto"/>
            </w:tcBorders>
            <w:vAlign w:val="center"/>
          </w:tcPr>
          <w:p w14:paraId="33BEBE58" w14:textId="77777777" w:rsidR="00DC3498" w:rsidRPr="00B84C8C" w:rsidRDefault="00DC3498" w:rsidP="00CB39E7">
            <w:pPr>
              <w:pStyle w:val="TableText"/>
              <w:jc w:val="center"/>
            </w:pPr>
            <w:r w:rsidRPr="00CB39E7">
              <w:t>—</w:t>
            </w:r>
          </w:p>
        </w:tc>
        <w:tc>
          <w:tcPr>
            <w:tcW w:w="485" w:type="pct"/>
            <w:tcBorders>
              <w:top w:val="single" w:sz="4" w:space="0" w:color="auto"/>
              <w:left w:val="single" w:sz="4" w:space="0" w:color="auto"/>
              <w:bottom w:val="single" w:sz="4" w:space="0" w:color="auto"/>
              <w:right w:val="single" w:sz="4" w:space="0" w:color="auto"/>
            </w:tcBorders>
            <w:vAlign w:val="center"/>
          </w:tcPr>
          <w:p w14:paraId="37991009" w14:textId="77777777" w:rsidR="00DC3498" w:rsidRPr="00B84C8C" w:rsidRDefault="00DC3498" w:rsidP="00CB39E7">
            <w:pPr>
              <w:pStyle w:val="TableText"/>
              <w:jc w:val="center"/>
            </w:pPr>
            <w:r w:rsidRPr="00CB39E7">
              <w:t>—</w:t>
            </w:r>
          </w:p>
        </w:tc>
      </w:tr>
      <w:tr w:rsidR="00DC3498" w:rsidRPr="00360580" w14:paraId="4442AA61" w14:textId="77777777" w:rsidTr="00CB39E7">
        <w:trPr>
          <w:jc w:val="center"/>
        </w:trPr>
        <w:tc>
          <w:tcPr>
            <w:tcW w:w="1016" w:type="pct"/>
            <w:vMerge/>
            <w:tcBorders>
              <w:left w:val="single" w:sz="4" w:space="0" w:color="auto"/>
              <w:bottom w:val="single" w:sz="4" w:space="0" w:color="auto"/>
              <w:right w:val="single" w:sz="4" w:space="0" w:color="auto"/>
            </w:tcBorders>
            <w:vAlign w:val="center"/>
          </w:tcPr>
          <w:p w14:paraId="1EF20713" w14:textId="77777777" w:rsidR="00DC3498" w:rsidRPr="00984937" w:rsidRDefault="00DC3498" w:rsidP="00CB39E7">
            <w:pPr>
              <w:pStyle w:val="TableText"/>
              <w:jc w:val="center"/>
            </w:pPr>
          </w:p>
        </w:tc>
        <w:tc>
          <w:tcPr>
            <w:tcW w:w="1237" w:type="pct"/>
            <w:vMerge/>
            <w:tcBorders>
              <w:left w:val="single" w:sz="4" w:space="0" w:color="auto"/>
              <w:bottom w:val="single" w:sz="4" w:space="0" w:color="auto"/>
              <w:right w:val="single" w:sz="4" w:space="0" w:color="auto"/>
            </w:tcBorders>
            <w:vAlign w:val="center"/>
          </w:tcPr>
          <w:p w14:paraId="46063340" w14:textId="77777777" w:rsidR="00DC3498" w:rsidRPr="00CB39E7" w:rsidRDefault="00DC3498" w:rsidP="00CB39E7">
            <w:pPr>
              <w:pStyle w:val="TableText"/>
              <w:jc w:val="center"/>
            </w:pPr>
          </w:p>
        </w:tc>
        <w:tc>
          <w:tcPr>
            <w:tcW w:w="801" w:type="pct"/>
            <w:tcBorders>
              <w:top w:val="single" w:sz="4" w:space="0" w:color="auto"/>
              <w:left w:val="single" w:sz="4" w:space="0" w:color="auto"/>
              <w:bottom w:val="single" w:sz="4" w:space="0" w:color="auto"/>
              <w:right w:val="single" w:sz="4" w:space="0" w:color="auto"/>
            </w:tcBorders>
            <w:vAlign w:val="center"/>
          </w:tcPr>
          <w:p w14:paraId="76E905CC" w14:textId="77777777" w:rsidR="00DC3498" w:rsidRPr="00B84C8C" w:rsidRDefault="00DC3498" w:rsidP="00CB39E7">
            <w:pPr>
              <w:pStyle w:val="TableText"/>
              <w:jc w:val="center"/>
            </w:pPr>
            <w:r w:rsidRPr="00CB39E7">
              <w:t>0.8 capacitive</w:t>
            </w:r>
          </w:p>
        </w:tc>
        <w:tc>
          <w:tcPr>
            <w:tcW w:w="487" w:type="pct"/>
            <w:tcBorders>
              <w:top w:val="single" w:sz="4" w:space="0" w:color="auto"/>
              <w:left w:val="single" w:sz="4" w:space="0" w:color="auto"/>
              <w:bottom w:val="single" w:sz="4" w:space="0" w:color="auto"/>
              <w:right w:val="single" w:sz="4" w:space="0" w:color="auto"/>
            </w:tcBorders>
            <w:vAlign w:val="center"/>
          </w:tcPr>
          <w:p w14:paraId="6490645C" w14:textId="77777777" w:rsidR="00DC3498" w:rsidRPr="00B84C8C" w:rsidRDefault="00DC3498" w:rsidP="00CB39E7">
            <w:pPr>
              <w:pStyle w:val="TableText"/>
              <w:jc w:val="center"/>
            </w:pPr>
            <w:r w:rsidRPr="00CB39E7">
              <w:t>±0.5</w:t>
            </w:r>
          </w:p>
        </w:tc>
        <w:tc>
          <w:tcPr>
            <w:tcW w:w="487" w:type="pct"/>
            <w:tcBorders>
              <w:top w:val="single" w:sz="4" w:space="0" w:color="auto"/>
              <w:left w:val="single" w:sz="4" w:space="0" w:color="auto"/>
              <w:bottom w:val="single" w:sz="4" w:space="0" w:color="auto"/>
              <w:right w:val="single" w:sz="4" w:space="0" w:color="auto"/>
            </w:tcBorders>
            <w:vAlign w:val="center"/>
          </w:tcPr>
          <w:p w14:paraId="12670400" w14:textId="77777777" w:rsidR="00DC3498" w:rsidRPr="00B84C8C" w:rsidRDefault="00DC3498" w:rsidP="00CB39E7">
            <w:pPr>
              <w:pStyle w:val="TableText"/>
              <w:jc w:val="center"/>
            </w:pPr>
            <w:r w:rsidRPr="00CB39E7">
              <w:t>±1.0</w:t>
            </w:r>
          </w:p>
        </w:tc>
        <w:tc>
          <w:tcPr>
            <w:tcW w:w="487" w:type="pct"/>
            <w:tcBorders>
              <w:top w:val="single" w:sz="4" w:space="0" w:color="auto"/>
              <w:left w:val="single" w:sz="4" w:space="0" w:color="auto"/>
              <w:bottom w:val="single" w:sz="4" w:space="0" w:color="auto"/>
              <w:right w:val="single" w:sz="4" w:space="0" w:color="auto"/>
            </w:tcBorders>
            <w:vAlign w:val="center"/>
          </w:tcPr>
          <w:p w14:paraId="15114107" w14:textId="77777777" w:rsidR="00DC3498" w:rsidRPr="00B84C8C" w:rsidRDefault="00DC3498" w:rsidP="00CB39E7">
            <w:pPr>
              <w:pStyle w:val="TableText"/>
              <w:jc w:val="center"/>
            </w:pPr>
            <w:r w:rsidRPr="00CB39E7">
              <w:t>—</w:t>
            </w:r>
          </w:p>
        </w:tc>
        <w:tc>
          <w:tcPr>
            <w:tcW w:w="485" w:type="pct"/>
            <w:tcBorders>
              <w:top w:val="single" w:sz="4" w:space="0" w:color="auto"/>
              <w:left w:val="single" w:sz="4" w:space="0" w:color="auto"/>
              <w:bottom w:val="single" w:sz="4" w:space="0" w:color="auto"/>
              <w:right w:val="single" w:sz="4" w:space="0" w:color="auto"/>
            </w:tcBorders>
            <w:vAlign w:val="center"/>
          </w:tcPr>
          <w:p w14:paraId="51F878E4" w14:textId="77777777" w:rsidR="00DC3498" w:rsidRPr="00B84C8C" w:rsidRDefault="00DC3498" w:rsidP="00CB39E7">
            <w:pPr>
              <w:pStyle w:val="TableText"/>
              <w:jc w:val="center"/>
            </w:pPr>
            <w:r w:rsidRPr="00CB39E7">
              <w:t>—</w:t>
            </w:r>
          </w:p>
        </w:tc>
      </w:tr>
      <w:tr w:rsidR="00DC3498" w:rsidRPr="00360580" w14:paraId="26FAD8F9" w14:textId="77777777" w:rsidTr="00CB39E7">
        <w:trPr>
          <w:jc w:val="center"/>
        </w:trPr>
        <w:tc>
          <w:tcPr>
            <w:tcW w:w="1016" w:type="pct"/>
            <w:vMerge w:val="restart"/>
            <w:tcBorders>
              <w:top w:val="single" w:sz="4" w:space="0" w:color="auto"/>
              <w:left w:val="single" w:sz="4" w:space="0" w:color="auto"/>
              <w:right w:val="single" w:sz="4" w:space="0" w:color="auto"/>
            </w:tcBorders>
            <w:vAlign w:val="center"/>
          </w:tcPr>
          <w:p w14:paraId="4C8F2620" w14:textId="77777777" w:rsidR="00DC3498" w:rsidRPr="00984937" w:rsidRDefault="00DC3498" w:rsidP="00CB39E7">
            <w:pPr>
              <w:pStyle w:val="TableText"/>
              <w:jc w:val="center"/>
            </w:pPr>
            <w:r w:rsidRPr="00CB39E7">
              <w:t xml:space="preserve">0.1 </w:t>
            </w:r>
            <w:proofErr w:type="spellStart"/>
            <w:r w:rsidRPr="00CB39E7">
              <w:rPr>
                <w:i/>
              </w:rPr>
              <w:t>I</w:t>
            </w:r>
            <w:r w:rsidRPr="00CB39E7">
              <w:rPr>
                <w:vertAlign w:val="subscript"/>
              </w:rPr>
              <w:t>b</w:t>
            </w:r>
            <w:proofErr w:type="spellEnd"/>
            <w:r w:rsidRPr="00CB39E7">
              <w:t xml:space="preserve"> ≤ </w:t>
            </w:r>
            <w:r w:rsidRPr="00CB39E7">
              <w:rPr>
                <w:i/>
              </w:rPr>
              <w:t>I</w:t>
            </w:r>
            <w:r w:rsidRPr="00CB39E7">
              <w:t xml:space="preserve"> &lt; 0.2 </w:t>
            </w:r>
            <w:proofErr w:type="spellStart"/>
            <w:r w:rsidRPr="00CB39E7">
              <w:rPr>
                <w:i/>
              </w:rPr>
              <w:t>I</w:t>
            </w:r>
            <w:r w:rsidRPr="00CB39E7">
              <w:rPr>
                <w:vertAlign w:val="subscript"/>
              </w:rPr>
              <w:t>b</w:t>
            </w:r>
            <w:proofErr w:type="spellEnd"/>
          </w:p>
        </w:tc>
        <w:tc>
          <w:tcPr>
            <w:tcW w:w="1237" w:type="pct"/>
            <w:vMerge w:val="restart"/>
            <w:tcBorders>
              <w:top w:val="single" w:sz="4" w:space="0" w:color="auto"/>
              <w:left w:val="single" w:sz="4" w:space="0" w:color="auto"/>
              <w:right w:val="single" w:sz="4" w:space="0" w:color="auto"/>
            </w:tcBorders>
            <w:vAlign w:val="center"/>
          </w:tcPr>
          <w:p w14:paraId="2AB68021" w14:textId="77777777" w:rsidR="00DC3498" w:rsidRPr="00CB39E7" w:rsidRDefault="00DC3498" w:rsidP="00CB39E7">
            <w:pPr>
              <w:pStyle w:val="TableText"/>
              <w:jc w:val="center"/>
            </w:pPr>
            <w:r w:rsidRPr="00CB39E7">
              <w:rPr>
                <w:rFonts w:eastAsia="MS Mincho"/>
              </w:rPr>
              <w:t xml:space="preserve">0.05 </w:t>
            </w:r>
            <w:r w:rsidRPr="00CB39E7">
              <w:rPr>
                <w:rFonts w:eastAsia="MS Mincho"/>
                <w:i/>
              </w:rPr>
              <w:t>I</w:t>
            </w:r>
            <w:r w:rsidRPr="00CB39E7">
              <w:rPr>
                <w:rFonts w:eastAsia="MS Mincho"/>
                <w:vertAlign w:val="subscript"/>
              </w:rPr>
              <w:t>n</w:t>
            </w:r>
            <w:r w:rsidRPr="00CB39E7">
              <w:rPr>
                <w:rFonts w:eastAsia="MS Mincho"/>
              </w:rPr>
              <w:t xml:space="preserve"> ≤ </w:t>
            </w:r>
            <w:r w:rsidRPr="00CB39E7">
              <w:rPr>
                <w:rFonts w:eastAsia="MS Mincho"/>
                <w:i/>
              </w:rPr>
              <w:t>I</w:t>
            </w:r>
            <w:r w:rsidRPr="00CB39E7">
              <w:rPr>
                <w:rFonts w:eastAsia="MS Mincho"/>
              </w:rPr>
              <w:t xml:space="preserve"> &lt; 0.1 </w:t>
            </w:r>
            <w:r w:rsidRPr="00CB39E7">
              <w:rPr>
                <w:rFonts w:eastAsia="MS Mincho"/>
                <w:i/>
              </w:rPr>
              <w:t>I</w:t>
            </w:r>
            <w:r w:rsidRPr="00CB39E7">
              <w:rPr>
                <w:rFonts w:eastAsia="MS Mincho"/>
                <w:vertAlign w:val="subscript"/>
              </w:rPr>
              <w:t>n</w:t>
            </w:r>
          </w:p>
        </w:tc>
        <w:tc>
          <w:tcPr>
            <w:tcW w:w="801" w:type="pct"/>
            <w:tcBorders>
              <w:top w:val="single" w:sz="4" w:space="0" w:color="auto"/>
              <w:left w:val="single" w:sz="4" w:space="0" w:color="auto"/>
              <w:bottom w:val="single" w:sz="4" w:space="0" w:color="auto"/>
              <w:right w:val="single" w:sz="4" w:space="0" w:color="auto"/>
            </w:tcBorders>
            <w:vAlign w:val="center"/>
          </w:tcPr>
          <w:p w14:paraId="365E380C" w14:textId="77777777" w:rsidR="00DC3498" w:rsidRPr="00B84C8C" w:rsidRDefault="00DC3498" w:rsidP="00CB39E7">
            <w:pPr>
              <w:pStyle w:val="TableText"/>
              <w:jc w:val="center"/>
            </w:pPr>
            <w:r w:rsidRPr="00CB39E7">
              <w:t>0.5 inductive</w:t>
            </w:r>
          </w:p>
        </w:tc>
        <w:tc>
          <w:tcPr>
            <w:tcW w:w="487" w:type="pct"/>
            <w:tcBorders>
              <w:top w:val="single" w:sz="4" w:space="0" w:color="auto"/>
              <w:left w:val="single" w:sz="4" w:space="0" w:color="auto"/>
              <w:bottom w:val="single" w:sz="4" w:space="0" w:color="auto"/>
              <w:right w:val="single" w:sz="4" w:space="0" w:color="auto"/>
            </w:tcBorders>
            <w:vAlign w:val="center"/>
          </w:tcPr>
          <w:p w14:paraId="5798F7D4" w14:textId="77777777" w:rsidR="00DC3498" w:rsidRPr="00B84C8C" w:rsidRDefault="00DC3498" w:rsidP="00CB39E7">
            <w:pPr>
              <w:pStyle w:val="TableText"/>
              <w:jc w:val="center"/>
            </w:pPr>
            <w:r w:rsidRPr="00CB39E7">
              <w:t>—</w:t>
            </w:r>
          </w:p>
        </w:tc>
        <w:tc>
          <w:tcPr>
            <w:tcW w:w="487" w:type="pct"/>
            <w:tcBorders>
              <w:top w:val="single" w:sz="4" w:space="0" w:color="auto"/>
              <w:left w:val="single" w:sz="4" w:space="0" w:color="auto"/>
              <w:bottom w:val="single" w:sz="4" w:space="0" w:color="auto"/>
              <w:right w:val="single" w:sz="4" w:space="0" w:color="auto"/>
            </w:tcBorders>
            <w:vAlign w:val="center"/>
          </w:tcPr>
          <w:p w14:paraId="22686732" w14:textId="77777777" w:rsidR="00DC3498" w:rsidRPr="00B84C8C" w:rsidRDefault="00DC3498" w:rsidP="00CB39E7">
            <w:pPr>
              <w:pStyle w:val="TableText"/>
              <w:jc w:val="center"/>
            </w:pPr>
            <w:r w:rsidRPr="00CB39E7">
              <w:t>—</w:t>
            </w:r>
          </w:p>
        </w:tc>
        <w:tc>
          <w:tcPr>
            <w:tcW w:w="487" w:type="pct"/>
            <w:tcBorders>
              <w:top w:val="single" w:sz="4" w:space="0" w:color="auto"/>
              <w:left w:val="single" w:sz="4" w:space="0" w:color="auto"/>
              <w:bottom w:val="single" w:sz="4" w:space="0" w:color="auto"/>
              <w:right w:val="single" w:sz="4" w:space="0" w:color="auto"/>
            </w:tcBorders>
            <w:vAlign w:val="center"/>
          </w:tcPr>
          <w:p w14:paraId="1A4BA137" w14:textId="77777777" w:rsidR="00DC3498" w:rsidRPr="00B84C8C" w:rsidRDefault="00DC3498" w:rsidP="00CB39E7">
            <w:pPr>
              <w:pStyle w:val="TableText"/>
              <w:jc w:val="center"/>
            </w:pPr>
            <w:r w:rsidRPr="00CB39E7">
              <w:t>±1.5</w:t>
            </w:r>
          </w:p>
        </w:tc>
        <w:tc>
          <w:tcPr>
            <w:tcW w:w="485" w:type="pct"/>
            <w:tcBorders>
              <w:top w:val="single" w:sz="4" w:space="0" w:color="auto"/>
              <w:left w:val="single" w:sz="4" w:space="0" w:color="auto"/>
              <w:bottom w:val="single" w:sz="4" w:space="0" w:color="auto"/>
              <w:right w:val="single" w:sz="4" w:space="0" w:color="auto"/>
            </w:tcBorders>
            <w:vAlign w:val="center"/>
          </w:tcPr>
          <w:p w14:paraId="6274695C" w14:textId="77777777" w:rsidR="00DC3498" w:rsidRPr="00B84C8C" w:rsidRDefault="00DC3498" w:rsidP="00CB39E7">
            <w:pPr>
              <w:pStyle w:val="TableText"/>
              <w:jc w:val="center"/>
            </w:pPr>
            <w:r w:rsidRPr="00CB39E7">
              <w:t>±2.5</w:t>
            </w:r>
          </w:p>
        </w:tc>
      </w:tr>
      <w:tr w:rsidR="00DC3498" w:rsidRPr="00360580" w14:paraId="7893F252" w14:textId="77777777" w:rsidTr="00CB39E7">
        <w:trPr>
          <w:jc w:val="center"/>
        </w:trPr>
        <w:tc>
          <w:tcPr>
            <w:tcW w:w="1016" w:type="pct"/>
            <w:vMerge/>
            <w:tcBorders>
              <w:left w:val="single" w:sz="4" w:space="0" w:color="auto"/>
              <w:bottom w:val="single" w:sz="4" w:space="0" w:color="auto"/>
              <w:right w:val="single" w:sz="4" w:space="0" w:color="auto"/>
            </w:tcBorders>
            <w:vAlign w:val="center"/>
          </w:tcPr>
          <w:p w14:paraId="0062872D" w14:textId="77777777" w:rsidR="00DC3498" w:rsidRPr="00984937" w:rsidRDefault="00DC3498" w:rsidP="00CB39E7">
            <w:pPr>
              <w:pStyle w:val="TableText"/>
              <w:jc w:val="center"/>
            </w:pPr>
          </w:p>
        </w:tc>
        <w:tc>
          <w:tcPr>
            <w:tcW w:w="1237" w:type="pct"/>
            <w:vMerge/>
            <w:tcBorders>
              <w:left w:val="single" w:sz="4" w:space="0" w:color="auto"/>
              <w:bottom w:val="single" w:sz="4" w:space="0" w:color="auto"/>
              <w:right w:val="single" w:sz="4" w:space="0" w:color="auto"/>
            </w:tcBorders>
            <w:vAlign w:val="center"/>
          </w:tcPr>
          <w:p w14:paraId="5EE87E18" w14:textId="77777777" w:rsidR="00DC3498" w:rsidRPr="00CB39E7" w:rsidRDefault="00DC3498" w:rsidP="00CB39E7">
            <w:pPr>
              <w:pStyle w:val="TableText"/>
              <w:jc w:val="center"/>
            </w:pPr>
          </w:p>
        </w:tc>
        <w:tc>
          <w:tcPr>
            <w:tcW w:w="801" w:type="pct"/>
            <w:tcBorders>
              <w:top w:val="single" w:sz="4" w:space="0" w:color="auto"/>
              <w:left w:val="single" w:sz="4" w:space="0" w:color="auto"/>
              <w:bottom w:val="single" w:sz="4" w:space="0" w:color="auto"/>
              <w:right w:val="single" w:sz="4" w:space="0" w:color="auto"/>
            </w:tcBorders>
            <w:vAlign w:val="center"/>
          </w:tcPr>
          <w:p w14:paraId="183A5A21" w14:textId="77777777" w:rsidR="00DC3498" w:rsidRPr="00B84C8C" w:rsidRDefault="00DC3498" w:rsidP="00CB39E7">
            <w:pPr>
              <w:pStyle w:val="TableText"/>
              <w:jc w:val="center"/>
            </w:pPr>
            <w:r w:rsidRPr="00CB39E7">
              <w:t>0.8 capacitive</w:t>
            </w:r>
          </w:p>
        </w:tc>
        <w:tc>
          <w:tcPr>
            <w:tcW w:w="487" w:type="pct"/>
            <w:tcBorders>
              <w:top w:val="single" w:sz="4" w:space="0" w:color="auto"/>
              <w:left w:val="single" w:sz="4" w:space="0" w:color="auto"/>
              <w:bottom w:val="single" w:sz="4" w:space="0" w:color="auto"/>
              <w:right w:val="single" w:sz="4" w:space="0" w:color="auto"/>
            </w:tcBorders>
            <w:vAlign w:val="center"/>
          </w:tcPr>
          <w:p w14:paraId="11A06C13" w14:textId="77777777" w:rsidR="00DC3498" w:rsidRPr="00B84C8C" w:rsidRDefault="00DC3498" w:rsidP="00CB39E7">
            <w:pPr>
              <w:pStyle w:val="TableText"/>
              <w:jc w:val="center"/>
            </w:pPr>
            <w:r w:rsidRPr="00CB39E7">
              <w:t>—</w:t>
            </w:r>
          </w:p>
        </w:tc>
        <w:tc>
          <w:tcPr>
            <w:tcW w:w="487" w:type="pct"/>
            <w:tcBorders>
              <w:top w:val="single" w:sz="4" w:space="0" w:color="auto"/>
              <w:left w:val="single" w:sz="4" w:space="0" w:color="auto"/>
              <w:bottom w:val="single" w:sz="4" w:space="0" w:color="auto"/>
              <w:right w:val="single" w:sz="4" w:space="0" w:color="auto"/>
            </w:tcBorders>
            <w:vAlign w:val="center"/>
          </w:tcPr>
          <w:p w14:paraId="525EBE56" w14:textId="77777777" w:rsidR="00DC3498" w:rsidRPr="00B84C8C" w:rsidRDefault="00DC3498" w:rsidP="00CB39E7">
            <w:pPr>
              <w:pStyle w:val="TableText"/>
              <w:jc w:val="center"/>
            </w:pPr>
            <w:r w:rsidRPr="00CB39E7">
              <w:t>—</w:t>
            </w:r>
          </w:p>
        </w:tc>
        <w:tc>
          <w:tcPr>
            <w:tcW w:w="487" w:type="pct"/>
            <w:tcBorders>
              <w:top w:val="single" w:sz="4" w:space="0" w:color="auto"/>
              <w:left w:val="single" w:sz="4" w:space="0" w:color="auto"/>
              <w:bottom w:val="single" w:sz="4" w:space="0" w:color="auto"/>
              <w:right w:val="single" w:sz="4" w:space="0" w:color="auto"/>
            </w:tcBorders>
            <w:vAlign w:val="center"/>
          </w:tcPr>
          <w:p w14:paraId="17B8D43E" w14:textId="77777777" w:rsidR="00DC3498" w:rsidRPr="00B84C8C" w:rsidRDefault="00DC3498" w:rsidP="00CB39E7">
            <w:pPr>
              <w:pStyle w:val="TableText"/>
              <w:jc w:val="center"/>
            </w:pPr>
            <w:r w:rsidRPr="00CB39E7">
              <w:t>±1.5</w:t>
            </w:r>
          </w:p>
        </w:tc>
        <w:tc>
          <w:tcPr>
            <w:tcW w:w="485" w:type="pct"/>
            <w:tcBorders>
              <w:top w:val="single" w:sz="4" w:space="0" w:color="auto"/>
              <w:left w:val="single" w:sz="4" w:space="0" w:color="auto"/>
              <w:bottom w:val="single" w:sz="4" w:space="0" w:color="auto"/>
              <w:right w:val="single" w:sz="4" w:space="0" w:color="auto"/>
            </w:tcBorders>
            <w:vAlign w:val="center"/>
          </w:tcPr>
          <w:p w14:paraId="28B310B0" w14:textId="77777777" w:rsidR="00DC3498" w:rsidRPr="00B84C8C" w:rsidRDefault="00DC3498" w:rsidP="00CB39E7">
            <w:pPr>
              <w:pStyle w:val="TableText"/>
              <w:jc w:val="center"/>
            </w:pPr>
            <w:r w:rsidRPr="00CB39E7">
              <w:t>—</w:t>
            </w:r>
          </w:p>
        </w:tc>
      </w:tr>
      <w:tr w:rsidR="00DC3498" w:rsidRPr="00360580" w14:paraId="5C139C02" w14:textId="77777777" w:rsidTr="00CB39E7">
        <w:trPr>
          <w:jc w:val="center"/>
        </w:trPr>
        <w:tc>
          <w:tcPr>
            <w:tcW w:w="1016" w:type="pct"/>
            <w:vMerge w:val="restart"/>
            <w:tcBorders>
              <w:top w:val="single" w:sz="4" w:space="0" w:color="auto"/>
              <w:left w:val="single" w:sz="4" w:space="0" w:color="auto"/>
              <w:right w:val="single" w:sz="4" w:space="0" w:color="auto"/>
            </w:tcBorders>
            <w:vAlign w:val="center"/>
          </w:tcPr>
          <w:p w14:paraId="5EC43171" w14:textId="77777777" w:rsidR="00DC3498" w:rsidRPr="00984937" w:rsidRDefault="00DC3498" w:rsidP="00CB39E7">
            <w:pPr>
              <w:pStyle w:val="TableText"/>
              <w:jc w:val="center"/>
            </w:pPr>
            <w:r w:rsidRPr="00CB39E7">
              <w:t xml:space="preserve">0.2 </w:t>
            </w:r>
            <w:proofErr w:type="spellStart"/>
            <w:r w:rsidRPr="00CB39E7">
              <w:rPr>
                <w:i/>
              </w:rPr>
              <w:t>I</w:t>
            </w:r>
            <w:r w:rsidRPr="00CB39E7">
              <w:rPr>
                <w:vertAlign w:val="subscript"/>
              </w:rPr>
              <w:t>b</w:t>
            </w:r>
            <w:proofErr w:type="spellEnd"/>
            <w:r w:rsidRPr="00CB39E7">
              <w:t xml:space="preserve"> ≤ </w:t>
            </w:r>
            <w:r w:rsidRPr="00CB39E7">
              <w:rPr>
                <w:i/>
              </w:rPr>
              <w:t>I</w:t>
            </w:r>
            <w:r w:rsidRPr="00CB39E7">
              <w:t xml:space="preserve"> ≤ </w:t>
            </w:r>
            <w:r w:rsidRPr="00CB39E7">
              <w:rPr>
                <w:i/>
              </w:rPr>
              <w:t>I</w:t>
            </w:r>
            <w:r w:rsidRPr="00CB39E7">
              <w:rPr>
                <w:vertAlign w:val="subscript"/>
              </w:rPr>
              <w:t>max</w:t>
            </w:r>
          </w:p>
        </w:tc>
        <w:tc>
          <w:tcPr>
            <w:tcW w:w="1237" w:type="pct"/>
            <w:vMerge w:val="restart"/>
            <w:tcBorders>
              <w:top w:val="single" w:sz="4" w:space="0" w:color="auto"/>
              <w:left w:val="single" w:sz="4" w:space="0" w:color="auto"/>
              <w:right w:val="single" w:sz="4" w:space="0" w:color="auto"/>
            </w:tcBorders>
            <w:vAlign w:val="center"/>
          </w:tcPr>
          <w:p w14:paraId="27A9AD6B" w14:textId="77777777" w:rsidR="00DC3498" w:rsidRPr="00CB39E7" w:rsidRDefault="00DC3498" w:rsidP="00CB39E7">
            <w:pPr>
              <w:pStyle w:val="TableText"/>
              <w:jc w:val="center"/>
            </w:pPr>
            <w:r w:rsidRPr="00CB39E7">
              <w:t xml:space="preserve">0.1 </w:t>
            </w:r>
            <w:r w:rsidRPr="00CB39E7">
              <w:rPr>
                <w:i/>
              </w:rPr>
              <w:t>I</w:t>
            </w:r>
            <w:r w:rsidRPr="00CB39E7">
              <w:rPr>
                <w:vertAlign w:val="subscript"/>
              </w:rPr>
              <w:t>n</w:t>
            </w:r>
            <w:r w:rsidRPr="00CB39E7">
              <w:t xml:space="preserve"> ≤ </w:t>
            </w:r>
            <w:r w:rsidRPr="00CB39E7">
              <w:rPr>
                <w:i/>
              </w:rPr>
              <w:t>I</w:t>
            </w:r>
            <w:r w:rsidRPr="00CB39E7">
              <w:t xml:space="preserve"> ≤ </w:t>
            </w:r>
            <w:r w:rsidRPr="00CB39E7">
              <w:rPr>
                <w:i/>
              </w:rPr>
              <w:t>I</w:t>
            </w:r>
            <w:r w:rsidRPr="00CB39E7">
              <w:rPr>
                <w:vertAlign w:val="subscript"/>
              </w:rPr>
              <w:t>max</w:t>
            </w:r>
          </w:p>
        </w:tc>
        <w:tc>
          <w:tcPr>
            <w:tcW w:w="801" w:type="pct"/>
            <w:tcBorders>
              <w:top w:val="single" w:sz="4" w:space="0" w:color="auto"/>
              <w:left w:val="single" w:sz="4" w:space="0" w:color="auto"/>
              <w:bottom w:val="single" w:sz="4" w:space="0" w:color="auto"/>
              <w:right w:val="single" w:sz="4" w:space="0" w:color="auto"/>
            </w:tcBorders>
            <w:vAlign w:val="center"/>
          </w:tcPr>
          <w:p w14:paraId="336EB4E5" w14:textId="77777777" w:rsidR="00DC3498" w:rsidRPr="00B84C8C" w:rsidRDefault="00DC3498" w:rsidP="00CB39E7">
            <w:pPr>
              <w:pStyle w:val="TableText"/>
              <w:jc w:val="center"/>
            </w:pPr>
            <w:r w:rsidRPr="00CB39E7">
              <w:t>0.5 inductive</w:t>
            </w:r>
          </w:p>
        </w:tc>
        <w:tc>
          <w:tcPr>
            <w:tcW w:w="487" w:type="pct"/>
            <w:tcBorders>
              <w:top w:val="single" w:sz="4" w:space="0" w:color="auto"/>
              <w:left w:val="single" w:sz="4" w:space="0" w:color="auto"/>
              <w:bottom w:val="single" w:sz="4" w:space="0" w:color="auto"/>
              <w:right w:val="single" w:sz="4" w:space="0" w:color="auto"/>
            </w:tcBorders>
            <w:vAlign w:val="center"/>
          </w:tcPr>
          <w:p w14:paraId="391E728F" w14:textId="77777777" w:rsidR="00DC3498" w:rsidRPr="00B84C8C" w:rsidRDefault="00DC3498" w:rsidP="00CB39E7">
            <w:pPr>
              <w:pStyle w:val="TableText"/>
              <w:jc w:val="center"/>
            </w:pPr>
            <w:r w:rsidRPr="00CB39E7">
              <w:t>±0.3</w:t>
            </w:r>
          </w:p>
        </w:tc>
        <w:tc>
          <w:tcPr>
            <w:tcW w:w="487" w:type="pct"/>
            <w:tcBorders>
              <w:top w:val="single" w:sz="4" w:space="0" w:color="auto"/>
              <w:left w:val="single" w:sz="4" w:space="0" w:color="auto"/>
              <w:bottom w:val="single" w:sz="4" w:space="0" w:color="auto"/>
              <w:right w:val="single" w:sz="4" w:space="0" w:color="auto"/>
            </w:tcBorders>
            <w:vAlign w:val="center"/>
          </w:tcPr>
          <w:p w14:paraId="601DA8B8" w14:textId="77777777" w:rsidR="00DC3498" w:rsidRPr="00B84C8C" w:rsidRDefault="00DC3498" w:rsidP="00CB39E7">
            <w:pPr>
              <w:pStyle w:val="TableText"/>
              <w:jc w:val="center"/>
            </w:pPr>
            <w:r w:rsidRPr="00CB39E7">
              <w:t>±0.6</w:t>
            </w:r>
          </w:p>
        </w:tc>
        <w:tc>
          <w:tcPr>
            <w:tcW w:w="487" w:type="pct"/>
            <w:tcBorders>
              <w:top w:val="single" w:sz="4" w:space="0" w:color="auto"/>
              <w:left w:val="single" w:sz="4" w:space="0" w:color="auto"/>
              <w:bottom w:val="single" w:sz="4" w:space="0" w:color="auto"/>
              <w:right w:val="single" w:sz="4" w:space="0" w:color="auto"/>
            </w:tcBorders>
            <w:vAlign w:val="center"/>
          </w:tcPr>
          <w:p w14:paraId="6CDE93B3" w14:textId="77777777" w:rsidR="00DC3498" w:rsidRPr="00B84C8C" w:rsidRDefault="00DC3498" w:rsidP="00CB39E7">
            <w:pPr>
              <w:pStyle w:val="TableText"/>
              <w:jc w:val="center"/>
            </w:pPr>
            <w:r w:rsidRPr="00CB39E7">
              <w:t>±1.0</w:t>
            </w:r>
          </w:p>
        </w:tc>
        <w:tc>
          <w:tcPr>
            <w:tcW w:w="485" w:type="pct"/>
            <w:tcBorders>
              <w:top w:val="single" w:sz="4" w:space="0" w:color="auto"/>
              <w:left w:val="single" w:sz="4" w:space="0" w:color="auto"/>
              <w:bottom w:val="single" w:sz="4" w:space="0" w:color="auto"/>
              <w:right w:val="single" w:sz="4" w:space="0" w:color="auto"/>
            </w:tcBorders>
            <w:vAlign w:val="center"/>
          </w:tcPr>
          <w:p w14:paraId="31D539B5" w14:textId="77777777" w:rsidR="00DC3498" w:rsidRPr="00B84C8C" w:rsidRDefault="00DC3498" w:rsidP="00CB39E7">
            <w:pPr>
              <w:pStyle w:val="TableText"/>
              <w:jc w:val="center"/>
            </w:pPr>
            <w:r w:rsidRPr="00CB39E7">
              <w:t>±2.0</w:t>
            </w:r>
          </w:p>
        </w:tc>
      </w:tr>
      <w:tr w:rsidR="00DC3498" w:rsidRPr="00360580" w14:paraId="3AFB7710" w14:textId="77777777" w:rsidTr="00CB39E7">
        <w:trPr>
          <w:jc w:val="center"/>
        </w:trPr>
        <w:tc>
          <w:tcPr>
            <w:tcW w:w="1016" w:type="pct"/>
            <w:vMerge/>
            <w:tcBorders>
              <w:left w:val="single" w:sz="4" w:space="0" w:color="auto"/>
              <w:bottom w:val="single" w:sz="4" w:space="0" w:color="auto"/>
              <w:right w:val="single" w:sz="4" w:space="0" w:color="auto"/>
            </w:tcBorders>
            <w:vAlign w:val="center"/>
          </w:tcPr>
          <w:p w14:paraId="7754EEF6" w14:textId="77777777" w:rsidR="00DC3498" w:rsidRPr="008A52F7" w:rsidRDefault="00DC3498" w:rsidP="00CB39E7">
            <w:pPr>
              <w:pStyle w:val="TableText"/>
              <w:jc w:val="center"/>
              <w:rPr>
                <w:rFonts w:ascii="Cambria Math" w:hAnsi="Cambria Math"/>
              </w:rPr>
            </w:pPr>
          </w:p>
        </w:tc>
        <w:tc>
          <w:tcPr>
            <w:tcW w:w="1237" w:type="pct"/>
            <w:vMerge/>
            <w:tcBorders>
              <w:left w:val="single" w:sz="4" w:space="0" w:color="auto"/>
              <w:bottom w:val="single" w:sz="4" w:space="0" w:color="auto"/>
              <w:right w:val="single" w:sz="4" w:space="0" w:color="auto"/>
            </w:tcBorders>
            <w:vAlign w:val="center"/>
          </w:tcPr>
          <w:p w14:paraId="10604556" w14:textId="77777777" w:rsidR="00DC3498" w:rsidRPr="008A52F7" w:rsidRDefault="00DC3498" w:rsidP="00CB39E7">
            <w:pPr>
              <w:pStyle w:val="TableText"/>
              <w:jc w:val="center"/>
              <w:rPr>
                <w:rFonts w:ascii="Cambria Math" w:hAnsi="Cambria Math"/>
              </w:rPr>
            </w:pPr>
          </w:p>
        </w:tc>
        <w:tc>
          <w:tcPr>
            <w:tcW w:w="801" w:type="pct"/>
            <w:tcBorders>
              <w:top w:val="single" w:sz="4" w:space="0" w:color="auto"/>
              <w:left w:val="single" w:sz="4" w:space="0" w:color="auto"/>
              <w:bottom w:val="single" w:sz="4" w:space="0" w:color="auto"/>
              <w:right w:val="single" w:sz="4" w:space="0" w:color="auto"/>
            </w:tcBorders>
            <w:vAlign w:val="center"/>
          </w:tcPr>
          <w:p w14:paraId="5850B25B" w14:textId="77777777" w:rsidR="00DC3498" w:rsidRPr="00CB39E7" w:rsidRDefault="00DC3498" w:rsidP="00CB39E7">
            <w:pPr>
              <w:pStyle w:val="TableText"/>
              <w:jc w:val="center"/>
            </w:pPr>
            <w:r w:rsidRPr="00CB39E7">
              <w:t>0.8 capacitive</w:t>
            </w:r>
          </w:p>
        </w:tc>
        <w:tc>
          <w:tcPr>
            <w:tcW w:w="487" w:type="pct"/>
            <w:tcBorders>
              <w:top w:val="single" w:sz="4" w:space="0" w:color="auto"/>
              <w:left w:val="single" w:sz="4" w:space="0" w:color="auto"/>
              <w:bottom w:val="single" w:sz="4" w:space="0" w:color="auto"/>
              <w:right w:val="single" w:sz="4" w:space="0" w:color="auto"/>
            </w:tcBorders>
            <w:vAlign w:val="center"/>
          </w:tcPr>
          <w:p w14:paraId="2AD73D27" w14:textId="77777777" w:rsidR="00DC3498" w:rsidRPr="00CB39E7" w:rsidRDefault="00DC3498" w:rsidP="00CB39E7">
            <w:pPr>
              <w:pStyle w:val="TableText"/>
              <w:jc w:val="center"/>
            </w:pPr>
            <w:r w:rsidRPr="00CB39E7">
              <w:t>±0.3</w:t>
            </w:r>
          </w:p>
        </w:tc>
        <w:tc>
          <w:tcPr>
            <w:tcW w:w="487" w:type="pct"/>
            <w:tcBorders>
              <w:top w:val="single" w:sz="4" w:space="0" w:color="auto"/>
              <w:left w:val="single" w:sz="4" w:space="0" w:color="auto"/>
              <w:bottom w:val="single" w:sz="4" w:space="0" w:color="auto"/>
              <w:right w:val="single" w:sz="4" w:space="0" w:color="auto"/>
            </w:tcBorders>
            <w:vAlign w:val="center"/>
          </w:tcPr>
          <w:p w14:paraId="1E51D0D2" w14:textId="77777777" w:rsidR="00DC3498" w:rsidRPr="00CB39E7" w:rsidRDefault="00DC3498" w:rsidP="00CB39E7">
            <w:pPr>
              <w:pStyle w:val="TableText"/>
              <w:jc w:val="center"/>
            </w:pPr>
            <w:r w:rsidRPr="00CB39E7">
              <w:t>±0.6</w:t>
            </w:r>
          </w:p>
        </w:tc>
        <w:tc>
          <w:tcPr>
            <w:tcW w:w="487" w:type="pct"/>
            <w:tcBorders>
              <w:top w:val="single" w:sz="4" w:space="0" w:color="auto"/>
              <w:left w:val="single" w:sz="4" w:space="0" w:color="auto"/>
              <w:bottom w:val="single" w:sz="4" w:space="0" w:color="auto"/>
              <w:right w:val="single" w:sz="4" w:space="0" w:color="auto"/>
            </w:tcBorders>
            <w:vAlign w:val="center"/>
          </w:tcPr>
          <w:p w14:paraId="43C4BEFD" w14:textId="77777777" w:rsidR="00DC3498" w:rsidRPr="00CB39E7" w:rsidRDefault="00DC3498" w:rsidP="00CB39E7">
            <w:pPr>
              <w:pStyle w:val="TableText"/>
              <w:jc w:val="center"/>
            </w:pPr>
            <w:r w:rsidRPr="00CB39E7">
              <w:t>±1.0</w:t>
            </w:r>
          </w:p>
        </w:tc>
        <w:tc>
          <w:tcPr>
            <w:tcW w:w="485" w:type="pct"/>
            <w:tcBorders>
              <w:top w:val="single" w:sz="4" w:space="0" w:color="auto"/>
              <w:left w:val="single" w:sz="4" w:space="0" w:color="auto"/>
              <w:bottom w:val="single" w:sz="4" w:space="0" w:color="auto"/>
              <w:right w:val="single" w:sz="4" w:space="0" w:color="auto"/>
            </w:tcBorders>
            <w:vAlign w:val="center"/>
          </w:tcPr>
          <w:p w14:paraId="6DDFBA50" w14:textId="77777777" w:rsidR="00DC3498" w:rsidRPr="008A52F7" w:rsidRDefault="00DC3498" w:rsidP="00CB39E7">
            <w:pPr>
              <w:pStyle w:val="TableText"/>
              <w:jc w:val="center"/>
              <w:rPr>
                <w:rFonts w:ascii="Cambria Math" w:hAnsi="Cambria Math"/>
              </w:rPr>
            </w:pPr>
            <w:r w:rsidRPr="008A52F7">
              <w:rPr>
                <w:rFonts w:ascii="Cambria Math" w:hAnsi="Cambria Math"/>
              </w:rPr>
              <w:t>—</w:t>
            </w:r>
          </w:p>
        </w:tc>
      </w:tr>
    </w:tbl>
    <w:p w14:paraId="5C137F25" w14:textId="77777777" w:rsidR="00DC3498" w:rsidRDefault="00DC3498" w:rsidP="00DC3498">
      <w:pPr>
        <w:pStyle w:val="Caption"/>
      </w:pPr>
      <w:bookmarkStart w:id="67" w:name="_Ref146641649"/>
    </w:p>
    <w:p w14:paraId="7301A294" w14:textId="77777777" w:rsidR="00DC3498" w:rsidRDefault="00DC3498" w:rsidP="00DC3498">
      <w:pPr>
        <w:spacing w:after="200"/>
        <w:rPr>
          <w:b/>
          <w:bCs/>
          <w:color w:val="A6192E"/>
          <w:szCs w:val="18"/>
        </w:rPr>
      </w:pPr>
      <w:r>
        <w:br w:type="page"/>
      </w:r>
    </w:p>
    <w:p w14:paraId="20C6F670" w14:textId="4F816B04" w:rsidR="00DC3498" w:rsidRDefault="00DC3498" w:rsidP="00DC3498">
      <w:pPr>
        <w:pStyle w:val="Caption"/>
      </w:pPr>
      <w:r>
        <w:lastRenderedPageBreak/>
        <w:t xml:space="preserve">Table </w:t>
      </w:r>
      <w:r w:rsidR="00440352">
        <w:fldChar w:fldCharType="begin"/>
      </w:r>
      <w:r w:rsidR="00440352">
        <w:instrText xml:space="preserve"> SEQ Table \* ARABIC </w:instrText>
      </w:r>
      <w:r w:rsidR="00440352">
        <w:fldChar w:fldCharType="separate"/>
      </w:r>
      <w:r w:rsidR="003F6048">
        <w:rPr>
          <w:noProof/>
        </w:rPr>
        <w:t>5</w:t>
      </w:r>
      <w:r w:rsidR="00440352">
        <w:rPr>
          <w:noProof/>
        </w:rPr>
        <w:fldChar w:fldCharType="end"/>
      </w:r>
      <w:bookmarkEnd w:id="67"/>
      <w:r>
        <w:t xml:space="preserve">. </w:t>
      </w:r>
      <w:r w:rsidR="00D4655F">
        <w:t>MPEs</w:t>
      </w:r>
      <w:r w:rsidRPr="00476A16">
        <w:t xml:space="preserve"> for </w:t>
      </w:r>
      <w:r w:rsidRPr="00675E66">
        <w:t>polyphase</w:t>
      </w:r>
      <w:r w:rsidRPr="00476A16">
        <w:t xml:space="preserve"> electricity meters carrying a </w:t>
      </w:r>
      <w:proofErr w:type="gramStart"/>
      <w:r w:rsidRPr="00476A16">
        <w:t>single phase</w:t>
      </w:r>
      <w:proofErr w:type="gramEnd"/>
      <w:r w:rsidRPr="00476A16">
        <w:t xml:space="preserve"> load, but with balanced polyphase</w:t>
      </w:r>
      <w:r>
        <w:t xml:space="preserve"> (NMI M 13)</w:t>
      </w:r>
    </w:p>
    <w:tbl>
      <w:tblPr>
        <w:tblW w:w="5000" w:type="pct"/>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1980"/>
        <w:gridCol w:w="2410"/>
        <w:gridCol w:w="1559"/>
        <w:gridCol w:w="949"/>
        <w:gridCol w:w="949"/>
        <w:gridCol w:w="949"/>
        <w:gridCol w:w="947"/>
      </w:tblGrid>
      <w:tr w:rsidR="00DC3498" w14:paraId="264E0C07" w14:textId="77777777" w:rsidTr="00CB39E7">
        <w:trPr>
          <w:jc w:val="center"/>
        </w:trPr>
        <w:tc>
          <w:tcPr>
            <w:tcW w:w="2253" w:type="pct"/>
            <w:gridSpan w:val="2"/>
            <w:tcBorders>
              <w:top w:val="single" w:sz="4" w:space="0" w:color="auto"/>
              <w:left w:val="single" w:sz="4" w:space="0" w:color="auto"/>
              <w:bottom w:val="single" w:sz="4" w:space="0" w:color="auto"/>
              <w:right w:val="single" w:sz="4" w:space="0" w:color="auto"/>
            </w:tcBorders>
            <w:shd w:val="clear" w:color="auto" w:fill="A50021"/>
            <w:vAlign w:val="center"/>
          </w:tcPr>
          <w:p w14:paraId="0BE8E51B" w14:textId="77777777" w:rsidR="00DC3498" w:rsidRPr="005849DE" w:rsidRDefault="00DC3498" w:rsidP="00CB39E7">
            <w:pPr>
              <w:pStyle w:val="TableText"/>
              <w:jc w:val="center"/>
              <w:rPr>
                <w:b/>
                <w:bCs/>
              </w:rPr>
            </w:pPr>
            <w:r w:rsidRPr="005849DE">
              <w:rPr>
                <w:b/>
                <w:bCs/>
              </w:rPr>
              <w:t>Value of current</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50021"/>
            <w:vAlign w:val="center"/>
          </w:tcPr>
          <w:p w14:paraId="00A9FC0D" w14:textId="77777777" w:rsidR="00DC3498" w:rsidRPr="005849DE" w:rsidRDefault="00DC3498" w:rsidP="00CB39E7">
            <w:pPr>
              <w:pStyle w:val="TableText"/>
              <w:jc w:val="center"/>
              <w:rPr>
                <w:b/>
                <w:bCs/>
              </w:rPr>
            </w:pPr>
            <w:r w:rsidRPr="005849DE">
              <w:rPr>
                <w:b/>
                <w:bCs/>
              </w:rPr>
              <w:t>Power factor</w:t>
            </w:r>
          </w:p>
        </w:tc>
        <w:tc>
          <w:tcPr>
            <w:tcW w:w="1947" w:type="pct"/>
            <w:gridSpan w:val="4"/>
            <w:tcBorders>
              <w:top w:val="single" w:sz="4" w:space="0" w:color="auto"/>
              <w:left w:val="single" w:sz="4" w:space="0" w:color="auto"/>
              <w:bottom w:val="single" w:sz="4" w:space="0" w:color="auto"/>
              <w:right w:val="single" w:sz="4" w:space="0" w:color="auto"/>
            </w:tcBorders>
            <w:shd w:val="clear" w:color="auto" w:fill="A50021"/>
            <w:vAlign w:val="center"/>
          </w:tcPr>
          <w:p w14:paraId="14373DE4" w14:textId="77777777" w:rsidR="00DC3498" w:rsidRPr="005849DE" w:rsidRDefault="00DC3498" w:rsidP="00CB39E7">
            <w:pPr>
              <w:pStyle w:val="TableText"/>
              <w:jc w:val="center"/>
              <w:rPr>
                <w:b/>
                <w:bCs/>
              </w:rPr>
            </w:pPr>
            <w:r w:rsidRPr="005849DE">
              <w:rPr>
                <w:b/>
                <w:bCs/>
              </w:rPr>
              <w:t>Percentage error limits for meter class</w:t>
            </w:r>
          </w:p>
        </w:tc>
      </w:tr>
      <w:tr w:rsidR="00DC3498" w14:paraId="1827E98E" w14:textId="77777777" w:rsidTr="00CB39E7">
        <w:trPr>
          <w:jc w:val="center"/>
        </w:trPr>
        <w:tc>
          <w:tcPr>
            <w:tcW w:w="1016" w:type="pct"/>
            <w:tcBorders>
              <w:top w:val="single" w:sz="4" w:space="0" w:color="auto"/>
              <w:left w:val="single" w:sz="4" w:space="0" w:color="auto"/>
              <w:bottom w:val="single" w:sz="4" w:space="0" w:color="auto"/>
              <w:right w:val="single" w:sz="4" w:space="0" w:color="auto"/>
            </w:tcBorders>
            <w:shd w:val="clear" w:color="auto" w:fill="A50021"/>
            <w:vAlign w:val="center"/>
          </w:tcPr>
          <w:p w14:paraId="1B30305D" w14:textId="77777777" w:rsidR="00DC3498" w:rsidRPr="005849DE" w:rsidRDefault="00DC3498" w:rsidP="00CB39E7">
            <w:pPr>
              <w:pStyle w:val="TableText"/>
              <w:jc w:val="center"/>
              <w:rPr>
                <w:b/>
                <w:bCs/>
              </w:rPr>
            </w:pPr>
            <w:proofErr w:type="gramStart"/>
            <w:r w:rsidRPr="005849DE">
              <w:rPr>
                <w:b/>
                <w:bCs/>
              </w:rPr>
              <w:t>Direct-connected</w:t>
            </w:r>
            <w:proofErr w:type="gramEnd"/>
          </w:p>
        </w:tc>
        <w:tc>
          <w:tcPr>
            <w:tcW w:w="1237" w:type="pct"/>
            <w:tcBorders>
              <w:top w:val="single" w:sz="4" w:space="0" w:color="auto"/>
              <w:left w:val="single" w:sz="4" w:space="0" w:color="auto"/>
              <w:bottom w:val="single" w:sz="4" w:space="0" w:color="auto"/>
              <w:right w:val="single" w:sz="4" w:space="0" w:color="auto"/>
            </w:tcBorders>
            <w:shd w:val="clear" w:color="auto" w:fill="A50021"/>
            <w:vAlign w:val="center"/>
          </w:tcPr>
          <w:p w14:paraId="22BC2A61" w14:textId="77777777" w:rsidR="00DC3498" w:rsidRPr="005849DE" w:rsidRDefault="00DC3498" w:rsidP="00CB39E7">
            <w:pPr>
              <w:pStyle w:val="TableText"/>
              <w:jc w:val="center"/>
              <w:rPr>
                <w:b/>
                <w:bCs/>
              </w:rPr>
            </w:pPr>
            <w:r w:rsidRPr="005849DE">
              <w:rPr>
                <w:b/>
                <w:bCs/>
              </w:rPr>
              <w:t>Transformer-operated</w:t>
            </w:r>
          </w:p>
        </w:tc>
        <w:tc>
          <w:tcPr>
            <w:tcW w:w="800" w:type="pct"/>
            <w:vMerge/>
            <w:tcBorders>
              <w:top w:val="single" w:sz="4" w:space="0" w:color="auto"/>
              <w:left w:val="single" w:sz="4" w:space="0" w:color="auto"/>
              <w:bottom w:val="single" w:sz="4" w:space="0" w:color="auto"/>
              <w:right w:val="single" w:sz="4" w:space="0" w:color="auto"/>
            </w:tcBorders>
            <w:shd w:val="clear" w:color="auto" w:fill="A50021"/>
            <w:vAlign w:val="center"/>
          </w:tcPr>
          <w:p w14:paraId="27B28B1E" w14:textId="77777777" w:rsidR="00DC3498" w:rsidRPr="005849DE" w:rsidRDefault="00DC3498" w:rsidP="00CB39E7">
            <w:pPr>
              <w:pStyle w:val="TableText"/>
              <w:jc w:val="center"/>
              <w:rPr>
                <w:b/>
                <w:bCs/>
              </w:rPr>
            </w:pPr>
          </w:p>
        </w:tc>
        <w:tc>
          <w:tcPr>
            <w:tcW w:w="487" w:type="pct"/>
            <w:tcBorders>
              <w:top w:val="single" w:sz="4" w:space="0" w:color="auto"/>
              <w:left w:val="single" w:sz="4" w:space="0" w:color="auto"/>
              <w:bottom w:val="single" w:sz="4" w:space="0" w:color="auto"/>
              <w:right w:val="single" w:sz="4" w:space="0" w:color="auto"/>
            </w:tcBorders>
            <w:shd w:val="clear" w:color="auto" w:fill="A50021"/>
            <w:vAlign w:val="center"/>
          </w:tcPr>
          <w:p w14:paraId="078FBEC1" w14:textId="009A2BC0" w:rsidR="00DC3498" w:rsidRPr="005849DE" w:rsidRDefault="00DC3498" w:rsidP="00CB39E7">
            <w:pPr>
              <w:pStyle w:val="TableText"/>
              <w:jc w:val="center"/>
              <w:rPr>
                <w:b/>
                <w:bCs/>
              </w:rPr>
            </w:pPr>
            <w:r w:rsidRPr="005849DE">
              <w:rPr>
                <w:b/>
                <w:bCs/>
              </w:rPr>
              <w:t>0.2</w:t>
            </w:r>
            <w:r w:rsidR="0096413F">
              <w:rPr>
                <w:b/>
                <w:bCs/>
              </w:rPr>
              <w:t xml:space="preserve"> </w:t>
            </w:r>
            <w:r w:rsidRPr="005849DE">
              <w:rPr>
                <w:b/>
                <w:bCs/>
              </w:rPr>
              <w:t>S</w:t>
            </w:r>
          </w:p>
        </w:tc>
        <w:tc>
          <w:tcPr>
            <w:tcW w:w="487" w:type="pct"/>
            <w:tcBorders>
              <w:top w:val="single" w:sz="4" w:space="0" w:color="auto"/>
              <w:left w:val="single" w:sz="4" w:space="0" w:color="auto"/>
              <w:bottom w:val="single" w:sz="4" w:space="0" w:color="auto"/>
              <w:right w:val="single" w:sz="4" w:space="0" w:color="auto"/>
            </w:tcBorders>
            <w:shd w:val="clear" w:color="auto" w:fill="A50021"/>
            <w:vAlign w:val="center"/>
          </w:tcPr>
          <w:p w14:paraId="30959A77" w14:textId="67111E72" w:rsidR="00DC3498" w:rsidRPr="005849DE" w:rsidRDefault="00DC3498" w:rsidP="00CB39E7">
            <w:pPr>
              <w:pStyle w:val="TableText"/>
              <w:jc w:val="center"/>
              <w:rPr>
                <w:b/>
                <w:bCs/>
              </w:rPr>
            </w:pPr>
            <w:r w:rsidRPr="005849DE">
              <w:rPr>
                <w:b/>
                <w:bCs/>
              </w:rPr>
              <w:t>0.5</w:t>
            </w:r>
            <w:r w:rsidR="0096413F">
              <w:rPr>
                <w:b/>
                <w:bCs/>
              </w:rPr>
              <w:t xml:space="preserve"> </w:t>
            </w:r>
            <w:r w:rsidRPr="005849DE">
              <w:rPr>
                <w:b/>
                <w:bCs/>
              </w:rPr>
              <w:t>S</w:t>
            </w:r>
          </w:p>
        </w:tc>
        <w:tc>
          <w:tcPr>
            <w:tcW w:w="487" w:type="pct"/>
            <w:tcBorders>
              <w:top w:val="single" w:sz="4" w:space="0" w:color="auto"/>
              <w:left w:val="single" w:sz="4" w:space="0" w:color="auto"/>
              <w:bottom w:val="single" w:sz="4" w:space="0" w:color="auto"/>
              <w:right w:val="single" w:sz="4" w:space="0" w:color="auto"/>
            </w:tcBorders>
            <w:shd w:val="clear" w:color="auto" w:fill="A50021"/>
            <w:vAlign w:val="center"/>
          </w:tcPr>
          <w:p w14:paraId="765386BB" w14:textId="77777777" w:rsidR="00DC3498" w:rsidRPr="005849DE" w:rsidRDefault="00DC3498" w:rsidP="00CB39E7">
            <w:pPr>
              <w:pStyle w:val="TableText"/>
              <w:jc w:val="center"/>
              <w:rPr>
                <w:b/>
                <w:bCs/>
              </w:rPr>
            </w:pPr>
            <w:r w:rsidRPr="005849DE">
              <w:rPr>
                <w:b/>
                <w:bCs/>
              </w:rPr>
              <w:t>1</w:t>
            </w:r>
          </w:p>
        </w:tc>
        <w:tc>
          <w:tcPr>
            <w:tcW w:w="486" w:type="pct"/>
            <w:tcBorders>
              <w:top w:val="single" w:sz="4" w:space="0" w:color="auto"/>
              <w:left w:val="single" w:sz="4" w:space="0" w:color="auto"/>
              <w:bottom w:val="single" w:sz="4" w:space="0" w:color="auto"/>
              <w:right w:val="single" w:sz="4" w:space="0" w:color="auto"/>
            </w:tcBorders>
            <w:shd w:val="clear" w:color="auto" w:fill="A50021"/>
            <w:vAlign w:val="center"/>
          </w:tcPr>
          <w:p w14:paraId="7D649EAA" w14:textId="77777777" w:rsidR="00DC3498" w:rsidRPr="005849DE" w:rsidRDefault="00DC3498" w:rsidP="00CB39E7">
            <w:pPr>
              <w:pStyle w:val="TableText"/>
              <w:jc w:val="center"/>
              <w:rPr>
                <w:b/>
                <w:bCs/>
              </w:rPr>
            </w:pPr>
            <w:r w:rsidRPr="005849DE">
              <w:rPr>
                <w:b/>
                <w:bCs/>
              </w:rPr>
              <w:t>2</w:t>
            </w:r>
          </w:p>
        </w:tc>
      </w:tr>
      <w:tr w:rsidR="00DC3498" w:rsidRPr="00360580" w14:paraId="642480EB" w14:textId="77777777" w:rsidTr="00CB39E7">
        <w:trPr>
          <w:jc w:val="center"/>
        </w:trPr>
        <w:tc>
          <w:tcPr>
            <w:tcW w:w="1016" w:type="pct"/>
            <w:tcBorders>
              <w:top w:val="single" w:sz="4" w:space="0" w:color="auto"/>
              <w:left w:val="single" w:sz="4" w:space="0" w:color="auto"/>
              <w:bottom w:val="single" w:sz="4" w:space="0" w:color="auto"/>
              <w:right w:val="single" w:sz="4" w:space="0" w:color="auto"/>
            </w:tcBorders>
            <w:vAlign w:val="center"/>
          </w:tcPr>
          <w:p w14:paraId="4E37A18F" w14:textId="77777777" w:rsidR="00DC3498" w:rsidRPr="00B84C8C" w:rsidRDefault="00DC3498" w:rsidP="00CB39E7">
            <w:pPr>
              <w:pStyle w:val="TableText"/>
              <w:jc w:val="center"/>
            </w:pPr>
            <w:r w:rsidRPr="00CB39E7">
              <w:t xml:space="preserve">0.1 </w:t>
            </w:r>
            <w:proofErr w:type="spellStart"/>
            <w:r w:rsidRPr="00CB39E7">
              <w:rPr>
                <w:i/>
              </w:rPr>
              <w:t>I</w:t>
            </w:r>
            <w:r w:rsidRPr="00CB39E7">
              <w:rPr>
                <w:vertAlign w:val="subscript"/>
              </w:rPr>
              <w:t>b</w:t>
            </w:r>
            <w:proofErr w:type="spellEnd"/>
            <w:r w:rsidRPr="00CB39E7">
              <w:t xml:space="preserve"> ≤ </w:t>
            </w:r>
            <w:r w:rsidRPr="00CB39E7">
              <w:rPr>
                <w:i/>
              </w:rPr>
              <w:t>I</w:t>
            </w:r>
            <w:r w:rsidRPr="00CB39E7">
              <w:t xml:space="preserve"> ≤ </w:t>
            </w:r>
            <w:r w:rsidRPr="00CB39E7">
              <w:rPr>
                <w:i/>
              </w:rPr>
              <w:t>I</w:t>
            </w:r>
            <w:r w:rsidRPr="00CB39E7">
              <w:rPr>
                <w:vertAlign w:val="subscript"/>
              </w:rPr>
              <w:t>max</w:t>
            </w:r>
          </w:p>
        </w:tc>
        <w:tc>
          <w:tcPr>
            <w:tcW w:w="1237" w:type="pct"/>
            <w:tcBorders>
              <w:top w:val="single" w:sz="4" w:space="0" w:color="auto"/>
              <w:left w:val="single" w:sz="4" w:space="0" w:color="auto"/>
              <w:bottom w:val="single" w:sz="4" w:space="0" w:color="auto"/>
              <w:right w:val="single" w:sz="4" w:space="0" w:color="auto"/>
            </w:tcBorders>
            <w:vAlign w:val="center"/>
          </w:tcPr>
          <w:p w14:paraId="473DD4E6" w14:textId="77777777" w:rsidR="00DC3498" w:rsidRPr="00CB39E7" w:rsidRDefault="00DC3498" w:rsidP="00CB39E7">
            <w:pPr>
              <w:pStyle w:val="TableText"/>
              <w:jc w:val="center"/>
            </w:pPr>
            <w:r w:rsidRPr="00CB39E7">
              <w:t xml:space="preserve">0.05 </w:t>
            </w:r>
            <w:r w:rsidRPr="00CB39E7">
              <w:rPr>
                <w:i/>
              </w:rPr>
              <w:t>I</w:t>
            </w:r>
            <w:r w:rsidRPr="00CB39E7">
              <w:rPr>
                <w:vertAlign w:val="subscript"/>
              </w:rPr>
              <w:t>n</w:t>
            </w:r>
            <w:r w:rsidRPr="00CB39E7">
              <w:t xml:space="preserve"> ≤ </w:t>
            </w:r>
            <w:r w:rsidRPr="00CB39E7">
              <w:rPr>
                <w:i/>
              </w:rPr>
              <w:t>I</w:t>
            </w:r>
            <w:r w:rsidRPr="00CB39E7">
              <w:t xml:space="preserve"> ≤ </w:t>
            </w:r>
            <w:r w:rsidRPr="00CB39E7">
              <w:rPr>
                <w:i/>
              </w:rPr>
              <w:t>I</w:t>
            </w:r>
            <w:r w:rsidRPr="00CB39E7">
              <w:rPr>
                <w:vertAlign w:val="subscript"/>
              </w:rPr>
              <w:t>max</w:t>
            </w:r>
          </w:p>
        </w:tc>
        <w:tc>
          <w:tcPr>
            <w:tcW w:w="800" w:type="pct"/>
            <w:tcBorders>
              <w:top w:val="single" w:sz="4" w:space="0" w:color="auto"/>
              <w:left w:val="single" w:sz="4" w:space="0" w:color="auto"/>
              <w:bottom w:val="single" w:sz="4" w:space="0" w:color="auto"/>
              <w:right w:val="single" w:sz="4" w:space="0" w:color="auto"/>
            </w:tcBorders>
            <w:vAlign w:val="center"/>
          </w:tcPr>
          <w:p w14:paraId="2A1D4F40" w14:textId="77777777" w:rsidR="00DC3498" w:rsidRPr="00B84C8C" w:rsidRDefault="00DC3498" w:rsidP="00CB39E7">
            <w:pPr>
              <w:pStyle w:val="TableText"/>
              <w:jc w:val="center"/>
            </w:pPr>
            <w:r w:rsidRPr="00CB39E7">
              <w:t>1</w:t>
            </w:r>
          </w:p>
        </w:tc>
        <w:tc>
          <w:tcPr>
            <w:tcW w:w="487" w:type="pct"/>
            <w:tcBorders>
              <w:top w:val="single" w:sz="4" w:space="0" w:color="auto"/>
              <w:left w:val="single" w:sz="4" w:space="0" w:color="auto"/>
              <w:bottom w:val="single" w:sz="4" w:space="0" w:color="auto"/>
              <w:right w:val="single" w:sz="4" w:space="0" w:color="auto"/>
            </w:tcBorders>
            <w:vAlign w:val="center"/>
          </w:tcPr>
          <w:p w14:paraId="41761FF8" w14:textId="77777777" w:rsidR="00DC3498" w:rsidRPr="00B84C8C" w:rsidRDefault="00DC3498" w:rsidP="00CB39E7">
            <w:pPr>
              <w:pStyle w:val="TableText"/>
              <w:jc w:val="center"/>
            </w:pPr>
            <w:r w:rsidRPr="00CB39E7">
              <w:t>±0.3</w:t>
            </w:r>
          </w:p>
        </w:tc>
        <w:tc>
          <w:tcPr>
            <w:tcW w:w="487" w:type="pct"/>
            <w:tcBorders>
              <w:top w:val="single" w:sz="4" w:space="0" w:color="auto"/>
              <w:left w:val="single" w:sz="4" w:space="0" w:color="auto"/>
              <w:bottom w:val="single" w:sz="4" w:space="0" w:color="auto"/>
              <w:right w:val="single" w:sz="4" w:space="0" w:color="auto"/>
            </w:tcBorders>
            <w:vAlign w:val="center"/>
          </w:tcPr>
          <w:p w14:paraId="6BB53F23" w14:textId="77777777" w:rsidR="00DC3498" w:rsidRPr="00B84C8C" w:rsidRDefault="00DC3498" w:rsidP="00CB39E7">
            <w:pPr>
              <w:pStyle w:val="TableText"/>
              <w:jc w:val="center"/>
            </w:pPr>
            <w:r w:rsidRPr="00CB39E7">
              <w:t>±0.6</w:t>
            </w:r>
          </w:p>
        </w:tc>
        <w:tc>
          <w:tcPr>
            <w:tcW w:w="487" w:type="pct"/>
            <w:tcBorders>
              <w:top w:val="single" w:sz="4" w:space="0" w:color="auto"/>
              <w:left w:val="single" w:sz="4" w:space="0" w:color="auto"/>
              <w:bottom w:val="single" w:sz="4" w:space="0" w:color="auto"/>
              <w:right w:val="single" w:sz="4" w:space="0" w:color="auto"/>
            </w:tcBorders>
            <w:vAlign w:val="center"/>
          </w:tcPr>
          <w:p w14:paraId="23441DF3" w14:textId="77777777" w:rsidR="00DC3498" w:rsidRPr="00B84C8C" w:rsidRDefault="00DC3498" w:rsidP="00CB39E7">
            <w:pPr>
              <w:pStyle w:val="TableText"/>
              <w:jc w:val="center"/>
            </w:pPr>
            <w:r w:rsidRPr="00CB39E7">
              <w:t>±2.0</w:t>
            </w:r>
          </w:p>
        </w:tc>
        <w:tc>
          <w:tcPr>
            <w:tcW w:w="486" w:type="pct"/>
            <w:tcBorders>
              <w:top w:val="single" w:sz="4" w:space="0" w:color="auto"/>
              <w:left w:val="single" w:sz="4" w:space="0" w:color="auto"/>
              <w:bottom w:val="single" w:sz="4" w:space="0" w:color="auto"/>
              <w:right w:val="single" w:sz="4" w:space="0" w:color="auto"/>
            </w:tcBorders>
            <w:vAlign w:val="center"/>
          </w:tcPr>
          <w:p w14:paraId="073DAD0D" w14:textId="77777777" w:rsidR="00DC3498" w:rsidRPr="00B84C8C" w:rsidRDefault="00DC3498" w:rsidP="00CB39E7">
            <w:pPr>
              <w:pStyle w:val="TableText"/>
              <w:jc w:val="center"/>
            </w:pPr>
            <w:r w:rsidRPr="00CB39E7">
              <w:t>±3.0</w:t>
            </w:r>
          </w:p>
        </w:tc>
      </w:tr>
      <w:tr w:rsidR="00DC3498" w:rsidRPr="00360580" w14:paraId="38ABDABD" w14:textId="77777777" w:rsidTr="00CB39E7">
        <w:trPr>
          <w:jc w:val="center"/>
        </w:trPr>
        <w:tc>
          <w:tcPr>
            <w:tcW w:w="1016" w:type="pct"/>
            <w:tcBorders>
              <w:top w:val="single" w:sz="4" w:space="0" w:color="auto"/>
              <w:left w:val="single" w:sz="4" w:space="0" w:color="auto"/>
              <w:bottom w:val="single" w:sz="4" w:space="0" w:color="auto"/>
              <w:right w:val="single" w:sz="4" w:space="0" w:color="auto"/>
            </w:tcBorders>
            <w:vAlign w:val="center"/>
          </w:tcPr>
          <w:p w14:paraId="6772B639" w14:textId="77777777" w:rsidR="00DC3498" w:rsidRPr="00B84C8C" w:rsidRDefault="00DC3498" w:rsidP="00CB39E7">
            <w:pPr>
              <w:pStyle w:val="TableText"/>
              <w:jc w:val="center"/>
            </w:pPr>
            <w:r w:rsidRPr="00CB39E7">
              <w:t xml:space="preserve">0.2 </w:t>
            </w:r>
            <w:proofErr w:type="spellStart"/>
            <w:r w:rsidRPr="00CB39E7">
              <w:rPr>
                <w:i/>
              </w:rPr>
              <w:t>I</w:t>
            </w:r>
            <w:r w:rsidRPr="00CB39E7">
              <w:rPr>
                <w:vertAlign w:val="subscript"/>
              </w:rPr>
              <w:t>b</w:t>
            </w:r>
            <w:proofErr w:type="spellEnd"/>
            <w:r w:rsidRPr="00CB39E7">
              <w:t xml:space="preserve"> ≤ </w:t>
            </w:r>
            <w:r w:rsidRPr="00CB39E7">
              <w:rPr>
                <w:i/>
              </w:rPr>
              <w:t>I</w:t>
            </w:r>
            <w:r w:rsidRPr="00CB39E7">
              <w:t xml:space="preserve"> ≤ </w:t>
            </w:r>
            <w:r w:rsidRPr="00CB39E7">
              <w:rPr>
                <w:i/>
              </w:rPr>
              <w:t>I</w:t>
            </w:r>
            <w:r w:rsidRPr="00CB39E7">
              <w:rPr>
                <w:vertAlign w:val="subscript"/>
              </w:rPr>
              <w:t>max</w:t>
            </w:r>
          </w:p>
        </w:tc>
        <w:tc>
          <w:tcPr>
            <w:tcW w:w="1237" w:type="pct"/>
            <w:tcBorders>
              <w:top w:val="single" w:sz="4" w:space="0" w:color="auto"/>
              <w:left w:val="single" w:sz="4" w:space="0" w:color="auto"/>
              <w:bottom w:val="single" w:sz="4" w:space="0" w:color="auto"/>
              <w:right w:val="single" w:sz="4" w:space="0" w:color="auto"/>
            </w:tcBorders>
            <w:vAlign w:val="center"/>
          </w:tcPr>
          <w:p w14:paraId="36C59667" w14:textId="77777777" w:rsidR="00DC3498" w:rsidRPr="00CB39E7" w:rsidRDefault="00DC3498" w:rsidP="00CB39E7">
            <w:pPr>
              <w:pStyle w:val="TableText"/>
              <w:jc w:val="center"/>
            </w:pPr>
            <w:r w:rsidRPr="00CB39E7">
              <w:t xml:space="preserve">0.1 </w:t>
            </w:r>
            <w:r w:rsidRPr="00CB39E7">
              <w:rPr>
                <w:i/>
              </w:rPr>
              <w:t>I</w:t>
            </w:r>
            <w:r w:rsidRPr="00CB39E7">
              <w:rPr>
                <w:vertAlign w:val="subscript"/>
              </w:rPr>
              <w:t>n</w:t>
            </w:r>
            <w:r w:rsidRPr="00CB39E7">
              <w:t xml:space="preserve"> ≤ </w:t>
            </w:r>
            <w:r w:rsidRPr="00CB39E7">
              <w:rPr>
                <w:i/>
              </w:rPr>
              <w:t>I</w:t>
            </w:r>
            <w:r w:rsidRPr="00CB39E7">
              <w:t xml:space="preserve"> ≤ </w:t>
            </w:r>
            <w:r w:rsidRPr="00CB39E7">
              <w:rPr>
                <w:i/>
              </w:rPr>
              <w:t>I</w:t>
            </w:r>
            <w:r w:rsidRPr="00CB39E7">
              <w:rPr>
                <w:vertAlign w:val="subscript"/>
              </w:rPr>
              <w:t>max</w:t>
            </w:r>
          </w:p>
        </w:tc>
        <w:tc>
          <w:tcPr>
            <w:tcW w:w="800" w:type="pct"/>
            <w:tcBorders>
              <w:top w:val="single" w:sz="4" w:space="0" w:color="auto"/>
              <w:left w:val="single" w:sz="4" w:space="0" w:color="auto"/>
              <w:bottom w:val="single" w:sz="4" w:space="0" w:color="auto"/>
              <w:right w:val="single" w:sz="4" w:space="0" w:color="auto"/>
            </w:tcBorders>
            <w:vAlign w:val="center"/>
          </w:tcPr>
          <w:p w14:paraId="5527C442" w14:textId="77777777" w:rsidR="00DC3498" w:rsidRPr="00B84C8C" w:rsidRDefault="00DC3498" w:rsidP="00CB39E7">
            <w:pPr>
              <w:pStyle w:val="TableText"/>
              <w:jc w:val="center"/>
            </w:pPr>
            <w:r w:rsidRPr="00CB39E7">
              <w:t>0.5 inductive</w:t>
            </w:r>
          </w:p>
        </w:tc>
        <w:tc>
          <w:tcPr>
            <w:tcW w:w="487" w:type="pct"/>
            <w:tcBorders>
              <w:top w:val="single" w:sz="4" w:space="0" w:color="auto"/>
              <w:left w:val="single" w:sz="4" w:space="0" w:color="auto"/>
              <w:bottom w:val="single" w:sz="4" w:space="0" w:color="auto"/>
              <w:right w:val="single" w:sz="4" w:space="0" w:color="auto"/>
            </w:tcBorders>
            <w:vAlign w:val="center"/>
            <w:hideMark/>
          </w:tcPr>
          <w:p w14:paraId="71A105D2" w14:textId="77777777" w:rsidR="00DC3498" w:rsidRPr="00B84C8C" w:rsidRDefault="00DC3498" w:rsidP="00CB39E7">
            <w:pPr>
              <w:pStyle w:val="TableText"/>
              <w:jc w:val="center"/>
            </w:pPr>
            <w:r w:rsidRPr="00CB39E7">
              <w:t>±0.4</w:t>
            </w:r>
          </w:p>
        </w:tc>
        <w:tc>
          <w:tcPr>
            <w:tcW w:w="487" w:type="pct"/>
            <w:tcBorders>
              <w:top w:val="single" w:sz="4" w:space="0" w:color="auto"/>
              <w:left w:val="single" w:sz="4" w:space="0" w:color="auto"/>
              <w:bottom w:val="single" w:sz="4" w:space="0" w:color="auto"/>
              <w:right w:val="single" w:sz="4" w:space="0" w:color="auto"/>
            </w:tcBorders>
            <w:vAlign w:val="center"/>
            <w:hideMark/>
          </w:tcPr>
          <w:p w14:paraId="49692E11" w14:textId="77777777" w:rsidR="00DC3498" w:rsidRPr="00B84C8C" w:rsidRDefault="00DC3498" w:rsidP="00CB39E7">
            <w:pPr>
              <w:pStyle w:val="TableText"/>
              <w:jc w:val="center"/>
            </w:pPr>
            <w:r w:rsidRPr="00CB39E7">
              <w:t>±1.0</w:t>
            </w:r>
          </w:p>
        </w:tc>
        <w:tc>
          <w:tcPr>
            <w:tcW w:w="487" w:type="pct"/>
            <w:tcBorders>
              <w:top w:val="single" w:sz="4" w:space="0" w:color="auto"/>
              <w:left w:val="single" w:sz="4" w:space="0" w:color="auto"/>
              <w:bottom w:val="single" w:sz="4" w:space="0" w:color="auto"/>
              <w:right w:val="single" w:sz="4" w:space="0" w:color="auto"/>
            </w:tcBorders>
            <w:vAlign w:val="center"/>
          </w:tcPr>
          <w:p w14:paraId="631927DA" w14:textId="77777777" w:rsidR="00DC3498" w:rsidRPr="00B84C8C" w:rsidRDefault="00DC3498" w:rsidP="00CB39E7">
            <w:pPr>
              <w:pStyle w:val="TableText"/>
              <w:jc w:val="center"/>
            </w:pPr>
            <w:r w:rsidRPr="00CB39E7">
              <w:t>±2.0</w:t>
            </w:r>
          </w:p>
        </w:tc>
        <w:tc>
          <w:tcPr>
            <w:tcW w:w="486" w:type="pct"/>
            <w:tcBorders>
              <w:top w:val="single" w:sz="4" w:space="0" w:color="auto"/>
              <w:left w:val="single" w:sz="4" w:space="0" w:color="auto"/>
              <w:bottom w:val="single" w:sz="4" w:space="0" w:color="auto"/>
              <w:right w:val="single" w:sz="4" w:space="0" w:color="auto"/>
            </w:tcBorders>
            <w:vAlign w:val="center"/>
          </w:tcPr>
          <w:p w14:paraId="571AC2B1" w14:textId="77777777" w:rsidR="00DC3498" w:rsidRPr="00B84C8C" w:rsidRDefault="00DC3498" w:rsidP="00CB39E7">
            <w:pPr>
              <w:pStyle w:val="TableText"/>
              <w:jc w:val="center"/>
            </w:pPr>
            <w:r w:rsidRPr="00CB39E7">
              <w:t>±3.0</w:t>
            </w:r>
          </w:p>
        </w:tc>
      </w:tr>
    </w:tbl>
    <w:p w14:paraId="33F367B7" w14:textId="32F34541" w:rsidR="00DC3498" w:rsidRDefault="00DC3498" w:rsidP="00DC3498">
      <w:pPr>
        <w:pStyle w:val="Caption"/>
      </w:pPr>
      <w:bookmarkStart w:id="68" w:name="_Ref146641650"/>
      <w:r>
        <w:t xml:space="preserve">Table </w:t>
      </w:r>
      <w:r w:rsidR="00440352">
        <w:fldChar w:fldCharType="begin"/>
      </w:r>
      <w:r w:rsidR="00440352">
        <w:instrText xml:space="preserve"> SEQ Table \* ARABIC </w:instrText>
      </w:r>
      <w:r w:rsidR="00440352">
        <w:fldChar w:fldCharType="separate"/>
      </w:r>
      <w:r w:rsidR="003F6048">
        <w:rPr>
          <w:noProof/>
        </w:rPr>
        <w:t>6</w:t>
      </w:r>
      <w:r w:rsidR="00440352">
        <w:rPr>
          <w:noProof/>
        </w:rPr>
        <w:fldChar w:fldCharType="end"/>
      </w:r>
      <w:bookmarkEnd w:id="68"/>
      <w:r>
        <w:t xml:space="preserve">. </w:t>
      </w:r>
      <w:r w:rsidR="00D4655F">
        <w:t>MPEs</w:t>
      </w:r>
      <w:r w:rsidRPr="00476A16">
        <w:t xml:space="preserve"> for single phase or polyphase installations operating on alternating current circuits</w:t>
      </w:r>
      <w:r>
        <w:t xml:space="preserve"> (NMI R 46)</w:t>
      </w:r>
    </w:p>
    <w:tbl>
      <w:tblPr>
        <w:tblW w:w="5000" w:type="pct"/>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1695"/>
        <w:gridCol w:w="3517"/>
        <w:gridCol w:w="1304"/>
        <w:gridCol w:w="1120"/>
        <w:gridCol w:w="1047"/>
        <w:gridCol w:w="1060"/>
      </w:tblGrid>
      <w:tr w:rsidR="00DC3498" w14:paraId="74EC9D0A" w14:textId="77777777" w:rsidTr="00CB39E7">
        <w:trPr>
          <w:jc w:val="center"/>
        </w:trPr>
        <w:tc>
          <w:tcPr>
            <w:tcW w:w="2675" w:type="pct"/>
            <w:gridSpan w:val="2"/>
            <w:tcBorders>
              <w:top w:val="single" w:sz="4" w:space="0" w:color="auto"/>
              <w:left w:val="single" w:sz="4" w:space="0" w:color="auto"/>
              <w:bottom w:val="single" w:sz="4" w:space="0" w:color="auto"/>
              <w:right w:val="single" w:sz="4" w:space="0" w:color="auto"/>
            </w:tcBorders>
            <w:shd w:val="clear" w:color="auto" w:fill="A50021"/>
            <w:vAlign w:val="center"/>
          </w:tcPr>
          <w:p w14:paraId="1BDEB644" w14:textId="77777777" w:rsidR="00DC3498" w:rsidRPr="005849DE" w:rsidRDefault="00DC3498" w:rsidP="00CB39E7">
            <w:pPr>
              <w:pStyle w:val="TableText"/>
              <w:jc w:val="center"/>
              <w:rPr>
                <w:b/>
                <w:bCs/>
              </w:rPr>
            </w:pPr>
            <w:r w:rsidRPr="005849DE">
              <w:rPr>
                <w:b/>
                <w:bCs/>
              </w:rPr>
              <w:t>Quantity</w:t>
            </w:r>
          </w:p>
        </w:tc>
        <w:tc>
          <w:tcPr>
            <w:tcW w:w="2325" w:type="pct"/>
            <w:gridSpan w:val="4"/>
            <w:tcBorders>
              <w:top w:val="single" w:sz="4" w:space="0" w:color="auto"/>
              <w:left w:val="single" w:sz="4" w:space="0" w:color="auto"/>
              <w:bottom w:val="single" w:sz="4" w:space="0" w:color="auto"/>
              <w:right w:val="single" w:sz="4" w:space="0" w:color="auto"/>
            </w:tcBorders>
            <w:shd w:val="clear" w:color="auto" w:fill="A50021"/>
            <w:vAlign w:val="center"/>
          </w:tcPr>
          <w:p w14:paraId="4A031FED" w14:textId="77777777" w:rsidR="00DC3498" w:rsidRPr="005849DE" w:rsidRDefault="00DC3498" w:rsidP="00CB39E7">
            <w:pPr>
              <w:pStyle w:val="TableText"/>
              <w:jc w:val="center"/>
              <w:rPr>
                <w:b/>
                <w:bCs/>
              </w:rPr>
            </w:pPr>
            <w:r w:rsidRPr="005849DE">
              <w:rPr>
                <w:b/>
                <w:bCs/>
              </w:rPr>
              <w:t>Percentage error limits for meter class</w:t>
            </w:r>
          </w:p>
        </w:tc>
      </w:tr>
      <w:tr w:rsidR="00DC3498" w14:paraId="30A0D6E8" w14:textId="77777777" w:rsidTr="00CB39E7">
        <w:trPr>
          <w:jc w:val="center"/>
        </w:trPr>
        <w:tc>
          <w:tcPr>
            <w:tcW w:w="870" w:type="pct"/>
            <w:tcBorders>
              <w:top w:val="single" w:sz="4" w:space="0" w:color="auto"/>
              <w:left w:val="single" w:sz="4" w:space="0" w:color="auto"/>
              <w:bottom w:val="single" w:sz="4" w:space="0" w:color="auto"/>
              <w:right w:val="single" w:sz="4" w:space="0" w:color="auto"/>
            </w:tcBorders>
            <w:shd w:val="clear" w:color="auto" w:fill="A50021"/>
            <w:vAlign w:val="center"/>
          </w:tcPr>
          <w:p w14:paraId="34516F96" w14:textId="77777777" w:rsidR="00DC3498" w:rsidRPr="005849DE" w:rsidRDefault="00DC3498" w:rsidP="00CB39E7">
            <w:pPr>
              <w:pStyle w:val="TableText"/>
              <w:jc w:val="center"/>
              <w:rPr>
                <w:b/>
                <w:bCs/>
              </w:rPr>
            </w:pPr>
            <w:r w:rsidRPr="005849DE">
              <w:rPr>
                <w:b/>
                <w:bCs/>
              </w:rPr>
              <w:t>Current</w:t>
            </w:r>
          </w:p>
        </w:tc>
        <w:tc>
          <w:tcPr>
            <w:tcW w:w="1804" w:type="pct"/>
            <w:tcBorders>
              <w:top w:val="single" w:sz="4" w:space="0" w:color="auto"/>
              <w:left w:val="single" w:sz="4" w:space="0" w:color="auto"/>
              <w:bottom w:val="single" w:sz="4" w:space="0" w:color="auto"/>
              <w:right w:val="single" w:sz="4" w:space="0" w:color="auto"/>
            </w:tcBorders>
            <w:shd w:val="clear" w:color="auto" w:fill="A50021"/>
            <w:vAlign w:val="center"/>
          </w:tcPr>
          <w:p w14:paraId="33329726" w14:textId="77777777" w:rsidR="00DC3498" w:rsidRPr="005849DE" w:rsidRDefault="00DC3498" w:rsidP="00CB39E7">
            <w:pPr>
              <w:pStyle w:val="TableText"/>
              <w:jc w:val="center"/>
              <w:rPr>
                <w:b/>
                <w:bCs/>
              </w:rPr>
            </w:pPr>
            <w:r w:rsidRPr="005849DE">
              <w:rPr>
                <w:b/>
                <w:bCs/>
              </w:rPr>
              <w:t>Power factor</w:t>
            </w:r>
          </w:p>
        </w:tc>
        <w:tc>
          <w:tcPr>
            <w:tcW w:w="669" w:type="pct"/>
            <w:tcBorders>
              <w:top w:val="single" w:sz="4" w:space="0" w:color="auto"/>
              <w:left w:val="single" w:sz="4" w:space="0" w:color="auto"/>
              <w:bottom w:val="single" w:sz="4" w:space="0" w:color="auto"/>
              <w:right w:val="single" w:sz="4" w:space="0" w:color="auto"/>
            </w:tcBorders>
            <w:shd w:val="clear" w:color="auto" w:fill="A50021"/>
            <w:vAlign w:val="center"/>
          </w:tcPr>
          <w:p w14:paraId="36DD557C" w14:textId="77777777" w:rsidR="00DC3498" w:rsidRPr="005849DE" w:rsidRDefault="00DC3498" w:rsidP="00CB39E7">
            <w:pPr>
              <w:pStyle w:val="TableText"/>
              <w:jc w:val="center"/>
              <w:rPr>
                <w:b/>
                <w:bCs/>
              </w:rPr>
            </w:pPr>
            <w:r w:rsidRPr="005849DE">
              <w:rPr>
                <w:b/>
                <w:bCs/>
              </w:rPr>
              <w:t>A</w:t>
            </w:r>
          </w:p>
        </w:tc>
        <w:tc>
          <w:tcPr>
            <w:tcW w:w="575" w:type="pct"/>
            <w:tcBorders>
              <w:top w:val="single" w:sz="4" w:space="0" w:color="auto"/>
              <w:left w:val="single" w:sz="4" w:space="0" w:color="auto"/>
              <w:bottom w:val="single" w:sz="4" w:space="0" w:color="auto"/>
              <w:right w:val="single" w:sz="4" w:space="0" w:color="auto"/>
            </w:tcBorders>
            <w:shd w:val="clear" w:color="auto" w:fill="A50021"/>
            <w:vAlign w:val="center"/>
          </w:tcPr>
          <w:p w14:paraId="6425573A" w14:textId="77777777" w:rsidR="00DC3498" w:rsidRPr="005849DE" w:rsidRDefault="00DC3498" w:rsidP="00CB39E7">
            <w:pPr>
              <w:pStyle w:val="TableText"/>
              <w:jc w:val="center"/>
              <w:rPr>
                <w:b/>
                <w:bCs/>
              </w:rPr>
            </w:pPr>
            <w:r w:rsidRPr="005849DE">
              <w:rPr>
                <w:b/>
                <w:bCs/>
              </w:rPr>
              <w:t>B</w:t>
            </w:r>
          </w:p>
        </w:tc>
        <w:tc>
          <w:tcPr>
            <w:tcW w:w="537" w:type="pct"/>
            <w:tcBorders>
              <w:top w:val="single" w:sz="4" w:space="0" w:color="auto"/>
              <w:left w:val="single" w:sz="4" w:space="0" w:color="auto"/>
              <w:bottom w:val="single" w:sz="4" w:space="0" w:color="auto"/>
              <w:right w:val="single" w:sz="4" w:space="0" w:color="auto"/>
            </w:tcBorders>
            <w:shd w:val="clear" w:color="auto" w:fill="A50021"/>
            <w:vAlign w:val="center"/>
          </w:tcPr>
          <w:p w14:paraId="07903C77" w14:textId="77777777" w:rsidR="00DC3498" w:rsidRPr="005849DE" w:rsidRDefault="00DC3498" w:rsidP="00CB39E7">
            <w:pPr>
              <w:pStyle w:val="TableText"/>
              <w:jc w:val="center"/>
              <w:rPr>
                <w:b/>
                <w:bCs/>
              </w:rPr>
            </w:pPr>
            <w:r w:rsidRPr="005849DE">
              <w:rPr>
                <w:b/>
                <w:bCs/>
              </w:rPr>
              <w:t>C</w:t>
            </w:r>
          </w:p>
        </w:tc>
        <w:tc>
          <w:tcPr>
            <w:tcW w:w="544" w:type="pct"/>
            <w:tcBorders>
              <w:top w:val="single" w:sz="4" w:space="0" w:color="auto"/>
              <w:left w:val="single" w:sz="4" w:space="0" w:color="auto"/>
              <w:bottom w:val="single" w:sz="4" w:space="0" w:color="auto"/>
              <w:right w:val="single" w:sz="4" w:space="0" w:color="auto"/>
            </w:tcBorders>
            <w:shd w:val="clear" w:color="auto" w:fill="A50021"/>
            <w:vAlign w:val="center"/>
          </w:tcPr>
          <w:p w14:paraId="436C6664" w14:textId="77777777" w:rsidR="00DC3498" w:rsidRPr="005849DE" w:rsidRDefault="00DC3498" w:rsidP="00CB39E7">
            <w:pPr>
              <w:pStyle w:val="TableText"/>
              <w:jc w:val="center"/>
              <w:rPr>
                <w:b/>
                <w:bCs/>
              </w:rPr>
            </w:pPr>
            <w:r w:rsidRPr="005849DE">
              <w:rPr>
                <w:b/>
                <w:bCs/>
              </w:rPr>
              <w:t>D</w:t>
            </w:r>
          </w:p>
        </w:tc>
      </w:tr>
      <w:tr w:rsidR="00DC3498" w:rsidRPr="00360580" w14:paraId="10359A8C" w14:textId="77777777" w:rsidTr="00CB39E7">
        <w:trPr>
          <w:jc w:val="center"/>
        </w:trPr>
        <w:tc>
          <w:tcPr>
            <w:tcW w:w="870" w:type="pct"/>
            <w:vMerge w:val="restart"/>
            <w:tcBorders>
              <w:top w:val="single" w:sz="4" w:space="0" w:color="auto"/>
              <w:left w:val="single" w:sz="4" w:space="0" w:color="auto"/>
              <w:right w:val="single" w:sz="4" w:space="0" w:color="auto"/>
            </w:tcBorders>
            <w:vAlign w:val="center"/>
          </w:tcPr>
          <w:p w14:paraId="25614E30" w14:textId="77777777" w:rsidR="00DC3498" w:rsidRPr="00B84C8C" w:rsidRDefault="00DC3498" w:rsidP="00CB39E7">
            <w:pPr>
              <w:pStyle w:val="TableText"/>
              <w:jc w:val="center"/>
            </w:pPr>
            <w:proofErr w:type="spellStart"/>
            <w:r w:rsidRPr="00CB39E7">
              <w:rPr>
                <w:i/>
              </w:rPr>
              <w:t>I</w:t>
            </w:r>
            <w:r w:rsidRPr="00CB39E7">
              <w:rPr>
                <w:vertAlign w:val="subscript"/>
              </w:rPr>
              <w:t>tr</w:t>
            </w:r>
            <w:proofErr w:type="spellEnd"/>
            <w:r w:rsidRPr="00CB39E7">
              <w:t xml:space="preserve"> ≤ </w:t>
            </w:r>
            <w:r w:rsidRPr="00CB39E7">
              <w:rPr>
                <w:i/>
              </w:rPr>
              <w:t>I</w:t>
            </w:r>
            <w:r w:rsidRPr="00CB39E7">
              <w:t xml:space="preserve"> ≤ </w:t>
            </w:r>
            <w:r w:rsidRPr="00CB39E7">
              <w:rPr>
                <w:i/>
              </w:rPr>
              <w:t>I</w:t>
            </w:r>
            <w:r w:rsidRPr="00CB39E7">
              <w:rPr>
                <w:vertAlign w:val="subscript"/>
              </w:rPr>
              <w:t>max</w:t>
            </w:r>
          </w:p>
        </w:tc>
        <w:tc>
          <w:tcPr>
            <w:tcW w:w="1804" w:type="pct"/>
            <w:tcBorders>
              <w:top w:val="single" w:sz="4" w:space="0" w:color="auto"/>
              <w:left w:val="single" w:sz="4" w:space="0" w:color="auto"/>
              <w:bottom w:val="single" w:sz="4" w:space="0" w:color="auto"/>
              <w:right w:val="single" w:sz="4" w:space="0" w:color="auto"/>
            </w:tcBorders>
            <w:vAlign w:val="center"/>
          </w:tcPr>
          <w:p w14:paraId="21013AFE" w14:textId="77777777" w:rsidR="00DC3498" w:rsidRPr="00CB39E7" w:rsidRDefault="00DC3498" w:rsidP="00CB39E7">
            <w:pPr>
              <w:pStyle w:val="TableText"/>
              <w:jc w:val="center"/>
            </w:pPr>
            <w:r w:rsidRPr="00CB39E7">
              <w:t>Unity</w:t>
            </w:r>
          </w:p>
        </w:tc>
        <w:tc>
          <w:tcPr>
            <w:tcW w:w="669" w:type="pct"/>
            <w:tcBorders>
              <w:top w:val="single" w:sz="4" w:space="0" w:color="auto"/>
              <w:left w:val="single" w:sz="4" w:space="0" w:color="auto"/>
              <w:bottom w:val="single" w:sz="4" w:space="0" w:color="auto"/>
              <w:right w:val="single" w:sz="4" w:space="0" w:color="auto"/>
            </w:tcBorders>
            <w:vAlign w:val="center"/>
          </w:tcPr>
          <w:p w14:paraId="4740D48D" w14:textId="77777777" w:rsidR="00DC3498" w:rsidRPr="00B84C8C" w:rsidRDefault="00DC3498" w:rsidP="00CB39E7">
            <w:pPr>
              <w:pStyle w:val="TableText"/>
              <w:jc w:val="center"/>
            </w:pPr>
            <w:r w:rsidRPr="00CB39E7">
              <w:t>±2.0</w:t>
            </w:r>
          </w:p>
        </w:tc>
        <w:tc>
          <w:tcPr>
            <w:tcW w:w="575" w:type="pct"/>
            <w:tcBorders>
              <w:top w:val="single" w:sz="4" w:space="0" w:color="auto"/>
              <w:left w:val="single" w:sz="4" w:space="0" w:color="auto"/>
              <w:bottom w:val="single" w:sz="4" w:space="0" w:color="auto"/>
              <w:right w:val="single" w:sz="4" w:space="0" w:color="auto"/>
            </w:tcBorders>
            <w:vAlign w:val="center"/>
          </w:tcPr>
          <w:p w14:paraId="1D26FA7E" w14:textId="77777777" w:rsidR="00DC3498" w:rsidRPr="00B84C8C" w:rsidRDefault="00DC3498" w:rsidP="00CB39E7">
            <w:pPr>
              <w:pStyle w:val="TableText"/>
              <w:jc w:val="center"/>
            </w:pPr>
            <w:r w:rsidRPr="00CB39E7">
              <w:t>±1.0</w:t>
            </w:r>
          </w:p>
        </w:tc>
        <w:tc>
          <w:tcPr>
            <w:tcW w:w="537" w:type="pct"/>
            <w:tcBorders>
              <w:top w:val="single" w:sz="4" w:space="0" w:color="auto"/>
              <w:left w:val="single" w:sz="4" w:space="0" w:color="auto"/>
              <w:bottom w:val="single" w:sz="4" w:space="0" w:color="auto"/>
              <w:right w:val="single" w:sz="4" w:space="0" w:color="auto"/>
            </w:tcBorders>
            <w:vAlign w:val="center"/>
          </w:tcPr>
          <w:p w14:paraId="7B64825F" w14:textId="77777777" w:rsidR="00DC3498" w:rsidRPr="00B84C8C" w:rsidRDefault="00DC3498" w:rsidP="00CB39E7">
            <w:pPr>
              <w:pStyle w:val="TableText"/>
              <w:jc w:val="center"/>
            </w:pPr>
            <w:r w:rsidRPr="00CB39E7">
              <w:t>±0.5</w:t>
            </w:r>
          </w:p>
        </w:tc>
        <w:tc>
          <w:tcPr>
            <w:tcW w:w="544" w:type="pct"/>
            <w:tcBorders>
              <w:top w:val="single" w:sz="4" w:space="0" w:color="auto"/>
              <w:left w:val="single" w:sz="4" w:space="0" w:color="auto"/>
              <w:bottom w:val="single" w:sz="4" w:space="0" w:color="auto"/>
              <w:right w:val="single" w:sz="4" w:space="0" w:color="auto"/>
            </w:tcBorders>
            <w:vAlign w:val="center"/>
          </w:tcPr>
          <w:p w14:paraId="59EA651B" w14:textId="77777777" w:rsidR="00DC3498" w:rsidRPr="00B84C8C" w:rsidRDefault="00DC3498" w:rsidP="00CB39E7">
            <w:pPr>
              <w:pStyle w:val="TableText"/>
              <w:jc w:val="center"/>
            </w:pPr>
            <w:r w:rsidRPr="00CB39E7">
              <w:t>±0.2</w:t>
            </w:r>
          </w:p>
        </w:tc>
      </w:tr>
      <w:tr w:rsidR="00DC3498" w:rsidRPr="00360580" w14:paraId="66A59A43" w14:textId="77777777" w:rsidTr="00CB39E7">
        <w:trPr>
          <w:jc w:val="center"/>
        </w:trPr>
        <w:tc>
          <w:tcPr>
            <w:tcW w:w="870" w:type="pct"/>
            <w:vMerge/>
            <w:tcBorders>
              <w:left w:val="single" w:sz="4" w:space="0" w:color="auto"/>
              <w:bottom w:val="single" w:sz="4" w:space="0" w:color="auto"/>
              <w:right w:val="single" w:sz="4" w:space="0" w:color="auto"/>
            </w:tcBorders>
            <w:vAlign w:val="center"/>
          </w:tcPr>
          <w:p w14:paraId="7376A940" w14:textId="77777777" w:rsidR="00DC3498" w:rsidRPr="00B84C8C" w:rsidRDefault="00DC3498" w:rsidP="00CB39E7">
            <w:pPr>
              <w:pStyle w:val="TableText"/>
              <w:jc w:val="center"/>
            </w:pPr>
          </w:p>
        </w:tc>
        <w:tc>
          <w:tcPr>
            <w:tcW w:w="1804" w:type="pct"/>
            <w:tcBorders>
              <w:top w:val="single" w:sz="4" w:space="0" w:color="auto"/>
              <w:left w:val="single" w:sz="4" w:space="0" w:color="auto"/>
              <w:bottom w:val="single" w:sz="4" w:space="0" w:color="auto"/>
              <w:right w:val="single" w:sz="4" w:space="0" w:color="auto"/>
            </w:tcBorders>
            <w:vAlign w:val="center"/>
          </w:tcPr>
          <w:p w14:paraId="2A47E587" w14:textId="77777777" w:rsidR="00DC3498" w:rsidRPr="00CB39E7" w:rsidRDefault="00DC3498" w:rsidP="00CB39E7">
            <w:pPr>
              <w:pStyle w:val="TableText"/>
              <w:jc w:val="center"/>
            </w:pPr>
            <w:r w:rsidRPr="00CB39E7">
              <w:t>0.5 inductive to 1 to 0.8 capacit</w:t>
            </w:r>
            <w:r>
              <w:t>i</w:t>
            </w:r>
            <w:r w:rsidRPr="00CB39E7">
              <w:t>ve</w:t>
            </w:r>
          </w:p>
        </w:tc>
        <w:tc>
          <w:tcPr>
            <w:tcW w:w="669" w:type="pct"/>
            <w:tcBorders>
              <w:top w:val="single" w:sz="4" w:space="0" w:color="auto"/>
              <w:left w:val="single" w:sz="4" w:space="0" w:color="auto"/>
              <w:bottom w:val="single" w:sz="4" w:space="0" w:color="auto"/>
              <w:right w:val="single" w:sz="4" w:space="0" w:color="auto"/>
            </w:tcBorders>
            <w:vAlign w:val="center"/>
            <w:hideMark/>
          </w:tcPr>
          <w:p w14:paraId="233D2777" w14:textId="77777777" w:rsidR="00DC3498" w:rsidRPr="00B84C8C" w:rsidRDefault="00DC3498" w:rsidP="00CB39E7">
            <w:pPr>
              <w:pStyle w:val="TableText"/>
              <w:jc w:val="center"/>
            </w:pPr>
            <w:r w:rsidRPr="00CB39E7">
              <w:t>±2.5</w:t>
            </w:r>
          </w:p>
        </w:tc>
        <w:tc>
          <w:tcPr>
            <w:tcW w:w="575" w:type="pct"/>
            <w:tcBorders>
              <w:top w:val="single" w:sz="4" w:space="0" w:color="auto"/>
              <w:left w:val="single" w:sz="4" w:space="0" w:color="auto"/>
              <w:bottom w:val="single" w:sz="4" w:space="0" w:color="auto"/>
              <w:right w:val="single" w:sz="4" w:space="0" w:color="auto"/>
            </w:tcBorders>
            <w:vAlign w:val="center"/>
            <w:hideMark/>
          </w:tcPr>
          <w:p w14:paraId="7C1FB547" w14:textId="77777777" w:rsidR="00DC3498" w:rsidRPr="00B84C8C" w:rsidRDefault="00DC3498" w:rsidP="00CB39E7">
            <w:pPr>
              <w:pStyle w:val="TableText"/>
              <w:jc w:val="center"/>
            </w:pPr>
            <w:r w:rsidRPr="00CB39E7">
              <w:t>±1.5</w:t>
            </w:r>
          </w:p>
        </w:tc>
        <w:tc>
          <w:tcPr>
            <w:tcW w:w="537" w:type="pct"/>
            <w:tcBorders>
              <w:top w:val="single" w:sz="4" w:space="0" w:color="auto"/>
              <w:left w:val="single" w:sz="4" w:space="0" w:color="auto"/>
              <w:bottom w:val="single" w:sz="4" w:space="0" w:color="auto"/>
              <w:right w:val="single" w:sz="4" w:space="0" w:color="auto"/>
            </w:tcBorders>
            <w:vAlign w:val="center"/>
          </w:tcPr>
          <w:p w14:paraId="677A55B5" w14:textId="77777777" w:rsidR="00DC3498" w:rsidRPr="00B84C8C" w:rsidRDefault="00DC3498" w:rsidP="00CB39E7">
            <w:pPr>
              <w:pStyle w:val="TableText"/>
              <w:jc w:val="center"/>
            </w:pPr>
            <w:r w:rsidRPr="00CB39E7">
              <w:t>±0.6</w:t>
            </w:r>
          </w:p>
        </w:tc>
        <w:tc>
          <w:tcPr>
            <w:tcW w:w="544" w:type="pct"/>
            <w:tcBorders>
              <w:top w:val="single" w:sz="4" w:space="0" w:color="auto"/>
              <w:left w:val="single" w:sz="4" w:space="0" w:color="auto"/>
              <w:bottom w:val="single" w:sz="4" w:space="0" w:color="auto"/>
              <w:right w:val="single" w:sz="4" w:space="0" w:color="auto"/>
            </w:tcBorders>
            <w:vAlign w:val="center"/>
          </w:tcPr>
          <w:p w14:paraId="5B36F6C4" w14:textId="77777777" w:rsidR="00DC3498" w:rsidRPr="00B84C8C" w:rsidRDefault="00DC3498" w:rsidP="00CB39E7">
            <w:pPr>
              <w:pStyle w:val="TableText"/>
              <w:jc w:val="center"/>
            </w:pPr>
            <w:r w:rsidRPr="00CB39E7">
              <w:t>±0.3</w:t>
            </w:r>
          </w:p>
        </w:tc>
      </w:tr>
      <w:tr w:rsidR="00DC3498" w:rsidRPr="00360580" w14:paraId="43440200" w14:textId="77777777" w:rsidTr="00CB39E7">
        <w:trPr>
          <w:jc w:val="center"/>
        </w:trPr>
        <w:tc>
          <w:tcPr>
            <w:tcW w:w="870" w:type="pct"/>
            <w:vMerge w:val="restart"/>
            <w:tcBorders>
              <w:top w:val="single" w:sz="4" w:space="0" w:color="auto"/>
              <w:left w:val="single" w:sz="4" w:space="0" w:color="auto"/>
              <w:right w:val="single" w:sz="4" w:space="0" w:color="auto"/>
            </w:tcBorders>
            <w:vAlign w:val="center"/>
          </w:tcPr>
          <w:p w14:paraId="7A1BED1B" w14:textId="77777777" w:rsidR="00DC3498" w:rsidRPr="00B84C8C" w:rsidRDefault="00DC3498" w:rsidP="00CB39E7">
            <w:pPr>
              <w:pStyle w:val="TableText"/>
              <w:jc w:val="center"/>
            </w:pPr>
            <w:proofErr w:type="spellStart"/>
            <w:r w:rsidRPr="00CB39E7">
              <w:rPr>
                <w:i/>
              </w:rPr>
              <w:t>I</w:t>
            </w:r>
            <w:r w:rsidRPr="00CB39E7">
              <w:rPr>
                <w:vertAlign w:val="subscript"/>
              </w:rPr>
              <w:t>min</w:t>
            </w:r>
            <w:proofErr w:type="spellEnd"/>
            <w:r w:rsidRPr="00CB39E7">
              <w:t xml:space="preserve"> ≤ </w:t>
            </w:r>
            <w:r w:rsidRPr="00CB39E7">
              <w:rPr>
                <w:i/>
              </w:rPr>
              <w:t>I</w:t>
            </w:r>
            <w:r w:rsidRPr="00CB39E7">
              <w:t xml:space="preserve"> &lt; </w:t>
            </w:r>
            <w:proofErr w:type="spellStart"/>
            <w:r w:rsidRPr="00CB39E7">
              <w:rPr>
                <w:i/>
              </w:rPr>
              <w:t>I</w:t>
            </w:r>
            <w:r w:rsidRPr="00CB39E7">
              <w:rPr>
                <w:vertAlign w:val="subscript"/>
              </w:rPr>
              <w:t>tr</w:t>
            </w:r>
            <w:proofErr w:type="spellEnd"/>
          </w:p>
        </w:tc>
        <w:tc>
          <w:tcPr>
            <w:tcW w:w="1804" w:type="pct"/>
            <w:tcBorders>
              <w:top w:val="single" w:sz="4" w:space="0" w:color="auto"/>
              <w:left w:val="single" w:sz="4" w:space="0" w:color="auto"/>
              <w:bottom w:val="single" w:sz="4" w:space="0" w:color="auto"/>
              <w:right w:val="single" w:sz="4" w:space="0" w:color="auto"/>
            </w:tcBorders>
            <w:vAlign w:val="center"/>
          </w:tcPr>
          <w:p w14:paraId="1C640CD0" w14:textId="77777777" w:rsidR="00DC3498" w:rsidRPr="00CB39E7" w:rsidRDefault="00DC3498" w:rsidP="00CB39E7">
            <w:pPr>
              <w:pStyle w:val="TableText"/>
              <w:jc w:val="center"/>
            </w:pPr>
            <w:r w:rsidRPr="00CB39E7">
              <w:t>Unity</w:t>
            </w:r>
          </w:p>
        </w:tc>
        <w:tc>
          <w:tcPr>
            <w:tcW w:w="669" w:type="pct"/>
            <w:tcBorders>
              <w:top w:val="single" w:sz="4" w:space="0" w:color="auto"/>
              <w:left w:val="single" w:sz="4" w:space="0" w:color="auto"/>
              <w:bottom w:val="single" w:sz="4" w:space="0" w:color="auto"/>
              <w:right w:val="single" w:sz="4" w:space="0" w:color="auto"/>
            </w:tcBorders>
            <w:vAlign w:val="center"/>
            <w:hideMark/>
          </w:tcPr>
          <w:p w14:paraId="454C3F89" w14:textId="77777777" w:rsidR="00DC3498" w:rsidRPr="00B84C8C" w:rsidRDefault="00DC3498" w:rsidP="00CB39E7">
            <w:pPr>
              <w:pStyle w:val="TableText"/>
              <w:jc w:val="center"/>
            </w:pPr>
            <w:r w:rsidRPr="00CB39E7">
              <w:t>±2.5</w:t>
            </w:r>
          </w:p>
        </w:tc>
        <w:tc>
          <w:tcPr>
            <w:tcW w:w="575" w:type="pct"/>
            <w:tcBorders>
              <w:top w:val="single" w:sz="4" w:space="0" w:color="auto"/>
              <w:left w:val="single" w:sz="4" w:space="0" w:color="auto"/>
              <w:bottom w:val="single" w:sz="4" w:space="0" w:color="auto"/>
              <w:right w:val="single" w:sz="4" w:space="0" w:color="auto"/>
            </w:tcBorders>
            <w:vAlign w:val="center"/>
            <w:hideMark/>
          </w:tcPr>
          <w:p w14:paraId="192E388C" w14:textId="77777777" w:rsidR="00DC3498" w:rsidRPr="00B84C8C" w:rsidRDefault="00DC3498" w:rsidP="00CB39E7">
            <w:pPr>
              <w:pStyle w:val="TableText"/>
              <w:jc w:val="center"/>
            </w:pPr>
            <w:r w:rsidRPr="00CB39E7">
              <w:t>±1.5</w:t>
            </w:r>
          </w:p>
        </w:tc>
        <w:tc>
          <w:tcPr>
            <w:tcW w:w="537" w:type="pct"/>
            <w:tcBorders>
              <w:top w:val="single" w:sz="4" w:space="0" w:color="auto"/>
              <w:left w:val="single" w:sz="4" w:space="0" w:color="auto"/>
              <w:bottom w:val="single" w:sz="4" w:space="0" w:color="auto"/>
              <w:right w:val="single" w:sz="4" w:space="0" w:color="auto"/>
            </w:tcBorders>
            <w:vAlign w:val="center"/>
          </w:tcPr>
          <w:p w14:paraId="1D3C1B2B" w14:textId="77777777" w:rsidR="00DC3498" w:rsidRPr="00B84C8C" w:rsidRDefault="00DC3498" w:rsidP="00CB39E7">
            <w:pPr>
              <w:pStyle w:val="TableText"/>
              <w:jc w:val="center"/>
            </w:pPr>
            <w:r w:rsidRPr="00CB39E7">
              <w:t>±1.0</w:t>
            </w:r>
          </w:p>
        </w:tc>
        <w:tc>
          <w:tcPr>
            <w:tcW w:w="544" w:type="pct"/>
            <w:tcBorders>
              <w:top w:val="single" w:sz="4" w:space="0" w:color="auto"/>
              <w:left w:val="single" w:sz="4" w:space="0" w:color="auto"/>
              <w:bottom w:val="single" w:sz="4" w:space="0" w:color="auto"/>
              <w:right w:val="single" w:sz="4" w:space="0" w:color="auto"/>
            </w:tcBorders>
            <w:vAlign w:val="center"/>
          </w:tcPr>
          <w:p w14:paraId="25EAFEF7" w14:textId="77777777" w:rsidR="00DC3498" w:rsidRPr="00B84C8C" w:rsidRDefault="00DC3498" w:rsidP="00CB39E7">
            <w:pPr>
              <w:pStyle w:val="TableText"/>
              <w:jc w:val="center"/>
            </w:pPr>
            <w:r w:rsidRPr="00CB39E7">
              <w:t>±0.4</w:t>
            </w:r>
          </w:p>
        </w:tc>
      </w:tr>
      <w:tr w:rsidR="00DC3498" w:rsidRPr="00360580" w14:paraId="351288D5" w14:textId="77777777" w:rsidTr="00CB39E7">
        <w:trPr>
          <w:jc w:val="center"/>
        </w:trPr>
        <w:tc>
          <w:tcPr>
            <w:tcW w:w="870" w:type="pct"/>
            <w:vMerge/>
            <w:tcBorders>
              <w:left w:val="single" w:sz="4" w:space="0" w:color="auto"/>
              <w:bottom w:val="single" w:sz="4" w:space="0" w:color="auto"/>
              <w:right w:val="single" w:sz="4" w:space="0" w:color="auto"/>
            </w:tcBorders>
            <w:vAlign w:val="center"/>
          </w:tcPr>
          <w:p w14:paraId="230DA3A7" w14:textId="77777777" w:rsidR="00DC3498" w:rsidRPr="00B84C8C" w:rsidRDefault="00DC3498" w:rsidP="00CB39E7">
            <w:pPr>
              <w:pStyle w:val="TableText"/>
              <w:jc w:val="center"/>
            </w:pPr>
          </w:p>
        </w:tc>
        <w:tc>
          <w:tcPr>
            <w:tcW w:w="1804" w:type="pct"/>
            <w:tcBorders>
              <w:top w:val="single" w:sz="4" w:space="0" w:color="auto"/>
              <w:left w:val="single" w:sz="4" w:space="0" w:color="auto"/>
              <w:bottom w:val="single" w:sz="4" w:space="0" w:color="auto"/>
              <w:right w:val="single" w:sz="4" w:space="0" w:color="auto"/>
            </w:tcBorders>
            <w:vAlign w:val="center"/>
          </w:tcPr>
          <w:p w14:paraId="5D4BF57D" w14:textId="77777777" w:rsidR="00DC3498" w:rsidRPr="00CB39E7" w:rsidRDefault="00DC3498" w:rsidP="00CB39E7">
            <w:pPr>
              <w:pStyle w:val="TableText"/>
              <w:jc w:val="center"/>
            </w:pPr>
            <w:r w:rsidRPr="00CB39E7">
              <w:t>0.5 inductive to 1 to 0.8 capacit</w:t>
            </w:r>
            <w:r>
              <w:t>i</w:t>
            </w:r>
            <w:r w:rsidRPr="00CB39E7">
              <w:t>ve</w:t>
            </w:r>
          </w:p>
        </w:tc>
        <w:tc>
          <w:tcPr>
            <w:tcW w:w="669" w:type="pct"/>
            <w:tcBorders>
              <w:top w:val="single" w:sz="4" w:space="0" w:color="auto"/>
              <w:left w:val="single" w:sz="4" w:space="0" w:color="auto"/>
              <w:bottom w:val="single" w:sz="4" w:space="0" w:color="auto"/>
              <w:right w:val="single" w:sz="4" w:space="0" w:color="auto"/>
            </w:tcBorders>
            <w:vAlign w:val="center"/>
            <w:hideMark/>
          </w:tcPr>
          <w:p w14:paraId="4615A29D" w14:textId="77777777" w:rsidR="00DC3498" w:rsidRPr="00B84C8C" w:rsidRDefault="00DC3498" w:rsidP="00CB39E7">
            <w:pPr>
              <w:pStyle w:val="TableText"/>
              <w:jc w:val="center"/>
            </w:pPr>
            <w:r w:rsidRPr="00CB39E7">
              <w:t>±2.5</w:t>
            </w:r>
          </w:p>
        </w:tc>
        <w:tc>
          <w:tcPr>
            <w:tcW w:w="575" w:type="pct"/>
            <w:tcBorders>
              <w:top w:val="single" w:sz="4" w:space="0" w:color="auto"/>
              <w:left w:val="single" w:sz="4" w:space="0" w:color="auto"/>
              <w:bottom w:val="single" w:sz="4" w:space="0" w:color="auto"/>
              <w:right w:val="single" w:sz="4" w:space="0" w:color="auto"/>
            </w:tcBorders>
            <w:vAlign w:val="center"/>
            <w:hideMark/>
          </w:tcPr>
          <w:p w14:paraId="470C3195" w14:textId="77777777" w:rsidR="00DC3498" w:rsidRPr="00B84C8C" w:rsidRDefault="00DC3498" w:rsidP="00CB39E7">
            <w:pPr>
              <w:pStyle w:val="TableText"/>
              <w:jc w:val="center"/>
            </w:pPr>
            <w:r w:rsidRPr="00CB39E7">
              <w:t>±1.8</w:t>
            </w:r>
          </w:p>
        </w:tc>
        <w:tc>
          <w:tcPr>
            <w:tcW w:w="537" w:type="pct"/>
            <w:tcBorders>
              <w:top w:val="single" w:sz="4" w:space="0" w:color="auto"/>
              <w:left w:val="single" w:sz="4" w:space="0" w:color="auto"/>
              <w:bottom w:val="single" w:sz="4" w:space="0" w:color="auto"/>
              <w:right w:val="single" w:sz="4" w:space="0" w:color="auto"/>
            </w:tcBorders>
            <w:vAlign w:val="center"/>
          </w:tcPr>
          <w:p w14:paraId="39D70515" w14:textId="77777777" w:rsidR="00DC3498" w:rsidRPr="00B84C8C" w:rsidRDefault="00DC3498" w:rsidP="00CB39E7">
            <w:pPr>
              <w:pStyle w:val="TableText"/>
              <w:jc w:val="center"/>
            </w:pPr>
            <w:r w:rsidRPr="00CB39E7">
              <w:t>±1.0</w:t>
            </w:r>
          </w:p>
        </w:tc>
        <w:tc>
          <w:tcPr>
            <w:tcW w:w="544" w:type="pct"/>
            <w:tcBorders>
              <w:top w:val="single" w:sz="4" w:space="0" w:color="auto"/>
              <w:left w:val="single" w:sz="4" w:space="0" w:color="auto"/>
              <w:bottom w:val="single" w:sz="4" w:space="0" w:color="auto"/>
              <w:right w:val="single" w:sz="4" w:space="0" w:color="auto"/>
            </w:tcBorders>
            <w:vAlign w:val="center"/>
          </w:tcPr>
          <w:p w14:paraId="08EADC4F" w14:textId="77777777" w:rsidR="00DC3498" w:rsidRPr="00B84C8C" w:rsidRDefault="00DC3498" w:rsidP="00CB39E7">
            <w:pPr>
              <w:pStyle w:val="TableText"/>
              <w:jc w:val="center"/>
            </w:pPr>
            <w:r w:rsidRPr="00CB39E7">
              <w:t>±0.5</w:t>
            </w:r>
          </w:p>
        </w:tc>
      </w:tr>
      <w:tr w:rsidR="00DC3498" w:rsidRPr="00360580" w14:paraId="37F74427" w14:textId="77777777" w:rsidTr="00CB39E7">
        <w:trPr>
          <w:jc w:val="center"/>
        </w:trPr>
        <w:tc>
          <w:tcPr>
            <w:tcW w:w="870" w:type="pct"/>
            <w:tcBorders>
              <w:top w:val="single" w:sz="4" w:space="0" w:color="auto"/>
              <w:left w:val="single" w:sz="4" w:space="0" w:color="auto"/>
              <w:bottom w:val="single" w:sz="4" w:space="0" w:color="auto"/>
              <w:right w:val="single" w:sz="4" w:space="0" w:color="auto"/>
            </w:tcBorders>
            <w:vAlign w:val="center"/>
          </w:tcPr>
          <w:p w14:paraId="23182DD2" w14:textId="77777777" w:rsidR="00DC3498" w:rsidRPr="00B84C8C" w:rsidRDefault="00DC3498" w:rsidP="00CB39E7">
            <w:pPr>
              <w:pStyle w:val="TableText"/>
              <w:jc w:val="center"/>
            </w:pPr>
            <w:proofErr w:type="spellStart"/>
            <w:r w:rsidRPr="00CB39E7">
              <w:rPr>
                <w:i/>
              </w:rPr>
              <w:t>I</w:t>
            </w:r>
            <w:r w:rsidRPr="00CB39E7">
              <w:rPr>
                <w:vertAlign w:val="subscript"/>
              </w:rPr>
              <w:t>st</w:t>
            </w:r>
            <w:proofErr w:type="spellEnd"/>
            <w:r w:rsidRPr="00CB39E7">
              <w:t xml:space="preserve"> ≤ </w:t>
            </w:r>
            <w:r w:rsidRPr="00CB39E7">
              <w:rPr>
                <w:i/>
              </w:rPr>
              <w:t xml:space="preserve">I </w:t>
            </w:r>
            <w:r w:rsidRPr="00CB39E7">
              <w:t xml:space="preserve">&lt; </w:t>
            </w:r>
            <w:proofErr w:type="spellStart"/>
            <w:r w:rsidRPr="00CB39E7">
              <w:rPr>
                <w:i/>
              </w:rPr>
              <w:t>I</w:t>
            </w:r>
            <w:r w:rsidRPr="00CB39E7">
              <w:rPr>
                <w:vertAlign w:val="subscript"/>
              </w:rPr>
              <w:t>min</w:t>
            </w:r>
            <w:proofErr w:type="spellEnd"/>
          </w:p>
        </w:tc>
        <w:tc>
          <w:tcPr>
            <w:tcW w:w="1804" w:type="pct"/>
            <w:tcBorders>
              <w:top w:val="single" w:sz="4" w:space="0" w:color="auto"/>
              <w:left w:val="single" w:sz="4" w:space="0" w:color="auto"/>
              <w:bottom w:val="single" w:sz="4" w:space="0" w:color="auto"/>
              <w:right w:val="single" w:sz="4" w:space="0" w:color="auto"/>
            </w:tcBorders>
            <w:vAlign w:val="center"/>
          </w:tcPr>
          <w:p w14:paraId="71A28DFA" w14:textId="77777777" w:rsidR="00DC3498" w:rsidRPr="00CB39E7" w:rsidRDefault="00DC3498" w:rsidP="00CB39E7">
            <w:pPr>
              <w:pStyle w:val="TableText"/>
              <w:jc w:val="center"/>
            </w:pPr>
            <w:r w:rsidRPr="00CB39E7">
              <w:t>Unity</w:t>
            </w:r>
          </w:p>
        </w:tc>
        <w:tc>
          <w:tcPr>
            <w:tcW w:w="669" w:type="pct"/>
            <w:tcBorders>
              <w:top w:val="single" w:sz="4" w:space="0" w:color="auto"/>
              <w:left w:val="single" w:sz="4" w:space="0" w:color="auto"/>
              <w:bottom w:val="single" w:sz="4" w:space="0" w:color="auto"/>
              <w:right w:val="single" w:sz="4" w:space="0" w:color="auto"/>
            </w:tcBorders>
            <w:vAlign w:val="center"/>
          </w:tcPr>
          <w:p w14:paraId="042DB4F9" w14:textId="77777777" w:rsidR="00DC3498" w:rsidRPr="00CB39E7" w:rsidRDefault="00DC3498" w:rsidP="00CB39E7">
            <w:pPr>
              <w:pStyle w:val="TableText"/>
              <w:jc w:val="center"/>
            </w:pPr>
            <w:r w:rsidRPr="00CB39E7">
              <w:t>±2.5</w:t>
            </w:r>
            <w:r w:rsidRPr="00015AE0">
              <w:rPr>
                <w:lang w:val="sv-SE"/>
              </w:rPr>
              <w:t>·</w:t>
            </w:r>
            <w:r w:rsidRPr="00015AE0">
              <w:rPr>
                <w:i/>
                <w:lang w:val="sv-SE"/>
              </w:rPr>
              <w:t>I</w:t>
            </w:r>
            <w:r w:rsidRPr="00015AE0">
              <w:rPr>
                <w:vertAlign w:val="subscript"/>
                <w:lang w:val="sv-SE"/>
              </w:rPr>
              <w:t>min</w:t>
            </w:r>
            <w:r w:rsidRPr="00015AE0">
              <w:rPr>
                <w:lang w:val="sv-SE"/>
              </w:rPr>
              <w:t>/</w:t>
            </w:r>
            <w:r w:rsidRPr="00015AE0">
              <w:rPr>
                <w:i/>
                <w:lang w:val="sv-SE"/>
              </w:rPr>
              <w:t>I</w:t>
            </w:r>
          </w:p>
        </w:tc>
        <w:tc>
          <w:tcPr>
            <w:tcW w:w="575" w:type="pct"/>
            <w:tcBorders>
              <w:top w:val="single" w:sz="4" w:space="0" w:color="auto"/>
              <w:left w:val="single" w:sz="4" w:space="0" w:color="auto"/>
              <w:bottom w:val="single" w:sz="4" w:space="0" w:color="auto"/>
              <w:right w:val="single" w:sz="4" w:space="0" w:color="auto"/>
            </w:tcBorders>
            <w:vAlign w:val="center"/>
          </w:tcPr>
          <w:p w14:paraId="68845F64" w14:textId="77777777" w:rsidR="00DC3498" w:rsidRPr="00CB39E7" w:rsidRDefault="00DC3498" w:rsidP="00CB39E7">
            <w:pPr>
              <w:pStyle w:val="TableText"/>
              <w:jc w:val="center"/>
            </w:pPr>
            <w:r w:rsidRPr="00CB39E7">
              <w:t>±1.5</w:t>
            </w:r>
            <w:r w:rsidRPr="00CB39E7">
              <w:rPr>
                <w:lang w:val="sv-SE"/>
              </w:rPr>
              <w:t>·</w:t>
            </w:r>
            <w:r w:rsidRPr="00CB39E7">
              <w:rPr>
                <w:i/>
                <w:lang w:val="sv-SE"/>
              </w:rPr>
              <w:t>I</w:t>
            </w:r>
            <w:r w:rsidRPr="00CB39E7">
              <w:rPr>
                <w:vertAlign w:val="subscript"/>
                <w:lang w:val="sv-SE"/>
              </w:rPr>
              <w:t>min</w:t>
            </w:r>
            <w:r w:rsidRPr="00CB39E7">
              <w:rPr>
                <w:lang w:val="sv-SE"/>
              </w:rPr>
              <w:t>/</w:t>
            </w:r>
            <w:r w:rsidRPr="00CB39E7">
              <w:rPr>
                <w:i/>
                <w:lang w:val="sv-SE"/>
              </w:rPr>
              <w:t>I</w:t>
            </w:r>
          </w:p>
        </w:tc>
        <w:tc>
          <w:tcPr>
            <w:tcW w:w="537" w:type="pct"/>
            <w:tcBorders>
              <w:top w:val="single" w:sz="4" w:space="0" w:color="auto"/>
              <w:left w:val="single" w:sz="4" w:space="0" w:color="auto"/>
              <w:bottom w:val="single" w:sz="4" w:space="0" w:color="auto"/>
              <w:right w:val="single" w:sz="4" w:space="0" w:color="auto"/>
            </w:tcBorders>
            <w:vAlign w:val="center"/>
          </w:tcPr>
          <w:p w14:paraId="394C5C3D" w14:textId="77777777" w:rsidR="00DC3498" w:rsidRPr="00CB39E7" w:rsidRDefault="00DC3498" w:rsidP="00CB39E7">
            <w:pPr>
              <w:pStyle w:val="TableText"/>
              <w:jc w:val="center"/>
            </w:pPr>
            <w:r w:rsidRPr="00CB39E7">
              <w:t>±1.0</w:t>
            </w:r>
            <w:r w:rsidRPr="00CB39E7">
              <w:rPr>
                <w:lang w:val="sv-SE"/>
              </w:rPr>
              <w:t>·</w:t>
            </w:r>
            <w:r w:rsidRPr="00CB39E7">
              <w:rPr>
                <w:i/>
                <w:lang w:val="sv-SE"/>
              </w:rPr>
              <w:t>I</w:t>
            </w:r>
            <w:r w:rsidRPr="00CB39E7">
              <w:rPr>
                <w:vertAlign w:val="subscript"/>
                <w:lang w:val="sv-SE"/>
              </w:rPr>
              <w:t>min</w:t>
            </w:r>
            <w:r w:rsidRPr="00CB39E7">
              <w:rPr>
                <w:lang w:val="sv-SE"/>
              </w:rPr>
              <w:t>/</w:t>
            </w:r>
            <w:r w:rsidRPr="00CB39E7">
              <w:rPr>
                <w:i/>
                <w:lang w:val="sv-SE"/>
              </w:rPr>
              <w:t>I</w:t>
            </w:r>
          </w:p>
        </w:tc>
        <w:tc>
          <w:tcPr>
            <w:tcW w:w="544" w:type="pct"/>
            <w:tcBorders>
              <w:top w:val="single" w:sz="4" w:space="0" w:color="auto"/>
              <w:left w:val="single" w:sz="4" w:space="0" w:color="auto"/>
              <w:bottom w:val="single" w:sz="4" w:space="0" w:color="auto"/>
              <w:right w:val="single" w:sz="4" w:space="0" w:color="auto"/>
            </w:tcBorders>
            <w:vAlign w:val="center"/>
          </w:tcPr>
          <w:p w14:paraId="417B72FE" w14:textId="77777777" w:rsidR="00DC3498" w:rsidRPr="00CB39E7" w:rsidRDefault="00DC3498" w:rsidP="00CB39E7">
            <w:pPr>
              <w:pStyle w:val="TableText"/>
              <w:jc w:val="center"/>
            </w:pPr>
            <w:r w:rsidRPr="00CB39E7">
              <w:t>±0.4</w:t>
            </w:r>
            <w:r w:rsidRPr="00CB39E7">
              <w:rPr>
                <w:lang w:val="sv-SE"/>
              </w:rPr>
              <w:t>·</w:t>
            </w:r>
            <w:r w:rsidRPr="00CB39E7">
              <w:rPr>
                <w:i/>
                <w:lang w:val="sv-SE"/>
              </w:rPr>
              <w:t>I</w:t>
            </w:r>
            <w:r w:rsidRPr="00CB39E7">
              <w:rPr>
                <w:vertAlign w:val="subscript"/>
                <w:lang w:val="sv-SE"/>
              </w:rPr>
              <w:t>min</w:t>
            </w:r>
            <w:r w:rsidRPr="00CB39E7">
              <w:rPr>
                <w:lang w:val="sv-SE"/>
              </w:rPr>
              <w:t>/</w:t>
            </w:r>
            <w:r w:rsidRPr="00CB39E7">
              <w:rPr>
                <w:i/>
                <w:lang w:val="sv-SE"/>
              </w:rPr>
              <w:t>I</w:t>
            </w:r>
          </w:p>
        </w:tc>
      </w:tr>
    </w:tbl>
    <w:p w14:paraId="23FE69C1" w14:textId="77777777" w:rsidR="00DC3498" w:rsidRDefault="00DC3498" w:rsidP="00DC3498">
      <w:pPr>
        <w:pStyle w:val="Note"/>
        <w:spacing w:before="120"/>
        <w:contextualSpacing w:val="0"/>
      </w:pPr>
      <w:r w:rsidRPr="00CB39E7">
        <w:t>Note</w:t>
      </w:r>
      <w:r>
        <w:t>:</w:t>
      </w:r>
      <w:r>
        <w:tab/>
        <w:t>In NMI R 46, these error limits are called base maximum permissible errors.</w:t>
      </w:r>
    </w:p>
    <w:p w14:paraId="5982540E" w14:textId="71D5EB62" w:rsidR="00B75D33" w:rsidRDefault="00B75D33" w:rsidP="00863C4E">
      <w:pPr>
        <w:pStyle w:val="Heading2"/>
      </w:pPr>
      <w:bookmarkStart w:id="69" w:name="_Toc170413882"/>
      <w:r>
        <w:t>No load</w:t>
      </w:r>
      <w:bookmarkEnd w:id="69"/>
    </w:p>
    <w:p w14:paraId="40875DEE" w14:textId="373C20FA" w:rsidR="00B75D33" w:rsidRDefault="00B75D33" w:rsidP="00413E41">
      <w:pPr>
        <w:pStyle w:val="Heading3"/>
      </w:pPr>
      <w:r>
        <w:t>General</w:t>
      </w:r>
    </w:p>
    <w:p w14:paraId="177A2620" w14:textId="044259EA" w:rsidR="00B75D33" w:rsidRDefault="00B75D33" w:rsidP="00B75D33">
      <w:pPr>
        <w:rPr>
          <w:lang w:val="en-US"/>
        </w:rPr>
      </w:pPr>
      <w:r>
        <w:rPr>
          <w:lang w:val="en-US"/>
        </w:rPr>
        <w:t xml:space="preserve">A no load test determines whether </w:t>
      </w:r>
      <w:r w:rsidR="008F04B6" w:rsidRPr="008F04B6">
        <w:rPr>
          <w:lang w:val="en-US"/>
        </w:rPr>
        <w:t>an electricity</w:t>
      </w:r>
      <w:r>
        <w:rPr>
          <w:lang w:val="en-US"/>
        </w:rPr>
        <w:t xml:space="preserve"> meter measures no significant amount of energy under no load conditions (no current flow).</w:t>
      </w:r>
    </w:p>
    <w:p w14:paraId="64DAAB25" w14:textId="0357F50D" w:rsidR="00B75D33" w:rsidRPr="00F32BA1" w:rsidRDefault="00B75D33" w:rsidP="00B75D33">
      <w:pPr>
        <w:rPr>
          <w:lang w:val="en-US"/>
        </w:rPr>
      </w:pPr>
      <w:r>
        <w:rPr>
          <w:lang w:val="en-US"/>
        </w:rPr>
        <w:t>The applicable test procedure and acceptance criteria are specified below based on the pattern approval requirements used for approval.</w:t>
      </w:r>
    </w:p>
    <w:p w14:paraId="33E4A480" w14:textId="77777777" w:rsidR="00B75D33" w:rsidRDefault="00B75D33" w:rsidP="00B75D33">
      <w:pPr>
        <w:pStyle w:val="Heading3"/>
      </w:pPr>
      <w:r>
        <w:t>For approvals based on NMI M 6 and NMI M 13</w:t>
      </w:r>
    </w:p>
    <w:p w14:paraId="65879837" w14:textId="68DF62EA" w:rsidR="00B75D33" w:rsidRDefault="00B75D33" w:rsidP="00B75D33">
      <w:pPr>
        <w:rPr>
          <w:lang w:val="en-US"/>
        </w:rPr>
      </w:pPr>
      <w:r>
        <w:rPr>
          <w:lang w:val="en-US"/>
        </w:rPr>
        <w:t>The test procedure</w:t>
      </w:r>
      <w:r w:rsidR="005514A4">
        <w:rPr>
          <w:lang w:val="en-US"/>
        </w:rPr>
        <w:t xml:space="preserve"> and acceptance criteria</w:t>
      </w:r>
      <w:r>
        <w:rPr>
          <w:lang w:val="en-US"/>
        </w:rPr>
        <w:t xml:space="preserve"> </w:t>
      </w:r>
      <w:r w:rsidR="005514A4">
        <w:rPr>
          <w:lang w:val="en-US"/>
        </w:rPr>
        <w:t>are</w:t>
      </w:r>
      <w:r>
        <w:rPr>
          <w:lang w:val="en-US"/>
        </w:rPr>
        <w:t xml:space="preserve"> specified in NMI </w:t>
      </w:r>
      <w:r w:rsidRPr="00EB378E">
        <w:t>M 6-1, clause 5.7.3</w:t>
      </w:r>
      <w:r>
        <w:rPr>
          <w:lang w:val="en-US"/>
        </w:rPr>
        <w:t>, Running with no load.</w:t>
      </w:r>
    </w:p>
    <w:p w14:paraId="75570F77" w14:textId="072AEBCA" w:rsidR="00E3509C" w:rsidRDefault="00B75D33" w:rsidP="00E3509C">
      <w:pPr>
        <w:pStyle w:val="Note"/>
      </w:pPr>
      <w:r w:rsidRPr="00732FC7">
        <w:t>Note:</w:t>
      </w:r>
      <w:r w:rsidRPr="00732FC7">
        <w:tab/>
        <w:t>This test is also in AS 62053.21:2018 and AS 6205</w:t>
      </w:r>
      <w:r w:rsidR="00B71197" w:rsidRPr="00140BC3">
        <w:t>3</w:t>
      </w:r>
      <w:r w:rsidRPr="00732FC7">
        <w:t xml:space="preserve">.22:2018 </w:t>
      </w:r>
      <w:r w:rsidR="00732FC7">
        <w:t>(</w:t>
      </w:r>
      <w:r w:rsidRPr="00732FC7">
        <w:t>clause 8.3.2</w:t>
      </w:r>
      <w:r w:rsidR="00732FC7">
        <w:t>)</w:t>
      </w:r>
      <w:r w:rsidRPr="00732FC7">
        <w:t xml:space="preserve"> </w:t>
      </w:r>
      <w:r w:rsidR="00732FC7" w:rsidRPr="00140BC3">
        <w:t xml:space="preserve">as referenced </w:t>
      </w:r>
      <w:r w:rsidRPr="00732FC7">
        <w:t>in NMI M 13.</w:t>
      </w:r>
    </w:p>
    <w:p w14:paraId="5282C832" w14:textId="77777777" w:rsidR="00B75D33" w:rsidRDefault="00B75D33" w:rsidP="00B75D33">
      <w:pPr>
        <w:rPr>
          <w:lang w:val="en-US"/>
        </w:rPr>
      </w:pPr>
      <w:r>
        <w:rPr>
          <w:lang w:val="en-US"/>
        </w:rPr>
        <w:t>This procedure includes the following test voltage and minimum test time:</w:t>
      </w:r>
    </w:p>
    <w:p w14:paraId="7E470625" w14:textId="77777777" w:rsidR="00B75D33" w:rsidRDefault="00B75D33" w:rsidP="009D777F">
      <w:pPr>
        <w:pStyle w:val="ListParagraph"/>
        <w:numPr>
          <w:ilvl w:val="0"/>
          <w:numId w:val="29"/>
        </w:numPr>
        <w:rPr>
          <w:lang w:val="en-US"/>
        </w:rPr>
      </w:pPr>
      <w:r>
        <w:rPr>
          <w:lang w:val="en-US"/>
        </w:rPr>
        <w:t>Test voltage: 115% of reference voltage.</w:t>
      </w:r>
    </w:p>
    <w:p w14:paraId="05C3AD6F" w14:textId="77777777" w:rsidR="00B75D33" w:rsidRDefault="00B75D33" w:rsidP="009D777F">
      <w:pPr>
        <w:pStyle w:val="ListParagraph"/>
        <w:numPr>
          <w:ilvl w:val="0"/>
          <w:numId w:val="29"/>
        </w:numPr>
      </w:pPr>
      <w:r>
        <w:t>The minimum test period must be:</w:t>
      </w:r>
    </w:p>
    <w:p w14:paraId="3EE135B2" w14:textId="5328ABBF" w:rsidR="00B75D33" w:rsidRDefault="00440352" w:rsidP="000774DE">
      <w:pPr>
        <w:pStyle w:val="ListParagraph"/>
        <w:numPr>
          <w:ilvl w:val="0"/>
          <w:numId w:val="33"/>
        </w:numPr>
        <w:contextualSpacing/>
      </w:pPr>
      <m:oMath>
        <m:f>
          <m:fPr>
            <m:ctrlPr>
              <w:rPr>
                <w:rFonts w:ascii="Cambria Math" w:hAnsi="Cambria Math" w:cs="Arial"/>
                <w:i/>
                <w:sz w:val="22"/>
                <w:vertAlign w:val="superscript"/>
              </w:rPr>
            </m:ctrlPr>
          </m:fPr>
          <m:num>
            <m:r>
              <w:rPr>
                <w:rFonts w:ascii="Cambria Math" w:hAnsi="Cambria Math" w:cs="Arial"/>
                <w:sz w:val="22"/>
                <w:vertAlign w:val="superscript"/>
              </w:rPr>
              <m:t>900×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6</m:t>
                </m:r>
              </m:sup>
            </m:sSup>
          </m:num>
          <m:den>
            <m:r>
              <w:rPr>
                <w:rFonts w:ascii="Cambria Math" w:hAnsi="Cambria Math" w:cs="Arial"/>
                <w:sz w:val="22"/>
                <w:vertAlign w:val="superscript"/>
              </w:rPr>
              <m:t>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max</m:t>
                </m:r>
              </m:sub>
            </m:sSub>
          </m:den>
        </m:f>
      </m:oMath>
      <w:r w:rsidR="00B75D33">
        <w:t xml:space="preserve"> min for </w:t>
      </w:r>
      <w:r w:rsidR="008F04B6" w:rsidRPr="008F04B6">
        <w:t xml:space="preserve">electricity </w:t>
      </w:r>
      <w:r w:rsidR="00B75D33">
        <w:t>meters of class 0.2 and 0.2</w:t>
      </w:r>
      <w:r w:rsidR="0096413F">
        <w:t xml:space="preserve"> </w:t>
      </w:r>
      <w:r w:rsidR="00B75D33">
        <w:t>S</w:t>
      </w:r>
    </w:p>
    <w:p w14:paraId="60D5B43F" w14:textId="559CFA14" w:rsidR="00B75D33" w:rsidRDefault="00440352" w:rsidP="000774DE">
      <w:pPr>
        <w:pStyle w:val="ListParagraph"/>
        <w:numPr>
          <w:ilvl w:val="0"/>
          <w:numId w:val="33"/>
        </w:numPr>
        <w:contextualSpacing/>
      </w:pPr>
      <m:oMath>
        <m:f>
          <m:fPr>
            <m:ctrlPr>
              <w:rPr>
                <w:rFonts w:ascii="Cambria Math" w:hAnsi="Cambria Math" w:cs="Arial"/>
                <w:i/>
                <w:sz w:val="22"/>
                <w:vertAlign w:val="superscript"/>
              </w:rPr>
            </m:ctrlPr>
          </m:fPr>
          <m:num>
            <m:r>
              <w:rPr>
                <w:rFonts w:ascii="Cambria Math" w:hAnsi="Cambria Math" w:cs="Arial"/>
                <w:sz w:val="22"/>
                <w:vertAlign w:val="superscript"/>
              </w:rPr>
              <m:t>600×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6</m:t>
                </m:r>
              </m:sup>
            </m:sSup>
          </m:num>
          <m:den>
            <m:r>
              <w:rPr>
                <w:rFonts w:ascii="Cambria Math" w:hAnsi="Cambria Math" w:cs="Arial"/>
                <w:sz w:val="22"/>
                <w:vertAlign w:val="superscript"/>
              </w:rPr>
              <m:t>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max</m:t>
                </m:r>
              </m:sub>
            </m:sSub>
          </m:den>
        </m:f>
        <m:r>
          <w:rPr>
            <w:rFonts w:ascii="Cambria Math" w:hAnsi="Cambria Math" w:cs="Arial"/>
            <w:sz w:val="22"/>
            <w:vertAlign w:val="superscript"/>
          </w:rPr>
          <m:t xml:space="preserve"> </m:t>
        </m:r>
      </m:oMath>
      <w:r w:rsidR="00B75D33">
        <w:t xml:space="preserve">min for </w:t>
      </w:r>
      <w:r w:rsidR="008F04B6" w:rsidRPr="008F04B6">
        <w:t xml:space="preserve">electricity </w:t>
      </w:r>
      <w:r w:rsidR="00B75D33">
        <w:t>meters of class 0.5, 0.5</w:t>
      </w:r>
      <w:r w:rsidR="0096413F">
        <w:t xml:space="preserve"> </w:t>
      </w:r>
      <w:r w:rsidR="00B75D33">
        <w:t>S and 1</w:t>
      </w:r>
    </w:p>
    <w:p w14:paraId="0170B2C7" w14:textId="326F9BEC" w:rsidR="00B75D33" w:rsidRDefault="00440352" w:rsidP="000774DE">
      <w:pPr>
        <w:pStyle w:val="ListParagraph"/>
        <w:numPr>
          <w:ilvl w:val="0"/>
          <w:numId w:val="33"/>
        </w:numPr>
        <w:contextualSpacing/>
      </w:pPr>
      <m:oMath>
        <m:f>
          <m:fPr>
            <m:ctrlPr>
              <w:rPr>
                <w:rFonts w:ascii="Cambria Math" w:hAnsi="Cambria Math" w:cs="Arial"/>
                <w:i/>
                <w:sz w:val="22"/>
                <w:vertAlign w:val="superscript"/>
              </w:rPr>
            </m:ctrlPr>
          </m:fPr>
          <m:num>
            <m:r>
              <w:rPr>
                <w:rFonts w:ascii="Cambria Math" w:hAnsi="Cambria Math" w:cs="Arial"/>
                <w:sz w:val="22"/>
                <w:vertAlign w:val="superscript"/>
              </w:rPr>
              <m:t>480×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6</m:t>
                </m:r>
              </m:sup>
            </m:sSup>
          </m:num>
          <m:den>
            <m:r>
              <w:rPr>
                <w:rFonts w:ascii="Cambria Math" w:hAnsi="Cambria Math" w:cs="Arial"/>
                <w:sz w:val="22"/>
                <w:vertAlign w:val="superscript"/>
              </w:rPr>
              <m:t>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max</m:t>
                </m:r>
              </m:sub>
            </m:sSub>
          </m:den>
        </m:f>
        <m:r>
          <w:rPr>
            <w:rFonts w:ascii="Cambria Math" w:hAnsi="Cambria Math" w:cs="Arial"/>
            <w:sz w:val="22"/>
            <w:vertAlign w:val="superscript"/>
          </w:rPr>
          <m:t xml:space="preserve"> </m:t>
        </m:r>
      </m:oMath>
      <w:r w:rsidR="00B75D33">
        <w:t xml:space="preserve">min for </w:t>
      </w:r>
      <w:r w:rsidR="008F04B6" w:rsidRPr="008F04B6">
        <w:t xml:space="preserve">electricity </w:t>
      </w:r>
      <w:r w:rsidR="00B75D33">
        <w:t>meters of class 1.5 or class 2.</w:t>
      </w:r>
    </w:p>
    <w:p w14:paraId="5B872042" w14:textId="77777777" w:rsidR="00B75D33" w:rsidRDefault="00B75D33" w:rsidP="00B75D33">
      <w:pPr>
        <w:pStyle w:val="Heading3"/>
      </w:pPr>
      <w:r>
        <w:t>For approvals based on NMI R 46</w:t>
      </w:r>
    </w:p>
    <w:p w14:paraId="69ED6502" w14:textId="1A2185D2" w:rsidR="00B75D33" w:rsidRDefault="00B75D33" w:rsidP="00B75D33">
      <w:pPr>
        <w:rPr>
          <w:lang w:val="en-US"/>
        </w:rPr>
      </w:pPr>
      <w:r>
        <w:rPr>
          <w:lang w:val="en-US"/>
        </w:rPr>
        <w:t>The test procedure</w:t>
      </w:r>
      <w:r w:rsidR="005514A4">
        <w:rPr>
          <w:lang w:val="en-US"/>
        </w:rPr>
        <w:t xml:space="preserve"> and acceptance criteria</w:t>
      </w:r>
      <w:r>
        <w:rPr>
          <w:lang w:val="en-US"/>
        </w:rPr>
        <w:t xml:space="preserve"> </w:t>
      </w:r>
      <w:r w:rsidR="005514A4">
        <w:rPr>
          <w:lang w:val="en-US"/>
        </w:rPr>
        <w:t>are</w:t>
      </w:r>
      <w:r>
        <w:rPr>
          <w:lang w:val="en-US"/>
        </w:rPr>
        <w:t xml:space="preserve"> specified in NMI R 46-1-2, clause 6.2.4, Test of no-load condition. This procedure includes the following test voltage and minimum test time:</w:t>
      </w:r>
    </w:p>
    <w:p w14:paraId="5348EBA5" w14:textId="77777777" w:rsidR="00B75D33" w:rsidRDefault="00B75D33" w:rsidP="009D777F">
      <w:pPr>
        <w:pStyle w:val="ListParagraph"/>
        <w:numPr>
          <w:ilvl w:val="0"/>
          <w:numId w:val="30"/>
        </w:numPr>
        <w:rPr>
          <w:lang w:val="en-US"/>
        </w:rPr>
      </w:pPr>
      <w:r>
        <w:rPr>
          <w:lang w:val="en-US"/>
        </w:rPr>
        <w:t>Test voltage: 100% of reference voltage.</w:t>
      </w:r>
    </w:p>
    <w:p w14:paraId="2F8504B1" w14:textId="77777777" w:rsidR="00B75D33" w:rsidRDefault="00B75D33" w:rsidP="009D777F">
      <w:pPr>
        <w:pStyle w:val="ListParagraph"/>
        <w:numPr>
          <w:ilvl w:val="0"/>
          <w:numId w:val="30"/>
        </w:numPr>
      </w:pPr>
      <w:r>
        <w:t>The minimum test period must be:</w:t>
      </w:r>
    </w:p>
    <w:p w14:paraId="1D11B56C" w14:textId="77777777" w:rsidR="00B75D33" w:rsidRPr="004931F7" w:rsidRDefault="00440352">
      <w:pPr>
        <w:pStyle w:val="ListParagraph"/>
        <w:numPr>
          <w:ilvl w:val="1"/>
          <w:numId w:val="12"/>
        </w:numPr>
        <w:rPr>
          <w:lang w:val="en-US"/>
        </w:rPr>
      </w:pPr>
      <m:oMath>
        <m:f>
          <m:fPr>
            <m:ctrlPr>
              <w:rPr>
                <w:rFonts w:ascii="Cambria Math" w:hAnsi="Cambria Math" w:cs="Arial"/>
                <w:i/>
                <w:sz w:val="22"/>
                <w:vertAlign w:val="superscript"/>
              </w:rPr>
            </m:ctrlPr>
          </m:fPr>
          <m:num>
            <m:r>
              <w:rPr>
                <w:rFonts w:ascii="Cambria Math" w:hAnsi="Cambria Math" w:cs="Arial"/>
                <w:sz w:val="22"/>
                <w:vertAlign w:val="superscript"/>
              </w:rPr>
              <m:t>100×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3</m:t>
                </m:r>
              </m:sup>
            </m:sSup>
          </m:num>
          <m:den>
            <m:r>
              <w:rPr>
                <w:rFonts w:ascii="Cambria Math" w:hAnsi="Cambria Math" w:cs="Arial"/>
                <w:sz w:val="22"/>
                <w:vertAlign w:val="superscript"/>
              </w:rPr>
              <m:t>bkm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min</m:t>
                </m:r>
              </m:sub>
            </m:sSub>
          </m:den>
        </m:f>
      </m:oMath>
      <w:r w:rsidR="00B75D33">
        <w:t xml:space="preserve"> hours for all accuracy classes.</w:t>
      </w:r>
    </w:p>
    <w:p w14:paraId="4B69AFC6" w14:textId="14A448BA" w:rsidR="00B75D33" w:rsidRPr="00F17341" w:rsidRDefault="00B75D33" w:rsidP="00B75D33">
      <w:pPr>
        <w:rPr>
          <w:lang w:val="en-US"/>
        </w:rPr>
      </w:pPr>
      <w:r w:rsidRPr="00827BF7">
        <w:rPr>
          <w:lang w:val="en-US"/>
        </w:rPr>
        <w:t xml:space="preserve">Where </w:t>
      </w:r>
      <w:r w:rsidRPr="004931F7">
        <w:rPr>
          <w:i/>
          <w:iCs/>
          <w:lang w:val="en-US"/>
        </w:rPr>
        <w:t>b</w:t>
      </w:r>
      <w:r w:rsidRPr="00827BF7">
        <w:rPr>
          <w:lang w:val="en-US"/>
        </w:rPr>
        <w:t xml:space="preserve"> is the base </w:t>
      </w:r>
      <w:r w:rsidR="0096413F">
        <w:rPr>
          <w:lang w:val="en-US"/>
        </w:rPr>
        <w:t>MPE</w:t>
      </w:r>
      <w:r w:rsidRPr="00827BF7">
        <w:rPr>
          <w:lang w:val="en-US"/>
        </w:rPr>
        <w:t xml:space="preserve"> at </w:t>
      </w:r>
      <w:proofErr w:type="spellStart"/>
      <w:r w:rsidRPr="004931F7">
        <w:rPr>
          <w:i/>
          <w:iCs/>
          <w:lang w:val="en-US"/>
        </w:rPr>
        <w:t>I</w:t>
      </w:r>
      <w:r w:rsidRPr="004931F7">
        <w:rPr>
          <w:vertAlign w:val="subscript"/>
          <w:lang w:val="en-US"/>
        </w:rPr>
        <w:t>min</w:t>
      </w:r>
      <w:proofErr w:type="spellEnd"/>
      <w:r w:rsidRPr="00827BF7">
        <w:rPr>
          <w:lang w:val="en-US"/>
        </w:rPr>
        <w:t xml:space="preserve"> expressed as a percentage (%) and is</w:t>
      </w:r>
      <w:r>
        <w:rPr>
          <w:lang w:val="en-US"/>
        </w:rPr>
        <w:t xml:space="preserve"> </w:t>
      </w:r>
      <w:r w:rsidRPr="00827BF7">
        <w:rPr>
          <w:lang w:val="en-US"/>
        </w:rPr>
        <w:t>taken as a positive value</w:t>
      </w:r>
      <w:r>
        <w:rPr>
          <w:lang w:val="en-US"/>
        </w:rPr>
        <w:t>.</w:t>
      </w:r>
    </w:p>
    <w:p w14:paraId="36B3FF12" w14:textId="31D15E2B" w:rsidR="00B75D33" w:rsidRDefault="005514A4" w:rsidP="005514A4">
      <w:pPr>
        <w:pStyle w:val="Heading2"/>
      </w:pPr>
      <w:bookmarkStart w:id="70" w:name="_Toc170413883"/>
      <w:r>
        <w:lastRenderedPageBreak/>
        <w:t>Starting</w:t>
      </w:r>
      <w:bookmarkEnd w:id="70"/>
    </w:p>
    <w:p w14:paraId="0FAA26A9" w14:textId="08FE68F1" w:rsidR="005514A4" w:rsidRPr="005514A4" w:rsidRDefault="005514A4" w:rsidP="005514A4">
      <w:pPr>
        <w:rPr>
          <w:lang w:val="en-US"/>
        </w:rPr>
      </w:pPr>
      <w:r>
        <w:rPr>
          <w:lang w:val="en-US"/>
        </w:rPr>
        <w:t xml:space="preserve">A starting test determines whether </w:t>
      </w:r>
      <w:r w:rsidR="00D105EC" w:rsidRPr="00D105EC">
        <w:rPr>
          <w:lang w:val="en-US"/>
        </w:rPr>
        <w:t>an electricity</w:t>
      </w:r>
      <w:r>
        <w:rPr>
          <w:lang w:val="en-US"/>
        </w:rPr>
        <w:t xml:space="preserve"> meter starts and continues to measure energy when the current is equal to or greater than the specified starting current (</w:t>
      </w:r>
      <w:proofErr w:type="spellStart"/>
      <w:r>
        <w:rPr>
          <w:i/>
          <w:iCs/>
          <w:lang w:val="en-US"/>
        </w:rPr>
        <w:t>I</w:t>
      </w:r>
      <w:r>
        <w:rPr>
          <w:vertAlign w:val="subscript"/>
          <w:lang w:val="en-US"/>
        </w:rPr>
        <w:t>st</w:t>
      </w:r>
      <w:proofErr w:type="spellEnd"/>
      <w:r>
        <w:rPr>
          <w:lang w:val="en-US"/>
        </w:rPr>
        <w:t>).</w:t>
      </w:r>
    </w:p>
    <w:p w14:paraId="57B16F6A" w14:textId="5DF54FC1" w:rsidR="005514A4" w:rsidRDefault="005514A4" w:rsidP="005514A4">
      <w:pPr>
        <w:rPr>
          <w:lang w:val="en-US"/>
        </w:rPr>
      </w:pPr>
      <w:r>
        <w:rPr>
          <w:lang w:val="en-US"/>
        </w:rPr>
        <w:t xml:space="preserve">The test procedure and acceptance criteria are specified in NMI </w:t>
      </w:r>
      <w:r>
        <w:t>M 6-1, clause 5.7.4</w:t>
      </w:r>
      <w:r w:rsidRPr="00ED3970">
        <w:t>.</w:t>
      </w:r>
    </w:p>
    <w:p w14:paraId="4D0C2633" w14:textId="0B247A78" w:rsidR="005514A4" w:rsidRDefault="005514A4" w:rsidP="005514A4">
      <w:pPr>
        <w:pStyle w:val="Note"/>
      </w:pPr>
      <w:r w:rsidRPr="00732FC7">
        <w:t>Note:</w:t>
      </w:r>
      <w:r w:rsidRPr="00732FC7">
        <w:tab/>
        <w:t>This test is also in AS 62053.21:2018 and AS 6205</w:t>
      </w:r>
      <w:r w:rsidR="00B71197" w:rsidRPr="00140BC3">
        <w:t>3</w:t>
      </w:r>
      <w:r w:rsidRPr="00732FC7">
        <w:t xml:space="preserve">.22:2018 </w:t>
      </w:r>
      <w:r w:rsidR="00732FC7" w:rsidRPr="00140BC3">
        <w:t>(</w:t>
      </w:r>
      <w:r w:rsidRPr="00732FC7">
        <w:t>clause 8.3.3</w:t>
      </w:r>
      <w:r w:rsidR="00732FC7" w:rsidRPr="00140BC3">
        <w:t>)</w:t>
      </w:r>
      <w:r w:rsidRPr="00732FC7">
        <w:t xml:space="preserve"> </w:t>
      </w:r>
      <w:r w:rsidR="00732FC7" w:rsidRPr="00140BC3">
        <w:t xml:space="preserve">as </w:t>
      </w:r>
      <w:r w:rsidRPr="00732FC7">
        <w:t>referenced in NMI M 13.</w:t>
      </w:r>
    </w:p>
    <w:p w14:paraId="6622538F" w14:textId="0492E88E" w:rsidR="005514A4" w:rsidRDefault="005514A4" w:rsidP="005514A4">
      <w:pPr>
        <w:rPr>
          <w:lang w:val="en-US"/>
        </w:rPr>
      </w:pPr>
      <w:r>
        <w:rPr>
          <w:lang w:val="en-US"/>
        </w:rPr>
        <w:t xml:space="preserve">The starting currents for </w:t>
      </w:r>
      <w:bookmarkStart w:id="71" w:name="_Hlk163223251"/>
      <w:r w:rsidR="00D105EC" w:rsidRPr="00D105EC">
        <w:rPr>
          <w:lang w:val="en-US"/>
        </w:rPr>
        <w:t xml:space="preserve">electricity </w:t>
      </w:r>
      <w:bookmarkEnd w:id="71"/>
      <w:r>
        <w:rPr>
          <w:lang w:val="en-US"/>
        </w:rPr>
        <w:t>meters approved under NMI M 6 and NMI M 13 are as follows:</w:t>
      </w:r>
    </w:p>
    <w:p w14:paraId="4DEC7768" w14:textId="6E869C59" w:rsidR="005514A4" w:rsidRDefault="005514A4" w:rsidP="009D777F">
      <w:pPr>
        <w:pStyle w:val="ListParagraph"/>
        <w:numPr>
          <w:ilvl w:val="0"/>
          <w:numId w:val="31"/>
        </w:numPr>
        <w:rPr>
          <w:lang w:val="en-US"/>
        </w:rPr>
      </w:pPr>
      <w:r>
        <w:rPr>
          <w:lang w:val="en-US"/>
        </w:rPr>
        <w:t xml:space="preserve">Direct-connected </w:t>
      </w:r>
      <w:r w:rsidR="00D105EC" w:rsidRPr="00D105EC">
        <w:rPr>
          <w:lang w:val="en-US"/>
        </w:rPr>
        <w:t xml:space="preserve">electricity </w:t>
      </w:r>
      <w:r>
        <w:rPr>
          <w:lang w:val="en-US"/>
        </w:rPr>
        <w:t xml:space="preserve">meters, class 1: 0.004 </w:t>
      </w:r>
      <w:proofErr w:type="spellStart"/>
      <w:r>
        <w:rPr>
          <w:i/>
          <w:iCs/>
          <w:lang w:val="en-US"/>
        </w:rPr>
        <w:t>I</w:t>
      </w:r>
      <w:r>
        <w:rPr>
          <w:vertAlign w:val="subscript"/>
          <w:lang w:val="en-US"/>
        </w:rPr>
        <w:t>b</w:t>
      </w:r>
      <w:proofErr w:type="spellEnd"/>
    </w:p>
    <w:p w14:paraId="03AD9E30" w14:textId="1BE66735" w:rsidR="005514A4" w:rsidRDefault="005514A4" w:rsidP="009D777F">
      <w:pPr>
        <w:pStyle w:val="ListParagraph"/>
        <w:numPr>
          <w:ilvl w:val="0"/>
          <w:numId w:val="31"/>
        </w:numPr>
        <w:rPr>
          <w:lang w:val="en-US"/>
        </w:rPr>
      </w:pPr>
      <w:r>
        <w:rPr>
          <w:lang w:val="en-US"/>
        </w:rPr>
        <w:t xml:space="preserve">Direct-connected </w:t>
      </w:r>
      <w:r w:rsidR="00D105EC" w:rsidRPr="00D105EC">
        <w:rPr>
          <w:lang w:val="en-US"/>
        </w:rPr>
        <w:t xml:space="preserve">electricity </w:t>
      </w:r>
      <w:r>
        <w:rPr>
          <w:lang w:val="en-US"/>
        </w:rPr>
        <w:t xml:space="preserve">meters, class </w:t>
      </w:r>
      <w:proofErr w:type="gramStart"/>
      <w:r>
        <w:rPr>
          <w:lang w:val="en-US"/>
        </w:rPr>
        <w:t>1.5</w:t>
      </w:r>
      <w:proofErr w:type="gramEnd"/>
      <w:r>
        <w:rPr>
          <w:lang w:val="en-US"/>
        </w:rPr>
        <w:t xml:space="preserve"> and class 2: 0.005 </w:t>
      </w:r>
      <w:proofErr w:type="spellStart"/>
      <w:r>
        <w:rPr>
          <w:i/>
          <w:iCs/>
          <w:lang w:val="en-US"/>
        </w:rPr>
        <w:t>I</w:t>
      </w:r>
      <w:r>
        <w:rPr>
          <w:vertAlign w:val="subscript"/>
          <w:lang w:val="en-US"/>
        </w:rPr>
        <w:t>b</w:t>
      </w:r>
      <w:proofErr w:type="spellEnd"/>
    </w:p>
    <w:p w14:paraId="369A3CE7" w14:textId="325D9055" w:rsidR="005514A4" w:rsidRDefault="005514A4" w:rsidP="009D777F">
      <w:pPr>
        <w:pStyle w:val="ListParagraph"/>
        <w:numPr>
          <w:ilvl w:val="0"/>
          <w:numId w:val="31"/>
        </w:numPr>
        <w:rPr>
          <w:lang w:val="en-US"/>
        </w:rPr>
      </w:pPr>
      <w:r>
        <w:rPr>
          <w:lang w:val="en-US"/>
        </w:rPr>
        <w:t xml:space="preserve">Transformer-operated </w:t>
      </w:r>
      <w:r w:rsidR="00D105EC" w:rsidRPr="00D105EC">
        <w:rPr>
          <w:lang w:val="en-US"/>
        </w:rPr>
        <w:t xml:space="preserve">electricity </w:t>
      </w:r>
      <w:r>
        <w:rPr>
          <w:lang w:val="en-US"/>
        </w:rPr>
        <w:t>meters, class 0.2, class 0.2</w:t>
      </w:r>
      <w:r w:rsidR="0096413F">
        <w:rPr>
          <w:lang w:val="en-US"/>
        </w:rPr>
        <w:t xml:space="preserve"> </w:t>
      </w:r>
      <w:r>
        <w:rPr>
          <w:lang w:val="en-US"/>
        </w:rPr>
        <w:t xml:space="preserve">S, class </w:t>
      </w:r>
      <w:proofErr w:type="gramStart"/>
      <w:r>
        <w:rPr>
          <w:lang w:val="en-US"/>
        </w:rPr>
        <w:t>0.5</w:t>
      </w:r>
      <w:proofErr w:type="gramEnd"/>
      <w:r>
        <w:rPr>
          <w:lang w:val="en-US"/>
        </w:rPr>
        <w:t xml:space="preserve"> and class 0.5</w:t>
      </w:r>
      <w:r w:rsidR="0096413F">
        <w:rPr>
          <w:lang w:val="en-US"/>
        </w:rPr>
        <w:t xml:space="preserve"> </w:t>
      </w:r>
      <w:r>
        <w:rPr>
          <w:lang w:val="en-US"/>
        </w:rPr>
        <w:t xml:space="preserve">S: 0.001 </w:t>
      </w:r>
      <w:r>
        <w:rPr>
          <w:i/>
          <w:iCs/>
          <w:lang w:val="en-US"/>
        </w:rPr>
        <w:t>I</w:t>
      </w:r>
      <w:r>
        <w:rPr>
          <w:vertAlign w:val="subscript"/>
          <w:lang w:val="en-US"/>
        </w:rPr>
        <w:t>n</w:t>
      </w:r>
    </w:p>
    <w:p w14:paraId="561F3CDD" w14:textId="64699321" w:rsidR="005514A4" w:rsidRDefault="005514A4" w:rsidP="009D777F">
      <w:pPr>
        <w:pStyle w:val="ListParagraph"/>
        <w:numPr>
          <w:ilvl w:val="0"/>
          <w:numId w:val="31"/>
        </w:numPr>
        <w:rPr>
          <w:lang w:val="en-US"/>
        </w:rPr>
      </w:pPr>
      <w:r>
        <w:rPr>
          <w:lang w:val="en-US"/>
        </w:rPr>
        <w:t xml:space="preserve">Transformer-operated </w:t>
      </w:r>
      <w:r w:rsidR="00D105EC" w:rsidRPr="00D105EC">
        <w:rPr>
          <w:lang w:val="en-US"/>
        </w:rPr>
        <w:t xml:space="preserve">electricity </w:t>
      </w:r>
      <w:r>
        <w:rPr>
          <w:lang w:val="en-US"/>
        </w:rPr>
        <w:t xml:space="preserve">meters, class 1: 0.002 </w:t>
      </w:r>
      <w:r>
        <w:rPr>
          <w:i/>
          <w:iCs/>
          <w:lang w:val="en-US"/>
        </w:rPr>
        <w:t>I</w:t>
      </w:r>
      <w:r>
        <w:rPr>
          <w:vertAlign w:val="subscript"/>
          <w:lang w:val="en-US"/>
        </w:rPr>
        <w:t>n</w:t>
      </w:r>
    </w:p>
    <w:p w14:paraId="076EC70D" w14:textId="4AC9A42F" w:rsidR="005514A4" w:rsidRDefault="005514A4" w:rsidP="009D777F">
      <w:pPr>
        <w:pStyle w:val="ListParagraph"/>
        <w:numPr>
          <w:ilvl w:val="0"/>
          <w:numId w:val="31"/>
        </w:numPr>
        <w:rPr>
          <w:lang w:val="en-US"/>
        </w:rPr>
      </w:pPr>
      <w:r>
        <w:rPr>
          <w:lang w:val="en-US"/>
        </w:rPr>
        <w:t xml:space="preserve">Transformer-operated </w:t>
      </w:r>
      <w:r w:rsidR="00D105EC" w:rsidRPr="00D105EC">
        <w:rPr>
          <w:lang w:val="en-US"/>
        </w:rPr>
        <w:t xml:space="preserve">electricity </w:t>
      </w:r>
      <w:r>
        <w:rPr>
          <w:lang w:val="en-US"/>
        </w:rPr>
        <w:t xml:space="preserve">meters, class 1.5: 0.0025 </w:t>
      </w:r>
      <w:r>
        <w:rPr>
          <w:i/>
          <w:iCs/>
          <w:lang w:val="en-US"/>
        </w:rPr>
        <w:t>I</w:t>
      </w:r>
      <w:r>
        <w:rPr>
          <w:vertAlign w:val="subscript"/>
          <w:lang w:val="en-US"/>
        </w:rPr>
        <w:t>n</w:t>
      </w:r>
    </w:p>
    <w:p w14:paraId="3FD6EC41" w14:textId="0E12BCC2" w:rsidR="005514A4" w:rsidRPr="00CB39E7" w:rsidRDefault="005514A4" w:rsidP="009D777F">
      <w:pPr>
        <w:pStyle w:val="ListParagraph"/>
        <w:numPr>
          <w:ilvl w:val="0"/>
          <w:numId w:val="31"/>
        </w:numPr>
        <w:rPr>
          <w:lang w:val="en-US"/>
        </w:rPr>
      </w:pPr>
      <w:r>
        <w:rPr>
          <w:lang w:val="en-US"/>
        </w:rPr>
        <w:t xml:space="preserve">Transformer-operated </w:t>
      </w:r>
      <w:r w:rsidR="00D105EC" w:rsidRPr="00D105EC">
        <w:rPr>
          <w:lang w:val="en-US"/>
        </w:rPr>
        <w:t xml:space="preserve">electricity </w:t>
      </w:r>
      <w:r>
        <w:rPr>
          <w:lang w:val="en-US"/>
        </w:rPr>
        <w:t xml:space="preserve">meters, class 2: 0.003 </w:t>
      </w:r>
      <w:r>
        <w:rPr>
          <w:i/>
          <w:iCs/>
          <w:lang w:val="en-US"/>
        </w:rPr>
        <w:t>I</w:t>
      </w:r>
      <w:r>
        <w:rPr>
          <w:vertAlign w:val="subscript"/>
          <w:lang w:val="en-US"/>
        </w:rPr>
        <w:t>n</w:t>
      </w:r>
    </w:p>
    <w:p w14:paraId="33324BBC" w14:textId="3D7E8874" w:rsidR="005514A4" w:rsidRDefault="005514A4" w:rsidP="005514A4">
      <w:pPr>
        <w:rPr>
          <w:lang w:val="en-US"/>
        </w:rPr>
      </w:pPr>
      <w:r>
        <w:rPr>
          <w:lang w:val="en-US"/>
        </w:rPr>
        <w:t xml:space="preserve">The starting currents for </w:t>
      </w:r>
      <w:r w:rsidR="00D105EC" w:rsidRPr="00D105EC">
        <w:rPr>
          <w:lang w:val="en-US"/>
        </w:rPr>
        <w:t xml:space="preserve">electricity </w:t>
      </w:r>
      <w:r>
        <w:rPr>
          <w:lang w:val="en-US"/>
        </w:rPr>
        <w:t>meters approved under NMI R 46 are specified on the certificate of approval.</w:t>
      </w:r>
    </w:p>
    <w:p w14:paraId="2B904822" w14:textId="272130A4" w:rsidR="005514A4" w:rsidRPr="00954C7B" w:rsidRDefault="005514A4" w:rsidP="005514A4">
      <w:pPr>
        <w:pStyle w:val="Note"/>
        <w:rPr>
          <w:lang w:val="en-US"/>
        </w:rPr>
      </w:pPr>
      <w:r>
        <w:rPr>
          <w:lang w:val="en-US"/>
        </w:rPr>
        <w:t>Note:</w:t>
      </w:r>
      <w:r>
        <w:rPr>
          <w:lang w:val="en-US"/>
        </w:rPr>
        <w:tab/>
        <w:t xml:space="preserve">The starting current test in NMI R 46, clause 6.2.3 may also be used for </w:t>
      </w:r>
      <w:r w:rsidR="00D105EC" w:rsidRPr="00D105EC">
        <w:rPr>
          <w:lang w:val="en-US"/>
        </w:rPr>
        <w:t xml:space="preserve">electricity </w:t>
      </w:r>
      <w:r>
        <w:rPr>
          <w:lang w:val="en-US"/>
        </w:rPr>
        <w:t xml:space="preserve">meters approved under </w:t>
      </w:r>
      <w:r w:rsidR="003A0104">
        <w:rPr>
          <w:lang w:val="en-US"/>
        </w:rPr>
        <w:br/>
      </w:r>
      <w:r>
        <w:rPr>
          <w:lang w:val="en-US"/>
        </w:rPr>
        <w:t>NMI R 46.</w:t>
      </w:r>
    </w:p>
    <w:p w14:paraId="48167488" w14:textId="5D8887E9" w:rsidR="005514A4" w:rsidRPr="005514A4" w:rsidRDefault="005514A4" w:rsidP="005514A4">
      <w:pPr>
        <w:pStyle w:val="Heading1"/>
      </w:pPr>
      <w:bookmarkStart w:id="72" w:name="_Toc170413884"/>
      <w:r>
        <w:t xml:space="preserve">Test </w:t>
      </w:r>
      <w:proofErr w:type="gramStart"/>
      <w:r>
        <w:t>procedures</w:t>
      </w:r>
      <w:bookmarkEnd w:id="72"/>
      <w:proofErr w:type="gramEnd"/>
    </w:p>
    <w:p w14:paraId="0FBA901E" w14:textId="0844AF86" w:rsidR="00E7258A" w:rsidRDefault="00E7258A" w:rsidP="00E7258A">
      <w:pPr>
        <w:pStyle w:val="Heading2"/>
      </w:pPr>
      <w:bookmarkStart w:id="73" w:name="_Toc113957889"/>
      <w:bookmarkStart w:id="74" w:name="_Toc113957890"/>
      <w:bookmarkStart w:id="75" w:name="_Toc170413885"/>
      <w:bookmarkStart w:id="76" w:name="_Toc144374755"/>
      <w:bookmarkStart w:id="77" w:name="_Hlk144893260"/>
      <w:bookmarkStart w:id="78" w:name="_Toc251154758"/>
      <w:bookmarkStart w:id="79" w:name="_Toc251155471"/>
      <w:bookmarkStart w:id="80" w:name="_Toc257200874"/>
      <w:bookmarkEnd w:id="73"/>
      <w:bookmarkEnd w:id="74"/>
      <w:r>
        <w:rPr>
          <w:lang w:val="en-US"/>
        </w:rPr>
        <w:t xml:space="preserve">General </w:t>
      </w:r>
      <w:r w:rsidR="00860A77">
        <w:rPr>
          <w:lang w:val="en-US"/>
        </w:rPr>
        <w:t>r</w:t>
      </w:r>
      <w:r>
        <w:rPr>
          <w:lang w:val="en-US"/>
        </w:rPr>
        <w:t>equirements</w:t>
      </w:r>
      <w:bookmarkEnd w:id="75"/>
      <w:r>
        <w:rPr>
          <w:lang w:val="en-US"/>
        </w:rPr>
        <w:t xml:space="preserve"> </w:t>
      </w:r>
      <w:bookmarkEnd w:id="76"/>
    </w:p>
    <w:bookmarkEnd w:id="77"/>
    <w:p w14:paraId="35231537" w14:textId="13764565" w:rsidR="00AE0857" w:rsidRDefault="00054DCB" w:rsidP="00EB378E">
      <w:pPr>
        <w:spacing w:before="120"/>
      </w:pPr>
      <w:r>
        <w:t xml:space="preserve">The following test procedures determine if an electricity meter meets the requirements for verification. </w:t>
      </w:r>
    </w:p>
    <w:p w14:paraId="2C829C45" w14:textId="0B5A1C5D" w:rsidR="005E66AD" w:rsidRDefault="005E66AD" w:rsidP="00D73C7B">
      <w:r>
        <w:t xml:space="preserve">The tests specified </w:t>
      </w:r>
      <w:r w:rsidR="00446286">
        <w:t xml:space="preserve">must </w:t>
      </w:r>
      <w:r>
        <w:t>be performed at the reference conditions within the permissible tolerances as detailed in NMI M 6</w:t>
      </w:r>
      <w:r w:rsidR="00D73C7B">
        <w:t xml:space="preserve">, NMI M 13 or NMI R 46 (as applicable). </w:t>
      </w:r>
    </w:p>
    <w:p w14:paraId="59266DA9" w14:textId="1AFECA51" w:rsidR="00054DCB" w:rsidRDefault="00054DCB" w:rsidP="00054DCB">
      <w:r>
        <w:t xml:space="preserve">Check the </w:t>
      </w:r>
      <w:r w:rsidR="002B78FF">
        <w:t>c</w:t>
      </w:r>
      <w:r>
        <w:t xml:space="preserve">ertificate of </w:t>
      </w:r>
      <w:r w:rsidR="002B78FF">
        <w:t>a</w:t>
      </w:r>
      <w:r>
        <w:t xml:space="preserve">pproval </w:t>
      </w:r>
      <w:r w:rsidR="005B00E5">
        <w:t>and perform</w:t>
      </w:r>
      <w:r>
        <w:t xml:space="preserve"> any additional tests that may be required.</w:t>
      </w:r>
    </w:p>
    <w:p w14:paraId="789BEA80" w14:textId="3BA4578C" w:rsidR="00AE671F" w:rsidRDefault="00AE671F" w:rsidP="00413E41">
      <w:r w:rsidRPr="00A3483E">
        <w:t xml:space="preserve">Consider and comply with </w:t>
      </w:r>
      <w:r>
        <w:t>any</w:t>
      </w:r>
      <w:r w:rsidRPr="00A3483E">
        <w:t xml:space="preserve"> relevant safety requirements.</w:t>
      </w:r>
    </w:p>
    <w:p w14:paraId="03085FCC" w14:textId="77777777" w:rsidR="00D5724D" w:rsidRDefault="000973EA" w:rsidP="00413E41">
      <w:r>
        <w:t>There are three separate procedures for verifying electricity meters in clauses 3.2, 3.3 and 3.4.</w:t>
      </w:r>
    </w:p>
    <w:p w14:paraId="7F1502AC" w14:textId="56787B75" w:rsidR="00D5724D" w:rsidRDefault="000973EA" w:rsidP="00413E41">
      <w:r>
        <w:t>The procedure in clause 3.2 must be used when verifying an individual electricity meter.</w:t>
      </w:r>
      <w:r w:rsidR="00914807">
        <w:t xml:space="preserve"> </w:t>
      </w:r>
      <w:r w:rsidR="00D105EC">
        <w:t>E</w:t>
      </w:r>
      <w:r w:rsidR="00D105EC" w:rsidRPr="00D105EC">
        <w:t xml:space="preserve">lectricity </w:t>
      </w:r>
      <w:r w:rsidR="00D105EC">
        <w:t>m</w:t>
      </w:r>
      <w:r w:rsidR="00914807">
        <w:t>eters verified using this procedure must be individually verified and marked with a verification mark.</w:t>
      </w:r>
    </w:p>
    <w:p w14:paraId="48EDA675" w14:textId="201E714F" w:rsidR="00D5724D" w:rsidRDefault="000973EA" w:rsidP="00413E41">
      <w:r>
        <w:t>The procedure in clause 3.3 may be used when verifying a batch of locally manufactured electricity meters.</w:t>
      </w:r>
      <w:r w:rsidR="00CD0BBF">
        <w:t xml:space="preserve"> Refer to the procedure for more details and conditions.</w:t>
      </w:r>
      <w:r w:rsidR="00A61DDE">
        <w:t xml:space="preserve"> </w:t>
      </w:r>
      <w:r w:rsidR="00D105EC">
        <w:t>E</w:t>
      </w:r>
      <w:r w:rsidR="00D105EC" w:rsidRPr="00D105EC">
        <w:t xml:space="preserve">lectricity </w:t>
      </w:r>
      <w:r w:rsidR="00D105EC">
        <w:t>m</w:t>
      </w:r>
      <w:r w:rsidR="00914807">
        <w:t>eters verified using this procedure must be individually verified and marked with a verification mark.</w:t>
      </w:r>
      <w:r w:rsidR="00A61DDE">
        <w:t xml:space="preserve"> </w:t>
      </w:r>
    </w:p>
    <w:p w14:paraId="065547A3" w14:textId="3639944C" w:rsidR="005514A4" w:rsidRDefault="00D5724D" w:rsidP="00413E41">
      <w:r>
        <w:t xml:space="preserve">The procedure in clause 3.4 may be used </w:t>
      </w:r>
      <w:r w:rsidR="000973EA">
        <w:t xml:space="preserve">when verifying a batch </w:t>
      </w:r>
      <w:r w:rsidR="00A61DDE">
        <w:t xml:space="preserve">of </w:t>
      </w:r>
      <w:r w:rsidR="000973EA">
        <w:t xml:space="preserve">imported </w:t>
      </w:r>
      <w:r>
        <w:t xml:space="preserve">electricity </w:t>
      </w:r>
      <w:r w:rsidR="000973EA">
        <w:t>meters</w:t>
      </w:r>
      <w:r>
        <w:t xml:space="preserve">. </w:t>
      </w:r>
      <w:r w:rsidR="00CD0BBF">
        <w:t>Refer to the procedure for more details and conditions.</w:t>
      </w:r>
      <w:r w:rsidR="00914807">
        <w:t xml:space="preserve"> </w:t>
      </w:r>
      <w:r w:rsidR="00D105EC">
        <w:t>E</w:t>
      </w:r>
      <w:r w:rsidR="00D105EC" w:rsidRPr="00D105EC">
        <w:t xml:space="preserve">lectricity </w:t>
      </w:r>
      <w:r w:rsidR="00D105EC">
        <w:t>m</w:t>
      </w:r>
      <w:r w:rsidR="00914807">
        <w:t>eters verified using this procedure must be batch verified and identified in a batch verification certificate.</w:t>
      </w:r>
    </w:p>
    <w:p w14:paraId="5D046101" w14:textId="77777777" w:rsidR="00D5724D" w:rsidRDefault="00D5724D">
      <w:pPr>
        <w:spacing w:after="200"/>
        <w:rPr>
          <w:rFonts w:eastAsiaTheme="majorEastAsia" w:cstheme="majorBidi"/>
          <w:b/>
          <w:bCs/>
          <w:color w:val="A6192E"/>
          <w:sz w:val="26"/>
          <w:szCs w:val="26"/>
          <w:lang w:val="en-US"/>
        </w:rPr>
      </w:pPr>
      <w:bookmarkStart w:id="81" w:name="_Toc122691678"/>
      <w:bookmarkStart w:id="82" w:name="_Toc127873441"/>
      <w:bookmarkStart w:id="83" w:name="_Toc127875958"/>
      <w:bookmarkStart w:id="84" w:name="_Toc122691679"/>
      <w:bookmarkStart w:id="85" w:name="_Toc127873442"/>
      <w:bookmarkStart w:id="86" w:name="_Toc127875959"/>
      <w:bookmarkStart w:id="87" w:name="_Toc122691680"/>
      <w:bookmarkStart w:id="88" w:name="_Toc127873443"/>
      <w:bookmarkStart w:id="89" w:name="_Toc127875960"/>
      <w:bookmarkStart w:id="90" w:name="_Toc122691681"/>
      <w:bookmarkStart w:id="91" w:name="_Toc127873444"/>
      <w:bookmarkStart w:id="92" w:name="_Toc127875961"/>
      <w:bookmarkStart w:id="93" w:name="_Toc122691682"/>
      <w:bookmarkStart w:id="94" w:name="_Toc127873445"/>
      <w:bookmarkStart w:id="95" w:name="_Toc127875962"/>
      <w:bookmarkStart w:id="96" w:name="_Toc122691683"/>
      <w:bookmarkStart w:id="97" w:name="_Toc127873446"/>
      <w:bookmarkStart w:id="98" w:name="_Toc127875963"/>
      <w:bookmarkStart w:id="99" w:name="_Toc122691684"/>
      <w:bookmarkStart w:id="100" w:name="_Toc127873447"/>
      <w:bookmarkStart w:id="101" w:name="_Toc127875964"/>
      <w:bookmarkStart w:id="102" w:name="_Toc122691685"/>
      <w:bookmarkStart w:id="103" w:name="_Toc127873448"/>
      <w:bookmarkStart w:id="104" w:name="_Toc127875965"/>
      <w:bookmarkStart w:id="105" w:name="_Toc122691686"/>
      <w:bookmarkStart w:id="106" w:name="_Toc127873449"/>
      <w:bookmarkStart w:id="107" w:name="_Toc127875966"/>
      <w:bookmarkStart w:id="108" w:name="_Toc122691687"/>
      <w:bookmarkStart w:id="109" w:name="_Toc127873450"/>
      <w:bookmarkStart w:id="110" w:name="_Toc127875967"/>
      <w:bookmarkStart w:id="111" w:name="_Toc122691688"/>
      <w:bookmarkStart w:id="112" w:name="_Toc127873451"/>
      <w:bookmarkStart w:id="113" w:name="_Toc127875968"/>
      <w:bookmarkStart w:id="114" w:name="_Toc122691689"/>
      <w:bookmarkStart w:id="115" w:name="_Toc127873452"/>
      <w:bookmarkStart w:id="116" w:name="_Toc127875969"/>
      <w:bookmarkStart w:id="117" w:name="_Toc122691690"/>
      <w:bookmarkStart w:id="118" w:name="_Toc127873453"/>
      <w:bookmarkStart w:id="119" w:name="_Toc127875970"/>
      <w:bookmarkStart w:id="120" w:name="_Toc122691691"/>
      <w:bookmarkStart w:id="121" w:name="_Toc127873454"/>
      <w:bookmarkStart w:id="122" w:name="_Toc127875971"/>
      <w:bookmarkStart w:id="123" w:name="_Toc122691692"/>
      <w:bookmarkStart w:id="124" w:name="_Toc127873455"/>
      <w:bookmarkStart w:id="125" w:name="_Toc127875972"/>
      <w:bookmarkStart w:id="126" w:name="_Toc122691693"/>
      <w:bookmarkStart w:id="127" w:name="_Toc127873456"/>
      <w:bookmarkStart w:id="128" w:name="_Toc127875973"/>
      <w:bookmarkStart w:id="129" w:name="_Toc122691694"/>
      <w:bookmarkStart w:id="130" w:name="_Toc127873457"/>
      <w:bookmarkStart w:id="131" w:name="_Toc127875974"/>
      <w:bookmarkStart w:id="132" w:name="_Toc122691695"/>
      <w:bookmarkStart w:id="133" w:name="_Toc127873458"/>
      <w:bookmarkStart w:id="134" w:name="_Toc127875975"/>
      <w:bookmarkStart w:id="135" w:name="_Toc122691696"/>
      <w:bookmarkStart w:id="136" w:name="_Toc127873459"/>
      <w:bookmarkStart w:id="137" w:name="_Toc127875976"/>
      <w:bookmarkStart w:id="138" w:name="_Toc122691697"/>
      <w:bookmarkStart w:id="139" w:name="_Toc127873460"/>
      <w:bookmarkStart w:id="140" w:name="_Toc127875977"/>
      <w:bookmarkStart w:id="141" w:name="_Toc122691698"/>
      <w:bookmarkStart w:id="142" w:name="_Toc127873461"/>
      <w:bookmarkStart w:id="143" w:name="_Toc127875978"/>
      <w:bookmarkStart w:id="144" w:name="_Toc122691699"/>
      <w:bookmarkStart w:id="145" w:name="_Toc127873462"/>
      <w:bookmarkStart w:id="146" w:name="_Toc127875979"/>
      <w:bookmarkStart w:id="147" w:name="_Toc122691700"/>
      <w:bookmarkStart w:id="148" w:name="_Toc127873463"/>
      <w:bookmarkStart w:id="149" w:name="_Toc127875980"/>
      <w:bookmarkStart w:id="150" w:name="_Toc122691701"/>
      <w:bookmarkStart w:id="151" w:name="_Toc127873464"/>
      <w:bookmarkStart w:id="152" w:name="_Toc127875981"/>
      <w:bookmarkStart w:id="153" w:name="_Toc122691702"/>
      <w:bookmarkStart w:id="154" w:name="_Toc127873465"/>
      <w:bookmarkStart w:id="155" w:name="_Toc127875982"/>
      <w:bookmarkStart w:id="156" w:name="_Toc122691703"/>
      <w:bookmarkStart w:id="157" w:name="_Toc127873466"/>
      <w:bookmarkStart w:id="158" w:name="_Toc127875983"/>
      <w:bookmarkStart w:id="159" w:name="_Toc122691704"/>
      <w:bookmarkStart w:id="160" w:name="_Toc127873467"/>
      <w:bookmarkStart w:id="161" w:name="_Toc127875984"/>
      <w:bookmarkStart w:id="162" w:name="_Toc122691705"/>
      <w:bookmarkStart w:id="163" w:name="_Toc127873468"/>
      <w:bookmarkStart w:id="164" w:name="_Toc127875985"/>
      <w:bookmarkStart w:id="165" w:name="_Toc122691706"/>
      <w:bookmarkStart w:id="166" w:name="_Toc127873469"/>
      <w:bookmarkStart w:id="167" w:name="_Toc127875986"/>
      <w:bookmarkStart w:id="168" w:name="_Toc122691707"/>
      <w:bookmarkStart w:id="169" w:name="_Toc127873470"/>
      <w:bookmarkStart w:id="170" w:name="_Toc127875987"/>
      <w:bookmarkStart w:id="171" w:name="_Toc122691708"/>
      <w:bookmarkStart w:id="172" w:name="_Toc127873471"/>
      <w:bookmarkStart w:id="173" w:name="_Toc127875988"/>
      <w:bookmarkStart w:id="174" w:name="_Toc122691709"/>
      <w:bookmarkStart w:id="175" w:name="_Toc127873472"/>
      <w:bookmarkStart w:id="176" w:name="_Toc127875989"/>
      <w:bookmarkStart w:id="177" w:name="_Toc122691710"/>
      <w:bookmarkStart w:id="178" w:name="_Toc127873473"/>
      <w:bookmarkStart w:id="179" w:name="_Toc127875990"/>
      <w:bookmarkStart w:id="180" w:name="_Toc122691711"/>
      <w:bookmarkStart w:id="181" w:name="_Toc127873474"/>
      <w:bookmarkStart w:id="182" w:name="_Toc127875991"/>
      <w:bookmarkStart w:id="183" w:name="_Toc122691712"/>
      <w:bookmarkStart w:id="184" w:name="_Toc127873475"/>
      <w:bookmarkStart w:id="185" w:name="_Toc127875992"/>
      <w:bookmarkStart w:id="186" w:name="_Toc122691713"/>
      <w:bookmarkStart w:id="187" w:name="_Toc127873476"/>
      <w:bookmarkStart w:id="188" w:name="_Toc127875993"/>
      <w:bookmarkStart w:id="189" w:name="_Toc122691714"/>
      <w:bookmarkStart w:id="190" w:name="_Toc127873477"/>
      <w:bookmarkStart w:id="191" w:name="_Toc127875994"/>
      <w:bookmarkStart w:id="192" w:name="_Toc122691715"/>
      <w:bookmarkStart w:id="193" w:name="_Toc127873478"/>
      <w:bookmarkStart w:id="194" w:name="_Toc127875995"/>
      <w:bookmarkStart w:id="195" w:name="_Toc122691716"/>
      <w:bookmarkStart w:id="196" w:name="_Toc127873479"/>
      <w:bookmarkStart w:id="197" w:name="_Toc127875996"/>
      <w:bookmarkStart w:id="198" w:name="_Toc122691717"/>
      <w:bookmarkStart w:id="199" w:name="_Toc127873480"/>
      <w:bookmarkStart w:id="200" w:name="_Toc127875997"/>
      <w:bookmarkStart w:id="201" w:name="_Toc122691718"/>
      <w:bookmarkStart w:id="202" w:name="_Toc127873481"/>
      <w:bookmarkStart w:id="203" w:name="_Toc127875998"/>
      <w:bookmarkStart w:id="204" w:name="_Toc122691719"/>
      <w:bookmarkStart w:id="205" w:name="_Toc127873482"/>
      <w:bookmarkStart w:id="206" w:name="_Toc127875999"/>
      <w:bookmarkStart w:id="207" w:name="_Toc122691720"/>
      <w:bookmarkStart w:id="208" w:name="_Toc127873483"/>
      <w:bookmarkStart w:id="209" w:name="_Toc127876000"/>
      <w:bookmarkStart w:id="210" w:name="_Toc122691721"/>
      <w:bookmarkStart w:id="211" w:name="_Toc127873484"/>
      <w:bookmarkStart w:id="212" w:name="_Toc127876001"/>
      <w:bookmarkStart w:id="213" w:name="_Toc122691722"/>
      <w:bookmarkStart w:id="214" w:name="_Toc127873485"/>
      <w:bookmarkStart w:id="215" w:name="_Toc127876002"/>
      <w:bookmarkStart w:id="216" w:name="_Toc122691723"/>
      <w:bookmarkStart w:id="217" w:name="_Toc127873486"/>
      <w:bookmarkStart w:id="218" w:name="_Toc127876003"/>
      <w:bookmarkStart w:id="219" w:name="_Toc122691739"/>
      <w:bookmarkStart w:id="220" w:name="_Toc127873502"/>
      <w:bookmarkStart w:id="221" w:name="_Toc127876019"/>
      <w:bookmarkStart w:id="222" w:name="_Toc122691740"/>
      <w:bookmarkStart w:id="223" w:name="_Toc127873503"/>
      <w:bookmarkStart w:id="224" w:name="_Toc127876020"/>
      <w:bookmarkStart w:id="225" w:name="_Toc122691741"/>
      <w:bookmarkStart w:id="226" w:name="_Toc127873504"/>
      <w:bookmarkStart w:id="227" w:name="_Toc127876021"/>
      <w:bookmarkStart w:id="228" w:name="_Toc122691742"/>
      <w:bookmarkStart w:id="229" w:name="_Toc127873505"/>
      <w:bookmarkStart w:id="230" w:name="_Toc127876022"/>
      <w:bookmarkStart w:id="231" w:name="_Toc122691743"/>
      <w:bookmarkStart w:id="232" w:name="_Toc127873506"/>
      <w:bookmarkStart w:id="233" w:name="_Toc127876023"/>
      <w:bookmarkStart w:id="234" w:name="_Toc122691744"/>
      <w:bookmarkStart w:id="235" w:name="_Toc127873507"/>
      <w:bookmarkStart w:id="236" w:name="_Toc127876024"/>
      <w:bookmarkStart w:id="237" w:name="_Toc122691745"/>
      <w:bookmarkStart w:id="238" w:name="_Toc127873508"/>
      <w:bookmarkStart w:id="239" w:name="_Toc127876025"/>
      <w:bookmarkStart w:id="240" w:name="_Toc122691746"/>
      <w:bookmarkStart w:id="241" w:name="_Toc127873509"/>
      <w:bookmarkStart w:id="242" w:name="_Toc127876026"/>
      <w:bookmarkStart w:id="243" w:name="_Toc122691747"/>
      <w:bookmarkStart w:id="244" w:name="_Toc127873510"/>
      <w:bookmarkStart w:id="245" w:name="_Toc127876027"/>
      <w:bookmarkStart w:id="246" w:name="_Toc122691748"/>
      <w:bookmarkStart w:id="247" w:name="_Toc127873511"/>
      <w:bookmarkStart w:id="248" w:name="_Toc127876028"/>
      <w:bookmarkStart w:id="249" w:name="_Toc122691749"/>
      <w:bookmarkStart w:id="250" w:name="_Toc127873512"/>
      <w:bookmarkStart w:id="251" w:name="_Toc127876029"/>
      <w:bookmarkStart w:id="252" w:name="_Toc122691750"/>
      <w:bookmarkStart w:id="253" w:name="_Toc127873513"/>
      <w:bookmarkStart w:id="254" w:name="_Toc127876030"/>
      <w:bookmarkStart w:id="255" w:name="_Toc122691751"/>
      <w:bookmarkStart w:id="256" w:name="_Toc127873514"/>
      <w:bookmarkStart w:id="257" w:name="_Toc127876031"/>
      <w:bookmarkStart w:id="258" w:name="_Toc122691752"/>
      <w:bookmarkStart w:id="259" w:name="_Toc127873515"/>
      <w:bookmarkStart w:id="260" w:name="_Toc127876032"/>
      <w:bookmarkStart w:id="261" w:name="_Toc122691753"/>
      <w:bookmarkStart w:id="262" w:name="_Toc127873516"/>
      <w:bookmarkStart w:id="263" w:name="_Toc127876033"/>
      <w:bookmarkStart w:id="264" w:name="_Toc122691754"/>
      <w:bookmarkStart w:id="265" w:name="_Toc127873517"/>
      <w:bookmarkStart w:id="266" w:name="_Toc127876034"/>
      <w:bookmarkStart w:id="267" w:name="_Toc122691755"/>
      <w:bookmarkStart w:id="268" w:name="_Toc127873518"/>
      <w:bookmarkStart w:id="269" w:name="_Toc127876035"/>
      <w:bookmarkStart w:id="270" w:name="_Toc122691756"/>
      <w:bookmarkStart w:id="271" w:name="_Toc127873519"/>
      <w:bookmarkStart w:id="272" w:name="_Toc127876036"/>
      <w:bookmarkStart w:id="273" w:name="_Toc122691757"/>
      <w:bookmarkStart w:id="274" w:name="_Toc127873520"/>
      <w:bookmarkStart w:id="275" w:name="_Toc127876037"/>
      <w:bookmarkStart w:id="276" w:name="_Toc122691758"/>
      <w:bookmarkStart w:id="277" w:name="_Toc127873521"/>
      <w:bookmarkStart w:id="278" w:name="_Toc127876038"/>
      <w:bookmarkStart w:id="279" w:name="_Toc122691759"/>
      <w:bookmarkStart w:id="280" w:name="_Toc127873522"/>
      <w:bookmarkStart w:id="281" w:name="_Toc127876039"/>
      <w:bookmarkStart w:id="282" w:name="_Toc122691760"/>
      <w:bookmarkStart w:id="283" w:name="_Toc127873523"/>
      <w:bookmarkStart w:id="284" w:name="_Toc127876040"/>
      <w:bookmarkStart w:id="285" w:name="_Toc122691761"/>
      <w:bookmarkStart w:id="286" w:name="_Toc127873524"/>
      <w:bookmarkStart w:id="287" w:name="_Toc127876041"/>
      <w:bookmarkStart w:id="288" w:name="_Toc122691762"/>
      <w:bookmarkStart w:id="289" w:name="_Toc127873525"/>
      <w:bookmarkStart w:id="290" w:name="_Toc127876042"/>
      <w:bookmarkStart w:id="291" w:name="_Toc122691763"/>
      <w:bookmarkStart w:id="292" w:name="_Toc127873526"/>
      <w:bookmarkStart w:id="293" w:name="_Toc127876043"/>
      <w:bookmarkStart w:id="294" w:name="_Toc122691764"/>
      <w:bookmarkStart w:id="295" w:name="_Toc127873527"/>
      <w:bookmarkStart w:id="296" w:name="_Toc127876044"/>
      <w:bookmarkStart w:id="297" w:name="_Toc122691765"/>
      <w:bookmarkStart w:id="298" w:name="_Toc127873528"/>
      <w:bookmarkStart w:id="299" w:name="_Toc127876045"/>
      <w:bookmarkStart w:id="300" w:name="_Toc122691766"/>
      <w:bookmarkStart w:id="301" w:name="_Toc127873529"/>
      <w:bookmarkStart w:id="302" w:name="_Toc127876046"/>
      <w:bookmarkStart w:id="303" w:name="_Toc122691767"/>
      <w:bookmarkStart w:id="304" w:name="_Toc127873530"/>
      <w:bookmarkStart w:id="305" w:name="_Toc127876047"/>
      <w:bookmarkStart w:id="306" w:name="_Toc122691768"/>
      <w:bookmarkStart w:id="307" w:name="_Toc127873531"/>
      <w:bookmarkStart w:id="308" w:name="_Toc127876048"/>
      <w:bookmarkStart w:id="309" w:name="_Toc122691769"/>
      <w:bookmarkStart w:id="310" w:name="_Toc127873532"/>
      <w:bookmarkStart w:id="311" w:name="_Toc127876049"/>
      <w:bookmarkStart w:id="312" w:name="_Toc122691770"/>
      <w:bookmarkStart w:id="313" w:name="_Toc127873533"/>
      <w:bookmarkStart w:id="314" w:name="_Toc127876050"/>
      <w:bookmarkStart w:id="315" w:name="_Toc122691771"/>
      <w:bookmarkStart w:id="316" w:name="_Toc127873534"/>
      <w:bookmarkStart w:id="317" w:name="_Toc127876051"/>
      <w:bookmarkStart w:id="318" w:name="_Toc122691772"/>
      <w:bookmarkStart w:id="319" w:name="_Toc127873535"/>
      <w:bookmarkStart w:id="320" w:name="_Toc127876052"/>
      <w:bookmarkStart w:id="321" w:name="_Toc122691773"/>
      <w:bookmarkStart w:id="322" w:name="_Toc127873536"/>
      <w:bookmarkStart w:id="323" w:name="_Toc127876053"/>
      <w:bookmarkStart w:id="324" w:name="_Toc122691774"/>
      <w:bookmarkStart w:id="325" w:name="_Toc127873537"/>
      <w:bookmarkStart w:id="326" w:name="_Toc127876054"/>
      <w:bookmarkStart w:id="327" w:name="_Toc122691775"/>
      <w:bookmarkStart w:id="328" w:name="_Toc127873538"/>
      <w:bookmarkStart w:id="329" w:name="_Toc127876055"/>
      <w:bookmarkStart w:id="330" w:name="_Toc122691776"/>
      <w:bookmarkStart w:id="331" w:name="_Toc127873539"/>
      <w:bookmarkStart w:id="332" w:name="_Toc127876056"/>
      <w:bookmarkStart w:id="333" w:name="_Toc122691777"/>
      <w:bookmarkStart w:id="334" w:name="_Toc127873540"/>
      <w:bookmarkStart w:id="335" w:name="_Toc127876057"/>
      <w:bookmarkStart w:id="336" w:name="_Toc122691778"/>
      <w:bookmarkStart w:id="337" w:name="_Toc127873541"/>
      <w:bookmarkStart w:id="338" w:name="_Toc127876058"/>
      <w:bookmarkStart w:id="339" w:name="_Toc122691779"/>
      <w:bookmarkStart w:id="340" w:name="_Toc127873542"/>
      <w:bookmarkStart w:id="341" w:name="_Toc127876059"/>
      <w:bookmarkStart w:id="342" w:name="_Toc122691780"/>
      <w:bookmarkStart w:id="343" w:name="_Toc127873543"/>
      <w:bookmarkStart w:id="344" w:name="_Toc127876060"/>
      <w:bookmarkStart w:id="345" w:name="_Toc122691781"/>
      <w:bookmarkStart w:id="346" w:name="_Toc127873544"/>
      <w:bookmarkStart w:id="347" w:name="_Toc127876061"/>
      <w:bookmarkStart w:id="348" w:name="_Toc122691782"/>
      <w:bookmarkStart w:id="349" w:name="_Toc127873545"/>
      <w:bookmarkStart w:id="350" w:name="_Toc127876062"/>
      <w:bookmarkStart w:id="351" w:name="_Toc122691783"/>
      <w:bookmarkStart w:id="352" w:name="_Toc127873546"/>
      <w:bookmarkStart w:id="353" w:name="_Toc127876063"/>
      <w:bookmarkStart w:id="354" w:name="_Toc122691784"/>
      <w:bookmarkStart w:id="355" w:name="_Toc127873547"/>
      <w:bookmarkStart w:id="356" w:name="_Toc127876064"/>
      <w:bookmarkStart w:id="357" w:name="_Toc122691785"/>
      <w:bookmarkStart w:id="358" w:name="_Toc127873548"/>
      <w:bookmarkStart w:id="359" w:name="_Toc127876065"/>
      <w:bookmarkStart w:id="360" w:name="_Toc122691786"/>
      <w:bookmarkStart w:id="361" w:name="_Toc127873549"/>
      <w:bookmarkStart w:id="362" w:name="_Toc127876066"/>
      <w:bookmarkStart w:id="363" w:name="_Toc122691787"/>
      <w:bookmarkStart w:id="364" w:name="_Toc127873550"/>
      <w:bookmarkStart w:id="365" w:name="_Toc127876067"/>
      <w:bookmarkStart w:id="366" w:name="_Toc122691788"/>
      <w:bookmarkStart w:id="367" w:name="_Toc127873551"/>
      <w:bookmarkStart w:id="368" w:name="_Toc127876068"/>
      <w:bookmarkStart w:id="369" w:name="_Toc122691789"/>
      <w:bookmarkStart w:id="370" w:name="_Toc127873552"/>
      <w:bookmarkStart w:id="371" w:name="_Toc127876069"/>
      <w:bookmarkStart w:id="372" w:name="_Toc122691790"/>
      <w:bookmarkStart w:id="373" w:name="_Toc127873553"/>
      <w:bookmarkStart w:id="374" w:name="_Toc127876070"/>
      <w:bookmarkStart w:id="375" w:name="_Toc122691791"/>
      <w:bookmarkStart w:id="376" w:name="_Toc127873554"/>
      <w:bookmarkStart w:id="377" w:name="_Toc127876071"/>
      <w:bookmarkStart w:id="378" w:name="_Toc122691792"/>
      <w:bookmarkStart w:id="379" w:name="_Toc127873555"/>
      <w:bookmarkStart w:id="380" w:name="_Toc127876072"/>
      <w:bookmarkStart w:id="381" w:name="_Toc122691793"/>
      <w:bookmarkStart w:id="382" w:name="_Toc127873556"/>
      <w:bookmarkStart w:id="383" w:name="_Toc127876073"/>
      <w:bookmarkStart w:id="384" w:name="_Toc122691794"/>
      <w:bookmarkStart w:id="385" w:name="_Toc127873557"/>
      <w:bookmarkStart w:id="386" w:name="_Toc127876074"/>
      <w:bookmarkStart w:id="387" w:name="_Toc122691795"/>
      <w:bookmarkStart w:id="388" w:name="_Toc127873558"/>
      <w:bookmarkStart w:id="389" w:name="_Toc127876075"/>
      <w:bookmarkStart w:id="390" w:name="_Toc122691796"/>
      <w:bookmarkStart w:id="391" w:name="_Toc127873559"/>
      <w:bookmarkStart w:id="392" w:name="_Toc127876076"/>
      <w:bookmarkStart w:id="393" w:name="_Toc122691797"/>
      <w:bookmarkStart w:id="394" w:name="_Toc127873560"/>
      <w:bookmarkStart w:id="395" w:name="_Toc127876077"/>
      <w:bookmarkStart w:id="396" w:name="_Toc122691798"/>
      <w:bookmarkStart w:id="397" w:name="_Toc127873561"/>
      <w:bookmarkStart w:id="398" w:name="_Toc127876078"/>
      <w:bookmarkStart w:id="399" w:name="_Toc122691799"/>
      <w:bookmarkStart w:id="400" w:name="_Toc127873562"/>
      <w:bookmarkStart w:id="401" w:name="_Toc127876079"/>
      <w:bookmarkStart w:id="402" w:name="_Toc122691800"/>
      <w:bookmarkStart w:id="403" w:name="_Toc127873563"/>
      <w:bookmarkStart w:id="404" w:name="_Toc127876080"/>
      <w:bookmarkStart w:id="405" w:name="_Toc122691801"/>
      <w:bookmarkStart w:id="406" w:name="_Toc127873564"/>
      <w:bookmarkStart w:id="407" w:name="_Toc127876081"/>
      <w:bookmarkStart w:id="408" w:name="_Toc122691802"/>
      <w:bookmarkStart w:id="409" w:name="_Toc127873565"/>
      <w:bookmarkStart w:id="410" w:name="_Toc127876082"/>
      <w:bookmarkStart w:id="411" w:name="_Toc122691803"/>
      <w:bookmarkStart w:id="412" w:name="_Toc127873566"/>
      <w:bookmarkStart w:id="413" w:name="_Toc127876083"/>
      <w:bookmarkStart w:id="414" w:name="_Toc122691804"/>
      <w:bookmarkStart w:id="415" w:name="_Toc127873567"/>
      <w:bookmarkStart w:id="416" w:name="_Toc127876084"/>
      <w:bookmarkStart w:id="417" w:name="_Toc122691805"/>
      <w:bookmarkStart w:id="418" w:name="_Toc127873568"/>
      <w:bookmarkStart w:id="419" w:name="_Toc127876085"/>
      <w:bookmarkStart w:id="420" w:name="_Toc122691806"/>
      <w:bookmarkStart w:id="421" w:name="_Toc127873569"/>
      <w:bookmarkStart w:id="422" w:name="_Toc127876086"/>
      <w:bookmarkStart w:id="423" w:name="_Toc122691807"/>
      <w:bookmarkStart w:id="424" w:name="_Toc127873570"/>
      <w:bookmarkStart w:id="425" w:name="_Toc127876087"/>
      <w:bookmarkStart w:id="426" w:name="_Toc122691808"/>
      <w:bookmarkStart w:id="427" w:name="_Toc127873571"/>
      <w:bookmarkStart w:id="428" w:name="_Toc127876088"/>
      <w:bookmarkStart w:id="429" w:name="_Toc122691809"/>
      <w:bookmarkStart w:id="430" w:name="_Toc127873572"/>
      <w:bookmarkStart w:id="431" w:name="_Toc127876089"/>
      <w:bookmarkStart w:id="432" w:name="_Toc122691813"/>
      <w:bookmarkStart w:id="433" w:name="_Toc127873576"/>
      <w:bookmarkStart w:id="434" w:name="_Toc127876093"/>
      <w:bookmarkStart w:id="435" w:name="_Toc122691819"/>
      <w:bookmarkStart w:id="436" w:name="_Toc127873582"/>
      <w:bookmarkStart w:id="437" w:name="_Toc127876099"/>
      <w:bookmarkStart w:id="438" w:name="_Toc122691820"/>
      <w:bookmarkStart w:id="439" w:name="_Toc127873583"/>
      <w:bookmarkStart w:id="440" w:name="_Toc127876100"/>
      <w:bookmarkStart w:id="441" w:name="_Toc122691821"/>
      <w:bookmarkStart w:id="442" w:name="_Toc127873584"/>
      <w:bookmarkStart w:id="443" w:name="_Toc127876101"/>
      <w:bookmarkStart w:id="444" w:name="_Toc122691822"/>
      <w:bookmarkStart w:id="445" w:name="_Toc127873585"/>
      <w:bookmarkStart w:id="446" w:name="_Toc127876102"/>
      <w:bookmarkStart w:id="447" w:name="_Toc122691823"/>
      <w:bookmarkStart w:id="448" w:name="_Toc127873586"/>
      <w:bookmarkStart w:id="449" w:name="_Toc127876103"/>
      <w:bookmarkStart w:id="450" w:name="_Toc122691824"/>
      <w:bookmarkStart w:id="451" w:name="_Toc127873587"/>
      <w:bookmarkStart w:id="452" w:name="_Toc127876104"/>
      <w:bookmarkStart w:id="453" w:name="_Toc122691825"/>
      <w:bookmarkStart w:id="454" w:name="_Toc127873588"/>
      <w:bookmarkStart w:id="455" w:name="_Toc127876105"/>
      <w:bookmarkStart w:id="456" w:name="_Toc122691826"/>
      <w:bookmarkStart w:id="457" w:name="_Toc127873589"/>
      <w:bookmarkStart w:id="458" w:name="_Toc127876106"/>
      <w:bookmarkStart w:id="459" w:name="_Toc122691827"/>
      <w:bookmarkStart w:id="460" w:name="_Toc127873590"/>
      <w:bookmarkStart w:id="461" w:name="_Toc127876107"/>
      <w:bookmarkStart w:id="462" w:name="_Toc122691828"/>
      <w:bookmarkStart w:id="463" w:name="_Toc127873591"/>
      <w:bookmarkStart w:id="464" w:name="_Toc127876108"/>
      <w:bookmarkStart w:id="465" w:name="_Toc122691829"/>
      <w:bookmarkStart w:id="466" w:name="_Toc127873592"/>
      <w:bookmarkStart w:id="467" w:name="_Toc127876109"/>
      <w:bookmarkStart w:id="468" w:name="_Toc122691830"/>
      <w:bookmarkStart w:id="469" w:name="_Toc127873593"/>
      <w:bookmarkStart w:id="470" w:name="_Toc127876110"/>
      <w:bookmarkStart w:id="471" w:name="_Toc122691831"/>
      <w:bookmarkStart w:id="472" w:name="_Toc127873594"/>
      <w:bookmarkStart w:id="473" w:name="_Toc127876111"/>
      <w:bookmarkStart w:id="474" w:name="_Toc122691832"/>
      <w:bookmarkStart w:id="475" w:name="_Toc127873595"/>
      <w:bookmarkStart w:id="476" w:name="_Toc127876112"/>
      <w:bookmarkStart w:id="477" w:name="_Toc122691833"/>
      <w:bookmarkStart w:id="478" w:name="_Toc127873596"/>
      <w:bookmarkStart w:id="479" w:name="_Toc127876113"/>
      <w:bookmarkStart w:id="480" w:name="_Toc122691834"/>
      <w:bookmarkStart w:id="481" w:name="_Toc127873597"/>
      <w:bookmarkStart w:id="482" w:name="_Toc127876114"/>
      <w:bookmarkStart w:id="483" w:name="_Toc122691835"/>
      <w:bookmarkStart w:id="484" w:name="_Toc127873598"/>
      <w:bookmarkStart w:id="485" w:name="_Toc127876115"/>
      <w:bookmarkStart w:id="486" w:name="_Toc122691836"/>
      <w:bookmarkStart w:id="487" w:name="_Toc127873599"/>
      <w:bookmarkStart w:id="488" w:name="_Toc127876116"/>
      <w:bookmarkStart w:id="489" w:name="_Toc122691837"/>
      <w:bookmarkStart w:id="490" w:name="_Toc127873600"/>
      <w:bookmarkStart w:id="491" w:name="_Toc127876117"/>
      <w:bookmarkStart w:id="492" w:name="_Toc122691838"/>
      <w:bookmarkStart w:id="493" w:name="_Toc127873601"/>
      <w:bookmarkStart w:id="494" w:name="_Toc127876118"/>
      <w:bookmarkStart w:id="495" w:name="_Toc122691839"/>
      <w:bookmarkStart w:id="496" w:name="_Toc127873602"/>
      <w:bookmarkStart w:id="497" w:name="_Toc127876119"/>
      <w:bookmarkStart w:id="498" w:name="_Toc122691840"/>
      <w:bookmarkStart w:id="499" w:name="_Toc127873603"/>
      <w:bookmarkStart w:id="500" w:name="_Toc127876120"/>
      <w:bookmarkStart w:id="501" w:name="_Toc122691850"/>
      <w:bookmarkStart w:id="502" w:name="_Toc127873613"/>
      <w:bookmarkStart w:id="503" w:name="_Toc127876130"/>
      <w:bookmarkStart w:id="504" w:name="_Toc122691851"/>
      <w:bookmarkStart w:id="505" w:name="_Toc127873614"/>
      <w:bookmarkStart w:id="506" w:name="_Toc127876131"/>
      <w:bookmarkStart w:id="507" w:name="_Toc122691852"/>
      <w:bookmarkStart w:id="508" w:name="_Toc127873615"/>
      <w:bookmarkStart w:id="509" w:name="_Toc127876132"/>
      <w:bookmarkStart w:id="510" w:name="_Toc122691853"/>
      <w:bookmarkStart w:id="511" w:name="_Toc127873616"/>
      <w:bookmarkStart w:id="512" w:name="_Toc127876133"/>
      <w:bookmarkStart w:id="513" w:name="_Toc122691854"/>
      <w:bookmarkStart w:id="514" w:name="_Toc127873617"/>
      <w:bookmarkStart w:id="515" w:name="_Toc127876134"/>
      <w:bookmarkStart w:id="516" w:name="_Toc122691855"/>
      <w:bookmarkStart w:id="517" w:name="_Toc127873618"/>
      <w:bookmarkStart w:id="518" w:name="_Toc127876135"/>
      <w:bookmarkStart w:id="519" w:name="_Toc122691856"/>
      <w:bookmarkStart w:id="520" w:name="_Toc127873619"/>
      <w:bookmarkStart w:id="521" w:name="_Toc127876136"/>
      <w:bookmarkStart w:id="522" w:name="_Toc122691857"/>
      <w:bookmarkStart w:id="523" w:name="_Toc127873620"/>
      <w:bookmarkStart w:id="524" w:name="_Toc127876137"/>
      <w:bookmarkStart w:id="525" w:name="_Toc122691858"/>
      <w:bookmarkStart w:id="526" w:name="_Toc127873621"/>
      <w:bookmarkStart w:id="527" w:name="_Toc127876138"/>
      <w:bookmarkStart w:id="528" w:name="_Toc122691859"/>
      <w:bookmarkStart w:id="529" w:name="_Toc127873622"/>
      <w:bookmarkStart w:id="530" w:name="_Toc127876139"/>
      <w:bookmarkStart w:id="531" w:name="_Toc122691860"/>
      <w:bookmarkStart w:id="532" w:name="_Toc127873623"/>
      <w:bookmarkStart w:id="533" w:name="_Toc127876140"/>
      <w:bookmarkStart w:id="534" w:name="_Toc122691861"/>
      <w:bookmarkStart w:id="535" w:name="_Toc127873624"/>
      <w:bookmarkStart w:id="536" w:name="_Toc127876141"/>
      <w:bookmarkStart w:id="537" w:name="_Toc122691862"/>
      <w:bookmarkStart w:id="538" w:name="_Toc127873625"/>
      <w:bookmarkStart w:id="539" w:name="_Toc127876142"/>
      <w:bookmarkStart w:id="540" w:name="_Toc122691863"/>
      <w:bookmarkStart w:id="541" w:name="_Toc127873626"/>
      <w:bookmarkStart w:id="542" w:name="_Toc127876143"/>
      <w:bookmarkStart w:id="543" w:name="_Toc122691864"/>
      <w:bookmarkStart w:id="544" w:name="_Toc127873627"/>
      <w:bookmarkStart w:id="545" w:name="_Toc127876144"/>
      <w:bookmarkStart w:id="546" w:name="_Toc122691865"/>
      <w:bookmarkStart w:id="547" w:name="_Toc127873628"/>
      <w:bookmarkStart w:id="548" w:name="_Toc127876145"/>
      <w:bookmarkStart w:id="549" w:name="_Toc122691866"/>
      <w:bookmarkStart w:id="550" w:name="_Toc127873629"/>
      <w:bookmarkStart w:id="551" w:name="_Toc127876146"/>
      <w:bookmarkStart w:id="552" w:name="_Toc122691867"/>
      <w:bookmarkStart w:id="553" w:name="_Toc127873630"/>
      <w:bookmarkStart w:id="554" w:name="_Toc127876147"/>
      <w:bookmarkStart w:id="555" w:name="_Toc122691868"/>
      <w:bookmarkStart w:id="556" w:name="_Toc127873631"/>
      <w:bookmarkStart w:id="557" w:name="_Toc127876148"/>
      <w:bookmarkStart w:id="558" w:name="_Toc122691869"/>
      <w:bookmarkStart w:id="559" w:name="_Toc127873632"/>
      <w:bookmarkStart w:id="560" w:name="_Toc127876149"/>
      <w:bookmarkStart w:id="561" w:name="_Toc122691870"/>
      <w:bookmarkStart w:id="562" w:name="_Toc127873633"/>
      <w:bookmarkStart w:id="563" w:name="_Toc127876150"/>
      <w:bookmarkStart w:id="564" w:name="_Toc1139578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Pr>
          <w:lang w:val="en-US"/>
        </w:rPr>
        <w:br w:type="page"/>
      </w:r>
    </w:p>
    <w:p w14:paraId="3B0FB226" w14:textId="66C98BC8" w:rsidR="00054DCB" w:rsidRPr="00AE0857" w:rsidRDefault="00595081" w:rsidP="00413E41">
      <w:pPr>
        <w:pStyle w:val="Heading2"/>
        <w:rPr>
          <w:lang w:val="en-US"/>
        </w:rPr>
      </w:pPr>
      <w:bookmarkStart w:id="565" w:name="_Toc170413886"/>
      <w:r>
        <w:rPr>
          <w:lang w:val="en-US"/>
        </w:rPr>
        <w:lastRenderedPageBreak/>
        <w:t xml:space="preserve">Individual verification – individual </w:t>
      </w:r>
      <w:bookmarkEnd w:id="564"/>
      <w:r w:rsidR="00C908AC">
        <w:rPr>
          <w:lang w:val="en-US"/>
        </w:rPr>
        <w:t>electricity</w:t>
      </w:r>
      <w:r>
        <w:rPr>
          <w:lang w:val="en-US"/>
        </w:rPr>
        <w:t xml:space="preserve"> meter</w:t>
      </w:r>
      <w:bookmarkEnd w:id="565"/>
    </w:p>
    <w:p w14:paraId="31304DEA" w14:textId="70332A45" w:rsidR="00675E66" w:rsidRDefault="005514A4" w:rsidP="0048468B">
      <w:pPr>
        <w:rPr>
          <w:rFonts w:cs="Arial"/>
          <w:szCs w:val="24"/>
          <w:lang w:eastAsia="en-AU"/>
        </w:rPr>
      </w:pPr>
      <w:r>
        <w:rPr>
          <w:rFonts w:cs="Arial"/>
          <w:szCs w:val="24"/>
          <w:lang w:eastAsia="en-AU"/>
        </w:rPr>
        <w:t>Use this procedure when verifying an individual electricity meter.</w:t>
      </w:r>
    </w:p>
    <w:p w14:paraId="75E99CDD" w14:textId="27FBDB43" w:rsidR="005514A4" w:rsidRPr="00413E41" w:rsidRDefault="005514A4">
      <w:pPr>
        <w:pStyle w:val="ListParagraph"/>
        <w:numPr>
          <w:ilvl w:val="0"/>
          <w:numId w:val="18"/>
        </w:numPr>
        <w:rPr>
          <w:rFonts w:cs="Arial"/>
          <w:szCs w:val="24"/>
          <w:lang w:eastAsia="en-AU"/>
        </w:rPr>
      </w:pPr>
      <w:r w:rsidRPr="00D3629E">
        <w:rPr>
          <w:rFonts w:cs="Arial"/>
          <w:szCs w:val="24"/>
          <w:lang w:eastAsia="en-AU"/>
        </w:rPr>
        <w:t>Complete a</w:t>
      </w:r>
      <w:r w:rsidR="00046231" w:rsidRPr="00D3629E">
        <w:rPr>
          <w:rFonts w:cs="Arial"/>
          <w:szCs w:val="24"/>
          <w:lang w:eastAsia="en-AU"/>
        </w:rPr>
        <w:t>n</w:t>
      </w:r>
      <w:r w:rsidRPr="00D3629E">
        <w:rPr>
          <w:rFonts w:cs="Arial"/>
          <w:szCs w:val="24"/>
          <w:lang w:eastAsia="en-AU"/>
        </w:rPr>
        <w:t xml:space="preserve"> accuracy test </w:t>
      </w:r>
      <w:r w:rsidR="00DC3498" w:rsidRPr="00D3629E">
        <w:rPr>
          <w:rFonts w:cs="Arial"/>
          <w:szCs w:val="24"/>
          <w:lang w:eastAsia="en-AU"/>
        </w:rPr>
        <w:t xml:space="preserve">(clause 2.1) </w:t>
      </w:r>
      <w:r w:rsidRPr="00D3629E">
        <w:rPr>
          <w:rFonts w:cs="Arial"/>
          <w:szCs w:val="24"/>
          <w:lang w:eastAsia="en-AU"/>
        </w:rPr>
        <w:t>at the mandatory test points specified in</w:t>
      </w:r>
      <w:r w:rsidR="00D3629E">
        <w:rPr>
          <w:rFonts w:cs="Arial"/>
          <w:szCs w:val="24"/>
          <w:lang w:eastAsia="en-AU"/>
        </w:rPr>
        <w:t xml:space="preserve"> </w:t>
      </w:r>
      <w:r w:rsidR="00046231" w:rsidRPr="00D3629E">
        <w:rPr>
          <w:rFonts w:cs="Arial"/>
          <w:szCs w:val="24"/>
          <w:lang w:eastAsia="en-AU"/>
        </w:rPr>
        <w:fldChar w:fldCharType="begin" w:fldLock="1"/>
      </w:r>
      <w:r w:rsidR="00046231" w:rsidRPr="00D3629E">
        <w:rPr>
          <w:rFonts w:cs="Arial"/>
          <w:szCs w:val="24"/>
          <w:lang w:eastAsia="en-AU"/>
        </w:rPr>
        <w:instrText xml:space="preserve"> REF _Ref146642357 </w:instrText>
      </w:r>
      <w:r w:rsidR="00046231" w:rsidRPr="00D3629E">
        <w:rPr>
          <w:rFonts w:cs="Arial"/>
          <w:szCs w:val="24"/>
          <w:lang w:eastAsia="en-AU"/>
        </w:rPr>
        <w:fldChar w:fldCharType="separate"/>
      </w:r>
      <w:r w:rsidR="00046231">
        <w:t xml:space="preserve">Table </w:t>
      </w:r>
      <w:r w:rsidR="00046231">
        <w:rPr>
          <w:noProof/>
        </w:rPr>
        <w:t>7</w:t>
      </w:r>
      <w:r w:rsidR="00046231" w:rsidRPr="00D3629E">
        <w:rPr>
          <w:rFonts w:cs="Arial"/>
          <w:szCs w:val="24"/>
          <w:lang w:eastAsia="en-AU"/>
        </w:rPr>
        <w:fldChar w:fldCharType="end"/>
      </w:r>
      <w:r>
        <w:t>.</w:t>
      </w:r>
    </w:p>
    <w:p w14:paraId="70C71CF1" w14:textId="1F94E2A7" w:rsidR="00046231" w:rsidRPr="00413E41" w:rsidRDefault="00046231">
      <w:pPr>
        <w:pStyle w:val="ListParagraph"/>
        <w:numPr>
          <w:ilvl w:val="0"/>
          <w:numId w:val="18"/>
        </w:numPr>
        <w:rPr>
          <w:rFonts w:cs="Arial"/>
          <w:szCs w:val="24"/>
          <w:lang w:eastAsia="en-AU"/>
        </w:rPr>
      </w:pPr>
      <w:r>
        <w:t xml:space="preserve">Complete a </w:t>
      </w:r>
      <w:proofErr w:type="gramStart"/>
      <w:r>
        <w:t>no load</w:t>
      </w:r>
      <w:proofErr w:type="gramEnd"/>
      <w:r>
        <w:t xml:space="preserve"> test</w:t>
      </w:r>
      <w:r w:rsidR="00DC3498">
        <w:t xml:space="preserve"> (clause 2.2).</w:t>
      </w:r>
    </w:p>
    <w:p w14:paraId="2DC7E6A7" w14:textId="45F0E675" w:rsidR="00DC3498" w:rsidRPr="00413E41" w:rsidRDefault="00DC3498">
      <w:pPr>
        <w:pStyle w:val="ListParagraph"/>
        <w:numPr>
          <w:ilvl w:val="0"/>
          <w:numId w:val="18"/>
        </w:numPr>
        <w:rPr>
          <w:rFonts w:cs="Arial"/>
          <w:szCs w:val="24"/>
          <w:lang w:eastAsia="en-AU"/>
        </w:rPr>
      </w:pPr>
      <w:r>
        <w:t>Complete a starting test (clause 2.3).</w:t>
      </w:r>
    </w:p>
    <w:p w14:paraId="45C5E867" w14:textId="56586FA9" w:rsidR="00DC3498" w:rsidRPr="00D5724D" w:rsidRDefault="00DC3498">
      <w:pPr>
        <w:pStyle w:val="ListParagraph"/>
        <w:numPr>
          <w:ilvl w:val="0"/>
          <w:numId w:val="18"/>
        </w:numPr>
        <w:rPr>
          <w:rFonts w:cs="Arial"/>
          <w:szCs w:val="24"/>
          <w:lang w:eastAsia="en-AU"/>
        </w:rPr>
      </w:pPr>
      <w:r>
        <w:t xml:space="preserve">Determine whether the </w:t>
      </w:r>
      <w:r w:rsidR="00D105EC" w:rsidRPr="00D105EC">
        <w:t xml:space="preserve">electricity </w:t>
      </w:r>
      <w:r>
        <w:t>meter has passed or failed. A</w:t>
      </w:r>
      <w:r w:rsidR="00D105EC">
        <w:t>n</w:t>
      </w:r>
      <w:r>
        <w:t xml:space="preserve"> </w:t>
      </w:r>
      <w:r w:rsidR="00D105EC" w:rsidRPr="00D105EC">
        <w:t xml:space="preserve">electricity </w:t>
      </w:r>
      <w:r>
        <w:t xml:space="preserve">meter passes if it complies with the acceptance criteria for </w:t>
      </w:r>
      <w:proofErr w:type="gramStart"/>
      <w:r>
        <w:t>each and every</w:t>
      </w:r>
      <w:proofErr w:type="gramEnd"/>
      <w:r>
        <w:t xml:space="preserve"> test, otherwise it fails.</w:t>
      </w:r>
    </w:p>
    <w:p w14:paraId="253D55B6" w14:textId="31A00F61" w:rsidR="00D5724D" w:rsidRDefault="00D5724D" w:rsidP="00D5724D">
      <w:r>
        <w:t xml:space="preserve">If the electricity </w:t>
      </w:r>
      <w:r w:rsidRPr="009A7D5B">
        <w:t>meter</w:t>
      </w:r>
      <w:r>
        <w:t xml:space="preserve"> fails, the </w:t>
      </w:r>
      <w:r w:rsidR="00D105EC" w:rsidRPr="00D105EC">
        <w:t xml:space="preserve">electricity </w:t>
      </w:r>
      <w:r>
        <w:t>meter cannot be verified.</w:t>
      </w:r>
    </w:p>
    <w:p w14:paraId="3D0DF3C5" w14:textId="3A1E64E4" w:rsidR="00D5724D" w:rsidRDefault="00D5724D" w:rsidP="00D5724D">
      <w:r>
        <w:t xml:space="preserve">If the </w:t>
      </w:r>
      <w:r w:rsidR="00D105EC" w:rsidRPr="00D105EC">
        <w:t xml:space="preserve">electricity </w:t>
      </w:r>
      <w:r>
        <w:t xml:space="preserve">meter passes, the </w:t>
      </w:r>
      <w:r w:rsidR="00D105EC" w:rsidRPr="00D105EC">
        <w:t xml:space="preserve">electricity </w:t>
      </w:r>
      <w:r>
        <w:t>meter can be verified.</w:t>
      </w:r>
    </w:p>
    <w:p w14:paraId="455C7504" w14:textId="43580935" w:rsidR="00D5724D" w:rsidRDefault="00D5724D" w:rsidP="00A61DDE">
      <w:r>
        <w:t xml:space="preserve">In this procedure (clause 3.2) a verified </w:t>
      </w:r>
      <w:r w:rsidR="00D105EC" w:rsidRPr="00D105EC">
        <w:t xml:space="preserve">electricity </w:t>
      </w:r>
      <w:r>
        <w:t>meter must be marked with a verification mark.</w:t>
      </w:r>
    </w:p>
    <w:p w14:paraId="400C402C" w14:textId="556C230A" w:rsidR="001D41B0" w:rsidRDefault="001D41B0" w:rsidP="00413E41">
      <w:pPr>
        <w:pStyle w:val="Caption"/>
        <w:keepNext/>
      </w:pPr>
      <w:bookmarkStart w:id="566" w:name="_Ref146642357"/>
      <w:bookmarkStart w:id="567" w:name="_Hlk145416989"/>
      <w:r>
        <w:t xml:space="preserve">Table </w:t>
      </w:r>
      <w:r w:rsidR="00440352">
        <w:fldChar w:fldCharType="begin"/>
      </w:r>
      <w:r w:rsidR="00440352">
        <w:instrText xml:space="preserve"> SEQ Table \* ARABIC </w:instrText>
      </w:r>
      <w:r w:rsidR="00440352">
        <w:fldChar w:fldCharType="separate"/>
      </w:r>
      <w:r w:rsidR="003F6048">
        <w:rPr>
          <w:noProof/>
        </w:rPr>
        <w:t>7</w:t>
      </w:r>
      <w:r w:rsidR="00440352">
        <w:rPr>
          <w:noProof/>
        </w:rPr>
        <w:fldChar w:fldCharType="end"/>
      </w:r>
      <w:bookmarkEnd w:id="566"/>
      <w:r>
        <w:t xml:space="preserve">. </w:t>
      </w:r>
      <w:r w:rsidRPr="001D41B0">
        <w:t xml:space="preserve">Mandatory test points </w:t>
      </w:r>
      <w:r w:rsidR="00DC3498">
        <w:t xml:space="preserve">(individual </w:t>
      </w:r>
      <w:r w:rsidR="00C908AC">
        <w:t xml:space="preserve">electricity </w:t>
      </w:r>
      <w:r w:rsidR="00DC3498">
        <w:t>meter)</w:t>
      </w:r>
    </w:p>
    <w:tbl>
      <w:tblPr>
        <w:tblStyle w:val="NITP"/>
        <w:tblW w:w="5000" w:type="pct"/>
        <w:tblLook w:val="0020" w:firstRow="1" w:lastRow="0" w:firstColumn="0" w:lastColumn="0" w:noHBand="0" w:noVBand="0"/>
      </w:tblPr>
      <w:tblGrid>
        <w:gridCol w:w="2971"/>
        <w:gridCol w:w="3120"/>
        <w:gridCol w:w="1417"/>
        <w:gridCol w:w="2235"/>
      </w:tblGrid>
      <w:tr w:rsidR="00D3629E" w14:paraId="65679B80" w14:textId="3032C138" w:rsidTr="0003179F">
        <w:trPr>
          <w:cnfStyle w:val="100000000000" w:firstRow="1" w:lastRow="0" w:firstColumn="0" w:lastColumn="0" w:oddVBand="0" w:evenVBand="0" w:oddHBand="0" w:evenHBand="0" w:firstRowFirstColumn="0" w:firstRowLastColumn="0" w:lastRowFirstColumn="0" w:lastRowLastColumn="0"/>
        </w:trPr>
        <w:tc>
          <w:tcPr>
            <w:tcW w:w="1525" w:type="pct"/>
          </w:tcPr>
          <w:p w14:paraId="7A56EA5D" w14:textId="40478B83" w:rsidR="00D3629E" w:rsidRPr="005849DE" w:rsidRDefault="00D3629E" w:rsidP="000E67C9">
            <w:pPr>
              <w:pStyle w:val="TableText"/>
              <w:rPr>
                <w:b w:val="0"/>
                <w:bCs/>
                <w:vertAlign w:val="superscript"/>
                <w:lang w:val="en-GB"/>
              </w:rPr>
            </w:pPr>
            <w:r w:rsidRPr="005849DE">
              <w:rPr>
                <w:bCs/>
                <w:lang w:val="en-GB"/>
              </w:rPr>
              <w:t>Current (A)</w:t>
            </w:r>
            <w:r>
              <w:rPr>
                <w:bCs/>
                <w:lang w:val="en-GB"/>
              </w:rPr>
              <w:t xml:space="preserve"> for direct-connected meters</w:t>
            </w:r>
            <w:r>
              <w:rPr>
                <w:bCs/>
                <w:vertAlign w:val="superscript"/>
                <w:lang w:val="en-GB"/>
              </w:rPr>
              <w:t>1</w:t>
            </w:r>
          </w:p>
        </w:tc>
        <w:tc>
          <w:tcPr>
            <w:tcW w:w="1601" w:type="pct"/>
          </w:tcPr>
          <w:p w14:paraId="7DB21413" w14:textId="5380DD7C" w:rsidR="00D3629E" w:rsidRPr="005849DE" w:rsidRDefault="00D3629E" w:rsidP="000E67C9">
            <w:pPr>
              <w:pStyle w:val="TableText"/>
              <w:rPr>
                <w:b w:val="0"/>
                <w:bCs/>
                <w:lang w:val="en-GB"/>
              </w:rPr>
            </w:pPr>
            <w:r w:rsidRPr="005849DE">
              <w:rPr>
                <w:bCs/>
                <w:lang w:val="en-GB"/>
              </w:rPr>
              <w:t>Current (A)</w:t>
            </w:r>
            <w:r>
              <w:rPr>
                <w:bCs/>
                <w:lang w:val="en-GB"/>
              </w:rPr>
              <w:t xml:space="preserve"> for transformer-operated meters</w:t>
            </w:r>
            <w:r>
              <w:rPr>
                <w:bCs/>
                <w:vertAlign w:val="superscript"/>
                <w:lang w:val="en-GB"/>
              </w:rPr>
              <w:t>2</w:t>
            </w:r>
          </w:p>
        </w:tc>
        <w:tc>
          <w:tcPr>
            <w:tcW w:w="727" w:type="pct"/>
          </w:tcPr>
          <w:p w14:paraId="7369F1AF" w14:textId="72BDFD7A" w:rsidR="00D3629E" w:rsidRPr="005849DE" w:rsidRDefault="00D3629E" w:rsidP="000E67C9">
            <w:pPr>
              <w:pStyle w:val="TableText"/>
              <w:rPr>
                <w:b w:val="0"/>
                <w:bCs/>
                <w:lang w:val="en-GB"/>
              </w:rPr>
            </w:pPr>
            <w:r w:rsidRPr="005849DE">
              <w:rPr>
                <w:bCs/>
                <w:lang w:val="en-GB"/>
              </w:rPr>
              <w:t>Power factor</w:t>
            </w:r>
          </w:p>
        </w:tc>
        <w:tc>
          <w:tcPr>
            <w:tcW w:w="1147" w:type="pct"/>
          </w:tcPr>
          <w:p w14:paraId="262B4B86" w14:textId="711CDC5B" w:rsidR="00D3629E" w:rsidRPr="00413E41" w:rsidRDefault="00D3629E" w:rsidP="000E67C9">
            <w:pPr>
              <w:pStyle w:val="TableText"/>
              <w:rPr>
                <w:b w:val="0"/>
                <w:bCs/>
                <w:vertAlign w:val="superscript"/>
                <w:lang w:val="en-GB"/>
              </w:rPr>
            </w:pPr>
            <w:r>
              <w:rPr>
                <w:bCs/>
                <w:lang w:val="en-GB"/>
              </w:rPr>
              <w:t>Direction of current flow</w:t>
            </w:r>
            <w:r>
              <w:rPr>
                <w:bCs/>
                <w:vertAlign w:val="superscript"/>
                <w:lang w:val="en-GB"/>
              </w:rPr>
              <w:t>3</w:t>
            </w:r>
          </w:p>
        </w:tc>
      </w:tr>
      <w:tr w:rsidR="00D3629E" w14:paraId="0F071D0A" w14:textId="65FD26C6" w:rsidTr="0003179F">
        <w:tc>
          <w:tcPr>
            <w:tcW w:w="1525" w:type="pct"/>
            <w:hideMark/>
          </w:tcPr>
          <w:p w14:paraId="0CEBA67F" w14:textId="77777777" w:rsidR="00D3629E" w:rsidRDefault="00D3629E" w:rsidP="00D3629E">
            <w:pPr>
              <w:pStyle w:val="TableText"/>
              <w:rPr>
                <w:lang w:val="en-GB"/>
              </w:rPr>
            </w:pPr>
            <w:r>
              <w:rPr>
                <w:lang w:val="en-GB"/>
              </w:rPr>
              <w:t xml:space="preserve">0.05 </w:t>
            </w:r>
            <w:proofErr w:type="spellStart"/>
            <w:r>
              <w:rPr>
                <w:i/>
                <w:lang w:val="en-GB"/>
              </w:rPr>
              <w:t>I</w:t>
            </w:r>
            <w:r>
              <w:rPr>
                <w:vertAlign w:val="subscript"/>
                <w:lang w:val="en-GB"/>
              </w:rPr>
              <w:t>b</w:t>
            </w:r>
            <w:proofErr w:type="spellEnd"/>
          </w:p>
        </w:tc>
        <w:tc>
          <w:tcPr>
            <w:tcW w:w="1601" w:type="pct"/>
          </w:tcPr>
          <w:p w14:paraId="5C348DDE" w14:textId="4203C35A" w:rsidR="00D3629E" w:rsidRPr="008A1D61" w:rsidRDefault="00D3629E" w:rsidP="00D3629E">
            <w:pPr>
              <w:pStyle w:val="TableText"/>
              <w:rPr>
                <w:lang w:val="en-GB"/>
              </w:rPr>
            </w:pPr>
            <w:r>
              <w:rPr>
                <w:lang w:val="en-GB"/>
              </w:rPr>
              <w:t xml:space="preserve">0.01 </w:t>
            </w:r>
            <w:r>
              <w:rPr>
                <w:i/>
                <w:lang w:val="en-GB"/>
              </w:rPr>
              <w:t>I</w:t>
            </w:r>
            <w:r>
              <w:rPr>
                <w:vertAlign w:val="subscript"/>
                <w:lang w:val="en-GB"/>
              </w:rPr>
              <w:t>n</w:t>
            </w:r>
            <w:r w:rsidR="002864B1">
              <w:rPr>
                <w:vertAlign w:val="subscript"/>
                <w:lang w:val="en-GB"/>
              </w:rPr>
              <w:t xml:space="preserve"> </w:t>
            </w:r>
            <w:r w:rsidR="002864B1">
              <w:rPr>
                <w:vertAlign w:val="superscript"/>
                <w:lang w:val="en-GB"/>
              </w:rPr>
              <w:t>4</w:t>
            </w:r>
          </w:p>
        </w:tc>
        <w:tc>
          <w:tcPr>
            <w:tcW w:w="727" w:type="pct"/>
            <w:hideMark/>
          </w:tcPr>
          <w:p w14:paraId="475F0604" w14:textId="33B90654" w:rsidR="00D3629E" w:rsidRPr="008A1D61" w:rsidRDefault="00D3629E" w:rsidP="00D3629E">
            <w:pPr>
              <w:pStyle w:val="TableText"/>
              <w:rPr>
                <w:vertAlign w:val="superscript"/>
                <w:lang w:val="en-GB"/>
              </w:rPr>
            </w:pPr>
            <w:r w:rsidRPr="008A1D61">
              <w:rPr>
                <w:lang w:val="en-GB"/>
              </w:rPr>
              <w:t>1</w:t>
            </w:r>
          </w:p>
        </w:tc>
        <w:tc>
          <w:tcPr>
            <w:tcW w:w="1147" w:type="pct"/>
          </w:tcPr>
          <w:p w14:paraId="3BC564A1" w14:textId="7DFE32EF" w:rsidR="00D3629E" w:rsidRPr="00413E41" w:rsidRDefault="00D3629E" w:rsidP="00D3629E">
            <w:pPr>
              <w:pStyle w:val="TableText"/>
              <w:rPr>
                <w:vertAlign w:val="superscript"/>
                <w:lang w:val="en-GB"/>
              </w:rPr>
            </w:pPr>
            <w:r>
              <w:rPr>
                <w:lang w:val="en-GB"/>
              </w:rPr>
              <w:t>Positive only</w:t>
            </w:r>
          </w:p>
        </w:tc>
      </w:tr>
      <w:tr w:rsidR="00D3629E" w14:paraId="2794005B" w14:textId="1EB24124" w:rsidTr="0003179F">
        <w:trPr>
          <w:cnfStyle w:val="000000010000" w:firstRow="0" w:lastRow="0" w:firstColumn="0" w:lastColumn="0" w:oddVBand="0" w:evenVBand="0" w:oddHBand="0" w:evenHBand="1" w:firstRowFirstColumn="0" w:firstRowLastColumn="0" w:lastRowFirstColumn="0" w:lastRowLastColumn="0"/>
        </w:trPr>
        <w:tc>
          <w:tcPr>
            <w:tcW w:w="1525" w:type="pct"/>
            <w:hideMark/>
          </w:tcPr>
          <w:p w14:paraId="58FDA09D" w14:textId="77777777" w:rsidR="00D3629E" w:rsidRDefault="00D3629E" w:rsidP="00D3629E">
            <w:pPr>
              <w:pStyle w:val="TableText"/>
              <w:rPr>
                <w:lang w:val="en-GB"/>
              </w:rPr>
            </w:pPr>
            <w:r>
              <w:rPr>
                <w:lang w:val="en-GB"/>
              </w:rPr>
              <w:t xml:space="preserve">0.1 </w:t>
            </w:r>
            <w:proofErr w:type="spellStart"/>
            <w:r>
              <w:rPr>
                <w:i/>
                <w:lang w:val="en-GB"/>
              </w:rPr>
              <w:t>I</w:t>
            </w:r>
            <w:r>
              <w:rPr>
                <w:vertAlign w:val="subscript"/>
                <w:lang w:val="en-GB"/>
              </w:rPr>
              <w:t>b</w:t>
            </w:r>
            <w:proofErr w:type="spellEnd"/>
          </w:p>
        </w:tc>
        <w:tc>
          <w:tcPr>
            <w:tcW w:w="1601" w:type="pct"/>
          </w:tcPr>
          <w:p w14:paraId="3C701161" w14:textId="5CDFA6E3" w:rsidR="00D3629E" w:rsidRPr="004931F7" w:rsidRDefault="00D3629E" w:rsidP="00D3629E">
            <w:pPr>
              <w:pStyle w:val="TableText"/>
              <w:rPr>
                <w:lang w:val="en-GB"/>
              </w:rPr>
            </w:pPr>
            <w:r>
              <w:rPr>
                <w:lang w:val="en-GB"/>
              </w:rPr>
              <w:t xml:space="preserve">0.1 </w:t>
            </w:r>
            <w:r>
              <w:rPr>
                <w:i/>
                <w:lang w:val="en-GB"/>
              </w:rPr>
              <w:t>I</w:t>
            </w:r>
            <w:r>
              <w:rPr>
                <w:vertAlign w:val="subscript"/>
                <w:lang w:val="en-GB"/>
              </w:rPr>
              <w:t>n</w:t>
            </w:r>
          </w:p>
        </w:tc>
        <w:tc>
          <w:tcPr>
            <w:tcW w:w="727" w:type="pct"/>
            <w:hideMark/>
          </w:tcPr>
          <w:p w14:paraId="15078692" w14:textId="6733772E" w:rsidR="00D3629E" w:rsidRPr="004931F7" w:rsidRDefault="00D3629E" w:rsidP="00D3629E">
            <w:pPr>
              <w:pStyle w:val="TableText"/>
              <w:rPr>
                <w:vertAlign w:val="superscript"/>
                <w:lang w:val="en-GB"/>
              </w:rPr>
            </w:pPr>
            <w:r w:rsidRPr="004931F7">
              <w:rPr>
                <w:lang w:val="en-GB"/>
              </w:rPr>
              <w:t>1</w:t>
            </w:r>
          </w:p>
        </w:tc>
        <w:tc>
          <w:tcPr>
            <w:tcW w:w="1147" w:type="pct"/>
          </w:tcPr>
          <w:p w14:paraId="3779D4F3" w14:textId="6CFCC7F1" w:rsidR="00D3629E" w:rsidRPr="004931F7" w:rsidRDefault="00D3629E" w:rsidP="00D3629E">
            <w:pPr>
              <w:pStyle w:val="TableText"/>
              <w:rPr>
                <w:lang w:val="en-GB"/>
              </w:rPr>
            </w:pPr>
            <w:r>
              <w:rPr>
                <w:lang w:val="en-GB"/>
              </w:rPr>
              <w:t>Positive only</w:t>
            </w:r>
          </w:p>
        </w:tc>
      </w:tr>
      <w:tr w:rsidR="00D3629E" w14:paraId="43259E7D" w14:textId="57EB4412" w:rsidTr="0003179F">
        <w:tc>
          <w:tcPr>
            <w:tcW w:w="1525" w:type="pct"/>
            <w:hideMark/>
          </w:tcPr>
          <w:p w14:paraId="24A309F0" w14:textId="77777777" w:rsidR="00D3629E" w:rsidRDefault="00D3629E" w:rsidP="00D3629E">
            <w:pPr>
              <w:pStyle w:val="TableText"/>
              <w:rPr>
                <w:lang w:val="en-GB"/>
              </w:rPr>
            </w:pPr>
            <w:r>
              <w:rPr>
                <w:lang w:val="en-GB"/>
              </w:rPr>
              <w:t xml:space="preserve">0.1 </w:t>
            </w:r>
            <w:proofErr w:type="spellStart"/>
            <w:r>
              <w:rPr>
                <w:i/>
                <w:lang w:val="en-GB"/>
              </w:rPr>
              <w:t>I</w:t>
            </w:r>
            <w:r>
              <w:rPr>
                <w:vertAlign w:val="subscript"/>
                <w:lang w:val="en-GB"/>
              </w:rPr>
              <w:t>b</w:t>
            </w:r>
            <w:proofErr w:type="spellEnd"/>
          </w:p>
        </w:tc>
        <w:tc>
          <w:tcPr>
            <w:tcW w:w="1601" w:type="pct"/>
          </w:tcPr>
          <w:p w14:paraId="61A71ECF" w14:textId="0B122916" w:rsidR="00D3629E" w:rsidRPr="004931F7" w:rsidRDefault="00D3629E" w:rsidP="00D3629E">
            <w:pPr>
              <w:pStyle w:val="TableText"/>
              <w:rPr>
                <w:lang w:val="en-GB"/>
              </w:rPr>
            </w:pPr>
            <w:r>
              <w:rPr>
                <w:lang w:val="en-GB"/>
              </w:rPr>
              <w:t xml:space="preserve">0.1 </w:t>
            </w:r>
            <w:r>
              <w:rPr>
                <w:i/>
                <w:lang w:val="en-GB"/>
              </w:rPr>
              <w:t>I</w:t>
            </w:r>
            <w:r>
              <w:rPr>
                <w:vertAlign w:val="subscript"/>
                <w:lang w:val="en-GB"/>
              </w:rPr>
              <w:t>n</w:t>
            </w:r>
          </w:p>
        </w:tc>
        <w:tc>
          <w:tcPr>
            <w:tcW w:w="727" w:type="pct"/>
            <w:hideMark/>
          </w:tcPr>
          <w:p w14:paraId="1DC0F12A" w14:textId="32577EC5" w:rsidR="00D3629E" w:rsidRPr="004931F7" w:rsidRDefault="00D3629E" w:rsidP="00D3629E">
            <w:pPr>
              <w:pStyle w:val="TableText"/>
              <w:rPr>
                <w:vertAlign w:val="superscript"/>
                <w:lang w:val="en-GB"/>
              </w:rPr>
            </w:pPr>
            <w:r w:rsidRPr="004931F7">
              <w:rPr>
                <w:lang w:val="en-GB"/>
              </w:rPr>
              <w:t>0.5 inductive</w:t>
            </w:r>
          </w:p>
        </w:tc>
        <w:tc>
          <w:tcPr>
            <w:tcW w:w="1147" w:type="pct"/>
          </w:tcPr>
          <w:p w14:paraId="779F3F8D" w14:textId="2E91B134" w:rsidR="00D3629E" w:rsidRPr="004931F7" w:rsidRDefault="00D3629E" w:rsidP="00D3629E">
            <w:pPr>
              <w:pStyle w:val="TableText"/>
              <w:rPr>
                <w:lang w:val="en-GB"/>
              </w:rPr>
            </w:pPr>
            <w:r>
              <w:rPr>
                <w:lang w:val="en-GB"/>
              </w:rPr>
              <w:t>Positive only</w:t>
            </w:r>
          </w:p>
        </w:tc>
      </w:tr>
      <w:tr w:rsidR="00D3629E" w14:paraId="3B25431B" w14:textId="3355FC55" w:rsidTr="0003179F">
        <w:trPr>
          <w:cnfStyle w:val="000000010000" w:firstRow="0" w:lastRow="0" w:firstColumn="0" w:lastColumn="0" w:oddVBand="0" w:evenVBand="0" w:oddHBand="0" w:evenHBand="1" w:firstRowFirstColumn="0" w:firstRowLastColumn="0" w:lastRowFirstColumn="0" w:lastRowLastColumn="0"/>
        </w:trPr>
        <w:tc>
          <w:tcPr>
            <w:tcW w:w="1525" w:type="pct"/>
            <w:hideMark/>
          </w:tcPr>
          <w:p w14:paraId="4B0A8CE9" w14:textId="77777777" w:rsidR="00D3629E" w:rsidRDefault="00D3629E" w:rsidP="00D3629E">
            <w:pPr>
              <w:pStyle w:val="TableText"/>
              <w:rPr>
                <w:lang w:val="en-GB"/>
              </w:rPr>
            </w:pPr>
            <w:proofErr w:type="spellStart"/>
            <w:r>
              <w:rPr>
                <w:i/>
                <w:lang w:val="en-GB"/>
              </w:rPr>
              <w:t>I</w:t>
            </w:r>
            <w:r>
              <w:rPr>
                <w:vertAlign w:val="subscript"/>
                <w:lang w:val="en-GB"/>
              </w:rPr>
              <w:t>b</w:t>
            </w:r>
            <w:proofErr w:type="spellEnd"/>
          </w:p>
        </w:tc>
        <w:tc>
          <w:tcPr>
            <w:tcW w:w="1601" w:type="pct"/>
          </w:tcPr>
          <w:p w14:paraId="71124D26" w14:textId="52BEE391" w:rsidR="00D3629E" w:rsidRPr="000E67C9" w:rsidRDefault="00D3629E" w:rsidP="00D3629E">
            <w:pPr>
              <w:pStyle w:val="TableText"/>
              <w:rPr>
                <w:lang w:val="en-GB"/>
              </w:rPr>
            </w:pPr>
            <w:r>
              <w:rPr>
                <w:i/>
                <w:lang w:val="en-GB"/>
              </w:rPr>
              <w:t>I</w:t>
            </w:r>
            <w:r>
              <w:rPr>
                <w:vertAlign w:val="subscript"/>
                <w:lang w:val="en-GB"/>
              </w:rPr>
              <w:t>n</w:t>
            </w:r>
          </w:p>
        </w:tc>
        <w:tc>
          <w:tcPr>
            <w:tcW w:w="727" w:type="pct"/>
            <w:hideMark/>
          </w:tcPr>
          <w:p w14:paraId="6ECCA74D" w14:textId="6355E3D5" w:rsidR="00D3629E" w:rsidRPr="004931F7" w:rsidRDefault="00D3629E" w:rsidP="00D3629E">
            <w:pPr>
              <w:pStyle w:val="TableText"/>
              <w:rPr>
                <w:vertAlign w:val="superscript"/>
                <w:lang w:val="en-GB"/>
              </w:rPr>
            </w:pPr>
            <w:r w:rsidRPr="000E67C9">
              <w:rPr>
                <w:lang w:val="en-GB"/>
              </w:rPr>
              <w:t>1</w:t>
            </w:r>
          </w:p>
        </w:tc>
        <w:tc>
          <w:tcPr>
            <w:tcW w:w="1147" w:type="pct"/>
          </w:tcPr>
          <w:p w14:paraId="04BE2951" w14:textId="62D5BE0F" w:rsidR="00D3629E" w:rsidRPr="000E67C9" w:rsidRDefault="00D3629E" w:rsidP="00D3629E">
            <w:pPr>
              <w:pStyle w:val="TableText"/>
              <w:rPr>
                <w:lang w:val="en-GB"/>
              </w:rPr>
            </w:pPr>
            <w:r>
              <w:rPr>
                <w:lang w:val="en-GB"/>
              </w:rPr>
              <w:t>Positive and negative</w:t>
            </w:r>
          </w:p>
        </w:tc>
      </w:tr>
      <w:tr w:rsidR="00D3629E" w14:paraId="32B2046E" w14:textId="0E43B323" w:rsidTr="0003179F">
        <w:tc>
          <w:tcPr>
            <w:tcW w:w="1525" w:type="pct"/>
            <w:hideMark/>
          </w:tcPr>
          <w:p w14:paraId="6942FDF9" w14:textId="77777777" w:rsidR="00D3629E" w:rsidRDefault="00D3629E" w:rsidP="00D3629E">
            <w:pPr>
              <w:pStyle w:val="TableText"/>
              <w:rPr>
                <w:lang w:val="en-GB"/>
              </w:rPr>
            </w:pPr>
            <w:proofErr w:type="spellStart"/>
            <w:r>
              <w:rPr>
                <w:i/>
                <w:lang w:val="en-GB"/>
              </w:rPr>
              <w:t>I</w:t>
            </w:r>
            <w:r>
              <w:rPr>
                <w:vertAlign w:val="subscript"/>
                <w:lang w:val="en-GB"/>
              </w:rPr>
              <w:t>b</w:t>
            </w:r>
            <w:proofErr w:type="spellEnd"/>
          </w:p>
        </w:tc>
        <w:tc>
          <w:tcPr>
            <w:tcW w:w="1601" w:type="pct"/>
          </w:tcPr>
          <w:p w14:paraId="738CA821" w14:textId="002D22D2" w:rsidR="00D3629E" w:rsidRPr="000E67C9" w:rsidRDefault="00D3629E" w:rsidP="00D3629E">
            <w:pPr>
              <w:pStyle w:val="TableText"/>
              <w:rPr>
                <w:lang w:val="en-GB"/>
              </w:rPr>
            </w:pPr>
            <w:r>
              <w:rPr>
                <w:i/>
                <w:lang w:val="en-GB"/>
              </w:rPr>
              <w:t>I</w:t>
            </w:r>
            <w:r>
              <w:rPr>
                <w:vertAlign w:val="subscript"/>
                <w:lang w:val="en-GB"/>
              </w:rPr>
              <w:t>n</w:t>
            </w:r>
          </w:p>
        </w:tc>
        <w:tc>
          <w:tcPr>
            <w:tcW w:w="727" w:type="pct"/>
            <w:hideMark/>
          </w:tcPr>
          <w:p w14:paraId="4A1631DE" w14:textId="6626A4C9" w:rsidR="00D3629E" w:rsidRPr="004931F7" w:rsidRDefault="00D3629E" w:rsidP="00D3629E">
            <w:pPr>
              <w:pStyle w:val="TableText"/>
              <w:rPr>
                <w:vertAlign w:val="superscript"/>
                <w:lang w:val="en-GB"/>
              </w:rPr>
            </w:pPr>
            <w:r w:rsidRPr="000E67C9">
              <w:rPr>
                <w:lang w:val="en-GB"/>
              </w:rPr>
              <w:t>0.5 inductive</w:t>
            </w:r>
          </w:p>
        </w:tc>
        <w:tc>
          <w:tcPr>
            <w:tcW w:w="1147" w:type="pct"/>
          </w:tcPr>
          <w:p w14:paraId="563C0DB8" w14:textId="4714209B" w:rsidR="00D3629E" w:rsidRPr="000E67C9" w:rsidRDefault="00D3629E" w:rsidP="00D3629E">
            <w:pPr>
              <w:pStyle w:val="TableText"/>
              <w:rPr>
                <w:lang w:val="en-GB"/>
              </w:rPr>
            </w:pPr>
            <w:r>
              <w:rPr>
                <w:lang w:val="en-GB"/>
              </w:rPr>
              <w:t>Positive and negative</w:t>
            </w:r>
          </w:p>
        </w:tc>
      </w:tr>
      <w:tr w:rsidR="00D3629E" w14:paraId="0C5F2294" w14:textId="58E73B09" w:rsidTr="0003179F">
        <w:trPr>
          <w:cnfStyle w:val="000000010000" w:firstRow="0" w:lastRow="0" w:firstColumn="0" w:lastColumn="0" w:oddVBand="0" w:evenVBand="0" w:oddHBand="0" w:evenHBand="1" w:firstRowFirstColumn="0" w:firstRowLastColumn="0" w:lastRowFirstColumn="0" w:lastRowLastColumn="0"/>
        </w:trPr>
        <w:tc>
          <w:tcPr>
            <w:tcW w:w="1525" w:type="pct"/>
            <w:hideMark/>
          </w:tcPr>
          <w:p w14:paraId="6E92BFA0" w14:textId="77777777" w:rsidR="00D3629E" w:rsidRDefault="00D3629E" w:rsidP="00D3629E">
            <w:pPr>
              <w:pStyle w:val="TableText"/>
              <w:rPr>
                <w:lang w:val="en-GB"/>
              </w:rPr>
            </w:pPr>
            <w:r>
              <w:rPr>
                <w:i/>
                <w:lang w:val="en-GB"/>
              </w:rPr>
              <w:t>I</w:t>
            </w:r>
            <w:r>
              <w:rPr>
                <w:vertAlign w:val="subscript"/>
                <w:lang w:val="en-GB"/>
              </w:rPr>
              <w:t>max</w:t>
            </w:r>
          </w:p>
        </w:tc>
        <w:tc>
          <w:tcPr>
            <w:tcW w:w="1601" w:type="pct"/>
          </w:tcPr>
          <w:p w14:paraId="037021F7" w14:textId="5E9D9067" w:rsidR="00D3629E" w:rsidRPr="000E67C9" w:rsidRDefault="00D3629E" w:rsidP="00D3629E">
            <w:pPr>
              <w:pStyle w:val="TableText"/>
              <w:rPr>
                <w:lang w:val="en-GB"/>
              </w:rPr>
            </w:pPr>
            <w:r>
              <w:rPr>
                <w:i/>
                <w:lang w:val="en-GB"/>
              </w:rPr>
              <w:t>I</w:t>
            </w:r>
            <w:r>
              <w:rPr>
                <w:vertAlign w:val="subscript"/>
                <w:lang w:val="en-GB"/>
              </w:rPr>
              <w:t>max</w:t>
            </w:r>
          </w:p>
        </w:tc>
        <w:tc>
          <w:tcPr>
            <w:tcW w:w="727" w:type="pct"/>
            <w:hideMark/>
          </w:tcPr>
          <w:p w14:paraId="0ECE4EF2" w14:textId="761AF684" w:rsidR="00D3629E" w:rsidRPr="004931F7" w:rsidRDefault="00D3629E" w:rsidP="00D3629E">
            <w:pPr>
              <w:pStyle w:val="TableText"/>
              <w:rPr>
                <w:b/>
                <w:bCs/>
                <w:vertAlign w:val="superscript"/>
                <w:lang w:val="en-GB"/>
              </w:rPr>
            </w:pPr>
            <w:r w:rsidRPr="000E67C9">
              <w:rPr>
                <w:lang w:val="en-GB"/>
              </w:rPr>
              <w:t>1</w:t>
            </w:r>
          </w:p>
        </w:tc>
        <w:tc>
          <w:tcPr>
            <w:tcW w:w="1147" w:type="pct"/>
          </w:tcPr>
          <w:p w14:paraId="39D0B764" w14:textId="055E4386" w:rsidR="00D3629E" w:rsidRPr="000E67C9" w:rsidRDefault="00D3629E" w:rsidP="00D3629E">
            <w:pPr>
              <w:pStyle w:val="TableText"/>
              <w:rPr>
                <w:lang w:val="en-GB"/>
              </w:rPr>
            </w:pPr>
            <w:r>
              <w:rPr>
                <w:lang w:val="en-GB"/>
              </w:rPr>
              <w:t>Positive and negative</w:t>
            </w:r>
          </w:p>
        </w:tc>
      </w:tr>
      <w:tr w:rsidR="00D3629E" w14:paraId="4BACA192" w14:textId="1718391E" w:rsidTr="0003179F">
        <w:tc>
          <w:tcPr>
            <w:tcW w:w="1525" w:type="pct"/>
            <w:hideMark/>
          </w:tcPr>
          <w:p w14:paraId="40F2CED0" w14:textId="77777777" w:rsidR="00D3629E" w:rsidRDefault="00D3629E" w:rsidP="00D3629E">
            <w:pPr>
              <w:pStyle w:val="TableText"/>
              <w:rPr>
                <w:lang w:val="en-GB"/>
              </w:rPr>
            </w:pPr>
            <w:r>
              <w:rPr>
                <w:i/>
                <w:lang w:val="en-GB"/>
              </w:rPr>
              <w:t>I</w:t>
            </w:r>
            <w:r>
              <w:rPr>
                <w:vertAlign w:val="subscript"/>
                <w:lang w:val="en-GB"/>
              </w:rPr>
              <w:t>max</w:t>
            </w:r>
          </w:p>
        </w:tc>
        <w:tc>
          <w:tcPr>
            <w:tcW w:w="1601" w:type="pct"/>
          </w:tcPr>
          <w:p w14:paraId="7581C045" w14:textId="5DB9AF83" w:rsidR="00D3629E" w:rsidRPr="000E67C9" w:rsidRDefault="00D3629E" w:rsidP="00D3629E">
            <w:pPr>
              <w:pStyle w:val="TableText"/>
              <w:rPr>
                <w:lang w:val="en-GB"/>
              </w:rPr>
            </w:pPr>
            <w:r>
              <w:rPr>
                <w:i/>
                <w:lang w:val="en-GB"/>
              </w:rPr>
              <w:t>I</w:t>
            </w:r>
            <w:r>
              <w:rPr>
                <w:vertAlign w:val="subscript"/>
                <w:lang w:val="en-GB"/>
              </w:rPr>
              <w:t>max</w:t>
            </w:r>
          </w:p>
        </w:tc>
        <w:tc>
          <w:tcPr>
            <w:tcW w:w="727" w:type="pct"/>
            <w:hideMark/>
          </w:tcPr>
          <w:p w14:paraId="3DF4E24C" w14:textId="7FD3A584" w:rsidR="00D3629E" w:rsidRPr="004931F7" w:rsidRDefault="00D3629E" w:rsidP="00D3629E">
            <w:pPr>
              <w:pStyle w:val="TableText"/>
              <w:rPr>
                <w:b/>
                <w:bCs/>
                <w:vertAlign w:val="superscript"/>
                <w:lang w:val="en-GB"/>
              </w:rPr>
            </w:pPr>
            <w:r w:rsidRPr="000E67C9">
              <w:rPr>
                <w:lang w:val="en-GB"/>
              </w:rPr>
              <w:t>0.5 inductive</w:t>
            </w:r>
          </w:p>
        </w:tc>
        <w:tc>
          <w:tcPr>
            <w:tcW w:w="1147" w:type="pct"/>
          </w:tcPr>
          <w:p w14:paraId="1753F9CF" w14:textId="3D3ECB5D" w:rsidR="00D3629E" w:rsidRPr="000E67C9" w:rsidRDefault="00D3629E" w:rsidP="00D3629E">
            <w:pPr>
              <w:pStyle w:val="TableText"/>
              <w:rPr>
                <w:lang w:val="en-GB"/>
              </w:rPr>
            </w:pPr>
            <w:r>
              <w:rPr>
                <w:lang w:val="en-GB"/>
              </w:rPr>
              <w:t>Positive and negative</w:t>
            </w:r>
          </w:p>
        </w:tc>
      </w:tr>
    </w:tbl>
    <w:bookmarkEnd w:id="567"/>
    <w:p w14:paraId="48D8D739" w14:textId="063B72EE" w:rsidR="004D3B76" w:rsidRDefault="001D41B0" w:rsidP="0063574C">
      <w:pPr>
        <w:pStyle w:val="Note"/>
        <w:spacing w:before="120"/>
      </w:pPr>
      <w:r w:rsidRPr="00413E41">
        <w:t>Note</w:t>
      </w:r>
      <w:r w:rsidR="008F1DEF">
        <w:t xml:space="preserve"> 1</w:t>
      </w:r>
      <w:r>
        <w:t>:</w:t>
      </w:r>
      <w:r>
        <w:tab/>
        <w:t xml:space="preserve">For </w:t>
      </w:r>
      <w:r w:rsidR="00D105EC" w:rsidRPr="00D105EC">
        <w:t xml:space="preserve">electricity </w:t>
      </w:r>
      <w:r>
        <w:t xml:space="preserve">meters approved against NMI R 46, </w:t>
      </w:r>
      <w:proofErr w:type="spellStart"/>
      <w:r w:rsidRPr="00413E41">
        <w:rPr>
          <w:i/>
          <w:iCs/>
        </w:rPr>
        <w:t>I</w:t>
      </w:r>
      <w:r>
        <w:rPr>
          <w:vertAlign w:val="subscript"/>
        </w:rPr>
        <w:t>b</w:t>
      </w:r>
      <w:proofErr w:type="spellEnd"/>
      <w:r>
        <w:t xml:space="preserve"> is taken to be 10 </w:t>
      </w:r>
      <w:proofErr w:type="spellStart"/>
      <w:r>
        <w:rPr>
          <w:i/>
          <w:iCs/>
        </w:rPr>
        <w:t>I</w:t>
      </w:r>
      <w:r w:rsidRPr="00413E41">
        <w:rPr>
          <w:vertAlign w:val="subscript"/>
        </w:rPr>
        <w:t>tr</w:t>
      </w:r>
      <w:proofErr w:type="spellEnd"/>
      <w:r w:rsidR="00D3629E">
        <w:t>.</w:t>
      </w:r>
    </w:p>
    <w:p w14:paraId="459C2FD5" w14:textId="2603F9B7" w:rsidR="00D3629E" w:rsidRDefault="00D3629E">
      <w:pPr>
        <w:pStyle w:val="Note"/>
        <w:spacing w:before="60"/>
      </w:pPr>
      <w:r>
        <w:t>Note 2:</w:t>
      </w:r>
      <w:r>
        <w:tab/>
        <w:t xml:space="preserve">For </w:t>
      </w:r>
      <w:r w:rsidR="00D105EC" w:rsidRPr="00D105EC">
        <w:t xml:space="preserve">electricity </w:t>
      </w:r>
      <w:r>
        <w:t xml:space="preserve">meters approved against NMI R 46, </w:t>
      </w:r>
      <w:r w:rsidRPr="004318DD">
        <w:rPr>
          <w:i/>
          <w:iCs/>
        </w:rPr>
        <w:t>I</w:t>
      </w:r>
      <w:r>
        <w:rPr>
          <w:vertAlign w:val="subscript"/>
        </w:rPr>
        <w:t>n</w:t>
      </w:r>
      <w:r>
        <w:t xml:space="preserve"> is taken to be 20 </w:t>
      </w:r>
      <w:proofErr w:type="spellStart"/>
      <w:r>
        <w:rPr>
          <w:i/>
          <w:iCs/>
        </w:rPr>
        <w:t>I</w:t>
      </w:r>
      <w:r w:rsidRPr="004318DD">
        <w:rPr>
          <w:vertAlign w:val="subscript"/>
        </w:rPr>
        <w:t>tr</w:t>
      </w:r>
      <w:proofErr w:type="spellEnd"/>
      <w:r>
        <w:t>.</w:t>
      </w:r>
    </w:p>
    <w:p w14:paraId="534648A8" w14:textId="117B0DBC" w:rsidR="00D3629E" w:rsidRDefault="00D3629E">
      <w:pPr>
        <w:pStyle w:val="Note"/>
        <w:spacing w:before="60"/>
      </w:pPr>
      <w:r>
        <w:t>Note 3:</w:t>
      </w:r>
      <w:r>
        <w:tab/>
        <w:t xml:space="preserve">Tests at negative current flow are applicable for </w:t>
      </w:r>
      <w:r w:rsidR="00D105EC" w:rsidRPr="00D105EC">
        <w:t xml:space="preserve">electricity </w:t>
      </w:r>
      <w:r>
        <w:t xml:space="preserve">meters where the certificate of approval states that the </w:t>
      </w:r>
      <w:r w:rsidR="00D105EC" w:rsidRPr="00D105EC">
        <w:t xml:space="preserve">electricity </w:t>
      </w:r>
      <w:r>
        <w:t xml:space="preserve">meter is capable of measuring energy in both the positive and negative directions. </w:t>
      </w:r>
    </w:p>
    <w:p w14:paraId="0E0121D4" w14:textId="1E8842F7" w:rsidR="00D3629E" w:rsidRPr="001D2937" w:rsidRDefault="00D3629E" w:rsidP="00413E41">
      <w:pPr>
        <w:pStyle w:val="Note"/>
        <w:spacing w:before="60"/>
      </w:pPr>
      <w:r>
        <w:t>Note 4:</w:t>
      </w:r>
      <w:r>
        <w:tab/>
      </w:r>
      <w:r>
        <w:rPr>
          <w:lang w:val="en-GB"/>
        </w:rPr>
        <w:t xml:space="preserve">This test point is not applicable for class 1 transformer-operated </w:t>
      </w:r>
      <w:r w:rsidR="00D105EC" w:rsidRPr="00D105EC">
        <w:rPr>
          <w:lang w:val="en-GB"/>
        </w:rPr>
        <w:t xml:space="preserve">electricity </w:t>
      </w:r>
      <w:r>
        <w:rPr>
          <w:lang w:val="en-GB"/>
        </w:rPr>
        <w:t>meters.</w:t>
      </w:r>
      <w:r w:rsidR="001D2937">
        <w:rPr>
          <w:lang w:val="en-GB"/>
        </w:rPr>
        <w:t xml:space="preserve"> The test point for class 1 transformer-operated </w:t>
      </w:r>
      <w:r w:rsidR="00D105EC" w:rsidRPr="00D105EC">
        <w:rPr>
          <w:lang w:val="en-GB"/>
        </w:rPr>
        <w:t xml:space="preserve">electricity </w:t>
      </w:r>
      <w:r w:rsidR="001D2937">
        <w:rPr>
          <w:lang w:val="en-GB"/>
        </w:rPr>
        <w:t xml:space="preserve">meters is 0.02 </w:t>
      </w:r>
      <w:r w:rsidR="001D2937">
        <w:rPr>
          <w:i/>
          <w:lang w:val="en-GB"/>
        </w:rPr>
        <w:t>I</w:t>
      </w:r>
      <w:r w:rsidR="001D2937">
        <w:rPr>
          <w:vertAlign w:val="subscript"/>
          <w:lang w:val="en-GB"/>
        </w:rPr>
        <w:t>n</w:t>
      </w:r>
      <w:r w:rsidR="001D2937">
        <w:rPr>
          <w:lang w:val="en-GB"/>
        </w:rPr>
        <w:t>.</w:t>
      </w:r>
    </w:p>
    <w:p w14:paraId="0DC423CF" w14:textId="66E77A5F" w:rsidR="00DC3498" w:rsidRDefault="00595081" w:rsidP="00863C4E">
      <w:pPr>
        <w:pStyle w:val="Heading2"/>
        <w:rPr>
          <w:lang w:val="en-GB"/>
        </w:rPr>
      </w:pPr>
      <w:bookmarkStart w:id="568" w:name="_Toc170413887"/>
      <w:bookmarkStart w:id="569" w:name="_Hlk145417003"/>
      <w:r>
        <w:t xml:space="preserve">Individual verification – </w:t>
      </w:r>
      <w:r w:rsidR="00C908AC">
        <w:t>b</w:t>
      </w:r>
      <w:r w:rsidR="00D3629E" w:rsidRPr="00413E41">
        <w:t>atch</w:t>
      </w:r>
      <w:r>
        <w:t xml:space="preserve"> </w:t>
      </w:r>
      <w:r w:rsidR="00C908AC">
        <w:rPr>
          <w:lang w:val="en-GB"/>
        </w:rPr>
        <w:t xml:space="preserve">of locally manufactured </w:t>
      </w:r>
      <w:r w:rsidR="00D105EC" w:rsidRPr="00D105EC">
        <w:rPr>
          <w:lang w:val="en-GB"/>
        </w:rPr>
        <w:t xml:space="preserve">electricity </w:t>
      </w:r>
      <w:r w:rsidR="00C908AC">
        <w:rPr>
          <w:lang w:val="en-GB"/>
        </w:rPr>
        <w:t>meters</w:t>
      </w:r>
      <w:bookmarkEnd w:id="568"/>
    </w:p>
    <w:p w14:paraId="78D4F1A1" w14:textId="3F59369C" w:rsidR="007030A7" w:rsidRDefault="007030A7" w:rsidP="007030A7">
      <w:pPr>
        <w:pStyle w:val="Heading3"/>
      </w:pPr>
      <w:r>
        <w:t>General</w:t>
      </w:r>
    </w:p>
    <w:p w14:paraId="130C21CA" w14:textId="54DC2D0B" w:rsidR="00380CE0" w:rsidRDefault="00C908AC" w:rsidP="00C908AC">
      <w:r>
        <w:t xml:space="preserve">Use this procedure to verify a batch of </w:t>
      </w:r>
      <w:r w:rsidR="001F1DB8">
        <w:t xml:space="preserve">locally manufactured </w:t>
      </w:r>
      <w:r w:rsidR="00914807">
        <w:t>electricity</w:t>
      </w:r>
      <w:r w:rsidRPr="00903002">
        <w:t xml:space="preserve"> meters</w:t>
      </w:r>
      <w:r w:rsidR="00914807">
        <w:t xml:space="preserve"> that comply with the requirements in </w:t>
      </w:r>
      <w:r w:rsidR="0096413F">
        <w:t xml:space="preserve">clause </w:t>
      </w:r>
      <w:r w:rsidR="00914807">
        <w:t>3.3.2</w:t>
      </w:r>
      <w:r>
        <w:t xml:space="preserve">. This procedure permits the </w:t>
      </w:r>
      <w:r w:rsidR="006C6611">
        <w:t>u</w:t>
      </w:r>
      <w:r w:rsidR="007030A7">
        <w:t xml:space="preserve">tility </w:t>
      </w:r>
      <w:r w:rsidR="006C6611">
        <w:t>m</w:t>
      </w:r>
      <w:r w:rsidR="007030A7">
        <w:t xml:space="preserve">eter </w:t>
      </w:r>
      <w:r w:rsidR="006C6611">
        <w:t>v</w:t>
      </w:r>
      <w:r w:rsidR="007030A7">
        <w:t>erifier</w:t>
      </w:r>
      <w:r w:rsidRPr="00903002">
        <w:t xml:space="preserve"> </w:t>
      </w:r>
      <w:r>
        <w:t xml:space="preserve">to </w:t>
      </w:r>
      <w:r w:rsidRPr="00903002">
        <w:t xml:space="preserve">undertake batch testing to allow for a reduction in the number of test points required to be tested. </w:t>
      </w:r>
    </w:p>
    <w:p w14:paraId="4D037C7B" w14:textId="2B828F50" w:rsidR="00380CE0" w:rsidRDefault="00380CE0" w:rsidP="00380CE0">
      <w:r w:rsidRPr="00D435EE">
        <w:t>See example</w:t>
      </w:r>
      <w:r>
        <w:t xml:space="preserve"> (</w:t>
      </w:r>
      <w:r w:rsidR="003631F1">
        <w:t>A.</w:t>
      </w:r>
      <w:r>
        <w:t>1)</w:t>
      </w:r>
      <w:r w:rsidRPr="00D435EE">
        <w:t xml:space="preserve"> provided in Appendix A.</w:t>
      </w:r>
      <w:r>
        <w:t xml:space="preserve"> </w:t>
      </w:r>
    </w:p>
    <w:p w14:paraId="61ABC842" w14:textId="5A1EB57B" w:rsidR="00F5547D" w:rsidRDefault="00F5547D" w:rsidP="00F5547D">
      <w:pPr>
        <w:pStyle w:val="Note"/>
      </w:pPr>
      <w:r>
        <w:t>Note:</w:t>
      </w:r>
      <w:r>
        <w:tab/>
        <w:t>This procedure may also be used for a batch of imported</w:t>
      </w:r>
      <w:r w:rsidR="00D105EC" w:rsidRPr="00D105EC">
        <w:t xml:space="preserve"> electricity</w:t>
      </w:r>
      <w:r>
        <w:t xml:space="preserve"> meters </w:t>
      </w:r>
      <w:r w:rsidR="00262F8F">
        <w:t>if the procedure in</w:t>
      </w:r>
      <w:r>
        <w:t xml:space="preserve"> clause 3.4</w:t>
      </w:r>
      <w:r w:rsidR="00262F8F">
        <w:t xml:space="preserve"> cannot be used.</w:t>
      </w:r>
    </w:p>
    <w:p w14:paraId="16C94E5A" w14:textId="77777777" w:rsidR="00C908AC" w:rsidRPr="00F17341" w:rsidRDefault="00C908AC" w:rsidP="00C908AC">
      <w:pPr>
        <w:pStyle w:val="Heading3"/>
      </w:pPr>
      <w:r w:rsidRPr="00F17341">
        <w:t xml:space="preserve">Requirements for </w:t>
      </w:r>
      <w:r>
        <w:t>d</w:t>
      </w:r>
      <w:r w:rsidRPr="00F17341">
        <w:t xml:space="preserve">etermining a </w:t>
      </w:r>
      <w:proofErr w:type="gramStart"/>
      <w:r>
        <w:t>b</w:t>
      </w:r>
      <w:r w:rsidRPr="00F17341">
        <w:t>atch</w:t>
      </w:r>
      <w:proofErr w:type="gramEnd"/>
    </w:p>
    <w:p w14:paraId="43CF83B3" w14:textId="75814166" w:rsidR="00C908AC" w:rsidRPr="00F17341" w:rsidRDefault="00C908AC" w:rsidP="00C908AC">
      <w:r w:rsidRPr="00F17341">
        <w:t xml:space="preserve">A batch must only comprise utility meters that </w:t>
      </w:r>
      <w:r w:rsidR="000B6288">
        <w:t xml:space="preserve">meet </w:t>
      </w:r>
      <w:proofErr w:type="gramStart"/>
      <w:r w:rsidR="000B6288">
        <w:t>all of</w:t>
      </w:r>
      <w:proofErr w:type="gramEnd"/>
      <w:r w:rsidR="000B6288">
        <w:t xml:space="preserve"> the following conditions</w:t>
      </w:r>
      <w:r w:rsidRPr="00F17341">
        <w:t>:</w:t>
      </w:r>
    </w:p>
    <w:p w14:paraId="0AFC3BED" w14:textId="77777777" w:rsidR="00C908AC" w:rsidRPr="00F17341" w:rsidRDefault="00C908AC" w:rsidP="000774DE">
      <w:pPr>
        <w:pStyle w:val="ListParagraph"/>
        <w:numPr>
          <w:ilvl w:val="0"/>
          <w:numId w:val="14"/>
        </w:numPr>
        <w:ind w:left="357" w:hanging="357"/>
      </w:pPr>
      <w:r w:rsidRPr="00F17341">
        <w:t>of the same pattern</w:t>
      </w:r>
    </w:p>
    <w:p w14:paraId="0993BB08" w14:textId="23DCFC03" w:rsidR="00C908AC" w:rsidRDefault="00C908AC" w:rsidP="000774DE">
      <w:pPr>
        <w:pStyle w:val="ListParagraph"/>
        <w:numPr>
          <w:ilvl w:val="0"/>
          <w:numId w:val="14"/>
        </w:numPr>
        <w:ind w:left="357" w:hanging="357"/>
      </w:pPr>
      <w:r w:rsidRPr="00F17341">
        <w:t>of the same accuracy class</w:t>
      </w:r>
    </w:p>
    <w:p w14:paraId="6FBCB808" w14:textId="67FDF76B" w:rsidR="00914807" w:rsidRPr="00F17341" w:rsidRDefault="00914807" w:rsidP="000774DE">
      <w:pPr>
        <w:pStyle w:val="ListParagraph"/>
        <w:numPr>
          <w:ilvl w:val="0"/>
          <w:numId w:val="14"/>
        </w:numPr>
        <w:ind w:left="357" w:hanging="357"/>
      </w:pPr>
      <w:r w:rsidRPr="00903002">
        <w:t xml:space="preserve">electronic (solid-state) </w:t>
      </w:r>
      <w:r w:rsidR="00D105EC" w:rsidRPr="00D105EC">
        <w:t xml:space="preserve">electricity </w:t>
      </w:r>
      <w:r w:rsidRPr="00903002">
        <w:t>meters</w:t>
      </w:r>
    </w:p>
    <w:p w14:paraId="037AE3C6" w14:textId="77777777" w:rsidR="00C908AC" w:rsidRPr="00F17341" w:rsidRDefault="00C908AC" w:rsidP="000774DE">
      <w:pPr>
        <w:pStyle w:val="ListParagraph"/>
        <w:numPr>
          <w:ilvl w:val="0"/>
          <w:numId w:val="14"/>
        </w:numPr>
        <w:ind w:left="357" w:hanging="357"/>
      </w:pPr>
      <w:r w:rsidRPr="00F17341">
        <w:t xml:space="preserve">manufactured in the same </w:t>
      </w:r>
      <w:proofErr w:type="gramStart"/>
      <w:r w:rsidRPr="00F17341">
        <w:t>location</w:t>
      </w:r>
      <w:proofErr w:type="gramEnd"/>
    </w:p>
    <w:p w14:paraId="1C80C972" w14:textId="6C92DB6D" w:rsidR="00C908AC" w:rsidRDefault="00C908AC" w:rsidP="000774DE">
      <w:pPr>
        <w:pStyle w:val="ListParagraph"/>
        <w:numPr>
          <w:ilvl w:val="0"/>
          <w:numId w:val="14"/>
        </w:numPr>
        <w:ind w:left="357" w:hanging="357"/>
      </w:pPr>
      <w:r w:rsidRPr="00F17341">
        <w:t xml:space="preserve">manufactured within the same 12-month </w:t>
      </w:r>
      <w:proofErr w:type="gramStart"/>
      <w:r w:rsidRPr="00F17341">
        <w:t>period</w:t>
      </w:r>
      <w:proofErr w:type="gramEnd"/>
    </w:p>
    <w:p w14:paraId="58F8D4C4" w14:textId="6AC991AF" w:rsidR="00914807" w:rsidRPr="00F17341" w:rsidRDefault="00914807" w:rsidP="000774DE">
      <w:pPr>
        <w:pStyle w:val="ListParagraph"/>
        <w:numPr>
          <w:ilvl w:val="0"/>
          <w:numId w:val="14"/>
        </w:numPr>
        <w:ind w:left="357" w:hanging="357"/>
      </w:pPr>
      <w:r w:rsidRPr="00903002">
        <w:lastRenderedPageBreak/>
        <w:t xml:space="preserve">produced </w:t>
      </w:r>
      <w:r>
        <w:t>in a unform and</w:t>
      </w:r>
      <w:r w:rsidRPr="00903002">
        <w:t xml:space="preserve"> continuously operating process resulting in a large number of identical </w:t>
      </w:r>
      <w:proofErr w:type="gramStart"/>
      <w:r w:rsidRPr="00903002">
        <w:t>units</w:t>
      </w:r>
      <w:proofErr w:type="gramEnd"/>
    </w:p>
    <w:p w14:paraId="0215A6C6" w14:textId="77777777" w:rsidR="00C908AC" w:rsidRPr="00CB39E7" w:rsidRDefault="00C908AC" w:rsidP="000774DE">
      <w:pPr>
        <w:pStyle w:val="ListParagraph"/>
        <w:numPr>
          <w:ilvl w:val="0"/>
          <w:numId w:val="14"/>
        </w:numPr>
        <w:ind w:left="357" w:hanging="357"/>
      </w:pPr>
      <w:r>
        <w:rPr>
          <w:rFonts w:eastAsia="Calibri"/>
        </w:rPr>
        <w:t xml:space="preserve">compliant with </w:t>
      </w:r>
      <w:r>
        <w:t>any additional criteria for a batch that is specified in the certificate of approval.</w:t>
      </w:r>
    </w:p>
    <w:p w14:paraId="13AB9C7A" w14:textId="4C2B4926" w:rsidR="00C908AC" w:rsidRDefault="00C908AC" w:rsidP="00C908AC">
      <w:pPr>
        <w:pStyle w:val="Heading3"/>
      </w:pPr>
      <w:r w:rsidRPr="00CB39E7">
        <w:t xml:space="preserve">Test </w:t>
      </w:r>
      <w:proofErr w:type="gramStart"/>
      <w:r>
        <w:t>p</w:t>
      </w:r>
      <w:r w:rsidRPr="00CB39E7">
        <w:t>rocedure</w:t>
      </w:r>
      <w:proofErr w:type="gramEnd"/>
    </w:p>
    <w:p w14:paraId="606C4666" w14:textId="005BAC82" w:rsidR="00C908AC" w:rsidRPr="007030A7" w:rsidRDefault="00C908AC">
      <w:pPr>
        <w:pStyle w:val="ListParagraph"/>
        <w:numPr>
          <w:ilvl w:val="0"/>
          <w:numId w:val="11"/>
        </w:numPr>
        <w:rPr>
          <w:rFonts w:eastAsia="Calibri" w:cs="Times New Roman"/>
        </w:rPr>
      </w:pPr>
      <w:r w:rsidRPr="00D3629E">
        <w:rPr>
          <w:rFonts w:cs="Arial"/>
          <w:szCs w:val="24"/>
          <w:lang w:eastAsia="en-AU"/>
        </w:rPr>
        <w:t>Complete an accuracy test (clause 2.1) at the mandatory test points specified in</w:t>
      </w:r>
      <w:r>
        <w:rPr>
          <w:rFonts w:cs="Arial"/>
          <w:szCs w:val="24"/>
          <w:lang w:eastAsia="en-AU"/>
        </w:rPr>
        <w:t xml:space="preserve"> </w:t>
      </w:r>
      <w:r w:rsidR="00A81638">
        <w:rPr>
          <w:rFonts w:cs="Arial"/>
          <w:szCs w:val="24"/>
          <w:lang w:eastAsia="en-AU"/>
        </w:rPr>
        <w:fldChar w:fldCharType="begin" w:fldLock="1"/>
      </w:r>
      <w:r w:rsidR="00A81638">
        <w:rPr>
          <w:rFonts w:cs="Arial"/>
          <w:szCs w:val="24"/>
          <w:lang w:eastAsia="en-AU"/>
        </w:rPr>
        <w:instrText xml:space="preserve"> REF _Ref146644447 </w:instrText>
      </w:r>
      <w:r w:rsidR="00A81638">
        <w:rPr>
          <w:rFonts w:cs="Arial"/>
          <w:szCs w:val="24"/>
          <w:lang w:eastAsia="en-AU"/>
        </w:rPr>
        <w:fldChar w:fldCharType="separate"/>
      </w:r>
      <w:r w:rsidR="00A81638">
        <w:t xml:space="preserve">Table </w:t>
      </w:r>
      <w:r w:rsidR="00A81638">
        <w:rPr>
          <w:noProof/>
        </w:rPr>
        <w:t>8</w:t>
      </w:r>
      <w:r w:rsidR="00A81638">
        <w:rPr>
          <w:rFonts w:cs="Arial"/>
          <w:szCs w:val="24"/>
          <w:lang w:eastAsia="en-AU"/>
        </w:rPr>
        <w:fldChar w:fldCharType="end"/>
      </w:r>
      <w:r w:rsidR="00CB2C27">
        <w:rPr>
          <w:rFonts w:cs="Arial"/>
          <w:szCs w:val="24"/>
          <w:lang w:eastAsia="en-AU"/>
        </w:rPr>
        <w:t xml:space="preserve"> for every </w:t>
      </w:r>
      <w:r w:rsidR="00D105EC" w:rsidRPr="00D105EC">
        <w:rPr>
          <w:rFonts w:cs="Arial"/>
          <w:szCs w:val="24"/>
          <w:lang w:eastAsia="en-AU"/>
        </w:rPr>
        <w:t xml:space="preserve">electricity </w:t>
      </w:r>
      <w:r w:rsidR="00CB2C27">
        <w:rPr>
          <w:rFonts w:cs="Arial"/>
          <w:szCs w:val="24"/>
          <w:lang w:eastAsia="en-AU"/>
        </w:rPr>
        <w:t>meter in the batch</w:t>
      </w:r>
      <w:r w:rsidR="00A81638">
        <w:rPr>
          <w:rFonts w:cs="Arial"/>
          <w:szCs w:val="24"/>
          <w:lang w:eastAsia="en-AU"/>
        </w:rPr>
        <w:t>.</w:t>
      </w:r>
    </w:p>
    <w:p w14:paraId="5E162410" w14:textId="5625A151" w:rsidR="007030A7" w:rsidRDefault="007030A7" w:rsidP="0063574C">
      <w:pPr>
        <w:pStyle w:val="Caption"/>
        <w:keepNext/>
        <w:ind w:left="357"/>
      </w:pPr>
      <w:bookmarkStart w:id="570" w:name="_Ref146644447"/>
      <w:r>
        <w:t xml:space="preserve">Table </w:t>
      </w:r>
      <w:r w:rsidR="00440352">
        <w:fldChar w:fldCharType="begin"/>
      </w:r>
      <w:r w:rsidR="00440352">
        <w:instrText xml:space="preserve"> SEQ Table \* ARABIC </w:instrText>
      </w:r>
      <w:r w:rsidR="00440352">
        <w:fldChar w:fldCharType="separate"/>
      </w:r>
      <w:r w:rsidR="003F6048">
        <w:rPr>
          <w:noProof/>
        </w:rPr>
        <w:t>8</w:t>
      </w:r>
      <w:r w:rsidR="00440352">
        <w:rPr>
          <w:noProof/>
        </w:rPr>
        <w:fldChar w:fldCharType="end"/>
      </w:r>
      <w:bookmarkEnd w:id="570"/>
      <w:r>
        <w:t xml:space="preserve">. </w:t>
      </w:r>
      <w:r w:rsidRPr="001D41B0">
        <w:t xml:space="preserve">Mandatory test points </w:t>
      </w:r>
      <w:r>
        <w:t>for all meters in a batch of locally manufactured electricity meters</w:t>
      </w:r>
    </w:p>
    <w:tbl>
      <w:tblPr>
        <w:tblStyle w:val="NITP"/>
        <w:tblW w:w="4728" w:type="pct"/>
        <w:tblInd w:w="421" w:type="dxa"/>
        <w:tblLook w:val="0020" w:firstRow="1" w:lastRow="0" w:firstColumn="0" w:lastColumn="0" w:noHBand="0" w:noVBand="0"/>
      </w:tblPr>
      <w:tblGrid>
        <w:gridCol w:w="2550"/>
        <w:gridCol w:w="3120"/>
        <w:gridCol w:w="1417"/>
        <w:gridCol w:w="2126"/>
      </w:tblGrid>
      <w:tr w:rsidR="007030A7" w14:paraId="11B37A85" w14:textId="77777777" w:rsidTr="007030A7">
        <w:trPr>
          <w:cnfStyle w:val="100000000000" w:firstRow="1" w:lastRow="0" w:firstColumn="0" w:lastColumn="0" w:oddVBand="0" w:evenVBand="0" w:oddHBand="0" w:evenHBand="0" w:firstRowFirstColumn="0" w:firstRowLastColumn="0" w:lastRowFirstColumn="0" w:lastRowLastColumn="0"/>
        </w:trPr>
        <w:tc>
          <w:tcPr>
            <w:tcW w:w="1384" w:type="pct"/>
          </w:tcPr>
          <w:p w14:paraId="127261F7" w14:textId="77777777" w:rsidR="007030A7" w:rsidRPr="005849DE" w:rsidRDefault="007030A7" w:rsidP="00A95724">
            <w:pPr>
              <w:pStyle w:val="TableText"/>
              <w:rPr>
                <w:b w:val="0"/>
                <w:bCs/>
                <w:vertAlign w:val="superscript"/>
                <w:lang w:val="en-GB"/>
              </w:rPr>
            </w:pPr>
            <w:r w:rsidRPr="005849DE">
              <w:rPr>
                <w:bCs/>
                <w:lang w:val="en-GB"/>
              </w:rPr>
              <w:t>Current (A)</w:t>
            </w:r>
            <w:r>
              <w:rPr>
                <w:bCs/>
                <w:lang w:val="en-GB"/>
              </w:rPr>
              <w:t xml:space="preserve"> for direct-connected meters</w:t>
            </w:r>
            <w:r>
              <w:rPr>
                <w:bCs/>
                <w:vertAlign w:val="superscript"/>
                <w:lang w:val="en-GB"/>
              </w:rPr>
              <w:t>1</w:t>
            </w:r>
          </w:p>
        </w:tc>
        <w:tc>
          <w:tcPr>
            <w:tcW w:w="1693" w:type="pct"/>
          </w:tcPr>
          <w:p w14:paraId="492506A3" w14:textId="77777777" w:rsidR="007030A7" w:rsidRPr="005849DE" w:rsidRDefault="007030A7" w:rsidP="00A95724">
            <w:pPr>
              <w:pStyle w:val="TableText"/>
              <w:rPr>
                <w:b w:val="0"/>
                <w:bCs/>
                <w:lang w:val="en-GB"/>
              </w:rPr>
            </w:pPr>
            <w:r w:rsidRPr="005849DE">
              <w:rPr>
                <w:bCs/>
                <w:lang w:val="en-GB"/>
              </w:rPr>
              <w:t>Current (A)</w:t>
            </w:r>
            <w:r>
              <w:rPr>
                <w:bCs/>
                <w:lang w:val="en-GB"/>
              </w:rPr>
              <w:t xml:space="preserve"> for transformer-operated meters</w:t>
            </w:r>
            <w:r>
              <w:rPr>
                <w:bCs/>
                <w:vertAlign w:val="superscript"/>
                <w:lang w:val="en-GB"/>
              </w:rPr>
              <w:t>2</w:t>
            </w:r>
          </w:p>
        </w:tc>
        <w:tc>
          <w:tcPr>
            <w:tcW w:w="769" w:type="pct"/>
          </w:tcPr>
          <w:p w14:paraId="2C7C871D" w14:textId="77777777" w:rsidR="007030A7" w:rsidRPr="005849DE" w:rsidRDefault="007030A7" w:rsidP="00A95724">
            <w:pPr>
              <w:pStyle w:val="TableText"/>
              <w:rPr>
                <w:b w:val="0"/>
                <w:bCs/>
                <w:lang w:val="en-GB"/>
              </w:rPr>
            </w:pPr>
            <w:r w:rsidRPr="005849DE">
              <w:rPr>
                <w:bCs/>
                <w:lang w:val="en-GB"/>
              </w:rPr>
              <w:t>Power factor</w:t>
            </w:r>
          </w:p>
        </w:tc>
        <w:tc>
          <w:tcPr>
            <w:tcW w:w="1154" w:type="pct"/>
          </w:tcPr>
          <w:p w14:paraId="40582C97" w14:textId="77777777" w:rsidR="007030A7" w:rsidRPr="00CB39E7" w:rsidRDefault="007030A7" w:rsidP="00A95724">
            <w:pPr>
              <w:pStyle w:val="TableText"/>
              <w:rPr>
                <w:b w:val="0"/>
                <w:bCs/>
                <w:vertAlign w:val="superscript"/>
                <w:lang w:val="en-GB"/>
              </w:rPr>
            </w:pPr>
            <w:r>
              <w:rPr>
                <w:bCs/>
                <w:lang w:val="en-GB"/>
              </w:rPr>
              <w:t>Direction of current flow</w:t>
            </w:r>
            <w:r>
              <w:rPr>
                <w:bCs/>
                <w:vertAlign w:val="superscript"/>
                <w:lang w:val="en-GB"/>
              </w:rPr>
              <w:t>3</w:t>
            </w:r>
          </w:p>
        </w:tc>
      </w:tr>
      <w:tr w:rsidR="007030A7" w14:paraId="5706E405" w14:textId="77777777" w:rsidTr="007030A7">
        <w:tc>
          <w:tcPr>
            <w:tcW w:w="1384" w:type="pct"/>
            <w:hideMark/>
          </w:tcPr>
          <w:p w14:paraId="2D6FF5BE" w14:textId="77777777" w:rsidR="007030A7" w:rsidRDefault="007030A7" w:rsidP="00A95724">
            <w:pPr>
              <w:pStyle w:val="TableText"/>
              <w:rPr>
                <w:lang w:val="en-GB"/>
              </w:rPr>
            </w:pPr>
            <w:r>
              <w:rPr>
                <w:lang w:val="en-GB"/>
              </w:rPr>
              <w:t xml:space="preserve">0.1 </w:t>
            </w:r>
            <w:proofErr w:type="spellStart"/>
            <w:r>
              <w:rPr>
                <w:i/>
                <w:lang w:val="en-GB"/>
              </w:rPr>
              <w:t>I</w:t>
            </w:r>
            <w:r>
              <w:rPr>
                <w:vertAlign w:val="subscript"/>
                <w:lang w:val="en-GB"/>
              </w:rPr>
              <w:t>b</w:t>
            </w:r>
            <w:proofErr w:type="spellEnd"/>
          </w:p>
        </w:tc>
        <w:tc>
          <w:tcPr>
            <w:tcW w:w="1693" w:type="pct"/>
          </w:tcPr>
          <w:p w14:paraId="3B33410E" w14:textId="77777777" w:rsidR="007030A7" w:rsidRPr="004931F7" w:rsidRDefault="007030A7" w:rsidP="00A95724">
            <w:pPr>
              <w:pStyle w:val="TableText"/>
              <w:rPr>
                <w:lang w:val="en-GB"/>
              </w:rPr>
            </w:pPr>
            <w:r>
              <w:rPr>
                <w:lang w:val="en-GB"/>
              </w:rPr>
              <w:t xml:space="preserve">0.1 </w:t>
            </w:r>
            <w:r>
              <w:rPr>
                <w:i/>
                <w:lang w:val="en-GB"/>
              </w:rPr>
              <w:t>I</w:t>
            </w:r>
            <w:r>
              <w:rPr>
                <w:vertAlign w:val="subscript"/>
                <w:lang w:val="en-GB"/>
              </w:rPr>
              <w:t>n</w:t>
            </w:r>
          </w:p>
        </w:tc>
        <w:tc>
          <w:tcPr>
            <w:tcW w:w="769" w:type="pct"/>
            <w:hideMark/>
          </w:tcPr>
          <w:p w14:paraId="3853976B" w14:textId="77777777" w:rsidR="007030A7" w:rsidRPr="004931F7" w:rsidRDefault="007030A7" w:rsidP="00A95724">
            <w:pPr>
              <w:pStyle w:val="TableText"/>
              <w:rPr>
                <w:vertAlign w:val="superscript"/>
                <w:lang w:val="en-GB"/>
              </w:rPr>
            </w:pPr>
            <w:r w:rsidRPr="004931F7">
              <w:rPr>
                <w:lang w:val="en-GB"/>
              </w:rPr>
              <w:t>1</w:t>
            </w:r>
          </w:p>
        </w:tc>
        <w:tc>
          <w:tcPr>
            <w:tcW w:w="1154" w:type="pct"/>
          </w:tcPr>
          <w:p w14:paraId="79E4BBD5" w14:textId="77777777" w:rsidR="007030A7" w:rsidRPr="004931F7" w:rsidRDefault="007030A7" w:rsidP="00A95724">
            <w:pPr>
              <w:pStyle w:val="TableText"/>
              <w:rPr>
                <w:lang w:val="en-GB"/>
              </w:rPr>
            </w:pPr>
            <w:r>
              <w:rPr>
                <w:lang w:val="en-GB"/>
              </w:rPr>
              <w:t>Positive only</w:t>
            </w:r>
          </w:p>
        </w:tc>
      </w:tr>
      <w:tr w:rsidR="007030A7" w14:paraId="06786267" w14:textId="77777777" w:rsidTr="007030A7">
        <w:trPr>
          <w:cnfStyle w:val="000000010000" w:firstRow="0" w:lastRow="0" w:firstColumn="0" w:lastColumn="0" w:oddVBand="0" w:evenVBand="0" w:oddHBand="0" w:evenHBand="1" w:firstRowFirstColumn="0" w:firstRowLastColumn="0" w:lastRowFirstColumn="0" w:lastRowLastColumn="0"/>
        </w:trPr>
        <w:tc>
          <w:tcPr>
            <w:tcW w:w="1384" w:type="pct"/>
            <w:hideMark/>
          </w:tcPr>
          <w:p w14:paraId="3E668795" w14:textId="77777777" w:rsidR="007030A7" w:rsidRDefault="007030A7" w:rsidP="00A95724">
            <w:pPr>
              <w:pStyle w:val="TableText"/>
              <w:rPr>
                <w:lang w:val="en-GB"/>
              </w:rPr>
            </w:pPr>
            <w:proofErr w:type="spellStart"/>
            <w:r>
              <w:rPr>
                <w:i/>
                <w:lang w:val="en-GB"/>
              </w:rPr>
              <w:t>I</w:t>
            </w:r>
            <w:r>
              <w:rPr>
                <w:vertAlign w:val="subscript"/>
                <w:lang w:val="en-GB"/>
              </w:rPr>
              <w:t>b</w:t>
            </w:r>
            <w:proofErr w:type="spellEnd"/>
          </w:p>
        </w:tc>
        <w:tc>
          <w:tcPr>
            <w:tcW w:w="1693" w:type="pct"/>
          </w:tcPr>
          <w:p w14:paraId="7E6C2AF4" w14:textId="77777777" w:rsidR="007030A7" w:rsidRPr="000E67C9" w:rsidRDefault="007030A7" w:rsidP="00A95724">
            <w:pPr>
              <w:pStyle w:val="TableText"/>
              <w:rPr>
                <w:lang w:val="en-GB"/>
              </w:rPr>
            </w:pPr>
            <w:r>
              <w:rPr>
                <w:i/>
                <w:lang w:val="en-GB"/>
              </w:rPr>
              <w:t>I</w:t>
            </w:r>
            <w:r>
              <w:rPr>
                <w:vertAlign w:val="subscript"/>
                <w:lang w:val="en-GB"/>
              </w:rPr>
              <w:t>n</w:t>
            </w:r>
          </w:p>
        </w:tc>
        <w:tc>
          <w:tcPr>
            <w:tcW w:w="769" w:type="pct"/>
            <w:hideMark/>
          </w:tcPr>
          <w:p w14:paraId="16B8CBF4" w14:textId="77777777" w:rsidR="007030A7" w:rsidRPr="004931F7" w:rsidRDefault="007030A7" w:rsidP="00A95724">
            <w:pPr>
              <w:pStyle w:val="TableText"/>
              <w:rPr>
                <w:vertAlign w:val="superscript"/>
                <w:lang w:val="en-GB"/>
              </w:rPr>
            </w:pPr>
            <w:r w:rsidRPr="000E67C9">
              <w:rPr>
                <w:lang w:val="en-GB"/>
              </w:rPr>
              <w:t>1</w:t>
            </w:r>
          </w:p>
        </w:tc>
        <w:tc>
          <w:tcPr>
            <w:tcW w:w="1154" w:type="pct"/>
          </w:tcPr>
          <w:p w14:paraId="4A75061D" w14:textId="77777777" w:rsidR="007030A7" w:rsidRPr="000E67C9" w:rsidRDefault="007030A7" w:rsidP="00A95724">
            <w:pPr>
              <w:pStyle w:val="TableText"/>
              <w:rPr>
                <w:lang w:val="en-GB"/>
              </w:rPr>
            </w:pPr>
            <w:r>
              <w:rPr>
                <w:lang w:val="en-GB"/>
              </w:rPr>
              <w:t>Positive and negative</w:t>
            </w:r>
          </w:p>
        </w:tc>
      </w:tr>
      <w:tr w:rsidR="007030A7" w14:paraId="459CBC5B" w14:textId="77777777" w:rsidTr="007030A7">
        <w:tc>
          <w:tcPr>
            <w:tcW w:w="1384" w:type="pct"/>
            <w:hideMark/>
          </w:tcPr>
          <w:p w14:paraId="5363B10E" w14:textId="77777777" w:rsidR="007030A7" w:rsidRDefault="007030A7" w:rsidP="00A95724">
            <w:pPr>
              <w:pStyle w:val="TableText"/>
              <w:rPr>
                <w:lang w:val="en-GB"/>
              </w:rPr>
            </w:pPr>
            <w:proofErr w:type="spellStart"/>
            <w:r>
              <w:rPr>
                <w:i/>
                <w:lang w:val="en-GB"/>
              </w:rPr>
              <w:t>I</w:t>
            </w:r>
            <w:r>
              <w:rPr>
                <w:vertAlign w:val="subscript"/>
                <w:lang w:val="en-GB"/>
              </w:rPr>
              <w:t>b</w:t>
            </w:r>
            <w:proofErr w:type="spellEnd"/>
          </w:p>
        </w:tc>
        <w:tc>
          <w:tcPr>
            <w:tcW w:w="1693" w:type="pct"/>
          </w:tcPr>
          <w:p w14:paraId="328C434C" w14:textId="77777777" w:rsidR="007030A7" w:rsidRPr="000E67C9" w:rsidRDefault="007030A7" w:rsidP="00A95724">
            <w:pPr>
              <w:pStyle w:val="TableText"/>
              <w:rPr>
                <w:lang w:val="en-GB"/>
              </w:rPr>
            </w:pPr>
            <w:r>
              <w:rPr>
                <w:i/>
                <w:lang w:val="en-GB"/>
              </w:rPr>
              <w:t>I</w:t>
            </w:r>
            <w:r>
              <w:rPr>
                <w:vertAlign w:val="subscript"/>
                <w:lang w:val="en-GB"/>
              </w:rPr>
              <w:t>n</w:t>
            </w:r>
          </w:p>
        </w:tc>
        <w:tc>
          <w:tcPr>
            <w:tcW w:w="769" w:type="pct"/>
            <w:hideMark/>
          </w:tcPr>
          <w:p w14:paraId="49FE92F3" w14:textId="77777777" w:rsidR="007030A7" w:rsidRPr="004931F7" w:rsidRDefault="007030A7" w:rsidP="00A95724">
            <w:pPr>
              <w:pStyle w:val="TableText"/>
              <w:rPr>
                <w:vertAlign w:val="superscript"/>
                <w:lang w:val="en-GB"/>
              </w:rPr>
            </w:pPr>
            <w:r w:rsidRPr="000E67C9">
              <w:rPr>
                <w:lang w:val="en-GB"/>
              </w:rPr>
              <w:t>0.5 inductive</w:t>
            </w:r>
          </w:p>
        </w:tc>
        <w:tc>
          <w:tcPr>
            <w:tcW w:w="1154" w:type="pct"/>
          </w:tcPr>
          <w:p w14:paraId="46585409" w14:textId="77777777" w:rsidR="007030A7" w:rsidRPr="000E67C9" w:rsidRDefault="007030A7" w:rsidP="00A95724">
            <w:pPr>
              <w:pStyle w:val="TableText"/>
              <w:rPr>
                <w:lang w:val="en-GB"/>
              </w:rPr>
            </w:pPr>
            <w:r>
              <w:rPr>
                <w:lang w:val="en-GB"/>
              </w:rPr>
              <w:t>Positive and negative</w:t>
            </w:r>
          </w:p>
        </w:tc>
      </w:tr>
    </w:tbl>
    <w:p w14:paraId="28F2B5CB" w14:textId="701DA6F8" w:rsidR="007030A7" w:rsidRDefault="007030A7" w:rsidP="0063574C">
      <w:pPr>
        <w:pStyle w:val="Note"/>
        <w:spacing w:before="120"/>
        <w:ind w:left="1077"/>
      </w:pPr>
      <w:r w:rsidRPr="00CB39E7">
        <w:t>Note</w:t>
      </w:r>
      <w:r>
        <w:t xml:space="preserve"> 1:</w:t>
      </w:r>
      <w:r>
        <w:tab/>
        <w:t xml:space="preserve">For </w:t>
      </w:r>
      <w:r w:rsidR="00D105EC" w:rsidRPr="00D105EC">
        <w:t xml:space="preserve">electricity </w:t>
      </w:r>
      <w:r>
        <w:t xml:space="preserve">meters approved against NMI R 46, </w:t>
      </w:r>
      <w:proofErr w:type="spellStart"/>
      <w:r w:rsidRPr="00CB39E7">
        <w:rPr>
          <w:i/>
          <w:iCs/>
        </w:rPr>
        <w:t>I</w:t>
      </w:r>
      <w:r>
        <w:rPr>
          <w:vertAlign w:val="subscript"/>
        </w:rPr>
        <w:t>b</w:t>
      </w:r>
      <w:proofErr w:type="spellEnd"/>
      <w:r>
        <w:t xml:space="preserve"> is taken to be 10 </w:t>
      </w:r>
      <w:proofErr w:type="spellStart"/>
      <w:r>
        <w:rPr>
          <w:i/>
          <w:iCs/>
        </w:rPr>
        <w:t>I</w:t>
      </w:r>
      <w:r w:rsidRPr="00CB39E7">
        <w:rPr>
          <w:vertAlign w:val="subscript"/>
        </w:rPr>
        <w:t>tr</w:t>
      </w:r>
      <w:proofErr w:type="spellEnd"/>
      <w:r>
        <w:t>.</w:t>
      </w:r>
    </w:p>
    <w:p w14:paraId="0234F235" w14:textId="4AF4A105" w:rsidR="007030A7" w:rsidRDefault="007030A7" w:rsidP="007030A7">
      <w:pPr>
        <w:pStyle w:val="Note"/>
        <w:spacing w:before="60"/>
        <w:ind w:left="1080"/>
      </w:pPr>
      <w:r>
        <w:t>Note 2:</w:t>
      </w:r>
      <w:r>
        <w:tab/>
        <w:t xml:space="preserve">For </w:t>
      </w:r>
      <w:r w:rsidR="00D105EC" w:rsidRPr="00D105EC">
        <w:t xml:space="preserve">electricity </w:t>
      </w:r>
      <w:r>
        <w:t xml:space="preserve">meters approved against NMI R 46, </w:t>
      </w:r>
      <w:r w:rsidRPr="004318DD">
        <w:rPr>
          <w:i/>
          <w:iCs/>
        </w:rPr>
        <w:t>I</w:t>
      </w:r>
      <w:r>
        <w:rPr>
          <w:vertAlign w:val="subscript"/>
        </w:rPr>
        <w:t>n</w:t>
      </w:r>
      <w:r>
        <w:t xml:space="preserve"> is taken to be 20 </w:t>
      </w:r>
      <w:proofErr w:type="spellStart"/>
      <w:r>
        <w:rPr>
          <w:i/>
          <w:iCs/>
        </w:rPr>
        <w:t>I</w:t>
      </w:r>
      <w:r w:rsidRPr="004318DD">
        <w:rPr>
          <w:vertAlign w:val="subscript"/>
        </w:rPr>
        <w:t>tr</w:t>
      </w:r>
      <w:proofErr w:type="spellEnd"/>
      <w:r>
        <w:t>.</w:t>
      </w:r>
    </w:p>
    <w:p w14:paraId="443C9D57" w14:textId="38CAAB5B" w:rsidR="007030A7" w:rsidRDefault="007030A7" w:rsidP="007030A7">
      <w:pPr>
        <w:pStyle w:val="Note"/>
        <w:spacing w:before="60"/>
        <w:ind w:left="1080"/>
      </w:pPr>
      <w:r>
        <w:t>Note 3:</w:t>
      </w:r>
      <w:r>
        <w:tab/>
        <w:t xml:space="preserve">Tests at negative current flow are applicable for meters where the certificate of approval states that the </w:t>
      </w:r>
      <w:r w:rsidR="00D105EC" w:rsidRPr="00D105EC">
        <w:t xml:space="preserve">electricity </w:t>
      </w:r>
      <w:r>
        <w:t xml:space="preserve">meter is capable of measuring energy in both the positive and negative directions. </w:t>
      </w:r>
    </w:p>
    <w:p w14:paraId="1514173F" w14:textId="584A875E" w:rsidR="00C908AC" w:rsidRPr="00EB378E" w:rsidRDefault="00A81638">
      <w:pPr>
        <w:pStyle w:val="ListParagraph"/>
        <w:numPr>
          <w:ilvl w:val="0"/>
          <w:numId w:val="11"/>
        </w:numPr>
        <w:rPr>
          <w:rFonts w:eastAsia="Calibri" w:cs="Times New Roman"/>
        </w:rPr>
      </w:pPr>
      <w:r>
        <w:t xml:space="preserve">Draw a </w:t>
      </w:r>
      <w:r w:rsidR="00C908AC" w:rsidRPr="00E21E72">
        <w:t xml:space="preserve">sample of </w:t>
      </w:r>
      <w:r w:rsidR="00D105EC" w:rsidRPr="00D105EC">
        <w:t xml:space="preserve">electricity </w:t>
      </w:r>
      <w:r w:rsidR="00C908AC" w:rsidRPr="00E21E72">
        <w:t xml:space="preserve">meters at random from </w:t>
      </w:r>
      <w:r>
        <w:t>the</w:t>
      </w:r>
      <w:r w:rsidR="00C908AC">
        <w:t xml:space="preserve"> </w:t>
      </w:r>
      <w:r w:rsidR="00C908AC" w:rsidRPr="00E21E72">
        <w:t>batch in accordance with</w:t>
      </w:r>
      <w:r>
        <w:t xml:space="preserve"> </w:t>
      </w:r>
      <w:r w:rsidR="00440352">
        <w:fldChar w:fldCharType="begin" w:fldLock="1"/>
      </w:r>
      <w:r w:rsidR="00440352">
        <w:instrText xml:space="preserve"> REF _Ref146644565 </w:instrText>
      </w:r>
      <w:r w:rsidR="00440352">
        <w:fldChar w:fldCharType="separate"/>
      </w:r>
      <w:r>
        <w:t xml:space="preserve">Table </w:t>
      </w:r>
      <w:r>
        <w:rPr>
          <w:noProof/>
        </w:rPr>
        <w:t>9</w:t>
      </w:r>
      <w:r w:rsidR="00440352">
        <w:rPr>
          <w:noProof/>
        </w:rPr>
        <w:fldChar w:fldCharType="end"/>
      </w:r>
      <w:r w:rsidR="00C908AC" w:rsidRPr="00E21E72">
        <w:t>.</w:t>
      </w:r>
      <w:r w:rsidR="00C908AC">
        <w:t xml:space="preserve"> </w:t>
      </w:r>
      <w:r w:rsidR="00C908AC" w:rsidRPr="00E21E72">
        <w:t xml:space="preserve">Batch sizes and </w:t>
      </w:r>
      <w:r w:rsidR="00C908AC" w:rsidRPr="00952B04">
        <w:t xml:space="preserve">sample sizes </w:t>
      </w:r>
      <w:r w:rsidR="00C908AC">
        <w:t>must</w:t>
      </w:r>
      <w:r w:rsidR="00C908AC" w:rsidRPr="00952B04">
        <w:t xml:space="preserve"> be determined and documented by the </w:t>
      </w:r>
      <w:r w:rsidR="006C6611">
        <w:t>u</w:t>
      </w:r>
      <w:r w:rsidR="007030A7">
        <w:t xml:space="preserve">tility </w:t>
      </w:r>
      <w:r w:rsidR="006C6611">
        <w:t>m</w:t>
      </w:r>
      <w:r w:rsidR="007030A7">
        <w:t xml:space="preserve">eter </w:t>
      </w:r>
      <w:r w:rsidR="006C6611">
        <w:t>v</w:t>
      </w:r>
      <w:r w:rsidR="007030A7">
        <w:t>erifier</w:t>
      </w:r>
      <w:r w:rsidR="00C908AC" w:rsidRPr="00952B04">
        <w:t>.</w:t>
      </w:r>
    </w:p>
    <w:p w14:paraId="3ECC891B" w14:textId="521C9587" w:rsidR="00C908AC" w:rsidRPr="0048468B" w:rsidRDefault="00C908AC" w:rsidP="00413E41">
      <w:pPr>
        <w:pStyle w:val="Note"/>
        <w:ind w:left="1080"/>
        <w:rPr>
          <w:lang w:val="en-US"/>
        </w:rPr>
      </w:pPr>
      <w:r w:rsidRPr="00CB39E7">
        <w:rPr>
          <w:rFonts w:cstheme="minorHAnsi"/>
          <w:iCs/>
        </w:rPr>
        <w:t>Note</w:t>
      </w:r>
      <w:r>
        <w:rPr>
          <w:rFonts w:cstheme="minorHAnsi"/>
          <w:iCs/>
        </w:rPr>
        <w:t xml:space="preserve"> 1</w:t>
      </w:r>
      <w:r w:rsidRPr="0048468B">
        <w:rPr>
          <w:rFonts w:cstheme="minorHAnsi"/>
        </w:rPr>
        <w:t>:</w:t>
      </w:r>
      <w:r>
        <w:rPr>
          <w:rFonts w:cstheme="minorHAnsi"/>
        </w:rPr>
        <w:tab/>
      </w:r>
      <w:r w:rsidRPr="0048468B">
        <w:rPr>
          <w:lang w:val="en-US"/>
        </w:rPr>
        <w:t xml:space="preserve">The sampling plans specified below are based upon single sampling plans from </w:t>
      </w:r>
      <w:r w:rsidRPr="008F307E">
        <w:rPr>
          <w:i/>
          <w:iCs/>
          <w:lang w:val="en-US"/>
        </w:rPr>
        <w:t>AS 1199.1 Sampling procedures for inspection by attributes</w:t>
      </w:r>
      <w:r>
        <w:rPr>
          <w:lang w:val="en-US"/>
        </w:rPr>
        <w:t>.</w:t>
      </w:r>
      <w:r w:rsidRPr="005B5E6B">
        <w:rPr>
          <w:lang w:val="en-US"/>
        </w:rPr>
        <w:t xml:space="preserve"> </w:t>
      </w:r>
      <w:r w:rsidR="0096413F">
        <w:rPr>
          <w:lang w:val="en-US"/>
        </w:rPr>
        <w:t>U</w:t>
      </w:r>
      <w:r w:rsidR="007030A7">
        <w:rPr>
          <w:lang w:val="en-US"/>
        </w:rPr>
        <w:t xml:space="preserve">tility </w:t>
      </w:r>
      <w:r w:rsidR="006C6611">
        <w:rPr>
          <w:lang w:val="en-US"/>
        </w:rPr>
        <w:t>m</w:t>
      </w:r>
      <w:r w:rsidR="007030A7">
        <w:rPr>
          <w:lang w:val="en-US"/>
        </w:rPr>
        <w:t xml:space="preserve">eter </w:t>
      </w:r>
      <w:r w:rsidR="006C6611">
        <w:rPr>
          <w:lang w:val="en-US"/>
        </w:rPr>
        <w:t>v</w:t>
      </w:r>
      <w:r w:rsidR="007030A7">
        <w:rPr>
          <w:lang w:val="en-US"/>
        </w:rPr>
        <w:t>erifier</w:t>
      </w:r>
      <w:r w:rsidRPr="0048468B">
        <w:rPr>
          <w:lang w:val="en-US"/>
        </w:rPr>
        <w:t xml:space="preserve">s may develop and implement alternative sampling plans, such as those described in </w:t>
      </w:r>
      <w:r w:rsidRPr="008F307E">
        <w:rPr>
          <w:i/>
          <w:iCs/>
          <w:lang w:val="en-US"/>
        </w:rPr>
        <w:t>AS 2490 Sampling procedures and charts for inspection by variable</w:t>
      </w:r>
      <w:r w:rsidR="003A0104">
        <w:rPr>
          <w:i/>
          <w:iCs/>
          <w:lang w:val="en-US"/>
        </w:rPr>
        <w:t>s</w:t>
      </w:r>
      <w:r w:rsidRPr="008F307E">
        <w:rPr>
          <w:i/>
          <w:iCs/>
          <w:lang w:val="en-US"/>
        </w:rPr>
        <w:t xml:space="preserve"> for percent nonconfo</w:t>
      </w:r>
      <w:r w:rsidR="003A0104">
        <w:rPr>
          <w:i/>
          <w:iCs/>
          <w:lang w:val="en-US"/>
        </w:rPr>
        <w:t>r</w:t>
      </w:r>
      <w:r w:rsidRPr="008F307E">
        <w:rPr>
          <w:i/>
          <w:iCs/>
          <w:lang w:val="en-US"/>
        </w:rPr>
        <w:t>ming</w:t>
      </w:r>
      <w:r>
        <w:rPr>
          <w:lang w:val="en-US"/>
        </w:rPr>
        <w:t>.</w:t>
      </w:r>
      <w:r w:rsidRPr="005B5E6B">
        <w:rPr>
          <w:lang w:val="en-US"/>
        </w:rPr>
        <w:t xml:space="preserve"> </w:t>
      </w:r>
      <w:r w:rsidRPr="0048468B">
        <w:rPr>
          <w:lang w:val="en-US"/>
        </w:rPr>
        <w:t xml:space="preserve">All sampling plans </w:t>
      </w:r>
      <w:r>
        <w:rPr>
          <w:lang w:val="en-US"/>
        </w:rPr>
        <w:t>must</w:t>
      </w:r>
      <w:r w:rsidRPr="0048468B">
        <w:rPr>
          <w:lang w:val="en-US"/>
        </w:rPr>
        <w:t xml:space="preserve"> be of reasonable and appropriate design, providing confidence equal to or better than the examples provided and therefore a sound statistical basis for decision making concerning the verification of a batch of utility meters. </w:t>
      </w:r>
    </w:p>
    <w:p w14:paraId="47B493A5" w14:textId="4346C89A" w:rsidR="00C908AC" w:rsidRDefault="00C908AC" w:rsidP="00A81638">
      <w:pPr>
        <w:pStyle w:val="Note"/>
        <w:ind w:left="1080"/>
        <w:rPr>
          <w:lang w:val="en-US"/>
        </w:rPr>
      </w:pPr>
      <w:r>
        <w:rPr>
          <w:lang w:val="en-US"/>
        </w:rPr>
        <w:t>Note 2:</w:t>
      </w:r>
      <w:r>
        <w:rPr>
          <w:lang w:val="en-US"/>
        </w:rPr>
        <w:tab/>
      </w:r>
      <w:r w:rsidRPr="0048468B">
        <w:rPr>
          <w:lang w:val="en-US"/>
        </w:rPr>
        <w:t>The sampling plans do not allow the use of switching rules or skip-lot sampling (as described in AS 1199</w:t>
      </w:r>
      <w:r>
        <w:rPr>
          <w:lang w:val="en-US"/>
        </w:rPr>
        <w:t>.1</w:t>
      </w:r>
      <w:r w:rsidRPr="0048468B">
        <w:rPr>
          <w:lang w:val="en-US"/>
        </w:rPr>
        <w:t xml:space="preserve">). Each batch </w:t>
      </w:r>
      <w:r>
        <w:rPr>
          <w:lang w:val="en-US"/>
        </w:rPr>
        <w:t>must</w:t>
      </w:r>
      <w:r w:rsidRPr="0048468B">
        <w:rPr>
          <w:lang w:val="en-US"/>
        </w:rPr>
        <w:t xml:space="preserve"> be considered in isolation without reference to the performance of previously tested batches. The sample size </w:t>
      </w:r>
      <w:r>
        <w:rPr>
          <w:lang w:val="en-US"/>
        </w:rPr>
        <w:t>must</w:t>
      </w:r>
      <w:r w:rsidRPr="0048468B">
        <w:rPr>
          <w:lang w:val="en-US"/>
        </w:rPr>
        <w:t xml:space="preserve"> be determined and implemented consistently, without adjustment</w:t>
      </w:r>
      <w:r>
        <w:rPr>
          <w:lang w:val="en-US"/>
        </w:rPr>
        <w:t xml:space="preserve">. </w:t>
      </w:r>
    </w:p>
    <w:p w14:paraId="6E58F8E2" w14:textId="77777777" w:rsidR="00CB2C27" w:rsidRDefault="00CB2C27">
      <w:pPr>
        <w:pStyle w:val="ListParagraph"/>
        <w:numPr>
          <w:ilvl w:val="0"/>
          <w:numId w:val="11"/>
        </w:numPr>
        <w:spacing w:before="240"/>
      </w:pPr>
      <w:r>
        <w:t xml:space="preserve">For all </w:t>
      </w:r>
      <w:r w:rsidRPr="001E369A">
        <w:t xml:space="preserve">electricity meters </w:t>
      </w:r>
      <w:r>
        <w:t>in</w:t>
      </w:r>
      <w:r w:rsidRPr="001E369A">
        <w:t xml:space="preserve"> </w:t>
      </w:r>
      <w:r>
        <w:t>the</w:t>
      </w:r>
      <w:r w:rsidRPr="001E369A">
        <w:t xml:space="preserve"> sample</w:t>
      </w:r>
      <w:r>
        <w:t>:</w:t>
      </w:r>
    </w:p>
    <w:p w14:paraId="6650F0E8" w14:textId="77777777" w:rsidR="00CB2C27" w:rsidRDefault="00CB2C27">
      <w:pPr>
        <w:pStyle w:val="ListParagraph"/>
        <w:numPr>
          <w:ilvl w:val="1"/>
          <w:numId w:val="11"/>
        </w:numPr>
      </w:pPr>
      <w:r>
        <w:t xml:space="preserve">Complete an accuracy test (clause 2.1) at the mandatory test points specified in </w:t>
      </w:r>
      <w:r w:rsidR="00440352">
        <w:fldChar w:fldCharType="begin" w:fldLock="1"/>
      </w:r>
      <w:r w:rsidR="00440352">
        <w:instrText xml:space="preserve"> REF _Ref146644796  \* MERGEFORMAT </w:instrText>
      </w:r>
      <w:r w:rsidR="00440352">
        <w:fldChar w:fldCharType="separate"/>
      </w:r>
      <w:r>
        <w:t xml:space="preserve">Table </w:t>
      </w:r>
      <w:r>
        <w:rPr>
          <w:noProof/>
        </w:rPr>
        <w:t>10</w:t>
      </w:r>
      <w:r w:rsidR="00440352">
        <w:rPr>
          <w:noProof/>
        </w:rPr>
        <w:fldChar w:fldCharType="end"/>
      </w:r>
      <w:r>
        <w:t>.</w:t>
      </w:r>
    </w:p>
    <w:p w14:paraId="4A36E965" w14:textId="77777777" w:rsidR="00CB2C27" w:rsidRDefault="00CB2C27">
      <w:pPr>
        <w:pStyle w:val="ListParagraph"/>
        <w:numPr>
          <w:ilvl w:val="1"/>
          <w:numId w:val="11"/>
        </w:numPr>
      </w:pPr>
      <w:r>
        <w:t xml:space="preserve">Complete a </w:t>
      </w:r>
      <w:proofErr w:type="gramStart"/>
      <w:r>
        <w:t>no load</w:t>
      </w:r>
      <w:proofErr w:type="gramEnd"/>
      <w:r>
        <w:t xml:space="preserve"> test (clause 2.2).</w:t>
      </w:r>
    </w:p>
    <w:p w14:paraId="37A49DDC" w14:textId="77777777" w:rsidR="00CB2C27" w:rsidRDefault="00CB2C27">
      <w:pPr>
        <w:pStyle w:val="ListParagraph"/>
        <w:numPr>
          <w:ilvl w:val="1"/>
          <w:numId w:val="11"/>
        </w:numPr>
      </w:pPr>
      <w:r>
        <w:t>Complete a starting test (clause 2.3).</w:t>
      </w:r>
    </w:p>
    <w:p w14:paraId="38308F84" w14:textId="7BA06472" w:rsidR="00097215" w:rsidRDefault="00097215" w:rsidP="00097215">
      <w:pPr>
        <w:pStyle w:val="ListParagraph"/>
        <w:numPr>
          <w:ilvl w:val="0"/>
          <w:numId w:val="11"/>
        </w:numPr>
      </w:pPr>
      <w:r>
        <w:t xml:space="preserve">Determine if the batch of electricity meters passes </w:t>
      </w:r>
      <w:r w:rsidR="003F6048">
        <w:t xml:space="preserve">or </w:t>
      </w:r>
      <w:r>
        <w:t>fails. The batch passes if:</w:t>
      </w:r>
    </w:p>
    <w:p w14:paraId="44C5E777" w14:textId="2DA14338" w:rsidR="00097215" w:rsidRDefault="00097215" w:rsidP="00097215">
      <w:pPr>
        <w:pStyle w:val="ListParagraph"/>
        <w:numPr>
          <w:ilvl w:val="1"/>
          <w:numId w:val="11"/>
        </w:numPr>
      </w:pPr>
      <w:r>
        <w:t xml:space="preserve">every </w:t>
      </w:r>
      <w:r w:rsidR="00D105EC" w:rsidRPr="00D105EC">
        <w:t xml:space="preserve">electricity </w:t>
      </w:r>
      <w:r>
        <w:t xml:space="preserve">meter in the batch passes the accuracy test in step </w:t>
      </w:r>
      <w:proofErr w:type="gramStart"/>
      <w:r>
        <w:t>1</w:t>
      </w:r>
      <w:proofErr w:type="gramEnd"/>
    </w:p>
    <w:p w14:paraId="7B93346E" w14:textId="0EBE0576" w:rsidR="00097215" w:rsidRDefault="00097215" w:rsidP="00FE26AE">
      <w:pPr>
        <w:pStyle w:val="ListParagraph"/>
        <w:numPr>
          <w:ilvl w:val="1"/>
          <w:numId w:val="11"/>
        </w:numPr>
        <w:ind w:left="714" w:hanging="357"/>
      </w:pPr>
      <w:r>
        <w:t xml:space="preserve">the sample of </w:t>
      </w:r>
      <w:r w:rsidR="00D105EC" w:rsidRPr="00D105EC">
        <w:t xml:space="preserve">electricity </w:t>
      </w:r>
      <w:r>
        <w:t xml:space="preserve">meters passes the testing in step 3. </w:t>
      </w:r>
      <w:r>
        <w:rPr>
          <w:rFonts w:eastAsia="Calibri" w:cs="Times New Roman"/>
        </w:rPr>
        <w:t xml:space="preserve">The sample passes </w:t>
      </w:r>
      <w:r>
        <w:t>i</w:t>
      </w:r>
      <w:r w:rsidRPr="00E21E72">
        <w:t xml:space="preserve">f the number of </w:t>
      </w:r>
      <w:r w:rsidR="00D105EC" w:rsidRPr="00D105EC">
        <w:t xml:space="preserve">electricity </w:t>
      </w:r>
      <w:r w:rsidRPr="00E21E72">
        <w:t>meter</w:t>
      </w:r>
      <w:r>
        <w:t xml:space="preserve"> failures</w:t>
      </w:r>
      <w:r w:rsidRPr="00E21E72">
        <w:t xml:space="preserve"> is </w:t>
      </w:r>
      <w:r w:rsidRPr="00EB378E">
        <w:rPr>
          <w:rFonts w:eastAsia="Calibri" w:cs="Times New Roman"/>
        </w:rPr>
        <w:t>equal to or less than the acceptance number</w:t>
      </w:r>
      <w:r>
        <w:rPr>
          <w:rFonts w:eastAsia="Calibri" w:cs="Times New Roman"/>
        </w:rPr>
        <w:t xml:space="preserve"> (see </w:t>
      </w:r>
      <w:r>
        <w:rPr>
          <w:rFonts w:eastAsia="Calibri" w:cs="Times New Roman"/>
        </w:rPr>
        <w:fldChar w:fldCharType="begin" w:fldLock="1"/>
      </w:r>
      <w:r>
        <w:rPr>
          <w:rFonts w:eastAsia="Calibri" w:cs="Times New Roman"/>
        </w:rPr>
        <w:instrText xml:space="preserve"> REF _Ref146645567 </w:instrText>
      </w:r>
      <w:r>
        <w:rPr>
          <w:rFonts w:eastAsia="Calibri" w:cs="Times New Roman"/>
        </w:rPr>
        <w:fldChar w:fldCharType="separate"/>
      </w:r>
      <w:r>
        <w:t xml:space="preserve">Table </w:t>
      </w:r>
      <w:r>
        <w:rPr>
          <w:noProof/>
        </w:rPr>
        <w:t>9</w:t>
      </w:r>
      <w:r>
        <w:rPr>
          <w:rFonts w:eastAsia="Calibri" w:cs="Times New Roman"/>
        </w:rPr>
        <w:fldChar w:fldCharType="end"/>
      </w:r>
      <w:r>
        <w:rPr>
          <w:rFonts w:eastAsia="Calibri" w:cs="Times New Roman"/>
        </w:rPr>
        <w:t>)</w:t>
      </w:r>
      <w:r w:rsidRPr="00EB378E">
        <w:rPr>
          <w:rFonts w:eastAsia="Calibri" w:cs="Times New Roman"/>
        </w:rPr>
        <w:t>.</w:t>
      </w:r>
      <w:r>
        <w:rPr>
          <w:rFonts w:eastAsia="Calibri" w:cs="Times New Roman"/>
        </w:rPr>
        <w:t xml:space="preserve"> The sample of </w:t>
      </w:r>
      <w:r w:rsidR="00D105EC" w:rsidRPr="00D105EC">
        <w:rPr>
          <w:rFonts w:eastAsia="Calibri" w:cs="Times New Roman"/>
        </w:rPr>
        <w:t xml:space="preserve">electricity </w:t>
      </w:r>
      <w:r>
        <w:rPr>
          <w:rFonts w:eastAsia="Calibri" w:cs="Times New Roman"/>
        </w:rPr>
        <w:t>meters fails i</w:t>
      </w:r>
      <w:r w:rsidRPr="00EB378E">
        <w:rPr>
          <w:rFonts w:eastAsia="Calibri" w:cs="Times New Roman"/>
        </w:rPr>
        <w:t xml:space="preserve">f the </w:t>
      </w:r>
      <w:r w:rsidRPr="00EE2F1C">
        <w:rPr>
          <w:rFonts w:eastAsia="Calibri" w:cs="Times New Roman"/>
        </w:rPr>
        <w:t xml:space="preserve">number of </w:t>
      </w:r>
      <w:r w:rsidR="00D105EC" w:rsidRPr="00D105EC">
        <w:rPr>
          <w:rFonts w:eastAsia="Calibri" w:cs="Times New Roman"/>
        </w:rPr>
        <w:t xml:space="preserve">electricity </w:t>
      </w:r>
      <w:r w:rsidRPr="00EE2F1C">
        <w:rPr>
          <w:rFonts w:eastAsia="Calibri" w:cs="Times New Roman"/>
        </w:rPr>
        <w:t xml:space="preserve">meter </w:t>
      </w:r>
      <w:r>
        <w:rPr>
          <w:rFonts w:eastAsia="Calibri" w:cs="Times New Roman"/>
        </w:rPr>
        <w:t xml:space="preserve">failures </w:t>
      </w:r>
      <w:r w:rsidRPr="00EE2F1C">
        <w:rPr>
          <w:rFonts w:eastAsia="Calibri" w:cs="Times New Roman"/>
        </w:rPr>
        <w:t>is equal to or higher than the rejection number</w:t>
      </w:r>
      <w:r>
        <w:rPr>
          <w:rFonts w:eastAsia="Calibri" w:cs="Times New Roman"/>
        </w:rPr>
        <w:t xml:space="preserve"> (see </w:t>
      </w:r>
      <w:r>
        <w:rPr>
          <w:rFonts w:eastAsia="Calibri" w:cs="Times New Roman"/>
        </w:rPr>
        <w:fldChar w:fldCharType="begin" w:fldLock="1"/>
      </w:r>
      <w:r>
        <w:rPr>
          <w:rFonts w:eastAsia="Calibri" w:cs="Times New Roman"/>
        </w:rPr>
        <w:instrText xml:space="preserve"> REF _Ref146645567 </w:instrText>
      </w:r>
      <w:r>
        <w:rPr>
          <w:rFonts w:eastAsia="Calibri" w:cs="Times New Roman"/>
        </w:rPr>
        <w:fldChar w:fldCharType="separate"/>
      </w:r>
      <w:r>
        <w:t xml:space="preserve">Table </w:t>
      </w:r>
      <w:r>
        <w:rPr>
          <w:noProof/>
        </w:rPr>
        <w:t>9</w:t>
      </w:r>
      <w:r>
        <w:rPr>
          <w:rFonts w:eastAsia="Calibri" w:cs="Times New Roman"/>
        </w:rPr>
        <w:fldChar w:fldCharType="end"/>
      </w:r>
      <w:r>
        <w:rPr>
          <w:rFonts w:eastAsia="Calibri" w:cs="Times New Roman"/>
        </w:rPr>
        <w:t>)</w:t>
      </w:r>
      <w:r>
        <w:t>.</w:t>
      </w:r>
    </w:p>
    <w:p w14:paraId="1DC65292" w14:textId="2D5184DB" w:rsidR="00F728AD" w:rsidRDefault="00F728AD" w:rsidP="00097215">
      <w:pPr>
        <w:pStyle w:val="Note"/>
        <w:ind w:left="1440"/>
      </w:pPr>
      <w:r>
        <w:t>Note:</w:t>
      </w:r>
      <w:r>
        <w:tab/>
        <w:t xml:space="preserve">An individual </w:t>
      </w:r>
      <w:r w:rsidR="00D105EC" w:rsidRPr="00D105EC">
        <w:t xml:space="preserve">electricity </w:t>
      </w:r>
      <w:r>
        <w:t>meter in the sample fail</w:t>
      </w:r>
      <w:r w:rsidR="00097215">
        <w:t>s</w:t>
      </w:r>
      <w:r>
        <w:t xml:space="preserve"> if it fails </w:t>
      </w:r>
      <w:r w:rsidR="00097215">
        <w:t xml:space="preserve">any </w:t>
      </w:r>
      <w:r>
        <w:t xml:space="preserve">one or more of the tests in step </w:t>
      </w:r>
      <w:r w:rsidR="00097215">
        <w:t>3</w:t>
      </w:r>
      <w:r>
        <w:t>.</w:t>
      </w:r>
    </w:p>
    <w:p w14:paraId="35A7E14A" w14:textId="3E736C09" w:rsidR="00F728AD" w:rsidRDefault="00CB2C27" w:rsidP="00F728AD">
      <w:r>
        <w:t xml:space="preserve">If a batch of electricity </w:t>
      </w:r>
      <w:r w:rsidRPr="009A7D5B">
        <w:t>meter</w:t>
      </w:r>
      <w:r>
        <w:t xml:space="preserve">s </w:t>
      </w:r>
      <w:r w:rsidR="00F728AD">
        <w:t>fails</w:t>
      </w:r>
      <w:r>
        <w:t>, the batch must be rejected and cannot be verified.</w:t>
      </w:r>
    </w:p>
    <w:p w14:paraId="685C8EBC" w14:textId="3F80A371" w:rsidR="00595081" w:rsidRDefault="00595081" w:rsidP="00F728AD">
      <w:r>
        <w:t xml:space="preserve">If the batch of </w:t>
      </w:r>
      <w:r w:rsidR="00C31100" w:rsidRPr="00C31100">
        <w:t xml:space="preserve">electricity </w:t>
      </w:r>
      <w:r>
        <w:t xml:space="preserve">meters passes, all </w:t>
      </w:r>
      <w:r w:rsidR="00C31100" w:rsidRPr="00C31100">
        <w:t xml:space="preserve">electricity </w:t>
      </w:r>
      <w:r>
        <w:t xml:space="preserve">meters in the batch, except </w:t>
      </w:r>
      <w:r w:rsidR="008B0ACF">
        <w:t xml:space="preserve">for </w:t>
      </w:r>
      <w:r>
        <w:t xml:space="preserve">any individual </w:t>
      </w:r>
      <w:r w:rsidR="00C31100" w:rsidRPr="00C31100">
        <w:t xml:space="preserve">electricity </w:t>
      </w:r>
      <w:r>
        <w:t>meters that failed</w:t>
      </w:r>
      <w:r w:rsidR="008B0ACF">
        <w:t xml:space="preserve">, can be verified. Any individual </w:t>
      </w:r>
      <w:r w:rsidR="00C31100" w:rsidRPr="00C31100">
        <w:t xml:space="preserve">electricity </w:t>
      </w:r>
      <w:r w:rsidR="008B0ACF">
        <w:t>meters in the sample that fail must not be verified.</w:t>
      </w:r>
    </w:p>
    <w:p w14:paraId="50818E9A" w14:textId="24336EAA" w:rsidR="00595081" w:rsidRDefault="008B0ACF" w:rsidP="00A61DDE">
      <w:r>
        <w:t xml:space="preserve">In this procedure (clause 3.3) verified </w:t>
      </w:r>
      <w:r w:rsidR="00C31100" w:rsidRPr="00C31100">
        <w:t xml:space="preserve">electricity </w:t>
      </w:r>
      <w:r>
        <w:t>meters must be marked with a verification mark.</w:t>
      </w:r>
    </w:p>
    <w:p w14:paraId="22568404" w14:textId="2DACD44C" w:rsidR="00CB2C27" w:rsidRDefault="00F728AD" w:rsidP="00F728AD">
      <w:pPr>
        <w:pStyle w:val="Note"/>
        <w:rPr>
          <w:lang w:val="en-GB"/>
        </w:rPr>
      </w:pPr>
      <w:r>
        <w:t>Note:</w:t>
      </w:r>
      <w:r>
        <w:tab/>
      </w:r>
      <w:r w:rsidR="00C31100">
        <w:t>E</w:t>
      </w:r>
      <w:r w:rsidR="00C31100" w:rsidRPr="00C31100">
        <w:t xml:space="preserve">lectricity </w:t>
      </w:r>
      <w:r w:rsidR="00C31100">
        <w:t>m</w:t>
      </w:r>
      <w:r>
        <w:t xml:space="preserve">eters </w:t>
      </w:r>
      <w:r w:rsidR="00CB2C27">
        <w:t>from a failed batch</w:t>
      </w:r>
      <w:r>
        <w:t xml:space="preserve"> may be </w:t>
      </w:r>
      <w:r w:rsidR="007030A7">
        <w:t>individual</w:t>
      </w:r>
      <w:r w:rsidR="0096413F">
        <w:t>ly</w:t>
      </w:r>
      <w:r w:rsidR="007030A7">
        <w:t xml:space="preserve"> </w:t>
      </w:r>
      <w:r w:rsidR="00C31100">
        <w:t xml:space="preserve">tested </w:t>
      </w:r>
      <w:r w:rsidR="007030A7">
        <w:t xml:space="preserve">for verification </w:t>
      </w:r>
      <w:r w:rsidR="00CB2C27">
        <w:t xml:space="preserve">in accordance </w:t>
      </w:r>
      <w:r w:rsidR="00CB2C27" w:rsidRPr="00F17341">
        <w:t xml:space="preserve">with clause </w:t>
      </w:r>
      <w:r>
        <w:t>3.2</w:t>
      </w:r>
      <w:r w:rsidR="00413E41">
        <w:t>.</w:t>
      </w:r>
    </w:p>
    <w:p w14:paraId="7590FBAD" w14:textId="1E9C99C1" w:rsidR="00C908AC" w:rsidRDefault="00C908AC" w:rsidP="00C908AC">
      <w:pPr>
        <w:pStyle w:val="Caption"/>
        <w:keepNext/>
      </w:pPr>
      <w:bookmarkStart w:id="571" w:name="_Ref146645567"/>
      <w:r>
        <w:lastRenderedPageBreak/>
        <w:t xml:space="preserve">Table </w:t>
      </w:r>
      <w:r w:rsidR="00440352">
        <w:fldChar w:fldCharType="begin"/>
      </w:r>
      <w:r w:rsidR="00440352">
        <w:instrText xml:space="preserve"> SEQ Table \* ARABIC </w:instrText>
      </w:r>
      <w:r w:rsidR="00440352">
        <w:fldChar w:fldCharType="separate"/>
      </w:r>
      <w:r w:rsidR="003F6048">
        <w:rPr>
          <w:noProof/>
        </w:rPr>
        <w:t>9</w:t>
      </w:r>
      <w:r w:rsidR="00440352">
        <w:rPr>
          <w:noProof/>
        </w:rPr>
        <w:fldChar w:fldCharType="end"/>
      </w:r>
      <w:bookmarkEnd w:id="571"/>
      <w:r>
        <w:t xml:space="preserve">. </w:t>
      </w:r>
      <w:r w:rsidRPr="00FB15F9">
        <w:t xml:space="preserve">Sampling </w:t>
      </w:r>
      <w:r w:rsidR="00A81638">
        <w:t>p</w:t>
      </w:r>
      <w:r w:rsidRPr="00FB15F9">
        <w:t xml:space="preserve">lans </w:t>
      </w:r>
      <w:r w:rsidR="00A81638">
        <w:t>–</w:t>
      </w:r>
      <w:r w:rsidRPr="00FB15F9">
        <w:t xml:space="preserve"> </w:t>
      </w:r>
      <w:r w:rsidR="009748F3">
        <w:t>s</w:t>
      </w:r>
      <w:r w:rsidRPr="00FB15F9">
        <w:t>ample sizes and acceptance criteria (inspection level I)</w:t>
      </w:r>
    </w:p>
    <w:tbl>
      <w:tblPr>
        <w:tblStyle w:val="NITP"/>
        <w:tblW w:w="4000" w:type="pct"/>
        <w:jc w:val="center"/>
        <w:tblLook w:val="0020" w:firstRow="1" w:lastRow="0" w:firstColumn="0" w:lastColumn="0" w:noHBand="0" w:noVBand="0"/>
      </w:tblPr>
      <w:tblGrid>
        <w:gridCol w:w="2716"/>
        <w:gridCol w:w="2252"/>
        <w:gridCol w:w="1582"/>
        <w:gridCol w:w="1244"/>
      </w:tblGrid>
      <w:tr w:rsidR="00C908AC" w:rsidRPr="00FB15F9" w14:paraId="19AE7031" w14:textId="77777777" w:rsidTr="0003179F">
        <w:trPr>
          <w:cnfStyle w:val="100000000000" w:firstRow="1" w:lastRow="0" w:firstColumn="0" w:lastColumn="0" w:oddVBand="0" w:evenVBand="0" w:oddHBand="0" w:evenHBand="0" w:firstRowFirstColumn="0" w:firstRowLastColumn="0" w:lastRowFirstColumn="0" w:lastRowLastColumn="0"/>
          <w:jc w:val="center"/>
        </w:trPr>
        <w:tc>
          <w:tcPr>
            <w:tcW w:w="1742" w:type="pct"/>
            <w:vMerge w:val="restart"/>
          </w:tcPr>
          <w:p w14:paraId="56141AC6" w14:textId="77777777" w:rsidR="00C908AC" w:rsidRPr="00CB39E7" w:rsidRDefault="00C908AC" w:rsidP="00CB39E7">
            <w:pPr>
              <w:pStyle w:val="TableText"/>
              <w:rPr>
                <w:b w:val="0"/>
                <w:bCs/>
                <w:color w:val="FFFFFF" w:themeColor="background1"/>
              </w:rPr>
            </w:pPr>
            <w:r w:rsidRPr="00CB39E7">
              <w:rPr>
                <w:bCs/>
                <w:color w:val="FFFFFF" w:themeColor="background1"/>
                <w:lang w:eastAsia="en-AU"/>
              </w:rPr>
              <w:t>Size of batch</w:t>
            </w:r>
          </w:p>
        </w:tc>
        <w:tc>
          <w:tcPr>
            <w:tcW w:w="1444" w:type="pct"/>
            <w:vMerge w:val="restart"/>
          </w:tcPr>
          <w:p w14:paraId="5C5412BE" w14:textId="77777777" w:rsidR="00C908AC" w:rsidRPr="00CB39E7" w:rsidRDefault="00C908AC" w:rsidP="00CB39E7">
            <w:pPr>
              <w:pStyle w:val="TableText"/>
              <w:rPr>
                <w:b w:val="0"/>
                <w:bCs/>
                <w:color w:val="FFFFFF" w:themeColor="background1"/>
              </w:rPr>
            </w:pPr>
            <w:r w:rsidRPr="00CB39E7">
              <w:rPr>
                <w:bCs/>
                <w:color w:val="FFFFFF" w:themeColor="background1"/>
              </w:rPr>
              <w:t>Sample size</w:t>
            </w:r>
          </w:p>
        </w:tc>
        <w:tc>
          <w:tcPr>
            <w:tcW w:w="1813" w:type="pct"/>
            <w:gridSpan w:val="2"/>
          </w:tcPr>
          <w:p w14:paraId="205FE3AF" w14:textId="77777777" w:rsidR="00C908AC" w:rsidRPr="00CB39E7" w:rsidRDefault="00C908AC" w:rsidP="00CB39E7">
            <w:pPr>
              <w:pStyle w:val="TableText"/>
              <w:rPr>
                <w:b w:val="0"/>
                <w:bCs/>
                <w:color w:val="FFFFFF" w:themeColor="background1"/>
              </w:rPr>
            </w:pPr>
            <w:r w:rsidRPr="00CB39E7">
              <w:rPr>
                <w:bCs/>
                <w:color w:val="FFFFFF" w:themeColor="background1"/>
              </w:rPr>
              <w:t>Acceptance level</w:t>
            </w:r>
          </w:p>
        </w:tc>
      </w:tr>
      <w:tr w:rsidR="00C908AC" w:rsidRPr="00FB15F9" w14:paraId="33DD823D" w14:textId="77777777" w:rsidTr="0003179F">
        <w:trPr>
          <w:jc w:val="center"/>
        </w:trPr>
        <w:tc>
          <w:tcPr>
            <w:tcW w:w="1742" w:type="pct"/>
            <w:vMerge/>
          </w:tcPr>
          <w:p w14:paraId="5412C371" w14:textId="77777777" w:rsidR="00C908AC" w:rsidRPr="00CB39E7" w:rsidRDefault="00C908AC" w:rsidP="00CB39E7">
            <w:pPr>
              <w:pStyle w:val="TableText"/>
              <w:rPr>
                <w:b/>
                <w:bCs/>
                <w:color w:val="FFFFFF" w:themeColor="background1"/>
                <w:lang w:eastAsia="en-AU"/>
              </w:rPr>
            </w:pPr>
          </w:p>
        </w:tc>
        <w:tc>
          <w:tcPr>
            <w:tcW w:w="1444" w:type="pct"/>
            <w:vMerge/>
          </w:tcPr>
          <w:p w14:paraId="6EE0B65E" w14:textId="77777777" w:rsidR="00C908AC" w:rsidRPr="00CB39E7" w:rsidRDefault="00C908AC" w:rsidP="00CB39E7">
            <w:pPr>
              <w:pStyle w:val="TableText"/>
              <w:rPr>
                <w:b/>
                <w:bCs/>
                <w:color w:val="FFFFFF" w:themeColor="background1"/>
              </w:rPr>
            </w:pPr>
          </w:p>
        </w:tc>
        <w:tc>
          <w:tcPr>
            <w:tcW w:w="1813" w:type="pct"/>
            <w:gridSpan w:val="2"/>
            <w:shd w:val="clear" w:color="auto" w:fill="A50021"/>
          </w:tcPr>
          <w:p w14:paraId="3DC118B4" w14:textId="77777777" w:rsidR="00C908AC" w:rsidRPr="00CB39E7" w:rsidRDefault="00C908AC" w:rsidP="00CB39E7">
            <w:pPr>
              <w:pStyle w:val="TableText"/>
              <w:rPr>
                <w:b/>
                <w:bCs/>
                <w:color w:val="FFFFFF" w:themeColor="background1"/>
              </w:rPr>
            </w:pPr>
            <w:r w:rsidRPr="00CB39E7">
              <w:rPr>
                <w:b/>
                <w:bCs/>
                <w:color w:val="FFFFFF" w:themeColor="background1"/>
              </w:rPr>
              <w:t>Special</w:t>
            </w:r>
          </w:p>
        </w:tc>
      </w:tr>
      <w:tr w:rsidR="00C908AC" w:rsidRPr="00FB15F9" w14:paraId="40DFD1DA"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742" w:type="pct"/>
            <w:vMerge/>
          </w:tcPr>
          <w:p w14:paraId="53DA37A0" w14:textId="77777777" w:rsidR="00C908AC" w:rsidRPr="00CB39E7" w:rsidRDefault="00C908AC" w:rsidP="00CB39E7">
            <w:pPr>
              <w:pStyle w:val="TableText"/>
              <w:rPr>
                <w:b/>
                <w:bCs/>
                <w:color w:val="FFFFFF" w:themeColor="background1"/>
                <w:lang w:eastAsia="en-AU"/>
              </w:rPr>
            </w:pPr>
          </w:p>
        </w:tc>
        <w:tc>
          <w:tcPr>
            <w:tcW w:w="1444" w:type="pct"/>
            <w:vMerge/>
          </w:tcPr>
          <w:p w14:paraId="7594CA51" w14:textId="77777777" w:rsidR="00C908AC" w:rsidRPr="00CB39E7" w:rsidRDefault="00C908AC" w:rsidP="00CB39E7">
            <w:pPr>
              <w:pStyle w:val="TableText"/>
              <w:rPr>
                <w:b/>
                <w:bCs/>
                <w:color w:val="FFFFFF" w:themeColor="background1"/>
              </w:rPr>
            </w:pPr>
          </w:p>
        </w:tc>
        <w:tc>
          <w:tcPr>
            <w:tcW w:w="1015" w:type="pct"/>
            <w:shd w:val="clear" w:color="auto" w:fill="A50021"/>
          </w:tcPr>
          <w:p w14:paraId="6822736B" w14:textId="77777777" w:rsidR="00C908AC" w:rsidRPr="00CB39E7" w:rsidRDefault="00C908AC" w:rsidP="00CB39E7">
            <w:pPr>
              <w:pStyle w:val="TableText"/>
              <w:rPr>
                <w:b/>
                <w:bCs/>
                <w:color w:val="FFFFFF" w:themeColor="background1"/>
              </w:rPr>
            </w:pPr>
            <w:r w:rsidRPr="00CB39E7">
              <w:rPr>
                <w:b/>
                <w:bCs/>
                <w:color w:val="FFFFFF" w:themeColor="background1"/>
              </w:rPr>
              <w:t>Accept</w:t>
            </w:r>
          </w:p>
        </w:tc>
        <w:tc>
          <w:tcPr>
            <w:tcW w:w="798" w:type="pct"/>
            <w:shd w:val="clear" w:color="auto" w:fill="A50021"/>
          </w:tcPr>
          <w:p w14:paraId="0CB2C297" w14:textId="77777777" w:rsidR="00C908AC" w:rsidRPr="00CB39E7" w:rsidRDefault="00C908AC" w:rsidP="00CB39E7">
            <w:pPr>
              <w:pStyle w:val="TableText"/>
              <w:rPr>
                <w:b/>
                <w:bCs/>
                <w:color w:val="FFFFFF" w:themeColor="background1"/>
              </w:rPr>
            </w:pPr>
            <w:r w:rsidRPr="00CB39E7">
              <w:rPr>
                <w:b/>
                <w:bCs/>
                <w:color w:val="FFFFFF" w:themeColor="background1"/>
              </w:rPr>
              <w:t>Reject</w:t>
            </w:r>
          </w:p>
        </w:tc>
      </w:tr>
      <w:tr w:rsidR="00C908AC" w:rsidRPr="003E35C7" w14:paraId="65A0AE4C" w14:textId="77777777" w:rsidTr="0003179F">
        <w:trPr>
          <w:jc w:val="center"/>
        </w:trPr>
        <w:tc>
          <w:tcPr>
            <w:tcW w:w="1742" w:type="pct"/>
          </w:tcPr>
          <w:p w14:paraId="65827E78" w14:textId="77777777" w:rsidR="00C908AC" w:rsidRPr="00613B58" w:rsidRDefault="00C908AC" w:rsidP="00CB39E7">
            <w:pPr>
              <w:pStyle w:val="TableText"/>
              <w:rPr>
                <w:lang w:eastAsia="en-AU"/>
              </w:rPr>
            </w:pPr>
            <w:r w:rsidRPr="00613B58">
              <w:rPr>
                <w:lang w:eastAsia="en-AU"/>
              </w:rPr>
              <w:t>2 to 8</w:t>
            </w:r>
          </w:p>
        </w:tc>
        <w:tc>
          <w:tcPr>
            <w:tcW w:w="1444" w:type="pct"/>
          </w:tcPr>
          <w:p w14:paraId="5A3ABF79" w14:textId="77777777" w:rsidR="00C908AC" w:rsidRPr="00613B58" w:rsidRDefault="00C908AC" w:rsidP="00CB39E7">
            <w:pPr>
              <w:pStyle w:val="TableText"/>
              <w:rPr>
                <w:lang w:eastAsia="en-AU"/>
              </w:rPr>
            </w:pPr>
            <w:r w:rsidRPr="00613B58">
              <w:t>2</w:t>
            </w:r>
          </w:p>
        </w:tc>
        <w:tc>
          <w:tcPr>
            <w:tcW w:w="1015" w:type="pct"/>
          </w:tcPr>
          <w:p w14:paraId="1AD064CB" w14:textId="77777777" w:rsidR="00C908AC" w:rsidRPr="00613B58" w:rsidRDefault="00C908AC" w:rsidP="00CB39E7">
            <w:pPr>
              <w:pStyle w:val="TableText"/>
            </w:pPr>
            <w:r w:rsidRPr="00613B58">
              <w:t>0</w:t>
            </w:r>
          </w:p>
        </w:tc>
        <w:tc>
          <w:tcPr>
            <w:tcW w:w="798" w:type="pct"/>
          </w:tcPr>
          <w:p w14:paraId="47B77F6F" w14:textId="77777777" w:rsidR="00C908AC" w:rsidRPr="00613B58" w:rsidRDefault="00C908AC" w:rsidP="00CB39E7">
            <w:pPr>
              <w:pStyle w:val="TableText"/>
            </w:pPr>
            <w:r w:rsidRPr="00613B58">
              <w:t>1</w:t>
            </w:r>
          </w:p>
        </w:tc>
      </w:tr>
      <w:tr w:rsidR="00C908AC" w:rsidRPr="003E35C7" w14:paraId="612EF1FD"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742" w:type="pct"/>
          </w:tcPr>
          <w:p w14:paraId="604B85CE" w14:textId="77777777" w:rsidR="00C908AC" w:rsidRPr="00613B58" w:rsidRDefault="00C908AC" w:rsidP="00CB39E7">
            <w:pPr>
              <w:pStyle w:val="TableText"/>
              <w:rPr>
                <w:lang w:eastAsia="en-AU"/>
              </w:rPr>
            </w:pPr>
            <w:r w:rsidRPr="00613B58">
              <w:rPr>
                <w:lang w:eastAsia="en-AU"/>
              </w:rPr>
              <w:t>9 to 15</w:t>
            </w:r>
          </w:p>
        </w:tc>
        <w:tc>
          <w:tcPr>
            <w:tcW w:w="1444" w:type="pct"/>
          </w:tcPr>
          <w:p w14:paraId="4C5914C4" w14:textId="77777777" w:rsidR="00C908AC" w:rsidRPr="00613B58" w:rsidRDefault="00C908AC" w:rsidP="00CB39E7">
            <w:pPr>
              <w:pStyle w:val="TableText"/>
              <w:rPr>
                <w:lang w:eastAsia="en-AU"/>
              </w:rPr>
            </w:pPr>
            <w:r w:rsidRPr="00613B58">
              <w:t>2</w:t>
            </w:r>
          </w:p>
        </w:tc>
        <w:tc>
          <w:tcPr>
            <w:tcW w:w="1015" w:type="pct"/>
          </w:tcPr>
          <w:p w14:paraId="107E7062" w14:textId="77777777" w:rsidR="00C908AC" w:rsidRPr="00613B58" w:rsidRDefault="00C908AC" w:rsidP="00CB39E7">
            <w:pPr>
              <w:pStyle w:val="TableText"/>
            </w:pPr>
            <w:r w:rsidRPr="00613B58">
              <w:t>0</w:t>
            </w:r>
          </w:p>
        </w:tc>
        <w:tc>
          <w:tcPr>
            <w:tcW w:w="798" w:type="pct"/>
          </w:tcPr>
          <w:p w14:paraId="5DAA1686" w14:textId="77777777" w:rsidR="00C908AC" w:rsidRPr="00613B58" w:rsidRDefault="00C908AC" w:rsidP="00CB39E7">
            <w:pPr>
              <w:pStyle w:val="TableText"/>
            </w:pPr>
            <w:r w:rsidRPr="00613B58">
              <w:t>1</w:t>
            </w:r>
          </w:p>
        </w:tc>
      </w:tr>
      <w:tr w:rsidR="00C908AC" w:rsidRPr="003E35C7" w14:paraId="780DAC4E" w14:textId="77777777" w:rsidTr="0003179F">
        <w:trPr>
          <w:jc w:val="center"/>
        </w:trPr>
        <w:tc>
          <w:tcPr>
            <w:tcW w:w="1742" w:type="pct"/>
          </w:tcPr>
          <w:p w14:paraId="6106528C" w14:textId="77777777" w:rsidR="00C908AC" w:rsidRPr="00613B58" w:rsidRDefault="00C908AC" w:rsidP="00CB39E7">
            <w:pPr>
              <w:pStyle w:val="TableText"/>
              <w:rPr>
                <w:lang w:eastAsia="en-AU"/>
              </w:rPr>
            </w:pPr>
            <w:r w:rsidRPr="00613B58">
              <w:rPr>
                <w:lang w:eastAsia="en-AU"/>
              </w:rPr>
              <w:t>16 to 25</w:t>
            </w:r>
          </w:p>
        </w:tc>
        <w:tc>
          <w:tcPr>
            <w:tcW w:w="1444" w:type="pct"/>
          </w:tcPr>
          <w:p w14:paraId="4A99A451" w14:textId="77777777" w:rsidR="00C908AC" w:rsidRPr="00613B58" w:rsidRDefault="00C908AC" w:rsidP="00CB39E7">
            <w:pPr>
              <w:pStyle w:val="TableText"/>
              <w:rPr>
                <w:lang w:eastAsia="en-AU"/>
              </w:rPr>
            </w:pPr>
            <w:r w:rsidRPr="00613B58">
              <w:t>3</w:t>
            </w:r>
          </w:p>
        </w:tc>
        <w:tc>
          <w:tcPr>
            <w:tcW w:w="1015" w:type="pct"/>
          </w:tcPr>
          <w:p w14:paraId="0341A101" w14:textId="77777777" w:rsidR="00C908AC" w:rsidRPr="00613B58" w:rsidRDefault="00C908AC" w:rsidP="00CB39E7">
            <w:pPr>
              <w:pStyle w:val="TableText"/>
            </w:pPr>
            <w:r w:rsidRPr="00613B58">
              <w:t>0</w:t>
            </w:r>
          </w:p>
        </w:tc>
        <w:tc>
          <w:tcPr>
            <w:tcW w:w="798" w:type="pct"/>
          </w:tcPr>
          <w:p w14:paraId="07CA5438" w14:textId="77777777" w:rsidR="00C908AC" w:rsidRPr="00613B58" w:rsidRDefault="00C908AC" w:rsidP="00CB39E7">
            <w:pPr>
              <w:pStyle w:val="TableText"/>
            </w:pPr>
            <w:r w:rsidRPr="00613B58">
              <w:t>1</w:t>
            </w:r>
          </w:p>
        </w:tc>
      </w:tr>
      <w:tr w:rsidR="00C908AC" w:rsidRPr="003E35C7" w14:paraId="171ECB53"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742" w:type="pct"/>
          </w:tcPr>
          <w:p w14:paraId="3F981381" w14:textId="77777777" w:rsidR="00C908AC" w:rsidRPr="00613B58" w:rsidRDefault="00C908AC" w:rsidP="00CB39E7">
            <w:pPr>
              <w:pStyle w:val="TableText"/>
              <w:rPr>
                <w:lang w:eastAsia="en-AU"/>
              </w:rPr>
            </w:pPr>
            <w:r w:rsidRPr="00613B58">
              <w:rPr>
                <w:lang w:eastAsia="en-AU"/>
              </w:rPr>
              <w:t>26 to 50</w:t>
            </w:r>
          </w:p>
        </w:tc>
        <w:tc>
          <w:tcPr>
            <w:tcW w:w="1444" w:type="pct"/>
          </w:tcPr>
          <w:p w14:paraId="48310B10" w14:textId="77777777" w:rsidR="00C908AC" w:rsidRPr="00613B58" w:rsidRDefault="00C908AC" w:rsidP="00CB39E7">
            <w:pPr>
              <w:pStyle w:val="TableText"/>
              <w:rPr>
                <w:lang w:eastAsia="en-AU"/>
              </w:rPr>
            </w:pPr>
            <w:r w:rsidRPr="00613B58">
              <w:t>5</w:t>
            </w:r>
          </w:p>
        </w:tc>
        <w:tc>
          <w:tcPr>
            <w:tcW w:w="1015" w:type="pct"/>
          </w:tcPr>
          <w:p w14:paraId="1C823E6E" w14:textId="77777777" w:rsidR="00C908AC" w:rsidRPr="00613B58" w:rsidRDefault="00C908AC" w:rsidP="00CB39E7">
            <w:pPr>
              <w:pStyle w:val="TableText"/>
            </w:pPr>
            <w:r w:rsidRPr="00613B58">
              <w:t>0</w:t>
            </w:r>
          </w:p>
        </w:tc>
        <w:tc>
          <w:tcPr>
            <w:tcW w:w="798" w:type="pct"/>
          </w:tcPr>
          <w:p w14:paraId="4BA1BEBA" w14:textId="77777777" w:rsidR="00C908AC" w:rsidRPr="00613B58" w:rsidRDefault="00C908AC" w:rsidP="00CB39E7">
            <w:pPr>
              <w:pStyle w:val="TableText"/>
            </w:pPr>
            <w:r w:rsidRPr="00613B58">
              <w:t>1</w:t>
            </w:r>
          </w:p>
        </w:tc>
      </w:tr>
      <w:tr w:rsidR="00C908AC" w:rsidRPr="003E35C7" w14:paraId="1345D357" w14:textId="77777777" w:rsidTr="0003179F">
        <w:trPr>
          <w:jc w:val="center"/>
        </w:trPr>
        <w:tc>
          <w:tcPr>
            <w:tcW w:w="1742" w:type="pct"/>
          </w:tcPr>
          <w:p w14:paraId="136AFC42" w14:textId="77777777" w:rsidR="00C908AC" w:rsidRPr="00613B58" w:rsidRDefault="00C908AC" w:rsidP="00CB39E7">
            <w:pPr>
              <w:pStyle w:val="TableText"/>
              <w:rPr>
                <w:lang w:eastAsia="en-AU"/>
              </w:rPr>
            </w:pPr>
            <w:r w:rsidRPr="00613B58">
              <w:rPr>
                <w:lang w:eastAsia="en-AU"/>
              </w:rPr>
              <w:t>51 to 90</w:t>
            </w:r>
          </w:p>
        </w:tc>
        <w:tc>
          <w:tcPr>
            <w:tcW w:w="1444" w:type="pct"/>
          </w:tcPr>
          <w:p w14:paraId="0A5C1FEF" w14:textId="77777777" w:rsidR="00C908AC" w:rsidRPr="00613B58" w:rsidRDefault="00C908AC" w:rsidP="00CB39E7">
            <w:pPr>
              <w:pStyle w:val="TableText"/>
              <w:rPr>
                <w:lang w:eastAsia="en-AU"/>
              </w:rPr>
            </w:pPr>
            <w:r w:rsidRPr="00613B58">
              <w:t>5</w:t>
            </w:r>
          </w:p>
        </w:tc>
        <w:tc>
          <w:tcPr>
            <w:tcW w:w="1015" w:type="pct"/>
          </w:tcPr>
          <w:p w14:paraId="0B41D0E5" w14:textId="77777777" w:rsidR="00C908AC" w:rsidRPr="00613B58" w:rsidRDefault="00C908AC" w:rsidP="00CB39E7">
            <w:pPr>
              <w:pStyle w:val="TableText"/>
            </w:pPr>
            <w:r w:rsidRPr="00613B58">
              <w:t>0</w:t>
            </w:r>
          </w:p>
        </w:tc>
        <w:tc>
          <w:tcPr>
            <w:tcW w:w="798" w:type="pct"/>
          </w:tcPr>
          <w:p w14:paraId="76F79616" w14:textId="77777777" w:rsidR="00C908AC" w:rsidRPr="00613B58" w:rsidRDefault="00C908AC" w:rsidP="00CB39E7">
            <w:pPr>
              <w:pStyle w:val="TableText"/>
            </w:pPr>
            <w:r w:rsidRPr="00613B58">
              <w:t>1</w:t>
            </w:r>
          </w:p>
        </w:tc>
      </w:tr>
      <w:tr w:rsidR="00C908AC" w:rsidRPr="003E35C7" w14:paraId="1CCD9740"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742" w:type="pct"/>
          </w:tcPr>
          <w:p w14:paraId="78C96221" w14:textId="77777777" w:rsidR="00C908AC" w:rsidRPr="00613B58" w:rsidRDefault="00C908AC" w:rsidP="00CB39E7">
            <w:pPr>
              <w:pStyle w:val="TableText"/>
              <w:rPr>
                <w:lang w:eastAsia="en-AU"/>
              </w:rPr>
            </w:pPr>
            <w:r w:rsidRPr="00613B58">
              <w:rPr>
                <w:lang w:eastAsia="en-AU"/>
              </w:rPr>
              <w:t>91 to 150</w:t>
            </w:r>
          </w:p>
        </w:tc>
        <w:tc>
          <w:tcPr>
            <w:tcW w:w="1444" w:type="pct"/>
          </w:tcPr>
          <w:p w14:paraId="60C68EA9" w14:textId="77777777" w:rsidR="00C908AC" w:rsidRPr="00613B58" w:rsidRDefault="00C908AC" w:rsidP="00CB39E7">
            <w:pPr>
              <w:pStyle w:val="TableText"/>
              <w:rPr>
                <w:lang w:eastAsia="en-AU"/>
              </w:rPr>
            </w:pPr>
            <w:r w:rsidRPr="00613B58">
              <w:t>8</w:t>
            </w:r>
          </w:p>
        </w:tc>
        <w:tc>
          <w:tcPr>
            <w:tcW w:w="1015" w:type="pct"/>
          </w:tcPr>
          <w:p w14:paraId="3C5BE135" w14:textId="77777777" w:rsidR="00C908AC" w:rsidRPr="00613B58" w:rsidRDefault="00C908AC" w:rsidP="00CB39E7">
            <w:pPr>
              <w:pStyle w:val="TableText"/>
            </w:pPr>
            <w:r w:rsidRPr="00613B58">
              <w:t>0</w:t>
            </w:r>
          </w:p>
        </w:tc>
        <w:tc>
          <w:tcPr>
            <w:tcW w:w="798" w:type="pct"/>
          </w:tcPr>
          <w:p w14:paraId="2BDB72BD" w14:textId="77777777" w:rsidR="00C908AC" w:rsidRPr="00613B58" w:rsidRDefault="00C908AC" w:rsidP="00CB39E7">
            <w:pPr>
              <w:pStyle w:val="TableText"/>
            </w:pPr>
            <w:r w:rsidRPr="00613B58">
              <w:t>1</w:t>
            </w:r>
          </w:p>
        </w:tc>
      </w:tr>
      <w:tr w:rsidR="00C908AC" w:rsidRPr="003E35C7" w14:paraId="2134E692" w14:textId="77777777" w:rsidTr="0003179F">
        <w:trPr>
          <w:jc w:val="center"/>
        </w:trPr>
        <w:tc>
          <w:tcPr>
            <w:tcW w:w="1742" w:type="pct"/>
          </w:tcPr>
          <w:p w14:paraId="16303CE2" w14:textId="77777777" w:rsidR="00C908AC" w:rsidRPr="00613B58" w:rsidRDefault="00C908AC" w:rsidP="00CB39E7">
            <w:pPr>
              <w:pStyle w:val="TableText"/>
              <w:rPr>
                <w:lang w:eastAsia="en-AU"/>
              </w:rPr>
            </w:pPr>
            <w:r w:rsidRPr="00613B58">
              <w:rPr>
                <w:lang w:eastAsia="en-AU"/>
              </w:rPr>
              <w:t>151 to 280</w:t>
            </w:r>
          </w:p>
        </w:tc>
        <w:tc>
          <w:tcPr>
            <w:tcW w:w="1444" w:type="pct"/>
          </w:tcPr>
          <w:p w14:paraId="539C5A48" w14:textId="77777777" w:rsidR="00C908AC" w:rsidRPr="00613B58" w:rsidRDefault="00C908AC" w:rsidP="00CB39E7">
            <w:pPr>
              <w:pStyle w:val="TableText"/>
              <w:rPr>
                <w:lang w:eastAsia="en-AU"/>
              </w:rPr>
            </w:pPr>
            <w:r w:rsidRPr="00613B58">
              <w:t>13</w:t>
            </w:r>
          </w:p>
        </w:tc>
        <w:tc>
          <w:tcPr>
            <w:tcW w:w="1015" w:type="pct"/>
          </w:tcPr>
          <w:p w14:paraId="30404E21" w14:textId="77777777" w:rsidR="00C908AC" w:rsidRPr="00613B58" w:rsidRDefault="00C908AC" w:rsidP="00CB39E7">
            <w:pPr>
              <w:pStyle w:val="TableText"/>
            </w:pPr>
            <w:r w:rsidRPr="00613B58">
              <w:t>0</w:t>
            </w:r>
          </w:p>
        </w:tc>
        <w:tc>
          <w:tcPr>
            <w:tcW w:w="798" w:type="pct"/>
          </w:tcPr>
          <w:p w14:paraId="2E0216E4" w14:textId="77777777" w:rsidR="00C908AC" w:rsidRPr="00613B58" w:rsidRDefault="00C908AC" w:rsidP="00CB39E7">
            <w:pPr>
              <w:pStyle w:val="TableText"/>
            </w:pPr>
            <w:r w:rsidRPr="00613B58">
              <w:t>1</w:t>
            </w:r>
          </w:p>
        </w:tc>
      </w:tr>
      <w:tr w:rsidR="00C908AC" w:rsidRPr="003E35C7" w14:paraId="36D2FF66"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742" w:type="pct"/>
          </w:tcPr>
          <w:p w14:paraId="057E3C4B" w14:textId="77777777" w:rsidR="00C908AC" w:rsidRPr="00613B58" w:rsidRDefault="00C908AC" w:rsidP="00CB39E7">
            <w:pPr>
              <w:pStyle w:val="TableText"/>
              <w:rPr>
                <w:lang w:eastAsia="en-AU"/>
              </w:rPr>
            </w:pPr>
            <w:r w:rsidRPr="00613B58">
              <w:rPr>
                <w:lang w:eastAsia="en-AU"/>
              </w:rPr>
              <w:t>281 to 500</w:t>
            </w:r>
          </w:p>
        </w:tc>
        <w:tc>
          <w:tcPr>
            <w:tcW w:w="1444" w:type="pct"/>
          </w:tcPr>
          <w:p w14:paraId="56DBC723" w14:textId="77777777" w:rsidR="00C908AC" w:rsidRPr="00613B58" w:rsidRDefault="00C908AC" w:rsidP="00CB39E7">
            <w:pPr>
              <w:pStyle w:val="TableText"/>
              <w:rPr>
                <w:lang w:eastAsia="en-AU"/>
              </w:rPr>
            </w:pPr>
            <w:r w:rsidRPr="00613B58">
              <w:rPr>
                <w:lang w:eastAsia="en-AU"/>
              </w:rPr>
              <w:t>20</w:t>
            </w:r>
          </w:p>
        </w:tc>
        <w:tc>
          <w:tcPr>
            <w:tcW w:w="1015" w:type="pct"/>
          </w:tcPr>
          <w:p w14:paraId="487364E7" w14:textId="77777777" w:rsidR="00C908AC" w:rsidRPr="00613B58" w:rsidRDefault="00C908AC" w:rsidP="00CB39E7">
            <w:pPr>
              <w:pStyle w:val="TableText"/>
            </w:pPr>
            <w:r w:rsidRPr="00613B58">
              <w:t>0</w:t>
            </w:r>
          </w:p>
        </w:tc>
        <w:tc>
          <w:tcPr>
            <w:tcW w:w="798" w:type="pct"/>
          </w:tcPr>
          <w:p w14:paraId="0DF2CDEF" w14:textId="77777777" w:rsidR="00C908AC" w:rsidRPr="00613B58" w:rsidRDefault="00C908AC" w:rsidP="00CB39E7">
            <w:pPr>
              <w:pStyle w:val="TableText"/>
            </w:pPr>
            <w:r w:rsidRPr="00613B58">
              <w:t>1</w:t>
            </w:r>
          </w:p>
        </w:tc>
      </w:tr>
      <w:tr w:rsidR="00C908AC" w:rsidRPr="003E35C7" w14:paraId="333A52BF" w14:textId="77777777" w:rsidTr="0003179F">
        <w:trPr>
          <w:jc w:val="center"/>
        </w:trPr>
        <w:tc>
          <w:tcPr>
            <w:tcW w:w="1742" w:type="pct"/>
          </w:tcPr>
          <w:p w14:paraId="579CC106" w14:textId="77777777" w:rsidR="00C908AC" w:rsidRPr="00613B58" w:rsidRDefault="00C908AC" w:rsidP="00CB39E7">
            <w:pPr>
              <w:pStyle w:val="TableText"/>
              <w:rPr>
                <w:lang w:eastAsia="en-AU"/>
              </w:rPr>
            </w:pPr>
            <w:r w:rsidRPr="00613B58">
              <w:rPr>
                <w:lang w:eastAsia="en-AU"/>
              </w:rPr>
              <w:t>501 to 1200</w:t>
            </w:r>
          </w:p>
        </w:tc>
        <w:tc>
          <w:tcPr>
            <w:tcW w:w="1444" w:type="pct"/>
          </w:tcPr>
          <w:p w14:paraId="33A5DC45" w14:textId="77777777" w:rsidR="00C908AC" w:rsidRPr="00613B58" w:rsidRDefault="00C908AC" w:rsidP="00CB39E7">
            <w:pPr>
              <w:pStyle w:val="TableText"/>
              <w:rPr>
                <w:lang w:eastAsia="en-AU"/>
              </w:rPr>
            </w:pPr>
            <w:r w:rsidRPr="00613B58">
              <w:rPr>
                <w:lang w:eastAsia="en-AU"/>
              </w:rPr>
              <w:t>32</w:t>
            </w:r>
          </w:p>
        </w:tc>
        <w:tc>
          <w:tcPr>
            <w:tcW w:w="1015" w:type="pct"/>
          </w:tcPr>
          <w:p w14:paraId="7D001BC7" w14:textId="77777777" w:rsidR="00C908AC" w:rsidRPr="00613B58" w:rsidRDefault="00C908AC" w:rsidP="00CB39E7">
            <w:pPr>
              <w:pStyle w:val="TableText"/>
            </w:pPr>
            <w:r w:rsidRPr="00613B58">
              <w:t>0</w:t>
            </w:r>
          </w:p>
        </w:tc>
        <w:tc>
          <w:tcPr>
            <w:tcW w:w="798" w:type="pct"/>
          </w:tcPr>
          <w:p w14:paraId="0836A3E6" w14:textId="77777777" w:rsidR="00C908AC" w:rsidRPr="00613B58" w:rsidRDefault="00C908AC" w:rsidP="00CB39E7">
            <w:pPr>
              <w:pStyle w:val="TableText"/>
            </w:pPr>
            <w:r w:rsidRPr="00613B58">
              <w:t>1</w:t>
            </w:r>
          </w:p>
        </w:tc>
      </w:tr>
      <w:tr w:rsidR="00C908AC" w:rsidRPr="003E35C7" w14:paraId="22594593"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742" w:type="pct"/>
          </w:tcPr>
          <w:p w14:paraId="5F8538F5" w14:textId="77777777" w:rsidR="00C908AC" w:rsidRPr="00613B58" w:rsidRDefault="00C908AC" w:rsidP="00CB39E7">
            <w:pPr>
              <w:pStyle w:val="TableText"/>
              <w:rPr>
                <w:lang w:eastAsia="en-AU"/>
              </w:rPr>
            </w:pPr>
            <w:r w:rsidRPr="00613B58">
              <w:rPr>
                <w:lang w:eastAsia="en-AU"/>
              </w:rPr>
              <w:t>1201 to 3200</w:t>
            </w:r>
          </w:p>
        </w:tc>
        <w:tc>
          <w:tcPr>
            <w:tcW w:w="1444" w:type="pct"/>
          </w:tcPr>
          <w:p w14:paraId="14E70B76" w14:textId="77777777" w:rsidR="00C908AC" w:rsidRPr="00613B58" w:rsidRDefault="00C908AC" w:rsidP="00CB39E7">
            <w:pPr>
              <w:pStyle w:val="TableText"/>
              <w:rPr>
                <w:lang w:eastAsia="en-AU"/>
              </w:rPr>
            </w:pPr>
            <w:r w:rsidRPr="00613B58">
              <w:rPr>
                <w:lang w:eastAsia="en-AU"/>
              </w:rPr>
              <w:t>50</w:t>
            </w:r>
          </w:p>
        </w:tc>
        <w:tc>
          <w:tcPr>
            <w:tcW w:w="1015" w:type="pct"/>
          </w:tcPr>
          <w:p w14:paraId="7EAF7C63" w14:textId="77777777" w:rsidR="00C908AC" w:rsidRPr="00613B58" w:rsidRDefault="00C908AC" w:rsidP="00CB39E7">
            <w:pPr>
              <w:pStyle w:val="TableText"/>
            </w:pPr>
            <w:r w:rsidRPr="00613B58">
              <w:t>0</w:t>
            </w:r>
          </w:p>
        </w:tc>
        <w:tc>
          <w:tcPr>
            <w:tcW w:w="798" w:type="pct"/>
          </w:tcPr>
          <w:p w14:paraId="2D43EFF5" w14:textId="77777777" w:rsidR="00C908AC" w:rsidRPr="00613B58" w:rsidRDefault="00C908AC" w:rsidP="00CB39E7">
            <w:pPr>
              <w:pStyle w:val="TableText"/>
            </w:pPr>
            <w:r w:rsidRPr="00613B58">
              <w:t>1</w:t>
            </w:r>
          </w:p>
        </w:tc>
      </w:tr>
      <w:tr w:rsidR="00C908AC" w:rsidRPr="003E35C7" w14:paraId="42DE6DC5" w14:textId="77777777" w:rsidTr="0003179F">
        <w:trPr>
          <w:jc w:val="center"/>
        </w:trPr>
        <w:tc>
          <w:tcPr>
            <w:tcW w:w="1742" w:type="pct"/>
          </w:tcPr>
          <w:p w14:paraId="55CEDB63" w14:textId="77777777" w:rsidR="00C908AC" w:rsidRPr="00613B58" w:rsidRDefault="00C908AC" w:rsidP="00CB39E7">
            <w:pPr>
              <w:pStyle w:val="TableText"/>
              <w:rPr>
                <w:lang w:eastAsia="en-AU"/>
              </w:rPr>
            </w:pPr>
            <w:r w:rsidRPr="00613B58">
              <w:rPr>
                <w:lang w:eastAsia="en-AU"/>
              </w:rPr>
              <w:t>3201 to 10 000</w:t>
            </w:r>
          </w:p>
        </w:tc>
        <w:tc>
          <w:tcPr>
            <w:tcW w:w="1444" w:type="pct"/>
          </w:tcPr>
          <w:p w14:paraId="7BC34DA3" w14:textId="77777777" w:rsidR="00C908AC" w:rsidRPr="00613B58" w:rsidRDefault="00C908AC" w:rsidP="00CB39E7">
            <w:pPr>
              <w:pStyle w:val="TableText"/>
              <w:rPr>
                <w:lang w:eastAsia="en-AU"/>
              </w:rPr>
            </w:pPr>
            <w:r w:rsidRPr="00613B58">
              <w:rPr>
                <w:lang w:eastAsia="en-AU"/>
              </w:rPr>
              <w:t>80</w:t>
            </w:r>
          </w:p>
        </w:tc>
        <w:tc>
          <w:tcPr>
            <w:tcW w:w="1015" w:type="pct"/>
          </w:tcPr>
          <w:p w14:paraId="0E865CE8" w14:textId="77777777" w:rsidR="00C908AC" w:rsidRPr="00613B58" w:rsidRDefault="00C908AC" w:rsidP="00CB39E7">
            <w:pPr>
              <w:pStyle w:val="TableText"/>
            </w:pPr>
            <w:r w:rsidRPr="00613B58">
              <w:t>0</w:t>
            </w:r>
          </w:p>
        </w:tc>
        <w:tc>
          <w:tcPr>
            <w:tcW w:w="798" w:type="pct"/>
          </w:tcPr>
          <w:p w14:paraId="53A6D8F7" w14:textId="77777777" w:rsidR="00C908AC" w:rsidRPr="00613B58" w:rsidRDefault="00C908AC" w:rsidP="00CB39E7">
            <w:pPr>
              <w:pStyle w:val="TableText"/>
            </w:pPr>
            <w:r w:rsidRPr="00613B58">
              <w:t>1</w:t>
            </w:r>
          </w:p>
        </w:tc>
      </w:tr>
      <w:tr w:rsidR="00C908AC" w:rsidRPr="003E35C7" w14:paraId="204ACFF4"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742" w:type="pct"/>
          </w:tcPr>
          <w:p w14:paraId="6A2609F0" w14:textId="77777777" w:rsidR="00C908AC" w:rsidRPr="00613B58" w:rsidRDefault="00C908AC" w:rsidP="00CB39E7">
            <w:pPr>
              <w:pStyle w:val="TableText"/>
              <w:rPr>
                <w:lang w:eastAsia="en-AU"/>
              </w:rPr>
            </w:pPr>
            <w:r w:rsidRPr="00613B58">
              <w:rPr>
                <w:lang w:eastAsia="en-AU"/>
              </w:rPr>
              <w:t>10 001 to 35 000</w:t>
            </w:r>
          </w:p>
        </w:tc>
        <w:tc>
          <w:tcPr>
            <w:tcW w:w="1444" w:type="pct"/>
          </w:tcPr>
          <w:p w14:paraId="50582131" w14:textId="77777777" w:rsidR="00C908AC" w:rsidRPr="00613B58" w:rsidRDefault="00C908AC" w:rsidP="00CB39E7">
            <w:pPr>
              <w:pStyle w:val="TableText"/>
              <w:rPr>
                <w:lang w:eastAsia="en-AU"/>
              </w:rPr>
            </w:pPr>
            <w:r w:rsidRPr="00613B58">
              <w:rPr>
                <w:lang w:eastAsia="en-AU"/>
              </w:rPr>
              <w:t>125</w:t>
            </w:r>
          </w:p>
        </w:tc>
        <w:tc>
          <w:tcPr>
            <w:tcW w:w="1015" w:type="pct"/>
          </w:tcPr>
          <w:p w14:paraId="5FFE28F2" w14:textId="77777777" w:rsidR="00C908AC" w:rsidRPr="00613B58" w:rsidRDefault="00C908AC" w:rsidP="00CB39E7">
            <w:pPr>
              <w:pStyle w:val="TableText"/>
            </w:pPr>
            <w:r w:rsidRPr="00613B58">
              <w:t>0</w:t>
            </w:r>
          </w:p>
        </w:tc>
        <w:tc>
          <w:tcPr>
            <w:tcW w:w="798" w:type="pct"/>
          </w:tcPr>
          <w:p w14:paraId="3475A514" w14:textId="77777777" w:rsidR="00C908AC" w:rsidRPr="00613B58" w:rsidRDefault="00C908AC" w:rsidP="00CB39E7">
            <w:pPr>
              <w:pStyle w:val="TableText"/>
            </w:pPr>
            <w:r w:rsidRPr="00613B58">
              <w:t>1</w:t>
            </w:r>
          </w:p>
        </w:tc>
      </w:tr>
      <w:tr w:rsidR="00C908AC" w:rsidRPr="003E35C7" w14:paraId="65CDB097" w14:textId="77777777" w:rsidTr="0003179F">
        <w:trPr>
          <w:jc w:val="center"/>
        </w:trPr>
        <w:tc>
          <w:tcPr>
            <w:tcW w:w="1742" w:type="pct"/>
          </w:tcPr>
          <w:p w14:paraId="71187564" w14:textId="77777777" w:rsidR="00C908AC" w:rsidRPr="00613B58" w:rsidRDefault="00C908AC" w:rsidP="00CB39E7">
            <w:pPr>
              <w:pStyle w:val="TableText"/>
              <w:rPr>
                <w:lang w:eastAsia="en-AU"/>
              </w:rPr>
            </w:pPr>
            <w:r w:rsidRPr="00613B58">
              <w:rPr>
                <w:lang w:eastAsia="en-AU"/>
              </w:rPr>
              <w:t>35 001 to 150 000</w:t>
            </w:r>
          </w:p>
        </w:tc>
        <w:tc>
          <w:tcPr>
            <w:tcW w:w="1444" w:type="pct"/>
          </w:tcPr>
          <w:p w14:paraId="525C6E8B" w14:textId="77777777" w:rsidR="00C908AC" w:rsidRPr="00613B58" w:rsidRDefault="00C908AC" w:rsidP="00CB39E7">
            <w:pPr>
              <w:pStyle w:val="TableText"/>
              <w:rPr>
                <w:lang w:eastAsia="en-AU"/>
              </w:rPr>
            </w:pPr>
            <w:r w:rsidRPr="00613B58">
              <w:rPr>
                <w:lang w:eastAsia="en-AU"/>
              </w:rPr>
              <w:t>200</w:t>
            </w:r>
          </w:p>
        </w:tc>
        <w:tc>
          <w:tcPr>
            <w:tcW w:w="1015" w:type="pct"/>
          </w:tcPr>
          <w:p w14:paraId="3F09B605" w14:textId="77777777" w:rsidR="00C908AC" w:rsidRPr="00613B58" w:rsidRDefault="00C908AC" w:rsidP="00CB39E7">
            <w:pPr>
              <w:pStyle w:val="TableText"/>
            </w:pPr>
            <w:r w:rsidRPr="00613B58">
              <w:t>0</w:t>
            </w:r>
          </w:p>
        </w:tc>
        <w:tc>
          <w:tcPr>
            <w:tcW w:w="798" w:type="pct"/>
          </w:tcPr>
          <w:p w14:paraId="7298AA64" w14:textId="77777777" w:rsidR="00C908AC" w:rsidRPr="00613B58" w:rsidRDefault="00C908AC" w:rsidP="00CB39E7">
            <w:pPr>
              <w:pStyle w:val="TableText"/>
            </w:pPr>
            <w:r w:rsidRPr="00613B58">
              <w:t>1</w:t>
            </w:r>
          </w:p>
        </w:tc>
      </w:tr>
      <w:tr w:rsidR="00C908AC" w:rsidRPr="003E35C7" w14:paraId="298573B0"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742" w:type="pct"/>
          </w:tcPr>
          <w:p w14:paraId="1EFC9136" w14:textId="77777777" w:rsidR="00C908AC" w:rsidRPr="00613B58" w:rsidRDefault="00C908AC" w:rsidP="00CB39E7">
            <w:pPr>
              <w:pStyle w:val="TableText"/>
              <w:rPr>
                <w:lang w:eastAsia="en-AU"/>
              </w:rPr>
            </w:pPr>
            <w:r w:rsidRPr="00613B58">
              <w:rPr>
                <w:lang w:eastAsia="en-AU"/>
              </w:rPr>
              <w:t>150 001 to 500 000</w:t>
            </w:r>
          </w:p>
        </w:tc>
        <w:tc>
          <w:tcPr>
            <w:tcW w:w="1444" w:type="pct"/>
          </w:tcPr>
          <w:p w14:paraId="5A5B7DDC" w14:textId="77777777" w:rsidR="00C908AC" w:rsidRPr="00613B58" w:rsidRDefault="00C908AC" w:rsidP="00CB39E7">
            <w:pPr>
              <w:pStyle w:val="TableText"/>
              <w:rPr>
                <w:lang w:eastAsia="en-AU"/>
              </w:rPr>
            </w:pPr>
            <w:r w:rsidRPr="00613B58">
              <w:rPr>
                <w:lang w:eastAsia="en-AU"/>
              </w:rPr>
              <w:t>315</w:t>
            </w:r>
          </w:p>
        </w:tc>
        <w:tc>
          <w:tcPr>
            <w:tcW w:w="1015" w:type="pct"/>
          </w:tcPr>
          <w:p w14:paraId="02F85870" w14:textId="77777777" w:rsidR="00C908AC" w:rsidRPr="00613B58" w:rsidRDefault="00C908AC" w:rsidP="00CB39E7">
            <w:pPr>
              <w:pStyle w:val="TableText"/>
            </w:pPr>
            <w:r w:rsidRPr="00613B58">
              <w:t>0</w:t>
            </w:r>
          </w:p>
        </w:tc>
        <w:tc>
          <w:tcPr>
            <w:tcW w:w="798" w:type="pct"/>
          </w:tcPr>
          <w:p w14:paraId="0C65694D" w14:textId="77777777" w:rsidR="00C908AC" w:rsidRPr="00613B58" w:rsidRDefault="00C908AC" w:rsidP="00CB39E7">
            <w:pPr>
              <w:pStyle w:val="TableText"/>
            </w:pPr>
            <w:r w:rsidRPr="00613B58">
              <w:t>1</w:t>
            </w:r>
          </w:p>
        </w:tc>
      </w:tr>
      <w:tr w:rsidR="00C908AC" w:rsidRPr="003E35C7" w14:paraId="730FFE2C" w14:textId="77777777" w:rsidTr="0003179F">
        <w:trPr>
          <w:jc w:val="center"/>
        </w:trPr>
        <w:tc>
          <w:tcPr>
            <w:tcW w:w="1742" w:type="pct"/>
          </w:tcPr>
          <w:p w14:paraId="7FB3E0B2" w14:textId="77777777" w:rsidR="00C908AC" w:rsidRPr="00613B58" w:rsidRDefault="00C908AC" w:rsidP="00CB39E7">
            <w:pPr>
              <w:pStyle w:val="TableText"/>
              <w:rPr>
                <w:lang w:eastAsia="en-AU"/>
              </w:rPr>
            </w:pPr>
            <w:r w:rsidRPr="00613B58">
              <w:rPr>
                <w:lang w:eastAsia="en-AU"/>
              </w:rPr>
              <w:t>500 001 and over</w:t>
            </w:r>
          </w:p>
        </w:tc>
        <w:tc>
          <w:tcPr>
            <w:tcW w:w="1444" w:type="pct"/>
          </w:tcPr>
          <w:p w14:paraId="32BFFF58" w14:textId="77777777" w:rsidR="00C908AC" w:rsidRPr="00613B58" w:rsidRDefault="00C908AC" w:rsidP="00CB39E7">
            <w:pPr>
              <w:pStyle w:val="TableText"/>
              <w:rPr>
                <w:lang w:eastAsia="en-AU"/>
              </w:rPr>
            </w:pPr>
            <w:r w:rsidRPr="00613B58">
              <w:rPr>
                <w:lang w:eastAsia="en-AU"/>
              </w:rPr>
              <w:t>500</w:t>
            </w:r>
          </w:p>
        </w:tc>
        <w:tc>
          <w:tcPr>
            <w:tcW w:w="1015" w:type="pct"/>
          </w:tcPr>
          <w:p w14:paraId="0AB399C8" w14:textId="77777777" w:rsidR="00C908AC" w:rsidRPr="00613B58" w:rsidRDefault="00C908AC" w:rsidP="00CB39E7">
            <w:pPr>
              <w:pStyle w:val="TableText"/>
            </w:pPr>
            <w:r w:rsidRPr="00613B58">
              <w:t>0</w:t>
            </w:r>
          </w:p>
        </w:tc>
        <w:tc>
          <w:tcPr>
            <w:tcW w:w="798" w:type="pct"/>
          </w:tcPr>
          <w:p w14:paraId="271F33B9" w14:textId="77777777" w:rsidR="00C908AC" w:rsidRPr="00613B58" w:rsidRDefault="00C908AC" w:rsidP="00CB39E7">
            <w:pPr>
              <w:pStyle w:val="TableText"/>
            </w:pPr>
            <w:r w:rsidRPr="00613B58">
              <w:t>1</w:t>
            </w:r>
          </w:p>
        </w:tc>
      </w:tr>
    </w:tbl>
    <w:p w14:paraId="46F95E9C" w14:textId="29E1EF6C" w:rsidR="00A81638" w:rsidRDefault="00A81638" w:rsidP="00A81638">
      <w:pPr>
        <w:pStyle w:val="Caption"/>
        <w:keepNext/>
      </w:pPr>
      <w:bookmarkStart w:id="572" w:name="_Ref146644796"/>
      <w:r>
        <w:t xml:space="preserve">Table </w:t>
      </w:r>
      <w:r w:rsidR="00440352">
        <w:fldChar w:fldCharType="begin"/>
      </w:r>
      <w:r w:rsidR="00440352">
        <w:instrText xml:space="preserve"> SEQ Table \* ARABIC </w:instrText>
      </w:r>
      <w:r w:rsidR="00440352">
        <w:fldChar w:fldCharType="separate"/>
      </w:r>
      <w:r w:rsidR="003F6048">
        <w:rPr>
          <w:noProof/>
        </w:rPr>
        <w:t>10</w:t>
      </w:r>
      <w:r w:rsidR="00440352">
        <w:rPr>
          <w:noProof/>
        </w:rPr>
        <w:fldChar w:fldCharType="end"/>
      </w:r>
      <w:bookmarkEnd w:id="572"/>
      <w:r>
        <w:t xml:space="preserve">. </w:t>
      </w:r>
      <w:r w:rsidRPr="001D41B0">
        <w:t xml:space="preserve">Mandatory test points </w:t>
      </w:r>
      <w:r>
        <w:t>(individual electricity meter)</w:t>
      </w:r>
    </w:p>
    <w:tbl>
      <w:tblPr>
        <w:tblStyle w:val="NITP"/>
        <w:tblW w:w="5000" w:type="pct"/>
        <w:tblLook w:val="0020" w:firstRow="1" w:lastRow="0" w:firstColumn="0" w:lastColumn="0" w:noHBand="0" w:noVBand="0"/>
      </w:tblPr>
      <w:tblGrid>
        <w:gridCol w:w="2971"/>
        <w:gridCol w:w="3120"/>
        <w:gridCol w:w="1417"/>
        <w:gridCol w:w="2235"/>
      </w:tblGrid>
      <w:tr w:rsidR="00A81638" w14:paraId="41601FAA" w14:textId="77777777" w:rsidTr="00832200">
        <w:trPr>
          <w:cnfStyle w:val="100000000000" w:firstRow="1" w:lastRow="0" w:firstColumn="0" w:lastColumn="0" w:oddVBand="0" w:evenVBand="0" w:oddHBand="0" w:evenHBand="0" w:firstRowFirstColumn="0" w:firstRowLastColumn="0" w:lastRowFirstColumn="0" w:lastRowLastColumn="0"/>
        </w:trPr>
        <w:tc>
          <w:tcPr>
            <w:tcW w:w="1525" w:type="pct"/>
          </w:tcPr>
          <w:p w14:paraId="67AF5BA3" w14:textId="77777777" w:rsidR="00A81638" w:rsidRPr="005849DE" w:rsidRDefault="00A81638" w:rsidP="00CB39E7">
            <w:pPr>
              <w:pStyle w:val="TableText"/>
              <w:rPr>
                <w:b w:val="0"/>
                <w:bCs/>
                <w:vertAlign w:val="superscript"/>
                <w:lang w:val="en-GB"/>
              </w:rPr>
            </w:pPr>
            <w:r w:rsidRPr="005849DE">
              <w:rPr>
                <w:bCs/>
                <w:lang w:val="en-GB"/>
              </w:rPr>
              <w:t>Current (A)</w:t>
            </w:r>
            <w:r>
              <w:rPr>
                <w:bCs/>
                <w:lang w:val="en-GB"/>
              </w:rPr>
              <w:t xml:space="preserve"> for direct-connected meters</w:t>
            </w:r>
            <w:r>
              <w:rPr>
                <w:bCs/>
                <w:vertAlign w:val="superscript"/>
                <w:lang w:val="en-GB"/>
              </w:rPr>
              <w:t>1</w:t>
            </w:r>
          </w:p>
        </w:tc>
        <w:tc>
          <w:tcPr>
            <w:tcW w:w="1601" w:type="pct"/>
          </w:tcPr>
          <w:p w14:paraId="4D5B7BAB" w14:textId="77777777" w:rsidR="00A81638" w:rsidRPr="005849DE" w:rsidRDefault="00A81638" w:rsidP="00CB39E7">
            <w:pPr>
              <w:pStyle w:val="TableText"/>
              <w:rPr>
                <w:b w:val="0"/>
                <w:bCs/>
                <w:lang w:val="en-GB"/>
              </w:rPr>
            </w:pPr>
            <w:r w:rsidRPr="005849DE">
              <w:rPr>
                <w:bCs/>
                <w:lang w:val="en-GB"/>
              </w:rPr>
              <w:t>Current (A)</w:t>
            </w:r>
            <w:r>
              <w:rPr>
                <w:bCs/>
                <w:lang w:val="en-GB"/>
              </w:rPr>
              <w:t xml:space="preserve"> for transformer-operated meters</w:t>
            </w:r>
            <w:r>
              <w:rPr>
                <w:bCs/>
                <w:vertAlign w:val="superscript"/>
                <w:lang w:val="en-GB"/>
              </w:rPr>
              <w:t>2</w:t>
            </w:r>
          </w:p>
        </w:tc>
        <w:tc>
          <w:tcPr>
            <w:tcW w:w="727" w:type="pct"/>
          </w:tcPr>
          <w:p w14:paraId="49A427D6" w14:textId="77777777" w:rsidR="00A81638" w:rsidRPr="005849DE" w:rsidRDefault="00A81638" w:rsidP="00CB39E7">
            <w:pPr>
              <w:pStyle w:val="TableText"/>
              <w:rPr>
                <w:b w:val="0"/>
                <w:bCs/>
                <w:lang w:val="en-GB"/>
              </w:rPr>
            </w:pPr>
            <w:r w:rsidRPr="005849DE">
              <w:rPr>
                <w:bCs/>
                <w:lang w:val="en-GB"/>
              </w:rPr>
              <w:t>Power factor</w:t>
            </w:r>
          </w:p>
        </w:tc>
        <w:tc>
          <w:tcPr>
            <w:tcW w:w="1147" w:type="pct"/>
          </w:tcPr>
          <w:p w14:paraId="399918FB" w14:textId="77777777" w:rsidR="00A81638" w:rsidRPr="00CB39E7" w:rsidRDefault="00A81638" w:rsidP="00CB39E7">
            <w:pPr>
              <w:pStyle w:val="TableText"/>
              <w:rPr>
                <w:b w:val="0"/>
                <w:bCs/>
                <w:vertAlign w:val="superscript"/>
                <w:lang w:val="en-GB"/>
              </w:rPr>
            </w:pPr>
            <w:r>
              <w:rPr>
                <w:bCs/>
                <w:lang w:val="en-GB"/>
              </w:rPr>
              <w:t>Direction of current flow</w:t>
            </w:r>
            <w:r>
              <w:rPr>
                <w:bCs/>
                <w:vertAlign w:val="superscript"/>
                <w:lang w:val="en-GB"/>
              </w:rPr>
              <w:t>3</w:t>
            </w:r>
          </w:p>
        </w:tc>
      </w:tr>
      <w:tr w:rsidR="00A81638" w14:paraId="082051BE" w14:textId="77777777" w:rsidTr="00832200">
        <w:tc>
          <w:tcPr>
            <w:tcW w:w="1525" w:type="pct"/>
            <w:hideMark/>
          </w:tcPr>
          <w:p w14:paraId="1FAB855E" w14:textId="77777777" w:rsidR="00A81638" w:rsidRDefault="00A81638" w:rsidP="00CB39E7">
            <w:pPr>
              <w:pStyle w:val="TableText"/>
              <w:rPr>
                <w:lang w:val="en-GB"/>
              </w:rPr>
            </w:pPr>
            <w:r>
              <w:rPr>
                <w:lang w:val="en-GB"/>
              </w:rPr>
              <w:t xml:space="preserve">0.05 </w:t>
            </w:r>
            <w:proofErr w:type="spellStart"/>
            <w:r>
              <w:rPr>
                <w:i/>
                <w:lang w:val="en-GB"/>
              </w:rPr>
              <w:t>I</w:t>
            </w:r>
            <w:r>
              <w:rPr>
                <w:vertAlign w:val="subscript"/>
                <w:lang w:val="en-GB"/>
              </w:rPr>
              <w:t>b</w:t>
            </w:r>
            <w:proofErr w:type="spellEnd"/>
          </w:p>
        </w:tc>
        <w:tc>
          <w:tcPr>
            <w:tcW w:w="1601" w:type="pct"/>
          </w:tcPr>
          <w:p w14:paraId="12281B00" w14:textId="5A7A7E54" w:rsidR="00A81638" w:rsidRPr="008A1D61" w:rsidRDefault="00A81638" w:rsidP="00CB39E7">
            <w:pPr>
              <w:pStyle w:val="TableText"/>
              <w:rPr>
                <w:lang w:val="en-GB"/>
              </w:rPr>
            </w:pPr>
            <w:r>
              <w:rPr>
                <w:lang w:val="en-GB"/>
              </w:rPr>
              <w:t xml:space="preserve">0.01 </w:t>
            </w:r>
            <w:r>
              <w:rPr>
                <w:i/>
                <w:lang w:val="en-GB"/>
              </w:rPr>
              <w:t>I</w:t>
            </w:r>
            <w:r>
              <w:rPr>
                <w:vertAlign w:val="subscript"/>
                <w:lang w:val="en-GB"/>
              </w:rPr>
              <w:t>n</w:t>
            </w:r>
            <w:r w:rsidR="001D2937">
              <w:rPr>
                <w:vertAlign w:val="subscript"/>
                <w:lang w:val="en-GB"/>
              </w:rPr>
              <w:t xml:space="preserve"> </w:t>
            </w:r>
            <w:r w:rsidR="001D2937">
              <w:rPr>
                <w:vertAlign w:val="superscript"/>
                <w:lang w:val="en-GB"/>
              </w:rPr>
              <w:t>4</w:t>
            </w:r>
          </w:p>
        </w:tc>
        <w:tc>
          <w:tcPr>
            <w:tcW w:w="727" w:type="pct"/>
            <w:hideMark/>
          </w:tcPr>
          <w:p w14:paraId="27A09D27" w14:textId="77777777" w:rsidR="00A81638" w:rsidRPr="008A1D61" w:rsidRDefault="00A81638" w:rsidP="00CB39E7">
            <w:pPr>
              <w:pStyle w:val="TableText"/>
              <w:rPr>
                <w:vertAlign w:val="superscript"/>
                <w:lang w:val="en-GB"/>
              </w:rPr>
            </w:pPr>
            <w:r w:rsidRPr="008A1D61">
              <w:rPr>
                <w:lang w:val="en-GB"/>
              </w:rPr>
              <w:t>1</w:t>
            </w:r>
          </w:p>
        </w:tc>
        <w:tc>
          <w:tcPr>
            <w:tcW w:w="1147" w:type="pct"/>
          </w:tcPr>
          <w:p w14:paraId="57B9A5F3" w14:textId="533A6FFC" w:rsidR="00A81638" w:rsidRPr="00CB39E7" w:rsidRDefault="00A81638" w:rsidP="00CB39E7">
            <w:pPr>
              <w:pStyle w:val="TableText"/>
              <w:rPr>
                <w:vertAlign w:val="superscript"/>
                <w:lang w:val="en-GB"/>
              </w:rPr>
            </w:pPr>
            <w:r>
              <w:rPr>
                <w:lang w:val="en-GB"/>
              </w:rPr>
              <w:t>Positive only</w:t>
            </w:r>
          </w:p>
        </w:tc>
      </w:tr>
      <w:tr w:rsidR="00A81638" w14:paraId="4B2B000A" w14:textId="77777777" w:rsidTr="00832200">
        <w:trPr>
          <w:cnfStyle w:val="000000010000" w:firstRow="0" w:lastRow="0" w:firstColumn="0" w:lastColumn="0" w:oddVBand="0" w:evenVBand="0" w:oddHBand="0" w:evenHBand="1" w:firstRowFirstColumn="0" w:firstRowLastColumn="0" w:lastRowFirstColumn="0" w:lastRowLastColumn="0"/>
        </w:trPr>
        <w:tc>
          <w:tcPr>
            <w:tcW w:w="1525" w:type="pct"/>
            <w:hideMark/>
          </w:tcPr>
          <w:p w14:paraId="5AECA02B" w14:textId="77777777" w:rsidR="00A81638" w:rsidRDefault="00A81638" w:rsidP="00CB39E7">
            <w:pPr>
              <w:pStyle w:val="TableText"/>
              <w:rPr>
                <w:lang w:val="en-GB"/>
              </w:rPr>
            </w:pPr>
            <w:r>
              <w:rPr>
                <w:lang w:val="en-GB"/>
              </w:rPr>
              <w:t xml:space="preserve">0.1 </w:t>
            </w:r>
            <w:proofErr w:type="spellStart"/>
            <w:r>
              <w:rPr>
                <w:i/>
                <w:lang w:val="en-GB"/>
              </w:rPr>
              <w:t>I</w:t>
            </w:r>
            <w:r>
              <w:rPr>
                <w:vertAlign w:val="subscript"/>
                <w:lang w:val="en-GB"/>
              </w:rPr>
              <w:t>b</w:t>
            </w:r>
            <w:proofErr w:type="spellEnd"/>
          </w:p>
        </w:tc>
        <w:tc>
          <w:tcPr>
            <w:tcW w:w="1601" w:type="pct"/>
          </w:tcPr>
          <w:p w14:paraId="42C969A9" w14:textId="77777777" w:rsidR="00A81638" w:rsidRPr="004931F7" w:rsidRDefault="00A81638" w:rsidP="00CB39E7">
            <w:pPr>
              <w:pStyle w:val="TableText"/>
              <w:rPr>
                <w:lang w:val="en-GB"/>
              </w:rPr>
            </w:pPr>
            <w:r>
              <w:rPr>
                <w:lang w:val="en-GB"/>
              </w:rPr>
              <w:t xml:space="preserve">0.1 </w:t>
            </w:r>
            <w:r>
              <w:rPr>
                <w:i/>
                <w:lang w:val="en-GB"/>
              </w:rPr>
              <w:t>I</w:t>
            </w:r>
            <w:r>
              <w:rPr>
                <w:vertAlign w:val="subscript"/>
                <w:lang w:val="en-GB"/>
              </w:rPr>
              <w:t>n</w:t>
            </w:r>
          </w:p>
        </w:tc>
        <w:tc>
          <w:tcPr>
            <w:tcW w:w="727" w:type="pct"/>
            <w:hideMark/>
          </w:tcPr>
          <w:p w14:paraId="43E762A5" w14:textId="77777777" w:rsidR="00A81638" w:rsidRPr="004931F7" w:rsidRDefault="00A81638" w:rsidP="00CB39E7">
            <w:pPr>
              <w:pStyle w:val="TableText"/>
              <w:rPr>
                <w:vertAlign w:val="superscript"/>
                <w:lang w:val="en-GB"/>
              </w:rPr>
            </w:pPr>
            <w:r w:rsidRPr="004931F7">
              <w:rPr>
                <w:lang w:val="en-GB"/>
              </w:rPr>
              <w:t>1</w:t>
            </w:r>
          </w:p>
        </w:tc>
        <w:tc>
          <w:tcPr>
            <w:tcW w:w="1147" w:type="pct"/>
          </w:tcPr>
          <w:p w14:paraId="1EC01D26" w14:textId="77777777" w:rsidR="00A81638" w:rsidRPr="004931F7" w:rsidRDefault="00A81638" w:rsidP="00CB39E7">
            <w:pPr>
              <w:pStyle w:val="TableText"/>
              <w:rPr>
                <w:lang w:val="en-GB"/>
              </w:rPr>
            </w:pPr>
            <w:r>
              <w:rPr>
                <w:lang w:val="en-GB"/>
              </w:rPr>
              <w:t>Positive only</w:t>
            </w:r>
          </w:p>
        </w:tc>
      </w:tr>
      <w:tr w:rsidR="00A81638" w14:paraId="4CCAAB89" w14:textId="77777777" w:rsidTr="00832200">
        <w:tc>
          <w:tcPr>
            <w:tcW w:w="1525" w:type="pct"/>
            <w:hideMark/>
          </w:tcPr>
          <w:p w14:paraId="06192E61" w14:textId="77777777" w:rsidR="00A81638" w:rsidRDefault="00A81638" w:rsidP="00CB39E7">
            <w:pPr>
              <w:pStyle w:val="TableText"/>
              <w:rPr>
                <w:lang w:val="en-GB"/>
              </w:rPr>
            </w:pPr>
            <w:r>
              <w:rPr>
                <w:i/>
                <w:lang w:val="en-GB"/>
              </w:rPr>
              <w:t>I</w:t>
            </w:r>
            <w:r>
              <w:rPr>
                <w:vertAlign w:val="subscript"/>
                <w:lang w:val="en-GB"/>
              </w:rPr>
              <w:t>max</w:t>
            </w:r>
          </w:p>
        </w:tc>
        <w:tc>
          <w:tcPr>
            <w:tcW w:w="1601" w:type="pct"/>
          </w:tcPr>
          <w:p w14:paraId="0F14FC75" w14:textId="77777777" w:rsidR="00A81638" w:rsidRPr="000E67C9" w:rsidRDefault="00A81638" w:rsidP="00CB39E7">
            <w:pPr>
              <w:pStyle w:val="TableText"/>
              <w:rPr>
                <w:lang w:val="en-GB"/>
              </w:rPr>
            </w:pPr>
            <w:r>
              <w:rPr>
                <w:i/>
                <w:lang w:val="en-GB"/>
              </w:rPr>
              <w:t>I</w:t>
            </w:r>
            <w:r>
              <w:rPr>
                <w:vertAlign w:val="subscript"/>
                <w:lang w:val="en-GB"/>
              </w:rPr>
              <w:t>max</w:t>
            </w:r>
          </w:p>
        </w:tc>
        <w:tc>
          <w:tcPr>
            <w:tcW w:w="727" w:type="pct"/>
            <w:hideMark/>
          </w:tcPr>
          <w:p w14:paraId="3325D757" w14:textId="77777777" w:rsidR="00A81638" w:rsidRPr="004931F7" w:rsidRDefault="00A81638" w:rsidP="00CB39E7">
            <w:pPr>
              <w:pStyle w:val="TableText"/>
              <w:rPr>
                <w:b/>
                <w:bCs/>
                <w:vertAlign w:val="superscript"/>
                <w:lang w:val="en-GB"/>
              </w:rPr>
            </w:pPr>
            <w:r w:rsidRPr="000E67C9">
              <w:rPr>
                <w:lang w:val="en-GB"/>
              </w:rPr>
              <w:t>1</w:t>
            </w:r>
          </w:p>
        </w:tc>
        <w:tc>
          <w:tcPr>
            <w:tcW w:w="1147" w:type="pct"/>
          </w:tcPr>
          <w:p w14:paraId="4DC2FF58" w14:textId="77777777" w:rsidR="00A81638" w:rsidRPr="000E67C9" w:rsidRDefault="00A81638" w:rsidP="00CB39E7">
            <w:pPr>
              <w:pStyle w:val="TableText"/>
              <w:rPr>
                <w:lang w:val="en-GB"/>
              </w:rPr>
            </w:pPr>
            <w:r>
              <w:rPr>
                <w:lang w:val="en-GB"/>
              </w:rPr>
              <w:t>Positive and negative</w:t>
            </w:r>
          </w:p>
        </w:tc>
      </w:tr>
      <w:tr w:rsidR="00A81638" w14:paraId="00CD833C" w14:textId="77777777" w:rsidTr="00832200">
        <w:trPr>
          <w:cnfStyle w:val="000000010000" w:firstRow="0" w:lastRow="0" w:firstColumn="0" w:lastColumn="0" w:oddVBand="0" w:evenVBand="0" w:oddHBand="0" w:evenHBand="1" w:firstRowFirstColumn="0" w:firstRowLastColumn="0" w:lastRowFirstColumn="0" w:lastRowLastColumn="0"/>
        </w:trPr>
        <w:tc>
          <w:tcPr>
            <w:tcW w:w="1525" w:type="pct"/>
            <w:hideMark/>
          </w:tcPr>
          <w:p w14:paraId="16237513" w14:textId="77777777" w:rsidR="00A81638" w:rsidRDefault="00A81638" w:rsidP="00CB39E7">
            <w:pPr>
              <w:pStyle w:val="TableText"/>
              <w:rPr>
                <w:lang w:val="en-GB"/>
              </w:rPr>
            </w:pPr>
            <w:r>
              <w:rPr>
                <w:i/>
                <w:lang w:val="en-GB"/>
              </w:rPr>
              <w:t>I</w:t>
            </w:r>
            <w:r>
              <w:rPr>
                <w:vertAlign w:val="subscript"/>
                <w:lang w:val="en-GB"/>
              </w:rPr>
              <w:t>max</w:t>
            </w:r>
          </w:p>
        </w:tc>
        <w:tc>
          <w:tcPr>
            <w:tcW w:w="1601" w:type="pct"/>
          </w:tcPr>
          <w:p w14:paraId="694F0642" w14:textId="77777777" w:rsidR="00A81638" w:rsidRPr="000E67C9" w:rsidRDefault="00A81638" w:rsidP="00CB39E7">
            <w:pPr>
              <w:pStyle w:val="TableText"/>
              <w:rPr>
                <w:lang w:val="en-GB"/>
              </w:rPr>
            </w:pPr>
            <w:r>
              <w:rPr>
                <w:i/>
                <w:lang w:val="en-GB"/>
              </w:rPr>
              <w:t>I</w:t>
            </w:r>
            <w:r>
              <w:rPr>
                <w:vertAlign w:val="subscript"/>
                <w:lang w:val="en-GB"/>
              </w:rPr>
              <w:t>max</w:t>
            </w:r>
          </w:p>
        </w:tc>
        <w:tc>
          <w:tcPr>
            <w:tcW w:w="727" w:type="pct"/>
            <w:hideMark/>
          </w:tcPr>
          <w:p w14:paraId="17B00033" w14:textId="77777777" w:rsidR="00A81638" w:rsidRPr="004931F7" w:rsidRDefault="00A81638" w:rsidP="00CB39E7">
            <w:pPr>
              <w:pStyle w:val="TableText"/>
              <w:rPr>
                <w:b/>
                <w:bCs/>
                <w:vertAlign w:val="superscript"/>
                <w:lang w:val="en-GB"/>
              </w:rPr>
            </w:pPr>
            <w:r w:rsidRPr="000E67C9">
              <w:rPr>
                <w:lang w:val="en-GB"/>
              </w:rPr>
              <w:t>0.5 inductive</w:t>
            </w:r>
          </w:p>
        </w:tc>
        <w:tc>
          <w:tcPr>
            <w:tcW w:w="1147" w:type="pct"/>
          </w:tcPr>
          <w:p w14:paraId="56045F6C" w14:textId="77777777" w:rsidR="00A81638" w:rsidRPr="000E67C9" w:rsidRDefault="00A81638" w:rsidP="00CB39E7">
            <w:pPr>
              <w:pStyle w:val="TableText"/>
              <w:rPr>
                <w:lang w:val="en-GB"/>
              </w:rPr>
            </w:pPr>
            <w:r>
              <w:rPr>
                <w:lang w:val="en-GB"/>
              </w:rPr>
              <w:t>Positive and negative</w:t>
            </w:r>
          </w:p>
        </w:tc>
      </w:tr>
    </w:tbl>
    <w:p w14:paraId="673055D5" w14:textId="39831F7E" w:rsidR="00A81638" w:rsidRDefault="00A81638" w:rsidP="0063574C">
      <w:pPr>
        <w:pStyle w:val="Note"/>
        <w:spacing w:before="120"/>
      </w:pPr>
      <w:r w:rsidRPr="00CB39E7">
        <w:t>Note</w:t>
      </w:r>
      <w:r>
        <w:t xml:space="preserve"> 1:</w:t>
      </w:r>
      <w:r>
        <w:tab/>
        <w:t xml:space="preserve">For </w:t>
      </w:r>
      <w:r w:rsidR="00C31100" w:rsidRPr="00C31100">
        <w:t xml:space="preserve">electricity </w:t>
      </w:r>
      <w:r>
        <w:t xml:space="preserve">meters approved against NMI R 46, </w:t>
      </w:r>
      <w:proofErr w:type="spellStart"/>
      <w:r w:rsidRPr="00CB39E7">
        <w:rPr>
          <w:i/>
          <w:iCs/>
        </w:rPr>
        <w:t>I</w:t>
      </w:r>
      <w:r>
        <w:rPr>
          <w:vertAlign w:val="subscript"/>
        </w:rPr>
        <w:t>b</w:t>
      </w:r>
      <w:proofErr w:type="spellEnd"/>
      <w:r>
        <w:t xml:space="preserve"> is taken to be 10 </w:t>
      </w:r>
      <w:proofErr w:type="spellStart"/>
      <w:r>
        <w:rPr>
          <w:i/>
          <w:iCs/>
        </w:rPr>
        <w:t>I</w:t>
      </w:r>
      <w:r w:rsidRPr="00CB39E7">
        <w:rPr>
          <w:vertAlign w:val="subscript"/>
        </w:rPr>
        <w:t>tr</w:t>
      </w:r>
      <w:proofErr w:type="spellEnd"/>
      <w:r>
        <w:t>.</w:t>
      </w:r>
    </w:p>
    <w:p w14:paraId="4459BFB2" w14:textId="7A9E74CB" w:rsidR="00A81638" w:rsidRDefault="00A81638" w:rsidP="00A81638">
      <w:pPr>
        <w:pStyle w:val="Note"/>
        <w:spacing w:before="60"/>
      </w:pPr>
      <w:r>
        <w:t>Note 2:</w:t>
      </w:r>
      <w:r>
        <w:tab/>
        <w:t xml:space="preserve">For </w:t>
      </w:r>
      <w:r w:rsidR="00C31100" w:rsidRPr="00C31100">
        <w:t xml:space="preserve">electricity </w:t>
      </w:r>
      <w:r>
        <w:t xml:space="preserve">meters approved against NMI R 46, </w:t>
      </w:r>
      <w:r w:rsidRPr="004318DD">
        <w:rPr>
          <w:i/>
          <w:iCs/>
        </w:rPr>
        <w:t>I</w:t>
      </w:r>
      <w:r>
        <w:rPr>
          <w:vertAlign w:val="subscript"/>
        </w:rPr>
        <w:t>n</w:t>
      </w:r>
      <w:r>
        <w:t xml:space="preserve"> is taken to be 20 </w:t>
      </w:r>
      <w:proofErr w:type="spellStart"/>
      <w:r>
        <w:rPr>
          <w:i/>
          <w:iCs/>
        </w:rPr>
        <w:t>I</w:t>
      </w:r>
      <w:r w:rsidRPr="004318DD">
        <w:rPr>
          <w:vertAlign w:val="subscript"/>
        </w:rPr>
        <w:t>tr</w:t>
      </w:r>
      <w:proofErr w:type="spellEnd"/>
      <w:r>
        <w:t>.</w:t>
      </w:r>
    </w:p>
    <w:p w14:paraId="421BE382" w14:textId="78C355DB" w:rsidR="00A81638" w:rsidRDefault="00A81638" w:rsidP="00A81638">
      <w:pPr>
        <w:pStyle w:val="Note"/>
        <w:spacing w:before="60"/>
      </w:pPr>
      <w:r>
        <w:t>Note 3:</w:t>
      </w:r>
      <w:r>
        <w:tab/>
        <w:t xml:space="preserve">Tests at negative current flow are applicable for </w:t>
      </w:r>
      <w:r w:rsidR="00C31100" w:rsidRPr="00C31100">
        <w:t xml:space="preserve">electricity </w:t>
      </w:r>
      <w:r>
        <w:t xml:space="preserve">meters where the certificate of approval states that the </w:t>
      </w:r>
      <w:r w:rsidR="00C31100" w:rsidRPr="00C31100">
        <w:t xml:space="preserve">electricity </w:t>
      </w:r>
      <w:r>
        <w:t xml:space="preserve">meter is capable of measuring energy in both the positive and negative directions. </w:t>
      </w:r>
    </w:p>
    <w:p w14:paraId="164EB088" w14:textId="25A63056" w:rsidR="001D2937" w:rsidRPr="001D2937" w:rsidRDefault="00A81638" w:rsidP="001D2937">
      <w:pPr>
        <w:pStyle w:val="Note"/>
        <w:spacing w:before="60"/>
      </w:pPr>
      <w:r>
        <w:t>Note 4:</w:t>
      </w:r>
      <w:r>
        <w:tab/>
      </w:r>
      <w:r w:rsidR="001D2937">
        <w:rPr>
          <w:lang w:val="en-GB"/>
        </w:rPr>
        <w:t xml:space="preserve">This test point is not applicable for class 1 transformer-operated </w:t>
      </w:r>
      <w:r w:rsidR="00C31100" w:rsidRPr="00C31100">
        <w:rPr>
          <w:lang w:val="en-GB"/>
        </w:rPr>
        <w:t xml:space="preserve">electricity </w:t>
      </w:r>
      <w:r w:rsidR="001D2937">
        <w:rPr>
          <w:lang w:val="en-GB"/>
        </w:rPr>
        <w:t xml:space="preserve">meters. The test point for class 1 transformer-operated </w:t>
      </w:r>
      <w:r w:rsidR="00C31100" w:rsidRPr="00C31100">
        <w:rPr>
          <w:lang w:val="en-GB"/>
        </w:rPr>
        <w:t xml:space="preserve">electricity </w:t>
      </w:r>
      <w:r w:rsidR="001D2937">
        <w:rPr>
          <w:lang w:val="en-GB"/>
        </w:rPr>
        <w:t xml:space="preserve">meters is 0.02 </w:t>
      </w:r>
      <w:r w:rsidR="001D2937">
        <w:rPr>
          <w:i/>
          <w:lang w:val="en-GB"/>
        </w:rPr>
        <w:t>I</w:t>
      </w:r>
      <w:r w:rsidR="001D2937">
        <w:rPr>
          <w:vertAlign w:val="subscript"/>
          <w:lang w:val="en-GB"/>
        </w:rPr>
        <w:t>n</w:t>
      </w:r>
      <w:r w:rsidR="001D2937">
        <w:rPr>
          <w:lang w:val="en-GB"/>
        </w:rPr>
        <w:t>.</w:t>
      </w:r>
    </w:p>
    <w:p w14:paraId="4B3B82A4" w14:textId="52C16DB8" w:rsidR="00413E41" w:rsidRDefault="00832200" w:rsidP="00413E41">
      <w:pPr>
        <w:pStyle w:val="Heading2"/>
        <w:rPr>
          <w:lang w:val="en-US"/>
        </w:rPr>
      </w:pPr>
      <w:bookmarkStart w:id="573" w:name="_Toc170413888"/>
      <w:r>
        <w:rPr>
          <w:lang w:val="en-US"/>
        </w:rPr>
        <w:t>B</w:t>
      </w:r>
      <w:r w:rsidR="002268A8">
        <w:rPr>
          <w:lang w:val="en-US"/>
        </w:rPr>
        <w:t xml:space="preserve">atch </w:t>
      </w:r>
      <w:r>
        <w:rPr>
          <w:lang w:val="en-US"/>
        </w:rPr>
        <w:t xml:space="preserve">verification – batch of </w:t>
      </w:r>
      <w:r w:rsidR="002268A8">
        <w:rPr>
          <w:lang w:val="en-US"/>
        </w:rPr>
        <w:t xml:space="preserve">imported </w:t>
      </w:r>
      <w:r>
        <w:rPr>
          <w:lang w:val="en-US"/>
        </w:rPr>
        <w:t xml:space="preserve">electricity </w:t>
      </w:r>
      <w:proofErr w:type="gramStart"/>
      <w:r w:rsidR="002268A8">
        <w:rPr>
          <w:lang w:val="en-US"/>
        </w:rPr>
        <w:t>meters</w:t>
      </w:r>
      <w:bookmarkEnd w:id="573"/>
      <w:proofErr w:type="gramEnd"/>
    </w:p>
    <w:p w14:paraId="29D81EFB" w14:textId="77285A70" w:rsidR="007030A7" w:rsidRDefault="007030A7" w:rsidP="007030A7">
      <w:pPr>
        <w:pStyle w:val="Heading3"/>
      </w:pPr>
      <w:r>
        <w:t>General</w:t>
      </w:r>
    </w:p>
    <w:p w14:paraId="3A8A6C97" w14:textId="014683B2" w:rsidR="001F1DB8" w:rsidRDefault="001F1DB8" w:rsidP="00413E41">
      <w:r>
        <w:t xml:space="preserve">Use this procedure to verify a batch of imported </w:t>
      </w:r>
      <w:r w:rsidRPr="00903002">
        <w:t>electronic (solid-state)</w:t>
      </w:r>
      <w:r w:rsidR="00C31100" w:rsidRPr="00C31100">
        <w:t xml:space="preserve"> electricity</w:t>
      </w:r>
      <w:r w:rsidRPr="00903002">
        <w:t xml:space="preserve"> meters produced from a continuously operating process resulting in </w:t>
      </w:r>
      <w:proofErr w:type="gramStart"/>
      <w:r w:rsidRPr="00903002">
        <w:t>a large number of</w:t>
      </w:r>
      <w:proofErr w:type="gramEnd"/>
      <w:r w:rsidRPr="00903002">
        <w:t xml:space="preserve"> identical units</w:t>
      </w:r>
      <w:r>
        <w:t xml:space="preserve">. This procedure permits the </w:t>
      </w:r>
      <w:r w:rsidR="006C6611">
        <w:t>u</w:t>
      </w:r>
      <w:r w:rsidR="007030A7">
        <w:t xml:space="preserve">tility </w:t>
      </w:r>
      <w:r w:rsidR="006C6611">
        <w:t>m</w:t>
      </w:r>
      <w:r w:rsidR="007030A7">
        <w:t xml:space="preserve">eter </w:t>
      </w:r>
      <w:r w:rsidR="006C6611">
        <w:t>v</w:t>
      </w:r>
      <w:r w:rsidR="007030A7">
        <w:t>erifier</w:t>
      </w:r>
      <w:r w:rsidRPr="00903002">
        <w:t xml:space="preserve"> </w:t>
      </w:r>
      <w:r>
        <w:t xml:space="preserve">to </w:t>
      </w:r>
      <w:r w:rsidR="00F5547D">
        <w:t xml:space="preserve">take a sub-sample of the sample of </w:t>
      </w:r>
      <w:r w:rsidR="00C31100" w:rsidRPr="00C31100">
        <w:t xml:space="preserve">electricity </w:t>
      </w:r>
      <w:r w:rsidR="00F5547D">
        <w:t>meters selected from the batch</w:t>
      </w:r>
      <w:r w:rsidR="002B07AF">
        <w:t xml:space="preserve"> in accordance </w:t>
      </w:r>
      <w:r w:rsidR="009748F3">
        <w:t xml:space="preserve">with </w:t>
      </w:r>
      <w:r w:rsidR="002B07AF">
        <w:t>NITP 14.0. This sub-sampling</w:t>
      </w:r>
      <w:r w:rsidRPr="00903002">
        <w:t xml:space="preserve"> allow</w:t>
      </w:r>
      <w:r w:rsidR="002B07AF">
        <w:t>s</w:t>
      </w:r>
      <w:r w:rsidRPr="00903002">
        <w:t xml:space="preserve"> for a reduction in the number of test points required to be tested.</w:t>
      </w:r>
    </w:p>
    <w:p w14:paraId="02D737D8" w14:textId="5078F357" w:rsidR="00F5547D" w:rsidRDefault="001F1DB8" w:rsidP="00413E41">
      <w:r>
        <w:t xml:space="preserve">This procedure must only be used if the batch of imported </w:t>
      </w:r>
      <w:r w:rsidR="00C31100" w:rsidRPr="00C31100">
        <w:t xml:space="preserve">electricity </w:t>
      </w:r>
      <w:r>
        <w:t xml:space="preserve">meters is accepted </w:t>
      </w:r>
      <w:r w:rsidR="00F5547D">
        <w:t xml:space="preserve">as a batch in accordance with NITP 14.0 </w:t>
      </w:r>
      <w:r w:rsidR="005C46E5">
        <w:t xml:space="preserve">(see </w:t>
      </w:r>
      <w:r>
        <w:t>clauses 2.2.4.1 and 2.2.4.2</w:t>
      </w:r>
      <w:r w:rsidR="005C46E5">
        <w:t xml:space="preserve"> of NITP 14.0)</w:t>
      </w:r>
      <w:r>
        <w:t>.</w:t>
      </w:r>
      <w:r w:rsidR="00F5547D">
        <w:t xml:space="preserve"> Otherwise, the </w:t>
      </w:r>
      <w:r w:rsidR="00C31100" w:rsidRPr="00C31100">
        <w:t xml:space="preserve">electricity </w:t>
      </w:r>
      <w:r w:rsidR="00F5547D">
        <w:t xml:space="preserve">meters may be considered for </w:t>
      </w:r>
      <w:r w:rsidR="005C46E5">
        <w:t xml:space="preserve">individual </w:t>
      </w:r>
      <w:r w:rsidR="00F5547D">
        <w:t>verification in accordance with clauses 3.2 or 3.3.</w:t>
      </w:r>
    </w:p>
    <w:p w14:paraId="450FA6AB" w14:textId="5E2EFD5A" w:rsidR="00413E41" w:rsidRDefault="00380CE0" w:rsidP="00413E41">
      <w:r w:rsidRPr="00C10522">
        <w:t xml:space="preserve">See example </w:t>
      </w:r>
      <w:r>
        <w:t>(</w:t>
      </w:r>
      <w:r w:rsidR="003631F1">
        <w:t>A.</w:t>
      </w:r>
      <w:r>
        <w:t>2)</w:t>
      </w:r>
      <w:r w:rsidR="001F1DB8" w:rsidRPr="00C10522">
        <w:t xml:space="preserve"> provided in Appendix </w:t>
      </w:r>
      <w:r w:rsidRPr="00C10522">
        <w:t>A.</w:t>
      </w:r>
      <w:r w:rsidR="00413E41">
        <w:t xml:space="preserve"> </w:t>
      </w:r>
    </w:p>
    <w:p w14:paraId="5D1C8DD1" w14:textId="69C212C1" w:rsidR="007030A7" w:rsidRDefault="007030A7" w:rsidP="007030A7">
      <w:pPr>
        <w:pStyle w:val="Heading3"/>
      </w:pPr>
      <w:r>
        <w:lastRenderedPageBreak/>
        <w:t xml:space="preserve">Test </w:t>
      </w:r>
      <w:proofErr w:type="gramStart"/>
      <w:r>
        <w:t>procedure</w:t>
      </w:r>
      <w:proofErr w:type="gramEnd"/>
    </w:p>
    <w:p w14:paraId="2ADCEEB1" w14:textId="17C9D964" w:rsidR="00F5547D" w:rsidRPr="007030A7" w:rsidRDefault="00F5547D">
      <w:pPr>
        <w:pStyle w:val="ListParagraph"/>
        <w:numPr>
          <w:ilvl w:val="0"/>
          <w:numId w:val="20"/>
        </w:numPr>
        <w:rPr>
          <w:rFonts w:eastAsia="Calibri" w:cs="Times New Roman"/>
        </w:rPr>
      </w:pPr>
      <w:r w:rsidRPr="00D3629E">
        <w:rPr>
          <w:rFonts w:cs="Arial"/>
          <w:szCs w:val="24"/>
          <w:lang w:eastAsia="en-AU"/>
        </w:rPr>
        <w:t>Complete an accuracy test (clause 2.1) at the mandatory test points specified in</w:t>
      </w:r>
      <w:r w:rsidR="002B07AF">
        <w:rPr>
          <w:rFonts w:cs="Arial"/>
          <w:szCs w:val="24"/>
          <w:lang w:eastAsia="en-AU"/>
        </w:rPr>
        <w:t xml:space="preserve"> </w:t>
      </w:r>
      <w:r w:rsidR="002B07AF">
        <w:rPr>
          <w:rFonts w:cs="Arial"/>
          <w:szCs w:val="24"/>
          <w:lang w:eastAsia="en-AU"/>
        </w:rPr>
        <w:fldChar w:fldCharType="begin" w:fldLock="1"/>
      </w:r>
      <w:r w:rsidR="002B07AF">
        <w:rPr>
          <w:rFonts w:cs="Arial"/>
          <w:szCs w:val="24"/>
          <w:lang w:eastAsia="en-AU"/>
        </w:rPr>
        <w:instrText xml:space="preserve"> REF _Ref146648198 </w:instrText>
      </w:r>
      <w:r w:rsidR="002B07AF">
        <w:rPr>
          <w:rFonts w:cs="Arial"/>
          <w:szCs w:val="24"/>
          <w:lang w:eastAsia="en-AU"/>
        </w:rPr>
        <w:fldChar w:fldCharType="separate"/>
      </w:r>
      <w:r w:rsidR="002B07AF">
        <w:t xml:space="preserve">Table </w:t>
      </w:r>
      <w:r w:rsidR="002B07AF">
        <w:rPr>
          <w:noProof/>
        </w:rPr>
        <w:t>11</w:t>
      </w:r>
      <w:r w:rsidR="002B07AF">
        <w:rPr>
          <w:rFonts w:cs="Arial"/>
          <w:szCs w:val="24"/>
          <w:lang w:eastAsia="en-AU"/>
        </w:rPr>
        <w:fldChar w:fldCharType="end"/>
      </w:r>
      <w:r>
        <w:rPr>
          <w:rFonts w:cs="Arial"/>
          <w:szCs w:val="24"/>
          <w:lang w:eastAsia="en-AU"/>
        </w:rPr>
        <w:t xml:space="preserve"> </w:t>
      </w:r>
      <w:r>
        <w:rPr>
          <w:rFonts w:cs="Arial"/>
          <w:szCs w:val="24"/>
          <w:lang w:eastAsia="en-AU"/>
        </w:rPr>
        <w:fldChar w:fldCharType="begin" w:fldLock="1"/>
      </w:r>
      <w:r>
        <w:rPr>
          <w:rFonts w:cs="Arial"/>
          <w:szCs w:val="24"/>
          <w:lang w:eastAsia="en-AU"/>
        </w:rPr>
        <w:instrText xml:space="preserve"> REF _Ref146644447 </w:instrText>
      </w:r>
      <w:r w:rsidR="00440352">
        <w:rPr>
          <w:rFonts w:cs="Arial"/>
          <w:szCs w:val="24"/>
          <w:lang w:eastAsia="en-AU"/>
        </w:rPr>
        <w:fldChar w:fldCharType="separate"/>
      </w:r>
      <w:r>
        <w:rPr>
          <w:rFonts w:cs="Arial"/>
          <w:szCs w:val="24"/>
          <w:lang w:eastAsia="en-AU"/>
        </w:rPr>
        <w:fldChar w:fldCharType="end"/>
      </w:r>
      <w:r>
        <w:rPr>
          <w:rFonts w:cs="Arial"/>
          <w:szCs w:val="24"/>
          <w:lang w:eastAsia="en-AU"/>
        </w:rPr>
        <w:t xml:space="preserve">for every </w:t>
      </w:r>
      <w:r w:rsidR="00C31100" w:rsidRPr="00C31100">
        <w:rPr>
          <w:rFonts w:cs="Arial"/>
          <w:szCs w:val="24"/>
          <w:lang w:eastAsia="en-AU"/>
        </w:rPr>
        <w:t xml:space="preserve">electricity </w:t>
      </w:r>
      <w:r>
        <w:rPr>
          <w:rFonts w:cs="Arial"/>
          <w:szCs w:val="24"/>
          <w:lang w:eastAsia="en-AU"/>
        </w:rPr>
        <w:t xml:space="preserve">meter in the </w:t>
      </w:r>
      <w:r w:rsidR="002B07AF">
        <w:rPr>
          <w:rFonts w:cs="Arial"/>
          <w:szCs w:val="24"/>
          <w:lang w:eastAsia="en-AU"/>
        </w:rPr>
        <w:t>sample (the sample selected in accordance with NITP 14.0)</w:t>
      </w:r>
      <w:r>
        <w:rPr>
          <w:rFonts w:cs="Arial"/>
          <w:szCs w:val="24"/>
          <w:lang w:eastAsia="en-AU"/>
        </w:rPr>
        <w:t>.</w:t>
      </w:r>
    </w:p>
    <w:p w14:paraId="70699DD9" w14:textId="16B926C5" w:rsidR="007030A7" w:rsidRDefault="007030A7" w:rsidP="0063574C">
      <w:pPr>
        <w:pStyle w:val="Caption"/>
        <w:keepNext/>
        <w:ind w:left="357"/>
      </w:pPr>
      <w:bookmarkStart w:id="574" w:name="_Ref146648198"/>
      <w:r>
        <w:t xml:space="preserve">Table </w:t>
      </w:r>
      <w:r w:rsidR="00440352">
        <w:fldChar w:fldCharType="begin"/>
      </w:r>
      <w:r w:rsidR="00440352">
        <w:instrText xml:space="preserve"> SEQ Table \* ARABIC </w:instrText>
      </w:r>
      <w:r w:rsidR="00440352">
        <w:fldChar w:fldCharType="separate"/>
      </w:r>
      <w:r w:rsidR="003F6048">
        <w:rPr>
          <w:noProof/>
        </w:rPr>
        <w:t>11</w:t>
      </w:r>
      <w:r w:rsidR="00440352">
        <w:rPr>
          <w:noProof/>
        </w:rPr>
        <w:fldChar w:fldCharType="end"/>
      </w:r>
      <w:bookmarkEnd w:id="574"/>
      <w:r>
        <w:t xml:space="preserve">. </w:t>
      </w:r>
      <w:r w:rsidRPr="001D41B0">
        <w:t xml:space="preserve">Mandatory test points </w:t>
      </w:r>
      <w:r>
        <w:t xml:space="preserve">for all </w:t>
      </w:r>
      <w:r w:rsidR="00C31100" w:rsidRPr="00C31100">
        <w:t xml:space="preserve">electricity </w:t>
      </w:r>
      <w:r>
        <w:t xml:space="preserve">meters in a </w:t>
      </w:r>
      <w:r w:rsidR="004138C6">
        <w:t>sample</w:t>
      </w:r>
      <w:r w:rsidRPr="00C26E27">
        <w:t xml:space="preserve"> of </w:t>
      </w:r>
      <w:r w:rsidR="00C26E27" w:rsidRPr="00C10522">
        <w:t>imported</w:t>
      </w:r>
      <w:r w:rsidRPr="00C26E27">
        <w:t xml:space="preserve"> electricity meters</w:t>
      </w:r>
    </w:p>
    <w:tbl>
      <w:tblPr>
        <w:tblStyle w:val="NITP"/>
        <w:tblW w:w="4832" w:type="pct"/>
        <w:tblInd w:w="360" w:type="dxa"/>
        <w:tblLook w:val="0020" w:firstRow="1" w:lastRow="0" w:firstColumn="0" w:lastColumn="0" w:noHBand="0" w:noVBand="0"/>
      </w:tblPr>
      <w:tblGrid>
        <w:gridCol w:w="2669"/>
        <w:gridCol w:w="3062"/>
        <w:gridCol w:w="1418"/>
        <w:gridCol w:w="2267"/>
      </w:tblGrid>
      <w:tr w:rsidR="007030A7" w14:paraId="40E6E88F" w14:textId="77777777" w:rsidTr="007030A7">
        <w:trPr>
          <w:cnfStyle w:val="100000000000" w:firstRow="1" w:lastRow="0" w:firstColumn="0" w:lastColumn="0" w:oddVBand="0" w:evenVBand="0" w:oddHBand="0" w:evenHBand="0" w:firstRowFirstColumn="0" w:firstRowLastColumn="0" w:lastRowFirstColumn="0" w:lastRowLastColumn="0"/>
        </w:trPr>
        <w:tc>
          <w:tcPr>
            <w:tcW w:w="1417" w:type="pct"/>
          </w:tcPr>
          <w:p w14:paraId="1ED96F04" w14:textId="77777777" w:rsidR="007030A7" w:rsidRPr="005849DE" w:rsidRDefault="007030A7" w:rsidP="00A95724">
            <w:pPr>
              <w:pStyle w:val="TableText"/>
              <w:rPr>
                <w:b w:val="0"/>
                <w:bCs/>
                <w:vertAlign w:val="superscript"/>
                <w:lang w:val="en-GB"/>
              </w:rPr>
            </w:pPr>
            <w:r w:rsidRPr="005849DE">
              <w:rPr>
                <w:bCs/>
                <w:lang w:val="en-GB"/>
              </w:rPr>
              <w:t>Current (A)</w:t>
            </w:r>
            <w:r>
              <w:rPr>
                <w:bCs/>
                <w:lang w:val="en-GB"/>
              </w:rPr>
              <w:t xml:space="preserve"> for direct-connected meters</w:t>
            </w:r>
            <w:r>
              <w:rPr>
                <w:bCs/>
                <w:vertAlign w:val="superscript"/>
                <w:lang w:val="en-GB"/>
              </w:rPr>
              <w:t>1</w:t>
            </w:r>
          </w:p>
        </w:tc>
        <w:tc>
          <w:tcPr>
            <w:tcW w:w="1626" w:type="pct"/>
          </w:tcPr>
          <w:p w14:paraId="1684B68F" w14:textId="77777777" w:rsidR="007030A7" w:rsidRPr="005849DE" w:rsidRDefault="007030A7" w:rsidP="00A95724">
            <w:pPr>
              <w:pStyle w:val="TableText"/>
              <w:rPr>
                <w:b w:val="0"/>
                <w:bCs/>
                <w:lang w:val="en-GB"/>
              </w:rPr>
            </w:pPr>
            <w:r w:rsidRPr="005849DE">
              <w:rPr>
                <w:bCs/>
                <w:lang w:val="en-GB"/>
              </w:rPr>
              <w:t>Current (A)</w:t>
            </w:r>
            <w:r>
              <w:rPr>
                <w:bCs/>
                <w:lang w:val="en-GB"/>
              </w:rPr>
              <w:t xml:space="preserve"> for transformer-operated meters</w:t>
            </w:r>
            <w:r>
              <w:rPr>
                <w:bCs/>
                <w:vertAlign w:val="superscript"/>
                <w:lang w:val="en-GB"/>
              </w:rPr>
              <w:t>2</w:t>
            </w:r>
          </w:p>
        </w:tc>
        <w:tc>
          <w:tcPr>
            <w:tcW w:w="753" w:type="pct"/>
          </w:tcPr>
          <w:p w14:paraId="7C5C5813" w14:textId="77777777" w:rsidR="007030A7" w:rsidRPr="005849DE" w:rsidRDefault="007030A7" w:rsidP="00A95724">
            <w:pPr>
              <w:pStyle w:val="TableText"/>
              <w:rPr>
                <w:b w:val="0"/>
                <w:bCs/>
                <w:lang w:val="en-GB"/>
              </w:rPr>
            </w:pPr>
            <w:r w:rsidRPr="005849DE">
              <w:rPr>
                <w:bCs/>
                <w:lang w:val="en-GB"/>
              </w:rPr>
              <w:t>Power factor</w:t>
            </w:r>
          </w:p>
        </w:tc>
        <w:tc>
          <w:tcPr>
            <w:tcW w:w="1204" w:type="pct"/>
          </w:tcPr>
          <w:p w14:paraId="7DABBFB8" w14:textId="77777777" w:rsidR="007030A7" w:rsidRPr="00CB39E7" w:rsidRDefault="007030A7" w:rsidP="00A95724">
            <w:pPr>
              <w:pStyle w:val="TableText"/>
              <w:rPr>
                <w:b w:val="0"/>
                <w:bCs/>
                <w:vertAlign w:val="superscript"/>
                <w:lang w:val="en-GB"/>
              </w:rPr>
            </w:pPr>
            <w:r>
              <w:rPr>
                <w:bCs/>
                <w:lang w:val="en-GB"/>
              </w:rPr>
              <w:t>Direction of current flow</w:t>
            </w:r>
            <w:r>
              <w:rPr>
                <w:bCs/>
                <w:vertAlign w:val="superscript"/>
                <w:lang w:val="en-GB"/>
              </w:rPr>
              <w:t>3</w:t>
            </w:r>
          </w:p>
        </w:tc>
      </w:tr>
      <w:tr w:rsidR="007030A7" w14:paraId="534D2E1B" w14:textId="77777777" w:rsidTr="007030A7">
        <w:tc>
          <w:tcPr>
            <w:tcW w:w="1417" w:type="pct"/>
            <w:hideMark/>
          </w:tcPr>
          <w:p w14:paraId="75749362" w14:textId="77777777" w:rsidR="007030A7" w:rsidRDefault="007030A7" w:rsidP="00A95724">
            <w:pPr>
              <w:pStyle w:val="TableText"/>
              <w:rPr>
                <w:lang w:val="en-GB"/>
              </w:rPr>
            </w:pPr>
            <w:r>
              <w:rPr>
                <w:lang w:val="en-GB"/>
              </w:rPr>
              <w:t xml:space="preserve">0.1 </w:t>
            </w:r>
            <w:proofErr w:type="spellStart"/>
            <w:r>
              <w:rPr>
                <w:i/>
                <w:lang w:val="en-GB"/>
              </w:rPr>
              <w:t>I</w:t>
            </w:r>
            <w:r>
              <w:rPr>
                <w:vertAlign w:val="subscript"/>
                <w:lang w:val="en-GB"/>
              </w:rPr>
              <w:t>b</w:t>
            </w:r>
            <w:proofErr w:type="spellEnd"/>
          </w:p>
        </w:tc>
        <w:tc>
          <w:tcPr>
            <w:tcW w:w="1626" w:type="pct"/>
          </w:tcPr>
          <w:p w14:paraId="144703DA" w14:textId="77777777" w:rsidR="007030A7" w:rsidRPr="004931F7" w:rsidRDefault="007030A7" w:rsidP="00A95724">
            <w:pPr>
              <w:pStyle w:val="TableText"/>
              <w:rPr>
                <w:lang w:val="en-GB"/>
              </w:rPr>
            </w:pPr>
            <w:r>
              <w:rPr>
                <w:lang w:val="en-GB"/>
              </w:rPr>
              <w:t xml:space="preserve">0.1 </w:t>
            </w:r>
            <w:r>
              <w:rPr>
                <w:i/>
                <w:lang w:val="en-GB"/>
              </w:rPr>
              <w:t>I</w:t>
            </w:r>
            <w:r>
              <w:rPr>
                <w:vertAlign w:val="subscript"/>
                <w:lang w:val="en-GB"/>
              </w:rPr>
              <w:t>n</w:t>
            </w:r>
          </w:p>
        </w:tc>
        <w:tc>
          <w:tcPr>
            <w:tcW w:w="753" w:type="pct"/>
            <w:hideMark/>
          </w:tcPr>
          <w:p w14:paraId="036B6F62" w14:textId="77777777" w:rsidR="007030A7" w:rsidRPr="004931F7" w:rsidRDefault="007030A7" w:rsidP="00A95724">
            <w:pPr>
              <w:pStyle w:val="TableText"/>
              <w:rPr>
                <w:vertAlign w:val="superscript"/>
                <w:lang w:val="en-GB"/>
              </w:rPr>
            </w:pPr>
            <w:r w:rsidRPr="004931F7">
              <w:rPr>
                <w:lang w:val="en-GB"/>
              </w:rPr>
              <w:t>1</w:t>
            </w:r>
          </w:p>
        </w:tc>
        <w:tc>
          <w:tcPr>
            <w:tcW w:w="1204" w:type="pct"/>
          </w:tcPr>
          <w:p w14:paraId="4B9CA405" w14:textId="77777777" w:rsidR="007030A7" w:rsidRPr="004931F7" w:rsidRDefault="007030A7" w:rsidP="00A95724">
            <w:pPr>
              <w:pStyle w:val="TableText"/>
              <w:rPr>
                <w:lang w:val="en-GB"/>
              </w:rPr>
            </w:pPr>
            <w:r>
              <w:rPr>
                <w:lang w:val="en-GB"/>
              </w:rPr>
              <w:t>Positive only</w:t>
            </w:r>
          </w:p>
        </w:tc>
      </w:tr>
      <w:tr w:rsidR="007030A7" w14:paraId="0BEC2AFA" w14:textId="77777777" w:rsidTr="007030A7">
        <w:trPr>
          <w:cnfStyle w:val="000000010000" w:firstRow="0" w:lastRow="0" w:firstColumn="0" w:lastColumn="0" w:oddVBand="0" w:evenVBand="0" w:oddHBand="0" w:evenHBand="1" w:firstRowFirstColumn="0" w:firstRowLastColumn="0" w:lastRowFirstColumn="0" w:lastRowLastColumn="0"/>
        </w:trPr>
        <w:tc>
          <w:tcPr>
            <w:tcW w:w="1417" w:type="pct"/>
            <w:hideMark/>
          </w:tcPr>
          <w:p w14:paraId="52EE96ED" w14:textId="77777777" w:rsidR="007030A7" w:rsidRDefault="007030A7" w:rsidP="00A95724">
            <w:pPr>
              <w:pStyle w:val="TableText"/>
              <w:rPr>
                <w:lang w:val="en-GB"/>
              </w:rPr>
            </w:pPr>
            <w:proofErr w:type="spellStart"/>
            <w:r>
              <w:rPr>
                <w:i/>
                <w:lang w:val="en-GB"/>
              </w:rPr>
              <w:t>I</w:t>
            </w:r>
            <w:r>
              <w:rPr>
                <w:vertAlign w:val="subscript"/>
                <w:lang w:val="en-GB"/>
              </w:rPr>
              <w:t>b</w:t>
            </w:r>
            <w:proofErr w:type="spellEnd"/>
          </w:p>
        </w:tc>
        <w:tc>
          <w:tcPr>
            <w:tcW w:w="1626" w:type="pct"/>
          </w:tcPr>
          <w:p w14:paraId="2620E920" w14:textId="77777777" w:rsidR="007030A7" w:rsidRPr="000E67C9" w:rsidRDefault="007030A7" w:rsidP="00A95724">
            <w:pPr>
              <w:pStyle w:val="TableText"/>
              <w:rPr>
                <w:lang w:val="en-GB"/>
              </w:rPr>
            </w:pPr>
            <w:r>
              <w:rPr>
                <w:i/>
                <w:lang w:val="en-GB"/>
              </w:rPr>
              <w:t>I</w:t>
            </w:r>
            <w:r>
              <w:rPr>
                <w:vertAlign w:val="subscript"/>
                <w:lang w:val="en-GB"/>
              </w:rPr>
              <w:t>n</w:t>
            </w:r>
          </w:p>
        </w:tc>
        <w:tc>
          <w:tcPr>
            <w:tcW w:w="753" w:type="pct"/>
            <w:hideMark/>
          </w:tcPr>
          <w:p w14:paraId="579C4119" w14:textId="77777777" w:rsidR="007030A7" w:rsidRPr="004931F7" w:rsidRDefault="007030A7" w:rsidP="00A95724">
            <w:pPr>
              <w:pStyle w:val="TableText"/>
              <w:rPr>
                <w:vertAlign w:val="superscript"/>
                <w:lang w:val="en-GB"/>
              </w:rPr>
            </w:pPr>
            <w:r w:rsidRPr="000E67C9">
              <w:rPr>
                <w:lang w:val="en-GB"/>
              </w:rPr>
              <w:t>1</w:t>
            </w:r>
          </w:p>
        </w:tc>
        <w:tc>
          <w:tcPr>
            <w:tcW w:w="1204" w:type="pct"/>
          </w:tcPr>
          <w:p w14:paraId="207A3912" w14:textId="77777777" w:rsidR="007030A7" w:rsidRPr="000E67C9" w:rsidRDefault="007030A7" w:rsidP="00A95724">
            <w:pPr>
              <w:pStyle w:val="TableText"/>
              <w:rPr>
                <w:lang w:val="en-GB"/>
              </w:rPr>
            </w:pPr>
            <w:r>
              <w:rPr>
                <w:lang w:val="en-GB"/>
              </w:rPr>
              <w:t>Positive and negative</w:t>
            </w:r>
          </w:p>
        </w:tc>
      </w:tr>
      <w:tr w:rsidR="007030A7" w14:paraId="4525466F" w14:textId="77777777" w:rsidTr="007030A7">
        <w:tc>
          <w:tcPr>
            <w:tcW w:w="1417" w:type="pct"/>
            <w:hideMark/>
          </w:tcPr>
          <w:p w14:paraId="7E397E93" w14:textId="77777777" w:rsidR="007030A7" w:rsidRDefault="007030A7" w:rsidP="00A95724">
            <w:pPr>
              <w:pStyle w:val="TableText"/>
              <w:rPr>
                <w:lang w:val="en-GB"/>
              </w:rPr>
            </w:pPr>
            <w:proofErr w:type="spellStart"/>
            <w:r>
              <w:rPr>
                <w:i/>
                <w:lang w:val="en-GB"/>
              </w:rPr>
              <w:t>I</w:t>
            </w:r>
            <w:r>
              <w:rPr>
                <w:vertAlign w:val="subscript"/>
                <w:lang w:val="en-GB"/>
              </w:rPr>
              <w:t>b</w:t>
            </w:r>
            <w:proofErr w:type="spellEnd"/>
          </w:p>
        </w:tc>
        <w:tc>
          <w:tcPr>
            <w:tcW w:w="1626" w:type="pct"/>
          </w:tcPr>
          <w:p w14:paraId="7EB9D1B9" w14:textId="77777777" w:rsidR="007030A7" w:rsidRPr="000E67C9" w:rsidRDefault="007030A7" w:rsidP="00A95724">
            <w:pPr>
              <w:pStyle w:val="TableText"/>
              <w:rPr>
                <w:lang w:val="en-GB"/>
              </w:rPr>
            </w:pPr>
            <w:r>
              <w:rPr>
                <w:i/>
                <w:lang w:val="en-GB"/>
              </w:rPr>
              <w:t>I</w:t>
            </w:r>
            <w:r>
              <w:rPr>
                <w:vertAlign w:val="subscript"/>
                <w:lang w:val="en-GB"/>
              </w:rPr>
              <w:t>n</w:t>
            </w:r>
          </w:p>
        </w:tc>
        <w:tc>
          <w:tcPr>
            <w:tcW w:w="753" w:type="pct"/>
            <w:hideMark/>
          </w:tcPr>
          <w:p w14:paraId="39AF9E05" w14:textId="77777777" w:rsidR="007030A7" w:rsidRPr="004931F7" w:rsidRDefault="007030A7" w:rsidP="00A95724">
            <w:pPr>
              <w:pStyle w:val="TableText"/>
              <w:rPr>
                <w:vertAlign w:val="superscript"/>
                <w:lang w:val="en-GB"/>
              </w:rPr>
            </w:pPr>
            <w:r w:rsidRPr="000E67C9">
              <w:rPr>
                <w:lang w:val="en-GB"/>
              </w:rPr>
              <w:t>0.5 inductive</w:t>
            </w:r>
          </w:p>
        </w:tc>
        <w:tc>
          <w:tcPr>
            <w:tcW w:w="1204" w:type="pct"/>
          </w:tcPr>
          <w:p w14:paraId="214DEA61" w14:textId="77777777" w:rsidR="007030A7" w:rsidRPr="000E67C9" w:rsidRDefault="007030A7" w:rsidP="00A95724">
            <w:pPr>
              <w:pStyle w:val="TableText"/>
              <w:rPr>
                <w:lang w:val="en-GB"/>
              </w:rPr>
            </w:pPr>
            <w:r>
              <w:rPr>
                <w:lang w:val="en-GB"/>
              </w:rPr>
              <w:t>Positive and negative</w:t>
            </w:r>
          </w:p>
        </w:tc>
      </w:tr>
    </w:tbl>
    <w:p w14:paraId="420BD6D5" w14:textId="16A44B50" w:rsidR="007030A7" w:rsidRPr="007030A7" w:rsidRDefault="007030A7" w:rsidP="00140BC3">
      <w:pPr>
        <w:pStyle w:val="Note"/>
        <w:spacing w:before="120"/>
        <w:ind w:left="1077"/>
      </w:pPr>
      <w:r w:rsidRPr="009748F3">
        <w:t>Note 1:</w:t>
      </w:r>
      <w:r w:rsidRPr="009748F3">
        <w:tab/>
        <w:t xml:space="preserve">For </w:t>
      </w:r>
      <w:r w:rsidR="00C31100" w:rsidRPr="009748F3">
        <w:t xml:space="preserve">electricity </w:t>
      </w:r>
      <w:r w:rsidRPr="009748F3">
        <w:t xml:space="preserve">meters approved against NMI R 46, </w:t>
      </w:r>
      <w:proofErr w:type="spellStart"/>
      <w:r w:rsidRPr="00140BC3">
        <w:rPr>
          <w:i/>
          <w:iCs/>
        </w:rPr>
        <w:t>I</w:t>
      </w:r>
      <w:r w:rsidRPr="00140BC3">
        <w:rPr>
          <w:i/>
          <w:iCs/>
          <w:vertAlign w:val="subscript"/>
        </w:rPr>
        <w:t>b</w:t>
      </w:r>
      <w:proofErr w:type="spellEnd"/>
      <w:r w:rsidRPr="009748F3">
        <w:t xml:space="preserve"> is taken to be 10 </w:t>
      </w:r>
      <w:proofErr w:type="spellStart"/>
      <w:r w:rsidRPr="00140BC3">
        <w:rPr>
          <w:i/>
          <w:iCs/>
        </w:rPr>
        <w:t>I</w:t>
      </w:r>
      <w:r w:rsidRPr="00140BC3">
        <w:rPr>
          <w:i/>
          <w:iCs/>
          <w:vertAlign w:val="subscript"/>
        </w:rPr>
        <w:t>tr</w:t>
      </w:r>
      <w:proofErr w:type="spellEnd"/>
      <w:r w:rsidRPr="009748F3">
        <w:t>.</w:t>
      </w:r>
    </w:p>
    <w:p w14:paraId="5B3D804B" w14:textId="4B1C16A6" w:rsidR="007030A7" w:rsidRPr="007030A7" w:rsidRDefault="007030A7" w:rsidP="007030A7">
      <w:pPr>
        <w:pStyle w:val="Note"/>
        <w:ind w:left="1080"/>
      </w:pPr>
      <w:r w:rsidRPr="007030A7">
        <w:t>Note 2:</w:t>
      </w:r>
      <w:r w:rsidRPr="007030A7">
        <w:tab/>
        <w:t xml:space="preserve">For </w:t>
      </w:r>
      <w:r w:rsidR="00C31100" w:rsidRPr="00C31100">
        <w:t xml:space="preserve">electricity </w:t>
      </w:r>
      <w:r w:rsidRPr="007030A7">
        <w:t xml:space="preserve">meters approved against NMI R 46, </w:t>
      </w:r>
      <w:r w:rsidRPr="00140BC3">
        <w:rPr>
          <w:i/>
          <w:iCs/>
        </w:rPr>
        <w:t>I</w:t>
      </w:r>
      <w:r w:rsidRPr="00140BC3">
        <w:rPr>
          <w:i/>
          <w:iCs/>
          <w:vertAlign w:val="subscript"/>
        </w:rPr>
        <w:t>n</w:t>
      </w:r>
      <w:r w:rsidRPr="007030A7">
        <w:t xml:space="preserve"> is taken to be 20 </w:t>
      </w:r>
      <w:proofErr w:type="spellStart"/>
      <w:r w:rsidRPr="00140BC3">
        <w:rPr>
          <w:i/>
          <w:iCs/>
        </w:rPr>
        <w:t>I</w:t>
      </w:r>
      <w:r w:rsidRPr="00140BC3">
        <w:rPr>
          <w:i/>
          <w:iCs/>
          <w:vertAlign w:val="subscript"/>
        </w:rPr>
        <w:t>tr</w:t>
      </w:r>
      <w:proofErr w:type="spellEnd"/>
      <w:r w:rsidRPr="007030A7">
        <w:t>.</w:t>
      </w:r>
    </w:p>
    <w:p w14:paraId="616FB20F" w14:textId="16A1A05F" w:rsidR="007030A7" w:rsidRPr="007030A7" w:rsidRDefault="007030A7" w:rsidP="007030A7">
      <w:pPr>
        <w:pStyle w:val="Note"/>
        <w:ind w:left="1080"/>
      </w:pPr>
      <w:r w:rsidRPr="007030A7">
        <w:t>Note 3:</w:t>
      </w:r>
      <w:r w:rsidRPr="007030A7">
        <w:tab/>
        <w:t xml:space="preserve">Tests at negative current flow are applicable for meters where the certificate of approvals states that the </w:t>
      </w:r>
      <w:r w:rsidR="00C31100" w:rsidRPr="00C31100">
        <w:t xml:space="preserve">electricity </w:t>
      </w:r>
      <w:r w:rsidRPr="007030A7">
        <w:t xml:space="preserve">meter is capable of measuring energy in both the positive and negative directions. </w:t>
      </w:r>
    </w:p>
    <w:p w14:paraId="16A8648D" w14:textId="3D49A9B6" w:rsidR="005C46E5" w:rsidRPr="0003179F" w:rsidRDefault="005C46E5" w:rsidP="005C46E5">
      <w:pPr>
        <w:pStyle w:val="ListParagraph"/>
        <w:numPr>
          <w:ilvl w:val="0"/>
          <w:numId w:val="20"/>
        </w:numPr>
        <w:rPr>
          <w:rFonts w:eastAsia="Calibri" w:cs="Times New Roman"/>
        </w:rPr>
      </w:pPr>
      <w:r>
        <w:t>Draw a sub-</w:t>
      </w:r>
      <w:r w:rsidRPr="00E21E72">
        <w:t xml:space="preserve">sample of </w:t>
      </w:r>
      <w:r w:rsidR="00C31100" w:rsidRPr="00C31100">
        <w:t xml:space="preserve">electricity </w:t>
      </w:r>
      <w:r w:rsidRPr="00E21E72">
        <w:t xml:space="preserve">meters at random from </w:t>
      </w:r>
      <w:r>
        <w:t xml:space="preserve">the sample </w:t>
      </w:r>
      <w:r w:rsidRPr="00E21E72">
        <w:t>in accordance with</w:t>
      </w:r>
      <w:r>
        <w:t xml:space="preserve"> </w:t>
      </w:r>
      <w:r w:rsidR="00440352">
        <w:fldChar w:fldCharType="begin" w:fldLock="1"/>
      </w:r>
      <w:r w:rsidR="00440352">
        <w:instrText xml:space="preserve"> REF _Ref146709833 </w:instrText>
      </w:r>
      <w:r w:rsidR="00440352">
        <w:fldChar w:fldCharType="separate"/>
      </w:r>
      <w:r>
        <w:t xml:space="preserve">Table </w:t>
      </w:r>
      <w:r>
        <w:rPr>
          <w:noProof/>
        </w:rPr>
        <w:t>12</w:t>
      </w:r>
      <w:r w:rsidR="00440352">
        <w:rPr>
          <w:noProof/>
        </w:rPr>
        <w:fldChar w:fldCharType="end"/>
      </w:r>
      <w:r w:rsidRPr="00E21E72">
        <w:t>.</w:t>
      </w:r>
      <w:r>
        <w:t xml:space="preserve"> </w:t>
      </w:r>
      <w:r w:rsidR="0003179F">
        <w:t>Sample</w:t>
      </w:r>
      <w:r w:rsidRPr="00E21E72">
        <w:t xml:space="preserve"> sizes and </w:t>
      </w:r>
      <w:r w:rsidR="0003179F">
        <w:t>sub-</w:t>
      </w:r>
      <w:r w:rsidRPr="00952B04">
        <w:t xml:space="preserve">sample sizes </w:t>
      </w:r>
      <w:r>
        <w:t>must</w:t>
      </w:r>
      <w:r w:rsidRPr="00952B04">
        <w:t xml:space="preserve"> be determined and documented by the </w:t>
      </w:r>
      <w:r w:rsidR="006C6611">
        <w:t>u</w:t>
      </w:r>
      <w:r w:rsidR="007030A7">
        <w:t xml:space="preserve">tility </w:t>
      </w:r>
      <w:r w:rsidR="006C6611">
        <w:t>m</w:t>
      </w:r>
      <w:r w:rsidR="007030A7">
        <w:t xml:space="preserve">eter </w:t>
      </w:r>
      <w:r w:rsidR="006C6611">
        <w:t>v</w:t>
      </w:r>
      <w:r w:rsidR="007030A7">
        <w:t>erifier</w:t>
      </w:r>
      <w:r w:rsidRPr="00952B04">
        <w:t>.</w:t>
      </w:r>
    </w:p>
    <w:p w14:paraId="52622C35" w14:textId="78C19D1A" w:rsidR="0003179F" w:rsidRPr="0003179F" w:rsidRDefault="0003179F" w:rsidP="0003179F">
      <w:pPr>
        <w:pStyle w:val="Note"/>
        <w:ind w:left="1080"/>
      </w:pPr>
      <w:r w:rsidRPr="0003179F">
        <w:t>Note 1:</w:t>
      </w:r>
      <w:r w:rsidRPr="0003179F">
        <w:tab/>
        <w:t xml:space="preserve">The sampling plans specified below are based upon single sampling plans from </w:t>
      </w:r>
      <w:r w:rsidRPr="00140BC3">
        <w:rPr>
          <w:i/>
          <w:iCs/>
        </w:rPr>
        <w:t>AS 1199.1 Sampling procedures for inspection by attributes</w:t>
      </w:r>
      <w:r w:rsidRPr="0003179F">
        <w:t xml:space="preserve">. </w:t>
      </w:r>
      <w:r w:rsidR="009748F3">
        <w:t>U</w:t>
      </w:r>
      <w:r w:rsidR="007030A7">
        <w:t xml:space="preserve">tility </w:t>
      </w:r>
      <w:r w:rsidR="006C6611">
        <w:t>m</w:t>
      </w:r>
      <w:r w:rsidR="007030A7">
        <w:t xml:space="preserve">eter </w:t>
      </w:r>
      <w:r w:rsidR="006C6611">
        <w:t>v</w:t>
      </w:r>
      <w:r w:rsidR="007030A7">
        <w:t>erifier</w:t>
      </w:r>
      <w:r w:rsidRPr="0003179F">
        <w:t xml:space="preserve">s may develop and implement alternative sampling plans, such as those described in </w:t>
      </w:r>
      <w:r w:rsidRPr="00140BC3">
        <w:rPr>
          <w:i/>
          <w:iCs/>
        </w:rPr>
        <w:t>AS 2490 Sampling procedures and charts for inspection by variable</w:t>
      </w:r>
      <w:r w:rsidR="00620932" w:rsidRPr="00140BC3">
        <w:rPr>
          <w:i/>
          <w:iCs/>
        </w:rPr>
        <w:t>s</w:t>
      </w:r>
      <w:r w:rsidRPr="00140BC3">
        <w:rPr>
          <w:i/>
          <w:iCs/>
        </w:rPr>
        <w:t xml:space="preserve"> for percent nonconfo</w:t>
      </w:r>
      <w:r w:rsidR="00620932" w:rsidRPr="00140BC3">
        <w:rPr>
          <w:i/>
          <w:iCs/>
        </w:rPr>
        <w:t>r</w:t>
      </w:r>
      <w:r w:rsidRPr="00140BC3">
        <w:rPr>
          <w:i/>
          <w:iCs/>
        </w:rPr>
        <w:t>ming</w:t>
      </w:r>
      <w:r w:rsidRPr="0003179F">
        <w:t xml:space="preserve">. All sampling plans must be of reasonable and appropriate design, providing confidence equal to or better than the examples provided and therefore a sound statistical basis for decision making concerning the verification of a batch of utility meters. </w:t>
      </w:r>
    </w:p>
    <w:p w14:paraId="76F28EEE" w14:textId="6EAEAA59" w:rsidR="0003179F" w:rsidRPr="0003179F" w:rsidRDefault="0003179F" w:rsidP="0003179F">
      <w:pPr>
        <w:pStyle w:val="Note"/>
        <w:ind w:left="1080"/>
      </w:pPr>
      <w:r w:rsidRPr="0003179F">
        <w:t>Note 2:</w:t>
      </w:r>
      <w:r w:rsidRPr="0003179F">
        <w:tab/>
        <w:t xml:space="preserve">The sampling plans do not allow the use of switching rules or skip-lot sampling (as described in AS 1199.1). Each batch must be considered in isolation without reference to the performance of previously tested batches. The sample size must be determined and implemented consistently, without adjustment. </w:t>
      </w:r>
    </w:p>
    <w:p w14:paraId="26C724AB" w14:textId="0327C774" w:rsidR="0003179F" w:rsidRPr="0003179F" w:rsidRDefault="0003179F" w:rsidP="0003179F">
      <w:pPr>
        <w:pStyle w:val="ListParagraph"/>
        <w:numPr>
          <w:ilvl w:val="0"/>
          <w:numId w:val="20"/>
        </w:numPr>
        <w:rPr>
          <w:rFonts w:eastAsia="Calibri" w:cs="Times New Roman"/>
        </w:rPr>
      </w:pPr>
      <w:r w:rsidRPr="0003179F">
        <w:rPr>
          <w:rFonts w:eastAsia="Calibri" w:cs="Times New Roman"/>
        </w:rPr>
        <w:t xml:space="preserve">For all electricity meters in the </w:t>
      </w:r>
      <w:r>
        <w:rPr>
          <w:rFonts w:eastAsia="Calibri" w:cs="Times New Roman"/>
        </w:rPr>
        <w:t>sub-</w:t>
      </w:r>
      <w:r w:rsidRPr="0003179F">
        <w:rPr>
          <w:rFonts w:eastAsia="Calibri" w:cs="Times New Roman"/>
        </w:rPr>
        <w:t>sample:</w:t>
      </w:r>
    </w:p>
    <w:p w14:paraId="40D672D6" w14:textId="41EDAA47" w:rsidR="0003179F" w:rsidRPr="0003179F" w:rsidRDefault="0003179F" w:rsidP="0003179F">
      <w:pPr>
        <w:pStyle w:val="ListParagraph"/>
        <w:numPr>
          <w:ilvl w:val="1"/>
          <w:numId w:val="20"/>
        </w:numPr>
        <w:rPr>
          <w:rFonts w:eastAsia="Calibri" w:cs="Times New Roman"/>
        </w:rPr>
      </w:pPr>
      <w:r w:rsidRPr="0003179F">
        <w:rPr>
          <w:rFonts w:eastAsia="Calibri" w:cs="Times New Roman"/>
        </w:rPr>
        <w:t>Complete an accuracy test (clause 2.1) at the mandatory test points specified in</w:t>
      </w:r>
      <w:r>
        <w:rPr>
          <w:rFonts w:eastAsia="Calibri" w:cs="Times New Roman"/>
        </w:rPr>
        <w:t xml:space="preserve"> </w:t>
      </w:r>
      <w:r>
        <w:rPr>
          <w:rFonts w:eastAsia="Calibri" w:cs="Times New Roman"/>
        </w:rPr>
        <w:fldChar w:fldCharType="begin" w:fldLock="1"/>
      </w:r>
      <w:r>
        <w:rPr>
          <w:rFonts w:eastAsia="Calibri" w:cs="Times New Roman"/>
        </w:rPr>
        <w:instrText xml:space="preserve"> REF _Ref146720977 </w:instrText>
      </w:r>
      <w:r>
        <w:rPr>
          <w:rFonts w:eastAsia="Calibri" w:cs="Times New Roman"/>
        </w:rPr>
        <w:fldChar w:fldCharType="separate"/>
      </w:r>
      <w:r>
        <w:t xml:space="preserve">Table </w:t>
      </w:r>
      <w:r>
        <w:rPr>
          <w:noProof/>
        </w:rPr>
        <w:t>13</w:t>
      </w:r>
      <w:r>
        <w:rPr>
          <w:rFonts w:eastAsia="Calibri" w:cs="Times New Roman"/>
        </w:rPr>
        <w:fldChar w:fldCharType="end"/>
      </w:r>
      <w:r w:rsidRPr="0003179F">
        <w:rPr>
          <w:rFonts w:eastAsia="Calibri" w:cs="Times New Roman"/>
        </w:rPr>
        <w:t>.</w:t>
      </w:r>
    </w:p>
    <w:p w14:paraId="7E0056DA" w14:textId="77777777" w:rsidR="0003179F" w:rsidRPr="0003179F" w:rsidRDefault="0003179F" w:rsidP="0003179F">
      <w:pPr>
        <w:pStyle w:val="ListParagraph"/>
        <w:numPr>
          <w:ilvl w:val="1"/>
          <w:numId w:val="20"/>
        </w:numPr>
        <w:rPr>
          <w:rFonts w:eastAsia="Calibri" w:cs="Times New Roman"/>
        </w:rPr>
      </w:pPr>
      <w:r w:rsidRPr="0003179F">
        <w:rPr>
          <w:rFonts w:eastAsia="Calibri" w:cs="Times New Roman"/>
        </w:rPr>
        <w:t xml:space="preserve">Complete a </w:t>
      </w:r>
      <w:proofErr w:type="gramStart"/>
      <w:r w:rsidRPr="0003179F">
        <w:rPr>
          <w:rFonts w:eastAsia="Calibri" w:cs="Times New Roman"/>
        </w:rPr>
        <w:t>no load</w:t>
      </w:r>
      <w:proofErr w:type="gramEnd"/>
      <w:r w:rsidRPr="0003179F">
        <w:rPr>
          <w:rFonts w:eastAsia="Calibri" w:cs="Times New Roman"/>
        </w:rPr>
        <w:t xml:space="preserve"> test (clause 2.2).</w:t>
      </w:r>
    </w:p>
    <w:p w14:paraId="6E10E49A" w14:textId="77777777" w:rsidR="0003179F" w:rsidRPr="0003179F" w:rsidRDefault="0003179F" w:rsidP="0003179F">
      <w:pPr>
        <w:pStyle w:val="ListParagraph"/>
        <w:numPr>
          <w:ilvl w:val="1"/>
          <w:numId w:val="20"/>
        </w:numPr>
        <w:rPr>
          <w:rFonts w:eastAsia="Calibri" w:cs="Times New Roman"/>
        </w:rPr>
      </w:pPr>
      <w:r w:rsidRPr="0003179F">
        <w:rPr>
          <w:rFonts w:eastAsia="Calibri" w:cs="Times New Roman"/>
        </w:rPr>
        <w:t>Complete a starting test (clause 2.3).</w:t>
      </w:r>
    </w:p>
    <w:p w14:paraId="0C081DEF" w14:textId="400D803C" w:rsidR="0003179F" w:rsidRPr="00413E41" w:rsidRDefault="0003179F" w:rsidP="0048799B">
      <w:pPr>
        <w:pStyle w:val="ListParagraph"/>
        <w:numPr>
          <w:ilvl w:val="0"/>
          <w:numId w:val="20"/>
        </w:numPr>
      </w:pPr>
      <w:r w:rsidRPr="00EB378E">
        <w:rPr>
          <w:rFonts w:eastAsia="Calibri" w:cs="Times New Roman"/>
        </w:rPr>
        <w:t xml:space="preserve">Determine if the </w:t>
      </w:r>
      <w:r>
        <w:rPr>
          <w:rFonts w:eastAsia="Calibri" w:cs="Times New Roman"/>
        </w:rPr>
        <w:t>sub-sample</w:t>
      </w:r>
      <w:r w:rsidRPr="00EB378E">
        <w:rPr>
          <w:rFonts w:eastAsia="Calibri" w:cs="Times New Roman"/>
        </w:rPr>
        <w:t xml:space="preserve"> of </w:t>
      </w:r>
      <w:r>
        <w:rPr>
          <w:rFonts w:eastAsia="Calibri" w:cs="Times New Roman"/>
        </w:rPr>
        <w:t>electricity</w:t>
      </w:r>
      <w:r w:rsidRPr="00EB378E">
        <w:rPr>
          <w:rFonts w:eastAsia="Calibri" w:cs="Times New Roman"/>
        </w:rPr>
        <w:t xml:space="preserve"> meters </w:t>
      </w:r>
      <w:r>
        <w:rPr>
          <w:rFonts w:eastAsia="Calibri" w:cs="Times New Roman"/>
        </w:rPr>
        <w:t>passes or fails.</w:t>
      </w:r>
      <w:r w:rsidRPr="00EB378E">
        <w:rPr>
          <w:rFonts w:eastAsia="Calibri" w:cs="Times New Roman"/>
        </w:rPr>
        <w:t xml:space="preserve"> </w:t>
      </w:r>
      <w:r>
        <w:rPr>
          <w:rFonts w:eastAsia="Calibri" w:cs="Times New Roman"/>
        </w:rPr>
        <w:t xml:space="preserve">The sub-sample of </w:t>
      </w:r>
      <w:r w:rsidR="00C31100" w:rsidRPr="00C31100">
        <w:rPr>
          <w:rFonts w:eastAsia="Calibri" w:cs="Times New Roman"/>
        </w:rPr>
        <w:t xml:space="preserve">electricity </w:t>
      </w:r>
      <w:r>
        <w:rPr>
          <w:rFonts w:eastAsia="Calibri" w:cs="Times New Roman"/>
        </w:rPr>
        <w:t xml:space="preserve">meters passes </w:t>
      </w:r>
      <w:r>
        <w:t>i</w:t>
      </w:r>
      <w:r w:rsidRPr="00E21E72">
        <w:t xml:space="preserve">f the number of </w:t>
      </w:r>
      <w:r w:rsidR="00C31100" w:rsidRPr="00C31100">
        <w:t xml:space="preserve">electricity </w:t>
      </w:r>
      <w:r w:rsidRPr="00E21E72">
        <w:t>meter</w:t>
      </w:r>
      <w:r>
        <w:t xml:space="preserve"> failures</w:t>
      </w:r>
      <w:r w:rsidRPr="00E21E72">
        <w:t xml:space="preserve"> is </w:t>
      </w:r>
      <w:r w:rsidRPr="00EB378E">
        <w:rPr>
          <w:rFonts w:eastAsia="Calibri" w:cs="Times New Roman"/>
        </w:rPr>
        <w:t>equal to or less than the acceptance number</w:t>
      </w:r>
      <w:r>
        <w:rPr>
          <w:rFonts w:eastAsia="Calibri" w:cs="Times New Roman"/>
        </w:rPr>
        <w:t xml:space="preserve"> </w:t>
      </w:r>
      <w:r w:rsidR="0048799B">
        <w:rPr>
          <w:rFonts w:eastAsia="Calibri" w:cs="Times New Roman"/>
        </w:rPr>
        <w:t>in</w:t>
      </w:r>
      <w:r>
        <w:rPr>
          <w:rFonts w:eastAsia="Calibri" w:cs="Times New Roman"/>
        </w:rPr>
        <w:t xml:space="preserve"> </w:t>
      </w:r>
      <w:r w:rsidR="00440352">
        <w:fldChar w:fldCharType="begin" w:fldLock="1"/>
      </w:r>
      <w:r w:rsidR="00440352">
        <w:instrText xml:space="preserve"> REF _Ref146709833 </w:instrText>
      </w:r>
      <w:r w:rsidR="00440352">
        <w:fldChar w:fldCharType="separate"/>
      </w:r>
      <w:r>
        <w:t xml:space="preserve">Table </w:t>
      </w:r>
      <w:r>
        <w:rPr>
          <w:noProof/>
        </w:rPr>
        <w:t>12</w:t>
      </w:r>
      <w:r w:rsidR="00440352">
        <w:rPr>
          <w:noProof/>
        </w:rPr>
        <w:fldChar w:fldCharType="end"/>
      </w:r>
      <w:r w:rsidRPr="00EB378E">
        <w:rPr>
          <w:rFonts w:eastAsia="Calibri" w:cs="Times New Roman"/>
        </w:rPr>
        <w:t>.</w:t>
      </w:r>
      <w:r>
        <w:rPr>
          <w:rFonts w:eastAsia="Calibri" w:cs="Times New Roman"/>
        </w:rPr>
        <w:t xml:space="preserve"> The sub-sample of </w:t>
      </w:r>
      <w:r w:rsidR="00C31100" w:rsidRPr="009748F3">
        <w:rPr>
          <w:rFonts w:eastAsia="Calibri" w:cs="Times New Roman"/>
        </w:rPr>
        <w:t xml:space="preserve">electricity </w:t>
      </w:r>
      <w:r w:rsidRPr="009748F3">
        <w:rPr>
          <w:rFonts w:eastAsia="Calibri" w:cs="Times New Roman"/>
        </w:rPr>
        <w:t>meters fails</w:t>
      </w:r>
      <w:r>
        <w:rPr>
          <w:rFonts w:eastAsia="Calibri" w:cs="Times New Roman"/>
        </w:rPr>
        <w:t xml:space="preserve"> i</w:t>
      </w:r>
      <w:r w:rsidRPr="00EB378E">
        <w:rPr>
          <w:rFonts w:eastAsia="Calibri" w:cs="Times New Roman"/>
        </w:rPr>
        <w:t xml:space="preserve">f the </w:t>
      </w:r>
      <w:r w:rsidRPr="00EE2F1C">
        <w:rPr>
          <w:rFonts w:eastAsia="Calibri" w:cs="Times New Roman"/>
        </w:rPr>
        <w:t xml:space="preserve">number of </w:t>
      </w:r>
      <w:r w:rsidR="00C31100" w:rsidRPr="00C31100">
        <w:rPr>
          <w:rFonts w:eastAsia="Calibri" w:cs="Times New Roman"/>
        </w:rPr>
        <w:t xml:space="preserve">electricity </w:t>
      </w:r>
      <w:r w:rsidRPr="00EE2F1C">
        <w:rPr>
          <w:rFonts w:eastAsia="Calibri" w:cs="Times New Roman"/>
        </w:rPr>
        <w:t xml:space="preserve">meter </w:t>
      </w:r>
      <w:r>
        <w:rPr>
          <w:rFonts w:eastAsia="Calibri" w:cs="Times New Roman"/>
        </w:rPr>
        <w:t xml:space="preserve">failures </w:t>
      </w:r>
      <w:r w:rsidRPr="00EE2F1C">
        <w:rPr>
          <w:rFonts w:eastAsia="Calibri" w:cs="Times New Roman"/>
        </w:rPr>
        <w:t>is equal to or higher than the rejection number</w:t>
      </w:r>
      <w:r>
        <w:rPr>
          <w:rFonts w:eastAsia="Calibri" w:cs="Times New Roman"/>
        </w:rPr>
        <w:t xml:space="preserve"> </w:t>
      </w:r>
      <w:r w:rsidR="0048799B">
        <w:rPr>
          <w:rFonts w:eastAsia="Calibri" w:cs="Times New Roman"/>
        </w:rPr>
        <w:t>in</w:t>
      </w:r>
      <w:r>
        <w:rPr>
          <w:rFonts w:eastAsia="Calibri" w:cs="Times New Roman"/>
        </w:rPr>
        <w:t xml:space="preserve"> </w:t>
      </w:r>
      <w:r w:rsidR="00440352">
        <w:fldChar w:fldCharType="begin" w:fldLock="1"/>
      </w:r>
      <w:r w:rsidR="00440352">
        <w:instrText xml:space="preserve"> REF _Ref146709833 </w:instrText>
      </w:r>
      <w:r w:rsidR="00440352">
        <w:fldChar w:fldCharType="separate"/>
      </w:r>
      <w:r>
        <w:t xml:space="preserve">Table </w:t>
      </w:r>
      <w:r>
        <w:rPr>
          <w:noProof/>
        </w:rPr>
        <w:t>12</w:t>
      </w:r>
      <w:r w:rsidR="00440352">
        <w:rPr>
          <w:noProof/>
        </w:rPr>
        <w:fldChar w:fldCharType="end"/>
      </w:r>
      <w:r w:rsidRPr="00EE2F1C">
        <w:rPr>
          <w:rFonts w:eastAsia="Calibri" w:cs="Times New Roman"/>
        </w:rPr>
        <w:t>.</w:t>
      </w:r>
    </w:p>
    <w:p w14:paraId="39DFFD5C" w14:textId="622218E0" w:rsidR="005C46E5" w:rsidRPr="00413E41" w:rsidRDefault="0003179F" w:rsidP="0003179F">
      <w:pPr>
        <w:pStyle w:val="Note"/>
        <w:ind w:left="1080"/>
        <w:rPr>
          <w:rFonts w:eastAsia="Calibri" w:cs="Times New Roman"/>
        </w:rPr>
      </w:pPr>
      <w:r>
        <w:t>Note:</w:t>
      </w:r>
      <w:r>
        <w:tab/>
        <w:t xml:space="preserve">An individual </w:t>
      </w:r>
      <w:r w:rsidR="00C31100" w:rsidRPr="00C31100">
        <w:t xml:space="preserve">electricity </w:t>
      </w:r>
      <w:r>
        <w:t xml:space="preserve">meter in the </w:t>
      </w:r>
      <w:r w:rsidR="0048799B">
        <w:t>sub-</w:t>
      </w:r>
      <w:r>
        <w:t xml:space="preserve">sample fails if it fails one or more of the tests in step </w:t>
      </w:r>
      <w:r w:rsidR="0048799B">
        <w:t>3</w:t>
      </w:r>
      <w:r>
        <w:t>.</w:t>
      </w:r>
    </w:p>
    <w:p w14:paraId="24650C91" w14:textId="6C7C9F37" w:rsidR="0031424D" w:rsidRDefault="0048799B">
      <w:pPr>
        <w:pStyle w:val="ListParagraph"/>
        <w:numPr>
          <w:ilvl w:val="0"/>
          <w:numId w:val="20"/>
        </w:numPr>
        <w:rPr>
          <w:rFonts w:eastAsia="Calibri" w:cs="Times New Roman"/>
        </w:rPr>
      </w:pPr>
      <w:r>
        <w:rPr>
          <w:rFonts w:eastAsia="Calibri" w:cs="Times New Roman"/>
        </w:rPr>
        <w:t xml:space="preserve">If the sub-sample of </w:t>
      </w:r>
      <w:r w:rsidRPr="009748F3">
        <w:rPr>
          <w:rFonts w:eastAsia="Calibri" w:cs="Times New Roman"/>
        </w:rPr>
        <w:t>electricity meters fails, the</w:t>
      </w:r>
      <w:r>
        <w:rPr>
          <w:rFonts w:eastAsia="Calibri" w:cs="Times New Roman"/>
        </w:rPr>
        <w:t xml:space="preserve"> sample of </w:t>
      </w:r>
      <w:r w:rsidR="00C31100" w:rsidRPr="00C31100">
        <w:rPr>
          <w:rFonts w:eastAsia="Calibri" w:cs="Times New Roman"/>
        </w:rPr>
        <w:t xml:space="preserve">electricity </w:t>
      </w:r>
      <w:r>
        <w:rPr>
          <w:rFonts w:eastAsia="Calibri" w:cs="Times New Roman"/>
        </w:rPr>
        <w:t xml:space="preserve">meters fails. This means the batch of </w:t>
      </w:r>
      <w:r w:rsidR="00C31100" w:rsidRPr="00C31100">
        <w:rPr>
          <w:rFonts w:eastAsia="Calibri" w:cs="Times New Roman"/>
        </w:rPr>
        <w:t xml:space="preserve">electricity </w:t>
      </w:r>
      <w:r>
        <w:rPr>
          <w:rFonts w:eastAsia="Calibri" w:cs="Times New Roman"/>
        </w:rPr>
        <w:t>meters (in accordance with NITP 14.0) must not be verified.</w:t>
      </w:r>
    </w:p>
    <w:p w14:paraId="3768BFF6" w14:textId="6E002AF0" w:rsidR="0031424D" w:rsidRDefault="0048799B">
      <w:pPr>
        <w:pStyle w:val="ListParagraph"/>
        <w:numPr>
          <w:ilvl w:val="0"/>
          <w:numId w:val="20"/>
        </w:numPr>
        <w:rPr>
          <w:rFonts w:eastAsia="Calibri" w:cs="Times New Roman"/>
        </w:rPr>
      </w:pPr>
      <w:r>
        <w:rPr>
          <w:rFonts w:eastAsia="Calibri" w:cs="Times New Roman"/>
        </w:rPr>
        <w:t xml:space="preserve">If the sub-sample of electricity meters passes, then </w:t>
      </w:r>
      <w:r w:rsidR="0031424D">
        <w:rPr>
          <w:rFonts w:eastAsia="Calibri" w:cs="Times New Roman"/>
        </w:rPr>
        <w:t xml:space="preserve">determine if the batch of </w:t>
      </w:r>
      <w:r w:rsidR="00C31100" w:rsidRPr="00C31100">
        <w:rPr>
          <w:rFonts w:eastAsia="Calibri" w:cs="Times New Roman"/>
        </w:rPr>
        <w:t xml:space="preserve">electricity </w:t>
      </w:r>
      <w:r w:rsidR="0031424D">
        <w:rPr>
          <w:rFonts w:eastAsia="Calibri" w:cs="Times New Roman"/>
        </w:rPr>
        <w:t xml:space="preserve">meters is accepted or rejected based on the number of </w:t>
      </w:r>
      <w:r w:rsidR="00C31100" w:rsidRPr="00C31100">
        <w:rPr>
          <w:rFonts w:eastAsia="Calibri" w:cs="Times New Roman"/>
        </w:rPr>
        <w:t xml:space="preserve">electricity </w:t>
      </w:r>
      <w:r w:rsidR="0031424D">
        <w:rPr>
          <w:rFonts w:eastAsia="Calibri" w:cs="Times New Roman"/>
        </w:rPr>
        <w:t>meter failures within the sample (see step 1). R</w:t>
      </w:r>
      <w:r>
        <w:rPr>
          <w:rFonts w:eastAsia="Calibri" w:cs="Times New Roman"/>
        </w:rPr>
        <w:t>efer to NITP 14.0, clause 2.2.4.3</w:t>
      </w:r>
      <w:r w:rsidR="0031424D">
        <w:rPr>
          <w:rFonts w:eastAsia="Calibri" w:cs="Times New Roman"/>
        </w:rPr>
        <w:t xml:space="preserve"> to determine if the batch of </w:t>
      </w:r>
      <w:r w:rsidR="00C31100" w:rsidRPr="00C31100">
        <w:rPr>
          <w:rFonts w:eastAsia="Calibri" w:cs="Times New Roman"/>
        </w:rPr>
        <w:t xml:space="preserve">electricity </w:t>
      </w:r>
      <w:r w:rsidR="0031424D">
        <w:rPr>
          <w:rFonts w:eastAsia="Calibri" w:cs="Times New Roman"/>
        </w:rPr>
        <w:t>meters must be accepted or rejected.</w:t>
      </w:r>
    </w:p>
    <w:p w14:paraId="4D1B1701" w14:textId="210B02B4" w:rsidR="0031424D" w:rsidRDefault="0031424D" w:rsidP="0031424D">
      <w:r>
        <w:t xml:space="preserve">If the batch of electricity </w:t>
      </w:r>
      <w:r w:rsidRPr="009A7D5B">
        <w:t>meter</w:t>
      </w:r>
      <w:r>
        <w:t>s is rejected, it cannot be verified.</w:t>
      </w:r>
    </w:p>
    <w:p w14:paraId="234E580F" w14:textId="28E17FA9" w:rsidR="0031424D" w:rsidRDefault="0031424D" w:rsidP="0031424D">
      <w:r>
        <w:t xml:space="preserve">If the batch of </w:t>
      </w:r>
      <w:r w:rsidR="00C31100" w:rsidRPr="00C31100">
        <w:t xml:space="preserve">electricity </w:t>
      </w:r>
      <w:r>
        <w:t xml:space="preserve">meters is accepted, all </w:t>
      </w:r>
      <w:r w:rsidR="00C31100" w:rsidRPr="00C31100">
        <w:t xml:space="preserve">electricity </w:t>
      </w:r>
      <w:r>
        <w:t>meters in the batch, except for any individual</w:t>
      </w:r>
      <w:r w:rsidR="00C31100" w:rsidRPr="00C31100">
        <w:t xml:space="preserve"> electricity</w:t>
      </w:r>
      <w:r>
        <w:t xml:space="preserve"> meters that failed, can be verified.</w:t>
      </w:r>
    </w:p>
    <w:p w14:paraId="4DA07947" w14:textId="2CDB53AE" w:rsidR="0031424D" w:rsidRDefault="0031424D" w:rsidP="00914807">
      <w:r>
        <w:t xml:space="preserve">In this procedure (clause 3.4) verified </w:t>
      </w:r>
      <w:r w:rsidR="00C31100" w:rsidRPr="00C31100">
        <w:t xml:space="preserve">electricity </w:t>
      </w:r>
      <w:r>
        <w:t>meters must be identified with a batch verification certificate (see NITP 14.0).</w:t>
      </w:r>
    </w:p>
    <w:p w14:paraId="20597A34" w14:textId="1E178176" w:rsidR="0031424D" w:rsidRDefault="0031424D" w:rsidP="0031424D">
      <w:pPr>
        <w:pStyle w:val="Note"/>
        <w:rPr>
          <w:lang w:val="en-GB"/>
        </w:rPr>
      </w:pPr>
      <w:r>
        <w:t>Note:</w:t>
      </w:r>
      <w:r>
        <w:tab/>
      </w:r>
      <w:r w:rsidR="00C31100">
        <w:t>E</w:t>
      </w:r>
      <w:r w:rsidR="00C31100" w:rsidRPr="00C31100">
        <w:t>lectricity</w:t>
      </w:r>
      <w:r w:rsidR="00C31100">
        <w:t xml:space="preserve"> m</w:t>
      </w:r>
      <w:r w:rsidR="00DB1545">
        <w:t>eters from a failed batch may be individual</w:t>
      </w:r>
      <w:r w:rsidR="000B6288">
        <w:t>ly</w:t>
      </w:r>
      <w:r w:rsidR="00DB1545">
        <w:t xml:space="preserve"> </w:t>
      </w:r>
      <w:r w:rsidR="00C31100">
        <w:t>tested</w:t>
      </w:r>
      <w:r w:rsidR="00DB1545">
        <w:t xml:space="preserve"> for verification in accordance </w:t>
      </w:r>
      <w:r w:rsidR="00DB1545" w:rsidRPr="00F17341">
        <w:t xml:space="preserve">with clause </w:t>
      </w:r>
      <w:r w:rsidR="00DB1545">
        <w:t>3.2.</w:t>
      </w:r>
    </w:p>
    <w:p w14:paraId="5221A58C" w14:textId="273DF443" w:rsidR="005C46E5" w:rsidRDefault="005C46E5" w:rsidP="005C46E5">
      <w:pPr>
        <w:pStyle w:val="Caption"/>
        <w:keepNext/>
      </w:pPr>
      <w:bookmarkStart w:id="575" w:name="_Ref146709833"/>
      <w:r>
        <w:lastRenderedPageBreak/>
        <w:t xml:space="preserve">Table </w:t>
      </w:r>
      <w:r w:rsidR="00440352">
        <w:fldChar w:fldCharType="begin"/>
      </w:r>
      <w:r w:rsidR="00440352">
        <w:instrText xml:space="preserve"> SEQ Table \* ARABIC </w:instrText>
      </w:r>
      <w:r w:rsidR="00440352">
        <w:fldChar w:fldCharType="separate"/>
      </w:r>
      <w:r w:rsidR="003F6048">
        <w:rPr>
          <w:noProof/>
        </w:rPr>
        <w:t>12</w:t>
      </w:r>
      <w:r w:rsidR="00440352">
        <w:rPr>
          <w:noProof/>
        </w:rPr>
        <w:fldChar w:fldCharType="end"/>
      </w:r>
      <w:bookmarkEnd w:id="575"/>
      <w:r>
        <w:t xml:space="preserve">. </w:t>
      </w:r>
      <w:r w:rsidRPr="00FB15F9">
        <w:t>S</w:t>
      </w:r>
      <w:r>
        <w:t>ub-s</w:t>
      </w:r>
      <w:r w:rsidRPr="00FB15F9">
        <w:t xml:space="preserve">ampling </w:t>
      </w:r>
      <w:r>
        <w:t>p</w:t>
      </w:r>
      <w:r w:rsidRPr="00FB15F9">
        <w:t xml:space="preserve">lans </w:t>
      </w:r>
      <w:r>
        <w:t>–</w:t>
      </w:r>
      <w:r w:rsidRPr="00FB15F9">
        <w:t xml:space="preserve"> </w:t>
      </w:r>
      <w:r>
        <w:t>sub-s</w:t>
      </w:r>
      <w:r w:rsidRPr="00FB15F9">
        <w:t>ample sizes and acceptance criteria (inspection level I)</w:t>
      </w:r>
    </w:p>
    <w:tbl>
      <w:tblPr>
        <w:tblStyle w:val="NITP"/>
        <w:tblW w:w="4000" w:type="pct"/>
        <w:jc w:val="center"/>
        <w:tblLook w:val="0020" w:firstRow="1" w:lastRow="0" w:firstColumn="0" w:lastColumn="0" w:noHBand="0" w:noVBand="0"/>
      </w:tblPr>
      <w:tblGrid>
        <w:gridCol w:w="2393"/>
        <w:gridCol w:w="2659"/>
        <w:gridCol w:w="1425"/>
        <w:gridCol w:w="1317"/>
      </w:tblGrid>
      <w:tr w:rsidR="005C46E5" w:rsidRPr="00FB15F9" w14:paraId="5F6B1AC0" w14:textId="77777777" w:rsidTr="0003179F">
        <w:trPr>
          <w:cnfStyle w:val="100000000000" w:firstRow="1" w:lastRow="0" w:firstColumn="0" w:lastColumn="0" w:oddVBand="0" w:evenVBand="0" w:oddHBand="0" w:evenHBand="0" w:firstRowFirstColumn="0" w:firstRowLastColumn="0" w:lastRowFirstColumn="0" w:lastRowLastColumn="0"/>
          <w:jc w:val="center"/>
        </w:trPr>
        <w:tc>
          <w:tcPr>
            <w:tcW w:w="1535" w:type="pct"/>
            <w:vMerge w:val="restart"/>
          </w:tcPr>
          <w:p w14:paraId="6FD8BDE7" w14:textId="7181C558" w:rsidR="005C46E5" w:rsidRPr="00CB39E7" w:rsidRDefault="005C46E5" w:rsidP="00291348">
            <w:pPr>
              <w:pStyle w:val="TableText"/>
              <w:rPr>
                <w:b w:val="0"/>
                <w:bCs/>
                <w:color w:val="FFFFFF" w:themeColor="background1"/>
              </w:rPr>
            </w:pPr>
            <w:r w:rsidRPr="00CB39E7">
              <w:rPr>
                <w:bCs/>
                <w:color w:val="FFFFFF" w:themeColor="background1"/>
                <w:lang w:eastAsia="en-AU"/>
              </w:rPr>
              <w:t xml:space="preserve">Size of </w:t>
            </w:r>
            <w:r>
              <w:rPr>
                <w:bCs/>
                <w:color w:val="FFFFFF" w:themeColor="background1"/>
                <w:lang w:eastAsia="en-AU"/>
              </w:rPr>
              <w:t>sample</w:t>
            </w:r>
          </w:p>
        </w:tc>
        <w:tc>
          <w:tcPr>
            <w:tcW w:w="1706" w:type="pct"/>
            <w:vMerge w:val="restart"/>
          </w:tcPr>
          <w:p w14:paraId="68FA4326" w14:textId="7C32033A" w:rsidR="005C46E5" w:rsidRPr="00CB39E7" w:rsidRDefault="005C46E5" w:rsidP="00291348">
            <w:pPr>
              <w:pStyle w:val="TableText"/>
              <w:rPr>
                <w:b w:val="0"/>
                <w:bCs/>
                <w:color w:val="FFFFFF" w:themeColor="background1"/>
              </w:rPr>
            </w:pPr>
            <w:r>
              <w:rPr>
                <w:bCs/>
                <w:color w:val="FFFFFF" w:themeColor="background1"/>
              </w:rPr>
              <w:t>Sub-s</w:t>
            </w:r>
            <w:r w:rsidRPr="00CB39E7">
              <w:rPr>
                <w:bCs/>
                <w:color w:val="FFFFFF" w:themeColor="background1"/>
              </w:rPr>
              <w:t>ample size</w:t>
            </w:r>
          </w:p>
        </w:tc>
        <w:tc>
          <w:tcPr>
            <w:tcW w:w="1759" w:type="pct"/>
            <w:gridSpan w:val="2"/>
          </w:tcPr>
          <w:p w14:paraId="63EEE8F0" w14:textId="77777777" w:rsidR="005C46E5" w:rsidRPr="00CB39E7" w:rsidRDefault="005C46E5" w:rsidP="00291348">
            <w:pPr>
              <w:pStyle w:val="TableText"/>
              <w:rPr>
                <w:b w:val="0"/>
                <w:bCs/>
                <w:color w:val="FFFFFF" w:themeColor="background1"/>
              </w:rPr>
            </w:pPr>
            <w:r w:rsidRPr="00CB39E7">
              <w:rPr>
                <w:bCs/>
                <w:color w:val="FFFFFF" w:themeColor="background1"/>
              </w:rPr>
              <w:t>Acceptance level</w:t>
            </w:r>
          </w:p>
        </w:tc>
      </w:tr>
      <w:tr w:rsidR="005C46E5" w:rsidRPr="00FB15F9" w14:paraId="02A8E7E7" w14:textId="77777777" w:rsidTr="0003179F">
        <w:trPr>
          <w:jc w:val="center"/>
        </w:trPr>
        <w:tc>
          <w:tcPr>
            <w:tcW w:w="1535" w:type="pct"/>
            <w:vMerge/>
          </w:tcPr>
          <w:p w14:paraId="2AEE103E" w14:textId="77777777" w:rsidR="005C46E5" w:rsidRPr="00CB39E7" w:rsidRDefault="005C46E5" w:rsidP="00291348">
            <w:pPr>
              <w:pStyle w:val="TableText"/>
              <w:rPr>
                <w:b/>
                <w:bCs/>
                <w:color w:val="FFFFFF" w:themeColor="background1"/>
                <w:lang w:eastAsia="en-AU"/>
              </w:rPr>
            </w:pPr>
          </w:p>
        </w:tc>
        <w:tc>
          <w:tcPr>
            <w:tcW w:w="1706" w:type="pct"/>
            <w:vMerge/>
          </w:tcPr>
          <w:p w14:paraId="09F1E1DC" w14:textId="77777777" w:rsidR="005C46E5" w:rsidRPr="00CB39E7" w:rsidRDefault="005C46E5" w:rsidP="00291348">
            <w:pPr>
              <w:pStyle w:val="TableText"/>
              <w:rPr>
                <w:b/>
                <w:bCs/>
                <w:color w:val="FFFFFF" w:themeColor="background1"/>
              </w:rPr>
            </w:pPr>
          </w:p>
        </w:tc>
        <w:tc>
          <w:tcPr>
            <w:tcW w:w="1759" w:type="pct"/>
            <w:gridSpan w:val="2"/>
            <w:shd w:val="clear" w:color="auto" w:fill="A50021"/>
          </w:tcPr>
          <w:p w14:paraId="1F726567" w14:textId="77777777" w:rsidR="005C46E5" w:rsidRPr="00CB39E7" w:rsidRDefault="005C46E5" w:rsidP="00291348">
            <w:pPr>
              <w:pStyle w:val="TableText"/>
              <w:rPr>
                <w:b/>
                <w:bCs/>
                <w:color w:val="FFFFFF" w:themeColor="background1"/>
              </w:rPr>
            </w:pPr>
            <w:r w:rsidRPr="00CB39E7">
              <w:rPr>
                <w:b/>
                <w:bCs/>
                <w:color w:val="FFFFFF" w:themeColor="background1"/>
              </w:rPr>
              <w:t>Special</w:t>
            </w:r>
          </w:p>
        </w:tc>
      </w:tr>
      <w:tr w:rsidR="005C46E5" w:rsidRPr="00FB15F9" w14:paraId="3B031076"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535" w:type="pct"/>
            <w:vMerge/>
          </w:tcPr>
          <w:p w14:paraId="24D54756" w14:textId="77777777" w:rsidR="005C46E5" w:rsidRPr="00CB39E7" w:rsidRDefault="005C46E5" w:rsidP="00291348">
            <w:pPr>
              <w:pStyle w:val="TableText"/>
              <w:rPr>
                <w:b/>
                <w:bCs/>
                <w:color w:val="FFFFFF" w:themeColor="background1"/>
                <w:lang w:eastAsia="en-AU"/>
              </w:rPr>
            </w:pPr>
          </w:p>
        </w:tc>
        <w:tc>
          <w:tcPr>
            <w:tcW w:w="1706" w:type="pct"/>
            <w:vMerge/>
          </w:tcPr>
          <w:p w14:paraId="251E6D7C" w14:textId="77777777" w:rsidR="005C46E5" w:rsidRPr="00CB39E7" w:rsidRDefault="005C46E5" w:rsidP="00291348">
            <w:pPr>
              <w:pStyle w:val="TableText"/>
              <w:rPr>
                <w:b/>
                <w:bCs/>
                <w:color w:val="FFFFFF" w:themeColor="background1"/>
              </w:rPr>
            </w:pPr>
          </w:p>
        </w:tc>
        <w:tc>
          <w:tcPr>
            <w:tcW w:w="914" w:type="pct"/>
            <w:shd w:val="clear" w:color="auto" w:fill="A50021"/>
          </w:tcPr>
          <w:p w14:paraId="1B5B0438" w14:textId="77777777" w:rsidR="005C46E5" w:rsidRPr="00CB39E7" w:rsidRDefault="005C46E5" w:rsidP="00291348">
            <w:pPr>
              <w:pStyle w:val="TableText"/>
              <w:rPr>
                <w:b/>
                <w:bCs/>
                <w:color w:val="FFFFFF" w:themeColor="background1"/>
              </w:rPr>
            </w:pPr>
            <w:r w:rsidRPr="00CB39E7">
              <w:rPr>
                <w:b/>
                <w:bCs/>
                <w:color w:val="FFFFFF" w:themeColor="background1"/>
              </w:rPr>
              <w:t>Accept</w:t>
            </w:r>
          </w:p>
        </w:tc>
        <w:tc>
          <w:tcPr>
            <w:tcW w:w="845" w:type="pct"/>
            <w:shd w:val="clear" w:color="auto" w:fill="A50021"/>
          </w:tcPr>
          <w:p w14:paraId="0DBD877A" w14:textId="77777777" w:rsidR="005C46E5" w:rsidRPr="00CB39E7" w:rsidRDefault="005C46E5" w:rsidP="00291348">
            <w:pPr>
              <w:pStyle w:val="TableText"/>
              <w:rPr>
                <w:b/>
                <w:bCs/>
                <w:color w:val="FFFFFF" w:themeColor="background1"/>
              </w:rPr>
            </w:pPr>
            <w:r w:rsidRPr="00CB39E7">
              <w:rPr>
                <w:b/>
                <w:bCs/>
                <w:color w:val="FFFFFF" w:themeColor="background1"/>
              </w:rPr>
              <w:t>Reject</w:t>
            </w:r>
          </w:p>
        </w:tc>
      </w:tr>
      <w:tr w:rsidR="005C46E5" w:rsidRPr="003E35C7" w14:paraId="7AE39A93" w14:textId="77777777" w:rsidTr="0003179F">
        <w:trPr>
          <w:jc w:val="center"/>
        </w:trPr>
        <w:tc>
          <w:tcPr>
            <w:tcW w:w="1535" w:type="pct"/>
          </w:tcPr>
          <w:p w14:paraId="7F9B6118" w14:textId="77777777" w:rsidR="005C46E5" w:rsidRPr="00613B58" w:rsidRDefault="005C46E5" w:rsidP="00291348">
            <w:pPr>
              <w:pStyle w:val="TableText"/>
              <w:rPr>
                <w:lang w:eastAsia="en-AU"/>
              </w:rPr>
            </w:pPr>
            <w:r w:rsidRPr="00613B58">
              <w:rPr>
                <w:lang w:eastAsia="en-AU"/>
              </w:rPr>
              <w:t>2 to 8</w:t>
            </w:r>
          </w:p>
        </w:tc>
        <w:tc>
          <w:tcPr>
            <w:tcW w:w="1706" w:type="pct"/>
          </w:tcPr>
          <w:p w14:paraId="06E8DAF2" w14:textId="77777777" w:rsidR="005C46E5" w:rsidRPr="00613B58" w:rsidRDefault="005C46E5" w:rsidP="00291348">
            <w:pPr>
              <w:pStyle w:val="TableText"/>
              <w:rPr>
                <w:lang w:eastAsia="en-AU"/>
              </w:rPr>
            </w:pPr>
            <w:r w:rsidRPr="00613B58">
              <w:t>2</w:t>
            </w:r>
          </w:p>
        </w:tc>
        <w:tc>
          <w:tcPr>
            <w:tcW w:w="914" w:type="pct"/>
          </w:tcPr>
          <w:p w14:paraId="2E2427E5" w14:textId="77777777" w:rsidR="005C46E5" w:rsidRPr="00613B58" w:rsidRDefault="005C46E5" w:rsidP="00291348">
            <w:pPr>
              <w:pStyle w:val="TableText"/>
            </w:pPr>
            <w:r w:rsidRPr="00613B58">
              <w:t>0</w:t>
            </w:r>
          </w:p>
        </w:tc>
        <w:tc>
          <w:tcPr>
            <w:tcW w:w="845" w:type="pct"/>
          </w:tcPr>
          <w:p w14:paraId="3C1B3596" w14:textId="77777777" w:rsidR="005C46E5" w:rsidRPr="00613B58" w:rsidRDefault="005C46E5" w:rsidP="00291348">
            <w:pPr>
              <w:pStyle w:val="TableText"/>
            </w:pPr>
            <w:r w:rsidRPr="00613B58">
              <w:t>1</w:t>
            </w:r>
          </w:p>
        </w:tc>
      </w:tr>
      <w:tr w:rsidR="005C46E5" w:rsidRPr="003E35C7" w14:paraId="2473EC26"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535" w:type="pct"/>
          </w:tcPr>
          <w:p w14:paraId="08ADE680" w14:textId="77777777" w:rsidR="005C46E5" w:rsidRPr="00613B58" w:rsidRDefault="005C46E5" w:rsidP="00291348">
            <w:pPr>
              <w:pStyle w:val="TableText"/>
              <w:rPr>
                <w:lang w:eastAsia="en-AU"/>
              </w:rPr>
            </w:pPr>
            <w:r w:rsidRPr="00613B58">
              <w:rPr>
                <w:lang w:eastAsia="en-AU"/>
              </w:rPr>
              <w:t>9 to 15</w:t>
            </w:r>
          </w:p>
        </w:tc>
        <w:tc>
          <w:tcPr>
            <w:tcW w:w="1706" w:type="pct"/>
          </w:tcPr>
          <w:p w14:paraId="127081F6" w14:textId="77777777" w:rsidR="005C46E5" w:rsidRPr="00613B58" w:rsidRDefault="005C46E5" w:rsidP="00291348">
            <w:pPr>
              <w:pStyle w:val="TableText"/>
              <w:rPr>
                <w:lang w:eastAsia="en-AU"/>
              </w:rPr>
            </w:pPr>
            <w:r w:rsidRPr="00613B58">
              <w:t>2</w:t>
            </w:r>
          </w:p>
        </w:tc>
        <w:tc>
          <w:tcPr>
            <w:tcW w:w="914" w:type="pct"/>
          </w:tcPr>
          <w:p w14:paraId="01367C75" w14:textId="77777777" w:rsidR="005C46E5" w:rsidRPr="00613B58" w:rsidRDefault="005C46E5" w:rsidP="00291348">
            <w:pPr>
              <w:pStyle w:val="TableText"/>
            </w:pPr>
            <w:r w:rsidRPr="00613B58">
              <w:t>0</w:t>
            </w:r>
          </w:p>
        </w:tc>
        <w:tc>
          <w:tcPr>
            <w:tcW w:w="845" w:type="pct"/>
          </w:tcPr>
          <w:p w14:paraId="22514FED" w14:textId="77777777" w:rsidR="005C46E5" w:rsidRPr="00613B58" w:rsidRDefault="005C46E5" w:rsidP="00291348">
            <w:pPr>
              <w:pStyle w:val="TableText"/>
            </w:pPr>
            <w:r w:rsidRPr="00613B58">
              <w:t>1</w:t>
            </w:r>
          </w:p>
        </w:tc>
      </w:tr>
      <w:tr w:rsidR="005C46E5" w:rsidRPr="003E35C7" w14:paraId="69B30313" w14:textId="77777777" w:rsidTr="0003179F">
        <w:trPr>
          <w:jc w:val="center"/>
        </w:trPr>
        <w:tc>
          <w:tcPr>
            <w:tcW w:w="1535" w:type="pct"/>
          </w:tcPr>
          <w:p w14:paraId="0E3743DD" w14:textId="77777777" w:rsidR="005C46E5" w:rsidRPr="00613B58" w:rsidRDefault="005C46E5" w:rsidP="00291348">
            <w:pPr>
              <w:pStyle w:val="TableText"/>
              <w:rPr>
                <w:lang w:eastAsia="en-AU"/>
              </w:rPr>
            </w:pPr>
            <w:r w:rsidRPr="00613B58">
              <w:rPr>
                <w:lang w:eastAsia="en-AU"/>
              </w:rPr>
              <w:t>16 to 25</w:t>
            </w:r>
          </w:p>
        </w:tc>
        <w:tc>
          <w:tcPr>
            <w:tcW w:w="1706" w:type="pct"/>
          </w:tcPr>
          <w:p w14:paraId="79332D24" w14:textId="77777777" w:rsidR="005C46E5" w:rsidRPr="00613B58" w:rsidRDefault="005C46E5" w:rsidP="00291348">
            <w:pPr>
              <w:pStyle w:val="TableText"/>
              <w:rPr>
                <w:lang w:eastAsia="en-AU"/>
              </w:rPr>
            </w:pPr>
            <w:r w:rsidRPr="00613B58">
              <w:t>3</w:t>
            </w:r>
          </w:p>
        </w:tc>
        <w:tc>
          <w:tcPr>
            <w:tcW w:w="914" w:type="pct"/>
          </w:tcPr>
          <w:p w14:paraId="3B57BAF2" w14:textId="77777777" w:rsidR="005C46E5" w:rsidRPr="00613B58" w:rsidRDefault="005C46E5" w:rsidP="00291348">
            <w:pPr>
              <w:pStyle w:val="TableText"/>
            </w:pPr>
            <w:r w:rsidRPr="00613B58">
              <w:t>0</w:t>
            </w:r>
          </w:p>
        </w:tc>
        <w:tc>
          <w:tcPr>
            <w:tcW w:w="845" w:type="pct"/>
          </w:tcPr>
          <w:p w14:paraId="2FABB7B2" w14:textId="77777777" w:rsidR="005C46E5" w:rsidRPr="00613B58" w:rsidRDefault="005C46E5" w:rsidP="00291348">
            <w:pPr>
              <w:pStyle w:val="TableText"/>
            </w:pPr>
            <w:r w:rsidRPr="00613B58">
              <w:t>1</w:t>
            </w:r>
          </w:p>
        </w:tc>
      </w:tr>
      <w:tr w:rsidR="005C46E5" w:rsidRPr="003E35C7" w14:paraId="64409277"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535" w:type="pct"/>
          </w:tcPr>
          <w:p w14:paraId="1389E0D3" w14:textId="77777777" w:rsidR="005C46E5" w:rsidRPr="00613B58" w:rsidRDefault="005C46E5" w:rsidP="00291348">
            <w:pPr>
              <w:pStyle w:val="TableText"/>
              <w:rPr>
                <w:lang w:eastAsia="en-AU"/>
              </w:rPr>
            </w:pPr>
            <w:r w:rsidRPr="00613B58">
              <w:rPr>
                <w:lang w:eastAsia="en-AU"/>
              </w:rPr>
              <w:t>26 to 50</w:t>
            </w:r>
          </w:p>
        </w:tc>
        <w:tc>
          <w:tcPr>
            <w:tcW w:w="1706" w:type="pct"/>
          </w:tcPr>
          <w:p w14:paraId="2B82A7DD" w14:textId="77777777" w:rsidR="005C46E5" w:rsidRPr="00613B58" w:rsidRDefault="005C46E5" w:rsidP="00291348">
            <w:pPr>
              <w:pStyle w:val="TableText"/>
              <w:rPr>
                <w:lang w:eastAsia="en-AU"/>
              </w:rPr>
            </w:pPr>
            <w:r w:rsidRPr="00613B58">
              <w:t>5</w:t>
            </w:r>
          </w:p>
        </w:tc>
        <w:tc>
          <w:tcPr>
            <w:tcW w:w="914" w:type="pct"/>
          </w:tcPr>
          <w:p w14:paraId="4E6E9F61" w14:textId="77777777" w:rsidR="005C46E5" w:rsidRPr="00613B58" w:rsidRDefault="005C46E5" w:rsidP="00291348">
            <w:pPr>
              <w:pStyle w:val="TableText"/>
            </w:pPr>
            <w:r w:rsidRPr="00613B58">
              <w:t>0</w:t>
            </w:r>
          </w:p>
        </w:tc>
        <w:tc>
          <w:tcPr>
            <w:tcW w:w="845" w:type="pct"/>
          </w:tcPr>
          <w:p w14:paraId="04E51AC4" w14:textId="77777777" w:rsidR="005C46E5" w:rsidRPr="00613B58" w:rsidRDefault="005C46E5" w:rsidP="00291348">
            <w:pPr>
              <w:pStyle w:val="TableText"/>
            </w:pPr>
            <w:r w:rsidRPr="00613B58">
              <w:t>1</w:t>
            </w:r>
          </w:p>
        </w:tc>
      </w:tr>
      <w:tr w:rsidR="005C46E5" w:rsidRPr="003E35C7" w14:paraId="744AA8DF" w14:textId="77777777" w:rsidTr="0003179F">
        <w:trPr>
          <w:jc w:val="center"/>
        </w:trPr>
        <w:tc>
          <w:tcPr>
            <w:tcW w:w="1535" w:type="pct"/>
          </w:tcPr>
          <w:p w14:paraId="1C3FC117" w14:textId="77777777" w:rsidR="005C46E5" w:rsidRPr="00613B58" w:rsidRDefault="005C46E5" w:rsidP="00291348">
            <w:pPr>
              <w:pStyle w:val="TableText"/>
              <w:rPr>
                <w:lang w:eastAsia="en-AU"/>
              </w:rPr>
            </w:pPr>
            <w:r w:rsidRPr="00613B58">
              <w:rPr>
                <w:lang w:eastAsia="en-AU"/>
              </w:rPr>
              <w:t>51 to 90</w:t>
            </w:r>
          </w:p>
        </w:tc>
        <w:tc>
          <w:tcPr>
            <w:tcW w:w="1706" w:type="pct"/>
          </w:tcPr>
          <w:p w14:paraId="54DF4B5F" w14:textId="77777777" w:rsidR="005C46E5" w:rsidRPr="00613B58" w:rsidRDefault="005C46E5" w:rsidP="00291348">
            <w:pPr>
              <w:pStyle w:val="TableText"/>
              <w:rPr>
                <w:lang w:eastAsia="en-AU"/>
              </w:rPr>
            </w:pPr>
            <w:r w:rsidRPr="00613B58">
              <w:t>5</w:t>
            </w:r>
          </w:p>
        </w:tc>
        <w:tc>
          <w:tcPr>
            <w:tcW w:w="914" w:type="pct"/>
          </w:tcPr>
          <w:p w14:paraId="155B684F" w14:textId="77777777" w:rsidR="005C46E5" w:rsidRPr="00613B58" w:rsidRDefault="005C46E5" w:rsidP="00291348">
            <w:pPr>
              <w:pStyle w:val="TableText"/>
            </w:pPr>
            <w:r w:rsidRPr="00613B58">
              <w:t>0</w:t>
            </w:r>
          </w:p>
        </w:tc>
        <w:tc>
          <w:tcPr>
            <w:tcW w:w="845" w:type="pct"/>
          </w:tcPr>
          <w:p w14:paraId="6EBD6EA5" w14:textId="77777777" w:rsidR="005C46E5" w:rsidRPr="00613B58" w:rsidRDefault="005C46E5" w:rsidP="00291348">
            <w:pPr>
              <w:pStyle w:val="TableText"/>
            </w:pPr>
            <w:r w:rsidRPr="00613B58">
              <w:t>1</w:t>
            </w:r>
          </w:p>
        </w:tc>
      </w:tr>
      <w:tr w:rsidR="005C46E5" w:rsidRPr="003E35C7" w14:paraId="0E174252"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535" w:type="pct"/>
          </w:tcPr>
          <w:p w14:paraId="6F3D79CE" w14:textId="77777777" w:rsidR="005C46E5" w:rsidRPr="00613B58" w:rsidRDefault="005C46E5" w:rsidP="00291348">
            <w:pPr>
              <w:pStyle w:val="TableText"/>
              <w:rPr>
                <w:lang w:eastAsia="en-AU"/>
              </w:rPr>
            </w:pPr>
            <w:r w:rsidRPr="00613B58">
              <w:rPr>
                <w:lang w:eastAsia="en-AU"/>
              </w:rPr>
              <w:t>91 to 150</w:t>
            </w:r>
          </w:p>
        </w:tc>
        <w:tc>
          <w:tcPr>
            <w:tcW w:w="1706" w:type="pct"/>
          </w:tcPr>
          <w:p w14:paraId="2476CB59" w14:textId="77777777" w:rsidR="005C46E5" w:rsidRPr="00613B58" w:rsidRDefault="005C46E5" w:rsidP="00291348">
            <w:pPr>
              <w:pStyle w:val="TableText"/>
              <w:rPr>
                <w:lang w:eastAsia="en-AU"/>
              </w:rPr>
            </w:pPr>
            <w:r w:rsidRPr="00613B58">
              <w:t>8</w:t>
            </w:r>
          </w:p>
        </w:tc>
        <w:tc>
          <w:tcPr>
            <w:tcW w:w="914" w:type="pct"/>
          </w:tcPr>
          <w:p w14:paraId="7C63E461" w14:textId="77777777" w:rsidR="005C46E5" w:rsidRPr="00613B58" w:rsidRDefault="005C46E5" w:rsidP="00291348">
            <w:pPr>
              <w:pStyle w:val="TableText"/>
            </w:pPr>
            <w:r w:rsidRPr="00613B58">
              <w:t>0</w:t>
            </w:r>
          </w:p>
        </w:tc>
        <w:tc>
          <w:tcPr>
            <w:tcW w:w="845" w:type="pct"/>
          </w:tcPr>
          <w:p w14:paraId="1F3D4F48" w14:textId="77777777" w:rsidR="005C46E5" w:rsidRPr="00613B58" w:rsidRDefault="005C46E5" w:rsidP="00291348">
            <w:pPr>
              <w:pStyle w:val="TableText"/>
            </w:pPr>
            <w:r w:rsidRPr="00613B58">
              <w:t>1</w:t>
            </w:r>
          </w:p>
        </w:tc>
      </w:tr>
      <w:tr w:rsidR="005C46E5" w:rsidRPr="003E35C7" w14:paraId="5EECA0F9" w14:textId="77777777" w:rsidTr="0003179F">
        <w:trPr>
          <w:jc w:val="center"/>
        </w:trPr>
        <w:tc>
          <w:tcPr>
            <w:tcW w:w="1535" w:type="pct"/>
          </w:tcPr>
          <w:p w14:paraId="2D57EA01" w14:textId="77777777" w:rsidR="005C46E5" w:rsidRPr="00613B58" w:rsidRDefault="005C46E5" w:rsidP="00291348">
            <w:pPr>
              <w:pStyle w:val="TableText"/>
              <w:rPr>
                <w:lang w:eastAsia="en-AU"/>
              </w:rPr>
            </w:pPr>
            <w:r w:rsidRPr="00613B58">
              <w:rPr>
                <w:lang w:eastAsia="en-AU"/>
              </w:rPr>
              <w:t>151 to 280</w:t>
            </w:r>
          </w:p>
        </w:tc>
        <w:tc>
          <w:tcPr>
            <w:tcW w:w="1706" w:type="pct"/>
          </w:tcPr>
          <w:p w14:paraId="20B8F445" w14:textId="77777777" w:rsidR="005C46E5" w:rsidRPr="00613B58" w:rsidRDefault="005C46E5" w:rsidP="00291348">
            <w:pPr>
              <w:pStyle w:val="TableText"/>
              <w:rPr>
                <w:lang w:eastAsia="en-AU"/>
              </w:rPr>
            </w:pPr>
            <w:r w:rsidRPr="00613B58">
              <w:t>13</w:t>
            </w:r>
          </w:p>
        </w:tc>
        <w:tc>
          <w:tcPr>
            <w:tcW w:w="914" w:type="pct"/>
          </w:tcPr>
          <w:p w14:paraId="727FAE9D" w14:textId="77777777" w:rsidR="005C46E5" w:rsidRPr="00613B58" w:rsidRDefault="005C46E5" w:rsidP="00291348">
            <w:pPr>
              <w:pStyle w:val="TableText"/>
            </w:pPr>
            <w:r w:rsidRPr="00613B58">
              <w:t>0</w:t>
            </w:r>
          </w:p>
        </w:tc>
        <w:tc>
          <w:tcPr>
            <w:tcW w:w="845" w:type="pct"/>
          </w:tcPr>
          <w:p w14:paraId="275ABC0A" w14:textId="77777777" w:rsidR="005C46E5" w:rsidRPr="00613B58" w:rsidRDefault="005C46E5" w:rsidP="00291348">
            <w:pPr>
              <w:pStyle w:val="TableText"/>
            </w:pPr>
            <w:r w:rsidRPr="00613B58">
              <w:t>1</w:t>
            </w:r>
          </w:p>
        </w:tc>
      </w:tr>
      <w:tr w:rsidR="005C46E5" w:rsidRPr="003E35C7" w14:paraId="413C53A3"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535" w:type="pct"/>
          </w:tcPr>
          <w:p w14:paraId="36E86C64" w14:textId="77777777" w:rsidR="005C46E5" w:rsidRPr="00613B58" w:rsidRDefault="005C46E5" w:rsidP="00291348">
            <w:pPr>
              <w:pStyle w:val="TableText"/>
              <w:rPr>
                <w:lang w:eastAsia="en-AU"/>
              </w:rPr>
            </w:pPr>
            <w:r w:rsidRPr="00613B58">
              <w:rPr>
                <w:lang w:eastAsia="en-AU"/>
              </w:rPr>
              <w:t>281 to 500</w:t>
            </w:r>
          </w:p>
        </w:tc>
        <w:tc>
          <w:tcPr>
            <w:tcW w:w="1706" w:type="pct"/>
          </w:tcPr>
          <w:p w14:paraId="0D92FC71" w14:textId="77777777" w:rsidR="005C46E5" w:rsidRPr="00613B58" w:rsidRDefault="005C46E5" w:rsidP="00291348">
            <w:pPr>
              <w:pStyle w:val="TableText"/>
              <w:rPr>
                <w:lang w:eastAsia="en-AU"/>
              </w:rPr>
            </w:pPr>
            <w:r w:rsidRPr="00613B58">
              <w:rPr>
                <w:lang w:eastAsia="en-AU"/>
              </w:rPr>
              <w:t>20</w:t>
            </w:r>
          </w:p>
        </w:tc>
        <w:tc>
          <w:tcPr>
            <w:tcW w:w="914" w:type="pct"/>
          </w:tcPr>
          <w:p w14:paraId="5AEB32CC" w14:textId="77777777" w:rsidR="005C46E5" w:rsidRPr="00613B58" w:rsidRDefault="005C46E5" w:rsidP="00291348">
            <w:pPr>
              <w:pStyle w:val="TableText"/>
            </w:pPr>
            <w:r w:rsidRPr="00613B58">
              <w:t>0</w:t>
            </w:r>
          </w:p>
        </w:tc>
        <w:tc>
          <w:tcPr>
            <w:tcW w:w="845" w:type="pct"/>
          </w:tcPr>
          <w:p w14:paraId="0C089B59" w14:textId="77777777" w:rsidR="005C46E5" w:rsidRPr="00613B58" w:rsidRDefault="005C46E5" w:rsidP="00291348">
            <w:pPr>
              <w:pStyle w:val="TableText"/>
            </w:pPr>
            <w:r w:rsidRPr="00613B58">
              <w:t>1</w:t>
            </w:r>
          </w:p>
        </w:tc>
      </w:tr>
      <w:tr w:rsidR="005C46E5" w:rsidRPr="003E35C7" w14:paraId="7B942818" w14:textId="77777777" w:rsidTr="0003179F">
        <w:trPr>
          <w:jc w:val="center"/>
        </w:trPr>
        <w:tc>
          <w:tcPr>
            <w:tcW w:w="1535" w:type="pct"/>
          </w:tcPr>
          <w:p w14:paraId="426177CB" w14:textId="77777777" w:rsidR="005C46E5" w:rsidRPr="00613B58" w:rsidRDefault="005C46E5" w:rsidP="00291348">
            <w:pPr>
              <w:pStyle w:val="TableText"/>
              <w:rPr>
                <w:lang w:eastAsia="en-AU"/>
              </w:rPr>
            </w:pPr>
            <w:r w:rsidRPr="00613B58">
              <w:rPr>
                <w:lang w:eastAsia="en-AU"/>
              </w:rPr>
              <w:t>501 to 1200</w:t>
            </w:r>
          </w:p>
        </w:tc>
        <w:tc>
          <w:tcPr>
            <w:tcW w:w="1706" w:type="pct"/>
          </w:tcPr>
          <w:p w14:paraId="303D8FF2" w14:textId="77777777" w:rsidR="005C46E5" w:rsidRPr="00613B58" w:rsidRDefault="005C46E5" w:rsidP="00291348">
            <w:pPr>
              <w:pStyle w:val="TableText"/>
              <w:rPr>
                <w:lang w:eastAsia="en-AU"/>
              </w:rPr>
            </w:pPr>
            <w:r w:rsidRPr="00613B58">
              <w:rPr>
                <w:lang w:eastAsia="en-AU"/>
              </w:rPr>
              <w:t>32</w:t>
            </w:r>
          </w:p>
        </w:tc>
        <w:tc>
          <w:tcPr>
            <w:tcW w:w="914" w:type="pct"/>
          </w:tcPr>
          <w:p w14:paraId="44C811A7" w14:textId="77777777" w:rsidR="005C46E5" w:rsidRPr="00613B58" w:rsidRDefault="005C46E5" w:rsidP="00291348">
            <w:pPr>
              <w:pStyle w:val="TableText"/>
            </w:pPr>
            <w:r w:rsidRPr="00613B58">
              <w:t>0</w:t>
            </w:r>
          </w:p>
        </w:tc>
        <w:tc>
          <w:tcPr>
            <w:tcW w:w="845" w:type="pct"/>
          </w:tcPr>
          <w:p w14:paraId="4A5A0C3C" w14:textId="77777777" w:rsidR="005C46E5" w:rsidRPr="00613B58" w:rsidRDefault="005C46E5" w:rsidP="00291348">
            <w:pPr>
              <w:pStyle w:val="TableText"/>
            </w:pPr>
            <w:r w:rsidRPr="00613B58">
              <w:t>1</w:t>
            </w:r>
          </w:p>
        </w:tc>
      </w:tr>
      <w:tr w:rsidR="005C46E5" w:rsidRPr="003E35C7" w14:paraId="7807A134" w14:textId="77777777" w:rsidTr="0003179F">
        <w:trPr>
          <w:cnfStyle w:val="000000010000" w:firstRow="0" w:lastRow="0" w:firstColumn="0" w:lastColumn="0" w:oddVBand="0" w:evenVBand="0" w:oddHBand="0" w:evenHBand="1" w:firstRowFirstColumn="0" w:firstRowLastColumn="0" w:lastRowFirstColumn="0" w:lastRowLastColumn="0"/>
          <w:jc w:val="center"/>
        </w:trPr>
        <w:tc>
          <w:tcPr>
            <w:tcW w:w="1535" w:type="pct"/>
          </w:tcPr>
          <w:p w14:paraId="7DD319CD" w14:textId="77777777" w:rsidR="005C46E5" w:rsidRPr="00613B58" w:rsidRDefault="005C46E5" w:rsidP="00291348">
            <w:pPr>
              <w:pStyle w:val="TableText"/>
              <w:rPr>
                <w:lang w:eastAsia="en-AU"/>
              </w:rPr>
            </w:pPr>
            <w:r w:rsidRPr="00613B58">
              <w:rPr>
                <w:lang w:eastAsia="en-AU"/>
              </w:rPr>
              <w:t>1201 to 3200</w:t>
            </w:r>
          </w:p>
        </w:tc>
        <w:tc>
          <w:tcPr>
            <w:tcW w:w="1706" w:type="pct"/>
          </w:tcPr>
          <w:p w14:paraId="2691BBB2" w14:textId="77777777" w:rsidR="005C46E5" w:rsidRPr="00613B58" w:rsidRDefault="005C46E5" w:rsidP="00291348">
            <w:pPr>
              <w:pStyle w:val="TableText"/>
              <w:rPr>
                <w:lang w:eastAsia="en-AU"/>
              </w:rPr>
            </w:pPr>
            <w:r w:rsidRPr="00613B58">
              <w:rPr>
                <w:lang w:eastAsia="en-AU"/>
              </w:rPr>
              <w:t>50</w:t>
            </w:r>
          </w:p>
        </w:tc>
        <w:tc>
          <w:tcPr>
            <w:tcW w:w="914" w:type="pct"/>
          </w:tcPr>
          <w:p w14:paraId="3FDA56A2" w14:textId="77777777" w:rsidR="005C46E5" w:rsidRPr="00613B58" w:rsidRDefault="005C46E5" w:rsidP="00291348">
            <w:pPr>
              <w:pStyle w:val="TableText"/>
            </w:pPr>
            <w:r w:rsidRPr="00613B58">
              <w:t>0</w:t>
            </w:r>
          </w:p>
        </w:tc>
        <w:tc>
          <w:tcPr>
            <w:tcW w:w="845" w:type="pct"/>
          </w:tcPr>
          <w:p w14:paraId="363A5CD1" w14:textId="77777777" w:rsidR="005C46E5" w:rsidRPr="00613B58" w:rsidRDefault="005C46E5" w:rsidP="00291348">
            <w:pPr>
              <w:pStyle w:val="TableText"/>
            </w:pPr>
            <w:r w:rsidRPr="00613B58">
              <w:t>1</w:t>
            </w:r>
          </w:p>
        </w:tc>
      </w:tr>
    </w:tbl>
    <w:p w14:paraId="1BAF3801" w14:textId="39430D8E" w:rsidR="0003179F" w:rsidRDefault="0003179F" w:rsidP="0003179F">
      <w:pPr>
        <w:pStyle w:val="Caption"/>
        <w:keepNext/>
      </w:pPr>
      <w:bookmarkStart w:id="576" w:name="_Ref146720977"/>
      <w:r>
        <w:t xml:space="preserve">Table </w:t>
      </w:r>
      <w:r w:rsidR="00440352">
        <w:fldChar w:fldCharType="begin"/>
      </w:r>
      <w:r w:rsidR="00440352">
        <w:instrText xml:space="preserve"> SEQ Table \* ARABIC </w:instrText>
      </w:r>
      <w:r w:rsidR="00440352">
        <w:fldChar w:fldCharType="separate"/>
      </w:r>
      <w:r w:rsidR="003F6048">
        <w:rPr>
          <w:noProof/>
        </w:rPr>
        <w:t>13</w:t>
      </w:r>
      <w:r w:rsidR="00440352">
        <w:rPr>
          <w:noProof/>
        </w:rPr>
        <w:fldChar w:fldCharType="end"/>
      </w:r>
      <w:bookmarkEnd w:id="576"/>
      <w:r>
        <w:t xml:space="preserve">. </w:t>
      </w:r>
      <w:r w:rsidRPr="001D41B0">
        <w:t xml:space="preserve">Mandatory test </w:t>
      </w:r>
      <w:r w:rsidRPr="004138C6">
        <w:t>points (</w:t>
      </w:r>
      <w:r w:rsidR="004138C6" w:rsidRPr="00C10522">
        <w:t xml:space="preserve">for </w:t>
      </w:r>
      <w:r w:rsidR="004138C6">
        <w:t xml:space="preserve">a </w:t>
      </w:r>
      <w:r w:rsidR="004138C6" w:rsidRPr="00C10522">
        <w:t>sub-sample</w:t>
      </w:r>
      <w:r w:rsidR="004138C6">
        <w:t xml:space="preserve"> of imported electricity</w:t>
      </w:r>
      <w:r w:rsidR="004138C6" w:rsidRPr="00C10522">
        <w:t xml:space="preserve"> </w:t>
      </w:r>
      <w:r w:rsidRPr="004138C6">
        <w:t>meter</w:t>
      </w:r>
      <w:r w:rsidR="004138C6" w:rsidRPr="00C10522">
        <w:t>s</w:t>
      </w:r>
      <w:r w:rsidRPr="004138C6">
        <w:t>)</w:t>
      </w:r>
    </w:p>
    <w:tbl>
      <w:tblPr>
        <w:tblStyle w:val="NITP"/>
        <w:tblW w:w="5000" w:type="pct"/>
        <w:tblLook w:val="0020" w:firstRow="1" w:lastRow="0" w:firstColumn="0" w:lastColumn="0" w:noHBand="0" w:noVBand="0"/>
      </w:tblPr>
      <w:tblGrid>
        <w:gridCol w:w="2971"/>
        <w:gridCol w:w="3120"/>
        <w:gridCol w:w="1417"/>
        <w:gridCol w:w="2235"/>
      </w:tblGrid>
      <w:tr w:rsidR="0003179F" w14:paraId="4779382D" w14:textId="77777777" w:rsidTr="00A95724">
        <w:trPr>
          <w:cnfStyle w:val="100000000000" w:firstRow="1" w:lastRow="0" w:firstColumn="0" w:lastColumn="0" w:oddVBand="0" w:evenVBand="0" w:oddHBand="0" w:evenHBand="0" w:firstRowFirstColumn="0" w:firstRowLastColumn="0" w:lastRowFirstColumn="0" w:lastRowLastColumn="0"/>
        </w:trPr>
        <w:tc>
          <w:tcPr>
            <w:tcW w:w="1525" w:type="pct"/>
          </w:tcPr>
          <w:p w14:paraId="2C0446BF" w14:textId="77777777" w:rsidR="0003179F" w:rsidRPr="005849DE" w:rsidRDefault="0003179F" w:rsidP="00A95724">
            <w:pPr>
              <w:pStyle w:val="TableText"/>
              <w:rPr>
                <w:b w:val="0"/>
                <w:bCs/>
                <w:vertAlign w:val="superscript"/>
                <w:lang w:val="en-GB"/>
              </w:rPr>
            </w:pPr>
            <w:r w:rsidRPr="005849DE">
              <w:rPr>
                <w:bCs/>
                <w:lang w:val="en-GB"/>
              </w:rPr>
              <w:t>Current (A)</w:t>
            </w:r>
            <w:r>
              <w:rPr>
                <w:bCs/>
                <w:lang w:val="en-GB"/>
              </w:rPr>
              <w:t xml:space="preserve"> for direct-connected meters</w:t>
            </w:r>
            <w:r>
              <w:rPr>
                <w:bCs/>
                <w:vertAlign w:val="superscript"/>
                <w:lang w:val="en-GB"/>
              </w:rPr>
              <w:t>1</w:t>
            </w:r>
          </w:p>
        </w:tc>
        <w:tc>
          <w:tcPr>
            <w:tcW w:w="1601" w:type="pct"/>
          </w:tcPr>
          <w:p w14:paraId="3B1AD2B2" w14:textId="77777777" w:rsidR="0003179F" w:rsidRPr="005849DE" w:rsidRDefault="0003179F" w:rsidP="00A95724">
            <w:pPr>
              <w:pStyle w:val="TableText"/>
              <w:rPr>
                <w:b w:val="0"/>
                <w:bCs/>
                <w:lang w:val="en-GB"/>
              </w:rPr>
            </w:pPr>
            <w:r w:rsidRPr="005849DE">
              <w:rPr>
                <w:bCs/>
                <w:lang w:val="en-GB"/>
              </w:rPr>
              <w:t>Current (A)</w:t>
            </w:r>
            <w:r>
              <w:rPr>
                <w:bCs/>
                <w:lang w:val="en-GB"/>
              </w:rPr>
              <w:t xml:space="preserve"> for transformer-operated meters</w:t>
            </w:r>
            <w:r>
              <w:rPr>
                <w:bCs/>
                <w:vertAlign w:val="superscript"/>
                <w:lang w:val="en-GB"/>
              </w:rPr>
              <w:t>2</w:t>
            </w:r>
          </w:p>
        </w:tc>
        <w:tc>
          <w:tcPr>
            <w:tcW w:w="727" w:type="pct"/>
          </w:tcPr>
          <w:p w14:paraId="0F11D12E" w14:textId="77777777" w:rsidR="0003179F" w:rsidRPr="005849DE" w:rsidRDefault="0003179F" w:rsidP="00A95724">
            <w:pPr>
              <w:pStyle w:val="TableText"/>
              <w:rPr>
                <w:b w:val="0"/>
                <w:bCs/>
                <w:lang w:val="en-GB"/>
              </w:rPr>
            </w:pPr>
            <w:r w:rsidRPr="005849DE">
              <w:rPr>
                <w:bCs/>
                <w:lang w:val="en-GB"/>
              </w:rPr>
              <w:t>Power factor</w:t>
            </w:r>
          </w:p>
        </w:tc>
        <w:tc>
          <w:tcPr>
            <w:tcW w:w="1147" w:type="pct"/>
          </w:tcPr>
          <w:p w14:paraId="3992955F" w14:textId="77777777" w:rsidR="0003179F" w:rsidRPr="00CB39E7" w:rsidRDefault="0003179F" w:rsidP="00A95724">
            <w:pPr>
              <w:pStyle w:val="TableText"/>
              <w:rPr>
                <w:b w:val="0"/>
                <w:bCs/>
                <w:vertAlign w:val="superscript"/>
                <w:lang w:val="en-GB"/>
              </w:rPr>
            </w:pPr>
            <w:r>
              <w:rPr>
                <w:bCs/>
                <w:lang w:val="en-GB"/>
              </w:rPr>
              <w:t>Direction of current flow</w:t>
            </w:r>
            <w:r>
              <w:rPr>
                <w:bCs/>
                <w:vertAlign w:val="superscript"/>
                <w:lang w:val="en-GB"/>
              </w:rPr>
              <w:t>3</w:t>
            </w:r>
          </w:p>
        </w:tc>
      </w:tr>
      <w:tr w:rsidR="0003179F" w14:paraId="22CB2B4C" w14:textId="77777777" w:rsidTr="00A95724">
        <w:tc>
          <w:tcPr>
            <w:tcW w:w="1525" w:type="pct"/>
            <w:hideMark/>
          </w:tcPr>
          <w:p w14:paraId="106CE7F3" w14:textId="77777777" w:rsidR="0003179F" w:rsidRDefault="0003179F" w:rsidP="00A95724">
            <w:pPr>
              <w:pStyle w:val="TableText"/>
              <w:rPr>
                <w:lang w:val="en-GB"/>
              </w:rPr>
            </w:pPr>
            <w:r>
              <w:rPr>
                <w:lang w:val="en-GB"/>
              </w:rPr>
              <w:t xml:space="preserve">0.05 </w:t>
            </w:r>
            <w:proofErr w:type="spellStart"/>
            <w:r>
              <w:rPr>
                <w:i/>
                <w:lang w:val="en-GB"/>
              </w:rPr>
              <w:t>I</w:t>
            </w:r>
            <w:r>
              <w:rPr>
                <w:vertAlign w:val="subscript"/>
                <w:lang w:val="en-GB"/>
              </w:rPr>
              <w:t>b</w:t>
            </w:r>
            <w:proofErr w:type="spellEnd"/>
          </w:p>
        </w:tc>
        <w:tc>
          <w:tcPr>
            <w:tcW w:w="1601" w:type="pct"/>
          </w:tcPr>
          <w:p w14:paraId="3D0B0156" w14:textId="277BF2D5" w:rsidR="0003179F" w:rsidRPr="008A1D61" w:rsidRDefault="0003179F" w:rsidP="00A95724">
            <w:pPr>
              <w:pStyle w:val="TableText"/>
              <w:rPr>
                <w:lang w:val="en-GB"/>
              </w:rPr>
            </w:pPr>
            <w:r>
              <w:rPr>
                <w:lang w:val="en-GB"/>
              </w:rPr>
              <w:t xml:space="preserve">0.01 </w:t>
            </w:r>
            <w:r>
              <w:rPr>
                <w:i/>
                <w:lang w:val="en-GB"/>
              </w:rPr>
              <w:t>I</w:t>
            </w:r>
            <w:r>
              <w:rPr>
                <w:vertAlign w:val="subscript"/>
                <w:lang w:val="en-GB"/>
              </w:rPr>
              <w:t>n</w:t>
            </w:r>
            <w:r w:rsidR="004138C6">
              <w:rPr>
                <w:vertAlign w:val="subscript"/>
                <w:lang w:val="en-GB"/>
              </w:rPr>
              <w:t xml:space="preserve"> </w:t>
            </w:r>
            <w:r w:rsidR="004138C6">
              <w:rPr>
                <w:vertAlign w:val="superscript"/>
                <w:lang w:val="en-GB"/>
              </w:rPr>
              <w:t>4</w:t>
            </w:r>
          </w:p>
        </w:tc>
        <w:tc>
          <w:tcPr>
            <w:tcW w:w="727" w:type="pct"/>
            <w:hideMark/>
          </w:tcPr>
          <w:p w14:paraId="6A3F1296" w14:textId="77777777" w:rsidR="0003179F" w:rsidRPr="008A1D61" w:rsidRDefault="0003179F" w:rsidP="00A95724">
            <w:pPr>
              <w:pStyle w:val="TableText"/>
              <w:rPr>
                <w:vertAlign w:val="superscript"/>
                <w:lang w:val="en-GB"/>
              </w:rPr>
            </w:pPr>
            <w:r w:rsidRPr="008A1D61">
              <w:rPr>
                <w:lang w:val="en-GB"/>
              </w:rPr>
              <w:t>1</w:t>
            </w:r>
          </w:p>
        </w:tc>
        <w:tc>
          <w:tcPr>
            <w:tcW w:w="1147" w:type="pct"/>
          </w:tcPr>
          <w:p w14:paraId="10B8F63D" w14:textId="5C6BD8B3" w:rsidR="0003179F" w:rsidRPr="00CB39E7" w:rsidRDefault="0003179F" w:rsidP="00A95724">
            <w:pPr>
              <w:pStyle w:val="TableText"/>
              <w:rPr>
                <w:vertAlign w:val="superscript"/>
                <w:lang w:val="en-GB"/>
              </w:rPr>
            </w:pPr>
            <w:r>
              <w:rPr>
                <w:lang w:val="en-GB"/>
              </w:rPr>
              <w:t>Positive only</w:t>
            </w:r>
          </w:p>
        </w:tc>
      </w:tr>
      <w:tr w:rsidR="0003179F" w14:paraId="1F8FFF90" w14:textId="77777777" w:rsidTr="00A95724">
        <w:trPr>
          <w:cnfStyle w:val="000000010000" w:firstRow="0" w:lastRow="0" w:firstColumn="0" w:lastColumn="0" w:oddVBand="0" w:evenVBand="0" w:oddHBand="0" w:evenHBand="1" w:firstRowFirstColumn="0" w:firstRowLastColumn="0" w:lastRowFirstColumn="0" w:lastRowLastColumn="0"/>
        </w:trPr>
        <w:tc>
          <w:tcPr>
            <w:tcW w:w="1525" w:type="pct"/>
            <w:hideMark/>
          </w:tcPr>
          <w:p w14:paraId="6748D1BB" w14:textId="77777777" w:rsidR="0003179F" w:rsidRDefault="0003179F" w:rsidP="00A95724">
            <w:pPr>
              <w:pStyle w:val="TableText"/>
              <w:rPr>
                <w:lang w:val="en-GB"/>
              </w:rPr>
            </w:pPr>
            <w:r>
              <w:rPr>
                <w:lang w:val="en-GB"/>
              </w:rPr>
              <w:t xml:space="preserve">0.1 </w:t>
            </w:r>
            <w:proofErr w:type="spellStart"/>
            <w:r>
              <w:rPr>
                <w:i/>
                <w:lang w:val="en-GB"/>
              </w:rPr>
              <w:t>I</w:t>
            </w:r>
            <w:r>
              <w:rPr>
                <w:vertAlign w:val="subscript"/>
                <w:lang w:val="en-GB"/>
              </w:rPr>
              <w:t>b</w:t>
            </w:r>
            <w:proofErr w:type="spellEnd"/>
          </w:p>
        </w:tc>
        <w:tc>
          <w:tcPr>
            <w:tcW w:w="1601" w:type="pct"/>
          </w:tcPr>
          <w:p w14:paraId="6FA2EBF1" w14:textId="77777777" w:rsidR="0003179F" w:rsidRPr="004931F7" w:rsidRDefault="0003179F" w:rsidP="00A95724">
            <w:pPr>
              <w:pStyle w:val="TableText"/>
              <w:rPr>
                <w:lang w:val="en-GB"/>
              </w:rPr>
            </w:pPr>
            <w:r>
              <w:rPr>
                <w:lang w:val="en-GB"/>
              </w:rPr>
              <w:t xml:space="preserve">0.1 </w:t>
            </w:r>
            <w:r>
              <w:rPr>
                <w:i/>
                <w:lang w:val="en-GB"/>
              </w:rPr>
              <w:t>I</w:t>
            </w:r>
            <w:r>
              <w:rPr>
                <w:vertAlign w:val="subscript"/>
                <w:lang w:val="en-GB"/>
              </w:rPr>
              <w:t>n</w:t>
            </w:r>
          </w:p>
        </w:tc>
        <w:tc>
          <w:tcPr>
            <w:tcW w:w="727" w:type="pct"/>
            <w:hideMark/>
          </w:tcPr>
          <w:p w14:paraId="584263CD" w14:textId="77777777" w:rsidR="0003179F" w:rsidRPr="004931F7" w:rsidRDefault="0003179F" w:rsidP="00A95724">
            <w:pPr>
              <w:pStyle w:val="TableText"/>
              <w:rPr>
                <w:vertAlign w:val="superscript"/>
                <w:lang w:val="en-GB"/>
              </w:rPr>
            </w:pPr>
            <w:r w:rsidRPr="004931F7">
              <w:rPr>
                <w:lang w:val="en-GB"/>
              </w:rPr>
              <w:t>1</w:t>
            </w:r>
          </w:p>
        </w:tc>
        <w:tc>
          <w:tcPr>
            <w:tcW w:w="1147" w:type="pct"/>
          </w:tcPr>
          <w:p w14:paraId="05FB9501" w14:textId="77777777" w:rsidR="0003179F" w:rsidRPr="004931F7" w:rsidRDefault="0003179F" w:rsidP="00A95724">
            <w:pPr>
              <w:pStyle w:val="TableText"/>
              <w:rPr>
                <w:lang w:val="en-GB"/>
              </w:rPr>
            </w:pPr>
            <w:r>
              <w:rPr>
                <w:lang w:val="en-GB"/>
              </w:rPr>
              <w:t>Positive only</w:t>
            </w:r>
          </w:p>
        </w:tc>
      </w:tr>
      <w:tr w:rsidR="0003179F" w14:paraId="38298927" w14:textId="77777777" w:rsidTr="00A95724">
        <w:tc>
          <w:tcPr>
            <w:tcW w:w="1525" w:type="pct"/>
            <w:hideMark/>
          </w:tcPr>
          <w:p w14:paraId="724BF3A1" w14:textId="77777777" w:rsidR="0003179F" w:rsidRDefault="0003179F" w:rsidP="00A95724">
            <w:pPr>
              <w:pStyle w:val="TableText"/>
              <w:rPr>
                <w:lang w:val="en-GB"/>
              </w:rPr>
            </w:pPr>
            <w:r>
              <w:rPr>
                <w:i/>
                <w:lang w:val="en-GB"/>
              </w:rPr>
              <w:t>I</w:t>
            </w:r>
            <w:r>
              <w:rPr>
                <w:vertAlign w:val="subscript"/>
                <w:lang w:val="en-GB"/>
              </w:rPr>
              <w:t>max</w:t>
            </w:r>
          </w:p>
        </w:tc>
        <w:tc>
          <w:tcPr>
            <w:tcW w:w="1601" w:type="pct"/>
          </w:tcPr>
          <w:p w14:paraId="66CE49CB" w14:textId="77777777" w:rsidR="0003179F" w:rsidRPr="000E67C9" w:rsidRDefault="0003179F" w:rsidP="00A95724">
            <w:pPr>
              <w:pStyle w:val="TableText"/>
              <w:rPr>
                <w:lang w:val="en-GB"/>
              </w:rPr>
            </w:pPr>
            <w:r>
              <w:rPr>
                <w:i/>
                <w:lang w:val="en-GB"/>
              </w:rPr>
              <w:t>I</w:t>
            </w:r>
            <w:r>
              <w:rPr>
                <w:vertAlign w:val="subscript"/>
                <w:lang w:val="en-GB"/>
              </w:rPr>
              <w:t>max</w:t>
            </w:r>
          </w:p>
        </w:tc>
        <w:tc>
          <w:tcPr>
            <w:tcW w:w="727" w:type="pct"/>
            <w:hideMark/>
          </w:tcPr>
          <w:p w14:paraId="12F1D694" w14:textId="77777777" w:rsidR="0003179F" w:rsidRPr="004931F7" w:rsidRDefault="0003179F" w:rsidP="00A95724">
            <w:pPr>
              <w:pStyle w:val="TableText"/>
              <w:rPr>
                <w:b/>
                <w:bCs/>
                <w:vertAlign w:val="superscript"/>
                <w:lang w:val="en-GB"/>
              </w:rPr>
            </w:pPr>
            <w:r w:rsidRPr="000E67C9">
              <w:rPr>
                <w:lang w:val="en-GB"/>
              </w:rPr>
              <w:t>1</w:t>
            </w:r>
          </w:p>
        </w:tc>
        <w:tc>
          <w:tcPr>
            <w:tcW w:w="1147" w:type="pct"/>
          </w:tcPr>
          <w:p w14:paraId="62C19978" w14:textId="77777777" w:rsidR="0003179F" w:rsidRPr="000E67C9" w:rsidRDefault="0003179F" w:rsidP="00A95724">
            <w:pPr>
              <w:pStyle w:val="TableText"/>
              <w:rPr>
                <w:lang w:val="en-GB"/>
              </w:rPr>
            </w:pPr>
            <w:r>
              <w:rPr>
                <w:lang w:val="en-GB"/>
              </w:rPr>
              <w:t>Positive and negative</w:t>
            </w:r>
          </w:p>
        </w:tc>
      </w:tr>
      <w:tr w:rsidR="0003179F" w14:paraId="4016297B" w14:textId="77777777" w:rsidTr="00A95724">
        <w:trPr>
          <w:cnfStyle w:val="000000010000" w:firstRow="0" w:lastRow="0" w:firstColumn="0" w:lastColumn="0" w:oddVBand="0" w:evenVBand="0" w:oddHBand="0" w:evenHBand="1" w:firstRowFirstColumn="0" w:firstRowLastColumn="0" w:lastRowFirstColumn="0" w:lastRowLastColumn="0"/>
        </w:trPr>
        <w:tc>
          <w:tcPr>
            <w:tcW w:w="1525" w:type="pct"/>
            <w:hideMark/>
          </w:tcPr>
          <w:p w14:paraId="2C7F80F9" w14:textId="77777777" w:rsidR="0003179F" w:rsidRDefault="0003179F" w:rsidP="00A95724">
            <w:pPr>
              <w:pStyle w:val="TableText"/>
              <w:rPr>
                <w:lang w:val="en-GB"/>
              </w:rPr>
            </w:pPr>
            <w:r>
              <w:rPr>
                <w:i/>
                <w:lang w:val="en-GB"/>
              </w:rPr>
              <w:t>I</w:t>
            </w:r>
            <w:r>
              <w:rPr>
                <w:vertAlign w:val="subscript"/>
                <w:lang w:val="en-GB"/>
              </w:rPr>
              <w:t>max</w:t>
            </w:r>
          </w:p>
        </w:tc>
        <w:tc>
          <w:tcPr>
            <w:tcW w:w="1601" w:type="pct"/>
          </w:tcPr>
          <w:p w14:paraId="3283A833" w14:textId="77777777" w:rsidR="0003179F" w:rsidRPr="000E67C9" w:rsidRDefault="0003179F" w:rsidP="00A95724">
            <w:pPr>
              <w:pStyle w:val="TableText"/>
              <w:rPr>
                <w:lang w:val="en-GB"/>
              </w:rPr>
            </w:pPr>
            <w:r>
              <w:rPr>
                <w:i/>
                <w:lang w:val="en-GB"/>
              </w:rPr>
              <w:t>I</w:t>
            </w:r>
            <w:r>
              <w:rPr>
                <w:vertAlign w:val="subscript"/>
                <w:lang w:val="en-GB"/>
              </w:rPr>
              <w:t>max</w:t>
            </w:r>
          </w:p>
        </w:tc>
        <w:tc>
          <w:tcPr>
            <w:tcW w:w="727" w:type="pct"/>
            <w:hideMark/>
          </w:tcPr>
          <w:p w14:paraId="7FD87AE6" w14:textId="77777777" w:rsidR="0003179F" w:rsidRPr="004931F7" w:rsidRDefault="0003179F" w:rsidP="00A95724">
            <w:pPr>
              <w:pStyle w:val="TableText"/>
              <w:rPr>
                <w:b/>
                <w:bCs/>
                <w:vertAlign w:val="superscript"/>
                <w:lang w:val="en-GB"/>
              </w:rPr>
            </w:pPr>
            <w:r w:rsidRPr="000E67C9">
              <w:rPr>
                <w:lang w:val="en-GB"/>
              </w:rPr>
              <w:t>0.5 inductive</w:t>
            </w:r>
          </w:p>
        </w:tc>
        <w:tc>
          <w:tcPr>
            <w:tcW w:w="1147" w:type="pct"/>
          </w:tcPr>
          <w:p w14:paraId="2EEFC99C" w14:textId="77777777" w:rsidR="0003179F" w:rsidRPr="000E67C9" w:rsidRDefault="0003179F" w:rsidP="00A95724">
            <w:pPr>
              <w:pStyle w:val="TableText"/>
              <w:rPr>
                <w:lang w:val="en-GB"/>
              </w:rPr>
            </w:pPr>
            <w:r>
              <w:rPr>
                <w:lang w:val="en-GB"/>
              </w:rPr>
              <w:t>Positive and negative</w:t>
            </w:r>
          </w:p>
        </w:tc>
      </w:tr>
    </w:tbl>
    <w:p w14:paraId="2D423C49" w14:textId="10081C3F" w:rsidR="0003179F" w:rsidRDefault="0003179F" w:rsidP="0063574C">
      <w:pPr>
        <w:pStyle w:val="Note"/>
        <w:spacing w:before="120"/>
      </w:pPr>
      <w:r w:rsidRPr="00CB39E7">
        <w:t>Note</w:t>
      </w:r>
      <w:r>
        <w:t xml:space="preserve"> 1:</w:t>
      </w:r>
      <w:r>
        <w:tab/>
        <w:t xml:space="preserve">For </w:t>
      </w:r>
      <w:r w:rsidR="00C31100" w:rsidRPr="00C31100">
        <w:t xml:space="preserve">electricity </w:t>
      </w:r>
      <w:r>
        <w:t xml:space="preserve">meters approved against NMI R 46, </w:t>
      </w:r>
      <w:proofErr w:type="spellStart"/>
      <w:r w:rsidRPr="00CB39E7">
        <w:rPr>
          <w:i/>
          <w:iCs/>
        </w:rPr>
        <w:t>I</w:t>
      </w:r>
      <w:r>
        <w:rPr>
          <w:vertAlign w:val="subscript"/>
        </w:rPr>
        <w:t>b</w:t>
      </w:r>
      <w:proofErr w:type="spellEnd"/>
      <w:r>
        <w:t xml:space="preserve"> is taken to be 10 </w:t>
      </w:r>
      <w:proofErr w:type="spellStart"/>
      <w:r>
        <w:rPr>
          <w:i/>
          <w:iCs/>
        </w:rPr>
        <w:t>I</w:t>
      </w:r>
      <w:r w:rsidRPr="00CB39E7">
        <w:rPr>
          <w:vertAlign w:val="subscript"/>
        </w:rPr>
        <w:t>tr</w:t>
      </w:r>
      <w:proofErr w:type="spellEnd"/>
      <w:r>
        <w:t>.</w:t>
      </w:r>
    </w:p>
    <w:p w14:paraId="610F85DF" w14:textId="0721A178" w:rsidR="0003179F" w:rsidRDefault="0003179F" w:rsidP="0003179F">
      <w:pPr>
        <w:pStyle w:val="Note"/>
        <w:spacing w:before="60"/>
      </w:pPr>
      <w:r>
        <w:t>Note 2:</w:t>
      </w:r>
      <w:r>
        <w:tab/>
        <w:t xml:space="preserve">For </w:t>
      </w:r>
      <w:r w:rsidR="00C31100" w:rsidRPr="00C31100">
        <w:t xml:space="preserve">electricity </w:t>
      </w:r>
      <w:r>
        <w:t xml:space="preserve">meters approved against NMI R 46, </w:t>
      </w:r>
      <w:r w:rsidRPr="004318DD">
        <w:rPr>
          <w:i/>
          <w:iCs/>
        </w:rPr>
        <w:t>I</w:t>
      </w:r>
      <w:r>
        <w:rPr>
          <w:vertAlign w:val="subscript"/>
        </w:rPr>
        <w:t>n</w:t>
      </w:r>
      <w:r>
        <w:t xml:space="preserve"> is taken to be 20 </w:t>
      </w:r>
      <w:proofErr w:type="spellStart"/>
      <w:r>
        <w:rPr>
          <w:i/>
          <w:iCs/>
        </w:rPr>
        <w:t>I</w:t>
      </w:r>
      <w:r w:rsidRPr="004318DD">
        <w:rPr>
          <w:vertAlign w:val="subscript"/>
        </w:rPr>
        <w:t>tr</w:t>
      </w:r>
      <w:proofErr w:type="spellEnd"/>
      <w:r>
        <w:t>.</w:t>
      </w:r>
    </w:p>
    <w:p w14:paraId="2B8FB58C" w14:textId="36B4FA0A" w:rsidR="0003179F" w:rsidRDefault="0003179F" w:rsidP="0003179F">
      <w:pPr>
        <w:pStyle w:val="Note"/>
        <w:spacing w:before="60"/>
      </w:pPr>
      <w:r>
        <w:t>Note 3:</w:t>
      </w:r>
      <w:r>
        <w:tab/>
        <w:t xml:space="preserve">Tests at negative current flow are applicable for </w:t>
      </w:r>
      <w:r w:rsidR="00C31100" w:rsidRPr="00C31100">
        <w:t xml:space="preserve">electricity </w:t>
      </w:r>
      <w:r>
        <w:t>meters where the certificate of approval states that the</w:t>
      </w:r>
      <w:r w:rsidR="00C31100" w:rsidRPr="00C31100">
        <w:t xml:space="preserve"> electricity</w:t>
      </w:r>
      <w:r>
        <w:t xml:space="preserve"> meter is capable of measuring energy in both the positive and negative directions. </w:t>
      </w:r>
    </w:p>
    <w:p w14:paraId="6A6635A1" w14:textId="29A66000" w:rsidR="004138C6" w:rsidRPr="001D2937" w:rsidRDefault="004138C6" w:rsidP="004138C6">
      <w:pPr>
        <w:pStyle w:val="Note"/>
        <w:spacing w:before="60"/>
      </w:pPr>
      <w:r>
        <w:t>Note 4:</w:t>
      </w:r>
      <w:r>
        <w:tab/>
      </w:r>
      <w:r>
        <w:rPr>
          <w:lang w:val="en-GB"/>
        </w:rPr>
        <w:t xml:space="preserve">This test point is not applicable for class 1 transformer-operated </w:t>
      </w:r>
      <w:r w:rsidR="00C31100" w:rsidRPr="00C31100">
        <w:rPr>
          <w:lang w:val="en-GB"/>
        </w:rPr>
        <w:t xml:space="preserve">electricity </w:t>
      </w:r>
      <w:r>
        <w:rPr>
          <w:lang w:val="en-GB"/>
        </w:rPr>
        <w:t xml:space="preserve">meters. The test point for class 1 transformer-operated </w:t>
      </w:r>
      <w:r w:rsidR="00C31100" w:rsidRPr="00C31100">
        <w:rPr>
          <w:lang w:val="en-GB"/>
        </w:rPr>
        <w:t xml:space="preserve">electricity </w:t>
      </w:r>
      <w:r>
        <w:rPr>
          <w:lang w:val="en-GB"/>
        </w:rPr>
        <w:t xml:space="preserve">meters is 0.02 </w:t>
      </w:r>
      <w:r>
        <w:rPr>
          <w:i/>
          <w:lang w:val="en-GB"/>
        </w:rPr>
        <w:t>I</w:t>
      </w:r>
      <w:r>
        <w:rPr>
          <w:vertAlign w:val="subscript"/>
          <w:lang w:val="en-GB"/>
        </w:rPr>
        <w:t>n</w:t>
      </w:r>
      <w:r>
        <w:rPr>
          <w:lang w:val="en-GB"/>
        </w:rPr>
        <w:t>.</w:t>
      </w:r>
    </w:p>
    <w:p w14:paraId="46345BA0" w14:textId="39DF8836" w:rsidR="00D351D0" w:rsidRPr="00227BB0" w:rsidRDefault="00D351D0" w:rsidP="00C10522">
      <w:pPr>
        <w:pStyle w:val="Note"/>
        <w:ind w:left="0" w:firstLine="0"/>
        <w:sectPr w:rsidR="00D351D0" w:rsidRPr="00227BB0" w:rsidSect="00C65F61">
          <w:headerReference w:type="even" r:id="rId14"/>
          <w:headerReference w:type="default" r:id="rId15"/>
          <w:footerReference w:type="default" r:id="rId16"/>
          <w:headerReference w:type="first" r:id="rId17"/>
          <w:pgSz w:w="11907" w:h="16840" w:code="9"/>
          <w:pgMar w:top="1440" w:right="1077" w:bottom="1440" w:left="1077" w:header="709" w:footer="709" w:gutter="0"/>
          <w:pgNumType w:start="1"/>
          <w:cols w:space="708"/>
          <w:docGrid w:linePitch="360"/>
        </w:sectPr>
      </w:pPr>
      <w:bookmarkStart w:id="577" w:name="_Toc251154682"/>
      <w:bookmarkStart w:id="578" w:name="_Toc251154765"/>
      <w:bookmarkStart w:id="579" w:name="_Toc251155478"/>
      <w:bookmarkStart w:id="580" w:name="_Toc258418376"/>
      <w:bookmarkStart w:id="581" w:name="_Toc263761473"/>
      <w:bookmarkStart w:id="582" w:name="_Toc265488895"/>
      <w:bookmarkStart w:id="583" w:name="_Toc265676777"/>
      <w:bookmarkEnd w:id="60"/>
      <w:bookmarkEnd w:id="78"/>
      <w:bookmarkEnd w:id="79"/>
      <w:bookmarkEnd w:id="80"/>
      <w:bookmarkEnd w:id="569"/>
    </w:p>
    <w:p w14:paraId="26FDAC1E" w14:textId="054AF937" w:rsidR="00F4682B" w:rsidRPr="00975155" w:rsidRDefault="00243E7C" w:rsidP="00243E7C">
      <w:pPr>
        <w:pStyle w:val="AppendixHeading1"/>
      </w:pPr>
      <w:bookmarkStart w:id="584" w:name="_Toc127804493"/>
      <w:bookmarkStart w:id="585" w:name="_Toc170413889"/>
      <w:bookmarkStart w:id="586" w:name="_Toc45020519"/>
      <w:bookmarkStart w:id="587" w:name="_Toc46140507"/>
      <w:bookmarkStart w:id="588" w:name="_Toc50383636"/>
      <w:bookmarkStart w:id="589" w:name="_Toc51138228"/>
      <w:r>
        <w:lastRenderedPageBreak/>
        <w:t>Examples</w:t>
      </w:r>
      <w:bookmarkEnd w:id="584"/>
      <w:bookmarkEnd w:id="585"/>
    </w:p>
    <w:p w14:paraId="2484E54A" w14:textId="77777777" w:rsidR="007C594B" w:rsidRPr="00E13E9B" w:rsidRDefault="007C594B" w:rsidP="00413E41">
      <w:pPr>
        <w:pStyle w:val="AppendixHeading2"/>
      </w:pPr>
      <w:bookmarkStart w:id="590" w:name="_Toc170413890"/>
      <w:r w:rsidRPr="00E13E9B">
        <w:t>Example 1</w:t>
      </w:r>
      <w:bookmarkEnd w:id="590"/>
    </w:p>
    <w:p w14:paraId="5226E34B" w14:textId="481954E0" w:rsidR="00380CE0" w:rsidRPr="00C10522" w:rsidRDefault="00380CE0" w:rsidP="00380CE0">
      <w:r w:rsidRPr="00C10522">
        <w:t>This example shows a batch of locally manufactured class 1 electricity meters (</w:t>
      </w:r>
      <w:proofErr w:type="gramStart"/>
      <w:r w:rsidRPr="00C10522">
        <w:t>direct-connected</w:t>
      </w:r>
      <w:proofErr w:type="gramEnd"/>
      <w:r w:rsidRPr="00C10522">
        <w:t xml:space="preserve">) that have been batch tested to allow for a reduction in the number of test points in accordance with the provisions for batch testing detailed in clause 3.3. </w:t>
      </w:r>
    </w:p>
    <w:p w14:paraId="38EA9761" w14:textId="6E9D01E8" w:rsidR="00380CE0" w:rsidRPr="00C10522" w:rsidRDefault="00380CE0" w:rsidP="00380CE0">
      <w:r w:rsidRPr="00C10522">
        <w:t xml:space="preserve">It is assumed the </w:t>
      </w:r>
      <w:r w:rsidR="00C31100">
        <w:t>electricity meter</w:t>
      </w:r>
      <w:r w:rsidRPr="00C10522">
        <w:t xml:space="preserve">s comply in all other respects not detailed. This example does not meet the requirements for batch testing. </w:t>
      </w:r>
    </w:p>
    <w:p w14:paraId="1ABE23A1" w14:textId="588743A6" w:rsidR="00380CE0" w:rsidRPr="00C10522" w:rsidRDefault="00380CE0" w:rsidP="00380CE0">
      <w:r w:rsidRPr="00C10522">
        <w:t xml:space="preserve">The number of </w:t>
      </w:r>
      <w:r w:rsidR="00C31100">
        <w:t>electricity meter</w:t>
      </w:r>
      <w:r w:rsidRPr="00C10522">
        <w:t>s forming the batch is 14</w:t>
      </w:r>
      <w:r w:rsidR="00DC3362">
        <w:t xml:space="preserve"> </w:t>
      </w:r>
      <w:r w:rsidRPr="00C10522">
        <w:t>000.</w:t>
      </w:r>
    </w:p>
    <w:p w14:paraId="0B69A498" w14:textId="28517729" w:rsidR="00380CE0" w:rsidRPr="00C10522" w:rsidRDefault="00380CE0" w:rsidP="00380CE0">
      <w:pPr>
        <w:rPr>
          <w:sz w:val="22"/>
        </w:rPr>
      </w:pPr>
      <w:r w:rsidRPr="00C10522">
        <w:t xml:space="preserve">The </w:t>
      </w:r>
      <w:r w:rsidR="00C31100">
        <w:t>utility meter verifier</w:t>
      </w:r>
      <w:r w:rsidRPr="00C10522">
        <w:t xml:space="preserve"> tests a</w:t>
      </w:r>
      <w:r w:rsidRPr="00C10522">
        <w:rPr>
          <w:szCs w:val="20"/>
        </w:rPr>
        <w:t>ll 14</w:t>
      </w:r>
      <w:r w:rsidR="00DC3362">
        <w:rPr>
          <w:szCs w:val="20"/>
        </w:rPr>
        <w:t xml:space="preserve"> </w:t>
      </w:r>
      <w:r w:rsidRPr="00C10522">
        <w:rPr>
          <w:szCs w:val="20"/>
        </w:rPr>
        <w:t xml:space="preserve">000 </w:t>
      </w:r>
      <w:r w:rsidR="00C31100">
        <w:rPr>
          <w:szCs w:val="20"/>
        </w:rPr>
        <w:t>electricity meter</w:t>
      </w:r>
      <w:r w:rsidRPr="00C10522">
        <w:rPr>
          <w:szCs w:val="20"/>
        </w:rPr>
        <w:t xml:space="preserve">s </w:t>
      </w:r>
      <w:r w:rsidRPr="00C10522">
        <w:t xml:space="preserve">in accordance with </w:t>
      </w:r>
      <w:r w:rsidR="00406C66" w:rsidRPr="00C10522">
        <w:t xml:space="preserve">clause 2.1 </w:t>
      </w:r>
      <w:r w:rsidRPr="00C10522">
        <w:t>and at the following test point</w:t>
      </w:r>
      <w:r w:rsidR="00C26E27">
        <w:t>s (in accordance with Table</w:t>
      </w:r>
      <w:r w:rsidR="003C4372">
        <w:t xml:space="preserve"> 8</w:t>
      </w:r>
      <w:r w:rsidRPr="00C10522">
        <w:rPr>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93"/>
        <w:gridCol w:w="2552"/>
      </w:tblGrid>
      <w:tr w:rsidR="00380CE0" w:rsidRPr="00406C66" w14:paraId="09560FD9" w14:textId="77777777" w:rsidTr="00D435EE">
        <w:trPr>
          <w:jc w:val="center"/>
        </w:trPr>
        <w:tc>
          <w:tcPr>
            <w:tcW w:w="2693" w:type="dxa"/>
            <w:tcBorders>
              <w:top w:val="single" w:sz="4" w:space="0" w:color="auto"/>
              <w:left w:val="single" w:sz="4" w:space="0" w:color="auto"/>
              <w:bottom w:val="single" w:sz="4" w:space="0" w:color="auto"/>
              <w:right w:val="single" w:sz="4" w:space="0" w:color="auto"/>
            </w:tcBorders>
            <w:shd w:val="clear" w:color="auto" w:fill="A50021"/>
            <w:vAlign w:val="center"/>
            <w:hideMark/>
          </w:tcPr>
          <w:p w14:paraId="6EDC0B2C" w14:textId="77777777" w:rsidR="00380CE0" w:rsidRPr="00C10522" w:rsidRDefault="00380CE0" w:rsidP="00D435EE">
            <w:pPr>
              <w:pStyle w:val="TableText"/>
              <w:jc w:val="center"/>
              <w:rPr>
                <w:b/>
                <w:bCs/>
                <w:color w:val="FFFFFF" w:themeColor="background1"/>
                <w:lang w:val="en-GB"/>
              </w:rPr>
            </w:pPr>
            <w:r w:rsidRPr="00C10522">
              <w:rPr>
                <w:b/>
                <w:bCs/>
                <w:lang w:val="en-GB"/>
              </w:rPr>
              <w:t>Current (A)</w:t>
            </w:r>
          </w:p>
        </w:tc>
        <w:tc>
          <w:tcPr>
            <w:tcW w:w="2552" w:type="dxa"/>
            <w:tcBorders>
              <w:top w:val="single" w:sz="4" w:space="0" w:color="auto"/>
              <w:left w:val="single" w:sz="4" w:space="0" w:color="auto"/>
              <w:bottom w:val="single" w:sz="4" w:space="0" w:color="auto"/>
              <w:right w:val="single" w:sz="4" w:space="0" w:color="auto"/>
            </w:tcBorders>
            <w:shd w:val="clear" w:color="auto" w:fill="A50021"/>
            <w:vAlign w:val="center"/>
            <w:hideMark/>
          </w:tcPr>
          <w:p w14:paraId="0AA57A6B" w14:textId="77777777" w:rsidR="00380CE0" w:rsidRPr="00C10522" w:rsidRDefault="00380CE0" w:rsidP="00D435EE">
            <w:pPr>
              <w:pStyle w:val="TableText"/>
              <w:jc w:val="center"/>
              <w:rPr>
                <w:b/>
                <w:bCs/>
                <w:lang w:val="en-GB"/>
              </w:rPr>
            </w:pPr>
            <w:r w:rsidRPr="00C10522">
              <w:rPr>
                <w:b/>
                <w:bCs/>
                <w:lang w:val="en-GB"/>
              </w:rPr>
              <w:t>Power factor</w:t>
            </w:r>
          </w:p>
        </w:tc>
      </w:tr>
      <w:tr w:rsidR="00380CE0" w:rsidRPr="00406C66" w14:paraId="01624F66" w14:textId="77777777" w:rsidTr="00D435EE">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45AABB6B" w14:textId="77777777" w:rsidR="00380CE0" w:rsidRPr="00C10522" w:rsidRDefault="00380CE0" w:rsidP="00D435EE">
            <w:pPr>
              <w:pStyle w:val="TableText"/>
              <w:jc w:val="center"/>
              <w:rPr>
                <w:lang w:val="en-GB"/>
              </w:rPr>
            </w:pPr>
            <w:r w:rsidRPr="00C10522">
              <w:rPr>
                <w:lang w:val="en-GB"/>
              </w:rPr>
              <w:t xml:space="preserve">0.1 </w:t>
            </w:r>
            <w:proofErr w:type="spellStart"/>
            <w:r w:rsidRPr="00C10522">
              <w:rPr>
                <w:i/>
                <w:lang w:val="en-GB"/>
              </w:rPr>
              <w:t>I</w:t>
            </w:r>
            <w:r w:rsidRPr="00C10522">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41E4CB91" w14:textId="77777777" w:rsidR="00380CE0" w:rsidRPr="00C10522" w:rsidRDefault="00380CE0" w:rsidP="00D435EE">
            <w:pPr>
              <w:pStyle w:val="TableText"/>
              <w:jc w:val="center"/>
              <w:rPr>
                <w:bCs/>
                <w:vertAlign w:val="superscript"/>
                <w:lang w:val="en-GB"/>
              </w:rPr>
            </w:pPr>
            <w:r w:rsidRPr="00C10522">
              <w:rPr>
                <w:bCs/>
                <w:lang w:val="en-GB"/>
              </w:rPr>
              <w:t>1</w:t>
            </w:r>
          </w:p>
        </w:tc>
      </w:tr>
      <w:tr w:rsidR="00380CE0" w:rsidRPr="00406C66" w14:paraId="7EBECD86" w14:textId="77777777" w:rsidTr="00D435EE">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338CA7BD" w14:textId="77777777" w:rsidR="00380CE0" w:rsidRPr="00C10522" w:rsidRDefault="00380CE0" w:rsidP="00D435EE">
            <w:pPr>
              <w:pStyle w:val="TableText"/>
              <w:jc w:val="center"/>
              <w:rPr>
                <w:lang w:val="en-GB"/>
              </w:rPr>
            </w:pPr>
            <w:proofErr w:type="spellStart"/>
            <w:r w:rsidRPr="00C10522">
              <w:rPr>
                <w:i/>
                <w:lang w:val="en-GB"/>
              </w:rPr>
              <w:t>I</w:t>
            </w:r>
            <w:r w:rsidRPr="00C10522">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360BD388" w14:textId="77777777" w:rsidR="00380CE0" w:rsidRPr="00C10522" w:rsidRDefault="00380CE0" w:rsidP="00D435EE">
            <w:pPr>
              <w:pStyle w:val="TableText"/>
              <w:jc w:val="center"/>
              <w:rPr>
                <w:bCs/>
                <w:vertAlign w:val="superscript"/>
                <w:lang w:val="en-GB"/>
              </w:rPr>
            </w:pPr>
            <w:r w:rsidRPr="00C10522">
              <w:rPr>
                <w:bCs/>
                <w:lang w:val="en-GB"/>
              </w:rPr>
              <w:t>1</w:t>
            </w:r>
          </w:p>
        </w:tc>
      </w:tr>
      <w:tr w:rsidR="00380CE0" w:rsidRPr="003453C0" w14:paraId="45CC73C9" w14:textId="77777777" w:rsidTr="00D435EE">
        <w:trPr>
          <w:jc w:val="center"/>
        </w:trPr>
        <w:tc>
          <w:tcPr>
            <w:tcW w:w="2693" w:type="dxa"/>
            <w:tcBorders>
              <w:top w:val="single" w:sz="4" w:space="0" w:color="auto"/>
              <w:left w:val="single" w:sz="4" w:space="0" w:color="auto"/>
              <w:bottom w:val="single" w:sz="4" w:space="0" w:color="auto"/>
              <w:right w:val="single" w:sz="4" w:space="0" w:color="auto"/>
            </w:tcBorders>
            <w:vAlign w:val="center"/>
          </w:tcPr>
          <w:p w14:paraId="78DF905A" w14:textId="77777777" w:rsidR="00380CE0" w:rsidRPr="00C10522" w:rsidRDefault="00380CE0" w:rsidP="00D435EE">
            <w:pPr>
              <w:pStyle w:val="TableText"/>
              <w:jc w:val="center"/>
              <w:rPr>
                <w:i/>
                <w:lang w:val="en-GB"/>
              </w:rPr>
            </w:pPr>
            <w:proofErr w:type="spellStart"/>
            <w:r w:rsidRPr="00C10522">
              <w:rPr>
                <w:i/>
                <w:lang w:val="en-GB"/>
              </w:rPr>
              <w:t>I</w:t>
            </w:r>
            <w:r w:rsidRPr="00C10522">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33B1C482" w14:textId="77777777" w:rsidR="00380CE0" w:rsidRPr="00C10522" w:rsidDel="00E44B57" w:rsidRDefault="00380CE0" w:rsidP="00D435EE">
            <w:pPr>
              <w:pStyle w:val="TableText"/>
              <w:jc w:val="center"/>
              <w:rPr>
                <w:bCs/>
                <w:lang w:val="en-GB"/>
              </w:rPr>
            </w:pPr>
            <w:r w:rsidRPr="00C10522">
              <w:rPr>
                <w:lang w:val="en-GB"/>
              </w:rPr>
              <w:t>0.5 inductive</w:t>
            </w:r>
          </w:p>
        </w:tc>
      </w:tr>
    </w:tbl>
    <w:p w14:paraId="4F82C793" w14:textId="32EF01CB" w:rsidR="00380CE0" w:rsidRPr="00C10522" w:rsidRDefault="00380CE0" w:rsidP="00380CE0">
      <w:pPr>
        <w:spacing w:before="120"/>
      </w:pPr>
      <w:r w:rsidRPr="00C10522">
        <w:t>Test results indicate all 14</w:t>
      </w:r>
      <w:r w:rsidR="00DC3362">
        <w:t xml:space="preserve"> </w:t>
      </w:r>
      <w:r w:rsidRPr="00C10522">
        <w:t xml:space="preserve">000 </w:t>
      </w:r>
      <w:r w:rsidR="00C31100">
        <w:t>electricity meter</w:t>
      </w:r>
      <w:r w:rsidRPr="00C10522">
        <w:t>s meet the relevant acceptance criteria.</w:t>
      </w:r>
    </w:p>
    <w:p w14:paraId="672F3F45" w14:textId="409C1E83" w:rsidR="00380CE0" w:rsidRPr="00C10522" w:rsidRDefault="00380CE0" w:rsidP="00380CE0">
      <w:r w:rsidRPr="00C10522">
        <w:t xml:space="preserve">The </w:t>
      </w:r>
      <w:r w:rsidR="00C31100" w:rsidRPr="00C31100">
        <w:t xml:space="preserve">utility meter verifier </w:t>
      </w:r>
      <w:r w:rsidRPr="00C10522">
        <w:t xml:space="preserve">randomly selects a </w:t>
      </w:r>
      <w:r w:rsidR="004138C6">
        <w:t>s</w:t>
      </w:r>
      <w:r w:rsidRPr="00C10522">
        <w:t xml:space="preserve">ample of 125 </w:t>
      </w:r>
      <w:r w:rsidR="00C31100">
        <w:t>electricity meter</w:t>
      </w:r>
      <w:r w:rsidRPr="00C10522">
        <w:t xml:space="preserve">s from the batch (in accordance with Table 9) and tests each sample in accordance with </w:t>
      </w:r>
      <w:r w:rsidR="00F0327A" w:rsidRPr="00C10522">
        <w:t xml:space="preserve">clauses </w:t>
      </w:r>
      <w:r w:rsidR="00406C66" w:rsidRPr="00C10522">
        <w:t>2.2</w:t>
      </w:r>
      <w:r w:rsidR="009748F3">
        <w:t>, 2.3 and</w:t>
      </w:r>
      <w:r w:rsidR="00406C66" w:rsidRPr="00C10522">
        <w:t xml:space="preserve"> 2.</w:t>
      </w:r>
      <w:r w:rsidR="009748F3">
        <w:t>1</w:t>
      </w:r>
      <w:r w:rsidR="00F0327A" w:rsidRPr="00C10522">
        <w:t xml:space="preserve"> </w:t>
      </w:r>
      <w:r w:rsidR="00406C66" w:rsidRPr="00C10522">
        <w:t>and at the following test points</w:t>
      </w:r>
      <w:r w:rsidR="00F0327A">
        <w:t xml:space="preserve"> (in accordance with Table 10)</w:t>
      </w:r>
      <w:r w:rsidR="003C437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93"/>
        <w:gridCol w:w="2552"/>
      </w:tblGrid>
      <w:tr w:rsidR="00380CE0" w:rsidRPr="003453C0" w14:paraId="597B1C50" w14:textId="77777777" w:rsidTr="00D435EE">
        <w:trPr>
          <w:jc w:val="center"/>
        </w:trPr>
        <w:tc>
          <w:tcPr>
            <w:tcW w:w="2693" w:type="dxa"/>
            <w:tcBorders>
              <w:top w:val="single" w:sz="4" w:space="0" w:color="auto"/>
              <w:left w:val="single" w:sz="4" w:space="0" w:color="auto"/>
              <w:bottom w:val="single" w:sz="4" w:space="0" w:color="auto"/>
              <w:right w:val="single" w:sz="4" w:space="0" w:color="auto"/>
            </w:tcBorders>
            <w:shd w:val="clear" w:color="auto" w:fill="A50021"/>
            <w:vAlign w:val="center"/>
            <w:hideMark/>
          </w:tcPr>
          <w:p w14:paraId="1A9B3759" w14:textId="77777777" w:rsidR="00380CE0" w:rsidRPr="00C10522" w:rsidRDefault="00380CE0" w:rsidP="00D435EE">
            <w:pPr>
              <w:pStyle w:val="TableText"/>
              <w:jc w:val="center"/>
              <w:rPr>
                <w:b/>
                <w:bCs/>
                <w:color w:val="FFFFFF" w:themeColor="background1"/>
                <w:lang w:val="en-GB"/>
              </w:rPr>
            </w:pPr>
            <w:r w:rsidRPr="00C10522">
              <w:rPr>
                <w:b/>
                <w:bCs/>
                <w:lang w:val="en-GB"/>
              </w:rPr>
              <w:t>Current (A)</w:t>
            </w:r>
          </w:p>
        </w:tc>
        <w:tc>
          <w:tcPr>
            <w:tcW w:w="2552" w:type="dxa"/>
            <w:tcBorders>
              <w:top w:val="single" w:sz="4" w:space="0" w:color="auto"/>
              <w:left w:val="single" w:sz="4" w:space="0" w:color="auto"/>
              <w:bottom w:val="single" w:sz="4" w:space="0" w:color="auto"/>
              <w:right w:val="single" w:sz="4" w:space="0" w:color="auto"/>
            </w:tcBorders>
            <w:shd w:val="clear" w:color="auto" w:fill="A50021"/>
            <w:vAlign w:val="center"/>
            <w:hideMark/>
          </w:tcPr>
          <w:p w14:paraId="4FA71FC8" w14:textId="77777777" w:rsidR="00380CE0" w:rsidRPr="00C10522" w:rsidRDefault="00380CE0" w:rsidP="00D435EE">
            <w:pPr>
              <w:pStyle w:val="TableText"/>
              <w:jc w:val="center"/>
              <w:rPr>
                <w:b/>
                <w:bCs/>
                <w:lang w:val="en-GB"/>
              </w:rPr>
            </w:pPr>
            <w:r w:rsidRPr="00C10522">
              <w:rPr>
                <w:b/>
                <w:bCs/>
                <w:lang w:val="en-GB"/>
              </w:rPr>
              <w:t>Power factor</w:t>
            </w:r>
          </w:p>
        </w:tc>
      </w:tr>
      <w:tr w:rsidR="00380CE0" w:rsidRPr="003453C0" w14:paraId="162D6189" w14:textId="77777777" w:rsidTr="00D435EE">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62FA0F0A" w14:textId="77777777" w:rsidR="00380CE0" w:rsidRPr="00C10522" w:rsidRDefault="00380CE0" w:rsidP="00D435EE">
            <w:pPr>
              <w:pStyle w:val="TableText"/>
              <w:jc w:val="center"/>
              <w:rPr>
                <w:lang w:val="en-GB"/>
              </w:rPr>
            </w:pPr>
            <w:r w:rsidRPr="00C10522">
              <w:rPr>
                <w:lang w:val="en-GB"/>
              </w:rPr>
              <w:t xml:space="preserve">0.05 </w:t>
            </w:r>
            <w:proofErr w:type="spellStart"/>
            <w:r w:rsidRPr="00C10522">
              <w:rPr>
                <w:i/>
                <w:lang w:val="en-GB"/>
              </w:rPr>
              <w:t>I</w:t>
            </w:r>
            <w:r w:rsidRPr="00C10522">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2E1FD4A4" w14:textId="77777777" w:rsidR="00380CE0" w:rsidRPr="00C10522" w:rsidRDefault="00380CE0" w:rsidP="00D435EE">
            <w:pPr>
              <w:pStyle w:val="TableText"/>
              <w:jc w:val="center"/>
              <w:rPr>
                <w:vertAlign w:val="superscript"/>
                <w:lang w:val="en-GB"/>
              </w:rPr>
            </w:pPr>
            <w:r w:rsidRPr="00C10522">
              <w:rPr>
                <w:lang w:val="en-GB"/>
              </w:rPr>
              <w:t>1</w:t>
            </w:r>
          </w:p>
        </w:tc>
      </w:tr>
      <w:tr w:rsidR="00380CE0" w:rsidRPr="003453C0" w14:paraId="09AA9FB5" w14:textId="77777777" w:rsidTr="00D435EE">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660382F5" w14:textId="77777777" w:rsidR="00380CE0" w:rsidRPr="00C10522" w:rsidRDefault="00380CE0" w:rsidP="00D435EE">
            <w:pPr>
              <w:pStyle w:val="TableText"/>
              <w:jc w:val="center"/>
              <w:rPr>
                <w:lang w:val="en-GB"/>
              </w:rPr>
            </w:pPr>
            <w:r w:rsidRPr="00C10522">
              <w:rPr>
                <w:lang w:val="en-GB"/>
              </w:rPr>
              <w:t xml:space="preserve">0.1 </w:t>
            </w:r>
            <w:proofErr w:type="spellStart"/>
            <w:r w:rsidRPr="00C10522">
              <w:rPr>
                <w:i/>
                <w:lang w:val="en-GB"/>
              </w:rPr>
              <w:t>I</w:t>
            </w:r>
            <w:r w:rsidRPr="00C10522">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3E811" w14:textId="77777777" w:rsidR="00380CE0" w:rsidRPr="00C10522" w:rsidRDefault="00380CE0" w:rsidP="00D435EE">
            <w:pPr>
              <w:pStyle w:val="TableText"/>
              <w:jc w:val="center"/>
              <w:rPr>
                <w:b/>
                <w:vertAlign w:val="superscript"/>
                <w:lang w:val="en-GB"/>
              </w:rPr>
            </w:pPr>
            <w:r w:rsidRPr="00C10522">
              <w:rPr>
                <w:lang w:val="en-GB"/>
              </w:rPr>
              <w:t>0.5 inductive</w:t>
            </w:r>
          </w:p>
        </w:tc>
      </w:tr>
      <w:tr w:rsidR="00380CE0" w:rsidRPr="003453C0" w14:paraId="05D1EB1B" w14:textId="77777777" w:rsidTr="00D435EE">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71BD99D3" w14:textId="77777777" w:rsidR="00380CE0" w:rsidRPr="00C10522" w:rsidRDefault="00380CE0" w:rsidP="00D435EE">
            <w:pPr>
              <w:pStyle w:val="TableText"/>
              <w:jc w:val="center"/>
              <w:rPr>
                <w:lang w:val="en-GB"/>
              </w:rPr>
            </w:pPr>
            <w:r w:rsidRPr="00C10522">
              <w:rPr>
                <w:i/>
                <w:lang w:val="en-GB"/>
              </w:rPr>
              <w:t>I</w:t>
            </w:r>
            <w:r w:rsidRPr="00C10522">
              <w:rPr>
                <w:vertAlign w:val="subscript"/>
                <w:lang w:val="en-GB"/>
              </w:rPr>
              <w:t>max</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1C320E7" w14:textId="77777777" w:rsidR="00380CE0" w:rsidRPr="00C10522" w:rsidRDefault="00380CE0" w:rsidP="00D435EE">
            <w:pPr>
              <w:pStyle w:val="TableText"/>
              <w:jc w:val="center"/>
              <w:rPr>
                <w:vertAlign w:val="superscript"/>
                <w:lang w:val="en-GB"/>
              </w:rPr>
            </w:pPr>
            <w:r w:rsidRPr="00C10522">
              <w:rPr>
                <w:lang w:val="en-GB"/>
              </w:rPr>
              <w:t>1</w:t>
            </w:r>
          </w:p>
        </w:tc>
      </w:tr>
      <w:tr w:rsidR="00380CE0" w:rsidRPr="003453C0" w14:paraId="1512898B" w14:textId="77777777" w:rsidTr="00D435EE">
        <w:trPr>
          <w:jc w:val="center"/>
        </w:trPr>
        <w:tc>
          <w:tcPr>
            <w:tcW w:w="2693" w:type="dxa"/>
            <w:tcBorders>
              <w:top w:val="single" w:sz="4" w:space="0" w:color="auto"/>
              <w:left w:val="single" w:sz="4" w:space="0" w:color="auto"/>
              <w:bottom w:val="single" w:sz="4" w:space="0" w:color="auto"/>
              <w:right w:val="single" w:sz="4" w:space="0" w:color="auto"/>
            </w:tcBorders>
            <w:vAlign w:val="center"/>
          </w:tcPr>
          <w:p w14:paraId="61350C3A" w14:textId="77777777" w:rsidR="00380CE0" w:rsidRPr="00C10522" w:rsidRDefault="00380CE0" w:rsidP="00D435EE">
            <w:pPr>
              <w:pStyle w:val="TableText"/>
              <w:jc w:val="center"/>
              <w:rPr>
                <w:i/>
                <w:lang w:val="en-GB"/>
              </w:rPr>
            </w:pPr>
            <w:r w:rsidRPr="00C10522">
              <w:rPr>
                <w:i/>
                <w:lang w:val="en-GB"/>
              </w:rPr>
              <w:t>I</w:t>
            </w:r>
            <w:r w:rsidRPr="00C10522">
              <w:rPr>
                <w:vertAlign w:val="subscript"/>
                <w:lang w:val="en-GB"/>
              </w:rPr>
              <w:t>max</w:t>
            </w:r>
          </w:p>
        </w:tc>
        <w:tc>
          <w:tcPr>
            <w:tcW w:w="2552" w:type="dxa"/>
            <w:tcBorders>
              <w:top w:val="single" w:sz="4" w:space="0" w:color="auto"/>
              <w:left w:val="single" w:sz="4" w:space="0" w:color="auto"/>
              <w:bottom w:val="single" w:sz="4" w:space="0" w:color="auto"/>
              <w:right w:val="single" w:sz="4" w:space="0" w:color="auto"/>
            </w:tcBorders>
            <w:vAlign w:val="center"/>
          </w:tcPr>
          <w:p w14:paraId="4B22E75C" w14:textId="77777777" w:rsidR="00380CE0" w:rsidRPr="00C10522" w:rsidRDefault="00380CE0" w:rsidP="00D435EE">
            <w:pPr>
              <w:pStyle w:val="TableText"/>
              <w:jc w:val="center"/>
              <w:rPr>
                <w:lang w:val="en-GB"/>
              </w:rPr>
            </w:pPr>
            <w:r w:rsidRPr="00C10522">
              <w:rPr>
                <w:lang w:val="en-GB"/>
              </w:rPr>
              <w:t>0.5 inductive</w:t>
            </w:r>
          </w:p>
        </w:tc>
      </w:tr>
    </w:tbl>
    <w:p w14:paraId="03335A2A" w14:textId="77777777" w:rsidR="00380CE0" w:rsidRPr="00C10522" w:rsidRDefault="00380CE0" w:rsidP="00380CE0">
      <w:pPr>
        <w:spacing w:before="120"/>
      </w:pPr>
      <w:r w:rsidRPr="00C10522">
        <w:t>Test results indicate the following:</w:t>
      </w:r>
    </w:p>
    <w:p w14:paraId="6416A75E" w14:textId="699319A8" w:rsidR="00380CE0" w:rsidRPr="00C10522" w:rsidRDefault="00380CE0" w:rsidP="00380CE0">
      <w:pPr>
        <w:pStyle w:val="ListParagraph"/>
        <w:numPr>
          <w:ilvl w:val="0"/>
          <w:numId w:val="15"/>
        </w:numPr>
      </w:pPr>
      <w:r w:rsidRPr="00C10522">
        <w:t xml:space="preserve">124 sample </w:t>
      </w:r>
      <w:r w:rsidR="00C31100">
        <w:t>electricity meter</w:t>
      </w:r>
      <w:r w:rsidRPr="00C10522">
        <w:t xml:space="preserve">s meet the acceptance </w:t>
      </w:r>
      <w:proofErr w:type="gramStart"/>
      <w:r w:rsidRPr="00C10522">
        <w:t>criteria</w:t>
      </w:r>
      <w:proofErr w:type="gramEnd"/>
    </w:p>
    <w:p w14:paraId="541F9E23" w14:textId="5F1A147F" w:rsidR="00380CE0" w:rsidRPr="00C10522" w:rsidRDefault="00380CE0" w:rsidP="00380CE0">
      <w:pPr>
        <w:pStyle w:val="ListParagraph"/>
        <w:numPr>
          <w:ilvl w:val="0"/>
          <w:numId w:val="15"/>
        </w:numPr>
      </w:pPr>
      <w:r w:rsidRPr="00C10522">
        <w:t xml:space="preserve">1 sample </w:t>
      </w:r>
      <w:r w:rsidR="00C31100">
        <w:t>electricity meter</w:t>
      </w:r>
      <w:r w:rsidRPr="00C10522">
        <w:t xml:space="preserve"> failed to meet the acceptance criteria</w:t>
      </w:r>
      <w:r w:rsidR="00DC3362">
        <w:t>.</w:t>
      </w:r>
    </w:p>
    <w:p w14:paraId="5C027F27" w14:textId="7059FA4E" w:rsidR="00380CE0" w:rsidRPr="00C10522" w:rsidRDefault="00380CE0" w:rsidP="00380CE0">
      <w:r w:rsidRPr="00C10522">
        <w:t xml:space="preserve">Based on the results of batch testing, the </w:t>
      </w:r>
      <w:r w:rsidR="00C31100" w:rsidRPr="00C31100">
        <w:t xml:space="preserve">utility meter verifier </w:t>
      </w:r>
      <w:r w:rsidRPr="00C10522">
        <w:t>determines that the batch of 14</w:t>
      </w:r>
      <w:r w:rsidR="00DC3362">
        <w:t xml:space="preserve"> </w:t>
      </w:r>
      <w:r w:rsidRPr="00C10522">
        <w:t xml:space="preserve">000 </w:t>
      </w:r>
      <w:r w:rsidR="00C31100">
        <w:t>electricity meter</w:t>
      </w:r>
      <w:r w:rsidRPr="00C10522">
        <w:t>s does not meet the acceptance criteria and therefore none of the 14</w:t>
      </w:r>
      <w:r w:rsidR="00DC3362">
        <w:t xml:space="preserve"> </w:t>
      </w:r>
      <w:r w:rsidRPr="00C10522">
        <w:t xml:space="preserve">000 </w:t>
      </w:r>
      <w:r w:rsidR="00C31100">
        <w:t>electricity meter</w:t>
      </w:r>
      <w:r w:rsidRPr="00C10522">
        <w:t xml:space="preserve">s can be verified. </w:t>
      </w:r>
    </w:p>
    <w:p w14:paraId="66D4DE39" w14:textId="32923E41" w:rsidR="00380CE0" w:rsidRPr="00C10522" w:rsidRDefault="00380CE0" w:rsidP="00380CE0">
      <w:r w:rsidRPr="00C10522">
        <w:t xml:space="preserve">The </w:t>
      </w:r>
      <w:r w:rsidR="00C31100" w:rsidRPr="00C31100">
        <w:t xml:space="preserve">utility meter verifier </w:t>
      </w:r>
      <w:r w:rsidRPr="00C10522">
        <w:t xml:space="preserve">tests </w:t>
      </w:r>
      <w:r w:rsidR="00F0327A">
        <w:t>the remaining</w:t>
      </w:r>
      <w:r w:rsidRPr="00C10522">
        <w:t xml:space="preserve"> </w:t>
      </w:r>
      <w:r w:rsidR="00F0327A">
        <w:t>13</w:t>
      </w:r>
      <w:r w:rsidR="00DC3362">
        <w:t xml:space="preserve"> </w:t>
      </w:r>
      <w:r w:rsidR="00F0327A">
        <w:t>999</w:t>
      </w:r>
      <w:r w:rsidRPr="00C10522">
        <w:t xml:space="preserve"> </w:t>
      </w:r>
      <w:r w:rsidR="00C31100">
        <w:t>electricity meter</w:t>
      </w:r>
      <w:r w:rsidRPr="00C10522">
        <w:t>s individually in accordance with claus</w:t>
      </w:r>
      <w:r w:rsidR="00F0327A" w:rsidRPr="00C10522">
        <w:t>e</w:t>
      </w:r>
      <w:r w:rsidRPr="00C10522">
        <w:t xml:space="preserve"> </w:t>
      </w:r>
      <w:r w:rsidR="00F0327A" w:rsidRPr="00C10522">
        <w:t>3</w:t>
      </w:r>
      <w:r w:rsidRPr="00C10522">
        <w:t>.2.</w:t>
      </w:r>
    </w:p>
    <w:p w14:paraId="0F5E0F7F" w14:textId="77777777" w:rsidR="00380CE0" w:rsidRPr="00C10522" w:rsidRDefault="00380CE0" w:rsidP="00380CE0">
      <w:r w:rsidRPr="00C10522">
        <w:t>Test results indicate the following:</w:t>
      </w:r>
    </w:p>
    <w:p w14:paraId="268525FF" w14:textId="5DB7D498" w:rsidR="00380CE0" w:rsidRPr="00C10522" w:rsidRDefault="00380CE0" w:rsidP="00380CE0">
      <w:pPr>
        <w:pStyle w:val="ListParagraph"/>
        <w:numPr>
          <w:ilvl w:val="0"/>
          <w:numId w:val="16"/>
        </w:numPr>
      </w:pPr>
      <w:r w:rsidRPr="00C10522">
        <w:t>13</w:t>
      </w:r>
      <w:r w:rsidR="00DC3362">
        <w:t xml:space="preserve"> </w:t>
      </w:r>
      <w:r w:rsidRPr="00C10522">
        <w:t xml:space="preserve">997 </w:t>
      </w:r>
      <w:r w:rsidR="00C31100">
        <w:t>electricity meter</w:t>
      </w:r>
      <w:r w:rsidRPr="00C10522">
        <w:t xml:space="preserve">s individually tested meet the acceptance </w:t>
      </w:r>
      <w:proofErr w:type="gramStart"/>
      <w:r w:rsidRPr="00C10522">
        <w:t>criteria</w:t>
      </w:r>
      <w:proofErr w:type="gramEnd"/>
    </w:p>
    <w:p w14:paraId="5D0F7D94" w14:textId="564AE79F" w:rsidR="00380CE0" w:rsidRPr="00C10522" w:rsidRDefault="00F0327A" w:rsidP="00380CE0">
      <w:pPr>
        <w:pStyle w:val="ListParagraph"/>
        <w:numPr>
          <w:ilvl w:val="0"/>
          <w:numId w:val="16"/>
        </w:numPr>
      </w:pPr>
      <w:r w:rsidRPr="00C10522">
        <w:t>2</w:t>
      </w:r>
      <w:r w:rsidR="00380CE0" w:rsidRPr="00C10522">
        <w:t xml:space="preserve"> </w:t>
      </w:r>
      <w:r w:rsidR="00C31100">
        <w:t>electricity meter</w:t>
      </w:r>
      <w:r w:rsidR="00380CE0" w:rsidRPr="00C10522">
        <w:t>s individually tested failed to meet the acceptance criteria</w:t>
      </w:r>
      <w:r w:rsidR="00DC3362">
        <w:t>.</w:t>
      </w:r>
    </w:p>
    <w:p w14:paraId="36517DB8" w14:textId="7F021B05" w:rsidR="00380CE0" w:rsidRPr="00C10522" w:rsidRDefault="00380CE0" w:rsidP="00380CE0">
      <w:r w:rsidRPr="00C10522">
        <w:t xml:space="preserve">The </w:t>
      </w:r>
      <w:r w:rsidR="00C31100" w:rsidRPr="00C31100">
        <w:t xml:space="preserve">utility meter verifier </w:t>
      </w:r>
      <w:r w:rsidRPr="00C10522">
        <w:t xml:space="preserve">marks each of the 13997 </w:t>
      </w:r>
      <w:r w:rsidR="00C31100">
        <w:t>electricity meter</w:t>
      </w:r>
      <w:r w:rsidRPr="00C10522">
        <w:t xml:space="preserve">s that met the acceptance criteria with a verification mark.  </w:t>
      </w:r>
    </w:p>
    <w:p w14:paraId="7BD8E538" w14:textId="265B90D8" w:rsidR="007C594B" w:rsidRDefault="00380CE0" w:rsidP="00380CE0">
      <w:r w:rsidRPr="00C10522">
        <w:t xml:space="preserve">The </w:t>
      </w:r>
      <w:r w:rsidR="00F0327A" w:rsidRPr="00C10522">
        <w:t>3</w:t>
      </w:r>
      <w:r w:rsidRPr="00C10522">
        <w:t xml:space="preserve"> </w:t>
      </w:r>
      <w:r w:rsidR="00C31100">
        <w:t>electricity meter</w:t>
      </w:r>
      <w:r w:rsidRPr="00C10522">
        <w:t xml:space="preserve">s that failed are repaired several days later and then individually tested in accordance with clause </w:t>
      </w:r>
      <w:r w:rsidR="00F0327A" w:rsidRPr="00C10522">
        <w:t>3.2</w:t>
      </w:r>
      <w:r w:rsidRPr="00C10522">
        <w:t xml:space="preserve">. All 3 </w:t>
      </w:r>
      <w:r w:rsidR="00C31100">
        <w:t>electricity meter</w:t>
      </w:r>
      <w:r w:rsidRPr="00C10522">
        <w:t>s meet the acceptance criteria</w:t>
      </w:r>
      <w:r w:rsidR="00F0327A" w:rsidRPr="00F0327A">
        <w:t xml:space="preserve"> and t</w:t>
      </w:r>
      <w:r w:rsidRPr="00C10522">
        <w:t xml:space="preserve">he </w:t>
      </w:r>
      <w:r w:rsidR="00C31100" w:rsidRPr="00C31100">
        <w:t xml:space="preserve">utility meter verifier </w:t>
      </w:r>
      <w:r w:rsidRPr="00C10522">
        <w:t xml:space="preserve">marks each of the 3 </w:t>
      </w:r>
      <w:r w:rsidR="00C31100">
        <w:t>electricity meter</w:t>
      </w:r>
      <w:r w:rsidRPr="00C10522">
        <w:t>s with a verification mark.</w:t>
      </w:r>
      <w:r w:rsidR="007C594B" w:rsidRPr="00E13E9B">
        <w:t xml:space="preserve"> </w:t>
      </w:r>
    </w:p>
    <w:p w14:paraId="08FF9D7D" w14:textId="40F5F13D" w:rsidR="00DB0E14" w:rsidRPr="00DB0E14" w:rsidRDefault="007C594B" w:rsidP="00413E41">
      <w:pPr>
        <w:pStyle w:val="AppendixHeading2"/>
      </w:pPr>
      <w:bookmarkStart w:id="591" w:name="_Toc170413891"/>
      <w:r w:rsidRPr="00E13E9B">
        <w:lastRenderedPageBreak/>
        <w:t>Example 2</w:t>
      </w:r>
      <w:bookmarkEnd w:id="591"/>
    </w:p>
    <w:p w14:paraId="0094BCEC" w14:textId="0F1E432D" w:rsidR="00380CE0" w:rsidRPr="00E13E9B" w:rsidRDefault="00380CE0" w:rsidP="00380CE0">
      <w:r w:rsidRPr="00380CE0">
        <w:t xml:space="preserve">This example shows a batch of imported class 1 electricity </w:t>
      </w:r>
      <w:r w:rsidR="00C31100">
        <w:t>meter</w:t>
      </w:r>
      <w:r w:rsidRPr="00380CE0">
        <w:t>s (</w:t>
      </w:r>
      <w:proofErr w:type="gramStart"/>
      <w:r w:rsidRPr="00380CE0">
        <w:t>direct-connected</w:t>
      </w:r>
      <w:proofErr w:type="gramEnd"/>
      <w:r w:rsidRPr="00380CE0">
        <w:t xml:space="preserve">) that have been batch tested </w:t>
      </w:r>
      <w:r w:rsidR="00C26E27" w:rsidRPr="00B5271D">
        <w:t xml:space="preserve">to allow for a reduction in the number of </w:t>
      </w:r>
      <w:r w:rsidR="00C31100">
        <w:t>electricity meter</w:t>
      </w:r>
      <w:r w:rsidR="00C26E27" w:rsidRPr="00B5271D">
        <w:t>s tested in accordance with the provisions for batch verification detailed in NITP 14.0, in addition to batch testing to allow for a reduction in test points in accordance with the provisions for batch testing detailed in clause</w:t>
      </w:r>
      <w:r w:rsidR="00C26E27">
        <w:t xml:space="preserve"> 3.4</w:t>
      </w:r>
      <w:r w:rsidRPr="00380CE0">
        <w:t xml:space="preserve">. </w:t>
      </w:r>
      <w:r w:rsidRPr="00E13E9B">
        <w:t xml:space="preserve">It is assumed the </w:t>
      </w:r>
      <w:r w:rsidR="00C31100">
        <w:t>electricity meter</w:t>
      </w:r>
      <w:r w:rsidRPr="00E13E9B">
        <w:t xml:space="preserve">s comply in all other respects not detailed. This example meets the requirements for batch verification. </w:t>
      </w:r>
    </w:p>
    <w:p w14:paraId="652048C1" w14:textId="068368A3" w:rsidR="00380CE0" w:rsidRPr="00C26E27" w:rsidRDefault="00380CE0" w:rsidP="00380CE0">
      <w:r w:rsidRPr="00C26E27">
        <w:t xml:space="preserve">The number of </w:t>
      </w:r>
      <w:r w:rsidR="00C31100">
        <w:t>electricity meter</w:t>
      </w:r>
      <w:r w:rsidRPr="00C26E27">
        <w:t>s forming the batch is 5000.</w:t>
      </w:r>
    </w:p>
    <w:p w14:paraId="2293F599" w14:textId="3426DEB2" w:rsidR="00380CE0" w:rsidRPr="00C26E27" w:rsidRDefault="00380CE0" w:rsidP="00380CE0">
      <w:r w:rsidRPr="00C26E27">
        <w:t xml:space="preserve">All 5000 </w:t>
      </w:r>
      <w:r w:rsidR="00C31100">
        <w:t>electricity meter</w:t>
      </w:r>
      <w:r w:rsidRPr="00C26E27">
        <w:t xml:space="preserve">s have been tested in the country of manufacture and meet the acceptance criteria </w:t>
      </w:r>
      <w:r w:rsidRPr="00C26E27">
        <w:rPr>
          <w:rFonts w:cs="Arial"/>
        </w:rPr>
        <w:t>in accordance with clauses 2.1, 2.2 and 2.3</w:t>
      </w:r>
      <w:r w:rsidRPr="00C26E27">
        <w:t xml:space="preserve">. </w:t>
      </w:r>
    </w:p>
    <w:p w14:paraId="2141B996" w14:textId="5440CC9B" w:rsidR="00380CE0" w:rsidRPr="00C26E27" w:rsidRDefault="00380CE0" w:rsidP="00380CE0">
      <w:pPr>
        <w:rPr>
          <w:szCs w:val="20"/>
        </w:rPr>
      </w:pPr>
      <w:r w:rsidRPr="00C26E27">
        <w:t xml:space="preserve">Test results supplied to the </w:t>
      </w:r>
      <w:r w:rsidR="00C31100" w:rsidRPr="00C31100">
        <w:t>utility meter verifier</w:t>
      </w:r>
      <w:r w:rsidRPr="00C26E27">
        <w:t xml:space="preserve"> indicate that </w:t>
      </w:r>
      <w:r w:rsidRPr="00C26E27">
        <w:rPr>
          <w:szCs w:val="20"/>
        </w:rPr>
        <w:t xml:space="preserve">all 5000 </w:t>
      </w:r>
      <w:r w:rsidR="00C31100">
        <w:rPr>
          <w:szCs w:val="20"/>
        </w:rPr>
        <w:t>electricity meter</w:t>
      </w:r>
      <w:r w:rsidRPr="00C26E27">
        <w:rPr>
          <w:szCs w:val="20"/>
        </w:rPr>
        <w:t>s pass the required testing.</w:t>
      </w:r>
    </w:p>
    <w:p w14:paraId="25A322FE" w14:textId="79F74A73" w:rsidR="003C4372" w:rsidRDefault="00380CE0" w:rsidP="00380CE0">
      <w:pPr>
        <w:rPr>
          <w:highlight w:val="cyan"/>
        </w:rPr>
      </w:pPr>
      <w:r w:rsidRPr="003C4372">
        <w:t xml:space="preserve">Following importation, the </w:t>
      </w:r>
      <w:r w:rsidR="00C31100" w:rsidRPr="00C31100">
        <w:t xml:space="preserve">utility meter verifier </w:t>
      </w:r>
      <w:r w:rsidRPr="003C4372">
        <w:t xml:space="preserve">randomly selects a sample of 200 </w:t>
      </w:r>
      <w:r w:rsidR="00C31100">
        <w:t>electricity meter</w:t>
      </w:r>
      <w:r w:rsidRPr="003C4372">
        <w:t xml:space="preserve">s from the batch (in accordance with the provisions for batch testing detailed in NITP 14.0) for testing </w:t>
      </w:r>
      <w:r w:rsidRPr="003C4372">
        <w:rPr>
          <w:rFonts w:cs="Arial"/>
        </w:rPr>
        <w:t>in accordance with clause 2.1</w:t>
      </w:r>
      <w:r w:rsidR="003C4372" w:rsidRPr="00C10522">
        <w:rPr>
          <w:rFonts w:cs="Arial"/>
        </w:rPr>
        <w:t xml:space="preserve"> and at the </w:t>
      </w:r>
      <w:r w:rsidR="003C4372" w:rsidRPr="00C10522">
        <w:t>following test points (in accordance with Table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93"/>
        <w:gridCol w:w="2552"/>
      </w:tblGrid>
      <w:tr w:rsidR="003C4372" w:rsidRPr="00406C66" w14:paraId="1F14F121" w14:textId="77777777" w:rsidTr="00656B2D">
        <w:trPr>
          <w:jc w:val="center"/>
        </w:trPr>
        <w:tc>
          <w:tcPr>
            <w:tcW w:w="2693" w:type="dxa"/>
            <w:tcBorders>
              <w:top w:val="single" w:sz="4" w:space="0" w:color="auto"/>
              <w:left w:val="single" w:sz="4" w:space="0" w:color="auto"/>
              <w:bottom w:val="single" w:sz="4" w:space="0" w:color="auto"/>
              <w:right w:val="single" w:sz="4" w:space="0" w:color="auto"/>
            </w:tcBorders>
            <w:shd w:val="clear" w:color="auto" w:fill="A50021"/>
            <w:vAlign w:val="center"/>
            <w:hideMark/>
          </w:tcPr>
          <w:p w14:paraId="36595085" w14:textId="77777777" w:rsidR="003C4372" w:rsidRPr="00656B2D" w:rsidRDefault="003C4372" w:rsidP="00656B2D">
            <w:pPr>
              <w:pStyle w:val="TableText"/>
              <w:jc w:val="center"/>
              <w:rPr>
                <w:b/>
                <w:bCs/>
                <w:color w:val="FFFFFF" w:themeColor="background1"/>
                <w:lang w:val="en-GB"/>
              </w:rPr>
            </w:pPr>
            <w:r w:rsidRPr="00656B2D">
              <w:rPr>
                <w:b/>
                <w:bCs/>
                <w:lang w:val="en-GB"/>
              </w:rPr>
              <w:t>Current (A)</w:t>
            </w:r>
          </w:p>
        </w:tc>
        <w:tc>
          <w:tcPr>
            <w:tcW w:w="2552" w:type="dxa"/>
            <w:tcBorders>
              <w:top w:val="single" w:sz="4" w:space="0" w:color="auto"/>
              <w:left w:val="single" w:sz="4" w:space="0" w:color="auto"/>
              <w:bottom w:val="single" w:sz="4" w:space="0" w:color="auto"/>
              <w:right w:val="single" w:sz="4" w:space="0" w:color="auto"/>
            </w:tcBorders>
            <w:shd w:val="clear" w:color="auto" w:fill="A50021"/>
            <w:vAlign w:val="center"/>
            <w:hideMark/>
          </w:tcPr>
          <w:p w14:paraId="1B72D2FD" w14:textId="77777777" w:rsidR="003C4372" w:rsidRPr="00656B2D" w:rsidRDefault="003C4372" w:rsidP="00656B2D">
            <w:pPr>
              <w:pStyle w:val="TableText"/>
              <w:jc w:val="center"/>
              <w:rPr>
                <w:b/>
                <w:bCs/>
                <w:lang w:val="en-GB"/>
              </w:rPr>
            </w:pPr>
            <w:r w:rsidRPr="00656B2D">
              <w:rPr>
                <w:b/>
                <w:bCs/>
                <w:lang w:val="en-GB"/>
              </w:rPr>
              <w:t>Power factor</w:t>
            </w:r>
          </w:p>
        </w:tc>
      </w:tr>
      <w:tr w:rsidR="003C4372" w:rsidRPr="00406C66" w14:paraId="4DB4D2E5" w14:textId="77777777" w:rsidTr="00656B2D">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017341D4" w14:textId="77777777" w:rsidR="003C4372" w:rsidRPr="00656B2D" w:rsidRDefault="003C4372" w:rsidP="00656B2D">
            <w:pPr>
              <w:pStyle w:val="TableText"/>
              <w:jc w:val="center"/>
              <w:rPr>
                <w:lang w:val="en-GB"/>
              </w:rPr>
            </w:pPr>
            <w:r w:rsidRPr="00656B2D">
              <w:rPr>
                <w:lang w:val="en-GB"/>
              </w:rPr>
              <w:t xml:space="preserve">0.1 </w:t>
            </w:r>
            <w:proofErr w:type="spellStart"/>
            <w:r w:rsidRPr="00656B2D">
              <w:rPr>
                <w:i/>
                <w:lang w:val="en-GB"/>
              </w:rPr>
              <w:t>I</w:t>
            </w:r>
            <w:r w:rsidRPr="00656B2D">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3DB11664" w14:textId="77777777" w:rsidR="003C4372" w:rsidRPr="00656B2D" w:rsidRDefault="003C4372" w:rsidP="00656B2D">
            <w:pPr>
              <w:pStyle w:val="TableText"/>
              <w:jc w:val="center"/>
              <w:rPr>
                <w:bCs/>
                <w:vertAlign w:val="superscript"/>
                <w:lang w:val="en-GB"/>
              </w:rPr>
            </w:pPr>
            <w:r w:rsidRPr="00656B2D">
              <w:rPr>
                <w:bCs/>
                <w:lang w:val="en-GB"/>
              </w:rPr>
              <w:t>1</w:t>
            </w:r>
          </w:p>
        </w:tc>
      </w:tr>
      <w:tr w:rsidR="003C4372" w:rsidRPr="00406C66" w14:paraId="33EBEE44" w14:textId="77777777" w:rsidTr="00656B2D">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2D0B74F5" w14:textId="77777777" w:rsidR="003C4372" w:rsidRPr="00656B2D" w:rsidRDefault="003C4372" w:rsidP="00656B2D">
            <w:pPr>
              <w:pStyle w:val="TableText"/>
              <w:jc w:val="center"/>
              <w:rPr>
                <w:lang w:val="en-GB"/>
              </w:rPr>
            </w:pPr>
            <w:proofErr w:type="spellStart"/>
            <w:r w:rsidRPr="00656B2D">
              <w:rPr>
                <w:i/>
                <w:lang w:val="en-GB"/>
              </w:rPr>
              <w:t>I</w:t>
            </w:r>
            <w:r w:rsidRPr="00656B2D">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2B92A5B6" w14:textId="77777777" w:rsidR="003C4372" w:rsidRPr="00656B2D" w:rsidRDefault="003C4372" w:rsidP="00656B2D">
            <w:pPr>
              <w:pStyle w:val="TableText"/>
              <w:jc w:val="center"/>
              <w:rPr>
                <w:bCs/>
                <w:vertAlign w:val="superscript"/>
                <w:lang w:val="en-GB"/>
              </w:rPr>
            </w:pPr>
            <w:r w:rsidRPr="00656B2D">
              <w:rPr>
                <w:bCs/>
                <w:lang w:val="en-GB"/>
              </w:rPr>
              <w:t>1</w:t>
            </w:r>
          </w:p>
        </w:tc>
      </w:tr>
      <w:tr w:rsidR="003C4372" w:rsidRPr="003453C0" w14:paraId="45F2EAA7" w14:textId="77777777" w:rsidTr="00656B2D">
        <w:trPr>
          <w:jc w:val="center"/>
        </w:trPr>
        <w:tc>
          <w:tcPr>
            <w:tcW w:w="2693" w:type="dxa"/>
            <w:tcBorders>
              <w:top w:val="single" w:sz="4" w:space="0" w:color="auto"/>
              <w:left w:val="single" w:sz="4" w:space="0" w:color="auto"/>
              <w:bottom w:val="single" w:sz="4" w:space="0" w:color="auto"/>
              <w:right w:val="single" w:sz="4" w:space="0" w:color="auto"/>
            </w:tcBorders>
            <w:vAlign w:val="center"/>
          </w:tcPr>
          <w:p w14:paraId="7D20748D" w14:textId="77777777" w:rsidR="003C4372" w:rsidRPr="00656B2D" w:rsidRDefault="003C4372" w:rsidP="00656B2D">
            <w:pPr>
              <w:pStyle w:val="TableText"/>
              <w:jc w:val="center"/>
              <w:rPr>
                <w:i/>
                <w:lang w:val="en-GB"/>
              </w:rPr>
            </w:pPr>
            <w:proofErr w:type="spellStart"/>
            <w:r w:rsidRPr="00656B2D">
              <w:rPr>
                <w:i/>
                <w:lang w:val="en-GB"/>
              </w:rPr>
              <w:t>I</w:t>
            </w:r>
            <w:r w:rsidRPr="00656B2D">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61243ADC" w14:textId="77777777" w:rsidR="003C4372" w:rsidRPr="00656B2D" w:rsidDel="00E44B57" w:rsidRDefault="003C4372" w:rsidP="00656B2D">
            <w:pPr>
              <w:pStyle w:val="TableText"/>
              <w:jc w:val="center"/>
              <w:rPr>
                <w:bCs/>
                <w:lang w:val="en-GB"/>
              </w:rPr>
            </w:pPr>
            <w:r w:rsidRPr="00656B2D">
              <w:rPr>
                <w:lang w:val="en-GB"/>
              </w:rPr>
              <w:t>0.5 inductive</w:t>
            </w:r>
          </w:p>
        </w:tc>
      </w:tr>
    </w:tbl>
    <w:p w14:paraId="5D90BF51" w14:textId="709C1845" w:rsidR="00380CE0" w:rsidRDefault="003C4372" w:rsidP="00591E60">
      <w:r>
        <w:rPr>
          <w:highlight w:val="cyan"/>
        </w:rPr>
        <w:br/>
      </w:r>
      <w:r w:rsidR="00380CE0" w:rsidRPr="003C4372">
        <w:t xml:space="preserve">Test results indicate </w:t>
      </w:r>
      <w:r w:rsidR="00E15214">
        <w:t>that 195 of the</w:t>
      </w:r>
      <w:r w:rsidR="00380CE0" w:rsidRPr="003C4372">
        <w:t xml:space="preserve"> 200 sample </w:t>
      </w:r>
      <w:r w:rsidR="00C31100">
        <w:t>electricity meter</w:t>
      </w:r>
      <w:r w:rsidR="00380CE0" w:rsidRPr="003C4372">
        <w:t>s meet the acceptance criteria</w:t>
      </w:r>
      <w:r w:rsidR="00E15214">
        <w:t xml:space="preserve"> </w:t>
      </w:r>
      <w:r w:rsidR="00E15214">
        <w:rPr>
          <w:szCs w:val="20"/>
        </w:rPr>
        <w:t>(so far meeting acceptance criteria in accordance with NITP 14.0 (clause 2.2.4 and Table 1))</w:t>
      </w:r>
      <w:r w:rsidR="00FE26AE">
        <w:rPr>
          <w:szCs w:val="20"/>
        </w:rPr>
        <w:t>.</w:t>
      </w:r>
    </w:p>
    <w:p w14:paraId="3B411236" w14:textId="5DFD4E32" w:rsidR="008068D7" w:rsidRDefault="008068D7" w:rsidP="00380CE0">
      <w:r w:rsidRPr="00656B2D">
        <w:t xml:space="preserve">The </w:t>
      </w:r>
      <w:r w:rsidR="00C31100" w:rsidRPr="00C31100">
        <w:t xml:space="preserve">utility meter verifier </w:t>
      </w:r>
      <w:r w:rsidRPr="00656B2D">
        <w:t xml:space="preserve">randomly selects a </w:t>
      </w:r>
      <w:r>
        <w:t>sub-</w:t>
      </w:r>
      <w:r w:rsidRPr="00656B2D">
        <w:t>sample of</w:t>
      </w:r>
      <w:r>
        <w:t xml:space="preserve"> 13 </w:t>
      </w:r>
      <w:r w:rsidR="00C31100">
        <w:t>electricity meter</w:t>
      </w:r>
      <w:r>
        <w:t>s and tests each sub-sample in accordance with clauses 2.2, 2.3 and 2.1 and at the following test points (in accordance with Table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93"/>
        <w:gridCol w:w="2552"/>
      </w:tblGrid>
      <w:tr w:rsidR="004138C6" w:rsidRPr="003453C0" w14:paraId="1301F19C" w14:textId="77777777" w:rsidTr="00656B2D">
        <w:trPr>
          <w:jc w:val="center"/>
        </w:trPr>
        <w:tc>
          <w:tcPr>
            <w:tcW w:w="2693" w:type="dxa"/>
            <w:tcBorders>
              <w:top w:val="single" w:sz="4" w:space="0" w:color="auto"/>
              <w:left w:val="single" w:sz="4" w:space="0" w:color="auto"/>
              <w:bottom w:val="single" w:sz="4" w:space="0" w:color="auto"/>
              <w:right w:val="single" w:sz="4" w:space="0" w:color="auto"/>
            </w:tcBorders>
            <w:shd w:val="clear" w:color="auto" w:fill="A50021"/>
            <w:vAlign w:val="center"/>
            <w:hideMark/>
          </w:tcPr>
          <w:p w14:paraId="24A44379" w14:textId="77777777" w:rsidR="004138C6" w:rsidRPr="00656B2D" w:rsidRDefault="004138C6" w:rsidP="00656B2D">
            <w:pPr>
              <w:pStyle w:val="TableText"/>
              <w:jc w:val="center"/>
              <w:rPr>
                <w:b/>
                <w:bCs/>
                <w:color w:val="FFFFFF" w:themeColor="background1"/>
                <w:lang w:val="en-GB"/>
              </w:rPr>
            </w:pPr>
            <w:r w:rsidRPr="00656B2D">
              <w:rPr>
                <w:b/>
                <w:bCs/>
                <w:lang w:val="en-GB"/>
              </w:rPr>
              <w:t>Current (A)</w:t>
            </w:r>
          </w:p>
        </w:tc>
        <w:tc>
          <w:tcPr>
            <w:tcW w:w="2552" w:type="dxa"/>
            <w:tcBorders>
              <w:top w:val="single" w:sz="4" w:space="0" w:color="auto"/>
              <w:left w:val="single" w:sz="4" w:space="0" w:color="auto"/>
              <w:bottom w:val="single" w:sz="4" w:space="0" w:color="auto"/>
              <w:right w:val="single" w:sz="4" w:space="0" w:color="auto"/>
            </w:tcBorders>
            <w:shd w:val="clear" w:color="auto" w:fill="A50021"/>
            <w:vAlign w:val="center"/>
            <w:hideMark/>
          </w:tcPr>
          <w:p w14:paraId="4CBD3E0A" w14:textId="77777777" w:rsidR="004138C6" w:rsidRPr="00656B2D" w:rsidRDefault="004138C6" w:rsidP="00656B2D">
            <w:pPr>
              <w:pStyle w:val="TableText"/>
              <w:jc w:val="center"/>
              <w:rPr>
                <w:b/>
                <w:bCs/>
                <w:lang w:val="en-GB"/>
              </w:rPr>
            </w:pPr>
            <w:r w:rsidRPr="00656B2D">
              <w:rPr>
                <w:b/>
                <w:bCs/>
                <w:lang w:val="en-GB"/>
              </w:rPr>
              <w:t>Power factor</w:t>
            </w:r>
          </w:p>
        </w:tc>
      </w:tr>
      <w:tr w:rsidR="004138C6" w:rsidRPr="003453C0" w14:paraId="26ABF209" w14:textId="77777777" w:rsidTr="00656B2D">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4C9E9755" w14:textId="77777777" w:rsidR="004138C6" w:rsidRPr="00656B2D" w:rsidRDefault="004138C6" w:rsidP="00656B2D">
            <w:pPr>
              <w:pStyle w:val="TableText"/>
              <w:jc w:val="center"/>
              <w:rPr>
                <w:lang w:val="en-GB"/>
              </w:rPr>
            </w:pPr>
            <w:r w:rsidRPr="00656B2D">
              <w:rPr>
                <w:lang w:val="en-GB"/>
              </w:rPr>
              <w:t xml:space="preserve">0.05 </w:t>
            </w:r>
            <w:proofErr w:type="spellStart"/>
            <w:r w:rsidRPr="00656B2D">
              <w:rPr>
                <w:i/>
                <w:lang w:val="en-GB"/>
              </w:rPr>
              <w:t>I</w:t>
            </w:r>
            <w:r w:rsidRPr="00656B2D">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7B20716A" w14:textId="77777777" w:rsidR="004138C6" w:rsidRPr="00656B2D" w:rsidRDefault="004138C6" w:rsidP="00656B2D">
            <w:pPr>
              <w:pStyle w:val="TableText"/>
              <w:jc w:val="center"/>
              <w:rPr>
                <w:vertAlign w:val="superscript"/>
                <w:lang w:val="en-GB"/>
              </w:rPr>
            </w:pPr>
            <w:r w:rsidRPr="00656B2D">
              <w:rPr>
                <w:lang w:val="en-GB"/>
              </w:rPr>
              <w:t>1</w:t>
            </w:r>
          </w:p>
        </w:tc>
      </w:tr>
      <w:tr w:rsidR="004138C6" w:rsidRPr="003453C0" w14:paraId="489BA439" w14:textId="77777777" w:rsidTr="00656B2D">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2D7106EE" w14:textId="77777777" w:rsidR="004138C6" w:rsidRPr="00656B2D" w:rsidRDefault="004138C6" w:rsidP="00656B2D">
            <w:pPr>
              <w:pStyle w:val="TableText"/>
              <w:jc w:val="center"/>
              <w:rPr>
                <w:lang w:val="en-GB"/>
              </w:rPr>
            </w:pPr>
            <w:r w:rsidRPr="00656B2D">
              <w:rPr>
                <w:lang w:val="en-GB"/>
              </w:rPr>
              <w:t xml:space="preserve">0.1 </w:t>
            </w:r>
            <w:proofErr w:type="spellStart"/>
            <w:r w:rsidRPr="00656B2D">
              <w:rPr>
                <w:i/>
                <w:lang w:val="en-GB"/>
              </w:rPr>
              <w:t>I</w:t>
            </w:r>
            <w:r w:rsidRPr="00656B2D">
              <w:rPr>
                <w:vertAlign w:val="subscript"/>
                <w:lang w:val="en-GB"/>
              </w:rPr>
              <w:t>b</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3B31F" w14:textId="77777777" w:rsidR="004138C6" w:rsidRPr="00656B2D" w:rsidRDefault="004138C6" w:rsidP="00656B2D">
            <w:pPr>
              <w:pStyle w:val="TableText"/>
              <w:jc w:val="center"/>
              <w:rPr>
                <w:b/>
                <w:vertAlign w:val="superscript"/>
                <w:lang w:val="en-GB"/>
              </w:rPr>
            </w:pPr>
            <w:r w:rsidRPr="00656B2D">
              <w:rPr>
                <w:lang w:val="en-GB"/>
              </w:rPr>
              <w:t>0.5 inductive</w:t>
            </w:r>
          </w:p>
        </w:tc>
      </w:tr>
      <w:tr w:rsidR="004138C6" w:rsidRPr="003453C0" w14:paraId="2F3F1B9F" w14:textId="77777777" w:rsidTr="00656B2D">
        <w:trPr>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15F7F122" w14:textId="77777777" w:rsidR="004138C6" w:rsidRPr="00656B2D" w:rsidRDefault="004138C6" w:rsidP="00656B2D">
            <w:pPr>
              <w:pStyle w:val="TableText"/>
              <w:jc w:val="center"/>
              <w:rPr>
                <w:lang w:val="en-GB"/>
              </w:rPr>
            </w:pPr>
            <w:r w:rsidRPr="00656B2D">
              <w:rPr>
                <w:i/>
                <w:lang w:val="en-GB"/>
              </w:rPr>
              <w:t>I</w:t>
            </w:r>
            <w:r w:rsidRPr="00656B2D">
              <w:rPr>
                <w:vertAlign w:val="subscript"/>
                <w:lang w:val="en-GB"/>
              </w:rPr>
              <w:t>max</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EA5155" w14:textId="77777777" w:rsidR="004138C6" w:rsidRPr="00656B2D" w:rsidRDefault="004138C6" w:rsidP="00656B2D">
            <w:pPr>
              <w:pStyle w:val="TableText"/>
              <w:jc w:val="center"/>
              <w:rPr>
                <w:vertAlign w:val="superscript"/>
                <w:lang w:val="en-GB"/>
              </w:rPr>
            </w:pPr>
            <w:r w:rsidRPr="00656B2D">
              <w:rPr>
                <w:lang w:val="en-GB"/>
              </w:rPr>
              <w:t>1</w:t>
            </w:r>
          </w:p>
        </w:tc>
      </w:tr>
      <w:tr w:rsidR="004138C6" w:rsidRPr="003453C0" w14:paraId="4A0FFEE0" w14:textId="77777777" w:rsidTr="00656B2D">
        <w:trPr>
          <w:jc w:val="center"/>
        </w:trPr>
        <w:tc>
          <w:tcPr>
            <w:tcW w:w="2693" w:type="dxa"/>
            <w:tcBorders>
              <w:top w:val="single" w:sz="4" w:space="0" w:color="auto"/>
              <w:left w:val="single" w:sz="4" w:space="0" w:color="auto"/>
              <w:bottom w:val="single" w:sz="4" w:space="0" w:color="auto"/>
              <w:right w:val="single" w:sz="4" w:space="0" w:color="auto"/>
            </w:tcBorders>
            <w:vAlign w:val="center"/>
          </w:tcPr>
          <w:p w14:paraId="23137243" w14:textId="77777777" w:rsidR="004138C6" w:rsidRPr="00656B2D" w:rsidRDefault="004138C6" w:rsidP="00656B2D">
            <w:pPr>
              <w:pStyle w:val="TableText"/>
              <w:jc w:val="center"/>
              <w:rPr>
                <w:i/>
                <w:lang w:val="en-GB"/>
              </w:rPr>
            </w:pPr>
            <w:r w:rsidRPr="00656B2D">
              <w:rPr>
                <w:i/>
                <w:lang w:val="en-GB"/>
              </w:rPr>
              <w:t>I</w:t>
            </w:r>
            <w:r w:rsidRPr="00656B2D">
              <w:rPr>
                <w:vertAlign w:val="subscript"/>
                <w:lang w:val="en-GB"/>
              </w:rPr>
              <w:t>max</w:t>
            </w:r>
          </w:p>
        </w:tc>
        <w:tc>
          <w:tcPr>
            <w:tcW w:w="2552" w:type="dxa"/>
            <w:tcBorders>
              <w:top w:val="single" w:sz="4" w:space="0" w:color="auto"/>
              <w:left w:val="single" w:sz="4" w:space="0" w:color="auto"/>
              <w:bottom w:val="single" w:sz="4" w:space="0" w:color="auto"/>
              <w:right w:val="single" w:sz="4" w:space="0" w:color="auto"/>
            </w:tcBorders>
            <w:vAlign w:val="center"/>
          </w:tcPr>
          <w:p w14:paraId="3C134377" w14:textId="77777777" w:rsidR="004138C6" w:rsidRPr="00656B2D" w:rsidRDefault="004138C6" w:rsidP="00656B2D">
            <w:pPr>
              <w:pStyle w:val="TableText"/>
              <w:jc w:val="center"/>
              <w:rPr>
                <w:lang w:val="en-GB"/>
              </w:rPr>
            </w:pPr>
            <w:r w:rsidRPr="00656B2D">
              <w:rPr>
                <w:lang w:val="en-GB"/>
              </w:rPr>
              <w:t>0.5 inductive</w:t>
            </w:r>
          </w:p>
        </w:tc>
      </w:tr>
    </w:tbl>
    <w:p w14:paraId="0E28C53D" w14:textId="442DF591" w:rsidR="008068D7" w:rsidRPr="00C10522" w:rsidRDefault="008068D7" w:rsidP="00380CE0">
      <w:pPr>
        <w:rPr>
          <w:highlight w:val="cyan"/>
        </w:rPr>
      </w:pPr>
      <w:r>
        <w:br/>
        <w:t xml:space="preserve">Test results indicate all 13 sub-sample </w:t>
      </w:r>
      <w:r w:rsidR="00C31100">
        <w:t>electricity meter</w:t>
      </w:r>
      <w:r>
        <w:t xml:space="preserve">s meet the acceptance criteria.  </w:t>
      </w:r>
    </w:p>
    <w:p w14:paraId="12C4DAF1" w14:textId="19CD9E68" w:rsidR="00FC6D91" w:rsidRDefault="00380CE0" w:rsidP="00591E60">
      <w:pPr>
        <w:rPr>
          <w:color w:val="1F4E79"/>
        </w:rPr>
      </w:pPr>
      <w:r w:rsidRPr="008068D7">
        <w:t xml:space="preserve">Based on the results of batch testing, the </w:t>
      </w:r>
      <w:r w:rsidR="00C31100" w:rsidRPr="00C31100">
        <w:t xml:space="preserve">utility meter verifier </w:t>
      </w:r>
      <w:r w:rsidRPr="008068D7">
        <w:t xml:space="preserve">determines that the batch of 5000 </w:t>
      </w:r>
      <w:r w:rsidR="00C31100">
        <w:t>electricity meter</w:t>
      </w:r>
      <w:r w:rsidRPr="008068D7">
        <w:t xml:space="preserve">s meets the acceptance criteria and issues a batch verification certificate. The batch verification certificate includes the relevant test results for all 5000 </w:t>
      </w:r>
      <w:r w:rsidR="00C31100">
        <w:t>electricity meter</w:t>
      </w:r>
      <w:r w:rsidRPr="008068D7">
        <w:t xml:space="preserve">s (i.e. the test results performed by the overseas manufacturer and the test results from verification testing performed by the </w:t>
      </w:r>
      <w:r w:rsidR="00C31100" w:rsidRPr="00C31100">
        <w:t>utility meter verifier</w:t>
      </w:r>
      <w:r w:rsidRPr="008068D7">
        <w:t xml:space="preserve">). As the </w:t>
      </w:r>
      <w:r w:rsidR="00C31100">
        <w:t>electricity meter</w:t>
      </w:r>
      <w:r w:rsidRPr="008068D7">
        <w:t xml:space="preserve">s are detailed on a batch verification certificate, they do not require a physical verification mark. </w:t>
      </w:r>
    </w:p>
    <w:p w14:paraId="2F5AE83D" w14:textId="77777777" w:rsidR="00FA2A45" w:rsidRPr="00E40ED9" w:rsidRDefault="00FA2A45" w:rsidP="00375376">
      <w:pPr>
        <w:rPr>
          <w:highlight w:val="yellow"/>
        </w:rPr>
      </w:pPr>
      <w:bookmarkStart w:id="592" w:name="_Toc146641643"/>
      <w:bookmarkEnd w:id="592"/>
      <w:bookmarkEnd w:id="577"/>
      <w:bookmarkEnd w:id="578"/>
      <w:bookmarkEnd w:id="579"/>
      <w:bookmarkEnd w:id="580"/>
      <w:bookmarkEnd w:id="581"/>
      <w:bookmarkEnd w:id="582"/>
      <w:bookmarkEnd w:id="583"/>
      <w:bookmarkEnd w:id="586"/>
      <w:bookmarkEnd w:id="587"/>
      <w:bookmarkEnd w:id="588"/>
      <w:bookmarkEnd w:id="589"/>
    </w:p>
    <w:sectPr w:rsidR="00FA2A45" w:rsidRPr="00E40ED9" w:rsidSect="00863C4E">
      <w:headerReference w:type="even" r:id="rId18"/>
      <w:headerReference w:type="default" r:id="rId19"/>
      <w:headerReference w:type="first" r:id="rId20"/>
      <w:pgSz w:w="11907" w:h="16840" w:code="9"/>
      <w:pgMar w:top="1440" w:right="1077" w:bottom="1440" w:left="107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2F3C" w14:textId="77777777" w:rsidR="00C34B23" w:rsidRDefault="00C34B23" w:rsidP="004669A2">
      <w:pPr>
        <w:spacing w:after="0"/>
      </w:pPr>
      <w:r>
        <w:separator/>
      </w:r>
    </w:p>
  </w:endnote>
  <w:endnote w:type="continuationSeparator" w:id="0">
    <w:p w14:paraId="17453150" w14:textId="77777777" w:rsidR="00C34B23" w:rsidRDefault="00C34B23" w:rsidP="004669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456F" w14:textId="54961CAF" w:rsidR="006C0CB6" w:rsidRPr="0045598A" w:rsidRDefault="006C0CB6" w:rsidP="0035033D">
    <w:pPr>
      <w:pStyle w:val="Footer"/>
      <w:tabs>
        <w:tab w:val="clear" w:pos="4153"/>
        <w:tab w:val="clear" w:pos="8306"/>
        <w:tab w:val="right" w:pos="5387"/>
        <w:tab w:val="right" w:pos="9781"/>
      </w:tabs>
      <w:spacing w:after="0"/>
      <w:rPr>
        <w:sz w:val="4"/>
        <w:szCs w:val="4"/>
      </w:rPr>
    </w:pPr>
    <w:r w:rsidRPr="00E40ED9">
      <w:rPr>
        <w:noProof/>
        <w:lang w:eastAsia="en-AU"/>
      </w:rPr>
      <w:drawing>
        <wp:anchor distT="0" distB="0" distL="114300" distR="114300" simplePos="0" relativeHeight="251661312" behindDoc="1" locked="1" layoutInCell="1" allowOverlap="1" wp14:anchorId="0E340813" wp14:editId="4437C683">
          <wp:simplePos x="0" y="0"/>
          <wp:positionH relativeFrom="column">
            <wp:posOffset>-662305</wp:posOffset>
          </wp:positionH>
          <wp:positionV relativeFrom="paragraph">
            <wp:posOffset>192405</wp:posOffset>
          </wp:positionV>
          <wp:extent cx="7559675" cy="521970"/>
          <wp:effectExtent l="0" t="0" r="3175" b="0"/>
          <wp:wrapNone/>
          <wp:docPr id="2" name="Picture 2"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521970"/>
                  </a:xfrm>
                  <a:prstGeom prst="rect">
                    <a:avLst/>
                  </a:prstGeom>
                </pic:spPr>
              </pic:pic>
            </a:graphicData>
          </a:graphic>
          <wp14:sizeRelH relativeFrom="page">
            <wp14:pctWidth>0</wp14:pctWidth>
          </wp14:sizeRelH>
          <wp14:sizeRelV relativeFrom="page">
            <wp14:pctHeight>0</wp14:pctHeight>
          </wp14:sizeRelV>
        </wp:anchor>
      </w:drawing>
    </w:r>
    <w:r w:rsidRPr="0055720F">
      <w:rPr>
        <w:rStyle w:val="PageNumber"/>
      </w:rPr>
      <w:t xml:space="preserve">NITP </w:t>
    </w:r>
    <w:r w:rsidRPr="00EB378E">
      <w:rPr>
        <w:rStyle w:val="PageNumber"/>
      </w:rPr>
      <w:t>14.</w:t>
    </w:r>
    <w:r>
      <w:rPr>
        <w:rStyle w:val="PageNumber"/>
      </w:rPr>
      <w:t>2</w:t>
    </w:r>
    <w:r w:rsidR="001502B3">
      <w:rPr>
        <w:rStyle w:val="PageNumber"/>
      </w:rPr>
      <w:t xml:space="preserve"> </w:t>
    </w:r>
    <w:r w:rsidR="001502B3">
      <w:rPr>
        <w:rStyle w:val="PageNumber"/>
      </w:rPr>
      <w:tab/>
    </w:r>
    <w:r w:rsidR="00253FB6">
      <w:t>Edition 1.0</w:t>
    </w:r>
    <w:r w:rsidR="001502B3">
      <w:t xml:space="preserve"> </w:t>
    </w:r>
    <w:r w:rsidR="001502B3">
      <w:tab/>
      <w:t xml:space="preserve"> </w:t>
    </w:r>
    <w:r>
      <w:fldChar w:fldCharType="begin"/>
    </w:r>
    <w:r>
      <w:instrText xml:space="preserve"> PAGE   \* MERGEFORMAT </w:instrText>
    </w:r>
    <w:r>
      <w:fldChar w:fldCharType="separate"/>
    </w:r>
    <w:r w:rsidR="00B729F5">
      <w:rPr>
        <w:noProof/>
      </w:rPr>
      <w:t>iii</w:t>
    </w:r>
    <w:r>
      <w:fldChar w:fldCharType="end"/>
    </w:r>
  </w:p>
  <w:p w14:paraId="07060D36" w14:textId="77777777" w:rsidR="006C0CB6" w:rsidRDefault="006C0CB6" w:rsidP="00437624">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4536" w14:textId="6CC0351A" w:rsidR="00C65F61" w:rsidRDefault="00C65F61" w:rsidP="00D17D6A">
    <w:pPr>
      <w:pStyle w:val="Footer"/>
      <w:tabs>
        <w:tab w:val="clear" w:pos="8306"/>
        <w:tab w:val="left" w:pos="4536"/>
        <w:tab w:val="right" w:pos="9752"/>
      </w:tabs>
      <w:spacing w:after="0"/>
    </w:pPr>
    <w:r w:rsidRPr="00E40ED9">
      <w:rPr>
        <w:noProof/>
        <w:lang w:eastAsia="en-AU"/>
      </w:rPr>
      <w:drawing>
        <wp:anchor distT="0" distB="0" distL="114300" distR="114300" simplePos="0" relativeHeight="251710464" behindDoc="1" locked="1" layoutInCell="1" allowOverlap="1" wp14:anchorId="0036F067" wp14:editId="56B15358">
          <wp:simplePos x="0" y="0"/>
          <wp:positionH relativeFrom="column">
            <wp:posOffset>-662305</wp:posOffset>
          </wp:positionH>
          <wp:positionV relativeFrom="paragraph">
            <wp:posOffset>192405</wp:posOffset>
          </wp:positionV>
          <wp:extent cx="7559675" cy="521970"/>
          <wp:effectExtent l="0" t="0" r="3175" b="0"/>
          <wp:wrapNone/>
          <wp:docPr id="3" name="Picture 3"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521970"/>
                  </a:xfrm>
                  <a:prstGeom prst="rect">
                    <a:avLst/>
                  </a:prstGeom>
                </pic:spPr>
              </pic:pic>
            </a:graphicData>
          </a:graphic>
          <wp14:sizeRelH relativeFrom="page">
            <wp14:pctWidth>0</wp14:pctWidth>
          </wp14:sizeRelH>
          <wp14:sizeRelV relativeFrom="page">
            <wp14:pctHeight>0</wp14:pctHeight>
          </wp14:sizeRelV>
        </wp:anchor>
      </w:drawing>
    </w:r>
    <w:r w:rsidRPr="0055720F">
      <w:rPr>
        <w:rStyle w:val="PageNumber"/>
      </w:rPr>
      <w:t xml:space="preserve">NITP </w:t>
    </w:r>
    <w:r w:rsidRPr="00EB378E">
      <w:rPr>
        <w:rStyle w:val="PageNumber"/>
      </w:rPr>
      <w:t>14.</w:t>
    </w:r>
    <w:r>
      <w:rPr>
        <w:rStyle w:val="PageNumber"/>
      </w:rPr>
      <w:t>2</w:t>
    </w:r>
    <w:r>
      <w:tab/>
    </w:r>
    <w:r>
      <w:tab/>
      <w:t>Edition 1.0</w:t>
    </w:r>
    <w:r>
      <w:tab/>
    </w:r>
    <w:r>
      <w:fldChar w:fldCharType="begin"/>
    </w:r>
    <w:r>
      <w:instrText xml:space="preserve"> PAGE   \* MERGEFORMAT </w:instrText>
    </w:r>
    <w:r>
      <w:fldChar w:fldCharType="separate"/>
    </w:r>
    <w:r>
      <w:rPr>
        <w:noProof/>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9289" w14:textId="77777777" w:rsidR="00C34B23" w:rsidRDefault="00C34B23" w:rsidP="004669A2">
      <w:pPr>
        <w:spacing w:after="0"/>
      </w:pPr>
      <w:r>
        <w:separator/>
      </w:r>
    </w:p>
  </w:footnote>
  <w:footnote w:type="continuationSeparator" w:id="0">
    <w:p w14:paraId="6B7A157B" w14:textId="77777777" w:rsidR="00C34B23" w:rsidRDefault="00C34B23" w:rsidP="004669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5488" w14:textId="1324DFA1" w:rsidR="006C0CB6" w:rsidRDefault="00BF3CD4" w:rsidP="00265CF4">
    <w:pPr>
      <w:pStyle w:val="Header"/>
      <w:ind w:left="-1276"/>
    </w:pPr>
    <w:r>
      <w:rPr>
        <w:noProof/>
        <w:lang w:eastAsia="en-AU"/>
      </w:rPr>
      <w:drawing>
        <wp:anchor distT="0" distB="0" distL="114300" distR="114300" simplePos="0" relativeHeight="251712512" behindDoc="1" locked="0" layoutInCell="1" allowOverlap="1" wp14:anchorId="08A3DA57" wp14:editId="46AD3A92">
          <wp:simplePos x="0" y="0"/>
          <wp:positionH relativeFrom="margin">
            <wp:posOffset>-1043940</wp:posOffset>
          </wp:positionH>
          <wp:positionV relativeFrom="paragraph">
            <wp:posOffset>-431800</wp:posOffset>
          </wp:positionV>
          <wp:extent cx="4377600" cy="1180800"/>
          <wp:effectExtent l="0" t="0" r="0" b="0"/>
          <wp:wrapNone/>
          <wp:docPr id="8" name="Picture 8" title="Australian Government Department of Industry, Science and Resources National Measurement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R_NMI_inline_CMYK.png"/>
                  <pic:cNvPicPr/>
                </pic:nvPicPr>
                <pic:blipFill rotWithShape="1">
                  <a:blip r:embed="rId1" cstate="print">
                    <a:extLst>
                      <a:ext uri="{28A0092B-C50C-407E-A947-70E740481C1C}">
                        <a14:useLocalDpi xmlns:a14="http://schemas.microsoft.com/office/drawing/2010/main" val="0"/>
                      </a:ext>
                    </a:extLst>
                  </a:blip>
                  <a:srcRect r="23594"/>
                  <a:stretch/>
                </pic:blipFill>
                <pic:spPr bwMode="auto">
                  <a:xfrm>
                    <a:off x="0" y="0"/>
                    <a:ext cx="4377600" cy="118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BC1B" w14:textId="3E46D77F" w:rsidR="006C0CB6" w:rsidRDefault="006C0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C0F" w14:textId="5FB94E9C" w:rsidR="006C0CB6" w:rsidRDefault="006C0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354B" w14:textId="6309ACE8" w:rsidR="006C0CB6" w:rsidRDefault="006C0CB6" w:rsidP="00CF01D7">
    <w:pPr>
      <w:pStyle w:val="Header"/>
      <w:ind w:left="-851" w:hanging="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63E4" w14:textId="21F21917" w:rsidR="006C0CB6" w:rsidRDefault="006C0C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7F3B" w14:textId="4B037F4A" w:rsidR="006C0CB6" w:rsidRDefault="006C0C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F6B0" w14:textId="60372301" w:rsidR="006C0CB6" w:rsidRPr="00DC114F" w:rsidRDefault="006C0CB6" w:rsidP="00DC11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6819" w14:textId="053B3240" w:rsidR="006C0CB6" w:rsidRDefault="006C0C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31FF" w14:textId="3EC5FFD3" w:rsidR="006C0CB6" w:rsidRDefault="006C0C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D140" w14:textId="35171619" w:rsidR="006C0CB6" w:rsidRPr="00FC6D8F" w:rsidRDefault="006C0CB6" w:rsidP="00051773">
    <w:pPr>
      <w:pStyle w:val="TestReport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72F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466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420C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FC1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8A04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3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69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461C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20E93E"/>
    <w:lvl w:ilvl="0">
      <w:start w:val="1"/>
      <w:numFmt w:val="decimal"/>
      <w:pStyle w:val="ListNumber"/>
      <w:lvlText w:val="%1."/>
      <w:lvlJc w:val="left"/>
      <w:pPr>
        <w:tabs>
          <w:tab w:val="num" w:pos="360"/>
        </w:tabs>
        <w:ind w:left="360" w:hanging="360"/>
      </w:pPr>
    </w:lvl>
  </w:abstractNum>
  <w:abstractNum w:abstractNumId="9" w15:restartNumberingAfterBreak="0">
    <w:nsid w:val="02A81F48"/>
    <w:multiLevelType w:val="hybridMultilevel"/>
    <w:tmpl w:val="F3C8C624"/>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5EE377A"/>
    <w:multiLevelType w:val="hybridMultilevel"/>
    <w:tmpl w:val="22405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30629F"/>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873B52"/>
    <w:multiLevelType w:val="multilevel"/>
    <w:tmpl w:val="548014C2"/>
    <w:styleLink w:val="Style2"/>
    <w:lvl w:ilvl="0">
      <w:start w:val="1"/>
      <w:numFmt w:val="upperLetter"/>
      <w:lvlText w:val="APPENDIX %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E710A51"/>
    <w:multiLevelType w:val="hybridMultilevel"/>
    <w:tmpl w:val="30FA44A0"/>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2E799B"/>
    <w:multiLevelType w:val="hybridMultilevel"/>
    <w:tmpl w:val="D6E00CF4"/>
    <w:lvl w:ilvl="0" w:tplc="2E3C2CA0">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C54DED"/>
    <w:multiLevelType w:val="hybridMultilevel"/>
    <w:tmpl w:val="2390D1B2"/>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45F585D"/>
    <w:multiLevelType w:val="multilevel"/>
    <w:tmpl w:val="E986701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680" w:hanging="6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17A2F0F"/>
    <w:multiLevelType w:val="hybridMultilevel"/>
    <w:tmpl w:val="B5EA7398"/>
    <w:lvl w:ilvl="0" w:tplc="ADDEC106">
      <w:start w:val="1"/>
      <w:numFmt w:val="decimal"/>
      <w:pStyle w:val="ListParagraph"/>
      <w:lvlText w:val="%1."/>
      <w:lvlJc w:val="left"/>
      <w:pPr>
        <w:ind w:left="1440" w:hanging="360"/>
      </w:pPr>
      <w:rPr>
        <w:rFonts w:ascii="Arial" w:hAnsi="Arial" w:cs="Arial"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45C3F97"/>
    <w:multiLevelType w:val="hybridMultilevel"/>
    <w:tmpl w:val="50C60C7C"/>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8F47478"/>
    <w:multiLevelType w:val="hybridMultilevel"/>
    <w:tmpl w:val="49689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3317E4"/>
    <w:multiLevelType w:val="multilevel"/>
    <w:tmpl w:val="2978312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2C7685"/>
    <w:multiLevelType w:val="hybridMultilevel"/>
    <w:tmpl w:val="867E25CC"/>
    <w:lvl w:ilvl="0" w:tplc="FFFFFFFF">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6348FE"/>
    <w:multiLevelType w:val="hybridMultilevel"/>
    <w:tmpl w:val="13782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21CFF"/>
    <w:multiLevelType w:val="multilevel"/>
    <w:tmpl w:val="D8944902"/>
    <w:lvl w:ilvl="0">
      <w:start w:val="1"/>
      <w:numFmt w:val="decimal"/>
      <w:pStyle w:val="List"/>
      <w:lvlText w:val="%1."/>
      <w:lvlJc w:val="left"/>
      <w:pPr>
        <w:ind w:left="425" w:hanging="425"/>
      </w:pPr>
      <w:rPr>
        <w:rFonts w:ascii="Arial" w:hAnsi="Arial" w:cs="Arial" w:hint="default"/>
        <w:b w:val="0"/>
        <w:i w:val="0"/>
        <w:sz w:val="20"/>
        <w:szCs w:val="20"/>
      </w:rPr>
    </w:lvl>
    <w:lvl w:ilvl="1">
      <w:start w:val="1"/>
      <w:numFmt w:val="lowerLetter"/>
      <w:pStyle w:val="List2"/>
      <w:lvlText w:val="(%2)"/>
      <w:lvlJc w:val="left"/>
      <w:pPr>
        <w:ind w:left="851" w:hanging="426"/>
      </w:pPr>
      <w:rPr>
        <w:rFonts w:hint="default"/>
      </w:rPr>
    </w:lvl>
    <w:lvl w:ilvl="2">
      <w:start w:val="1"/>
      <w:numFmt w:val="lowerRoman"/>
      <w:pStyle w:val="List3"/>
      <w:lvlText w:val="(%3)"/>
      <w:lvlJc w:val="left"/>
      <w:pPr>
        <w:ind w:left="1276" w:hanging="425"/>
      </w:pPr>
      <w:rPr>
        <w:rFonts w:hint="default"/>
      </w:rPr>
    </w:lvl>
    <w:lvl w:ilvl="3">
      <w:numFmt w:val="upperRoman"/>
      <w:pStyle w:val="List4"/>
      <w:lvlText w:val="%4."/>
      <w:lvlJc w:val="left"/>
      <w:pPr>
        <w:ind w:left="1701" w:hanging="425"/>
      </w:pPr>
      <w:rPr>
        <w:rFonts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4" w15:restartNumberingAfterBreak="0">
    <w:nsid w:val="593C19F0"/>
    <w:multiLevelType w:val="hybridMultilevel"/>
    <w:tmpl w:val="3B22EF3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98052ED"/>
    <w:multiLevelType w:val="multilevel"/>
    <w:tmpl w:val="322044E8"/>
    <w:styleLink w:val="Style3"/>
    <w:lvl w:ilvl="0">
      <w:start w:val="1"/>
      <w:numFmt w:val="upperLetter"/>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3917D14"/>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B257A5"/>
    <w:multiLevelType w:val="multilevel"/>
    <w:tmpl w:val="2978312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7C45D7"/>
    <w:multiLevelType w:val="multilevel"/>
    <w:tmpl w:val="1B1EC692"/>
    <w:styleLink w:val="Style1"/>
    <w:lvl w:ilvl="0">
      <w:start w:val="1"/>
      <w:numFmt w:val="upperLetter"/>
      <w:lvlText w:val="APPENDIX %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0" w:firstLine="0"/>
      </w:pPr>
      <w:rPr>
        <w:rFonts w:ascii="Arial Bold" w:hAnsi="Arial Bold"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D55917"/>
    <w:multiLevelType w:val="hybridMultilevel"/>
    <w:tmpl w:val="2468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80146"/>
    <w:multiLevelType w:val="hybridMultilevel"/>
    <w:tmpl w:val="1E60BE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1383F1B"/>
    <w:multiLevelType w:val="hybridMultilevel"/>
    <w:tmpl w:val="457AC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30575D"/>
    <w:multiLevelType w:val="multilevel"/>
    <w:tmpl w:val="4FE206AC"/>
    <w:lvl w:ilvl="0">
      <w:start w:val="1"/>
      <w:numFmt w:val="upperLetter"/>
      <w:pStyle w:val="AppendixHeading1"/>
      <w:lvlText w:val="Appendix %1."/>
      <w:lvlJc w:val="left"/>
      <w:pPr>
        <w:ind w:left="1701" w:hanging="1701"/>
      </w:pPr>
      <w:rPr>
        <w:rFonts w:hint="default"/>
      </w:rPr>
    </w:lvl>
    <w:lvl w:ilvl="1">
      <w:start w:val="1"/>
      <w:numFmt w:val="decimal"/>
      <w:pStyle w:val="AppendixHeading2"/>
      <w:lvlText w:val="%1.%2"/>
      <w:lvlJc w:val="left"/>
      <w:pPr>
        <w:ind w:left="567" w:hanging="567"/>
      </w:pPr>
      <w:rPr>
        <w:rFonts w:hint="default"/>
      </w:rPr>
    </w:lvl>
    <w:lvl w:ilvl="2">
      <w:start w:val="1"/>
      <w:numFmt w:val="decimal"/>
      <w:pStyle w:val="AppendixHeading3"/>
      <w:lvlText w:val="%1.%2.%3"/>
      <w:lvlJc w:val="left"/>
      <w:pPr>
        <w:ind w:left="680" w:hanging="680"/>
      </w:pPr>
      <w:rPr>
        <w:rFonts w:hint="default"/>
      </w:rPr>
    </w:lvl>
    <w:lvl w:ilvl="3">
      <w:start w:val="1"/>
      <w:numFmt w:val="decimal"/>
      <w:pStyle w:val="AppendixHeading4"/>
      <w:lvlText w:val="%1.%2.%3.%4"/>
      <w:lvlJc w:val="left"/>
      <w:pPr>
        <w:ind w:left="680" w:hanging="6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67295857">
    <w:abstractNumId w:val="17"/>
  </w:num>
  <w:num w:numId="2" w16cid:durableId="30345346">
    <w:abstractNumId w:val="14"/>
  </w:num>
  <w:num w:numId="3" w16cid:durableId="1835140820">
    <w:abstractNumId w:val="16"/>
  </w:num>
  <w:num w:numId="4" w16cid:durableId="16397400">
    <w:abstractNumId w:val="23"/>
  </w:num>
  <w:num w:numId="5" w16cid:durableId="416294405">
    <w:abstractNumId w:val="28"/>
  </w:num>
  <w:num w:numId="6" w16cid:durableId="431702599">
    <w:abstractNumId w:val="12"/>
  </w:num>
  <w:num w:numId="7" w16cid:durableId="900821639">
    <w:abstractNumId w:val="32"/>
  </w:num>
  <w:num w:numId="8" w16cid:durableId="1372267677">
    <w:abstractNumId w:val="25"/>
  </w:num>
  <w:num w:numId="9" w16cid:durableId="1176652037">
    <w:abstractNumId w:val="7"/>
  </w:num>
  <w:num w:numId="10" w16cid:durableId="10422260">
    <w:abstractNumId w:val="8"/>
  </w:num>
  <w:num w:numId="11" w16cid:durableId="1723214939">
    <w:abstractNumId w:val="20"/>
  </w:num>
  <w:num w:numId="12" w16cid:durableId="87505978">
    <w:abstractNumId w:val="19"/>
  </w:num>
  <w:num w:numId="13" w16cid:durableId="871651092">
    <w:abstractNumId w:val="26"/>
  </w:num>
  <w:num w:numId="14" w16cid:durableId="1199392419">
    <w:abstractNumId w:val="11"/>
  </w:num>
  <w:num w:numId="15" w16cid:durableId="854075093">
    <w:abstractNumId w:val="29"/>
  </w:num>
  <w:num w:numId="16" w16cid:durableId="2033259009">
    <w:abstractNumId w:val="31"/>
  </w:num>
  <w:num w:numId="17" w16cid:durableId="140198180">
    <w:abstractNumId w:val="22"/>
  </w:num>
  <w:num w:numId="18" w16cid:durableId="417675770">
    <w:abstractNumId w:val="30"/>
  </w:num>
  <w:num w:numId="19" w16cid:durableId="1409109133">
    <w:abstractNumId w:val="15"/>
  </w:num>
  <w:num w:numId="20" w16cid:durableId="497579526">
    <w:abstractNumId w:val="27"/>
  </w:num>
  <w:num w:numId="21" w16cid:durableId="189995837">
    <w:abstractNumId w:val="6"/>
  </w:num>
  <w:num w:numId="22" w16cid:durableId="1575773395">
    <w:abstractNumId w:val="5"/>
  </w:num>
  <w:num w:numId="23" w16cid:durableId="277492369">
    <w:abstractNumId w:val="4"/>
  </w:num>
  <w:num w:numId="24" w16cid:durableId="872155210">
    <w:abstractNumId w:val="3"/>
  </w:num>
  <w:num w:numId="25" w16cid:durableId="545022517">
    <w:abstractNumId w:val="2"/>
  </w:num>
  <w:num w:numId="26" w16cid:durableId="1083799444">
    <w:abstractNumId w:val="1"/>
  </w:num>
  <w:num w:numId="27" w16cid:durableId="1735935206">
    <w:abstractNumId w:val="0"/>
  </w:num>
  <w:num w:numId="28" w16cid:durableId="1921016012">
    <w:abstractNumId w:val="10"/>
  </w:num>
  <w:num w:numId="29" w16cid:durableId="1405224926">
    <w:abstractNumId w:val="9"/>
  </w:num>
  <w:num w:numId="30" w16cid:durableId="878276235">
    <w:abstractNumId w:val="18"/>
  </w:num>
  <w:num w:numId="31" w16cid:durableId="813059487">
    <w:abstractNumId w:val="24"/>
  </w:num>
  <w:num w:numId="32" w16cid:durableId="399254257">
    <w:abstractNumId w:val="21"/>
  </w:num>
  <w:num w:numId="33" w16cid:durableId="188671915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6D"/>
    <w:rsid w:val="0001034B"/>
    <w:rsid w:val="00014AAC"/>
    <w:rsid w:val="00015AE0"/>
    <w:rsid w:val="00016F55"/>
    <w:rsid w:val="0003179F"/>
    <w:rsid w:val="00034167"/>
    <w:rsid w:val="000356E1"/>
    <w:rsid w:val="0003641B"/>
    <w:rsid w:val="000377BC"/>
    <w:rsid w:val="00040186"/>
    <w:rsid w:val="00044336"/>
    <w:rsid w:val="00046231"/>
    <w:rsid w:val="00051773"/>
    <w:rsid w:val="00054DCB"/>
    <w:rsid w:val="00056034"/>
    <w:rsid w:val="000562CF"/>
    <w:rsid w:val="00064328"/>
    <w:rsid w:val="00074CE4"/>
    <w:rsid w:val="000774DE"/>
    <w:rsid w:val="00086C6D"/>
    <w:rsid w:val="00092884"/>
    <w:rsid w:val="000960DE"/>
    <w:rsid w:val="00097215"/>
    <w:rsid w:val="000973EA"/>
    <w:rsid w:val="000A0605"/>
    <w:rsid w:val="000B0EE3"/>
    <w:rsid w:val="000B2183"/>
    <w:rsid w:val="000B538E"/>
    <w:rsid w:val="000B6288"/>
    <w:rsid w:val="000B62F0"/>
    <w:rsid w:val="000C09E4"/>
    <w:rsid w:val="000C546E"/>
    <w:rsid w:val="000C6D2A"/>
    <w:rsid w:val="000E0801"/>
    <w:rsid w:val="000E38FA"/>
    <w:rsid w:val="000E47AC"/>
    <w:rsid w:val="000F2B05"/>
    <w:rsid w:val="000F326A"/>
    <w:rsid w:val="000F5B82"/>
    <w:rsid w:val="00103A87"/>
    <w:rsid w:val="00105469"/>
    <w:rsid w:val="00105F62"/>
    <w:rsid w:val="00110EFE"/>
    <w:rsid w:val="00120BE7"/>
    <w:rsid w:val="00120E78"/>
    <w:rsid w:val="001260EA"/>
    <w:rsid w:val="00126699"/>
    <w:rsid w:val="00126ECE"/>
    <w:rsid w:val="00133296"/>
    <w:rsid w:val="0013341E"/>
    <w:rsid w:val="00140389"/>
    <w:rsid w:val="00140BC3"/>
    <w:rsid w:val="001478BB"/>
    <w:rsid w:val="001502B3"/>
    <w:rsid w:val="0015336A"/>
    <w:rsid w:val="00156557"/>
    <w:rsid w:val="00156988"/>
    <w:rsid w:val="001577B3"/>
    <w:rsid w:val="00157E11"/>
    <w:rsid w:val="00160779"/>
    <w:rsid w:val="00161037"/>
    <w:rsid w:val="00161347"/>
    <w:rsid w:val="001776A7"/>
    <w:rsid w:val="001822A4"/>
    <w:rsid w:val="00185B40"/>
    <w:rsid w:val="001964CB"/>
    <w:rsid w:val="00197940"/>
    <w:rsid w:val="001A4B00"/>
    <w:rsid w:val="001A5EB6"/>
    <w:rsid w:val="001C006E"/>
    <w:rsid w:val="001C5559"/>
    <w:rsid w:val="001C658E"/>
    <w:rsid w:val="001D2937"/>
    <w:rsid w:val="001D41B0"/>
    <w:rsid w:val="001E1F5C"/>
    <w:rsid w:val="001E369A"/>
    <w:rsid w:val="001E67D0"/>
    <w:rsid w:val="001E7FE1"/>
    <w:rsid w:val="001F0363"/>
    <w:rsid w:val="001F0DAA"/>
    <w:rsid w:val="001F1D26"/>
    <w:rsid w:val="001F1DB8"/>
    <w:rsid w:val="001F3795"/>
    <w:rsid w:val="002002C1"/>
    <w:rsid w:val="0021010A"/>
    <w:rsid w:val="00215143"/>
    <w:rsid w:val="00216B7B"/>
    <w:rsid w:val="00220058"/>
    <w:rsid w:val="00225F2D"/>
    <w:rsid w:val="00226636"/>
    <w:rsid w:val="002268A8"/>
    <w:rsid w:val="00227BB0"/>
    <w:rsid w:val="00230BCB"/>
    <w:rsid w:val="002369A9"/>
    <w:rsid w:val="00236E5C"/>
    <w:rsid w:val="0024325A"/>
    <w:rsid w:val="00243A99"/>
    <w:rsid w:val="00243E7C"/>
    <w:rsid w:val="0024645F"/>
    <w:rsid w:val="00247739"/>
    <w:rsid w:val="00250534"/>
    <w:rsid w:val="00250D8B"/>
    <w:rsid w:val="0025358B"/>
    <w:rsid w:val="00253F31"/>
    <w:rsid w:val="00253FB6"/>
    <w:rsid w:val="002566BC"/>
    <w:rsid w:val="00262F8F"/>
    <w:rsid w:val="00265CF4"/>
    <w:rsid w:val="0026696D"/>
    <w:rsid w:val="00275ABB"/>
    <w:rsid w:val="0028045F"/>
    <w:rsid w:val="00281DF4"/>
    <w:rsid w:val="0028388E"/>
    <w:rsid w:val="00284269"/>
    <w:rsid w:val="00284F1A"/>
    <w:rsid w:val="00285CCD"/>
    <w:rsid w:val="002864B1"/>
    <w:rsid w:val="002930E7"/>
    <w:rsid w:val="0029321D"/>
    <w:rsid w:val="002A2A6A"/>
    <w:rsid w:val="002A54E4"/>
    <w:rsid w:val="002A78A3"/>
    <w:rsid w:val="002B07AF"/>
    <w:rsid w:val="002B72F9"/>
    <w:rsid w:val="002B78FF"/>
    <w:rsid w:val="002C30C8"/>
    <w:rsid w:val="002C6116"/>
    <w:rsid w:val="002D2940"/>
    <w:rsid w:val="002D39BD"/>
    <w:rsid w:val="002D4D2D"/>
    <w:rsid w:val="002D5ED6"/>
    <w:rsid w:val="002D796A"/>
    <w:rsid w:val="002F3261"/>
    <w:rsid w:val="002F487E"/>
    <w:rsid w:val="002F606C"/>
    <w:rsid w:val="00300139"/>
    <w:rsid w:val="0030295A"/>
    <w:rsid w:val="00305AA7"/>
    <w:rsid w:val="00305D15"/>
    <w:rsid w:val="00307B0D"/>
    <w:rsid w:val="00312FEE"/>
    <w:rsid w:val="0031424D"/>
    <w:rsid w:val="00315837"/>
    <w:rsid w:val="003168AC"/>
    <w:rsid w:val="00317A70"/>
    <w:rsid w:val="003345DB"/>
    <w:rsid w:val="00335FF1"/>
    <w:rsid w:val="003439FC"/>
    <w:rsid w:val="00344E8B"/>
    <w:rsid w:val="003453C0"/>
    <w:rsid w:val="0035033D"/>
    <w:rsid w:val="00351836"/>
    <w:rsid w:val="00352219"/>
    <w:rsid w:val="00355DD6"/>
    <w:rsid w:val="0035606E"/>
    <w:rsid w:val="003602C3"/>
    <w:rsid w:val="00363125"/>
    <w:rsid w:val="003631F1"/>
    <w:rsid w:val="003639E4"/>
    <w:rsid w:val="00363EA7"/>
    <w:rsid w:val="00364753"/>
    <w:rsid w:val="00364863"/>
    <w:rsid w:val="00365A14"/>
    <w:rsid w:val="0036732A"/>
    <w:rsid w:val="00371DC8"/>
    <w:rsid w:val="00371F6E"/>
    <w:rsid w:val="00372662"/>
    <w:rsid w:val="00373635"/>
    <w:rsid w:val="00375376"/>
    <w:rsid w:val="00375E9C"/>
    <w:rsid w:val="00376D1E"/>
    <w:rsid w:val="00377709"/>
    <w:rsid w:val="00380CE0"/>
    <w:rsid w:val="00382ED4"/>
    <w:rsid w:val="0038366D"/>
    <w:rsid w:val="00384788"/>
    <w:rsid w:val="0039313D"/>
    <w:rsid w:val="00393F81"/>
    <w:rsid w:val="0039602E"/>
    <w:rsid w:val="003971C5"/>
    <w:rsid w:val="003A0104"/>
    <w:rsid w:val="003A0575"/>
    <w:rsid w:val="003A4493"/>
    <w:rsid w:val="003A5186"/>
    <w:rsid w:val="003A63C0"/>
    <w:rsid w:val="003B0453"/>
    <w:rsid w:val="003B12EA"/>
    <w:rsid w:val="003B2088"/>
    <w:rsid w:val="003B2AA9"/>
    <w:rsid w:val="003C1273"/>
    <w:rsid w:val="003C4372"/>
    <w:rsid w:val="003C4F10"/>
    <w:rsid w:val="003C7F53"/>
    <w:rsid w:val="003D59AD"/>
    <w:rsid w:val="003E153D"/>
    <w:rsid w:val="003F6048"/>
    <w:rsid w:val="00403560"/>
    <w:rsid w:val="00406C66"/>
    <w:rsid w:val="00411167"/>
    <w:rsid w:val="004129EC"/>
    <w:rsid w:val="004138C6"/>
    <w:rsid w:val="00413E41"/>
    <w:rsid w:val="00414DA1"/>
    <w:rsid w:val="00421E63"/>
    <w:rsid w:val="00434A40"/>
    <w:rsid w:val="004358BB"/>
    <w:rsid w:val="00437624"/>
    <w:rsid w:val="0044024C"/>
    <w:rsid w:val="00440352"/>
    <w:rsid w:val="0044144D"/>
    <w:rsid w:val="0044485C"/>
    <w:rsid w:val="00446286"/>
    <w:rsid w:val="0045138F"/>
    <w:rsid w:val="00451C52"/>
    <w:rsid w:val="00454F79"/>
    <w:rsid w:val="0045598A"/>
    <w:rsid w:val="0046415A"/>
    <w:rsid w:val="00465822"/>
    <w:rsid w:val="004669A2"/>
    <w:rsid w:val="00467319"/>
    <w:rsid w:val="0047158F"/>
    <w:rsid w:val="00471D02"/>
    <w:rsid w:val="00471FFC"/>
    <w:rsid w:val="004727E9"/>
    <w:rsid w:val="00474D39"/>
    <w:rsid w:val="00476A16"/>
    <w:rsid w:val="00480D7A"/>
    <w:rsid w:val="0048320A"/>
    <w:rsid w:val="004841BC"/>
    <w:rsid w:val="0048468B"/>
    <w:rsid w:val="00484ED8"/>
    <w:rsid w:val="00486016"/>
    <w:rsid w:val="0048799B"/>
    <w:rsid w:val="00490656"/>
    <w:rsid w:val="00491BD6"/>
    <w:rsid w:val="004931F7"/>
    <w:rsid w:val="00493CDA"/>
    <w:rsid w:val="004951C3"/>
    <w:rsid w:val="004960B4"/>
    <w:rsid w:val="004A03B2"/>
    <w:rsid w:val="004A0732"/>
    <w:rsid w:val="004A16DA"/>
    <w:rsid w:val="004A1F8A"/>
    <w:rsid w:val="004A222C"/>
    <w:rsid w:val="004A5FC7"/>
    <w:rsid w:val="004B2093"/>
    <w:rsid w:val="004B3A81"/>
    <w:rsid w:val="004B4EE6"/>
    <w:rsid w:val="004B5D6D"/>
    <w:rsid w:val="004C4B2D"/>
    <w:rsid w:val="004C4D71"/>
    <w:rsid w:val="004C5DB5"/>
    <w:rsid w:val="004C7FEF"/>
    <w:rsid w:val="004D3482"/>
    <w:rsid w:val="004D3B76"/>
    <w:rsid w:val="004E05EF"/>
    <w:rsid w:val="004E0A56"/>
    <w:rsid w:val="004E0C1A"/>
    <w:rsid w:val="004E1C39"/>
    <w:rsid w:val="004E56C7"/>
    <w:rsid w:val="004F1421"/>
    <w:rsid w:val="004F32DC"/>
    <w:rsid w:val="004F3BD0"/>
    <w:rsid w:val="004F42FA"/>
    <w:rsid w:val="004F6A35"/>
    <w:rsid w:val="004F7E68"/>
    <w:rsid w:val="00510820"/>
    <w:rsid w:val="00511423"/>
    <w:rsid w:val="00511EA6"/>
    <w:rsid w:val="0051586F"/>
    <w:rsid w:val="00516E6C"/>
    <w:rsid w:val="00520912"/>
    <w:rsid w:val="005215EE"/>
    <w:rsid w:val="00530300"/>
    <w:rsid w:val="0053160D"/>
    <w:rsid w:val="00531AD5"/>
    <w:rsid w:val="0054136D"/>
    <w:rsid w:val="00547F93"/>
    <w:rsid w:val="005504E2"/>
    <w:rsid w:val="005514A4"/>
    <w:rsid w:val="00555464"/>
    <w:rsid w:val="0055554B"/>
    <w:rsid w:val="0055720F"/>
    <w:rsid w:val="0056428A"/>
    <w:rsid w:val="00564ED8"/>
    <w:rsid w:val="00565089"/>
    <w:rsid w:val="005677C2"/>
    <w:rsid w:val="00571E2A"/>
    <w:rsid w:val="00572EAE"/>
    <w:rsid w:val="0057301F"/>
    <w:rsid w:val="00573105"/>
    <w:rsid w:val="0057506E"/>
    <w:rsid w:val="00582084"/>
    <w:rsid w:val="00583BE2"/>
    <w:rsid w:val="005849DE"/>
    <w:rsid w:val="00591E60"/>
    <w:rsid w:val="00592BDE"/>
    <w:rsid w:val="00592F64"/>
    <w:rsid w:val="00593042"/>
    <w:rsid w:val="00593606"/>
    <w:rsid w:val="00595081"/>
    <w:rsid w:val="005A1A86"/>
    <w:rsid w:val="005A20AF"/>
    <w:rsid w:val="005A2B9B"/>
    <w:rsid w:val="005A5E3B"/>
    <w:rsid w:val="005B00E5"/>
    <w:rsid w:val="005B0BF7"/>
    <w:rsid w:val="005B3D68"/>
    <w:rsid w:val="005C08D3"/>
    <w:rsid w:val="005C40ED"/>
    <w:rsid w:val="005C436A"/>
    <w:rsid w:val="005C46E5"/>
    <w:rsid w:val="005C6F47"/>
    <w:rsid w:val="005D0FC7"/>
    <w:rsid w:val="005D1346"/>
    <w:rsid w:val="005D2E67"/>
    <w:rsid w:val="005D3C9C"/>
    <w:rsid w:val="005D40C4"/>
    <w:rsid w:val="005E21E9"/>
    <w:rsid w:val="005E353F"/>
    <w:rsid w:val="005E66AD"/>
    <w:rsid w:val="005E689E"/>
    <w:rsid w:val="005E6EB9"/>
    <w:rsid w:val="005F25E9"/>
    <w:rsid w:val="005F299B"/>
    <w:rsid w:val="005F358D"/>
    <w:rsid w:val="005F6DB4"/>
    <w:rsid w:val="00604D99"/>
    <w:rsid w:val="006079AC"/>
    <w:rsid w:val="0061003F"/>
    <w:rsid w:val="00620932"/>
    <w:rsid w:val="006219CE"/>
    <w:rsid w:val="006250DC"/>
    <w:rsid w:val="0063574C"/>
    <w:rsid w:val="00636A8F"/>
    <w:rsid w:val="006521A8"/>
    <w:rsid w:val="006571A7"/>
    <w:rsid w:val="00662337"/>
    <w:rsid w:val="006655D5"/>
    <w:rsid w:val="00665657"/>
    <w:rsid w:val="00667685"/>
    <w:rsid w:val="00675E66"/>
    <w:rsid w:val="00677725"/>
    <w:rsid w:val="006801A4"/>
    <w:rsid w:val="00680D38"/>
    <w:rsid w:val="0068164C"/>
    <w:rsid w:val="00693C10"/>
    <w:rsid w:val="0069501A"/>
    <w:rsid w:val="006A1391"/>
    <w:rsid w:val="006A3EC5"/>
    <w:rsid w:val="006A61EB"/>
    <w:rsid w:val="006A759C"/>
    <w:rsid w:val="006B0FF9"/>
    <w:rsid w:val="006B2330"/>
    <w:rsid w:val="006B67DD"/>
    <w:rsid w:val="006C0CB6"/>
    <w:rsid w:val="006C4D04"/>
    <w:rsid w:val="006C5F7D"/>
    <w:rsid w:val="006C6611"/>
    <w:rsid w:val="006D0B0A"/>
    <w:rsid w:val="006D18E8"/>
    <w:rsid w:val="006D2685"/>
    <w:rsid w:val="006D2EDF"/>
    <w:rsid w:val="006D3ABF"/>
    <w:rsid w:val="006D404D"/>
    <w:rsid w:val="006D7F7F"/>
    <w:rsid w:val="006F2076"/>
    <w:rsid w:val="006F2A64"/>
    <w:rsid w:val="006F7B87"/>
    <w:rsid w:val="0070237A"/>
    <w:rsid w:val="007030A7"/>
    <w:rsid w:val="007052D8"/>
    <w:rsid w:val="0070641F"/>
    <w:rsid w:val="00710810"/>
    <w:rsid w:val="007246D9"/>
    <w:rsid w:val="00724A25"/>
    <w:rsid w:val="007303BB"/>
    <w:rsid w:val="0073083F"/>
    <w:rsid w:val="00731231"/>
    <w:rsid w:val="007324EA"/>
    <w:rsid w:val="00732FC7"/>
    <w:rsid w:val="0073578C"/>
    <w:rsid w:val="00742F66"/>
    <w:rsid w:val="00744994"/>
    <w:rsid w:val="00744E01"/>
    <w:rsid w:val="00746770"/>
    <w:rsid w:val="007479DB"/>
    <w:rsid w:val="00753BD5"/>
    <w:rsid w:val="00753DC0"/>
    <w:rsid w:val="0075462B"/>
    <w:rsid w:val="00754FD9"/>
    <w:rsid w:val="00756465"/>
    <w:rsid w:val="0075681C"/>
    <w:rsid w:val="0076278C"/>
    <w:rsid w:val="007635F8"/>
    <w:rsid w:val="0076383B"/>
    <w:rsid w:val="007642A6"/>
    <w:rsid w:val="007643C1"/>
    <w:rsid w:val="00773415"/>
    <w:rsid w:val="00776179"/>
    <w:rsid w:val="00777066"/>
    <w:rsid w:val="0078057C"/>
    <w:rsid w:val="00782807"/>
    <w:rsid w:val="007910ED"/>
    <w:rsid w:val="00791E8F"/>
    <w:rsid w:val="007923FD"/>
    <w:rsid w:val="007A115D"/>
    <w:rsid w:val="007A1256"/>
    <w:rsid w:val="007A273B"/>
    <w:rsid w:val="007A2989"/>
    <w:rsid w:val="007A640B"/>
    <w:rsid w:val="007A6796"/>
    <w:rsid w:val="007B3038"/>
    <w:rsid w:val="007B4C3F"/>
    <w:rsid w:val="007C0A3B"/>
    <w:rsid w:val="007C3D24"/>
    <w:rsid w:val="007C594B"/>
    <w:rsid w:val="007D3D16"/>
    <w:rsid w:val="007E4DBE"/>
    <w:rsid w:val="007E7032"/>
    <w:rsid w:val="007F1B5C"/>
    <w:rsid w:val="007F2AD0"/>
    <w:rsid w:val="007F3270"/>
    <w:rsid w:val="00800D9C"/>
    <w:rsid w:val="00802B8A"/>
    <w:rsid w:val="00804099"/>
    <w:rsid w:val="008068D7"/>
    <w:rsid w:val="00807B34"/>
    <w:rsid w:val="00810E2E"/>
    <w:rsid w:val="0081331D"/>
    <w:rsid w:val="008143FF"/>
    <w:rsid w:val="0081719D"/>
    <w:rsid w:val="00820F14"/>
    <w:rsid w:val="008211DA"/>
    <w:rsid w:val="00821962"/>
    <w:rsid w:val="00827BF7"/>
    <w:rsid w:val="00830A04"/>
    <w:rsid w:val="00832200"/>
    <w:rsid w:val="00832FF3"/>
    <w:rsid w:val="00834B01"/>
    <w:rsid w:val="00844C18"/>
    <w:rsid w:val="00845E9A"/>
    <w:rsid w:val="00846E08"/>
    <w:rsid w:val="0084776A"/>
    <w:rsid w:val="00850BCF"/>
    <w:rsid w:val="008516C2"/>
    <w:rsid w:val="00851789"/>
    <w:rsid w:val="008547CE"/>
    <w:rsid w:val="008570E8"/>
    <w:rsid w:val="0085788D"/>
    <w:rsid w:val="00860A77"/>
    <w:rsid w:val="00861255"/>
    <w:rsid w:val="00862D87"/>
    <w:rsid w:val="0086335C"/>
    <w:rsid w:val="00863C4E"/>
    <w:rsid w:val="008654BC"/>
    <w:rsid w:val="00871736"/>
    <w:rsid w:val="00875943"/>
    <w:rsid w:val="00876B60"/>
    <w:rsid w:val="00877CEE"/>
    <w:rsid w:val="00884814"/>
    <w:rsid w:val="008852F1"/>
    <w:rsid w:val="00887C90"/>
    <w:rsid w:val="00891698"/>
    <w:rsid w:val="008917C0"/>
    <w:rsid w:val="008917C7"/>
    <w:rsid w:val="00892FEC"/>
    <w:rsid w:val="00896941"/>
    <w:rsid w:val="008970A1"/>
    <w:rsid w:val="008A1D61"/>
    <w:rsid w:val="008A246B"/>
    <w:rsid w:val="008A381B"/>
    <w:rsid w:val="008A49D4"/>
    <w:rsid w:val="008B0ACF"/>
    <w:rsid w:val="008B2465"/>
    <w:rsid w:val="008B3E85"/>
    <w:rsid w:val="008B6899"/>
    <w:rsid w:val="008C0506"/>
    <w:rsid w:val="008C1E85"/>
    <w:rsid w:val="008C21A9"/>
    <w:rsid w:val="008C2BC2"/>
    <w:rsid w:val="008C44F7"/>
    <w:rsid w:val="008C5643"/>
    <w:rsid w:val="008C648A"/>
    <w:rsid w:val="008D0CE2"/>
    <w:rsid w:val="008D3E5A"/>
    <w:rsid w:val="008D4067"/>
    <w:rsid w:val="008D7458"/>
    <w:rsid w:val="008E51D4"/>
    <w:rsid w:val="008F00C8"/>
    <w:rsid w:val="008F04B6"/>
    <w:rsid w:val="008F1DEF"/>
    <w:rsid w:val="008F5138"/>
    <w:rsid w:val="008F5205"/>
    <w:rsid w:val="00902D83"/>
    <w:rsid w:val="00903002"/>
    <w:rsid w:val="009057E9"/>
    <w:rsid w:val="009110FF"/>
    <w:rsid w:val="00911589"/>
    <w:rsid w:val="009129B5"/>
    <w:rsid w:val="00914807"/>
    <w:rsid w:val="009175C8"/>
    <w:rsid w:val="00920B3D"/>
    <w:rsid w:val="00926EAB"/>
    <w:rsid w:val="009317AF"/>
    <w:rsid w:val="00932EB6"/>
    <w:rsid w:val="00941B85"/>
    <w:rsid w:val="0094483F"/>
    <w:rsid w:val="0094745E"/>
    <w:rsid w:val="009477D3"/>
    <w:rsid w:val="00950B82"/>
    <w:rsid w:val="00950C11"/>
    <w:rsid w:val="009510E3"/>
    <w:rsid w:val="00951CA0"/>
    <w:rsid w:val="00952B04"/>
    <w:rsid w:val="00954C7B"/>
    <w:rsid w:val="00962D41"/>
    <w:rsid w:val="0096413F"/>
    <w:rsid w:val="00964CB3"/>
    <w:rsid w:val="00965124"/>
    <w:rsid w:val="00965834"/>
    <w:rsid w:val="00967BEE"/>
    <w:rsid w:val="009741A2"/>
    <w:rsid w:val="009748F3"/>
    <w:rsid w:val="009762FD"/>
    <w:rsid w:val="00977E2D"/>
    <w:rsid w:val="00981DBF"/>
    <w:rsid w:val="00983036"/>
    <w:rsid w:val="00984394"/>
    <w:rsid w:val="00984937"/>
    <w:rsid w:val="00987C36"/>
    <w:rsid w:val="009938F2"/>
    <w:rsid w:val="00995B9D"/>
    <w:rsid w:val="009A56F9"/>
    <w:rsid w:val="009B03E8"/>
    <w:rsid w:val="009B2B4B"/>
    <w:rsid w:val="009C1AA4"/>
    <w:rsid w:val="009C6BAC"/>
    <w:rsid w:val="009D019C"/>
    <w:rsid w:val="009D484E"/>
    <w:rsid w:val="009D4BCD"/>
    <w:rsid w:val="009D4BF8"/>
    <w:rsid w:val="009D604B"/>
    <w:rsid w:val="009D76C2"/>
    <w:rsid w:val="009D777F"/>
    <w:rsid w:val="009E0E54"/>
    <w:rsid w:val="009E4D6A"/>
    <w:rsid w:val="009E581B"/>
    <w:rsid w:val="009F1781"/>
    <w:rsid w:val="009F3B9F"/>
    <w:rsid w:val="009F7F98"/>
    <w:rsid w:val="00A00E51"/>
    <w:rsid w:val="00A018AF"/>
    <w:rsid w:val="00A13E31"/>
    <w:rsid w:val="00A1693B"/>
    <w:rsid w:val="00A17ADF"/>
    <w:rsid w:val="00A20A61"/>
    <w:rsid w:val="00A23C51"/>
    <w:rsid w:val="00A34184"/>
    <w:rsid w:val="00A352B2"/>
    <w:rsid w:val="00A36202"/>
    <w:rsid w:val="00A37EC8"/>
    <w:rsid w:val="00A414E1"/>
    <w:rsid w:val="00A4388B"/>
    <w:rsid w:val="00A44DDD"/>
    <w:rsid w:val="00A47010"/>
    <w:rsid w:val="00A4719B"/>
    <w:rsid w:val="00A52759"/>
    <w:rsid w:val="00A579AD"/>
    <w:rsid w:val="00A61DDE"/>
    <w:rsid w:val="00A77CF5"/>
    <w:rsid w:val="00A81638"/>
    <w:rsid w:val="00A82CE0"/>
    <w:rsid w:val="00A8486E"/>
    <w:rsid w:val="00A8624B"/>
    <w:rsid w:val="00A9030C"/>
    <w:rsid w:val="00A921ED"/>
    <w:rsid w:val="00A925AB"/>
    <w:rsid w:val="00A945C2"/>
    <w:rsid w:val="00A972D5"/>
    <w:rsid w:val="00AA221F"/>
    <w:rsid w:val="00AA26F7"/>
    <w:rsid w:val="00AA2F9C"/>
    <w:rsid w:val="00AA36C9"/>
    <w:rsid w:val="00AB1F3D"/>
    <w:rsid w:val="00AB2363"/>
    <w:rsid w:val="00AB48DB"/>
    <w:rsid w:val="00AB5D24"/>
    <w:rsid w:val="00AB6A5B"/>
    <w:rsid w:val="00AB6DED"/>
    <w:rsid w:val="00AC1ABB"/>
    <w:rsid w:val="00AC29F0"/>
    <w:rsid w:val="00AC3B9C"/>
    <w:rsid w:val="00AC51E4"/>
    <w:rsid w:val="00AC7936"/>
    <w:rsid w:val="00AD07BF"/>
    <w:rsid w:val="00AD162B"/>
    <w:rsid w:val="00AD6D03"/>
    <w:rsid w:val="00AD7282"/>
    <w:rsid w:val="00AE0857"/>
    <w:rsid w:val="00AE20CE"/>
    <w:rsid w:val="00AE2C6E"/>
    <w:rsid w:val="00AE671F"/>
    <w:rsid w:val="00AE6C94"/>
    <w:rsid w:val="00AE7883"/>
    <w:rsid w:val="00AE7F92"/>
    <w:rsid w:val="00AF03D0"/>
    <w:rsid w:val="00AF15AD"/>
    <w:rsid w:val="00AF4F23"/>
    <w:rsid w:val="00AF7C66"/>
    <w:rsid w:val="00B02B8E"/>
    <w:rsid w:val="00B03216"/>
    <w:rsid w:val="00B04B58"/>
    <w:rsid w:val="00B05841"/>
    <w:rsid w:val="00B05F95"/>
    <w:rsid w:val="00B06DDE"/>
    <w:rsid w:val="00B1043D"/>
    <w:rsid w:val="00B138FF"/>
    <w:rsid w:val="00B25237"/>
    <w:rsid w:val="00B258B9"/>
    <w:rsid w:val="00B27041"/>
    <w:rsid w:val="00B3513E"/>
    <w:rsid w:val="00B411FC"/>
    <w:rsid w:val="00B434C1"/>
    <w:rsid w:val="00B43BAD"/>
    <w:rsid w:val="00B44590"/>
    <w:rsid w:val="00B45189"/>
    <w:rsid w:val="00B45903"/>
    <w:rsid w:val="00B516F2"/>
    <w:rsid w:val="00B54172"/>
    <w:rsid w:val="00B54ED6"/>
    <w:rsid w:val="00B615F5"/>
    <w:rsid w:val="00B61603"/>
    <w:rsid w:val="00B66C98"/>
    <w:rsid w:val="00B71197"/>
    <w:rsid w:val="00B72783"/>
    <w:rsid w:val="00B729F5"/>
    <w:rsid w:val="00B73527"/>
    <w:rsid w:val="00B74A66"/>
    <w:rsid w:val="00B75D33"/>
    <w:rsid w:val="00B76801"/>
    <w:rsid w:val="00B76EB8"/>
    <w:rsid w:val="00B80255"/>
    <w:rsid w:val="00B83E26"/>
    <w:rsid w:val="00B84C8C"/>
    <w:rsid w:val="00B87C9D"/>
    <w:rsid w:val="00B90154"/>
    <w:rsid w:val="00B92139"/>
    <w:rsid w:val="00B9277F"/>
    <w:rsid w:val="00B928DF"/>
    <w:rsid w:val="00BA205A"/>
    <w:rsid w:val="00BA273B"/>
    <w:rsid w:val="00BA7EF2"/>
    <w:rsid w:val="00BB1BAB"/>
    <w:rsid w:val="00BB5103"/>
    <w:rsid w:val="00BB5495"/>
    <w:rsid w:val="00BC2012"/>
    <w:rsid w:val="00BC2492"/>
    <w:rsid w:val="00BC7F99"/>
    <w:rsid w:val="00BD02AA"/>
    <w:rsid w:val="00BE02D6"/>
    <w:rsid w:val="00BF10BA"/>
    <w:rsid w:val="00BF3CD4"/>
    <w:rsid w:val="00BF42DD"/>
    <w:rsid w:val="00BF732C"/>
    <w:rsid w:val="00BF7A3C"/>
    <w:rsid w:val="00C02B55"/>
    <w:rsid w:val="00C03F67"/>
    <w:rsid w:val="00C05674"/>
    <w:rsid w:val="00C067F4"/>
    <w:rsid w:val="00C10522"/>
    <w:rsid w:val="00C14157"/>
    <w:rsid w:val="00C160EB"/>
    <w:rsid w:val="00C16A71"/>
    <w:rsid w:val="00C20D9B"/>
    <w:rsid w:val="00C2532A"/>
    <w:rsid w:val="00C26E27"/>
    <w:rsid w:val="00C2798C"/>
    <w:rsid w:val="00C30B25"/>
    <w:rsid w:val="00C31100"/>
    <w:rsid w:val="00C31493"/>
    <w:rsid w:val="00C34B23"/>
    <w:rsid w:val="00C4107A"/>
    <w:rsid w:val="00C443E1"/>
    <w:rsid w:val="00C45034"/>
    <w:rsid w:val="00C46732"/>
    <w:rsid w:val="00C46BC5"/>
    <w:rsid w:val="00C5083A"/>
    <w:rsid w:val="00C53D8D"/>
    <w:rsid w:val="00C54B1B"/>
    <w:rsid w:val="00C563DF"/>
    <w:rsid w:val="00C575B4"/>
    <w:rsid w:val="00C6125F"/>
    <w:rsid w:val="00C6168A"/>
    <w:rsid w:val="00C62686"/>
    <w:rsid w:val="00C646CB"/>
    <w:rsid w:val="00C65F61"/>
    <w:rsid w:val="00C6720C"/>
    <w:rsid w:val="00C7532C"/>
    <w:rsid w:val="00C77CBC"/>
    <w:rsid w:val="00C81DC3"/>
    <w:rsid w:val="00C846D4"/>
    <w:rsid w:val="00C87A5D"/>
    <w:rsid w:val="00C9059E"/>
    <w:rsid w:val="00C908AC"/>
    <w:rsid w:val="00C9227F"/>
    <w:rsid w:val="00C92CFA"/>
    <w:rsid w:val="00C94261"/>
    <w:rsid w:val="00C944A1"/>
    <w:rsid w:val="00C961BA"/>
    <w:rsid w:val="00C9636B"/>
    <w:rsid w:val="00C96623"/>
    <w:rsid w:val="00CA34B5"/>
    <w:rsid w:val="00CA5241"/>
    <w:rsid w:val="00CA6025"/>
    <w:rsid w:val="00CA60BB"/>
    <w:rsid w:val="00CA6168"/>
    <w:rsid w:val="00CA793A"/>
    <w:rsid w:val="00CB00D8"/>
    <w:rsid w:val="00CB12E5"/>
    <w:rsid w:val="00CB2C27"/>
    <w:rsid w:val="00CB620C"/>
    <w:rsid w:val="00CB795D"/>
    <w:rsid w:val="00CC2299"/>
    <w:rsid w:val="00CC2499"/>
    <w:rsid w:val="00CC3D3D"/>
    <w:rsid w:val="00CC5E92"/>
    <w:rsid w:val="00CC682B"/>
    <w:rsid w:val="00CD0BBF"/>
    <w:rsid w:val="00CD2088"/>
    <w:rsid w:val="00CD3D02"/>
    <w:rsid w:val="00CD54F6"/>
    <w:rsid w:val="00CD6EE0"/>
    <w:rsid w:val="00CE5FCC"/>
    <w:rsid w:val="00CE685C"/>
    <w:rsid w:val="00CE7317"/>
    <w:rsid w:val="00CF01D7"/>
    <w:rsid w:val="00CF0831"/>
    <w:rsid w:val="00CF12B4"/>
    <w:rsid w:val="00CF2E58"/>
    <w:rsid w:val="00CF77F7"/>
    <w:rsid w:val="00D04457"/>
    <w:rsid w:val="00D07601"/>
    <w:rsid w:val="00D07D3D"/>
    <w:rsid w:val="00D105EC"/>
    <w:rsid w:val="00D1138E"/>
    <w:rsid w:val="00D13DB5"/>
    <w:rsid w:val="00D179C4"/>
    <w:rsid w:val="00D17D6A"/>
    <w:rsid w:val="00D17E2C"/>
    <w:rsid w:val="00D24D65"/>
    <w:rsid w:val="00D26F2A"/>
    <w:rsid w:val="00D326F1"/>
    <w:rsid w:val="00D33293"/>
    <w:rsid w:val="00D351D0"/>
    <w:rsid w:val="00D3629E"/>
    <w:rsid w:val="00D40816"/>
    <w:rsid w:val="00D432CB"/>
    <w:rsid w:val="00D4453A"/>
    <w:rsid w:val="00D45679"/>
    <w:rsid w:val="00D4655F"/>
    <w:rsid w:val="00D52CBE"/>
    <w:rsid w:val="00D52DB0"/>
    <w:rsid w:val="00D5494C"/>
    <w:rsid w:val="00D5724D"/>
    <w:rsid w:val="00D57D1F"/>
    <w:rsid w:val="00D60AB5"/>
    <w:rsid w:val="00D61081"/>
    <w:rsid w:val="00D61BA4"/>
    <w:rsid w:val="00D6536C"/>
    <w:rsid w:val="00D6538C"/>
    <w:rsid w:val="00D66907"/>
    <w:rsid w:val="00D72FD8"/>
    <w:rsid w:val="00D73C7B"/>
    <w:rsid w:val="00D74115"/>
    <w:rsid w:val="00D75433"/>
    <w:rsid w:val="00D801D8"/>
    <w:rsid w:val="00D83C8C"/>
    <w:rsid w:val="00D83FBE"/>
    <w:rsid w:val="00D86C17"/>
    <w:rsid w:val="00D87141"/>
    <w:rsid w:val="00D9637E"/>
    <w:rsid w:val="00D97BCB"/>
    <w:rsid w:val="00D97C5A"/>
    <w:rsid w:val="00DA001A"/>
    <w:rsid w:val="00DA7DD5"/>
    <w:rsid w:val="00DB0E14"/>
    <w:rsid w:val="00DB1545"/>
    <w:rsid w:val="00DC114F"/>
    <w:rsid w:val="00DC3362"/>
    <w:rsid w:val="00DC3498"/>
    <w:rsid w:val="00DD47FF"/>
    <w:rsid w:val="00DD796E"/>
    <w:rsid w:val="00DE01B5"/>
    <w:rsid w:val="00DE63CF"/>
    <w:rsid w:val="00DF171E"/>
    <w:rsid w:val="00E00154"/>
    <w:rsid w:val="00E03197"/>
    <w:rsid w:val="00E04085"/>
    <w:rsid w:val="00E06496"/>
    <w:rsid w:val="00E1339B"/>
    <w:rsid w:val="00E13E9B"/>
    <w:rsid w:val="00E15214"/>
    <w:rsid w:val="00E17813"/>
    <w:rsid w:val="00E2049C"/>
    <w:rsid w:val="00E2435E"/>
    <w:rsid w:val="00E3252E"/>
    <w:rsid w:val="00E3509C"/>
    <w:rsid w:val="00E40ED9"/>
    <w:rsid w:val="00E4115B"/>
    <w:rsid w:val="00E421E9"/>
    <w:rsid w:val="00E44B57"/>
    <w:rsid w:val="00E457AC"/>
    <w:rsid w:val="00E4739C"/>
    <w:rsid w:val="00E51225"/>
    <w:rsid w:val="00E5271C"/>
    <w:rsid w:val="00E552DA"/>
    <w:rsid w:val="00E5607F"/>
    <w:rsid w:val="00E56DE7"/>
    <w:rsid w:val="00E606F9"/>
    <w:rsid w:val="00E639A8"/>
    <w:rsid w:val="00E65A50"/>
    <w:rsid w:val="00E7258A"/>
    <w:rsid w:val="00E72FD8"/>
    <w:rsid w:val="00E7647A"/>
    <w:rsid w:val="00E8001E"/>
    <w:rsid w:val="00E83070"/>
    <w:rsid w:val="00E8642F"/>
    <w:rsid w:val="00E971EC"/>
    <w:rsid w:val="00EA0009"/>
    <w:rsid w:val="00EA0F34"/>
    <w:rsid w:val="00EA2C0B"/>
    <w:rsid w:val="00EA5FCA"/>
    <w:rsid w:val="00EA658F"/>
    <w:rsid w:val="00EB378E"/>
    <w:rsid w:val="00EB63DF"/>
    <w:rsid w:val="00EB6F1E"/>
    <w:rsid w:val="00EC25B4"/>
    <w:rsid w:val="00ED1025"/>
    <w:rsid w:val="00ED7219"/>
    <w:rsid w:val="00EE0C3C"/>
    <w:rsid w:val="00EE2F1C"/>
    <w:rsid w:val="00EE5ABE"/>
    <w:rsid w:val="00EF58F5"/>
    <w:rsid w:val="00EF6397"/>
    <w:rsid w:val="00EF6405"/>
    <w:rsid w:val="00F00964"/>
    <w:rsid w:val="00F016E2"/>
    <w:rsid w:val="00F01D35"/>
    <w:rsid w:val="00F02417"/>
    <w:rsid w:val="00F0256B"/>
    <w:rsid w:val="00F030A5"/>
    <w:rsid w:val="00F0327A"/>
    <w:rsid w:val="00F05DC8"/>
    <w:rsid w:val="00F15CE9"/>
    <w:rsid w:val="00F17341"/>
    <w:rsid w:val="00F17714"/>
    <w:rsid w:val="00F2289C"/>
    <w:rsid w:val="00F27A06"/>
    <w:rsid w:val="00F3015A"/>
    <w:rsid w:val="00F32BA1"/>
    <w:rsid w:val="00F32D28"/>
    <w:rsid w:val="00F33E59"/>
    <w:rsid w:val="00F35F92"/>
    <w:rsid w:val="00F37864"/>
    <w:rsid w:val="00F417E9"/>
    <w:rsid w:val="00F41EEF"/>
    <w:rsid w:val="00F428E8"/>
    <w:rsid w:val="00F44248"/>
    <w:rsid w:val="00F4682B"/>
    <w:rsid w:val="00F5547D"/>
    <w:rsid w:val="00F614D7"/>
    <w:rsid w:val="00F62455"/>
    <w:rsid w:val="00F64B67"/>
    <w:rsid w:val="00F67A22"/>
    <w:rsid w:val="00F67CDC"/>
    <w:rsid w:val="00F67FBA"/>
    <w:rsid w:val="00F70B66"/>
    <w:rsid w:val="00F71B07"/>
    <w:rsid w:val="00F728AD"/>
    <w:rsid w:val="00F74AA4"/>
    <w:rsid w:val="00F80AEC"/>
    <w:rsid w:val="00F8121C"/>
    <w:rsid w:val="00F85DDD"/>
    <w:rsid w:val="00F86995"/>
    <w:rsid w:val="00F9275E"/>
    <w:rsid w:val="00F92886"/>
    <w:rsid w:val="00F946F5"/>
    <w:rsid w:val="00F965A2"/>
    <w:rsid w:val="00FA2A45"/>
    <w:rsid w:val="00FA37BE"/>
    <w:rsid w:val="00FB0DA9"/>
    <w:rsid w:val="00FB156D"/>
    <w:rsid w:val="00FB15F9"/>
    <w:rsid w:val="00FC439D"/>
    <w:rsid w:val="00FC5399"/>
    <w:rsid w:val="00FC6D8F"/>
    <w:rsid w:val="00FC6D91"/>
    <w:rsid w:val="00FD07B4"/>
    <w:rsid w:val="00FD2406"/>
    <w:rsid w:val="00FD265C"/>
    <w:rsid w:val="00FD4AC8"/>
    <w:rsid w:val="00FD5540"/>
    <w:rsid w:val="00FE0F38"/>
    <w:rsid w:val="00FE26AE"/>
    <w:rsid w:val="00FE4580"/>
    <w:rsid w:val="00FE48E3"/>
    <w:rsid w:val="00FE786D"/>
    <w:rsid w:val="00FE7B8D"/>
    <w:rsid w:val="00FF0B64"/>
    <w:rsid w:val="00FF194B"/>
    <w:rsid w:val="00FF4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61"/>
    <w:pPr>
      <w:spacing w:after="120"/>
    </w:pPr>
    <w:rPr>
      <w:rFonts w:ascii="Arial" w:hAnsi="Arial"/>
      <w:sz w:val="20"/>
    </w:rPr>
  </w:style>
  <w:style w:type="paragraph" w:styleId="Heading1">
    <w:name w:val="heading 1"/>
    <w:basedOn w:val="Normal"/>
    <w:next w:val="Normal"/>
    <w:link w:val="Heading1Char"/>
    <w:qFormat/>
    <w:rsid w:val="00D326F1"/>
    <w:pPr>
      <w:keepNext/>
      <w:keepLines/>
      <w:numPr>
        <w:numId w:val="3"/>
      </w:numPr>
      <w:spacing w:before="480" w:after="0"/>
      <w:ind w:left="425" w:hanging="425"/>
      <w:outlineLvl w:val="0"/>
    </w:pPr>
    <w:rPr>
      <w:rFonts w:ascii="Arial Bold" w:eastAsiaTheme="majorEastAsia" w:hAnsi="Arial Bold" w:cstheme="majorBidi"/>
      <w:b/>
      <w:bCs/>
      <w:color w:val="7C1222"/>
      <w:sz w:val="28"/>
      <w:szCs w:val="28"/>
    </w:rPr>
  </w:style>
  <w:style w:type="paragraph" w:styleId="Heading2">
    <w:name w:val="heading 2"/>
    <w:basedOn w:val="Normal"/>
    <w:next w:val="Normal"/>
    <w:link w:val="Heading2Char"/>
    <w:unhideWhenUsed/>
    <w:qFormat/>
    <w:rsid w:val="00863C4E"/>
    <w:pPr>
      <w:keepNext/>
      <w:keepLines/>
      <w:numPr>
        <w:ilvl w:val="1"/>
        <w:numId w:val="3"/>
      </w:numPr>
      <w:spacing w:before="200"/>
      <w:outlineLvl w:val="1"/>
    </w:pPr>
    <w:rPr>
      <w:rFonts w:eastAsiaTheme="majorEastAsia" w:cstheme="majorBidi"/>
      <w:b/>
      <w:bCs/>
      <w:color w:val="A6192E"/>
      <w:sz w:val="26"/>
      <w:szCs w:val="26"/>
    </w:rPr>
  </w:style>
  <w:style w:type="paragraph" w:styleId="Heading3">
    <w:name w:val="heading 3"/>
    <w:next w:val="Normal"/>
    <w:link w:val="Heading3Char"/>
    <w:qFormat/>
    <w:rsid w:val="00863C4E"/>
    <w:pPr>
      <w:keepNext/>
      <w:keepLines/>
      <w:numPr>
        <w:ilvl w:val="2"/>
        <w:numId w:val="3"/>
      </w:numPr>
      <w:spacing w:before="120" w:after="0"/>
      <w:outlineLvl w:val="2"/>
    </w:pPr>
    <w:rPr>
      <w:rFonts w:ascii="Arial" w:eastAsia="Times New Roman" w:hAnsi="Arial" w:cs="Times New Roman"/>
      <w:b/>
      <w:color w:val="A6192E"/>
      <w:sz w:val="20"/>
      <w:lang w:val="en-US"/>
    </w:rPr>
  </w:style>
  <w:style w:type="paragraph" w:styleId="Heading4">
    <w:name w:val="heading 4"/>
    <w:basedOn w:val="Heading3"/>
    <w:next w:val="Normal"/>
    <w:link w:val="Heading4Char"/>
    <w:qFormat/>
    <w:rsid w:val="00DA7DD5"/>
    <w:pPr>
      <w:numPr>
        <w:ilvl w:val="3"/>
      </w:numPr>
      <w:ind w:left="567" w:hanging="567"/>
      <w:outlineLvl w:val="3"/>
    </w:pPr>
  </w:style>
  <w:style w:type="paragraph" w:styleId="Heading5">
    <w:name w:val="heading 5"/>
    <w:basedOn w:val="Normal"/>
    <w:next w:val="Normal"/>
    <w:link w:val="Heading5Char"/>
    <w:rsid w:val="0075462B"/>
    <w:pPr>
      <w:numPr>
        <w:ilvl w:val="4"/>
        <w:numId w:val="3"/>
      </w:numPr>
      <w:spacing w:before="240" w:after="60"/>
      <w:outlineLvl w:val="4"/>
    </w:pPr>
    <w:rPr>
      <w:b/>
      <w:bCs/>
      <w:i/>
      <w:iCs/>
      <w:sz w:val="26"/>
      <w:szCs w:val="26"/>
    </w:rPr>
  </w:style>
  <w:style w:type="paragraph" w:styleId="Heading6">
    <w:name w:val="heading 6"/>
    <w:basedOn w:val="Normal"/>
    <w:next w:val="Normal"/>
    <w:link w:val="Heading6Char"/>
    <w:rsid w:val="0075462B"/>
    <w:pPr>
      <w:numPr>
        <w:ilvl w:val="5"/>
        <w:numId w:val="3"/>
      </w:numPr>
      <w:spacing w:before="240" w:after="60"/>
      <w:outlineLvl w:val="5"/>
    </w:pPr>
    <w:rPr>
      <w:b/>
      <w:bCs/>
      <w:sz w:val="22"/>
    </w:rPr>
  </w:style>
  <w:style w:type="paragraph" w:styleId="Heading7">
    <w:name w:val="heading 7"/>
    <w:basedOn w:val="Normal"/>
    <w:next w:val="Normal"/>
    <w:link w:val="Heading7Char"/>
    <w:rsid w:val="0075462B"/>
    <w:pPr>
      <w:numPr>
        <w:ilvl w:val="6"/>
        <w:numId w:val="3"/>
      </w:numPr>
      <w:spacing w:before="240" w:after="60"/>
      <w:outlineLvl w:val="6"/>
    </w:pPr>
  </w:style>
  <w:style w:type="paragraph" w:styleId="Heading8">
    <w:name w:val="heading 8"/>
    <w:basedOn w:val="Normal"/>
    <w:next w:val="Normal"/>
    <w:link w:val="Heading8Char"/>
    <w:rsid w:val="0075462B"/>
    <w:pPr>
      <w:numPr>
        <w:ilvl w:val="7"/>
        <w:numId w:val="3"/>
      </w:numPr>
      <w:spacing w:before="240" w:after="60"/>
      <w:outlineLvl w:val="7"/>
    </w:pPr>
    <w:rPr>
      <w:i/>
      <w:iCs/>
    </w:rPr>
  </w:style>
  <w:style w:type="paragraph" w:styleId="Heading9">
    <w:name w:val="heading 9"/>
    <w:basedOn w:val="Normal"/>
    <w:next w:val="Normal"/>
    <w:link w:val="Heading9Char"/>
    <w:rsid w:val="0075462B"/>
    <w:pPr>
      <w:numPr>
        <w:ilvl w:val="8"/>
        <w:numId w:val="3"/>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CA60BB"/>
    <w:pPr>
      <w:outlineLvl w:val="0"/>
    </w:pPr>
    <w:rPr>
      <w:rFonts w:eastAsiaTheme="majorEastAsia" w:cstheme="majorBidi"/>
      <w:bCs/>
      <w:color w:val="FFFFFF" w:themeColor="background1"/>
      <w:kern w:val="28"/>
      <w:sz w:val="32"/>
      <w:szCs w:val="32"/>
    </w:rPr>
  </w:style>
  <w:style w:type="character" w:customStyle="1" w:styleId="TitleChar">
    <w:name w:val="Title Char"/>
    <w:basedOn w:val="DefaultParagraphFont"/>
    <w:link w:val="Title"/>
    <w:rsid w:val="00CA60BB"/>
    <w:rPr>
      <w:rFonts w:ascii="Arial" w:eastAsiaTheme="majorEastAsia" w:hAnsi="Arial" w:cstheme="majorBidi"/>
      <w:bCs/>
      <w:color w:val="FFFFFF" w:themeColor="background1"/>
      <w:kern w:val="28"/>
      <w:sz w:val="32"/>
      <w:szCs w:val="32"/>
    </w:rPr>
  </w:style>
  <w:style w:type="paragraph" w:styleId="Caption">
    <w:name w:val="caption"/>
    <w:basedOn w:val="Normal"/>
    <w:next w:val="Normal"/>
    <w:uiPriority w:val="35"/>
    <w:unhideWhenUsed/>
    <w:qFormat/>
    <w:rsid w:val="00675E66"/>
    <w:pPr>
      <w:spacing w:before="240" w:after="60" w:line="240" w:lineRule="auto"/>
      <w:jc w:val="center"/>
    </w:pPr>
    <w:rPr>
      <w:b/>
      <w:bCs/>
      <w:color w:val="A6192E"/>
      <w:szCs w:val="18"/>
    </w:rPr>
  </w:style>
  <w:style w:type="paragraph" w:customStyle="1" w:styleId="NITPheadfordefinitions">
    <w:name w:val="NITP head for definitions"/>
    <w:basedOn w:val="Normal"/>
    <w:next w:val="Normal"/>
    <w:qFormat/>
    <w:rsid w:val="00860A77"/>
    <w:pPr>
      <w:spacing w:after="60"/>
    </w:pPr>
    <w:rPr>
      <w:rFonts w:ascii="Arial Bold" w:eastAsia="MS Mincho" w:hAnsi="Arial Bold" w:cs="Times New Roman"/>
      <w:iCs/>
      <w:noProof/>
      <w:color w:val="A6192E"/>
      <w:szCs w:val="24"/>
    </w:rPr>
  </w:style>
  <w:style w:type="character" w:customStyle="1" w:styleId="Heading3Char">
    <w:name w:val="Heading 3 Char"/>
    <w:basedOn w:val="DefaultParagraphFont"/>
    <w:link w:val="Heading3"/>
    <w:rsid w:val="00863C4E"/>
    <w:rPr>
      <w:rFonts w:ascii="Arial" w:eastAsia="Times New Roman" w:hAnsi="Arial" w:cs="Times New Roman"/>
      <w:b/>
      <w:color w:val="A6192E"/>
      <w:sz w:val="20"/>
      <w:lang w:val="en-US"/>
    </w:rPr>
  </w:style>
  <w:style w:type="character" w:customStyle="1" w:styleId="Heading4Char">
    <w:name w:val="Heading 4 Char"/>
    <w:basedOn w:val="DefaultParagraphFont"/>
    <w:link w:val="Heading4"/>
    <w:rsid w:val="00DA7DD5"/>
    <w:rPr>
      <w:rFonts w:ascii="Arial" w:eastAsia="Times New Roman" w:hAnsi="Arial" w:cs="Times New Roman"/>
      <w:b/>
      <w:color w:val="A6192E"/>
      <w:sz w:val="20"/>
      <w:lang w:val="en-US"/>
    </w:rPr>
  </w:style>
  <w:style w:type="character" w:customStyle="1" w:styleId="Heading5Char">
    <w:name w:val="Heading 5 Char"/>
    <w:basedOn w:val="DefaultParagraphFont"/>
    <w:link w:val="Heading5"/>
    <w:rsid w:val="0075462B"/>
    <w:rPr>
      <w:rFonts w:ascii="Arial" w:hAnsi="Arial"/>
      <w:b/>
      <w:bCs/>
      <w:i/>
      <w:iCs/>
      <w:sz w:val="26"/>
      <w:szCs w:val="26"/>
    </w:rPr>
  </w:style>
  <w:style w:type="character" w:customStyle="1" w:styleId="Heading6Char">
    <w:name w:val="Heading 6 Char"/>
    <w:basedOn w:val="DefaultParagraphFont"/>
    <w:link w:val="Heading6"/>
    <w:rsid w:val="0075462B"/>
    <w:rPr>
      <w:rFonts w:ascii="Arial" w:hAnsi="Arial"/>
      <w:b/>
      <w:bCs/>
    </w:rPr>
  </w:style>
  <w:style w:type="character" w:customStyle="1" w:styleId="Heading7Char">
    <w:name w:val="Heading 7 Char"/>
    <w:basedOn w:val="DefaultParagraphFont"/>
    <w:link w:val="Heading7"/>
    <w:rsid w:val="0075462B"/>
    <w:rPr>
      <w:rFonts w:ascii="Arial" w:hAnsi="Arial"/>
      <w:sz w:val="20"/>
    </w:rPr>
  </w:style>
  <w:style w:type="character" w:customStyle="1" w:styleId="Heading8Char">
    <w:name w:val="Heading 8 Char"/>
    <w:basedOn w:val="DefaultParagraphFont"/>
    <w:link w:val="Heading8"/>
    <w:rsid w:val="0075462B"/>
    <w:rPr>
      <w:rFonts w:ascii="Arial" w:hAnsi="Arial"/>
      <w:i/>
      <w:iCs/>
      <w:sz w:val="20"/>
    </w:rPr>
  </w:style>
  <w:style w:type="character" w:customStyle="1" w:styleId="Heading9Char">
    <w:name w:val="Heading 9 Char"/>
    <w:basedOn w:val="DefaultParagraphFont"/>
    <w:link w:val="Heading9"/>
    <w:rsid w:val="0075462B"/>
    <w:rPr>
      <w:rFonts w:ascii="Arial" w:hAnsi="Arial" w:cs="Arial"/>
    </w:rPr>
  </w:style>
  <w:style w:type="paragraph" w:styleId="TOC1">
    <w:name w:val="toc 1"/>
    <w:basedOn w:val="Normal"/>
    <w:next w:val="Normal"/>
    <w:autoRedefine/>
    <w:uiPriority w:val="39"/>
    <w:rsid w:val="00C10522"/>
    <w:pPr>
      <w:tabs>
        <w:tab w:val="left" w:pos="658"/>
        <w:tab w:val="right" w:leader="dot" w:pos="9735"/>
      </w:tabs>
      <w:spacing w:after="100"/>
      <w:ind w:left="658" w:hanging="658"/>
    </w:pPr>
    <w:rPr>
      <w:bCs/>
      <w:iCs/>
      <w:sz w:val="24"/>
    </w:rPr>
  </w:style>
  <w:style w:type="paragraph" w:styleId="Header">
    <w:name w:val="header"/>
    <w:basedOn w:val="Normal"/>
    <w:link w:val="HeaderChar"/>
    <w:rsid w:val="0075462B"/>
    <w:pPr>
      <w:tabs>
        <w:tab w:val="center" w:pos="4153"/>
        <w:tab w:val="right" w:pos="8306"/>
      </w:tabs>
    </w:pPr>
  </w:style>
  <w:style w:type="character" w:customStyle="1" w:styleId="HeaderChar">
    <w:name w:val="Header Char"/>
    <w:basedOn w:val="DefaultParagraphFont"/>
    <w:link w:val="Header"/>
    <w:rsid w:val="0075462B"/>
    <w:rPr>
      <w:rFonts w:ascii="Arial" w:eastAsia="Times New Roman" w:hAnsi="Arial" w:cs="Times New Roman"/>
      <w:sz w:val="20"/>
      <w:szCs w:val="20"/>
      <w:lang w:eastAsia="en-AU"/>
    </w:rPr>
  </w:style>
  <w:style w:type="paragraph" w:styleId="Footer">
    <w:name w:val="footer"/>
    <w:basedOn w:val="Normal"/>
    <w:link w:val="FooterChar"/>
    <w:uiPriority w:val="99"/>
    <w:rsid w:val="0075462B"/>
    <w:pPr>
      <w:tabs>
        <w:tab w:val="center" w:pos="4153"/>
        <w:tab w:val="right" w:pos="8306"/>
      </w:tabs>
    </w:pPr>
  </w:style>
  <w:style w:type="character" w:customStyle="1" w:styleId="FooterChar">
    <w:name w:val="Footer Char"/>
    <w:basedOn w:val="DefaultParagraphFont"/>
    <w:link w:val="Footer"/>
    <w:uiPriority w:val="99"/>
    <w:rsid w:val="0075462B"/>
    <w:rPr>
      <w:rFonts w:ascii="Arial" w:eastAsia="Times New Roman" w:hAnsi="Arial" w:cs="Times New Roman"/>
      <w:sz w:val="20"/>
      <w:szCs w:val="20"/>
      <w:lang w:eastAsia="en-AU"/>
    </w:rPr>
  </w:style>
  <w:style w:type="character" w:styleId="PageNumber">
    <w:name w:val="page number"/>
    <w:basedOn w:val="DefaultParagraphFont"/>
    <w:rsid w:val="0075462B"/>
  </w:style>
  <w:style w:type="paragraph" w:styleId="BodyText">
    <w:name w:val="Body Text"/>
    <w:basedOn w:val="Normal"/>
    <w:link w:val="BodyTextChar"/>
    <w:rsid w:val="0075462B"/>
    <w:rPr>
      <w:rFonts w:eastAsia="MS Mincho"/>
      <w:sz w:val="22"/>
    </w:rPr>
  </w:style>
  <w:style w:type="character" w:customStyle="1" w:styleId="BodyTextChar">
    <w:name w:val="Body Text Char"/>
    <w:basedOn w:val="DefaultParagraphFont"/>
    <w:link w:val="BodyText"/>
    <w:rsid w:val="0075462B"/>
    <w:rPr>
      <w:rFonts w:ascii="Arial" w:eastAsia="MS Mincho" w:hAnsi="Arial" w:cs="Times New Roman"/>
      <w:szCs w:val="20"/>
      <w:lang w:eastAsia="en-AU"/>
    </w:rPr>
  </w:style>
  <w:style w:type="character" w:customStyle="1" w:styleId="Heading1Char">
    <w:name w:val="Heading 1 Char"/>
    <w:basedOn w:val="DefaultParagraphFont"/>
    <w:link w:val="Heading1"/>
    <w:rsid w:val="00D326F1"/>
    <w:rPr>
      <w:rFonts w:ascii="Arial Bold" w:eastAsiaTheme="majorEastAsia" w:hAnsi="Arial Bold" w:cstheme="majorBidi"/>
      <w:b/>
      <w:bCs/>
      <w:color w:val="7C1222"/>
      <w:sz w:val="28"/>
      <w:szCs w:val="28"/>
    </w:rPr>
  </w:style>
  <w:style w:type="paragraph" w:styleId="BlockText">
    <w:name w:val="Block Text"/>
    <w:basedOn w:val="Normal"/>
    <w:rsid w:val="0075462B"/>
    <w:pPr>
      <w:ind w:left="1440" w:right="1440"/>
    </w:pPr>
  </w:style>
  <w:style w:type="character" w:styleId="CommentReference">
    <w:name w:val="annotation reference"/>
    <w:basedOn w:val="DefaultParagraphFont"/>
    <w:uiPriority w:val="99"/>
    <w:semiHidden/>
    <w:rsid w:val="0075462B"/>
    <w:rPr>
      <w:sz w:val="16"/>
      <w:szCs w:val="16"/>
    </w:rPr>
  </w:style>
  <w:style w:type="paragraph" w:styleId="CommentText">
    <w:name w:val="annotation text"/>
    <w:basedOn w:val="Normal"/>
    <w:link w:val="CommentTextChar"/>
    <w:uiPriority w:val="99"/>
    <w:semiHidden/>
    <w:rsid w:val="0075462B"/>
  </w:style>
  <w:style w:type="character" w:customStyle="1" w:styleId="CommentTextChar">
    <w:name w:val="Comment Text Char"/>
    <w:basedOn w:val="DefaultParagraphFont"/>
    <w:link w:val="CommentText"/>
    <w:uiPriority w:val="99"/>
    <w:semiHidden/>
    <w:rsid w:val="0075462B"/>
    <w:rPr>
      <w:rFonts w:ascii="Arial" w:eastAsia="Times New Roman" w:hAnsi="Arial" w:cs="Times New Roman"/>
      <w:sz w:val="20"/>
      <w:szCs w:val="20"/>
      <w:lang w:eastAsia="en-AU"/>
    </w:rPr>
  </w:style>
  <w:style w:type="paragraph" w:styleId="FootnoteText">
    <w:name w:val="footnote text"/>
    <w:basedOn w:val="Normal"/>
    <w:link w:val="FootnoteTextChar"/>
    <w:semiHidden/>
    <w:rsid w:val="0075462B"/>
  </w:style>
  <w:style w:type="character" w:customStyle="1" w:styleId="FootnoteTextChar">
    <w:name w:val="Footnote Text Char"/>
    <w:basedOn w:val="DefaultParagraphFont"/>
    <w:link w:val="FootnoteText"/>
    <w:semiHidden/>
    <w:rsid w:val="0075462B"/>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7546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62B"/>
    <w:rPr>
      <w:rFonts w:ascii="Tahoma" w:eastAsia="Times New Roman" w:hAnsi="Tahoma" w:cs="Tahoma"/>
      <w:sz w:val="16"/>
      <w:szCs w:val="16"/>
      <w:lang w:eastAsia="en-AU"/>
    </w:rPr>
  </w:style>
  <w:style w:type="paragraph" w:styleId="ListParagraph">
    <w:name w:val="List Paragraph"/>
    <w:basedOn w:val="Normal"/>
    <w:uiPriority w:val="34"/>
    <w:qFormat/>
    <w:rsid w:val="00FF0B64"/>
    <w:pPr>
      <w:numPr>
        <w:numId w:val="1"/>
      </w:numPr>
      <w:ind w:left="1502" w:hanging="425"/>
    </w:pPr>
  </w:style>
  <w:style w:type="paragraph" w:styleId="CommentSubject">
    <w:name w:val="annotation subject"/>
    <w:basedOn w:val="CommentText"/>
    <w:next w:val="CommentText"/>
    <w:link w:val="CommentSubjectChar"/>
    <w:uiPriority w:val="99"/>
    <w:semiHidden/>
    <w:unhideWhenUsed/>
    <w:rsid w:val="004727E9"/>
    <w:rPr>
      <w:b/>
      <w:bCs/>
    </w:rPr>
  </w:style>
  <w:style w:type="character" w:customStyle="1" w:styleId="CommentSubjectChar">
    <w:name w:val="Comment Subject Char"/>
    <w:basedOn w:val="CommentTextChar"/>
    <w:link w:val="CommentSubject"/>
    <w:uiPriority w:val="99"/>
    <w:semiHidden/>
    <w:rsid w:val="004727E9"/>
    <w:rPr>
      <w:rFonts w:ascii="Arial" w:eastAsia="Times New Roman" w:hAnsi="Arial" w:cs="Times New Roman"/>
      <w:b/>
      <w:bCs/>
      <w:sz w:val="20"/>
      <w:szCs w:val="20"/>
      <w:lang w:eastAsia="en-AU"/>
    </w:rPr>
  </w:style>
  <w:style w:type="paragraph" w:styleId="Revision">
    <w:name w:val="Revision"/>
    <w:hidden/>
    <w:uiPriority w:val="99"/>
    <w:semiHidden/>
    <w:rsid w:val="004727E9"/>
    <w:pPr>
      <w:spacing w:after="0" w:line="240" w:lineRule="auto"/>
    </w:pPr>
    <w:rPr>
      <w:rFonts w:ascii="Arial" w:eastAsia="Times New Roman" w:hAnsi="Arial" w:cs="Times New Roman"/>
      <w:sz w:val="20"/>
      <w:szCs w:val="20"/>
      <w:lang w:eastAsia="en-AU"/>
    </w:rPr>
  </w:style>
  <w:style w:type="table" w:styleId="TableGrid">
    <w:name w:val="Table Grid"/>
    <w:basedOn w:val="TableNormal"/>
    <w:rsid w:val="008C44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637E"/>
    <w:rPr>
      <w:color w:val="808080"/>
    </w:rPr>
  </w:style>
  <w:style w:type="character" w:styleId="Hyperlink">
    <w:name w:val="Hyperlink"/>
    <w:basedOn w:val="DefaultParagraphFont"/>
    <w:uiPriority w:val="99"/>
    <w:unhideWhenUsed/>
    <w:rsid w:val="00C846D4"/>
    <w:rPr>
      <w:color w:val="0000FF" w:themeColor="hyperlink"/>
      <w:u w:val="single"/>
    </w:rPr>
  </w:style>
  <w:style w:type="paragraph" w:styleId="TOC2">
    <w:name w:val="toc 2"/>
    <w:basedOn w:val="Normal"/>
    <w:next w:val="Normal"/>
    <w:autoRedefine/>
    <w:uiPriority w:val="39"/>
    <w:unhideWhenUsed/>
    <w:rsid w:val="0045598A"/>
    <w:pPr>
      <w:tabs>
        <w:tab w:val="left" w:pos="879"/>
        <w:tab w:val="right" w:leader="dot" w:pos="9735"/>
      </w:tabs>
      <w:spacing w:after="100"/>
      <w:ind w:left="1077" w:hanging="879"/>
    </w:pPr>
    <w:rPr>
      <w:color w:val="595959" w:themeColor="text1" w:themeTint="A6"/>
    </w:rPr>
  </w:style>
  <w:style w:type="paragraph" w:customStyle="1" w:styleId="TableText">
    <w:name w:val="Table Text"/>
    <w:basedOn w:val="Normal"/>
    <w:qFormat/>
    <w:rsid w:val="00265CF4"/>
    <w:pPr>
      <w:spacing w:before="40" w:after="40" w:line="240" w:lineRule="auto"/>
    </w:pPr>
  </w:style>
  <w:style w:type="character" w:customStyle="1" w:styleId="EquationCharacter">
    <w:name w:val="Equation Character"/>
    <w:basedOn w:val="DefaultParagraphFont"/>
    <w:uiPriority w:val="1"/>
    <w:qFormat/>
    <w:rsid w:val="009B03E8"/>
    <w:rPr>
      <w:rFonts w:ascii="Times New Roman" w:hAnsi="Times New Roman" w:cs="Times New Roman"/>
      <w:i/>
    </w:rPr>
  </w:style>
  <w:style w:type="paragraph" w:styleId="Subtitle">
    <w:name w:val="Subtitle"/>
    <w:basedOn w:val="Normal"/>
    <w:next w:val="Normal"/>
    <w:link w:val="SubtitleChar"/>
    <w:qFormat/>
    <w:rsid w:val="00A352B2"/>
    <w:pPr>
      <w:numPr>
        <w:ilvl w:val="1"/>
      </w:numPr>
    </w:pPr>
    <w:rPr>
      <w:rFonts w:eastAsiaTheme="majorEastAsia" w:cstheme="majorBidi"/>
      <w:iCs/>
      <w:color w:val="FFFFFF" w:themeColor="background1"/>
      <w:sz w:val="24"/>
      <w:szCs w:val="24"/>
    </w:rPr>
  </w:style>
  <w:style w:type="character" w:customStyle="1" w:styleId="SubtitleChar">
    <w:name w:val="Subtitle Char"/>
    <w:basedOn w:val="DefaultParagraphFont"/>
    <w:link w:val="Subtitle"/>
    <w:uiPriority w:val="11"/>
    <w:rsid w:val="00A352B2"/>
    <w:rPr>
      <w:rFonts w:ascii="Arial" w:eastAsiaTheme="majorEastAsia" w:hAnsi="Arial" w:cstheme="majorBidi"/>
      <w:iCs/>
      <w:color w:val="FFFFFF" w:themeColor="background1"/>
      <w:sz w:val="24"/>
      <w:szCs w:val="24"/>
    </w:rPr>
  </w:style>
  <w:style w:type="paragraph" w:customStyle="1" w:styleId="SubHeading">
    <w:name w:val="SubHeading"/>
    <w:basedOn w:val="Normal"/>
    <w:next w:val="Normal"/>
    <w:qFormat/>
    <w:rsid w:val="002C30C8"/>
    <w:pPr>
      <w:tabs>
        <w:tab w:val="right" w:leader="dot" w:pos="9000"/>
      </w:tabs>
      <w:spacing w:before="240"/>
    </w:pPr>
    <w:rPr>
      <w:rFonts w:cs="Arial"/>
      <w:b/>
      <w:sz w:val="22"/>
    </w:rPr>
  </w:style>
  <w:style w:type="paragraph" w:styleId="TOC3">
    <w:name w:val="toc 3"/>
    <w:basedOn w:val="Normal"/>
    <w:next w:val="Normal"/>
    <w:autoRedefine/>
    <w:uiPriority w:val="39"/>
    <w:unhideWhenUsed/>
    <w:rsid w:val="00CC3D3D"/>
    <w:pPr>
      <w:spacing w:before="60" w:after="60"/>
      <w:ind w:left="403"/>
    </w:pPr>
  </w:style>
  <w:style w:type="paragraph" w:styleId="TOC4">
    <w:name w:val="toc 4"/>
    <w:basedOn w:val="Normal"/>
    <w:next w:val="Normal"/>
    <w:autoRedefine/>
    <w:uiPriority w:val="39"/>
    <w:unhideWhenUsed/>
    <w:rsid w:val="00876B60"/>
    <w:pPr>
      <w:spacing w:after="100"/>
    </w:pPr>
    <w:rPr>
      <w:b/>
    </w:rPr>
  </w:style>
  <w:style w:type="character" w:customStyle="1" w:styleId="Heading2Char">
    <w:name w:val="Heading 2 Char"/>
    <w:basedOn w:val="DefaultParagraphFont"/>
    <w:link w:val="Heading2"/>
    <w:rsid w:val="00863C4E"/>
    <w:rPr>
      <w:rFonts w:ascii="Arial" w:eastAsiaTheme="majorEastAsia" w:hAnsi="Arial" w:cstheme="majorBidi"/>
      <w:b/>
      <w:bCs/>
      <w:color w:val="A6192E"/>
      <w:sz w:val="26"/>
      <w:szCs w:val="26"/>
    </w:rPr>
  </w:style>
  <w:style w:type="paragraph" w:customStyle="1" w:styleId="Subtitlefrontcover">
    <w:name w:val="Subtitle front cover"/>
    <w:basedOn w:val="Normal"/>
    <w:rsid w:val="00FF0B64"/>
    <w:rPr>
      <w:rFonts w:cs="Arial"/>
      <w:color w:val="FFFFFF" w:themeColor="background1"/>
      <w:sz w:val="24"/>
      <w:szCs w:val="24"/>
    </w:rPr>
  </w:style>
  <w:style w:type="paragraph" w:styleId="ListBullet">
    <w:name w:val="List Bullet"/>
    <w:basedOn w:val="ListParagraph"/>
    <w:uiPriority w:val="99"/>
    <w:unhideWhenUsed/>
    <w:rsid w:val="00E639A8"/>
    <w:pPr>
      <w:numPr>
        <w:numId w:val="2"/>
      </w:numPr>
      <w:ind w:left="425" w:hanging="425"/>
    </w:pPr>
  </w:style>
  <w:style w:type="paragraph" w:styleId="List">
    <w:name w:val="List"/>
    <w:basedOn w:val="ListParagraph"/>
    <w:uiPriority w:val="99"/>
    <w:unhideWhenUsed/>
    <w:rsid w:val="00CC2299"/>
    <w:pPr>
      <w:numPr>
        <w:numId w:val="4"/>
      </w:numPr>
    </w:pPr>
  </w:style>
  <w:style w:type="paragraph" w:styleId="List2">
    <w:name w:val="List 2"/>
    <w:basedOn w:val="ListParagraph"/>
    <w:uiPriority w:val="99"/>
    <w:unhideWhenUsed/>
    <w:rsid w:val="00F32D28"/>
    <w:pPr>
      <w:numPr>
        <w:ilvl w:val="1"/>
        <w:numId w:val="4"/>
      </w:numPr>
      <w:ind w:left="850" w:hanging="425"/>
      <w:contextualSpacing/>
    </w:pPr>
  </w:style>
  <w:style w:type="numbering" w:customStyle="1" w:styleId="Style1">
    <w:name w:val="Style1"/>
    <w:uiPriority w:val="99"/>
    <w:rsid w:val="007A115D"/>
    <w:pPr>
      <w:numPr>
        <w:numId w:val="5"/>
      </w:numPr>
    </w:pPr>
  </w:style>
  <w:style w:type="paragraph" w:customStyle="1" w:styleId="AppendixHeading1">
    <w:name w:val="Appendix Heading 1"/>
    <w:basedOn w:val="Heading1"/>
    <w:next w:val="NormalWeb"/>
    <w:qFormat/>
    <w:rsid w:val="00A8624B"/>
    <w:pPr>
      <w:numPr>
        <w:numId w:val="7"/>
      </w:numPr>
    </w:pPr>
  </w:style>
  <w:style w:type="numbering" w:customStyle="1" w:styleId="Style2">
    <w:name w:val="Style2"/>
    <w:uiPriority w:val="99"/>
    <w:rsid w:val="00A8624B"/>
    <w:pPr>
      <w:numPr>
        <w:numId w:val="6"/>
      </w:numPr>
    </w:pPr>
  </w:style>
  <w:style w:type="paragraph" w:styleId="NormalWeb">
    <w:name w:val="Normal (Web)"/>
    <w:basedOn w:val="Normal"/>
    <w:uiPriority w:val="99"/>
    <w:semiHidden/>
    <w:unhideWhenUsed/>
    <w:rsid w:val="00A8624B"/>
    <w:rPr>
      <w:rFonts w:ascii="Times New Roman" w:hAnsi="Times New Roman" w:cs="Times New Roman"/>
      <w:sz w:val="24"/>
      <w:szCs w:val="24"/>
    </w:rPr>
  </w:style>
  <w:style w:type="paragraph" w:customStyle="1" w:styleId="AppendixHeading2">
    <w:name w:val="Appendix Heading 2"/>
    <w:basedOn w:val="Heading2"/>
    <w:next w:val="Normal"/>
    <w:qFormat/>
    <w:rsid w:val="003439FC"/>
    <w:pPr>
      <w:numPr>
        <w:numId w:val="7"/>
      </w:numPr>
    </w:pPr>
  </w:style>
  <w:style w:type="numbering" w:customStyle="1" w:styleId="Style3">
    <w:name w:val="Style3"/>
    <w:uiPriority w:val="99"/>
    <w:rsid w:val="003439FC"/>
    <w:pPr>
      <w:numPr>
        <w:numId w:val="8"/>
      </w:numPr>
    </w:pPr>
  </w:style>
  <w:style w:type="paragraph" w:customStyle="1" w:styleId="UnnumberedHeading">
    <w:name w:val="Unnumbered Heading"/>
    <w:basedOn w:val="Normal"/>
    <w:next w:val="Normal"/>
    <w:qFormat/>
    <w:rsid w:val="00CA60BB"/>
    <w:pPr>
      <w:spacing w:before="240"/>
      <w:jc w:val="center"/>
    </w:pPr>
    <w:rPr>
      <w:rFonts w:ascii="Arial Bold" w:hAnsi="Arial Bold"/>
      <w:b/>
      <w:caps/>
      <w:sz w:val="24"/>
    </w:rPr>
  </w:style>
  <w:style w:type="paragraph" w:styleId="TOCHeading">
    <w:name w:val="TOC Heading"/>
    <w:basedOn w:val="Heading1"/>
    <w:next w:val="Normal"/>
    <w:uiPriority w:val="39"/>
    <w:unhideWhenUsed/>
    <w:qFormat/>
    <w:rsid w:val="00CA60BB"/>
    <w:pPr>
      <w:numPr>
        <w:numId w:val="0"/>
      </w:numPr>
      <w:outlineLvl w:val="9"/>
    </w:pPr>
    <w:rPr>
      <w:rFonts w:asciiTheme="majorHAnsi" w:hAnsiTheme="majorHAnsi"/>
      <w:caps/>
      <w:color w:val="365F91" w:themeColor="accent1" w:themeShade="BF"/>
    </w:rPr>
  </w:style>
  <w:style w:type="paragraph" w:customStyle="1" w:styleId="TestReportTitle">
    <w:name w:val="Test Report Title"/>
    <w:basedOn w:val="Normal"/>
    <w:next w:val="Normal"/>
    <w:qFormat/>
    <w:rsid w:val="00F67CDC"/>
    <w:pPr>
      <w:spacing w:after="240"/>
      <w:jc w:val="center"/>
    </w:pPr>
    <w:rPr>
      <w:b/>
      <w:sz w:val="24"/>
    </w:rPr>
  </w:style>
  <w:style w:type="paragraph" w:styleId="List3">
    <w:name w:val="List 3"/>
    <w:basedOn w:val="Normal"/>
    <w:uiPriority w:val="99"/>
    <w:unhideWhenUsed/>
    <w:rsid w:val="000B538E"/>
    <w:pPr>
      <w:numPr>
        <w:ilvl w:val="2"/>
        <w:numId w:val="4"/>
      </w:numPr>
      <w:contextualSpacing/>
    </w:pPr>
  </w:style>
  <w:style w:type="paragraph" w:styleId="List4">
    <w:name w:val="List 4"/>
    <w:basedOn w:val="Normal"/>
    <w:uiPriority w:val="99"/>
    <w:unhideWhenUsed/>
    <w:rsid w:val="000B538E"/>
    <w:pPr>
      <w:numPr>
        <w:ilvl w:val="3"/>
        <w:numId w:val="4"/>
      </w:numPr>
      <w:contextualSpacing/>
    </w:pPr>
  </w:style>
  <w:style w:type="paragraph" w:styleId="ListBullet2">
    <w:name w:val="List Bullet 2"/>
    <w:basedOn w:val="Normal"/>
    <w:uiPriority w:val="99"/>
    <w:unhideWhenUsed/>
    <w:rsid w:val="00051773"/>
    <w:pPr>
      <w:numPr>
        <w:numId w:val="9"/>
      </w:numPr>
      <w:ind w:left="850" w:hanging="425"/>
    </w:pPr>
  </w:style>
  <w:style w:type="paragraph" w:customStyle="1" w:styleId="AppendixHeading3">
    <w:name w:val="Appendix Heading 3"/>
    <w:basedOn w:val="Heading3"/>
    <w:next w:val="Normal"/>
    <w:qFormat/>
    <w:rsid w:val="00E4739C"/>
    <w:pPr>
      <w:numPr>
        <w:numId w:val="7"/>
      </w:numPr>
    </w:pPr>
  </w:style>
  <w:style w:type="paragraph" w:customStyle="1" w:styleId="AppendixHeading4">
    <w:name w:val="Appendix Heading 4"/>
    <w:basedOn w:val="Heading4"/>
    <w:next w:val="Normal"/>
    <w:qFormat/>
    <w:rsid w:val="00E4739C"/>
    <w:pPr>
      <w:numPr>
        <w:numId w:val="7"/>
      </w:numPr>
    </w:pPr>
  </w:style>
  <w:style w:type="paragraph" w:customStyle="1" w:styleId="UnnumberedHeading-Contents">
    <w:name w:val="Unnumbered Heading - Contents"/>
    <w:basedOn w:val="UnnumberedHeading"/>
    <w:next w:val="Normal"/>
    <w:qFormat/>
    <w:rsid w:val="00CB12E5"/>
  </w:style>
  <w:style w:type="paragraph" w:styleId="BodyText3">
    <w:name w:val="Body Text 3"/>
    <w:basedOn w:val="Normal"/>
    <w:link w:val="BodyText3Char"/>
    <w:uiPriority w:val="99"/>
    <w:semiHidden/>
    <w:unhideWhenUsed/>
    <w:rsid w:val="004F42FA"/>
    <w:rPr>
      <w:sz w:val="16"/>
      <w:szCs w:val="16"/>
    </w:rPr>
  </w:style>
  <w:style w:type="character" w:customStyle="1" w:styleId="BodyText3Char">
    <w:name w:val="Body Text 3 Char"/>
    <w:basedOn w:val="DefaultParagraphFont"/>
    <w:link w:val="BodyText3"/>
    <w:uiPriority w:val="99"/>
    <w:semiHidden/>
    <w:rsid w:val="004F42FA"/>
    <w:rPr>
      <w:rFonts w:ascii="Arial" w:hAnsi="Arial"/>
      <w:sz w:val="16"/>
      <w:szCs w:val="16"/>
    </w:rPr>
  </w:style>
  <w:style w:type="paragraph" w:customStyle="1" w:styleId="head2">
    <w:name w:val="head2"/>
    <w:basedOn w:val="Heading2"/>
    <w:rsid w:val="007E7032"/>
    <w:pPr>
      <w:keepNext w:val="0"/>
      <w:keepLines w:val="0"/>
      <w:numPr>
        <w:ilvl w:val="0"/>
        <w:numId w:val="0"/>
      </w:numPr>
      <w:spacing w:before="120"/>
    </w:pPr>
    <w:rPr>
      <w:rFonts w:eastAsia="Times New Roman" w:cs="Times New Roman"/>
      <w:bCs w:val="0"/>
      <w:noProof/>
      <w:sz w:val="22"/>
      <w:szCs w:val="24"/>
    </w:rPr>
  </w:style>
  <w:style w:type="character" w:styleId="FollowedHyperlink">
    <w:name w:val="FollowedHyperlink"/>
    <w:basedOn w:val="DefaultParagraphFont"/>
    <w:uiPriority w:val="99"/>
    <w:semiHidden/>
    <w:unhideWhenUsed/>
    <w:rsid w:val="006B0FF9"/>
    <w:rPr>
      <w:color w:val="800080" w:themeColor="followedHyperlink"/>
      <w:u w:val="single"/>
    </w:rPr>
  </w:style>
  <w:style w:type="paragraph" w:styleId="ListNumber">
    <w:name w:val="List Number"/>
    <w:basedOn w:val="Normal"/>
    <w:uiPriority w:val="99"/>
    <w:unhideWhenUsed/>
    <w:rsid w:val="00226636"/>
    <w:pPr>
      <w:numPr>
        <w:numId w:val="10"/>
      </w:numPr>
      <w:contextualSpacing/>
    </w:pPr>
  </w:style>
  <w:style w:type="paragraph" w:styleId="BodyTextIndent">
    <w:name w:val="Body Text Indent"/>
    <w:basedOn w:val="Normal"/>
    <w:link w:val="BodyTextIndentChar"/>
    <w:uiPriority w:val="99"/>
    <w:unhideWhenUsed/>
    <w:rsid w:val="00821962"/>
    <w:pPr>
      <w:ind w:left="283"/>
    </w:pPr>
    <w:rPr>
      <w:rFonts w:eastAsia="Times New Roman" w:cs="Times New Roman"/>
    </w:rPr>
  </w:style>
  <w:style w:type="character" w:customStyle="1" w:styleId="BodyTextIndentChar">
    <w:name w:val="Body Text Indent Char"/>
    <w:basedOn w:val="DefaultParagraphFont"/>
    <w:link w:val="BodyTextIndent"/>
    <w:uiPriority w:val="99"/>
    <w:rsid w:val="00821962"/>
    <w:rPr>
      <w:rFonts w:ascii="Arial" w:eastAsia="Times New Roman" w:hAnsi="Arial" w:cs="Times New Roman"/>
      <w:sz w:val="20"/>
    </w:rPr>
  </w:style>
  <w:style w:type="paragraph" w:customStyle="1" w:styleId="Heading1-NoNumber">
    <w:name w:val="Heading 1 - No Number"/>
    <w:basedOn w:val="Heading1"/>
    <w:next w:val="Normal"/>
    <w:qFormat/>
    <w:rsid w:val="00160779"/>
    <w:pPr>
      <w:numPr>
        <w:numId w:val="0"/>
      </w:numPr>
      <w:spacing w:after="120"/>
    </w:pPr>
  </w:style>
  <w:style w:type="character" w:customStyle="1" w:styleId="Tabletitle">
    <w:name w:val="Table title"/>
    <w:basedOn w:val="DefaultParagraphFont"/>
    <w:uiPriority w:val="1"/>
    <w:qFormat/>
    <w:rsid w:val="00054DCB"/>
    <w:rPr>
      <w:b/>
      <w:color w:val="4F81BD" w:themeColor="accent1"/>
    </w:rPr>
  </w:style>
  <w:style w:type="paragraph" w:customStyle="1" w:styleId="BodyText1">
    <w:name w:val="Body Text1"/>
    <w:basedOn w:val="Normal"/>
    <w:link w:val="bodytextChar0"/>
    <w:uiPriority w:val="99"/>
    <w:rsid w:val="00493CDA"/>
    <w:pPr>
      <w:spacing w:line="240" w:lineRule="auto"/>
    </w:pPr>
    <w:rPr>
      <w:rFonts w:ascii="Times New Roman" w:eastAsia="Times New Roman" w:hAnsi="Times New Roman" w:cs="Times New Roman"/>
      <w:sz w:val="24"/>
      <w:szCs w:val="20"/>
    </w:rPr>
  </w:style>
  <w:style w:type="character" w:customStyle="1" w:styleId="bodytextChar0">
    <w:name w:val="body text Char"/>
    <w:basedOn w:val="DefaultParagraphFont"/>
    <w:link w:val="BodyText1"/>
    <w:uiPriority w:val="99"/>
    <w:locked/>
    <w:rsid w:val="00493CDA"/>
    <w:rPr>
      <w:rFonts w:ascii="Times New Roman" w:eastAsia="Times New Roman" w:hAnsi="Times New Roman" w:cs="Times New Roman"/>
      <w:sz w:val="24"/>
      <w:szCs w:val="20"/>
    </w:rPr>
  </w:style>
  <w:style w:type="paragraph" w:customStyle="1" w:styleId="Note">
    <w:name w:val="Note"/>
    <w:basedOn w:val="Normal"/>
    <w:qFormat/>
    <w:rsid w:val="008143FF"/>
    <w:pPr>
      <w:ind w:left="720" w:hanging="720"/>
      <w:contextualSpacing/>
    </w:pPr>
    <w:rPr>
      <w:sz w:val="18"/>
      <w:lang w:eastAsia="en-AU"/>
    </w:rPr>
  </w:style>
  <w:style w:type="table" w:customStyle="1" w:styleId="NITPTable">
    <w:name w:val="NITP Table"/>
    <w:basedOn w:val="TableNormal"/>
    <w:uiPriority w:val="99"/>
    <w:rsid w:val="00C160E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ITP">
    <w:name w:val="NITP"/>
    <w:basedOn w:val="TableNormal"/>
    <w:uiPriority w:val="99"/>
    <w:rsid w:val="00832200"/>
    <w:pPr>
      <w:spacing w:after="0" w:line="240" w:lineRule="auto"/>
      <w:jc w:val="center"/>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cPr>
        <w:shd w:val="clear" w:color="auto" w:fill="A50021"/>
      </w:tcPr>
    </w:tblStylePr>
    <w:tblStylePr w:type="band2Horz">
      <w:tblPr/>
      <w:tcPr>
        <w:shd w:val="clear" w:color="auto" w:fill="F5EFE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82042">
      <w:bodyDiv w:val="1"/>
      <w:marLeft w:val="0"/>
      <w:marRight w:val="0"/>
      <w:marTop w:val="0"/>
      <w:marBottom w:val="0"/>
      <w:divBdr>
        <w:top w:val="none" w:sz="0" w:space="0" w:color="auto"/>
        <w:left w:val="none" w:sz="0" w:space="0" w:color="auto"/>
        <w:bottom w:val="none" w:sz="0" w:space="0" w:color="auto"/>
        <w:right w:val="none" w:sz="0" w:space="0" w:color="auto"/>
      </w:divBdr>
    </w:div>
    <w:div w:id="404298153">
      <w:bodyDiv w:val="1"/>
      <w:marLeft w:val="0"/>
      <w:marRight w:val="0"/>
      <w:marTop w:val="0"/>
      <w:marBottom w:val="0"/>
      <w:divBdr>
        <w:top w:val="none" w:sz="0" w:space="0" w:color="auto"/>
        <w:left w:val="none" w:sz="0" w:space="0" w:color="auto"/>
        <w:bottom w:val="none" w:sz="0" w:space="0" w:color="auto"/>
        <w:right w:val="none" w:sz="0" w:space="0" w:color="auto"/>
      </w:divBdr>
    </w:div>
    <w:div w:id="16638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F62D-E032-4E39-8071-14EBB175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4518</Words>
  <Characters>25757</Characters>
  <Application>Microsoft Office Word</Application>
  <DocSecurity>0</DocSecurity>
  <Lines>214</Lines>
  <Paragraphs>60</Paragraphs>
  <ScaleCrop>false</ScaleCrop>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2024-08-19T05:10:00Z</dcterms:created>
  <dcterms:modified xsi:type="dcterms:W3CDTF">2024-08-19T05:10:00Z</dcterms:modified>
</cp:coreProperties>
</file>