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1EF52" w14:textId="56F182E8" w:rsidR="0066416C" w:rsidRPr="00960D98" w:rsidRDefault="00CB0637" w:rsidP="0066416C">
      <w:pPr>
        <w:pStyle w:val="Footer"/>
        <w:jc w:val="center"/>
        <w:rPr>
          <w:b/>
          <w:color w:val="CC0000"/>
          <w:sz w:val="24"/>
          <w:szCs w:val="24"/>
        </w:rPr>
      </w:pPr>
      <w:bookmarkStart w:id="0" w:name="_Toc19289801"/>
      <w:r>
        <w:rPr>
          <w:b/>
          <w:color w:val="CC0000"/>
          <w:sz w:val="24"/>
          <w:szCs w:val="24"/>
        </w:rPr>
        <w:t>OFFICIAL</w:t>
      </w:r>
    </w:p>
    <w:p w14:paraId="5EC6ECBC" w14:textId="77777777" w:rsidR="0066416C" w:rsidRDefault="0066416C" w:rsidP="0066416C">
      <w:pPr>
        <w:spacing w:after="600"/>
      </w:pPr>
      <w:r w:rsidRPr="00180BF8">
        <w:rPr>
          <w:noProof/>
          <w:lang w:eastAsia="en-AU"/>
        </w:rPr>
        <w:drawing>
          <wp:inline distT="0" distB="0" distL="0" distR="0" wp14:anchorId="46323A03" wp14:editId="0FE8630E">
            <wp:extent cx="2228400" cy="651600"/>
            <wp:effectExtent l="0" t="0" r="635" b="0"/>
            <wp:docPr id="3" name="Picture 3"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28400" cy="651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2F60C0">
        <w:t xml:space="preserve"> </w:t>
      </w:r>
    </w:p>
    <w:p w14:paraId="1074E13C" w14:textId="77777777" w:rsidR="0066416C" w:rsidRDefault="0080301B" w:rsidP="0066416C">
      <w:pPr>
        <w:pStyle w:val="Footer"/>
        <w:spacing w:before="480" w:after="480"/>
        <w:rPr>
          <w:bCs/>
          <w:iCs/>
          <w:color w:val="0766A5" w:themeColor="accent1"/>
          <w:sz w:val="26"/>
          <w:szCs w:val="26"/>
        </w:rPr>
      </w:pPr>
      <w:sdt>
        <w:sdtPr>
          <w:rPr>
            <w:bCs/>
            <w:iCs/>
            <w:color w:val="0766A5" w:themeColor="accent1"/>
            <w:sz w:val="26"/>
            <w:szCs w:val="26"/>
          </w:rPr>
          <w:id w:val="-335069085"/>
          <w:picture/>
        </w:sdtPr>
        <w:sdtEndPr/>
        <w:sdtContent>
          <w:r w:rsidR="0066416C">
            <w:rPr>
              <w:bCs/>
              <w:iCs/>
              <w:noProof/>
              <w:color w:val="0766A5" w:themeColor="accent1"/>
              <w:sz w:val="26"/>
              <w:szCs w:val="26"/>
            </w:rPr>
            <w:drawing>
              <wp:inline distT="0" distB="0" distL="0" distR="0" wp14:anchorId="612CBB05" wp14:editId="7915B7C2">
                <wp:extent cx="5686425" cy="3790949"/>
                <wp:effectExtent l="0" t="0" r="0" b="635"/>
                <wp:docPr id="2" name="Picture 1" descr="The Northern Endeavour floating production storage and offtake facility moored between the Laminaria and Corallina oi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Northern Endeavour floating production storage and offtake facility moored between the Laminaria and Corallina oil field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86425" cy="3790949"/>
                        </a:xfrm>
                        <a:prstGeom prst="rect">
                          <a:avLst/>
                        </a:prstGeom>
                        <a:noFill/>
                        <a:ln>
                          <a:noFill/>
                        </a:ln>
                      </pic:spPr>
                    </pic:pic>
                  </a:graphicData>
                </a:graphic>
              </wp:inline>
            </w:drawing>
          </w:r>
        </w:sdtContent>
      </w:sdt>
    </w:p>
    <w:bookmarkStart w:id="1" w:name="_Toc179897226" w:displacedByCustomXml="next"/>
    <w:bookmarkEnd w:id="1" w:displacedByCustomXml="next"/>
    <w:bookmarkStart w:id="2" w:name="_Toc179896118" w:displacedByCustomXml="next"/>
    <w:bookmarkEnd w:id="2" w:displacedByCustomXml="next"/>
    <w:bookmarkStart w:id="3" w:name="_Toc155191311" w:displacedByCustomXml="next"/>
    <w:bookmarkEnd w:id="3" w:displacedByCustomXml="next"/>
    <w:bookmarkStart w:id="4" w:name="_Toc144911604" w:displacedByCustomXml="next"/>
    <w:bookmarkEnd w:id="4" w:displacedByCustomXml="next"/>
    <w:bookmarkStart w:id="5" w:name="_Toc179288151" w:displacedByCustomXml="next"/>
    <w:bookmarkEnd w:id="5" w:displacedByCustomXml="next"/>
    <w:bookmarkStart w:id="6" w:name="_Toc179288230" w:displacedByCustomXml="next"/>
    <w:bookmarkEnd w:id="6" w:displacedByCustomXml="next"/>
    <w:bookmarkStart w:id="7" w:name="_Toc179288285" w:displacedByCustomXml="next"/>
    <w:bookmarkEnd w:id="7" w:displacedByCustomXml="next"/>
    <w:bookmarkStart w:id="8" w:name="_Toc179288859" w:displacedByCustomXml="next"/>
    <w:bookmarkEnd w:id="8" w:displacedByCustomXml="next"/>
    <w:bookmarkEnd w:id="0" w:displacedByCustomXml="next"/>
    <w:bookmarkStart w:id="9" w:name="_Toc180069054" w:displacedByCustomXml="next"/>
    <w:bookmarkStart w:id="10" w:name="_Toc180502317" w:displacedByCustomXml="next"/>
    <w:bookmarkStart w:id="11" w:name="_Toc180504203" w:displacedByCustomXml="next"/>
    <w:sdt>
      <w:sdtPr>
        <w:rPr>
          <w:rFonts w:asciiTheme="minorHAnsi" w:eastAsiaTheme="minorEastAsia" w:hAnsiTheme="minorHAnsi" w:cstheme="minorBidi"/>
          <w:color w:val="auto"/>
          <w:spacing w:val="0"/>
          <w:kern w:val="0"/>
          <w:sz w:val="22"/>
          <w:szCs w:val="22"/>
        </w:rPr>
        <w:id w:val="-2088995269"/>
        <w:docPartObj>
          <w:docPartGallery w:val="Cover Pages"/>
          <w:docPartUnique/>
        </w:docPartObj>
      </w:sdtPr>
      <w:sdtEndPr>
        <w:rPr>
          <w:sz w:val="20"/>
          <w:szCs w:val="20"/>
          <w:highlight w:val="yellow"/>
        </w:rPr>
      </w:sdtEndPr>
      <w:sdtContent>
        <w:bookmarkEnd w:id="10" w:displacedByCustomXml="prev"/>
        <w:bookmarkEnd w:id="9" w:displacedByCustomXml="prev"/>
        <w:p w14:paraId="6EF174B7" w14:textId="54A2D632" w:rsidR="0066416C" w:rsidRPr="00DA4A4E" w:rsidRDefault="0084699F" w:rsidP="00701582">
          <w:pPr>
            <w:pStyle w:val="Title"/>
          </w:pPr>
          <w:r w:rsidRPr="00701582">
            <w:t>Northern Endeavour Phase 1 Decommissioning (EPBC</w:t>
          </w:r>
          <w:r w:rsidR="0004225E" w:rsidRPr="00701582">
            <w:t> </w:t>
          </w:r>
          <w:r w:rsidRPr="00701582">
            <w:t>2022/09327)</w:t>
          </w:r>
          <w:bookmarkEnd w:id="11"/>
        </w:p>
        <w:p w14:paraId="0FF67AA6" w14:textId="13D74C48" w:rsidR="00F3149E" w:rsidRPr="00DF6D19" w:rsidRDefault="00F3149E" w:rsidP="00701582">
          <w:pPr>
            <w:pStyle w:val="Subtitle"/>
          </w:pPr>
          <w:r w:rsidRPr="00DF6D19">
            <w:t xml:space="preserve">2024 Annual </w:t>
          </w:r>
          <w:r w:rsidRPr="00701582">
            <w:t>Compliance</w:t>
          </w:r>
          <w:r w:rsidRPr="00DF6D19">
            <w:t xml:space="preserve"> Report</w:t>
          </w:r>
        </w:p>
        <w:p w14:paraId="401779FB" w14:textId="1202C970" w:rsidR="0066416C" w:rsidRPr="00EB2522" w:rsidRDefault="00C63B02" w:rsidP="0066416C">
          <w:pPr>
            <w:pStyle w:val="Subtitle"/>
            <w:spacing w:after="480"/>
            <w:rPr>
              <w:bCs/>
              <w:iCs/>
              <w:sz w:val="26"/>
              <w:szCs w:val="26"/>
            </w:rPr>
          </w:pPr>
          <w:r>
            <w:t>1 August 2023 to 31 July 2024</w:t>
          </w:r>
        </w:p>
        <w:p w14:paraId="66600467" w14:textId="77777777" w:rsidR="0066416C" w:rsidRPr="00EB2522" w:rsidRDefault="0066416C" w:rsidP="00C63B02">
          <w:pPr>
            <w:pStyle w:val="Footer"/>
            <w:spacing w:after="240"/>
            <w:rPr>
              <w:bCs/>
              <w:iCs/>
              <w:color w:val="001B35" w:themeColor="background2"/>
              <w:szCs w:val="20"/>
            </w:rPr>
          </w:pPr>
          <w:r w:rsidRPr="00EB2522">
            <w:rPr>
              <w:bCs/>
              <w:iCs/>
              <w:color w:val="001B35" w:themeColor="background2"/>
              <w:szCs w:val="20"/>
            </w:rPr>
            <w:t xml:space="preserve">Our purpose is to help the government build a better future for all Australians through enabling a productive, </w:t>
          </w:r>
          <w:proofErr w:type="gramStart"/>
          <w:r w:rsidRPr="00EB2522">
            <w:rPr>
              <w:bCs/>
              <w:iCs/>
              <w:color w:val="001B35" w:themeColor="background2"/>
              <w:szCs w:val="20"/>
            </w:rPr>
            <w:t>resilient</w:t>
          </w:r>
          <w:proofErr w:type="gramEnd"/>
          <w:r w:rsidRPr="00EB2522">
            <w:rPr>
              <w:bCs/>
              <w:iCs/>
              <w:color w:val="001B35" w:themeColor="background2"/>
              <w:szCs w:val="20"/>
            </w:rPr>
            <w:t xml:space="preserve"> and sustainable economy, enriched by science and technology.</w:t>
          </w:r>
        </w:p>
        <w:p w14:paraId="0C95D995" w14:textId="58A1E2B5" w:rsidR="0066416C" w:rsidRPr="00423B2E" w:rsidRDefault="0066416C" w:rsidP="0066416C">
          <w:pPr>
            <w:pStyle w:val="Footer"/>
            <w:rPr>
              <w:iCs/>
              <w:color w:val="0766A5" w:themeColor="accent1"/>
              <w:sz w:val="22"/>
            </w:rPr>
          </w:pPr>
          <w:r w:rsidRPr="00EB2522">
            <w:rPr>
              <w:bCs/>
              <w:iCs/>
              <w:color w:val="0766A5" w:themeColor="accent1"/>
              <w:sz w:val="22"/>
            </w:rPr>
            <w:t>|</w:t>
          </w:r>
          <w:r w:rsidRPr="002F60C0">
            <w:rPr>
              <w:b/>
              <w:bCs/>
              <w:iCs/>
              <w:color w:val="0766A5" w:themeColor="accent1"/>
              <w:sz w:val="22"/>
            </w:rPr>
            <w:t xml:space="preserve"> </w:t>
          </w:r>
          <w:r w:rsidRPr="00EB2522">
            <w:rPr>
              <w:b/>
              <w:bCs/>
              <w:iCs/>
              <w:color w:val="001B35" w:themeColor="background2"/>
              <w:sz w:val="22"/>
            </w:rPr>
            <w:t>industry.</w:t>
          </w:r>
          <w:r w:rsidRPr="00EB2522">
            <w:rPr>
              <w:iCs/>
              <w:color w:val="001B35" w:themeColor="background2"/>
              <w:sz w:val="22"/>
            </w:rPr>
            <w:t>gov.au</w:t>
          </w:r>
          <w:r w:rsidRPr="00423D13">
            <w:rPr>
              <w:sz w:val="24"/>
              <w:szCs w:val="24"/>
            </w:rPr>
            <w:br w:type="page"/>
          </w:r>
        </w:p>
        <w:p w14:paraId="3B6A0D6B" w14:textId="77777777" w:rsidR="0066416C" w:rsidRDefault="0066416C" w:rsidP="00855232">
          <w:pPr>
            <w:pStyle w:val="Heading2"/>
            <w:numPr>
              <w:ilvl w:val="0"/>
              <w:numId w:val="0"/>
            </w:numPr>
          </w:pPr>
          <w:bookmarkStart w:id="12" w:name="_Toc19023739"/>
          <w:bookmarkStart w:id="13" w:name="_Toc19289802"/>
          <w:bookmarkStart w:id="14" w:name="_Toc144911605"/>
          <w:bookmarkStart w:id="15" w:name="_Toc155191312"/>
          <w:bookmarkStart w:id="16" w:name="_Toc179288152"/>
          <w:bookmarkStart w:id="17" w:name="_Toc179288231"/>
          <w:bookmarkStart w:id="18" w:name="_Toc179288286"/>
          <w:bookmarkStart w:id="19" w:name="_Toc179288860"/>
          <w:bookmarkStart w:id="20" w:name="_Toc179896119"/>
          <w:bookmarkStart w:id="21" w:name="_Toc179897227"/>
          <w:bookmarkStart w:id="22" w:name="_Toc180069055"/>
          <w:bookmarkStart w:id="23" w:name="_Toc180502318"/>
          <w:bookmarkStart w:id="24" w:name="_Toc180504204"/>
          <w:bookmarkStart w:id="25" w:name="_Hlk158040788"/>
          <w:r w:rsidRPr="001D216A">
            <w:lastRenderedPageBreak/>
            <w:t>Copyright</w:t>
          </w:r>
          <w:bookmarkEnd w:id="12"/>
          <w:bookmarkEnd w:id="13"/>
          <w:bookmarkEnd w:id="14"/>
          <w:bookmarkEnd w:id="15"/>
          <w:bookmarkEnd w:id="16"/>
          <w:bookmarkEnd w:id="17"/>
          <w:bookmarkEnd w:id="18"/>
          <w:bookmarkEnd w:id="19"/>
          <w:bookmarkEnd w:id="20"/>
          <w:bookmarkEnd w:id="21"/>
          <w:bookmarkEnd w:id="22"/>
          <w:bookmarkEnd w:id="23"/>
          <w:bookmarkEnd w:id="24"/>
        </w:p>
        <w:p w14:paraId="6E9199C2" w14:textId="3C36ED92" w:rsidR="0066416C" w:rsidRPr="0068286F" w:rsidRDefault="0066416C" w:rsidP="0066416C">
          <w:pPr>
            <w:rPr>
              <w:rStyle w:val="Strong"/>
            </w:rPr>
          </w:pPr>
          <w:r w:rsidRPr="0068286F">
            <w:rPr>
              <w:rStyle w:val="Strong"/>
            </w:rPr>
            <w:t xml:space="preserve">© Commonwealth of </w:t>
          </w:r>
          <w:r w:rsidRPr="000F2564">
            <w:rPr>
              <w:rStyle w:val="Strong"/>
            </w:rPr>
            <w:t>Australia</w:t>
          </w:r>
          <w:r w:rsidR="00C63B02">
            <w:rPr>
              <w:rStyle w:val="Strong"/>
            </w:rPr>
            <w:t xml:space="preserve"> 2024</w:t>
          </w:r>
        </w:p>
        <w:p w14:paraId="62C4AA26" w14:textId="77777777" w:rsidR="0066416C" w:rsidRPr="0068286F" w:rsidRDefault="0066416C" w:rsidP="0066416C">
          <w:pPr>
            <w:rPr>
              <w:rStyle w:val="Strong"/>
            </w:rPr>
          </w:pPr>
          <w:r w:rsidRPr="0068286F">
            <w:rPr>
              <w:rStyle w:val="Strong"/>
            </w:rPr>
            <w:t>Ownership of intellectual property rights</w:t>
          </w:r>
        </w:p>
        <w:p w14:paraId="2DC06B9E" w14:textId="77777777" w:rsidR="0066416C" w:rsidRDefault="0066416C" w:rsidP="0066416C">
          <w:r>
            <w:t>Unless otherwise noted, copyright (and any other intellectual property rights, if any) in this publication is owned by the Commonwealth of Australia.</w:t>
          </w:r>
        </w:p>
        <w:p w14:paraId="49ED50E2" w14:textId="77777777" w:rsidR="0066416C" w:rsidRPr="001D216A" w:rsidRDefault="0066416C" w:rsidP="0066416C">
          <w:pPr>
            <w:rPr>
              <w:rStyle w:val="Strong"/>
            </w:rPr>
          </w:pPr>
          <w:r>
            <w:rPr>
              <w:b/>
              <w:noProof/>
              <w:lang w:eastAsia="en-AU"/>
            </w:rPr>
            <w:drawing>
              <wp:inline distT="0" distB="0" distL="0" distR="0" wp14:anchorId="4B704166" wp14:editId="2C89D64C">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3044C8B1" w14:textId="77777777" w:rsidR="0066416C" w:rsidRPr="001D216A" w:rsidRDefault="0080301B" w:rsidP="0066416C">
          <w:pPr>
            <w:rPr>
              <w:rStyle w:val="Strong"/>
            </w:rPr>
          </w:pPr>
          <w:hyperlink r:id="rId11" w:history="1">
            <w:r w:rsidR="009B4687" w:rsidRPr="001E0B1D">
              <w:rPr>
                <w:rStyle w:val="Hyperlink"/>
                <w:b/>
                <w:bCs/>
              </w:rPr>
              <w:t>Creative Commons Attribution 4.0 International Licence CC BY 4.0</w:t>
            </w:r>
          </w:hyperlink>
        </w:p>
        <w:p w14:paraId="59D3F8EE" w14:textId="77777777" w:rsidR="0066416C" w:rsidRPr="0066416C" w:rsidRDefault="0066416C" w:rsidP="0066416C">
          <w:r w:rsidRPr="0066416C">
            <w:t xml:space="preserve">All material in this publication is licensed under a Creative Commons Attribution 4.0 International Licence, </w:t>
          </w:r>
          <w:proofErr w:type="gramStart"/>
          <w:r w:rsidRPr="0066416C">
            <w:t>with the exception of</w:t>
          </w:r>
          <w:proofErr w:type="gramEnd"/>
          <w:r w:rsidRPr="0066416C">
            <w:t>:</w:t>
          </w:r>
        </w:p>
        <w:p w14:paraId="34019901" w14:textId="77777777" w:rsidR="0066416C" w:rsidRPr="00C66984" w:rsidRDefault="0066416C" w:rsidP="00C66984">
          <w:pPr>
            <w:pStyle w:val="ListParagraph"/>
          </w:pPr>
          <w:r w:rsidRPr="0066416C">
            <w:t xml:space="preserve">the </w:t>
          </w:r>
          <w:r w:rsidRPr="00C66984">
            <w:t>Commonwealth Coat of Arms</w:t>
          </w:r>
        </w:p>
        <w:p w14:paraId="3C578D56" w14:textId="77777777" w:rsidR="0066416C" w:rsidRPr="00C66984" w:rsidRDefault="0066416C" w:rsidP="00C66984">
          <w:pPr>
            <w:pStyle w:val="ListParagraph"/>
          </w:pPr>
          <w:r w:rsidRPr="00C66984">
            <w:t>content supplied by third parties</w:t>
          </w:r>
        </w:p>
        <w:p w14:paraId="05D5EB25" w14:textId="77777777" w:rsidR="0066416C" w:rsidRPr="00C66984" w:rsidRDefault="0066416C" w:rsidP="00C66984">
          <w:pPr>
            <w:pStyle w:val="ListParagraph"/>
          </w:pPr>
          <w:r w:rsidRPr="00C66984">
            <w:t>logos</w:t>
          </w:r>
        </w:p>
        <w:p w14:paraId="7AAAA82E" w14:textId="77777777" w:rsidR="0066416C" w:rsidRPr="0066416C" w:rsidRDefault="0066416C" w:rsidP="00C66984">
          <w:pPr>
            <w:pStyle w:val="ListParagraph"/>
          </w:pPr>
          <w:r w:rsidRPr="00C66984">
            <w:t>any material protected</w:t>
          </w:r>
          <w:r w:rsidRPr="0066416C">
            <w:t xml:space="preserve"> by trademark or otherwise noted in this publication.</w:t>
          </w:r>
        </w:p>
        <w:p w14:paraId="0002E054"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2" w:history="1">
            <w:r w:rsidRPr="00DB39DE">
              <w:rPr>
                <w:rStyle w:val="Hyperlink"/>
              </w:rPr>
              <w:t>https://creativecommons.org/licenses/by/4.0/</w:t>
            </w:r>
          </w:hyperlink>
          <w:r w:rsidRPr="0066416C">
            <w:t xml:space="preserve">. The full licence terms are available from </w:t>
          </w:r>
          <w:hyperlink r:id="rId13" w:history="1">
            <w:r w:rsidRPr="00DB39DE">
              <w:rPr>
                <w:rStyle w:val="Hyperlink"/>
              </w:rPr>
              <w:t>https://creativecommons.org/licenses/by/4.0/legalcode</w:t>
            </w:r>
          </w:hyperlink>
          <w:r w:rsidRPr="0066416C">
            <w:t>.</w:t>
          </w:r>
        </w:p>
        <w:p w14:paraId="0964B47C" w14:textId="50F84209" w:rsidR="000F50CE" w:rsidRDefault="000F50CE" w:rsidP="000F50CE">
          <w:r>
            <w:t xml:space="preserve">Content contained herein should be attributed as </w:t>
          </w:r>
          <w:r w:rsidR="00C63B02" w:rsidRPr="76CDA01D">
            <w:rPr>
              <w:i/>
              <w:iCs/>
            </w:rPr>
            <w:t>Northern Endeavour Decommissioning Phase 1 [2022/09327] Annual Compliance report – 24 October 2024, Australian Government Department of Industry, Science and Resources</w:t>
          </w:r>
          <w:r w:rsidRPr="00C63B02">
            <w:t>.</w:t>
          </w:r>
        </w:p>
        <w:p w14:paraId="776CB4D7" w14:textId="77777777" w:rsidR="00B81C11" w:rsidRDefault="0066416C" w:rsidP="009B4687">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6B6393A3" w14:textId="77777777" w:rsidR="00B81C11" w:rsidRPr="001D216A" w:rsidRDefault="00B81C11" w:rsidP="00855232">
          <w:pPr>
            <w:pStyle w:val="Heading2"/>
            <w:numPr>
              <w:ilvl w:val="0"/>
              <w:numId w:val="0"/>
            </w:numPr>
            <w:ind w:left="576" w:hanging="576"/>
          </w:pPr>
          <w:bookmarkStart w:id="26" w:name="_Toc19023740"/>
          <w:bookmarkStart w:id="27" w:name="_Toc19289803"/>
          <w:bookmarkStart w:id="28" w:name="_Toc144911606"/>
          <w:bookmarkStart w:id="29" w:name="_Toc155191314"/>
          <w:bookmarkStart w:id="30" w:name="_Toc179288153"/>
          <w:bookmarkStart w:id="31" w:name="_Toc179288232"/>
          <w:bookmarkStart w:id="32" w:name="_Toc179288287"/>
          <w:bookmarkStart w:id="33" w:name="_Toc179288861"/>
          <w:bookmarkStart w:id="34" w:name="_Toc179896120"/>
          <w:bookmarkStart w:id="35" w:name="_Toc179897228"/>
          <w:bookmarkStart w:id="36" w:name="_Toc180069056"/>
          <w:bookmarkStart w:id="37" w:name="_Toc180502319"/>
          <w:bookmarkStart w:id="38" w:name="_Toc180504205"/>
          <w:r w:rsidRPr="001D216A">
            <w:t>Disclaimer</w:t>
          </w:r>
          <w:bookmarkEnd w:id="26"/>
          <w:bookmarkEnd w:id="27"/>
          <w:bookmarkEnd w:id="28"/>
          <w:bookmarkEnd w:id="29"/>
          <w:bookmarkEnd w:id="30"/>
          <w:bookmarkEnd w:id="31"/>
          <w:bookmarkEnd w:id="32"/>
          <w:bookmarkEnd w:id="33"/>
          <w:bookmarkEnd w:id="34"/>
          <w:bookmarkEnd w:id="35"/>
          <w:bookmarkEnd w:id="36"/>
          <w:bookmarkEnd w:id="37"/>
          <w:bookmarkEnd w:id="38"/>
        </w:p>
        <w:p w14:paraId="6623C953" w14:textId="4B3A6CA9" w:rsidR="00B81C11" w:rsidRDefault="00B81C11" w:rsidP="00B81C11">
          <w:r>
            <w:t>The purpose of this publication is to</w:t>
          </w:r>
          <w:r w:rsidR="00C63B02">
            <w:t xml:space="preserve"> meet </w:t>
          </w:r>
          <w:r w:rsidR="00C63B02" w:rsidRPr="549327C5">
            <w:rPr>
              <w:rFonts w:ascii="Aptos" w:eastAsia="Aptos" w:hAnsi="Aptos" w:cs="Aptos"/>
            </w:rPr>
            <w:t xml:space="preserve">Condition 20 of the </w:t>
          </w:r>
          <w:hyperlink r:id="rId14" w:history="1">
            <w:r w:rsidR="00C63B02" w:rsidRPr="549327C5">
              <w:rPr>
                <w:rStyle w:val="Hyperlink"/>
                <w:rFonts w:ascii="Aptos" w:eastAsia="Aptos" w:hAnsi="Aptos" w:cs="Aptos"/>
                <w:i/>
                <w:iCs/>
              </w:rPr>
              <w:t>Environmental Protection and Biodiversity Conservation Act 1999</w:t>
            </w:r>
          </w:hyperlink>
          <w:r w:rsidR="00C63B02" w:rsidRPr="549327C5">
            <w:rPr>
              <w:rFonts w:ascii="Aptos" w:eastAsia="Aptos" w:hAnsi="Aptos" w:cs="Aptos"/>
              <w:i/>
              <w:iCs/>
            </w:rPr>
            <w:t xml:space="preserve"> </w:t>
          </w:r>
          <w:r w:rsidR="00C63B02" w:rsidRPr="549327C5">
            <w:rPr>
              <w:rFonts w:ascii="Aptos" w:eastAsia="Aptos" w:hAnsi="Aptos" w:cs="Aptos"/>
            </w:rPr>
            <w:t>Approval 2022/09327 Northern Endeavour Phase 1 Decommissioning which requires the approval holder, the Department of Industry, Science and Resources, to provide an Annual Compliance Report</w:t>
          </w:r>
          <w:r w:rsidR="00C63B02">
            <w:rPr>
              <w:rFonts w:ascii="Aptos" w:eastAsia="Aptos" w:hAnsi="Aptos" w:cs="Aptos"/>
            </w:rPr>
            <w:t>.</w:t>
          </w:r>
        </w:p>
        <w:p w14:paraId="05EF71C3"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4DEBFBF0" w14:textId="77777777" w:rsidR="00B81C11" w:rsidRDefault="00B81C11" w:rsidP="00B81C11">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712D0592" w14:textId="77777777" w:rsidR="00B81C11" w:rsidRPr="00527381" w:rsidRDefault="00B81C11" w:rsidP="009B4687">
          <w: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673B94A5" w14:textId="77777777" w:rsidR="00E14F58" w:rsidRDefault="00E14F58" w:rsidP="0066416C"/>
        <w:p w14:paraId="6961364E" w14:textId="178C1008" w:rsidR="00E14F58" w:rsidRPr="00C63B02" w:rsidRDefault="00E14F58" w:rsidP="00E14F58">
          <w:r w:rsidRPr="00C63B02">
            <w:rPr>
              <w:rStyle w:val="Strong"/>
            </w:rPr>
            <w:t>ISSN:</w:t>
          </w:r>
          <w:r w:rsidR="00C63B02" w:rsidRPr="00C63B02">
            <w:rPr>
              <w:rStyle w:val="Strong"/>
            </w:rPr>
            <w:t xml:space="preserve"> 2982-1851</w:t>
          </w:r>
        </w:p>
        <w:p w14:paraId="4559C90A" w14:textId="734FC7FD" w:rsidR="00DD41C7" w:rsidRDefault="00DD41C7" w:rsidP="0066416C">
          <w:pPr>
            <w:sectPr w:rsidR="00DD41C7" w:rsidSect="00DD41C7">
              <w:headerReference w:type="default" r:id="rId15"/>
              <w:footerReference w:type="default" r:id="rId16"/>
              <w:headerReference w:type="first" r:id="rId17"/>
              <w:footerReference w:type="first" r:id="rId18"/>
              <w:pgSz w:w="11906" w:h="16838"/>
              <w:pgMar w:top="1276" w:right="1440" w:bottom="1440" w:left="1440" w:header="851" w:footer="708" w:gutter="0"/>
              <w:pgNumType w:fmt="lowerRoman" w:start="1"/>
              <w:cols w:space="708"/>
              <w:titlePg/>
              <w:docGrid w:linePitch="360"/>
            </w:sectPr>
          </w:pPr>
        </w:p>
        <w:sdt>
          <w:sdtPr>
            <w:rPr>
              <w:rFonts w:asciiTheme="minorHAnsi" w:eastAsiaTheme="minorHAnsi" w:hAnsiTheme="minorHAnsi" w:cstheme="minorBidi"/>
              <w:color w:val="auto"/>
              <w:sz w:val="20"/>
              <w:szCs w:val="22"/>
              <w:lang w:val="en-AU"/>
            </w:rPr>
            <w:id w:val="100694558"/>
            <w:docPartObj>
              <w:docPartGallery w:val="Table of Contents"/>
              <w:docPartUnique/>
            </w:docPartObj>
          </w:sdtPr>
          <w:sdtEndPr>
            <w:rPr>
              <w:b/>
              <w:bCs/>
              <w:noProof/>
            </w:rPr>
          </w:sdtEndPr>
          <w:sdtContent>
            <w:p w14:paraId="03F8DA11" w14:textId="77777777" w:rsidR="00B02786" w:rsidRDefault="005A0F0F" w:rsidP="00360D5D">
              <w:pPr>
                <w:pStyle w:val="TOCHeading"/>
                <w:numPr>
                  <w:ilvl w:val="0"/>
                  <w:numId w:val="0"/>
                </w:numPr>
                <w:spacing w:before="0"/>
                <w:rPr>
                  <w:noProof/>
                </w:rPr>
              </w:pPr>
              <w:r>
                <w:t>Contents</w:t>
              </w:r>
              <w:r w:rsidR="001444F7">
                <w:fldChar w:fldCharType="begin"/>
              </w:r>
              <w:r w:rsidR="001444F7">
                <w:instrText xml:space="preserve"> TOC \o "1-4" \h \z \u </w:instrText>
              </w:r>
              <w:r w:rsidR="001444F7">
                <w:fldChar w:fldCharType="separate"/>
              </w:r>
            </w:p>
            <w:p w14:paraId="7CD263A3" w14:textId="53ACA0BD" w:rsidR="00B02786" w:rsidRDefault="0080301B">
              <w:pPr>
                <w:pStyle w:val="TOC1"/>
                <w:rPr>
                  <w:rFonts w:eastAsiaTheme="minorEastAsia"/>
                  <w:noProof/>
                  <w:kern w:val="2"/>
                  <w:sz w:val="22"/>
                  <w:lang w:eastAsia="en-AU"/>
                  <w14:ligatures w14:val="standardContextual"/>
                </w:rPr>
              </w:pPr>
              <w:hyperlink w:anchor="_Toc180504203" w:history="1">
                <w:r w:rsidR="00B02786" w:rsidRPr="00F1167B">
                  <w:rPr>
                    <w:rStyle w:val="Hyperlink"/>
                    <w:noProof/>
                  </w:rPr>
                  <w:t>Northern Endeavour Phase 1 Decommissioning (EPBC 2022/09327)</w:t>
                </w:r>
                <w:r w:rsidR="00B02786">
                  <w:rPr>
                    <w:noProof/>
                    <w:webHidden/>
                  </w:rPr>
                  <w:tab/>
                </w:r>
                <w:r w:rsidR="00B02786">
                  <w:rPr>
                    <w:noProof/>
                    <w:webHidden/>
                  </w:rPr>
                  <w:fldChar w:fldCharType="begin"/>
                </w:r>
                <w:r w:rsidR="00B02786">
                  <w:rPr>
                    <w:noProof/>
                    <w:webHidden/>
                  </w:rPr>
                  <w:instrText xml:space="preserve"> PAGEREF _Toc180504203 \h </w:instrText>
                </w:r>
                <w:r w:rsidR="00B02786">
                  <w:rPr>
                    <w:noProof/>
                    <w:webHidden/>
                  </w:rPr>
                </w:r>
                <w:r w:rsidR="00B02786">
                  <w:rPr>
                    <w:noProof/>
                    <w:webHidden/>
                  </w:rPr>
                  <w:fldChar w:fldCharType="separate"/>
                </w:r>
                <w:r>
                  <w:rPr>
                    <w:noProof/>
                    <w:webHidden/>
                  </w:rPr>
                  <w:t>i</w:t>
                </w:r>
                <w:r w:rsidR="00B02786">
                  <w:rPr>
                    <w:noProof/>
                    <w:webHidden/>
                  </w:rPr>
                  <w:fldChar w:fldCharType="end"/>
                </w:r>
              </w:hyperlink>
            </w:p>
            <w:p w14:paraId="2E455D86" w14:textId="4F0D6F8E" w:rsidR="00B02786" w:rsidRDefault="0080301B">
              <w:pPr>
                <w:pStyle w:val="TOC2"/>
                <w:tabs>
                  <w:tab w:val="right" w:leader="dot" w:pos="9016"/>
                </w:tabs>
                <w:rPr>
                  <w:rFonts w:eastAsiaTheme="minorEastAsia"/>
                  <w:noProof/>
                  <w:kern w:val="2"/>
                  <w:sz w:val="22"/>
                  <w:lang w:eastAsia="en-AU"/>
                  <w14:ligatures w14:val="standardContextual"/>
                </w:rPr>
              </w:pPr>
              <w:hyperlink w:anchor="_Toc180504204" w:history="1">
                <w:r w:rsidR="00B02786" w:rsidRPr="00F1167B">
                  <w:rPr>
                    <w:rStyle w:val="Hyperlink"/>
                    <w:noProof/>
                  </w:rPr>
                  <w:t>Copyright</w:t>
                </w:r>
                <w:r w:rsidR="00B02786">
                  <w:rPr>
                    <w:noProof/>
                    <w:webHidden/>
                  </w:rPr>
                  <w:tab/>
                </w:r>
                <w:r w:rsidR="00B02786">
                  <w:rPr>
                    <w:noProof/>
                    <w:webHidden/>
                  </w:rPr>
                  <w:fldChar w:fldCharType="begin"/>
                </w:r>
                <w:r w:rsidR="00B02786">
                  <w:rPr>
                    <w:noProof/>
                    <w:webHidden/>
                  </w:rPr>
                  <w:instrText xml:space="preserve"> PAGEREF _Toc180504204 \h </w:instrText>
                </w:r>
                <w:r w:rsidR="00B02786">
                  <w:rPr>
                    <w:noProof/>
                    <w:webHidden/>
                  </w:rPr>
                </w:r>
                <w:r w:rsidR="00B02786">
                  <w:rPr>
                    <w:noProof/>
                    <w:webHidden/>
                  </w:rPr>
                  <w:fldChar w:fldCharType="separate"/>
                </w:r>
                <w:r>
                  <w:rPr>
                    <w:noProof/>
                    <w:webHidden/>
                  </w:rPr>
                  <w:t>ii</w:t>
                </w:r>
                <w:r w:rsidR="00B02786">
                  <w:rPr>
                    <w:noProof/>
                    <w:webHidden/>
                  </w:rPr>
                  <w:fldChar w:fldCharType="end"/>
                </w:r>
              </w:hyperlink>
            </w:p>
            <w:p w14:paraId="3621BA84" w14:textId="573E305E" w:rsidR="00B02786" w:rsidRDefault="0080301B">
              <w:pPr>
                <w:pStyle w:val="TOC2"/>
                <w:tabs>
                  <w:tab w:val="right" w:leader="dot" w:pos="9016"/>
                </w:tabs>
                <w:rPr>
                  <w:rFonts w:eastAsiaTheme="minorEastAsia"/>
                  <w:noProof/>
                  <w:kern w:val="2"/>
                  <w:sz w:val="22"/>
                  <w:lang w:eastAsia="en-AU"/>
                  <w14:ligatures w14:val="standardContextual"/>
                </w:rPr>
              </w:pPr>
              <w:hyperlink w:anchor="_Toc180504205" w:history="1">
                <w:r w:rsidR="00B02786" w:rsidRPr="00F1167B">
                  <w:rPr>
                    <w:rStyle w:val="Hyperlink"/>
                    <w:noProof/>
                  </w:rPr>
                  <w:t>Disclaimer</w:t>
                </w:r>
                <w:r w:rsidR="00B02786">
                  <w:rPr>
                    <w:noProof/>
                    <w:webHidden/>
                  </w:rPr>
                  <w:tab/>
                </w:r>
                <w:r w:rsidR="00B02786">
                  <w:rPr>
                    <w:noProof/>
                    <w:webHidden/>
                  </w:rPr>
                  <w:fldChar w:fldCharType="begin"/>
                </w:r>
                <w:r w:rsidR="00B02786">
                  <w:rPr>
                    <w:noProof/>
                    <w:webHidden/>
                  </w:rPr>
                  <w:instrText xml:space="preserve"> PAGEREF _Toc180504205 \h </w:instrText>
                </w:r>
                <w:r w:rsidR="00B02786">
                  <w:rPr>
                    <w:noProof/>
                    <w:webHidden/>
                  </w:rPr>
                </w:r>
                <w:r w:rsidR="00B02786">
                  <w:rPr>
                    <w:noProof/>
                    <w:webHidden/>
                  </w:rPr>
                  <w:fldChar w:fldCharType="separate"/>
                </w:r>
                <w:r>
                  <w:rPr>
                    <w:noProof/>
                    <w:webHidden/>
                  </w:rPr>
                  <w:t>ii</w:t>
                </w:r>
                <w:r w:rsidR="00B02786">
                  <w:rPr>
                    <w:noProof/>
                    <w:webHidden/>
                  </w:rPr>
                  <w:fldChar w:fldCharType="end"/>
                </w:r>
              </w:hyperlink>
            </w:p>
            <w:p w14:paraId="46FD35D1" w14:textId="306DD3E8"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06" w:history="1">
                <w:r w:rsidR="00B02786" w:rsidRPr="00F1167B">
                  <w:rPr>
                    <w:rStyle w:val="Hyperlink"/>
                    <w:noProof/>
                  </w:rPr>
                  <w:t>1.</w:t>
                </w:r>
                <w:r w:rsidR="00B02786">
                  <w:rPr>
                    <w:rFonts w:eastAsiaTheme="minorEastAsia"/>
                    <w:noProof/>
                    <w:kern w:val="2"/>
                    <w:sz w:val="22"/>
                    <w:lang w:eastAsia="en-AU"/>
                    <w14:ligatures w14:val="standardContextual"/>
                  </w:rPr>
                  <w:tab/>
                </w:r>
                <w:r w:rsidR="00B02786" w:rsidRPr="00F1167B">
                  <w:rPr>
                    <w:rStyle w:val="Hyperlink"/>
                    <w:noProof/>
                  </w:rPr>
                  <w:t>Declaration of accuracy</w:t>
                </w:r>
                <w:r w:rsidR="00B02786">
                  <w:rPr>
                    <w:noProof/>
                    <w:webHidden/>
                  </w:rPr>
                  <w:tab/>
                </w:r>
                <w:r w:rsidR="00B02786">
                  <w:rPr>
                    <w:noProof/>
                    <w:webHidden/>
                  </w:rPr>
                  <w:fldChar w:fldCharType="begin"/>
                </w:r>
                <w:r w:rsidR="00B02786">
                  <w:rPr>
                    <w:noProof/>
                    <w:webHidden/>
                  </w:rPr>
                  <w:instrText xml:space="preserve"> PAGEREF _Toc180504206 \h </w:instrText>
                </w:r>
                <w:r w:rsidR="00B02786">
                  <w:rPr>
                    <w:noProof/>
                    <w:webHidden/>
                  </w:rPr>
                </w:r>
                <w:r w:rsidR="00B02786">
                  <w:rPr>
                    <w:noProof/>
                    <w:webHidden/>
                  </w:rPr>
                  <w:fldChar w:fldCharType="separate"/>
                </w:r>
                <w:r>
                  <w:rPr>
                    <w:noProof/>
                    <w:webHidden/>
                  </w:rPr>
                  <w:t>3</w:t>
                </w:r>
                <w:r w:rsidR="00B02786">
                  <w:rPr>
                    <w:noProof/>
                    <w:webHidden/>
                  </w:rPr>
                  <w:fldChar w:fldCharType="end"/>
                </w:r>
              </w:hyperlink>
            </w:p>
            <w:p w14:paraId="7B0660EC" w14:textId="122D2675"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07" w:history="1">
                <w:r w:rsidR="00B02786" w:rsidRPr="00F1167B">
                  <w:rPr>
                    <w:rStyle w:val="Hyperlink"/>
                    <w:noProof/>
                    <w:lang w:val="en-US"/>
                  </w:rPr>
                  <w:t>2.</w:t>
                </w:r>
                <w:r w:rsidR="00B02786">
                  <w:rPr>
                    <w:rFonts w:eastAsiaTheme="minorEastAsia"/>
                    <w:noProof/>
                    <w:kern w:val="2"/>
                    <w:sz w:val="22"/>
                    <w:lang w:eastAsia="en-AU"/>
                    <w14:ligatures w14:val="standardContextual"/>
                  </w:rPr>
                  <w:tab/>
                </w:r>
                <w:r w:rsidR="00B02786" w:rsidRPr="00F1167B">
                  <w:rPr>
                    <w:rStyle w:val="Hyperlink"/>
                    <w:noProof/>
                    <w:lang w:val="en-US"/>
                  </w:rPr>
                  <w:t>Approval holder details</w:t>
                </w:r>
                <w:r w:rsidR="00B02786">
                  <w:rPr>
                    <w:noProof/>
                    <w:webHidden/>
                  </w:rPr>
                  <w:tab/>
                </w:r>
                <w:r w:rsidR="00B02786">
                  <w:rPr>
                    <w:noProof/>
                    <w:webHidden/>
                  </w:rPr>
                  <w:fldChar w:fldCharType="begin"/>
                </w:r>
                <w:r w:rsidR="00B02786">
                  <w:rPr>
                    <w:noProof/>
                    <w:webHidden/>
                  </w:rPr>
                  <w:instrText xml:space="preserve"> PAGEREF _Toc180504207 \h </w:instrText>
                </w:r>
                <w:r w:rsidR="00B02786">
                  <w:rPr>
                    <w:noProof/>
                    <w:webHidden/>
                  </w:rPr>
                </w:r>
                <w:r w:rsidR="00B02786">
                  <w:rPr>
                    <w:noProof/>
                    <w:webHidden/>
                  </w:rPr>
                  <w:fldChar w:fldCharType="separate"/>
                </w:r>
                <w:r>
                  <w:rPr>
                    <w:noProof/>
                    <w:webHidden/>
                  </w:rPr>
                  <w:t>3</w:t>
                </w:r>
                <w:r w:rsidR="00B02786">
                  <w:rPr>
                    <w:noProof/>
                    <w:webHidden/>
                  </w:rPr>
                  <w:fldChar w:fldCharType="end"/>
                </w:r>
              </w:hyperlink>
            </w:p>
            <w:p w14:paraId="3EC1414F" w14:textId="6864EBB8"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08" w:history="1">
                <w:r w:rsidR="00B02786" w:rsidRPr="00F1167B">
                  <w:rPr>
                    <w:rStyle w:val="Hyperlink"/>
                    <w:noProof/>
                  </w:rPr>
                  <w:t>3.</w:t>
                </w:r>
                <w:r w:rsidR="00B02786">
                  <w:rPr>
                    <w:rFonts w:eastAsiaTheme="minorEastAsia"/>
                    <w:noProof/>
                    <w:kern w:val="2"/>
                    <w:sz w:val="22"/>
                    <w:lang w:eastAsia="en-AU"/>
                    <w14:ligatures w14:val="standardContextual"/>
                  </w:rPr>
                  <w:tab/>
                </w:r>
                <w:r w:rsidR="00B02786" w:rsidRPr="00F1167B">
                  <w:rPr>
                    <w:rStyle w:val="Hyperlink"/>
                    <w:noProof/>
                  </w:rPr>
                  <w:t>Glossary</w:t>
                </w:r>
                <w:r w:rsidR="00B02786">
                  <w:rPr>
                    <w:noProof/>
                    <w:webHidden/>
                  </w:rPr>
                  <w:tab/>
                </w:r>
                <w:r w:rsidR="00B02786">
                  <w:rPr>
                    <w:noProof/>
                    <w:webHidden/>
                  </w:rPr>
                  <w:fldChar w:fldCharType="begin"/>
                </w:r>
                <w:r w:rsidR="00B02786">
                  <w:rPr>
                    <w:noProof/>
                    <w:webHidden/>
                  </w:rPr>
                  <w:instrText xml:space="preserve"> PAGEREF _Toc180504208 \h </w:instrText>
                </w:r>
                <w:r w:rsidR="00B02786">
                  <w:rPr>
                    <w:noProof/>
                    <w:webHidden/>
                  </w:rPr>
                </w:r>
                <w:r w:rsidR="00B02786">
                  <w:rPr>
                    <w:noProof/>
                    <w:webHidden/>
                  </w:rPr>
                  <w:fldChar w:fldCharType="separate"/>
                </w:r>
                <w:r>
                  <w:rPr>
                    <w:noProof/>
                    <w:webHidden/>
                  </w:rPr>
                  <w:t>4</w:t>
                </w:r>
                <w:r w:rsidR="00B02786">
                  <w:rPr>
                    <w:noProof/>
                    <w:webHidden/>
                  </w:rPr>
                  <w:fldChar w:fldCharType="end"/>
                </w:r>
              </w:hyperlink>
            </w:p>
            <w:p w14:paraId="16F34C0B" w14:textId="48C49149"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09" w:history="1">
                <w:r w:rsidR="00B02786" w:rsidRPr="00F1167B">
                  <w:rPr>
                    <w:rStyle w:val="Hyperlink"/>
                    <w:noProof/>
                  </w:rPr>
                  <w:t>4.</w:t>
                </w:r>
                <w:r w:rsidR="00B02786">
                  <w:rPr>
                    <w:rFonts w:eastAsiaTheme="minorEastAsia"/>
                    <w:noProof/>
                    <w:kern w:val="2"/>
                    <w:sz w:val="22"/>
                    <w:lang w:eastAsia="en-AU"/>
                    <w14:ligatures w14:val="standardContextual"/>
                  </w:rPr>
                  <w:tab/>
                </w:r>
                <w:r w:rsidR="00B02786" w:rsidRPr="00F1167B">
                  <w:rPr>
                    <w:rStyle w:val="Hyperlink"/>
                    <w:noProof/>
                  </w:rPr>
                  <w:t>Introduction</w:t>
                </w:r>
                <w:r w:rsidR="00B02786">
                  <w:rPr>
                    <w:noProof/>
                    <w:webHidden/>
                  </w:rPr>
                  <w:tab/>
                </w:r>
                <w:r w:rsidR="00B02786">
                  <w:rPr>
                    <w:noProof/>
                    <w:webHidden/>
                  </w:rPr>
                  <w:fldChar w:fldCharType="begin"/>
                </w:r>
                <w:r w:rsidR="00B02786">
                  <w:rPr>
                    <w:noProof/>
                    <w:webHidden/>
                  </w:rPr>
                  <w:instrText xml:space="preserve"> PAGEREF _Toc180504209 \h </w:instrText>
                </w:r>
                <w:r w:rsidR="00B02786">
                  <w:rPr>
                    <w:noProof/>
                    <w:webHidden/>
                  </w:rPr>
                </w:r>
                <w:r w:rsidR="00B02786">
                  <w:rPr>
                    <w:noProof/>
                    <w:webHidden/>
                  </w:rPr>
                  <w:fldChar w:fldCharType="separate"/>
                </w:r>
                <w:r>
                  <w:rPr>
                    <w:noProof/>
                    <w:webHidden/>
                  </w:rPr>
                  <w:t>5</w:t>
                </w:r>
                <w:r w:rsidR="00B02786">
                  <w:rPr>
                    <w:noProof/>
                    <w:webHidden/>
                  </w:rPr>
                  <w:fldChar w:fldCharType="end"/>
                </w:r>
              </w:hyperlink>
            </w:p>
            <w:p w14:paraId="0EB8FB65" w14:textId="6C967C27"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0" w:history="1">
                <w:r w:rsidR="00B02786" w:rsidRPr="00F1167B">
                  <w:rPr>
                    <w:rStyle w:val="Hyperlink"/>
                    <w:noProof/>
                  </w:rPr>
                  <w:t>4.1.</w:t>
                </w:r>
                <w:r w:rsidR="00B02786">
                  <w:rPr>
                    <w:rFonts w:eastAsiaTheme="minorEastAsia"/>
                    <w:noProof/>
                    <w:kern w:val="2"/>
                    <w:sz w:val="22"/>
                    <w:lang w:eastAsia="en-AU"/>
                    <w14:ligatures w14:val="standardContextual"/>
                  </w:rPr>
                  <w:tab/>
                </w:r>
                <w:r w:rsidR="00B02786" w:rsidRPr="00F1167B">
                  <w:rPr>
                    <w:rStyle w:val="Hyperlink"/>
                    <w:noProof/>
                  </w:rPr>
                  <w:t>Foreword</w:t>
                </w:r>
                <w:r w:rsidR="00B02786">
                  <w:rPr>
                    <w:noProof/>
                    <w:webHidden/>
                  </w:rPr>
                  <w:tab/>
                </w:r>
                <w:r w:rsidR="00B02786">
                  <w:rPr>
                    <w:noProof/>
                    <w:webHidden/>
                  </w:rPr>
                  <w:fldChar w:fldCharType="begin"/>
                </w:r>
                <w:r w:rsidR="00B02786">
                  <w:rPr>
                    <w:noProof/>
                    <w:webHidden/>
                  </w:rPr>
                  <w:instrText xml:space="preserve"> PAGEREF _Toc180504210 \h </w:instrText>
                </w:r>
                <w:r w:rsidR="00B02786">
                  <w:rPr>
                    <w:noProof/>
                    <w:webHidden/>
                  </w:rPr>
                </w:r>
                <w:r w:rsidR="00B02786">
                  <w:rPr>
                    <w:noProof/>
                    <w:webHidden/>
                  </w:rPr>
                  <w:fldChar w:fldCharType="separate"/>
                </w:r>
                <w:r>
                  <w:rPr>
                    <w:noProof/>
                    <w:webHidden/>
                  </w:rPr>
                  <w:t>5</w:t>
                </w:r>
                <w:r w:rsidR="00B02786">
                  <w:rPr>
                    <w:noProof/>
                    <w:webHidden/>
                  </w:rPr>
                  <w:fldChar w:fldCharType="end"/>
                </w:r>
              </w:hyperlink>
            </w:p>
            <w:p w14:paraId="69910A69" w14:textId="1ADF7778"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1" w:history="1">
                <w:r w:rsidR="00B02786" w:rsidRPr="00F1167B">
                  <w:rPr>
                    <w:rStyle w:val="Hyperlink"/>
                    <w:noProof/>
                  </w:rPr>
                  <w:t>4.2.</w:t>
                </w:r>
                <w:r w:rsidR="00B02786">
                  <w:rPr>
                    <w:rFonts w:eastAsiaTheme="minorEastAsia"/>
                    <w:noProof/>
                    <w:kern w:val="2"/>
                    <w:sz w:val="22"/>
                    <w:lang w:eastAsia="en-AU"/>
                    <w14:ligatures w14:val="standardContextual"/>
                  </w:rPr>
                  <w:tab/>
                </w:r>
                <w:r w:rsidR="00B02786" w:rsidRPr="00F1167B">
                  <w:rPr>
                    <w:rStyle w:val="Hyperlink"/>
                    <w:noProof/>
                  </w:rPr>
                  <w:t>Purpose</w:t>
                </w:r>
                <w:r w:rsidR="00B02786">
                  <w:rPr>
                    <w:noProof/>
                    <w:webHidden/>
                  </w:rPr>
                  <w:tab/>
                </w:r>
                <w:r w:rsidR="00B02786">
                  <w:rPr>
                    <w:noProof/>
                    <w:webHidden/>
                  </w:rPr>
                  <w:fldChar w:fldCharType="begin"/>
                </w:r>
                <w:r w:rsidR="00B02786">
                  <w:rPr>
                    <w:noProof/>
                    <w:webHidden/>
                  </w:rPr>
                  <w:instrText xml:space="preserve"> PAGEREF _Toc180504211 \h </w:instrText>
                </w:r>
                <w:r w:rsidR="00B02786">
                  <w:rPr>
                    <w:noProof/>
                    <w:webHidden/>
                  </w:rPr>
                </w:r>
                <w:r w:rsidR="00B02786">
                  <w:rPr>
                    <w:noProof/>
                    <w:webHidden/>
                  </w:rPr>
                  <w:fldChar w:fldCharType="separate"/>
                </w:r>
                <w:r>
                  <w:rPr>
                    <w:noProof/>
                    <w:webHidden/>
                  </w:rPr>
                  <w:t>5</w:t>
                </w:r>
                <w:r w:rsidR="00B02786">
                  <w:rPr>
                    <w:noProof/>
                    <w:webHidden/>
                  </w:rPr>
                  <w:fldChar w:fldCharType="end"/>
                </w:r>
              </w:hyperlink>
            </w:p>
            <w:p w14:paraId="7C494B3D" w14:textId="6504F217"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2" w:history="1">
                <w:r w:rsidR="00B02786" w:rsidRPr="00F1167B">
                  <w:rPr>
                    <w:rStyle w:val="Hyperlink"/>
                    <w:noProof/>
                  </w:rPr>
                  <w:t>4.3.</w:t>
                </w:r>
                <w:r w:rsidR="00B02786">
                  <w:rPr>
                    <w:rFonts w:eastAsiaTheme="minorEastAsia"/>
                    <w:noProof/>
                    <w:kern w:val="2"/>
                    <w:sz w:val="22"/>
                    <w:lang w:eastAsia="en-AU"/>
                    <w14:ligatures w14:val="standardContextual"/>
                  </w:rPr>
                  <w:tab/>
                </w:r>
                <w:r w:rsidR="00B02786" w:rsidRPr="00F1167B">
                  <w:rPr>
                    <w:rStyle w:val="Hyperlink"/>
                    <w:noProof/>
                  </w:rPr>
                  <w:t>Background and location</w:t>
                </w:r>
                <w:r w:rsidR="00B02786">
                  <w:rPr>
                    <w:noProof/>
                    <w:webHidden/>
                  </w:rPr>
                  <w:tab/>
                </w:r>
                <w:r w:rsidR="00B02786">
                  <w:rPr>
                    <w:noProof/>
                    <w:webHidden/>
                  </w:rPr>
                  <w:fldChar w:fldCharType="begin"/>
                </w:r>
                <w:r w:rsidR="00B02786">
                  <w:rPr>
                    <w:noProof/>
                    <w:webHidden/>
                  </w:rPr>
                  <w:instrText xml:space="preserve"> PAGEREF _Toc180504212 \h </w:instrText>
                </w:r>
                <w:r w:rsidR="00B02786">
                  <w:rPr>
                    <w:noProof/>
                    <w:webHidden/>
                  </w:rPr>
                </w:r>
                <w:r w:rsidR="00B02786">
                  <w:rPr>
                    <w:noProof/>
                    <w:webHidden/>
                  </w:rPr>
                  <w:fldChar w:fldCharType="separate"/>
                </w:r>
                <w:r>
                  <w:rPr>
                    <w:noProof/>
                    <w:webHidden/>
                  </w:rPr>
                  <w:t>5</w:t>
                </w:r>
                <w:r w:rsidR="00B02786">
                  <w:rPr>
                    <w:noProof/>
                    <w:webHidden/>
                  </w:rPr>
                  <w:fldChar w:fldCharType="end"/>
                </w:r>
              </w:hyperlink>
            </w:p>
            <w:p w14:paraId="22D84EFC" w14:textId="64D61FAA"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3" w:history="1">
                <w:r w:rsidR="00B02786" w:rsidRPr="00F1167B">
                  <w:rPr>
                    <w:rStyle w:val="Hyperlink"/>
                    <w:noProof/>
                  </w:rPr>
                  <w:t>4.4.</w:t>
                </w:r>
                <w:r w:rsidR="00B02786">
                  <w:rPr>
                    <w:rFonts w:eastAsiaTheme="minorEastAsia"/>
                    <w:noProof/>
                    <w:kern w:val="2"/>
                    <w:sz w:val="22"/>
                    <w:lang w:eastAsia="en-AU"/>
                    <w14:ligatures w14:val="standardContextual"/>
                  </w:rPr>
                  <w:tab/>
                </w:r>
                <w:r w:rsidR="00B02786" w:rsidRPr="00F1167B">
                  <w:rPr>
                    <w:rStyle w:val="Hyperlink"/>
                    <w:noProof/>
                  </w:rPr>
                  <w:t>Regulatory environment</w:t>
                </w:r>
                <w:r w:rsidR="00B02786">
                  <w:rPr>
                    <w:noProof/>
                    <w:webHidden/>
                  </w:rPr>
                  <w:tab/>
                </w:r>
                <w:r w:rsidR="00B02786">
                  <w:rPr>
                    <w:noProof/>
                    <w:webHidden/>
                  </w:rPr>
                  <w:fldChar w:fldCharType="begin"/>
                </w:r>
                <w:r w:rsidR="00B02786">
                  <w:rPr>
                    <w:noProof/>
                    <w:webHidden/>
                  </w:rPr>
                  <w:instrText xml:space="preserve"> PAGEREF _Toc180504213 \h </w:instrText>
                </w:r>
                <w:r w:rsidR="00B02786">
                  <w:rPr>
                    <w:noProof/>
                    <w:webHidden/>
                  </w:rPr>
                </w:r>
                <w:r w:rsidR="00B02786">
                  <w:rPr>
                    <w:noProof/>
                    <w:webHidden/>
                  </w:rPr>
                  <w:fldChar w:fldCharType="separate"/>
                </w:r>
                <w:r>
                  <w:rPr>
                    <w:noProof/>
                    <w:webHidden/>
                  </w:rPr>
                  <w:t>7</w:t>
                </w:r>
                <w:r w:rsidR="00B02786">
                  <w:rPr>
                    <w:noProof/>
                    <w:webHidden/>
                  </w:rPr>
                  <w:fldChar w:fldCharType="end"/>
                </w:r>
              </w:hyperlink>
            </w:p>
            <w:p w14:paraId="5F5ADBB5" w14:textId="0E0F32F8"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4" w:history="1">
                <w:r w:rsidR="00B02786" w:rsidRPr="00F1167B">
                  <w:rPr>
                    <w:rStyle w:val="Hyperlink"/>
                    <w:noProof/>
                  </w:rPr>
                  <w:t>4.5.</w:t>
                </w:r>
                <w:r w:rsidR="00B02786">
                  <w:rPr>
                    <w:rFonts w:eastAsiaTheme="minorEastAsia"/>
                    <w:noProof/>
                    <w:kern w:val="2"/>
                    <w:sz w:val="22"/>
                    <w:lang w:eastAsia="en-AU"/>
                    <w14:ligatures w14:val="standardContextual"/>
                  </w:rPr>
                  <w:tab/>
                </w:r>
                <w:r w:rsidR="00B02786" w:rsidRPr="00F1167B">
                  <w:rPr>
                    <w:rStyle w:val="Hyperlink"/>
                    <w:noProof/>
                  </w:rPr>
                  <w:t>Description of activities</w:t>
                </w:r>
                <w:r w:rsidR="00B02786">
                  <w:rPr>
                    <w:noProof/>
                    <w:webHidden/>
                  </w:rPr>
                  <w:tab/>
                </w:r>
                <w:r w:rsidR="00B02786">
                  <w:rPr>
                    <w:noProof/>
                    <w:webHidden/>
                  </w:rPr>
                  <w:fldChar w:fldCharType="begin"/>
                </w:r>
                <w:r w:rsidR="00B02786">
                  <w:rPr>
                    <w:noProof/>
                    <w:webHidden/>
                  </w:rPr>
                  <w:instrText xml:space="preserve"> PAGEREF _Toc180504214 \h </w:instrText>
                </w:r>
                <w:r w:rsidR="00B02786">
                  <w:rPr>
                    <w:noProof/>
                    <w:webHidden/>
                  </w:rPr>
                </w:r>
                <w:r w:rsidR="00B02786">
                  <w:rPr>
                    <w:noProof/>
                    <w:webHidden/>
                  </w:rPr>
                  <w:fldChar w:fldCharType="separate"/>
                </w:r>
                <w:r>
                  <w:rPr>
                    <w:noProof/>
                    <w:webHidden/>
                  </w:rPr>
                  <w:t>7</w:t>
                </w:r>
                <w:r w:rsidR="00B02786">
                  <w:rPr>
                    <w:noProof/>
                    <w:webHidden/>
                  </w:rPr>
                  <w:fldChar w:fldCharType="end"/>
                </w:r>
              </w:hyperlink>
            </w:p>
            <w:p w14:paraId="3BAB9781" w14:textId="721A26E4"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5" w:history="1">
                <w:r w:rsidR="00B02786" w:rsidRPr="00F1167B">
                  <w:rPr>
                    <w:rStyle w:val="Hyperlink"/>
                    <w:noProof/>
                  </w:rPr>
                  <w:t>4.6.</w:t>
                </w:r>
                <w:r w:rsidR="00B02786">
                  <w:rPr>
                    <w:rFonts w:eastAsiaTheme="minorEastAsia"/>
                    <w:noProof/>
                    <w:kern w:val="2"/>
                    <w:sz w:val="22"/>
                    <w:lang w:eastAsia="en-AU"/>
                    <w14:ligatures w14:val="standardContextual"/>
                  </w:rPr>
                  <w:tab/>
                </w:r>
                <w:r w:rsidR="00B02786" w:rsidRPr="00F1167B">
                  <w:rPr>
                    <w:rStyle w:val="Hyperlink"/>
                    <w:noProof/>
                  </w:rPr>
                  <w:t>Variation to conditions</w:t>
                </w:r>
                <w:r w:rsidR="00B02786">
                  <w:rPr>
                    <w:noProof/>
                    <w:webHidden/>
                  </w:rPr>
                  <w:tab/>
                </w:r>
                <w:r w:rsidR="00B02786">
                  <w:rPr>
                    <w:noProof/>
                    <w:webHidden/>
                  </w:rPr>
                  <w:fldChar w:fldCharType="begin"/>
                </w:r>
                <w:r w:rsidR="00B02786">
                  <w:rPr>
                    <w:noProof/>
                    <w:webHidden/>
                  </w:rPr>
                  <w:instrText xml:space="preserve"> PAGEREF _Toc180504215 \h </w:instrText>
                </w:r>
                <w:r w:rsidR="00B02786">
                  <w:rPr>
                    <w:noProof/>
                    <w:webHidden/>
                  </w:rPr>
                </w:r>
                <w:r w:rsidR="00B02786">
                  <w:rPr>
                    <w:noProof/>
                    <w:webHidden/>
                  </w:rPr>
                  <w:fldChar w:fldCharType="separate"/>
                </w:r>
                <w:r>
                  <w:rPr>
                    <w:noProof/>
                    <w:webHidden/>
                  </w:rPr>
                  <w:t>8</w:t>
                </w:r>
                <w:r w:rsidR="00B02786">
                  <w:rPr>
                    <w:noProof/>
                    <w:webHidden/>
                  </w:rPr>
                  <w:fldChar w:fldCharType="end"/>
                </w:r>
              </w:hyperlink>
            </w:p>
            <w:p w14:paraId="40E00728" w14:textId="37F51300"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16" w:history="1">
                <w:r w:rsidR="00B02786" w:rsidRPr="00F1167B">
                  <w:rPr>
                    <w:rStyle w:val="Hyperlink"/>
                    <w:noProof/>
                  </w:rPr>
                  <w:t>5.</w:t>
                </w:r>
                <w:r w:rsidR="00B02786">
                  <w:rPr>
                    <w:rFonts w:eastAsiaTheme="minorEastAsia"/>
                    <w:noProof/>
                    <w:kern w:val="2"/>
                    <w:sz w:val="22"/>
                    <w:lang w:eastAsia="en-AU"/>
                    <w14:ligatures w14:val="standardContextual"/>
                  </w:rPr>
                  <w:tab/>
                </w:r>
                <w:r w:rsidR="00B02786" w:rsidRPr="00F1167B">
                  <w:rPr>
                    <w:rStyle w:val="Hyperlink"/>
                    <w:noProof/>
                  </w:rPr>
                  <w:t>Approval conditions</w:t>
                </w:r>
                <w:r w:rsidR="00B02786">
                  <w:rPr>
                    <w:noProof/>
                    <w:webHidden/>
                  </w:rPr>
                  <w:tab/>
                </w:r>
                <w:r w:rsidR="00B02786">
                  <w:rPr>
                    <w:noProof/>
                    <w:webHidden/>
                  </w:rPr>
                  <w:fldChar w:fldCharType="begin"/>
                </w:r>
                <w:r w:rsidR="00B02786">
                  <w:rPr>
                    <w:noProof/>
                    <w:webHidden/>
                  </w:rPr>
                  <w:instrText xml:space="preserve"> PAGEREF _Toc180504216 \h </w:instrText>
                </w:r>
                <w:r w:rsidR="00B02786">
                  <w:rPr>
                    <w:noProof/>
                    <w:webHidden/>
                  </w:rPr>
                </w:r>
                <w:r w:rsidR="00B02786">
                  <w:rPr>
                    <w:noProof/>
                    <w:webHidden/>
                  </w:rPr>
                  <w:fldChar w:fldCharType="separate"/>
                </w:r>
                <w:r>
                  <w:rPr>
                    <w:noProof/>
                    <w:webHidden/>
                  </w:rPr>
                  <w:t>8</w:t>
                </w:r>
                <w:r w:rsidR="00B02786">
                  <w:rPr>
                    <w:noProof/>
                    <w:webHidden/>
                  </w:rPr>
                  <w:fldChar w:fldCharType="end"/>
                </w:r>
              </w:hyperlink>
            </w:p>
            <w:p w14:paraId="6D7F5475" w14:textId="63CE3AC6"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17" w:history="1">
                <w:r w:rsidR="00B02786" w:rsidRPr="00F1167B">
                  <w:rPr>
                    <w:rStyle w:val="Hyperlink"/>
                    <w:noProof/>
                  </w:rPr>
                  <w:t>5.1.</w:t>
                </w:r>
                <w:r w:rsidR="00B02786">
                  <w:rPr>
                    <w:rFonts w:eastAsiaTheme="minorEastAsia"/>
                    <w:noProof/>
                    <w:kern w:val="2"/>
                    <w:sz w:val="22"/>
                    <w:lang w:eastAsia="en-AU"/>
                    <w14:ligatures w14:val="standardContextual"/>
                  </w:rPr>
                  <w:tab/>
                </w:r>
                <w:r w:rsidR="00B02786" w:rsidRPr="00F1167B">
                  <w:rPr>
                    <w:rStyle w:val="Hyperlink"/>
                    <w:noProof/>
                  </w:rPr>
                  <w:t>Part A – Conditions specific to the action</w:t>
                </w:r>
                <w:r w:rsidR="00B02786">
                  <w:rPr>
                    <w:noProof/>
                    <w:webHidden/>
                  </w:rPr>
                  <w:tab/>
                </w:r>
                <w:r w:rsidR="00B02786">
                  <w:rPr>
                    <w:noProof/>
                    <w:webHidden/>
                  </w:rPr>
                  <w:fldChar w:fldCharType="begin"/>
                </w:r>
                <w:r w:rsidR="00B02786">
                  <w:rPr>
                    <w:noProof/>
                    <w:webHidden/>
                  </w:rPr>
                  <w:instrText xml:space="preserve"> PAGEREF _Toc180504217 \h </w:instrText>
                </w:r>
                <w:r w:rsidR="00B02786">
                  <w:rPr>
                    <w:noProof/>
                    <w:webHidden/>
                  </w:rPr>
                </w:r>
                <w:r w:rsidR="00B02786">
                  <w:rPr>
                    <w:noProof/>
                    <w:webHidden/>
                  </w:rPr>
                  <w:fldChar w:fldCharType="separate"/>
                </w:r>
                <w:r>
                  <w:rPr>
                    <w:noProof/>
                    <w:webHidden/>
                  </w:rPr>
                  <w:t>8</w:t>
                </w:r>
                <w:r w:rsidR="00B02786">
                  <w:rPr>
                    <w:noProof/>
                    <w:webHidden/>
                  </w:rPr>
                  <w:fldChar w:fldCharType="end"/>
                </w:r>
              </w:hyperlink>
            </w:p>
            <w:p w14:paraId="48D7FEEB" w14:textId="30204F52"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18" w:history="1">
                <w:r w:rsidR="00B02786" w:rsidRPr="00F1167B">
                  <w:rPr>
                    <w:rStyle w:val="Hyperlink"/>
                    <w:noProof/>
                  </w:rPr>
                  <w:t>5.1.1.</w:t>
                </w:r>
                <w:r w:rsidR="00B02786">
                  <w:rPr>
                    <w:rFonts w:eastAsiaTheme="minorEastAsia"/>
                    <w:noProof/>
                    <w:kern w:val="2"/>
                    <w:sz w:val="22"/>
                    <w:lang w:eastAsia="en-AU"/>
                    <w14:ligatures w14:val="standardContextual"/>
                  </w:rPr>
                  <w:tab/>
                </w:r>
                <w:r w:rsidR="00B02786" w:rsidRPr="00F1167B">
                  <w:rPr>
                    <w:rStyle w:val="Hyperlink"/>
                    <w:noProof/>
                  </w:rPr>
                  <w:t>Management plans – condition 1</w:t>
                </w:r>
                <w:r w:rsidR="00B02786">
                  <w:rPr>
                    <w:noProof/>
                    <w:webHidden/>
                  </w:rPr>
                  <w:tab/>
                </w:r>
                <w:r w:rsidR="00B02786">
                  <w:rPr>
                    <w:noProof/>
                    <w:webHidden/>
                  </w:rPr>
                  <w:fldChar w:fldCharType="begin"/>
                </w:r>
                <w:r w:rsidR="00B02786">
                  <w:rPr>
                    <w:noProof/>
                    <w:webHidden/>
                  </w:rPr>
                  <w:instrText xml:space="preserve"> PAGEREF _Toc180504218 \h </w:instrText>
                </w:r>
                <w:r w:rsidR="00B02786">
                  <w:rPr>
                    <w:noProof/>
                    <w:webHidden/>
                  </w:rPr>
                </w:r>
                <w:r w:rsidR="00B02786">
                  <w:rPr>
                    <w:noProof/>
                    <w:webHidden/>
                  </w:rPr>
                  <w:fldChar w:fldCharType="separate"/>
                </w:r>
                <w:r>
                  <w:rPr>
                    <w:noProof/>
                    <w:webHidden/>
                  </w:rPr>
                  <w:t>8</w:t>
                </w:r>
                <w:r w:rsidR="00B02786">
                  <w:rPr>
                    <w:noProof/>
                    <w:webHidden/>
                  </w:rPr>
                  <w:fldChar w:fldCharType="end"/>
                </w:r>
              </w:hyperlink>
            </w:p>
            <w:p w14:paraId="215B654D" w14:textId="4312B132"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19" w:history="1">
                <w:r w:rsidR="00B02786" w:rsidRPr="00F1167B">
                  <w:rPr>
                    <w:rStyle w:val="Hyperlink"/>
                    <w:noProof/>
                  </w:rPr>
                  <w:t>5.1.2.</w:t>
                </w:r>
                <w:r w:rsidR="00B02786">
                  <w:rPr>
                    <w:rFonts w:eastAsiaTheme="minorEastAsia"/>
                    <w:noProof/>
                    <w:kern w:val="2"/>
                    <w:sz w:val="22"/>
                    <w:lang w:eastAsia="en-AU"/>
                    <w14:ligatures w14:val="standardContextual"/>
                  </w:rPr>
                  <w:tab/>
                </w:r>
                <w:r w:rsidR="00B02786" w:rsidRPr="00F1167B">
                  <w:rPr>
                    <w:rStyle w:val="Hyperlink"/>
                    <w:noProof/>
                  </w:rPr>
                  <w:t>Discharge management – conditions 2 and 3</w:t>
                </w:r>
                <w:r w:rsidR="00B02786">
                  <w:rPr>
                    <w:noProof/>
                    <w:webHidden/>
                  </w:rPr>
                  <w:tab/>
                </w:r>
                <w:r w:rsidR="00B02786">
                  <w:rPr>
                    <w:noProof/>
                    <w:webHidden/>
                  </w:rPr>
                  <w:fldChar w:fldCharType="begin"/>
                </w:r>
                <w:r w:rsidR="00B02786">
                  <w:rPr>
                    <w:noProof/>
                    <w:webHidden/>
                  </w:rPr>
                  <w:instrText xml:space="preserve"> PAGEREF _Toc180504219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4A49EBFA" w14:textId="7AFAB31F"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0" w:history="1">
                <w:r w:rsidR="00B02786" w:rsidRPr="00F1167B">
                  <w:rPr>
                    <w:rStyle w:val="Hyperlink"/>
                    <w:noProof/>
                  </w:rPr>
                  <w:t>5.1.3.</w:t>
                </w:r>
                <w:r w:rsidR="00B02786">
                  <w:rPr>
                    <w:rFonts w:eastAsiaTheme="minorEastAsia"/>
                    <w:noProof/>
                    <w:kern w:val="2"/>
                    <w:sz w:val="22"/>
                    <w:lang w:eastAsia="en-AU"/>
                    <w14:ligatures w14:val="standardContextual"/>
                  </w:rPr>
                  <w:tab/>
                </w:r>
                <w:r w:rsidR="00B02786" w:rsidRPr="00F1167B">
                  <w:rPr>
                    <w:rStyle w:val="Hyperlink"/>
                    <w:noProof/>
                  </w:rPr>
                  <w:t>Invasive marine species management – condition 4</w:t>
                </w:r>
                <w:r w:rsidR="00B02786">
                  <w:rPr>
                    <w:noProof/>
                    <w:webHidden/>
                  </w:rPr>
                  <w:tab/>
                </w:r>
                <w:r w:rsidR="00B02786">
                  <w:rPr>
                    <w:noProof/>
                    <w:webHidden/>
                  </w:rPr>
                  <w:fldChar w:fldCharType="begin"/>
                </w:r>
                <w:r w:rsidR="00B02786">
                  <w:rPr>
                    <w:noProof/>
                    <w:webHidden/>
                  </w:rPr>
                  <w:instrText xml:space="preserve"> PAGEREF _Toc180504220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10EEA7B8" w14:textId="3D5FCCE1"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1" w:history="1">
                <w:r w:rsidR="00B02786" w:rsidRPr="00F1167B">
                  <w:rPr>
                    <w:rStyle w:val="Hyperlink"/>
                    <w:noProof/>
                  </w:rPr>
                  <w:t>5.1.4.</w:t>
                </w:r>
                <w:r w:rsidR="00B02786">
                  <w:rPr>
                    <w:rFonts w:eastAsiaTheme="minorEastAsia"/>
                    <w:noProof/>
                    <w:kern w:val="2"/>
                    <w:sz w:val="22"/>
                    <w:lang w:eastAsia="en-AU"/>
                    <w14:ligatures w14:val="standardContextual"/>
                  </w:rPr>
                  <w:tab/>
                </w:r>
                <w:r w:rsidR="00B02786" w:rsidRPr="00F1167B">
                  <w:rPr>
                    <w:rStyle w:val="Hyperlink"/>
                    <w:noProof/>
                  </w:rPr>
                  <w:t>Hazardous waste management – conditions 10 - 12</w:t>
                </w:r>
                <w:r w:rsidR="00B02786">
                  <w:rPr>
                    <w:noProof/>
                    <w:webHidden/>
                  </w:rPr>
                  <w:tab/>
                </w:r>
                <w:r w:rsidR="00B02786">
                  <w:rPr>
                    <w:noProof/>
                    <w:webHidden/>
                  </w:rPr>
                  <w:fldChar w:fldCharType="begin"/>
                </w:r>
                <w:r w:rsidR="00B02786">
                  <w:rPr>
                    <w:noProof/>
                    <w:webHidden/>
                  </w:rPr>
                  <w:instrText xml:space="preserve"> PAGEREF _Toc180504221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2EA505C7" w14:textId="024459FE"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22" w:history="1">
                <w:r w:rsidR="00B02786" w:rsidRPr="00F1167B">
                  <w:rPr>
                    <w:rStyle w:val="Hyperlink"/>
                    <w:noProof/>
                  </w:rPr>
                  <w:t>5.2.</w:t>
                </w:r>
                <w:r w:rsidR="00B02786">
                  <w:rPr>
                    <w:rFonts w:eastAsiaTheme="minorEastAsia"/>
                    <w:noProof/>
                    <w:kern w:val="2"/>
                    <w:sz w:val="22"/>
                    <w:lang w:eastAsia="en-AU"/>
                    <w14:ligatures w14:val="standardContextual"/>
                  </w:rPr>
                  <w:tab/>
                </w:r>
                <w:r w:rsidR="00B02786" w:rsidRPr="00F1167B">
                  <w:rPr>
                    <w:rStyle w:val="Hyperlink"/>
                    <w:noProof/>
                  </w:rPr>
                  <w:t>Part B - Administrative conditions</w:t>
                </w:r>
                <w:r w:rsidR="00B02786">
                  <w:rPr>
                    <w:noProof/>
                    <w:webHidden/>
                  </w:rPr>
                  <w:tab/>
                </w:r>
                <w:r w:rsidR="00B02786">
                  <w:rPr>
                    <w:noProof/>
                    <w:webHidden/>
                  </w:rPr>
                  <w:fldChar w:fldCharType="begin"/>
                </w:r>
                <w:r w:rsidR="00B02786">
                  <w:rPr>
                    <w:noProof/>
                    <w:webHidden/>
                  </w:rPr>
                  <w:instrText xml:space="preserve"> PAGEREF _Toc180504222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0BDB6529" w14:textId="2B837D10"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3" w:history="1">
                <w:r w:rsidR="00B02786" w:rsidRPr="00F1167B">
                  <w:rPr>
                    <w:rStyle w:val="Hyperlink"/>
                    <w:noProof/>
                  </w:rPr>
                  <w:t>5.2.1.</w:t>
                </w:r>
                <w:r w:rsidR="00B02786">
                  <w:rPr>
                    <w:rFonts w:eastAsiaTheme="minorEastAsia"/>
                    <w:noProof/>
                    <w:kern w:val="2"/>
                    <w:sz w:val="22"/>
                    <w:lang w:eastAsia="en-AU"/>
                    <w14:ligatures w14:val="standardContextual"/>
                  </w:rPr>
                  <w:tab/>
                </w:r>
                <w:r w:rsidR="00B02786" w:rsidRPr="00F1167B">
                  <w:rPr>
                    <w:rStyle w:val="Hyperlink"/>
                    <w:noProof/>
                  </w:rPr>
                  <w:t>Notification of date of commencement of the Action – conditions 13 and 14</w:t>
                </w:r>
                <w:r w:rsidR="00B02786">
                  <w:rPr>
                    <w:noProof/>
                    <w:webHidden/>
                  </w:rPr>
                  <w:tab/>
                </w:r>
                <w:r w:rsidR="00B02786">
                  <w:rPr>
                    <w:noProof/>
                    <w:webHidden/>
                  </w:rPr>
                  <w:fldChar w:fldCharType="begin"/>
                </w:r>
                <w:r w:rsidR="00B02786">
                  <w:rPr>
                    <w:noProof/>
                    <w:webHidden/>
                  </w:rPr>
                  <w:instrText xml:space="preserve"> PAGEREF _Toc180504223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7AC47C68" w14:textId="2FBBAC71"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4" w:history="1">
                <w:r w:rsidR="00B02786" w:rsidRPr="00F1167B">
                  <w:rPr>
                    <w:rStyle w:val="Hyperlink"/>
                    <w:noProof/>
                  </w:rPr>
                  <w:t>5.2.2.</w:t>
                </w:r>
                <w:r w:rsidR="00B02786">
                  <w:rPr>
                    <w:rFonts w:eastAsiaTheme="minorEastAsia"/>
                    <w:noProof/>
                    <w:kern w:val="2"/>
                    <w:sz w:val="22"/>
                    <w:lang w:eastAsia="en-AU"/>
                    <w14:ligatures w14:val="standardContextual"/>
                  </w:rPr>
                  <w:tab/>
                </w:r>
                <w:r w:rsidR="00B02786" w:rsidRPr="00F1167B">
                  <w:rPr>
                    <w:rStyle w:val="Hyperlink"/>
                    <w:noProof/>
                  </w:rPr>
                  <w:t>Compliance records – Conditions 15 - 19</w:t>
                </w:r>
                <w:r w:rsidR="00B02786">
                  <w:rPr>
                    <w:noProof/>
                    <w:webHidden/>
                  </w:rPr>
                  <w:tab/>
                </w:r>
                <w:r w:rsidR="00B02786">
                  <w:rPr>
                    <w:noProof/>
                    <w:webHidden/>
                  </w:rPr>
                  <w:fldChar w:fldCharType="begin"/>
                </w:r>
                <w:r w:rsidR="00B02786">
                  <w:rPr>
                    <w:noProof/>
                    <w:webHidden/>
                  </w:rPr>
                  <w:instrText xml:space="preserve"> PAGEREF _Toc180504224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5EE5898E" w14:textId="3AD90997"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5" w:history="1">
                <w:r w:rsidR="00B02786" w:rsidRPr="00F1167B">
                  <w:rPr>
                    <w:rStyle w:val="Hyperlink"/>
                    <w:noProof/>
                  </w:rPr>
                  <w:t>5.2.3.</w:t>
                </w:r>
                <w:r w:rsidR="00B02786">
                  <w:rPr>
                    <w:rFonts w:eastAsiaTheme="minorEastAsia"/>
                    <w:noProof/>
                    <w:kern w:val="2"/>
                    <w:sz w:val="22"/>
                    <w:lang w:eastAsia="en-AU"/>
                    <w14:ligatures w14:val="standardContextual"/>
                  </w:rPr>
                  <w:tab/>
                </w:r>
                <w:r w:rsidR="00B02786" w:rsidRPr="00F1167B">
                  <w:rPr>
                    <w:rStyle w:val="Hyperlink"/>
                    <w:noProof/>
                  </w:rPr>
                  <w:t>Annual compliance reporting – conditions 20 - 23</w:t>
                </w:r>
                <w:r w:rsidR="00B02786">
                  <w:rPr>
                    <w:noProof/>
                    <w:webHidden/>
                  </w:rPr>
                  <w:tab/>
                </w:r>
                <w:r w:rsidR="00B02786">
                  <w:rPr>
                    <w:noProof/>
                    <w:webHidden/>
                  </w:rPr>
                  <w:fldChar w:fldCharType="begin"/>
                </w:r>
                <w:r w:rsidR="00B02786">
                  <w:rPr>
                    <w:noProof/>
                    <w:webHidden/>
                  </w:rPr>
                  <w:instrText xml:space="preserve"> PAGEREF _Toc180504225 \h </w:instrText>
                </w:r>
                <w:r w:rsidR="00B02786">
                  <w:rPr>
                    <w:noProof/>
                    <w:webHidden/>
                  </w:rPr>
                </w:r>
                <w:r w:rsidR="00B02786">
                  <w:rPr>
                    <w:noProof/>
                    <w:webHidden/>
                  </w:rPr>
                  <w:fldChar w:fldCharType="separate"/>
                </w:r>
                <w:r>
                  <w:rPr>
                    <w:noProof/>
                    <w:webHidden/>
                  </w:rPr>
                  <w:t>10</w:t>
                </w:r>
                <w:r w:rsidR="00B02786">
                  <w:rPr>
                    <w:noProof/>
                    <w:webHidden/>
                  </w:rPr>
                  <w:fldChar w:fldCharType="end"/>
                </w:r>
              </w:hyperlink>
            </w:p>
            <w:p w14:paraId="26DAFC75" w14:textId="6136ECB7" w:rsidR="00B02786" w:rsidRDefault="0080301B">
              <w:pPr>
                <w:pStyle w:val="TOC4"/>
                <w:tabs>
                  <w:tab w:val="left" w:pos="1320"/>
                  <w:tab w:val="right" w:leader="dot" w:pos="9016"/>
                </w:tabs>
                <w:rPr>
                  <w:rFonts w:eastAsiaTheme="minorEastAsia"/>
                  <w:noProof/>
                  <w:kern w:val="2"/>
                  <w:sz w:val="22"/>
                  <w:lang w:eastAsia="en-AU"/>
                  <w14:ligatures w14:val="standardContextual"/>
                </w:rPr>
              </w:pPr>
              <w:hyperlink w:anchor="_Toc180504226" w:history="1">
                <w:r w:rsidR="00B02786" w:rsidRPr="00F1167B">
                  <w:rPr>
                    <w:rStyle w:val="Hyperlink"/>
                    <w:noProof/>
                  </w:rPr>
                  <w:t>5.2.4.</w:t>
                </w:r>
                <w:r w:rsidR="00B02786">
                  <w:rPr>
                    <w:rFonts w:eastAsiaTheme="minorEastAsia"/>
                    <w:noProof/>
                    <w:kern w:val="2"/>
                    <w:sz w:val="22"/>
                    <w:lang w:eastAsia="en-AU"/>
                    <w14:ligatures w14:val="standardContextual"/>
                  </w:rPr>
                  <w:tab/>
                </w:r>
                <w:r w:rsidR="00B02786" w:rsidRPr="00F1167B">
                  <w:rPr>
                    <w:rStyle w:val="Hyperlink"/>
                    <w:noProof/>
                  </w:rPr>
                  <w:t>Notifications – conditions 24 - 26</w:t>
                </w:r>
                <w:r w:rsidR="00B02786">
                  <w:rPr>
                    <w:noProof/>
                    <w:webHidden/>
                  </w:rPr>
                  <w:tab/>
                </w:r>
                <w:r w:rsidR="00B02786">
                  <w:rPr>
                    <w:noProof/>
                    <w:webHidden/>
                  </w:rPr>
                  <w:fldChar w:fldCharType="begin"/>
                </w:r>
                <w:r w:rsidR="00B02786">
                  <w:rPr>
                    <w:noProof/>
                    <w:webHidden/>
                  </w:rPr>
                  <w:instrText xml:space="preserve"> PAGEREF _Toc180504226 \h </w:instrText>
                </w:r>
                <w:r w:rsidR="00B02786">
                  <w:rPr>
                    <w:noProof/>
                    <w:webHidden/>
                  </w:rPr>
                </w:r>
                <w:r w:rsidR="00B02786">
                  <w:rPr>
                    <w:noProof/>
                    <w:webHidden/>
                  </w:rPr>
                  <w:fldChar w:fldCharType="separate"/>
                </w:r>
                <w:r>
                  <w:rPr>
                    <w:noProof/>
                    <w:webHidden/>
                  </w:rPr>
                  <w:t>11</w:t>
                </w:r>
                <w:r w:rsidR="00B02786">
                  <w:rPr>
                    <w:noProof/>
                    <w:webHidden/>
                  </w:rPr>
                  <w:fldChar w:fldCharType="end"/>
                </w:r>
              </w:hyperlink>
            </w:p>
            <w:p w14:paraId="3A13CF40" w14:textId="6A03783B"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27" w:history="1">
                <w:r w:rsidR="00B02786" w:rsidRPr="00F1167B">
                  <w:rPr>
                    <w:rStyle w:val="Hyperlink"/>
                    <w:noProof/>
                    <w:lang w:val="en-US"/>
                  </w:rPr>
                  <w:t>6.</w:t>
                </w:r>
                <w:r w:rsidR="00B02786">
                  <w:rPr>
                    <w:rFonts w:eastAsiaTheme="minorEastAsia"/>
                    <w:noProof/>
                    <w:kern w:val="2"/>
                    <w:sz w:val="22"/>
                    <w:lang w:eastAsia="en-AU"/>
                    <w14:ligatures w14:val="standardContextual"/>
                  </w:rPr>
                  <w:tab/>
                </w:r>
                <w:r w:rsidR="00B02786" w:rsidRPr="00F1167B">
                  <w:rPr>
                    <w:rStyle w:val="Hyperlink"/>
                    <w:noProof/>
                  </w:rPr>
                  <w:t xml:space="preserve">Attachment A - </w:t>
                </w:r>
                <w:r w:rsidR="00B02786" w:rsidRPr="00F1167B">
                  <w:rPr>
                    <w:rStyle w:val="Hyperlink"/>
                    <w:noProof/>
                    <w:lang w:val="en-US"/>
                  </w:rPr>
                  <w:t>Conditions approved on 1 August 2023</w:t>
                </w:r>
                <w:r w:rsidR="00B02786">
                  <w:rPr>
                    <w:noProof/>
                    <w:webHidden/>
                  </w:rPr>
                  <w:tab/>
                </w:r>
                <w:r w:rsidR="00B02786">
                  <w:rPr>
                    <w:noProof/>
                    <w:webHidden/>
                  </w:rPr>
                  <w:fldChar w:fldCharType="begin"/>
                </w:r>
                <w:r w:rsidR="00B02786">
                  <w:rPr>
                    <w:noProof/>
                    <w:webHidden/>
                  </w:rPr>
                  <w:instrText xml:space="preserve"> PAGEREF _Toc180504227 \h </w:instrText>
                </w:r>
                <w:r w:rsidR="00B02786">
                  <w:rPr>
                    <w:noProof/>
                    <w:webHidden/>
                  </w:rPr>
                </w:r>
                <w:r w:rsidR="00B02786">
                  <w:rPr>
                    <w:noProof/>
                    <w:webHidden/>
                  </w:rPr>
                  <w:fldChar w:fldCharType="separate"/>
                </w:r>
                <w:r>
                  <w:rPr>
                    <w:noProof/>
                    <w:webHidden/>
                  </w:rPr>
                  <w:t>12</w:t>
                </w:r>
                <w:r w:rsidR="00B02786">
                  <w:rPr>
                    <w:noProof/>
                    <w:webHidden/>
                  </w:rPr>
                  <w:fldChar w:fldCharType="end"/>
                </w:r>
              </w:hyperlink>
            </w:p>
            <w:p w14:paraId="25028D50" w14:textId="02A62508"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28" w:history="1">
                <w:r w:rsidR="00B02786" w:rsidRPr="00F1167B">
                  <w:rPr>
                    <w:rStyle w:val="Hyperlink"/>
                    <w:noProof/>
                    <w:lang w:val="en-US"/>
                  </w:rPr>
                  <w:t>6.1.</w:t>
                </w:r>
                <w:r w:rsidR="00B02786">
                  <w:rPr>
                    <w:rFonts w:eastAsiaTheme="minorEastAsia"/>
                    <w:noProof/>
                    <w:kern w:val="2"/>
                    <w:sz w:val="22"/>
                    <w:lang w:eastAsia="en-AU"/>
                    <w14:ligatures w14:val="standardContextual"/>
                  </w:rPr>
                  <w:tab/>
                </w:r>
                <w:r w:rsidR="00B02786" w:rsidRPr="00F1167B">
                  <w:rPr>
                    <w:rStyle w:val="Hyperlink"/>
                    <w:noProof/>
                    <w:lang w:val="en-US"/>
                  </w:rPr>
                  <w:t>Approved action</w:t>
                </w:r>
                <w:r w:rsidR="00B02786">
                  <w:rPr>
                    <w:noProof/>
                    <w:webHidden/>
                  </w:rPr>
                  <w:tab/>
                </w:r>
                <w:r w:rsidR="00B02786">
                  <w:rPr>
                    <w:noProof/>
                    <w:webHidden/>
                  </w:rPr>
                  <w:fldChar w:fldCharType="begin"/>
                </w:r>
                <w:r w:rsidR="00B02786">
                  <w:rPr>
                    <w:noProof/>
                    <w:webHidden/>
                  </w:rPr>
                  <w:instrText xml:space="preserve"> PAGEREF _Toc180504228 \h </w:instrText>
                </w:r>
                <w:r w:rsidR="00B02786">
                  <w:rPr>
                    <w:noProof/>
                    <w:webHidden/>
                  </w:rPr>
                </w:r>
                <w:r w:rsidR="00B02786">
                  <w:rPr>
                    <w:noProof/>
                    <w:webHidden/>
                  </w:rPr>
                  <w:fldChar w:fldCharType="separate"/>
                </w:r>
                <w:r>
                  <w:rPr>
                    <w:noProof/>
                    <w:webHidden/>
                  </w:rPr>
                  <w:t>12</w:t>
                </w:r>
                <w:r w:rsidR="00B02786">
                  <w:rPr>
                    <w:noProof/>
                    <w:webHidden/>
                  </w:rPr>
                  <w:fldChar w:fldCharType="end"/>
                </w:r>
              </w:hyperlink>
            </w:p>
            <w:p w14:paraId="6DF3FF57" w14:textId="576963C7"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29" w:history="1">
                <w:r w:rsidR="00B02786" w:rsidRPr="00F1167B">
                  <w:rPr>
                    <w:rStyle w:val="Hyperlink"/>
                    <w:noProof/>
                  </w:rPr>
                  <w:t>7.</w:t>
                </w:r>
                <w:r w:rsidR="00B02786">
                  <w:rPr>
                    <w:rFonts w:eastAsiaTheme="minorEastAsia"/>
                    <w:noProof/>
                    <w:kern w:val="2"/>
                    <w:sz w:val="22"/>
                    <w:lang w:eastAsia="en-AU"/>
                    <w14:ligatures w14:val="standardContextual"/>
                  </w:rPr>
                  <w:tab/>
                </w:r>
                <w:r w:rsidR="00B02786" w:rsidRPr="00F1167B">
                  <w:rPr>
                    <w:rStyle w:val="Hyperlink"/>
                    <w:noProof/>
                  </w:rPr>
                  <w:t xml:space="preserve">Attachment B - </w:t>
                </w:r>
                <w:r w:rsidR="00B02786" w:rsidRPr="00F1167B">
                  <w:rPr>
                    <w:rStyle w:val="Hyperlink"/>
                    <w:noProof/>
                    <w:lang w:val="en-US"/>
                  </w:rPr>
                  <w:t>Conditions as varied on 5 April 2024</w:t>
                </w:r>
                <w:r w:rsidR="00B02786">
                  <w:rPr>
                    <w:noProof/>
                    <w:webHidden/>
                  </w:rPr>
                  <w:tab/>
                </w:r>
                <w:r w:rsidR="00B02786">
                  <w:rPr>
                    <w:noProof/>
                    <w:webHidden/>
                  </w:rPr>
                  <w:fldChar w:fldCharType="begin"/>
                </w:r>
                <w:r w:rsidR="00B02786">
                  <w:rPr>
                    <w:noProof/>
                    <w:webHidden/>
                  </w:rPr>
                  <w:instrText xml:space="preserve"> PAGEREF _Toc180504229 \h </w:instrText>
                </w:r>
                <w:r w:rsidR="00B02786">
                  <w:rPr>
                    <w:noProof/>
                    <w:webHidden/>
                  </w:rPr>
                </w:r>
                <w:r w:rsidR="00B02786">
                  <w:rPr>
                    <w:noProof/>
                    <w:webHidden/>
                  </w:rPr>
                  <w:fldChar w:fldCharType="separate"/>
                </w:r>
                <w:r>
                  <w:rPr>
                    <w:noProof/>
                    <w:webHidden/>
                  </w:rPr>
                  <w:t>13</w:t>
                </w:r>
                <w:r w:rsidR="00B02786">
                  <w:rPr>
                    <w:noProof/>
                    <w:webHidden/>
                  </w:rPr>
                  <w:fldChar w:fldCharType="end"/>
                </w:r>
              </w:hyperlink>
            </w:p>
            <w:p w14:paraId="44979F2C" w14:textId="1AE4CD0E"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0" w:history="1">
                <w:r w:rsidR="00B02786" w:rsidRPr="00F1167B">
                  <w:rPr>
                    <w:rStyle w:val="Hyperlink"/>
                    <w:noProof/>
                    <w:lang w:val="en-US"/>
                  </w:rPr>
                  <w:t>7.1.</w:t>
                </w:r>
                <w:r w:rsidR="00B02786">
                  <w:rPr>
                    <w:rFonts w:eastAsiaTheme="minorEastAsia"/>
                    <w:noProof/>
                    <w:kern w:val="2"/>
                    <w:sz w:val="22"/>
                    <w:lang w:eastAsia="en-AU"/>
                    <w14:ligatures w14:val="standardContextual"/>
                  </w:rPr>
                  <w:tab/>
                </w:r>
                <w:r w:rsidR="00B02786" w:rsidRPr="00F1167B">
                  <w:rPr>
                    <w:rStyle w:val="Hyperlink"/>
                    <w:noProof/>
                    <w:lang w:val="en-US"/>
                  </w:rPr>
                  <w:t>Approved action</w:t>
                </w:r>
                <w:r w:rsidR="00B02786">
                  <w:rPr>
                    <w:noProof/>
                    <w:webHidden/>
                  </w:rPr>
                  <w:tab/>
                </w:r>
                <w:r w:rsidR="00B02786">
                  <w:rPr>
                    <w:noProof/>
                    <w:webHidden/>
                  </w:rPr>
                  <w:fldChar w:fldCharType="begin"/>
                </w:r>
                <w:r w:rsidR="00B02786">
                  <w:rPr>
                    <w:noProof/>
                    <w:webHidden/>
                  </w:rPr>
                  <w:instrText xml:space="preserve"> PAGEREF _Toc180504230 \h </w:instrText>
                </w:r>
                <w:r w:rsidR="00B02786">
                  <w:rPr>
                    <w:noProof/>
                    <w:webHidden/>
                  </w:rPr>
                </w:r>
                <w:r w:rsidR="00B02786">
                  <w:rPr>
                    <w:noProof/>
                    <w:webHidden/>
                  </w:rPr>
                  <w:fldChar w:fldCharType="separate"/>
                </w:r>
                <w:r>
                  <w:rPr>
                    <w:noProof/>
                    <w:webHidden/>
                  </w:rPr>
                  <w:t>13</w:t>
                </w:r>
                <w:r w:rsidR="00B02786">
                  <w:rPr>
                    <w:noProof/>
                    <w:webHidden/>
                  </w:rPr>
                  <w:fldChar w:fldCharType="end"/>
                </w:r>
              </w:hyperlink>
            </w:p>
            <w:p w14:paraId="07C22A7D" w14:textId="1DA8E3E9" w:rsidR="00B02786" w:rsidRDefault="0080301B">
              <w:pPr>
                <w:pStyle w:val="TOC2"/>
                <w:tabs>
                  <w:tab w:val="left" w:pos="442"/>
                  <w:tab w:val="right" w:leader="dot" w:pos="9016"/>
                </w:tabs>
                <w:rPr>
                  <w:rFonts w:eastAsiaTheme="minorEastAsia"/>
                  <w:noProof/>
                  <w:kern w:val="2"/>
                  <w:sz w:val="22"/>
                  <w:lang w:eastAsia="en-AU"/>
                  <w14:ligatures w14:val="standardContextual"/>
                </w:rPr>
              </w:pPr>
              <w:hyperlink w:anchor="_Toc180504231" w:history="1">
                <w:r w:rsidR="00B02786" w:rsidRPr="00F1167B">
                  <w:rPr>
                    <w:rStyle w:val="Hyperlink"/>
                    <w:noProof/>
                    <w:lang w:val="en-US"/>
                  </w:rPr>
                  <w:t>8.</w:t>
                </w:r>
                <w:r w:rsidR="00B02786">
                  <w:rPr>
                    <w:rFonts w:eastAsiaTheme="minorEastAsia"/>
                    <w:noProof/>
                    <w:kern w:val="2"/>
                    <w:sz w:val="22"/>
                    <w:lang w:eastAsia="en-AU"/>
                    <w14:ligatures w14:val="standardContextual"/>
                  </w:rPr>
                  <w:tab/>
                </w:r>
                <w:r w:rsidR="00B02786" w:rsidRPr="00F1167B">
                  <w:rPr>
                    <w:rStyle w:val="Hyperlink"/>
                    <w:noProof/>
                  </w:rPr>
                  <w:t xml:space="preserve">Attachment C – Detail of </w:t>
                </w:r>
                <w:r w:rsidR="00B02786" w:rsidRPr="00F1167B">
                  <w:rPr>
                    <w:rStyle w:val="Hyperlink"/>
                    <w:noProof/>
                    <w:lang w:val="en-US"/>
                  </w:rPr>
                  <w:t>compliance with conditions of approval.</w:t>
                </w:r>
                <w:r w:rsidR="00B02786">
                  <w:rPr>
                    <w:noProof/>
                    <w:webHidden/>
                  </w:rPr>
                  <w:tab/>
                </w:r>
                <w:r w:rsidR="00B02786">
                  <w:rPr>
                    <w:noProof/>
                    <w:webHidden/>
                  </w:rPr>
                  <w:fldChar w:fldCharType="begin"/>
                </w:r>
                <w:r w:rsidR="00B02786">
                  <w:rPr>
                    <w:noProof/>
                    <w:webHidden/>
                  </w:rPr>
                  <w:instrText xml:space="preserve"> PAGEREF _Toc180504231 \h </w:instrText>
                </w:r>
                <w:r w:rsidR="00B02786">
                  <w:rPr>
                    <w:noProof/>
                    <w:webHidden/>
                  </w:rPr>
                </w:r>
                <w:r w:rsidR="00B02786">
                  <w:rPr>
                    <w:noProof/>
                    <w:webHidden/>
                  </w:rPr>
                  <w:fldChar w:fldCharType="separate"/>
                </w:r>
                <w:r>
                  <w:rPr>
                    <w:noProof/>
                    <w:webHidden/>
                  </w:rPr>
                  <w:t>14</w:t>
                </w:r>
                <w:r w:rsidR="00B02786">
                  <w:rPr>
                    <w:noProof/>
                    <w:webHidden/>
                  </w:rPr>
                  <w:fldChar w:fldCharType="end"/>
                </w:r>
              </w:hyperlink>
            </w:p>
            <w:p w14:paraId="3EE4A62C" w14:textId="66309355"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2" w:history="1">
                <w:r w:rsidR="00B02786" w:rsidRPr="00F1167B">
                  <w:rPr>
                    <w:rStyle w:val="Hyperlink"/>
                    <w:noProof/>
                    <w:lang w:val="en-US"/>
                  </w:rPr>
                  <w:t>8.1.</w:t>
                </w:r>
                <w:r w:rsidR="00B02786">
                  <w:rPr>
                    <w:rFonts w:eastAsiaTheme="minorEastAsia"/>
                    <w:noProof/>
                    <w:kern w:val="2"/>
                    <w:sz w:val="22"/>
                    <w:lang w:eastAsia="en-AU"/>
                    <w14:ligatures w14:val="standardContextual"/>
                  </w:rPr>
                  <w:tab/>
                </w:r>
                <w:r w:rsidR="00B02786" w:rsidRPr="00F1167B">
                  <w:rPr>
                    <w:rStyle w:val="Hyperlink"/>
                    <w:noProof/>
                    <w:lang w:val="en-US"/>
                  </w:rPr>
                  <w:t>Management plans</w:t>
                </w:r>
                <w:r w:rsidR="00B02786">
                  <w:rPr>
                    <w:noProof/>
                    <w:webHidden/>
                  </w:rPr>
                  <w:tab/>
                </w:r>
                <w:r w:rsidR="00B02786">
                  <w:rPr>
                    <w:noProof/>
                    <w:webHidden/>
                  </w:rPr>
                  <w:fldChar w:fldCharType="begin"/>
                </w:r>
                <w:r w:rsidR="00B02786">
                  <w:rPr>
                    <w:noProof/>
                    <w:webHidden/>
                  </w:rPr>
                  <w:instrText xml:space="preserve"> PAGEREF _Toc180504232 \h </w:instrText>
                </w:r>
                <w:r w:rsidR="00B02786">
                  <w:rPr>
                    <w:noProof/>
                    <w:webHidden/>
                  </w:rPr>
                </w:r>
                <w:r w:rsidR="00B02786">
                  <w:rPr>
                    <w:noProof/>
                    <w:webHidden/>
                  </w:rPr>
                  <w:fldChar w:fldCharType="separate"/>
                </w:r>
                <w:r>
                  <w:rPr>
                    <w:noProof/>
                    <w:webHidden/>
                  </w:rPr>
                  <w:t>14</w:t>
                </w:r>
                <w:r w:rsidR="00B02786">
                  <w:rPr>
                    <w:noProof/>
                    <w:webHidden/>
                  </w:rPr>
                  <w:fldChar w:fldCharType="end"/>
                </w:r>
              </w:hyperlink>
            </w:p>
            <w:p w14:paraId="64C7B8A1" w14:textId="08C66676"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3" w:history="1">
                <w:r w:rsidR="00B02786" w:rsidRPr="00F1167B">
                  <w:rPr>
                    <w:rStyle w:val="Hyperlink"/>
                    <w:noProof/>
                  </w:rPr>
                  <w:t>8.2.</w:t>
                </w:r>
                <w:r w:rsidR="00B02786">
                  <w:rPr>
                    <w:rFonts w:eastAsiaTheme="minorEastAsia"/>
                    <w:noProof/>
                    <w:kern w:val="2"/>
                    <w:sz w:val="22"/>
                    <w:lang w:eastAsia="en-AU"/>
                    <w14:ligatures w14:val="standardContextual"/>
                  </w:rPr>
                  <w:tab/>
                </w:r>
                <w:r w:rsidR="00B02786" w:rsidRPr="00F1167B">
                  <w:rPr>
                    <w:rStyle w:val="Hyperlink"/>
                    <w:noProof/>
                  </w:rPr>
                  <w:t>Discharge management</w:t>
                </w:r>
                <w:r w:rsidR="00B02786">
                  <w:rPr>
                    <w:noProof/>
                    <w:webHidden/>
                  </w:rPr>
                  <w:tab/>
                </w:r>
                <w:r w:rsidR="00B02786">
                  <w:rPr>
                    <w:noProof/>
                    <w:webHidden/>
                  </w:rPr>
                  <w:fldChar w:fldCharType="begin"/>
                </w:r>
                <w:r w:rsidR="00B02786">
                  <w:rPr>
                    <w:noProof/>
                    <w:webHidden/>
                  </w:rPr>
                  <w:instrText xml:space="preserve"> PAGEREF _Toc180504233 \h </w:instrText>
                </w:r>
                <w:r w:rsidR="00B02786">
                  <w:rPr>
                    <w:noProof/>
                    <w:webHidden/>
                  </w:rPr>
                </w:r>
                <w:r w:rsidR="00B02786">
                  <w:rPr>
                    <w:noProof/>
                    <w:webHidden/>
                  </w:rPr>
                  <w:fldChar w:fldCharType="separate"/>
                </w:r>
                <w:r>
                  <w:rPr>
                    <w:noProof/>
                    <w:webHidden/>
                  </w:rPr>
                  <w:t>16</w:t>
                </w:r>
                <w:r w:rsidR="00B02786">
                  <w:rPr>
                    <w:noProof/>
                    <w:webHidden/>
                  </w:rPr>
                  <w:fldChar w:fldCharType="end"/>
                </w:r>
              </w:hyperlink>
            </w:p>
            <w:p w14:paraId="5D02DFBD" w14:textId="71E88D6D"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4" w:history="1">
                <w:r w:rsidR="00B02786" w:rsidRPr="00F1167B">
                  <w:rPr>
                    <w:rStyle w:val="Hyperlink"/>
                    <w:noProof/>
                  </w:rPr>
                  <w:t>8.3.</w:t>
                </w:r>
                <w:r w:rsidR="00B02786">
                  <w:rPr>
                    <w:rFonts w:eastAsiaTheme="minorEastAsia"/>
                    <w:noProof/>
                    <w:kern w:val="2"/>
                    <w:sz w:val="22"/>
                    <w:lang w:eastAsia="en-AU"/>
                    <w14:ligatures w14:val="standardContextual"/>
                  </w:rPr>
                  <w:tab/>
                </w:r>
                <w:r w:rsidR="00B02786" w:rsidRPr="00F1167B">
                  <w:rPr>
                    <w:rStyle w:val="Hyperlink"/>
                    <w:noProof/>
                  </w:rPr>
                  <w:t>Invasive marine species management</w:t>
                </w:r>
                <w:r w:rsidR="00B02786">
                  <w:rPr>
                    <w:noProof/>
                    <w:webHidden/>
                  </w:rPr>
                  <w:tab/>
                </w:r>
                <w:r w:rsidR="00B02786">
                  <w:rPr>
                    <w:noProof/>
                    <w:webHidden/>
                  </w:rPr>
                  <w:fldChar w:fldCharType="begin"/>
                </w:r>
                <w:r w:rsidR="00B02786">
                  <w:rPr>
                    <w:noProof/>
                    <w:webHidden/>
                  </w:rPr>
                  <w:instrText xml:space="preserve"> PAGEREF _Toc180504234 \h </w:instrText>
                </w:r>
                <w:r w:rsidR="00B02786">
                  <w:rPr>
                    <w:noProof/>
                    <w:webHidden/>
                  </w:rPr>
                </w:r>
                <w:r w:rsidR="00B02786">
                  <w:rPr>
                    <w:noProof/>
                    <w:webHidden/>
                  </w:rPr>
                  <w:fldChar w:fldCharType="separate"/>
                </w:r>
                <w:r>
                  <w:rPr>
                    <w:noProof/>
                    <w:webHidden/>
                  </w:rPr>
                  <w:t>18</w:t>
                </w:r>
                <w:r w:rsidR="00B02786">
                  <w:rPr>
                    <w:noProof/>
                    <w:webHidden/>
                  </w:rPr>
                  <w:fldChar w:fldCharType="end"/>
                </w:r>
              </w:hyperlink>
            </w:p>
            <w:p w14:paraId="524E3B0A" w14:textId="219CE62C"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5" w:history="1">
                <w:r w:rsidR="00B02786" w:rsidRPr="00F1167B">
                  <w:rPr>
                    <w:rStyle w:val="Hyperlink"/>
                    <w:noProof/>
                  </w:rPr>
                  <w:t>8.4.</w:t>
                </w:r>
                <w:r w:rsidR="00B02786">
                  <w:rPr>
                    <w:rFonts w:eastAsiaTheme="minorEastAsia"/>
                    <w:noProof/>
                    <w:kern w:val="2"/>
                    <w:sz w:val="22"/>
                    <w:lang w:eastAsia="en-AU"/>
                    <w14:ligatures w14:val="standardContextual"/>
                  </w:rPr>
                  <w:tab/>
                </w:r>
                <w:r w:rsidR="00B02786" w:rsidRPr="00F1167B">
                  <w:rPr>
                    <w:rStyle w:val="Hyperlink"/>
                    <w:noProof/>
                  </w:rPr>
                  <w:t>Well management</w:t>
                </w:r>
                <w:r w:rsidR="00B02786">
                  <w:rPr>
                    <w:noProof/>
                    <w:webHidden/>
                  </w:rPr>
                  <w:tab/>
                </w:r>
                <w:r w:rsidR="00B02786">
                  <w:rPr>
                    <w:noProof/>
                    <w:webHidden/>
                  </w:rPr>
                  <w:fldChar w:fldCharType="begin"/>
                </w:r>
                <w:r w:rsidR="00B02786">
                  <w:rPr>
                    <w:noProof/>
                    <w:webHidden/>
                  </w:rPr>
                  <w:instrText xml:space="preserve"> PAGEREF _Toc180504235 \h </w:instrText>
                </w:r>
                <w:r w:rsidR="00B02786">
                  <w:rPr>
                    <w:noProof/>
                    <w:webHidden/>
                  </w:rPr>
                </w:r>
                <w:r w:rsidR="00B02786">
                  <w:rPr>
                    <w:noProof/>
                    <w:webHidden/>
                  </w:rPr>
                  <w:fldChar w:fldCharType="separate"/>
                </w:r>
                <w:r>
                  <w:rPr>
                    <w:noProof/>
                    <w:webHidden/>
                  </w:rPr>
                  <w:t>20</w:t>
                </w:r>
                <w:r w:rsidR="00B02786">
                  <w:rPr>
                    <w:noProof/>
                    <w:webHidden/>
                  </w:rPr>
                  <w:fldChar w:fldCharType="end"/>
                </w:r>
              </w:hyperlink>
            </w:p>
            <w:p w14:paraId="1E3BBF42" w14:textId="22E539AC"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6" w:history="1">
                <w:r w:rsidR="00B02786" w:rsidRPr="00F1167B">
                  <w:rPr>
                    <w:rStyle w:val="Hyperlink"/>
                    <w:noProof/>
                  </w:rPr>
                  <w:t>8.5.</w:t>
                </w:r>
                <w:r w:rsidR="00B02786">
                  <w:rPr>
                    <w:rFonts w:eastAsiaTheme="minorEastAsia"/>
                    <w:noProof/>
                    <w:kern w:val="2"/>
                    <w:sz w:val="22"/>
                    <w:lang w:eastAsia="en-AU"/>
                    <w14:ligatures w14:val="standardContextual"/>
                  </w:rPr>
                  <w:tab/>
                </w:r>
                <w:r w:rsidR="00B02786" w:rsidRPr="00F1167B">
                  <w:rPr>
                    <w:rStyle w:val="Hyperlink"/>
                    <w:noProof/>
                  </w:rPr>
                  <w:t>Hazardous waste management</w:t>
                </w:r>
                <w:r w:rsidR="00B02786">
                  <w:rPr>
                    <w:noProof/>
                    <w:webHidden/>
                  </w:rPr>
                  <w:tab/>
                </w:r>
                <w:r w:rsidR="00B02786">
                  <w:rPr>
                    <w:noProof/>
                    <w:webHidden/>
                  </w:rPr>
                  <w:fldChar w:fldCharType="begin"/>
                </w:r>
                <w:r w:rsidR="00B02786">
                  <w:rPr>
                    <w:noProof/>
                    <w:webHidden/>
                  </w:rPr>
                  <w:instrText xml:space="preserve"> PAGEREF _Toc180504236 \h </w:instrText>
                </w:r>
                <w:r w:rsidR="00B02786">
                  <w:rPr>
                    <w:noProof/>
                    <w:webHidden/>
                  </w:rPr>
                </w:r>
                <w:r w:rsidR="00B02786">
                  <w:rPr>
                    <w:noProof/>
                    <w:webHidden/>
                  </w:rPr>
                  <w:fldChar w:fldCharType="separate"/>
                </w:r>
                <w:r>
                  <w:rPr>
                    <w:noProof/>
                    <w:webHidden/>
                  </w:rPr>
                  <w:t>22</w:t>
                </w:r>
                <w:r w:rsidR="00B02786">
                  <w:rPr>
                    <w:noProof/>
                    <w:webHidden/>
                  </w:rPr>
                  <w:fldChar w:fldCharType="end"/>
                </w:r>
              </w:hyperlink>
            </w:p>
            <w:p w14:paraId="75250B88" w14:textId="579C04AE"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7" w:history="1">
                <w:r w:rsidR="00B02786" w:rsidRPr="00F1167B">
                  <w:rPr>
                    <w:rStyle w:val="Hyperlink"/>
                    <w:noProof/>
                  </w:rPr>
                  <w:t>8.6.</w:t>
                </w:r>
                <w:r w:rsidR="00B02786">
                  <w:rPr>
                    <w:rFonts w:eastAsiaTheme="minorEastAsia"/>
                    <w:noProof/>
                    <w:kern w:val="2"/>
                    <w:sz w:val="22"/>
                    <w:lang w:eastAsia="en-AU"/>
                    <w14:ligatures w14:val="standardContextual"/>
                  </w:rPr>
                  <w:tab/>
                </w:r>
                <w:r w:rsidR="00B02786" w:rsidRPr="00F1167B">
                  <w:rPr>
                    <w:rStyle w:val="Hyperlink"/>
                    <w:noProof/>
                  </w:rPr>
                  <w:t>Notification of date of commencement of the Action</w:t>
                </w:r>
                <w:r w:rsidR="00B02786">
                  <w:rPr>
                    <w:noProof/>
                    <w:webHidden/>
                  </w:rPr>
                  <w:tab/>
                </w:r>
                <w:r w:rsidR="00B02786">
                  <w:rPr>
                    <w:noProof/>
                    <w:webHidden/>
                  </w:rPr>
                  <w:fldChar w:fldCharType="begin"/>
                </w:r>
                <w:r w:rsidR="00B02786">
                  <w:rPr>
                    <w:noProof/>
                    <w:webHidden/>
                  </w:rPr>
                  <w:instrText xml:space="preserve"> PAGEREF _Toc180504237 \h </w:instrText>
                </w:r>
                <w:r w:rsidR="00B02786">
                  <w:rPr>
                    <w:noProof/>
                    <w:webHidden/>
                  </w:rPr>
                </w:r>
                <w:r w:rsidR="00B02786">
                  <w:rPr>
                    <w:noProof/>
                    <w:webHidden/>
                  </w:rPr>
                  <w:fldChar w:fldCharType="separate"/>
                </w:r>
                <w:r>
                  <w:rPr>
                    <w:noProof/>
                    <w:webHidden/>
                  </w:rPr>
                  <w:t>24</w:t>
                </w:r>
                <w:r w:rsidR="00B02786">
                  <w:rPr>
                    <w:noProof/>
                    <w:webHidden/>
                  </w:rPr>
                  <w:fldChar w:fldCharType="end"/>
                </w:r>
              </w:hyperlink>
            </w:p>
            <w:p w14:paraId="29386854" w14:textId="334167FE"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8" w:history="1">
                <w:r w:rsidR="00B02786" w:rsidRPr="00F1167B">
                  <w:rPr>
                    <w:rStyle w:val="Hyperlink"/>
                    <w:noProof/>
                  </w:rPr>
                  <w:t>8.7.</w:t>
                </w:r>
                <w:r w:rsidR="00B02786">
                  <w:rPr>
                    <w:rFonts w:eastAsiaTheme="minorEastAsia"/>
                    <w:noProof/>
                    <w:kern w:val="2"/>
                    <w:sz w:val="22"/>
                    <w:lang w:eastAsia="en-AU"/>
                    <w14:ligatures w14:val="standardContextual"/>
                  </w:rPr>
                  <w:tab/>
                </w:r>
                <w:r w:rsidR="00B02786" w:rsidRPr="00F1167B">
                  <w:rPr>
                    <w:rStyle w:val="Hyperlink"/>
                    <w:noProof/>
                  </w:rPr>
                  <w:t>Compliance records</w:t>
                </w:r>
                <w:r w:rsidR="00B02786">
                  <w:rPr>
                    <w:noProof/>
                    <w:webHidden/>
                  </w:rPr>
                  <w:tab/>
                </w:r>
                <w:r w:rsidR="00B02786">
                  <w:rPr>
                    <w:noProof/>
                    <w:webHidden/>
                  </w:rPr>
                  <w:fldChar w:fldCharType="begin"/>
                </w:r>
                <w:r w:rsidR="00B02786">
                  <w:rPr>
                    <w:noProof/>
                    <w:webHidden/>
                  </w:rPr>
                  <w:instrText xml:space="preserve"> PAGEREF _Toc180504238 \h </w:instrText>
                </w:r>
                <w:r w:rsidR="00B02786">
                  <w:rPr>
                    <w:noProof/>
                    <w:webHidden/>
                  </w:rPr>
                </w:r>
                <w:r w:rsidR="00B02786">
                  <w:rPr>
                    <w:noProof/>
                    <w:webHidden/>
                  </w:rPr>
                  <w:fldChar w:fldCharType="separate"/>
                </w:r>
                <w:r>
                  <w:rPr>
                    <w:noProof/>
                    <w:webHidden/>
                  </w:rPr>
                  <w:t>24</w:t>
                </w:r>
                <w:r w:rsidR="00B02786">
                  <w:rPr>
                    <w:noProof/>
                    <w:webHidden/>
                  </w:rPr>
                  <w:fldChar w:fldCharType="end"/>
                </w:r>
              </w:hyperlink>
            </w:p>
            <w:p w14:paraId="7407252C" w14:textId="68A04E83"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39" w:history="1">
                <w:r w:rsidR="00B02786" w:rsidRPr="00F1167B">
                  <w:rPr>
                    <w:rStyle w:val="Hyperlink"/>
                    <w:noProof/>
                  </w:rPr>
                  <w:t>8.8.</w:t>
                </w:r>
                <w:r w:rsidR="00B02786">
                  <w:rPr>
                    <w:rFonts w:eastAsiaTheme="minorEastAsia"/>
                    <w:noProof/>
                    <w:kern w:val="2"/>
                    <w:sz w:val="22"/>
                    <w:lang w:eastAsia="en-AU"/>
                    <w14:ligatures w14:val="standardContextual"/>
                  </w:rPr>
                  <w:tab/>
                </w:r>
                <w:r w:rsidR="00B02786" w:rsidRPr="00F1167B">
                  <w:rPr>
                    <w:rStyle w:val="Hyperlink"/>
                    <w:noProof/>
                  </w:rPr>
                  <w:t>Annual compliance reporting</w:t>
                </w:r>
                <w:r w:rsidR="00B02786">
                  <w:rPr>
                    <w:noProof/>
                    <w:webHidden/>
                  </w:rPr>
                  <w:tab/>
                </w:r>
                <w:r w:rsidR="00B02786">
                  <w:rPr>
                    <w:noProof/>
                    <w:webHidden/>
                  </w:rPr>
                  <w:fldChar w:fldCharType="begin"/>
                </w:r>
                <w:r w:rsidR="00B02786">
                  <w:rPr>
                    <w:noProof/>
                    <w:webHidden/>
                  </w:rPr>
                  <w:instrText xml:space="preserve"> PAGEREF _Toc180504239 \h </w:instrText>
                </w:r>
                <w:r w:rsidR="00B02786">
                  <w:rPr>
                    <w:noProof/>
                    <w:webHidden/>
                  </w:rPr>
                </w:r>
                <w:r w:rsidR="00B02786">
                  <w:rPr>
                    <w:noProof/>
                    <w:webHidden/>
                  </w:rPr>
                  <w:fldChar w:fldCharType="separate"/>
                </w:r>
                <w:r>
                  <w:rPr>
                    <w:noProof/>
                    <w:webHidden/>
                  </w:rPr>
                  <w:t>26</w:t>
                </w:r>
                <w:r w:rsidR="00B02786">
                  <w:rPr>
                    <w:noProof/>
                    <w:webHidden/>
                  </w:rPr>
                  <w:fldChar w:fldCharType="end"/>
                </w:r>
              </w:hyperlink>
            </w:p>
            <w:p w14:paraId="5129EDD6" w14:textId="7B70E5AE"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40" w:history="1">
                <w:r w:rsidR="00B02786" w:rsidRPr="00F1167B">
                  <w:rPr>
                    <w:rStyle w:val="Hyperlink"/>
                    <w:noProof/>
                  </w:rPr>
                  <w:t>8.9.</w:t>
                </w:r>
                <w:r w:rsidR="00B02786">
                  <w:rPr>
                    <w:rFonts w:eastAsiaTheme="minorEastAsia"/>
                    <w:noProof/>
                    <w:kern w:val="2"/>
                    <w:sz w:val="22"/>
                    <w:lang w:eastAsia="en-AU"/>
                    <w14:ligatures w14:val="standardContextual"/>
                  </w:rPr>
                  <w:tab/>
                </w:r>
                <w:r w:rsidR="00B02786" w:rsidRPr="00F1167B">
                  <w:rPr>
                    <w:rStyle w:val="Hyperlink"/>
                    <w:noProof/>
                  </w:rPr>
                  <w:t>Reporting non-compliance</w:t>
                </w:r>
                <w:r w:rsidR="00B02786">
                  <w:rPr>
                    <w:noProof/>
                    <w:webHidden/>
                  </w:rPr>
                  <w:tab/>
                </w:r>
                <w:r w:rsidR="00B02786">
                  <w:rPr>
                    <w:noProof/>
                    <w:webHidden/>
                  </w:rPr>
                  <w:fldChar w:fldCharType="begin"/>
                </w:r>
                <w:r w:rsidR="00B02786">
                  <w:rPr>
                    <w:noProof/>
                    <w:webHidden/>
                  </w:rPr>
                  <w:instrText xml:space="preserve"> PAGEREF _Toc180504240 \h </w:instrText>
                </w:r>
                <w:r w:rsidR="00B02786">
                  <w:rPr>
                    <w:noProof/>
                    <w:webHidden/>
                  </w:rPr>
                </w:r>
                <w:r w:rsidR="00B02786">
                  <w:rPr>
                    <w:noProof/>
                    <w:webHidden/>
                  </w:rPr>
                  <w:fldChar w:fldCharType="separate"/>
                </w:r>
                <w:r>
                  <w:rPr>
                    <w:noProof/>
                    <w:webHidden/>
                  </w:rPr>
                  <w:t>28</w:t>
                </w:r>
                <w:r w:rsidR="00B02786">
                  <w:rPr>
                    <w:noProof/>
                    <w:webHidden/>
                  </w:rPr>
                  <w:fldChar w:fldCharType="end"/>
                </w:r>
              </w:hyperlink>
            </w:p>
            <w:p w14:paraId="50961776" w14:textId="627403AB"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41" w:history="1">
                <w:r w:rsidR="00B02786" w:rsidRPr="00F1167B">
                  <w:rPr>
                    <w:rStyle w:val="Hyperlink"/>
                    <w:noProof/>
                  </w:rPr>
                  <w:t>8.10.</w:t>
                </w:r>
                <w:r w:rsidR="00B02786">
                  <w:rPr>
                    <w:rFonts w:eastAsiaTheme="minorEastAsia"/>
                    <w:noProof/>
                    <w:kern w:val="2"/>
                    <w:sz w:val="22"/>
                    <w:lang w:eastAsia="en-AU"/>
                    <w14:ligatures w14:val="standardContextual"/>
                  </w:rPr>
                  <w:tab/>
                </w:r>
                <w:r w:rsidR="00B02786" w:rsidRPr="00F1167B">
                  <w:rPr>
                    <w:rStyle w:val="Hyperlink"/>
                    <w:noProof/>
                  </w:rPr>
                  <w:t>Independent audit</w:t>
                </w:r>
                <w:r w:rsidR="00B02786">
                  <w:rPr>
                    <w:noProof/>
                    <w:webHidden/>
                  </w:rPr>
                  <w:tab/>
                </w:r>
                <w:r w:rsidR="00B02786">
                  <w:rPr>
                    <w:noProof/>
                    <w:webHidden/>
                  </w:rPr>
                  <w:fldChar w:fldCharType="begin"/>
                </w:r>
                <w:r w:rsidR="00B02786">
                  <w:rPr>
                    <w:noProof/>
                    <w:webHidden/>
                  </w:rPr>
                  <w:instrText xml:space="preserve"> PAGEREF _Toc180504241 \h </w:instrText>
                </w:r>
                <w:r w:rsidR="00B02786">
                  <w:rPr>
                    <w:noProof/>
                    <w:webHidden/>
                  </w:rPr>
                </w:r>
                <w:r w:rsidR="00B02786">
                  <w:rPr>
                    <w:noProof/>
                    <w:webHidden/>
                  </w:rPr>
                  <w:fldChar w:fldCharType="separate"/>
                </w:r>
                <w:r>
                  <w:rPr>
                    <w:noProof/>
                    <w:webHidden/>
                  </w:rPr>
                  <w:t>30</w:t>
                </w:r>
                <w:r w:rsidR="00B02786">
                  <w:rPr>
                    <w:noProof/>
                    <w:webHidden/>
                  </w:rPr>
                  <w:fldChar w:fldCharType="end"/>
                </w:r>
              </w:hyperlink>
            </w:p>
            <w:p w14:paraId="290EF936" w14:textId="63DB6093" w:rsidR="00B02786" w:rsidRDefault="0080301B">
              <w:pPr>
                <w:pStyle w:val="TOC3"/>
                <w:tabs>
                  <w:tab w:val="left" w:pos="1100"/>
                  <w:tab w:val="right" w:leader="dot" w:pos="9016"/>
                </w:tabs>
                <w:rPr>
                  <w:rFonts w:eastAsiaTheme="minorEastAsia"/>
                  <w:noProof/>
                  <w:kern w:val="2"/>
                  <w:sz w:val="22"/>
                  <w:lang w:eastAsia="en-AU"/>
                  <w14:ligatures w14:val="standardContextual"/>
                </w:rPr>
              </w:pPr>
              <w:hyperlink w:anchor="_Toc180504242" w:history="1">
                <w:r w:rsidR="00B02786" w:rsidRPr="00F1167B">
                  <w:rPr>
                    <w:rStyle w:val="Hyperlink"/>
                    <w:noProof/>
                  </w:rPr>
                  <w:t>8.11.</w:t>
                </w:r>
                <w:r w:rsidR="00B02786">
                  <w:rPr>
                    <w:rFonts w:eastAsiaTheme="minorEastAsia"/>
                    <w:noProof/>
                    <w:kern w:val="2"/>
                    <w:sz w:val="22"/>
                    <w:lang w:eastAsia="en-AU"/>
                    <w14:ligatures w14:val="standardContextual"/>
                  </w:rPr>
                  <w:tab/>
                </w:r>
                <w:r w:rsidR="00B02786" w:rsidRPr="00F1167B">
                  <w:rPr>
                    <w:rStyle w:val="Hyperlink"/>
                    <w:noProof/>
                  </w:rPr>
                  <w:t>Completion of the Action</w:t>
                </w:r>
                <w:r w:rsidR="00B02786">
                  <w:rPr>
                    <w:noProof/>
                    <w:webHidden/>
                  </w:rPr>
                  <w:tab/>
                </w:r>
                <w:r w:rsidR="00B02786">
                  <w:rPr>
                    <w:noProof/>
                    <w:webHidden/>
                  </w:rPr>
                  <w:fldChar w:fldCharType="begin"/>
                </w:r>
                <w:r w:rsidR="00B02786">
                  <w:rPr>
                    <w:noProof/>
                    <w:webHidden/>
                  </w:rPr>
                  <w:instrText xml:space="preserve"> PAGEREF _Toc180504242 \h </w:instrText>
                </w:r>
                <w:r w:rsidR="00B02786">
                  <w:rPr>
                    <w:noProof/>
                    <w:webHidden/>
                  </w:rPr>
                </w:r>
                <w:r w:rsidR="00B02786">
                  <w:rPr>
                    <w:noProof/>
                    <w:webHidden/>
                  </w:rPr>
                  <w:fldChar w:fldCharType="separate"/>
                </w:r>
                <w:r>
                  <w:rPr>
                    <w:noProof/>
                    <w:webHidden/>
                  </w:rPr>
                  <w:t>31</w:t>
                </w:r>
                <w:r w:rsidR="00B02786">
                  <w:rPr>
                    <w:noProof/>
                    <w:webHidden/>
                  </w:rPr>
                  <w:fldChar w:fldCharType="end"/>
                </w:r>
              </w:hyperlink>
            </w:p>
            <w:p w14:paraId="0C2B1428" w14:textId="633C5A59" w:rsidR="005A0F0F" w:rsidRDefault="001444F7" w:rsidP="00360D5D">
              <w:r>
                <w:fldChar w:fldCharType="end"/>
              </w:r>
            </w:p>
          </w:sdtContent>
        </w:sdt>
        <w:p w14:paraId="5ED78BC6" w14:textId="326246A5" w:rsidR="0066416C" w:rsidRDefault="0080301B" w:rsidP="0066416C"/>
      </w:sdtContent>
    </w:sdt>
    <w:p w14:paraId="0E1A17CE" w14:textId="77777777" w:rsidR="0066416C" w:rsidRDefault="0066416C" w:rsidP="0066416C">
      <w:r>
        <w:br w:type="page"/>
      </w:r>
    </w:p>
    <w:p w14:paraId="39D47F73" w14:textId="77777777" w:rsidR="007F6624" w:rsidRDefault="007F6624" w:rsidP="00B11B5E">
      <w:pPr>
        <w:pStyle w:val="Heading2"/>
        <w:numPr>
          <w:ilvl w:val="0"/>
          <w:numId w:val="0"/>
        </w:numPr>
        <w:ind w:left="432"/>
        <w:sectPr w:rsidR="007F6624" w:rsidSect="003823A6">
          <w:headerReference w:type="default" r:id="rId19"/>
          <w:footerReference w:type="default" r:id="rId20"/>
          <w:pgSz w:w="11906" w:h="16838"/>
          <w:pgMar w:top="1276" w:right="1440" w:bottom="1440" w:left="1440" w:header="851" w:footer="708" w:gutter="0"/>
          <w:pgNumType w:start="1"/>
          <w:cols w:space="708"/>
          <w:docGrid w:linePitch="360"/>
        </w:sectPr>
      </w:pPr>
      <w:bookmarkStart w:id="39" w:name="_Toc144911608"/>
      <w:bookmarkStart w:id="40" w:name="_Toc155176736"/>
      <w:bookmarkStart w:id="41" w:name="_Toc19023741"/>
      <w:bookmarkStart w:id="42" w:name="_Hlk158040826"/>
    </w:p>
    <w:p w14:paraId="5A8CD3E5" w14:textId="78D72F7B" w:rsidR="007F6624" w:rsidRDefault="007F6624" w:rsidP="00855232">
      <w:pPr>
        <w:pStyle w:val="Heading2"/>
        <w:ind w:left="709" w:hanging="709"/>
      </w:pPr>
      <w:bookmarkStart w:id="43" w:name="_Toc179288154"/>
      <w:bookmarkStart w:id="44" w:name="_Toc180504206"/>
      <w:r>
        <w:lastRenderedPageBreak/>
        <w:t>Declaration of accuracy</w:t>
      </w:r>
      <w:bookmarkEnd w:id="43"/>
      <w:bookmarkEnd w:id="44"/>
    </w:p>
    <w:p w14:paraId="025BD748" w14:textId="77777777" w:rsidR="007F6624" w:rsidRPr="007F6624" w:rsidRDefault="007F6624" w:rsidP="00A85CF1">
      <w:pPr>
        <w:spacing w:line="360" w:lineRule="auto"/>
      </w:pPr>
      <w:r w:rsidRPr="007F6624">
        <w:t xml:space="preserve">In making this declaration, I am aware that sections 490 and 491 of the </w:t>
      </w:r>
      <w:hyperlink r:id="rId21" w:history="1">
        <w:r w:rsidRPr="007F6624">
          <w:rPr>
            <w:rStyle w:val="Hyperlink"/>
            <w:i/>
            <w:iCs/>
          </w:rPr>
          <w:t>Environment Protection and Biodiversity Conservation Act 1999</w:t>
        </w:r>
      </w:hyperlink>
      <w:r w:rsidRPr="007F6624">
        <w:t xml:space="preserve"> (Cth) (EPBC Act) make it an offence in certain circumstances to knowingly provide false or misleading information or documents. The offence is punishable on conviction by imprisonment or a fine, or both. I declare that all the information and documentation supporting this compliance report is true and correct in every particular. I am authorised to bind the approval holder to this declaration and that I have no knowledge of that authorisation being revoked at the time of making this declaration. </w:t>
      </w:r>
    </w:p>
    <w:p w14:paraId="185E8E5F" w14:textId="77777777" w:rsidR="007F6624" w:rsidRPr="007F6624" w:rsidRDefault="007F6624" w:rsidP="007F6624">
      <w:pPr>
        <w:rPr>
          <w:b/>
          <w:bCs/>
        </w:rPr>
      </w:pPr>
    </w:p>
    <w:p w14:paraId="7E88823D" w14:textId="11C76E46" w:rsidR="007F6624" w:rsidRPr="007F6624" w:rsidRDefault="007F6624" w:rsidP="00A85CF1">
      <w:pPr>
        <w:spacing w:before="240" w:after="240"/>
      </w:pPr>
      <w:r w:rsidRPr="007F6624">
        <w:rPr>
          <w:b/>
          <w:bCs/>
        </w:rPr>
        <w:t>Signed:</w:t>
      </w:r>
      <w:r w:rsidRPr="007F6624">
        <w:t xml:space="preserve"> </w:t>
      </w:r>
      <w:r w:rsidR="00206E4B" w:rsidRPr="007F6624">
        <w:t>Shane McWhinney</w:t>
      </w:r>
      <w:r w:rsidR="00206E4B">
        <w:t xml:space="preserve"> (digitally signed 22/10/2024 @3:17pm ADST)</w:t>
      </w:r>
    </w:p>
    <w:p w14:paraId="55F96A0D" w14:textId="77777777" w:rsidR="007F6624" w:rsidRPr="007F6624" w:rsidRDefault="007F6624" w:rsidP="00A85CF1">
      <w:pPr>
        <w:spacing w:before="240" w:after="240"/>
      </w:pPr>
      <w:r w:rsidRPr="007F6624">
        <w:rPr>
          <w:b/>
          <w:bCs/>
        </w:rPr>
        <w:t>Full name:</w:t>
      </w:r>
      <w:r w:rsidRPr="007F6624">
        <w:t xml:space="preserve"> Shane McWhinney </w:t>
      </w:r>
    </w:p>
    <w:p w14:paraId="5C66535B" w14:textId="77777777" w:rsidR="007F6624" w:rsidRPr="007F6624" w:rsidRDefault="007F6624" w:rsidP="00A85CF1">
      <w:pPr>
        <w:spacing w:before="240" w:after="240"/>
      </w:pPr>
      <w:r w:rsidRPr="007F6624">
        <w:rPr>
          <w:b/>
          <w:bCs/>
        </w:rPr>
        <w:t>Position:</w:t>
      </w:r>
      <w:r w:rsidRPr="007F6624">
        <w:t xml:space="preserve"> General Manager, Northern Endeavour Branch, Department of Industry, Science and Resources</w:t>
      </w:r>
    </w:p>
    <w:p w14:paraId="5C98B3B5" w14:textId="77777777" w:rsidR="007F6624" w:rsidRPr="007F6624" w:rsidRDefault="007F6624" w:rsidP="00A85CF1">
      <w:pPr>
        <w:spacing w:before="240" w:after="240"/>
      </w:pPr>
      <w:r w:rsidRPr="007F6624">
        <w:rPr>
          <w:b/>
          <w:bCs/>
        </w:rPr>
        <w:t>Organisation:</w:t>
      </w:r>
      <w:r w:rsidRPr="007F6624">
        <w:t xml:space="preserve"> Department of Industry, Science and Resources</w:t>
      </w:r>
    </w:p>
    <w:p w14:paraId="693304F0" w14:textId="77777777" w:rsidR="007F6624" w:rsidRPr="007F6624" w:rsidRDefault="007F6624" w:rsidP="00A85CF1">
      <w:pPr>
        <w:spacing w:before="240" w:after="240"/>
      </w:pPr>
      <w:r w:rsidRPr="007F6624">
        <w:rPr>
          <w:b/>
          <w:bCs/>
        </w:rPr>
        <w:t>ABN:</w:t>
      </w:r>
      <w:r w:rsidRPr="007F6624">
        <w:t xml:space="preserve"> 74 599 608 295</w:t>
      </w:r>
    </w:p>
    <w:p w14:paraId="65515163" w14:textId="73CE2705" w:rsidR="007F6624" w:rsidRPr="007F6624" w:rsidRDefault="007F6624" w:rsidP="00A85CF1">
      <w:pPr>
        <w:spacing w:before="240" w:after="240"/>
      </w:pPr>
      <w:r w:rsidRPr="007F6624">
        <w:rPr>
          <w:b/>
          <w:bCs/>
        </w:rPr>
        <w:t>Date</w:t>
      </w:r>
      <w:r w:rsidRPr="007F6624">
        <w:t xml:space="preserve">: </w:t>
      </w:r>
      <w:r w:rsidR="00E91935">
        <w:t>22/10/2024</w:t>
      </w:r>
    </w:p>
    <w:p w14:paraId="7BAC39DF" w14:textId="77777777" w:rsidR="007F6624" w:rsidRPr="007F6624" w:rsidRDefault="007F6624" w:rsidP="007F6624"/>
    <w:p w14:paraId="19352A55" w14:textId="77777777" w:rsidR="007F6624" w:rsidRPr="00855232" w:rsidRDefault="007F6624" w:rsidP="00855232">
      <w:pPr>
        <w:pStyle w:val="Heading2"/>
        <w:ind w:left="709" w:hanging="709"/>
        <w:rPr>
          <w:lang w:val="en-US"/>
        </w:rPr>
      </w:pPr>
      <w:bookmarkStart w:id="45" w:name="_Toc177402540"/>
      <w:bookmarkStart w:id="46" w:name="_Toc178321841"/>
      <w:bookmarkStart w:id="47" w:name="_Toc179288155"/>
      <w:bookmarkStart w:id="48" w:name="_Toc180504207"/>
      <w:r w:rsidRPr="00855232">
        <w:rPr>
          <w:lang w:val="en-US"/>
        </w:rPr>
        <w:t>Approval holder details</w:t>
      </w:r>
      <w:bookmarkEnd w:id="45"/>
      <w:bookmarkEnd w:id="46"/>
      <w:bookmarkEnd w:id="47"/>
      <w:bookmarkEnd w:id="48"/>
    </w:p>
    <w:p w14:paraId="27A5BE58" w14:textId="65129E7A" w:rsidR="007F6624" w:rsidRPr="007F6624" w:rsidRDefault="007F6624" w:rsidP="007F6624">
      <w:r w:rsidRPr="007F6624">
        <w:rPr>
          <w:b/>
          <w:bCs/>
        </w:rPr>
        <w:t>Approval Holder:</w:t>
      </w:r>
      <w:r w:rsidRPr="007F6624">
        <w:t xml:space="preserve"> </w:t>
      </w:r>
      <w:r w:rsidR="00D67E46" w:rsidRPr="00D67E46">
        <w:t>The Commonwealth of Australia as represented by th</w:t>
      </w:r>
      <w:r w:rsidR="00D67E46">
        <w:t>e</w:t>
      </w:r>
      <w:r w:rsidR="00D67E46" w:rsidRPr="00D67E46">
        <w:t xml:space="preserve"> </w:t>
      </w:r>
      <w:r w:rsidRPr="007F6624">
        <w:t>Department of Industry, Science and Resources</w:t>
      </w:r>
    </w:p>
    <w:p w14:paraId="1C840A0A" w14:textId="77777777" w:rsidR="007F6624" w:rsidRPr="007F6624" w:rsidRDefault="007F6624" w:rsidP="007F6624">
      <w:r w:rsidRPr="007F6624">
        <w:rPr>
          <w:b/>
          <w:bCs/>
        </w:rPr>
        <w:t>ABN:</w:t>
      </w:r>
      <w:r w:rsidRPr="007F6624">
        <w:t xml:space="preserve"> 74 599 608 295</w:t>
      </w:r>
    </w:p>
    <w:p w14:paraId="1081F3D5" w14:textId="77777777" w:rsidR="007F6624" w:rsidRPr="007F6624" w:rsidRDefault="007F6624" w:rsidP="007F6624">
      <w:r w:rsidRPr="007F6624">
        <w:rPr>
          <w:b/>
          <w:bCs/>
        </w:rPr>
        <w:t>Contact email:</w:t>
      </w:r>
      <w:r w:rsidRPr="007F6624">
        <w:t xml:space="preserve"> </w:t>
      </w:r>
      <w:hyperlink r:id="rId22">
        <w:r w:rsidRPr="007F6624">
          <w:rPr>
            <w:rStyle w:val="Hyperlink"/>
            <w:lang w:val="en-US"/>
          </w:rPr>
          <w:t>NEProjectPlanning@industry.gov.au</w:t>
        </w:r>
      </w:hyperlink>
    </w:p>
    <w:p w14:paraId="6473EFD1" w14:textId="77777777" w:rsidR="007F6624" w:rsidRPr="007F6624" w:rsidRDefault="007F6624" w:rsidP="007F6624">
      <w:r w:rsidRPr="007F6624">
        <w:rPr>
          <w:b/>
          <w:bCs/>
        </w:rPr>
        <w:t>Address:</w:t>
      </w:r>
      <w:r w:rsidRPr="007F6624">
        <w:t xml:space="preserve"> National office: Industry House, 10 Binara Street, Canberra, ACT 2601</w:t>
      </w:r>
    </w:p>
    <w:p w14:paraId="180C21C1" w14:textId="77777777" w:rsidR="00A85CF1" w:rsidRDefault="00A85CF1" w:rsidP="00B11B5E">
      <w:pPr>
        <w:pStyle w:val="Heading2"/>
        <w:numPr>
          <w:ilvl w:val="0"/>
          <w:numId w:val="0"/>
        </w:numPr>
        <w:ind w:left="432"/>
        <w:sectPr w:rsidR="00A85CF1" w:rsidSect="00A85CF1">
          <w:headerReference w:type="default" r:id="rId23"/>
          <w:pgSz w:w="11906" w:h="16838"/>
          <w:pgMar w:top="1276" w:right="1440" w:bottom="1440" w:left="1440" w:header="851" w:footer="708" w:gutter="0"/>
          <w:cols w:space="708"/>
          <w:docGrid w:linePitch="360"/>
        </w:sectPr>
      </w:pPr>
    </w:p>
    <w:p w14:paraId="5B8B2580" w14:textId="708E6175" w:rsidR="00A85CF1" w:rsidRDefault="00A85CF1" w:rsidP="003160FC">
      <w:pPr>
        <w:pStyle w:val="Heading2"/>
        <w:spacing w:before="0"/>
        <w:ind w:left="709" w:hanging="709"/>
      </w:pPr>
      <w:bookmarkStart w:id="49" w:name="_Toc180504208"/>
      <w:r w:rsidRPr="005A0F0F">
        <w:lastRenderedPageBreak/>
        <w:t>Glossary</w:t>
      </w:r>
      <w:bookmarkEnd w:id="49"/>
    </w:p>
    <w:tbl>
      <w:tblPr>
        <w:tblStyle w:val="GridTable4-Accent4"/>
        <w:tblW w:w="9209" w:type="dxa"/>
        <w:tblLook w:val="04A0" w:firstRow="1" w:lastRow="0" w:firstColumn="1" w:lastColumn="0" w:noHBand="0" w:noVBand="1"/>
      </w:tblPr>
      <w:tblGrid>
        <w:gridCol w:w="1838"/>
        <w:gridCol w:w="7371"/>
      </w:tblGrid>
      <w:tr w:rsidR="00A85CF1" w14:paraId="30F5CB2C" w14:textId="77777777" w:rsidTr="00A85C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2252CF4" w14:textId="1ECEBDEE" w:rsidR="00A85CF1" w:rsidRDefault="00A85CF1">
            <w:r>
              <w:t>Abbreviation</w:t>
            </w:r>
          </w:p>
        </w:tc>
        <w:tc>
          <w:tcPr>
            <w:tcW w:w="7371" w:type="dxa"/>
          </w:tcPr>
          <w:p w14:paraId="473A77DD" w14:textId="002F1FE7" w:rsidR="00A85CF1" w:rsidRDefault="00A85CF1">
            <w:pPr>
              <w:cnfStyle w:val="100000000000" w:firstRow="1" w:lastRow="0" w:firstColumn="0" w:lastColumn="0" w:oddVBand="0" w:evenVBand="0" w:oddHBand="0" w:evenHBand="0" w:firstRowFirstColumn="0" w:firstRowLastColumn="0" w:lastRowFirstColumn="0" w:lastRowLastColumn="0"/>
            </w:pPr>
            <w:r>
              <w:t>Description</w:t>
            </w:r>
          </w:p>
        </w:tc>
      </w:tr>
      <w:tr w:rsidR="00A85CF1" w14:paraId="5E0BB4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BDD93DE" w14:textId="5F219BBF" w:rsidR="00A85CF1" w:rsidRDefault="00A85CF1" w:rsidP="00A85CF1">
            <w:r w:rsidRPr="1757E23D">
              <w:rPr>
                <w:color w:val="000000" w:themeColor="text1"/>
              </w:rPr>
              <w:t>AMMF</w:t>
            </w:r>
          </w:p>
        </w:tc>
        <w:tc>
          <w:tcPr>
            <w:tcW w:w="7371" w:type="dxa"/>
            <w:vAlign w:val="center"/>
          </w:tcPr>
          <w:p w14:paraId="4E7E5323" w14:textId="2760DE68" w:rsidR="00A85CF1" w:rsidRDefault="00A85CF1" w:rsidP="00A85CF1">
            <w:pPr>
              <w:cnfStyle w:val="000000100000" w:firstRow="0" w:lastRow="0" w:firstColumn="0" w:lastColumn="0" w:oddVBand="0" w:evenVBand="0" w:oddHBand="1" w:evenHBand="0" w:firstRowFirstColumn="0" w:firstRowLastColumn="0" w:lastRowFirstColumn="0" w:lastRowLastColumn="0"/>
            </w:pPr>
            <w:r w:rsidRPr="1757E23D">
              <w:rPr>
                <w:color w:val="000000" w:themeColor="text1"/>
              </w:rPr>
              <w:t>Adaptive Monitoring and Management Framework</w:t>
            </w:r>
          </w:p>
        </w:tc>
      </w:tr>
      <w:tr w:rsidR="00A85CF1" w14:paraId="7F3DCE83"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021F1988" w14:textId="4A410476" w:rsidR="00A85CF1" w:rsidRDefault="00A85CF1" w:rsidP="00A85CF1">
            <w:r w:rsidRPr="1757E23D">
              <w:rPr>
                <w:color w:val="000000" w:themeColor="text1"/>
              </w:rPr>
              <w:t>AMMP</w:t>
            </w:r>
          </w:p>
        </w:tc>
        <w:tc>
          <w:tcPr>
            <w:tcW w:w="7371" w:type="dxa"/>
            <w:vAlign w:val="center"/>
          </w:tcPr>
          <w:p w14:paraId="7E233139" w14:textId="3B55040D" w:rsidR="00A85CF1" w:rsidRDefault="00A85CF1" w:rsidP="00A85CF1">
            <w:pPr>
              <w:cnfStyle w:val="000000000000" w:firstRow="0" w:lastRow="0" w:firstColumn="0" w:lastColumn="0" w:oddVBand="0" w:evenVBand="0" w:oddHBand="0" w:evenHBand="0" w:firstRowFirstColumn="0" w:firstRowLastColumn="0" w:lastRowFirstColumn="0" w:lastRowLastColumn="0"/>
            </w:pPr>
            <w:r w:rsidRPr="1757E23D">
              <w:rPr>
                <w:color w:val="000000" w:themeColor="text1"/>
              </w:rPr>
              <w:t>Adaptive Monitoring and Management Plan</w:t>
            </w:r>
          </w:p>
        </w:tc>
      </w:tr>
      <w:tr w:rsidR="00A85CF1" w14:paraId="2886AF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74D59AD" w14:textId="5212FFD9" w:rsidR="00A85CF1" w:rsidRPr="1757E23D" w:rsidRDefault="00A85CF1" w:rsidP="00A85CF1">
            <w:pPr>
              <w:rPr>
                <w:color w:val="000000" w:themeColor="text1"/>
              </w:rPr>
            </w:pPr>
            <w:r w:rsidRPr="5D8BE62F">
              <w:rPr>
                <w:rFonts w:ascii="Aptos" w:eastAsia="Aptos" w:hAnsi="Aptos" w:cs="Times New Roman"/>
                <w:color w:val="000000" w:themeColor="text1"/>
              </w:rPr>
              <w:t>CMT</w:t>
            </w:r>
          </w:p>
        </w:tc>
        <w:tc>
          <w:tcPr>
            <w:tcW w:w="7371" w:type="dxa"/>
            <w:vAlign w:val="center"/>
          </w:tcPr>
          <w:p w14:paraId="2D76256E" w14:textId="3DEE0066"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5D8BE62F">
              <w:rPr>
                <w:rFonts w:ascii="Aptos" w:eastAsia="Aptos" w:hAnsi="Aptos" w:cs="Times New Roman"/>
                <w:color w:val="000000" w:themeColor="text1"/>
              </w:rPr>
              <w:t>Crisis Management Team</w:t>
            </w:r>
          </w:p>
        </w:tc>
      </w:tr>
      <w:tr w:rsidR="00A85CF1" w14:paraId="7C0E3FB2"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35D45083" w14:textId="49AE994F" w:rsidR="00A85CF1" w:rsidRPr="5D8BE62F" w:rsidRDefault="00A85CF1" w:rsidP="00A85CF1">
            <w:pPr>
              <w:rPr>
                <w:rFonts w:ascii="Aptos" w:eastAsia="Aptos" w:hAnsi="Aptos" w:cs="Times New Roman"/>
                <w:color w:val="000000" w:themeColor="text1"/>
              </w:rPr>
            </w:pPr>
            <w:r w:rsidRPr="1757E23D">
              <w:rPr>
                <w:color w:val="000000" w:themeColor="text1"/>
              </w:rPr>
              <w:t>DCCEEW</w:t>
            </w:r>
          </w:p>
        </w:tc>
        <w:tc>
          <w:tcPr>
            <w:tcW w:w="7371" w:type="dxa"/>
            <w:vAlign w:val="center"/>
          </w:tcPr>
          <w:p w14:paraId="2D2192EC" w14:textId="4A3C391A" w:rsidR="00A85CF1" w:rsidRPr="5D8BE62F" w:rsidRDefault="00A85CF1"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color w:val="000000" w:themeColor="text1"/>
              </w:rPr>
            </w:pPr>
            <w:r w:rsidRPr="1757E23D">
              <w:rPr>
                <w:color w:val="000000" w:themeColor="text1"/>
              </w:rPr>
              <w:t>Department of Climate Change, Energy, the Environment and Water</w:t>
            </w:r>
          </w:p>
        </w:tc>
      </w:tr>
      <w:tr w:rsidR="00A85CF1" w14:paraId="4EB456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02176C" w14:textId="776A0C22" w:rsidR="00A85CF1" w:rsidRPr="1757E23D" w:rsidRDefault="00A85CF1" w:rsidP="00A85CF1">
            <w:pPr>
              <w:rPr>
                <w:color w:val="000000" w:themeColor="text1"/>
              </w:rPr>
            </w:pPr>
            <w:r w:rsidRPr="1757E23D">
              <w:rPr>
                <w:color w:val="000000" w:themeColor="text1"/>
              </w:rPr>
              <w:t>DISR</w:t>
            </w:r>
          </w:p>
        </w:tc>
        <w:tc>
          <w:tcPr>
            <w:tcW w:w="7371" w:type="dxa"/>
            <w:vAlign w:val="center"/>
          </w:tcPr>
          <w:p w14:paraId="0D4943A2" w14:textId="3A60602D"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1757E23D">
              <w:rPr>
                <w:color w:val="000000" w:themeColor="text1"/>
              </w:rPr>
              <w:t>Department of Industry, Science and Resources</w:t>
            </w:r>
          </w:p>
        </w:tc>
      </w:tr>
      <w:tr w:rsidR="00A85CF1" w14:paraId="58AFF4C0"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53EE20F2" w14:textId="714D5A5D" w:rsidR="00A85CF1" w:rsidRPr="5D8BE62F" w:rsidRDefault="00A85CF1" w:rsidP="00A85CF1">
            <w:pPr>
              <w:rPr>
                <w:rFonts w:ascii="Aptos" w:hAnsi="Aptos"/>
              </w:rPr>
            </w:pPr>
            <w:r w:rsidRPr="1757E23D">
              <w:rPr>
                <w:color w:val="000000" w:themeColor="text1"/>
              </w:rPr>
              <w:t xml:space="preserve">EPBC Act </w:t>
            </w:r>
          </w:p>
        </w:tc>
        <w:tc>
          <w:tcPr>
            <w:tcW w:w="7371" w:type="dxa"/>
            <w:vAlign w:val="center"/>
          </w:tcPr>
          <w:p w14:paraId="7172B5A8" w14:textId="3F90A236" w:rsidR="00A85CF1" w:rsidRDefault="0080301B" w:rsidP="00A85CF1">
            <w:pPr>
              <w:cnfStyle w:val="000000000000" w:firstRow="0" w:lastRow="0" w:firstColumn="0" w:lastColumn="0" w:oddVBand="0" w:evenVBand="0" w:oddHBand="0" w:evenHBand="0" w:firstRowFirstColumn="0" w:firstRowLastColumn="0" w:lastRowFirstColumn="0" w:lastRowLastColumn="0"/>
            </w:pPr>
            <w:hyperlink r:id="rId24">
              <w:r w:rsidR="00A85CF1" w:rsidRPr="00B55C4A">
                <w:rPr>
                  <w:rStyle w:val="Hyperlink"/>
                  <w:i/>
                  <w:iCs/>
                </w:rPr>
                <w:t xml:space="preserve">Environment Protection and Biodiversity Conservation Act </w:t>
              </w:r>
              <w:r w:rsidR="00A85CF1" w:rsidRPr="18BB0E4B">
                <w:rPr>
                  <w:rStyle w:val="Hyperlink"/>
                  <w:i/>
                  <w:iCs/>
                </w:rPr>
                <w:t>1999</w:t>
              </w:r>
            </w:hyperlink>
          </w:p>
        </w:tc>
      </w:tr>
      <w:tr w:rsidR="00A85CF1" w14:paraId="21F11A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254BE74" w14:textId="39880035" w:rsidR="00A85CF1" w:rsidRDefault="00A85CF1" w:rsidP="00A85CF1">
            <w:r w:rsidRPr="1757E23D">
              <w:rPr>
                <w:color w:val="000000" w:themeColor="text1"/>
              </w:rPr>
              <w:t>ERCP</w:t>
            </w:r>
          </w:p>
        </w:tc>
        <w:tc>
          <w:tcPr>
            <w:tcW w:w="7371" w:type="dxa"/>
            <w:vAlign w:val="center"/>
          </w:tcPr>
          <w:p w14:paraId="581B1492" w14:textId="317CC2A1" w:rsidR="00A85CF1" w:rsidRPr="006E0027" w:rsidRDefault="00A85CF1" w:rsidP="00A85CF1">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1757E23D">
              <w:rPr>
                <w:color w:val="000000" w:themeColor="text1"/>
              </w:rPr>
              <w:t>Emergency Response and Communications Plan</w:t>
            </w:r>
          </w:p>
        </w:tc>
      </w:tr>
      <w:tr w:rsidR="00A85CF1" w14:paraId="003611CD"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5C608C28" w14:textId="35558C36" w:rsidR="00A85CF1" w:rsidRPr="1757E23D" w:rsidRDefault="00A85CF1" w:rsidP="00A85CF1">
            <w:pPr>
              <w:rPr>
                <w:color w:val="000000" w:themeColor="text1"/>
              </w:rPr>
            </w:pPr>
            <w:r w:rsidRPr="1757E23D">
              <w:rPr>
                <w:color w:val="000000" w:themeColor="text1"/>
              </w:rPr>
              <w:t>ERMP</w:t>
            </w:r>
          </w:p>
        </w:tc>
        <w:tc>
          <w:tcPr>
            <w:tcW w:w="7371" w:type="dxa"/>
            <w:vAlign w:val="center"/>
          </w:tcPr>
          <w:p w14:paraId="7EEDB497" w14:textId="2DF0C9F0" w:rsidR="00A85CF1" w:rsidRPr="1757E23D"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1757E23D">
              <w:rPr>
                <w:color w:val="000000" w:themeColor="text1"/>
              </w:rPr>
              <w:t>Environment Risk Management Plan</w:t>
            </w:r>
          </w:p>
        </w:tc>
      </w:tr>
      <w:tr w:rsidR="00A85CF1" w14:paraId="448D54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A0585D" w14:textId="7CF20F72" w:rsidR="00A85CF1" w:rsidRPr="1757E23D" w:rsidRDefault="00A85CF1" w:rsidP="00A85CF1">
            <w:pPr>
              <w:rPr>
                <w:color w:val="000000" w:themeColor="text1"/>
              </w:rPr>
            </w:pPr>
            <w:r w:rsidRPr="1757E23D">
              <w:rPr>
                <w:color w:val="000000" w:themeColor="text1"/>
              </w:rPr>
              <w:t>ERP</w:t>
            </w:r>
          </w:p>
        </w:tc>
        <w:tc>
          <w:tcPr>
            <w:tcW w:w="7371" w:type="dxa"/>
            <w:vAlign w:val="center"/>
          </w:tcPr>
          <w:p w14:paraId="276ABACF" w14:textId="6D478145"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1757E23D">
              <w:rPr>
                <w:color w:val="000000" w:themeColor="text1"/>
              </w:rPr>
              <w:t>Emergency Response Plan</w:t>
            </w:r>
          </w:p>
        </w:tc>
      </w:tr>
      <w:tr w:rsidR="00A85CF1" w14:paraId="17E9EDE7"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2B189A3D" w14:textId="04588645" w:rsidR="00A85CF1" w:rsidRDefault="00A85CF1" w:rsidP="00A85CF1">
            <w:r w:rsidRPr="1757E23D">
              <w:rPr>
                <w:color w:val="000000" w:themeColor="text1"/>
              </w:rPr>
              <w:t>FPSO</w:t>
            </w:r>
          </w:p>
        </w:tc>
        <w:tc>
          <w:tcPr>
            <w:tcW w:w="7371" w:type="dxa"/>
            <w:vAlign w:val="center"/>
          </w:tcPr>
          <w:p w14:paraId="69E1D65F" w14:textId="5C26E23C" w:rsidR="00A85CF1" w:rsidRPr="006E0027" w:rsidRDefault="00A85CF1"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1757E23D">
              <w:rPr>
                <w:color w:val="000000" w:themeColor="text1"/>
              </w:rPr>
              <w:t xml:space="preserve">floating production storage </w:t>
            </w:r>
            <w:r w:rsidR="00280395">
              <w:rPr>
                <w:color w:val="000000" w:themeColor="text1"/>
              </w:rPr>
              <w:t xml:space="preserve">and </w:t>
            </w:r>
            <w:r w:rsidRPr="1757E23D">
              <w:rPr>
                <w:color w:val="000000" w:themeColor="text1"/>
              </w:rPr>
              <w:t>offtake</w:t>
            </w:r>
            <w:r w:rsidR="00600883">
              <w:rPr>
                <w:color w:val="000000" w:themeColor="text1"/>
              </w:rPr>
              <w:t xml:space="preserve"> vessel</w:t>
            </w:r>
          </w:p>
        </w:tc>
      </w:tr>
      <w:tr w:rsidR="00A85CF1" w14:paraId="0B87B5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82AC36C" w14:textId="704D5A28" w:rsidR="00A85CF1" w:rsidRPr="1757E23D" w:rsidRDefault="00A85CF1" w:rsidP="00A85CF1">
            <w:pPr>
              <w:rPr>
                <w:color w:val="000000" w:themeColor="text1"/>
              </w:rPr>
            </w:pPr>
            <w:r w:rsidRPr="1757E23D">
              <w:rPr>
                <w:color w:val="000000" w:themeColor="text1"/>
              </w:rPr>
              <w:t>IH</w:t>
            </w:r>
            <w:r>
              <w:rPr>
                <w:color w:val="000000" w:themeColor="text1"/>
              </w:rPr>
              <w:t>M</w:t>
            </w:r>
          </w:p>
        </w:tc>
        <w:tc>
          <w:tcPr>
            <w:tcW w:w="7371" w:type="dxa"/>
            <w:vAlign w:val="center"/>
          </w:tcPr>
          <w:p w14:paraId="7B97D9B4" w14:textId="6288B29B" w:rsidR="00A85CF1" w:rsidRPr="1757E23D"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1757E23D">
              <w:rPr>
                <w:color w:val="000000" w:themeColor="text1"/>
              </w:rPr>
              <w:t xml:space="preserve">inventory of hazardous </w:t>
            </w:r>
            <w:r>
              <w:rPr>
                <w:color w:val="000000" w:themeColor="text1"/>
              </w:rPr>
              <w:t>material</w:t>
            </w:r>
          </w:p>
        </w:tc>
      </w:tr>
      <w:tr w:rsidR="00A85CF1" w14:paraId="65790B95"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5A536457" w14:textId="6FBE385B" w:rsidR="00A85CF1" w:rsidRPr="1757E23D" w:rsidRDefault="00A85CF1" w:rsidP="00A85CF1">
            <w:pPr>
              <w:rPr>
                <w:color w:val="000000" w:themeColor="text1"/>
              </w:rPr>
            </w:pPr>
            <w:r w:rsidRPr="1757E23D">
              <w:rPr>
                <w:color w:val="000000" w:themeColor="text1"/>
              </w:rPr>
              <w:t>IMT</w:t>
            </w:r>
          </w:p>
        </w:tc>
        <w:tc>
          <w:tcPr>
            <w:tcW w:w="7371" w:type="dxa"/>
            <w:vAlign w:val="center"/>
          </w:tcPr>
          <w:p w14:paraId="4C3D447B" w14:textId="6F84E41B" w:rsidR="00A85CF1" w:rsidRPr="1757E23D" w:rsidRDefault="00A85CF1" w:rsidP="00A85CF1">
            <w:pPr>
              <w:cnfStyle w:val="000000000000" w:firstRow="0" w:lastRow="0" w:firstColumn="0" w:lastColumn="0" w:oddVBand="0" w:evenVBand="0" w:oddHBand="0" w:evenHBand="0" w:firstRowFirstColumn="0" w:firstRowLastColumn="0" w:lastRowFirstColumn="0" w:lastRowLastColumn="0"/>
              <w:rPr>
                <w:color w:val="000000" w:themeColor="text1"/>
              </w:rPr>
            </w:pPr>
            <w:r w:rsidRPr="1757E23D">
              <w:rPr>
                <w:color w:val="000000" w:themeColor="text1"/>
              </w:rPr>
              <w:t>Incident Management Team</w:t>
            </w:r>
          </w:p>
        </w:tc>
      </w:tr>
      <w:tr w:rsidR="00A85CF1" w14:paraId="25C60C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56DA242" w14:textId="39CB3356" w:rsidR="00A85CF1" w:rsidRPr="5D8BE62F" w:rsidRDefault="00A85CF1" w:rsidP="00A85CF1">
            <w:pPr>
              <w:rPr>
                <w:color w:val="000000" w:themeColor="text1"/>
              </w:rPr>
            </w:pPr>
            <w:r>
              <w:t>MBRA</w:t>
            </w:r>
          </w:p>
        </w:tc>
        <w:tc>
          <w:tcPr>
            <w:tcW w:w="7371" w:type="dxa"/>
            <w:vAlign w:val="center"/>
          </w:tcPr>
          <w:p w14:paraId="19F6A288" w14:textId="437D47AE"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006E0027">
              <w:rPr>
                <w:rFonts w:ascii="Aptos" w:hAnsi="Aptos"/>
                <w:bCs/>
                <w:szCs w:val="20"/>
              </w:rPr>
              <w:t xml:space="preserve">Marine Biosecurity Risk Assessment </w:t>
            </w:r>
          </w:p>
        </w:tc>
      </w:tr>
      <w:tr w:rsidR="00A85CF1" w14:paraId="04C5F3F6"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3C6E01BE" w14:textId="392CC5B6" w:rsidR="00A85CF1" w:rsidRDefault="00A85CF1" w:rsidP="00A85CF1">
            <w:r w:rsidRPr="384B0892">
              <w:rPr>
                <w:color w:val="000000" w:themeColor="text1"/>
              </w:rPr>
              <w:t>NATA</w:t>
            </w:r>
          </w:p>
        </w:tc>
        <w:tc>
          <w:tcPr>
            <w:tcW w:w="7371" w:type="dxa"/>
            <w:vAlign w:val="center"/>
          </w:tcPr>
          <w:p w14:paraId="6345B88D" w14:textId="05A9AA71" w:rsidR="00A85CF1" w:rsidRPr="006E0027" w:rsidRDefault="00A85CF1" w:rsidP="00A85CF1">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384B0892">
              <w:rPr>
                <w:color w:val="000000" w:themeColor="text1"/>
              </w:rPr>
              <w:t>National Association of Testing Authorities</w:t>
            </w:r>
          </w:p>
        </w:tc>
      </w:tr>
      <w:tr w:rsidR="00A85CF1" w14:paraId="1A2DF6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BBCD6BF" w14:textId="706812BB" w:rsidR="00A85CF1" w:rsidRPr="384B0892" w:rsidRDefault="00A85CF1" w:rsidP="00A85CF1">
            <w:pPr>
              <w:rPr>
                <w:color w:val="000000" w:themeColor="text1"/>
              </w:rPr>
            </w:pPr>
            <w:r w:rsidRPr="5D8BE62F">
              <w:rPr>
                <w:rFonts w:ascii="Aptos" w:eastAsia="Aptos" w:hAnsi="Aptos" w:cs="Times New Roman"/>
                <w:color w:val="000000" w:themeColor="text1"/>
              </w:rPr>
              <w:t>NOPSEMA</w:t>
            </w:r>
          </w:p>
        </w:tc>
        <w:tc>
          <w:tcPr>
            <w:tcW w:w="7371" w:type="dxa"/>
            <w:vAlign w:val="center"/>
          </w:tcPr>
          <w:p w14:paraId="5687289D" w14:textId="63A38831"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5D8BE62F">
              <w:rPr>
                <w:rFonts w:ascii="Aptos" w:eastAsia="Aptos" w:hAnsi="Aptos" w:cs="Times New Roman"/>
                <w:color w:val="000000" w:themeColor="text1"/>
              </w:rPr>
              <w:t>National Offshore Petroleum Safety and Environmental Management Authority</w:t>
            </w:r>
          </w:p>
        </w:tc>
      </w:tr>
      <w:tr w:rsidR="00A85CF1" w14:paraId="20B53CB2"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128098AF" w14:textId="63E63E32" w:rsidR="00A85CF1" w:rsidRPr="5D8BE62F" w:rsidRDefault="00A85CF1" w:rsidP="00A85CF1">
            <w:pPr>
              <w:rPr>
                <w:rFonts w:ascii="Aptos" w:eastAsia="Aptos" w:hAnsi="Aptos" w:cs="Times New Roman"/>
                <w:color w:val="000000" w:themeColor="text1"/>
              </w:rPr>
            </w:pPr>
            <w:r w:rsidRPr="384B0892">
              <w:rPr>
                <w:color w:val="000000" w:themeColor="text1"/>
              </w:rPr>
              <w:t>NORM</w:t>
            </w:r>
          </w:p>
        </w:tc>
        <w:tc>
          <w:tcPr>
            <w:tcW w:w="7371" w:type="dxa"/>
            <w:vAlign w:val="center"/>
          </w:tcPr>
          <w:p w14:paraId="6A6E335C" w14:textId="337CE2EC" w:rsidR="00A85CF1" w:rsidRPr="5D8BE62F" w:rsidRDefault="00193E7D"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color w:val="000000" w:themeColor="text1"/>
              </w:rPr>
            </w:pPr>
            <w:r>
              <w:rPr>
                <w:color w:val="000000" w:themeColor="text1"/>
              </w:rPr>
              <w:t>N</w:t>
            </w:r>
            <w:r w:rsidRPr="384B0892">
              <w:rPr>
                <w:color w:val="000000" w:themeColor="text1"/>
              </w:rPr>
              <w:t xml:space="preserve">aturally </w:t>
            </w:r>
            <w:r>
              <w:rPr>
                <w:color w:val="000000" w:themeColor="text1"/>
              </w:rPr>
              <w:t>O</w:t>
            </w:r>
            <w:r w:rsidRPr="384B0892">
              <w:rPr>
                <w:color w:val="000000" w:themeColor="text1"/>
              </w:rPr>
              <w:t xml:space="preserve">ccurring </w:t>
            </w:r>
            <w:r>
              <w:rPr>
                <w:color w:val="000000" w:themeColor="text1"/>
              </w:rPr>
              <w:t>R</w:t>
            </w:r>
            <w:r w:rsidRPr="384B0892">
              <w:rPr>
                <w:color w:val="000000" w:themeColor="text1"/>
              </w:rPr>
              <w:t xml:space="preserve">adioactive </w:t>
            </w:r>
            <w:r>
              <w:rPr>
                <w:color w:val="000000" w:themeColor="text1"/>
              </w:rPr>
              <w:t>M</w:t>
            </w:r>
            <w:r w:rsidRPr="384B0892">
              <w:rPr>
                <w:color w:val="000000" w:themeColor="text1"/>
              </w:rPr>
              <w:t xml:space="preserve">aterials </w:t>
            </w:r>
          </w:p>
        </w:tc>
      </w:tr>
      <w:tr w:rsidR="00A85CF1" w14:paraId="6E677D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EB9403" w14:textId="133592B3" w:rsidR="00A85CF1" w:rsidRPr="384B0892" w:rsidRDefault="00A85CF1" w:rsidP="00A85CF1">
            <w:pPr>
              <w:rPr>
                <w:color w:val="000000" w:themeColor="text1"/>
              </w:rPr>
            </w:pPr>
            <w:r w:rsidRPr="384B0892">
              <w:rPr>
                <w:color w:val="000000" w:themeColor="text1"/>
              </w:rPr>
              <w:t>OPEP</w:t>
            </w:r>
          </w:p>
        </w:tc>
        <w:tc>
          <w:tcPr>
            <w:tcW w:w="7371" w:type="dxa"/>
            <w:vAlign w:val="center"/>
          </w:tcPr>
          <w:p w14:paraId="2E9A3EC9" w14:textId="0949A663" w:rsidR="00A85CF1" w:rsidRPr="384B0892"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384B0892">
              <w:rPr>
                <w:color w:val="000000" w:themeColor="text1"/>
              </w:rPr>
              <w:t>Oil Pollution Emergency Plan</w:t>
            </w:r>
          </w:p>
        </w:tc>
      </w:tr>
      <w:tr w:rsidR="00A85CF1" w14:paraId="09E7C91D"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66E05153" w14:textId="1C1B21F2" w:rsidR="00A85CF1" w:rsidRPr="384B0892" w:rsidRDefault="00A85CF1" w:rsidP="00A85CF1">
            <w:pPr>
              <w:rPr>
                <w:color w:val="000000" w:themeColor="text1"/>
              </w:rPr>
            </w:pPr>
            <w:r w:rsidRPr="5D8BE62F">
              <w:rPr>
                <w:rFonts w:ascii="Aptos" w:eastAsia="Aptos" w:hAnsi="Aptos" w:cs="Times New Roman"/>
                <w:color w:val="000000" w:themeColor="text1"/>
              </w:rPr>
              <w:t>OPGGSA</w:t>
            </w:r>
          </w:p>
        </w:tc>
        <w:tc>
          <w:tcPr>
            <w:tcW w:w="7371" w:type="dxa"/>
            <w:vAlign w:val="center"/>
          </w:tcPr>
          <w:p w14:paraId="469CD6C3" w14:textId="57F21488" w:rsidR="00A85CF1" w:rsidRPr="384B0892" w:rsidRDefault="0080301B" w:rsidP="00A85CF1">
            <w:pPr>
              <w:cnfStyle w:val="000000000000" w:firstRow="0" w:lastRow="0" w:firstColumn="0" w:lastColumn="0" w:oddVBand="0" w:evenVBand="0" w:oddHBand="0" w:evenHBand="0" w:firstRowFirstColumn="0" w:firstRowLastColumn="0" w:lastRowFirstColumn="0" w:lastRowLastColumn="0"/>
              <w:rPr>
                <w:color w:val="000000" w:themeColor="text1"/>
              </w:rPr>
            </w:pPr>
            <w:hyperlink r:id="rId25" w:history="1">
              <w:r w:rsidR="00A85CF1" w:rsidRPr="5D8BE62F">
                <w:rPr>
                  <w:rStyle w:val="Hyperlink"/>
                  <w:rFonts w:ascii="Aptos" w:hAnsi="Aptos"/>
                  <w:i/>
                  <w:iCs/>
                </w:rPr>
                <w:t>Offshore Petroleum and Greenhouse Gas Storage Act 2006</w:t>
              </w:r>
            </w:hyperlink>
          </w:p>
        </w:tc>
      </w:tr>
      <w:tr w:rsidR="00A85CF1" w14:paraId="27B798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A2388B1" w14:textId="4957C8AE" w:rsidR="00A85CF1" w:rsidRPr="5D8BE62F" w:rsidRDefault="00A85CF1" w:rsidP="00A85CF1">
            <w:pPr>
              <w:rPr>
                <w:rFonts w:ascii="Aptos" w:eastAsia="Aptos" w:hAnsi="Aptos" w:cs="Times New Roman"/>
                <w:color w:val="000000" w:themeColor="text1"/>
              </w:rPr>
            </w:pPr>
            <w:r w:rsidRPr="5D8BE62F">
              <w:rPr>
                <w:rFonts w:ascii="Aptos" w:eastAsia="Aptos" w:hAnsi="Aptos" w:cs="Times New Roman"/>
                <w:color w:val="000000" w:themeColor="text1"/>
              </w:rPr>
              <w:t>Reporting period</w:t>
            </w:r>
          </w:p>
        </w:tc>
        <w:tc>
          <w:tcPr>
            <w:tcW w:w="7371" w:type="dxa"/>
            <w:vAlign w:val="center"/>
          </w:tcPr>
          <w:p w14:paraId="003FB962" w14:textId="47BA9ABF" w:rsidR="00A85CF1" w:rsidRDefault="00A85CF1" w:rsidP="00A85CF1">
            <w:pPr>
              <w:cnfStyle w:val="000000100000" w:firstRow="0" w:lastRow="0" w:firstColumn="0" w:lastColumn="0" w:oddVBand="0" w:evenVBand="0" w:oddHBand="1" w:evenHBand="0" w:firstRowFirstColumn="0" w:firstRowLastColumn="0" w:lastRowFirstColumn="0" w:lastRowLastColumn="0"/>
            </w:pPr>
            <w:r w:rsidRPr="5D8BE62F">
              <w:rPr>
                <w:rFonts w:ascii="Aptos" w:eastAsia="Aptos" w:hAnsi="Aptos" w:cs="Aptos"/>
              </w:rPr>
              <w:t>The year beginning from commencement of the action, or this report, 1 August 2023 to 31 July 2024</w:t>
            </w:r>
          </w:p>
        </w:tc>
      </w:tr>
      <w:tr w:rsidR="00A85CF1" w14:paraId="64BF5B01"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71A31C43" w14:textId="1C131221" w:rsidR="00A85CF1" w:rsidRPr="5D8BE62F" w:rsidRDefault="00A85CF1" w:rsidP="00A85CF1">
            <w:pPr>
              <w:rPr>
                <w:rFonts w:ascii="Aptos" w:eastAsia="Aptos" w:hAnsi="Aptos" w:cs="Times New Roman"/>
                <w:color w:val="000000" w:themeColor="text1"/>
              </w:rPr>
            </w:pPr>
            <w:r w:rsidRPr="5D8BE62F">
              <w:rPr>
                <w:rFonts w:ascii="Aptos" w:eastAsia="Aptos" w:hAnsi="Aptos" w:cs="Times New Roman"/>
                <w:color w:val="000000" w:themeColor="text1"/>
              </w:rPr>
              <w:t>ROV</w:t>
            </w:r>
          </w:p>
        </w:tc>
        <w:tc>
          <w:tcPr>
            <w:tcW w:w="7371" w:type="dxa"/>
            <w:vAlign w:val="center"/>
          </w:tcPr>
          <w:p w14:paraId="1980295C" w14:textId="676D7FEE" w:rsidR="00A85CF1" w:rsidRPr="5D8BE62F" w:rsidRDefault="009A40D4" w:rsidP="00A85CF1">
            <w:pPr>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Pr>
                <w:rFonts w:ascii="Aptos" w:eastAsia="Aptos" w:hAnsi="Aptos" w:cs="Times New Roman"/>
                <w:color w:val="000000" w:themeColor="text1"/>
              </w:rPr>
              <w:t>R</w:t>
            </w:r>
            <w:r w:rsidRPr="5D8BE62F">
              <w:rPr>
                <w:rFonts w:ascii="Aptos" w:eastAsia="Aptos" w:hAnsi="Aptos" w:cs="Times New Roman"/>
                <w:color w:val="000000" w:themeColor="text1"/>
              </w:rPr>
              <w:t xml:space="preserve">emotely </w:t>
            </w:r>
            <w:r>
              <w:rPr>
                <w:rFonts w:ascii="Aptos" w:eastAsia="Aptos" w:hAnsi="Aptos" w:cs="Times New Roman"/>
                <w:color w:val="000000" w:themeColor="text1"/>
              </w:rPr>
              <w:t>O</w:t>
            </w:r>
            <w:r w:rsidRPr="5D8BE62F">
              <w:rPr>
                <w:rFonts w:ascii="Aptos" w:eastAsia="Aptos" w:hAnsi="Aptos" w:cs="Times New Roman"/>
                <w:color w:val="000000" w:themeColor="text1"/>
              </w:rPr>
              <w:t xml:space="preserve">perated </w:t>
            </w:r>
            <w:r>
              <w:rPr>
                <w:rFonts w:ascii="Aptos" w:eastAsia="Aptos" w:hAnsi="Aptos" w:cs="Times New Roman"/>
                <w:color w:val="000000" w:themeColor="text1"/>
              </w:rPr>
              <w:t>V</w:t>
            </w:r>
            <w:r w:rsidRPr="5D8BE62F">
              <w:rPr>
                <w:rFonts w:ascii="Aptos" w:eastAsia="Aptos" w:hAnsi="Aptos" w:cs="Times New Roman"/>
                <w:color w:val="000000" w:themeColor="text1"/>
              </w:rPr>
              <w:t>ehicle</w:t>
            </w:r>
          </w:p>
        </w:tc>
      </w:tr>
      <w:tr w:rsidR="00A85CF1" w14:paraId="7C370A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A02738B" w14:textId="6694D0AC" w:rsidR="00A85CF1" w:rsidRPr="5D8BE62F" w:rsidRDefault="00A85CF1" w:rsidP="00A85CF1">
            <w:pPr>
              <w:rPr>
                <w:rFonts w:ascii="Aptos" w:eastAsia="Aptos" w:hAnsi="Aptos" w:cs="Times New Roman"/>
                <w:color w:val="000000" w:themeColor="text1"/>
              </w:rPr>
            </w:pPr>
            <w:r w:rsidRPr="384B0892">
              <w:rPr>
                <w:color w:val="000000" w:themeColor="text1"/>
              </w:rPr>
              <w:t>SCERP</w:t>
            </w:r>
          </w:p>
        </w:tc>
        <w:tc>
          <w:tcPr>
            <w:tcW w:w="7371" w:type="dxa"/>
            <w:vAlign w:val="center"/>
          </w:tcPr>
          <w:p w14:paraId="6B17697F" w14:textId="76163651" w:rsidR="00A85CF1" w:rsidRPr="5D8BE62F" w:rsidRDefault="00A85CF1" w:rsidP="00A85CF1">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color w:val="000000" w:themeColor="text1"/>
              </w:rPr>
            </w:pPr>
            <w:r w:rsidRPr="384B0892">
              <w:rPr>
                <w:color w:val="000000" w:themeColor="text1"/>
              </w:rPr>
              <w:t>Source Control Emergency Response Plan</w:t>
            </w:r>
          </w:p>
        </w:tc>
      </w:tr>
      <w:tr w:rsidR="00A85CF1" w14:paraId="3D0CF7A5" w14:textId="77777777">
        <w:tc>
          <w:tcPr>
            <w:cnfStyle w:val="001000000000" w:firstRow="0" w:lastRow="0" w:firstColumn="1" w:lastColumn="0" w:oddVBand="0" w:evenVBand="0" w:oddHBand="0" w:evenHBand="0" w:firstRowFirstColumn="0" w:firstRowLastColumn="0" w:lastRowFirstColumn="0" w:lastRowLastColumn="0"/>
            <w:tcW w:w="1838" w:type="dxa"/>
            <w:vAlign w:val="center"/>
          </w:tcPr>
          <w:p w14:paraId="2F3655C0" w14:textId="358547D0" w:rsidR="00A85CF1" w:rsidRPr="5D8BE62F" w:rsidRDefault="00A85CF1" w:rsidP="00A85CF1">
            <w:pPr>
              <w:rPr>
                <w:rFonts w:ascii="Aptos" w:eastAsia="Aptos" w:hAnsi="Aptos" w:cs="Times New Roman"/>
                <w:color w:val="000000" w:themeColor="text1"/>
              </w:rPr>
            </w:pPr>
            <w:r w:rsidRPr="384B0892">
              <w:rPr>
                <w:color w:val="000000" w:themeColor="text1"/>
              </w:rPr>
              <w:t>SURF</w:t>
            </w:r>
          </w:p>
        </w:tc>
        <w:tc>
          <w:tcPr>
            <w:tcW w:w="7371" w:type="dxa"/>
            <w:vAlign w:val="center"/>
          </w:tcPr>
          <w:p w14:paraId="52846B15" w14:textId="3EEE70A5" w:rsidR="00A85CF1" w:rsidRPr="5D8BE62F" w:rsidRDefault="00A508FD" w:rsidP="00A85CF1">
            <w:pPr>
              <w:cnfStyle w:val="000000000000" w:firstRow="0" w:lastRow="0" w:firstColumn="0" w:lastColumn="0" w:oddVBand="0" w:evenVBand="0" w:oddHBand="0" w:evenHBand="0" w:firstRowFirstColumn="0" w:firstRowLastColumn="0" w:lastRowFirstColumn="0" w:lastRowLastColumn="0"/>
              <w:rPr>
                <w:rFonts w:ascii="Aptos" w:hAnsi="Aptos"/>
              </w:rPr>
            </w:pPr>
            <w:r>
              <w:rPr>
                <w:color w:val="000000" w:themeColor="text1"/>
              </w:rPr>
              <w:t>S</w:t>
            </w:r>
            <w:r w:rsidRPr="00447421">
              <w:rPr>
                <w:color w:val="000000" w:themeColor="text1"/>
              </w:rPr>
              <w:t xml:space="preserve">ubsea </w:t>
            </w:r>
            <w:r w:rsidR="00602218">
              <w:rPr>
                <w:color w:val="000000" w:themeColor="text1"/>
              </w:rPr>
              <w:t>u</w:t>
            </w:r>
            <w:r w:rsidRPr="00447421">
              <w:rPr>
                <w:color w:val="000000" w:themeColor="text1"/>
              </w:rPr>
              <w:t>mbilical</w:t>
            </w:r>
            <w:r w:rsidR="00A85CF1" w:rsidRPr="00447421">
              <w:rPr>
                <w:color w:val="000000" w:themeColor="text1"/>
              </w:rPr>
              <w:t xml:space="preserve">, </w:t>
            </w:r>
            <w:proofErr w:type="gramStart"/>
            <w:r w:rsidR="00602218">
              <w:rPr>
                <w:color w:val="000000" w:themeColor="text1"/>
              </w:rPr>
              <w:t>r</w:t>
            </w:r>
            <w:r w:rsidRPr="00447421">
              <w:rPr>
                <w:color w:val="000000" w:themeColor="text1"/>
              </w:rPr>
              <w:t>iser</w:t>
            </w:r>
            <w:proofErr w:type="gramEnd"/>
            <w:r w:rsidRPr="00447421">
              <w:rPr>
                <w:color w:val="000000" w:themeColor="text1"/>
              </w:rPr>
              <w:t xml:space="preserve"> </w:t>
            </w:r>
            <w:r w:rsidR="00A85CF1" w:rsidRPr="00447421">
              <w:rPr>
                <w:color w:val="000000" w:themeColor="text1"/>
              </w:rPr>
              <w:t xml:space="preserve">and </w:t>
            </w:r>
            <w:r w:rsidR="00602218">
              <w:rPr>
                <w:color w:val="000000" w:themeColor="text1"/>
              </w:rPr>
              <w:t>f</w:t>
            </w:r>
            <w:r w:rsidRPr="00447421">
              <w:rPr>
                <w:color w:val="000000" w:themeColor="text1"/>
              </w:rPr>
              <w:t>lowline</w:t>
            </w:r>
          </w:p>
        </w:tc>
      </w:tr>
      <w:tr w:rsidR="00A85CF1" w14:paraId="4D386B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6DDAAB" w14:textId="087D89F8" w:rsidR="00A85CF1" w:rsidRPr="384B0892" w:rsidRDefault="00A85CF1" w:rsidP="00A85CF1">
            <w:pPr>
              <w:rPr>
                <w:color w:val="000000" w:themeColor="text1"/>
              </w:rPr>
            </w:pPr>
            <w:r w:rsidRPr="384B0892">
              <w:rPr>
                <w:color w:val="000000" w:themeColor="text1"/>
              </w:rPr>
              <w:t>WMP</w:t>
            </w:r>
          </w:p>
        </w:tc>
        <w:tc>
          <w:tcPr>
            <w:tcW w:w="7371" w:type="dxa"/>
            <w:vAlign w:val="center"/>
          </w:tcPr>
          <w:p w14:paraId="566A75DC" w14:textId="53229502" w:rsidR="00A85CF1" w:rsidRPr="5D8BE62F" w:rsidRDefault="00A85CF1" w:rsidP="00A85CF1">
            <w:pPr>
              <w:cnfStyle w:val="000000100000" w:firstRow="0" w:lastRow="0" w:firstColumn="0" w:lastColumn="0" w:oddVBand="0" w:evenVBand="0" w:oddHBand="1" w:evenHBand="0" w:firstRowFirstColumn="0" w:firstRowLastColumn="0" w:lastRowFirstColumn="0" w:lastRowLastColumn="0"/>
              <w:rPr>
                <w:color w:val="000000" w:themeColor="text1"/>
              </w:rPr>
            </w:pPr>
            <w:r w:rsidRPr="384B0892">
              <w:rPr>
                <w:color w:val="000000" w:themeColor="text1"/>
              </w:rPr>
              <w:t xml:space="preserve">Waste Management Plan </w:t>
            </w:r>
          </w:p>
        </w:tc>
      </w:tr>
    </w:tbl>
    <w:p w14:paraId="6F893AEB" w14:textId="77777777" w:rsidR="00A85CF1" w:rsidRDefault="00A85CF1" w:rsidP="00B11B5E">
      <w:pPr>
        <w:pStyle w:val="Heading2"/>
        <w:numPr>
          <w:ilvl w:val="0"/>
          <w:numId w:val="0"/>
        </w:numPr>
        <w:ind w:left="432"/>
        <w:sectPr w:rsidR="00A85CF1" w:rsidSect="005A0F0F">
          <w:headerReference w:type="default" r:id="rId26"/>
          <w:pgSz w:w="11906" w:h="16838"/>
          <w:pgMar w:top="1276" w:right="1440" w:bottom="1440" w:left="1440" w:header="851" w:footer="708" w:gutter="0"/>
          <w:cols w:space="708"/>
          <w:docGrid w:linePitch="360"/>
        </w:sectPr>
      </w:pPr>
    </w:p>
    <w:p w14:paraId="439A0262" w14:textId="4985B000" w:rsidR="00A85CF1" w:rsidRDefault="00A85CF1" w:rsidP="00855232">
      <w:pPr>
        <w:pStyle w:val="Heading2"/>
        <w:ind w:left="709" w:hanging="709"/>
      </w:pPr>
      <w:bookmarkStart w:id="50" w:name="_Toc180504209"/>
      <w:r>
        <w:lastRenderedPageBreak/>
        <w:t>Introduction</w:t>
      </w:r>
      <w:bookmarkEnd w:id="50"/>
    </w:p>
    <w:p w14:paraId="2E143817" w14:textId="432B1B0B" w:rsidR="00A85CF1" w:rsidRDefault="4603E799" w:rsidP="00855232">
      <w:pPr>
        <w:pStyle w:val="Heading3"/>
        <w:ind w:left="851" w:hanging="851"/>
      </w:pPr>
      <w:bookmarkStart w:id="51" w:name="_Toc180504210"/>
      <w:r>
        <w:t>Foreword</w:t>
      </w:r>
      <w:bookmarkEnd w:id="51"/>
    </w:p>
    <w:p w14:paraId="0BCC37E9" w14:textId="0543CF35" w:rsidR="00887ECE" w:rsidRPr="00347459" w:rsidRDefault="00A85CF1" w:rsidP="00855232">
      <w:r w:rsidRPr="00347459">
        <w:rPr>
          <w:shd w:val="clear" w:color="auto" w:fill="FFFFFF"/>
        </w:rPr>
        <w:t xml:space="preserve">The </w:t>
      </w:r>
      <w:r w:rsidRPr="00347459">
        <w:t xml:space="preserve">Department of Industry, Science and Resources (DISR) has </w:t>
      </w:r>
      <w:r w:rsidR="00887ECE" w:rsidRPr="00347459">
        <w:t>made significant progress</w:t>
      </w:r>
      <w:r w:rsidR="00887ECE" w:rsidRPr="00347459">
        <w:rPr>
          <w:shd w:val="clear" w:color="auto" w:fill="FFFFFF"/>
        </w:rPr>
        <w:t xml:space="preserve"> on the </w:t>
      </w:r>
      <w:r w:rsidR="002B7D26">
        <w:rPr>
          <w:shd w:val="clear" w:color="auto" w:fill="FFFFFF"/>
        </w:rPr>
        <w:t xml:space="preserve">Northern Endeavour </w:t>
      </w:r>
      <w:r w:rsidR="00887ECE" w:rsidRPr="00347459">
        <w:rPr>
          <w:shd w:val="clear" w:color="auto" w:fill="FFFFFF"/>
        </w:rPr>
        <w:t>decommissioning program. Phase </w:t>
      </w:r>
      <w:r w:rsidR="00887ECE" w:rsidRPr="00347459">
        <w:t xml:space="preserve">1 </w:t>
      </w:r>
      <w:r w:rsidR="0049718C">
        <w:t xml:space="preserve">decommissioning work </w:t>
      </w:r>
      <w:r w:rsidR="00887ECE" w:rsidRPr="00347459">
        <w:t xml:space="preserve">is underway and focuses on disconnecting the </w:t>
      </w:r>
      <w:r w:rsidR="002744BC">
        <w:t>f</w:t>
      </w:r>
      <w:r w:rsidR="00600883">
        <w:t xml:space="preserve">loating </w:t>
      </w:r>
      <w:r w:rsidR="002744BC">
        <w:t>p</w:t>
      </w:r>
      <w:r w:rsidR="00600883">
        <w:t xml:space="preserve">roduction </w:t>
      </w:r>
      <w:r w:rsidR="002744BC">
        <w:t>s</w:t>
      </w:r>
      <w:r w:rsidR="00600883">
        <w:t xml:space="preserve">torage and </w:t>
      </w:r>
      <w:r w:rsidR="002744BC">
        <w:t>o</w:t>
      </w:r>
      <w:r w:rsidR="00600883">
        <w:t>fftake vessel (</w:t>
      </w:r>
      <w:r w:rsidR="00887ECE" w:rsidRPr="00347459">
        <w:t>FPSO</w:t>
      </w:r>
      <w:r w:rsidR="00600883">
        <w:t>)</w:t>
      </w:r>
      <w:r w:rsidR="00887ECE" w:rsidRPr="00347459">
        <w:t xml:space="preserve"> from the subsea infrastructure and disposal of the vessel. This includes maintaining</w:t>
      </w:r>
      <w:r w:rsidR="00887ECE" w:rsidRPr="00347459">
        <w:rPr>
          <w:shd w:val="clear" w:color="auto" w:fill="FFFFFF"/>
        </w:rPr>
        <w:t xml:space="preserve"> and operating the facility in non-production (lighthouse) mode, and work to decommission</w:t>
      </w:r>
      <w:r w:rsidR="00CB4EE5">
        <w:rPr>
          <w:shd w:val="clear" w:color="auto" w:fill="FFFFFF"/>
        </w:rPr>
        <w:t xml:space="preserve"> the facility</w:t>
      </w:r>
      <w:r w:rsidR="00887ECE" w:rsidRPr="00347459">
        <w:rPr>
          <w:shd w:val="clear" w:color="auto" w:fill="FFFFFF"/>
        </w:rPr>
        <w:t xml:space="preserve"> and </w:t>
      </w:r>
      <w:r w:rsidR="00171901" w:rsidRPr="00347459">
        <w:rPr>
          <w:shd w:val="clear" w:color="auto" w:fill="FFFFFF"/>
        </w:rPr>
        <w:t xml:space="preserve">prepare for the </w:t>
      </w:r>
      <w:r w:rsidR="00887ECE" w:rsidRPr="00347459">
        <w:rPr>
          <w:shd w:val="clear" w:color="auto" w:fill="FFFFFF"/>
        </w:rPr>
        <w:t>disconnection of the FPSO.</w:t>
      </w:r>
      <w:r w:rsidR="005552EE">
        <w:rPr>
          <w:shd w:val="clear" w:color="auto" w:fill="FFFFFF"/>
        </w:rPr>
        <w:t xml:space="preserve"> </w:t>
      </w:r>
      <w:r w:rsidR="005552EE" w:rsidRPr="00B7370A">
        <w:rPr>
          <w:shd w:val="clear" w:color="auto" w:fill="FFFFFF"/>
        </w:rPr>
        <w:t xml:space="preserve">Petrofac Facilities Management Limited (Petrofac) is the registered operator and lead contractor delivering </w:t>
      </w:r>
      <w:r w:rsidR="00686850">
        <w:rPr>
          <w:shd w:val="clear" w:color="auto" w:fill="FFFFFF"/>
        </w:rPr>
        <w:t>P</w:t>
      </w:r>
      <w:r w:rsidR="005552EE" w:rsidRPr="00B7370A">
        <w:rPr>
          <w:shd w:val="clear" w:color="auto" w:fill="FFFFFF"/>
        </w:rPr>
        <w:t xml:space="preserve">hase 1 decommissioning activities for </w:t>
      </w:r>
      <w:r w:rsidR="005552EE">
        <w:rPr>
          <w:shd w:val="clear" w:color="auto" w:fill="FFFFFF"/>
        </w:rPr>
        <w:t>DISR</w:t>
      </w:r>
      <w:r w:rsidR="00602218">
        <w:rPr>
          <w:shd w:val="clear" w:color="auto" w:fill="FFFFFF"/>
        </w:rPr>
        <w:t>.</w:t>
      </w:r>
    </w:p>
    <w:p w14:paraId="58B888FF" w14:textId="673C2FF1" w:rsidR="00A85CF1" w:rsidRDefault="00887ECE" w:rsidP="00A85CF1">
      <w:r>
        <w:t>DISR</w:t>
      </w:r>
      <w:r w:rsidR="00A85CF1">
        <w:t xml:space="preserve"> </w:t>
      </w:r>
      <w:r w:rsidR="00EF14A8">
        <w:t xml:space="preserve">is compliant </w:t>
      </w:r>
      <w:r w:rsidR="00D477DB">
        <w:t xml:space="preserve">with the </w:t>
      </w:r>
      <w:hyperlink r:id="rId27">
        <w:r w:rsidR="00D477DB" w:rsidRPr="25594D26">
          <w:rPr>
            <w:rStyle w:val="Hyperlink"/>
            <w:rFonts w:ascii="Aptos" w:eastAsia="Aptos" w:hAnsi="Aptos" w:cs="Aptos"/>
            <w:i/>
            <w:iCs/>
          </w:rPr>
          <w:t>Environmental Protection and Biodiversity Conservation Act 1999</w:t>
        </w:r>
      </w:hyperlink>
      <w:r w:rsidR="00D477DB" w:rsidRPr="25594D26">
        <w:rPr>
          <w:rFonts w:ascii="Aptos" w:eastAsia="Aptos" w:hAnsi="Aptos" w:cs="Aptos"/>
          <w:i/>
          <w:iCs/>
        </w:rPr>
        <w:t xml:space="preserve"> </w:t>
      </w:r>
      <w:r w:rsidR="00D477DB" w:rsidRPr="25594D26">
        <w:rPr>
          <w:rFonts w:ascii="Aptos" w:eastAsia="Aptos" w:hAnsi="Aptos" w:cs="Aptos"/>
        </w:rPr>
        <w:t xml:space="preserve">(EPBC Act) </w:t>
      </w:r>
      <w:hyperlink r:id="rId28">
        <w:r w:rsidR="00D477DB" w:rsidRPr="25594D26">
          <w:rPr>
            <w:rStyle w:val="Hyperlink"/>
            <w:rFonts w:ascii="Aptos" w:eastAsia="Aptos" w:hAnsi="Aptos" w:cs="Aptos"/>
          </w:rPr>
          <w:t>approval 2022/09327</w:t>
        </w:r>
      </w:hyperlink>
      <w:r w:rsidR="00D477DB" w:rsidRPr="25594D26">
        <w:rPr>
          <w:rFonts w:ascii="Aptos" w:eastAsia="Aptos" w:hAnsi="Aptos" w:cs="Aptos"/>
        </w:rPr>
        <w:t xml:space="preserve"> Northern Endeavour Phase 1 Decommissioning (the approval) </w:t>
      </w:r>
      <w:r w:rsidR="00EF14A8" w:rsidRPr="25594D26">
        <w:rPr>
          <w:rFonts w:ascii="Aptos" w:eastAsia="Aptos" w:hAnsi="Aptos" w:cs="Aptos"/>
        </w:rPr>
        <w:t xml:space="preserve">for </w:t>
      </w:r>
      <w:r w:rsidR="00A85CF1">
        <w:t>the reporting period</w:t>
      </w:r>
      <w:r w:rsidR="00EF14A8">
        <w:t xml:space="preserve">. </w:t>
      </w:r>
      <w:r w:rsidR="65A7D18D" w:rsidRPr="00B7370A">
        <w:rPr>
          <w:shd w:val="clear" w:color="auto" w:fill="FFFFFF"/>
        </w:rPr>
        <w:t xml:space="preserve">Petrofac </w:t>
      </w:r>
      <w:r w:rsidR="00D76603">
        <w:rPr>
          <w:shd w:val="clear" w:color="auto" w:fill="FFFFFF"/>
        </w:rPr>
        <w:t xml:space="preserve">implemented the management plans </w:t>
      </w:r>
      <w:r w:rsidR="00673D79">
        <w:rPr>
          <w:shd w:val="clear" w:color="auto" w:fill="FFFFFF"/>
        </w:rPr>
        <w:t>and complied</w:t>
      </w:r>
      <w:r w:rsidR="65A7D18D" w:rsidRPr="00B7370A">
        <w:rPr>
          <w:shd w:val="clear" w:color="auto" w:fill="FFFFFF"/>
        </w:rPr>
        <w:t xml:space="preserve"> with the conditions</w:t>
      </w:r>
      <w:r w:rsidR="00A6632F">
        <w:rPr>
          <w:shd w:val="clear" w:color="auto" w:fill="FFFFFF"/>
        </w:rPr>
        <w:t xml:space="preserve"> throughout</w:t>
      </w:r>
      <w:r w:rsidR="65A7D18D" w:rsidRPr="00B7370A">
        <w:rPr>
          <w:shd w:val="clear" w:color="auto" w:fill="FFFFFF"/>
        </w:rPr>
        <w:t>.</w:t>
      </w:r>
      <w:r w:rsidR="65A7D18D" w:rsidRPr="25594D26">
        <w:rPr>
          <w:rFonts w:ascii="Segoe UI" w:eastAsia="Segoe UI" w:hAnsi="Segoe UI" w:cs="Segoe UI"/>
          <w:color w:val="3F3B3B"/>
          <w:sz w:val="24"/>
          <w:szCs w:val="24"/>
        </w:rPr>
        <w:t xml:space="preserve"> </w:t>
      </w:r>
      <w:r w:rsidR="00B7370A">
        <w:t>DISR</w:t>
      </w:r>
      <w:r w:rsidR="00D709E8">
        <w:t xml:space="preserve"> has taken a pro-active approach in </w:t>
      </w:r>
      <w:r w:rsidR="005B36F4">
        <w:t>maintaining compliance</w:t>
      </w:r>
      <w:r w:rsidR="00D413E0">
        <w:t xml:space="preserve"> with the approval conditions </w:t>
      </w:r>
      <w:r w:rsidR="00EF2BDC">
        <w:t xml:space="preserve">and </w:t>
      </w:r>
      <w:r w:rsidR="00D413E0">
        <w:t>completing all reporting</w:t>
      </w:r>
      <w:r w:rsidR="004633D7">
        <w:t>.</w:t>
      </w:r>
      <w:r w:rsidR="00A85CF1">
        <w:t xml:space="preserve"> DISR has </w:t>
      </w:r>
      <w:r w:rsidR="00FD1E3B">
        <w:t xml:space="preserve">applied </w:t>
      </w:r>
      <w:r w:rsidR="00A85CF1">
        <w:t>and maintained rigorous internal measures of review to ensure the success of the Northern Endeavour Phase</w:t>
      </w:r>
      <w:r w:rsidR="003C348A">
        <w:t> </w:t>
      </w:r>
      <w:r w:rsidR="00A85CF1">
        <w:t xml:space="preserve">1 </w:t>
      </w:r>
      <w:r w:rsidR="00C62619">
        <w:t>d</w:t>
      </w:r>
      <w:r w:rsidR="00A85CF1">
        <w:t>ecommissioning</w:t>
      </w:r>
      <w:r w:rsidR="00C62619">
        <w:t xml:space="preserve"> work</w:t>
      </w:r>
      <w:r w:rsidR="00A85CF1">
        <w:t>.</w:t>
      </w:r>
    </w:p>
    <w:p w14:paraId="62D2D6B4" w14:textId="32FB7CC5" w:rsidR="619BB905" w:rsidRDefault="009D3A3B" w:rsidP="619BB905">
      <w:r>
        <w:t xml:space="preserve">During the reporting period </w:t>
      </w:r>
      <w:r w:rsidR="604F1783">
        <w:t xml:space="preserve">DISR sought </w:t>
      </w:r>
      <w:r w:rsidR="00CD194A">
        <w:t xml:space="preserve">a </w:t>
      </w:r>
      <w:r w:rsidR="604F1783">
        <w:t xml:space="preserve">variation to </w:t>
      </w:r>
      <w:r w:rsidR="00C86B9D">
        <w:t xml:space="preserve">approval </w:t>
      </w:r>
      <w:r w:rsidR="604F1783">
        <w:t>conditions</w:t>
      </w:r>
      <w:r>
        <w:t xml:space="preserve"> to ensure ongoing compliance with the conditions of approval</w:t>
      </w:r>
      <w:r w:rsidR="604F1783">
        <w:t xml:space="preserve">. </w:t>
      </w:r>
      <w:r w:rsidR="00F61A71">
        <w:t xml:space="preserve">The </w:t>
      </w:r>
      <w:r w:rsidR="00F61A71" w:rsidRPr="1757E23D">
        <w:rPr>
          <w:color w:val="000000" w:themeColor="text1"/>
        </w:rPr>
        <w:t>Department of Climate Change, Energy, the Environment and Water</w:t>
      </w:r>
      <w:r w:rsidR="00F61A71">
        <w:t xml:space="preserve"> (DCCEEW) approved the variation a</w:t>
      </w:r>
      <w:r w:rsidR="0052159A">
        <w:t xml:space="preserve">s </w:t>
      </w:r>
      <w:r w:rsidR="604F1783">
        <w:t xml:space="preserve">detailed in </w:t>
      </w:r>
      <w:hyperlink w:anchor="_Variation_to_conditions" w:history="1">
        <w:r w:rsidR="604F1783" w:rsidRPr="00CD194A">
          <w:rPr>
            <w:rStyle w:val="Hyperlink"/>
          </w:rPr>
          <w:t xml:space="preserve">Section </w:t>
        </w:r>
        <w:r w:rsidR="00252DCC" w:rsidRPr="00CD194A">
          <w:rPr>
            <w:rStyle w:val="Hyperlink"/>
          </w:rPr>
          <w:t>4.6</w:t>
        </w:r>
      </w:hyperlink>
      <w:r w:rsidR="00B60032">
        <w:rPr>
          <w:rStyle w:val="Hyperlink"/>
        </w:rPr>
        <w:t xml:space="preserve"> </w:t>
      </w:r>
      <w:r w:rsidR="00B60032" w:rsidRPr="0060031D">
        <w:t>of this report</w:t>
      </w:r>
      <w:r w:rsidR="604F1783">
        <w:t xml:space="preserve">. </w:t>
      </w:r>
      <w:r w:rsidR="00BA2E1E">
        <w:t>There were no non-compliances recorded</w:t>
      </w:r>
      <w:r w:rsidR="604F1783">
        <w:t xml:space="preserve"> against the conditions of approval </w:t>
      </w:r>
      <w:r w:rsidR="00BA2E1E">
        <w:t>during the reporting period</w:t>
      </w:r>
      <w:r w:rsidR="604F1783">
        <w:t>.</w:t>
      </w:r>
    </w:p>
    <w:p w14:paraId="3A6C72C8" w14:textId="61D94D73" w:rsidR="00A85CF1" w:rsidRDefault="00F1335D" w:rsidP="00A85CF1">
      <w:r>
        <w:t>DISR</w:t>
      </w:r>
      <w:r w:rsidR="00430D0F">
        <w:t xml:space="preserve"> and Petrofac</w:t>
      </w:r>
      <w:r>
        <w:t xml:space="preserve"> developed a </w:t>
      </w:r>
      <w:r w:rsidR="00A85CF1">
        <w:t xml:space="preserve">series of </w:t>
      </w:r>
      <w:r w:rsidR="002D6D63">
        <w:t>detailed</w:t>
      </w:r>
      <w:r w:rsidR="00A85CF1">
        <w:t xml:space="preserve"> management plans </w:t>
      </w:r>
      <w:r w:rsidR="009D1BD2">
        <w:t xml:space="preserve">to be activated </w:t>
      </w:r>
      <w:r w:rsidR="00A85CF1">
        <w:t>i</w:t>
      </w:r>
      <w:r w:rsidR="003A4702">
        <w:t xml:space="preserve">f </w:t>
      </w:r>
      <w:r w:rsidR="00A85CF1">
        <w:t>an incident, non-compliance, or emergency occur</w:t>
      </w:r>
      <w:r w:rsidR="003A4702">
        <w:t>s</w:t>
      </w:r>
      <w:r w:rsidR="00A85CF1">
        <w:t xml:space="preserve">. </w:t>
      </w:r>
      <w:r w:rsidR="00460DD6">
        <w:t>T</w:t>
      </w:r>
      <w:r w:rsidR="00A85CF1">
        <w:t>he Northern Endeavour Branch</w:t>
      </w:r>
      <w:r w:rsidR="00A85447">
        <w:t xml:space="preserve"> ha</w:t>
      </w:r>
      <w:r w:rsidR="00C62619">
        <w:t>s</w:t>
      </w:r>
      <w:r w:rsidR="00023338">
        <w:t xml:space="preserve"> </w:t>
      </w:r>
      <w:r w:rsidR="00A85447">
        <w:t>a Cris</w:t>
      </w:r>
      <w:r w:rsidR="00023338">
        <w:t xml:space="preserve">is Management Team (CMT), along with </w:t>
      </w:r>
      <w:r w:rsidR="00F42601" w:rsidRPr="00BB48A0">
        <w:rPr>
          <w:rStyle w:val="cf01"/>
          <w:rFonts w:ascii="Aptos" w:hAnsi="Aptos"/>
          <w:sz w:val="20"/>
          <w:szCs w:val="20"/>
        </w:rPr>
        <w:t>Petrofac</w:t>
      </w:r>
      <w:r w:rsidR="00047B43">
        <w:rPr>
          <w:rStyle w:val="cf01"/>
          <w:rFonts w:ascii="Aptos" w:hAnsi="Aptos"/>
          <w:sz w:val="20"/>
          <w:szCs w:val="20"/>
        </w:rPr>
        <w:t>’s</w:t>
      </w:r>
      <w:r w:rsidR="00023338">
        <w:rPr>
          <w:rStyle w:val="cf01"/>
          <w:rFonts w:ascii="Aptos" w:hAnsi="Aptos"/>
          <w:sz w:val="20"/>
          <w:szCs w:val="20"/>
        </w:rPr>
        <w:t xml:space="preserve"> </w:t>
      </w:r>
      <w:r w:rsidR="00023338" w:rsidRPr="00221F10">
        <w:rPr>
          <w:color w:val="000000" w:themeColor="text1"/>
        </w:rPr>
        <w:t xml:space="preserve">Incident </w:t>
      </w:r>
      <w:r w:rsidR="00023338" w:rsidRPr="3F335E87">
        <w:rPr>
          <w:color w:val="000000" w:themeColor="text1"/>
        </w:rPr>
        <w:t>Management Team</w:t>
      </w:r>
      <w:r w:rsidR="00A85CF1">
        <w:t xml:space="preserve"> </w:t>
      </w:r>
      <w:r w:rsidR="00023338">
        <w:t xml:space="preserve">(IMT) </w:t>
      </w:r>
      <w:r w:rsidR="00A85CF1">
        <w:t xml:space="preserve">that </w:t>
      </w:r>
      <w:r w:rsidR="00F42601">
        <w:t>are</w:t>
      </w:r>
      <w:r w:rsidR="00A85CF1">
        <w:t xml:space="preserve"> </w:t>
      </w:r>
      <w:r w:rsidR="00460DD6">
        <w:t>ready to activate</w:t>
      </w:r>
      <w:r w:rsidR="00A85CF1">
        <w:t xml:space="preserve"> in </w:t>
      </w:r>
      <w:r w:rsidR="00460DD6">
        <w:t xml:space="preserve">case of </w:t>
      </w:r>
      <w:r w:rsidR="00A85CF1">
        <w:t>an emergency.</w:t>
      </w:r>
    </w:p>
    <w:p w14:paraId="425116A6" w14:textId="6BD53DD9" w:rsidR="00A85CF1" w:rsidRPr="008F33F1" w:rsidRDefault="00A85CF1" w:rsidP="00254D2C">
      <w:pPr>
        <w:pStyle w:val="Heading3"/>
        <w:ind w:left="851" w:hanging="851"/>
      </w:pPr>
      <w:bookmarkStart w:id="52" w:name="_Toc357311171"/>
      <w:bookmarkStart w:id="53" w:name="_Toc178321844"/>
      <w:bookmarkStart w:id="54" w:name="_Toc180504211"/>
      <w:r>
        <w:t>Purpose</w:t>
      </w:r>
      <w:bookmarkEnd w:id="52"/>
      <w:bookmarkEnd w:id="53"/>
      <w:bookmarkEnd w:id="54"/>
    </w:p>
    <w:p w14:paraId="3BDEB021" w14:textId="4F5ED86F" w:rsidR="00A85CF1" w:rsidRDefault="00A85CF1" w:rsidP="00A85CF1">
      <w:pPr>
        <w:rPr>
          <w:rFonts w:ascii="Aptos" w:eastAsia="Aptos" w:hAnsi="Aptos" w:cs="Aptos"/>
        </w:rPr>
      </w:pPr>
      <w:r w:rsidRPr="384B0892">
        <w:rPr>
          <w:rFonts w:ascii="Aptos" w:eastAsia="Aptos" w:hAnsi="Aptos" w:cs="Aptos"/>
        </w:rPr>
        <w:t>On 1 August 2023,</w:t>
      </w:r>
      <w:r w:rsidR="00584007">
        <w:rPr>
          <w:rFonts w:ascii="Aptos" w:eastAsia="Aptos" w:hAnsi="Aptos" w:cs="Aptos"/>
        </w:rPr>
        <w:t xml:space="preserve"> </w:t>
      </w:r>
      <w:r w:rsidR="00584007" w:rsidRPr="384B0892">
        <w:rPr>
          <w:rFonts w:ascii="Aptos" w:eastAsia="Aptos" w:hAnsi="Aptos" w:cs="Aptos"/>
        </w:rPr>
        <w:t>DCCEEW</w:t>
      </w:r>
      <w:r w:rsidR="00584007">
        <w:rPr>
          <w:rFonts w:ascii="Aptos" w:eastAsia="Aptos" w:hAnsi="Aptos" w:cs="Aptos"/>
        </w:rPr>
        <w:t xml:space="preserve"> </w:t>
      </w:r>
      <w:r w:rsidR="001204A3">
        <w:rPr>
          <w:rFonts w:ascii="Aptos" w:eastAsia="Aptos" w:hAnsi="Aptos" w:cs="Aptos"/>
        </w:rPr>
        <w:t>gave</w:t>
      </w:r>
      <w:r w:rsidR="00584007">
        <w:rPr>
          <w:rFonts w:ascii="Aptos" w:eastAsia="Aptos" w:hAnsi="Aptos" w:cs="Aptos"/>
        </w:rPr>
        <w:t xml:space="preserve"> </w:t>
      </w:r>
      <w:r w:rsidRPr="384B0892">
        <w:rPr>
          <w:rFonts w:ascii="Aptos" w:eastAsia="Aptos" w:hAnsi="Aptos" w:cs="Aptos"/>
        </w:rPr>
        <w:t>EPBC Act</w:t>
      </w:r>
      <w:r w:rsidR="00DD12DA">
        <w:rPr>
          <w:rFonts w:ascii="Aptos" w:eastAsia="Aptos" w:hAnsi="Aptos" w:cs="Aptos"/>
        </w:rPr>
        <w:t xml:space="preserve"> approval of the</w:t>
      </w:r>
      <w:r w:rsidRPr="384B0892">
        <w:rPr>
          <w:rFonts w:ascii="Aptos" w:eastAsia="Aptos" w:hAnsi="Aptos" w:cs="Aptos"/>
        </w:rPr>
        <w:t xml:space="preserve"> Northern Endeavour Phase 1 Decommissioning to DISR</w:t>
      </w:r>
      <w:r w:rsidR="003464D0">
        <w:rPr>
          <w:rFonts w:ascii="Aptos" w:eastAsia="Aptos" w:hAnsi="Aptos" w:cs="Aptos"/>
        </w:rPr>
        <w:t xml:space="preserve">, </w:t>
      </w:r>
      <w:r w:rsidR="00F9201F" w:rsidRPr="384B0892">
        <w:rPr>
          <w:rFonts w:ascii="Aptos" w:eastAsia="Aptos" w:hAnsi="Aptos" w:cs="Aptos"/>
        </w:rPr>
        <w:t>subject to 34 conditions (the conditions)</w:t>
      </w:r>
      <w:r w:rsidRPr="384B0892">
        <w:rPr>
          <w:rFonts w:ascii="Aptos" w:eastAsia="Aptos" w:hAnsi="Aptos" w:cs="Aptos"/>
        </w:rPr>
        <w:t xml:space="preserve">. </w:t>
      </w:r>
    </w:p>
    <w:p w14:paraId="4AD330A0" w14:textId="48E4D1B9" w:rsidR="00A85CF1" w:rsidRDefault="00A85CF1" w:rsidP="00A85CF1">
      <w:pPr>
        <w:rPr>
          <w:rFonts w:ascii="Aptos" w:eastAsia="Aptos" w:hAnsi="Aptos" w:cs="Aptos"/>
        </w:rPr>
      </w:pPr>
      <w:r w:rsidRPr="384B0892">
        <w:rPr>
          <w:rFonts w:ascii="Aptos" w:eastAsia="Aptos" w:hAnsi="Aptos" w:cs="Aptos"/>
        </w:rPr>
        <w:t xml:space="preserve">Condition 20 of the approval </w:t>
      </w:r>
      <w:r w:rsidR="00E47A33">
        <w:rPr>
          <w:rFonts w:ascii="Aptos" w:eastAsia="Aptos" w:hAnsi="Aptos" w:cs="Aptos"/>
        </w:rPr>
        <w:t xml:space="preserve">states that </w:t>
      </w:r>
      <w:r w:rsidRPr="384B0892">
        <w:rPr>
          <w:rFonts w:ascii="Aptos" w:eastAsia="Aptos" w:hAnsi="Aptos" w:cs="Aptos"/>
        </w:rPr>
        <w:t xml:space="preserve">the approval holder (DISR) </w:t>
      </w:r>
      <w:r w:rsidR="00E47A33">
        <w:rPr>
          <w:rFonts w:ascii="Aptos" w:eastAsia="Aptos" w:hAnsi="Aptos" w:cs="Aptos"/>
        </w:rPr>
        <w:t xml:space="preserve">must </w:t>
      </w:r>
      <w:r w:rsidRPr="384B0892">
        <w:rPr>
          <w:rFonts w:ascii="Aptos" w:eastAsia="Aptos" w:hAnsi="Aptos" w:cs="Aptos"/>
        </w:rPr>
        <w:t>provide an Annual Compliance Report</w:t>
      </w:r>
      <w:r w:rsidR="00595F4B">
        <w:rPr>
          <w:rFonts w:ascii="Aptos" w:eastAsia="Aptos" w:hAnsi="Aptos" w:cs="Aptos"/>
        </w:rPr>
        <w:t>.</w:t>
      </w:r>
      <w:r w:rsidRPr="384B0892">
        <w:rPr>
          <w:rFonts w:ascii="Aptos" w:eastAsia="Aptos" w:hAnsi="Aptos" w:cs="Aptos"/>
        </w:rPr>
        <w:t xml:space="preserve"> This </w:t>
      </w:r>
      <w:r w:rsidR="00595F4B">
        <w:rPr>
          <w:rFonts w:ascii="Aptos" w:eastAsia="Aptos" w:hAnsi="Aptos" w:cs="Aptos"/>
        </w:rPr>
        <w:t>report</w:t>
      </w:r>
      <w:r w:rsidRPr="384B0892">
        <w:rPr>
          <w:rFonts w:ascii="Aptos" w:eastAsia="Aptos" w:hAnsi="Aptos" w:cs="Aptos"/>
        </w:rPr>
        <w:t xml:space="preserve"> covers DISR’s compliance with all conditions of approval for the </w:t>
      </w:r>
      <w:r w:rsidR="00ED0FD8">
        <w:rPr>
          <w:rFonts w:ascii="Aptos" w:eastAsia="Aptos" w:hAnsi="Aptos" w:cs="Aptos"/>
        </w:rPr>
        <w:t xml:space="preserve">reporting period. </w:t>
      </w:r>
      <w:r w:rsidR="006936B1">
        <w:rPr>
          <w:rFonts w:ascii="Aptos" w:eastAsia="Aptos" w:hAnsi="Aptos" w:cs="Aptos"/>
        </w:rPr>
        <w:t>Th</w:t>
      </w:r>
      <w:r w:rsidR="008E6A1F">
        <w:rPr>
          <w:rFonts w:ascii="Aptos" w:eastAsia="Aptos" w:hAnsi="Aptos" w:cs="Aptos"/>
        </w:rPr>
        <w:t>is report</w:t>
      </w:r>
      <w:r w:rsidR="006936B1">
        <w:rPr>
          <w:rFonts w:ascii="Aptos" w:eastAsia="Aptos" w:hAnsi="Aptos" w:cs="Aptos"/>
        </w:rPr>
        <w:t xml:space="preserve">ing period runs from the </w:t>
      </w:r>
      <w:r w:rsidR="0040742F">
        <w:rPr>
          <w:rFonts w:ascii="Aptos" w:eastAsia="Aptos" w:hAnsi="Aptos" w:cs="Aptos"/>
        </w:rPr>
        <w:t>c</w:t>
      </w:r>
      <w:r w:rsidRPr="384B0892">
        <w:rPr>
          <w:rFonts w:ascii="Aptos" w:eastAsia="Aptos" w:hAnsi="Aptos" w:cs="Aptos"/>
        </w:rPr>
        <w:t xml:space="preserve">ommencement of the action on 1 August 2023 to 31 July 2024. This </w:t>
      </w:r>
      <w:r w:rsidR="00595F4B">
        <w:rPr>
          <w:rFonts w:ascii="Aptos" w:eastAsia="Aptos" w:hAnsi="Aptos" w:cs="Aptos"/>
        </w:rPr>
        <w:t>report</w:t>
      </w:r>
      <w:r w:rsidRPr="384B0892">
        <w:rPr>
          <w:rFonts w:ascii="Aptos" w:eastAsia="Aptos" w:hAnsi="Aptos" w:cs="Aptos"/>
        </w:rPr>
        <w:t xml:space="preserve"> has been prepared by DISR </w:t>
      </w:r>
      <w:r w:rsidR="00857399">
        <w:rPr>
          <w:rFonts w:ascii="Aptos" w:eastAsia="Aptos" w:hAnsi="Aptos" w:cs="Aptos"/>
        </w:rPr>
        <w:t>to meet the D</w:t>
      </w:r>
      <w:r w:rsidRPr="53A18CDE">
        <w:rPr>
          <w:rFonts w:ascii="Aptos" w:eastAsia="Aptos" w:hAnsi="Aptos" w:cs="Aptos"/>
        </w:rPr>
        <w:t>CCEEW</w:t>
      </w:r>
      <w:r w:rsidRPr="384B0892">
        <w:rPr>
          <w:rFonts w:ascii="Aptos" w:eastAsia="Aptos" w:hAnsi="Aptos" w:cs="Aptos"/>
        </w:rPr>
        <w:t xml:space="preserve"> 2023</w:t>
      </w:r>
      <w:r w:rsidR="00CD617B">
        <w:rPr>
          <w:rFonts w:ascii="Aptos" w:eastAsia="Aptos" w:hAnsi="Aptos" w:cs="Aptos"/>
        </w:rPr>
        <w:t>,</w:t>
      </w:r>
      <w:r w:rsidRPr="384B0892">
        <w:rPr>
          <w:rFonts w:ascii="Aptos" w:eastAsia="Aptos" w:hAnsi="Aptos" w:cs="Aptos"/>
        </w:rPr>
        <w:t xml:space="preserve"> </w:t>
      </w:r>
      <w:hyperlink r:id="rId29">
        <w:r w:rsidRPr="53A18CDE">
          <w:rPr>
            <w:rStyle w:val="Hyperlink"/>
          </w:rPr>
          <w:t>Annual Compliance Report Guidelines</w:t>
        </w:r>
      </w:hyperlink>
      <w:r>
        <w:rPr>
          <w:rStyle w:val="Hyperlink"/>
        </w:rPr>
        <w:t xml:space="preserve"> </w:t>
      </w:r>
      <w:r w:rsidRPr="009D219B">
        <w:rPr>
          <w:rFonts w:ascii="Aptos" w:eastAsia="Aptos" w:hAnsi="Aptos" w:cs="Aptos"/>
        </w:rPr>
        <w:t>(</w:t>
      </w:r>
      <w:r w:rsidR="00C721B8">
        <w:rPr>
          <w:rFonts w:ascii="Aptos" w:eastAsia="Aptos" w:hAnsi="Aptos" w:cs="Aptos"/>
        </w:rPr>
        <w:t>c</w:t>
      </w:r>
      <w:r w:rsidRPr="009D219B">
        <w:rPr>
          <w:rFonts w:ascii="Aptos" w:eastAsia="Aptos" w:hAnsi="Aptos" w:cs="Aptos"/>
        </w:rPr>
        <w:t>ondition</w:t>
      </w:r>
      <w:r w:rsidR="00C177CE">
        <w:rPr>
          <w:rFonts w:ascii="Aptos" w:eastAsia="Aptos" w:hAnsi="Aptos" w:cs="Aptos"/>
        </w:rPr>
        <w:t> </w:t>
      </w:r>
      <w:r w:rsidRPr="009D219B">
        <w:rPr>
          <w:rFonts w:ascii="Aptos" w:eastAsia="Aptos" w:hAnsi="Aptos" w:cs="Aptos"/>
        </w:rPr>
        <w:t>21)</w:t>
      </w:r>
      <w:r w:rsidRPr="384B0892">
        <w:rPr>
          <w:rFonts w:ascii="Aptos" w:eastAsia="Aptos" w:hAnsi="Aptos" w:cs="Aptos"/>
        </w:rPr>
        <w:t>.</w:t>
      </w:r>
    </w:p>
    <w:p w14:paraId="22FD36A1" w14:textId="2CBD8BE1" w:rsidR="00A85CF1" w:rsidRDefault="00A85CF1" w:rsidP="00A85CF1">
      <w:pPr>
        <w:spacing w:before="0"/>
        <w:rPr>
          <w:rFonts w:cs="CIDFont+F1"/>
        </w:rPr>
      </w:pPr>
      <w:r w:rsidRPr="29728068">
        <w:rPr>
          <w:rFonts w:ascii="Aptos" w:eastAsia="Aptos" w:hAnsi="Aptos" w:cs="Aptos"/>
        </w:rPr>
        <w:t>The</w:t>
      </w:r>
      <w:r w:rsidR="00F24355" w:rsidRPr="29728068">
        <w:rPr>
          <w:rFonts w:cs="CIDFont+F1"/>
        </w:rPr>
        <w:t xml:space="preserve"> </w:t>
      </w:r>
      <w:r w:rsidR="00F24355" w:rsidRPr="29728068">
        <w:rPr>
          <w:color w:val="000000" w:themeColor="text1"/>
        </w:rPr>
        <w:t>Commonwealth</w:t>
      </w:r>
      <w:r w:rsidR="00F24355" w:rsidRPr="29728068">
        <w:rPr>
          <w:rFonts w:cs="CIDFont+F1"/>
        </w:rPr>
        <w:t xml:space="preserve"> of Australia </w:t>
      </w:r>
      <w:r w:rsidR="00F24355">
        <w:rPr>
          <w:rFonts w:cs="CIDFont+F1"/>
        </w:rPr>
        <w:t xml:space="preserve">is the </w:t>
      </w:r>
      <w:r w:rsidRPr="29728068">
        <w:rPr>
          <w:rFonts w:ascii="Aptos" w:eastAsia="Aptos" w:hAnsi="Aptos" w:cs="Aptos"/>
        </w:rPr>
        <w:t xml:space="preserve">approval holder for </w:t>
      </w:r>
      <w:hyperlink r:id="rId30">
        <w:r w:rsidRPr="29728068">
          <w:rPr>
            <w:rStyle w:val="Hyperlink"/>
            <w:rFonts w:ascii="Aptos" w:eastAsia="Aptos" w:hAnsi="Aptos" w:cs="Aptos"/>
          </w:rPr>
          <w:t>EPBC 2022/09327</w:t>
        </w:r>
      </w:hyperlink>
      <w:r w:rsidRPr="29728068">
        <w:rPr>
          <w:rFonts w:ascii="Aptos" w:eastAsia="Aptos" w:hAnsi="Aptos" w:cs="Aptos"/>
        </w:rPr>
        <w:t xml:space="preserve"> </w:t>
      </w:r>
      <w:r w:rsidRPr="29728068">
        <w:rPr>
          <w:rFonts w:cs="CIDFont+F1"/>
        </w:rPr>
        <w:t>as represented by DISR (</w:t>
      </w:r>
      <w:r w:rsidRPr="29728068">
        <w:rPr>
          <w:color w:val="000000" w:themeColor="text1"/>
        </w:rPr>
        <w:t xml:space="preserve">ABN </w:t>
      </w:r>
      <w:r w:rsidRPr="29728068">
        <w:rPr>
          <w:rFonts w:cs="CIDFont+F1"/>
        </w:rPr>
        <w:t>74 599 608 295).</w:t>
      </w:r>
    </w:p>
    <w:p w14:paraId="6725836C" w14:textId="77777777" w:rsidR="00A85CF1" w:rsidRPr="00606024" w:rsidRDefault="00A85CF1" w:rsidP="005C643C">
      <w:pPr>
        <w:pStyle w:val="Heading3"/>
        <w:ind w:left="851" w:hanging="851"/>
        <w:rPr>
          <w:color w:val="15649A"/>
          <w:sz w:val="48"/>
          <w:szCs w:val="48"/>
        </w:rPr>
      </w:pPr>
      <w:bookmarkStart w:id="55" w:name="_Toc1652095587"/>
      <w:bookmarkStart w:id="56" w:name="_Toc178321845"/>
      <w:bookmarkStart w:id="57" w:name="_Toc180504212"/>
      <w:r>
        <w:t>Background</w:t>
      </w:r>
      <w:bookmarkEnd w:id="55"/>
      <w:bookmarkEnd w:id="56"/>
      <w:r>
        <w:t xml:space="preserve"> and location</w:t>
      </w:r>
      <w:bookmarkEnd w:id="57"/>
    </w:p>
    <w:p w14:paraId="252FA445" w14:textId="5DB40478" w:rsidR="00A85CF1" w:rsidRPr="00307858" w:rsidRDefault="00A85CF1" w:rsidP="00A85CF1">
      <w:r w:rsidRPr="00447421">
        <w:t>The Northern Endeavour is a 274</w:t>
      </w:r>
      <w:r w:rsidR="00132191">
        <w:t xml:space="preserve"> </w:t>
      </w:r>
      <w:r w:rsidRPr="00447421">
        <w:t>m long FPSO facility</w:t>
      </w:r>
      <w:r w:rsidRPr="00307858">
        <w:t xml:space="preserve">. It </w:t>
      </w:r>
      <w:bookmarkStart w:id="58" w:name="_Hlk171604556"/>
      <w:r w:rsidRPr="00307858">
        <w:t>is permanently moored between the Laminaria and Corallina oil fields, about 550 km northwest of Darwin in the Timor Sea.</w:t>
      </w:r>
      <w:bookmarkEnd w:id="58"/>
      <w:r>
        <w:t xml:space="preserve"> </w:t>
      </w:r>
    </w:p>
    <w:p w14:paraId="23F8B64A" w14:textId="77777777" w:rsidR="0018723B" w:rsidRDefault="0018723B" w:rsidP="00A85CF1">
      <w:pPr>
        <w:rPr>
          <w:highlight w:val="yellow"/>
        </w:rPr>
        <w:sectPr w:rsidR="0018723B" w:rsidSect="003823A6">
          <w:headerReference w:type="default" r:id="rId31"/>
          <w:pgSz w:w="11906" w:h="16838"/>
          <w:pgMar w:top="1276" w:right="1440" w:bottom="1440" w:left="1440" w:header="851" w:footer="708" w:gutter="0"/>
          <w:cols w:space="708"/>
          <w:docGrid w:linePitch="360"/>
        </w:sectPr>
      </w:pPr>
    </w:p>
    <w:p w14:paraId="41D864A9" w14:textId="0383E532" w:rsidR="0018723B" w:rsidRDefault="0018723B" w:rsidP="0018723B">
      <w:pPr>
        <w:pStyle w:val="Caption"/>
      </w:pPr>
      <w:r>
        <w:lastRenderedPageBreak/>
        <w:t xml:space="preserve">Figure </w:t>
      </w:r>
      <w:r w:rsidR="0080301B">
        <w:fldChar w:fldCharType="begin"/>
      </w:r>
      <w:r w:rsidR="0080301B">
        <w:instrText xml:space="preserve"> SEQ Figure \* ARABIC </w:instrText>
      </w:r>
      <w:r w:rsidR="0080301B">
        <w:fldChar w:fldCharType="separate"/>
      </w:r>
      <w:r w:rsidR="0080301B">
        <w:rPr>
          <w:noProof/>
        </w:rPr>
        <w:t>1</w:t>
      </w:r>
      <w:r w:rsidR="0080301B">
        <w:rPr>
          <w:noProof/>
        </w:rPr>
        <w:fldChar w:fldCharType="end"/>
      </w:r>
      <w:r>
        <w:t xml:space="preserve">: Location of the Northern Endeavour operational area, licence area and treaty </w:t>
      </w:r>
      <w:r w:rsidR="00063E80">
        <w:t>areas.</w:t>
      </w:r>
    </w:p>
    <w:p w14:paraId="1775FFBD" w14:textId="22E82691" w:rsidR="00C34D7D" w:rsidRDefault="00CA78D7" w:rsidP="00A85CF1">
      <w:pPr>
        <w:sectPr w:rsidR="00C34D7D" w:rsidSect="0018723B">
          <w:footerReference w:type="default" r:id="rId32"/>
          <w:pgSz w:w="16838" w:h="11906" w:orient="landscape"/>
          <w:pgMar w:top="1440" w:right="1276" w:bottom="1440" w:left="1440" w:header="851" w:footer="708" w:gutter="0"/>
          <w:cols w:space="708"/>
          <w:docGrid w:linePitch="360"/>
        </w:sectPr>
      </w:pPr>
      <w:r>
        <w:rPr>
          <w:noProof/>
        </w:rPr>
        <w:drawing>
          <wp:inline distT="0" distB="0" distL="0" distR="0" wp14:anchorId="3F1C600B" wp14:editId="3E9D57E5">
            <wp:extent cx="7105571" cy="5099607"/>
            <wp:effectExtent l="0" t="0" r="635" b="6350"/>
            <wp:docPr id="588218775" name="Picture 1" descr="Location of the Northern Endeavour operational area, licence area and treaty areas 550km north west of Darwin in the Timor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8775" name="Picture 1" descr="Location of the Northern Endeavour operational area, licence area and treaty areas 550km north west of Darwin in the Timor Se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3058" cy="5104981"/>
                    </a:xfrm>
                    <a:prstGeom prst="rect">
                      <a:avLst/>
                    </a:prstGeom>
                    <a:noFill/>
                    <a:ln>
                      <a:noFill/>
                    </a:ln>
                  </pic:spPr>
                </pic:pic>
              </a:graphicData>
            </a:graphic>
          </wp:inline>
        </w:drawing>
      </w:r>
    </w:p>
    <w:p w14:paraId="1DFB6CAC" w14:textId="2BB527E9" w:rsidR="00A85CF1" w:rsidRPr="00BE7ADE" w:rsidRDefault="00A85CF1" w:rsidP="00A85CF1">
      <w:r w:rsidRPr="00447421">
        <w:lastRenderedPageBreak/>
        <w:t xml:space="preserve">The </w:t>
      </w:r>
      <w:hyperlink r:id="rId34" w:history="1">
        <w:r w:rsidRPr="00447421">
          <w:rPr>
            <w:rStyle w:val="Hyperlink"/>
          </w:rPr>
          <w:t>Laminaria and Corallina Decommissioning Cost Recovery Levy</w:t>
        </w:r>
      </w:hyperlink>
      <w:r w:rsidRPr="00447421">
        <w:t xml:space="preserve"> (the levy) recovers</w:t>
      </w:r>
      <w:r w:rsidR="00DB3252">
        <w:t xml:space="preserve"> the</w:t>
      </w:r>
      <w:r w:rsidRPr="00447421">
        <w:t xml:space="preserve"> costs </w:t>
      </w:r>
      <w:r w:rsidR="00DB3252">
        <w:t xml:space="preserve">of </w:t>
      </w:r>
      <w:r w:rsidRPr="00447421">
        <w:t xml:space="preserve">decommissioning the facility from the oil and gas industry. </w:t>
      </w:r>
    </w:p>
    <w:p w14:paraId="5184BF53" w14:textId="77777777" w:rsidR="00A85CF1" w:rsidRPr="00BE7ADE" w:rsidRDefault="00A85CF1" w:rsidP="00A85CF1">
      <w:pPr>
        <w:spacing w:before="0" w:after="0"/>
        <w:rPr>
          <w:rFonts w:eastAsiaTheme="minorEastAsia"/>
          <w:szCs w:val="20"/>
        </w:rPr>
      </w:pPr>
      <w:r w:rsidRPr="00BE7ADE">
        <w:rPr>
          <w:rFonts w:eastAsiaTheme="minorEastAsia"/>
          <w:szCs w:val="20"/>
        </w:rPr>
        <w:t xml:space="preserve">Decommissioning is a standard </w:t>
      </w:r>
      <w:r>
        <w:rPr>
          <w:rFonts w:eastAsiaTheme="minorEastAsia"/>
          <w:szCs w:val="20"/>
        </w:rPr>
        <w:t xml:space="preserve">‘end of life’ </w:t>
      </w:r>
      <w:r w:rsidRPr="00BE7ADE">
        <w:rPr>
          <w:rFonts w:eastAsiaTheme="minorEastAsia"/>
          <w:szCs w:val="20"/>
        </w:rPr>
        <w:t xml:space="preserve">practice </w:t>
      </w:r>
      <w:r>
        <w:rPr>
          <w:rFonts w:eastAsiaTheme="minorEastAsia"/>
          <w:szCs w:val="20"/>
        </w:rPr>
        <w:t>in the offshore petroleum industry</w:t>
      </w:r>
      <w:r w:rsidRPr="00BE7ADE">
        <w:rPr>
          <w:rFonts w:eastAsiaTheme="minorEastAsia"/>
          <w:szCs w:val="20"/>
        </w:rPr>
        <w:t xml:space="preserve">. </w:t>
      </w:r>
      <w:r>
        <w:rPr>
          <w:rFonts w:eastAsiaTheme="minorEastAsia"/>
          <w:szCs w:val="20"/>
        </w:rPr>
        <w:t>The Commonwealth took responsibility for the Northern Endeavour in 2020 and began planning its decommissioning</w:t>
      </w:r>
      <w:r w:rsidRPr="00BE7ADE">
        <w:rPr>
          <w:rFonts w:eastAsiaTheme="minorEastAsia"/>
          <w:szCs w:val="20"/>
        </w:rPr>
        <w:t xml:space="preserve">. DISR </w:t>
      </w:r>
      <w:r>
        <w:rPr>
          <w:rFonts w:eastAsiaTheme="minorEastAsia"/>
          <w:szCs w:val="20"/>
        </w:rPr>
        <w:t>a</w:t>
      </w:r>
      <w:r w:rsidRPr="00BF1C58">
        <w:rPr>
          <w:rFonts w:eastAsiaTheme="minorEastAsia"/>
          <w:szCs w:val="20"/>
        </w:rPr>
        <w:t>im</w:t>
      </w:r>
      <w:r>
        <w:rPr>
          <w:rFonts w:eastAsiaTheme="minorEastAsia"/>
          <w:szCs w:val="20"/>
        </w:rPr>
        <w:t>s</w:t>
      </w:r>
      <w:r w:rsidRPr="00BF1C58">
        <w:rPr>
          <w:rFonts w:eastAsiaTheme="minorEastAsia"/>
          <w:szCs w:val="20"/>
        </w:rPr>
        <w:t xml:space="preserve"> to complete the decommissioning work efficiently and safely, ensuring value for money and protecting the surrounding environment</w:t>
      </w:r>
      <w:r>
        <w:rPr>
          <w:rFonts w:eastAsiaTheme="minorEastAsia"/>
          <w:szCs w:val="20"/>
        </w:rPr>
        <w:t>.</w:t>
      </w:r>
    </w:p>
    <w:p w14:paraId="6CACBFDF" w14:textId="14788464" w:rsidR="00A85CF1" w:rsidRPr="00BE7ADE" w:rsidRDefault="007E7530" w:rsidP="00A85CF1">
      <w:r>
        <w:t xml:space="preserve">DISR is </w:t>
      </w:r>
      <w:r w:rsidR="00D43E59">
        <w:t xml:space="preserve">managing the </w:t>
      </w:r>
      <w:r w:rsidR="00A85CF1" w:rsidRPr="00BE7ADE">
        <w:t xml:space="preserve">decommissioning program across </w:t>
      </w:r>
      <w:r w:rsidR="00E112AA">
        <w:t xml:space="preserve">3 </w:t>
      </w:r>
      <w:r w:rsidR="00A85CF1" w:rsidRPr="00BE7ADE">
        <w:t>phases:</w:t>
      </w:r>
    </w:p>
    <w:p w14:paraId="3A49BD5B" w14:textId="2F4BB1E2" w:rsidR="00A85CF1" w:rsidRPr="00A85CF1" w:rsidRDefault="00A85CF1" w:rsidP="00A85CF1">
      <w:pPr>
        <w:pStyle w:val="ListParagraph"/>
      </w:pPr>
      <w:r w:rsidRPr="00A85CF1">
        <w:t xml:space="preserve">Phase 1: Temporary suspension of the </w:t>
      </w:r>
      <w:r w:rsidR="008F5E9C">
        <w:t xml:space="preserve">oil </w:t>
      </w:r>
      <w:r w:rsidRPr="00A85CF1">
        <w:t xml:space="preserve">wells and disconnection of the FPSO from the subsea equipment to </w:t>
      </w:r>
      <w:r w:rsidR="00E3436E">
        <w:t>allow</w:t>
      </w:r>
      <w:r w:rsidRPr="00A85CF1" w:rsidDel="220B03FE">
        <w:t xml:space="preserve"> </w:t>
      </w:r>
      <w:r w:rsidRPr="00A85CF1">
        <w:t xml:space="preserve">un-crewed towing. </w:t>
      </w:r>
    </w:p>
    <w:p w14:paraId="39F222E7" w14:textId="2355F0AF" w:rsidR="00A85CF1" w:rsidRPr="00A85CF1" w:rsidRDefault="00A85CF1" w:rsidP="00A85CF1">
      <w:pPr>
        <w:pStyle w:val="ListParagraph"/>
      </w:pPr>
      <w:r w:rsidRPr="00A85CF1">
        <w:t xml:space="preserve">Phase 2: Permanently plug and abandon </w:t>
      </w:r>
      <w:r w:rsidR="00865C61">
        <w:t xml:space="preserve">the oil </w:t>
      </w:r>
      <w:r w:rsidRPr="00A85CF1">
        <w:t>wells.</w:t>
      </w:r>
    </w:p>
    <w:p w14:paraId="1931BF67" w14:textId="77777777" w:rsidR="00A85CF1" w:rsidRPr="001A0788" w:rsidRDefault="00A85CF1" w:rsidP="00A85CF1">
      <w:pPr>
        <w:pStyle w:val="ListParagraph"/>
      </w:pPr>
      <w:r w:rsidRPr="00A85CF1">
        <w:t>Phase 3: Remove subsea infrastructure and</w:t>
      </w:r>
      <w:r w:rsidRPr="001A0788">
        <w:t xml:space="preserve"> remediate the Laminaria and Corallina fields.</w:t>
      </w:r>
    </w:p>
    <w:p w14:paraId="18EA1E51" w14:textId="75C8397C" w:rsidR="006C152D" w:rsidRDefault="006C152D" w:rsidP="00A85CF1">
      <w:r>
        <w:t xml:space="preserve">Petrofac </w:t>
      </w:r>
      <w:r w:rsidR="002D76CE">
        <w:t xml:space="preserve">is the lead contractor </w:t>
      </w:r>
      <w:r>
        <w:t>undertaking the work on the FPSO that is required for Phase 1 of the decommissioning program.</w:t>
      </w:r>
    </w:p>
    <w:p w14:paraId="248890D6" w14:textId="66D2A34A" w:rsidR="00A85CF1" w:rsidRPr="001A0788" w:rsidRDefault="006A3610" w:rsidP="00A85CF1">
      <w:r>
        <w:t>T</w:t>
      </w:r>
      <w:r w:rsidRPr="001A0788">
        <w:t xml:space="preserve">he </w:t>
      </w:r>
      <w:r>
        <w:t>Commonwealth of Australia, represented by DISR</w:t>
      </w:r>
      <w:r w:rsidR="00603D0A">
        <w:t>,</w:t>
      </w:r>
      <w:r w:rsidRPr="001A0788">
        <w:t xml:space="preserve"> submitted a referral under the EPBC Act to </w:t>
      </w:r>
      <w:r>
        <w:t>DCCEEW</w:t>
      </w:r>
      <w:r w:rsidRPr="001A0788">
        <w:t xml:space="preserve"> </w:t>
      </w:r>
      <w:r>
        <w:t>o</w:t>
      </w:r>
      <w:r w:rsidR="00A85CF1" w:rsidRPr="001A0788">
        <w:t>n 8 August 2022</w:t>
      </w:r>
      <w:r w:rsidR="00CC4036">
        <w:t xml:space="preserve"> for </w:t>
      </w:r>
      <w:r w:rsidR="00A85CF1" w:rsidRPr="00C73B7C">
        <w:t>routine operations and maintenance operations and Phase 1 decommissioning activities</w:t>
      </w:r>
      <w:r>
        <w:t>.</w:t>
      </w:r>
      <w:r w:rsidR="00A85CF1" w:rsidRPr="001A0788" w:rsidDel="00B72224">
        <w:t xml:space="preserve"> </w:t>
      </w:r>
      <w:r w:rsidR="00221F23">
        <w:t>T</w:t>
      </w:r>
      <w:r w:rsidR="00A85CF1" w:rsidRPr="001A0788">
        <w:t>he</w:t>
      </w:r>
      <w:r w:rsidR="00F81401">
        <w:t> </w:t>
      </w:r>
      <w:r w:rsidR="00A85CF1" w:rsidRPr="001A0788">
        <w:t>delegate to the Minister for the Environment</w:t>
      </w:r>
      <w:r w:rsidR="00A85CF1">
        <w:t xml:space="preserve"> and Water</w:t>
      </w:r>
      <w:r w:rsidR="00A85CF1" w:rsidRPr="001A0788">
        <w:t>, the Hon Tanya Plibersek MP, deci</w:t>
      </w:r>
      <w:r w:rsidR="00D27694">
        <w:t>ded</w:t>
      </w:r>
      <w:r w:rsidR="00A85CF1" w:rsidRPr="001A0788">
        <w:t xml:space="preserve"> that the action was a Controlled Action requiring assessment under the EPBC Act</w:t>
      </w:r>
      <w:r w:rsidR="00221F23">
        <w:t xml:space="preserve"> o</w:t>
      </w:r>
      <w:r w:rsidR="00221F23" w:rsidRPr="001A0788">
        <w:t>n 24 November 2022</w:t>
      </w:r>
      <w:r w:rsidR="00A85CF1" w:rsidRPr="001A0788">
        <w:t>.</w:t>
      </w:r>
    </w:p>
    <w:p w14:paraId="262920FC" w14:textId="2F1643BF" w:rsidR="00A85CF1" w:rsidRPr="001A0788" w:rsidRDefault="00CD4094" w:rsidP="00A85CF1">
      <w:r>
        <w:t xml:space="preserve">The following provisions of the EPBC Act were used to determine the </w:t>
      </w:r>
      <w:r w:rsidR="00480D87">
        <w:t>action was a co</w:t>
      </w:r>
      <w:r w:rsidR="00A85CF1" w:rsidRPr="001A0788">
        <w:t>ntrolled action</w:t>
      </w:r>
      <w:r w:rsidR="00480D87">
        <w:t>:</w:t>
      </w:r>
      <w:r w:rsidR="00A85CF1" w:rsidRPr="001A0788">
        <w:t xml:space="preserve"> </w:t>
      </w:r>
    </w:p>
    <w:p w14:paraId="12E322B7" w14:textId="77777777" w:rsidR="00A85CF1" w:rsidRPr="00A85CF1" w:rsidRDefault="00A85CF1" w:rsidP="00A85CF1">
      <w:pPr>
        <w:pStyle w:val="ListParagraph"/>
      </w:pPr>
      <w:r w:rsidRPr="00A85CF1">
        <w:t xml:space="preserve">S18 and 18A – listed threatened species and communities. </w:t>
      </w:r>
    </w:p>
    <w:p w14:paraId="2EB77EAE" w14:textId="77777777" w:rsidR="00A85CF1" w:rsidRPr="00A85CF1" w:rsidRDefault="00A85CF1" w:rsidP="00A85CF1">
      <w:pPr>
        <w:pStyle w:val="ListParagraph"/>
      </w:pPr>
      <w:r w:rsidRPr="00A85CF1">
        <w:t>S20 and 20A – listed migratory species.</w:t>
      </w:r>
    </w:p>
    <w:p w14:paraId="50839587" w14:textId="77777777" w:rsidR="00A85CF1" w:rsidRPr="00A85CF1" w:rsidRDefault="00A85CF1" w:rsidP="00A85CF1">
      <w:pPr>
        <w:pStyle w:val="ListParagraph"/>
      </w:pPr>
      <w:r w:rsidRPr="00A85CF1">
        <w:t>S28 – Commonwealth actions.</w:t>
      </w:r>
    </w:p>
    <w:p w14:paraId="630C3E59" w14:textId="3CB07853" w:rsidR="00A85CF1" w:rsidRDefault="00A85CF1" w:rsidP="00A85CF1">
      <w:pPr>
        <w:spacing w:before="0" w:after="0"/>
      </w:pPr>
      <w:r w:rsidRPr="003B5F7F">
        <w:t xml:space="preserve">On 1 August 2023, the delegate issued an approval with </w:t>
      </w:r>
      <w:r w:rsidR="00AB7322">
        <w:t xml:space="preserve">34 </w:t>
      </w:r>
      <w:r w:rsidRPr="003B5F7F">
        <w:t xml:space="preserve">conditions for the action, under the title </w:t>
      </w:r>
      <w:r>
        <w:t>‘</w:t>
      </w:r>
      <w:r w:rsidRPr="003B5F7F">
        <w:t>Northern Endeavour Phase 1 Decommissioning</w:t>
      </w:r>
      <w:r>
        <w:t>'</w:t>
      </w:r>
      <w:r w:rsidRPr="003B5F7F">
        <w:t xml:space="preserve"> (</w:t>
      </w:r>
      <w:hyperlink r:id="rId35" w:history="1">
        <w:r w:rsidRPr="003B5F7F">
          <w:rPr>
            <w:rStyle w:val="Hyperlink"/>
          </w:rPr>
          <w:t>EPBC 2022/09327</w:t>
        </w:r>
      </w:hyperlink>
      <w:r w:rsidRPr="003B5F7F">
        <w:t>).</w:t>
      </w:r>
      <w:r>
        <w:t xml:space="preserve"> </w:t>
      </w:r>
    </w:p>
    <w:p w14:paraId="68E572F6" w14:textId="77777777" w:rsidR="00A85CF1" w:rsidRDefault="00A85CF1" w:rsidP="00E32AE3">
      <w:pPr>
        <w:pStyle w:val="Heading3"/>
        <w:ind w:left="851" w:hanging="851"/>
      </w:pPr>
      <w:bookmarkStart w:id="59" w:name="_Regulatory_environment"/>
      <w:bookmarkStart w:id="60" w:name="_Toc178321846"/>
      <w:bookmarkStart w:id="61" w:name="_Toc180504213"/>
      <w:bookmarkEnd w:id="59"/>
      <w:r>
        <w:t>Regulatory environment</w:t>
      </w:r>
      <w:bookmarkEnd w:id="60"/>
      <w:bookmarkEnd w:id="61"/>
    </w:p>
    <w:p w14:paraId="45783FED" w14:textId="65BC464F" w:rsidR="00A85CF1" w:rsidRPr="003B5F7F" w:rsidRDefault="00A85CF1" w:rsidP="00A85CF1">
      <w:pPr>
        <w:rPr>
          <w:lang w:val="en-US"/>
        </w:rPr>
      </w:pPr>
      <w:r>
        <w:rPr>
          <w:lang w:val="en-US"/>
        </w:rPr>
        <w:t>The regulatory environment for the Northern Endeavour Phase 1 Decommissioning Program (the</w:t>
      </w:r>
      <w:r w:rsidR="00F81401">
        <w:rPr>
          <w:lang w:val="en-US"/>
        </w:rPr>
        <w:t> </w:t>
      </w:r>
      <w:r>
        <w:rPr>
          <w:lang w:val="en-US"/>
        </w:rPr>
        <w:t xml:space="preserve">Program) is </w:t>
      </w:r>
      <w:r w:rsidR="0021260A">
        <w:rPr>
          <w:lang w:val="en-US"/>
        </w:rPr>
        <w:t>different</w:t>
      </w:r>
      <w:r>
        <w:rPr>
          <w:lang w:val="en-US"/>
        </w:rPr>
        <w:t xml:space="preserve"> </w:t>
      </w:r>
      <w:r w:rsidR="00CC1EED">
        <w:rPr>
          <w:lang w:val="en-US"/>
        </w:rPr>
        <w:t>to</w:t>
      </w:r>
      <w:r>
        <w:rPr>
          <w:lang w:val="en-US"/>
        </w:rPr>
        <w:t xml:space="preserve"> typical industry decommissioning activities. Oil and gas companies</w:t>
      </w:r>
      <w:r w:rsidR="003E28FB">
        <w:rPr>
          <w:lang w:val="en-US"/>
        </w:rPr>
        <w:t xml:space="preserve"> are the</w:t>
      </w:r>
      <w:r>
        <w:rPr>
          <w:lang w:val="en-US"/>
        </w:rPr>
        <w:t xml:space="preserve"> titleholders responsible for decommissioning offshore facilities</w:t>
      </w:r>
      <w:r w:rsidR="003E28FB">
        <w:rPr>
          <w:lang w:val="en-US"/>
        </w:rPr>
        <w:t xml:space="preserve">. </w:t>
      </w:r>
      <w:r w:rsidR="004007E1">
        <w:rPr>
          <w:lang w:val="en-US"/>
        </w:rPr>
        <w:t>The titleholders a</w:t>
      </w:r>
      <w:r>
        <w:rPr>
          <w:lang w:val="en-US"/>
        </w:rPr>
        <w:t xml:space="preserve">re regulated by the National Offshore Petroleum Safety and Environmental Management Authority (NOPSEMA). However, as the Commonwealth is not a titleholder, </w:t>
      </w:r>
      <w:r w:rsidR="00866A49">
        <w:rPr>
          <w:lang w:val="en-US"/>
        </w:rPr>
        <w:t xml:space="preserve">DCCEEW </w:t>
      </w:r>
      <w:r w:rsidR="00374F12">
        <w:rPr>
          <w:lang w:val="en-US"/>
        </w:rPr>
        <w:t xml:space="preserve">are the </w:t>
      </w:r>
      <w:r w:rsidR="00866A49">
        <w:rPr>
          <w:lang w:val="en-US"/>
        </w:rPr>
        <w:t>regulat</w:t>
      </w:r>
      <w:r w:rsidR="00374F12">
        <w:rPr>
          <w:lang w:val="en-US"/>
        </w:rPr>
        <w:t xml:space="preserve">or of </w:t>
      </w:r>
      <w:r w:rsidR="00866A49">
        <w:rPr>
          <w:lang w:val="en-US"/>
        </w:rPr>
        <w:t xml:space="preserve">the EPBC Act and </w:t>
      </w:r>
      <w:r w:rsidRPr="2C3D6B6B">
        <w:rPr>
          <w:lang w:val="en-US"/>
        </w:rPr>
        <w:t>environmental approvals</w:t>
      </w:r>
      <w:r w:rsidR="000A3210">
        <w:rPr>
          <w:lang w:val="en-US"/>
        </w:rPr>
        <w:t xml:space="preserve"> for the program</w:t>
      </w:r>
      <w:r>
        <w:rPr>
          <w:lang w:val="en-US"/>
        </w:rPr>
        <w:t>. This change in the regulatory environment means that names, and in some cases content, of reports and management plans are different to oil and gas industry norms.</w:t>
      </w:r>
    </w:p>
    <w:p w14:paraId="31394AE7" w14:textId="77777777" w:rsidR="00A85CF1" w:rsidRDefault="00A85CF1" w:rsidP="00E32AE3">
      <w:pPr>
        <w:pStyle w:val="Heading3"/>
        <w:ind w:left="851" w:hanging="851"/>
      </w:pPr>
      <w:bookmarkStart w:id="62" w:name="_Toc175847459"/>
      <w:bookmarkStart w:id="63" w:name="_Toc178321847"/>
      <w:bookmarkStart w:id="64" w:name="_Toc180504214"/>
      <w:bookmarkEnd w:id="62"/>
      <w:r>
        <w:t>D</w:t>
      </w:r>
      <w:r w:rsidRPr="79E64517">
        <w:t>escription of activities</w:t>
      </w:r>
      <w:bookmarkEnd w:id="63"/>
      <w:bookmarkEnd w:id="64"/>
    </w:p>
    <w:p w14:paraId="7DFB57A8" w14:textId="3C9FAD6B" w:rsidR="00A85CF1" w:rsidRPr="003B5F7F" w:rsidRDefault="00A85CF1" w:rsidP="007F51CE">
      <w:pPr>
        <w:spacing w:before="0"/>
        <w:rPr>
          <w:rFonts w:eastAsiaTheme="minorEastAsia"/>
        </w:rPr>
      </w:pPr>
      <w:r w:rsidRPr="003B5F7F">
        <w:rPr>
          <w:rFonts w:cs="CIDFont+F1"/>
        </w:rPr>
        <w:t>This a</w:t>
      </w:r>
      <w:r w:rsidRPr="358FE704">
        <w:rPr>
          <w:rFonts w:eastAsiaTheme="minorEastAsia"/>
        </w:rPr>
        <w:t>pproval allows DISR ‘</w:t>
      </w:r>
      <w:r w:rsidRPr="358FE704">
        <w:rPr>
          <w:rFonts w:eastAsiaTheme="minorEastAsia"/>
          <w:i/>
        </w:rPr>
        <w:t>to undertake routine operations and maintenance operations (lighthouse operations and short-term well injections) and Phase 1 decommissioning activities of the Northern</w:t>
      </w:r>
      <w:r w:rsidR="00F81401">
        <w:rPr>
          <w:rFonts w:eastAsiaTheme="minorEastAsia"/>
          <w:i/>
        </w:rPr>
        <w:t> </w:t>
      </w:r>
      <w:r w:rsidRPr="358FE704">
        <w:rPr>
          <w:rFonts w:eastAsiaTheme="minorEastAsia"/>
          <w:i/>
        </w:rPr>
        <w:t xml:space="preserve">Endeavour </w:t>
      </w:r>
      <w:r w:rsidRPr="358FE704">
        <w:rPr>
          <w:rFonts w:eastAsiaTheme="minorEastAsia"/>
          <w:i/>
          <w:iCs/>
        </w:rPr>
        <w:t>FPSO</w:t>
      </w:r>
      <w:r w:rsidRPr="358FE704">
        <w:rPr>
          <w:rFonts w:eastAsiaTheme="minorEastAsia"/>
          <w:i/>
        </w:rPr>
        <w:t xml:space="preserve"> and its associated Laminaria and Corallina resource fields to enable un-crewed towing</w:t>
      </w:r>
      <w:r w:rsidRPr="358FE704">
        <w:rPr>
          <w:rFonts w:eastAsiaTheme="minorEastAsia"/>
        </w:rPr>
        <w:t xml:space="preserve">.’ </w:t>
      </w:r>
    </w:p>
    <w:p w14:paraId="209309E1" w14:textId="29D90F77" w:rsidR="00887ECE" w:rsidRPr="003B5F7F" w:rsidRDefault="00887ECE" w:rsidP="00CB2885">
      <w:pPr>
        <w:spacing w:before="0"/>
        <w:rPr>
          <w:rFonts w:eastAsiaTheme="minorEastAsia"/>
        </w:rPr>
      </w:pPr>
      <w:r w:rsidRPr="335BBE8E">
        <w:rPr>
          <w:rFonts w:eastAsiaTheme="minorEastAsia"/>
        </w:rPr>
        <w:t>To date,</w:t>
      </w:r>
      <w:r w:rsidRPr="335BBE8E" w:rsidDel="003775B2">
        <w:rPr>
          <w:rFonts w:eastAsiaTheme="minorEastAsia"/>
        </w:rPr>
        <w:t xml:space="preserve"> </w:t>
      </w:r>
      <w:r w:rsidR="003775B2">
        <w:rPr>
          <w:rFonts w:eastAsiaTheme="minorEastAsia"/>
        </w:rPr>
        <w:t>DISR has</w:t>
      </w:r>
      <w:r w:rsidR="003775B2" w:rsidRPr="335BBE8E">
        <w:rPr>
          <w:rFonts w:eastAsiaTheme="minorEastAsia"/>
        </w:rPr>
        <w:t xml:space="preserve"> </w:t>
      </w:r>
      <w:r w:rsidRPr="335BBE8E">
        <w:rPr>
          <w:rFonts w:eastAsiaTheme="minorEastAsia"/>
        </w:rPr>
        <w:t xml:space="preserve">made significant progress decommissioning the Northern Endeavour facility and remediating the associated Laminaria-Corallina oil fields. The following is </w:t>
      </w:r>
      <w:r w:rsidR="002A2D4A">
        <w:rPr>
          <w:rFonts w:eastAsiaTheme="minorEastAsia"/>
        </w:rPr>
        <w:t xml:space="preserve">an outline </w:t>
      </w:r>
      <w:r w:rsidRPr="335BBE8E">
        <w:rPr>
          <w:rFonts w:eastAsiaTheme="minorEastAsia"/>
        </w:rPr>
        <w:t>of</w:t>
      </w:r>
      <w:r w:rsidR="00E229F1">
        <w:rPr>
          <w:rFonts w:eastAsiaTheme="minorEastAsia"/>
        </w:rPr>
        <w:t xml:space="preserve"> some</w:t>
      </w:r>
      <w:r w:rsidRPr="335BBE8E">
        <w:rPr>
          <w:rFonts w:eastAsiaTheme="minorEastAsia"/>
        </w:rPr>
        <w:t xml:space="preserve"> </w:t>
      </w:r>
      <w:r w:rsidR="003775B2">
        <w:rPr>
          <w:rFonts w:eastAsiaTheme="minorEastAsia"/>
        </w:rPr>
        <w:t xml:space="preserve">key </w:t>
      </w:r>
      <w:r w:rsidRPr="335BBE8E">
        <w:rPr>
          <w:rFonts w:eastAsiaTheme="minorEastAsia"/>
        </w:rPr>
        <w:t>activities from this reporting period:</w:t>
      </w:r>
    </w:p>
    <w:p w14:paraId="5137E06E" w14:textId="7F11E7AD" w:rsidR="00D5612C" w:rsidRDefault="00D5612C" w:rsidP="335BBE8E">
      <w:pPr>
        <w:pStyle w:val="ListParagraph"/>
        <w:spacing w:after="0"/>
      </w:pPr>
      <w:r>
        <w:t>Operations and maintenance of ageing and often obsolete equipment.</w:t>
      </w:r>
    </w:p>
    <w:p w14:paraId="21A23DBB" w14:textId="73DAAB12" w:rsidR="00B251A1" w:rsidRDefault="00B251A1" w:rsidP="001259DD">
      <w:pPr>
        <w:pStyle w:val="ListParagraph"/>
        <w:spacing w:after="0"/>
        <w:rPr>
          <w:lang w:eastAsia="en-AU"/>
        </w:rPr>
      </w:pPr>
      <w:r w:rsidRPr="00B251A1">
        <w:rPr>
          <w:lang w:eastAsia="en-AU"/>
        </w:rPr>
        <w:t>Classification surveys and structural related works in tanks to compl</w:t>
      </w:r>
      <w:r w:rsidR="00685990">
        <w:rPr>
          <w:lang w:eastAsia="en-AU"/>
        </w:rPr>
        <w:t>y</w:t>
      </w:r>
      <w:r w:rsidRPr="00B251A1">
        <w:rPr>
          <w:lang w:eastAsia="en-AU"/>
        </w:rPr>
        <w:t xml:space="preserve"> with class rules.</w:t>
      </w:r>
    </w:p>
    <w:p w14:paraId="67A9CC0E" w14:textId="279F2901" w:rsidR="00D5612C" w:rsidRDefault="00F7471E" w:rsidP="335BBE8E">
      <w:pPr>
        <w:pStyle w:val="ListParagraph"/>
        <w:spacing w:after="0"/>
      </w:pPr>
      <w:r>
        <w:lastRenderedPageBreak/>
        <w:t xml:space="preserve">Put in place </w:t>
      </w:r>
      <w:r w:rsidR="00D5612C">
        <w:t>a remediation plan for structural integrity (topsides) and prevention of dropped objects.</w:t>
      </w:r>
    </w:p>
    <w:p w14:paraId="01ADE503" w14:textId="62A26B25" w:rsidR="00E229F1" w:rsidRDefault="00E229F1" w:rsidP="001259DD">
      <w:pPr>
        <w:pStyle w:val="ListParagraph"/>
        <w:spacing w:after="0"/>
        <w:rPr>
          <w:lang w:eastAsia="en-AU"/>
        </w:rPr>
      </w:pPr>
      <w:r w:rsidRPr="00E229F1">
        <w:rPr>
          <w:lang w:eastAsia="en-AU"/>
        </w:rPr>
        <w:t>Equipment for FPSO disconnection (hardware) manufactured or procured and installed.</w:t>
      </w:r>
    </w:p>
    <w:p w14:paraId="7806125E" w14:textId="604A6A0F" w:rsidR="00D5612C" w:rsidRDefault="00D5612C" w:rsidP="335BBE8E">
      <w:pPr>
        <w:pStyle w:val="ListParagraph"/>
        <w:spacing w:after="0"/>
      </w:pPr>
      <w:r>
        <w:t xml:space="preserve">Safely operated </w:t>
      </w:r>
      <w:r w:rsidR="00B777E4">
        <w:t xml:space="preserve">the facility </w:t>
      </w:r>
      <w:r>
        <w:t>with no serious injuries or environmental incidents.</w:t>
      </w:r>
    </w:p>
    <w:p w14:paraId="1BFBA5D3" w14:textId="3CCC50DE" w:rsidR="00D5612C" w:rsidRDefault="00D5612C" w:rsidP="335BBE8E">
      <w:pPr>
        <w:pStyle w:val="ListParagraph"/>
        <w:spacing w:after="0"/>
      </w:pPr>
      <w:r>
        <w:t xml:space="preserve">Carried out the annual inspection, </w:t>
      </w:r>
      <w:proofErr w:type="gramStart"/>
      <w:r>
        <w:t>maintenance</w:t>
      </w:r>
      <w:proofErr w:type="gramEnd"/>
      <w:r>
        <w:t xml:space="preserve"> and repair campaign of the subsea infrastructure.</w:t>
      </w:r>
    </w:p>
    <w:p w14:paraId="6B02178E" w14:textId="4A2674AC" w:rsidR="00D5612C" w:rsidRDefault="00E96348" w:rsidP="335BBE8E">
      <w:pPr>
        <w:pStyle w:val="ListParagraph"/>
        <w:spacing w:after="0"/>
      </w:pPr>
      <w:r>
        <w:t>Gave</w:t>
      </w:r>
      <w:r w:rsidR="00D5612C">
        <w:t xml:space="preserve"> specific training and conduct</w:t>
      </w:r>
      <w:r w:rsidR="00633502">
        <w:t>ed</w:t>
      </w:r>
      <w:r w:rsidR="00D5612C">
        <w:t xml:space="preserve"> emergency response exercises to test and ensure appropriate resources</w:t>
      </w:r>
      <w:r w:rsidR="00633502">
        <w:t xml:space="preserve"> are</w:t>
      </w:r>
      <w:r w:rsidR="00D5612C">
        <w:t xml:space="preserve"> available if needed.</w:t>
      </w:r>
    </w:p>
    <w:p w14:paraId="4ED59201" w14:textId="7167D171" w:rsidR="00361E48" w:rsidRDefault="003F3DC5" w:rsidP="335BBE8E">
      <w:pPr>
        <w:pStyle w:val="ListParagraph"/>
        <w:spacing w:after="0"/>
      </w:pPr>
      <w:r>
        <w:t xml:space="preserve">Undertook </w:t>
      </w:r>
      <w:r w:rsidR="007379EF">
        <w:t>t</w:t>
      </w:r>
      <w:r w:rsidR="00D5612C">
        <w:t xml:space="preserve">opsides </w:t>
      </w:r>
      <w:r w:rsidR="006C64C9">
        <w:t xml:space="preserve">cleaning </w:t>
      </w:r>
      <w:r w:rsidR="00D5612C">
        <w:t>and decontamination</w:t>
      </w:r>
      <w:r w:rsidR="005B7B0B">
        <w:t>.</w:t>
      </w:r>
      <w:r w:rsidR="00D5612C">
        <w:t xml:space="preserve"> </w:t>
      </w:r>
    </w:p>
    <w:p w14:paraId="4F50D9B5" w14:textId="40F8AC7C" w:rsidR="00253992" w:rsidRDefault="00253992" w:rsidP="335BBE8E">
      <w:pPr>
        <w:pStyle w:val="ListParagraph"/>
        <w:spacing w:after="0"/>
      </w:pPr>
      <w:r>
        <w:t xml:space="preserve">Commenced </w:t>
      </w:r>
      <w:r w:rsidR="0090420A">
        <w:t>s</w:t>
      </w:r>
      <w:r w:rsidR="002621AB">
        <w:t xml:space="preserve">ubsea </w:t>
      </w:r>
      <w:r w:rsidR="0090420A">
        <w:t>u</w:t>
      </w:r>
      <w:r w:rsidR="002621AB">
        <w:t>mbilical</w:t>
      </w:r>
      <w:r w:rsidR="006902FE">
        <w:t xml:space="preserve"> </w:t>
      </w:r>
      <w:r w:rsidR="00DF3017">
        <w:t>r</w:t>
      </w:r>
      <w:r w:rsidR="006902FE">
        <w:t xml:space="preserve">iser and </w:t>
      </w:r>
      <w:r w:rsidR="00DF3017">
        <w:t>f</w:t>
      </w:r>
      <w:r w:rsidR="006902FE">
        <w:t>lowline</w:t>
      </w:r>
      <w:r w:rsidR="00DF3017">
        <w:t xml:space="preserve"> (SURF)</w:t>
      </w:r>
      <w:r w:rsidR="00DF3017" w:rsidRPr="00DF3017">
        <w:t xml:space="preserve"> </w:t>
      </w:r>
      <w:r w:rsidR="00DF3017">
        <w:t>flushing</w:t>
      </w:r>
      <w:r w:rsidR="006902FE">
        <w:t>.</w:t>
      </w:r>
    </w:p>
    <w:p w14:paraId="67A20633" w14:textId="59269470" w:rsidR="00D5612C" w:rsidRDefault="007379EF" w:rsidP="335BBE8E">
      <w:pPr>
        <w:pStyle w:val="ListParagraph"/>
        <w:spacing w:after="0"/>
      </w:pPr>
      <w:r>
        <w:t>Commenced p</w:t>
      </w:r>
      <w:r w:rsidR="00361E48">
        <w:t>reparation</w:t>
      </w:r>
      <w:r w:rsidR="00D5612C" w:rsidDel="00950ACF">
        <w:t xml:space="preserve"> </w:t>
      </w:r>
      <w:r w:rsidR="00950ACF">
        <w:t>of</w:t>
      </w:r>
      <w:r w:rsidR="00400D50">
        <w:t xml:space="preserve"> the</w:t>
      </w:r>
      <w:r w:rsidR="00950ACF">
        <w:t xml:space="preserve"> </w:t>
      </w:r>
      <w:r w:rsidR="00D5612C">
        <w:t>Inventory of Hazardous Materials (IHM).</w:t>
      </w:r>
    </w:p>
    <w:p w14:paraId="629D0BE0" w14:textId="6DEDAAD6" w:rsidR="0014282A" w:rsidRDefault="00962E44" w:rsidP="00DC52EA">
      <w:pPr>
        <w:pStyle w:val="ListParagraph"/>
        <w:spacing w:after="0"/>
      </w:pPr>
      <w:r>
        <w:t>P</w:t>
      </w:r>
      <w:r w:rsidR="004A652E">
        <w:t>repar</w:t>
      </w:r>
      <w:r w:rsidR="005B02F3">
        <w:t>ed</w:t>
      </w:r>
      <w:r w:rsidR="00F42642">
        <w:t xml:space="preserve"> </w:t>
      </w:r>
      <w:r w:rsidR="00D5612C">
        <w:t xml:space="preserve">for the </w:t>
      </w:r>
      <w:r w:rsidR="31F3174E">
        <w:t>tow</w:t>
      </w:r>
      <w:r w:rsidR="00D5612C">
        <w:t xml:space="preserve"> of the floating hose</w:t>
      </w:r>
      <w:r w:rsidR="007B55FF">
        <w:t xml:space="preserve"> to Darwin</w:t>
      </w:r>
      <w:r w:rsidR="00DC52EA">
        <w:t>.</w:t>
      </w:r>
    </w:p>
    <w:p w14:paraId="54424304" w14:textId="3315056D" w:rsidR="00DC52EA" w:rsidRDefault="007B55FF" w:rsidP="00DC52EA">
      <w:pPr>
        <w:pStyle w:val="ListParagraph"/>
        <w:spacing w:after="0"/>
      </w:pPr>
      <w:r>
        <w:t xml:space="preserve">Completed </w:t>
      </w:r>
      <w:r w:rsidR="00025FE3">
        <w:t xml:space="preserve">2 </w:t>
      </w:r>
      <w:r w:rsidR="001B6965">
        <w:t xml:space="preserve">emergency management </w:t>
      </w:r>
      <w:r w:rsidR="003C2FC0">
        <w:t>exercises to test and improve DISR’s response to</w:t>
      </w:r>
      <w:r w:rsidR="00400754">
        <w:t xml:space="preserve"> </w:t>
      </w:r>
      <w:r w:rsidR="00A43218">
        <w:t xml:space="preserve">any </w:t>
      </w:r>
      <w:r w:rsidR="00400754">
        <w:t>potential oil spill incidents.</w:t>
      </w:r>
    </w:p>
    <w:p w14:paraId="78F5B997" w14:textId="42933820" w:rsidR="00A85CF1" w:rsidRDefault="00A85CF1" w:rsidP="00A85CF1">
      <w:pPr>
        <w:spacing w:after="0"/>
      </w:pPr>
      <w:r w:rsidRPr="005E4694">
        <w:t>All current activities have taken place in an operational area of 5,219 hectares</w:t>
      </w:r>
      <w:r w:rsidR="00E33DE2">
        <w:t xml:space="preserve"> by </w:t>
      </w:r>
      <w:r w:rsidR="00E33DE2">
        <w:rPr>
          <w:shd w:val="clear" w:color="auto" w:fill="FFFFFF"/>
        </w:rPr>
        <w:t>Petrofac</w:t>
      </w:r>
      <w:r w:rsidRPr="00B7370A">
        <w:rPr>
          <w:shd w:val="clear" w:color="auto" w:fill="FFFFFF"/>
        </w:rPr>
        <w:t>.</w:t>
      </w:r>
    </w:p>
    <w:p w14:paraId="05DDD563" w14:textId="39CCF9A7" w:rsidR="00A85CF1" w:rsidRDefault="00A85CF1" w:rsidP="000244B5">
      <w:pPr>
        <w:pStyle w:val="Heading3"/>
        <w:ind w:left="851" w:hanging="851"/>
      </w:pPr>
      <w:bookmarkStart w:id="65" w:name="_Variation_to_conditions"/>
      <w:bookmarkStart w:id="66" w:name="_Toc1676918056"/>
      <w:bookmarkStart w:id="67" w:name="_Toc178321848"/>
      <w:bookmarkStart w:id="68" w:name="_Toc180504215"/>
      <w:bookmarkEnd w:id="65"/>
      <w:r w:rsidRPr="0296EE1B">
        <w:t>Variation to conditions</w:t>
      </w:r>
      <w:bookmarkEnd w:id="66"/>
      <w:bookmarkEnd w:id="67"/>
      <w:bookmarkEnd w:id="68"/>
    </w:p>
    <w:p w14:paraId="72253BC3" w14:textId="49DCD5E9" w:rsidR="001E504A" w:rsidRDefault="4210658C">
      <w:pPr>
        <w:rPr>
          <w:lang w:val="en-US"/>
        </w:rPr>
      </w:pPr>
      <w:r w:rsidRPr="6420B792">
        <w:rPr>
          <w:rFonts w:ascii="Aptos" w:eastAsia="Aptos" w:hAnsi="Aptos" w:cs="Aptos"/>
          <w:lang w:val="en-US"/>
        </w:rPr>
        <w:t>DISR requested</w:t>
      </w:r>
      <w:r w:rsidRPr="6420B792" w:rsidDel="00386C64">
        <w:rPr>
          <w:rFonts w:ascii="Aptos" w:eastAsia="Aptos" w:hAnsi="Aptos" w:cs="Aptos"/>
          <w:lang w:val="en-US"/>
        </w:rPr>
        <w:t xml:space="preserve"> </w:t>
      </w:r>
      <w:r w:rsidR="00386C64">
        <w:rPr>
          <w:rFonts w:ascii="Aptos" w:eastAsia="Aptos" w:hAnsi="Aptos" w:cs="Aptos"/>
          <w:lang w:val="en-US"/>
        </w:rPr>
        <w:t>a</w:t>
      </w:r>
      <w:r w:rsidR="00386C64" w:rsidRPr="6420B792">
        <w:rPr>
          <w:rFonts w:ascii="Aptos" w:eastAsia="Aptos" w:hAnsi="Aptos" w:cs="Aptos"/>
          <w:lang w:val="en-US"/>
        </w:rPr>
        <w:t xml:space="preserve"> </w:t>
      </w:r>
      <w:r w:rsidRPr="6420B792">
        <w:rPr>
          <w:rFonts w:ascii="Aptos" w:eastAsia="Aptos" w:hAnsi="Aptos" w:cs="Aptos"/>
          <w:lang w:val="en-US"/>
        </w:rPr>
        <w:t xml:space="preserve">variation </w:t>
      </w:r>
      <w:r w:rsidR="00386C64">
        <w:rPr>
          <w:rFonts w:ascii="Aptos" w:eastAsia="Aptos" w:hAnsi="Aptos" w:cs="Aptos"/>
          <w:lang w:val="en-US"/>
        </w:rPr>
        <w:t xml:space="preserve">to </w:t>
      </w:r>
      <w:r w:rsidRPr="6420B792">
        <w:rPr>
          <w:rFonts w:ascii="Aptos" w:eastAsia="Aptos" w:hAnsi="Aptos" w:cs="Aptos"/>
          <w:lang w:val="en-US"/>
        </w:rPr>
        <w:t xml:space="preserve">the definition ‘Default guideline value(s)’ as specified in </w:t>
      </w:r>
      <w:r w:rsidR="00C721B8">
        <w:rPr>
          <w:rFonts w:ascii="Aptos" w:eastAsia="Aptos" w:hAnsi="Aptos" w:cs="Aptos"/>
          <w:lang w:val="en-US"/>
        </w:rPr>
        <w:t>c</w:t>
      </w:r>
      <w:r w:rsidR="003F396D">
        <w:rPr>
          <w:rFonts w:ascii="Aptos" w:eastAsia="Aptos" w:hAnsi="Aptos" w:cs="Aptos"/>
          <w:lang w:val="en-US"/>
        </w:rPr>
        <w:t xml:space="preserve">onditions 2 and 3 for Discharge Management. </w:t>
      </w:r>
      <w:r w:rsidR="00197F45">
        <w:rPr>
          <w:rFonts w:ascii="Aptos" w:eastAsia="Aptos" w:hAnsi="Aptos" w:cs="Aptos"/>
          <w:lang w:val="en-US"/>
        </w:rPr>
        <w:t xml:space="preserve">The variation </w:t>
      </w:r>
      <w:r w:rsidR="00E97B3F">
        <w:rPr>
          <w:rFonts w:ascii="Aptos" w:eastAsia="Aptos" w:hAnsi="Aptos" w:cs="Aptos"/>
          <w:lang w:val="en-US"/>
        </w:rPr>
        <w:t xml:space="preserve">to </w:t>
      </w:r>
      <w:r w:rsidRPr="6420B792">
        <w:rPr>
          <w:rFonts w:ascii="Aptos" w:eastAsia="Aptos" w:hAnsi="Aptos" w:cs="Aptos"/>
          <w:lang w:val="en-US"/>
        </w:rPr>
        <w:t xml:space="preserve">the condition of approval </w:t>
      </w:r>
      <w:r w:rsidR="00963C15">
        <w:rPr>
          <w:rFonts w:ascii="Aptos" w:eastAsia="Aptos" w:hAnsi="Aptos" w:cs="Aptos"/>
          <w:lang w:val="en-US"/>
        </w:rPr>
        <w:t xml:space="preserve">was </w:t>
      </w:r>
      <w:r w:rsidRPr="6420B792">
        <w:rPr>
          <w:rFonts w:ascii="Aptos" w:eastAsia="Aptos" w:hAnsi="Aptos" w:cs="Aptos"/>
          <w:lang w:val="en-US"/>
        </w:rPr>
        <w:t xml:space="preserve">to </w:t>
      </w:r>
      <w:r w:rsidR="002B5CAB">
        <w:rPr>
          <w:rFonts w:ascii="Aptos" w:eastAsia="Aptos" w:hAnsi="Aptos" w:cs="Aptos"/>
          <w:lang w:val="en-US"/>
        </w:rPr>
        <w:t>en</w:t>
      </w:r>
      <w:r w:rsidRPr="6420B792">
        <w:rPr>
          <w:rFonts w:ascii="Aptos" w:eastAsia="Aptos" w:hAnsi="Aptos" w:cs="Aptos"/>
          <w:lang w:val="en-US"/>
        </w:rPr>
        <w:t xml:space="preserve">sure that </w:t>
      </w:r>
      <w:r w:rsidR="00A84326">
        <w:rPr>
          <w:rFonts w:ascii="Aptos" w:eastAsia="Aptos" w:hAnsi="Aptos" w:cs="Aptos"/>
          <w:lang w:val="en-US"/>
        </w:rPr>
        <w:t xml:space="preserve">DISR could give </w:t>
      </w:r>
      <w:r w:rsidRPr="6420B792">
        <w:rPr>
          <w:rFonts w:ascii="Aptos" w:eastAsia="Aptos" w:hAnsi="Aptos" w:cs="Aptos"/>
          <w:lang w:val="en-US"/>
        </w:rPr>
        <w:t xml:space="preserve">demonstratable evidence </w:t>
      </w:r>
      <w:r w:rsidR="00A84326">
        <w:rPr>
          <w:rFonts w:ascii="Aptos" w:eastAsia="Aptos" w:hAnsi="Aptos" w:cs="Aptos"/>
          <w:lang w:val="en-US"/>
        </w:rPr>
        <w:t xml:space="preserve">of </w:t>
      </w:r>
      <w:r w:rsidRPr="6420B792">
        <w:rPr>
          <w:rFonts w:ascii="Aptos" w:eastAsia="Aptos" w:hAnsi="Aptos" w:cs="Aptos"/>
          <w:lang w:val="en-US"/>
        </w:rPr>
        <w:t xml:space="preserve">compliance with the condition. </w:t>
      </w:r>
      <w:r w:rsidR="00A64A33">
        <w:rPr>
          <w:rFonts w:ascii="Aptos" w:hAnsi="Aptos"/>
          <w:color w:val="000000"/>
          <w:shd w:val="clear" w:color="auto" w:fill="FFFFFF"/>
        </w:rPr>
        <w:t>The</w:t>
      </w:r>
      <w:r w:rsidR="000E5C5C">
        <w:rPr>
          <w:rFonts w:ascii="Aptos" w:hAnsi="Aptos"/>
          <w:color w:val="000000"/>
          <w:shd w:val="clear" w:color="auto" w:fill="FFFFFF"/>
        </w:rPr>
        <w:t xml:space="preserve"> variation </w:t>
      </w:r>
      <w:r w:rsidR="00B26F32">
        <w:rPr>
          <w:rFonts w:ascii="Aptos" w:hAnsi="Aptos"/>
          <w:color w:val="000000"/>
          <w:shd w:val="clear" w:color="auto" w:fill="FFFFFF"/>
        </w:rPr>
        <w:t xml:space="preserve">also provided the chance to improve </w:t>
      </w:r>
      <w:r w:rsidR="00A64A33">
        <w:rPr>
          <w:rFonts w:ascii="Aptos" w:hAnsi="Aptos"/>
          <w:color w:val="000000"/>
          <w:shd w:val="clear" w:color="auto" w:fill="FFFFFF"/>
        </w:rPr>
        <w:t xml:space="preserve">compliance with </w:t>
      </w:r>
      <w:r w:rsidR="00742E76">
        <w:rPr>
          <w:rFonts w:ascii="Aptos" w:hAnsi="Aptos"/>
          <w:color w:val="000000"/>
          <w:shd w:val="clear" w:color="auto" w:fill="FFFFFF"/>
        </w:rPr>
        <w:t>water quality</w:t>
      </w:r>
      <w:r w:rsidR="00A64A33">
        <w:rPr>
          <w:rFonts w:ascii="Aptos" w:hAnsi="Aptos"/>
          <w:color w:val="000000"/>
          <w:shd w:val="clear" w:color="auto" w:fill="FFFFFF"/>
        </w:rPr>
        <w:t xml:space="preserve"> </w:t>
      </w:r>
      <w:r w:rsidR="00593F1B">
        <w:rPr>
          <w:rFonts w:ascii="Aptos" w:hAnsi="Aptos"/>
          <w:color w:val="000000"/>
          <w:shd w:val="clear" w:color="auto" w:fill="FFFFFF"/>
        </w:rPr>
        <w:t>leve</w:t>
      </w:r>
      <w:r w:rsidR="00B31988">
        <w:rPr>
          <w:rFonts w:ascii="Aptos" w:hAnsi="Aptos"/>
          <w:color w:val="000000"/>
          <w:shd w:val="clear" w:color="auto" w:fill="FFFFFF"/>
        </w:rPr>
        <w:t>ls</w:t>
      </w:r>
      <w:r w:rsidR="00A64A33">
        <w:rPr>
          <w:rFonts w:ascii="Aptos" w:hAnsi="Aptos"/>
          <w:color w:val="000000"/>
          <w:shd w:val="clear" w:color="auto" w:fill="FFFFFF"/>
        </w:rPr>
        <w:t xml:space="preserve"> </w:t>
      </w:r>
      <w:r w:rsidR="00B26F32">
        <w:rPr>
          <w:rFonts w:ascii="Aptos" w:hAnsi="Aptos"/>
          <w:color w:val="000000"/>
          <w:shd w:val="clear" w:color="auto" w:fill="FFFFFF"/>
        </w:rPr>
        <w:t xml:space="preserve">that were </w:t>
      </w:r>
      <w:r w:rsidR="009344AE">
        <w:rPr>
          <w:rFonts w:ascii="Aptos" w:hAnsi="Aptos"/>
          <w:color w:val="000000"/>
          <w:shd w:val="clear" w:color="auto" w:fill="FFFFFF"/>
        </w:rPr>
        <w:t xml:space="preserve">set </w:t>
      </w:r>
      <w:r w:rsidR="00A64A33">
        <w:rPr>
          <w:rFonts w:ascii="Aptos" w:hAnsi="Aptos"/>
          <w:color w:val="000000"/>
          <w:shd w:val="clear" w:color="auto" w:fill="FFFFFF"/>
        </w:rPr>
        <w:t xml:space="preserve">for </w:t>
      </w:r>
      <w:r w:rsidR="00E856E3">
        <w:rPr>
          <w:rFonts w:ascii="Aptos" w:hAnsi="Aptos"/>
          <w:color w:val="000000"/>
          <w:shd w:val="clear" w:color="auto" w:fill="FFFFFF"/>
        </w:rPr>
        <w:t xml:space="preserve">3 </w:t>
      </w:r>
      <w:r w:rsidR="00A64A33">
        <w:rPr>
          <w:rFonts w:ascii="Aptos" w:hAnsi="Aptos"/>
          <w:color w:val="000000"/>
          <w:shd w:val="clear" w:color="auto" w:fill="FFFFFF"/>
        </w:rPr>
        <w:t xml:space="preserve">toxicants </w:t>
      </w:r>
      <w:r w:rsidR="00C721B8">
        <w:rPr>
          <w:rFonts w:ascii="Aptos" w:hAnsi="Aptos"/>
          <w:color w:val="000000"/>
          <w:shd w:val="clear" w:color="auto" w:fill="FFFFFF"/>
        </w:rPr>
        <w:t xml:space="preserve">under </w:t>
      </w:r>
      <w:r w:rsidR="00A64A33">
        <w:rPr>
          <w:rFonts w:ascii="Aptos" w:hAnsi="Aptos"/>
          <w:color w:val="000000"/>
          <w:shd w:val="clear" w:color="auto" w:fill="FFFFFF"/>
        </w:rPr>
        <w:t>conditions 2 and 3 for Discharge Management</w:t>
      </w:r>
      <w:r w:rsidR="00C721B8">
        <w:rPr>
          <w:rFonts w:ascii="Aptos" w:hAnsi="Aptos"/>
          <w:color w:val="000000"/>
          <w:shd w:val="clear" w:color="auto" w:fill="FFFFFF"/>
        </w:rPr>
        <w:t xml:space="preserve">. The </w:t>
      </w:r>
      <w:r w:rsidR="00F75803">
        <w:rPr>
          <w:rFonts w:ascii="Aptos" w:hAnsi="Aptos"/>
          <w:color w:val="000000"/>
          <w:shd w:val="clear" w:color="auto" w:fill="FFFFFF"/>
        </w:rPr>
        <w:t xml:space="preserve">3 </w:t>
      </w:r>
      <w:r w:rsidR="00C721B8">
        <w:rPr>
          <w:rFonts w:ascii="Aptos" w:hAnsi="Aptos"/>
          <w:color w:val="000000"/>
          <w:shd w:val="clear" w:color="auto" w:fill="FFFFFF"/>
        </w:rPr>
        <w:t xml:space="preserve">toxicants were </w:t>
      </w:r>
      <w:r w:rsidR="6622986E" w:rsidRPr="6EB372C7">
        <w:rPr>
          <w:lang w:val="en-US"/>
        </w:rPr>
        <w:t>c</w:t>
      </w:r>
      <w:r w:rsidR="00ED7912" w:rsidRPr="6EB372C7">
        <w:rPr>
          <w:lang w:val="en-US"/>
        </w:rPr>
        <w:t xml:space="preserve">opper, </w:t>
      </w:r>
      <w:r w:rsidR="75CF45B1" w:rsidRPr="6EB372C7">
        <w:rPr>
          <w:lang w:val="en-US"/>
        </w:rPr>
        <w:t>c</w:t>
      </w:r>
      <w:r w:rsidR="00ED7912" w:rsidRPr="6EB372C7">
        <w:rPr>
          <w:lang w:val="en-US"/>
        </w:rPr>
        <w:t>obalt</w:t>
      </w:r>
      <w:r w:rsidR="00ED7912" w:rsidRPr="00ED7912">
        <w:rPr>
          <w:lang w:val="en-US"/>
        </w:rPr>
        <w:t xml:space="preserve">, and </w:t>
      </w:r>
      <w:r w:rsidR="5938BDEF" w:rsidRPr="6EB372C7">
        <w:rPr>
          <w:lang w:val="en-US"/>
        </w:rPr>
        <w:t>z</w:t>
      </w:r>
      <w:r w:rsidR="00ED7912" w:rsidRPr="6EB372C7">
        <w:rPr>
          <w:lang w:val="en-US"/>
        </w:rPr>
        <w:t>inc.</w:t>
      </w:r>
      <w:r w:rsidR="00ED7912" w:rsidRPr="00ED7912">
        <w:rPr>
          <w:lang w:val="en-US"/>
        </w:rPr>
        <w:t xml:space="preserve"> </w:t>
      </w:r>
      <w:r w:rsidR="00002107">
        <w:rPr>
          <w:lang w:val="en-US"/>
        </w:rPr>
        <w:t>Australian</w:t>
      </w:r>
      <w:r w:rsidR="00C27766">
        <w:rPr>
          <w:lang w:val="en-US"/>
        </w:rPr>
        <w:t xml:space="preserve"> accredited</w:t>
      </w:r>
      <w:r w:rsidR="00ED7912" w:rsidRPr="00ED7912">
        <w:rPr>
          <w:lang w:val="en-US"/>
        </w:rPr>
        <w:t xml:space="preserve"> </w:t>
      </w:r>
      <w:r w:rsidR="00CD699D">
        <w:rPr>
          <w:lang w:val="en-US"/>
        </w:rPr>
        <w:t xml:space="preserve">laboratories </w:t>
      </w:r>
      <w:r w:rsidR="005C5CDE">
        <w:rPr>
          <w:lang w:val="en-US"/>
        </w:rPr>
        <w:t>are unable to test</w:t>
      </w:r>
      <w:r w:rsidR="00B629CE">
        <w:rPr>
          <w:lang w:val="en-US"/>
        </w:rPr>
        <w:t xml:space="preserve"> </w:t>
      </w:r>
      <w:r w:rsidR="02AD7AA7" w:rsidRPr="1449570E">
        <w:rPr>
          <w:lang w:val="en-US"/>
        </w:rPr>
        <w:t>c</w:t>
      </w:r>
      <w:r w:rsidR="00B629CE" w:rsidRPr="1449570E">
        <w:rPr>
          <w:lang w:val="en-US"/>
        </w:rPr>
        <w:t>obalt</w:t>
      </w:r>
      <w:r w:rsidR="00B77B67">
        <w:rPr>
          <w:lang w:val="en-US"/>
        </w:rPr>
        <w:t xml:space="preserve"> </w:t>
      </w:r>
      <w:r w:rsidR="00ED7912" w:rsidRPr="00ED7912">
        <w:rPr>
          <w:lang w:val="en-US"/>
        </w:rPr>
        <w:t>to the level</w:t>
      </w:r>
      <w:r w:rsidR="00C721B8">
        <w:rPr>
          <w:lang w:val="en-US"/>
        </w:rPr>
        <w:t xml:space="preserve"> originally outlined in the condition</w:t>
      </w:r>
      <w:r w:rsidR="00ED7912" w:rsidRPr="00ED7912">
        <w:rPr>
          <w:lang w:val="en-US"/>
        </w:rPr>
        <w:t xml:space="preserve">. For </w:t>
      </w:r>
      <w:r w:rsidR="2539F07F" w:rsidRPr="1449570E">
        <w:rPr>
          <w:lang w:val="en-US"/>
        </w:rPr>
        <w:t>c</w:t>
      </w:r>
      <w:r w:rsidR="00ED7912" w:rsidRPr="1449570E">
        <w:rPr>
          <w:lang w:val="en-US"/>
        </w:rPr>
        <w:t>opper</w:t>
      </w:r>
      <w:r w:rsidR="00ED7912" w:rsidRPr="00ED7912">
        <w:rPr>
          <w:lang w:val="en-US"/>
        </w:rPr>
        <w:t xml:space="preserve"> and </w:t>
      </w:r>
      <w:r w:rsidR="6D2B5D96" w:rsidRPr="1449570E">
        <w:rPr>
          <w:lang w:val="en-US"/>
        </w:rPr>
        <w:t>z</w:t>
      </w:r>
      <w:r w:rsidR="00ED7912" w:rsidRPr="1449570E">
        <w:rPr>
          <w:lang w:val="en-US"/>
        </w:rPr>
        <w:t>inc</w:t>
      </w:r>
      <w:r w:rsidR="00ED7912" w:rsidRPr="00ED7912">
        <w:rPr>
          <w:lang w:val="en-US"/>
        </w:rPr>
        <w:t xml:space="preserve">, the levels in the </w:t>
      </w:r>
      <w:r w:rsidR="00D14430">
        <w:rPr>
          <w:lang w:val="en-US"/>
        </w:rPr>
        <w:t xml:space="preserve">surrounding </w:t>
      </w:r>
      <w:r w:rsidR="00ED7912" w:rsidRPr="00ED7912">
        <w:rPr>
          <w:lang w:val="en-US"/>
        </w:rPr>
        <w:t xml:space="preserve">marine environment </w:t>
      </w:r>
      <w:r w:rsidR="00C721B8">
        <w:rPr>
          <w:lang w:val="en-US"/>
        </w:rPr>
        <w:t xml:space="preserve">were already </w:t>
      </w:r>
      <w:r w:rsidR="00ED7912" w:rsidRPr="00ED7912">
        <w:rPr>
          <w:lang w:val="en-US"/>
        </w:rPr>
        <w:t xml:space="preserve">higher than </w:t>
      </w:r>
      <w:r w:rsidR="002A5858">
        <w:rPr>
          <w:lang w:val="en-US"/>
        </w:rPr>
        <w:t>the water quality levels</w:t>
      </w:r>
      <w:r w:rsidR="00BA00AE">
        <w:rPr>
          <w:lang w:val="en-US"/>
        </w:rPr>
        <w:t xml:space="preserve"> </w:t>
      </w:r>
      <w:r w:rsidR="00851346">
        <w:rPr>
          <w:lang w:val="en-US"/>
        </w:rPr>
        <w:t>in the original approval</w:t>
      </w:r>
      <w:r w:rsidR="00593815">
        <w:rPr>
          <w:lang w:val="en-US"/>
        </w:rPr>
        <w:t>.</w:t>
      </w:r>
      <w:r w:rsidR="002A5858">
        <w:rPr>
          <w:lang w:val="en-US"/>
        </w:rPr>
        <w:t xml:space="preserve"> </w:t>
      </w:r>
    </w:p>
    <w:p w14:paraId="277791EE" w14:textId="1B52A479" w:rsidR="00C661CA" w:rsidRDefault="00C661CA" w:rsidP="00C661CA">
      <w:pPr>
        <w:rPr>
          <w:rFonts w:ascii="Aptos" w:eastAsia="Aptos" w:hAnsi="Aptos" w:cs="Aptos"/>
          <w:lang w:val="en-US"/>
        </w:rPr>
      </w:pPr>
      <w:r w:rsidRPr="6420B792">
        <w:rPr>
          <w:rFonts w:ascii="Aptos" w:eastAsia="Aptos" w:hAnsi="Aptos" w:cs="Aptos"/>
          <w:lang w:val="en-US"/>
        </w:rPr>
        <w:t>The variation</w:t>
      </w:r>
      <w:r w:rsidR="00DA7DAC">
        <w:rPr>
          <w:rFonts w:ascii="Aptos" w:eastAsia="Aptos" w:hAnsi="Aptos" w:cs="Aptos"/>
          <w:lang w:val="en-US"/>
        </w:rPr>
        <w:t xml:space="preserve"> proposed by DISR</w:t>
      </w:r>
      <w:r w:rsidRPr="6420B792">
        <w:rPr>
          <w:rFonts w:ascii="Aptos" w:eastAsia="Aptos" w:hAnsi="Aptos" w:cs="Aptos"/>
          <w:lang w:val="en-US"/>
        </w:rPr>
        <w:t xml:space="preserve"> had no new or increased impact </w:t>
      </w:r>
      <w:r w:rsidRPr="3AB9FFDA">
        <w:rPr>
          <w:rFonts w:ascii="Aptos" w:eastAsia="Aptos" w:hAnsi="Aptos" w:cs="Aptos"/>
          <w:lang w:val="en-US"/>
        </w:rPr>
        <w:t>on</w:t>
      </w:r>
      <w:r w:rsidRPr="6420B792">
        <w:rPr>
          <w:rFonts w:ascii="Aptos" w:eastAsia="Aptos" w:hAnsi="Aptos" w:cs="Aptos"/>
          <w:lang w:val="en-US"/>
        </w:rPr>
        <w:t xml:space="preserve"> the environment</w:t>
      </w:r>
      <w:r w:rsidR="005B68F7">
        <w:rPr>
          <w:rFonts w:ascii="Aptos" w:eastAsia="Aptos" w:hAnsi="Aptos" w:cs="Aptos"/>
          <w:lang w:val="en-US"/>
        </w:rPr>
        <w:t xml:space="preserve">. It also </w:t>
      </w:r>
      <w:r w:rsidRPr="6420B792">
        <w:rPr>
          <w:rFonts w:ascii="Aptos" w:eastAsia="Aptos" w:hAnsi="Aptos" w:cs="Aptos"/>
          <w:lang w:val="en-US"/>
        </w:rPr>
        <w:t>reflected DISR</w:t>
      </w:r>
      <w:r w:rsidR="009F1525">
        <w:rPr>
          <w:rFonts w:ascii="Aptos" w:eastAsia="Aptos" w:hAnsi="Aptos" w:cs="Aptos"/>
          <w:lang w:val="en-US"/>
        </w:rPr>
        <w:t>’s</w:t>
      </w:r>
      <w:r w:rsidRPr="6420B792">
        <w:rPr>
          <w:rFonts w:ascii="Aptos" w:eastAsia="Aptos" w:hAnsi="Aptos" w:cs="Aptos"/>
          <w:lang w:val="en-US"/>
        </w:rPr>
        <w:t xml:space="preserve"> </w:t>
      </w:r>
      <w:r w:rsidR="00F36BAA">
        <w:rPr>
          <w:rFonts w:ascii="Aptos" w:eastAsia="Aptos" w:hAnsi="Aptos" w:cs="Aptos"/>
          <w:lang w:val="en-US"/>
        </w:rPr>
        <w:t>intent t</w:t>
      </w:r>
      <w:r w:rsidRPr="6420B792">
        <w:rPr>
          <w:rFonts w:ascii="Aptos" w:eastAsia="Aptos" w:hAnsi="Aptos" w:cs="Aptos"/>
          <w:lang w:val="en-US"/>
        </w:rPr>
        <w:t xml:space="preserve">o </w:t>
      </w:r>
      <w:r w:rsidR="00F36BAA">
        <w:rPr>
          <w:rFonts w:ascii="Aptos" w:eastAsia="Aptos" w:hAnsi="Aptos" w:cs="Aptos"/>
          <w:lang w:val="en-US"/>
        </w:rPr>
        <w:t xml:space="preserve">give </w:t>
      </w:r>
      <w:r w:rsidRPr="6420B792">
        <w:rPr>
          <w:rFonts w:ascii="Aptos" w:eastAsia="Aptos" w:hAnsi="Aptos" w:cs="Aptos"/>
          <w:lang w:val="en-US"/>
        </w:rPr>
        <w:t xml:space="preserve">demonstratable evidence to </w:t>
      </w:r>
      <w:r w:rsidRPr="77286ACE">
        <w:rPr>
          <w:rFonts w:ascii="Aptos" w:eastAsia="Aptos" w:hAnsi="Aptos" w:cs="Aptos"/>
          <w:lang w:val="en-US"/>
        </w:rPr>
        <w:t>support</w:t>
      </w:r>
      <w:r w:rsidRPr="6420B792">
        <w:rPr>
          <w:rFonts w:ascii="Aptos" w:eastAsia="Aptos" w:hAnsi="Aptos" w:cs="Aptos"/>
          <w:lang w:val="en-US"/>
        </w:rPr>
        <w:t xml:space="preserve"> compliance with the conditions.</w:t>
      </w:r>
    </w:p>
    <w:p w14:paraId="5940F340" w14:textId="367E5FA2" w:rsidR="0089753C" w:rsidRDefault="00C51741" w:rsidP="0089753C">
      <w:pPr>
        <w:rPr>
          <w:color w:val="0766A5" w:themeColor="accent1"/>
          <w:u w:val="single"/>
        </w:rPr>
      </w:pPr>
      <w:r w:rsidRPr="595C2D5F">
        <w:rPr>
          <w:rFonts w:ascii="Aptos" w:eastAsia="Aptos" w:hAnsi="Aptos" w:cs="Aptos"/>
          <w:lang w:val="en-US"/>
        </w:rPr>
        <w:t>DCCEEW approved the variation to these conditions on 5</w:t>
      </w:r>
      <w:r>
        <w:rPr>
          <w:rFonts w:ascii="Aptos" w:eastAsia="Aptos" w:hAnsi="Aptos" w:cs="Aptos"/>
          <w:lang w:val="en-US"/>
        </w:rPr>
        <w:t> </w:t>
      </w:r>
      <w:r w:rsidRPr="595C2D5F">
        <w:rPr>
          <w:rFonts w:ascii="Aptos" w:eastAsia="Aptos" w:hAnsi="Aptos" w:cs="Aptos"/>
          <w:lang w:val="en-US"/>
        </w:rPr>
        <w:t>April</w:t>
      </w:r>
      <w:r>
        <w:rPr>
          <w:rFonts w:ascii="Aptos" w:eastAsia="Aptos" w:hAnsi="Aptos" w:cs="Aptos"/>
          <w:lang w:val="en-US"/>
        </w:rPr>
        <w:t> </w:t>
      </w:r>
      <w:r w:rsidRPr="595C2D5F">
        <w:rPr>
          <w:rFonts w:ascii="Aptos" w:eastAsia="Aptos" w:hAnsi="Aptos" w:cs="Aptos"/>
          <w:lang w:val="en-US"/>
        </w:rPr>
        <w:t>2024</w:t>
      </w:r>
      <w:r>
        <w:rPr>
          <w:rFonts w:ascii="Aptos" w:eastAsia="Aptos" w:hAnsi="Aptos" w:cs="Aptos"/>
          <w:lang w:val="en-US"/>
        </w:rPr>
        <w:t xml:space="preserve"> b</w:t>
      </w:r>
      <w:r w:rsidR="0089753C" w:rsidRPr="595C2D5F">
        <w:rPr>
          <w:rFonts w:ascii="Aptos" w:eastAsia="Aptos" w:hAnsi="Aptos" w:cs="Aptos"/>
          <w:lang w:val="en-US"/>
        </w:rPr>
        <w:t xml:space="preserve">ased on data </w:t>
      </w:r>
      <w:r w:rsidR="00AE02C7">
        <w:rPr>
          <w:rFonts w:ascii="Aptos" w:eastAsia="Aptos" w:hAnsi="Aptos" w:cs="Aptos"/>
          <w:lang w:val="en-US"/>
        </w:rPr>
        <w:t>given</w:t>
      </w:r>
      <w:r w:rsidR="0089753C" w:rsidRPr="595C2D5F">
        <w:rPr>
          <w:rFonts w:ascii="Aptos" w:eastAsia="Aptos" w:hAnsi="Aptos" w:cs="Aptos"/>
          <w:lang w:val="en-US"/>
        </w:rPr>
        <w:t xml:space="preserve"> by DISR</w:t>
      </w:r>
      <w:r>
        <w:rPr>
          <w:rFonts w:ascii="Aptos" w:eastAsia="Aptos" w:hAnsi="Aptos" w:cs="Aptos"/>
          <w:lang w:val="en-US"/>
        </w:rPr>
        <w:t xml:space="preserve">. </w:t>
      </w:r>
      <w:r w:rsidR="00AE02C7">
        <w:rPr>
          <w:rFonts w:ascii="Aptos" w:eastAsia="Aptos" w:hAnsi="Aptos" w:cs="Aptos"/>
          <w:lang w:val="en-US"/>
        </w:rPr>
        <w:t xml:space="preserve">Detail of the variation is included </w:t>
      </w:r>
      <w:r w:rsidR="0089753C" w:rsidRPr="595C2D5F">
        <w:rPr>
          <w:rFonts w:ascii="Aptos" w:eastAsia="Aptos" w:hAnsi="Aptos" w:cs="Aptos"/>
          <w:lang w:val="en-US"/>
        </w:rPr>
        <w:t xml:space="preserve">at </w:t>
      </w:r>
      <w:hyperlink r:id="rId36" w:anchor="_Attachments">
        <w:r w:rsidR="0089753C" w:rsidRPr="595C2D5F">
          <w:rPr>
            <w:rStyle w:val="Hyperlink"/>
            <w:rFonts w:ascii="Aptos" w:eastAsia="Aptos" w:hAnsi="Aptos" w:cs="Aptos"/>
            <w:lang w:val="en-US"/>
          </w:rPr>
          <w:t>Attachment B</w:t>
        </w:r>
      </w:hyperlink>
      <w:r w:rsidR="0089753C" w:rsidRPr="595C2D5F">
        <w:rPr>
          <w:rFonts w:ascii="Aptos" w:eastAsia="Aptos" w:hAnsi="Aptos" w:cs="Aptos"/>
          <w:color w:val="15659B"/>
          <w:u w:val="single"/>
          <w:lang w:val="en-US"/>
        </w:rPr>
        <w:t>.</w:t>
      </w:r>
      <w:r w:rsidR="0089753C" w:rsidRPr="3AB9FFDA">
        <w:rPr>
          <w:rFonts w:ascii="Aptos" w:eastAsia="Aptos" w:hAnsi="Aptos" w:cs="Aptos"/>
          <w:color w:val="15659B"/>
          <w:u w:val="single"/>
          <w:lang w:val="en-US"/>
        </w:rPr>
        <w:t xml:space="preserve"> </w:t>
      </w:r>
    </w:p>
    <w:p w14:paraId="7DA4E0F4" w14:textId="63085E05" w:rsidR="54987ACB" w:rsidRDefault="00484B01" w:rsidP="6420B792">
      <w:pPr>
        <w:rPr>
          <w:color w:val="0766A5" w:themeColor="accent1"/>
          <w:u w:val="single"/>
        </w:rPr>
      </w:pPr>
      <w:r>
        <w:rPr>
          <w:lang w:val="en-US"/>
        </w:rPr>
        <w:t>DCCEEW a</w:t>
      </w:r>
      <w:r w:rsidR="00883071">
        <w:rPr>
          <w:lang w:val="en-US"/>
        </w:rPr>
        <w:t xml:space="preserve">lso made updates to the </w:t>
      </w:r>
      <w:r w:rsidR="00563AC5">
        <w:rPr>
          <w:lang w:val="en-US"/>
        </w:rPr>
        <w:t xml:space="preserve">guidelines </w:t>
      </w:r>
      <w:r w:rsidR="00955F41">
        <w:rPr>
          <w:lang w:val="en-US"/>
        </w:rPr>
        <w:t>for condition 21 in t</w:t>
      </w:r>
      <w:r w:rsidR="001F7F7B" w:rsidRPr="6420B792">
        <w:rPr>
          <w:lang w:val="en-US"/>
        </w:rPr>
        <w:t>he Annual Compliance Report Guidelines.</w:t>
      </w:r>
      <w:r w:rsidR="000F1324">
        <w:rPr>
          <w:lang w:val="en-US"/>
        </w:rPr>
        <w:t xml:space="preserve"> </w:t>
      </w:r>
      <w:r w:rsidR="54987ACB" w:rsidRPr="6420B792">
        <w:rPr>
          <w:lang w:val="en-US"/>
        </w:rPr>
        <w:t xml:space="preserve">DISR continues to </w:t>
      </w:r>
      <w:r w:rsidR="00A40B39">
        <w:rPr>
          <w:lang w:val="en-US"/>
        </w:rPr>
        <w:t>a</w:t>
      </w:r>
      <w:r w:rsidR="000C767D">
        <w:rPr>
          <w:lang w:val="en-US"/>
        </w:rPr>
        <w:t>pply</w:t>
      </w:r>
      <w:r w:rsidR="00BE2B48">
        <w:rPr>
          <w:lang w:val="en-US"/>
        </w:rPr>
        <w:t xml:space="preserve"> </w:t>
      </w:r>
      <w:r w:rsidR="54987ACB" w:rsidRPr="6420B792">
        <w:rPr>
          <w:lang w:val="en-US"/>
        </w:rPr>
        <w:t xml:space="preserve">and </w:t>
      </w:r>
      <w:r w:rsidR="000C767D">
        <w:rPr>
          <w:lang w:val="en-US"/>
        </w:rPr>
        <w:t>meet</w:t>
      </w:r>
      <w:r w:rsidR="54987ACB" w:rsidRPr="6420B792">
        <w:rPr>
          <w:lang w:val="en-US"/>
        </w:rPr>
        <w:t xml:space="preserve"> </w:t>
      </w:r>
      <w:r w:rsidR="000C767D">
        <w:rPr>
          <w:lang w:val="en-US"/>
        </w:rPr>
        <w:t>c</w:t>
      </w:r>
      <w:r w:rsidR="54987ACB" w:rsidRPr="6420B792">
        <w:rPr>
          <w:lang w:val="en-US"/>
        </w:rPr>
        <w:t xml:space="preserve">onditions 2 and 3 on Discharge Management </w:t>
      </w:r>
      <w:r w:rsidR="000C767D">
        <w:rPr>
          <w:lang w:val="en-US"/>
        </w:rPr>
        <w:t xml:space="preserve">in line with </w:t>
      </w:r>
      <w:r w:rsidR="54987ACB" w:rsidRPr="6420B792">
        <w:rPr>
          <w:lang w:val="en-US"/>
        </w:rPr>
        <w:t xml:space="preserve">the </w:t>
      </w:r>
      <w:r w:rsidR="000C767D">
        <w:rPr>
          <w:lang w:val="en-US"/>
        </w:rPr>
        <w:t>new</w:t>
      </w:r>
      <w:r w:rsidR="54987ACB" w:rsidRPr="6420B792">
        <w:rPr>
          <w:lang w:val="en-US"/>
        </w:rPr>
        <w:t xml:space="preserve"> definition. This report </w:t>
      </w:r>
      <w:r w:rsidR="00005EED">
        <w:rPr>
          <w:lang w:val="en-US"/>
        </w:rPr>
        <w:t xml:space="preserve">aligns with </w:t>
      </w:r>
      <w:r w:rsidR="54987ACB" w:rsidRPr="6420B792">
        <w:rPr>
          <w:lang w:val="en-US"/>
        </w:rPr>
        <w:t xml:space="preserve">the </w:t>
      </w:r>
      <w:r w:rsidR="54987ACB" w:rsidRPr="6420B792">
        <w:rPr>
          <w:rFonts w:ascii="Aptos" w:eastAsia="Aptos" w:hAnsi="Aptos" w:cs="Aptos"/>
        </w:rPr>
        <w:t xml:space="preserve">2023 </w:t>
      </w:r>
      <w:hyperlink r:id="rId37">
        <w:r w:rsidR="54987ACB" w:rsidRPr="6420B792">
          <w:rPr>
            <w:rStyle w:val="Hyperlink"/>
          </w:rPr>
          <w:t>Annual Compliance Report Guidelines</w:t>
        </w:r>
      </w:hyperlink>
      <w:r w:rsidR="54987ACB" w:rsidRPr="6420B792">
        <w:rPr>
          <w:rStyle w:val="Hyperlink"/>
        </w:rPr>
        <w:t>.</w:t>
      </w:r>
    </w:p>
    <w:p w14:paraId="5617F0F4" w14:textId="77777777" w:rsidR="00A85CF1" w:rsidRDefault="00A85CF1" w:rsidP="000244B5">
      <w:pPr>
        <w:pStyle w:val="Heading2"/>
        <w:ind w:left="851" w:hanging="851"/>
      </w:pPr>
      <w:bookmarkStart w:id="69" w:name="_Toc177402501"/>
      <w:bookmarkStart w:id="70" w:name="_Toc177402549"/>
      <w:bookmarkStart w:id="71" w:name="_Toc178321851"/>
      <w:bookmarkStart w:id="72" w:name="_Toc180504216"/>
      <w:bookmarkEnd w:id="69"/>
      <w:bookmarkEnd w:id="70"/>
      <w:r>
        <w:t>Approval conditions</w:t>
      </w:r>
      <w:bookmarkEnd w:id="71"/>
      <w:bookmarkEnd w:id="72"/>
      <w:r>
        <w:t xml:space="preserve"> </w:t>
      </w:r>
    </w:p>
    <w:p w14:paraId="6F83B3F4" w14:textId="13401EA2" w:rsidR="00A85CF1" w:rsidRPr="00F1742B" w:rsidRDefault="00A85CF1" w:rsidP="00A85CF1">
      <w:pPr>
        <w:rPr>
          <w:lang w:val="en-US"/>
        </w:rPr>
      </w:pPr>
      <w:r>
        <w:rPr>
          <w:lang w:val="en-US"/>
        </w:rPr>
        <w:t xml:space="preserve">DISR </w:t>
      </w:r>
      <w:r w:rsidR="53F30EC3" w:rsidRPr="7ED82684">
        <w:rPr>
          <w:lang w:val="en-US"/>
        </w:rPr>
        <w:t>has complied</w:t>
      </w:r>
      <w:r w:rsidRPr="2977B591">
        <w:rPr>
          <w:lang w:val="en-US"/>
        </w:rPr>
        <w:t xml:space="preserve"> with</w:t>
      </w:r>
      <w:r w:rsidRPr="3658E603">
        <w:rPr>
          <w:lang w:val="en-US"/>
        </w:rPr>
        <w:t xml:space="preserve"> </w:t>
      </w:r>
      <w:r w:rsidRPr="0DB18AB1">
        <w:rPr>
          <w:lang w:val="en-US"/>
        </w:rPr>
        <w:t xml:space="preserve">the </w:t>
      </w:r>
      <w:r>
        <w:rPr>
          <w:lang w:val="en-US"/>
        </w:rPr>
        <w:t xml:space="preserve">conditions of approval </w:t>
      </w:r>
      <w:r w:rsidR="569DA8A1" w:rsidRPr="7ED82684">
        <w:rPr>
          <w:lang w:val="en-US"/>
        </w:rPr>
        <w:t>throughout the reporting period</w:t>
      </w:r>
      <w:r w:rsidRPr="7ED82684">
        <w:rPr>
          <w:lang w:val="en-US"/>
        </w:rPr>
        <w:t>.</w:t>
      </w:r>
      <w:r>
        <w:rPr>
          <w:lang w:val="en-US"/>
        </w:rPr>
        <w:t xml:space="preserve"> </w:t>
      </w:r>
      <w:r w:rsidRPr="064C57E7">
        <w:rPr>
          <w:lang w:val="en-US"/>
        </w:rPr>
        <w:t xml:space="preserve">The </w:t>
      </w:r>
      <w:r w:rsidR="003A5D91">
        <w:rPr>
          <w:lang w:val="en-US"/>
        </w:rPr>
        <w:t xml:space="preserve">following </w:t>
      </w:r>
      <w:r w:rsidR="002D01D6">
        <w:rPr>
          <w:lang w:val="en-US"/>
        </w:rPr>
        <w:t>provides further information to</w:t>
      </w:r>
      <w:r>
        <w:rPr>
          <w:lang w:val="en-US"/>
        </w:rPr>
        <w:t xml:space="preserve"> the compliance table at </w:t>
      </w:r>
      <w:hyperlink w:anchor="_Attachment_C_-" w:history="1">
        <w:r w:rsidRPr="003A5D91">
          <w:rPr>
            <w:rStyle w:val="Hyperlink"/>
            <w:lang w:val="en-US"/>
          </w:rPr>
          <w:t>Attachment C</w:t>
        </w:r>
      </w:hyperlink>
      <w:r>
        <w:rPr>
          <w:lang w:val="en-US"/>
        </w:rPr>
        <w:t xml:space="preserve">, which </w:t>
      </w:r>
      <w:r w:rsidR="003A5D91">
        <w:rPr>
          <w:lang w:val="en-US"/>
        </w:rPr>
        <w:t xml:space="preserve">outlines </w:t>
      </w:r>
      <w:r>
        <w:rPr>
          <w:lang w:val="en-US"/>
        </w:rPr>
        <w:t>DISR’s compliance with each condition.</w:t>
      </w:r>
    </w:p>
    <w:p w14:paraId="2A9B8663" w14:textId="77777777" w:rsidR="00A85CF1" w:rsidRDefault="00A85CF1" w:rsidP="000244B5">
      <w:pPr>
        <w:pStyle w:val="Heading3"/>
        <w:ind w:left="851" w:hanging="851"/>
      </w:pPr>
      <w:bookmarkStart w:id="73" w:name="_Toc178321852"/>
      <w:bookmarkStart w:id="74" w:name="_Toc180504217"/>
      <w:r>
        <w:t>Part A – Conditions specific to the action</w:t>
      </w:r>
      <w:bookmarkEnd w:id="73"/>
      <w:bookmarkEnd w:id="74"/>
    </w:p>
    <w:p w14:paraId="2B7F496D" w14:textId="77777777" w:rsidR="00A85CF1" w:rsidRDefault="00A85CF1" w:rsidP="000244B5">
      <w:pPr>
        <w:pStyle w:val="Heading4"/>
        <w:ind w:left="851" w:hanging="851"/>
      </w:pPr>
      <w:bookmarkStart w:id="75" w:name="_Toc920760338"/>
      <w:bookmarkStart w:id="76" w:name="_Toc178321853"/>
      <w:bookmarkStart w:id="77" w:name="_Toc180504218"/>
      <w:r>
        <w:t>Management plans – condition 1</w:t>
      </w:r>
      <w:bookmarkEnd w:id="75"/>
      <w:bookmarkEnd w:id="76"/>
      <w:bookmarkEnd w:id="77"/>
    </w:p>
    <w:p w14:paraId="5CF7C75B" w14:textId="740A86F5" w:rsidR="00A85CF1" w:rsidRPr="00B74503" w:rsidRDefault="00BF4E38" w:rsidP="0032330A">
      <w:r>
        <w:t>DISR</w:t>
      </w:r>
      <w:r w:rsidR="00FA2868">
        <w:t>, thro</w:t>
      </w:r>
      <w:r w:rsidR="00942E2C">
        <w:t xml:space="preserve">ugh its lead contractor Petrofac, </w:t>
      </w:r>
      <w:r w:rsidR="000A353B">
        <w:t>applied t</w:t>
      </w:r>
      <w:r w:rsidR="00962E44">
        <w:t>he</w:t>
      </w:r>
      <w:r w:rsidR="00164D42">
        <w:t xml:space="preserve"> following</w:t>
      </w:r>
      <w:r w:rsidR="00962E44">
        <w:t xml:space="preserve"> management plans throughout the reporting period</w:t>
      </w:r>
      <w:r w:rsidR="000A353B">
        <w:t xml:space="preserve">, complying </w:t>
      </w:r>
      <w:r w:rsidR="00360CCA">
        <w:t xml:space="preserve">with </w:t>
      </w:r>
      <w:r w:rsidR="00FA3A48">
        <w:t>condition 1</w:t>
      </w:r>
      <w:r w:rsidR="00962E44">
        <w:t>.</w:t>
      </w:r>
    </w:p>
    <w:p w14:paraId="28A7C979" w14:textId="77777777" w:rsidR="00A85CF1" w:rsidRPr="00A849E1" w:rsidRDefault="00A85CF1" w:rsidP="00D03442">
      <w:pPr>
        <w:pStyle w:val="Heading5"/>
        <w:ind w:left="851" w:hanging="851"/>
      </w:pPr>
      <w:bookmarkStart w:id="78" w:name="_Toc178321854"/>
      <w:bookmarkStart w:id="79" w:name="_Toc612433877"/>
      <w:r w:rsidRPr="00B74503">
        <w:lastRenderedPageBreak/>
        <w:t>Environment Risk Management Plan</w:t>
      </w:r>
      <w:bookmarkEnd w:id="78"/>
      <w:r w:rsidRPr="00B74503">
        <w:t xml:space="preserve"> </w:t>
      </w:r>
      <w:bookmarkEnd w:id="79"/>
    </w:p>
    <w:p w14:paraId="3548408F" w14:textId="52E862E2" w:rsidR="000D6903" w:rsidRDefault="00A85CF1" w:rsidP="00A85CF1">
      <w:r>
        <w:t>The</w:t>
      </w:r>
      <w:r w:rsidR="006C64C9">
        <w:t xml:space="preserve"> </w:t>
      </w:r>
      <w:r>
        <w:t xml:space="preserve">Environment Risk Management Plan (ERMP) </w:t>
      </w:r>
      <w:r w:rsidR="00001E83" w:rsidRPr="00403296">
        <w:t xml:space="preserve">describes the management controls and processes </w:t>
      </w:r>
      <w:r w:rsidR="001C41DF" w:rsidRPr="00403296">
        <w:t>that DISR</w:t>
      </w:r>
      <w:r w:rsidR="00541CBB">
        <w:t xml:space="preserve">’s </w:t>
      </w:r>
      <w:r w:rsidR="0091613F">
        <w:t>lead contractor Petrofac</w:t>
      </w:r>
      <w:r w:rsidR="001C41DF" w:rsidRPr="00403296">
        <w:t xml:space="preserve"> </w:t>
      </w:r>
      <w:r w:rsidR="00001E83" w:rsidRPr="00403296">
        <w:t>follow</w:t>
      </w:r>
      <w:r w:rsidR="009E1878">
        <w:t>s</w:t>
      </w:r>
      <w:r w:rsidR="00001E83" w:rsidRPr="00403296">
        <w:t xml:space="preserve"> to reduce environmental impacts and risks.</w:t>
      </w:r>
      <w:r w:rsidR="000D6903" w:rsidRPr="00403296">
        <w:t xml:space="preserve"> </w:t>
      </w:r>
      <w:r w:rsidR="00505D45">
        <w:t xml:space="preserve">Applying </w:t>
      </w:r>
      <w:r w:rsidR="00B5784C" w:rsidRPr="3F26C507">
        <w:rPr>
          <w:rFonts w:ascii="Aptos" w:eastAsia="Aptos" w:hAnsi="Aptos" w:cs="Aptos"/>
        </w:rPr>
        <w:t>the management controls and processes in the ERMP</w:t>
      </w:r>
      <w:r w:rsidDel="00B5784C">
        <w:t xml:space="preserve"> </w:t>
      </w:r>
      <w:r>
        <w:t>ensure</w:t>
      </w:r>
      <w:r w:rsidR="00B5784C">
        <w:t>s that</w:t>
      </w:r>
      <w:r w:rsidR="00C92BB1">
        <w:t xml:space="preserve"> risks are </w:t>
      </w:r>
      <w:r w:rsidR="00505D45">
        <w:t xml:space="preserve">properly </w:t>
      </w:r>
      <w:r w:rsidR="00C92BB1">
        <w:t>managed.</w:t>
      </w:r>
    </w:p>
    <w:p w14:paraId="68D42591" w14:textId="56D29EE8" w:rsidR="00A85CF1" w:rsidRPr="004B54C7" w:rsidRDefault="00A85CF1" w:rsidP="00FD5C57">
      <w:pPr>
        <w:pStyle w:val="Heading5"/>
        <w:ind w:left="851" w:hanging="851"/>
      </w:pPr>
      <w:bookmarkStart w:id="80" w:name="_Toc178321855"/>
      <w:bookmarkStart w:id="81" w:name="_Toc1266198395"/>
      <w:r w:rsidRPr="004B54C7">
        <w:t>Waste Management Plan</w:t>
      </w:r>
      <w:bookmarkEnd w:id="80"/>
      <w:r w:rsidRPr="004B54C7">
        <w:t xml:space="preserve"> </w:t>
      </w:r>
      <w:bookmarkEnd w:id="81"/>
    </w:p>
    <w:p w14:paraId="2DB219BF" w14:textId="382657F0" w:rsidR="00A85CF1" w:rsidRDefault="00A85CF1" w:rsidP="00A85CF1">
      <w:pPr>
        <w:spacing w:before="0" w:after="160" w:line="257" w:lineRule="auto"/>
        <w:rPr>
          <w:rFonts w:eastAsiaTheme="minorEastAsia"/>
        </w:rPr>
      </w:pPr>
      <w:r w:rsidRPr="1CD08611">
        <w:rPr>
          <w:rFonts w:eastAsiaTheme="minorEastAsia"/>
        </w:rPr>
        <w:t xml:space="preserve">The Waste Management Plan (WMP) outlines procedures </w:t>
      </w:r>
      <w:r w:rsidR="00907BEE">
        <w:rPr>
          <w:rFonts w:eastAsiaTheme="minorEastAsia"/>
        </w:rPr>
        <w:t>followed b</w:t>
      </w:r>
      <w:r w:rsidR="006C02E6">
        <w:rPr>
          <w:rFonts w:eastAsiaTheme="minorEastAsia"/>
        </w:rPr>
        <w:t>y Petrofac</w:t>
      </w:r>
      <w:r w:rsidRPr="1CD08611">
        <w:rPr>
          <w:rFonts w:eastAsiaTheme="minorEastAsia"/>
        </w:rPr>
        <w:t xml:space="preserve"> for manag</w:t>
      </w:r>
      <w:r w:rsidR="00907BEE">
        <w:rPr>
          <w:rFonts w:eastAsiaTheme="minorEastAsia"/>
        </w:rPr>
        <w:t>ing</w:t>
      </w:r>
      <w:r w:rsidRPr="1CD08611">
        <w:rPr>
          <w:rFonts w:eastAsiaTheme="minorEastAsia"/>
        </w:rPr>
        <w:t xml:space="preserve"> wastes from the offshore petroleum activities of the FPSO and its support vessels. This includes </w:t>
      </w:r>
      <w:r w:rsidR="00FA3970">
        <w:rPr>
          <w:rFonts w:eastAsiaTheme="minorEastAsia"/>
        </w:rPr>
        <w:t>the handling</w:t>
      </w:r>
      <w:r w:rsidR="0055008E">
        <w:rPr>
          <w:rFonts w:eastAsiaTheme="minorEastAsia"/>
        </w:rPr>
        <w:t xml:space="preserve">, </w:t>
      </w:r>
      <w:proofErr w:type="gramStart"/>
      <w:r w:rsidR="0055008E">
        <w:rPr>
          <w:rFonts w:eastAsiaTheme="minorEastAsia"/>
        </w:rPr>
        <w:t>storage</w:t>
      </w:r>
      <w:proofErr w:type="gramEnd"/>
      <w:r w:rsidR="0055008E">
        <w:rPr>
          <w:rFonts w:eastAsiaTheme="minorEastAsia"/>
        </w:rPr>
        <w:t xml:space="preserve"> and disposal </w:t>
      </w:r>
      <w:r w:rsidR="00DB7EC8">
        <w:rPr>
          <w:rFonts w:eastAsiaTheme="minorEastAsia"/>
        </w:rPr>
        <w:t xml:space="preserve">of </w:t>
      </w:r>
      <w:r w:rsidR="000138F0">
        <w:rPr>
          <w:rFonts w:eastAsiaTheme="minorEastAsia"/>
        </w:rPr>
        <w:t>general and hazardous waste</w:t>
      </w:r>
      <w:r w:rsidR="00FA3970">
        <w:rPr>
          <w:rFonts w:eastAsiaTheme="minorEastAsia"/>
        </w:rPr>
        <w:t xml:space="preserve"> at licensed facilities</w:t>
      </w:r>
      <w:r w:rsidR="000138F0" w:rsidRPr="1CD08611">
        <w:rPr>
          <w:rFonts w:eastAsiaTheme="minorEastAsia"/>
        </w:rPr>
        <w:t>.</w:t>
      </w:r>
    </w:p>
    <w:p w14:paraId="246D03FF" w14:textId="77777777" w:rsidR="00A85CF1" w:rsidRPr="00EF5AE3" w:rsidRDefault="00A85CF1" w:rsidP="00FD5C57">
      <w:pPr>
        <w:pStyle w:val="Heading5"/>
        <w:ind w:left="851" w:hanging="851"/>
      </w:pPr>
      <w:bookmarkStart w:id="82" w:name="_Toc175847254"/>
      <w:bookmarkStart w:id="83" w:name="_Toc175847469"/>
      <w:bookmarkStart w:id="84" w:name="_Toc1886751643"/>
      <w:bookmarkStart w:id="85" w:name="_Toc178321856"/>
      <w:bookmarkEnd w:id="82"/>
      <w:bookmarkEnd w:id="83"/>
      <w:r w:rsidRPr="00EF5AE3">
        <w:t>FPSO Riser and Mooring Disconnection Methodology</w:t>
      </w:r>
      <w:bookmarkEnd w:id="84"/>
      <w:bookmarkEnd w:id="85"/>
    </w:p>
    <w:p w14:paraId="09C5CC81" w14:textId="320851E1" w:rsidR="00FA48CE" w:rsidRPr="00670F7C" w:rsidRDefault="00A85CF1" w:rsidP="003D1977">
      <w:pPr>
        <w:rPr>
          <w:rFonts w:ascii="Aptos" w:eastAsia="Aptos" w:hAnsi="Aptos" w:cs="Aptos"/>
          <w:szCs w:val="20"/>
        </w:rPr>
      </w:pPr>
      <w:r w:rsidRPr="10C9A466">
        <w:rPr>
          <w:rFonts w:eastAsiaTheme="minorEastAsia"/>
        </w:rPr>
        <w:t xml:space="preserve">The FPSO Riser and Mooring Disconnection Methodology outlines the proposed methodology </w:t>
      </w:r>
      <w:r w:rsidR="002E5523">
        <w:rPr>
          <w:rFonts w:eastAsiaTheme="minorEastAsia"/>
        </w:rPr>
        <w:t xml:space="preserve">by Petrofac </w:t>
      </w:r>
      <w:r w:rsidRPr="10C9A466">
        <w:rPr>
          <w:rFonts w:eastAsiaTheme="minorEastAsia"/>
        </w:rPr>
        <w:t>for disconnecti</w:t>
      </w:r>
      <w:r w:rsidR="002940C4">
        <w:rPr>
          <w:rFonts w:eastAsiaTheme="minorEastAsia"/>
        </w:rPr>
        <w:t xml:space="preserve">ng </w:t>
      </w:r>
      <w:r w:rsidRPr="10C9A466">
        <w:rPr>
          <w:rFonts w:eastAsiaTheme="minorEastAsia"/>
        </w:rPr>
        <w:t>the Northern Endeavour risers and moorings.</w:t>
      </w:r>
    </w:p>
    <w:p w14:paraId="5F061117" w14:textId="77777777" w:rsidR="00A85CF1" w:rsidRPr="00000DD4" w:rsidRDefault="00A85CF1" w:rsidP="00FD5C57">
      <w:pPr>
        <w:pStyle w:val="Heading5"/>
        <w:ind w:left="851" w:hanging="851"/>
      </w:pPr>
      <w:bookmarkStart w:id="86" w:name="_Toc178321857"/>
      <w:bookmarkStart w:id="87" w:name="_Toc2138430957"/>
      <w:r w:rsidRPr="00000DD4">
        <w:t>Chemical Management Procedure</w:t>
      </w:r>
      <w:bookmarkEnd w:id="86"/>
      <w:r w:rsidRPr="00000DD4">
        <w:t xml:space="preserve"> </w:t>
      </w:r>
      <w:bookmarkEnd w:id="87"/>
    </w:p>
    <w:p w14:paraId="7885F9DA" w14:textId="458B772A" w:rsidR="00A85CF1" w:rsidRPr="00000DD4" w:rsidRDefault="003B5A4E" w:rsidP="002940C4">
      <w:pPr>
        <w:rPr>
          <w:sz w:val="18"/>
          <w:szCs w:val="18"/>
        </w:rPr>
      </w:pPr>
      <w:r>
        <w:rPr>
          <w:rFonts w:eastAsiaTheme="minorEastAsia"/>
          <w:szCs w:val="20"/>
        </w:rPr>
        <w:t xml:space="preserve">Petrofac’s </w:t>
      </w:r>
      <w:r w:rsidR="00A85CF1" w:rsidRPr="00000DD4">
        <w:rPr>
          <w:rFonts w:eastAsiaTheme="minorEastAsia"/>
          <w:szCs w:val="20"/>
        </w:rPr>
        <w:t xml:space="preserve">Chemical Management Procedure details the </w:t>
      </w:r>
      <w:r w:rsidR="00C27524">
        <w:rPr>
          <w:rFonts w:eastAsiaTheme="minorEastAsia"/>
          <w:szCs w:val="20"/>
        </w:rPr>
        <w:t xml:space="preserve">management processes </w:t>
      </w:r>
      <w:r w:rsidR="00380C22">
        <w:rPr>
          <w:rFonts w:eastAsiaTheme="minorEastAsia"/>
          <w:szCs w:val="20"/>
        </w:rPr>
        <w:t>for</w:t>
      </w:r>
      <w:r w:rsidR="00A85CF1" w:rsidRPr="00000DD4">
        <w:rPr>
          <w:rFonts w:eastAsiaTheme="minorEastAsia"/>
          <w:szCs w:val="20"/>
        </w:rPr>
        <w:t xml:space="preserve"> all</w:t>
      </w:r>
      <w:r w:rsidR="00A85CF1" w:rsidRPr="00E021CC">
        <w:rPr>
          <w:rFonts w:eastAsiaTheme="minorEastAsia"/>
          <w:szCs w:val="20"/>
        </w:rPr>
        <w:t xml:space="preserve"> </w:t>
      </w:r>
      <w:r w:rsidR="00A85CF1" w:rsidRPr="00000DD4">
        <w:rPr>
          <w:rFonts w:eastAsiaTheme="minorEastAsia"/>
          <w:szCs w:val="20"/>
        </w:rPr>
        <w:t xml:space="preserve">chemical products </w:t>
      </w:r>
      <w:r w:rsidR="00A513D0">
        <w:t xml:space="preserve">used </w:t>
      </w:r>
      <w:r w:rsidR="00A90259">
        <w:t>for</w:t>
      </w:r>
      <w:r w:rsidR="00A513D0">
        <w:t xml:space="preserve"> regular maintenance and decommissioning of the Northern Endeavour. It includes how products will be selected, </w:t>
      </w:r>
      <w:proofErr w:type="gramStart"/>
      <w:r w:rsidR="00A513D0">
        <w:t>used</w:t>
      </w:r>
      <w:proofErr w:type="gramEnd"/>
      <w:r w:rsidR="00A513D0">
        <w:t xml:space="preserve"> and managed</w:t>
      </w:r>
      <w:r w:rsidR="00A85CF1" w:rsidRPr="00000DD4">
        <w:t>.</w:t>
      </w:r>
    </w:p>
    <w:p w14:paraId="46CF0E7D" w14:textId="77777777" w:rsidR="00A85CF1" w:rsidRPr="00000DD4" w:rsidRDefault="00A85CF1" w:rsidP="00FD5C57">
      <w:pPr>
        <w:pStyle w:val="Heading5"/>
        <w:ind w:left="851" w:hanging="851"/>
      </w:pPr>
      <w:bookmarkStart w:id="88" w:name="_Toc562809726"/>
      <w:bookmarkStart w:id="89" w:name="_Toc178321858"/>
      <w:r w:rsidRPr="00000DD4">
        <w:t>Oil Pollution Emergency Plan</w:t>
      </w:r>
      <w:bookmarkEnd w:id="88"/>
      <w:bookmarkEnd w:id="89"/>
    </w:p>
    <w:p w14:paraId="0FBD6F18" w14:textId="0439E75A" w:rsidR="00A85CF1" w:rsidRPr="00000DD4" w:rsidRDefault="00A85CF1" w:rsidP="00342B9A">
      <w:pPr>
        <w:spacing w:before="0" w:after="160" w:line="257" w:lineRule="auto"/>
        <w:rPr>
          <w:rFonts w:eastAsiaTheme="minorEastAsia"/>
        </w:rPr>
      </w:pPr>
      <w:r w:rsidRPr="00000DD4">
        <w:rPr>
          <w:rFonts w:eastAsiaTheme="minorEastAsia"/>
          <w:szCs w:val="20"/>
        </w:rPr>
        <w:t xml:space="preserve">The Oil Pollution Emergency Plan (OPEP) supports the decommissioning of the Northern Endeavour in the unlikely event of an oil pollution emergency. </w:t>
      </w:r>
      <w:r w:rsidRPr="008A2AE3">
        <w:rPr>
          <w:rFonts w:eastAsiaTheme="minorEastAsia"/>
          <w:szCs w:val="20"/>
        </w:rPr>
        <w:t>The OPEP outlines</w:t>
      </w:r>
      <w:r w:rsidR="001E002B">
        <w:rPr>
          <w:rFonts w:eastAsiaTheme="minorEastAsia"/>
          <w:szCs w:val="20"/>
        </w:rPr>
        <w:t xml:space="preserve"> both DISR and Petrofac’s</w:t>
      </w:r>
      <w:r w:rsidRPr="008A2AE3">
        <w:rPr>
          <w:rFonts w:eastAsiaTheme="minorEastAsia"/>
          <w:szCs w:val="20"/>
        </w:rPr>
        <w:t xml:space="preserve"> </w:t>
      </w:r>
      <w:r w:rsidR="00EF3936" w:rsidRPr="008A2AE3">
        <w:rPr>
          <w:rFonts w:eastAsiaTheme="minorEastAsia"/>
          <w:szCs w:val="20"/>
        </w:rPr>
        <w:t>readiness</w:t>
      </w:r>
      <w:r w:rsidRPr="008A2AE3">
        <w:rPr>
          <w:rFonts w:eastAsiaTheme="minorEastAsia"/>
          <w:szCs w:val="20"/>
        </w:rPr>
        <w:t xml:space="preserve"> and response arrangements for worst-case spill scenarios.</w:t>
      </w:r>
    </w:p>
    <w:p w14:paraId="715BAD21" w14:textId="77777777" w:rsidR="00A85CF1" w:rsidRPr="00000DD4" w:rsidRDefault="00A85CF1" w:rsidP="00697BC8">
      <w:pPr>
        <w:pStyle w:val="Heading5"/>
        <w:ind w:left="851" w:hanging="851"/>
      </w:pPr>
      <w:bookmarkStart w:id="90" w:name="_Toc1101905959"/>
      <w:bookmarkStart w:id="91" w:name="_Toc178321859"/>
      <w:r w:rsidRPr="00000DD4">
        <w:t>Three decommissioning project emergency response plans</w:t>
      </w:r>
      <w:bookmarkEnd w:id="90"/>
      <w:bookmarkEnd w:id="91"/>
    </w:p>
    <w:p w14:paraId="4DDC2BDC" w14:textId="3C6D2D87" w:rsidR="766D43CD" w:rsidRDefault="00A85CF1" w:rsidP="00342B9A">
      <w:pPr>
        <w:spacing w:before="0" w:after="160" w:line="257" w:lineRule="auto"/>
        <w:rPr>
          <w:rFonts w:eastAsiaTheme="minorEastAsia"/>
        </w:rPr>
      </w:pPr>
      <w:r w:rsidRPr="50C60643">
        <w:rPr>
          <w:rFonts w:eastAsiaTheme="minorEastAsia"/>
        </w:rPr>
        <w:t xml:space="preserve">These </w:t>
      </w:r>
      <w:r w:rsidR="009D6C8C">
        <w:rPr>
          <w:rFonts w:eastAsiaTheme="minorEastAsia"/>
        </w:rPr>
        <w:t>3</w:t>
      </w:r>
      <w:r w:rsidRPr="50C60643">
        <w:rPr>
          <w:rFonts w:eastAsiaTheme="minorEastAsia"/>
        </w:rPr>
        <w:t xml:space="preserve"> decommissioning project emergency response plans </w:t>
      </w:r>
      <w:r w:rsidR="000138F0" w:rsidRPr="50C60643">
        <w:rPr>
          <w:rFonts w:eastAsiaTheme="minorEastAsia"/>
        </w:rPr>
        <w:t xml:space="preserve">are only activated </w:t>
      </w:r>
      <w:r w:rsidR="00091DA7">
        <w:rPr>
          <w:rFonts w:eastAsiaTheme="minorEastAsia"/>
        </w:rPr>
        <w:t>by Petrofac and DISR</w:t>
      </w:r>
      <w:r w:rsidR="000138F0" w:rsidRPr="50C60643">
        <w:rPr>
          <w:rFonts w:eastAsiaTheme="minorEastAsia"/>
        </w:rPr>
        <w:t xml:space="preserve"> in an incident or emergency.</w:t>
      </w:r>
    </w:p>
    <w:p w14:paraId="5AC364CB" w14:textId="77777777" w:rsidR="00A85CF1" w:rsidRPr="00000DD4" w:rsidRDefault="00A85CF1" w:rsidP="00697BC8">
      <w:pPr>
        <w:pStyle w:val="Heading6"/>
        <w:ind w:hanging="877"/>
      </w:pPr>
      <w:bookmarkStart w:id="92" w:name="_Toc826046496"/>
      <w:r w:rsidRPr="00000DD4">
        <w:t>Emergency Response and Communications Plan</w:t>
      </w:r>
      <w:bookmarkEnd w:id="92"/>
    </w:p>
    <w:p w14:paraId="14FEAD4B" w14:textId="0DA77CB6" w:rsidR="00A85CF1" w:rsidRDefault="00A85CF1" w:rsidP="00A85CF1">
      <w:pPr>
        <w:rPr>
          <w:color w:val="000000" w:themeColor="text1"/>
        </w:rPr>
      </w:pPr>
      <w:r w:rsidRPr="00221F10">
        <w:rPr>
          <w:color w:val="000000" w:themeColor="text1"/>
        </w:rPr>
        <w:t xml:space="preserve">The Emergency Response and Communications Plan (ERCP) </w:t>
      </w:r>
      <w:r w:rsidR="0089356C">
        <w:rPr>
          <w:color w:val="000000" w:themeColor="text1"/>
        </w:rPr>
        <w:t>gives</w:t>
      </w:r>
      <w:r w:rsidRPr="00221F10">
        <w:rPr>
          <w:color w:val="000000" w:themeColor="text1"/>
        </w:rPr>
        <w:t xml:space="preserve"> </w:t>
      </w:r>
      <w:r w:rsidR="00023338">
        <w:rPr>
          <w:color w:val="000000" w:themeColor="text1"/>
        </w:rPr>
        <w:t>Petrofac’s IMT</w:t>
      </w:r>
      <w:r w:rsidRPr="00221F10">
        <w:rPr>
          <w:color w:val="000000" w:themeColor="text1"/>
        </w:rPr>
        <w:t xml:space="preserve"> and </w:t>
      </w:r>
      <w:r w:rsidR="00023338">
        <w:rPr>
          <w:color w:val="000000" w:themeColor="text1"/>
        </w:rPr>
        <w:t xml:space="preserve">DISR’s </w:t>
      </w:r>
      <w:r w:rsidRPr="3D53BD0B">
        <w:rPr>
          <w:color w:val="000000" w:themeColor="text1"/>
        </w:rPr>
        <w:t>CMT</w:t>
      </w:r>
      <w:r w:rsidRPr="00221F10">
        <w:rPr>
          <w:color w:val="000000" w:themeColor="text1"/>
        </w:rPr>
        <w:t xml:space="preserve"> with </w:t>
      </w:r>
      <w:r w:rsidR="00E026A1">
        <w:rPr>
          <w:color w:val="000000" w:themeColor="text1"/>
        </w:rPr>
        <w:t xml:space="preserve">all the </w:t>
      </w:r>
      <w:r w:rsidRPr="00221F10">
        <w:rPr>
          <w:color w:val="000000" w:themeColor="text1"/>
        </w:rPr>
        <w:t>information for managing incidents or business interruptions.</w:t>
      </w:r>
    </w:p>
    <w:p w14:paraId="094ADF28" w14:textId="77777777" w:rsidR="00A85CF1" w:rsidRPr="00000DD4" w:rsidRDefault="00A85CF1" w:rsidP="00697BC8">
      <w:pPr>
        <w:pStyle w:val="Heading6"/>
        <w:ind w:hanging="877"/>
      </w:pPr>
      <w:bookmarkStart w:id="93" w:name="_Toc1729209022"/>
      <w:r w:rsidRPr="00000DD4">
        <w:t>Emergency Response Plan</w:t>
      </w:r>
      <w:bookmarkEnd w:id="93"/>
    </w:p>
    <w:p w14:paraId="292BD0DC" w14:textId="5ED5E523" w:rsidR="00A85CF1" w:rsidRPr="00000DD4" w:rsidRDefault="00A85CF1" w:rsidP="00A85CF1">
      <w:pPr>
        <w:spacing w:before="0" w:after="160" w:line="257" w:lineRule="auto"/>
        <w:rPr>
          <w:rFonts w:eastAsiaTheme="minorEastAsia"/>
          <w:sz w:val="18"/>
          <w:szCs w:val="18"/>
        </w:rPr>
      </w:pPr>
      <w:r w:rsidRPr="6F07CE9B">
        <w:rPr>
          <w:rFonts w:eastAsiaTheme="minorEastAsia"/>
        </w:rPr>
        <w:t xml:space="preserve">The Emergency Response Plan (ERP) </w:t>
      </w:r>
      <w:r w:rsidR="0041792B">
        <w:rPr>
          <w:rFonts w:eastAsiaTheme="minorEastAsia"/>
        </w:rPr>
        <w:t xml:space="preserve">details </w:t>
      </w:r>
      <w:r w:rsidRPr="6F07CE9B">
        <w:rPr>
          <w:rFonts w:eastAsiaTheme="minorEastAsia"/>
        </w:rPr>
        <w:t xml:space="preserve">facility specific procedures for managing and responding to emergencies on the Northern Endeavour FPSO. The ERP outlines </w:t>
      </w:r>
      <w:r w:rsidR="00301604">
        <w:rPr>
          <w:rFonts w:eastAsiaTheme="minorEastAsia"/>
        </w:rPr>
        <w:t xml:space="preserve">the </w:t>
      </w:r>
      <w:r w:rsidRPr="6F07CE9B">
        <w:rPr>
          <w:rFonts w:eastAsiaTheme="minorEastAsia"/>
        </w:rPr>
        <w:t>responsibilit</w:t>
      </w:r>
      <w:r w:rsidR="00301604">
        <w:rPr>
          <w:rFonts w:eastAsiaTheme="minorEastAsia"/>
        </w:rPr>
        <w:t>ies</w:t>
      </w:r>
      <w:r w:rsidRPr="6F07CE9B">
        <w:rPr>
          <w:rFonts w:eastAsiaTheme="minorEastAsia"/>
        </w:rPr>
        <w:t xml:space="preserve"> and lines of communication </w:t>
      </w:r>
      <w:r w:rsidR="0087456F">
        <w:rPr>
          <w:rFonts w:eastAsiaTheme="minorEastAsia"/>
        </w:rPr>
        <w:t>during</w:t>
      </w:r>
      <w:r w:rsidRPr="6F07CE9B">
        <w:rPr>
          <w:rFonts w:eastAsiaTheme="minorEastAsia"/>
        </w:rPr>
        <w:t xml:space="preserve"> an incident on, or in the immediate vicinity, of the FPSO</w:t>
      </w:r>
      <w:r w:rsidR="002C5084">
        <w:rPr>
          <w:rFonts w:eastAsiaTheme="minorEastAsia"/>
        </w:rPr>
        <w:t>. This</w:t>
      </w:r>
      <w:r w:rsidRPr="6F07CE9B">
        <w:rPr>
          <w:rFonts w:eastAsiaTheme="minorEastAsia"/>
        </w:rPr>
        <w:t xml:space="preserve"> includ</w:t>
      </w:r>
      <w:r w:rsidR="002C5084">
        <w:rPr>
          <w:rFonts w:eastAsiaTheme="minorEastAsia"/>
        </w:rPr>
        <w:t>es</w:t>
      </w:r>
      <w:r w:rsidRPr="6F07CE9B">
        <w:rPr>
          <w:rFonts w:eastAsiaTheme="minorEastAsia"/>
        </w:rPr>
        <w:t xml:space="preserve"> managing the immediate response and operations of the Northern Endeavour Incident Response Team and all personnel onboard, in responding to any incident or emergency o</w:t>
      </w:r>
      <w:r w:rsidR="00301604">
        <w:rPr>
          <w:rFonts w:eastAsiaTheme="minorEastAsia"/>
        </w:rPr>
        <w:t>n</w:t>
      </w:r>
      <w:r w:rsidRPr="6F07CE9B">
        <w:rPr>
          <w:rFonts w:eastAsiaTheme="minorEastAsia"/>
        </w:rPr>
        <w:t xml:space="preserve"> the FPSO.</w:t>
      </w:r>
    </w:p>
    <w:p w14:paraId="10F84E35" w14:textId="77777777" w:rsidR="00A85CF1" w:rsidRPr="00000DD4" w:rsidRDefault="00A85CF1" w:rsidP="00ED7342">
      <w:pPr>
        <w:pStyle w:val="Heading6"/>
        <w:ind w:left="851" w:hanging="877"/>
      </w:pPr>
      <w:bookmarkStart w:id="94" w:name="_Toc1156273066"/>
      <w:r w:rsidRPr="00000DD4">
        <w:t>Source Control Emergency Response Plan</w:t>
      </w:r>
      <w:bookmarkEnd w:id="94"/>
    </w:p>
    <w:p w14:paraId="55AA1BF9" w14:textId="3BABBADB" w:rsidR="00A85CF1" w:rsidRPr="00EE2634" w:rsidRDefault="00A85CF1" w:rsidP="00342B9A">
      <w:pPr>
        <w:spacing w:before="0" w:after="160" w:line="257" w:lineRule="auto"/>
        <w:rPr>
          <w:sz w:val="18"/>
          <w:szCs w:val="18"/>
        </w:rPr>
      </w:pPr>
      <w:r w:rsidRPr="00000DD4">
        <w:rPr>
          <w:rFonts w:eastAsiaTheme="minorEastAsia"/>
          <w:szCs w:val="20"/>
        </w:rPr>
        <w:t>The Source Control Emergency Response Plan (SCERP) ensures safe</w:t>
      </w:r>
      <w:r>
        <w:rPr>
          <w:rFonts w:eastAsiaTheme="minorEastAsia"/>
          <w:szCs w:val="20"/>
        </w:rPr>
        <w:t xml:space="preserve"> and</w:t>
      </w:r>
      <w:r w:rsidRPr="00000DD4">
        <w:rPr>
          <w:rFonts w:eastAsiaTheme="minorEastAsia"/>
          <w:szCs w:val="20"/>
        </w:rPr>
        <w:t xml:space="preserve"> efficient re-establishment of well control after </w:t>
      </w:r>
      <w:r>
        <w:rPr>
          <w:rFonts w:eastAsiaTheme="minorEastAsia"/>
          <w:szCs w:val="20"/>
        </w:rPr>
        <w:t>a</w:t>
      </w:r>
      <w:r w:rsidRPr="00000DD4">
        <w:rPr>
          <w:rFonts w:eastAsiaTheme="minorEastAsia"/>
          <w:szCs w:val="20"/>
        </w:rPr>
        <w:t xml:space="preserve"> loss of containment event. </w:t>
      </w:r>
      <w:r>
        <w:rPr>
          <w:rFonts w:eastAsiaTheme="minorEastAsia"/>
          <w:szCs w:val="20"/>
        </w:rPr>
        <w:t>The focus is to m</w:t>
      </w:r>
      <w:r w:rsidRPr="00EE2634">
        <w:rPr>
          <w:rFonts w:eastAsiaTheme="minorEastAsia"/>
          <w:szCs w:val="20"/>
        </w:rPr>
        <w:t>inimis</w:t>
      </w:r>
      <w:r>
        <w:rPr>
          <w:rFonts w:eastAsiaTheme="minorEastAsia"/>
          <w:szCs w:val="20"/>
        </w:rPr>
        <w:t>e</w:t>
      </w:r>
      <w:r w:rsidRPr="00EE2634">
        <w:rPr>
          <w:rFonts w:eastAsiaTheme="minorEastAsia"/>
          <w:szCs w:val="20"/>
        </w:rPr>
        <w:t xml:space="preserve"> risk to people, </w:t>
      </w:r>
      <w:proofErr w:type="gramStart"/>
      <w:r w:rsidRPr="00EE2634">
        <w:rPr>
          <w:rFonts w:eastAsiaTheme="minorEastAsia"/>
          <w:szCs w:val="20"/>
        </w:rPr>
        <w:t>environment</w:t>
      </w:r>
      <w:proofErr w:type="gramEnd"/>
      <w:r w:rsidRPr="00EE2634">
        <w:rPr>
          <w:rFonts w:eastAsiaTheme="minorEastAsia"/>
          <w:szCs w:val="20"/>
        </w:rPr>
        <w:t xml:space="preserve"> and assets.</w:t>
      </w:r>
    </w:p>
    <w:p w14:paraId="6FD17ED3" w14:textId="77777777" w:rsidR="00A85CF1" w:rsidRPr="00EE2634" w:rsidRDefault="00A85CF1" w:rsidP="00ED7342">
      <w:pPr>
        <w:pStyle w:val="Heading4"/>
        <w:ind w:left="851" w:hanging="851"/>
      </w:pPr>
      <w:bookmarkStart w:id="95" w:name="_Toc777155911"/>
      <w:bookmarkStart w:id="96" w:name="_Toc178321860"/>
      <w:bookmarkStart w:id="97" w:name="_Toc180504219"/>
      <w:r w:rsidRPr="00EE2634">
        <w:lastRenderedPageBreak/>
        <w:t xml:space="preserve">Discharge </w:t>
      </w:r>
      <w:r>
        <w:t>m</w:t>
      </w:r>
      <w:r w:rsidRPr="00EE2634">
        <w:t xml:space="preserve">anagement – conditions 2 </w:t>
      </w:r>
      <w:r>
        <w:t>and</w:t>
      </w:r>
      <w:r w:rsidRPr="00EE2634">
        <w:t xml:space="preserve"> 3</w:t>
      </w:r>
      <w:bookmarkEnd w:id="95"/>
      <w:bookmarkEnd w:id="96"/>
      <w:bookmarkEnd w:id="97"/>
    </w:p>
    <w:p w14:paraId="03286B3A" w14:textId="4B5AE47D" w:rsidR="00A85CF1" w:rsidRPr="00A806B9" w:rsidRDefault="002A5AD1" w:rsidP="00A85CF1">
      <w:r>
        <w:t xml:space="preserve">Petrofac take </w:t>
      </w:r>
      <w:r w:rsidR="00A85CF1">
        <w:t>samples from different depth horizons in the slops tank and submitted</w:t>
      </w:r>
      <w:r>
        <w:t xml:space="preserve"> them</w:t>
      </w:r>
      <w:r w:rsidR="00A85CF1">
        <w:t xml:space="preserve"> to a </w:t>
      </w:r>
      <w:r w:rsidR="00A058D6">
        <w:t>N</w:t>
      </w:r>
      <w:r w:rsidR="00E649CA">
        <w:t>ational</w:t>
      </w:r>
      <w:r w:rsidR="00777FC4">
        <w:t> </w:t>
      </w:r>
      <w:r w:rsidR="00BD2C1C" w:rsidRPr="6EAF0F8C">
        <w:rPr>
          <w:color w:val="000000" w:themeColor="text1"/>
        </w:rPr>
        <w:t>Association of Testing Authorities</w:t>
      </w:r>
      <w:r w:rsidR="00E649CA">
        <w:t xml:space="preserve"> </w:t>
      </w:r>
      <w:r w:rsidR="00BD2C1C">
        <w:t>(</w:t>
      </w:r>
      <w:r w:rsidR="00A85CF1">
        <w:t>NATA</w:t>
      </w:r>
      <w:r w:rsidR="00BD2C1C">
        <w:t>)</w:t>
      </w:r>
      <w:r w:rsidR="00A85CF1">
        <w:t xml:space="preserve"> accredited laboratory</w:t>
      </w:r>
      <w:r>
        <w:t xml:space="preserve">. The laboratories </w:t>
      </w:r>
      <w:r w:rsidR="00A85CF1">
        <w:t>analyse</w:t>
      </w:r>
      <w:r>
        <w:t xml:space="preserve"> the samples </w:t>
      </w:r>
      <w:r w:rsidR="00A85CF1">
        <w:t>for toxicant concentrations and radioactivity</w:t>
      </w:r>
      <w:r>
        <w:t xml:space="preserve"> as outlined in the </w:t>
      </w:r>
      <w:r w:rsidR="507B2030">
        <w:t>conditions</w:t>
      </w:r>
      <w:r w:rsidR="00A85CF1">
        <w:t xml:space="preserve">. The results are reviewed by an independent and suitably qualified marine environmental water quality expert. </w:t>
      </w:r>
      <w:r w:rsidR="00E37BA5">
        <w:t>Petrofac</w:t>
      </w:r>
      <w:r w:rsidR="00011099">
        <w:t> </w:t>
      </w:r>
      <w:r w:rsidR="00E37BA5">
        <w:t>do not d</w:t>
      </w:r>
      <w:r w:rsidR="00A85CF1">
        <w:t xml:space="preserve">ischarge until </w:t>
      </w:r>
      <w:r w:rsidR="00C17DAD">
        <w:t xml:space="preserve">they receive notice </w:t>
      </w:r>
      <w:r w:rsidR="00A85CF1">
        <w:t xml:space="preserve">that the results meet the requirements of this condition. </w:t>
      </w:r>
    </w:p>
    <w:p w14:paraId="40A65382" w14:textId="77777777" w:rsidR="00A85CF1" w:rsidRPr="00A42913" w:rsidRDefault="00A85CF1" w:rsidP="00ED7342">
      <w:pPr>
        <w:pStyle w:val="Heading4"/>
        <w:ind w:left="851" w:hanging="851"/>
      </w:pPr>
      <w:bookmarkStart w:id="98" w:name="_Toc175847262"/>
      <w:bookmarkStart w:id="99" w:name="_Toc175847477"/>
      <w:bookmarkStart w:id="100" w:name="_Toc175847263"/>
      <w:bookmarkStart w:id="101" w:name="_Toc175847478"/>
      <w:bookmarkStart w:id="102" w:name="_Toc682456028"/>
      <w:bookmarkStart w:id="103" w:name="_Toc178321863"/>
      <w:bookmarkStart w:id="104" w:name="_Toc180504220"/>
      <w:bookmarkEnd w:id="98"/>
      <w:bookmarkEnd w:id="99"/>
      <w:bookmarkEnd w:id="100"/>
      <w:bookmarkEnd w:id="101"/>
      <w:r w:rsidRPr="00A42913">
        <w:t>Invasive marine species management – condition 4</w:t>
      </w:r>
      <w:bookmarkEnd w:id="102"/>
      <w:bookmarkEnd w:id="103"/>
      <w:bookmarkEnd w:id="104"/>
    </w:p>
    <w:p w14:paraId="3A482383" w14:textId="40B6539D" w:rsidR="00A85CF1" w:rsidRDefault="003432D5" w:rsidP="00A85CF1">
      <w:bookmarkStart w:id="105" w:name="_Toc175847265"/>
      <w:bookmarkStart w:id="106" w:name="_Toc175847480"/>
      <w:bookmarkStart w:id="107" w:name="_Toc175847266"/>
      <w:bookmarkStart w:id="108" w:name="_Toc175847481"/>
      <w:bookmarkStart w:id="109" w:name="_Toc1093292217"/>
      <w:bookmarkEnd w:id="105"/>
      <w:bookmarkEnd w:id="106"/>
      <w:bookmarkEnd w:id="107"/>
      <w:bookmarkEnd w:id="108"/>
      <w:r>
        <w:t xml:space="preserve">To remove the floating offtake hose from the operational area, </w:t>
      </w:r>
      <w:r w:rsidR="00A85CF1">
        <w:t xml:space="preserve">DISR engaged an independent and suitably qualified marine biosecurity expert to complete a Marine Biosecurity Risk Assessment (MBRA). This will be the first piece of submerged equipment planned </w:t>
      </w:r>
      <w:r>
        <w:t>to be towed</w:t>
      </w:r>
      <w:r w:rsidR="00A85CF1">
        <w:t xml:space="preserve"> from the operational area.</w:t>
      </w:r>
    </w:p>
    <w:p w14:paraId="0EA5E9C1" w14:textId="0D326ACD" w:rsidR="00A85CF1" w:rsidRPr="00A52672" w:rsidRDefault="00A85CF1" w:rsidP="00ED7342">
      <w:pPr>
        <w:pStyle w:val="Heading4"/>
        <w:ind w:left="851" w:hanging="851"/>
      </w:pPr>
      <w:bookmarkStart w:id="110" w:name="_Toc177402517"/>
      <w:bookmarkStart w:id="111" w:name="_Toc177402565"/>
      <w:bookmarkStart w:id="112" w:name="_Toc177402518"/>
      <w:bookmarkStart w:id="113" w:name="_Toc177402566"/>
      <w:bookmarkStart w:id="114" w:name="_Toc175847269"/>
      <w:bookmarkStart w:id="115" w:name="_Toc175847484"/>
      <w:bookmarkStart w:id="116" w:name="_Toc1740868737"/>
      <w:bookmarkStart w:id="117" w:name="_Toc178321869"/>
      <w:bookmarkStart w:id="118" w:name="_Toc180504221"/>
      <w:bookmarkEnd w:id="109"/>
      <w:bookmarkEnd w:id="110"/>
      <w:bookmarkEnd w:id="111"/>
      <w:bookmarkEnd w:id="112"/>
      <w:bookmarkEnd w:id="113"/>
      <w:bookmarkEnd w:id="114"/>
      <w:bookmarkEnd w:id="115"/>
      <w:r w:rsidDel="7777EE5A">
        <w:t>Hazardous waste management</w:t>
      </w:r>
      <w:r w:rsidDel="58A0987E">
        <w:t xml:space="preserve"> – </w:t>
      </w:r>
      <w:r w:rsidDel="00CB13AE">
        <w:t>c</w:t>
      </w:r>
      <w:r w:rsidDel="58A0987E">
        <w:t>onditions 10 - 12</w:t>
      </w:r>
      <w:bookmarkEnd w:id="116"/>
      <w:bookmarkEnd w:id="117"/>
      <w:bookmarkEnd w:id="118"/>
    </w:p>
    <w:p w14:paraId="7D0DD08A" w14:textId="2DB28BD9" w:rsidR="00A85CF1" w:rsidRPr="00A42913" w:rsidRDefault="00A85CF1" w:rsidP="00A85CF1">
      <w:r w:rsidRPr="3C146F34" w:rsidDel="368AC3E9">
        <w:rPr>
          <w:color w:val="000000" w:themeColor="text1"/>
        </w:rPr>
        <w:t>An</w:t>
      </w:r>
      <w:r w:rsidRPr="3C146F34" w:rsidDel="001E2D43">
        <w:rPr>
          <w:color w:val="000000" w:themeColor="text1"/>
        </w:rPr>
        <w:t xml:space="preserve"> </w:t>
      </w:r>
      <w:r w:rsidRPr="3C146F34" w:rsidDel="00F218D4">
        <w:rPr>
          <w:color w:val="000000" w:themeColor="text1"/>
        </w:rPr>
        <w:t xml:space="preserve">IHM for </w:t>
      </w:r>
      <w:r w:rsidRPr="3C146F34" w:rsidDel="00696580">
        <w:rPr>
          <w:color w:val="000000" w:themeColor="text1"/>
        </w:rPr>
        <w:t xml:space="preserve">Northern Endeavour waste </w:t>
      </w:r>
      <w:r w:rsidRPr="3C146F34" w:rsidDel="185D283A">
        <w:rPr>
          <w:color w:val="000000" w:themeColor="text1"/>
        </w:rPr>
        <w:t>is currently in development</w:t>
      </w:r>
      <w:r w:rsidRPr="3C146F34" w:rsidDel="62C42ECD">
        <w:rPr>
          <w:color w:val="000000" w:themeColor="text1"/>
        </w:rPr>
        <w:t>.</w:t>
      </w:r>
      <w:r w:rsidDel="00696580">
        <w:t xml:space="preserve"> The FPSO remains</w:t>
      </w:r>
      <w:r w:rsidRPr="3C146F34" w:rsidDel="00C026CC">
        <w:rPr>
          <w:rFonts w:ascii="Segoe UI" w:hAnsi="Segoe UI" w:cs="Segoe UI"/>
          <w:sz w:val="18"/>
          <w:szCs w:val="18"/>
        </w:rPr>
        <w:t xml:space="preserve"> </w:t>
      </w:r>
      <w:r w:rsidDel="00C026CC">
        <w:t>within the operational area</w:t>
      </w:r>
      <w:r w:rsidDel="00696580">
        <w:t xml:space="preserve"> on station</w:t>
      </w:r>
      <w:r w:rsidR="00394D23">
        <w:t xml:space="preserve">. </w:t>
      </w:r>
      <w:r w:rsidR="00C13E8D">
        <w:t xml:space="preserve">DISR </w:t>
      </w:r>
      <w:r w:rsidR="00315142">
        <w:t xml:space="preserve">and Petrofac have </w:t>
      </w:r>
      <w:r w:rsidR="00C13E8D">
        <w:t xml:space="preserve">not yet </w:t>
      </w:r>
      <w:r w:rsidR="00315142">
        <w:t xml:space="preserve">identified a </w:t>
      </w:r>
      <w:r w:rsidR="006C07B5">
        <w:t xml:space="preserve">licenced facility for </w:t>
      </w:r>
      <w:r w:rsidR="00564778">
        <w:t xml:space="preserve">disposing of </w:t>
      </w:r>
      <w:r w:rsidR="00C13E8D">
        <w:t>hazardous waste</w:t>
      </w:r>
      <w:r w:rsidDel="003F11A4">
        <w:t>.</w:t>
      </w:r>
    </w:p>
    <w:p w14:paraId="160633D9" w14:textId="77777777" w:rsidR="00A85CF1" w:rsidRPr="00A52672" w:rsidRDefault="00A85CF1" w:rsidP="00ED7342">
      <w:pPr>
        <w:pStyle w:val="Heading3"/>
        <w:ind w:left="851" w:hanging="851"/>
      </w:pPr>
      <w:bookmarkStart w:id="119" w:name="_Toc175847277"/>
      <w:bookmarkStart w:id="120" w:name="_Toc175847492"/>
      <w:bookmarkStart w:id="121" w:name="_Toc178321870"/>
      <w:bookmarkStart w:id="122" w:name="_Toc180504222"/>
      <w:bookmarkStart w:id="123" w:name="_Toc1556239339"/>
      <w:bookmarkEnd w:id="119"/>
      <w:bookmarkEnd w:id="120"/>
      <w:r w:rsidRPr="00A52672">
        <w:t>Part B - Administrative conditions</w:t>
      </w:r>
      <w:bookmarkEnd w:id="121"/>
      <w:bookmarkEnd w:id="122"/>
      <w:r w:rsidRPr="00A52672">
        <w:t xml:space="preserve"> </w:t>
      </w:r>
      <w:bookmarkEnd w:id="123"/>
    </w:p>
    <w:p w14:paraId="06FFCD19" w14:textId="2070DEEE" w:rsidR="00A85CF1" w:rsidRPr="00A52672" w:rsidRDefault="00A85CF1" w:rsidP="00A85CF1">
      <w:r w:rsidRPr="00A52672">
        <w:t xml:space="preserve">The following conditions ensure that </w:t>
      </w:r>
      <w:r w:rsidR="00646112">
        <w:t xml:space="preserve">DISR and Petrofac </w:t>
      </w:r>
      <w:r w:rsidR="004D311D">
        <w:t>keep</w:t>
      </w:r>
      <w:r w:rsidR="00646112">
        <w:t xml:space="preserve"> </w:t>
      </w:r>
      <w:r w:rsidR="004D311D" w:rsidRPr="00A52672">
        <w:t>suitable</w:t>
      </w:r>
      <w:r w:rsidRPr="00A52672">
        <w:t xml:space="preserve"> record</w:t>
      </w:r>
      <w:r w:rsidR="004D311D">
        <w:t>s</w:t>
      </w:r>
      <w:r w:rsidRPr="00A52672">
        <w:t xml:space="preserve"> and noti</w:t>
      </w:r>
      <w:r w:rsidR="004D311D">
        <w:t>ces</w:t>
      </w:r>
      <w:r w:rsidRPr="00A52672">
        <w:t xml:space="preserve"> to the regulator.</w:t>
      </w:r>
    </w:p>
    <w:p w14:paraId="1E6BF394" w14:textId="77777777" w:rsidR="00A85CF1" w:rsidRPr="00A52672" w:rsidRDefault="00A85CF1" w:rsidP="00ED7342">
      <w:pPr>
        <w:pStyle w:val="Heading4"/>
        <w:ind w:left="851" w:hanging="851"/>
      </w:pPr>
      <w:bookmarkStart w:id="124" w:name="_Toc178321871"/>
      <w:bookmarkStart w:id="125" w:name="_Toc180504223"/>
      <w:r w:rsidDel="20867B72">
        <w:t xml:space="preserve">Notification of date of </w:t>
      </w:r>
      <w:r w:rsidDel="005E0135">
        <w:t>c</w:t>
      </w:r>
      <w:r w:rsidDel="20867B72">
        <w:t>ommencement of the Action</w:t>
      </w:r>
      <w:r w:rsidDel="18B07E6D">
        <w:t xml:space="preserve"> – </w:t>
      </w:r>
      <w:r w:rsidDel="00CB13AE">
        <w:t>c</w:t>
      </w:r>
      <w:r w:rsidDel="18B07E6D">
        <w:t xml:space="preserve">onditions 13 </w:t>
      </w:r>
      <w:r w:rsidDel="00CB13AE">
        <w:t>and</w:t>
      </w:r>
      <w:r w:rsidDel="18B07E6D">
        <w:t xml:space="preserve"> 14</w:t>
      </w:r>
      <w:bookmarkEnd w:id="124"/>
      <w:bookmarkEnd w:id="125"/>
    </w:p>
    <w:p w14:paraId="1EF6F2CA" w14:textId="232812EC" w:rsidR="00AF1F3F" w:rsidRDefault="00A85CF1" w:rsidP="00A85CF1">
      <w:pPr>
        <w:spacing w:before="0" w:after="160" w:line="257" w:lineRule="auto"/>
        <w:rPr>
          <w:rFonts w:ascii="Aptos" w:eastAsia="Aptos" w:hAnsi="Aptos" w:cs="Aptos"/>
        </w:rPr>
      </w:pPr>
      <w:r w:rsidRPr="6022D97B" w:rsidDel="57E0A32B">
        <w:rPr>
          <w:rFonts w:eastAsiaTheme="minorEastAsia"/>
        </w:rPr>
        <w:t>DISR</w:t>
      </w:r>
      <w:r w:rsidRPr="6022D97B" w:rsidDel="20867B72">
        <w:rPr>
          <w:rFonts w:eastAsiaTheme="minorEastAsia"/>
        </w:rPr>
        <w:t xml:space="preserve"> notified DCCEEW </w:t>
      </w:r>
      <w:r w:rsidR="007D3B65">
        <w:rPr>
          <w:rFonts w:eastAsiaTheme="minorEastAsia"/>
        </w:rPr>
        <w:t>by</w:t>
      </w:r>
      <w:r w:rsidRPr="6022D97B" w:rsidDel="20867B72">
        <w:rPr>
          <w:rFonts w:eastAsiaTheme="minorEastAsia"/>
        </w:rPr>
        <w:t xml:space="preserve"> email</w:t>
      </w:r>
      <w:r w:rsidR="007D3B65" w:rsidRPr="007D3B65">
        <w:rPr>
          <w:rFonts w:eastAsiaTheme="minorEastAsia"/>
        </w:rPr>
        <w:t xml:space="preserve"> </w:t>
      </w:r>
      <w:r w:rsidR="007D3B65" w:rsidRPr="4FF7D4A9">
        <w:rPr>
          <w:rFonts w:eastAsiaTheme="minorEastAsia"/>
        </w:rPr>
        <w:t xml:space="preserve">on 1 </w:t>
      </w:r>
      <w:r w:rsidR="007D3B65" w:rsidRPr="13045218">
        <w:rPr>
          <w:rFonts w:eastAsiaTheme="minorEastAsia"/>
        </w:rPr>
        <w:t>August 2023</w:t>
      </w:r>
      <w:r w:rsidR="007D3B65">
        <w:rPr>
          <w:rFonts w:eastAsiaTheme="minorEastAsia"/>
        </w:rPr>
        <w:t>,</w:t>
      </w:r>
      <w:r w:rsidR="007D3B65" w:rsidRPr="4FF7D4A9">
        <w:rPr>
          <w:rFonts w:eastAsiaTheme="minorEastAsia"/>
        </w:rPr>
        <w:t xml:space="preserve"> </w:t>
      </w:r>
      <w:r w:rsidR="009B3AFE">
        <w:rPr>
          <w:rFonts w:eastAsiaTheme="minorEastAsia"/>
        </w:rPr>
        <w:t>with</w:t>
      </w:r>
      <w:r w:rsidR="0DBC8F0C" w:rsidRPr="6EB63714">
        <w:rPr>
          <w:rFonts w:eastAsiaTheme="minorEastAsia"/>
        </w:rPr>
        <w:t xml:space="preserve">in </w:t>
      </w:r>
      <w:r w:rsidR="0DBC8F0C" w:rsidRPr="0CDFE7E5">
        <w:rPr>
          <w:rFonts w:eastAsiaTheme="minorEastAsia"/>
        </w:rPr>
        <w:t xml:space="preserve">5 business </w:t>
      </w:r>
      <w:r w:rsidR="0DBC8F0C" w:rsidRPr="1EFE0379">
        <w:rPr>
          <w:rFonts w:eastAsiaTheme="minorEastAsia"/>
        </w:rPr>
        <w:t xml:space="preserve">days of </w:t>
      </w:r>
      <w:r w:rsidR="007D3B65">
        <w:rPr>
          <w:rFonts w:eastAsiaTheme="minorEastAsia"/>
        </w:rPr>
        <w:t xml:space="preserve">the </w:t>
      </w:r>
      <w:r w:rsidR="0DBC8F0C" w:rsidRPr="1EFE0379">
        <w:rPr>
          <w:rFonts w:eastAsiaTheme="minorEastAsia"/>
        </w:rPr>
        <w:t>approval</w:t>
      </w:r>
      <w:r w:rsidR="007D3B65">
        <w:rPr>
          <w:rFonts w:eastAsiaTheme="minorEastAsia"/>
        </w:rPr>
        <w:t>,</w:t>
      </w:r>
      <w:r w:rsidR="0DBC8F0C" w:rsidRPr="4FF7D4A9">
        <w:rPr>
          <w:rFonts w:eastAsiaTheme="minorEastAsia"/>
        </w:rPr>
        <w:t xml:space="preserve"> </w:t>
      </w:r>
      <w:r w:rsidRPr="6022D97B" w:rsidDel="20867B72">
        <w:rPr>
          <w:rFonts w:eastAsiaTheme="minorEastAsia"/>
        </w:rPr>
        <w:t xml:space="preserve">that the activity under the approval </w:t>
      </w:r>
      <w:r w:rsidR="006B641C">
        <w:rPr>
          <w:rFonts w:eastAsiaTheme="minorEastAsia"/>
        </w:rPr>
        <w:t xml:space="preserve">had </w:t>
      </w:r>
      <w:r w:rsidRPr="6022D97B" w:rsidDel="20867B72">
        <w:rPr>
          <w:rFonts w:eastAsiaTheme="minorEastAsia"/>
        </w:rPr>
        <w:t>commenced</w:t>
      </w:r>
      <w:r w:rsidR="38C25BB2" w:rsidRPr="3BAEE2F8">
        <w:rPr>
          <w:rFonts w:eastAsiaTheme="minorEastAsia"/>
        </w:rPr>
        <w:t>.</w:t>
      </w:r>
      <w:r w:rsidRPr="6022D97B" w:rsidDel="20867B72">
        <w:rPr>
          <w:rFonts w:eastAsiaTheme="minorEastAsia"/>
        </w:rPr>
        <w:t xml:space="preserve"> </w:t>
      </w:r>
      <w:r w:rsidR="38C25BB2" w:rsidRPr="407301BA">
        <w:rPr>
          <w:rFonts w:eastAsiaTheme="minorEastAsia"/>
        </w:rPr>
        <w:t xml:space="preserve">This </w:t>
      </w:r>
      <w:r w:rsidR="00613721">
        <w:rPr>
          <w:rFonts w:eastAsiaTheme="minorEastAsia"/>
        </w:rPr>
        <w:t>f</w:t>
      </w:r>
      <w:r w:rsidR="38C25BB2" w:rsidRPr="57A9D3B1">
        <w:rPr>
          <w:rFonts w:eastAsiaTheme="minorEastAsia"/>
        </w:rPr>
        <w:t>ollow</w:t>
      </w:r>
      <w:r w:rsidR="00613721">
        <w:rPr>
          <w:rFonts w:eastAsiaTheme="minorEastAsia"/>
        </w:rPr>
        <w:t>ed</w:t>
      </w:r>
      <w:r w:rsidR="38C25BB2" w:rsidRPr="57A9D3B1">
        <w:rPr>
          <w:rFonts w:eastAsiaTheme="minorEastAsia"/>
        </w:rPr>
        <w:t xml:space="preserve"> </w:t>
      </w:r>
      <w:r w:rsidR="38C25BB2" w:rsidRPr="4F3EF69D">
        <w:rPr>
          <w:rFonts w:eastAsiaTheme="minorEastAsia"/>
        </w:rPr>
        <w:t xml:space="preserve">cessation of </w:t>
      </w:r>
      <w:r w:rsidR="00613721">
        <w:rPr>
          <w:rFonts w:eastAsiaTheme="minorEastAsia"/>
        </w:rPr>
        <w:t xml:space="preserve">the </w:t>
      </w:r>
      <w:r w:rsidR="38C25BB2" w:rsidRPr="4F3EF69D">
        <w:rPr>
          <w:rFonts w:eastAsiaTheme="minorEastAsia"/>
        </w:rPr>
        <w:t xml:space="preserve">exemption under </w:t>
      </w:r>
      <w:r w:rsidR="38C25BB2" w:rsidRPr="136F6A90">
        <w:rPr>
          <w:rFonts w:eastAsiaTheme="minorEastAsia"/>
        </w:rPr>
        <w:t>s</w:t>
      </w:r>
      <w:r w:rsidR="57B9EB3D" w:rsidRPr="136F6A90">
        <w:rPr>
          <w:rFonts w:eastAsiaTheme="minorEastAsia"/>
        </w:rPr>
        <w:t xml:space="preserve">ection 158 of the EPBC </w:t>
      </w:r>
      <w:r w:rsidR="57B9EB3D" w:rsidRPr="75901F95">
        <w:rPr>
          <w:rFonts w:eastAsiaTheme="minorEastAsia"/>
        </w:rPr>
        <w:t>Act for</w:t>
      </w:r>
      <w:r w:rsidR="57B9EB3D" w:rsidRPr="39AF0258">
        <w:rPr>
          <w:rFonts w:ascii="Aptos" w:eastAsia="Aptos" w:hAnsi="Aptos" w:cs="Aptos"/>
        </w:rPr>
        <w:t xml:space="preserve"> </w:t>
      </w:r>
      <w:r w:rsidR="1720E77F" w:rsidRPr="39AF0258">
        <w:rPr>
          <w:rFonts w:ascii="Aptos" w:eastAsia="Aptos" w:hAnsi="Aptos" w:cs="Aptos"/>
        </w:rPr>
        <w:t>taking of "</w:t>
      </w:r>
      <w:r w:rsidR="1720E77F" w:rsidRPr="009B3AFE">
        <w:rPr>
          <w:rFonts w:ascii="Aptos" w:eastAsia="Aptos" w:hAnsi="Aptos" w:cs="Aptos"/>
          <w:i/>
          <w:iCs/>
        </w:rPr>
        <w:t>limited</w:t>
      </w:r>
      <w:r w:rsidR="1720E77F" w:rsidRPr="00D463C6">
        <w:rPr>
          <w:rFonts w:ascii="Aptos" w:eastAsia="Aptos" w:hAnsi="Aptos" w:cs="Aptos"/>
          <w:i/>
        </w:rPr>
        <w:t xml:space="preserve"> preparatory topside works and minimal flushing activities" on the Northern Endeavour Floating Production, Storage and Offtake Facility (FPSO) and associated infrastructure</w:t>
      </w:r>
      <w:r w:rsidR="1720E77F" w:rsidRPr="39AF0258">
        <w:rPr>
          <w:rFonts w:ascii="Aptos" w:eastAsia="Aptos" w:hAnsi="Aptos" w:cs="Aptos"/>
        </w:rPr>
        <w:t xml:space="preserve">, until </w:t>
      </w:r>
      <w:r w:rsidR="003D13FD">
        <w:rPr>
          <w:rFonts w:ascii="Aptos" w:eastAsia="Aptos" w:hAnsi="Aptos" w:cs="Aptos"/>
        </w:rPr>
        <w:t xml:space="preserve">DCCEEW </w:t>
      </w:r>
      <w:r w:rsidR="00905EC2">
        <w:rPr>
          <w:rFonts w:ascii="Aptos" w:eastAsia="Aptos" w:hAnsi="Aptos" w:cs="Aptos"/>
        </w:rPr>
        <w:t>decided</w:t>
      </w:r>
      <w:r w:rsidR="1720E77F" w:rsidRPr="39AF0258">
        <w:rPr>
          <w:rFonts w:ascii="Aptos" w:eastAsia="Aptos" w:hAnsi="Aptos" w:cs="Aptos"/>
        </w:rPr>
        <w:t xml:space="preserve"> </w:t>
      </w:r>
      <w:r w:rsidR="00905EC2">
        <w:rPr>
          <w:rFonts w:ascii="Aptos" w:eastAsia="Aptos" w:hAnsi="Aptos" w:cs="Aptos"/>
        </w:rPr>
        <w:t xml:space="preserve">on </w:t>
      </w:r>
      <w:r w:rsidR="00EE398F">
        <w:rPr>
          <w:rFonts w:ascii="Aptos" w:eastAsia="Aptos" w:hAnsi="Aptos" w:cs="Aptos"/>
        </w:rPr>
        <w:t xml:space="preserve">the </w:t>
      </w:r>
      <w:r w:rsidR="1720E77F" w:rsidRPr="39AF0258">
        <w:rPr>
          <w:rFonts w:ascii="Aptos" w:eastAsia="Aptos" w:hAnsi="Aptos" w:cs="Aptos"/>
        </w:rPr>
        <w:t>approv</w:t>
      </w:r>
      <w:r w:rsidR="00EE398F">
        <w:rPr>
          <w:rFonts w:ascii="Aptos" w:eastAsia="Aptos" w:hAnsi="Aptos" w:cs="Aptos"/>
        </w:rPr>
        <w:t>al of</w:t>
      </w:r>
      <w:r w:rsidR="1720E77F" w:rsidRPr="39AF0258">
        <w:rPr>
          <w:rFonts w:ascii="Aptos" w:eastAsia="Aptos" w:hAnsi="Aptos" w:cs="Aptos"/>
        </w:rPr>
        <w:t xml:space="preserve"> Phase 1 decommissioning activities under the EPBC Act.</w:t>
      </w:r>
    </w:p>
    <w:p w14:paraId="7A131316" w14:textId="77777777" w:rsidR="00A85CF1" w:rsidRPr="00A52672" w:rsidRDefault="00A85CF1" w:rsidP="00ED7342">
      <w:pPr>
        <w:pStyle w:val="Heading4"/>
        <w:ind w:left="851" w:hanging="851"/>
      </w:pPr>
      <w:bookmarkStart w:id="126" w:name="_Toc1455670540"/>
      <w:bookmarkStart w:id="127" w:name="_Toc178321872"/>
      <w:bookmarkStart w:id="128" w:name="_Toc180504224"/>
      <w:r w:rsidDel="7777EE5A">
        <w:t>Compliance records</w:t>
      </w:r>
      <w:r w:rsidDel="76CC9E94">
        <w:t xml:space="preserve"> – Conditions 15 - 19</w:t>
      </w:r>
      <w:bookmarkEnd w:id="126"/>
      <w:bookmarkEnd w:id="127"/>
      <w:bookmarkEnd w:id="128"/>
    </w:p>
    <w:p w14:paraId="1ABE497B" w14:textId="67746352" w:rsidR="00A85CF1" w:rsidRPr="00A52672" w:rsidRDefault="00836C3C" w:rsidP="00A85CF1">
      <w:r>
        <w:t>DISR and Petrofac have kept a</w:t>
      </w:r>
      <w:r w:rsidR="00A85CF1" w:rsidDel="352D8794">
        <w:t xml:space="preserve">ccurate and complete </w:t>
      </w:r>
      <w:r>
        <w:t>r</w:t>
      </w:r>
      <w:r w:rsidR="00A85CF1" w:rsidDel="352D8794">
        <w:t xml:space="preserve">ecords </w:t>
      </w:r>
      <w:r w:rsidR="00A24458">
        <w:t>showing</w:t>
      </w:r>
      <w:r w:rsidR="00A85CF1" w:rsidDel="352D8794">
        <w:t xml:space="preserve"> compliance with the conditions of approval</w:t>
      </w:r>
      <w:r w:rsidR="00A85CF1" w:rsidDel="1B5F4195">
        <w:t xml:space="preserve"> for this reporting period. This includes documentation that </w:t>
      </w:r>
      <w:r w:rsidR="00A24458">
        <w:t>shows</w:t>
      </w:r>
      <w:r w:rsidR="00A85CF1" w:rsidDel="1B5F4195">
        <w:t xml:space="preserve"> compliance with </w:t>
      </w:r>
      <w:r w:rsidR="00A24458">
        <w:t>activities outlined</w:t>
      </w:r>
      <w:r w:rsidR="00A85CF1" w:rsidDel="1B5F4195">
        <w:t xml:space="preserve"> in the Condition 1 plans.</w:t>
      </w:r>
    </w:p>
    <w:p w14:paraId="1115BBD8" w14:textId="200258F0" w:rsidR="00A85CF1" w:rsidRPr="00A52672" w:rsidRDefault="00A85CF1" w:rsidP="00A85CF1">
      <w:r w:rsidDel="7312AE75">
        <w:t xml:space="preserve">DISR </w:t>
      </w:r>
      <w:r w:rsidDel="00445B37">
        <w:t xml:space="preserve">notified </w:t>
      </w:r>
      <w:r w:rsidDel="00BC5626">
        <w:t xml:space="preserve">DCCEEW within 20 business days from 31 July 2024, </w:t>
      </w:r>
      <w:r w:rsidDel="003858C5">
        <w:t>that no</w:t>
      </w:r>
      <w:r w:rsidDel="7312AE75">
        <w:t xml:space="preserve"> monitoring data (including sensitive ecological data), surveys, maps, other spatial and metadata or </w:t>
      </w:r>
      <w:r w:rsidDel="7412E3B1">
        <w:t xml:space="preserve">species occurrence record data (sightings and evidence of presence) </w:t>
      </w:r>
      <w:r w:rsidDel="004A3772">
        <w:t xml:space="preserve">was </w:t>
      </w:r>
      <w:r w:rsidDel="00501767">
        <w:t xml:space="preserve">required and </w:t>
      </w:r>
      <w:r w:rsidR="00E76D78">
        <w:t>or</w:t>
      </w:r>
      <w:r w:rsidDel="00501767">
        <w:t xml:space="preserve"> </w:t>
      </w:r>
      <w:r w:rsidDel="00AB1A0E">
        <w:t xml:space="preserve">reported </w:t>
      </w:r>
      <w:r w:rsidDel="7412E3B1">
        <w:t>during this period.</w:t>
      </w:r>
    </w:p>
    <w:p w14:paraId="09D3FDE0" w14:textId="77777777" w:rsidR="00A85CF1" w:rsidRPr="00A52672" w:rsidRDefault="00A85CF1" w:rsidP="00ED7342">
      <w:pPr>
        <w:pStyle w:val="Heading4"/>
        <w:ind w:left="851" w:hanging="851"/>
      </w:pPr>
      <w:bookmarkStart w:id="129" w:name="_Toc2015707819"/>
      <w:bookmarkStart w:id="130" w:name="_Toc178321873"/>
      <w:bookmarkStart w:id="131" w:name="_Toc180504225"/>
      <w:r w:rsidRPr="00A52672">
        <w:t>Annual compliance reporting – conditions 20 - 23</w:t>
      </w:r>
      <w:bookmarkEnd w:id="129"/>
      <w:bookmarkEnd w:id="130"/>
      <w:bookmarkEnd w:id="131"/>
    </w:p>
    <w:p w14:paraId="2A47F424" w14:textId="77133CF1" w:rsidR="00A85CF1" w:rsidRPr="00A52672" w:rsidRDefault="00A85CF1" w:rsidP="00A85CF1">
      <w:r w:rsidRPr="00A52672">
        <w:t xml:space="preserve">This report has been prepared by DISR for the period 1 August 2023 to 31 July 2024. It was published on DISR’s website </w:t>
      </w:r>
      <w:r w:rsidR="65863E02">
        <w:t xml:space="preserve">in October 2024 </w:t>
      </w:r>
      <w:r w:rsidR="00CA4B35">
        <w:t>i</w:t>
      </w:r>
      <w:r w:rsidR="65863E02">
        <w:t xml:space="preserve">n 60 business days </w:t>
      </w:r>
      <w:r w:rsidR="0D780464">
        <w:t xml:space="preserve">of </w:t>
      </w:r>
      <w:r w:rsidR="00CA4B35">
        <w:t xml:space="preserve">the </w:t>
      </w:r>
      <w:r w:rsidR="0D780464">
        <w:t>end of</w:t>
      </w:r>
      <w:r w:rsidR="006B33BB">
        <w:t xml:space="preserve"> the</w:t>
      </w:r>
      <w:r w:rsidR="0D780464">
        <w:t xml:space="preserve"> first reporting period</w:t>
      </w:r>
      <w:r>
        <w:t>.</w:t>
      </w:r>
      <w:r w:rsidRPr="00A52672">
        <w:t xml:space="preserve"> This report has been prepared </w:t>
      </w:r>
      <w:r w:rsidR="00F82D6F">
        <w:t xml:space="preserve">according to </w:t>
      </w:r>
      <w:r w:rsidR="003A6941">
        <w:rPr>
          <w:rFonts w:ascii="Aptos" w:eastAsia="Aptos" w:hAnsi="Aptos" w:cs="Aptos"/>
        </w:rPr>
        <w:t>DCCEEW</w:t>
      </w:r>
      <w:r w:rsidR="00432ED7">
        <w:rPr>
          <w:rFonts w:ascii="Aptos" w:eastAsia="Aptos" w:hAnsi="Aptos" w:cs="Aptos"/>
        </w:rPr>
        <w:t>’s</w:t>
      </w:r>
      <w:r w:rsidRPr="5B52EE4F">
        <w:rPr>
          <w:rFonts w:ascii="Aptos" w:eastAsia="Aptos" w:hAnsi="Aptos" w:cs="Aptos"/>
        </w:rPr>
        <w:t xml:space="preserve"> </w:t>
      </w:r>
      <w:hyperlink r:id="rId38">
        <w:r w:rsidRPr="5B52EE4F">
          <w:rPr>
            <w:rStyle w:val="Hyperlink"/>
          </w:rPr>
          <w:t>Annual Compliance Report Guidelines</w:t>
        </w:r>
      </w:hyperlink>
      <w:r>
        <w:t>.</w:t>
      </w:r>
    </w:p>
    <w:p w14:paraId="256DD5E2" w14:textId="77777777" w:rsidR="00A85CF1" w:rsidRPr="00A52672" w:rsidRDefault="00A85CF1" w:rsidP="00ED7342">
      <w:pPr>
        <w:pStyle w:val="Heading4"/>
        <w:ind w:left="851" w:hanging="851"/>
      </w:pPr>
      <w:bookmarkStart w:id="132" w:name="_Toc178321874"/>
      <w:bookmarkStart w:id="133" w:name="_Toc180504226"/>
      <w:r>
        <w:lastRenderedPageBreak/>
        <w:t>Notifications – conditions 24 - 26</w:t>
      </w:r>
      <w:bookmarkEnd w:id="132"/>
      <w:bookmarkEnd w:id="133"/>
    </w:p>
    <w:p w14:paraId="386CBEE9" w14:textId="37132B70" w:rsidR="00A85CF1" w:rsidRPr="00A52672" w:rsidRDefault="00F97D83" w:rsidP="00A85CF1">
      <w:r>
        <w:t xml:space="preserve">DISR made </w:t>
      </w:r>
      <w:r w:rsidR="007F3E6D">
        <w:t xml:space="preserve">2 </w:t>
      </w:r>
      <w:r w:rsidR="00276357">
        <w:t xml:space="preserve">notifications to </w:t>
      </w:r>
      <w:r w:rsidR="00A85CF1">
        <w:t xml:space="preserve">DCCEEW </w:t>
      </w:r>
      <w:r w:rsidR="00276357">
        <w:t xml:space="preserve">during the reporting </w:t>
      </w:r>
      <w:r w:rsidR="00981313">
        <w:t>period</w:t>
      </w:r>
      <w:r w:rsidR="00C36D5D">
        <w:t xml:space="preserve"> </w:t>
      </w:r>
      <w:r w:rsidR="004F06D5">
        <w:t>by</w:t>
      </w:r>
      <w:r w:rsidR="00A85CF1" w:rsidRPr="00A52672">
        <w:t xml:space="preserve"> email within 2 business days of the event. These notifications included </w:t>
      </w:r>
      <w:r w:rsidR="00C22E04">
        <w:t>details on</w:t>
      </w:r>
      <w:r w:rsidR="00A85CF1">
        <w:t xml:space="preserve"> </w:t>
      </w:r>
      <w:r w:rsidR="00A85CF1" w:rsidRPr="00A52672">
        <w:t xml:space="preserve">which condition was potentially breached, a description of the event, the location, </w:t>
      </w:r>
      <w:proofErr w:type="gramStart"/>
      <w:r w:rsidR="00A85CF1" w:rsidRPr="00A52672">
        <w:t>date</w:t>
      </w:r>
      <w:proofErr w:type="gramEnd"/>
      <w:r w:rsidR="00A85CF1" w:rsidRPr="00A52672">
        <w:t xml:space="preserve"> and time of the event. </w:t>
      </w:r>
      <w:r w:rsidR="000C0145">
        <w:t xml:space="preserve">In both cases, </w:t>
      </w:r>
      <w:r w:rsidR="00DF1E70">
        <w:t xml:space="preserve">DISR and Petrofac stayed in </w:t>
      </w:r>
      <w:r w:rsidR="000C0145">
        <w:t xml:space="preserve">full compliance </w:t>
      </w:r>
      <w:r w:rsidR="009C4464">
        <w:t xml:space="preserve">with the conditions </w:t>
      </w:r>
      <w:r w:rsidR="001E7771">
        <w:t>of approval</w:t>
      </w:r>
      <w:r w:rsidR="00216FAD">
        <w:t>.</w:t>
      </w:r>
    </w:p>
    <w:p w14:paraId="3EE4D25A" w14:textId="62CF40AB" w:rsidR="00A85CF1" w:rsidRDefault="00A85CF1" w:rsidP="00ED7342">
      <w:pPr>
        <w:pStyle w:val="Heading5"/>
        <w:ind w:left="851" w:hanging="851"/>
      </w:pPr>
      <w:bookmarkStart w:id="134" w:name="_Incident_report"/>
      <w:bookmarkEnd w:id="134"/>
      <w:r>
        <w:t xml:space="preserve">September 2023 </w:t>
      </w:r>
      <w:r w:rsidR="00DF1E70">
        <w:t>n</w:t>
      </w:r>
      <w:r>
        <w:t>otification</w:t>
      </w:r>
    </w:p>
    <w:p w14:paraId="138BE785" w14:textId="30C51420" w:rsidR="00E56892" w:rsidRDefault="00A85CF1" w:rsidP="00A85CF1">
      <w:pPr>
        <w:rPr>
          <w:rFonts w:ascii="Aptos" w:eastAsia="Aptos" w:hAnsi="Aptos" w:cs="Aptos"/>
        </w:rPr>
      </w:pPr>
      <w:r>
        <w:rPr>
          <w:rStyle w:val="normaltextrun"/>
          <w:rFonts w:ascii="Aptos" w:hAnsi="Aptos"/>
          <w:color w:val="000000"/>
          <w:szCs w:val="20"/>
          <w:bdr w:val="none" w:sz="0" w:space="0" w:color="auto" w:frame="1"/>
          <w:lang w:val="en-US"/>
        </w:rPr>
        <w:t xml:space="preserve">In September 2023, </w:t>
      </w:r>
      <w:r w:rsidR="007553D7">
        <w:rPr>
          <w:rStyle w:val="normaltextrun"/>
          <w:rFonts w:ascii="Aptos" w:hAnsi="Aptos"/>
          <w:color w:val="000000"/>
          <w:szCs w:val="20"/>
          <w:bdr w:val="none" w:sz="0" w:space="0" w:color="auto" w:frame="1"/>
          <w:lang w:val="en-US"/>
        </w:rPr>
        <w:t>a</w:t>
      </w:r>
      <w:r>
        <w:rPr>
          <w:rStyle w:val="normaltextrun"/>
          <w:rFonts w:ascii="Aptos" w:hAnsi="Aptos"/>
          <w:color w:val="000000"/>
          <w:szCs w:val="20"/>
          <w:bdr w:val="none" w:sz="0" w:space="0" w:color="auto" w:frame="1"/>
          <w:lang w:val="en-US"/>
        </w:rPr>
        <w:t xml:space="preserve"> </w:t>
      </w:r>
      <w:r w:rsidRPr="61506049">
        <w:rPr>
          <w:rFonts w:ascii="Aptos" w:eastAsia="Aptos" w:hAnsi="Aptos" w:cs="Aptos"/>
        </w:rPr>
        <w:t xml:space="preserve">subsea umbilical, </w:t>
      </w:r>
      <w:proofErr w:type="gramStart"/>
      <w:r w:rsidRPr="61506049">
        <w:rPr>
          <w:rFonts w:ascii="Aptos" w:eastAsia="Aptos" w:hAnsi="Aptos" w:cs="Aptos"/>
        </w:rPr>
        <w:t>riser</w:t>
      </w:r>
      <w:proofErr w:type="gramEnd"/>
      <w:r w:rsidRPr="61506049">
        <w:rPr>
          <w:rFonts w:ascii="Aptos" w:eastAsia="Aptos" w:hAnsi="Aptos" w:cs="Aptos"/>
        </w:rPr>
        <w:t xml:space="preserve"> and flowline (SURF) </w:t>
      </w:r>
      <w:r>
        <w:rPr>
          <w:rStyle w:val="normaltextrun"/>
          <w:rFonts w:ascii="Aptos" w:hAnsi="Aptos"/>
          <w:color w:val="000000"/>
          <w:szCs w:val="20"/>
          <w:bdr w:val="none" w:sz="0" w:space="0" w:color="auto" w:frame="1"/>
          <w:lang w:val="en-US"/>
        </w:rPr>
        <w:t>flushing campaign</w:t>
      </w:r>
      <w:r w:rsidR="007553D7">
        <w:rPr>
          <w:rStyle w:val="normaltextrun"/>
          <w:rFonts w:ascii="Aptos" w:hAnsi="Aptos"/>
          <w:color w:val="000000"/>
          <w:szCs w:val="20"/>
          <w:bdr w:val="none" w:sz="0" w:space="0" w:color="auto" w:frame="1"/>
          <w:lang w:val="en-US"/>
        </w:rPr>
        <w:t xml:space="preserve"> </w:t>
      </w:r>
      <w:r w:rsidR="001003BE">
        <w:rPr>
          <w:rStyle w:val="normaltextrun"/>
          <w:rFonts w:ascii="Aptos" w:hAnsi="Aptos"/>
          <w:color w:val="000000"/>
          <w:szCs w:val="20"/>
          <w:bdr w:val="none" w:sz="0" w:space="0" w:color="auto" w:frame="1"/>
          <w:lang w:val="en-US"/>
        </w:rPr>
        <w:t xml:space="preserve">was </w:t>
      </w:r>
      <w:r w:rsidR="00F05BEA">
        <w:rPr>
          <w:rStyle w:val="normaltextrun"/>
          <w:rFonts w:ascii="Aptos" w:hAnsi="Aptos"/>
          <w:color w:val="000000"/>
          <w:szCs w:val="20"/>
          <w:bdr w:val="none" w:sz="0" w:space="0" w:color="auto" w:frame="1"/>
          <w:lang w:val="en-US"/>
        </w:rPr>
        <w:t>commenced</w:t>
      </w:r>
      <w:r w:rsidR="00C63750">
        <w:rPr>
          <w:rStyle w:val="normaltextrun"/>
          <w:rFonts w:ascii="Aptos" w:hAnsi="Aptos"/>
          <w:color w:val="000000"/>
          <w:szCs w:val="20"/>
          <w:bdr w:val="none" w:sz="0" w:space="0" w:color="auto" w:frame="1"/>
          <w:lang w:val="en-US"/>
        </w:rPr>
        <w:t>.</w:t>
      </w:r>
      <w:r w:rsidR="007553D7">
        <w:rPr>
          <w:rStyle w:val="normaltextrun"/>
          <w:rFonts w:ascii="Aptos" w:hAnsi="Aptos"/>
          <w:color w:val="000000"/>
          <w:szCs w:val="20"/>
          <w:bdr w:val="none" w:sz="0" w:space="0" w:color="auto" w:frame="1"/>
          <w:lang w:val="en-US"/>
        </w:rPr>
        <w:t xml:space="preserve"> </w:t>
      </w:r>
      <w:r w:rsidR="004D0E70">
        <w:rPr>
          <w:rStyle w:val="normaltextrun"/>
          <w:rFonts w:ascii="Aptos" w:hAnsi="Aptos"/>
          <w:color w:val="000000"/>
          <w:szCs w:val="20"/>
          <w:bdr w:val="none" w:sz="0" w:space="0" w:color="auto" w:frame="1"/>
          <w:lang w:val="en-US"/>
        </w:rPr>
        <w:t>During the campaign</w:t>
      </w:r>
      <w:r w:rsidR="00050395">
        <w:rPr>
          <w:rStyle w:val="normaltextrun"/>
          <w:rFonts w:ascii="Aptos" w:hAnsi="Aptos"/>
          <w:color w:val="000000"/>
          <w:szCs w:val="20"/>
          <w:bdr w:val="none" w:sz="0" w:space="0" w:color="auto" w:frame="1"/>
          <w:lang w:val="en-US"/>
        </w:rPr>
        <w:t>,</w:t>
      </w:r>
      <w:r w:rsidR="007207A7">
        <w:rPr>
          <w:rStyle w:val="normaltextrun"/>
          <w:rFonts w:ascii="Aptos" w:hAnsi="Aptos"/>
          <w:color w:val="000000"/>
          <w:szCs w:val="20"/>
          <w:bdr w:val="none" w:sz="0" w:space="0" w:color="auto" w:frame="1"/>
          <w:lang w:val="en-US"/>
        </w:rPr>
        <w:t xml:space="preserve"> </w:t>
      </w:r>
      <w:r w:rsidR="000D25DF">
        <w:rPr>
          <w:rStyle w:val="normaltextrun"/>
          <w:rFonts w:ascii="Aptos" w:hAnsi="Aptos"/>
          <w:color w:val="000000"/>
          <w:szCs w:val="20"/>
          <w:bdr w:val="none" w:sz="0" w:space="0" w:color="auto" w:frame="1"/>
          <w:lang w:val="en-US"/>
        </w:rPr>
        <w:t>Petrofac detected</w:t>
      </w:r>
      <w:r>
        <w:rPr>
          <w:rStyle w:val="normaltextrun"/>
          <w:rFonts w:ascii="Aptos" w:hAnsi="Aptos"/>
          <w:color w:val="000000"/>
          <w:szCs w:val="20"/>
          <w:bdr w:val="none" w:sz="0" w:space="0" w:color="auto" w:frame="1"/>
          <w:lang w:val="en-US"/>
        </w:rPr>
        <w:t xml:space="preserve"> minor leaks </w:t>
      </w:r>
      <w:r w:rsidR="008A2C79">
        <w:rPr>
          <w:rStyle w:val="normaltextrun"/>
          <w:rFonts w:ascii="Aptos" w:hAnsi="Aptos"/>
          <w:color w:val="000000"/>
          <w:szCs w:val="20"/>
          <w:bdr w:val="none" w:sz="0" w:space="0" w:color="auto" w:frame="1"/>
          <w:lang w:val="en-US"/>
        </w:rPr>
        <w:t>of flushing fluid</w:t>
      </w:r>
      <w:r>
        <w:rPr>
          <w:rStyle w:val="normaltextrun"/>
          <w:rFonts w:ascii="Aptos" w:hAnsi="Aptos"/>
          <w:color w:val="000000"/>
          <w:szCs w:val="20"/>
          <w:bdr w:val="none" w:sz="0" w:space="0" w:color="auto" w:frame="1"/>
          <w:lang w:val="en-US"/>
        </w:rPr>
        <w:t xml:space="preserve"> </w:t>
      </w:r>
      <w:r w:rsidRPr="61506049">
        <w:rPr>
          <w:rFonts w:ascii="Aptos" w:eastAsia="Aptos" w:hAnsi="Aptos" w:cs="Aptos"/>
        </w:rPr>
        <w:t xml:space="preserve">from </w:t>
      </w:r>
      <w:r w:rsidR="00540168">
        <w:rPr>
          <w:rFonts w:ascii="Aptos" w:eastAsia="Aptos" w:hAnsi="Aptos" w:cs="Aptos"/>
        </w:rPr>
        <w:t xml:space="preserve">the </w:t>
      </w:r>
      <w:r>
        <w:rPr>
          <w:rFonts w:ascii="Aptos" w:eastAsia="Aptos" w:hAnsi="Aptos" w:cs="Aptos"/>
        </w:rPr>
        <w:t>subsea infrastructure</w:t>
      </w:r>
      <w:r w:rsidRPr="61506049">
        <w:rPr>
          <w:rFonts w:ascii="Aptos" w:eastAsia="Aptos" w:hAnsi="Aptos" w:cs="Aptos"/>
        </w:rPr>
        <w:t>.</w:t>
      </w:r>
      <w:r>
        <w:rPr>
          <w:rStyle w:val="normaltextrun"/>
          <w:rFonts w:ascii="Aptos" w:hAnsi="Aptos"/>
          <w:color w:val="000000"/>
          <w:szCs w:val="20"/>
          <w:bdr w:val="none" w:sz="0" w:space="0" w:color="auto" w:frame="1"/>
          <w:lang w:val="en-US"/>
        </w:rPr>
        <w:t xml:space="preserve"> </w:t>
      </w:r>
    </w:p>
    <w:p w14:paraId="6B669B23" w14:textId="28946D89" w:rsidR="00A85CF1" w:rsidRDefault="000C0FD0" w:rsidP="00A85CF1">
      <w:pPr>
        <w:rPr>
          <w:rFonts w:ascii="Aptos" w:eastAsia="Aptos" w:hAnsi="Aptos" w:cs="Aptos"/>
        </w:rPr>
      </w:pPr>
      <w:r>
        <w:rPr>
          <w:rFonts w:ascii="Aptos" w:eastAsia="Aptos" w:hAnsi="Aptos" w:cs="Aptos"/>
        </w:rPr>
        <w:t>The leak w</w:t>
      </w:r>
      <w:r w:rsidR="00E56892">
        <w:rPr>
          <w:rFonts w:ascii="Aptos" w:eastAsia="Aptos" w:hAnsi="Aptos" w:cs="Aptos"/>
        </w:rPr>
        <w:t>as</w:t>
      </w:r>
      <w:r>
        <w:rPr>
          <w:rFonts w:ascii="Aptos" w:eastAsia="Aptos" w:hAnsi="Aptos" w:cs="Aptos"/>
        </w:rPr>
        <w:t xml:space="preserve"> minor in nature and Petrofac</w:t>
      </w:r>
      <w:r w:rsidR="006210AF" w:rsidRPr="006210AF">
        <w:rPr>
          <w:rFonts w:ascii="Aptos" w:eastAsia="Aptos" w:hAnsi="Aptos" w:cs="Aptos"/>
        </w:rPr>
        <w:t xml:space="preserve"> </w:t>
      </w:r>
      <w:r w:rsidR="006210AF">
        <w:rPr>
          <w:rFonts w:ascii="Aptos" w:eastAsia="Aptos" w:hAnsi="Aptos" w:cs="Aptos"/>
        </w:rPr>
        <w:t xml:space="preserve">stopped </w:t>
      </w:r>
      <w:r w:rsidR="006210AF" w:rsidRPr="037B956B">
        <w:rPr>
          <w:rFonts w:ascii="Aptos" w:eastAsia="Aptos" w:hAnsi="Aptos" w:cs="Aptos"/>
        </w:rPr>
        <w:t>SURF flushing operations immediately</w:t>
      </w:r>
      <w:r w:rsidR="006210AF">
        <w:rPr>
          <w:rFonts w:ascii="Aptos" w:eastAsia="Aptos" w:hAnsi="Aptos" w:cs="Aptos"/>
        </w:rPr>
        <w:t xml:space="preserve">. </w:t>
      </w:r>
      <w:r w:rsidR="00245FC2">
        <w:rPr>
          <w:rFonts w:ascii="Aptos" w:eastAsia="Aptos" w:hAnsi="Aptos" w:cs="Aptos"/>
        </w:rPr>
        <w:t>Well integrity was not impacted</w:t>
      </w:r>
      <w:r w:rsidR="00E56892">
        <w:rPr>
          <w:rFonts w:ascii="Aptos" w:eastAsia="Aptos" w:hAnsi="Aptos" w:cs="Aptos"/>
        </w:rPr>
        <w:t xml:space="preserve"> and any impacts on water quality were limited in area and duration.</w:t>
      </w:r>
    </w:p>
    <w:p w14:paraId="5D56F576" w14:textId="3B95C435" w:rsidR="00A85CF1" w:rsidRDefault="00A85CF1" w:rsidP="00A85CF1">
      <w:pPr>
        <w:rPr>
          <w:rFonts w:ascii="Aptos" w:eastAsia="Aptos" w:hAnsi="Aptos" w:cs="Aptos"/>
          <w:szCs w:val="20"/>
        </w:rPr>
      </w:pPr>
      <w:r w:rsidRPr="5F927319">
        <w:rPr>
          <w:rFonts w:ascii="Aptos" w:eastAsia="Aptos" w:hAnsi="Aptos" w:cs="Aptos"/>
        </w:rPr>
        <w:t xml:space="preserve">DISR </w:t>
      </w:r>
      <w:r>
        <w:rPr>
          <w:rFonts w:ascii="Aptos" w:eastAsia="Aptos" w:hAnsi="Aptos" w:cs="Aptos"/>
        </w:rPr>
        <w:t xml:space="preserve">remained compliant with the conditions of approval </w:t>
      </w:r>
      <w:r w:rsidR="00523AD7">
        <w:rPr>
          <w:rFonts w:ascii="Aptos" w:eastAsia="Aptos" w:hAnsi="Aptos" w:cs="Aptos"/>
        </w:rPr>
        <w:t xml:space="preserve">including </w:t>
      </w:r>
      <w:r w:rsidR="001957D1">
        <w:rPr>
          <w:rFonts w:ascii="Aptos" w:eastAsia="Aptos" w:hAnsi="Aptos" w:cs="Aptos"/>
        </w:rPr>
        <w:t>applying</w:t>
      </w:r>
      <w:r w:rsidR="005D239A">
        <w:rPr>
          <w:rFonts w:ascii="Aptos" w:eastAsia="Aptos" w:hAnsi="Aptos" w:cs="Aptos"/>
        </w:rPr>
        <w:t xml:space="preserve"> the correct </w:t>
      </w:r>
      <w:r w:rsidR="00A32E50">
        <w:rPr>
          <w:rFonts w:ascii="Aptos" w:eastAsia="Aptos" w:hAnsi="Aptos" w:cs="Aptos"/>
        </w:rPr>
        <w:t>management plans</w:t>
      </w:r>
      <w:r>
        <w:rPr>
          <w:rFonts w:ascii="Aptos" w:eastAsia="Aptos" w:hAnsi="Aptos" w:cs="Aptos"/>
        </w:rPr>
        <w:t xml:space="preserve"> throughout</w:t>
      </w:r>
      <w:r w:rsidRPr="5F927319">
        <w:rPr>
          <w:rFonts w:ascii="Aptos" w:eastAsia="Aptos" w:hAnsi="Aptos" w:cs="Aptos"/>
          <w:lang w:val="en-US"/>
        </w:rPr>
        <w:t>.</w:t>
      </w:r>
    </w:p>
    <w:p w14:paraId="6C13976A" w14:textId="7B95059C" w:rsidR="00A85CF1" w:rsidRPr="00EF5AE3" w:rsidRDefault="00A85CF1" w:rsidP="00A85CF1">
      <w:r>
        <w:t xml:space="preserve">The incident, its reporting and investigation </w:t>
      </w:r>
      <w:r w:rsidR="001957D1">
        <w:t xml:space="preserve">complied </w:t>
      </w:r>
      <w:r>
        <w:t>with the conditions of approval.</w:t>
      </w:r>
    </w:p>
    <w:p w14:paraId="3936FF0E" w14:textId="629DAE52" w:rsidR="00A85CF1" w:rsidRPr="00B2327B" w:rsidRDefault="00A85CF1" w:rsidP="00ED7342">
      <w:pPr>
        <w:pStyle w:val="Heading5"/>
        <w:ind w:left="851" w:hanging="851"/>
      </w:pPr>
      <w:bookmarkStart w:id="135" w:name="_Potential_non-compliance"/>
      <w:bookmarkEnd w:id="135"/>
      <w:r>
        <w:t xml:space="preserve">February 2024 </w:t>
      </w:r>
      <w:r w:rsidR="00DF1E70">
        <w:t>n</w:t>
      </w:r>
      <w:r>
        <w:t>otification</w:t>
      </w:r>
    </w:p>
    <w:p w14:paraId="0DE3891E" w14:textId="1E9B6C5F" w:rsidR="00A85CF1" w:rsidRDefault="00A85CF1" w:rsidP="00A85CF1">
      <w:pPr>
        <w:rPr>
          <w:rFonts w:ascii="Aptos" w:eastAsia="Aptos" w:hAnsi="Aptos" w:cs="Aptos"/>
        </w:rPr>
      </w:pPr>
      <w:r w:rsidRPr="3F26C507">
        <w:rPr>
          <w:rFonts w:ascii="Aptos" w:eastAsia="Aptos" w:hAnsi="Aptos" w:cs="Aptos"/>
        </w:rPr>
        <w:t>In February 2024</w:t>
      </w:r>
      <w:r w:rsidR="00CE008C" w:rsidRPr="3F26C507">
        <w:rPr>
          <w:rFonts w:ascii="Aptos" w:eastAsia="Aptos" w:hAnsi="Aptos" w:cs="Aptos"/>
        </w:rPr>
        <w:t xml:space="preserve">, </w:t>
      </w:r>
      <w:r w:rsidR="000E2012">
        <w:rPr>
          <w:rFonts w:ascii="Aptos" w:eastAsia="Aptos" w:hAnsi="Aptos" w:cs="Aptos"/>
        </w:rPr>
        <w:t xml:space="preserve">during </w:t>
      </w:r>
      <w:r w:rsidR="00CE008C" w:rsidRPr="3F26C507">
        <w:rPr>
          <w:rFonts w:ascii="Aptos" w:eastAsia="Aptos" w:hAnsi="Aptos" w:cs="Aptos"/>
        </w:rPr>
        <w:t>routine operations</w:t>
      </w:r>
      <w:r w:rsidR="003113D8" w:rsidRPr="3F26C507">
        <w:rPr>
          <w:rFonts w:ascii="Aptos" w:eastAsia="Aptos" w:hAnsi="Aptos" w:cs="Aptos"/>
        </w:rPr>
        <w:t xml:space="preserve"> </w:t>
      </w:r>
      <w:r w:rsidR="00FE337E">
        <w:rPr>
          <w:rFonts w:ascii="Aptos" w:eastAsia="Aptos" w:hAnsi="Aptos" w:cs="Aptos"/>
        </w:rPr>
        <w:t xml:space="preserve">Petrofac observed </w:t>
      </w:r>
      <w:r w:rsidR="00D507B6">
        <w:rPr>
          <w:rFonts w:ascii="Aptos" w:eastAsia="Aptos" w:hAnsi="Aptos" w:cs="Aptos"/>
        </w:rPr>
        <w:t>increased press</w:t>
      </w:r>
      <w:r w:rsidR="007C2DFF">
        <w:rPr>
          <w:rFonts w:ascii="Aptos" w:eastAsia="Aptos" w:hAnsi="Aptos" w:cs="Aptos"/>
        </w:rPr>
        <w:t>ure</w:t>
      </w:r>
      <w:r w:rsidR="00E33B43">
        <w:rPr>
          <w:rFonts w:ascii="Aptos" w:eastAsia="Aptos" w:hAnsi="Aptos" w:cs="Aptos"/>
        </w:rPr>
        <w:t xml:space="preserve"> </w:t>
      </w:r>
      <w:r w:rsidR="00FE337E">
        <w:rPr>
          <w:rFonts w:ascii="Aptos" w:eastAsia="Aptos" w:hAnsi="Aptos" w:cs="Aptos"/>
        </w:rPr>
        <w:t>in a</w:t>
      </w:r>
      <w:r>
        <w:rPr>
          <w:rFonts w:ascii="Aptos" w:eastAsia="Aptos" w:hAnsi="Aptos" w:cs="Aptos"/>
        </w:rPr>
        <w:t xml:space="preserve"> </w:t>
      </w:r>
      <w:r w:rsidRPr="3F26C507">
        <w:rPr>
          <w:rFonts w:ascii="Aptos" w:eastAsia="Aptos" w:hAnsi="Aptos" w:cs="Aptos"/>
        </w:rPr>
        <w:t>pressure sensor</w:t>
      </w:r>
      <w:r w:rsidR="00FE337E">
        <w:rPr>
          <w:rFonts w:ascii="Aptos" w:eastAsia="Aptos" w:hAnsi="Aptos" w:cs="Aptos"/>
        </w:rPr>
        <w:t xml:space="preserve"> on one of the oil wells. </w:t>
      </w:r>
      <w:r>
        <w:rPr>
          <w:rFonts w:ascii="Aptos" w:eastAsia="Aptos" w:hAnsi="Aptos" w:cs="Aptos"/>
        </w:rPr>
        <w:t>Based on the information at th</w:t>
      </w:r>
      <w:r w:rsidR="00FC61AE">
        <w:rPr>
          <w:rFonts w:ascii="Aptos" w:eastAsia="Aptos" w:hAnsi="Aptos" w:cs="Aptos"/>
        </w:rPr>
        <w:t>e</w:t>
      </w:r>
      <w:r>
        <w:rPr>
          <w:rFonts w:ascii="Aptos" w:eastAsia="Aptos" w:hAnsi="Aptos" w:cs="Aptos"/>
        </w:rPr>
        <w:t xml:space="preserve"> time, there was </w:t>
      </w:r>
      <w:r w:rsidR="005A19A5">
        <w:rPr>
          <w:rFonts w:ascii="Aptos" w:eastAsia="Aptos" w:hAnsi="Aptos" w:cs="Aptos"/>
        </w:rPr>
        <w:t xml:space="preserve">the </w:t>
      </w:r>
      <w:r>
        <w:rPr>
          <w:rFonts w:ascii="Aptos" w:eastAsia="Aptos" w:hAnsi="Aptos" w:cs="Aptos"/>
        </w:rPr>
        <w:t xml:space="preserve">possibility </w:t>
      </w:r>
      <w:r w:rsidR="005A19A5">
        <w:rPr>
          <w:rFonts w:ascii="Aptos" w:eastAsia="Aptos" w:hAnsi="Aptos" w:cs="Aptos"/>
        </w:rPr>
        <w:t xml:space="preserve">of a </w:t>
      </w:r>
      <w:r>
        <w:rPr>
          <w:rFonts w:ascii="Aptos" w:eastAsia="Aptos" w:hAnsi="Aptos" w:cs="Aptos"/>
        </w:rPr>
        <w:t>loss of</w:t>
      </w:r>
      <w:r w:rsidR="00FC61AE">
        <w:rPr>
          <w:rFonts w:ascii="Aptos" w:eastAsia="Aptos" w:hAnsi="Aptos" w:cs="Aptos"/>
        </w:rPr>
        <w:t xml:space="preserve"> well</w:t>
      </w:r>
      <w:r>
        <w:rPr>
          <w:rFonts w:ascii="Aptos" w:eastAsia="Aptos" w:hAnsi="Aptos" w:cs="Aptos"/>
        </w:rPr>
        <w:t xml:space="preserve"> containment. </w:t>
      </w:r>
      <w:r w:rsidR="00F43C8C">
        <w:rPr>
          <w:rFonts w:ascii="Aptos" w:eastAsia="Aptos" w:hAnsi="Aptos" w:cs="Aptos"/>
        </w:rPr>
        <w:t>DISR</w:t>
      </w:r>
      <w:r w:rsidRPr="476E5246">
        <w:rPr>
          <w:rFonts w:ascii="Aptos" w:eastAsia="Aptos" w:hAnsi="Aptos" w:cs="Aptos"/>
        </w:rPr>
        <w:t xml:space="preserve"> notified DCCEEW </w:t>
      </w:r>
      <w:r w:rsidR="00FC61AE">
        <w:rPr>
          <w:rFonts w:ascii="Aptos" w:eastAsia="Aptos" w:hAnsi="Aptos" w:cs="Aptos"/>
        </w:rPr>
        <w:t>by</w:t>
      </w:r>
      <w:r w:rsidRPr="476E5246">
        <w:rPr>
          <w:rFonts w:ascii="Aptos" w:eastAsia="Aptos" w:hAnsi="Aptos" w:cs="Aptos"/>
        </w:rPr>
        <w:t xml:space="preserve"> email</w:t>
      </w:r>
      <w:r w:rsidR="00FC61AE">
        <w:rPr>
          <w:rFonts w:ascii="Aptos" w:eastAsia="Aptos" w:hAnsi="Aptos" w:cs="Aptos"/>
        </w:rPr>
        <w:t xml:space="preserve"> </w:t>
      </w:r>
      <w:r w:rsidR="009040A0">
        <w:rPr>
          <w:rFonts w:ascii="Aptos" w:eastAsia="Aptos" w:hAnsi="Aptos" w:cs="Aptos"/>
        </w:rPr>
        <w:t>with</w:t>
      </w:r>
      <w:r w:rsidRPr="476E5246">
        <w:rPr>
          <w:rFonts w:ascii="Aptos" w:eastAsia="Aptos" w:hAnsi="Aptos" w:cs="Aptos"/>
        </w:rPr>
        <w:t xml:space="preserve">in 2 business days of the potential non-compliance with the </w:t>
      </w:r>
      <w:r>
        <w:rPr>
          <w:rFonts w:ascii="Aptos" w:eastAsia="Aptos" w:hAnsi="Aptos" w:cs="Aptos"/>
        </w:rPr>
        <w:t>approved management plan</w:t>
      </w:r>
      <w:r w:rsidRPr="476E5246">
        <w:rPr>
          <w:rFonts w:ascii="Aptos" w:eastAsia="Aptos" w:hAnsi="Aptos" w:cs="Aptos"/>
        </w:rPr>
        <w:t>.</w:t>
      </w:r>
      <w:r>
        <w:rPr>
          <w:rFonts w:ascii="Aptos" w:eastAsia="Aptos" w:hAnsi="Aptos" w:cs="Aptos"/>
        </w:rPr>
        <w:t xml:space="preserve"> </w:t>
      </w:r>
      <w:r w:rsidR="009040A0">
        <w:rPr>
          <w:rFonts w:ascii="Aptos" w:eastAsia="Aptos" w:hAnsi="Aptos" w:cs="Aptos"/>
        </w:rPr>
        <w:t>Within</w:t>
      </w:r>
      <w:r w:rsidR="00CE759A">
        <w:rPr>
          <w:rFonts w:ascii="Aptos" w:eastAsia="Aptos" w:hAnsi="Aptos" w:cs="Aptos"/>
        </w:rPr>
        <w:t> </w:t>
      </w:r>
      <w:r>
        <w:rPr>
          <w:rFonts w:ascii="Aptos" w:eastAsia="Aptos" w:hAnsi="Aptos" w:cs="Aptos"/>
        </w:rPr>
        <w:t>12</w:t>
      </w:r>
      <w:r w:rsidR="00CE759A">
        <w:rPr>
          <w:rFonts w:ascii="Aptos" w:eastAsia="Aptos" w:hAnsi="Aptos" w:cs="Aptos"/>
        </w:rPr>
        <w:t> </w:t>
      </w:r>
      <w:r>
        <w:rPr>
          <w:rFonts w:ascii="Aptos" w:eastAsia="Aptos" w:hAnsi="Aptos" w:cs="Aptos"/>
        </w:rPr>
        <w:t>business days, DISR</w:t>
      </w:r>
      <w:r w:rsidR="00A552DD">
        <w:rPr>
          <w:rFonts w:ascii="Aptos" w:eastAsia="Aptos" w:hAnsi="Aptos" w:cs="Aptos"/>
        </w:rPr>
        <w:t xml:space="preserve"> not</w:t>
      </w:r>
      <w:r>
        <w:rPr>
          <w:rFonts w:ascii="Aptos" w:eastAsia="Aptos" w:hAnsi="Aptos" w:cs="Aptos"/>
        </w:rPr>
        <w:t>ified DCCEEW that besides the corrective measures already in place</w:t>
      </w:r>
      <w:r w:rsidRPr="3F26C507">
        <w:rPr>
          <w:rFonts w:ascii="Aptos" w:eastAsia="Aptos" w:hAnsi="Aptos" w:cs="Aptos"/>
        </w:rPr>
        <w:t>, a remotely operated vehicle (ROV) was used for subsea inspection, and to conduct preventative and maintenance works to ensure ongoing integrity</w:t>
      </w:r>
      <w:r w:rsidR="00A552DD">
        <w:rPr>
          <w:rFonts w:ascii="Aptos" w:eastAsia="Aptos" w:hAnsi="Aptos" w:cs="Aptos"/>
        </w:rPr>
        <w:t xml:space="preserve"> of the well</w:t>
      </w:r>
      <w:r w:rsidRPr="3F26C507">
        <w:rPr>
          <w:rFonts w:ascii="Aptos" w:eastAsia="Aptos" w:hAnsi="Aptos" w:cs="Aptos"/>
        </w:rPr>
        <w:t xml:space="preserve">.  </w:t>
      </w:r>
    </w:p>
    <w:p w14:paraId="6D0FECE2" w14:textId="4B992BEA" w:rsidR="00A85CF1" w:rsidRDefault="00A85CF1" w:rsidP="00A85CF1">
      <w:pPr>
        <w:rPr>
          <w:rFonts w:ascii="Aptos" w:eastAsia="Aptos" w:hAnsi="Aptos" w:cs="Aptos"/>
          <w:szCs w:val="20"/>
        </w:rPr>
      </w:pPr>
      <w:r>
        <w:rPr>
          <w:rFonts w:ascii="Aptos" w:eastAsia="Aptos" w:hAnsi="Aptos" w:cs="Aptos"/>
          <w:szCs w:val="20"/>
        </w:rPr>
        <w:t xml:space="preserve">No sheens were identified on the surface, and there was no evidence of hydrocarbon release. </w:t>
      </w:r>
    </w:p>
    <w:p w14:paraId="19683F67" w14:textId="41821DAF" w:rsidR="00BC3F9B" w:rsidRDefault="00A85CF1" w:rsidP="00282F76">
      <w:r>
        <w:t xml:space="preserve">The </w:t>
      </w:r>
      <w:r w:rsidR="00A2516E">
        <w:t>event</w:t>
      </w:r>
      <w:r>
        <w:t xml:space="preserve">, its reporting and investigation were compliant with the conditions of approval. </w:t>
      </w:r>
      <w:bookmarkStart w:id="136" w:name="_Toc178321877"/>
      <w:bookmarkStart w:id="137" w:name="_Attachments"/>
      <w:bookmarkEnd w:id="136"/>
      <w:bookmarkEnd w:id="137"/>
    </w:p>
    <w:p w14:paraId="7E626226" w14:textId="77777777" w:rsidR="00BC3F9B" w:rsidRDefault="00BC3F9B">
      <w:pPr>
        <w:spacing w:before="0" w:after="160" w:line="259" w:lineRule="auto"/>
      </w:pPr>
      <w:r>
        <w:br w:type="page"/>
      </w:r>
    </w:p>
    <w:p w14:paraId="6A95C751" w14:textId="11A9CE7B" w:rsidR="00BC3F9B" w:rsidRPr="00BC3F9B" w:rsidRDefault="00BC3F9B" w:rsidP="006E0ED0">
      <w:pPr>
        <w:pStyle w:val="Heading2"/>
        <w:ind w:left="851" w:hanging="851"/>
        <w:rPr>
          <w:lang w:val="en-US"/>
        </w:rPr>
      </w:pPr>
      <w:bookmarkStart w:id="138" w:name="_Toc180504227"/>
      <w:r>
        <w:lastRenderedPageBreak/>
        <w:t xml:space="preserve">Attachment A - </w:t>
      </w:r>
      <w:r w:rsidRPr="31CD27C3">
        <w:rPr>
          <w:lang w:val="en-US"/>
        </w:rPr>
        <w:t>Conditions approved on 1 August 2023</w:t>
      </w:r>
      <w:bookmarkEnd w:id="138"/>
    </w:p>
    <w:p w14:paraId="03C6F3AE" w14:textId="1A3A2EFA" w:rsidR="31CD27C3" w:rsidRDefault="31CD27C3" w:rsidP="31CD27C3">
      <w:pPr>
        <w:rPr>
          <w:lang w:val="en-US"/>
        </w:rPr>
      </w:pPr>
    </w:p>
    <w:p w14:paraId="6A31D77B" w14:textId="5D3C387C" w:rsidR="0063547C" w:rsidRDefault="0063547C" w:rsidP="0063547C">
      <w:pPr>
        <w:spacing w:before="0" w:after="0"/>
      </w:pPr>
      <w:r w:rsidRPr="003B5F7F">
        <w:t>On 1 August 2023</w:t>
      </w:r>
      <w:r>
        <w:t xml:space="preserve">, </w:t>
      </w:r>
      <w:r>
        <w:rPr>
          <w:lang w:val="en-US"/>
        </w:rPr>
        <w:t>u</w:t>
      </w:r>
      <w:r w:rsidR="00C05CDD">
        <w:rPr>
          <w:lang w:val="en-US"/>
        </w:rPr>
        <w:t xml:space="preserve">nder </w:t>
      </w:r>
      <w:r w:rsidR="003235EA">
        <w:rPr>
          <w:lang w:val="en-US"/>
        </w:rPr>
        <w:t xml:space="preserve">section 133(1) of the </w:t>
      </w:r>
      <w:r w:rsidR="00CB2885" w:rsidRPr="00CB2885">
        <w:rPr>
          <w:i/>
          <w:iCs/>
          <w:lang w:val="en-US"/>
        </w:rPr>
        <w:t>Environmental</w:t>
      </w:r>
      <w:r w:rsidR="003235EA" w:rsidRPr="00CB2885">
        <w:rPr>
          <w:i/>
          <w:iCs/>
          <w:lang w:val="en-US"/>
        </w:rPr>
        <w:t xml:space="preserve"> Protection and Biodiversity Conservation Act 1999</w:t>
      </w:r>
      <w:r w:rsidR="003235EA">
        <w:rPr>
          <w:lang w:val="en-US"/>
        </w:rPr>
        <w:t xml:space="preserve"> (EPBC A</w:t>
      </w:r>
      <w:r w:rsidR="003E310E">
        <w:rPr>
          <w:lang w:val="en-US"/>
        </w:rPr>
        <w:t>CT</w:t>
      </w:r>
      <w:r w:rsidR="003235EA">
        <w:rPr>
          <w:lang w:val="en-US"/>
        </w:rPr>
        <w:t>)</w:t>
      </w:r>
      <w:r w:rsidR="00CB2885">
        <w:rPr>
          <w:lang w:val="en-US"/>
        </w:rPr>
        <w:t>, t</w:t>
      </w:r>
      <w:r w:rsidR="00CB2885" w:rsidRPr="001A0788">
        <w:t>he delegate to the Minister for the Environment</w:t>
      </w:r>
      <w:r w:rsidR="00CB2885">
        <w:t xml:space="preserve"> and Water</w:t>
      </w:r>
      <w:r w:rsidR="00CB2885" w:rsidRPr="001A0788">
        <w:t>, the Hon Tanya Plibersek MP</w:t>
      </w:r>
      <w:r>
        <w:t xml:space="preserve">, </w:t>
      </w:r>
      <w:r w:rsidRPr="003B5F7F">
        <w:t xml:space="preserve">issued an approval with conditions for the action, under the title </w:t>
      </w:r>
      <w:r>
        <w:t>‘</w:t>
      </w:r>
      <w:r w:rsidRPr="003B5F7F">
        <w:t>Northern Endeavour Phase 1 Decommissioning</w:t>
      </w:r>
      <w:r>
        <w:t>'</w:t>
      </w:r>
      <w:r w:rsidRPr="003B5F7F">
        <w:t xml:space="preserve"> (</w:t>
      </w:r>
      <w:hyperlink r:id="rId39" w:history="1">
        <w:r w:rsidRPr="003B5F7F">
          <w:rPr>
            <w:rStyle w:val="Hyperlink"/>
          </w:rPr>
          <w:t>EPBC 2022/09327</w:t>
        </w:r>
      </w:hyperlink>
      <w:r w:rsidRPr="003B5F7F">
        <w:t>).</w:t>
      </w:r>
      <w:r>
        <w:t xml:space="preserve"> </w:t>
      </w:r>
    </w:p>
    <w:p w14:paraId="5265E902" w14:textId="6EA066AF" w:rsidR="00D87C5E" w:rsidRPr="00D87C5E" w:rsidRDefault="00D87C5E" w:rsidP="31CD27C3">
      <w:pPr>
        <w:pStyle w:val="Heading3"/>
        <w:ind w:left="851" w:hanging="851"/>
        <w:rPr>
          <w:lang w:val="en-US"/>
        </w:rPr>
      </w:pPr>
      <w:bookmarkStart w:id="139" w:name="_Toc180504228"/>
      <w:r>
        <w:rPr>
          <w:lang w:val="en-US"/>
        </w:rPr>
        <w:t>Approved action</w:t>
      </w:r>
      <w:bookmarkEnd w:id="139"/>
    </w:p>
    <w:tbl>
      <w:tblPr>
        <w:tblStyle w:val="Verticaltable1"/>
        <w:tblW w:w="9067" w:type="dxa"/>
        <w:tblLook w:val="04A0" w:firstRow="1" w:lastRow="0" w:firstColumn="1" w:lastColumn="0" w:noHBand="0" w:noVBand="1"/>
      </w:tblPr>
      <w:tblGrid>
        <w:gridCol w:w="2122"/>
        <w:gridCol w:w="6945"/>
      </w:tblGrid>
      <w:tr w:rsidR="00B46F86" w:rsidRPr="00B46F86" w14:paraId="73F8A22C" w14:textId="77777777" w:rsidTr="00B46F86">
        <w:tc>
          <w:tcPr>
            <w:cnfStyle w:val="001000000000" w:firstRow="0" w:lastRow="0" w:firstColumn="1" w:lastColumn="0" w:oddVBand="0" w:evenVBand="0" w:oddHBand="0" w:evenHBand="0" w:firstRowFirstColumn="0" w:firstRowLastColumn="0" w:lastRowFirstColumn="0" w:lastRowLastColumn="0"/>
            <w:tcW w:w="2122" w:type="dxa"/>
          </w:tcPr>
          <w:p w14:paraId="3F580534" w14:textId="7C2F01FC" w:rsidR="00B46F86" w:rsidRPr="00B46F86" w:rsidRDefault="00B46F86" w:rsidP="00B46F86">
            <w:r>
              <w:t>Person to whom the approval is granted (approval holder)</w:t>
            </w:r>
          </w:p>
        </w:tc>
        <w:tc>
          <w:tcPr>
            <w:tcW w:w="6945" w:type="dxa"/>
          </w:tcPr>
          <w:p w14:paraId="2ECC7030" w14:textId="2168684B" w:rsidR="00B46F86" w:rsidRPr="00B46F86" w:rsidRDefault="00DC065E" w:rsidP="00B46F86">
            <w:pPr>
              <w:cnfStyle w:val="000000000000" w:firstRow="0" w:lastRow="0" w:firstColumn="0" w:lastColumn="0" w:oddVBand="0" w:evenVBand="0" w:oddHBand="0" w:evenHBand="0" w:firstRowFirstColumn="0" w:firstRowLastColumn="0" w:lastRowFirstColumn="0" w:lastRowLastColumn="0"/>
            </w:pPr>
            <w:r>
              <w:t>The Commonwealth of Australia as represented by the Department of Industry, Science and Resources</w:t>
            </w:r>
          </w:p>
        </w:tc>
      </w:tr>
      <w:tr w:rsidR="00B46F86" w:rsidRPr="00B46F86" w14:paraId="4B0347EE" w14:textId="77777777" w:rsidTr="00B46F86">
        <w:tc>
          <w:tcPr>
            <w:cnfStyle w:val="001000000000" w:firstRow="0" w:lastRow="0" w:firstColumn="1" w:lastColumn="0" w:oddVBand="0" w:evenVBand="0" w:oddHBand="0" w:evenHBand="0" w:firstRowFirstColumn="0" w:firstRowLastColumn="0" w:lastRowFirstColumn="0" w:lastRowLastColumn="0"/>
            <w:tcW w:w="2122" w:type="dxa"/>
          </w:tcPr>
          <w:p w14:paraId="24726FCA" w14:textId="69AB3A1E" w:rsidR="00B46F86" w:rsidRPr="00B46F86" w:rsidRDefault="00B46F86" w:rsidP="00B46F86">
            <w:r>
              <w:t>ABN of approval holder</w:t>
            </w:r>
          </w:p>
        </w:tc>
        <w:tc>
          <w:tcPr>
            <w:tcW w:w="6945" w:type="dxa"/>
          </w:tcPr>
          <w:p w14:paraId="55377152" w14:textId="4CD8E691" w:rsidR="00B46F86" w:rsidRPr="00B46F86" w:rsidRDefault="008340DE" w:rsidP="00B46F86">
            <w:pPr>
              <w:cnfStyle w:val="000000000000" w:firstRow="0" w:lastRow="0" w:firstColumn="0" w:lastColumn="0" w:oddVBand="0" w:evenVBand="0" w:oddHBand="0" w:evenHBand="0" w:firstRowFirstColumn="0" w:firstRowLastColumn="0" w:lastRowFirstColumn="0" w:lastRowLastColumn="0"/>
            </w:pPr>
            <w:r>
              <w:t>74 599 608 295</w:t>
            </w:r>
          </w:p>
        </w:tc>
      </w:tr>
      <w:tr w:rsidR="00B46F86" w:rsidRPr="00B46F86" w14:paraId="6DA365CD" w14:textId="77777777" w:rsidTr="00B46F86">
        <w:tc>
          <w:tcPr>
            <w:cnfStyle w:val="001000000000" w:firstRow="0" w:lastRow="0" w:firstColumn="1" w:lastColumn="0" w:oddVBand="0" w:evenVBand="0" w:oddHBand="0" w:evenHBand="0" w:firstRowFirstColumn="0" w:firstRowLastColumn="0" w:lastRowFirstColumn="0" w:lastRowLastColumn="0"/>
            <w:tcW w:w="2122" w:type="dxa"/>
          </w:tcPr>
          <w:p w14:paraId="57EB59F0" w14:textId="4DBF9AE9" w:rsidR="00B46F86" w:rsidRPr="00B46F86" w:rsidRDefault="00B46F86" w:rsidP="00B46F86">
            <w:r>
              <w:t>Action</w:t>
            </w:r>
          </w:p>
        </w:tc>
        <w:tc>
          <w:tcPr>
            <w:tcW w:w="6945" w:type="dxa"/>
          </w:tcPr>
          <w:p w14:paraId="7AE63C47" w14:textId="54574E9F" w:rsidR="00B46F86" w:rsidRPr="00B46F86" w:rsidRDefault="00112B38" w:rsidP="00B46F86">
            <w:pPr>
              <w:cnfStyle w:val="000000000000" w:firstRow="0" w:lastRow="0" w:firstColumn="0" w:lastColumn="0" w:oddVBand="0" w:evenVBand="0" w:oddHBand="0" w:evenHBand="0" w:firstRowFirstColumn="0" w:firstRowLastColumn="0" w:lastRowFirstColumn="0" w:lastRowLastColumn="0"/>
            </w:pPr>
            <w:r>
              <w:t>To undertake routine operations and maintenance operations (lighthouse operations and short-term well injections) and Phase 1 decommissioning activities of the Northern Endeavour floating production and storage offtake facility and its associated Laminaria and Corallina resource fields to enable un-crewed towing (See EPBC Act referral 2022/09327).</w:t>
            </w:r>
          </w:p>
        </w:tc>
      </w:tr>
    </w:tbl>
    <w:p w14:paraId="15CF8C01" w14:textId="275D89F3" w:rsidR="00D87C5E" w:rsidRDefault="001C024B" w:rsidP="001C024B">
      <w:pPr>
        <w:spacing w:after="160" w:line="259" w:lineRule="auto"/>
        <w:rPr>
          <w:rFonts w:asciiTheme="majorHAnsi" w:eastAsiaTheme="majorEastAsia" w:hAnsiTheme="majorHAnsi" w:cstheme="majorBidi"/>
          <w:color w:val="0766A5" w:themeColor="accent1"/>
          <w:sz w:val="48"/>
          <w:szCs w:val="48"/>
        </w:rPr>
      </w:pPr>
      <w:r>
        <w:t xml:space="preserve">Full detail of the approval is available on </w:t>
      </w:r>
      <w:r w:rsidR="00FE01F2">
        <w:t>D</w:t>
      </w:r>
      <w:r>
        <w:t>CCEEW</w:t>
      </w:r>
      <w:r w:rsidR="00FE01F2">
        <w:t xml:space="preserve">’s </w:t>
      </w:r>
      <w:hyperlink r:id="rId40" w:history="1">
        <w:r w:rsidR="00FE01F2" w:rsidRPr="006F6ADE">
          <w:rPr>
            <w:rStyle w:val="Hyperlink"/>
          </w:rPr>
          <w:t>EPBC Act Public Portal</w:t>
        </w:r>
      </w:hyperlink>
      <w:r>
        <w:t xml:space="preserve">. </w:t>
      </w:r>
    </w:p>
    <w:p w14:paraId="161BF309" w14:textId="77777777" w:rsidR="0029677A" w:rsidRDefault="0029677A">
      <w:pPr>
        <w:spacing w:before="0" w:after="160" w:line="259" w:lineRule="auto"/>
        <w:rPr>
          <w:rFonts w:asciiTheme="majorHAnsi" w:eastAsiaTheme="majorEastAsia" w:hAnsiTheme="majorHAnsi" w:cstheme="majorBidi"/>
          <w:color w:val="0766A5" w:themeColor="accent1"/>
          <w:sz w:val="48"/>
          <w:szCs w:val="48"/>
        </w:rPr>
      </w:pPr>
      <w:r>
        <w:br w:type="page"/>
      </w:r>
    </w:p>
    <w:p w14:paraId="3DE6F37A" w14:textId="17CB046F" w:rsidR="00BC3F9B" w:rsidRPr="00001756" w:rsidRDefault="00BC3F9B" w:rsidP="00FB1B27">
      <w:pPr>
        <w:pStyle w:val="Heading2"/>
        <w:ind w:left="567" w:hanging="567"/>
      </w:pPr>
      <w:bookmarkStart w:id="140" w:name="_Toc180504229"/>
      <w:r>
        <w:lastRenderedPageBreak/>
        <w:t xml:space="preserve">Attachment B - </w:t>
      </w:r>
      <w:r w:rsidRPr="00B11B5E">
        <w:rPr>
          <w:lang w:val="en-US"/>
        </w:rPr>
        <w:t>Conditions as varied on 5 April 2024</w:t>
      </w:r>
      <w:bookmarkEnd w:id="140"/>
    </w:p>
    <w:p w14:paraId="490357F0" w14:textId="45E59326" w:rsidR="00A641F7" w:rsidRDefault="00351A79" w:rsidP="00A641F7">
      <w:pPr>
        <w:spacing w:before="0" w:after="0"/>
      </w:pPr>
      <w:bookmarkStart w:id="141" w:name="_Toc179896144"/>
      <w:r w:rsidRPr="003B5F7F">
        <w:t xml:space="preserve">On </w:t>
      </w:r>
      <w:r>
        <w:t>5 April 2024, u</w:t>
      </w:r>
      <w:r>
        <w:rPr>
          <w:lang w:val="en-US"/>
        </w:rPr>
        <w:t xml:space="preserve">nder section 143 of the </w:t>
      </w:r>
      <w:r w:rsidRPr="00CB2885">
        <w:rPr>
          <w:i/>
          <w:iCs/>
          <w:lang w:val="en-US"/>
        </w:rPr>
        <w:t>Environmental Protection and Biodiversity Conservation Act 1999</w:t>
      </w:r>
      <w:r>
        <w:rPr>
          <w:lang w:val="en-US"/>
        </w:rPr>
        <w:t xml:space="preserve"> (EPBC ACT), t</w:t>
      </w:r>
      <w:r w:rsidRPr="001A0788">
        <w:t>he delegate to the Minister for the Environment</w:t>
      </w:r>
      <w:r>
        <w:t xml:space="preserve"> and Water</w:t>
      </w:r>
      <w:r w:rsidRPr="001A0788">
        <w:t>, the Hon Tanya Plibersek MP</w:t>
      </w:r>
      <w:r>
        <w:t xml:space="preserve">, </w:t>
      </w:r>
      <w:r w:rsidRPr="003B5F7F">
        <w:t xml:space="preserve">issued an approval </w:t>
      </w:r>
      <w:r w:rsidR="00251A85">
        <w:t>to vary c</w:t>
      </w:r>
      <w:r w:rsidR="00C05543">
        <w:t>ondition</w:t>
      </w:r>
      <w:r w:rsidR="004C6C15">
        <w:t xml:space="preserve"> 21</w:t>
      </w:r>
      <w:r w:rsidR="008972E5">
        <w:t xml:space="preserve"> of </w:t>
      </w:r>
      <w:r w:rsidR="00A641F7">
        <w:t xml:space="preserve">the </w:t>
      </w:r>
      <w:r w:rsidR="00A641F7" w:rsidRPr="003B5F7F">
        <w:t xml:space="preserve">approval with conditions for the action, under the title </w:t>
      </w:r>
      <w:r w:rsidR="00A641F7">
        <w:t>‘</w:t>
      </w:r>
      <w:r w:rsidR="00A641F7" w:rsidRPr="003B5F7F">
        <w:t>Northern Endeavour Phase 1 Decommissioning</w:t>
      </w:r>
      <w:r w:rsidR="00A641F7">
        <w:t>'</w:t>
      </w:r>
      <w:r w:rsidR="00A641F7" w:rsidRPr="003B5F7F">
        <w:t xml:space="preserve"> (</w:t>
      </w:r>
      <w:hyperlink r:id="rId41" w:history="1">
        <w:r w:rsidR="00A641F7" w:rsidRPr="003B5F7F">
          <w:rPr>
            <w:rStyle w:val="Hyperlink"/>
          </w:rPr>
          <w:t>EPBC 2022/09327</w:t>
        </w:r>
      </w:hyperlink>
      <w:r w:rsidR="00A641F7" w:rsidRPr="003B5F7F">
        <w:t>).</w:t>
      </w:r>
      <w:r w:rsidR="00A641F7">
        <w:t xml:space="preserve"> </w:t>
      </w:r>
    </w:p>
    <w:p w14:paraId="3DE0EEE4" w14:textId="77777777" w:rsidR="00A641F7" w:rsidRDefault="00A641F7" w:rsidP="00A641F7">
      <w:pPr>
        <w:spacing w:before="0" w:after="0"/>
      </w:pPr>
    </w:p>
    <w:p w14:paraId="22A6B501" w14:textId="4482A7ED" w:rsidR="00351A79" w:rsidRDefault="00A641F7" w:rsidP="00A641F7">
      <w:pPr>
        <w:pStyle w:val="Heading3"/>
        <w:ind w:left="851" w:hanging="851"/>
        <w:rPr>
          <w:lang w:val="en-US"/>
        </w:rPr>
      </w:pPr>
      <w:bookmarkStart w:id="142" w:name="_Toc180504230"/>
      <w:r>
        <w:rPr>
          <w:lang w:val="en-US"/>
        </w:rPr>
        <w:t>Approved action</w:t>
      </w:r>
      <w:bookmarkEnd w:id="142"/>
    </w:p>
    <w:tbl>
      <w:tblPr>
        <w:tblStyle w:val="Verticaltable1"/>
        <w:tblW w:w="9067" w:type="dxa"/>
        <w:tblLook w:val="04A0" w:firstRow="1" w:lastRow="0" w:firstColumn="1" w:lastColumn="0" w:noHBand="0" w:noVBand="1"/>
      </w:tblPr>
      <w:tblGrid>
        <w:gridCol w:w="2122"/>
        <w:gridCol w:w="6945"/>
      </w:tblGrid>
      <w:tr w:rsidR="00AA5B33" w:rsidRPr="00B46F86" w14:paraId="72FED1B4" w14:textId="77777777" w:rsidTr="00701582">
        <w:tc>
          <w:tcPr>
            <w:cnfStyle w:val="001000000000" w:firstRow="0" w:lastRow="0" w:firstColumn="1" w:lastColumn="0" w:oddVBand="0" w:evenVBand="0" w:oddHBand="0" w:evenHBand="0" w:firstRowFirstColumn="0" w:firstRowLastColumn="0" w:lastRowFirstColumn="0" w:lastRowLastColumn="0"/>
            <w:tcW w:w="2122" w:type="dxa"/>
          </w:tcPr>
          <w:p w14:paraId="46C910FC" w14:textId="562A7666" w:rsidR="00AA5B33" w:rsidRPr="00B46F86" w:rsidRDefault="00AA5B33" w:rsidP="00701582">
            <w:r>
              <w:t>Approval holder</w:t>
            </w:r>
          </w:p>
        </w:tc>
        <w:tc>
          <w:tcPr>
            <w:tcW w:w="6945" w:type="dxa"/>
          </w:tcPr>
          <w:p w14:paraId="50199C0F" w14:textId="77777777" w:rsidR="00AA5B33" w:rsidRDefault="00AA5B33" w:rsidP="00701582">
            <w:pPr>
              <w:cnfStyle w:val="000000000000" w:firstRow="0" w:lastRow="0" w:firstColumn="0" w:lastColumn="0" w:oddVBand="0" w:evenVBand="0" w:oddHBand="0" w:evenHBand="0" w:firstRowFirstColumn="0" w:firstRowLastColumn="0" w:lastRowFirstColumn="0" w:lastRowLastColumn="0"/>
            </w:pPr>
            <w:r>
              <w:t>The Commonwealth of Australia as represented by the Department of Industry, Science and Resources</w:t>
            </w:r>
          </w:p>
          <w:p w14:paraId="2A9D637F" w14:textId="21CAE1F0" w:rsidR="00D27F53" w:rsidRPr="00B46F86" w:rsidRDefault="00D27F53" w:rsidP="00701582">
            <w:pPr>
              <w:cnfStyle w:val="000000000000" w:firstRow="0" w:lastRow="0" w:firstColumn="0" w:lastColumn="0" w:oddVBand="0" w:evenVBand="0" w:oddHBand="0" w:evenHBand="0" w:firstRowFirstColumn="0" w:firstRowLastColumn="0" w:lastRowFirstColumn="0" w:lastRowLastColumn="0"/>
            </w:pPr>
            <w:r>
              <w:t>ABN: 74 599 608 295</w:t>
            </w:r>
          </w:p>
        </w:tc>
      </w:tr>
      <w:tr w:rsidR="00D27F53" w:rsidRPr="00B46F86" w14:paraId="7CD144AF" w14:textId="77777777" w:rsidTr="00701582">
        <w:tc>
          <w:tcPr>
            <w:cnfStyle w:val="001000000000" w:firstRow="0" w:lastRow="0" w:firstColumn="1" w:lastColumn="0" w:oddVBand="0" w:evenVBand="0" w:oddHBand="0" w:evenHBand="0" w:firstRowFirstColumn="0" w:firstRowLastColumn="0" w:lastRowFirstColumn="0" w:lastRowLastColumn="0"/>
            <w:tcW w:w="2122" w:type="dxa"/>
          </w:tcPr>
          <w:p w14:paraId="34BFED0A" w14:textId="6CF66384" w:rsidR="00D27F53" w:rsidRPr="00B46F86" w:rsidRDefault="00D27F53" w:rsidP="00D27F53">
            <w:r>
              <w:t>Action</w:t>
            </w:r>
          </w:p>
        </w:tc>
        <w:tc>
          <w:tcPr>
            <w:tcW w:w="6945" w:type="dxa"/>
          </w:tcPr>
          <w:p w14:paraId="6D417CF2" w14:textId="77777777" w:rsidR="00CF6985" w:rsidRDefault="00D27F53" w:rsidP="00D27F53">
            <w:pPr>
              <w:cnfStyle w:val="000000000000" w:firstRow="0" w:lastRow="0" w:firstColumn="0" w:lastColumn="0" w:oddVBand="0" w:evenVBand="0" w:oddHBand="0" w:evenHBand="0" w:firstRowFirstColumn="0" w:firstRowLastColumn="0" w:lastRowFirstColumn="0" w:lastRowLastColumn="0"/>
            </w:pPr>
            <w:r>
              <w:t>To undertake routine operations and maintenance operations (lighthouse operations and short-term well injections) and Phase 1 decommissioning activities of the Northern Endeavour floating production and storage offtake facility and its associated Laminaria and Corallina resource fields to enable un-crewed towing</w:t>
            </w:r>
            <w:r w:rsidR="00CF6985">
              <w:t>.</w:t>
            </w:r>
          </w:p>
          <w:p w14:paraId="41F55BD8" w14:textId="51361467" w:rsidR="00D27F53" w:rsidRPr="00B46F86" w:rsidRDefault="00D27F53" w:rsidP="00D27F53">
            <w:pPr>
              <w:cnfStyle w:val="000000000000" w:firstRow="0" w:lastRow="0" w:firstColumn="0" w:lastColumn="0" w:oddVBand="0" w:evenVBand="0" w:oddHBand="0" w:evenHBand="0" w:firstRowFirstColumn="0" w:firstRowLastColumn="0" w:lastRowFirstColumn="0" w:lastRowLastColumn="0"/>
            </w:pPr>
            <w:r>
              <w:t>See EPBC Act referral 2022/09327</w:t>
            </w:r>
            <w:r w:rsidR="005A27A6">
              <w:t>.</w:t>
            </w:r>
          </w:p>
        </w:tc>
      </w:tr>
      <w:tr w:rsidR="00AA5B33" w:rsidRPr="00B46F86" w14:paraId="4CAA40EB" w14:textId="77777777" w:rsidTr="00701582">
        <w:tc>
          <w:tcPr>
            <w:cnfStyle w:val="001000000000" w:firstRow="0" w:lastRow="0" w:firstColumn="1" w:lastColumn="0" w:oddVBand="0" w:evenVBand="0" w:oddHBand="0" w:evenHBand="0" w:firstRowFirstColumn="0" w:firstRowLastColumn="0" w:lastRowFirstColumn="0" w:lastRowLastColumn="0"/>
            <w:tcW w:w="2122" w:type="dxa"/>
          </w:tcPr>
          <w:p w14:paraId="0344D7E7" w14:textId="791B6232" w:rsidR="00AA5B33" w:rsidRPr="00B46F86" w:rsidRDefault="00F6249F" w:rsidP="00701582">
            <w:r>
              <w:t>Variation of conditions attached to approval</w:t>
            </w:r>
          </w:p>
        </w:tc>
        <w:tc>
          <w:tcPr>
            <w:tcW w:w="6945" w:type="dxa"/>
          </w:tcPr>
          <w:p w14:paraId="433AF10A" w14:textId="77777777" w:rsidR="003B79AE" w:rsidRDefault="003B79AE" w:rsidP="00701582">
            <w:pPr>
              <w:cnfStyle w:val="000000000000" w:firstRow="0" w:lastRow="0" w:firstColumn="0" w:lastColumn="0" w:oddVBand="0" w:evenVBand="0" w:oddHBand="0" w:evenHBand="0" w:firstRowFirstColumn="0" w:firstRowLastColumn="0" w:lastRowFirstColumn="0" w:lastRowLastColumn="0"/>
            </w:pPr>
            <w:r>
              <w:t xml:space="preserve">The variation is: </w:t>
            </w:r>
          </w:p>
          <w:p w14:paraId="2EA54BC6" w14:textId="77777777" w:rsidR="003B79AE" w:rsidRDefault="003B79AE" w:rsidP="00701582">
            <w:pPr>
              <w:cnfStyle w:val="000000000000" w:firstRow="0" w:lastRow="0" w:firstColumn="0" w:lastColumn="0" w:oddVBand="0" w:evenVBand="0" w:oddHBand="0" w:evenHBand="0" w:firstRowFirstColumn="0" w:firstRowLastColumn="0" w:lastRowFirstColumn="0" w:lastRowLastColumn="0"/>
            </w:pPr>
            <w:r>
              <w:t xml:space="preserve">Delete Condition 21 attached to the approval and substitute with the condition specified in the table below. </w:t>
            </w:r>
          </w:p>
          <w:p w14:paraId="031B62CF" w14:textId="473DF322" w:rsidR="00AA5B33" w:rsidRPr="00B46F86" w:rsidRDefault="003B79AE" w:rsidP="00701582">
            <w:pPr>
              <w:cnfStyle w:val="000000000000" w:firstRow="0" w:lastRow="0" w:firstColumn="0" w:lastColumn="0" w:oddVBand="0" w:evenVBand="0" w:oddHBand="0" w:evenHBand="0" w:firstRowFirstColumn="0" w:firstRowLastColumn="0" w:lastRowFirstColumn="0" w:lastRowLastColumn="0"/>
            </w:pPr>
            <w:r>
              <w:t xml:space="preserve">Delete definition of </w:t>
            </w:r>
            <w:r w:rsidRPr="003B79AE">
              <w:rPr>
                <w:b/>
                <w:bCs/>
              </w:rPr>
              <w:t>Default guideline value(s)</w:t>
            </w:r>
            <w:r>
              <w:t xml:space="preserve"> attached to the approval and substitute with the definition specified in the table below.</w:t>
            </w:r>
          </w:p>
        </w:tc>
      </w:tr>
      <w:tr w:rsidR="00F6249F" w:rsidRPr="00B46F86" w14:paraId="36C93960" w14:textId="77777777" w:rsidTr="00701582">
        <w:tc>
          <w:tcPr>
            <w:cnfStyle w:val="001000000000" w:firstRow="0" w:lastRow="0" w:firstColumn="1" w:lastColumn="0" w:oddVBand="0" w:evenVBand="0" w:oddHBand="0" w:evenHBand="0" w:firstRowFirstColumn="0" w:firstRowLastColumn="0" w:lastRowFirstColumn="0" w:lastRowLastColumn="0"/>
            <w:tcW w:w="2122" w:type="dxa"/>
          </w:tcPr>
          <w:p w14:paraId="7A81E9AE" w14:textId="19C445C4" w:rsidR="00F6249F" w:rsidRDefault="00EE0FF9" w:rsidP="00701582">
            <w:r>
              <w:t>Date of effect</w:t>
            </w:r>
          </w:p>
        </w:tc>
        <w:tc>
          <w:tcPr>
            <w:tcW w:w="6945" w:type="dxa"/>
          </w:tcPr>
          <w:p w14:paraId="64EEC35A" w14:textId="6A6222BD" w:rsidR="00F6249F" w:rsidRPr="00B46F86" w:rsidRDefault="003F1ACC" w:rsidP="00701582">
            <w:pPr>
              <w:cnfStyle w:val="000000000000" w:firstRow="0" w:lastRow="0" w:firstColumn="0" w:lastColumn="0" w:oddVBand="0" w:evenVBand="0" w:oddHBand="0" w:evenHBand="0" w:firstRowFirstColumn="0" w:firstRowLastColumn="0" w:lastRowFirstColumn="0" w:lastRowLastColumn="0"/>
            </w:pPr>
            <w:r>
              <w:t>This variation has effect on the date this instrument is signed.</w:t>
            </w:r>
          </w:p>
        </w:tc>
      </w:tr>
    </w:tbl>
    <w:p w14:paraId="0709456C" w14:textId="64D0C0E8" w:rsidR="003F1ACC" w:rsidRDefault="003F1ACC" w:rsidP="003F1ACC">
      <w:pPr>
        <w:spacing w:after="160" w:line="259" w:lineRule="auto"/>
        <w:rPr>
          <w:rFonts w:asciiTheme="majorHAnsi" w:eastAsiaTheme="majorEastAsia" w:hAnsiTheme="majorHAnsi" w:cstheme="majorBidi"/>
          <w:color w:val="0766A5" w:themeColor="accent1"/>
          <w:sz w:val="48"/>
          <w:szCs w:val="48"/>
        </w:rPr>
      </w:pPr>
      <w:r>
        <w:t xml:space="preserve">Full detail of the approval is available on DCCEEW’s </w:t>
      </w:r>
      <w:hyperlink r:id="rId42" w:history="1">
        <w:r w:rsidRPr="006F6ADE">
          <w:rPr>
            <w:rStyle w:val="Hyperlink"/>
          </w:rPr>
          <w:t>EPBC Act Public Portal</w:t>
        </w:r>
      </w:hyperlink>
      <w:r>
        <w:t xml:space="preserve">. </w:t>
      </w:r>
    </w:p>
    <w:bookmarkEnd w:id="141"/>
    <w:p w14:paraId="119C0E2F" w14:textId="06A30748" w:rsidR="00BC3F9B" w:rsidRPr="007E71A3" w:rsidRDefault="00BC3F9B" w:rsidP="006E0ED0">
      <w:pPr>
        <w:pStyle w:val="Heading2"/>
        <w:numPr>
          <w:ilvl w:val="0"/>
          <w:numId w:val="0"/>
        </w:numPr>
        <w:ind w:left="851" w:hanging="851"/>
        <w:rPr>
          <w:rFonts w:asciiTheme="minorHAnsi" w:eastAsiaTheme="minorHAnsi" w:hAnsiTheme="minorHAnsi" w:cstheme="minorBidi"/>
          <w:color w:val="auto"/>
          <w:sz w:val="20"/>
          <w:szCs w:val="22"/>
          <w:lang w:val="en-US"/>
        </w:rPr>
        <w:sectPr w:rsidR="00BC3F9B" w:rsidRPr="007E71A3" w:rsidSect="003823A6">
          <w:footerReference w:type="default" r:id="rId43"/>
          <w:pgSz w:w="11906" w:h="16838"/>
          <w:pgMar w:top="1276" w:right="1440" w:bottom="1440" w:left="1440" w:header="851" w:footer="708" w:gutter="0"/>
          <w:cols w:space="708"/>
          <w:docGrid w:linePitch="360"/>
        </w:sectPr>
      </w:pPr>
    </w:p>
    <w:p w14:paraId="16675405" w14:textId="0CC88048" w:rsidR="00267A72" w:rsidRDefault="00BC3F9B" w:rsidP="006E0ED0">
      <w:pPr>
        <w:pStyle w:val="Heading2"/>
        <w:ind w:left="851" w:hanging="851"/>
        <w:rPr>
          <w:lang w:val="en-US"/>
        </w:rPr>
      </w:pPr>
      <w:bookmarkStart w:id="143" w:name="_Toc180504231"/>
      <w:r>
        <w:lastRenderedPageBreak/>
        <w:t xml:space="preserve">Attachment C </w:t>
      </w:r>
      <w:r w:rsidR="006E0ED0">
        <w:t>–</w:t>
      </w:r>
      <w:r>
        <w:t xml:space="preserve"> </w:t>
      </w:r>
      <w:r w:rsidR="006E0ED0">
        <w:t xml:space="preserve">Detail of </w:t>
      </w:r>
      <w:r w:rsidR="00CA78D7">
        <w:rPr>
          <w:lang w:val="en-US"/>
        </w:rPr>
        <w:t>com</w:t>
      </w:r>
      <w:r w:rsidRPr="00B11B5E">
        <w:rPr>
          <w:lang w:val="en-US"/>
        </w:rPr>
        <w:t>pliance</w:t>
      </w:r>
      <w:r w:rsidR="006E0ED0">
        <w:rPr>
          <w:lang w:val="en-US"/>
        </w:rPr>
        <w:t xml:space="preserve"> </w:t>
      </w:r>
      <w:r w:rsidRPr="00B11B5E">
        <w:rPr>
          <w:lang w:val="en-US"/>
        </w:rPr>
        <w:t>with conditions of approval</w:t>
      </w:r>
      <w:r w:rsidR="006E0ED0">
        <w:rPr>
          <w:lang w:val="en-US"/>
        </w:rPr>
        <w:t>.</w:t>
      </w:r>
      <w:bookmarkEnd w:id="143"/>
    </w:p>
    <w:p w14:paraId="3CCF7371" w14:textId="77A5555D" w:rsidR="00CA78D7" w:rsidRPr="00CA78D7" w:rsidRDefault="00CA78D7" w:rsidP="00CA78D7">
      <w:pPr>
        <w:pStyle w:val="Heading3"/>
        <w:ind w:left="851" w:hanging="851"/>
        <w:rPr>
          <w:lang w:val="en-US"/>
        </w:rPr>
      </w:pPr>
      <w:bookmarkStart w:id="144" w:name="_Toc180504232"/>
      <w:r>
        <w:rPr>
          <w:lang w:val="en-US"/>
        </w:rPr>
        <w:t>Management plans</w:t>
      </w:r>
      <w:bookmarkEnd w:id="144"/>
    </w:p>
    <w:tbl>
      <w:tblPr>
        <w:tblStyle w:val="GridTable4-Accent4"/>
        <w:tblW w:w="14116" w:type="dxa"/>
        <w:tblLook w:val="04A0" w:firstRow="1" w:lastRow="0" w:firstColumn="1" w:lastColumn="0" w:noHBand="0" w:noVBand="1"/>
      </w:tblPr>
      <w:tblGrid>
        <w:gridCol w:w="1117"/>
        <w:gridCol w:w="6253"/>
        <w:gridCol w:w="1559"/>
        <w:gridCol w:w="5187"/>
      </w:tblGrid>
      <w:tr w:rsidR="003823A6" w14:paraId="0C32139D" w14:textId="77777777" w:rsidTr="003823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0C0D8B22" w14:textId="5007A9C3" w:rsidR="003823A6" w:rsidRDefault="003823A6" w:rsidP="003823A6">
            <w:r w:rsidRPr="00301BF4" w:rsidDel="00267A72">
              <w:rPr>
                <w:rFonts w:ascii="Aptos" w:hAnsi="Aptos"/>
                <w:szCs w:val="20"/>
              </w:rPr>
              <w:t>Co</w:t>
            </w:r>
            <w:r w:rsidRPr="00301BF4">
              <w:rPr>
                <w:rFonts w:ascii="Aptos" w:hAnsi="Aptos"/>
                <w:szCs w:val="20"/>
              </w:rPr>
              <w:t xml:space="preserve">ndition </w:t>
            </w:r>
            <w:r w:rsidR="005A0F0F">
              <w:rPr>
                <w:rFonts w:ascii="Aptos" w:hAnsi="Aptos"/>
                <w:szCs w:val="20"/>
              </w:rPr>
              <w:t>n</w:t>
            </w:r>
            <w:r w:rsidRPr="00301BF4" w:rsidDel="00995D1A">
              <w:rPr>
                <w:rFonts w:ascii="Aptos" w:hAnsi="Aptos"/>
                <w:szCs w:val="20"/>
              </w:rPr>
              <w:t>umber</w:t>
            </w:r>
          </w:p>
        </w:tc>
        <w:tc>
          <w:tcPr>
            <w:tcW w:w="6253" w:type="dxa"/>
          </w:tcPr>
          <w:p w14:paraId="7E9F55C3" w14:textId="0C005637"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Condition</w:t>
            </w:r>
          </w:p>
        </w:tc>
        <w:tc>
          <w:tcPr>
            <w:tcW w:w="1559" w:type="dxa"/>
          </w:tcPr>
          <w:p w14:paraId="41AA25CE" w14:textId="645B2080"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Compliance</w:t>
            </w:r>
          </w:p>
        </w:tc>
        <w:tc>
          <w:tcPr>
            <w:tcW w:w="5187" w:type="dxa"/>
          </w:tcPr>
          <w:p w14:paraId="3779355D" w14:textId="2BBF44C2" w:rsidR="003823A6" w:rsidRDefault="003823A6" w:rsidP="003823A6">
            <w:pPr>
              <w:cnfStyle w:val="100000000000" w:firstRow="1" w:lastRow="0" w:firstColumn="0" w:lastColumn="0" w:oddVBand="0" w:evenVBand="0" w:oddHBand="0" w:evenHBand="0" w:firstRowFirstColumn="0" w:firstRowLastColumn="0" w:lastRowFirstColumn="0" w:lastRowLastColumn="0"/>
            </w:pPr>
            <w:r w:rsidRPr="00301BF4">
              <w:rPr>
                <w:rFonts w:ascii="Aptos" w:hAnsi="Aptos"/>
                <w:szCs w:val="20"/>
              </w:rPr>
              <w:t>Evidence/Comments</w:t>
            </w:r>
          </w:p>
        </w:tc>
      </w:tr>
      <w:tr w:rsidR="003823A6" w14:paraId="7A28857D"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8272D7F" w14:textId="4B2C0883" w:rsidR="003823A6" w:rsidRDefault="003823A6" w:rsidP="003823A6">
            <w:r w:rsidRPr="006E0027">
              <w:rPr>
                <w:rFonts w:ascii="Aptos" w:eastAsia="Aptos" w:hAnsi="Aptos" w:cs="Aptos"/>
                <w:color w:val="000000" w:themeColor="text1"/>
                <w:szCs w:val="20"/>
              </w:rPr>
              <w:t>1)</w:t>
            </w:r>
          </w:p>
        </w:tc>
        <w:tc>
          <w:tcPr>
            <w:tcW w:w="6253" w:type="dxa"/>
          </w:tcPr>
          <w:p w14:paraId="734F74CF" w14:textId="77777777" w:rsidR="003823A6" w:rsidRPr="006E0027" w:rsidRDefault="003823A6" w:rsidP="00554C72">
            <w:pPr>
              <w:spacing w:after="0" w:line="276" w:lineRule="auto"/>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To prevent, mitigate and manage harm to protected matters, the approval holder must implement the following management plans from the date of this approval notice until the expiry date of this approval, except where the implementation of these plans is superseded by other requirements of this approval</w:t>
            </w:r>
            <w:r>
              <w:rPr>
                <w:rFonts w:ascii="Aptos" w:hAnsi="Aptos"/>
                <w:bCs/>
                <w:szCs w:val="20"/>
              </w:rPr>
              <w:t>.</w:t>
            </w:r>
          </w:p>
          <w:p w14:paraId="12095B93" w14:textId="567FAC47" w:rsidR="003823A6" w:rsidRDefault="003823A6" w:rsidP="003823A6">
            <w:pPr>
              <w:cnfStyle w:val="000000100000" w:firstRow="0" w:lastRow="0" w:firstColumn="0" w:lastColumn="0" w:oddVBand="0" w:evenVBand="0" w:oddHBand="1" w:evenHBand="0" w:firstRowFirstColumn="0" w:firstRowLastColumn="0" w:lastRowFirstColumn="0" w:lastRowLastColumn="0"/>
            </w:pPr>
            <w:r w:rsidRPr="005966E6">
              <w:rPr>
                <w:rStyle w:val="Strong"/>
              </w:rPr>
              <w:t>Note:</w:t>
            </w:r>
            <w:r w:rsidRPr="006E0027">
              <w:t xml:space="preserve"> If there is a contradiction between a requirement in the Oil Pollution Emergency Plan or in the </w:t>
            </w:r>
            <w:r w:rsidR="000604CB">
              <w:t xml:space="preserve">3 </w:t>
            </w:r>
            <w:r w:rsidRPr="006E0027">
              <w:t xml:space="preserve">Decommissioning Project Emergency Response Plans and a requirement in any other plan, the requirement of the Oil Pollution Emergency Plan and the </w:t>
            </w:r>
            <w:r w:rsidR="005C18AF">
              <w:t xml:space="preserve">3 </w:t>
            </w:r>
            <w:r w:rsidRPr="006E0027">
              <w:t>Decommissioning Project Emergency Response Plans takes precedence over any contrary requirement of any other plan.</w:t>
            </w:r>
          </w:p>
        </w:tc>
        <w:tc>
          <w:tcPr>
            <w:tcW w:w="1559" w:type="dxa"/>
          </w:tcPr>
          <w:p w14:paraId="0C0AC264" w14:textId="4073CB06" w:rsidR="003823A6" w:rsidRDefault="003823A6" w:rsidP="003823A6">
            <w:pPr>
              <w:cnfStyle w:val="000000100000" w:firstRow="0" w:lastRow="0" w:firstColumn="0" w:lastColumn="0" w:oddVBand="0" w:evenVBand="0" w:oddHBand="1" w:evenHBand="0" w:firstRowFirstColumn="0" w:firstRowLastColumn="0" w:lastRowFirstColumn="0" w:lastRowLastColumn="0"/>
            </w:pPr>
            <w:r w:rsidRPr="006E0027">
              <w:rPr>
                <w:rFonts w:ascii="Aptos" w:eastAsia="Aptos" w:hAnsi="Aptos" w:cs="Aptos"/>
                <w:bCs/>
                <w:color w:val="000000" w:themeColor="text1"/>
                <w:szCs w:val="20"/>
              </w:rPr>
              <w:t>Compliant</w:t>
            </w:r>
          </w:p>
        </w:tc>
        <w:tc>
          <w:tcPr>
            <w:tcW w:w="5187" w:type="dxa"/>
          </w:tcPr>
          <w:p w14:paraId="13D01B59" w14:textId="35408B88" w:rsidR="003823A6" w:rsidRDefault="003823A6" w:rsidP="003823A6">
            <w:pPr>
              <w:cnfStyle w:val="000000100000" w:firstRow="0" w:lastRow="0" w:firstColumn="0" w:lastColumn="0" w:oddVBand="0" w:evenVBand="0" w:oddHBand="1" w:evenHBand="0" w:firstRowFirstColumn="0" w:firstRowLastColumn="0" w:lastRowFirstColumn="0" w:lastRowLastColumn="0"/>
            </w:pPr>
            <w:r w:rsidRPr="27D7943D">
              <w:rPr>
                <w:rFonts w:ascii="Aptos" w:hAnsi="Aptos"/>
              </w:rPr>
              <w:t xml:space="preserve">The listed plans have been </w:t>
            </w:r>
            <w:r>
              <w:rPr>
                <w:rFonts w:ascii="Aptos" w:hAnsi="Aptos"/>
              </w:rPr>
              <w:t>implemented by operator</w:t>
            </w:r>
            <w:r w:rsidRPr="27D7943D">
              <w:rPr>
                <w:rFonts w:ascii="Aptos" w:hAnsi="Aptos"/>
              </w:rPr>
              <w:t xml:space="preserve"> Petrofac</w:t>
            </w:r>
            <w:r>
              <w:rPr>
                <w:rFonts w:ascii="Aptos" w:hAnsi="Aptos"/>
              </w:rPr>
              <w:t xml:space="preserve"> as per the conditions of approval</w:t>
            </w:r>
            <w:r w:rsidRPr="27D7943D">
              <w:rPr>
                <w:rFonts w:ascii="Aptos" w:hAnsi="Aptos"/>
              </w:rPr>
              <w:t>.</w:t>
            </w:r>
            <w:r>
              <w:rPr>
                <w:rFonts w:ascii="Aptos" w:hAnsi="Aptos"/>
              </w:rPr>
              <w:t xml:space="preserve"> </w:t>
            </w:r>
          </w:p>
        </w:tc>
      </w:tr>
      <w:tr w:rsidR="003823A6" w14:paraId="32BA3D54"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7F95F3A8" w14:textId="0835BEE5" w:rsidR="003823A6" w:rsidRDefault="003823A6" w:rsidP="003823A6">
            <w:r w:rsidRPr="006E0027">
              <w:rPr>
                <w:rFonts w:ascii="Aptos" w:eastAsia="Aptos" w:hAnsi="Aptos" w:cs="Aptos"/>
                <w:color w:val="000000" w:themeColor="text1"/>
                <w:szCs w:val="20"/>
              </w:rPr>
              <w:t>1a)</w:t>
            </w:r>
          </w:p>
        </w:tc>
        <w:tc>
          <w:tcPr>
            <w:tcW w:w="6253" w:type="dxa"/>
          </w:tcPr>
          <w:p w14:paraId="36B17FEC" w14:textId="17332DC3" w:rsidR="008E5CF0" w:rsidRPr="00554C72" w:rsidRDefault="003823A6" w:rsidP="00AD1241">
            <w:pPr>
              <w:cnfStyle w:val="000000000000" w:firstRow="0" w:lastRow="0" w:firstColumn="0" w:lastColumn="0" w:oddVBand="0" w:evenVBand="0" w:oddHBand="0" w:evenHBand="0" w:firstRowFirstColumn="0" w:firstRowLastColumn="0" w:lastRowFirstColumn="0" w:lastRowLastColumn="0"/>
              <w:rPr>
                <w:rFonts w:ascii="Aptos" w:hAnsi="Aptos"/>
              </w:rPr>
            </w:pPr>
            <w:r w:rsidRPr="00E04642">
              <w:rPr>
                <w:rFonts w:ascii="Aptos" w:hAnsi="Aptos"/>
                <w:bCs/>
                <w:szCs w:val="20"/>
              </w:rPr>
              <w:t>The Environment Risk Management Plan</w:t>
            </w:r>
            <w:r w:rsidRPr="00E04642">
              <w:rPr>
                <w:rFonts w:ascii="Aptos" w:hAnsi="Aptos"/>
                <w:bCs/>
              </w:rPr>
              <w:t>.</w:t>
            </w:r>
          </w:p>
        </w:tc>
        <w:tc>
          <w:tcPr>
            <w:tcW w:w="1559" w:type="dxa"/>
          </w:tcPr>
          <w:p w14:paraId="52855F5E" w14:textId="5792F08F" w:rsidR="003823A6" w:rsidRDefault="003823A6" w:rsidP="003823A6">
            <w:pPr>
              <w:cnfStyle w:val="000000000000" w:firstRow="0" w:lastRow="0" w:firstColumn="0" w:lastColumn="0" w:oddVBand="0" w:evenVBand="0" w:oddHBand="0" w:evenHBand="0" w:firstRowFirstColumn="0" w:firstRowLastColumn="0" w:lastRowFirstColumn="0" w:lastRowLastColumn="0"/>
            </w:pPr>
            <w:r w:rsidRPr="006E0027">
              <w:rPr>
                <w:rFonts w:ascii="Aptos" w:eastAsia="Aptos" w:hAnsi="Aptos" w:cs="Aptos"/>
                <w:bCs/>
                <w:color w:val="000000" w:themeColor="text1"/>
                <w:szCs w:val="20"/>
              </w:rPr>
              <w:t>Compliant</w:t>
            </w:r>
          </w:p>
        </w:tc>
        <w:tc>
          <w:tcPr>
            <w:tcW w:w="5187" w:type="dxa"/>
          </w:tcPr>
          <w:p w14:paraId="3B238367" w14:textId="12707008" w:rsidR="003823A6" w:rsidRPr="006E0027" w:rsidRDefault="003823A6" w:rsidP="00554C72">
            <w:pPr>
              <w:spacing w:line="279"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Compliance </w:t>
            </w:r>
            <w:r w:rsidR="00A82F9C">
              <w:rPr>
                <w:rFonts w:ascii="Aptos" w:eastAsia="Aptos" w:hAnsi="Aptos" w:cs="Aptos"/>
                <w:bCs/>
                <w:color w:val="000000" w:themeColor="text1"/>
                <w:szCs w:val="20"/>
              </w:rPr>
              <w:t>with the commitments listed in the ERMP</w:t>
            </w:r>
            <w:r w:rsidR="00C05E96">
              <w:rPr>
                <w:rFonts w:ascii="Aptos" w:eastAsia="Aptos" w:hAnsi="Aptos" w:cs="Aptos"/>
                <w:bCs/>
                <w:color w:val="000000" w:themeColor="text1"/>
                <w:szCs w:val="20"/>
              </w:rPr>
              <w:t xml:space="preserve"> </w:t>
            </w:r>
            <w:r w:rsidR="00A3613A">
              <w:rPr>
                <w:rFonts w:ascii="Aptos" w:eastAsia="Aptos" w:hAnsi="Aptos" w:cs="Aptos"/>
                <w:bCs/>
                <w:color w:val="000000" w:themeColor="text1"/>
                <w:szCs w:val="20"/>
              </w:rPr>
              <w:t>was met and assured</w:t>
            </w:r>
            <w:r w:rsidR="00F51DE9">
              <w:rPr>
                <w:rFonts w:ascii="Aptos" w:eastAsia="Aptos" w:hAnsi="Aptos" w:cs="Aptos"/>
                <w:bCs/>
                <w:color w:val="000000" w:themeColor="text1"/>
                <w:szCs w:val="20"/>
              </w:rPr>
              <w:t xml:space="preserve">, </w:t>
            </w:r>
            <w:r w:rsidRPr="006E0027">
              <w:rPr>
                <w:rFonts w:ascii="Aptos" w:eastAsia="Aptos" w:hAnsi="Aptos" w:cs="Aptos"/>
                <w:bCs/>
                <w:color w:val="000000" w:themeColor="text1"/>
                <w:szCs w:val="20"/>
              </w:rPr>
              <w:t>based on th</w:t>
            </w:r>
            <w:r w:rsidR="004F0544">
              <w:rPr>
                <w:rFonts w:ascii="Aptos" w:eastAsia="Aptos" w:hAnsi="Aptos" w:cs="Aptos"/>
                <w:bCs/>
                <w:color w:val="000000" w:themeColor="text1"/>
                <w:szCs w:val="20"/>
              </w:rPr>
              <w:t>e</w:t>
            </w:r>
            <w:r w:rsidRPr="006E0027">
              <w:rPr>
                <w:rFonts w:ascii="Aptos" w:eastAsia="Aptos" w:hAnsi="Aptos" w:cs="Aptos"/>
                <w:bCs/>
                <w:color w:val="000000" w:themeColor="text1"/>
                <w:szCs w:val="20"/>
              </w:rPr>
              <w:t xml:space="preserve"> approved ERMP version D03.</w:t>
            </w:r>
          </w:p>
          <w:p w14:paraId="61A882CC" w14:textId="0D17AEE2" w:rsidR="003823A6" w:rsidRDefault="003823A6" w:rsidP="6BA4F631">
            <w:pPr>
              <w:spacing w:before="0" w:line="279"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p>
        </w:tc>
      </w:tr>
      <w:tr w:rsidR="003823A6" w14:paraId="3B7FB80F"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DCF7D2F" w14:textId="6626F1F9" w:rsidR="003823A6" w:rsidRDefault="003823A6" w:rsidP="003823A6">
            <w:r w:rsidRPr="006E0027">
              <w:rPr>
                <w:rFonts w:ascii="Aptos" w:eastAsia="Aptos" w:hAnsi="Aptos" w:cs="Aptos"/>
                <w:color w:val="000000" w:themeColor="text1"/>
                <w:szCs w:val="20"/>
              </w:rPr>
              <w:lastRenderedPageBreak/>
              <w:t>1b)</w:t>
            </w:r>
          </w:p>
        </w:tc>
        <w:tc>
          <w:tcPr>
            <w:tcW w:w="6253" w:type="dxa"/>
          </w:tcPr>
          <w:p w14:paraId="0C023A5C" w14:textId="4EAC3346" w:rsidR="00491BF8" w:rsidRPr="0015185F" w:rsidRDefault="003823A6" w:rsidP="00AD1241">
            <w:pPr>
              <w:cnfStyle w:val="000000100000" w:firstRow="0" w:lastRow="0" w:firstColumn="0" w:lastColumn="0" w:oddVBand="0" w:evenVBand="0" w:oddHBand="1" w:evenHBand="0" w:firstRowFirstColumn="0" w:firstRowLastColumn="0" w:lastRowFirstColumn="0" w:lastRowLastColumn="0"/>
              <w:rPr>
                <w:rFonts w:ascii="Aptos" w:hAnsi="Aptos"/>
              </w:rPr>
            </w:pPr>
            <w:r w:rsidRPr="00E04642">
              <w:rPr>
                <w:rFonts w:ascii="Aptos" w:hAnsi="Aptos"/>
                <w:bCs/>
                <w:szCs w:val="20"/>
              </w:rPr>
              <w:t>The Waste Management Plan</w:t>
            </w:r>
            <w:r w:rsidRPr="00E04642">
              <w:rPr>
                <w:rFonts w:ascii="Aptos" w:hAnsi="Aptos"/>
                <w:bCs/>
              </w:rPr>
              <w:t>.</w:t>
            </w:r>
          </w:p>
        </w:tc>
        <w:tc>
          <w:tcPr>
            <w:tcW w:w="1559" w:type="dxa"/>
          </w:tcPr>
          <w:p w14:paraId="4C859D6F" w14:textId="3460B583" w:rsidR="003823A6" w:rsidRDefault="003823A6" w:rsidP="003823A6">
            <w:pPr>
              <w:cnfStyle w:val="000000100000" w:firstRow="0" w:lastRow="0" w:firstColumn="0" w:lastColumn="0" w:oddVBand="0" w:evenVBand="0" w:oddHBand="1" w:evenHBand="0" w:firstRowFirstColumn="0" w:firstRowLastColumn="0" w:lastRowFirstColumn="0" w:lastRowLastColumn="0"/>
            </w:pPr>
            <w:r w:rsidRPr="006E0027">
              <w:rPr>
                <w:rFonts w:ascii="Aptos" w:eastAsia="Aptos" w:hAnsi="Aptos" w:cs="Aptos"/>
                <w:bCs/>
                <w:color w:val="000000" w:themeColor="text1"/>
                <w:szCs w:val="20"/>
              </w:rPr>
              <w:t xml:space="preserve">Compliant </w:t>
            </w:r>
          </w:p>
        </w:tc>
        <w:tc>
          <w:tcPr>
            <w:tcW w:w="5187" w:type="dxa"/>
          </w:tcPr>
          <w:p w14:paraId="3CF58623" w14:textId="60FCADB8" w:rsidR="003823A6" w:rsidRDefault="003823A6" w:rsidP="003823A6">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3CBF4649">
              <w:rPr>
                <w:rFonts w:ascii="Aptos" w:eastAsia="Aptos" w:hAnsi="Aptos" w:cs="Aptos"/>
                <w:color w:val="000000" w:themeColor="text1"/>
              </w:rPr>
              <w:t>Compliance with the commitments listed in the Waste Management Plan was met</w:t>
            </w:r>
            <w:r w:rsidR="008507B9">
              <w:rPr>
                <w:rFonts w:ascii="Aptos" w:eastAsia="Aptos" w:hAnsi="Aptos" w:cs="Aptos"/>
                <w:color w:val="000000" w:themeColor="text1"/>
              </w:rPr>
              <w:t xml:space="preserve"> and assured</w:t>
            </w:r>
            <w:r w:rsidR="00931CC7">
              <w:rPr>
                <w:rFonts w:eastAsia="Aptos" w:cs="Aptos"/>
                <w:color w:val="000000" w:themeColor="text1"/>
              </w:rPr>
              <w:t>.</w:t>
            </w:r>
          </w:p>
        </w:tc>
      </w:tr>
      <w:tr w:rsidR="003823A6" w14:paraId="095464D9"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2DC4DBC9" w14:textId="5750E9ED" w:rsidR="003823A6" w:rsidRDefault="003823A6" w:rsidP="003823A6">
            <w:r w:rsidRPr="006E0027">
              <w:rPr>
                <w:rFonts w:ascii="Aptos" w:eastAsia="Aptos" w:hAnsi="Aptos" w:cs="Aptos"/>
                <w:color w:val="000000" w:themeColor="text1"/>
                <w:szCs w:val="20"/>
              </w:rPr>
              <w:t>1c)</w:t>
            </w:r>
          </w:p>
        </w:tc>
        <w:tc>
          <w:tcPr>
            <w:tcW w:w="6253" w:type="dxa"/>
          </w:tcPr>
          <w:p w14:paraId="74307AAB" w14:textId="57F27ED8" w:rsidR="00A335EA" w:rsidRPr="0015185F" w:rsidRDefault="003823A6" w:rsidP="00AD1241">
            <w:pPr>
              <w:cnfStyle w:val="000000000000" w:firstRow="0" w:lastRow="0" w:firstColumn="0" w:lastColumn="0" w:oddVBand="0" w:evenVBand="0" w:oddHBand="0" w:evenHBand="0" w:firstRowFirstColumn="0" w:firstRowLastColumn="0" w:lastRowFirstColumn="0" w:lastRowLastColumn="0"/>
              <w:rPr>
                <w:rFonts w:ascii="Aptos" w:hAnsi="Aptos"/>
              </w:rPr>
            </w:pPr>
            <w:r w:rsidRPr="00E04642">
              <w:rPr>
                <w:rFonts w:ascii="Aptos" w:hAnsi="Aptos"/>
                <w:bCs/>
                <w:szCs w:val="20"/>
              </w:rPr>
              <w:t>The FPSO Riser and Mooring Disconnection Methodology</w:t>
            </w:r>
            <w:r w:rsidRPr="00E04642">
              <w:rPr>
                <w:rFonts w:ascii="Aptos" w:hAnsi="Aptos"/>
                <w:bCs/>
              </w:rPr>
              <w:t>.</w:t>
            </w:r>
          </w:p>
        </w:tc>
        <w:tc>
          <w:tcPr>
            <w:tcW w:w="1559" w:type="dxa"/>
          </w:tcPr>
          <w:p w14:paraId="02DEEB5C" w14:textId="4E1EE033" w:rsidR="003823A6" w:rsidRDefault="003823A6" w:rsidP="003823A6">
            <w:pPr>
              <w:cnfStyle w:val="000000000000" w:firstRow="0" w:lastRow="0" w:firstColumn="0" w:lastColumn="0" w:oddVBand="0" w:evenVBand="0" w:oddHBand="0" w:evenHBand="0" w:firstRowFirstColumn="0" w:firstRowLastColumn="0" w:lastRowFirstColumn="0" w:lastRowLastColumn="0"/>
            </w:pPr>
            <w:r w:rsidRPr="006E0027">
              <w:rPr>
                <w:rFonts w:ascii="Aptos" w:eastAsia="Aptos" w:hAnsi="Aptos" w:cs="Aptos"/>
                <w:bCs/>
                <w:color w:val="000000" w:themeColor="text1"/>
                <w:szCs w:val="20"/>
              </w:rPr>
              <w:t xml:space="preserve">Not applicable </w:t>
            </w:r>
          </w:p>
        </w:tc>
        <w:tc>
          <w:tcPr>
            <w:tcW w:w="5187" w:type="dxa"/>
          </w:tcPr>
          <w:p w14:paraId="3CF7D800" w14:textId="118BE603" w:rsidR="003823A6" w:rsidRDefault="003823A6" w:rsidP="003823A6">
            <w:pPr>
              <w:cnfStyle w:val="000000000000" w:firstRow="0" w:lastRow="0" w:firstColumn="0" w:lastColumn="0" w:oddVBand="0" w:evenVBand="0" w:oddHBand="0" w:evenHBand="0" w:firstRowFirstColumn="0" w:firstRowLastColumn="0" w:lastRowFirstColumn="0" w:lastRowLastColumn="0"/>
            </w:pPr>
            <w:r w:rsidRPr="006E0027">
              <w:rPr>
                <w:rFonts w:ascii="Aptos" w:eastAsia="Aptos" w:hAnsi="Aptos" w:cs="Aptos"/>
                <w:bCs/>
                <w:color w:val="000000" w:themeColor="text1"/>
                <w:szCs w:val="20"/>
              </w:rPr>
              <w:t>The activities covered by the FPSO Riser and Mooring Disconnection Methodology did not occur in this reporting period.</w:t>
            </w:r>
          </w:p>
        </w:tc>
      </w:tr>
      <w:tr w:rsidR="003823A6" w14:paraId="5E3016CF"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DC88290" w14:textId="75E7FE14" w:rsidR="003823A6" w:rsidRPr="006E0027" w:rsidRDefault="003823A6" w:rsidP="003823A6">
            <w:pPr>
              <w:rPr>
                <w:rFonts w:ascii="Aptos" w:eastAsia="Aptos" w:hAnsi="Aptos" w:cs="Aptos"/>
                <w:color w:val="000000" w:themeColor="text1"/>
                <w:szCs w:val="20"/>
              </w:rPr>
            </w:pPr>
            <w:r w:rsidRPr="002C3AF6">
              <w:rPr>
                <w:rFonts w:ascii="Aptos" w:eastAsia="Aptos" w:hAnsi="Aptos" w:cs="Aptos"/>
                <w:color w:val="000000" w:themeColor="text1"/>
                <w:szCs w:val="20"/>
              </w:rPr>
              <w:t>1d)</w:t>
            </w:r>
          </w:p>
        </w:tc>
        <w:tc>
          <w:tcPr>
            <w:tcW w:w="6253" w:type="dxa"/>
          </w:tcPr>
          <w:p w14:paraId="00458F0E" w14:textId="2CF1B208" w:rsidR="00FB7FD3" w:rsidRPr="00E04642" w:rsidRDefault="003823A6" w:rsidP="00AD1241">
            <w:pPr>
              <w:cnfStyle w:val="000000100000" w:firstRow="0" w:lastRow="0" w:firstColumn="0" w:lastColumn="0" w:oddVBand="0" w:evenVBand="0" w:oddHBand="1" w:evenHBand="0" w:firstRowFirstColumn="0" w:firstRowLastColumn="0" w:lastRowFirstColumn="0" w:lastRowLastColumn="0"/>
              <w:rPr>
                <w:rFonts w:ascii="Aptos" w:hAnsi="Aptos"/>
                <w:bCs/>
              </w:rPr>
            </w:pPr>
            <w:r w:rsidRPr="00E04642">
              <w:rPr>
                <w:rFonts w:ascii="Aptos" w:hAnsi="Aptos"/>
                <w:bCs/>
                <w:szCs w:val="20"/>
              </w:rPr>
              <w:t>The Chemical Management Procedure</w:t>
            </w:r>
            <w:r w:rsidRPr="00E04642">
              <w:rPr>
                <w:rFonts w:ascii="Aptos" w:hAnsi="Aptos"/>
                <w:bCs/>
              </w:rPr>
              <w:t>.</w:t>
            </w:r>
          </w:p>
        </w:tc>
        <w:tc>
          <w:tcPr>
            <w:tcW w:w="1559" w:type="dxa"/>
          </w:tcPr>
          <w:p w14:paraId="078DBD2B" w14:textId="2AD3E596" w:rsidR="003823A6" w:rsidRPr="006E0027" w:rsidRDefault="003823A6" w:rsidP="003823A6">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2C3AF6">
              <w:rPr>
                <w:rFonts w:ascii="Aptos" w:eastAsia="Aptos" w:hAnsi="Aptos" w:cs="Aptos"/>
                <w:color w:val="000000" w:themeColor="text1"/>
                <w:szCs w:val="20"/>
              </w:rPr>
              <w:t>Compliant</w:t>
            </w:r>
          </w:p>
        </w:tc>
        <w:tc>
          <w:tcPr>
            <w:tcW w:w="5187" w:type="dxa"/>
          </w:tcPr>
          <w:p w14:paraId="639ECD1F" w14:textId="5207751F" w:rsidR="003823A6" w:rsidRPr="006E0027" w:rsidRDefault="003823A6" w:rsidP="003823A6">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3CBF4649">
              <w:rPr>
                <w:rFonts w:ascii="Aptos" w:eastAsia="Aptos" w:hAnsi="Aptos" w:cs="Aptos"/>
                <w:color w:val="000000" w:themeColor="text1"/>
              </w:rPr>
              <w:t xml:space="preserve">Compliance with the commitments listed in the </w:t>
            </w:r>
            <w:r w:rsidR="008313ED">
              <w:rPr>
                <w:rFonts w:ascii="Aptos" w:eastAsia="Aptos" w:hAnsi="Aptos" w:cs="Aptos"/>
                <w:color w:val="000000" w:themeColor="text1"/>
              </w:rPr>
              <w:t>C</w:t>
            </w:r>
            <w:r w:rsidR="00643428">
              <w:rPr>
                <w:rFonts w:ascii="Aptos" w:eastAsia="Aptos" w:hAnsi="Aptos" w:cs="Aptos"/>
                <w:color w:val="000000" w:themeColor="text1"/>
              </w:rPr>
              <w:t>hemical Management Proce</w:t>
            </w:r>
            <w:r w:rsidR="007C3298">
              <w:rPr>
                <w:rFonts w:ascii="Aptos" w:eastAsia="Aptos" w:hAnsi="Aptos" w:cs="Aptos"/>
                <w:color w:val="000000" w:themeColor="text1"/>
              </w:rPr>
              <w:t>dure</w:t>
            </w:r>
            <w:r w:rsidRPr="3CBF4649">
              <w:rPr>
                <w:rFonts w:ascii="Aptos" w:eastAsia="Aptos" w:hAnsi="Aptos" w:cs="Aptos"/>
                <w:color w:val="000000" w:themeColor="text1"/>
              </w:rPr>
              <w:t xml:space="preserve"> were </w:t>
            </w:r>
            <w:r w:rsidR="008507B9">
              <w:rPr>
                <w:rFonts w:ascii="Aptos" w:eastAsia="Aptos" w:hAnsi="Aptos" w:cs="Aptos"/>
                <w:color w:val="000000" w:themeColor="text1"/>
              </w:rPr>
              <w:t>met and assured</w:t>
            </w:r>
            <w:r w:rsidR="00B32045">
              <w:rPr>
                <w:rFonts w:ascii="Aptos" w:eastAsia="Aptos" w:hAnsi="Aptos" w:cs="Aptos"/>
                <w:color w:val="000000" w:themeColor="text1"/>
              </w:rPr>
              <w:t>.</w:t>
            </w:r>
            <w:r w:rsidRPr="3CBF4649">
              <w:rPr>
                <w:rFonts w:ascii="Aptos" w:eastAsia="Aptos" w:hAnsi="Aptos" w:cs="Aptos"/>
                <w:color w:val="000000" w:themeColor="text1"/>
              </w:rPr>
              <w:t xml:space="preserve"> </w:t>
            </w:r>
          </w:p>
        </w:tc>
      </w:tr>
      <w:tr w:rsidR="003823A6" w14:paraId="045C638C"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38F3D4DC" w14:textId="67639DD7" w:rsidR="003823A6" w:rsidRPr="002C3AF6" w:rsidRDefault="003823A6" w:rsidP="003823A6">
            <w:pPr>
              <w:rPr>
                <w:rFonts w:ascii="Aptos" w:eastAsia="Aptos" w:hAnsi="Aptos" w:cs="Aptos"/>
                <w:color w:val="000000" w:themeColor="text1"/>
                <w:szCs w:val="20"/>
              </w:rPr>
            </w:pPr>
            <w:r w:rsidRPr="006E0027">
              <w:rPr>
                <w:rFonts w:ascii="Aptos" w:eastAsia="Aptos" w:hAnsi="Aptos" w:cs="Aptos"/>
                <w:color w:val="000000" w:themeColor="text1"/>
                <w:szCs w:val="20"/>
              </w:rPr>
              <w:t>1e)</w:t>
            </w:r>
          </w:p>
        </w:tc>
        <w:tc>
          <w:tcPr>
            <w:tcW w:w="6253" w:type="dxa"/>
          </w:tcPr>
          <w:p w14:paraId="7D39DCE0" w14:textId="7E69C991" w:rsidR="0076781E" w:rsidRPr="002E45DD" w:rsidRDefault="003823A6" w:rsidP="00AD1241">
            <w:pPr>
              <w:cnfStyle w:val="000000000000" w:firstRow="0" w:lastRow="0" w:firstColumn="0" w:lastColumn="0" w:oddVBand="0" w:evenVBand="0" w:oddHBand="0" w:evenHBand="0" w:firstRowFirstColumn="0" w:firstRowLastColumn="0" w:lastRowFirstColumn="0" w:lastRowLastColumn="0"/>
              <w:rPr>
                <w:rFonts w:ascii="Aptos" w:hAnsi="Aptos"/>
              </w:rPr>
            </w:pPr>
            <w:r w:rsidRPr="00E04642">
              <w:rPr>
                <w:rFonts w:ascii="Aptos" w:hAnsi="Aptos"/>
                <w:bCs/>
                <w:szCs w:val="20"/>
              </w:rPr>
              <w:t>The Oil Pollution Emergency Plan</w:t>
            </w:r>
            <w:r w:rsidRPr="00E04642">
              <w:rPr>
                <w:rFonts w:ascii="Aptos" w:hAnsi="Aptos"/>
                <w:bCs/>
              </w:rPr>
              <w:t>.</w:t>
            </w:r>
          </w:p>
        </w:tc>
        <w:tc>
          <w:tcPr>
            <w:tcW w:w="1559" w:type="dxa"/>
          </w:tcPr>
          <w:p w14:paraId="2FDB7F3A" w14:textId="09CA7E56" w:rsidR="003823A6" w:rsidRPr="002C3AF6" w:rsidRDefault="003823A6" w:rsidP="003823A6">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bCs/>
                <w:color w:val="000000" w:themeColor="text1"/>
                <w:szCs w:val="20"/>
              </w:rPr>
              <w:t xml:space="preserve">Compliant </w:t>
            </w:r>
          </w:p>
        </w:tc>
        <w:tc>
          <w:tcPr>
            <w:tcW w:w="5187" w:type="dxa"/>
          </w:tcPr>
          <w:p w14:paraId="12ACA5AC" w14:textId="38A34731" w:rsidR="003823A6" w:rsidRPr="3CBF4649" w:rsidRDefault="003823A6" w:rsidP="0015185F">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27D7943D">
              <w:rPr>
                <w:rFonts w:ascii="Aptos" w:eastAsia="Aptos" w:hAnsi="Aptos" w:cs="Aptos"/>
                <w:color w:val="000000" w:themeColor="text1"/>
              </w:rPr>
              <w:t xml:space="preserve">The Oil Pollution Emergency Plan (OPEP) remains current and available for implementation in the event of an emergency. </w:t>
            </w:r>
            <w:r w:rsidR="09CE1D5E" w:rsidRPr="28ED724B">
              <w:rPr>
                <w:rFonts w:ascii="Aptos" w:eastAsia="Aptos" w:hAnsi="Aptos" w:cs="Aptos"/>
                <w:color w:val="000000" w:themeColor="text1"/>
              </w:rPr>
              <w:t>There</w:t>
            </w:r>
            <w:r w:rsidDel="00CC12DB">
              <w:rPr>
                <w:rFonts w:ascii="Aptos" w:eastAsia="Aptos" w:hAnsi="Aptos" w:cs="Aptos"/>
                <w:color w:val="000000" w:themeColor="text1"/>
              </w:rPr>
              <w:t xml:space="preserve"> were </w:t>
            </w:r>
            <w:r w:rsidR="0E554A87" w:rsidRPr="28ED724B">
              <w:rPr>
                <w:rFonts w:ascii="Aptos" w:eastAsia="Aptos" w:hAnsi="Aptos" w:cs="Aptos"/>
                <w:color w:val="000000" w:themeColor="text1"/>
              </w:rPr>
              <w:t>n</w:t>
            </w:r>
            <w:r w:rsidRPr="28ED724B">
              <w:rPr>
                <w:rFonts w:ascii="Aptos" w:eastAsia="Aptos" w:hAnsi="Aptos" w:cs="Aptos"/>
                <w:color w:val="000000" w:themeColor="text1"/>
              </w:rPr>
              <w:t>o</w:t>
            </w:r>
            <w:r>
              <w:rPr>
                <w:rFonts w:ascii="Aptos" w:eastAsia="Aptos" w:hAnsi="Aptos" w:cs="Aptos"/>
                <w:color w:val="000000" w:themeColor="text1"/>
              </w:rPr>
              <w:t xml:space="preserve"> </w:t>
            </w:r>
            <w:r w:rsidRPr="27D7943D">
              <w:rPr>
                <w:rFonts w:ascii="Aptos" w:eastAsia="Aptos" w:hAnsi="Aptos" w:cs="Aptos"/>
                <w:color w:val="000000" w:themeColor="text1"/>
              </w:rPr>
              <w:t xml:space="preserve">emergency </w:t>
            </w:r>
            <w:r>
              <w:rPr>
                <w:rFonts w:ascii="Aptos" w:eastAsia="Aptos" w:hAnsi="Aptos" w:cs="Aptos"/>
                <w:color w:val="000000" w:themeColor="text1"/>
              </w:rPr>
              <w:t>situations</w:t>
            </w:r>
            <w:r w:rsidRPr="27D7943D">
              <w:rPr>
                <w:rFonts w:ascii="Aptos" w:eastAsia="Aptos" w:hAnsi="Aptos" w:cs="Aptos"/>
                <w:color w:val="000000" w:themeColor="text1"/>
              </w:rPr>
              <w:t xml:space="preserve"> during this reporting period</w:t>
            </w:r>
            <w:r w:rsidR="00865D7B">
              <w:rPr>
                <w:rFonts w:ascii="Aptos" w:eastAsia="Aptos" w:hAnsi="Aptos" w:cs="Aptos"/>
                <w:color w:val="000000" w:themeColor="text1"/>
              </w:rPr>
              <w:t xml:space="preserve"> therefore the OPEP was not activated</w:t>
            </w:r>
            <w:r w:rsidRPr="27D7943D">
              <w:rPr>
                <w:rFonts w:ascii="Aptos" w:eastAsia="Aptos" w:hAnsi="Aptos" w:cs="Aptos"/>
                <w:color w:val="000000" w:themeColor="text1"/>
              </w:rPr>
              <w:t>.</w:t>
            </w:r>
          </w:p>
        </w:tc>
      </w:tr>
      <w:tr w:rsidR="003823A6" w14:paraId="3BC553F9"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11A8507D" w14:textId="1C3338A6" w:rsidR="003823A6" w:rsidRPr="006E0027" w:rsidRDefault="003823A6" w:rsidP="003823A6">
            <w:pPr>
              <w:rPr>
                <w:rFonts w:ascii="Aptos" w:eastAsia="Aptos" w:hAnsi="Aptos" w:cs="Aptos"/>
                <w:color w:val="000000" w:themeColor="text1"/>
                <w:szCs w:val="20"/>
              </w:rPr>
            </w:pPr>
            <w:r w:rsidRPr="006E0027">
              <w:rPr>
                <w:rFonts w:ascii="Aptos" w:eastAsia="Aptos" w:hAnsi="Aptos" w:cs="Aptos"/>
                <w:color w:val="000000" w:themeColor="text1"/>
                <w:szCs w:val="20"/>
              </w:rPr>
              <w:t>1f)</w:t>
            </w:r>
          </w:p>
        </w:tc>
        <w:tc>
          <w:tcPr>
            <w:tcW w:w="6253" w:type="dxa"/>
          </w:tcPr>
          <w:p w14:paraId="01247CCB" w14:textId="3ACC8E9D" w:rsidR="00E561BF" w:rsidRPr="002E45DD" w:rsidRDefault="003823A6" w:rsidP="00E04642">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E04642">
              <w:rPr>
                <w:rFonts w:ascii="Aptos" w:hAnsi="Aptos"/>
                <w:bCs/>
                <w:szCs w:val="20"/>
              </w:rPr>
              <w:t xml:space="preserve">The </w:t>
            </w:r>
            <w:r w:rsidR="00021B3C">
              <w:rPr>
                <w:rFonts w:ascii="Aptos" w:hAnsi="Aptos"/>
                <w:bCs/>
                <w:szCs w:val="20"/>
              </w:rPr>
              <w:t xml:space="preserve">3 </w:t>
            </w:r>
            <w:r w:rsidRPr="00E04642">
              <w:rPr>
                <w:rFonts w:ascii="Aptos" w:hAnsi="Aptos"/>
                <w:bCs/>
                <w:szCs w:val="20"/>
              </w:rPr>
              <w:t>Decommissioning Project Emergency Response Plans.</w:t>
            </w:r>
          </w:p>
        </w:tc>
        <w:tc>
          <w:tcPr>
            <w:tcW w:w="1559" w:type="dxa"/>
          </w:tcPr>
          <w:p w14:paraId="6FD41FC1" w14:textId="485A6784" w:rsidR="003823A6" w:rsidRPr="006E0027" w:rsidRDefault="003823A6" w:rsidP="003823A6">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Compliant </w:t>
            </w:r>
          </w:p>
        </w:tc>
        <w:tc>
          <w:tcPr>
            <w:tcW w:w="5187" w:type="dxa"/>
          </w:tcPr>
          <w:p w14:paraId="37D32F2B" w14:textId="0B9D9B37" w:rsidR="003823A6" w:rsidRPr="27D7943D" w:rsidRDefault="003823A6" w:rsidP="0015185F">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37BE0395">
              <w:rPr>
                <w:rFonts w:ascii="Aptos" w:eastAsia="Aptos" w:hAnsi="Aptos" w:cs="Aptos"/>
                <w:color w:val="000000" w:themeColor="text1"/>
              </w:rPr>
              <w:t xml:space="preserve">The </w:t>
            </w:r>
            <w:r w:rsidR="00021B3C">
              <w:rPr>
                <w:rFonts w:ascii="Aptos" w:eastAsia="Aptos" w:hAnsi="Aptos" w:cs="Aptos"/>
                <w:color w:val="000000" w:themeColor="text1"/>
              </w:rPr>
              <w:t xml:space="preserve">3 </w:t>
            </w:r>
            <w:r w:rsidRPr="37BE0395">
              <w:rPr>
                <w:rFonts w:ascii="Aptos" w:eastAsia="Aptos" w:hAnsi="Aptos" w:cs="Aptos"/>
                <w:color w:val="000000" w:themeColor="text1"/>
              </w:rPr>
              <w:t xml:space="preserve">Decommissioning Project Emergency Response Plans remain current and available for implementation in the event of an emergency. </w:t>
            </w:r>
            <w:r w:rsidR="0E5C8F20" w:rsidRPr="37BE0395">
              <w:rPr>
                <w:rFonts w:ascii="Aptos" w:eastAsia="Aptos" w:hAnsi="Aptos" w:cs="Aptos"/>
                <w:color w:val="000000" w:themeColor="text1"/>
              </w:rPr>
              <w:t>There were n</w:t>
            </w:r>
            <w:r w:rsidR="007666A5" w:rsidRPr="37BE0395">
              <w:rPr>
                <w:rFonts w:ascii="Aptos" w:eastAsia="Aptos" w:hAnsi="Aptos" w:cs="Aptos"/>
                <w:color w:val="000000" w:themeColor="text1"/>
              </w:rPr>
              <w:t>o emergency situations during this reporting period.</w:t>
            </w:r>
          </w:p>
        </w:tc>
      </w:tr>
    </w:tbl>
    <w:p w14:paraId="1A0F9F02" w14:textId="77777777" w:rsidR="00CA78D7" w:rsidRDefault="00CA78D7" w:rsidP="00600159">
      <w:pPr>
        <w:rPr>
          <w:highlight w:val="lightGray"/>
        </w:rPr>
      </w:pPr>
    </w:p>
    <w:p w14:paraId="7F517295" w14:textId="77777777" w:rsidR="00CA78D7" w:rsidRDefault="00CA78D7">
      <w:pPr>
        <w:spacing w:before="0" w:after="160" w:line="259" w:lineRule="auto"/>
        <w:rPr>
          <w:rFonts w:asciiTheme="majorHAnsi" w:eastAsiaTheme="majorEastAsia" w:hAnsiTheme="majorHAnsi" w:cstheme="majorBidi"/>
          <w:color w:val="0766A5" w:themeColor="accent1"/>
          <w:sz w:val="40"/>
          <w:szCs w:val="40"/>
          <w:highlight w:val="lightGray"/>
        </w:rPr>
      </w:pPr>
      <w:r>
        <w:rPr>
          <w:highlight w:val="lightGray"/>
        </w:rPr>
        <w:br w:type="page"/>
      </w:r>
    </w:p>
    <w:p w14:paraId="39C1C593" w14:textId="6453D64F" w:rsidR="00CA78D7" w:rsidRDefault="00CA78D7" w:rsidP="00600159">
      <w:pPr>
        <w:pStyle w:val="Heading3"/>
        <w:ind w:left="851" w:hanging="851"/>
      </w:pPr>
      <w:bookmarkStart w:id="145" w:name="_Toc180504233"/>
      <w:r>
        <w:lastRenderedPageBreak/>
        <w:t>Discharge management</w:t>
      </w:r>
      <w:bookmarkEnd w:id="145"/>
    </w:p>
    <w:tbl>
      <w:tblPr>
        <w:tblStyle w:val="GridTable4-Accent4"/>
        <w:tblW w:w="14116" w:type="dxa"/>
        <w:tblLook w:val="04A0" w:firstRow="1" w:lastRow="0" w:firstColumn="1" w:lastColumn="0" w:noHBand="0" w:noVBand="1"/>
      </w:tblPr>
      <w:tblGrid>
        <w:gridCol w:w="1117"/>
        <w:gridCol w:w="5966"/>
        <w:gridCol w:w="1559"/>
        <w:gridCol w:w="5474"/>
      </w:tblGrid>
      <w:tr w:rsidR="00CA78D7" w14:paraId="5781D4AE" w14:textId="77777777" w:rsidTr="00600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07C97C5B" w14:textId="73C13C41" w:rsidR="00CA78D7" w:rsidRPr="006E0027" w:rsidRDefault="00CA78D7" w:rsidP="00CA78D7">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966" w:type="dxa"/>
          </w:tcPr>
          <w:p w14:paraId="57B4526C" w14:textId="5731914F" w:rsidR="00CA78D7" w:rsidRPr="006E0027" w:rsidRDefault="00CA78D7" w:rsidP="00CA78D7">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3BCAEF3F" w14:textId="23A05BBE" w:rsidR="00CA78D7" w:rsidRPr="006E0027" w:rsidRDefault="00CA78D7" w:rsidP="00CA78D7">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474" w:type="dxa"/>
          </w:tcPr>
          <w:p w14:paraId="734920F2" w14:textId="59EC4BE8" w:rsidR="00CA78D7" w:rsidRPr="006E0027" w:rsidRDefault="00CA78D7" w:rsidP="00CA78D7">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CA78D7" w14:paraId="369ED181"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C0B4A77" w14:textId="443E5D9E"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w:t>
            </w:r>
          </w:p>
        </w:tc>
        <w:tc>
          <w:tcPr>
            <w:tcW w:w="5966" w:type="dxa"/>
          </w:tcPr>
          <w:p w14:paraId="48347F89" w14:textId="279A4500"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To mitigate harm to protected matters from toxicants within the slops tank discharge, the approval holder must, through regular monitoring, ensure:</w:t>
            </w:r>
          </w:p>
        </w:tc>
        <w:tc>
          <w:tcPr>
            <w:tcW w:w="1559" w:type="dxa"/>
          </w:tcPr>
          <w:p w14:paraId="210D8F7A" w14:textId="6455D93B"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Compliant </w:t>
            </w:r>
          </w:p>
        </w:tc>
        <w:tc>
          <w:tcPr>
            <w:tcW w:w="5474" w:type="dxa"/>
          </w:tcPr>
          <w:p w14:paraId="4C7B8A2B" w14:textId="33D6F667" w:rsidR="00CA78D7" w:rsidRDefault="00CA78D7" w:rsidP="00CA78D7">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Samples recovered </w:t>
            </w:r>
            <w:r>
              <w:rPr>
                <w:rFonts w:ascii="Aptos" w:eastAsia="Aptos" w:hAnsi="Aptos" w:cs="Aptos"/>
                <w:bCs/>
                <w:color w:val="000000" w:themeColor="text1"/>
                <w:szCs w:val="20"/>
              </w:rPr>
              <w:t>by Petrofac</w:t>
            </w:r>
            <w:r w:rsidRPr="006E0027">
              <w:rPr>
                <w:rFonts w:ascii="Aptos" w:eastAsia="Aptos" w:hAnsi="Aptos" w:cs="Aptos"/>
                <w:bCs/>
                <w:color w:val="000000" w:themeColor="text1"/>
                <w:szCs w:val="20"/>
              </w:rPr>
              <w:t xml:space="preserve"> in accordance with the Testing Plan are submitted to a NATA accredited Laboratory and the analytical results are provided to an independent and suitably qualified marine environmental water quality expert for review. </w:t>
            </w:r>
          </w:p>
          <w:p w14:paraId="2045F398" w14:textId="3A707661" w:rsidR="00CA78D7" w:rsidRPr="006E0027" w:rsidRDefault="00CA78D7" w:rsidP="00CA78D7">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This analysis is undertaken to test the concentration and occurrence of toxicants, including the mercury concentration (as per condition 2a), the radioactivity levels (as per condition 2b) and </w:t>
            </w:r>
            <w:r>
              <w:rPr>
                <w:rFonts w:ascii="Aptos" w:eastAsia="Aptos" w:hAnsi="Aptos" w:cs="Aptos"/>
                <w:bCs/>
                <w:color w:val="000000" w:themeColor="text1"/>
                <w:szCs w:val="20"/>
              </w:rPr>
              <w:t xml:space="preserve">for toxicants at levels specified by the </w:t>
            </w:r>
            <w:r w:rsidRPr="006E0027">
              <w:rPr>
                <w:rFonts w:ascii="Aptos" w:eastAsia="Aptos" w:hAnsi="Aptos" w:cs="Aptos"/>
                <w:bCs/>
                <w:color w:val="000000" w:themeColor="text1"/>
                <w:szCs w:val="20"/>
              </w:rPr>
              <w:t>default guideline values (as per condition 2c).</w:t>
            </w:r>
          </w:p>
        </w:tc>
      </w:tr>
      <w:tr w:rsidR="00CA78D7" w14:paraId="7E2626C5"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0B93ECFD" w14:textId="18AA521F"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2a)</w:t>
            </w:r>
          </w:p>
        </w:tc>
        <w:tc>
          <w:tcPr>
            <w:tcW w:w="5966" w:type="dxa"/>
          </w:tcPr>
          <w:p w14:paraId="44F7550A" w14:textId="591D4128"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slops tank discharge does not exceed a mercury concentration of 0.1 µg/L at the point of discharge at all times</w:t>
            </w:r>
            <w:r>
              <w:rPr>
                <w:rFonts w:ascii="Aptos" w:hAnsi="Aptos"/>
                <w:bCs/>
                <w:szCs w:val="20"/>
              </w:rPr>
              <w:t>.</w:t>
            </w:r>
          </w:p>
        </w:tc>
        <w:tc>
          <w:tcPr>
            <w:tcW w:w="1559" w:type="dxa"/>
          </w:tcPr>
          <w:p w14:paraId="5F864423" w14:textId="525989D3"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hAnsi="Aptos"/>
                <w:bCs/>
                <w:szCs w:val="20"/>
              </w:rPr>
              <w:t>Compliant</w:t>
            </w:r>
          </w:p>
        </w:tc>
        <w:tc>
          <w:tcPr>
            <w:tcW w:w="5474" w:type="dxa"/>
          </w:tcPr>
          <w:p w14:paraId="3CF0D4F2" w14:textId="71CFA53A" w:rsidR="00CA78D7" w:rsidRPr="006E0027" w:rsidRDefault="00CA78D7" w:rsidP="00CA78D7">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6BA4F631">
              <w:rPr>
                <w:rFonts w:ascii="Aptos" w:eastAsia="Aptos" w:hAnsi="Aptos" w:cs="Aptos"/>
                <w:color w:val="000000" w:themeColor="text1"/>
              </w:rPr>
              <w:t>Discharge occur</w:t>
            </w:r>
            <w:r>
              <w:rPr>
                <w:rFonts w:ascii="Aptos" w:eastAsia="Aptos" w:hAnsi="Aptos" w:cs="Aptos"/>
                <w:color w:val="000000" w:themeColor="text1"/>
              </w:rPr>
              <w:t>red</w:t>
            </w:r>
            <w:r w:rsidRPr="6BA4F631">
              <w:rPr>
                <w:rFonts w:ascii="Aptos" w:eastAsia="Aptos" w:hAnsi="Aptos" w:cs="Aptos"/>
                <w:color w:val="000000" w:themeColor="text1"/>
              </w:rPr>
              <w:t xml:space="preserve"> </w:t>
            </w:r>
            <w:r>
              <w:rPr>
                <w:rFonts w:ascii="Aptos" w:eastAsia="Aptos" w:hAnsi="Aptos" w:cs="Aptos"/>
                <w:color w:val="000000" w:themeColor="text1"/>
              </w:rPr>
              <w:t>once</w:t>
            </w:r>
            <w:r w:rsidRPr="6BA4F631">
              <w:rPr>
                <w:rFonts w:ascii="Aptos" w:eastAsia="Aptos" w:hAnsi="Aptos" w:cs="Aptos"/>
                <w:color w:val="000000" w:themeColor="text1"/>
              </w:rPr>
              <w:t xml:space="preserve"> confirmation </w:t>
            </w:r>
            <w:r>
              <w:rPr>
                <w:rFonts w:ascii="Aptos" w:eastAsia="Aptos" w:hAnsi="Aptos" w:cs="Aptos"/>
                <w:color w:val="000000" w:themeColor="text1"/>
              </w:rPr>
              <w:t>wa</w:t>
            </w:r>
            <w:r w:rsidRPr="6BA4F631">
              <w:rPr>
                <w:rFonts w:ascii="Aptos" w:eastAsia="Aptos" w:hAnsi="Aptos" w:cs="Aptos"/>
                <w:color w:val="000000" w:themeColor="text1"/>
              </w:rPr>
              <w:t xml:space="preserve">s received from </w:t>
            </w:r>
            <w:r w:rsidRPr="006E0027">
              <w:rPr>
                <w:rFonts w:ascii="Aptos" w:eastAsia="Aptos" w:hAnsi="Aptos" w:cs="Aptos"/>
                <w:bCs/>
                <w:color w:val="000000" w:themeColor="text1"/>
                <w:szCs w:val="20"/>
              </w:rPr>
              <w:t>an independent</w:t>
            </w:r>
            <w:r w:rsidRPr="6BA4F631">
              <w:rPr>
                <w:rFonts w:ascii="Aptos" w:eastAsia="Aptos" w:hAnsi="Aptos" w:cs="Aptos"/>
                <w:color w:val="000000" w:themeColor="text1"/>
              </w:rPr>
              <w:t xml:space="preserve"> water quality expert that the results of analysis met the acceptance criteria as per this condition. </w:t>
            </w:r>
          </w:p>
        </w:tc>
      </w:tr>
      <w:tr w:rsidR="00CA78D7" w14:paraId="74E7868D"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56898B0" w14:textId="7121BEA3"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2b)</w:t>
            </w:r>
          </w:p>
        </w:tc>
        <w:tc>
          <w:tcPr>
            <w:tcW w:w="5966" w:type="dxa"/>
          </w:tcPr>
          <w:p w14:paraId="28B68735" w14:textId="369B7750"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slops tank discharge does not exceed radioactivity levels of 35 Bq/g at all times</w:t>
            </w:r>
            <w:r>
              <w:rPr>
                <w:rFonts w:ascii="Aptos" w:hAnsi="Aptos"/>
                <w:bCs/>
                <w:szCs w:val="20"/>
              </w:rPr>
              <w:t>.</w:t>
            </w:r>
          </w:p>
        </w:tc>
        <w:tc>
          <w:tcPr>
            <w:tcW w:w="1559" w:type="dxa"/>
          </w:tcPr>
          <w:p w14:paraId="7D6DCBF9" w14:textId="053D1AE6"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eastAsia="Aptos" w:hAnsi="Aptos" w:cs="Aptos"/>
                <w:bCs/>
                <w:color w:val="000000" w:themeColor="text1"/>
                <w:szCs w:val="20"/>
              </w:rPr>
              <w:t>Compliant</w:t>
            </w:r>
          </w:p>
        </w:tc>
        <w:tc>
          <w:tcPr>
            <w:tcW w:w="5474" w:type="dxa"/>
          </w:tcPr>
          <w:p w14:paraId="783719D9" w14:textId="29D757F8" w:rsidR="00CA78D7" w:rsidRPr="006E0027" w:rsidRDefault="00CA78D7" w:rsidP="00CA78D7">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6BA4F631">
              <w:rPr>
                <w:rFonts w:ascii="Aptos" w:eastAsia="Aptos" w:hAnsi="Aptos" w:cs="Aptos"/>
                <w:color w:val="000000" w:themeColor="text1"/>
              </w:rPr>
              <w:t>Discharge occur</w:t>
            </w:r>
            <w:r>
              <w:rPr>
                <w:rFonts w:ascii="Aptos" w:eastAsia="Aptos" w:hAnsi="Aptos" w:cs="Aptos"/>
                <w:color w:val="000000" w:themeColor="text1"/>
              </w:rPr>
              <w:t>red</w:t>
            </w:r>
            <w:r w:rsidRPr="6BA4F631">
              <w:rPr>
                <w:rFonts w:ascii="Aptos" w:eastAsia="Aptos" w:hAnsi="Aptos" w:cs="Aptos"/>
                <w:color w:val="000000" w:themeColor="text1"/>
              </w:rPr>
              <w:t xml:space="preserve"> </w:t>
            </w:r>
            <w:r>
              <w:rPr>
                <w:rFonts w:ascii="Aptos" w:eastAsia="Aptos" w:hAnsi="Aptos" w:cs="Aptos"/>
                <w:color w:val="000000" w:themeColor="text1"/>
              </w:rPr>
              <w:t>once</w:t>
            </w:r>
            <w:r w:rsidRPr="6BA4F631">
              <w:rPr>
                <w:rFonts w:ascii="Aptos" w:eastAsia="Aptos" w:hAnsi="Aptos" w:cs="Aptos"/>
                <w:color w:val="000000" w:themeColor="text1"/>
              </w:rPr>
              <w:t xml:space="preserve"> confirmation </w:t>
            </w:r>
            <w:r>
              <w:rPr>
                <w:rFonts w:ascii="Aptos" w:eastAsia="Aptos" w:hAnsi="Aptos" w:cs="Aptos"/>
                <w:color w:val="000000" w:themeColor="text1"/>
              </w:rPr>
              <w:t>wa</w:t>
            </w:r>
            <w:r w:rsidRPr="6BA4F631">
              <w:rPr>
                <w:rFonts w:ascii="Aptos" w:eastAsia="Aptos" w:hAnsi="Aptos" w:cs="Aptos"/>
                <w:color w:val="000000" w:themeColor="text1"/>
              </w:rPr>
              <w:t xml:space="preserve">s received from </w:t>
            </w:r>
            <w:r w:rsidRPr="006E0027">
              <w:rPr>
                <w:rFonts w:ascii="Aptos" w:eastAsia="Aptos" w:hAnsi="Aptos" w:cs="Aptos"/>
                <w:bCs/>
                <w:color w:val="000000" w:themeColor="text1"/>
                <w:szCs w:val="20"/>
              </w:rPr>
              <w:t>an independent</w:t>
            </w:r>
            <w:r w:rsidRPr="6BA4F631">
              <w:rPr>
                <w:rFonts w:ascii="Aptos" w:eastAsia="Aptos" w:hAnsi="Aptos" w:cs="Aptos"/>
                <w:color w:val="000000" w:themeColor="text1"/>
              </w:rPr>
              <w:t xml:space="preserve"> water quality expert that the results of analysis met the acceptance criteria as per this condition.</w:t>
            </w:r>
          </w:p>
        </w:tc>
      </w:tr>
      <w:tr w:rsidR="00CA78D7" w14:paraId="2A294F0F"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60128A7D" w14:textId="0DCAC2B3"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2c)</w:t>
            </w:r>
          </w:p>
        </w:tc>
        <w:tc>
          <w:tcPr>
            <w:tcW w:w="5966" w:type="dxa"/>
          </w:tcPr>
          <w:p w14:paraId="4257BCDE" w14:textId="369C151C"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Water 100 m and beyond from the slops tank discharge point does not exceed the default guideline values for all toxicants</w:t>
            </w:r>
            <w:r>
              <w:rPr>
                <w:rFonts w:ascii="Aptos" w:hAnsi="Aptos"/>
                <w:bCs/>
                <w:szCs w:val="20"/>
              </w:rPr>
              <w:t>.</w:t>
            </w:r>
          </w:p>
        </w:tc>
        <w:tc>
          <w:tcPr>
            <w:tcW w:w="1559" w:type="dxa"/>
          </w:tcPr>
          <w:p w14:paraId="3AF57A39" w14:textId="1CE2A2F9"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Compliant</w:t>
            </w:r>
          </w:p>
        </w:tc>
        <w:tc>
          <w:tcPr>
            <w:tcW w:w="5474" w:type="dxa"/>
          </w:tcPr>
          <w:p w14:paraId="765EB3EC" w14:textId="29FDBDE3" w:rsidR="00CA78D7" w:rsidRPr="006E0027" w:rsidRDefault="00CA78D7" w:rsidP="00CA78D7">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6BA4F631">
              <w:rPr>
                <w:rFonts w:ascii="Aptos" w:eastAsia="Aptos" w:hAnsi="Aptos" w:cs="Aptos"/>
                <w:color w:val="000000" w:themeColor="text1"/>
              </w:rPr>
              <w:t>Discharge occur</w:t>
            </w:r>
            <w:r>
              <w:rPr>
                <w:rFonts w:ascii="Aptos" w:eastAsia="Aptos" w:hAnsi="Aptos" w:cs="Aptos"/>
                <w:color w:val="000000" w:themeColor="text1"/>
              </w:rPr>
              <w:t>red</w:t>
            </w:r>
            <w:r w:rsidRPr="6BA4F631">
              <w:rPr>
                <w:rFonts w:ascii="Aptos" w:eastAsia="Aptos" w:hAnsi="Aptos" w:cs="Aptos"/>
                <w:color w:val="000000" w:themeColor="text1"/>
              </w:rPr>
              <w:t xml:space="preserve"> </w:t>
            </w:r>
            <w:r>
              <w:rPr>
                <w:rFonts w:ascii="Aptos" w:eastAsia="Aptos" w:hAnsi="Aptos" w:cs="Aptos"/>
                <w:color w:val="000000" w:themeColor="text1"/>
              </w:rPr>
              <w:t>once</w:t>
            </w:r>
            <w:r w:rsidRPr="6BA4F631">
              <w:rPr>
                <w:rFonts w:ascii="Aptos" w:eastAsia="Aptos" w:hAnsi="Aptos" w:cs="Aptos"/>
                <w:color w:val="000000" w:themeColor="text1"/>
              </w:rPr>
              <w:t xml:space="preserve"> confirmation </w:t>
            </w:r>
            <w:r>
              <w:rPr>
                <w:rFonts w:ascii="Aptos" w:eastAsia="Aptos" w:hAnsi="Aptos" w:cs="Aptos"/>
                <w:color w:val="000000" w:themeColor="text1"/>
              </w:rPr>
              <w:t>wa</w:t>
            </w:r>
            <w:r w:rsidRPr="6BA4F631">
              <w:rPr>
                <w:rFonts w:ascii="Aptos" w:eastAsia="Aptos" w:hAnsi="Aptos" w:cs="Aptos"/>
                <w:color w:val="000000" w:themeColor="text1"/>
              </w:rPr>
              <w:t xml:space="preserve">s received from </w:t>
            </w:r>
            <w:r w:rsidRPr="006E0027">
              <w:rPr>
                <w:rFonts w:ascii="Aptos" w:eastAsia="Aptos" w:hAnsi="Aptos" w:cs="Aptos"/>
                <w:bCs/>
                <w:color w:val="000000" w:themeColor="text1"/>
                <w:szCs w:val="20"/>
              </w:rPr>
              <w:t>an independent</w:t>
            </w:r>
            <w:r w:rsidRPr="6BA4F631">
              <w:rPr>
                <w:rFonts w:ascii="Aptos" w:eastAsia="Aptos" w:hAnsi="Aptos" w:cs="Aptos"/>
                <w:color w:val="000000" w:themeColor="text1"/>
              </w:rPr>
              <w:t xml:space="preserve"> water quality expert that the results of analysis met the acceptance criteria as per this condition.</w:t>
            </w:r>
          </w:p>
        </w:tc>
      </w:tr>
      <w:tr w:rsidR="00CA78D7" w14:paraId="2FDE3AB4"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43AD44F" w14:textId="7B7EC9F4"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2d)</w:t>
            </w:r>
          </w:p>
        </w:tc>
        <w:tc>
          <w:tcPr>
            <w:tcW w:w="5966" w:type="dxa"/>
          </w:tcPr>
          <w:p w14:paraId="5FEF942B" w14:textId="4A16892E"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Ensure that representative samples from different depth horizons in the slops tank (near top, middle and near bottom) are obtained and analysed for concentrations of all toxicants that will be discharged, except for NORMs, by a NATA accredited laboratory prior to any batch discharges from the slops tank.</w:t>
            </w:r>
          </w:p>
        </w:tc>
        <w:tc>
          <w:tcPr>
            <w:tcW w:w="1559" w:type="dxa"/>
          </w:tcPr>
          <w:p w14:paraId="05141BAD" w14:textId="5D998725"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Compliant </w:t>
            </w:r>
          </w:p>
        </w:tc>
        <w:tc>
          <w:tcPr>
            <w:tcW w:w="5474" w:type="dxa"/>
          </w:tcPr>
          <w:p w14:paraId="6F767E75" w14:textId="65E283AF" w:rsidR="00CA78D7" w:rsidRPr="006E0027" w:rsidRDefault="00CA78D7" w:rsidP="00CA78D7">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sampling and analysis process that ensures compliance with this condition is described in the Testing Plan</w:t>
            </w:r>
            <w:r>
              <w:rPr>
                <w:rFonts w:ascii="Aptos" w:eastAsia="Aptos" w:hAnsi="Aptos" w:cs="Aptos"/>
                <w:bCs/>
                <w:color w:val="000000" w:themeColor="text1"/>
                <w:szCs w:val="20"/>
              </w:rPr>
              <w:t>.</w:t>
            </w:r>
          </w:p>
        </w:tc>
      </w:tr>
      <w:tr w:rsidR="00CA78D7" w14:paraId="461375B4"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52D87894" w14:textId="739742D8"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p>
        </w:tc>
        <w:tc>
          <w:tcPr>
            <w:tcW w:w="5966" w:type="dxa"/>
          </w:tcPr>
          <w:p w14:paraId="5596A706" w14:textId="0CEC4B1D"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To mitigate and remediate harm to protected matters from toxicants within the slops tank discharge, if the slops tank discharge exceeds the allowable toxicant concentrations and radioactivity levels specified in condition 2, then the approval holder must immediately cease all discharges from the slops tank and prepare and submit to the department an Adaptive Monitoring and Management Framework (AMMF). The AMMF must:</w:t>
            </w:r>
          </w:p>
        </w:tc>
        <w:tc>
          <w:tcPr>
            <w:tcW w:w="1559" w:type="dxa"/>
          </w:tcPr>
          <w:p w14:paraId="0F92622E" w14:textId="600A47B6"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7DCD3FBF" w14:textId="129353FB" w:rsidR="00CA78D7" w:rsidRPr="006E0027" w:rsidRDefault="00CA78D7" w:rsidP="00CA78D7">
            <w:p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There was no</w:t>
            </w:r>
            <w:r w:rsidRPr="6BA4F631">
              <w:rPr>
                <w:rFonts w:ascii="Aptos" w:hAnsi="Aptos"/>
              </w:rPr>
              <w:t xml:space="preserve"> instance of slops tank discharge exceeding the allowable toxicant concentrations and radioactivity levels specified in Condition 2. Therefore, an AMMF was not required for this reporting period.</w:t>
            </w:r>
          </w:p>
        </w:tc>
      </w:tr>
      <w:tr w:rsidR="00CA78D7" w14:paraId="459E3F8C"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C48984D" w14:textId="62F8B41A"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3a)</w:t>
            </w:r>
          </w:p>
        </w:tc>
        <w:tc>
          <w:tcPr>
            <w:tcW w:w="5966" w:type="dxa"/>
          </w:tcPr>
          <w:p w14:paraId="78077BAA" w14:textId="7A2225E7"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D</w:t>
            </w:r>
            <w:r w:rsidRPr="006E0027">
              <w:rPr>
                <w:rFonts w:ascii="Aptos" w:hAnsi="Aptos"/>
                <w:bCs/>
                <w:szCs w:val="20"/>
              </w:rPr>
              <w:t>etail the default guideline value exceedance (date, time, measured toxicant concentration, allowable toxicant concentration that was exceeded, distance from the slops tank discharge point and location of the exceedance)</w:t>
            </w:r>
            <w:r>
              <w:rPr>
                <w:rFonts w:ascii="Aptos" w:hAnsi="Aptos"/>
                <w:bCs/>
                <w:szCs w:val="20"/>
              </w:rPr>
              <w:t>.</w:t>
            </w:r>
          </w:p>
        </w:tc>
        <w:tc>
          <w:tcPr>
            <w:tcW w:w="1559" w:type="dxa"/>
          </w:tcPr>
          <w:p w14:paraId="522023B7" w14:textId="0B1514AB"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474" w:type="dxa"/>
          </w:tcPr>
          <w:p w14:paraId="3607002B" w14:textId="569966ED" w:rsidR="00CA78D7" w:rsidRPr="003D2225" w:rsidRDefault="00CA78D7" w:rsidP="00CA78D7">
            <w:pPr>
              <w:spacing w:after="0" w:line="276" w:lineRule="auto"/>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r w:rsidR="00CA78D7" w14:paraId="086029CD"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48AB80AF" w14:textId="6C30470E"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3b)</w:t>
            </w:r>
          </w:p>
        </w:tc>
        <w:tc>
          <w:tcPr>
            <w:tcW w:w="5966" w:type="dxa"/>
          </w:tcPr>
          <w:p w14:paraId="76749848" w14:textId="1322DD06"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S</w:t>
            </w:r>
            <w:r w:rsidRPr="006E0027">
              <w:rPr>
                <w:rFonts w:ascii="Aptos" w:hAnsi="Aptos"/>
                <w:bCs/>
                <w:szCs w:val="20"/>
              </w:rPr>
              <w:t>pecify remediation measures to be implemented to reduce the toxicant concentration and/or radioactivity of slops tank discharges to meet the requirements of condition 2</w:t>
            </w:r>
            <w:r>
              <w:rPr>
                <w:rFonts w:ascii="Aptos" w:hAnsi="Aptos"/>
                <w:bCs/>
                <w:szCs w:val="20"/>
              </w:rPr>
              <w:t>.</w:t>
            </w:r>
          </w:p>
        </w:tc>
        <w:tc>
          <w:tcPr>
            <w:tcW w:w="1559" w:type="dxa"/>
          </w:tcPr>
          <w:p w14:paraId="7202F2C5" w14:textId="3B85E940"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76287011" w14:textId="3C914FFC" w:rsidR="00CA78D7" w:rsidRPr="006E0027" w:rsidRDefault="00CA78D7" w:rsidP="00CA78D7">
            <w:p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r w:rsidR="00CA78D7" w14:paraId="4A7F9530"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47B981E" w14:textId="1B8B41B5"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3c)</w:t>
            </w:r>
          </w:p>
        </w:tc>
        <w:tc>
          <w:tcPr>
            <w:tcW w:w="5966" w:type="dxa"/>
          </w:tcPr>
          <w:p w14:paraId="04877851" w14:textId="48648C7A" w:rsidR="00CA78D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N</w:t>
            </w:r>
            <w:r w:rsidRPr="006E0027">
              <w:rPr>
                <w:rFonts w:ascii="Aptos" w:hAnsi="Aptos"/>
                <w:bCs/>
                <w:szCs w:val="20"/>
              </w:rPr>
              <w:t>ot be inconsistent with the Water Quality Guidelines</w:t>
            </w:r>
            <w:r>
              <w:rPr>
                <w:rFonts w:ascii="Aptos" w:hAnsi="Aptos"/>
                <w:bCs/>
                <w:szCs w:val="20"/>
              </w:rPr>
              <w:t>.</w:t>
            </w:r>
          </w:p>
        </w:tc>
        <w:tc>
          <w:tcPr>
            <w:tcW w:w="1559" w:type="dxa"/>
          </w:tcPr>
          <w:p w14:paraId="5C1F5E7E" w14:textId="546E0859"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3A78E1EA" w14:textId="069DFEB3" w:rsidR="00CA78D7" w:rsidRPr="006E0027" w:rsidRDefault="00CA78D7" w:rsidP="00CA78D7">
            <w:pPr>
              <w:spacing w:after="0" w:line="276" w:lineRule="auto"/>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r w:rsidR="00CA78D7" w14:paraId="73ED0DB0"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63653F41" w14:textId="683314CB"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3d)</w:t>
            </w:r>
          </w:p>
        </w:tc>
        <w:tc>
          <w:tcPr>
            <w:tcW w:w="5966" w:type="dxa"/>
          </w:tcPr>
          <w:p w14:paraId="3E388B63" w14:textId="0AB19354"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H</w:t>
            </w:r>
            <w:r w:rsidRPr="006E0027">
              <w:rPr>
                <w:rFonts w:ascii="Aptos" w:hAnsi="Aptos"/>
                <w:bCs/>
                <w:szCs w:val="20"/>
              </w:rPr>
              <w:t>ave been reviewed by an independent and suitably qualified marine environmental water quality expert</w:t>
            </w:r>
            <w:r>
              <w:rPr>
                <w:rFonts w:ascii="Aptos" w:hAnsi="Aptos"/>
                <w:bCs/>
                <w:szCs w:val="20"/>
              </w:rPr>
              <w:t>.</w:t>
            </w:r>
          </w:p>
        </w:tc>
        <w:tc>
          <w:tcPr>
            <w:tcW w:w="1559" w:type="dxa"/>
          </w:tcPr>
          <w:p w14:paraId="1A482896" w14:textId="596DC05A"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5D49D13E" w14:textId="54F9FEAF" w:rsidR="00CA78D7" w:rsidRPr="006E0027" w:rsidRDefault="00CA78D7" w:rsidP="00CA78D7">
            <w:pPr>
              <w:spacing w:after="0" w:line="276" w:lineRule="auto"/>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r w:rsidR="00CA78D7" w14:paraId="1CA72B9F" w14:textId="77777777" w:rsidTr="0060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2EB90B7" w14:textId="54412DF4"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3e)</w:t>
            </w:r>
          </w:p>
        </w:tc>
        <w:tc>
          <w:tcPr>
            <w:tcW w:w="5966" w:type="dxa"/>
          </w:tcPr>
          <w:p w14:paraId="521BA48E" w14:textId="638CD682" w:rsidR="00CA78D7" w:rsidRDefault="00CA78D7" w:rsidP="00CA78D7">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I</w:t>
            </w:r>
            <w:r w:rsidRPr="006E0027">
              <w:rPr>
                <w:rFonts w:ascii="Aptos" w:hAnsi="Aptos"/>
                <w:bCs/>
                <w:szCs w:val="20"/>
              </w:rPr>
              <w:t>nclude an acknowledgement of the independent review and show how any advice from the independent review has been addressed.</w:t>
            </w:r>
          </w:p>
        </w:tc>
        <w:tc>
          <w:tcPr>
            <w:tcW w:w="1559" w:type="dxa"/>
          </w:tcPr>
          <w:p w14:paraId="0984C0F8" w14:textId="2D0E3682" w:rsidR="00CA78D7" w:rsidRPr="006E0027" w:rsidRDefault="00CA78D7" w:rsidP="00CA78D7">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44EB945A" w14:textId="77E0F631" w:rsidR="00CA78D7" w:rsidRPr="006E0027" w:rsidRDefault="00CA78D7" w:rsidP="00CA78D7">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r w:rsidR="00CA78D7" w14:paraId="2112541F" w14:textId="77777777" w:rsidTr="00600159">
        <w:tc>
          <w:tcPr>
            <w:cnfStyle w:val="001000000000" w:firstRow="0" w:lastRow="0" w:firstColumn="1" w:lastColumn="0" w:oddVBand="0" w:evenVBand="0" w:oddHBand="0" w:evenHBand="0" w:firstRowFirstColumn="0" w:firstRowLastColumn="0" w:lastRowFirstColumn="0" w:lastRowLastColumn="0"/>
            <w:tcW w:w="1117" w:type="dxa"/>
          </w:tcPr>
          <w:p w14:paraId="5EDCBDF6" w14:textId="48FF6177" w:rsidR="00CA78D7" w:rsidRPr="006E0027" w:rsidRDefault="00CA78D7" w:rsidP="00CA78D7">
            <w:pPr>
              <w:rPr>
                <w:rFonts w:ascii="Aptos" w:eastAsia="Aptos" w:hAnsi="Aptos" w:cs="Aptos"/>
                <w:color w:val="000000" w:themeColor="text1"/>
                <w:szCs w:val="20"/>
              </w:rPr>
            </w:pPr>
            <w:r w:rsidRPr="006E0027">
              <w:rPr>
                <w:rFonts w:ascii="Aptos" w:eastAsia="Aptos" w:hAnsi="Aptos" w:cs="Aptos"/>
                <w:color w:val="000000" w:themeColor="text1"/>
                <w:szCs w:val="20"/>
              </w:rPr>
              <w:t>3</w:t>
            </w:r>
            <w:r>
              <w:rPr>
                <w:rFonts w:ascii="Aptos" w:eastAsia="Aptos" w:hAnsi="Aptos" w:cs="Aptos"/>
                <w:color w:val="000000" w:themeColor="text1"/>
                <w:szCs w:val="20"/>
              </w:rPr>
              <w:t>f</w:t>
            </w:r>
            <w:r w:rsidRPr="006E0027">
              <w:rPr>
                <w:rFonts w:ascii="Aptos" w:eastAsia="Aptos" w:hAnsi="Aptos" w:cs="Aptos"/>
                <w:color w:val="000000" w:themeColor="text1"/>
                <w:szCs w:val="20"/>
              </w:rPr>
              <w:t>)</w:t>
            </w:r>
          </w:p>
        </w:tc>
        <w:tc>
          <w:tcPr>
            <w:tcW w:w="5966" w:type="dxa"/>
          </w:tcPr>
          <w:p w14:paraId="55707D94" w14:textId="32A86566" w:rsidR="00CA78D7" w:rsidRDefault="00CA78D7" w:rsidP="00CA78D7">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approval holder must implement the AMMF and ensure that the requirements of condition 2 are being met before allowing any further slops tank water to be discharged.</w:t>
            </w:r>
          </w:p>
        </w:tc>
        <w:tc>
          <w:tcPr>
            <w:tcW w:w="1559" w:type="dxa"/>
          </w:tcPr>
          <w:p w14:paraId="578E703B" w14:textId="0146B9F9" w:rsidR="00CA78D7" w:rsidRPr="006E0027" w:rsidRDefault="00CA78D7" w:rsidP="00CA78D7">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474" w:type="dxa"/>
          </w:tcPr>
          <w:p w14:paraId="0E745CA1" w14:textId="7C1BB632" w:rsidR="00CA78D7" w:rsidRPr="006E0027" w:rsidRDefault="00CA78D7" w:rsidP="00CA78D7">
            <w:pPr>
              <w:spacing w:line="276" w:lineRule="auto"/>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 xml:space="preserve">An </w:t>
            </w:r>
            <w:r w:rsidRPr="006E0027">
              <w:rPr>
                <w:rFonts w:ascii="Aptos" w:eastAsia="Aptos" w:hAnsi="Aptos" w:cs="Aptos"/>
                <w:bCs/>
                <w:color w:val="000000" w:themeColor="text1"/>
                <w:szCs w:val="20"/>
              </w:rPr>
              <w:t xml:space="preserve">AMMF </w:t>
            </w:r>
            <w:r>
              <w:rPr>
                <w:rFonts w:ascii="Aptos" w:eastAsia="Aptos" w:hAnsi="Aptos" w:cs="Aptos"/>
                <w:bCs/>
                <w:color w:val="000000" w:themeColor="text1"/>
                <w:szCs w:val="20"/>
              </w:rPr>
              <w:t xml:space="preserve">was </w:t>
            </w:r>
            <w:r w:rsidRPr="006E0027">
              <w:rPr>
                <w:rFonts w:ascii="Aptos" w:eastAsia="Aptos" w:hAnsi="Aptos" w:cs="Aptos"/>
                <w:bCs/>
                <w:color w:val="000000" w:themeColor="text1"/>
                <w:szCs w:val="20"/>
              </w:rPr>
              <w:t>not required to be implemented during this reporting period.</w:t>
            </w:r>
          </w:p>
        </w:tc>
      </w:tr>
    </w:tbl>
    <w:p w14:paraId="57FFF507" w14:textId="186CAB24" w:rsidR="00600159" w:rsidRDefault="00600159" w:rsidP="00600159">
      <w:pPr>
        <w:pStyle w:val="Heading3"/>
        <w:ind w:left="851" w:hanging="851"/>
      </w:pPr>
      <w:bookmarkStart w:id="146" w:name="_Toc180504234"/>
      <w:r w:rsidRPr="003823A6">
        <w:t>Invasive marine species management</w:t>
      </w:r>
      <w:bookmarkEnd w:id="146"/>
    </w:p>
    <w:tbl>
      <w:tblPr>
        <w:tblStyle w:val="GridTable4-Accent4"/>
        <w:tblW w:w="14116" w:type="dxa"/>
        <w:tblLook w:val="04A0" w:firstRow="1" w:lastRow="0" w:firstColumn="1" w:lastColumn="0" w:noHBand="0" w:noVBand="1"/>
      </w:tblPr>
      <w:tblGrid>
        <w:gridCol w:w="1117"/>
        <w:gridCol w:w="5966"/>
        <w:gridCol w:w="1559"/>
        <w:gridCol w:w="5474"/>
      </w:tblGrid>
      <w:tr w:rsidR="00600159" w14:paraId="7A1154F0" w14:textId="77777777" w:rsidTr="009235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7390A7B1" w14:textId="6856A4C1"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966" w:type="dxa"/>
          </w:tcPr>
          <w:p w14:paraId="0F7E2B83" w14:textId="5EFB802A"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7657FDF4" w14:textId="7170B55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474" w:type="dxa"/>
          </w:tcPr>
          <w:p w14:paraId="28B670C7" w14:textId="0BEA45B2"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600159" w14:paraId="067A0159" w14:textId="77777777" w:rsidTr="00923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1AEE9E4" w14:textId="757A044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w:t>
            </w:r>
          </w:p>
        </w:tc>
        <w:tc>
          <w:tcPr>
            <w:tcW w:w="5966" w:type="dxa"/>
          </w:tcPr>
          <w:p w14:paraId="2E4F7658" w14:textId="6503FBED"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To minimise harm to protected matters from the potential introduction of invasive marine species, prior to removing the FPSO, the offtake hose, or any other submerged equipment from the operational area, the approval holder must:</w:t>
            </w:r>
          </w:p>
        </w:tc>
        <w:tc>
          <w:tcPr>
            <w:tcW w:w="1559" w:type="dxa"/>
          </w:tcPr>
          <w:p w14:paraId="397BCF62" w14:textId="78F8321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Compliant</w:t>
            </w:r>
          </w:p>
        </w:tc>
        <w:tc>
          <w:tcPr>
            <w:tcW w:w="5474" w:type="dxa"/>
          </w:tcPr>
          <w:p w14:paraId="30F3CE5C" w14:textId="711CBD91"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 submerged equipment, including the FPSO and the floating offtake hose, </w:t>
            </w:r>
            <w:r>
              <w:rPr>
                <w:rFonts w:ascii="Aptos" w:eastAsia="Aptos" w:hAnsi="Aptos" w:cs="Aptos"/>
                <w:bCs/>
                <w:color w:val="000000" w:themeColor="text1"/>
                <w:szCs w:val="20"/>
              </w:rPr>
              <w:t>was</w:t>
            </w:r>
            <w:r w:rsidRPr="006E0027">
              <w:rPr>
                <w:rFonts w:ascii="Aptos" w:eastAsia="Aptos" w:hAnsi="Aptos" w:cs="Aptos"/>
                <w:bCs/>
                <w:color w:val="000000" w:themeColor="text1"/>
                <w:szCs w:val="20"/>
              </w:rPr>
              <w:t xml:space="preserve"> removed from the operational area during this reporting period. </w:t>
            </w:r>
          </w:p>
          <w:p w14:paraId="5DCFC308" w14:textId="5E85BCF2"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eastAsia="Aptos" w:hAnsi="Aptos" w:cs="Aptos"/>
                <w:color w:val="000000" w:themeColor="text1"/>
              </w:rPr>
              <w:t>DISR prepared and submitted a</w:t>
            </w:r>
            <w:r w:rsidRPr="4DAA8844">
              <w:rPr>
                <w:rFonts w:ascii="Aptos" w:eastAsia="Aptos" w:hAnsi="Aptos" w:cs="Aptos"/>
                <w:color w:val="000000" w:themeColor="text1"/>
              </w:rPr>
              <w:t xml:space="preserve"> </w:t>
            </w:r>
            <w:r w:rsidRPr="006E0027">
              <w:rPr>
                <w:rFonts w:ascii="Aptos" w:hAnsi="Aptos"/>
                <w:bCs/>
                <w:szCs w:val="20"/>
              </w:rPr>
              <w:t xml:space="preserve">MBRA </w:t>
            </w:r>
            <w:r w:rsidRPr="4DAA8844">
              <w:rPr>
                <w:rFonts w:ascii="Aptos" w:eastAsia="Aptos" w:hAnsi="Aptos" w:cs="Aptos"/>
                <w:color w:val="000000" w:themeColor="text1"/>
              </w:rPr>
              <w:t xml:space="preserve">for the floating offtake hose </w:t>
            </w:r>
            <w:r>
              <w:rPr>
                <w:rFonts w:ascii="Aptos" w:eastAsia="Aptos" w:hAnsi="Aptos" w:cs="Aptos"/>
                <w:color w:val="000000" w:themeColor="text1"/>
              </w:rPr>
              <w:t>to</w:t>
            </w:r>
            <w:r w:rsidRPr="4DAA8844">
              <w:rPr>
                <w:rFonts w:ascii="Aptos" w:eastAsia="Aptos" w:hAnsi="Aptos" w:cs="Aptos"/>
                <w:color w:val="000000" w:themeColor="text1"/>
              </w:rPr>
              <w:t xml:space="preserve"> </w:t>
            </w:r>
            <w:r>
              <w:rPr>
                <w:rFonts w:ascii="Aptos" w:eastAsia="Aptos" w:hAnsi="Aptos" w:cs="Aptos"/>
                <w:color w:val="000000" w:themeColor="text1"/>
              </w:rPr>
              <w:t>DCCEEW</w:t>
            </w:r>
            <w:r w:rsidRPr="4DAA8844">
              <w:rPr>
                <w:rFonts w:ascii="Aptos" w:eastAsia="Aptos" w:hAnsi="Aptos" w:cs="Aptos"/>
                <w:color w:val="000000" w:themeColor="text1"/>
              </w:rPr>
              <w:t xml:space="preserve"> </w:t>
            </w:r>
            <w:r>
              <w:rPr>
                <w:rFonts w:ascii="Aptos" w:eastAsia="Aptos" w:hAnsi="Aptos" w:cs="Aptos"/>
                <w:color w:val="000000" w:themeColor="text1"/>
              </w:rPr>
              <w:t>in June 2024</w:t>
            </w:r>
            <w:r w:rsidRPr="4DAA8844">
              <w:rPr>
                <w:rFonts w:ascii="Aptos" w:eastAsia="Aptos" w:hAnsi="Aptos" w:cs="Aptos"/>
                <w:color w:val="000000" w:themeColor="text1"/>
              </w:rPr>
              <w:t xml:space="preserve">. </w:t>
            </w:r>
          </w:p>
        </w:tc>
      </w:tr>
      <w:tr w:rsidR="00600159" w14:paraId="7FA2C73D" w14:textId="77777777" w:rsidTr="00923554">
        <w:tc>
          <w:tcPr>
            <w:cnfStyle w:val="001000000000" w:firstRow="0" w:lastRow="0" w:firstColumn="1" w:lastColumn="0" w:oddVBand="0" w:evenVBand="0" w:oddHBand="0" w:evenHBand="0" w:firstRowFirstColumn="0" w:firstRowLastColumn="0" w:lastRowFirstColumn="0" w:lastRowLastColumn="0"/>
            <w:tcW w:w="1117" w:type="dxa"/>
          </w:tcPr>
          <w:p w14:paraId="14D555B7" w14:textId="22C2761C"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4a)</w:t>
            </w:r>
          </w:p>
        </w:tc>
        <w:tc>
          <w:tcPr>
            <w:tcW w:w="5966" w:type="dxa"/>
          </w:tcPr>
          <w:p w14:paraId="5746182F" w14:textId="1939C8E5"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Engage an independent suitably qualified marine biosecurity expert to complete a Marine Biosecurity Risk Assessment (MBRA) in respect of the FPSO, the offtake hose and any other submerged equipment to be towed from the operational area</w:t>
            </w:r>
            <w:r>
              <w:rPr>
                <w:rFonts w:ascii="Aptos" w:hAnsi="Aptos"/>
                <w:bCs/>
                <w:szCs w:val="20"/>
              </w:rPr>
              <w:t>.</w:t>
            </w:r>
          </w:p>
        </w:tc>
        <w:tc>
          <w:tcPr>
            <w:tcW w:w="1559" w:type="dxa"/>
          </w:tcPr>
          <w:p w14:paraId="371AA096" w14:textId="24304070"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Compliant</w:t>
            </w:r>
          </w:p>
        </w:tc>
        <w:tc>
          <w:tcPr>
            <w:tcW w:w="5474" w:type="dxa"/>
          </w:tcPr>
          <w:p w14:paraId="27BBAC8F" w14:textId="495DE3B5"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60080ECE">
              <w:rPr>
                <w:rFonts w:ascii="Aptos" w:eastAsia="Aptos" w:hAnsi="Aptos" w:cs="Aptos"/>
                <w:color w:val="000000" w:themeColor="text1"/>
              </w:rPr>
              <w:t>DISR engaged with an independent, suitably qualified, marine biosecurity expert to complete a MBRA for the floating offtake hose</w:t>
            </w:r>
            <w:r>
              <w:rPr>
                <w:rFonts w:ascii="Aptos" w:eastAsia="Aptos" w:hAnsi="Aptos" w:cs="Aptos"/>
                <w:color w:val="000000" w:themeColor="text1"/>
              </w:rPr>
              <w:t>.</w:t>
            </w:r>
          </w:p>
          <w:p w14:paraId="138F6859" w14:textId="1DEFB70E"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submerged equipment was towed from the operational area during the reporting period.</w:t>
            </w:r>
          </w:p>
        </w:tc>
      </w:tr>
      <w:tr w:rsidR="00600159" w14:paraId="0C561FBF" w14:textId="77777777" w:rsidTr="00923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4395603" w14:textId="5F0C8BF8"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4b)</w:t>
            </w:r>
          </w:p>
        </w:tc>
        <w:tc>
          <w:tcPr>
            <w:tcW w:w="5966" w:type="dxa"/>
          </w:tcPr>
          <w:p w14:paraId="16A5725B" w14:textId="7F62A206"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Submit the MBRA to the department</w:t>
            </w:r>
            <w:r>
              <w:rPr>
                <w:rFonts w:ascii="Aptos" w:hAnsi="Aptos"/>
                <w:bCs/>
                <w:szCs w:val="20"/>
              </w:rPr>
              <w:t>.</w:t>
            </w:r>
          </w:p>
        </w:tc>
        <w:tc>
          <w:tcPr>
            <w:tcW w:w="1559" w:type="dxa"/>
          </w:tcPr>
          <w:p w14:paraId="6420C88D" w14:textId="6B5144EF"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bCs/>
                <w:color w:val="000000" w:themeColor="text1"/>
                <w:szCs w:val="20"/>
              </w:rPr>
              <w:t>Compliant</w:t>
            </w:r>
          </w:p>
        </w:tc>
        <w:tc>
          <w:tcPr>
            <w:tcW w:w="5474" w:type="dxa"/>
          </w:tcPr>
          <w:p w14:paraId="344E763A" w14:textId="50D534A1"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4261662C">
              <w:rPr>
                <w:rFonts w:ascii="Aptos" w:eastAsia="Aptos" w:hAnsi="Aptos" w:cs="Aptos"/>
                <w:color w:val="000000" w:themeColor="text1"/>
              </w:rPr>
              <w:t xml:space="preserve">DISR submitted the floating offtake hose MBRA to DCCEEW </w:t>
            </w:r>
            <w:r>
              <w:rPr>
                <w:rFonts w:ascii="Aptos" w:eastAsia="Aptos" w:hAnsi="Aptos" w:cs="Aptos"/>
                <w:color w:val="000000" w:themeColor="text1"/>
              </w:rPr>
              <w:t>in</w:t>
            </w:r>
            <w:r w:rsidRPr="4261662C">
              <w:rPr>
                <w:rFonts w:ascii="Aptos" w:eastAsia="Aptos" w:hAnsi="Aptos" w:cs="Aptos"/>
                <w:color w:val="000000" w:themeColor="text1"/>
              </w:rPr>
              <w:t xml:space="preserve"> June 2024.</w:t>
            </w:r>
          </w:p>
          <w:p w14:paraId="58BAAB9A" w14:textId="0C37E9B4"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p>
        </w:tc>
      </w:tr>
      <w:tr w:rsidR="00600159" w14:paraId="5103F1CE" w14:textId="77777777" w:rsidTr="00923554">
        <w:tc>
          <w:tcPr>
            <w:cnfStyle w:val="001000000000" w:firstRow="0" w:lastRow="0" w:firstColumn="1" w:lastColumn="0" w:oddVBand="0" w:evenVBand="0" w:oddHBand="0" w:evenHBand="0" w:firstRowFirstColumn="0" w:firstRowLastColumn="0" w:lastRowFirstColumn="0" w:lastRowLastColumn="0"/>
            <w:tcW w:w="1117" w:type="dxa"/>
          </w:tcPr>
          <w:p w14:paraId="193D0AFD" w14:textId="1F605231"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4c)</w:t>
            </w:r>
          </w:p>
        </w:tc>
        <w:tc>
          <w:tcPr>
            <w:tcW w:w="5966" w:type="dxa"/>
          </w:tcPr>
          <w:p w14:paraId="55DB5198" w14:textId="4D3DD9E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Consult with all relevant authorities and obtain all relevant approvals and permits with respect to invasive marine species biosecurity.</w:t>
            </w:r>
          </w:p>
        </w:tc>
        <w:tc>
          <w:tcPr>
            <w:tcW w:w="1559" w:type="dxa"/>
          </w:tcPr>
          <w:p w14:paraId="59D60B36" w14:textId="5A184810"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eastAsia="Aptos" w:hAnsi="Aptos" w:cs="Aptos"/>
                <w:bCs/>
                <w:color w:val="000000" w:themeColor="text1"/>
                <w:szCs w:val="20"/>
              </w:rPr>
              <w:t>Compliant</w:t>
            </w:r>
          </w:p>
        </w:tc>
        <w:tc>
          <w:tcPr>
            <w:tcW w:w="5474" w:type="dxa"/>
          </w:tcPr>
          <w:p w14:paraId="0378EC0A" w14:textId="3CDC87EB" w:rsidR="00600159" w:rsidRPr="4261662C"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rPr>
              <w:t xml:space="preserve">Based on recommendations in </w:t>
            </w:r>
            <w:r w:rsidR="009E0C62">
              <w:rPr>
                <w:rFonts w:ascii="Aptos" w:eastAsia="Aptos" w:hAnsi="Aptos" w:cs="Aptos"/>
                <w:color w:val="000000" w:themeColor="text1"/>
              </w:rPr>
              <w:t>the</w:t>
            </w:r>
            <w:r>
              <w:rPr>
                <w:rFonts w:ascii="Aptos" w:eastAsia="Aptos" w:hAnsi="Aptos" w:cs="Aptos"/>
                <w:color w:val="000000" w:themeColor="text1"/>
              </w:rPr>
              <w:t xml:space="preserve"> MBRA and Petrof</w:t>
            </w:r>
            <w:r w:rsidR="00923554">
              <w:rPr>
                <w:rFonts w:ascii="Aptos" w:eastAsia="Aptos" w:hAnsi="Aptos" w:cs="Aptos"/>
                <w:color w:val="000000" w:themeColor="text1"/>
              </w:rPr>
              <w:t>a</w:t>
            </w:r>
            <w:r>
              <w:rPr>
                <w:rFonts w:ascii="Aptos" w:eastAsia="Aptos" w:hAnsi="Aptos" w:cs="Aptos"/>
                <w:color w:val="000000" w:themeColor="text1"/>
              </w:rPr>
              <w:t>c’s implementation proposal,</w:t>
            </w:r>
            <w:r w:rsidRPr="60080ECE">
              <w:rPr>
                <w:rFonts w:ascii="Aptos" w:eastAsia="Aptos" w:hAnsi="Aptos" w:cs="Aptos"/>
                <w:color w:val="000000" w:themeColor="text1"/>
              </w:rPr>
              <w:t xml:space="preserve"> DISR</w:t>
            </w:r>
            <w:r w:rsidRPr="60080ECE" w:rsidDel="008E01A3">
              <w:rPr>
                <w:rFonts w:ascii="Aptos" w:eastAsia="Aptos" w:hAnsi="Aptos" w:cs="Aptos"/>
                <w:color w:val="000000" w:themeColor="text1"/>
              </w:rPr>
              <w:t xml:space="preserve"> </w:t>
            </w:r>
            <w:r w:rsidRPr="60080ECE">
              <w:rPr>
                <w:rFonts w:ascii="Aptos" w:eastAsia="Aptos" w:hAnsi="Aptos" w:cs="Aptos"/>
                <w:color w:val="000000" w:themeColor="text1"/>
              </w:rPr>
              <w:t xml:space="preserve">consulted with all relevant State and Territory and Commonwealth authorities regarding invasive marine species management regarding the </w:t>
            </w:r>
            <w:r>
              <w:rPr>
                <w:rFonts w:ascii="Aptos" w:eastAsia="Aptos" w:hAnsi="Aptos" w:cs="Aptos"/>
                <w:color w:val="000000" w:themeColor="text1"/>
              </w:rPr>
              <w:t xml:space="preserve">planned </w:t>
            </w:r>
            <w:r w:rsidRPr="60080ECE">
              <w:rPr>
                <w:rFonts w:ascii="Aptos" w:eastAsia="Aptos" w:hAnsi="Aptos" w:cs="Aptos"/>
                <w:color w:val="000000" w:themeColor="text1"/>
              </w:rPr>
              <w:t xml:space="preserve">tow of the floating offtake hose. </w:t>
            </w:r>
          </w:p>
        </w:tc>
      </w:tr>
      <w:tr w:rsidR="00600159" w14:paraId="18B68D6B" w14:textId="77777777" w:rsidTr="00923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97A25E5" w14:textId="2E5C0169" w:rsidR="00600159" w:rsidRPr="006E0027" w:rsidRDefault="00600159" w:rsidP="00600159">
            <w:pPr>
              <w:rPr>
                <w:rFonts w:ascii="Aptos" w:eastAsia="Aptos" w:hAnsi="Aptos" w:cs="Aptos"/>
                <w:color w:val="000000" w:themeColor="text1"/>
                <w:szCs w:val="20"/>
              </w:rPr>
            </w:pPr>
            <w:r w:rsidRPr="157A519F">
              <w:rPr>
                <w:rFonts w:ascii="Aptos" w:eastAsia="Aptos" w:hAnsi="Aptos" w:cs="Aptos"/>
                <w:color w:val="000000" w:themeColor="text1"/>
              </w:rPr>
              <w:t xml:space="preserve"> 4d)</w:t>
            </w:r>
          </w:p>
        </w:tc>
        <w:tc>
          <w:tcPr>
            <w:tcW w:w="5966" w:type="dxa"/>
          </w:tcPr>
          <w:p w14:paraId="1E0C9836" w14:textId="1AAEF42F"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MBRA must specify the measures required to prevent the introduction of invasive marine species to sensitive benthic habitats and marine protected areas as a result of the Action. The approval holder must implement the MBRA until the expiry date of this approval.</w:t>
            </w:r>
          </w:p>
        </w:tc>
        <w:tc>
          <w:tcPr>
            <w:tcW w:w="1559" w:type="dxa"/>
          </w:tcPr>
          <w:p w14:paraId="6438172C" w14:textId="193274C2"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bCs/>
                <w:color w:val="000000" w:themeColor="text1"/>
                <w:szCs w:val="20"/>
              </w:rPr>
              <w:t>Compliant</w:t>
            </w:r>
          </w:p>
        </w:tc>
        <w:tc>
          <w:tcPr>
            <w:tcW w:w="5474" w:type="dxa"/>
          </w:tcPr>
          <w:p w14:paraId="0CFFFEFD" w14:textId="456A45D6"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60080ECE">
              <w:rPr>
                <w:rFonts w:ascii="Aptos" w:eastAsia="Aptos" w:hAnsi="Aptos" w:cs="Aptos"/>
                <w:color w:val="000000" w:themeColor="text1"/>
              </w:rPr>
              <w:t xml:space="preserve">The MBRA for the floating offtake hose specifies measures to prevent introduction of </w:t>
            </w:r>
            <w:r w:rsidRPr="60080ECE">
              <w:rPr>
                <w:rFonts w:ascii="Aptos" w:hAnsi="Aptos"/>
              </w:rPr>
              <w:t>invasive marine species</w:t>
            </w:r>
            <w:r w:rsidRPr="60080ECE">
              <w:rPr>
                <w:rFonts w:ascii="Aptos" w:eastAsia="Aptos" w:hAnsi="Aptos" w:cs="Aptos"/>
                <w:color w:val="000000" w:themeColor="text1"/>
              </w:rPr>
              <w:t>.</w:t>
            </w:r>
          </w:p>
          <w:p w14:paraId="56DDDEBB" w14:textId="712ED1BE"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p>
        </w:tc>
      </w:tr>
    </w:tbl>
    <w:p w14:paraId="31ABA81A" w14:textId="77777777" w:rsidR="00600159" w:rsidRDefault="00600159" w:rsidP="00600159">
      <w:pPr>
        <w:rPr>
          <w:highlight w:val="lightGray"/>
        </w:rPr>
      </w:pPr>
    </w:p>
    <w:p w14:paraId="7FFCC5B0" w14:textId="77777777" w:rsidR="00600159" w:rsidRDefault="00600159">
      <w:pPr>
        <w:spacing w:before="0" w:after="160" w:line="259" w:lineRule="auto"/>
        <w:rPr>
          <w:rFonts w:asciiTheme="majorHAnsi" w:eastAsiaTheme="majorEastAsia" w:hAnsiTheme="majorHAnsi" w:cstheme="majorBidi"/>
          <w:color w:val="0766A5" w:themeColor="accent1"/>
          <w:sz w:val="40"/>
          <w:szCs w:val="40"/>
          <w:highlight w:val="lightGray"/>
        </w:rPr>
      </w:pPr>
      <w:r>
        <w:rPr>
          <w:highlight w:val="lightGray"/>
        </w:rPr>
        <w:br w:type="page"/>
      </w:r>
    </w:p>
    <w:p w14:paraId="44ED67F2" w14:textId="215CCBA2" w:rsidR="00600159" w:rsidRDefault="00600159" w:rsidP="00600159">
      <w:pPr>
        <w:pStyle w:val="Heading3"/>
        <w:ind w:left="851" w:hanging="851"/>
      </w:pPr>
      <w:bookmarkStart w:id="147" w:name="_Toc180504235"/>
      <w:r w:rsidRPr="00600159">
        <w:lastRenderedPageBreak/>
        <w:t>Well</w:t>
      </w:r>
      <w:r>
        <w:t xml:space="preserve"> management</w:t>
      </w:r>
      <w:bookmarkEnd w:id="147"/>
    </w:p>
    <w:tbl>
      <w:tblPr>
        <w:tblStyle w:val="GridTable4-Accent4"/>
        <w:tblW w:w="14116" w:type="dxa"/>
        <w:tblLook w:val="04A0" w:firstRow="1" w:lastRow="0" w:firstColumn="1" w:lastColumn="0" w:noHBand="0" w:noVBand="1"/>
      </w:tblPr>
      <w:tblGrid>
        <w:gridCol w:w="1117"/>
        <w:gridCol w:w="6533"/>
        <w:gridCol w:w="1559"/>
        <w:gridCol w:w="4907"/>
      </w:tblGrid>
      <w:tr w:rsidR="00600159" w14:paraId="2F9A536E" w14:textId="77777777" w:rsidTr="00AE6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0956C028" w14:textId="17F3E926"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533" w:type="dxa"/>
          </w:tcPr>
          <w:p w14:paraId="6016771A" w14:textId="03441BBE"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58E3FF9A" w14:textId="66E8FFB1" w:rsidR="00600159"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Compliance</w:t>
            </w:r>
          </w:p>
        </w:tc>
        <w:tc>
          <w:tcPr>
            <w:tcW w:w="4907" w:type="dxa"/>
          </w:tcPr>
          <w:p w14:paraId="3DD1AB02" w14:textId="13A627EF"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600159" w14:paraId="6727B1A5"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6BBDD1A8" w14:textId="0F0BDD8E" w:rsidR="00600159" w:rsidRPr="157A519F" w:rsidRDefault="00600159" w:rsidP="00600159">
            <w:pPr>
              <w:rPr>
                <w:rFonts w:ascii="Aptos" w:eastAsia="Aptos" w:hAnsi="Aptos" w:cs="Aptos"/>
                <w:color w:val="000000" w:themeColor="text1"/>
              </w:rPr>
            </w:pPr>
            <w:r w:rsidRPr="006E0027">
              <w:rPr>
                <w:rFonts w:ascii="Aptos" w:eastAsia="Aptos" w:hAnsi="Aptos" w:cs="Aptos"/>
                <w:color w:val="000000" w:themeColor="text1"/>
                <w:szCs w:val="20"/>
              </w:rPr>
              <w:t>5)</w:t>
            </w:r>
          </w:p>
        </w:tc>
        <w:tc>
          <w:tcPr>
            <w:tcW w:w="6533" w:type="dxa"/>
          </w:tcPr>
          <w:p w14:paraId="6C210F84" w14:textId="553F583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purpose of the following conditions is to avoid and mitigate harm to protected matters as a result of the Action.</w:t>
            </w:r>
          </w:p>
        </w:tc>
        <w:tc>
          <w:tcPr>
            <w:tcW w:w="1559" w:type="dxa"/>
          </w:tcPr>
          <w:p w14:paraId="4B5D33F6" w14:textId="77777777"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p>
        </w:tc>
        <w:tc>
          <w:tcPr>
            <w:tcW w:w="4907" w:type="dxa"/>
          </w:tcPr>
          <w:p w14:paraId="519F4BB1" w14:textId="77777777"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r w:rsidR="00AE6078" w14:paraId="571427E3"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01CDB94E" w14:textId="3B4B027C"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5a)</w:t>
            </w:r>
          </w:p>
        </w:tc>
        <w:tc>
          <w:tcPr>
            <w:tcW w:w="6533" w:type="dxa"/>
          </w:tcPr>
          <w:p w14:paraId="4C4AA1A7" w14:textId="47AB32C7"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approval holder must leave all effective barriers in all wells, to prevent the escape of petroleum, water and any other substance from the wells, and ensure integrity is maintained until such time as the department notifies the approval holder in writing that the department is reasonably satisfied that the wells are permanently plugged or closed off.</w:t>
            </w:r>
          </w:p>
        </w:tc>
        <w:tc>
          <w:tcPr>
            <w:tcW w:w="1559" w:type="dxa"/>
          </w:tcPr>
          <w:p w14:paraId="662865F9" w14:textId="32FA9955"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eastAsia="Aptos" w:hAnsi="Aptos" w:cs="Aptos"/>
                <w:bCs/>
                <w:color w:val="000000" w:themeColor="text1"/>
                <w:szCs w:val="20"/>
              </w:rPr>
              <w:t>Not applicable</w:t>
            </w:r>
          </w:p>
        </w:tc>
        <w:tc>
          <w:tcPr>
            <w:tcW w:w="4907" w:type="dxa"/>
          </w:tcPr>
          <w:p w14:paraId="36DCFE4A" w14:textId="6B37BD67"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68255FA2"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47EF59A3" w14:textId="7CD2B299"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6)</w:t>
            </w:r>
          </w:p>
        </w:tc>
        <w:tc>
          <w:tcPr>
            <w:tcW w:w="6533" w:type="dxa"/>
          </w:tcPr>
          <w:p w14:paraId="444EB0A9" w14:textId="3A1A953D"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Within five business days following the completion of well suspension activities, the approval holder must notify the department electronically of the date of completion of well suspension activities.</w:t>
            </w:r>
          </w:p>
        </w:tc>
        <w:tc>
          <w:tcPr>
            <w:tcW w:w="1559" w:type="dxa"/>
          </w:tcPr>
          <w:p w14:paraId="19DC1332" w14:textId="28DC102A"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2AD929CD" w14:textId="1D64EE48"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1834E4B7"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6B7570A9" w14:textId="4037111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7)</w:t>
            </w:r>
          </w:p>
        </w:tc>
        <w:tc>
          <w:tcPr>
            <w:tcW w:w="6533" w:type="dxa"/>
          </w:tcPr>
          <w:p w14:paraId="136FF9B6" w14:textId="1B97FD5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approval holder must complete an underwater survey after the well suspension activities are completed, and again annually thereafter for the duration of this approval, to verify that integrity of the wells is being maintained.</w:t>
            </w:r>
          </w:p>
        </w:tc>
        <w:tc>
          <w:tcPr>
            <w:tcW w:w="1559" w:type="dxa"/>
          </w:tcPr>
          <w:p w14:paraId="49CB6766" w14:textId="30DFE0B5"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1B4A9B4F" w14:textId="17BC4644"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5A4C413D"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EC718DD" w14:textId="3A6F9E99"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w:t>
            </w:r>
          </w:p>
        </w:tc>
        <w:tc>
          <w:tcPr>
            <w:tcW w:w="6533" w:type="dxa"/>
          </w:tcPr>
          <w:p w14:paraId="2711A03E" w14:textId="67241A76"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Should an underwater survey required by condition 7, or any other observation, show that the well suspension activities have failed, the approval holder must:</w:t>
            </w:r>
          </w:p>
        </w:tc>
        <w:tc>
          <w:tcPr>
            <w:tcW w:w="1559" w:type="dxa"/>
          </w:tcPr>
          <w:p w14:paraId="6A3D28B6" w14:textId="6F181AA0"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474FC52E" w14:textId="0AC24C56"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2A5D0AB1"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4D6E55B8" w14:textId="4E6FFFB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8a)</w:t>
            </w:r>
          </w:p>
        </w:tc>
        <w:tc>
          <w:tcPr>
            <w:tcW w:w="6533" w:type="dxa"/>
          </w:tcPr>
          <w:p w14:paraId="1CDB5A7F" w14:textId="39B2F4E4"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 xml:space="preserve">ithin one calendar day of discovering that the completed well suspension activity having failed, notify the department that the well suspension activity has failed to prevent the escape of petroleum, </w:t>
            </w:r>
            <w:proofErr w:type="gramStart"/>
            <w:r w:rsidRPr="006E0027">
              <w:rPr>
                <w:rFonts w:ascii="Aptos" w:hAnsi="Aptos"/>
                <w:bCs/>
                <w:szCs w:val="20"/>
              </w:rPr>
              <w:t>water</w:t>
            </w:r>
            <w:proofErr w:type="gramEnd"/>
            <w:r w:rsidRPr="006E0027">
              <w:rPr>
                <w:rFonts w:ascii="Aptos" w:hAnsi="Aptos"/>
                <w:bCs/>
                <w:szCs w:val="20"/>
              </w:rPr>
              <w:t xml:space="preserve"> or any other substance (whichever applies)</w:t>
            </w:r>
            <w:r>
              <w:rPr>
                <w:rFonts w:ascii="Aptos" w:hAnsi="Aptos"/>
                <w:bCs/>
                <w:szCs w:val="20"/>
              </w:rPr>
              <w:t>.</w:t>
            </w:r>
          </w:p>
        </w:tc>
        <w:tc>
          <w:tcPr>
            <w:tcW w:w="1559" w:type="dxa"/>
          </w:tcPr>
          <w:p w14:paraId="262B8E22" w14:textId="216992A4"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6FF87994" w14:textId="6A2B5FD0"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39A3922B"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331C389" w14:textId="532B51CA"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8b)</w:t>
            </w:r>
          </w:p>
        </w:tc>
        <w:tc>
          <w:tcPr>
            <w:tcW w:w="6533" w:type="dxa"/>
          </w:tcPr>
          <w:p w14:paraId="3727310B" w14:textId="3FED87E0"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B</w:t>
            </w:r>
            <w:r w:rsidRPr="006E0027">
              <w:rPr>
                <w:rFonts w:ascii="Aptos" w:hAnsi="Aptos"/>
                <w:bCs/>
                <w:szCs w:val="20"/>
              </w:rPr>
              <w:t>egin implementing an Adaptive Monitoring and Management Programme (AMMP) to stop the further failure from the well within one calendar day of the well suspension activity failure having been identified</w:t>
            </w:r>
            <w:r>
              <w:rPr>
                <w:rFonts w:ascii="Aptos" w:hAnsi="Aptos"/>
                <w:bCs/>
                <w:szCs w:val="20"/>
              </w:rPr>
              <w:t>.</w:t>
            </w:r>
          </w:p>
        </w:tc>
        <w:tc>
          <w:tcPr>
            <w:tcW w:w="1559" w:type="dxa"/>
          </w:tcPr>
          <w:p w14:paraId="75913767" w14:textId="16827FE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5F076466" w14:textId="2770BCF9"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30E3D630"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22A5178B" w14:textId="2F9CC83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8c)</w:t>
            </w:r>
          </w:p>
        </w:tc>
        <w:tc>
          <w:tcPr>
            <w:tcW w:w="6533" w:type="dxa"/>
          </w:tcPr>
          <w:p w14:paraId="3284FC00" w14:textId="2CBA3C47"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N</w:t>
            </w:r>
            <w:r w:rsidRPr="006E0027">
              <w:rPr>
                <w:rFonts w:ascii="Aptos" w:hAnsi="Aptos"/>
                <w:bCs/>
                <w:szCs w:val="20"/>
              </w:rPr>
              <w:t>otify the department electronically when the AMMP was implemented</w:t>
            </w:r>
            <w:r>
              <w:rPr>
                <w:rFonts w:ascii="Aptos" w:hAnsi="Aptos"/>
                <w:bCs/>
                <w:szCs w:val="20"/>
              </w:rPr>
              <w:t>.</w:t>
            </w:r>
          </w:p>
        </w:tc>
        <w:tc>
          <w:tcPr>
            <w:tcW w:w="1559" w:type="dxa"/>
          </w:tcPr>
          <w:p w14:paraId="32C450EF" w14:textId="7FA73626"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4907" w:type="dxa"/>
          </w:tcPr>
          <w:p w14:paraId="3061BEDC" w14:textId="4CD53F26"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38F2A46D"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4583F96" w14:textId="4F9ACD2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8d)</w:t>
            </w:r>
          </w:p>
        </w:tc>
        <w:tc>
          <w:tcPr>
            <w:tcW w:w="6533" w:type="dxa"/>
          </w:tcPr>
          <w:p w14:paraId="788C6542" w14:textId="00BE2C04"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C</w:t>
            </w:r>
            <w:r w:rsidRPr="006E0027">
              <w:rPr>
                <w:rFonts w:ascii="Aptos" w:hAnsi="Aptos"/>
                <w:bCs/>
                <w:szCs w:val="20"/>
              </w:rPr>
              <w:t>ontinue to implement the AMMP at least until no further failure of the well can be detected</w:t>
            </w:r>
            <w:r>
              <w:rPr>
                <w:rFonts w:ascii="Aptos" w:hAnsi="Aptos"/>
                <w:bCs/>
                <w:szCs w:val="20"/>
              </w:rPr>
              <w:t>.</w:t>
            </w:r>
          </w:p>
        </w:tc>
        <w:tc>
          <w:tcPr>
            <w:tcW w:w="1559" w:type="dxa"/>
          </w:tcPr>
          <w:p w14:paraId="3D159A46" w14:textId="1AAB41D0"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00CC4EAB" w14:textId="3708906C"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7FD85A93"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088C33DC" w14:textId="2A17BA0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8e)</w:t>
            </w:r>
          </w:p>
        </w:tc>
        <w:tc>
          <w:tcPr>
            <w:tcW w:w="6533" w:type="dxa"/>
          </w:tcPr>
          <w:p w14:paraId="05AE21C4" w14:textId="6B498047"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ithin 6 months from the day of identifying that well suspension activities have failed, or a longer period if agreed to by the department in writing, verify that the implemented AMMP has successfully stopped failure</w:t>
            </w:r>
            <w:r>
              <w:rPr>
                <w:rFonts w:ascii="Aptos" w:hAnsi="Aptos"/>
                <w:bCs/>
                <w:szCs w:val="20"/>
              </w:rPr>
              <w:t>.</w:t>
            </w:r>
          </w:p>
        </w:tc>
        <w:tc>
          <w:tcPr>
            <w:tcW w:w="1559" w:type="dxa"/>
          </w:tcPr>
          <w:p w14:paraId="04522171" w14:textId="7DCB11C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5DD9993B" w14:textId="72763EBB"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359C57F3"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1EA43DEE" w14:textId="49E6D54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8f)</w:t>
            </w:r>
          </w:p>
        </w:tc>
        <w:tc>
          <w:tcPr>
            <w:tcW w:w="6533" w:type="dxa"/>
          </w:tcPr>
          <w:p w14:paraId="1DE89C38" w14:textId="3791C483"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W</w:t>
            </w:r>
            <w:r w:rsidRPr="006E0027">
              <w:rPr>
                <w:rFonts w:ascii="Aptos" w:hAnsi="Aptos"/>
                <w:bCs/>
                <w:szCs w:val="20"/>
              </w:rPr>
              <w:t>ithin five calendar days of ceasing to implement the AMMP, notify the department in writing of the date on which it ceased implementing the AMMP.</w:t>
            </w:r>
          </w:p>
        </w:tc>
        <w:tc>
          <w:tcPr>
            <w:tcW w:w="1559" w:type="dxa"/>
          </w:tcPr>
          <w:p w14:paraId="7FBDD221" w14:textId="6E2CB1C0"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30332843" w14:textId="43ABFCA0"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1A6155F2"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7703A624" w14:textId="232ADD9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9)</w:t>
            </w:r>
          </w:p>
        </w:tc>
        <w:tc>
          <w:tcPr>
            <w:tcW w:w="6533" w:type="dxa"/>
          </w:tcPr>
          <w:p w14:paraId="6209B6F3" w14:textId="3E829D14"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If the approval holder identifies a new risk that could increase the chance of failure of any wells before well suspension activities are completed, the approval holder must implement an AMMP to address the identified risk. The approval holder must implement the AMMP:</w:t>
            </w:r>
          </w:p>
        </w:tc>
        <w:tc>
          <w:tcPr>
            <w:tcW w:w="1559" w:type="dxa"/>
          </w:tcPr>
          <w:p w14:paraId="29BC7C7E" w14:textId="33D0D1D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3F00BD0C" w14:textId="6D0F338B"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600159" w14:paraId="3185F6BC" w14:textId="77777777" w:rsidTr="00AE60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8A59542" w14:textId="7B57515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9a)</w:t>
            </w:r>
          </w:p>
        </w:tc>
        <w:tc>
          <w:tcPr>
            <w:tcW w:w="6533" w:type="dxa"/>
          </w:tcPr>
          <w:p w14:paraId="535BCA82" w14:textId="5FD7E4D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U</w:t>
            </w:r>
            <w:r w:rsidRPr="006E0027">
              <w:rPr>
                <w:rFonts w:ascii="Aptos" w:hAnsi="Aptos"/>
                <w:bCs/>
                <w:szCs w:val="20"/>
              </w:rPr>
              <w:t>ntil the expiry date of this approva</w:t>
            </w:r>
            <w:r>
              <w:rPr>
                <w:rFonts w:ascii="Aptos" w:hAnsi="Aptos"/>
                <w:bCs/>
                <w:szCs w:val="20"/>
              </w:rPr>
              <w:t>l.</w:t>
            </w:r>
          </w:p>
        </w:tc>
        <w:tc>
          <w:tcPr>
            <w:tcW w:w="1559" w:type="dxa"/>
          </w:tcPr>
          <w:p w14:paraId="0374CCA6" w14:textId="787330DF"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32DBB39A" w14:textId="7626C542"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r w:rsidR="00AE6078" w14:paraId="645BE1A5" w14:textId="77777777" w:rsidTr="00AE6078">
        <w:tc>
          <w:tcPr>
            <w:cnfStyle w:val="001000000000" w:firstRow="0" w:lastRow="0" w:firstColumn="1" w:lastColumn="0" w:oddVBand="0" w:evenVBand="0" w:oddHBand="0" w:evenHBand="0" w:firstRowFirstColumn="0" w:firstRowLastColumn="0" w:lastRowFirstColumn="0" w:lastRowLastColumn="0"/>
            <w:tcW w:w="1117" w:type="dxa"/>
          </w:tcPr>
          <w:p w14:paraId="7236B646" w14:textId="33EC598C"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9b)</w:t>
            </w:r>
          </w:p>
        </w:tc>
        <w:tc>
          <w:tcPr>
            <w:tcW w:w="6533" w:type="dxa"/>
          </w:tcPr>
          <w:p w14:paraId="37FB908B" w14:textId="0D342B33"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U</w:t>
            </w:r>
            <w:r w:rsidRPr="006E0027">
              <w:rPr>
                <w:rFonts w:ascii="Aptos" w:hAnsi="Aptos"/>
                <w:bCs/>
                <w:szCs w:val="20"/>
              </w:rPr>
              <w:t>ntil the approval holder receives written advice from the department that the AMMP no longer needs to be implemented.</w:t>
            </w:r>
          </w:p>
        </w:tc>
        <w:tc>
          <w:tcPr>
            <w:tcW w:w="1559" w:type="dxa"/>
          </w:tcPr>
          <w:p w14:paraId="48E4FABD" w14:textId="256A071D"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4907" w:type="dxa"/>
          </w:tcPr>
          <w:p w14:paraId="13740120" w14:textId="6F9FB73A"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Well suspension activities have not been completed in this reporting period.</w:t>
            </w:r>
          </w:p>
        </w:tc>
      </w:tr>
    </w:tbl>
    <w:p w14:paraId="4A59170F" w14:textId="4BB493D0" w:rsidR="00600159" w:rsidRDefault="00600159" w:rsidP="00600159">
      <w:pPr>
        <w:pStyle w:val="Heading3"/>
        <w:ind w:left="851" w:hanging="851"/>
      </w:pPr>
      <w:bookmarkStart w:id="148" w:name="_Toc180504236"/>
      <w:r w:rsidRPr="00DF10AD">
        <w:lastRenderedPageBreak/>
        <w:t>Hazardous waste management</w:t>
      </w:r>
      <w:bookmarkEnd w:id="148"/>
    </w:p>
    <w:tbl>
      <w:tblPr>
        <w:tblStyle w:val="GridTable4-Accent4"/>
        <w:tblW w:w="14116" w:type="dxa"/>
        <w:tblLook w:val="04A0" w:firstRow="1" w:lastRow="0" w:firstColumn="1" w:lastColumn="0" w:noHBand="0" w:noVBand="1"/>
      </w:tblPr>
      <w:tblGrid>
        <w:gridCol w:w="1117"/>
        <w:gridCol w:w="6503"/>
        <w:gridCol w:w="1447"/>
        <w:gridCol w:w="5049"/>
      </w:tblGrid>
      <w:tr w:rsidR="00600159" w14:paraId="6E1A0BEA" w14:textId="77777777" w:rsidTr="009E0C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7238056A" w14:textId="0D4FB384"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503" w:type="dxa"/>
          </w:tcPr>
          <w:p w14:paraId="6A34BB0D" w14:textId="45A684FA"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447" w:type="dxa"/>
          </w:tcPr>
          <w:p w14:paraId="03F8D232" w14:textId="2048433D"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049" w:type="dxa"/>
          </w:tcPr>
          <w:p w14:paraId="7BA46DED" w14:textId="0F483B87"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600159" w14:paraId="2A7C3786" w14:textId="77777777" w:rsidTr="009E0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4FF3836" w14:textId="487A60A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w:t>
            </w:r>
          </w:p>
        </w:tc>
        <w:tc>
          <w:tcPr>
            <w:tcW w:w="6503" w:type="dxa"/>
          </w:tcPr>
          <w:p w14:paraId="7E1C76DC" w14:textId="19DBE421"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To minimise harm to protected matters from the potential inadequate management of hazardous wastes, the approval holder must:</w:t>
            </w:r>
          </w:p>
        </w:tc>
        <w:tc>
          <w:tcPr>
            <w:tcW w:w="1447" w:type="dxa"/>
          </w:tcPr>
          <w:p w14:paraId="2508D0E2" w14:textId="7777777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c>
          <w:tcPr>
            <w:tcW w:w="5049" w:type="dxa"/>
          </w:tcPr>
          <w:p w14:paraId="5E42246C" w14:textId="77777777"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r w:rsidR="00600159" w14:paraId="61389857" w14:textId="77777777" w:rsidTr="009E0C62">
        <w:tc>
          <w:tcPr>
            <w:cnfStyle w:val="001000000000" w:firstRow="0" w:lastRow="0" w:firstColumn="1" w:lastColumn="0" w:oddVBand="0" w:evenVBand="0" w:oddHBand="0" w:evenHBand="0" w:firstRowFirstColumn="0" w:firstRowLastColumn="0" w:lastRowFirstColumn="0" w:lastRowLastColumn="0"/>
            <w:tcW w:w="1117" w:type="dxa"/>
          </w:tcPr>
          <w:p w14:paraId="7F4CD538" w14:textId="5339224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10a)</w:t>
            </w:r>
          </w:p>
        </w:tc>
        <w:tc>
          <w:tcPr>
            <w:tcW w:w="6503" w:type="dxa"/>
          </w:tcPr>
          <w:p w14:paraId="419CCE17" w14:textId="51E44A51"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Have established an inventory of all hazardous waste remaining on the facility, suitably quantified and characterised, prior to the FPSO departing the operational area. This must include, but not be limited to:</w:t>
            </w:r>
          </w:p>
        </w:tc>
        <w:tc>
          <w:tcPr>
            <w:tcW w:w="1447" w:type="dxa"/>
          </w:tcPr>
          <w:p w14:paraId="379B0EDD" w14:textId="3E03E76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36D25748" w14:textId="01799087"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5E06D1E6">
              <w:rPr>
                <w:rFonts w:ascii="Aptos" w:eastAsia="Aptos" w:hAnsi="Aptos" w:cs="Aptos"/>
                <w:color w:val="000000" w:themeColor="text1"/>
              </w:rPr>
              <w:t xml:space="preserve">An IHM of Northern Endeavour waste is currently in preparation. </w:t>
            </w:r>
          </w:p>
          <w:p w14:paraId="52960B33" w14:textId="3E6B2359"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5E06D1E6">
              <w:rPr>
                <w:rFonts w:ascii="Aptos" w:eastAsia="Aptos" w:hAnsi="Aptos" w:cs="Aptos"/>
                <w:color w:val="000000" w:themeColor="text1"/>
              </w:rPr>
              <w:t>The FPSO did not depart the operational area during this reporting period.</w:t>
            </w:r>
          </w:p>
        </w:tc>
      </w:tr>
      <w:tr w:rsidR="00600159" w14:paraId="71DA8271" w14:textId="77777777" w:rsidTr="009E0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1DD41AC1" w14:textId="66CB141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 xml:space="preserve">10a) i. </w:t>
            </w:r>
          </w:p>
        </w:tc>
        <w:tc>
          <w:tcPr>
            <w:tcW w:w="6503" w:type="dxa"/>
          </w:tcPr>
          <w:p w14:paraId="6D1325F8" w14:textId="17CFD8D5"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P</w:t>
            </w:r>
            <w:r w:rsidRPr="006E0027">
              <w:rPr>
                <w:rFonts w:ascii="Aptos" w:hAnsi="Aptos"/>
                <w:bCs/>
                <w:szCs w:val="20"/>
              </w:rPr>
              <w:t>ackaged solid, or liquid waste material (including plastics)</w:t>
            </w:r>
            <w:r>
              <w:rPr>
                <w:rFonts w:ascii="Aptos" w:hAnsi="Aptos"/>
                <w:bCs/>
                <w:szCs w:val="20"/>
              </w:rPr>
              <w:t>.</w:t>
            </w:r>
          </w:p>
        </w:tc>
        <w:tc>
          <w:tcPr>
            <w:tcW w:w="1447" w:type="dxa"/>
          </w:tcPr>
          <w:p w14:paraId="12A47C5B" w14:textId="1BBE289D"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4B4359D8" w14:textId="6928E294" w:rsidR="00600159" w:rsidRPr="5E06D1E6"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006E0027">
              <w:rPr>
                <w:rFonts w:ascii="Aptos" w:eastAsia="Aptos" w:hAnsi="Aptos" w:cs="Aptos"/>
                <w:bCs/>
                <w:color w:val="000000" w:themeColor="text1"/>
                <w:szCs w:val="20"/>
              </w:rPr>
              <w:t>The FPSO did not depart the operational area during this reporting period.</w:t>
            </w:r>
          </w:p>
        </w:tc>
      </w:tr>
      <w:tr w:rsidR="00600159" w14:paraId="16DDF21F" w14:textId="77777777" w:rsidTr="009E0C62">
        <w:tc>
          <w:tcPr>
            <w:cnfStyle w:val="001000000000" w:firstRow="0" w:lastRow="0" w:firstColumn="1" w:lastColumn="0" w:oddVBand="0" w:evenVBand="0" w:oddHBand="0" w:evenHBand="0" w:firstRowFirstColumn="0" w:firstRowLastColumn="0" w:lastRowFirstColumn="0" w:lastRowLastColumn="0"/>
            <w:tcW w:w="1117" w:type="dxa"/>
          </w:tcPr>
          <w:p w14:paraId="29F2183E" w14:textId="5B9E3A3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10a) ii.</w:t>
            </w:r>
          </w:p>
        </w:tc>
        <w:tc>
          <w:tcPr>
            <w:tcW w:w="6503" w:type="dxa"/>
          </w:tcPr>
          <w:p w14:paraId="4798B925" w14:textId="602B6D13"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A</w:t>
            </w:r>
            <w:r w:rsidRPr="006E0027">
              <w:rPr>
                <w:rFonts w:ascii="Aptos" w:hAnsi="Aptos"/>
                <w:bCs/>
                <w:szCs w:val="20"/>
              </w:rPr>
              <w:t>ny residual process and treatment chemical inventories stored on the facility</w:t>
            </w:r>
            <w:r>
              <w:rPr>
                <w:rFonts w:ascii="Aptos" w:hAnsi="Aptos"/>
                <w:bCs/>
                <w:szCs w:val="20"/>
              </w:rPr>
              <w:t>.</w:t>
            </w:r>
          </w:p>
        </w:tc>
        <w:tc>
          <w:tcPr>
            <w:tcW w:w="1447" w:type="dxa"/>
          </w:tcPr>
          <w:p w14:paraId="4903AA3D" w14:textId="7D0454B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2CA6D248" w14:textId="2A337A2E"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FPSO did not depart the operational area during this reporting period.</w:t>
            </w:r>
          </w:p>
        </w:tc>
      </w:tr>
      <w:tr w:rsidR="00600159" w14:paraId="16394A0C" w14:textId="77777777" w:rsidTr="009E0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F7A8F12" w14:textId="2EDA622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10a) iii.</w:t>
            </w:r>
          </w:p>
        </w:tc>
        <w:tc>
          <w:tcPr>
            <w:tcW w:w="6503" w:type="dxa"/>
          </w:tcPr>
          <w:p w14:paraId="7BCF9AA6" w14:textId="0AF39FE6"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S</w:t>
            </w:r>
            <w:r w:rsidRPr="006E0027">
              <w:rPr>
                <w:rFonts w:ascii="Aptos" w:hAnsi="Aptos"/>
                <w:bCs/>
                <w:szCs w:val="20"/>
              </w:rPr>
              <w:t xml:space="preserve">olids, </w:t>
            </w:r>
            <w:proofErr w:type="gramStart"/>
            <w:r w:rsidRPr="006E0027">
              <w:rPr>
                <w:rFonts w:ascii="Aptos" w:hAnsi="Aptos"/>
                <w:bCs/>
                <w:szCs w:val="20"/>
              </w:rPr>
              <w:t>liquids</w:t>
            </w:r>
            <w:proofErr w:type="gramEnd"/>
            <w:r w:rsidRPr="006E0027">
              <w:rPr>
                <w:rFonts w:ascii="Aptos" w:hAnsi="Aptos"/>
                <w:bCs/>
                <w:szCs w:val="20"/>
              </w:rPr>
              <w:t xml:space="preserve"> and sludges contained in facility piping, vessel and tanks</w:t>
            </w:r>
            <w:r>
              <w:rPr>
                <w:rFonts w:ascii="Aptos" w:hAnsi="Aptos"/>
                <w:bCs/>
                <w:szCs w:val="20"/>
              </w:rPr>
              <w:t>.</w:t>
            </w:r>
          </w:p>
        </w:tc>
        <w:tc>
          <w:tcPr>
            <w:tcW w:w="1447" w:type="dxa"/>
          </w:tcPr>
          <w:p w14:paraId="666CCED5" w14:textId="3F4A0376"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7747BD62" w14:textId="15739598"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FPSO did not depart the operational area during this reporting period.</w:t>
            </w:r>
          </w:p>
        </w:tc>
      </w:tr>
      <w:tr w:rsidR="00600159" w14:paraId="4897C4F6" w14:textId="77777777" w:rsidTr="009E0C62">
        <w:tc>
          <w:tcPr>
            <w:cnfStyle w:val="001000000000" w:firstRow="0" w:lastRow="0" w:firstColumn="1" w:lastColumn="0" w:oddVBand="0" w:evenVBand="0" w:oddHBand="0" w:evenHBand="0" w:firstRowFirstColumn="0" w:firstRowLastColumn="0" w:lastRowFirstColumn="0" w:lastRowLastColumn="0"/>
            <w:tcW w:w="1117" w:type="dxa"/>
          </w:tcPr>
          <w:p w14:paraId="76C87333" w14:textId="016BEF2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10a) iv.</w:t>
            </w:r>
          </w:p>
        </w:tc>
        <w:tc>
          <w:tcPr>
            <w:tcW w:w="6503" w:type="dxa"/>
          </w:tcPr>
          <w:p w14:paraId="02F85C26" w14:textId="24C1BAA1"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Pr>
                <w:rFonts w:ascii="Aptos" w:hAnsi="Aptos"/>
                <w:bCs/>
                <w:szCs w:val="20"/>
              </w:rPr>
              <w:t>S</w:t>
            </w:r>
            <w:r w:rsidRPr="006E0027">
              <w:rPr>
                <w:rFonts w:ascii="Aptos" w:hAnsi="Aptos"/>
                <w:bCs/>
                <w:szCs w:val="20"/>
              </w:rPr>
              <w:t>pecifically, material containing mercury, NORM(s), or other hazardous material identified as part of the proposed activities</w:t>
            </w:r>
            <w:r>
              <w:rPr>
                <w:rFonts w:ascii="Aptos" w:hAnsi="Aptos"/>
                <w:bCs/>
                <w:szCs w:val="20"/>
              </w:rPr>
              <w:t>.</w:t>
            </w:r>
          </w:p>
        </w:tc>
        <w:tc>
          <w:tcPr>
            <w:tcW w:w="1447" w:type="dxa"/>
          </w:tcPr>
          <w:p w14:paraId="0CF3D195" w14:textId="37216CB6"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00BC0851" w14:textId="18544644"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FPSO did not depart the operational area during this reporting period.</w:t>
            </w:r>
          </w:p>
        </w:tc>
      </w:tr>
      <w:tr w:rsidR="00600159" w14:paraId="400644EE" w14:textId="77777777" w:rsidTr="009E0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17D4579E" w14:textId="4B8F30B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10a) v.</w:t>
            </w:r>
          </w:p>
        </w:tc>
        <w:tc>
          <w:tcPr>
            <w:tcW w:w="6503" w:type="dxa"/>
          </w:tcPr>
          <w:p w14:paraId="4831F535" w14:textId="4F4D60B5"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Pr>
                <w:rFonts w:ascii="Aptos" w:hAnsi="Aptos"/>
                <w:bCs/>
                <w:szCs w:val="20"/>
              </w:rPr>
              <w:t>A</w:t>
            </w:r>
            <w:r w:rsidRPr="006E0027">
              <w:rPr>
                <w:rFonts w:ascii="Aptos" w:hAnsi="Aptos"/>
                <w:bCs/>
                <w:szCs w:val="20"/>
              </w:rPr>
              <w:t>ny material of a category listed in Annex III of the Basel Convention.</w:t>
            </w:r>
          </w:p>
        </w:tc>
        <w:tc>
          <w:tcPr>
            <w:tcW w:w="1447" w:type="dxa"/>
          </w:tcPr>
          <w:p w14:paraId="3F98BD8F" w14:textId="6683D35F"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61ACDF7A" w14:textId="6A50D89F"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FPSO did not depart the operational area during this reporting period.</w:t>
            </w:r>
          </w:p>
        </w:tc>
      </w:tr>
      <w:tr w:rsidR="00600159" w14:paraId="3B7DCE0A" w14:textId="77777777" w:rsidTr="009E0C62">
        <w:tc>
          <w:tcPr>
            <w:cnfStyle w:val="001000000000" w:firstRow="0" w:lastRow="0" w:firstColumn="1" w:lastColumn="0" w:oddVBand="0" w:evenVBand="0" w:oddHBand="0" w:evenHBand="0" w:firstRowFirstColumn="0" w:firstRowLastColumn="0" w:lastRowFirstColumn="0" w:lastRowLastColumn="0"/>
            <w:tcW w:w="1117" w:type="dxa"/>
          </w:tcPr>
          <w:p w14:paraId="13BC7B59" w14:textId="645633E4"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10b)</w:t>
            </w:r>
          </w:p>
        </w:tc>
        <w:tc>
          <w:tcPr>
            <w:tcW w:w="6503" w:type="dxa"/>
          </w:tcPr>
          <w:p w14:paraId="40D4BE21" w14:textId="5A119EFF"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 xml:space="preserve">Obtain any necessary permits or approvals for the transportation, import or export of such waste, as required by international or domestic </w:t>
            </w:r>
            <w:r w:rsidRPr="006E0027">
              <w:rPr>
                <w:rFonts w:ascii="Aptos" w:hAnsi="Aptos"/>
                <w:bCs/>
                <w:szCs w:val="20"/>
              </w:rPr>
              <w:lastRenderedPageBreak/>
              <w:t xml:space="preserve">conventions, protocols or legislative instruments, including the </w:t>
            </w:r>
            <w:r w:rsidRPr="00531B81">
              <w:rPr>
                <w:rFonts w:ascii="Aptos" w:hAnsi="Aptos"/>
                <w:i/>
                <w:szCs w:val="20"/>
              </w:rPr>
              <w:t xml:space="preserve">Commonwealth Hazardous Waste (Regulation of Exports and Imports) Act 1989 </w:t>
            </w:r>
            <w:r w:rsidRPr="006E0027">
              <w:rPr>
                <w:rFonts w:ascii="Aptos" w:hAnsi="Aptos"/>
                <w:bCs/>
                <w:szCs w:val="20"/>
              </w:rPr>
              <w:t>and the Basel Convention, prior to the FPSO departing the operational area.</w:t>
            </w:r>
          </w:p>
        </w:tc>
        <w:tc>
          <w:tcPr>
            <w:tcW w:w="1447" w:type="dxa"/>
          </w:tcPr>
          <w:p w14:paraId="3C8EC5B1" w14:textId="710D8F6D"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lastRenderedPageBreak/>
              <w:t>Not applicable</w:t>
            </w:r>
          </w:p>
        </w:tc>
        <w:tc>
          <w:tcPr>
            <w:tcW w:w="5049" w:type="dxa"/>
          </w:tcPr>
          <w:p w14:paraId="4C42D8A3" w14:textId="30442CEE"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FPSO did not depart the operational area during this reporting period.</w:t>
            </w:r>
          </w:p>
        </w:tc>
      </w:tr>
      <w:tr w:rsidR="00600159" w14:paraId="27393D97" w14:textId="77777777" w:rsidTr="009E0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C6784F7" w14:textId="59FC9E0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 xml:space="preserve">11) </w:t>
            </w:r>
          </w:p>
        </w:tc>
        <w:tc>
          <w:tcPr>
            <w:tcW w:w="6503" w:type="dxa"/>
          </w:tcPr>
          <w:p w14:paraId="7A64BDB6" w14:textId="4B463F2A"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approval holder must inform the designated recipient (at the agreed location) of the FPSO of the quantities and nature of the hazardous waste that will be present on the FPSO, prior to the FPSO departing the operational area.</w:t>
            </w:r>
          </w:p>
        </w:tc>
        <w:tc>
          <w:tcPr>
            <w:tcW w:w="1447" w:type="dxa"/>
          </w:tcPr>
          <w:p w14:paraId="05CEE1FC" w14:textId="60F20DF1"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049" w:type="dxa"/>
          </w:tcPr>
          <w:p w14:paraId="410DAEAB"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The FPSO did not depart the operational area during this reporting period. </w:t>
            </w:r>
          </w:p>
          <w:p w14:paraId="6CC0458E" w14:textId="2928F428"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The designated recipient and agreed location for the FPSO </w:t>
            </w:r>
            <w:r>
              <w:rPr>
                <w:rFonts w:ascii="Aptos" w:eastAsia="Aptos" w:hAnsi="Aptos" w:cs="Aptos"/>
                <w:bCs/>
                <w:color w:val="000000" w:themeColor="text1"/>
                <w:szCs w:val="20"/>
              </w:rPr>
              <w:t>were not determined during the reporting period</w:t>
            </w:r>
            <w:r w:rsidRPr="006E0027">
              <w:rPr>
                <w:rFonts w:ascii="Aptos" w:eastAsia="Aptos" w:hAnsi="Aptos" w:cs="Aptos"/>
                <w:bCs/>
                <w:color w:val="000000" w:themeColor="text1"/>
                <w:szCs w:val="20"/>
              </w:rPr>
              <w:t>.</w:t>
            </w:r>
          </w:p>
        </w:tc>
      </w:tr>
      <w:tr w:rsidR="00600159" w14:paraId="420B311E" w14:textId="77777777" w:rsidTr="009E0C62">
        <w:tc>
          <w:tcPr>
            <w:cnfStyle w:val="001000000000" w:firstRow="0" w:lastRow="0" w:firstColumn="1" w:lastColumn="0" w:oddVBand="0" w:evenVBand="0" w:oddHBand="0" w:evenHBand="0" w:firstRowFirstColumn="0" w:firstRowLastColumn="0" w:lastRowFirstColumn="0" w:lastRowLastColumn="0"/>
            <w:tcW w:w="1117" w:type="dxa"/>
          </w:tcPr>
          <w:p w14:paraId="6A913E75" w14:textId="42681E3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12)</w:t>
            </w:r>
          </w:p>
        </w:tc>
        <w:tc>
          <w:tcPr>
            <w:tcW w:w="6503" w:type="dxa"/>
          </w:tcPr>
          <w:p w14:paraId="6115F887" w14:textId="2F5D2244"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If the approval holder does not deliver the FPSO to the designated recipient (at the agreed location) themselves, and the FPSO is to be delivered to the agreed location by a creditor, then the approval holder must take all reasonable steps to communicate the requirements of this approval notice to the creditor. The requirements of this approval notice must be included in contractual or other handover arrangements between the approval holder and the creditor.</w:t>
            </w:r>
          </w:p>
        </w:tc>
        <w:tc>
          <w:tcPr>
            <w:tcW w:w="1447" w:type="dxa"/>
          </w:tcPr>
          <w:p w14:paraId="22EC2DB5" w14:textId="22F85A34"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049" w:type="dxa"/>
          </w:tcPr>
          <w:p w14:paraId="2CA94C04" w14:textId="77777777"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Handover of the FPSO did not occur in this reporting period. </w:t>
            </w:r>
          </w:p>
          <w:p w14:paraId="59A24A59" w14:textId="69755E3C"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The designated recipient and agreed location for the FPSO </w:t>
            </w:r>
            <w:r>
              <w:rPr>
                <w:rFonts w:ascii="Aptos" w:eastAsia="Aptos" w:hAnsi="Aptos" w:cs="Aptos"/>
                <w:bCs/>
                <w:color w:val="000000" w:themeColor="text1"/>
                <w:szCs w:val="20"/>
              </w:rPr>
              <w:t>were not determined during the reporting period</w:t>
            </w:r>
            <w:r w:rsidRPr="006E0027">
              <w:rPr>
                <w:rFonts w:ascii="Aptos" w:eastAsia="Aptos" w:hAnsi="Aptos" w:cs="Aptos"/>
                <w:bCs/>
                <w:color w:val="000000" w:themeColor="text1"/>
                <w:szCs w:val="20"/>
              </w:rPr>
              <w:t>.</w:t>
            </w:r>
          </w:p>
        </w:tc>
      </w:tr>
    </w:tbl>
    <w:p w14:paraId="5F266F08" w14:textId="77777777" w:rsidR="0070114D" w:rsidRDefault="0070114D" w:rsidP="0070114D">
      <w:pPr>
        <w:rPr>
          <w:highlight w:val="lightGray"/>
        </w:rPr>
      </w:pPr>
    </w:p>
    <w:p w14:paraId="700B7BEE" w14:textId="77777777" w:rsidR="0070114D" w:rsidRDefault="0070114D">
      <w:pPr>
        <w:spacing w:before="0" w:after="160" w:line="259" w:lineRule="auto"/>
        <w:rPr>
          <w:rFonts w:asciiTheme="majorHAnsi" w:eastAsiaTheme="majorEastAsia" w:hAnsiTheme="majorHAnsi" w:cstheme="majorBidi"/>
          <w:color w:val="0766A5" w:themeColor="accent1"/>
          <w:sz w:val="40"/>
          <w:szCs w:val="40"/>
          <w:highlight w:val="lightGray"/>
        </w:rPr>
      </w:pPr>
      <w:r>
        <w:rPr>
          <w:highlight w:val="lightGray"/>
        </w:rPr>
        <w:br w:type="page"/>
      </w:r>
    </w:p>
    <w:p w14:paraId="4F71E32A" w14:textId="607E8043" w:rsidR="00600159" w:rsidRDefault="00600159" w:rsidP="0070114D">
      <w:pPr>
        <w:pStyle w:val="Heading3"/>
        <w:ind w:left="851" w:hanging="851"/>
      </w:pPr>
      <w:bookmarkStart w:id="149" w:name="_Toc180504237"/>
      <w:r w:rsidRPr="0070114D">
        <w:lastRenderedPageBreak/>
        <w:t>Notification</w:t>
      </w:r>
      <w:r w:rsidRPr="00DF10AD">
        <w:t xml:space="preserve"> of date of commencement of the Action</w:t>
      </w:r>
      <w:bookmarkEnd w:id="149"/>
    </w:p>
    <w:tbl>
      <w:tblPr>
        <w:tblStyle w:val="GridTable4-Accent4"/>
        <w:tblW w:w="14116" w:type="dxa"/>
        <w:tblLook w:val="04A0" w:firstRow="1" w:lastRow="0" w:firstColumn="1" w:lastColumn="0" w:noHBand="0" w:noVBand="1"/>
      </w:tblPr>
      <w:tblGrid>
        <w:gridCol w:w="1117"/>
        <w:gridCol w:w="6253"/>
        <w:gridCol w:w="1559"/>
        <w:gridCol w:w="5187"/>
      </w:tblGrid>
      <w:tr w:rsidR="00600159" w14:paraId="2AF1AA11" w14:textId="77777777" w:rsidTr="0038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EDDF410" w14:textId="3AA1FC02"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253" w:type="dxa"/>
          </w:tcPr>
          <w:p w14:paraId="73E8BBDD" w14:textId="734DAF31"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szCs w:val="20"/>
              </w:rPr>
            </w:pPr>
            <w:r w:rsidRPr="00301BF4">
              <w:rPr>
                <w:rFonts w:ascii="Aptos" w:hAnsi="Aptos"/>
                <w:szCs w:val="20"/>
              </w:rPr>
              <w:t>Condition</w:t>
            </w:r>
          </w:p>
        </w:tc>
        <w:tc>
          <w:tcPr>
            <w:tcW w:w="1559" w:type="dxa"/>
          </w:tcPr>
          <w:p w14:paraId="427BF403" w14:textId="0646DC2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5187" w:type="dxa"/>
          </w:tcPr>
          <w:p w14:paraId="284CF221" w14:textId="677930B7"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600159" w14:paraId="5634BD55"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870FA3E" w14:textId="56F7DDF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13)</w:t>
            </w:r>
          </w:p>
        </w:tc>
        <w:tc>
          <w:tcPr>
            <w:tcW w:w="6253" w:type="dxa"/>
          </w:tcPr>
          <w:p w14:paraId="013D019B" w14:textId="7E0C62EA"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eastAsia="Aptos" w:hAnsi="Aptos" w:cs="Aptos"/>
                <w:szCs w:val="20"/>
              </w:rPr>
              <w:t>The approval holder must notify the department electronically of the date of commencement of the Action, within 5 business days following commencement of the Action.</w:t>
            </w:r>
          </w:p>
        </w:tc>
        <w:tc>
          <w:tcPr>
            <w:tcW w:w="1559" w:type="dxa"/>
          </w:tcPr>
          <w:p w14:paraId="1C734C10" w14:textId="3C3B9EB3"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color w:val="000000" w:themeColor="text1"/>
                <w:szCs w:val="20"/>
              </w:rPr>
              <w:t xml:space="preserve">Compliant </w:t>
            </w:r>
          </w:p>
        </w:tc>
        <w:tc>
          <w:tcPr>
            <w:tcW w:w="5187" w:type="dxa"/>
          </w:tcPr>
          <w:p w14:paraId="0E39B07F" w14:textId="36E1571C"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Pr>
                <w:rFonts w:ascii="Aptos" w:eastAsia="Aptos" w:hAnsi="Aptos" w:cs="Aptos"/>
                <w:color w:val="000000" w:themeColor="text1"/>
                <w:szCs w:val="20"/>
              </w:rPr>
              <w:t>Within 5 business days from approval o</w:t>
            </w:r>
            <w:r w:rsidRPr="006E0027">
              <w:rPr>
                <w:rFonts w:ascii="Aptos" w:eastAsia="Aptos" w:hAnsi="Aptos" w:cs="Aptos"/>
                <w:color w:val="000000" w:themeColor="text1"/>
                <w:szCs w:val="20"/>
              </w:rPr>
              <w:t xml:space="preserve">n </w:t>
            </w:r>
            <w:r>
              <w:rPr>
                <w:rFonts w:ascii="Aptos" w:eastAsia="Aptos" w:hAnsi="Aptos" w:cs="Aptos"/>
                <w:color w:val="000000" w:themeColor="text1"/>
                <w:szCs w:val="20"/>
              </w:rPr>
              <w:t>1</w:t>
            </w:r>
            <w:r w:rsidRPr="006E0027">
              <w:rPr>
                <w:rFonts w:ascii="Aptos" w:eastAsia="Aptos" w:hAnsi="Aptos" w:cs="Aptos"/>
                <w:color w:val="000000" w:themeColor="text1"/>
                <w:szCs w:val="20"/>
              </w:rPr>
              <w:t xml:space="preserve"> August 2023, the </w:t>
            </w:r>
            <w:r>
              <w:rPr>
                <w:rFonts w:ascii="Aptos" w:eastAsia="Aptos" w:hAnsi="Aptos" w:cs="Aptos"/>
                <w:color w:val="000000" w:themeColor="text1"/>
                <w:szCs w:val="20"/>
              </w:rPr>
              <w:t>DISR</w:t>
            </w:r>
            <w:r w:rsidRPr="006E0027">
              <w:rPr>
                <w:rFonts w:ascii="Aptos" w:eastAsia="Aptos" w:hAnsi="Aptos" w:cs="Aptos"/>
                <w:color w:val="000000" w:themeColor="text1"/>
                <w:szCs w:val="20"/>
              </w:rPr>
              <w:t xml:space="preserve"> notified DCCEEW via email that the approved action had commenced.</w:t>
            </w:r>
          </w:p>
        </w:tc>
      </w:tr>
      <w:tr w:rsidR="00600159" w14:paraId="6431B5F5"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394746BA" w14:textId="621E682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14)</w:t>
            </w:r>
          </w:p>
        </w:tc>
        <w:tc>
          <w:tcPr>
            <w:tcW w:w="6253" w:type="dxa"/>
          </w:tcPr>
          <w:p w14:paraId="7E7114AC" w14:textId="438F369A"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szCs w:val="20"/>
              </w:rPr>
            </w:pPr>
            <w:r w:rsidRPr="006E0027">
              <w:rPr>
                <w:rFonts w:ascii="Aptos" w:eastAsia="Aptos" w:hAnsi="Aptos" w:cs="Aptos"/>
                <w:szCs w:val="20"/>
              </w:rPr>
              <w:t>If the commencement of the Action does not occur within 5 years from the date of this approval, then the approval holder must not commence the Action without the prior written agreement of the Minister.</w:t>
            </w:r>
          </w:p>
        </w:tc>
        <w:tc>
          <w:tcPr>
            <w:tcW w:w="1559" w:type="dxa"/>
          </w:tcPr>
          <w:p w14:paraId="53331926" w14:textId="682E8AE2"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Not applicable </w:t>
            </w:r>
          </w:p>
        </w:tc>
        <w:tc>
          <w:tcPr>
            <w:tcW w:w="5187" w:type="dxa"/>
          </w:tcPr>
          <w:p w14:paraId="6A589AA6" w14:textId="7B288B1C"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Within 5 business days from approval o</w:t>
            </w:r>
            <w:r w:rsidRPr="006E0027">
              <w:rPr>
                <w:rFonts w:ascii="Aptos" w:eastAsia="Aptos" w:hAnsi="Aptos" w:cs="Aptos"/>
                <w:color w:val="000000" w:themeColor="text1"/>
                <w:szCs w:val="20"/>
              </w:rPr>
              <w:t xml:space="preserve">n </w:t>
            </w:r>
            <w:r>
              <w:rPr>
                <w:rFonts w:ascii="Aptos" w:eastAsia="Aptos" w:hAnsi="Aptos" w:cs="Aptos"/>
                <w:color w:val="000000" w:themeColor="text1"/>
                <w:szCs w:val="20"/>
              </w:rPr>
              <w:t>1</w:t>
            </w:r>
            <w:r w:rsidRPr="006E0027">
              <w:rPr>
                <w:rFonts w:ascii="Aptos" w:eastAsia="Aptos" w:hAnsi="Aptos" w:cs="Aptos"/>
                <w:color w:val="000000" w:themeColor="text1"/>
                <w:szCs w:val="20"/>
              </w:rPr>
              <w:t xml:space="preserve"> August 2023, the </w:t>
            </w:r>
            <w:r>
              <w:rPr>
                <w:rFonts w:ascii="Aptos" w:eastAsia="Aptos" w:hAnsi="Aptos" w:cs="Aptos"/>
                <w:color w:val="000000" w:themeColor="text1"/>
                <w:szCs w:val="20"/>
              </w:rPr>
              <w:t>DISR</w:t>
            </w:r>
            <w:r w:rsidRPr="006E0027">
              <w:rPr>
                <w:rFonts w:ascii="Aptos" w:eastAsia="Aptos" w:hAnsi="Aptos" w:cs="Aptos"/>
                <w:color w:val="000000" w:themeColor="text1"/>
                <w:szCs w:val="20"/>
              </w:rPr>
              <w:t xml:space="preserve"> notified DCCEEW via email that the approved action had commenced.</w:t>
            </w:r>
          </w:p>
        </w:tc>
      </w:tr>
    </w:tbl>
    <w:p w14:paraId="00C8DFB2" w14:textId="200E13E3" w:rsidR="00600159" w:rsidRDefault="00600159" w:rsidP="00600159">
      <w:pPr>
        <w:pStyle w:val="Heading3"/>
        <w:ind w:left="851" w:hanging="851"/>
      </w:pPr>
      <w:bookmarkStart w:id="150" w:name="_Toc180504238"/>
      <w:r w:rsidRPr="00DF10AD">
        <w:t>Compliance records</w:t>
      </w:r>
      <w:bookmarkEnd w:id="150"/>
    </w:p>
    <w:tbl>
      <w:tblPr>
        <w:tblStyle w:val="GridTable4-Accent4"/>
        <w:tblW w:w="14116" w:type="dxa"/>
        <w:tblLook w:val="04A0" w:firstRow="1" w:lastRow="0" w:firstColumn="1" w:lastColumn="0" w:noHBand="0" w:noVBand="1"/>
      </w:tblPr>
      <w:tblGrid>
        <w:gridCol w:w="1117"/>
        <w:gridCol w:w="6253"/>
        <w:gridCol w:w="1559"/>
        <w:gridCol w:w="5187"/>
      </w:tblGrid>
      <w:tr w:rsidR="00600159" w14:paraId="6DA82D0C" w14:textId="77777777" w:rsidTr="00600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5BC6B601" w14:textId="13BFF7E7"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253" w:type="dxa"/>
          </w:tcPr>
          <w:p w14:paraId="714127F1" w14:textId="46960C8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Condition</w:t>
            </w:r>
          </w:p>
        </w:tc>
        <w:tc>
          <w:tcPr>
            <w:tcW w:w="1559" w:type="dxa"/>
          </w:tcPr>
          <w:p w14:paraId="6BA631BF" w14:textId="056C101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5187" w:type="dxa"/>
          </w:tcPr>
          <w:p w14:paraId="61CF6D7D" w14:textId="1DB2ACF5"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600159" w14:paraId="7333E149"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A46179C" w14:textId="724ECA0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15)</w:t>
            </w:r>
          </w:p>
        </w:tc>
        <w:tc>
          <w:tcPr>
            <w:tcW w:w="6253" w:type="dxa"/>
          </w:tcPr>
          <w:p w14:paraId="6E04AA57" w14:textId="53A94370"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szCs w:val="20"/>
              </w:rPr>
            </w:pPr>
            <w:r w:rsidRPr="006E0027">
              <w:rPr>
                <w:rFonts w:ascii="Aptos" w:eastAsia="Aptos" w:hAnsi="Aptos" w:cs="Aptos"/>
                <w:color w:val="000000" w:themeColor="text1"/>
                <w:szCs w:val="20"/>
              </w:rPr>
              <w:t>T</w:t>
            </w:r>
            <w:r w:rsidRPr="006E0027">
              <w:rPr>
                <w:rFonts w:ascii="Aptos" w:hAnsi="Aptos"/>
                <w:szCs w:val="20"/>
              </w:rPr>
              <w:t>he approval holder must maintain accurate and complete compliance records.</w:t>
            </w:r>
          </w:p>
        </w:tc>
        <w:tc>
          <w:tcPr>
            <w:tcW w:w="1559" w:type="dxa"/>
          </w:tcPr>
          <w:p w14:paraId="4407B062" w14:textId="1F8CFD6D"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187" w:type="dxa"/>
          </w:tcPr>
          <w:p w14:paraId="76068547" w14:textId="57D91A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DISR</w:t>
            </w:r>
            <w:r w:rsidRPr="006E0027">
              <w:rPr>
                <w:rFonts w:ascii="Aptos" w:eastAsia="Aptos" w:hAnsi="Aptos" w:cs="Aptos"/>
                <w:color w:val="000000" w:themeColor="text1"/>
                <w:szCs w:val="20"/>
              </w:rPr>
              <w:t xml:space="preserve"> </w:t>
            </w:r>
            <w:r>
              <w:rPr>
                <w:rFonts w:ascii="Aptos" w:eastAsia="Aptos" w:hAnsi="Aptos" w:cs="Aptos"/>
                <w:color w:val="000000" w:themeColor="text1"/>
                <w:szCs w:val="20"/>
              </w:rPr>
              <w:t>and Petrofac</w:t>
            </w:r>
            <w:r w:rsidRPr="006E0027">
              <w:rPr>
                <w:rFonts w:ascii="Aptos" w:eastAsia="Aptos" w:hAnsi="Aptos" w:cs="Aptos"/>
                <w:color w:val="000000" w:themeColor="text1"/>
                <w:szCs w:val="20"/>
              </w:rPr>
              <w:t xml:space="preserve"> maintain</w:t>
            </w:r>
            <w:r>
              <w:rPr>
                <w:rFonts w:ascii="Aptos" w:eastAsia="Aptos" w:hAnsi="Aptos" w:cs="Aptos"/>
                <w:color w:val="000000" w:themeColor="text1"/>
                <w:szCs w:val="20"/>
              </w:rPr>
              <w:t>ed</w:t>
            </w:r>
            <w:r w:rsidRPr="006E0027">
              <w:rPr>
                <w:rFonts w:ascii="Aptos" w:eastAsia="Aptos" w:hAnsi="Aptos" w:cs="Aptos"/>
                <w:color w:val="000000" w:themeColor="text1"/>
                <w:szCs w:val="20"/>
              </w:rPr>
              <w:t xml:space="preserve"> accurate and complete compliance records.</w:t>
            </w:r>
          </w:p>
        </w:tc>
      </w:tr>
      <w:tr w:rsidR="00600159" w14:paraId="08F68974"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05FB6EAB" w14:textId="7503E34E"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16)</w:t>
            </w:r>
          </w:p>
        </w:tc>
        <w:tc>
          <w:tcPr>
            <w:tcW w:w="6253" w:type="dxa"/>
          </w:tcPr>
          <w:p w14:paraId="19D145DA" w14:textId="31342212"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szCs w:val="20"/>
              </w:rPr>
              <w:t>If the department makes a request in writing, the approval holder must provide electronic copies of compliance records to the department within the timeframe specified in the request.</w:t>
            </w:r>
          </w:p>
        </w:tc>
        <w:tc>
          <w:tcPr>
            <w:tcW w:w="1559" w:type="dxa"/>
          </w:tcPr>
          <w:p w14:paraId="0C718AB9" w14:textId="5F6A3CA0"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7AE39C77" w14:textId="1E695FCD"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There was no request for providing electronic copies of compliance records during this reporting period.</w:t>
            </w:r>
          </w:p>
        </w:tc>
      </w:tr>
      <w:tr w:rsidR="00600159" w14:paraId="05AA4A06"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691C32A5" w14:textId="70E6701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17)</w:t>
            </w:r>
          </w:p>
        </w:tc>
        <w:tc>
          <w:tcPr>
            <w:tcW w:w="6253" w:type="dxa"/>
          </w:tcPr>
          <w:p w14:paraId="79CFE4D1" w14:textId="5368019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szCs w:val="20"/>
              </w:rPr>
            </w:pPr>
            <w:r w:rsidRPr="006E0027">
              <w:rPr>
                <w:rFonts w:ascii="Aptos" w:eastAsia="Aptos" w:hAnsi="Aptos" w:cs="Aptos"/>
                <w:color w:val="000000" w:themeColor="text1"/>
                <w:szCs w:val="20"/>
              </w:rPr>
              <w:t>T</w:t>
            </w:r>
            <w:r w:rsidRPr="006E0027">
              <w:rPr>
                <w:rFonts w:ascii="Aptos" w:hAnsi="Aptos"/>
                <w:szCs w:val="20"/>
              </w:rPr>
              <w:t xml:space="preserve">he approval holder must ensure that any monitoring data (including sensitive ecological data), surveys, maps, and other spatial and metadata required under the conditions of this approval are prepared in accordance with the Guidelines for biological survey and mapped </w:t>
            </w:r>
            <w:r w:rsidRPr="006E0027">
              <w:rPr>
                <w:rFonts w:ascii="Aptos" w:hAnsi="Aptos"/>
                <w:szCs w:val="20"/>
              </w:rPr>
              <w:lastRenderedPageBreak/>
              <w:t>data, Commonwealth of Australia 2018, or as otherwise specified by the Minister in writing.</w:t>
            </w:r>
          </w:p>
        </w:tc>
        <w:tc>
          <w:tcPr>
            <w:tcW w:w="1559" w:type="dxa"/>
          </w:tcPr>
          <w:p w14:paraId="378A0FF3" w14:textId="5812F89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lastRenderedPageBreak/>
              <w:t>Not applicable</w:t>
            </w:r>
          </w:p>
        </w:tc>
        <w:tc>
          <w:tcPr>
            <w:tcW w:w="5187" w:type="dxa"/>
          </w:tcPr>
          <w:p w14:paraId="4692B804" w14:textId="6AD8A6A7"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No monitoring data (including sensitive ecological data), surveys, maps, or other spatial and metadata was required to have been prepared or submitted to DCCEEW during this reporting period.</w:t>
            </w:r>
            <w:r w:rsidRPr="006E0027" w:rsidDel="00574D83">
              <w:rPr>
                <w:rFonts w:ascii="Aptos" w:eastAsia="Aptos" w:hAnsi="Aptos" w:cs="Aptos"/>
                <w:color w:val="000000" w:themeColor="text1"/>
                <w:szCs w:val="20"/>
              </w:rPr>
              <w:t xml:space="preserve"> </w:t>
            </w:r>
          </w:p>
        </w:tc>
      </w:tr>
      <w:tr w:rsidR="00600159" w14:paraId="7BDF0D72"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18265C6C" w14:textId="3713D34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18)</w:t>
            </w:r>
          </w:p>
        </w:tc>
        <w:tc>
          <w:tcPr>
            <w:tcW w:w="6253" w:type="dxa"/>
          </w:tcPr>
          <w:p w14:paraId="12B44BDE" w14:textId="0E9C8D21"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hAnsi="Aptos"/>
                <w:szCs w:val="20"/>
              </w:rPr>
              <w:t>The approval holder must ensure that any monitoring data (including sensitive ecological data), surveys, maps, and other spatial and metadata required under the conditions of this approval are prepared in accordance with the Guide to providing maps and boundary data for EPBC Act projects, Commonwealth of Australia 2021, or as otherwise specified by the Minister in writing.</w:t>
            </w:r>
          </w:p>
        </w:tc>
        <w:tc>
          <w:tcPr>
            <w:tcW w:w="1559" w:type="dxa"/>
          </w:tcPr>
          <w:p w14:paraId="29CF32B5" w14:textId="26DEF206"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Not applicable</w:t>
            </w:r>
          </w:p>
        </w:tc>
        <w:tc>
          <w:tcPr>
            <w:tcW w:w="5187" w:type="dxa"/>
          </w:tcPr>
          <w:p w14:paraId="0CD8FFEE" w14:textId="51F78B26"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No monitoring data (including sensitive ecological data), surveys, maps, or other spatial and metadata was required to have been prepared or submitted to DCCEEW during this reporting period.</w:t>
            </w:r>
          </w:p>
        </w:tc>
      </w:tr>
      <w:tr w:rsidR="00600159" w14:paraId="6D1B8387"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052712E" w14:textId="5391C3A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19)</w:t>
            </w:r>
          </w:p>
        </w:tc>
        <w:tc>
          <w:tcPr>
            <w:tcW w:w="6253" w:type="dxa"/>
          </w:tcPr>
          <w:p w14:paraId="25CCEB65" w14:textId="1A0B05C8"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color w:val="000000" w:themeColor="text1"/>
                <w:szCs w:val="20"/>
              </w:rPr>
              <w:t>T</w:t>
            </w:r>
            <w:r w:rsidRPr="006E0027">
              <w:rPr>
                <w:rFonts w:ascii="Aptos" w:hAnsi="Aptos"/>
                <w:szCs w:val="20"/>
              </w:rPr>
              <w:t>he approval holder must submit all monitoring data (including sensitive ecological data), surveys, maps, other spatial and metadata and all species occurrence record data (sightings and evidence of presence) electronically to the department within 20 business days of each anniversary of this approval decision.</w:t>
            </w:r>
          </w:p>
        </w:tc>
        <w:tc>
          <w:tcPr>
            <w:tcW w:w="1559" w:type="dxa"/>
          </w:tcPr>
          <w:p w14:paraId="416F5AEE" w14:textId="33E97AA9"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187" w:type="dxa"/>
          </w:tcPr>
          <w:p w14:paraId="6800431C" w14:textId="001ACAE0"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rPr>
              <w:t>DISR</w:t>
            </w:r>
            <w:r w:rsidRPr="2176241E">
              <w:rPr>
                <w:rFonts w:ascii="Aptos" w:eastAsia="Aptos" w:hAnsi="Aptos" w:cs="Aptos"/>
                <w:color w:val="000000" w:themeColor="text1"/>
              </w:rPr>
              <w:t xml:space="preserve"> notified DCCEEW within 20</w:t>
            </w:r>
            <w:r>
              <w:rPr>
                <w:rFonts w:ascii="Aptos" w:eastAsia="Aptos" w:hAnsi="Aptos" w:cs="Aptos"/>
                <w:color w:val="000000" w:themeColor="text1"/>
              </w:rPr>
              <w:t xml:space="preserve"> </w:t>
            </w:r>
            <w:r w:rsidRPr="2176241E">
              <w:rPr>
                <w:rFonts w:ascii="Aptos" w:eastAsia="Aptos" w:hAnsi="Aptos" w:cs="Aptos"/>
                <w:color w:val="000000" w:themeColor="text1"/>
              </w:rPr>
              <w:t xml:space="preserve">business days from 1 August 2024 that no </w:t>
            </w:r>
            <w:r>
              <w:rPr>
                <w:rFonts w:ascii="Aptos" w:eastAsia="Aptos" w:hAnsi="Aptos" w:cs="Aptos"/>
                <w:color w:val="000000" w:themeColor="text1"/>
                <w:szCs w:val="20"/>
              </w:rPr>
              <w:t>monitoring data (including sensitive ecological data), surveys, maps, or other spatial and metadata was required to have been prepared or submitted to DCCEEW during this reporting period.</w:t>
            </w:r>
          </w:p>
        </w:tc>
      </w:tr>
    </w:tbl>
    <w:p w14:paraId="13A73E3C" w14:textId="77777777" w:rsidR="00C126DD" w:rsidRDefault="00C126DD" w:rsidP="00C126DD"/>
    <w:p w14:paraId="535A09D8" w14:textId="77777777" w:rsidR="00C126DD" w:rsidRDefault="00C126DD">
      <w:pPr>
        <w:spacing w:before="0" w:after="160" w:line="259" w:lineRule="auto"/>
        <w:rPr>
          <w:rFonts w:asciiTheme="majorHAnsi" w:eastAsiaTheme="majorEastAsia" w:hAnsiTheme="majorHAnsi" w:cstheme="majorBidi"/>
          <w:color w:val="0766A5" w:themeColor="accent1"/>
          <w:sz w:val="40"/>
          <w:szCs w:val="40"/>
        </w:rPr>
      </w:pPr>
      <w:r>
        <w:br w:type="page"/>
      </w:r>
    </w:p>
    <w:p w14:paraId="17247AA1" w14:textId="195B4648" w:rsidR="00600159" w:rsidRDefault="00600159" w:rsidP="00600159">
      <w:pPr>
        <w:pStyle w:val="Heading3"/>
        <w:ind w:left="851" w:hanging="851"/>
      </w:pPr>
      <w:bookmarkStart w:id="151" w:name="_Toc180504239"/>
      <w:r w:rsidRPr="00DF10AD">
        <w:lastRenderedPageBreak/>
        <w:t>Annual compliance reporting</w:t>
      </w:r>
      <w:bookmarkEnd w:id="151"/>
    </w:p>
    <w:tbl>
      <w:tblPr>
        <w:tblStyle w:val="GridTable4-Accent4"/>
        <w:tblW w:w="14116" w:type="dxa"/>
        <w:tblLook w:val="04A0" w:firstRow="1" w:lastRow="0" w:firstColumn="1" w:lastColumn="0" w:noHBand="0" w:noVBand="1"/>
      </w:tblPr>
      <w:tblGrid>
        <w:gridCol w:w="1117"/>
        <w:gridCol w:w="6253"/>
        <w:gridCol w:w="1559"/>
        <w:gridCol w:w="5187"/>
      </w:tblGrid>
      <w:tr w:rsidR="00600159" w14:paraId="0FE764C8" w14:textId="77777777" w:rsidTr="00600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55D83C30" w14:textId="1D4C13FC"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253" w:type="dxa"/>
          </w:tcPr>
          <w:p w14:paraId="6389E1EA" w14:textId="0AA77ACC"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Condition</w:t>
            </w:r>
          </w:p>
        </w:tc>
        <w:tc>
          <w:tcPr>
            <w:tcW w:w="1559" w:type="dxa"/>
          </w:tcPr>
          <w:p w14:paraId="3BACBE1A" w14:textId="561EAC30"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Compliance</w:t>
            </w:r>
          </w:p>
        </w:tc>
        <w:tc>
          <w:tcPr>
            <w:tcW w:w="5187" w:type="dxa"/>
          </w:tcPr>
          <w:p w14:paraId="6D05BB17" w14:textId="71C0A399"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301BF4">
              <w:rPr>
                <w:rFonts w:ascii="Aptos" w:hAnsi="Aptos"/>
                <w:szCs w:val="20"/>
              </w:rPr>
              <w:t>Evidence/Comments</w:t>
            </w:r>
          </w:p>
        </w:tc>
      </w:tr>
      <w:tr w:rsidR="00600159" w14:paraId="6641DF3E"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2A03D09" w14:textId="0BDF097D"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20)</w:t>
            </w:r>
          </w:p>
        </w:tc>
        <w:tc>
          <w:tcPr>
            <w:tcW w:w="6253" w:type="dxa"/>
          </w:tcPr>
          <w:p w14:paraId="68525EBB" w14:textId="067BAE9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hAnsi="Aptos"/>
                <w:szCs w:val="20"/>
              </w:rPr>
              <w:t>The approval holder must prepare a compliance report for each 12- month period following the date of this approval decision, or as otherwise agreed to in writing by the Minister.</w:t>
            </w:r>
          </w:p>
        </w:tc>
        <w:tc>
          <w:tcPr>
            <w:tcW w:w="1559" w:type="dxa"/>
          </w:tcPr>
          <w:p w14:paraId="3B090B51" w14:textId="51E4C651"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187" w:type="dxa"/>
          </w:tcPr>
          <w:p w14:paraId="65040508" w14:textId="4FC42FA4" w:rsidR="00600159" w:rsidRPr="2176241E"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eastAsia="Aptos" w:hAnsi="Aptos" w:cs="Aptos"/>
                <w:color w:val="000000" w:themeColor="text1"/>
                <w:szCs w:val="20"/>
              </w:rPr>
              <w:t>DISR</w:t>
            </w:r>
            <w:r w:rsidRPr="006E0027">
              <w:rPr>
                <w:rFonts w:ascii="Aptos" w:eastAsia="Aptos" w:hAnsi="Aptos" w:cs="Aptos"/>
                <w:color w:val="000000" w:themeColor="text1"/>
                <w:szCs w:val="20"/>
              </w:rPr>
              <w:t xml:space="preserve"> has prepared the compliance report, for the reporting period 1 August 2023 – 31 July 2024</w:t>
            </w:r>
            <w:r w:rsidRPr="007F1878">
              <w:rPr>
                <w:rFonts w:ascii="Aptos" w:eastAsia="Aptos" w:hAnsi="Aptos" w:cs="Aptos"/>
                <w:color w:val="000000" w:themeColor="text1"/>
                <w:szCs w:val="20"/>
              </w:rPr>
              <w:t>.</w:t>
            </w:r>
          </w:p>
        </w:tc>
      </w:tr>
      <w:tr w:rsidR="00600159" w14:paraId="26DA2EA3"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09C0067D" w14:textId="1B3BDAAA"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21)</w:t>
            </w:r>
          </w:p>
        </w:tc>
        <w:tc>
          <w:tcPr>
            <w:tcW w:w="6253" w:type="dxa"/>
          </w:tcPr>
          <w:p w14:paraId="26C5B28B" w14:textId="62406F1E"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Each compliance report must be consistent with the Annual Compliance Report Guidelines, Commonwealth of Australia 2023.</w:t>
            </w:r>
          </w:p>
        </w:tc>
        <w:tc>
          <w:tcPr>
            <w:tcW w:w="1559" w:type="dxa"/>
          </w:tcPr>
          <w:p w14:paraId="095F3CC4" w14:textId="5CF3B70D"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187" w:type="dxa"/>
          </w:tcPr>
          <w:p w14:paraId="25AADC82" w14:textId="0CC24FCF"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This compliance report has been prepared and published consistently with the Annual Compliance Report Guidelines, Commonwealth of Australia 2023.</w:t>
            </w:r>
          </w:p>
        </w:tc>
      </w:tr>
      <w:tr w:rsidR="00600159" w14:paraId="7B1AA25B"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996B507" w14:textId="47D3737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22)</w:t>
            </w:r>
          </w:p>
        </w:tc>
        <w:tc>
          <w:tcPr>
            <w:tcW w:w="6253" w:type="dxa"/>
          </w:tcPr>
          <w:p w14:paraId="15AB964D" w14:textId="1600B5F5"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Each compliance report must include:</w:t>
            </w:r>
          </w:p>
        </w:tc>
        <w:tc>
          <w:tcPr>
            <w:tcW w:w="1559" w:type="dxa"/>
          </w:tcPr>
          <w:p w14:paraId="72B1C9C2" w14:textId="7777777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c>
          <w:tcPr>
            <w:tcW w:w="5187" w:type="dxa"/>
          </w:tcPr>
          <w:p w14:paraId="299603C0" w14:textId="77777777"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r>
      <w:tr w:rsidR="00600159" w14:paraId="49846499"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01715F8F" w14:textId="77140DA2"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22a)</w:t>
            </w:r>
          </w:p>
        </w:tc>
        <w:tc>
          <w:tcPr>
            <w:tcW w:w="6253" w:type="dxa"/>
          </w:tcPr>
          <w:p w14:paraId="756BA3F9" w14:textId="575BE7B3"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Accurate and complete details of compliance and any non-compliance with the conditions and any incidents.</w:t>
            </w:r>
          </w:p>
        </w:tc>
        <w:tc>
          <w:tcPr>
            <w:tcW w:w="1559" w:type="dxa"/>
          </w:tcPr>
          <w:p w14:paraId="3D7E7C0C" w14:textId="7BD4B4E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187" w:type="dxa"/>
          </w:tcPr>
          <w:p w14:paraId="3869AFA7" w14:textId="1037882F"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Th</w:t>
            </w:r>
            <w:r>
              <w:rPr>
                <w:rFonts w:ascii="Aptos" w:eastAsia="Aptos" w:hAnsi="Aptos" w:cs="Aptos"/>
                <w:color w:val="000000" w:themeColor="text1"/>
                <w:szCs w:val="20"/>
              </w:rPr>
              <w:t>is report includes details of any incident and potential non-compliance reported during the period.</w:t>
            </w:r>
          </w:p>
        </w:tc>
      </w:tr>
      <w:tr w:rsidR="00600159" w14:paraId="33C043C7"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66080776" w14:textId="71F4F8A4"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w:t>
            </w:r>
          </w:p>
        </w:tc>
        <w:tc>
          <w:tcPr>
            <w:tcW w:w="6253" w:type="dxa"/>
          </w:tcPr>
          <w:p w14:paraId="5D132A7C" w14:textId="5DF39321"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approval holder must:</w:t>
            </w:r>
          </w:p>
        </w:tc>
        <w:tc>
          <w:tcPr>
            <w:tcW w:w="1559" w:type="dxa"/>
          </w:tcPr>
          <w:p w14:paraId="4351B11C" w14:textId="7777777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c>
          <w:tcPr>
            <w:tcW w:w="5187" w:type="dxa"/>
          </w:tcPr>
          <w:p w14:paraId="300465C0" w14:textId="77777777"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r>
      <w:tr w:rsidR="00600159" w14:paraId="1A3C48B9"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55DE8FAE" w14:textId="15BEA52B"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23a)</w:t>
            </w:r>
          </w:p>
        </w:tc>
        <w:tc>
          <w:tcPr>
            <w:tcW w:w="6253" w:type="dxa"/>
          </w:tcPr>
          <w:p w14:paraId="563AE1D9" w14:textId="4DD332C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Publish each compliance report on the website within 60 business days following the end of the 12-month period for which that compliance report is required.</w:t>
            </w:r>
          </w:p>
        </w:tc>
        <w:tc>
          <w:tcPr>
            <w:tcW w:w="1559" w:type="dxa"/>
          </w:tcPr>
          <w:p w14:paraId="2BF7214B" w14:textId="3A507D3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187" w:type="dxa"/>
          </w:tcPr>
          <w:p w14:paraId="42C4FD75" w14:textId="492888C7"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FC755B">
              <w:rPr>
                <w:rFonts w:ascii="Aptos" w:eastAsia="Aptos" w:hAnsi="Aptos" w:cs="Aptos"/>
                <w:color w:val="000000" w:themeColor="text1"/>
                <w:szCs w:val="20"/>
              </w:rPr>
              <w:t>This report</w:t>
            </w:r>
            <w:r w:rsidRPr="006E0027">
              <w:rPr>
                <w:rFonts w:ascii="Aptos" w:eastAsia="Aptos" w:hAnsi="Aptos" w:cs="Aptos"/>
                <w:color w:val="000000" w:themeColor="text1"/>
                <w:szCs w:val="20"/>
              </w:rPr>
              <w:t xml:space="preserve"> has </w:t>
            </w:r>
            <w:r w:rsidRPr="00FC755B">
              <w:rPr>
                <w:rFonts w:ascii="Aptos" w:eastAsia="Aptos" w:hAnsi="Aptos" w:cs="Aptos"/>
                <w:color w:val="000000" w:themeColor="text1"/>
                <w:szCs w:val="20"/>
              </w:rPr>
              <w:t xml:space="preserve">been </w:t>
            </w:r>
            <w:r w:rsidRPr="006E0027">
              <w:rPr>
                <w:rFonts w:ascii="Aptos" w:eastAsia="Aptos" w:hAnsi="Aptos" w:cs="Aptos"/>
                <w:color w:val="000000" w:themeColor="text1"/>
                <w:szCs w:val="20"/>
              </w:rPr>
              <w:t>prepared for the period 1</w:t>
            </w:r>
            <w:r>
              <w:rPr>
                <w:rFonts w:ascii="Aptos" w:eastAsia="Aptos" w:hAnsi="Aptos" w:cs="Aptos"/>
                <w:color w:val="000000" w:themeColor="text1"/>
                <w:szCs w:val="20"/>
              </w:rPr>
              <w:t> </w:t>
            </w:r>
            <w:r w:rsidRPr="006E0027">
              <w:rPr>
                <w:rFonts w:ascii="Aptos" w:eastAsia="Aptos" w:hAnsi="Aptos" w:cs="Aptos"/>
                <w:color w:val="000000" w:themeColor="text1"/>
                <w:szCs w:val="20"/>
              </w:rPr>
              <w:t>August</w:t>
            </w:r>
            <w:r>
              <w:rPr>
                <w:rFonts w:ascii="Aptos" w:eastAsia="Aptos" w:hAnsi="Aptos" w:cs="Aptos"/>
                <w:color w:val="000000" w:themeColor="text1"/>
                <w:szCs w:val="20"/>
              </w:rPr>
              <w:t> </w:t>
            </w:r>
            <w:r w:rsidRPr="006E0027">
              <w:rPr>
                <w:rFonts w:ascii="Aptos" w:eastAsia="Aptos" w:hAnsi="Aptos" w:cs="Aptos"/>
                <w:color w:val="000000" w:themeColor="text1"/>
                <w:szCs w:val="20"/>
              </w:rPr>
              <w:t xml:space="preserve">2023 </w:t>
            </w:r>
            <w:r w:rsidRPr="00FC755B">
              <w:rPr>
                <w:rFonts w:ascii="Aptos" w:eastAsia="Aptos" w:hAnsi="Aptos" w:cs="Aptos"/>
                <w:color w:val="000000" w:themeColor="text1"/>
                <w:szCs w:val="20"/>
              </w:rPr>
              <w:t>to</w:t>
            </w:r>
            <w:r w:rsidRPr="006E0027">
              <w:rPr>
                <w:rFonts w:ascii="Aptos" w:eastAsia="Aptos" w:hAnsi="Aptos" w:cs="Aptos"/>
                <w:color w:val="000000" w:themeColor="text1"/>
                <w:szCs w:val="20"/>
              </w:rPr>
              <w:t xml:space="preserve"> 31 July 2024</w:t>
            </w:r>
            <w:r w:rsidRPr="00FC755B">
              <w:rPr>
                <w:rFonts w:ascii="Aptos" w:eastAsia="Aptos" w:hAnsi="Aptos" w:cs="Aptos"/>
                <w:color w:val="000000" w:themeColor="text1"/>
                <w:szCs w:val="20"/>
              </w:rPr>
              <w:t>. It was published on DISR’s</w:t>
            </w:r>
            <w:r w:rsidRPr="006E0027">
              <w:rPr>
                <w:rFonts w:ascii="Aptos" w:eastAsia="Aptos" w:hAnsi="Aptos" w:cs="Aptos"/>
                <w:color w:val="000000" w:themeColor="text1"/>
                <w:szCs w:val="20"/>
              </w:rPr>
              <w:t xml:space="preserve"> website </w:t>
            </w:r>
            <w:r w:rsidRPr="00FC755B">
              <w:rPr>
                <w:rFonts w:ascii="Aptos" w:eastAsia="Aptos" w:hAnsi="Aptos" w:cs="Aptos"/>
                <w:color w:val="000000" w:themeColor="text1"/>
                <w:szCs w:val="20"/>
              </w:rPr>
              <w:t>in October 2024</w:t>
            </w:r>
            <w:r>
              <w:rPr>
                <w:rFonts w:ascii="Aptos" w:eastAsia="Aptos" w:hAnsi="Aptos" w:cs="Aptos"/>
                <w:color w:val="000000" w:themeColor="text1"/>
                <w:szCs w:val="20"/>
              </w:rPr>
              <w:t xml:space="preserve"> within 60 business days </w:t>
            </w:r>
            <w:r w:rsidRPr="00FC755B">
              <w:rPr>
                <w:rFonts w:ascii="Aptos" w:eastAsia="Aptos" w:hAnsi="Aptos" w:cs="Aptos"/>
                <w:color w:val="000000" w:themeColor="text1"/>
                <w:szCs w:val="20"/>
              </w:rPr>
              <w:t xml:space="preserve">of </w:t>
            </w:r>
            <w:r>
              <w:rPr>
                <w:rFonts w:ascii="Aptos" w:eastAsia="Aptos" w:hAnsi="Aptos" w:cs="Aptos"/>
                <w:color w:val="000000" w:themeColor="text1"/>
                <w:szCs w:val="20"/>
              </w:rPr>
              <w:t xml:space="preserve">the </w:t>
            </w:r>
            <w:r w:rsidRPr="00FC755B">
              <w:rPr>
                <w:rFonts w:ascii="Aptos" w:eastAsia="Aptos" w:hAnsi="Aptos" w:cs="Aptos"/>
                <w:color w:val="000000" w:themeColor="text1"/>
                <w:szCs w:val="20"/>
              </w:rPr>
              <w:t>end of</w:t>
            </w:r>
            <w:r>
              <w:rPr>
                <w:rFonts w:ascii="Aptos" w:eastAsia="Aptos" w:hAnsi="Aptos" w:cs="Aptos"/>
                <w:color w:val="000000" w:themeColor="text1"/>
                <w:szCs w:val="20"/>
              </w:rPr>
              <w:t xml:space="preserve"> the</w:t>
            </w:r>
            <w:r w:rsidRPr="00FC755B">
              <w:rPr>
                <w:rFonts w:ascii="Aptos" w:eastAsia="Aptos" w:hAnsi="Aptos" w:cs="Aptos"/>
                <w:color w:val="000000" w:themeColor="text1"/>
                <w:szCs w:val="20"/>
              </w:rPr>
              <w:t xml:space="preserve"> first reporting period. This report has been prepared in accordance with the DCCEEW </w:t>
            </w:r>
            <w:hyperlink r:id="rId44" w:tgtFrame="_blank" w:history="1">
              <w:r w:rsidRPr="00FC755B">
                <w:rPr>
                  <w:rStyle w:val="Hyperlink"/>
                  <w:rFonts w:ascii="Aptos" w:eastAsia="Aptos" w:hAnsi="Aptos" w:cs="Aptos"/>
                  <w:szCs w:val="20"/>
                </w:rPr>
                <w:t>Annual Compliance Report Guidelines</w:t>
              </w:r>
            </w:hyperlink>
            <w:r w:rsidRPr="00FC755B">
              <w:rPr>
                <w:rFonts w:ascii="Aptos" w:eastAsia="Aptos" w:hAnsi="Aptos" w:cs="Aptos"/>
                <w:color w:val="000000" w:themeColor="text1"/>
                <w:szCs w:val="20"/>
              </w:rPr>
              <w:t>.  </w:t>
            </w:r>
          </w:p>
        </w:tc>
      </w:tr>
      <w:tr w:rsidR="00600159" w14:paraId="7B1DB879"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A066A02" w14:textId="3E3B05C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23b)</w:t>
            </w:r>
          </w:p>
        </w:tc>
        <w:tc>
          <w:tcPr>
            <w:tcW w:w="6253" w:type="dxa"/>
          </w:tcPr>
          <w:p w14:paraId="231D8EB8" w14:textId="795954AB"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Notify the department electronically, within 5 business days of the date of publication that a compliance report has been published on the website.</w:t>
            </w:r>
          </w:p>
        </w:tc>
        <w:tc>
          <w:tcPr>
            <w:tcW w:w="1559" w:type="dxa"/>
          </w:tcPr>
          <w:p w14:paraId="3FF8E0F7" w14:textId="62CB9D0F"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49DB3F71" w14:textId="4C19650B" w:rsidR="00600159" w:rsidRPr="006E0027" w:rsidRDefault="00600159" w:rsidP="00600159">
            <w:pPr>
              <w:spacing w:after="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No annual compliance report was published on DISR website during this reporting period</w:t>
            </w:r>
            <w:r w:rsidRPr="006E0027">
              <w:rPr>
                <w:rFonts w:ascii="Aptos" w:eastAsia="Aptos" w:hAnsi="Aptos" w:cs="Aptos"/>
                <w:color w:val="000000" w:themeColor="text1"/>
                <w:szCs w:val="20"/>
              </w:rPr>
              <w:t>.</w:t>
            </w:r>
            <w:r>
              <w:rPr>
                <w:rFonts w:ascii="Aptos" w:eastAsia="Aptos" w:hAnsi="Aptos" w:cs="Aptos"/>
                <w:color w:val="000000" w:themeColor="text1"/>
                <w:szCs w:val="20"/>
              </w:rPr>
              <w:t xml:space="preserve"> </w:t>
            </w:r>
          </w:p>
        </w:tc>
      </w:tr>
      <w:tr w:rsidR="00600159" w14:paraId="68A18998"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314469C6" w14:textId="18287173"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23c)</w:t>
            </w:r>
          </w:p>
        </w:tc>
        <w:tc>
          <w:tcPr>
            <w:tcW w:w="6253" w:type="dxa"/>
          </w:tcPr>
          <w:p w14:paraId="289A9916" w14:textId="629519D9"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Provide the weblink for the compliance report in the notification to the department.</w:t>
            </w:r>
          </w:p>
        </w:tc>
        <w:tc>
          <w:tcPr>
            <w:tcW w:w="1559" w:type="dxa"/>
          </w:tcPr>
          <w:p w14:paraId="4DEFB7C2" w14:textId="391EF3DE"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0069745B" w14:textId="7BD60F1A" w:rsidR="00600159" w:rsidRPr="006E0027" w:rsidRDefault="00600159" w:rsidP="00600159">
            <w:pPr>
              <w:spacing w:after="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E86980">
              <w:rPr>
                <w:rFonts w:ascii="Aptos" w:eastAsia="Aptos" w:hAnsi="Aptos" w:cs="Aptos"/>
                <w:color w:val="000000" w:themeColor="text1"/>
                <w:szCs w:val="20"/>
              </w:rPr>
              <w:t xml:space="preserve">No annual compliance report was published on DISR website during this reporting period. </w:t>
            </w:r>
          </w:p>
        </w:tc>
      </w:tr>
      <w:tr w:rsidR="00600159" w14:paraId="13094412"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44B0BE5D" w14:textId="65851837"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23d)</w:t>
            </w:r>
          </w:p>
        </w:tc>
        <w:tc>
          <w:tcPr>
            <w:tcW w:w="6253" w:type="dxa"/>
          </w:tcPr>
          <w:p w14:paraId="4B83D372" w14:textId="3DFEE03B"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Keep all published compliance reports required by these conditions on the website until the expiry date of this approval.</w:t>
            </w:r>
          </w:p>
        </w:tc>
        <w:tc>
          <w:tcPr>
            <w:tcW w:w="1559" w:type="dxa"/>
          </w:tcPr>
          <w:p w14:paraId="1B539834" w14:textId="543BD03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7102C9EC" w14:textId="68F29876" w:rsidR="00600159" w:rsidRPr="006E0027" w:rsidRDefault="00600159" w:rsidP="00600159">
            <w:pPr>
              <w:spacing w:after="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E86980">
              <w:rPr>
                <w:rFonts w:ascii="Aptos" w:eastAsia="Aptos" w:hAnsi="Aptos" w:cs="Aptos"/>
                <w:color w:val="000000" w:themeColor="text1"/>
                <w:szCs w:val="20"/>
              </w:rPr>
              <w:t xml:space="preserve">No annual compliance report was published on DISR website during this reporting period. </w:t>
            </w:r>
          </w:p>
        </w:tc>
      </w:tr>
      <w:tr w:rsidR="00600159" w14:paraId="022FE978"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53620CCB" w14:textId="031C5C51"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23e)</w:t>
            </w:r>
          </w:p>
        </w:tc>
        <w:tc>
          <w:tcPr>
            <w:tcW w:w="6253" w:type="dxa"/>
          </w:tcPr>
          <w:p w14:paraId="7391B583" w14:textId="720E39F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Exclude or redact sensitive ecological data from compliance reports published on the website or otherwise provided to a member of the public.</w:t>
            </w:r>
          </w:p>
        </w:tc>
        <w:tc>
          <w:tcPr>
            <w:tcW w:w="1559" w:type="dxa"/>
          </w:tcPr>
          <w:p w14:paraId="37ED66C4" w14:textId="26D36FF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187BB0B3" w14:textId="77777777"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1DF519BD">
              <w:rPr>
                <w:rFonts w:ascii="Aptos" w:eastAsia="Aptos" w:hAnsi="Aptos" w:cs="Aptos"/>
                <w:color w:val="000000" w:themeColor="text1"/>
              </w:rPr>
              <w:t xml:space="preserve">Not applicable to date. </w:t>
            </w:r>
          </w:p>
          <w:p w14:paraId="298C3091" w14:textId="3D312331" w:rsidR="00600159" w:rsidRPr="006E0027" w:rsidRDefault="00600159" w:rsidP="00600159">
            <w:pPr>
              <w:spacing w:before="0" w:after="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1DF519BD">
              <w:rPr>
                <w:rFonts w:ascii="Aptos" w:eastAsia="Aptos" w:hAnsi="Aptos" w:cs="Aptos"/>
                <w:color w:val="000000" w:themeColor="text1"/>
              </w:rPr>
              <w:t xml:space="preserve">There was no sensitive ecological data related to this compliance report that needed to be excluded or redacted prior to publication on the </w:t>
            </w:r>
            <w:r>
              <w:rPr>
                <w:rFonts w:ascii="Aptos" w:eastAsia="Aptos" w:hAnsi="Aptos" w:cs="Aptos"/>
                <w:color w:val="000000" w:themeColor="text1"/>
              </w:rPr>
              <w:t>DISR</w:t>
            </w:r>
            <w:r w:rsidRPr="1DF519BD">
              <w:rPr>
                <w:rFonts w:ascii="Aptos" w:eastAsia="Aptos" w:hAnsi="Aptos" w:cs="Aptos"/>
                <w:color w:val="000000" w:themeColor="text1"/>
              </w:rPr>
              <w:t xml:space="preserve"> website or otherwise provided to a member of the public. </w:t>
            </w:r>
          </w:p>
        </w:tc>
      </w:tr>
      <w:tr w:rsidR="00600159" w14:paraId="32F86F80"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FC9CE92" w14:textId="7FDA3E0A"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23f)</w:t>
            </w:r>
          </w:p>
        </w:tc>
        <w:tc>
          <w:tcPr>
            <w:tcW w:w="6253" w:type="dxa"/>
          </w:tcPr>
          <w:p w14:paraId="5C0693A6" w14:textId="728AFCD7"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If sensitive ecological data is excluded or redacted from the published version, submit the full compliance report to the department within 5 business days of its publication on the website and notify the department in writing what exclusions and redactions have been made in the version published on the website.</w:t>
            </w:r>
          </w:p>
        </w:tc>
        <w:tc>
          <w:tcPr>
            <w:tcW w:w="1559" w:type="dxa"/>
          </w:tcPr>
          <w:p w14:paraId="035B34A1" w14:textId="5912C40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Not applicable</w:t>
            </w:r>
          </w:p>
        </w:tc>
        <w:tc>
          <w:tcPr>
            <w:tcW w:w="5187" w:type="dxa"/>
          </w:tcPr>
          <w:p w14:paraId="3FF65CF7"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1DF519BD">
              <w:rPr>
                <w:rFonts w:ascii="Aptos" w:eastAsia="Aptos" w:hAnsi="Aptos" w:cs="Aptos"/>
                <w:color w:val="000000" w:themeColor="text1"/>
              </w:rPr>
              <w:t xml:space="preserve">Not applicable to date. </w:t>
            </w:r>
          </w:p>
          <w:p w14:paraId="5CFEB87D" w14:textId="2126F7C7" w:rsidR="00600159" w:rsidRPr="1DF519BD"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1DF519BD">
              <w:rPr>
                <w:rFonts w:ascii="Aptos" w:eastAsia="Aptos" w:hAnsi="Aptos" w:cs="Aptos"/>
                <w:color w:val="000000" w:themeColor="text1"/>
              </w:rPr>
              <w:t xml:space="preserve">There was no sensitive ecological data related to this compliance report that needed to be excluded or redacted prior to publication on the </w:t>
            </w:r>
            <w:r>
              <w:rPr>
                <w:rFonts w:ascii="Aptos" w:eastAsia="Aptos" w:hAnsi="Aptos" w:cs="Aptos"/>
                <w:color w:val="000000" w:themeColor="text1"/>
              </w:rPr>
              <w:t>DISR</w:t>
            </w:r>
            <w:r w:rsidRPr="1DF519BD">
              <w:rPr>
                <w:rFonts w:ascii="Aptos" w:eastAsia="Aptos" w:hAnsi="Aptos" w:cs="Aptos"/>
                <w:color w:val="000000" w:themeColor="text1"/>
              </w:rPr>
              <w:t xml:space="preserve"> website or otherwise provided to a member of the public.</w:t>
            </w:r>
          </w:p>
        </w:tc>
      </w:tr>
    </w:tbl>
    <w:p w14:paraId="082CE2EA" w14:textId="77777777" w:rsidR="00C126DD" w:rsidRDefault="00C126DD" w:rsidP="00C126DD"/>
    <w:p w14:paraId="3E94EDA0" w14:textId="77777777" w:rsidR="00C126DD" w:rsidRDefault="00C126DD">
      <w:pPr>
        <w:spacing w:before="0" w:after="160" w:line="259" w:lineRule="auto"/>
        <w:rPr>
          <w:rFonts w:asciiTheme="majorHAnsi" w:eastAsiaTheme="majorEastAsia" w:hAnsiTheme="majorHAnsi" w:cstheme="majorBidi"/>
          <w:color w:val="0766A5" w:themeColor="accent1"/>
          <w:sz w:val="40"/>
          <w:szCs w:val="40"/>
        </w:rPr>
      </w:pPr>
      <w:r>
        <w:br w:type="page"/>
      </w:r>
    </w:p>
    <w:p w14:paraId="0E577505" w14:textId="4C4187D9" w:rsidR="00600159" w:rsidRDefault="00600159" w:rsidP="00600159">
      <w:pPr>
        <w:pStyle w:val="Heading3"/>
        <w:ind w:left="851" w:hanging="851"/>
      </w:pPr>
      <w:bookmarkStart w:id="152" w:name="_Toc180504240"/>
      <w:r w:rsidRPr="00DF10AD">
        <w:lastRenderedPageBreak/>
        <w:t>Reporting non-compliance</w:t>
      </w:r>
      <w:bookmarkEnd w:id="152"/>
    </w:p>
    <w:tbl>
      <w:tblPr>
        <w:tblStyle w:val="GridTable4-Accent4"/>
        <w:tblW w:w="14116" w:type="dxa"/>
        <w:tblLook w:val="04A0" w:firstRow="1" w:lastRow="0" w:firstColumn="1" w:lastColumn="0" w:noHBand="0" w:noVBand="1"/>
      </w:tblPr>
      <w:tblGrid>
        <w:gridCol w:w="1117"/>
        <w:gridCol w:w="5966"/>
        <w:gridCol w:w="1559"/>
        <w:gridCol w:w="5474"/>
      </w:tblGrid>
      <w:tr w:rsidR="00600159" w14:paraId="1148A38D" w14:textId="77777777" w:rsidTr="00C12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4206C04F" w14:textId="3C65DD6F"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5966" w:type="dxa"/>
          </w:tcPr>
          <w:p w14:paraId="180C6C92" w14:textId="2AECCA56"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Condition</w:t>
            </w:r>
          </w:p>
        </w:tc>
        <w:tc>
          <w:tcPr>
            <w:tcW w:w="1559" w:type="dxa"/>
          </w:tcPr>
          <w:p w14:paraId="2FADD6A9" w14:textId="591B0501" w:rsidR="00600159"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szCs w:val="20"/>
              </w:rPr>
            </w:pPr>
            <w:r w:rsidRPr="00301BF4">
              <w:rPr>
                <w:rFonts w:ascii="Aptos" w:hAnsi="Aptos"/>
                <w:szCs w:val="20"/>
              </w:rPr>
              <w:t>Compliance</w:t>
            </w:r>
          </w:p>
        </w:tc>
        <w:tc>
          <w:tcPr>
            <w:tcW w:w="5474" w:type="dxa"/>
          </w:tcPr>
          <w:p w14:paraId="3B10DF05" w14:textId="7C9BE74E" w:rsidR="00600159"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hAnsi="Aptos"/>
                <w:color w:val="000000" w:themeColor="text1"/>
                <w:szCs w:val="20"/>
              </w:rPr>
            </w:pPr>
            <w:r w:rsidRPr="00301BF4">
              <w:rPr>
                <w:rFonts w:ascii="Aptos" w:hAnsi="Aptos"/>
                <w:szCs w:val="20"/>
              </w:rPr>
              <w:t>Evidence/Comments</w:t>
            </w:r>
          </w:p>
        </w:tc>
      </w:tr>
      <w:tr w:rsidR="00600159" w14:paraId="11D8FCE5" w14:textId="77777777" w:rsidTr="00C1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41B3035" w14:textId="08A7C6C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24)</w:t>
            </w:r>
          </w:p>
        </w:tc>
        <w:tc>
          <w:tcPr>
            <w:tcW w:w="5966" w:type="dxa"/>
          </w:tcPr>
          <w:p w14:paraId="42151B40" w14:textId="2781488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approval holder must notify the department electronically, within 2 business days of becoming aware of any incident and/or potential non-compliance and/or actual non-compliance with the commitments made in a plan that require reporting, or with any of the conditions of this notice.</w:t>
            </w:r>
          </w:p>
        </w:tc>
        <w:tc>
          <w:tcPr>
            <w:tcW w:w="1559" w:type="dxa"/>
          </w:tcPr>
          <w:p w14:paraId="3EC3305B" w14:textId="25C888D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hAnsi="Aptos"/>
                <w:szCs w:val="20"/>
              </w:rPr>
              <w:t>Compliant</w:t>
            </w:r>
          </w:p>
        </w:tc>
        <w:tc>
          <w:tcPr>
            <w:tcW w:w="5474" w:type="dxa"/>
          </w:tcPr>
          <w:p w14:paraId="7684A173" w14:textId="55B31C46" w:rsidR="00600159" w:rsidRPr="00181CE3"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Cs w:val="20"/>
              </w:rPr>
            </w:pPr>
            <w:r>
              <w:rPr>
                <w:rFonts w:ascii="Aptos" w:hAnsi="Aptos"/>
                <w:color w:val="000000" w:themeColor="text1"/>
                <w:szCs w:val="20"/>
              </w:rPr>
              <w:t>DISR</w:t>
            </w:r>
            <w:r w:rsidRPr="00D067E7">
              <w:rPr>
                <w:rFonts w:ascii="Aptos" w:hAnsi="Aptos"/>
                <w:color w:val="000000" w:themeColor="text1"/>
                <w:szCs w:val="20"/>
              </w:rPr>
              <w:t xml:space="preserve"> notified DCCEEW </w:t>
            </w:r>
            <w:r>
              <w:rPr>
                <w:rFonts w:ascii="Aptos" w:hAnsi="Aptos"/>
                <w:color w:val="000000" w:themeColor="text1"/>
                <w:szCs w:val="20"/>
              </w:rPr>
              <w:t xml:space="preserve">within 2 business days, via email, of an </w:t>
            </w:r>
            <w:hyperlink w:anchor="_Incident_report" w:history="1">
              <w:r w:rsidRPr="00181CE3">
                <w:rPr>
                  <w:rFonts w:ascii="Aptos" w:hAnsi="Aptos"/>
                  <w:color w:val="000000" w:themeColor="text1"/>
                  <w:szCs w:val="20"/>
                </w:rPr>
                <w:t xml:space="preserve">incident that </w:t>
              </w:r>
              <w:r w:rsidRPr="00AA3883">
                <w:rPr>
                  <w:rFonts w:ascii="Aptos" w:hAnsi="Aptos"/>
                  <w:color w:val="000000" w:themeColor="text1"/>
                  <w:szCs w:val="20"/>
                </w:rPr>
                <w:t xml:space="preserve">occurred </w:t>
              </w:r>
              <w:r w:rsidRPr="00181CE3">
                <w:rPr>
                  <w:rFonts w:ascii="Aptos" w:hAnsi="Aptos"/>
                  <w:color w:val="000000" w:themeColor="text1"/>
                  <w:szCs w:val="20"/>
                </w:rPr>
                <w:t>i</w:t>
              </w:r>
              <w:r w:rsidRPr="00AA3883">
                <w:rPr>
                  <w:rFonts w:ascii="Aptos" w:hAnsi="Aptos"/>
                  <w:color w:val="000000" w:themeColor="text1"/>
                  <w:szCs w:val="20"/>
                </w:rPr>
                <w:t>n September 2023</w:t>
              </w:r>
            </w:hyperlink>
            <w:r w:rsidRPr="00D067E7">
              <w:rPr>
                <w:rFonts w:ascii="Aptos" w:hAnsi="Aptos"/>
                <w:color w:val="000000" w:themeColor="text1"/>
                <w:szCs w:val="20"/>
              </w:rPr>
              <w:t xml:space="preserve">. </w:t>
            </w:r>
            <w:proofErr w:type="gramStart"/>
            <w:r w:rsidRPr="00D067E7">
              <w:rPr>
                <w:rFonts w:ascii="Aptos" w:hAnsi="Aptos"/>
                <w:color w:val="000000" w:themeColor="text1"/>
                <w:szCs w:val="20"/>
              </w:rPr>
              <w:t>Following investigation, there</w:t>
            </w:r>
            <w:proofErr w:type="gramEnd"/>
            <w:r w:rsidRPr="00D067E7">
              <w:rPr>
                <w:rFonts w:ascii="Aptos" w:hAnsi="Aptos"/>
                <w:color w:val="000000" w:themeColor="text1"/>
                <w:szCs w:val="20"/>
              </w:rPr>
              <w:t xml:space="preserve"> was no non-compliance with approved management plans or breach </w:t>
            </w:r>
            <w:r>
              <w:rPr>
                <w:rFonts w:ascii="Aptos" w:hAnsi="Aptos"/>
                <w:color w:val="000000" w:themeColor="text1"/>
                <w:szCs w:val="20"/>
              </w:rPr>
              <w:t xml:space="preserve">of the </w:t>
            </w:r>
            <w:r w:rsidRPr="00D067E7">
              <w:rPr>
                <w:rFonts w:ascii="Aptos" w:hAnsi="Aptos"/>
                <w:color w:val="000000" w:themeColor="text1"/>
                <w:szCs w:val="20"/>
              </w:rPr>
              <w:t>conditions of approval.</w:t>
            </w:r>
          </w:p>
          <w:p w14:paraId="6122DF2F" w14:textId="1701F85F" w:rsidR="00600159" w:rsidRPr="1DF519BD"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Pr>
                <w:rFonts w:ascii="Aptos" w:hAnsi="Aptos"/>
                <w:color w:val="000000" w:themeColor="text1"/>
                <w:szCs w:val="20"/>
              </w:rPr>
              <w:t>DISR</w:t>
            </w:r>
            <w:r w:rsidRPr="00D067E7">
              <w:rPr>
                <w:rFonts w:ascii="Aptos" w:hAnsi="Aptos"/>
                <w:color w:val="000000" w:themeColor="text1"/>
                <w:szCs w:val="20"/>
              </w:rPr>
              <w:t xml:space="preserve"> notified DCCEEW </w:t>
            </w:r>
            <w:r>
              <w:rPr>
                <w:rFonts w:ascii="Aptos" w:hAnsi="Aptos"/>
                <w:color w:val="000000" w:themeColor="text1"/>
                <w:szCs w:val="20"/>
              </w:rPr>
              <w:t xml:space="preserve">within 2 business days, </w:t>
            </w:r>
            <w:r w:rsidRPr="00D067E7">
              <w:rPr>
                <w:rFonts w:ascii="Aptos" w:hAnsi="Aptos"/>
                <w:color w:val="000000" w:themeColor="text1"/>
                <w:szCs w:val="20"/>
              </w:rPr>
              <w:t>via email</w:t>
            </w:r>
            <w:r>
              <w:rPr>
                <w:rFonts w:ascii="Aptos" w:hAnsi="Aptos"/>
                <w:color w:val="000000" w:themeColor="text1"/>
                <w:szCs w:val="20"/>
              </w:rPr>
              <w:t xml:space="preserve">, </w:t>
            </w:r>
            <w:r w:rsidRPr="00DB2716">
              <w:rPr>
                <w:rFonts w:ascii="Aptos" w:hAnsi="Aptos"/>
                <w:color w:val="000000" w:themeColor="text1"/>
                <w:szCs w:val="20"/>
              </w:rPr>
              <w:t xml:space="preserve">of </w:t>
            </w:r>
            <w:r>
              <w:rPr>
                <w:rFonts w:ascii="Aptos" w:hAnsi="Aptos"/>
                <w:color w:val="000000" w:themeColor="text1"/>
                <w:szCs w:val="20"/>
              </w:rPr>
              <w:t xml:space="preserve">a </w:t>
            </w:r>
            <w:hyperlink w:anchor="_Potential_non-compliance" w:history="1">
              <w:r w:rsidRPr="00181CE3">
                <w:rPr>
                  <w:rFonts w:ascii="Aptos" w:hAnsi="Aptos"/>
                  <w:color w:val="000000" w:themeColor="text1"/>
                  <w:szCs w:val="20"/>
                </w:rPr>
                <w:t xml:space="preserve">potential non-compliance observed </w:t>
              </w:r>
              <w:r w:rsidRPr="00181CE3">
                <w:rPr>
                  <w:color w:val="000000" w:themeColor="text1"/>
                </w:rPr>
                <w:t>i</w:t>
              </w:r>
              <w:r w:rsidRPr="00181CE3">
                <w:rPr>
                  <w:rFonts w:ascii="Aptos" w:hAnsi="Aptos"/>
                  <w:color w:val="000000" w:themeColor="text1"/>
                  <w:szCs w:val="20"/>
                </w:rPr>
                <w:t>n February 2024</w:t>
              </w:r>
            </w:hyperlink>
            <w:r w:rsidRPr="00D067E7">
              <w:rPr>
                <w:rFonts w:ascii="Aptos" w:hAnsi="Aptos"/>
                <w:color w:val="000000" w:themeColor="text1"/>
                <w:szCs w:val="20"/>
              </w:rPr>
              <w:t xml:space="preserve">. </w:t>
            </w:r>
            <w:proofErr w:type="gramStart"/>
            <w:r w:rsidRPr="00D067E7">
              <w:rPr>
                <w:rFonts w:ascii="Aptos" w:hAnsi="Aptos"/>
                <w:color w:val="000000" w:themeColor="text1"/>
                <w:szCs w:val="20"/>
              </w:rPr>
              <w:t>Following investigation, there</w:t>
            </w:r>
            <w:proofErr w:type="gramEnd"/>
            <w:r w:rsidRPr="00D067E7">
              <w:rPr>
                <w:rFonts w:ascii="Aptos" w:hAnsi="Aptos"/>
                <w:color w:val="000000" w:themeColor="text1"/>
                <w:szCs w:val="20"/>
              </w:rPr>
              <w:t xml:space="preserve"> was no non-compliance with approved management plans or breach to conditions of approval.</w:t>
            </w:r>
          </w:p>
        </w:tc>
      </w:tr>
      <w:tr w:rsidR="00600159" w14:paraId="38BD7DA2" w14:textId="77777777" w:rsidTr="00C126DD">
        <w:tc>
          <w:tcPr>
            <w:cnfStyle w:val="001000000000" w:firstRow="0" w:lastRow="0" w:firstColumn="1" w:lastColumn="0" w:oddVBand="0" w:evenVBand="0" w:oddHBand="0" w:evenHBand="0" w:firstRowFirstColumn="0" w:firstRowLastColumn="0" w:lastRowFirstColumn="0" w:lastRowLastColumn="0"/>
            <w:tcW w:w="1117" w:type="dxa"/>
          </w:tcPr>
          <w:p w14:paraId="25EF18CD" w14:textId="5889818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25)</w:t>
            </w:r>
          </w:p>
        </w:tc>
        <w:tc>
          <w:tcPr>
            <w:tcW w:w="5966" w:type="dxa"/>
          </w:tcPr>
          <w:p w14:paraId="60972645" w14:textId="2E3ACB12"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The approval holder must specify in the notification:</w:t>
            </w:r>
          </w:p>
        </w:tc>
        <w:tc>
          <w:tcPr>
            <w:tcW w:w="1559" w:type="dxa"/>
          </w:tcPr>
          <w:p w14:paraId="21A40EF1" w14:textId="77777777" w:rsidR="00600159"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p>
        </w:tc>
        <w:tc>
          <w:tcPr>
            <w:tcW w:w="5474" w:type="dxa"/>
          </w:tcPr>
          <w:p w14:paraId="2DDE0047" w14:textId="77777777" w:rsidR="00600159" w:rsidRPr="00D067E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Cs w:val="20"/>
              </w:rPr>
            </w:pPr>
          </w:p>
        </w:tc>
      </w:tr>
      <w:tr w:rsidR="00600159" w14:paraId="51FAE1C4" w14:textId="77777777" w:rsidTr="00C1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E4079B2" w14:textId="20B3ED5A"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25a)</w:t>
            </w:r>
          </w:p>
        </w:tc>
        <w:tc>
          <w:tcPr>
            <w:tcW w:w="5966" w:type="dxa"/>
          </w:tcPr>
          <w:p w14:paraId="4A89774F" w14:textId="31A564A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Any condition or commitment made in a plan which has been or may have been breached.</w:t>
            </w:r>
          </w:p>
        </w:tc>
        <w:tc>
          <w:tcPr>
            <w:tcW w:w="1559" w:type="dxa"/>
          </w:tcPr>
          <w:p w14:paraId="16B2DCC8" w14:textId="3113DF32" w:rsidR="00600159"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eastAsia="Aptos" w:hAnsi="Aptos" w:cs="Aptos"/>
                <w:color w:val="000000" w:themeColor="text1"/>
                <w:szCs w:val="20"/>
              </w:rPr>
              <w:t>Compliant</w:t>
            </w:r>
          </w:p>
        </w:tc>
        <w:tc>
          <w:tcPr>
            <w:tcW w:w="5474" w:type="dxa"/>
          </w:tcPr>
          <w:p w14:paraId="62664A4B"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rPr>
            </w:pPr>
            <w:r w:rsidRPr="3CBF4649">
              <w:rPr>
                <w:rFonts w:ascii="Aptos" w:eastAsia="Aptos" w:hAnsi="Aptos" w:cs="Aptos"/>
                <w:color w:val="000000" w:themeColor="text1"/>
              </w:rPr>
              <w:t xml:space="preserve">The notifications sent to DCCEEW in September 2023 and February 2024 stated that no commitments within the ERMP or EPBC conditions were breached in relation to the incident or the potential non-compliance. </w:t>
            </w:r>
          </w:p>
          <w:p w14:paraId="66CC9848" w14:textId="2A0491B8" w:rsidR="00600159" w:rsidRPr="00D067E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Cs w:val="20"/>
              </w:rPr>
            </w:pPr>
            <w:r w:rsidRPr="3CBF4649">
              <w:rPr>
                <w:rFonts w:ascii="Aptos" w:eastAsia="Aptos" w:hAnsi="Aptos" w:cs="Aptos"/>
                <w:color w:val="000000" w:themeColor="text1"/>
              </w:rPr>
              <w:t xml:space="preserve">Both notifications indicated the EPBC conditions and ERMP commitments </w:t>
            </w:r>
            <w:r>
              <w:rPr>
                <w:rFonts w:ascii="Aptos" w:eastAsia="Aptos" w:hAnsi="Aptos" w:cs="Aptos"/>
                <w:color w:val="000000" w:themeColor="text1"/>
              </w:rPr>
              <w:t xml:space="preserve">were </w:t>
            </w:r>
            <w:r w:rsidRPr="3CBF4649">
              <w:rPr>
                <w:rFonts w:ascii="Aptos" w:eastAsia="Aptos" w:hAnsi="Aptos" w:cs="Aptos"/>
                <w:color w:val="000000" w:themeColor="text1"/>
              </w:rPr>
              <w:t>investigated.</w:t>
            </w:r>
          </w:p>
        </w:tc>
      </w:tr>
      <w:tr w:rsidR="00600159" w14:paraId="7ADE08E0" w14:textId="77777777" w:rsidTr="00C126DD">
        <w:tc>
          <w:tcPr>
            <w:cnfStyle w:val="001000000000" w:firstRow="0" w:lastRow="0" w:firstColumn="1" w:lastColumn="0" w:oddVBand="0" w:evenVBand="0" w:oddHBand="0" w:evenHBand="0" w:firstRowFirstColumn="0" w:firstRowLastColumn="0" w:lastRowFirstColumn="0" w:lastRowLastColumn="0"/>
            <w:tcW w:w="1117" w:type="dxa"/>
          </w:tcPr>
          <w:p w14:paraId="4E3458E6" w14:textId="330767BF"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25b)</w:t>
            </w:r>
          </w:p>
        </w:tc>
        <w:tc>
          <w:tcPr>
            <w:tcW w:w="5966" w:type="dxa"/>
          </w:tcPr>
          <w:p w14:paraId="494351A3" w14:textId="3E23D34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A short description of the incident and/or potential non-compliance and/or actual non-compliance.</w:t>
            </w:r>
          </w:p>
        </w:tc>
        <w:tc>
          <w:tcPr>
            <w:tcW w:w="1559" w:type="dxa"/>
          </w:tcPr>
          <w:p w14:paraId="369FAB23" w14:textId="7F6DB3F7"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474" w:type="dxa"/>
          </w:tcPr>
          <w:p w14:paraId="2E9E1520" w14:textId="77777777"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Cs w:val="20"/>
              </w:rPr>
            </w:pPr>
            <w:r w:rsidRPr="006E0027">
              <w:rPr>
                <w:rFonts w:ascii="Aptos" w:eastAsia="Aptos" w:hAnsi="Aptos" w:cs="Aptos"/>
                <w:color w:val="000000" w:themeColor="text1"/>
                <w:szCs w:val="20"/>
              </w:rPr>
              <w:t xml:space="preserve">This information was provided to DCCEEW in the notification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p>
          <w:p w14:paraId="26753E26" w14:textId="019D32FD" w:rsidR="00600159" w:rsidRPr="3CBF4649"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rPr>
            </w:pPr>
            <w:r w:rsidRPr="006E0027">
              <w:rPr>
                <w:rFonts w:ascii="Aptos" w:eastAsia="Aptos" w:hAnsi="Aptos" w:cs="Aptos"/>
                <w:color w:val="000000" w:themeColor="text1"/>
                <w:szCs w:val="20"/>
              </w:rPr>
              <w:t xml:space="preserve">This information was provided to DCCEEW in the notification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February 2024</w:t>
            </w:r>
            <w:r>
              <w:rPr>
                <w:rFonts w:ascii="Aptos" w:eastAsia="Aptos" w:hAnsi="Aptos" w:cs="Aptos"/>
                <w:color w:val="000000" w:themeColor="text1"/>
                <w:szCs w:val="20"/>
              </w:rPr>
              <w:t>.</w:t>
            </w:r>
          </w:p>
        </w:tc>
      </w:tr>
      <w:tr w:rsidR="00600159" w14:paraId="1AD180F3" w14:textId="77777777" w:rsidTr="00C1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EF41FB8" w14:textId="724CBBCC"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lastRenderedPageBreak/>
              <w:t>25c)</w:t>
            </w:r>
          </w:p>
        </w:tc>
        <w:tc>
          <w:tcPr>
            <w:tcW w:w="5966" w:type="dxa"/>
          </w:tcPr>
          <w:p w14:paraId="467188D5" w14:textId="04CD72E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location (including co-ordinates), date and time of the incident and/or potential non-compliance and/or actual non-compliance.</w:t>
            </w:r>
          </w:p>
        </w:tc>
        <w:tc>
          <w:tcPr>
            <w:tcW w:w="1559" w:type="dxa"/>
          </w:tcPr>
          <w:p w14:paraId="0C9B314E" w14:textId="58BEC4A3"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474" w:type="dxa"/>
          </w:tcPr>
          <w:p w14:paraId="298A998D" w14:textId="77777777"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
                <w:color w:val="000000" w:themeColor="text1"/>
                <w:szCs w:val="20"/>
              </w:rPr>
            </w:pPr>
            <w:r w:rsidRPr="006E0027">
              <w:rPr>
                <w:rFonts w:ascii="Aptos" w:eastAsia="Aptos" w:hAnsi="Aptos" w:cs="Aptos"/>
                <w:color w:val="000000" w:themeColor="text1"/>
                <w:szCs w:val="20"/>
              </w:rPr>
              <w:t xml:space="preserve">This information was provided to DCCEEW in the notification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p>
          <w:p w14:paraId="38BF37EE" w14:textId="4531851F"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This information was provided to DCCEEW in the notification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 xml:space="preserve">n </w:t>
            </w:r>
            <w:r>
              <w:rPr>
                <w:rFonts w:ascii="Aptos" w:eastAsia="Aptos" w:hAnsi="Aptos" w:cs="Aptos"/>
                <w:color w:val="000000" w:themeColor="text1"/>
                <w:szCs w:val="20"/>
              </w:rPr>
              <w:t>F</w:t>
            </w:r>
            <w:r w:rsidRPr="006E0027">
              <w:rPr>
                <w:rFonts w:ascii="Aptos" w:eastAsia="Aptos" w:hAnsi="Aptos" w:cs="Aptos"/>
                <w:color w:val="000000" w:themeColor="text1"/>
                <w:szCs w:val="20"/>
              </w:rPr>
              <w:t>ebruary 2024</w:t>
            </w:r>
            <w:r>
              <w:rPr>
                <w:rFonts w:ascii="Aptos" w:eastAsia="Aptos" w:hAnsi="Aptos" w:cs="Aptos"/>
                <w:color w:val="000000" w:themeColor="text1"/>
                <w:szCs w:val="20"/>
              </w:rPr>
              <w:t>.</w:t>
            </w:r>
          </w:p>
        </w:tc>
      </w:tr>
      <w:tr w:rsidR="00600159" w14:paraId="41A30760" w14:textId="77777777" w:rsidTr="00C126DD">
        <w:tc>
          <w:tcPr>
            <w:cnfStyle w:val="001000000000" w:firstRow="0" w:lastRow="0" w:firstColumn="1" w:lastColumn="0" w:oddVBand="0" w:evenVBand="0" w:oddHBand="0" w:evenHBand="0" w:firstRowFirstColumn="0" w:firstRowLastColumn="0" w:lastRowFirstColumn="0" w:lastRowLastColumn="0"/>
            <w:tcW w:w="1117" w:type="dxa"/>
          </w:tcPr>
          <w:p w14:paraId="0297EB7B" w14:textId="265ECAF0"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w:t>
            </w:r>
          </w:p>
        </w:tc>
        <w:tc>
          <w:tcPr>
            <w:tcW w:w="5966" w:type="dxa"/>
          </w:tcPr>
          <w:p w14:paraId="19318343" w14:textId="1D9C2398"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The approval holder must provide to the department in writing, within 12 business days of becoming aware of any incident and/or potential non-compliance and/or actual non-compliance, the details of that incident and/or potential non-compliance and/or actual non-compliance with the conditions or commitments. The approval holder must specify:</w:t>
            </w:r>
          </w:p>
        </w:tc>
        <w:tc>
          <w:tcPr>
            <w:tcW w:w="1559" w:type="dxa"/>
          </w:tcPr>
          <w:p w14:paraId="1B854FF3" w14:textId="0A0E3FD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474" w:type="dxa"/>
          </w:tcPr>
          <w:p w14:paraId="5FB492E4" w14:textId="1C107001"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Cs w:val="20"/>
              </w:rPr>
            </w:pPr>
            <w:r w:rsidRPr="006E0027">
              <w:rPr>
                <w:rFonts w:ascii="Aptos" w:eastAsia="Aptos" w:hAnsi="Aptos" w:cs="Aptos"/>
                <w:color w:val="000000" w:themeColor="text1"/>
                <w:szCs w:val="20"/>
              </w:rPr>
              <w:t xml:space="preserve">This information was provided </w:t>
            </w:r>
            <w:r>
              <w:rPr>
                <w:rFonts w:ascii="Aptos" w:eastAsia="Aptos" w:hAnsi="Aptos" w:cs="Aptos"/>
                <w:color w:val="000000" w:themeColor="text1"/>
                <w:szCs w:val="20"/>
              </w:rPr>
              <w:t xml:space="preserve">to </w:t>
            </w:r>
            <w:r w:rsidRPr="006E0027">
              <w:rPr>
                <w:rFonts w:ascii="Aptos" w:eastAsia="Aptos" w:hAnsi="Aptos" w:cs="Aptos"/>
                <w:color w:val="000000" w:themeColor="text1"/>
                <w:szCs w:val="20"/>
              </w:rPr>
              <w:t xml:space="preserve">DCCEEW with a report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p>
          <w:p w14:paraId="6458E701" w14:textId="3DA585F1"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This information was provided </w:t>
            </w:r>
            <w:r>
              <w:rPr>
                <w:rFonts w:ascii="Aptos" w:eastAsia="Aptos" w:hAnsi="Aptos" w:cs="Aptos"/>
                <w:color w:val="000000" w:themeColor="text1"/>
                <w:szCs w:val="20"/>
              </w:rPr>
              <w:t xml:space="preserve">to </w:t>
            </w:r>
            <w:r w:rsidRPr="006E0027">
              <w:rPr>
                <w:rFonts w:ascii="Aptos" w:eastAsia="Aptos" w:hAnsi="Aptos" w:cs="Aptos"/>
                <w:color w:val="000000" w:themeColor="text1"/>
                <w:szCs w:val="20"/>
              </w:rPr>
              <w:t xml:space="preserve">DCCEEW with a report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March 2024.</w:t>
            </w:r>
          </w:p>
        </w:tc>
      </w:tr>
      <w:tr w:rsidR="00600159" w14:paraId="2775610B" w14:textId="77777777" w:rsidTr="00C1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402D979" w14:textId="5D18A921"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26a)</w:t>
            </w:r>
          </w:p>
        </w:tc>
        <w:tc>
          <w:tcPr>
            <w:tcW w:w="5966" w:type="dxa"/>
          </w:tcPr>
          <w:p w14:paraId="0C5DDD2A" w14:textId="161D316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Any corrective action or investigation which the approval holder has already taken.</w:t>
            </w:r>
          </w:p>
        </w:tc>
        <w:tc>
          <w:tcPr>
            <w:tcW w:w="1559" w:type="dxa"/>
          </w:tcPr>
          <w:p w14:paraId="07FA3E72" w14:textId="78FE05A6"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Compliant</w:t>
            </w:r>
          </w:p>
        </w:tc>
        <w:tc>
          <w:tcPr>
            <w:tcW w:w="5474" w:type="dxa"/>
          </w:tcPr>
          <w:p w14:paraId="442BB674" w14:textId="77777777"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
                <w:color w:val="000000" w:themeColor="text1"/>
                <w:szCs w:val="20"/>
              </w:rPr>
            </w:pPr>
            <w:r w:rsidRPr="006E0027">
              <w:rPr>
                <w:rFonts w:ascii="Aptos" w:eastAsia="Aptos" w:hAnsi="Aptos" w:cs="Aptos"/>
                <w:color w:val="000000" w:themeColor="text1"/>
                <w:szCs w:val="20"/>
              </w:rPr>
              <w:t xml:space="preserve">This information was provided to DCCEEW in the report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p>
          <w:p w14:paraId="263A5902" w14:textId="5C035170"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This information was provided to DCCEEW in the report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March 2024.</w:t>
            </w:r>
          </w:p>
        </w:tc>
      </w:tr>
      <w:tr w:rsidR="00600159" w14:paraId="6F22C3D9" w14:textId="77777777" w:rsidTr="00C126DD">
        <w:tc>
          <w:tcPr>
            <w:cnfStyle w:val="001000000000" w:firstRow="0" w:lastRow="0" w:firstColumn="1" w:lastColumn="0" w:oddVBand="0" w:evenVBand="0" w:oddHBand="0" w:evenHBand="0" w:firstRowFirstColumn="0" w:firstRowLastColumn="0" w:lastRowFirstColumn="0" w:lastRowLastColumn="0"/>
            <w:tcW w:w="1117" w:type="dxa"/>
          </w:tcPr>
          <w:p w14:paraId="28A08AC9" w14:textId="23C05166"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26b)</w:t>
            </w:r>
          </w:p>
        </w:tc>
        <w:tc>
          <w:tcPr>
            <w:tcW w:w="5966" w:type="dxa"/>
          </w:tcPr>
          <w:p w14:paraId="31F903EF" w14:textId="23FF74E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szCs w:val="20"/>
              </w:rPr>
            </w:pPr>
            <w:r w:rsidRPr="006E0027">
              <w:rPr>
                <w:rFonts w:ascii="Aptos" w:hAnsi="Aptos"/>
                <w:szCs w:val="20"/>
              </w:rPr>
              <w:t>The potential impacts of the incident and/or non-compliance.</w:t>
            </w:r>
          </w:p>
        </w:tc>
        <w:tc>
          <w:tcPr>
            <w:tcW w:w="1559" w:type="dxa"/>
          </w:tcPr>
          <w:p w14:paraId="3918A32B" w14:textId="1A35446C"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474" w:type="dxa"/>
          </w:tcPr>
          <w:p w14:paraId="088EB00A" w14:textId="77777777"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Cs w:val="20"/>
              </w:rPr>
            </w:pPr>
            <w:r w:rsidRPr="006E0027">
              <w:rPr>
                <w:rFonts w:ascii="Aptos" w:eastAsia="Aptos" w:hAnsi="Aptos" w:cs="Aptos"/>
                <w:color w:val="000000" w:themeColor="text1"/>
                <w:szCs w:val="20"/>
              </w:rPr>
              <w:t xml:space="preserve">This information was provided to DCCEEW in the report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p>
          <w:p w14:paraId="01387D12" w14:textId="65042A13"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This information was provided to DCCEEW in the report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March 2024.</w:t>
            </w:r>
          </w:p>
        </w:tc>
      </w:tr>
      <w:tr w:rsidR="00600159" w14:paraId="02F470B3" w14:textId="77777777" w:rsidTr="00C1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0EB4338D" w14:textId="76943467" w:rsidR="00600159" w:rsidRPr="006E0027" w:rsidRDefault="00600159" w:rsidP="00600159">
            <w:pPr>
              <w:rPr>
                <w:rFonts w:ascii="Aptos" w:eastAsia="Aptos" w:hAnsi="Aptos" w:cs="Aptos"/>
                <w:color w:val="000000" w:themeColor="text1"/>
                <w:szCs w:val="20"/>
              </w:rPr>
            </w:pPr>
            <w:r w:rsidRPr="006E0027">
              <w:rPr>
                <w:rFonts w:ascii="Aptos" w:eastAsia="Aptos" w:hAnsi="Aptos" w:cs="Aptos"/>
                <w:color w:val="000000" w:themeColor="text1"/>
                <w:szCs w:val="20"/>
              </w:rPr>
              <w:t>26c)</w:t>
            </w:r>
          </w:p>
        </w:tc>
        <w:tc>
          <w:tcPr>
            <w:tcW w:w="5966" w:type="dxa"/>
          </w:tcPr>
          <w:p w14:paraId="322A50D6" w14:textId="2EAB482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szCs w:val="20"/>
              </w:rPr>
              <w:t>The method and timing of any corrective action that will be undertaken by the approval holder.</w:t>
            </w:r>
          </w:p>
        </w:tc>
        <w:tc>
          <w:tcPr>
            <w:tcW w:w="1559" w:type="dxa"/>
          </w:tcPr>
          <w:p w14:paraId="1C6BE674" w14:textId="7BFC174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color w:val="000000" w:themeColor="text1"/>
                <w:szCs w:val="20"/>
              </w:rPr>
              <w:t xml:space="preserve">Compliant </w:t>
            </w:r>
          </w:p>
        </w:tc>
        <w:tc>
          <w:tcPr>
            <w:tcW w:w="5474" w:type="dxa"/>
          </w:tcPr>
          <w:p w14:paraId="7274B945" w14:textId="1116A69D"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Pr>
                <w:rFonts w:ascii="Aptos" w:eastAsia="Aptos" w:hAnsi="Aptos" w:cs="Aptos"/>
                <w:color w:val="000000" w:themeColor="text1"/>
                <w:szCs w:val="20"/>
              </w:rPr>
              <w:t>All corrective actions were implemented in the timeframes specified in the information provide</w:t>
            </w:r>
            <w:r w:rsidRPr="006E0027">
              <w:rPr>
                <w:rFonts w:ascii="Aptos" w:eastAsia="Aptos" w:hAnsi="Aptos" w:cs="Aptos"/>
                <w:color w:val="000000" w:themeColor="text1"/>
                <w:szCs w:val="20"/>
              </w:rPr>
              <w:t>d to DCCEEW in the report</w:t>
            </w:r>
            <w:r>
              <w:rPr>
                <w:rFonts w:ascii="Aptos" w:eastAsia="Aptos" w:hAnsi="Aptos" w:cs="Aptos"/>
                <w:color w:val="000000" w:themeColor="text1"/>
                <w:szCs w:val="20"/>
              </w:rPr>
              <w:t>s</w:t>
            </w:r>
            <w:r w:rsidRPr="006E0027">
              <w:rPr>
                <w:rFonts w:ascii="Aptos" w:eastAsia="Aptos" w:hAnsi="Aptos" w:cs="Aptos"/>
                <w:color w:val="000000" w:themeColor="text1"/>
                <w:szCs w:val="20"/>
              </w:rPr>
              <w:t xml:space="preserve"> sent via email </w:t>
            </w:r>
            <w:r>
              <w:rPr>
                <w:rFonts w:ascii="Aptos" w:eastAsia="Aptos" w:hAnsi="Aptos" w:cs="Aptos"/>
                <w:color w:val="000000" w:themeColor="text1"/>
                <w:szCs w:val="20"/>
              </w:rPr>
              <w:t>i</w:t>
            </w:r>
            <w:r w:rsidRPr="006E0027">
              <w:rPr>
                <w:rFonts w:ascii="Aptos" w:eastAsia="Aptos" w:hAnsi="Aptos" w:cs="Aptos"/>
                <w:color w:val="000000" w:themeColor="text1"/>
                <w:szCs w:val="20"/>
              </w:rPr>
              <w:t>n September 2023</w:t>
            </w:r>
            <w:r>
              <w:rPr>
                <w:rFonts w:ascii="Aptos" w:eastAsia="Aptos" w:hAnsi="Aptos" w:cs="Aptos"/>
                <w:color w:val="000000" w:themeColor="text1"/>
                <w:szCs w:val="20"/>
              </w:rPr>
              <w:t xml:space="preserve"> and March 2024</w:t>
            </w:r>
            <w:r w:rsidRPr="006E0027">
              <w:rPr>
                <w:rFonts w:ascii="Aptos" w:eastAsia="Aptos" w:hAnsi="Aptos" w:cs="Aptos"/>
                <w:color w:val="000000" w:themeColor="text1"/>
                <w:szCs w:val="20"/>
              </w:rPr>
              <w:t>.</w:t>
            </w:r>
          </w:p>
        </w:tc>
      </w:tr>
    </w:tbl>
    <w:p w14:paraId="577948BD" w14:textId="478A4FB8" w:rsidR="00600159" w:rsidRDefault="00600159" w:rsidP="00600159">
      <w:pPr>
        <w:pStyle w:val="Heading3"/>
        <w:ind w:left="851" w:hanging="851"/>
      </w:pPr>
      <w:bookmarkStart w:id="153" w:name="_Toc180504241"/>
      <w:r w:rsidRPr="00DF10AD">
        <w:lastRenderedPageBreak/>
        <w:t>Independent audit</w:t>
      </w:r>
      <w:bookmarkEnd w:id="153"/>
    </w:p>
    <w:tbl>
      <w:tblPr>
        <w:tblStyle w:val="GridTable4-Accent4"/>
        <w:tblW w:w="14116" w:type="dxa"/>
        <w:tblLook w:val="04A0" w:firstRow="1" w:lastRow="0" w:firstColumn="1" w:lastColumn="0" w:noHBand="0" w:noVBand="1"/>
      </w:tblPr>
      <w:tblGrid>
        <w:gridCol w:w="1117"/>
        <w:gridCol w:w="6253"/>
        <w:gridCol w:w="1559"/>
        <w:gridCol w:w="5187"/>
      </w:tblGrid>
      <w:tr w:rsidR="00600159" w14:paraId="1652EEF3" w14:textId="77777777" w:rsidTr="00600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67B86181" w14:textId="34DC5F2B"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253" w:type="dxa"/>
          </w:tcPr>
          <w:p w14:paraId="27819271" w14:textId="053BD249"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59" w:type="dxa"/>
          </w:tcPr>
          <w:p w14:paraId="30DBC734" w14:textId="62FEEFF1"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187" w:type="dxa"/>
          </w:tcPr>
          <w:p w14:paraId="7A75DAAC" w14:textId="6947DDF2"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600159" w14:paraId="3B7D74B5"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EA7E803" w14:textId="7712E06E" w:rsidR="00600159" w:rsidRPr="006E0027" w:rsidRDefault="00600159" w:rsidP="00600159">
            <w:pPr>
              <w:rPr>
                <w:rFonts w:ascii="Aptos" w:eastAsia="Aptos" w:hAnsi="Aptos" w:cs="Aptos"/>
                <w:color w:val="000000" w:themeColor="text1"/>
                <w:szCs w:val="20"/>
              </w:rPr>
            </w:pPr>
            <w:r w:rsidRPr="006E0027">
              <w:rPr>
                <w:rFonts w:ascii="Aptos" w:eastAsia="Aptos" w:hAnsi="Aptos" w:cs="Aptos"/>
                <w:bCs w:val="0"/>
                <w:color w:val="000000" w:themeColor="text1"/>
                <w:szCs w:val="20"/>
              </w:rPr>
              <w:t>27)</w:t>
            </w:r>
          </w:p>
        </w:tc>
        <w:tc>
          <w:tcPr>
            <w:tcW w:w="6253" w:type="dxa"/>
          </w:tcPr>
          <w:p w14:paraId="0A7CC0B1" w14:textId="2A38D5C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szCs w:val="20"/>
              </w:rPr>
            </w:pPr>
            <w:r w:rsidRPr="006E0027">
              <w:rPr>
                <w:rFonts w:ascii="Aptos" w:hAnsi="Aptos"/>
                <w:bCs/>
                <w:szCs w:val="20"/>
              </w:rPr>
              <w:t>The approval holder must ensure that an independent audit of compliance with the conditions is conducted for every five-year period following the commencement of the Action until this approval expires, unless otherwise specified in writing by the Minister.</w:t>
            </w:r>
          </w:p>
        </w:tc>
        <w:tc>
          <w:tcPr>
            <w:tcW w:w="1559" w:type="dxa"/>
          </w:tcPr>
          <w:p w14:paraId="6EF8F4AE" w14:textId="616EB412"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r w:rsidRPr="006E0027">
              <w:rPr>
                <w:rFonts w:ascii="Aptos" w:eastAsia="Aptos" w:hAnsi="Aptos" w:cs="Aptos"/>
                <w:bCs/>
                <w:color w:val="000000" w:themeColor="text1"/>
                <w:szCs w:val="20"/>
              </w:rPr>
              <w:t>Not applicable</w:t>
            </w:r>
          </w:p>
        </w:tc>
        <w:tc>
          <w:tcPr>
            <w:tcW w:w="5187" w:type="dxa"/>
          </w:tcPr>
          <w:p w14:paraId="6EFF02E2" w14:textId="6DD8B9B4"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5FCFA1C2" w14:textId="3D2832C4" w:rsidR="00600159"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Cs w:val="20"/>
              </w:rPr>
            </w:pPr>
          </w:p>
        </w:tc>
      </w:tr>
      <w:tr w:rsidR="00600159" w14:paraId="6A216AAC"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1C128F64" w14:textId="1F06477D"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w:t>
            </w:r>
          </w:p>
        </w:tc>
        <w:tc>
          <w:tcPr>
            <w:tcW w:w="6253" w:type="dxa"/>
          </w:tcPr>
          <w:p w14:paraId="0F13AF05" w14:textId="4EF15BAE"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For each independent audit, the approval holder must:</w:t>
            </w:r>
          </w:p>
        </w:tc>
        <w:tc>
          <w:tcPr>
            <w:tcW w:w="1559" w:type="dxa"/>
          </w:tcPr>
          <w:p w14:paraId="012E156F" w14:textId="77777777"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c>
          <w:tcPr>
            <w:tcW w:w="5187" w:type="dxa"/>
          </w:tcPr>
          <w:p w14:paraId="5FF8E2CB" w14:textId="77777777"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r>
      <w:tr w:rsidR="00600159" w14:paraId="1FC249AB"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0A31F1D" w14:textId="7B90D585"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28a)</w:t>
            </w:r>
          </w:p>
        </w:tc>
        <w:tc>
          <w:tcPr>
            <w:tcW w:w="6253" w:type="dxa"/>
          </w:tcPr>
          <w:p w14:paraId="2CED64D1" w14:textId="7E5C5C8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Provide the name and qualifications of the nominated independent auditor, the draft audit criteria, and proposed timeframe for submitting the audit report to the department prior to commencing the independent audit.</w:t>
            </w:r>
          </w:p>
        </w:tc>
        <w:tc>
          <w:tcPr>
            <w:tcW w:w="1559" w:type="dxa"/>
          </w:tcPr>
          <w:p w14:paraId="2A417221" w14:textId="38579C90"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87" w:type="dxa"/>
          </w:tcPr>
          <w:p w14:paraId="3D764243"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2BC42B6A" w14:textId="428683AC"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r w:rsidR="00600159" w14:paraId="5C9C8E33"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5EB69CF8" w14:textId="7D081197"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28b)</w:t>
            </w:r>
          </w:p>
        </w:tc>
        <w:tc>
          <w:tcPr>
            <w:tcW w:w="6253" w:type="dxa"/>
          </w:tcPr>
          <w:p w14:paraId="1EB0AE10" w14:textId="3997D09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Only commence the independent audit once the nominated independent auditor, audit criteria and timeframe for submitting the audit report have been approved in writing by the department.</w:t>
            </w:r>
          </w:p>
        </w:tc>
        <w:tc>
          <w:tcPr>
            <w:tcW w:w="1559" w:type="dxa"/>
          </w:tcPr>
          <w:p w14:paraId="7B1258BA" w14:textId="102AA2CD"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87" w:type="dxa"/>
          </w:tcPr>
          <w:p w14:paraId="7A70B312" w14:textId="77777777"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09E2CB43" w14:textId="77777777"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r>
      <w:tr w:rsidR="00600159" w14:paraId="2A8820FB"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E95D650" w14:textId="43660125"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28c)</w:t>
            </w:r>
          </w:p>
        </w:tc>
        <w:tc>
          <w:tcPr>
            <w:tcW w:w="6253" w:type="dxa"/>
          </w:tcPr>
          <w:p w14:paraId="154B96B4" w14:textId="3B46B89E"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Submit the audit report to the department for approval within the timeframe specified and approved in writing by the department.</w:t>
            </w:r>
          </w:p>
        </w:tc>
        <w:tc>
          <w:tcPr>
            <w:tcW w:w="1559" w:type="dxa"/>
          </w:tcPr>
          <w:p w14:paraId="0FE1307D" w14:textId="23254683"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87" w:type="dxa"/>
          </w:tcPr>
          <w:p w14:paraId="56A86417"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4D0DEE9F" w14:textId="4DC3412E"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r w:rsidR="00600159" w14:paraId="54CBFB78"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65AFE7C9" w14:textId="307B0230"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28d)</w:t>
            </w:r>
          </w:p>
        </w:tc>
        <w:tc>
          <w:tcPr>
            <w:tcW w:w="6253" w:type="dxa"/>
          </w:tcPr>
          <w:p w14:paraId="285BE882" w14:textId="7A0FABD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Publish each audit report on the website within 15 business days of the date of the department’s approval of the audit report.</w:t>
            </w:r>
          </w:p>
        </w:tc>
        <w:tc>
          <w:tcPr>
            <w:tcW w:w="1559" w:type="dxa"/>
          </w:tcPr>
          <w:p w14:paraId="68F37893" w14:textId="4641924E"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87" w:type="dxa"/>
          </w:tcPr>
          <w:p w14:paraId="005CAFE1" w14:textId="77777777" w:rsidR="00600159"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5F6585D4" w14:textId="182FE479" w:rsidR="00600159" w:rsidRPr="006E0027" w:rsidRDefault="00600159" w:rsidP="00600159">
            <w:pPr>
              <w:spacing w:before="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r>
      <w:tr w:rsidR="00600159" w14:paraId="447D19B9"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672930C4" w14:textId="0E5096AB"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lastRenderedPageBreak/>
              <w:t>28e)</w:t>
            </w:r>
          </w:p>
        </w:tc>
        <w:tc>
          <w:tcPr>
            <w:tcW w:w="6253" w:type="dxa"/>
          </w:tcPr>
          <w:p w14:paraId="3240B81B" w14:textId="44B0C40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Keep every audit report published on the website until this approval expires.</w:t>
            </w:r>
          </w:p>
        </w:tc>
        <w:tc>
          <w:tcPr>
            <w:tcW w:w="1559" w:type="dxa"/>
          </w:tcPr>
          <w:p w14:paraId="77E3A2AC" w14:textId="4C5D63A9"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187" w:type="dxa"/>
          </w:tcPr>
          <w:p w14:paraId="72E48988" w14:textId="7EBC1C15" w:rsidR="00600159" w:rsidRPr="006E0027" w:rsidRDefault="00600159" w:rsidP="00C126DD">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D9742A">
              <w:rPr>
                <w:rFonts w:ascii="Aptos" w:eastAsia="Aptos" w:hAnsi="Aptos" w:cs="Aptos"/>
                <w:bCs/>
                <w:color w:val="000000" w:themeColor="text1"/>
                <w:szCs w:val="20"/>
              </w:rPr>
              <w:t xml:space="preserve">No audit was required to be conducted during this reporting period. </w:t>
            </w:r>
          </w:p>
        </w:tc>
      </w:tr>
      <w:tr w:rsidR="00600159" w14:paraId="46A57B3B" w14:textId="77777777" w:rsidTr="003823A6">
        <w:tc>
          <w:tcPr>
            <w:cnfStyle w:val="001000000000" w:firstRow="0" w:lastRow="0" w:firstColumn="1" w:lastColumn="0" w:oddVBand="0" w:evenVBand="0" w:oddHBand="0" w:evenHBand="0" w:firstRowFirstColumn="0" w:firstRowLastColumn="0" w:lastRowFirstColumn="0" w:lastRowLastColumn="0"/>
            <w:tcW w:w="1117" w:type="dxa"/>
          </w:tcPr>
          <w:p w14:paraId="7F54E052" w14:textId="557568E3"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29)</w:t>
            </w:r>
          </w:p>
        </w:tc>
        <w:tc>
          <w:tcPr>
            <w:tcW w:w="6253" w:type="dxa"/>
          </w:tcPr>
          <w:p w14:paraId="762EA57E" w14:textId="1445C03B"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Each audit report must report for the five-year period preceding that audit report.</w:t>
            </w:r>
          </w:p>
        </w:tc>
        <w:tc>
          <w:tcPr>
            <w:tcW w:w="1559" w:type="dxa"/>
          </w:tcPr>
          <w:p w14:paraId="768FCEC7" w14:textId="52EC6343"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187" w:type="dxa"/>
          </w:tcPr>
          <w:p w14:paraId="05FC99D0" w14:textId="1C0B885F" w:rsidR="00600159" w:rsidRPr="006E0027" w:rsidRDefault="00600159" w:rsidP="00C126DD">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D9742A">
              <w:rPr>
                <w:rFonts w:ascii="Aptos" w:eastAsia="Aptos" w:hAnsi="Aptos" w:cs="Aptos"/>
                <w:bCs/>
                <w:color w:val="000000" w:themeColor="text1"/>
                <w:szCs w:val="20"/>
              </w:rPr>
              <w:t xml:space="preserve">No audit was required to be conducted during this reporting period. </w:t>
            </w:r>
          </w:p>
        </w:tc>
      </w:tr>
      <w:tr w:rsidR="00600159" w14:paraId="5A34210B" w14:textId="77777777" w:rsidTr="00382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2D9A167" w14:textId="1CE4921E"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30)</w:t>
            </w:r>
          </w:p>
        </w:tc>
        <w:tc>
          <w:tcPr>
            <w:tcW w:w="6253" w:type="dxa"/>
          </w:tcPr>
          <w:p w14:paraId="12119F26" w14:textId="15D793EA"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 xml:space="preserve">Each audit report must be completed to the satisfaction of the Minister and be consistent with the </w:t>
            </w:r>
            <w:r>
              <w:rPr>
                <w:rFonts w:ascii="Aptos" w:hAnsi="Aptos"/>
                <w:bCs/>
                <w:szCs w:val="20"/>
              </w:rPr>
              <w:t>EPBC Act</w:t>
            </w:r>
            <w:r w:rsidRPr="006E0027">
              <w:rPr>
                <w:rFonts w:ascii="Aptos" w:hAnsi="Aptos"/>
                <w:bCs/>
                <w:szCs w:val="20"/>
              </w:rPr>
              <w:t xml:space="preserve"> Independent Audit and Audit Report Guidelines, Commonwealth of Australia 2019.</w:t>
            </w:r>
          </w:p>
        </w:tc>
        <w:tc>
          <w:tcPr>
            <w:tcW w:w="1559" w:type="dxa"/>
          </w:tcPr>
          <w:p w14:paraId="49132728" w14:textId="5D2C07D8"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187" w:type="dxa"/>
          </w:tcPr>
          <w:p w14:paraId="471EC72C" w14:textId="77777777" w:rsidR="00600159"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 audit</w:t>
            </w:r>
            <w:r>
              <w:rPr>
                <w:rFonts w:ascii="Aptos" w:eastAsia="Aptos" w:hAnsi="Aptos" w:cs="Aptos"/>
                <w:bCs/>
                <w:color w:val="000000" w:themeColor="text1"/>
                <w:szCs w:val="20"/>
              </w:rPr>
              <w:t xml:space="preserve"> was required to be conducted during this reporting period</w:t>
            </w:r>
            <w:r w:rsidRPr="006E0027">
              <w:rPr>
                <w:rFonts w:ascii="Aptos" w:eastAsia="Aptos" w:hAnsi="Aptos" w:cs="Aptos"/>
                <w:bCs/>
                <w:color w:val="000000" w:themeColor="text1"/>
                <w:szCs w:val="20"/>
              </w:rPr>
              <w:t xml:space="preserve">. </w:t>
            </w:r>
          </w:p>
          <w:p w14:paraId="7ED205C4" w14:textId="5FBBEA77" w:rsidR="00600159" w:rsidRPr="006E0027" w:rsidRDefault="00600159" w:rsidP="00600159">
            <w:pPr>
              <w:spacing w:before="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bl>
    <w:p w14:paraId="1190F765" w14:textId="534D0C17" w:rsidR="00600159" w:rsidRDefault="00600159" w:rsidP="00600159">
      <w:pPr>
        <w:pStyle w:val="Heading3"/>
        <w:ind w:left="851" w:hanging="851"/>
      </w:pPr>
      <w:bookmarkStart w:id="154" w:name="_Toc180504242"/>
      <w:r w:rsidRPr="00DF10AD">
        <w:t>Completion of the Action</w:t>
      </w:r>
      <w:bookmarkEnd w:id="154"/>
    </w:p>
    <w:tbl>
      <w:tblPr>
        <w:tblStyle w:val="GridTable4-Accent4"/>
        <w:tblW w:w="14116" w:type="dxa"/>
        <w:tblLook w:val="04A0" w:firstRow="1" w:lastRow="0" w:firstColumn="1" w:lastColumn="0" w:noHBand="0" w:noVBand="1"/>
      </w:tblPr>
      <w:tblGrid>
        <w:gridCol w:w="1117"/>
        <w:gridCol w:w="6249"/>
        <w:gridCol w:w="1560"/>
        <w:gridCol w:w="5190"/>
      </w:tblGrid>
      <w:tr w:rsidR="00600159" w14:paraId="06E61390" w14:textId="77777777" w:rsidTr="00360D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7" w:type="dxa"/>
          </w:tcPr>
          <w:p w14:paraId="55572B18" w14:textId="039CC5A0" w:rsidR="00600159" w:rsidRPr="006E0027" w:rsidRDefault="00600159" w:rsidP="00600159">
            <w:pPr>
              <w:rPr>
                <w:rFonts w:ascii="Aptos" w:eastAsia="Aptos" w:hAnsi="Aptos" w:cs="Aptos"/>
                <w:color w:val="000000" w:themeColor="text1"/>
                <w:szCs w:val="20"/>
              </w:rPr>
            </w:pPr>
            <w:r w:rsidRPr="00301BF4" w:rsidDel="00267A72">
              <w:rPr>
                <w:rFonts w:ascii="Aptos" w:hAnsi="Aptos"/>
                <w:szCs w:val="20"/>
              </w:rPr>
              <w:t>Co</w:t>
            </w:r>
            <w:r w:rsidRPr="00301BF4">
              <w:rPr>
                <w:rFonts w:ascii="Aptos" w:hAnsi="Aptos"/>
                <w:szCs w:val="20"/>
              </w:rPr>
              <w:t xml:space="preserve">ndition </w:t>
            </w:r>
            <w:r>
              <w:rPr>
                <w:rFonts w:ascii="Aptos" w:hAnsi="Aptos"/>
                <w:szCs w:val="20"/>
              </w:rPr>
              <w:t>n</w:t>
            </w:r>
            <w:r w:rsidRPr="00301BF4" w:rsidDel="00995D1A">
              <w:rPr>
                <w:rFonts w:ascii="Aptos" w:hAnsi="Aptos"/>
                <w:szCs w:val="20"/>
              </w:rPr>
              <w:t>umber</w:t>
            </w:r>
          </w:p>
        </w:tc>
        <w:tc>
          <w:tcPr>
            <w:tcW w:w="6249" w:type="dxa"/>
          </w:tcPr>
          <w:p w14:paraId="0C1D2651" w14:textId="30563C94"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hAnsi="Aptos"/>
                <w:bCs w:val="0"/>
                <w:szCs w:val="20"/>
              </w:rPr>
            </w:pPr>
            <w:r w:rsidRPr="00301BF4">
              <w:rPr>
                <w:rFonts w:ascii="Aptos" w:hAnsi="Aptos"/>
                <w:szCs w:val="20"/>
              </w:rPr>
              <w:t>Condition</w:t>
            </w:r>
          </w:p>
        </w:tc>
        <w:tc>
          <w:tcPr>
            <w:tcW w:w="1560" w:type="dxa"/>
          </w:tcPr>
          <w:p w14:paraId="5553A8CC" w14:textId="775ECF1B" w:rsidR="00600159" w:rsidRPr="006E0027" w:rsidRDefault="00600159" w:rsidP="00600159">
            <w:pPr>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Compliance</w:t>
            </w:r>
          </w:p>
        </w:tc>
        <w:tc>
          <w:tcPr>
            <w:tcW w:w="5190" w:type="dxa"/>
          </w:tcPr>
          <w:p w14:paraId="057F7CDE" w14:textId="0B3C3ABE" w:rsidR="00600159" w:rsidRPr="006E0027" w:rsidRDefault="00600159" w:rsidP="00600159">
            <w:pPr>
              <w:spacing w:line="276" w:lineRule="auto"/>
              <w:cnfStyle w:val="100000000000" w:firstRow="1" w:lastRow="0" w:firstColumn="0" w:lastColumn="0" w:oddVBand="0" w:evenVBand="0" w:oddHBand="0" w:evenHBand="0" w:firstRowFirstColumn="0" w:firstRowLastColumn="0" w:lastRowFirstColumn="0" w:lastRowLastColumn="0"/>
              <w:rPr>
                <w:rFonts w:ascii="Aptos" w:eastAsia="Aptos" w:hAnsi="Aptos" w:cs="Aptos"/>
                <w:bCs w:val="0"/>
                <w:color w:val="000000" w:themeColor="text1"/>
                <w:szCs w:val="20"/>
              </w:rPr>
            </w:pPr>
            <w:r w:rsidRPr="00301BF4">
              <w:rPr>
                <w:rFonts w:ascii="Aptos" w:hAnsi="Aptos"/>
                <w:szCs w:val="20"/>
              </w:rPr>
              <w:t>Evidence/Comments</w:t>
            </w:r>
          </w:p>
        </w:tc>
      </w:tr>
      <w:tr w:rsidR="00360D5D" w14:paraId="27BEB396" w14:textId="77777777" w:rsidTr="00360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3B8DDA0D" w14:textId="76E50A30"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31)</w:t>
            </w:r>
          </w:p>
        </w:tc>
        <w:tc>
          <w:tcPr>
            <w:tcW w:w="6249" w:type="dxa"/>
          </w:tcPr>
          <w:p w14:paraId="4BF2F858" w14:textId="4BC4B9CA"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approval holder must notify the department in writing the date on which it removed the FPSO from the operational area within 5 business days of having removed the FPSO from the operational area</w:t>
            </w:r>
          </w:p>
        </w:tc>
        <w:tc>
          <w:tcPr>
            <w:tcW w:w="1560" w:type="dxa"/>
          </w:tcPr>
          <w:p w14:paraId="432E16B8" w14:textId="55185904"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90" w:type="dxa"/>
          </w:tcPr>
          <w:p w14:paraId="5A2A6703" w14:textId="221BD81B" w:rsidR="00600159" w:rsidRPr="006E0027" w:rsidRDefault="00600159" w:rsidP="00600159">
            <w:pPr>
              <w:spacing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The action has not been completed.</w:t>
            </w:r>
          </w:p>
        </w:tc>
      </w:tr>
      <w:tr w:rsidR="00360D5D" w14:paraId="31A47484" w14:textId="77777777" w:rsidTr="00360D5D">
        <w:tc>
          <w:tcPr>
            <w:cnfStyle w:val="001000000000" w:firstRow="0" w:lastRow="0" w:firstColumn="1" w:lastColumn="0" w:oddVBand="0" w:evenVBand="0" w:oddHBand="0" w:evenHBand="0" w:firstRowFirstColumn="0" w:firstRowLastColumn="0" w:lastRowFirstColumn="0" w:lastRowLastColumn="0"/>
            <w:tcW w:w="1117" w:type="dxa"/>
          </w:tcPr>
          <w:p w14:paraId="32717B92" w14:textId="0D16BF0D"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32)</w:t>
            </w:r>
          </w:p>
        </w:tc>
        <w:tc>
          <w:tcPr>
            <w:tcW w:w="6249" w:type="dxa"/>
          </w:tcPr>
          <w:p w14:paraId="469E520D" w14:textId="3CAC1A0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The approval holder must notify the department in writing the date on which it delivered the FPSO to the designated recipient within 5 business days of having delivered the FPSO to the designated recipient.</w:t>
            </w:r>
          </w:p>
        </w:tc>
        <w:tc>
          <w:tcPr>
            <w:tcW w:w="1560" w:type="dxa"/>
          </w:tcPr>
          <w:p w14:paraId="42BE9789" w14:textId="31707E1A"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90" w:type="dxa"/>
          </w:tcPr>
          <w:p w14:paraId="43A27E51" w14:textId="77777777" w:rsidR="00600159" w:rsidRPr="006E0027" w:rsidRDefault="00600159" w:rsidP="00600159">
            <w:pPr>
              <w:spacing w:after="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
                <w:bCs/>
                <w:color w:val="000000" w:themeColor="text1"/>
                <w:szCs w:val="20"/>
              </w:rPr>
            </w:pPr>
            <w:r w:rsidRPr="006E0027">
              <w:rPr>
                <w:rFonts w:ascii="Aptos" w:eastAsia="Aptos" w:hAnsi="Aptos" w:cs="Aptos"/>
                <w:bCs/>
                <w:color w:val="000000" w:themeColor="text1"/>
                <w:szCs w:val="20"/>
              </w:rPr>
              <w:t>The action has not been completed.</w:t>
            </w:r>
          </w:p>
          <w:p w14:paraId="24C8424E" w14:textId="77777777" w:rsidR="00600159" w:rsidRPr="006E0027" w:rsidRDefault="00600159" w:rsidP="00600159">
            <w:pPr>
              <w:spacing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r>
      <w:tr w:rsidR="00360D5D" w14:paraId="21F2C950" w14:textId="77777777" w:rsidTr="00360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82AA74A" w14:textId="7A21C293"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t>33)</w:t>
            </w:r>
          </w:p>
        </w:tc>
        <w:tc>
          <w:tcPr>
            <w:tcW w:w="6249" w:type="dxa"/>
          </w:tcPr>
          <w:p w14:paraId="07608E17" w14:textId="7C326A4C"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hAnsi="Aptos"/>
                <w:bCs/>
                <w:szCs w:val="20"/>
              </w:rPr>
            </w:pPr>
            <w:r w:rsidRPr="006E0027">
              <w:rPr>
                <w:rFonts w:ascii="Aptos" w:hAnsi="Aptos"/>
                <w:bCs/>
                <w:szCs w:val="20"/>
              </w:rPr>
              <w:t>The approval holder must notify the department electronically 60 business days prior to the expiry date of this approval, that the approval is due to expire.</w:t>
            </w:r>
          </w:p>
        </w:tc>
        <w:tc>
          <w:tcPr>
            <w:tcW w:w="1560" w:type="dxa"/>
          </w:tcPr>
          <w:p w14:paraId="1E37B16B" w14:textId="3524F134" w:rsidR="00600159" w:rsidRPr="006E0027" w:rsidRDefault="00600159" w:rsidP="00600159">
            <w:pPr>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Not applicable</w:t>
            </w:r>
          </w:p>
        </w:tc>
        <w:tc>
          <w:tcPr>
            <w:tcW w:w="5190" w:type="dxa"/>
          </w:tcPr>
          <w:p w14:paraId="65461AA6" w14:textId="77777777" w:rsidR="00600159" w:rsidRPr="006E0027" w:rsidRDefault="00600159" w:rsidP="00600159">
            <w:pPr>
              <w:spacing w:after="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
                <w:bCs/>
                <w:color w:val="000000" w:themeColor="text1"/>
                <w:szCs w:val="20"/>
              </w:rPr>
            </w:pPr>
            <w:r w:rsidRPr="006E0027">
              <w:rPr>
                <w:rFonts w:ascii="Aptos" w:eastAsia="Aptos" w:hAnsi="Aptos" w:cs="Aptos"/>
                <w:bCs/>
                <w:color w:val="000000" w:themeColor="text1"/>
                <w:szCs w:val="20"/>
              </w:rPr>
              <w:t>The action has not been completed.</w:t>
            </w:r>
          </w:p>
          <w:p w14:paraId="599E1E07" w14:textId="77777777" w:rsidR="00600159" w:rsidRPr="006E0027" w:rsidRDefault="00600159" w:rsidP="00600159">
            <w:pPr>
              <w:spacing w:after="0" w:line="276"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bCs/>
                <w:color w:val="000000" w:themeColor="text1"/>
                <w:szCs w:val="20"/>
              </w:rPr>
            </w:pPr>
          </w:p>
        </w:tc>
      </w:tr>
      <w:tr w:rsidR="00360D5D" w14:paraId="436379ED" w14:textId="77777777" w:rsidTr="00360D5D">
        <w:tc>
          <w:tcPr>
            <w:cnfStyle w:val="001000000000" w:firstRow="0" w:lastRow="0" w:firstColumn="1" w:lastColumn="0" w:oddVBand="0" w:evenVBand="0" w:oddHBand="0" w:evenHBand="0" w:firstRowFirstColumn="0" w:firstRowLastColumn="0" w:lastRowFirstColumn="0" w:lastRowLastColumn="0"/>
            <w:tcW w:w="1117" w:type="dxa"/>
          </w:tcPr>
          <w:p w14:paraId="58EED404" w14:textId="5A495EA0" w:rsidR="00600159" w:rsidRPr="006E0027" w:rsidRDefault="00600159" w:rsidP="00600159">
            <w:pPr>
              <w:rPr>
                <w:rFonts w:ascii="Aptos" w:eastAsia="Aptos" w:hAnsi="Aptos" w:cs="Aptos"/>
                <w:bCs w:val="0"/>
                <w:color w:val="000000" w:themeColor="text1"/>
                <w:szCs w:val="20"/>
              </w:rPr>
            </w:pPr>
            <w:r w:rsidRPr="006E0027">
              <w:rPr>
                <w:rFonts w:ascii="Aptos" w:eastAsia="Aptos" w:hAnsi="Aptos" w:cs="Aptos"/>
                <w:bCs w:val="0"/>
                <w:color w:val="000000" w:themeColor="text1"/>
                <w:szCs w:val="20"/>
              </w:rPr>
              <w:lastRenderedPageBreak/>
              <w:t>34)</w:t>
            </w:r>
          </w:p>
        </w:tc>
        <w:tc>
          <w:tcPr>
            <w:tcW w:w="6249" w:type="dxa"/>
          </w:tcPr>
          <w:p w14:paraId="5D4883CE" w14:textId="4BBFFEAF"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hAnsi="Aptos"/>
                <w:bCs/>
                <w:szCs w:val="20"/>
              </w:rPr>
            </w:pPr>
            <w:r w:rsidRPr="006E0027">
              <w:rPr>
                <w:rFonts w:ascii="Aptos" w:hAnsi="Aptos"/>
                <w:bCs/>
                <w:szCs w:val="20"/>
              </w:rPr>
              <w:t>Within 20 business days after the completion of the Action, and, in any event, before this approval expires, the approval holder must notify the department electronically of the date of completion of the Action and provide completion data. The approval holder must submit any spatial data that comprises completion data as a shapefile.</w:t>
            </w:r>
          </w:p>
        </w:tc>
        <w:tc>
          <w:tcPr>
            <w:tcW w:w="1560" w:type="dxa"/>
          </w:tcPr>
          <w:p w14:paraId="41F55452" w14:textId="1F9A6242" w:rsidR="00600159" w:rsidRPr="006E0027" w:rsidRDefault="00600159" w:rsidP="00600159">
            <w:pPr>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r w:rsidRPr="006E0027">
              <w:rPr>
                <w:rFonts w:ascii="Aptos" w:eastAsia="Aptos" w:hAnsi="Aptos" w:cs="Aptos"/>
                <w:bCs/>
                <w:color w:val="000000" w:themeColor="text1"/>
                <w:szCs w:val="20"/>
              </w:rPr>
              <w:t xml:space="preserve">Not applicable </w:t>
            </w:r>
          </w:p>
        </w:tc>
        <w:tc>
          <w:tcPr>
            <w:tcW w:w="5190" w:type="dxa"/>
          </w:tcPr>
          <w:p w14:paraId="00B839EC" w14:textId="77777777" w:rsidR="00600159" w:rsidRPr="006E0027" w:rsidRDefault="00600159" w:rsidP="00600159">
            <w:pPr>
              <w:spacing w:after="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
                <w:bCs/>
                <w:color w:val="000000" w:themeColor="text1"/>
                <w:szCs w:val="20"/>
              </w:rPr>
            </w:pPr>
            <w:r w:rsidRPr="006E0027">
              <w:rPr>
                <w:rFonts w:ascii="Aptos" w:eastAsia="Aptos" w:hAnsi="Aptos" w:cs="Aptos"/>
                <w:bCs/>
                <w:color w:val="000000" w:themeColor="text1"/>
                <w:szCs w:val="20"/>
              </w:rPr>
              <w:t>The action has not been completed.</w:t>
            </w:r>
          </w:p>
          <w:p w14:paraId="7BB0A97F" w14:textId="77777777" w:rsidR="00600159" w:rsidRPr="006E0027" w:rsidRDefault="00600159" w:rsidP="00600159">
            <w:pPr>
              <w:spacing w:after="0" w:line="276"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bCs/>
                <w:color w:val="000000" w:themeColor="text1"/>
                <w:szCs w:val="20"/>
              </w:rPr>
            </w:pPr>
          </w:p>
        </w:tc>
      </w:tr>
      <w:bookmarkEnd w:id="25"/>
      <w:bookmarkEnd w:id="39"/>
      <w:bookmarkEnd w:id="40"/>
      <w:bookmarkEnd w:id="41"/>
      <w:bookmarkEnd w:id="42"/>
    </w:tbl>
    <w:p w14:paraId="14927003" w14:textId="7BA1D984" w:rsidR="00A85CF1" w:rsidRDefault="00A85CF1" w:rsidP="00A85CF1">
      <w:pPr>
        <w:spacing w:before="0" w:after="160" w:line="259" w:lineRule="auto"/>
      </w:pPr>
    </w:p>
    <w:sectPr w:rsidR="00A85CF1" w:rsidSect="003823A6">
      <w:headerReference w:type="default" r:id="rId45"/>
      <w:footerReference w:type="default" r:id="rId46"/>
      <w:pgSz w:w="16838" w:h="11906" w:orient="landscape"/>
      <w:pgMar w:top="1440" w:right="1276"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75A6" w14:textId="77777777" w:rsidR="009842A8" w:rsidRDefault="009842A8" w:rsidP="00B251DB">
      <w:pPr>
        <w:spacing w:after="0"/>
      </w:pPr>
      <w:r>
        <w:separator/>
      </w:r>
    </w:p>
  </w:endnote>
  <w:endnote w:type="continuationSeparator" w:id="0">
    <w:p w14:paraId="4F71F485" w14:textId="77777777" w:rsidR="009842A8" w:rsidRDefault="009842A8" w:rsidP="00B251DB">
      <w:pPr>
        <w:spacing w:after="0"/>
      </w:pPr>
      <w:r>
        <w:continuationSeparator/>
      </w:r>
    </w:p>
  </w:endnote>
  <w:endnote w:type="continuationNotice" w:id="1">
    <w:p w14:paraId="611CEE24" w14:textId="77777777" w:rsidR="009842A8" w:rsidRDefault="009842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1682" w14:textId="4BA3DE2F" w:rsidR="0035140F" w:rsidRPr="00EB2522" w:rsidRDefault="00992AEE" w:rsidP="0035140F">
    <w:pPr>
      <w:pStyle w:val="Footer"/>
      <w:rPr>
        <w:color w:val="001B35" w:themeColor="background2"/>
      </w:rPr>
    </w:pPr>
    <w:r>
      <w:rPr>
        <w:rFonts w:ascii="Calibri" w:eastAsiaTheme="minorEastAsia" w:hAnsi="Calibri" w:cs="Calibri"/>
        <w:sz w:val="22"/>
        <w:lang w:val="en-US" w:eastAsia="ja-JP"/>
      </w:rPr>
      <w:t>Northern Endeavour Phase 1 Decommissioning (EPBC 2022/09327)</w:t>
    </w:r>
    <w:r w:rsidR="00BD0F8A" w:rsidRPr="00EB2522">
      <w:rPr>
        <w:color w:val="001B35" w:themeColor="background2"/>
      </w:rPr>
      <w:tab/>
    </w:r>
  </w:p>
  <w:p w14:paraId="7C8D2295" w14:textId="5E1CA834" w:rsidR="00D27B99" w:rsidRDefault="0035140F" w:rsidP="0035140F">
    <w:pPr>
      <w:pStyle w:val="Footer"/>
      <w:tabs>
        <w:tab w:val="clear" w:pos="4513"/>
      </w:tabs>
      <w:rPr>
        <w:noProof/>
      </w:rPr>
    </w:pPr>
    <w:r w:rsidRPr="00EB2522">
      <w:rPr>
        <w:b/>
        <w:bCs/>
        <w:color w:val="0766A5" w:themeColor="accent1"/>
      </w:rPr>
      <w:t xml:space="preserve">| </w:t>
    </w:r>
    <w:r w:rsidR="00BD0F8A" w:rsidRPr="00EB2522">
      <w:rPr>
        <w:b/>
        <w:bCs/>
        <w:color w:val="001B35" w:themeColor="background2"/>
      </w:rPr>
      <w:t>industry.</w:t>
    </w:r>
    <w:r w:rsidR="00BD0F8A" w:rsidRPr="00EB2522">
      <w:rPr>
        <w:color w:val="001B35" w:themeColor="background2"/>
      </w:rPr>
      <w:t>gov.au</w:t>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p w14:paraId="4D74B885" w14:textId="338D0C42" w:rsidR="00BD0F8A" w:rsidRPr="00960D98" w:rsidRDefault="00CB0637" w:rsidP="0035140F">
    <w:pPr>
      <w:pStyle w:val="Footer"/>
      <w:jc w:val="center"/>
      <w:rPr>
        <w:b/>
        <w:color w:val="CC0000"/>
        <w:sz w:val="24"/>
        <w:szCs w:val="24"/>
      </w:rPr>
    </w:pPr>
    <w:r>
      <w:rPr>
        <w:b/>
        <w:color w:val="CC0000"/>
        <w:sz w:val="24"/>
        <w:szCs w:val="24"/>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8F7B" w14:textId="4F4098D8" w:rsidR="004A7856" w:rsidRPr="004A7856" w:rsidRDefault="00CB0637" w:rsidP="004A7856">
    <w:pPr>
      <w:pStyle w:val="Footer"/>
      <w:jc w:val="center"/>
      <w:rPr>
        <w:b/>
        <w:color w:val="CC0000"/>
        <w:sz w:val="24"/>
        <w:szCs w:val="24"/>
      </w:rPr>
    </w:pPr>
    <w:r>
      <w:rPr>
        <w:b/>
        <w:color w:val="CC0000"/>
        <w:sz w:val="24"/>
        <w:szCs w:val="24"/>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051398"/>
      <w:docPartObj>
        <w:docPartGallery w:val="Page Numbers (Bottom of Page)"/>
        <w:docPartUnique/>
      </w:docPartObj>
    </w:sdtPr>
    <w:sdtEndPr>
      <w:rPr>
        <w:noProof/>
      </w:rPr>
    </w:sdtEndPr>
    <w:sdtContent>
      <w:p w14:paraId="33F2C1D0" w14:textId="6469B4D8" w:rsidR="003823A6" w:rsidRPr="00EB2522" w:rsidRDefault="00992AEE" w:rsidP="003823A6">
        <w:pPr>
          <w:pStyle w:val="Footer"/>
          <w:rPr>
            <w:color w:val="001B35" w:themeColor="background2"/>
          </w:rPr>
        </w:pPr>
        <w:r>
          <w:rPr>
            <w:color w:val="001B35" w:themeColor="background2"/>
          </w:rPr>
          <w:t>Northern Endeavour Phase 1 Decommissioning (EPBC 2022/09327)</w:t>
        </w:r>
        <w:r w:rsidR="003823A6" w:rsidRPr="00EB2522">
          <w:rPr>
            <w:color w:val="001B35" w:themeColor="background2"/>
          </w:rPr>
          <w:tab/>
        </w:r>
      </w:p>
      <w:p w14:paraId="03020B54" w14:textId="5A0612E6" w:rsidR="003823A6" w:rsidRDefault="003823A6" w:rsidP="003823A6">
        <w:pPr>
          <w:pStyle w:val="Footer"/>
          <w:tabs>
            <w:tab w:val="clear" w:pos="4513"/>
            <w:tab w:val="clear" w:pos="9026"/>
            <w:tab w:val="left" w:pos="8789"/>
          </w:tabs>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Pr>
            <w:color w:val="001B35" w:themeColor="background2"/>
          </w:rPr>
          <w:t xml:space="preserve"> </w:t>
        </w:r>
        <w:r>
          <w:rPr>
            <w:color w:val="001B35" w:themeColor="background2"/>
          </w:rPr>
          <w:tab/>
        </w:r>
        <w:r>
          <w:fldChar w:fldCharType="begin"/>
        </w:r>
        <w:r>
          <w:instrText xml:space="preserve"> PAGE   \* MERGEFORMAT </w:instrText>
        </w:r>
        <w:r>
          <w:fldChar w:fldCharType="separate"/>
        </w:r>
        <w:r>
          <w:t>1</w:t>
        </w:r>
        <w:r>
          <w:rPr>
            <w:noProof/>
          </w:rPr>
          <w:fldChar w:fldCharType="end"/>
        </w:r>
      </w:p>
      <w:p w14:paraId="3A7AE14F" w14:textId="3B3CCDB5" w:rsidR="00DD41C7" w:rsidRPr="00960D98" w:rsidRDefault="003823A6" w:rsidP="003823A6">
        <w:pPr>
          <w:pStyle w:val="Footer"/>
          <w:jc w:val="center"/>
          <w:rPr>
            <w:b/>
            <w:color w:val="CC0000"/>
            <w:sz w:val="24"/>
            <w:szCs w:val="24"/>
          </w:rPr>
        </w:pPr>
        <w:r>
          <w:rPr>
            <w:b/>
            <w:color w:val="CC0000"/>
            <w:sz w:val="24"/>
            <w:szCs w:val="24"/>
          </w:rPr>
          <w:t>OFFICIAL</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22655"/>
      <w:docPartObj>
        <w:docPartGallery w:val="Page Numbers (Bottom of Page)"/>
        <w:docPartUnique/>
      </w:docPartObj>
    </w:sdtPr>
    <w:sdtEndPr>
      <w:rPr>
        <w:noProof/>
      </w:rPr>
    </w:sdtEndPr>
    <w:sdtContent>
      <w:p w14:paraId="02731190" w14:textId="601C98D3" w:rsidR="00C34D7D" w:rsidRPr="00EB2522" w:rsidRDefault="00C34D7D" w:rsidP="00C34D7D">
        <w:pPr>
          <w:pStyle w:val="Footer"/>
          <w:tabs>
            <w:tab w:val="clear" w:pos="9026"/>
            <w:tab w:val="right" w:pos="14034"/>
          </w:tabs>
          <w:rPr>
            <w:color w:val="001B35" w:themeColor="background2"/>
          </w:rPr>
        </w:pPr>
        <w:r>
          <w:rPr>
            <w:color w:val="001B35" w:themeColor="background2"/>
          </w:rPr>
          <w:t>Northern Endeavour Phase 1 Decommissioning (EPBC 2022/09327)</w:t>
        </w:r>
        <w:r w:rsidRPr="00EB2522">
          <w:rPr>
            <w:color w:val="001B35" w:themeColor="background2"/>
          </w:rPr>
          <w:tab/>
        </w:r>
      </w:p>
      <w:p w14:paraId="137567FB" w14:textId="77777777" w:rsidR="00C34D7D" w:rsidRDefault="00C34D7D" w:rsidP="00C34D7D">
        <w:pPr>
          <w:pStyle w:val="Footer"/>
          <w:tabs>
            <w:tab w:val="clear" w:pos="4513"/>
            <w:tab w:val="clear" w:pos="9026"/>
            <w:tab w:val="left" w:pos="13892"/>
          </w:tabs>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Pr>
            <w:color w:val="001B35" w:themeColor="background2"/>
          </w:rPr>
          <w:t xml:space="preserve"> </w:t>
        </w:r>
        <w:r>
          <w:rPr>
            <w:color w:val="001B35" w:themeColor="background2"/>
          </w:rPr>
          <w:tab/>
        </w:r>
        <w:r>
          <w:fldChar w:fldCharType="begin"/>
        </w:r>
        <w:r>
          <w:instrText xml:space="preserve"> PAGE   \* MERGEFORMAT </w:instrText>
        </w:r>
        <w:r>
          <w:fldChar w:fldCharType="separate"/>
        </w:r>
        <w:r>
          <w:t>1</w:t>
        </w:r>
        <w:r>
          <w:rPr>
            <w:noProof/>
          </w:rPr>
          <w:fldChar w:fldCharType="end"/>
        </w:r>
      </w:p>
      <w:p w14:paraId="71DFC151" w14:textId="77777777" w:rsidR="00C34D7D" w:rsidRPr="00960D98" w:rsidRDefault="00C34D7D" w:rsidP="003823A6">
        <w:pPr>
          <w:pStyle w:val="Footer"/>
          <w:jc w:val="center"/>
          <w:rPr>
            <w:b/>
            <w:color w:val="CC0000"/>
            <w:sz w:val="24"/>
            <w:szCs w:val="24"/>
          </w:rPr>
        </w:pPr>
        <w:r>
          <w:rPr>
            <w:b/>
            <w:color w:val="CC0000"/>
            <w:sz w:val="24"/>
            <w:szCs w:val="24"/>
          </w:rPr>
          <w:t>OFFICIAL</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41520"/>
      <w:docPartObj>
        <w:docPartGallery w:val="Page Numbers (Bottom of Page)"/>
        <w:docPartUnique/>
      </w:docPartObj>
    </w:sdtPr>
    <w:sdtEndPr>
      <w:rPr>
        <w:noProof/>
      </w:rPr>
    </w:sdtEndPr>
    <w:sdtContent>
      <w:p w14:paraId="54482CE2" w14:textId="0F60BC56" w:rsidR="00C34D7D" w:rsidRPr="00EB2522" w:rsidRDefault="00C34D7D" w:rsidP="00C34D7D">
        <w:pPr>
          <w:pStyle w:val="Footer"/>
          <w:tabs>
            <w:tab w:val="clear" w:pos="9026"/>
            <w:tab w:val="left" w:pos="8789"/>
          </w:tabs>
          <w:rPr>
            <w:color w:val="001B35" w:themeColor="background2"/>
          </w:rPr>
        </w:pPr>
        <w:r>
          <w:rPr>
            <w:color w:val="001B35" w:themeColor="background2"/>
          </w:rPr>
          <w:t>Northern Endeavour Phase 1 Decommissioning (EPBC 2022/09327)</w:t>
        </w:r>
        <w:r w:rsidRPr="00EB2522">
          <w:rPr>
            <w:color w:val="001B35" w:themeColor="background2"/>
          </w:rPr>
          <w:tab/>
        </w:r>
      </w:p>
      <w:p w14:paraId="6FEECEC3" w14:textId="305E69E7" w:rsidR="00C34D7D" w:rsidRPr="00F01D97" w:rsidRDefault="00C34D7D" w:rsidP="00F01D97">
        <w:pPr>
          <w:pStyle w:val="Footer"/>
          <w:tabs>
            <w:tab w:val="clear" w:pos="4513"/>
            <w:tab w:val="clear" w:pos="9026"/>
            <w:tab w:val="left" w:pos="8647"/>
          </w:tabs>
          <w:rPr>
            <w:color w:val="001B35" w:themeColor="background2"/>
          </w:rPr>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sidR="00F01D97">
          <w:rPr>
            <w:color w:val="001B35" w:themeColor="background2"/>
          </w:rPr>
          <w:t xml:space="preserve"> </w:t>
        </w:r>
        <w:r w:rsidR="00F01D97">
          <w:rPr>
            <w:color w:val="001B35" w:themeColor="background2"/>
          </w:rPr>
          <w:tab/>
        </w:r>
        <w:r>
          <w:fldChar w:fldCharType="begin"/>
        </w:r>
        <w:r>
          <w:instrText xml:space="preserve"> PAGE   \* MERGEFORMAT </w:instrText>
        </w:r>
        <w:r>
          <w:fldChar w:fldCharType="separate"/>
        </w:r>
        <w:r>
          <w:t>1</w:t>
        </w:r>
        <w:r>
          <w:rPr>
            <w:noProof/>
          </w:rPr>
          <w:fldChar w:fldCharType="end"/>
        </w:r>
      </w:p>
      <w:p w14:paraId="47E64F56" w14:textId="77777777" w:rsidR="00C34D7D" w:rsidRPr="00960D98" w:rsidRDefault="00C34D7D" w:rsidP="003823A6">
        <w:pPr>
          <w:pStyle w:val="Footer"/>
          <w:jc w:val="center"/>
          <w:rPr>
            <w:b/>
            <w:color w:val="CC0000"/>
            <w:sz w:val="24"/>
            <w:szCs w:val="24"/>
          </w:rPr>
        </w:pPr>
        <w:r>
          <w:rPr>
            <w:b/>
            <w:color w:val="CC0000"/>
            <w:sz w:val="24"/>
            <w:szCs w:val="24"/>
          </w:rPr>
          <w:t>OFFICIAL</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813774"/>
      <w:docPartObj>
        <w:docPartGallery w:val="Page Numbers (Bottom of Page)"/>
        <w:docPartUnique/>
      </w:docPartObj>
    </w:sdtPr>
    <w:sdtEndPr>
      <w:rPr>
        <w:noProof/>
      </w:rPr>
    </w:sdtEndPr>
    <w:sdtContent>
      <w:p w14:paraId="792AA713" w14:textId="01ED5938" w:rsidR="005A0F0F" w:rsidRPr="00EB2522" w:rsidRDefault="00992AEE" w:rsidP="005A0F0F">
        <w:pPr>
          <w:pStyle w:val="Footer"/>
          <w:tabs>
            <w:tab w:val="clear" w:pos="9026"/>
            <w:tab w:val="right" w:pos="14034"/>
          </w:tabs>
          <w:rPr>
            <w:color w:val="001B35" w:themeColor="background2"/>
          </w:rPr>
        </w:pPr>
        <w:r>
          <w:rPr>
            <w:color w:val="001B35" w:themeColor="background2"/>
          </w:rPr>
          <w:t>Northern Endeavour Phase 1 Decommissioning (EPBC 2022/09327)</w:t>
        </w:r>
        <w:r w:rsidR="005A0F0F" w:rsidRPr="00EB2522">
          <w:rPr>
            <w:color w:val="001B35" w:themeColor="background2"/>
          </w:rPr>
          <w:tab/>
        </w:r>
      </w:p>
      <w:p w14:paraId="74586AED" w14:textId="77777777" w:rsidR="005A0F0F" w:rsidRDefault="005A0F0F" w:rsidP="005A0F0F">
        <w:pPr>
          <w:pStyle w:val="Footer"/>
          <w:tabs>
            <w:tab w:val="clear" w:pos="4513"/>
            <w:tab w:val="clear" w:pos="9026"/>
            <w:tab w:val="left" w:pos="13892"/>
          </w:tabs>
        </w:pPr>
        <w:r w:rsidRPr="00EB2522">
          <w:rPr>
            <w:b/>
            <w:bCs/>
            <w:color w:val="0766A5" w:themeColor="accent1"/>
          </w:rPr>
          <w:t>|</w:t>
        </w:r>
        <w:r w:rsidRPr="0035140F">
          <w:rPr>
            <w:b/>
            <w:bCs/>
            <w:color w:val="0766A5" w:themeColor="accent1"/>
          </w:rPr>
          <w:t xml:space="preserve"> </w:t>
        </w:r>
        <w:r w:rsidRPr="00EB2522">
          <w:rPr>
            <w:b/>
            <w:bCs/>
            <w:color w:val="001B35" w:themeColor="background2"/>
          </w:rPr>
          <w:t>industry.</w:t>
        </w:r>
        <w:r w:rsidRPr="00EB2522">
          <w:rPr>
            <w:color w:val="001B35" w:themeColor="background2"/>
          </w:rPr>
          <w:t>gov.au</w:t>
        </w:r>
        <w:r>
          <w:rPr>
            <w:color w:val="001B35" w:themeColor="background2"/>
          </w:rPr>
          <w:t xml:space="preserve"> </w:t>
        </w:r>
        <w:r>
          <w:rPr>
            <w:color w:val="001B35" w:themeColor="background2"/>
          </w:rPr>
          <w:tab/>
        </w:r>
        <w:r>
          <w:fldChar w:fldCharType="begin"/>
        </w:r>
        <w:r>
          <w:instrText xml:space="preserve"> PAGE   \* MERGEFORMAT </w:instrText>
        </w:r>
        <w:r>
          <w:fldChar w:fldCharType="separate"/>
        </w:r>
        <w:r>
          <w:t>1</w:t>
        </w:r>
        <w:r>
          <w:rPr>
            <w:noProof/>
          </w:rPr>
          <w:fldChar w:fldCharType="end"/>
        </w:r>
      </w:p>
      <w:p w14:paraId="7F0AFD01" w14:textId="77777777" w:rsidR="005A0F0F" w:rsidRPr="00960D98" w:rsidRDefault="005A0F0F" w:rsidP="003823A6">
        <w:pPr>
          <w:pStyle w:val="Footer"/>
          <w:jc w:val="center"/>
          <w:rPr>
            <w:b/>
            <w:color w:val="CC0000"/>
            <w:sz w:val="24"/>
            <w:szCs w:val="24"/>
          </w:rPr>
        </w:pPr>
        <w:r>
          <w:rPr>
            <w:b/>
            <w:color w:val="CC0000"/>
            <w:sz w:val="24"/>
            <w:szCs w:val="24"/>
          </w:rPr>
          <w:t>OFFICIAL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2544" w14:textId="77777777" w:rsidR="009842A8" w:rsidRDefault="009842A8" w:rsidP="00B251DB">
      <w:pPr>
        <w:spacing w:after="0"/>
      </w:pPr>
      <w:r>
        <w:separator/>
      </w:r>
    </w:p>
  </w:footnote>
  <w:footnote w:type="continuationSeparator" w:id="0">
    <w:p w14:paraId="4F711E8A" w14:textId="77777777" w:rsidR="009842A8" w:rsidRDefault="009842A8" w:rsidP="00B251DB">
      <w:pPr>
        <w:spacing w:after="0"/>
      </w:pPr>
      <w:r>
        <w:continuationSeparator/>
      </w:r>
    </w:p>
  </w:footnote>
  <w:footnote w:type="continuationNotice" w:id="1">
    <w:p w14:paraId="36F04927" w14:textId="77777777" w:rsidR="009842A8" w:rsidRDefault="009842A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8656" w14:textId="4BC341E9" w:rsidR="003A0E7F" w:rsidRPr="00960D98" w:rsidRDefault="00CB0637" w:rsidP="00960D98">
    <w:pPr>
      <w:pStyle w:val="Footer"/>
      <w:jc w:val="center"/>
      <w:rPr>
        <w:b/>
        <w:color w:val="CC0000"/>
        <w:sz w:val="24"/>
        <w:szCs w:val="24"/>
      </w:rPr>
    </w:pPr>
    <w:r>
      <w:rPr>
        <w:b/>
        <w:color w:val="CC0000"/>
        <w:sz w:val="24"/>
        <w:szCs w:val="24"/>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4F9E" w14:textId="77777777" w:rsidR="009830D1" w:rsidRDefault="00EB2522">
    <w:pPr>
      <w:pStyle w:val="Header"/>
    </w:pPr>
    <w:r w:rsidRPr="009830D1">
      <w:rPr>
        <w:noProof/>
      </w:rPr>
      <mc:AlternateContent>
        <mc:Choice Requires="wps">
          <w:drawing>
            <wp:anchor distT="0" distB="0" distL="114300" distR="114300" simplePos="0" relativeHeight="251658240" behindDoc="0" locked="0" layoutInCell="1" allowOverlap="1" wp14:anchorId="216590CB" wp14:editId="50707D15">
              <wp:simplePos x="0" y="0"/>
              <wp:positionH relativeFrom="page">
                <wp:posOffset>0</wp:posOffset>
              </wp:positionH>
              <wp:positionV relativeFrom="page">
                <wp:posOffset>0</wp:posOffset>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5FAE0F" id="Rectangle 12" o:spid="_x0000_s1026" alt="&quot;&quot;" style="position:absolute;margin-left:0;margin-top:0;width:154.5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" path="m,l2332168,r-65527,196581l,336570,,xe" fillcolor="#0766a5 [3204]" stroked="f" strokeweight="1pt">
              <v:stroke joinstyle="miter"/>
              <v:path arrowok="t" o:connecttype="custom" o:connectlocs="0,0;1962000,0;1906874,166110;0,284400;0,0" o:connectangles="0,0,0,0,0"/>
              <w10:wrap anchorx="page" anchory="page"/>
            </v:shape>
          </w:pict>
        </mc:Fallback>
      </mc:AlternateContent>
    </w:r>
    <w:r w:rsidR="009830D1" w:rsidRPr="009830D1">
      <w:rPr>
        <w:noProof/>
      </w:rPr>
      <w:drawing>
        <wp:anchor distT="0" distB="0" distL="114300" distR="114300" simplePos="0" relativeHeight="251658241" behindDoc="1" locked="0" layoutInCell="1" allowOverlap="1" wp14:anchorId="067B7775" wp14:editId="49A27B66">
          <wp:simplePos x="0" y="0"/>
          <wp:positionH relativeFrom="page">
            <wp:posOffset>3669030</wp:posOffset>
          </wp:positionH>
          <wp:positionV relativeFrom="page">
            <wp:posOffset>0</wp:posOffset>
          </wp:positionV>
          <wp:extent cx="3891600" cy="1843200"/>
          <wp:effectExtent l="0" t="0" r="0" b="5080"/>
          <wp:wrapNone/>
          <wp:docPr id="1142558408" name="Graphic 1142558408">
            <a:extLst xmlns:a="http://schemas.openxmlformats.org/drawingml/2006/main">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263"/>
                  <a:stretch/>
                </pic:blipFill>
                <pic:spPr>
                  <a:xfrm>
                    <a:off x="0" y="0"/>
                    <a:ext cx="38916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97DA6C" w14:paraId="0EAF4642" w14:textId="77777777" w:rsidTr="00C816D9">
      <w:trPr>
        <w:trHeight w:val="300"/>
      </w:trPr>
      <w:tc>
        <w:tcPr>
          <w:tcW w:w="3005" w:type="dxa"/>
        </w:tcPr>
        <w:p w14:paraId="2DAC7DA4" w14:textId="48B2A6D7" w:rsidR="1997DA6C" w:rsidRDefault="1997DA6C" w:rsidP="00C816D9">
          <w:pPr>
            <w:pStyle w:val="Header"/>
            <w:ind w:left="-115"/>
          </w:pPr>
        </w:p>
      </w:tc>
      <w:tc>
        <w:tcPr>
          <w:tcW w:w="3005" w:type="dxa"/>
        </w:tcPr>
        <w:p w14:paraId="1457769D" w14:textId="3C501A75" w:rsidR="1997DA6C" w:rsidRDefault="1997DA6C" w:rsidP="00C816D9">
          <w:pPr>
            <w:pStyle w:val="Header"/>
            <w:jc w:val="center"/>
          </w:pPr>
        </w:p>
      </w:tc>
      <w:tc>
        <w:tcPr>
          <w:tcW w:w="3005" w:type="dxa"/>
        </w:tcPr>
        <w:p w14:paraId="2F1AB857" w14:textId="3B8C8859" w:rsidR="1997DA6C" w:rsidRDefault="1997DA6C" w:rsidP="00C816D9">
          <w:pPr>
            <w:pStyle w:val="Header"/>
            <w:ind w:right="-115"/>
            <w:jc w:val="right"/>
          </w:pPr>
        </w:p>
      </w:tc>
    </w:tr>
  </w:tbl>
  <w:p w14:paraId="17FA222D" w14:textId="045A8854" w:rsidR="00992AEE" w:rsidRDefault="00992A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97DA6C" w14:paraId="2D60F950" w14:textId="77777777" w:rsidTr="00C816D9">
      <w:trPr>
        <w:trHeight w:val="300"/>
      </w:trPr>
      <w:tc>
        <w:tcPr>
          <w:tcW w:w="3005" w:type="dxa"/>
        </w:tcPr>
        <w:p w14:paraId="23F03920" w14:textId="0C940604" w:rsidR="1997DA6C" w:rsidRDefault="1997DA6C" w:rsidP="00C816D9">
          <w:pPr>
            <w:pStyle w:val="Header"/>
            <w:ind w:left="-115"/>
          </w:pPr>
        </w:p>
      </w:tc>
      <w:tc>
        <w:tcPr>
          <w:tcW w:w="3005" w:type="dxa"/>
        </w:tcPr>
        <w:p w14:paraId="212502B4" w14:textId="49F6AA39" w:rsidR="1997DA6C" w:rsidRDefault="1997DA6C" w:rsidP="00C816D9">
          <w:pPr>
            <w:pStyle w:val="Header"/>
            <w:jc w:val="center"/>
          </w:pPr>
        </w:p>
      </w:tc>
      <w:tc>
        <w:tcPr>
          <w:tcW w:w="3005" w:type="dxa"/>
        </w:tcPr>
        <w:p w14:paraId="7B49A4AF" w14:textId="794E0CF0" w:rsidR="1997DA6C" w:rsidRDefault="1997DA6C" w:rsidP="00C816D9">
          <w:pPr>
            <w:pStyle w:val="Header"/>
            <w:ind w:right="-115"/>
            <w:jc w:val="right"/>
          </w:pPr>
        </w:p>
      </w:tc>
    </w:tr>
  </w:tbl>
  <w:p w14:paraId="452DE44A" w14:textId="6B164D6E" w:rsidR="00992AEE" w:rsidRDefault="00992A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97DA6C" w14:paraId="5583DDFE" w14:textId="77777777" w:rsidTr="00C816D9">
      <w:trPr>
        <w:trHeight w:val="300"/>
      </w:trPr>
      <w:tc>
        <w:tcPr>
          <w:tcW w:w="3005" w:type="dxa"/>
        </w:tcPr>
        <w:p w14:paraId="69C365F8" w14:textId="6196B2BB" w:rsidR="1997DA6C" w:rsidRDefault="1997DA6C" w:rsidP="00C816D9">
          <w:pPr>
            <w:pStyle w:val="Header"/>
            <w:ind w:left="-115"/>
          </w:pPr>
        </w:p>
      </w:tc>
      <w:tc>
        <w:tcPr>
          <w:tcW w:w="3005" w:type="dxa"/>
        </w:tcPr>
        <w:p w14:paraId="3AEB0562" w14:textId="2EF39200" w:rsidR="1997DA6C" w:rsidRDefault="1997DA6C" w:rsidP="00C816D9">
          <w:pPr>
            <w:pStyle w:val="Header"/>
            <w:jc w:val="center"/>
          </w:pPr>
        </w:p>
      </w:tc>
      <w:tc>
        <w:tcPr>
          <w:tcW w:w="3005" w:type="dxa"/>
        </w:tcPr>
        <w:p w14:paraId="780C0083" w14:textId="419B2A5E" w:rsidR="1997DA6C" w:rsidRDefault="1997DA6C" w:rsidP="00C816D9">
          <w:pPr>
            <w:pStyle w:val="Header"/>
            <w:ind w:right="-115"/>
            <w:jc w:val="right"/>
          </w:pPr>
        </w:p>
      </w:tc>
    </w:tr>
  </w:tbl>
  <w:p w14:paraId="4E0D09AF" w14:textId="2E610771" w:rsidR="00992AEE" w:rsidRDefault="00992A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97DA6C" w14:paraId="745E9D07" w14:textId="77777777" w:rsidTr="00C816D9">
      <w:trPr>
        <w:trHeight w:val="300"/>
      </w:trPr>
      <w:tc>
        <w:tcPr>
          <w:tcW w:w="3005" w:type="dxa"/>
        </w:tcPr>
        <w:p w14:paraId="1F240665" w14:textId="63073411" w:rsidR="1997DA6C" w:rsidRDefault="1997DA6C" w:rsidP="00C816D9">
          <w:pPr>
            <w:pStyle w:val="Header"/>
            <w:ind w:left="-115"/>
          </w:pPr>
        </w:p>
      </w:tc>
      <w:tc>
        <w:tcPr>
          <w:tcW w:w="3005" w:type="dxa"/>
        </w:tcPr>
        <w:p w14:paraId="5D03F943" w14:textId="12C6AAA0" w:rsidR="1997DA6C" w:rsidRDefault="1997DA6C" w:rsidP="00C816D9">
          <w:pPr>
            <w:pStyle w:val="Header"/>
            <w:jc w:val="center"/>
          </w:pPr>
        </w:p>
      </w:tc>
      <w:tc>
        <w:tcPr>
          <w:tcW w:w="3005" w:type="dxa"/>
        </w:tcPr>
        <w:p w14:paraId="2E1EC878" w14:textId="173E607D" w:rsidR="1997DA6C" w:rsidRDefault="1997DA6C" w:rsidP="00C816D9">
          <w:pPr>
            <w:pStyle w:val="Header"/>
            <w:ind w:right="-115"/>
            <w:jc w:val="right"/>
          </w:pPr>
        </w:p>
      </w:tc>
    </w:tr>
  </w:tbl>
  <w:p w14:paraId="5E973954" w14:textId="420C9BFA" w:rsidR="00992AEE" w:rsidRDefault="00992A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1997DA6C" w14:paraId="0541A0AE" w14:textId="77777777" w:rsidTr="00C816D9">
      <w:trPr>
        <w:trHeight w:val="300"/>
      </w:trPr>
      <w:tc>
        <w:tcPr>
          <w:tcW w:w="4705" w:type="dxa"/>
        </w:tcPr>
        <w:p w14:paraId="6742E7E8" w14:textId="351561AE" w:rsidR="1997DA6C" w:rsidRDefault="1997DA6C" w:rsidP="00C816D9">
          <w:pPr>
            <w:pStyle w:val="Header"/>
            <w:ind w:left="-115"/>
          </w:pPr>
        </w:p>
      </w:tc>
      <w:tc>
        <w:tcPr>
          <w:tcW w:w="4705" w:type="dxa"/>
        </w:tcPr>
        <w:p w14:paraId="05D4E9BD" w14:textId="58E24C67" w:rsidR="1997DA6C" w:rsidRDefault="1997DA6C" w:rsidP="00C816D9">
          <w:pPr>
            <w:pStyle w:val="Header"/>
            <w:jc w:val="center"/>
          </w:pPr>
        </w:p>
      </w:tc>
      <w:tc>
        <w:tcPr>
          <w:tcW w:w="4705" w:type="dxa"/>
        </w:tcPr>
        <w:p w14:paraId="6302BA00" w14:textId="27386100" w:rsidR="1997DA6C" w:rsidRDefault="1997DA6C" w:rsidP="00C816D9">
          <w:pPr>
            <w:pStyle w:val="Header"/>
            <w:ind w:right="-115"/>
            <w:jc w:val="right"/>
          </w:pPr>
        </w:p>
      </w:tc>
    </w:tr>
  </w:tbl>
  <w:p w14:paraId="65343C48" w14:textId="4A8DDE9D" w:rsidR="00992AEE" w:rsidRDefault="00992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A2B10"/>
    <w:multiLevelType w:val="hybridMultilevel"/>
    <w:tmpl w:val="7E52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7537E"/>
    <w:multiLevelType w:val="hybridMultilevel"/>
    <w:tmpl w:val="8A72B20E"/>
    <w:lvl w:ilvl="0" w:tplc="0C090019">
      <w:start w:val="1"/>
      <w:numFmt w:val="lowerLetter"/>
      <w:lvlText w:val="%1."/>
      <w:lvlJc w:val="left"/>
      <w:pPr>
        <w:ind w:left="567" w:hanging="567"/>
      </w:pPr>
      <w:rPr>
        <w:rFonts w:hint="default"/>
        <w:color w:val="0B474D" w:themeColor="accent4"/>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AD417C"/>
    <w:multiLevelType w:val="hybridMultilevel"/>
    <w:tmpl w:val="E512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4415E8"/>
    <w:multiLevelType w:val="multilevel"/>
    <w:tmpl w:val="3DCC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676624"/>
    <w:multiLevelType w:val="hybridMultilevel"/>
    <w:tmpl w:val="77C0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C1D04"/>
    <w:multiLevelType w:val="hybridMultilevel"/>
    <w:tmpl w:val="9E9AEF26"/>
    <w:lvl w:ilvl="0" w:tplc="77EE511C">
      <w:start w:val="1"/>
      <w:numFmt w:val="lowerLetter"/>
      <w:lvlText w:val="%1)"/>
      <w:lvlJc w:val="left"/>
      <w:pPr>
        <w:ind w:left="720" w:hanging="360"/>
      </w:pPr>
      <w:rPr>
        <w:rFonts w:hint="default"/>
        <w:color w:val="0B474D" w:themeColor="accent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AF4866"/>
    <w:multiLevelType w:val="multilevel"/>
    <w:tmpl w:val="5142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7B24E2"/>
    <w:multiLevelType w:val="multilevel"/>
    <w:tmpl w:val="4278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A003D"/>
    <w:multiLevelType w:val="multilevel"/>
    <w:tmpl w:val="1B749764"/>
    <w:lvl w:ilvl="0">
      <w:start w:val="1"/>
      <w:numFmt w:val="decimal"/>
      <w:pStyle w:val="Heading2"/>
      <w:lvlText w:val="%1."/>
      <w:lvlJc w:val="left"/>
      <w:pPr>
        <w:ind w:left="1152" w:hanging="432"/>
      </w:pPr>
    </w:lvl>
    <w:lvl w:ilvl="1">
      <w:start w:val="1"/>
      <w:numFmt w:val="decimal"/>
      <w:pStyle w:val="Heading3"/>
      <w:lvlText w:val="%1.%2."/>
      <w:lvlJc w:val="left"/>
      <w:pPr>
        <w:ind w:left="1155" w:hanging="576"/>
      </w:pPr>
      <w:rPr>
        <w:sz w:val="40"/>
        <w:szCs w:val="40"/>
      </w:rPr>
    </w:lvl>
    <w:lvl w:ilvl="2">
      <w:start w:val="1"/>
      <w:numFmt w:val="decimal"/>
      <w:pStyle w:val="Heading4"/>
      <w:lvlText w:val="%1.%2.%3."/>
      <w:lvlJc w:val="left"/>
      <w:pPr>
        <w:ind w:left="589" w:hanging="720"/>
      </w:pPr>
      <w:rPr>
        <w:rFonts w:hint="default"/>
      </w:rPr>
    </w:lvl>
    <w:lvl w:ilvl="3">
      <w:start w:val="1"/>
      <w:numFmt w:val="decimal"/>
      <w:pStyle w:val="Heading5"/>
      <w:lvlText w:val="%1.%2.%3.%4."/>
      <w:lvlJc w:val="left"/>
      <w:pPr>
        <w:ind w:left="733" w:hanging="864"/>
      </w:pPr>
      <w:rPr>
        <w:rFonts w:hint="default"/>
      </w:rPr>
    </w:lvl>
    <w:lvl w:ilvl="4">
      <w:start w:val="1"/>
      <w:numFmt w:val="decimal"/>
      <w:pStyle w:val="Heading6"/>
      <w:lvlText w:val="%1.%2.%3.%4.%5."/>
      <w:lvlJc w:val="left"/>
      <w:pPr>
        <w:ind w:left="877" w:hanging="1008"/>
      </w:pPr>
      <w:rPr>
        <w:rFonts w:hint="default"/>
      </w:rPr>
    </w:lvl>
    <w:lvl w:ilvl="5">
      <w:start w:val="1"/>
      <w:numFmt w:val="decimal"/>
      <w:pStyle w:val="Heading7"/>
      <w:lvlText w:val="%1.%2.%3.%4.%5.%6."/>
      <w:lvlJc w:val="left"/>
      <w:pPr>
        <w:ind w:left="1021" w:hanging="1152"/>
      </w:pPr>
      <w:rPr>
        <w:rFonts w:hint="default"/>
      </w:rPr>
    </w:lvl>
    <w:lvl w:ilvl="6">
      <w:start w:val="1"/>
      <w:numFmt w:val="decimal"/>
      <w:lvlText w:val="%1.%2.%3.%4.%5.%6.%7"/>
      <w:lvlJc w:val="left"/>
      <w:pPr>
        <w:ind w:left="1165" w:hanging="1296"/>
      </w:pPr>
      <w:rPr>
        <w:rFonts w:hint="default"/>
      </w:rPr>
    </w:lvl>
    <w:lvl w:ilvl="7">
      <w:start w:val="1"/>
      <w:numFmt w:val="decimal"/>
      <w:pStyle w:val="Heading8"/>
      <w:lvlText w:val="%1.%2.%3.%4.%5.%6.%7.%8"/>
      <w:lvlJc w:val="left"/>
      <w:pPr>
        <w:ind w:left="1309" w:hanging="1440"/>
      </w:pPr>
      <w:rPr>
        <w:rFonts w:hint="default"/>
      </w:rPr>
    </w:lvl>
    <w:lvl w:ilvl="8">
      <w:start w:val="1"/>
      <w:numFmt w:val="decimal"/>
      <w:pStyle w:val="Heading9"/>
      <w:lvlText w:val="%1.%2.%3.%4.%5.%6.%7.%8.%9"/>
      <w:lvlJc w:val="left"/>
      <w:pPr>
        <w:ind w:left="1453" w:hanging="1584"/>
      </w:pPr>
      <w:rPr>
        <w:rFonts w:hint="default"/>
      </w:rPr>
    </w:lvl>
  </w:abstractNum>
  <w:abstractNum w:abstractNumId="16" w15:restartNumberingAfterBreak="0">
    <w:nsid w:val="3A9C9794"/>
    <w:multiLevelType w:val="hybridMultilevel"/>
    <w:tmpl w:val="23CA67FC"/>
    <w:lvl w:ilvl="0" w:tplc="A3DE0434">
      <w:start w:val="1"/>
      <w:numFmt w:val="decimal"/>
      <w:lvlText w:val="%1."/>
      <w:lvlJc w:val="left"/>
      <w:pPr>
        <w:ind w:left="720" w:hanging="360"/>
      </w:pPr>
    </w:lvl>
    <w:lvl w:ilvl="1" w:tplc="7EE0FF76">
      <w:start w:val="1"/>
      <w:numFmt w:val="lowerLetter"/>
      <w:lvlText w:val="%2."/>
      <w:lvlJc w:val="left"/>
      <w:pPr>
        <w:ind w:left="1440" w:hanging="360"/>
      </w:pPr>
    </w:lvl>
    <w:lvl w:ilvl="2" w:tplc="FE12B6C0">
      <w:start w:val="1"/>
      <w:numFmt w:val="lowerRoman"/>
      <w:lvlText w:val="%3."/>
      <w:lvlJc w:val="right"/>
      <w:pPr>
        <w:ind w:left="2160" w:hanging="180"/>
      </w:pPr>
    </w:lvl>
    <w:lvl w:ilvl="3" w:tplc="613461DE">
      <w:start w:val="1"/>
      <w:numFmt w:val="decimal"/>
      <w:lvlText w:val="%4."/>
      <w:lvlJc w:val="left"/>
      <w:pPr>
        <w:ind w:left="2880" w:hanging="360"/>
      </w:pPr>
    </w:lvl>
    <w:lvl w:ilvl="4" w:tplc="E13693A0">
      <w:start w:val="1"/>
      <w:numFmt w:val="lowerLetter"/>
      <w:lvlText w:val="%5."/>
      <w:lvlJc w:val="left"/>
      <w:pPr>
        <w:ind w:left="3600" w:hanging="360"/>
      </w:pPr>
    </w:lvl>
    <w:lvl w:ilvl="5" w:tplc="CB122C60">
      <w:start w:val="1"/>
      <w:numFmt w:val="lowerRoman"/>
      <w:lvlText w:val="%6."/>
      <w:lvlJc w:val="right"/>
      <w:pPr>
        <w:ind w:left="4320" w:hanging="180"/>
      </w:pPr>
    </w:lvl>
    <w:lvl w:ilvl="6" w:tplc="B5588E94">
      <w:start w:val="1"/>
      <w:numFmt w:val="decimal"/>
      <w:lvlText w:val="%7."/>
      <w:lvlJc w:val="left"/>
      <w:pPr>
        <w:ind w:left="5040" w:hanging="360"/>
      </w:pPr>
    </w:lvl>
    <w:lvl w:ilvl="7" w:tplc="325083FC">
      <w:start w:val="1"/>
      <w:numFmt w:val="lowerLetter"/>
      <w:lvlText w:val="%8."/>
      <w:lvlJc w:val="left"/>
      <w:pPr>
        <w:ind w:left="5760" w:hanging="360"/>
      </w:pPr>
    </w:lvl>
    <w:lvl w:ilvl="8" w:tplc="FDD69568">
      <w:start w:val="1"/>
      <w:numFmt w:val="lowerRoman"/>
      <w:lvlText w:val="%9."/>
      <w:lvlJc w:val="right"/>
      <w:pPr>
        <w:ind w:left="6480" w:hanging="180"/>
      </w:pPr>
    </w:lvl>
  </w:abstractNum>
  <w:abstractNum w:abstractNumId="17"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874D5"/>
    <w:multiLevelType w:val="hybridMultilevel"/>
    <w:tmpl w:val="FFF864F6"/>
    <w:lvl w:ilvl="0" w:tplc="77EE511C">
      <w:start w:val="1"/>
      <w:numFmt w:val="lowerLetter"/>
      <w:lvlText w:val="%1)"/>
      <w:lvlJc w:val="left"/>
      <w:pPr>
        <w:ind w:left="567" w:hanging="567"/>
      </w:pPr>
      <w:rPr>
        <w:rFonts w:hint="default"/>
        <w:color w:val="0B474D" w:themeColor="accent4"/>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370737A"/>
    <w:multiLevelType w:val="hybridMultilevel"/>
    <w:tmpl w:val="573E60B2"/>
    <w:lvl w:ilvl="0" w:tplc="471A3AD2">
      <w:numFmt w:val="bullet"/>
      <w:lvlText w:val="•"/>
      <w:lvlJc w:val="left"/>
      <w:pPr>
        <w:ind w:left="720" w:hanging="360"/>
      </w:pPr>
      <w:rPr>
        <w:rFonts w:ascii="Calibri" w:hAnsi="Calibri" w:hint="default"/>
        <w:color w:val="1565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9330DF"/>
    <w:multiLevelType w:val="hybridMultilevel"/>
    <w:tmpl w:val="EA64C06C"/>
    <w:lvl w:ilvl="0" w:tplc="0C090001">
      <w:start w:val="1"/>
      <w:numFmt w:val="bullet"/>
      <w:lvlText w:val=""/>
      <w:lvlJc w:val="left"/>
      <w:pPr>
        <w:ind w:left="360" w:hanging="360"/>
      </w:pPr>
      <w:rPr>
        <w:rFonts w:ascii="Symbol" w:hAnsi="Symbol" w:hint="default"/>
      </w:rPr>
    </w:lvl>
    <w:lvl w:ilvl="1" w:tplc="6606920E">
      <w:numFmt w:val="bullet"/>
      <w:lvlText w:val="-"/>
      <w:lvlJc w:val="left"/>
      <w:pPr>
        <w:ind w:left="1080" w:hanging="360"/>
      </w:pPr>
      <w:rPr>
        <w:rFonts w:ascii="Calibri" w:eastAsiaTheme="minorHAns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8E36D6"/>
    <w:multiLevelType w:val="hybridMultilevel"/>
    <w:tmpl w:val="68DA0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6C026E"/>
    <w:multiLevelType w:val="hybridMultilevel"/>
    <w:tmpl w:val="EA5C785C"/>
    <w:lvl w:ilvl="0" w:tplc="471A3AD2">
      <w:numFmt w:val="bullet"/>
      <w:lvlText w:val="•"/>
      <w:lvlJc w:val="left"/>
      <w:pPr>
        <w:ind w:left="720" w:hanging="360"/>
      </w:pPr>
      <w:rPr>
        <w:rFonts w:ascii="Calibri" w:hAnsi="Calibri" w:hint="default"/>
        <w:color w:val="1565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F161C42"/>
    <w:multiLevelType w:val="hybridMultilevel"/>
    <w:tmpl w:val="0E32C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2AF1544"/>
    <w:multiLevelType w:val="hybridMultilevel"/>
    <w:tmpl w:val="815E8460"/>
    <w:lvl w:ilvl="0" w:tplc="471A3AD2">
      <w:numFmt w:val="bullet"/>
      <w:lvlText w:val="•"/>
      <w:lvlJc w:val="left"/>
      <w:pPr>
        <w:ind w:left="720" w:hanging="360"/>
      </w:pPr>
      <w:rPr>
        <w:rFonts w:ascii="Calibri" w:hAnsi="Calibri" w:hint="default"/>
        <w:color w:val="1565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330F50"/>
    <w:multiLevelType w:val="multilevel"/>
    <w:tmpl w:val="33A8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9D7796"/>
    <w:multiLevelType w:val="hybridMultilevel"/>
    <w:tmpl w:val="8D00ABCA"/>
    <w:lvl w:ilvl="0" w:tplc="471A3AD2">
      <w:numFmt w:val="bullet"/>
      <w:lvlText w:val="•"/>
      <w:lvlJc w:val="left"/>
      <w:pPr>
        <w:ind w:left="720" w:hanging="360"/>
      </w:pPr>
      <w:rPr>
        <w:rFonts w:ascii="Calibri" w:hAnsi="Calibri" w:hint="default"/>
        <w:color w:val="15659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534C8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2605387">
    <w:abstractNumId w:val="24"/>
  </w:num>
  <w:num w:numId="2" w16cid:durableId="648444589">
    <w:abstractNumId w:val="28"/>
  </w:num>
  <w:num w:numId="3" w16cid:durableId="1474374502">
    <w:abstractNumId w:val="2"/>
  </w:num>
  <w:num w:numId="4" w16cid:durableId="660547498">
    <w:abstractNumId w:val="1"/>
  </w:num>
  <w:num w:numId="5" w16cid:durableId="1405948882">
    <w:abstractNumId w:val="0"/>
  </w:num>
  <w:num w:numId="6" w16cid:durableId="1770931210">
    <w:abstractNumId w:val="5"/>
  </w:num>
  <w:num w:numId="7" w16cid:durableId="1514956900">
    <w:abstractNumId w:val="7"/>
  </w:num>
  <w:num w:numId="8" w16cid:durableId="1928151220">
    <w:abstractNumId w:val="25"/>
  </w:num>
  <w:num w:numId="9" w16cid:durableId="1919442051">
    <w:abstractNumId w:val="20"/>
  </w:num>
  <w:num w:numId="10" w16cid:durableId="563764016">
    <w:abstractNumId w:val="17"/>
  </w:num>
  <w:num w:numId="11" w16cid:durableId="377169740">
    <w:abstractNumId w:val="13"/>
  </w:num>
  <w:num w:numId="12" w16cid:durableId="1207840999">
    <w:abstractNumId w:val="9"/>
  </w:num>
  <w:num w:numId="13" w16cid:durableId="1807044888">
    <w:abstractNumId w:val="15"/>
  </w:num>
  <w:num w:numId="14" w16cid:durableId="1974166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261091">
    <w:abstractNumId w:val="16"/>
  </w:num>
  <w:num w:numId="16" w16cid:durableId="232083045">
    <w:abstractNumId w:val="30"/>
  </w:num>
  <w:num w:numId="17" w16cid:durableId="139001900">
    <w:abstractNumId w:val="27"/>
  </w:num>
  <w:num w:numId="18" w16cid:durableId="758988204">
    <w:abstractNumId w:val="10"/>
  </w:num>
  <w:num w:numId="19" w16cid:durableId="1601374222">
    <w:abstractNumId w:val="11"/>
  </w:num>
  <w:num w:numId="20" w16cid:durableId="1587764867">
    <w:abstractNumId w:val="18"/>
  </w:num>
  <w:num w:numId="21" w16cid:durableId="610743153">
    <w:abstractNumId w:val="19"/>
  </w:num>
  <w:num w:numId="22" w16cid:durableId="74323450">
    <w:abstractNumId w:val="23"/>
  </w:num>
  <w:num w:numId="23" w16cid:durableId="57171757">
    <w:abstractNumId w:val="6"/>
  </w:num>
  <w:num w:numId="24" w16cid:durableId="1423574467">
    <w:abstractNumId w:val="4"/>
  </w:num>
  <w:num w:numId="25" w16cid:durableId="100341107">
    <w:abstractNumId w:val="29"/>
  </w:num>
  <w:num w:numId="26" w16cid:durableId="1380131482">
    <w:abstractNumId w:val="8"/>
  </w:num>
  <w:num w:numId="27" w16cid:durableId="875505469">
    <w:abstractNumId w:val="31"/>
  </w:num>
  <w:num w:numId="28" w16cid:durableId="1821193896">
    <w:abstractNumId w:val="3"/>
  </w:num>
  <w:num w:numId="29" w16cid:durableId="828210692">
    <w:abstractNumId w:val="14"/>
  </w:num>
  <w:num w:numId="30" w16cid:durableId="1972396889">
    <w:abstractNumId w:val="12"/>
  </w:num>
  <w:num w:numId="31" w16cid:durableId="1144664095">
    <w:abstractNumId w:val="21"/>
  </w:num>
  <w:num w:numId="32" w16cid:durableId="1695375782">
    <w:abstractNumId w:val="26"/>
  </w:num>
  <w:num w:numId="33" w16cid:durableId="1422871995">
    <w:abstractNumId w:val="22"/>
  </w:num>
  <w:num w:numId="34" w16cid:durableId="800030214">
    <w:abstractNumId w:val="24"/>
  </w:num>
  <w:num w:numId="35" w16cid:durableId="1784692585">
    <w:abstractNumId w:val="24"/>
  </w:num>
  <w:num w:numId="36" w16cid:durableId="31137030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637"/>
    <w:rsid w:val="000007FB"/>
    <w:rsid w:val="0000085B"/>
    <w:rsid w:val="00000C16"/>
    <w:rsid w:val="00000F32"/>
    <w:rsid w:val="000015F4"/>
    <w:rsid w:val="00001756"/>
    <w:rsid w:val="00001A62"/>
    <w:rsid w:val="00001E83"/>
    <w:rsid w:val="00001EF1"/>
    <w:rsid w:val="00002107"/>
    <w:rsid w:val="000023A5"/>
    <w:rsid w:val="00002A59"/>
    <w:rsid w:val="00003766"/>
    <w:rsid w:val="0000384A"/>
    <w:rsid w:val="00003D23"/>
    <w:rsid w:val="000056F9"/>
    <w:rsid w:val="00005EED"/>
    <w:rsid w:val="000070D1"/>
    <w:rsid w:val="000075A2"/>
    <w:rsid w:val="000075E5"/>
    <w:rsid w:val="000077D3"/>
    <w:rsid w:val="00007A40"/>
    <w:rsid w:val="00007EF6"/>
    <w:rsid w:val="0001013C"/>
    <w:rsid w:val="00010D96"/>
    <w:rsid w:val="00010DA8"/>
    <w:rsid w:val="00011099"/>
    <w:rsid w:val="00011177"/>
    <w:rsid w:val="000111FF"/>
    <w:rsid w:val="000122B1"/>
    <w:rsid w:val="000123A0"/>
    <w:rsid w:val="000129BD"/>
    <w:rsid w:val="000138F0"/>
    <w:rsid w:val="00013A67"/>
    <w:rsid w:val="00013F76"/>
    <w:rsid w:val="000140CF"/>
    <w:rsid w:val="000143C0"/>
    <w:rsid w:val="00015B9A"/>
    <w:rsid w:val="000164CA"/>
    <w:rsid w:val="00017287"/>
    <w:rsid w:val="0001748D"/>
    <w:rsid w:val="00017EAD"/>
    <w:rsid w:val="00020C0D"/>
    <w:rsid w:val="00021A22"/>
    <w:rsid w:val="00021B3C"/>
    <w:rsid w:val="0002286D"/>
    <w:rsid w:val="00022AD2"/>
    <w:rsid w:val="00022FE0"/>
    <w:rsid w:val="00023063"/>
    <w:rsid w:val="00023338"/>
    <w:rsid w:val="000233E6"/>
    <w:rsid w:val="00023D4F"/>
    <w:rsid w:val="000240B8"/>
    <w:rsid w:val="000244B5"/>
    <w:rsid w:val="000259B5"/>
    <w:rsid w:val="00025FE3"/>
    <w:rsid w:val="0002600A"/>
    <w:rsid w:val="00026038"/>
    <w:rsid w:val="0002665D"/>
    <w:rsid w:val="00027166"/>
    <w:rsid w:val="000276F0"/>
    <w:rsid w:val="000277A5"/>
    <w:rsid w:val="00027926"/>
    <w:rsid w:val="00030826"/>
    <w:rsid w:val="00030E41"/>
    <w:rsid w:val="0003109A"/>
    <w:rsid w:val="00031A38"/>
    <w:rsid w:val="0003201F"/>
    <w:rsid w:val="0003238D"/>
    <w:rsid w:val="00032995"/>
    <w:rsid w:val="00033224"/>
    <w:rsid w:val="0003330E"/>
    <w:rsid w:val="00033658"/>
    <w:rsid w:val="00033BBD"/>
    <w:rsid w:val="00034148"/>
    <w:rsid w:val="000341F5"/>
    <w:rsid w:val="00034867"/>
    <w:rsid w:val="00034C8D"/>
    <w:rsid w:val="00034FCC"/>
    <w:rsid w:val="0003634D"/>
    <w:rsid w:val="00036660"/>
    <w:rsid w:val="000366DE"/>
    <w:rsid w:val="000367BC"/>
    <w:rsid w:val="00036918"/>
    <w:rsid w:val="00036C3E"/>
    <w:rsid w:val="0003740A"/>
    <w:rsid w:val="00037A75"/>
    <w:rsid w:val="000405AB"/>
    <w:rsid w:val="000408A6"/>
    <w:rsid w:val="00040D08"/>
    <w:rsid w:val="00040D3B"/>
    <w:rsid w:val="00040D5C"/>
    <w:rsid w:val="00040F38"/>
    <w:rsid w:val="00041FB8"/>
    <w:rsid w:val="0004225E"/>
    <w:rsid w:val="00042CCA"/>
    <w:rsid w:val="0004301F"/>
    <w:rsid w:val="00043CF7"/>
    <w:rsid w:val="00043E37"/>
    <w:rsid w:val="00044A33"/>
    <w:rsid w:val="00044AA0"/>
    <w:rsid w:val="00044BDF"/>
    <w:rsid w:val="000454A8"/>
    <w:rsid w:val="00045A4F"/>
    <w:rsid w:val="00045CA8"/>
    <w:rsid w:val="00046185"/>
    <w:rsid w:val="000462E9"/>
    <w:rsid w:val="00046EA4"/>
    <w:rsid w:val="00047B43"/>
    <w:rsid w:val="00050395"/>
    <w:rsid w:val="0005071E"/>
    <w:rsid w:val="00050960"/>
    <w:rsid w:val="00050D2E"/>
    <w:rsid w:val="000521E6"/>
    <w:rsid w:val="00052536"/>
    <w:rsid w:val="00052AB3"/>
    <w:rsid w:val="00052F4B"/>
    <w:rsid w:val="00053104"/>
    <w:rsid w:val="00053BED"/>
    <w:rsid w:val="00053C17"/>
    <w:rsid w:val="00053DEF"/>
    <w:rsid w:val="000542EF"/>
    <w:rsid w:val="0005470C"/>
    <w:rsid w:val="00054F06"/>
    <w:rsid w:val="000552B3"/>
    <w:rsid w:val="0005538E"/>
    <w:rsid w:val="00055709"/>
    <w:rsid w:val="00055DC8"/>
    <w:rsid w:val="00055EDA"/>
    <w:rsid w:val="000562DE"/>
    <w:rsid w:val="0005647F"/>
    <w:rsid w:val="00056660"/>
    <w:rsid w:val="0005709F"/>
    <w:rsid w:val="0006006D"/>
    <w:rsid w:val="000604CB"/>
    <w:rsid w:val="000606F4"/>
    <w:rsid w:val="0006137A"/>
    <w:rsid w:val="00061465"/>
    <w:rsid w:val="000617FA"/>
    <w:rsid w:val="00061F94"/>
    <w:rsid w:val="000621CB"/>
    <w:rsid w:val="00062344"/>
    <w:rsid w:val="00062596"/>
    <w:rsid w:val="00063519"/>
    <w:rsid w:val="00063D62"/>
    <w:rsid w:val="00063E80"/>
    <w:rsid w:val="00064496"/>
    <w:rsid w:val="0006480F"/>
    <w:rsid w:val="00064AA2"/>
    <w:rsid w:val="00064EB0"/>
    <w:rsid w:val="000653B7"/>
    <w:rsid w:val="00065B03"/>
    <w:rsid w:val="00066079"/>
    <w:rsid w:val="000671D2"/>
    <w:rsid w:val="000679EF"/>
    <w:rsid w:val="00067C0E"/>
    <w:rsid w:val="00067FB4"/>
    <w:rsid w:val="0007067B"/>
    <w:rsid w:val="00070CBC"/>
    <w:rsid w:val="00070EFD"/>
    <w:rsid w:val="000721BB"/>
    <w:rsid w:val="000721D0"/>
    <w:rsid w:val="000721F8"/>
    <w:rsid w:val="00072324"/>
    <w:rsid w:val="0007332C"/>
    <w:rsid w:val="00073586"/>
    <w:rsid w:val="00074FAF"/>
    <w:rsid w:val="000754AE"/>
    <w:rsid w:val="00075908"/>
    <w:rsid w:val="00075AE4"/>
    <w:rsid w:val="00075DE2"/>
    <w:rsid w:val="00075E4F"/>
    <w:rsid w:val="000777C8"/>
    <w:rsid w:val="00077E28"/>
    <w:rsid w:val="000800A2"/>
    <w:rsid w:val="0008011A"/>
    <w:rsid w:val="00080328"/>
    <w:rsid w:val="0008076D"/>
    <w:rsid w:val="00080EBC"/>
    <w:rsid w:val="000812AE"/>
    <w:rsid w:val="0008167B"/>
    <w:rsid w:val="00081D07"/>
    <w:rsid w:val="00081ED7"/>
    <w:rsid w:val="00081EED"/>
    <w:rsid w:val="00082518"/>
    <w:rsid w:val="000837FA"/>
    <w:rsid w:val="000838BB"/>
    <w:rsid w:val="00083DFB"/>
    <w:rsid w:val="0008408B"/>
    <w:rsid w:val="000840C4"/>
    <w:rsid w:val="00085172"/>
    <w:rsid w:val="000856FA"/>
    <w:rsid w:val="00085C02"/>
    <w:rsid w:val="0008662B"/>
    <w:rsid w:val="00087024"/>
    <w:rsid w:val="000873E4"/>
    <w:rsid w:val="00087497"/>
    <w:rsid w:val="00087751"/>
    <w:rsid w:val="00087BE6"/>
    <w:rsid w:val="00090108"/>
    <w:rsid w:val="000904CE"/>
    <w:rsid w:val="000908BA"/>
    <w:rsid w:val="00090DDB"/>
    <w:rsid w:val="000918E6"/>
    <w:rsid w:val="00091992"/>
    <w:rsid w:val="00091DA7"/>
    <w:rsid w:val="000922B4"/>
    <w:rsid w:val="000922DB"/>
    <w:rsid w:val="000926FC"/>
    <w:rsid w:val="00092743"/>
    <w:rsid w:val="000930CA"/>
    <w:rsid w:val="000930CF"/>
    <w:rsid w:val="00093238"/>
    <w:rsid w:val="0009387A"/>
    <w:rsid w:val="00093CE9"/>
    <w:rsid w:val="00093FA4"/>
    <w:rsid w:val="00094087"/>
    <w:rsid w:val="000942D0"/>
    <w:rsid w:val="00094D11"/>
    <w:rsid w:val="00094F4F"/>
    <w:rsid w:val="00095B5A"/>
    <w:rsid w:val="00095E93"/>
    <w:rsid w:val="0009612D"/>
    <w:rsid w:val="0009663B"/>
    <w:rsid w:val="00096849"/>
    <w:rsid w:val="00096A1E"/>
    <w:rsid w:val="000971B8"/>
    <w:rsid w:val="000973E2"/>
    <w:rsid w:val="00097549"/>
    <w:rsid w:val="000979BA"/>
    <w:rsid w:val="00097A3D"/>
    <w:rsid w:val="00097EB3"/>
    <w:rsid w:val="000A0DBD"/>
    <w:rsid w:val="000A0E32"/>
    <w:rsid w:val="000A13B8"/>
    <w:rsid w:val="000A15C1"/>
    <w:rsid w:val="000A3210"/>
    <w:rsid w:val="000A353B"/>
    <w:rsid w:val="000A3C74"/>
    <w:rsid w:val="000A46EC"/>
    <w:rsid w:val="000A48B3"/>
    <w:rsid w:val="000A644F"/>
    <w:rsid w:val="000A664F"/>
    <w:rsid w:val="000A6A87"/>
    <w:rsid w:val="000A73DC"/>
    <w:rsid w:val="000A75CB"/>
    <w:rsid w:val="000B14CC"/>
    <w:rsid w:val="000B24FC"/>
    <w:rsid w:val="000B2C08"/>
    <w:rsid w:val="000B2FF6"/>
    <w:rsid w:val="000B3F17"/>
    <w:rsid w:val="000B4888"/>
    <w:rsid w:val="000B4962"/>
    <w:rsid w:val="000B4C39"/>
    <w:rsid w:val="000B6A9F"/>
    <w:rsid w:val="000B6B8F"/>
    <w:rsid w:val="000B6C60"/>
    <w:rsid w:val="000B6E8E"/>
    <w:rsid w:val="000B71E5"/>
    <w:rsid w:val="000B747F"/>
    <w:rsid w:val="000B7C3A"/>
    <w:rsid w:val="000B7D56"/>
    <w:rsid w:val="000B7DB8"/>
    <w:rsid w:val="000C0145"/>
    <w:rsid w:val="000C0FD0"/>
    <w:rsid w:val="000C120F"/>
    <w:rsid w:val="000C1218"/>
    <w:rsid w:val="000C1AEB"/>
    <w:rsid w:val="000C1BF5"/>
    <w:rsid w:val="000C2128"/>
    <w:rsid w:val="000C2388"/>
    <w:rsid w:val="000C2AE2"/>
    <w:rsid w:val="000C2DED"/>
    <w:rsid w:val="000C3494"/>
    <w:rsid w:val="000C36EC"/>
    <w:rsid w:val="000C42D9"/>
    <w:rsid w:val="000C45DE"/>
    <w:rsid w:val="000C471A"/>
    <w:rsid w:val="000C4C02"/>
    <w:rsid w:val="000C4ED3"/>
    <w:rsid w:val="000C5303"/>
    <w:rsid w:val="000C596C"/>
    <w:rsid w:val="000C5DA8"/>
    <w:rsid w:val="000C686D"/>
    <w:rsid w:val="000C72D9"/>
    <w:rsid w:val="000C731C"/>
    <w:rsid w:val="000C767D"/>
    <w:rsid w:val="000C7E50"/>
    <w:rsid w:val="000D162A"/>
    <w:rsid w:val="000D163D"/>
    <w:rsid w:val="000D1D2B"/>
    <w:rsid w:val="000D203C"/>
    <w:rsid w:val="000D25C4"/>
    <w:rsid w:val="000D25DF"/>
    <w:rsid w:val="000D2AAF"/>
    <w:rsid w:val="000D3051"/>
    <w:rsid w:val="000D34DF"/>
    <w:rsid w:val="000D3D3E"/>
    <w:rsid w:val="000D4444"/>
    <w:rsid w:val="000D4B1B"/>
    <w:rsid w:val="000D4D8A"/>
    <w:rsid w:val="000D556F"/>
    <w:rsid w:val="000D5B8A"/>
    <w:rsid w:val="000D6903"/>
    <w:rsid w:val="000D73CA"/>
    <w:rsid w:val="000D767F"/>
    <w:rsid w:val="000D777B"/>
    <w:rsid w:val="000D7790"/>
    <w:rsid w:val="000D7A18"/>
    <w:rsid w:val="000D7A95"/>
    <w:rsid w:val="000E0E72"/>
    <w:rsid w:val="000E0F53"/>
    <w:rsid w:val="000E122D"/>
    <w:rsid w:val="000E16D4"/>
    <w:rsid w:val="000E2012"/>
    <w:rsid w:val="000E2353"/>
    <w:rsid w:val="000E239B"/>
    <w:rsid w:val="000E2939"/>
    <w:rsid w:val="000E2C62"/>
    <w:rsid w:val="000E2D7B"/>
    <w:rsid w:val="000E2F4C"/>
    <w:rsid w:val="000E3695"/>
    <w:rsid w:val="000E380D"/>
    <w:rsid w:val="000E39C1"/>
    <w:rsid w:val="000E599A"/>
    <w:rsid w:val="000E5A01"/>
    <w:rsid w:val="000E5B78"/>
    <w:rsid w:val="000E5C5C"/>
    <w:rsid w:val="000E5C60"/>
    <w:rsid w:val="000E6C13"/>
    <w:rsid w:val="000E74D9"/>
    <w:rsid w:val="000F0370"/>
    <w:rsid w:val="000F0578"/>
    <w:rsid w:val="000F079F"/>
    <w:rsid w:val="000F08B4"/>
    <w:rsid w:val="000F0E9D"/>
    <w:rsid w:val="000F1164"/>
    <w:rsid w:val="000F1324"/>
    <w:rsid w:val="000F186D"/>
    <w:rsid w:val="000F19EC"/>
    <w:rsid w:val="000F1A5F"/>
    <w:rsid w:val="000F24A5"/>
    <w:rsid w:val="000F2564"/>
    <w:rsid w:val="000F2A2E"/>
    <w:rsid w:val="000F2BF2"/>
    <w:rsid w:val="000F305E"/>
    <w:rsid w:val="000F3402"/>
    <w:rsid w:val="000F3F24"/>
    <w:rsid w:val="000F4491"/>
    <w:rsid w:val="000F4CB8"/>
    <w:rsid w:val="000F4CC9"/>
    <w:rsid w:val="000F4F37"/>
    <w:rsid w:val="000F50CE"/>
    <w:rsid w:val="000F52A7"/>
    <w:rsid w:val="000F5990"/>
    <w:rsid w:val="000F5A11"/>
    <w:rsid w:val="000F5A38"/>
    <w:rsid w:val="000F5AD9"/>
    <w:rsid w:val="000F641B"/>
    <w:rsid w:val="000F65FF"/>
    <w:rsid w:val="000F683D"/>
    <w:rsid w:val="000F6A17"/>
    <w:rsid w:val="000F7B48"/>
    <w:rsid w:val="000F7D81"/>
    <w:rsid w:val="000F7DF0"/>
    <w:rsid w:val="001003BE"/>
    <w:rsid w:val="00100ABA"/>
    <w:rsid w:val="00100BE8"/>
    <w:rsid w:val="00101A8E"/>
    <w:rsid w:val="00102CEA"/>
    <w:rsid w:val="00102CFC"/>
    <w:rsid w:val="001034F0"/>
    <w:rsid w:val="00103ADE"/>
    <w:rsid w:val="00103F45"/>
    <w:rsid w:val="001047F0"/>
    <w:rsid w:val="00105277"/>
    <w:rsid w:val="0010542F"/>
    <w:rsid w:val="001059A2"/>
    <w:rsid w:val="00105ECC"/>
    <w:rsid w:val="00106670"/>
    <w:rsid w:val="001067C8"/>
    <w:rsid w:val="001069EB"/>
    <w:rsid w:val="00107622"/>
    <w:rsid w:val="00107A6C"/>
    <w:rsid w:val="00107BA7"/>
    <w:rsid w:val="00107E71"/>
    <w:rsid w:val="0011040C"/>
    <w:rsid w:val="00110614"/>
    <w:rsid w:val="0011100F"/>
    <w:rsid w:val="001112A9"/>
    <w:rsid w:val="0011171E"/>
    <w:rsid w:val="00111990"/>
    <w:rsid w:val="00111C10"/>
    <w:rsid w:val="00111D0B"/>
    <w:rsid w:val="00111EDC"/>
    <w:rsid w:val="00111F58"/>
    <w:rsid w:val="001120BA"/>
    <w:rsid w:val="00112B38"/>
    <w:rsid w:val="00112D91"/>
    <w:rsid w:val="00112E34"/>
    <w:rsid w:val="0011311F"/>
    <w:rsid w:val="001131EE"/>
    <w:rsid w:val="00113AC4"/>
    <w:rsid w:val="001142AD"/>
    <w:rsid w:val="0011435B"/>
    <w:rsid w:val="00115167"/>
    <w:rsid w:val="0011564F"/>
    <w:rsid w:val="00115766"/>
    <w:rsid w:val="001158E0"/>
    <w:rsid w:val="001164EB"/>
    <w:rsid w:val="00116712"/>
    <w:rsid w:val="001173CD"/>
    <w:rsid w:val="00117423"/>
    <w:rsid w:val="001178FE"/>
    <w:rsid w:val="00117A9D"/>
    <w:rsid w:val="0012045B"/>
    <w:rsid w:val="001204A3"/>
    <w:rsid w:val="00120D29"/>
    <w:rsid w:val="00120D91"/>
    <w:rsid w:val="00121331"/>
    <w:rsid w:val="00121D8B"/>
    <w:rsid w:val="00122046"/>
    <w:rsid w:val="001224DA"/>
    <w:rsid w:val="00123307"/>
    <w:rsid w:val="0012375E"/>
    <w:rsid w:val="0012384A"/>
    <w:rsid w:val="00123967"/>
    <w:rsid w:val="00123976"/>
    <w:rsid w:val="00124FB7"/>
    <w:rsid w:val="001251C4"/>
    <w:rsid w:val="001252C9"/>
    <w:rsid w:val="001259DD"/>
    <w:rsid w:val="00126B27"/>
    <w:rsid w:val="00126FDF"/>
    <w:rsid w:val="00130287"/>
    <w:rsid w:val="00130293"/>
    <w:rsid w:val="0013068C"/>
    <w:rsid w:val="00130B67"/>
    <w:rsid w:val="0013124C"/>
    <w:rsid w:val="001316BE"/>
    <w:rsid w:val="00132191"/>
    <w:rsid w:val="001325CD"/>
    <w:rsid w:val="001327DA"/>
    <w:rsid w:val="00133420"/>
    <w:rsid w:val="00133AD7"/>
    <w:rsid w:val="00134B3F"/>
    <w:rsid w:val="00134B74"/>
    <w:rsid w:val="00134BE1"/>
    <w:rsid w:val="00135951"/>
    <w:rsid w:val="001362E5"/>
    <w:rsid w:val="0013686F"/>
    <w:rsid w:val="00136AFB"/>
    <w:rsid w:val="00136EAB"/>
    <w:rsid w:val="001376AD"/>
    <w:rsid w:val="00137E54"/>
    <w:rsid w:val="00140EB3"/>
    <w:rsid w:val="00140EE5"/>
    <w:rsid w:val="0014173E"/>
    <w:rsid w:val="0014282A"/>
    <w:rsid w:val="00143046"/>
    <w:rsid w:val="001437B1"/>
    <w:rsid w:val="001442C2"/>
    <w:rsid w:val="001444F7"/>
    <w:rsid w:val="001446C9"/>
    <w:rsid w:val="0014525F"/>
    <w:rsid w:val="00146BED"/>
    <w:rsid w:val="00147744"/>
    <w:rsid w:val="00147E53"/>
    <w:rsid w:val="0015106E"/>
    <w:rsid w:val="00151731"/>
    <w:rsid w:val="001517CE"/>
    <w:rsid w:val="0015185F"/>
    <w:rsid w:val="00153003"/>
    <w:rsid w:val="001535CC"/>
    <w:rsid w:val="00153C15"/>
    <w:rsid w:val="001549C0"/>
    <w:rsid w:val="00154AF0"/>
    <w:rsid w:val="00155047"/>
    <w:rsid w:val="0015657B"/>
    <w:rsid w:val="00156DCD"/>
    <w:rsid w:val="00157211"/>
    <w:rsid w:val="00157A5E"/>
    <w:rsid w:val="00157AC4"/>
    <w:rsid w:val="00157E2A"/>
    <w:rsid w:val="00161DE4"/>
    <w:rsid w:val="00162769"/>
    <w:rsid w:val="00162E72"/>
    <w:rsid w:val="001634DF"/>
    <w:rsid w:val="00164169"/>
    <w:rsid w:val="00164822"/>
    <w:rsid w:val="00164D38"/>
    <w:rsid w:val="00164D42"/>
    <w:rsid w:val="00165319"/>
    <w:rsid w:val="0016588D"/>
    <w:rsid w:val="00165B48"/>
    <w:rsid w:val="00166197"/>
    <w:rsid w:val="00166438"/>
    <w:rsid w:val="001669AE"/>
    <w:rsid w:val="00166AFF"/>
    <w:rsid w:val="00167556"/>
    <w:rsid w:val="001700ED"/>
    <w:rsid w:val="00170137"/>
    <w:rsid w:val="00170C8F"/>
    <w:rsid w:val="00171564"/>
    <w:rsid w:val="00171757"/>
    <w:rsid w:val="00171901"/>
    <w:rsid w:val="00171EAB"/>
    <w:rsid w:val="0017270D"/>
    <w:rsid w:val="0017381A"/>
    <w:rsid w:val="001738B7"/>
    <w:rsid w:val="0017390B"/>
    <w:rsid w:val="00174108"/>
    <w:rsid w:val="0017551A"/>
    <w:rsid w:val="001758CD"/>
    <w:rsid w:val="00175BB8"/>
    <w:rsid w:val="00175FFE"/>
    <w:rsid w:val="001763F6"/>
    <w:rsid w:val="0017652F"/>
    <w:rsid w:val="00176829"/>
    <w:rsid w:val="001770CB"/>
    <w:rsid w:val="001772A8"/>
    <w:rsid w:val="00180553"/>
    <w:rsid w:val="001807AF"/>
    <w:rsid w:val="00180CA7"/>
    <w:rsid w:val="00180E57"/>
    <w:rsid w:val="00180F1A"/>
    <w:rsid w:val="00180F28"/>
    <w:rsid w:val="0018138F"/>
    <w:rsid w:val="0018192E"/>
    <w:rsid w:val="00181CE3"/>
    <w:rsid w:val="00182157"/>
    <w:rsid w:val="001821E8"/>
    <w:rsid w:val="00183504"/>
    <w:rsid w:val="001841D8"/>
    <w:rsid w:val="0018464E"/>
    <w:rsid w:val="00184D43"/>
    <w:rsid w:val="00184E7B"/>
    <w:rsid w:val="001858C3"/>
    <w:rsid w:val="0018592D"/>
    <w:rsid w:val="00185D97"/>
    <w:rsid w:val="00186446"/>
    <w:rsid w:val="00186AAD"/>
    <w:rsid w:val="00186F14"/>
    <w:rsid w:val="001871AB"/>
    <w:rsid w:val="0018723B"/>
    <w:rsid w:val="00187358"/>
    <w:rsid w:val="0018751A"/>
    <w:rsid w:val="0018753C"/>
    <w:rsid w:val="00187574"/>
    <w:rsid w:val="00187737"/>
    <w:rsid w:val="001912CC"/>
    <w:rsid w:val="00191C54"/>
    <w:rsid w:val="00191F66"/>
    <w:rsid w:val="001923D3"/>
    <w:rsid w:val="001923F6"/>
    <w:rsid w:val="00192F40"/>
    <w:rsid w:val="0019312C"/>
    <w:rsid w:val="001933CD"/>
    <w:rsid w:val="00193B75"/>
    <w:rsid w:val="00193C33"/>
    <w:rsid w:val="00193D95"/>
    <w:rsid w:val="00193E7D"/>
    <w:rsid w:val="00193F86"/>
    <w:rsid w:val="001940B3"/>
    <w:rsid w:val="001943D9"/>
    <w:rsid w:val="001947F3"/>
    <w:rsid w:val="00194C68"/>
    <w:rsid w:val="00195361"/>
    <w:rsid w:val="00195566"/>
    <w:rsid w:val="001955B6"/>
    <w:rsid w:val="001957D1"/>
    <w:rsid w:val="00197A98"/>
    <w:rsid w:val="00197F45"/>
    <w:rsid w:val="001A0896"/>
    <w:rsid w:val="001A09E8"/>
    <w:rsid w:val="001A1AEB"/>
    <w:rsid w:val="001A1D1D"/>
    <w:rsid w:val="001A2939"/>
    <w:rsid w:val="001A2C65"/>
    <w:rsid w:val="001A38CC"/>
    <w:rsid w:val="001A4895"/>
    <w:rsid w:val="001A48A9"/>
    <w:rsid w:val="001A49A9"/>
    <w:rsid w:val="001A4A04"/>
    <w:rsid w:val="001A4B27"/>
    <w:rsid w:val="001A4CA3"/>
    <w:rsid w:val="001A50DD"/>
    <w:rsid w:val="001A54D7"/>
    <w:rsid w:val="001A5674"/>
    <w:rsid w:val="001A60DD"/>
    <w:rsid w:val="001A6AF8"/>
    <w:rsid w:val="001A6EEB"/>
    <w:rsid w:val="001A7619"/>
    <w:rsid w:val="001B0B43"/>
    <w:rsid w:val="001B1B9B"/>
    <w:rsid w:val="001B1C76"/>
    <w:rsid w:val="001B2625"/>
    <w:rsid w:val="001B314C"/>
    <w:rsid w:val="001B33D7"/>
    <w:rsid w:val="001B469E"/>
    <w:rsid w:val="001B46B1"/>
    <w:rsid w:val="001B5806"/>
    <w:rsid w:val="001B589B"/>
    <w:rsid w:val="001B6239"/>
    <w:rsid w:val="001B6965"/>
    <w:rsid w:val="001B7543"/>
    <w:rsid w:val="001B7600"/>
    <w:rsid w:val="001B7942"/>
    <w:rsid w:val="001B7DC1"/>
    <w:rsid w:val="001C024B"/>
    <w:rsid w:val="001C0261"/>
    <w:rsid w:val="001C07F7"/>
    <w:rsid w:val="001C18D9"/>
    <w:rsid w:val="001C1A28"/>
    <w:rsid w:val="001C1AE7"/>
    <w:rsid w:val="001C1CA6"/>
    <w:rsid w:val="001C1D8B"/>
    <w:rsid w:val="001C2042"/>
    <w:rsid w:val="001C2195"/>
    <w:rsid w:val="001C2A9C"/>
    <w:rsid w:val="001C2F00"/>
    <w:rsid w:val="001C3186"/>
    <w:rsid w:val="001C3354"/>
    <w:rsid w:val="001C34DC"/>
    <w:rsid w:val="001C35B6"/>
    <w:rsid w:val="001C3C3A"/>
    <w:rsid w:val="001C3D53"/>
    <w:rsid w:val="001C41DF"/>
    <w:rsid w:val="001C43C1"/>
    <w:rsid w:val="001C4CF5"/>
    <w:rsid w:val="001C4D3B"/>
    <w:rsid w:val="001C5A7C"/>
    <w:rsid w:val="001C6074"/>
    <w:rsid w:val="001C616C"/>
    <w:rsid w:val="001C61C8"/>
    <w:rsid w:val="001C6F71"/>
    <w:rsid w:val="001C7409"/>
    <w:rsid w:val="001C7A09"/>
    <w:rsid w:val="001C7DE5"/>
    <w:rsid w:val="001D0767"/>
    <w:rsid w:val="001D0804"/>
    <w:rsid w:val="001D0B1C"/>
    <w:rsid w:val="001D12D9"/>
    <w:rsid w:val="001D1525"/>
    <w:rsid w:val="001D158C"/>
    <w:rsid w:val="001D1C9E"/>
    <w:rsid w:val="001D1E50"/>
    <w:rsid w:val="001D216A"/>
    <w:rsid w:val="001D218C"/>
    <w:rsid w:val="001D2805"/>
    <w:rsid w:val="001D2BDB"/>
    <w:rsid w:val="001D2E82"/>
    <w:rsid w:val="001D2F5E"/>
    <w:rsid w:val="001D31D1"/>
    <w:rsid w:val="001D32DA"/>
    <w:rsid w:val="001D3863"/>
    <w:rsid w:val="001D3969"/>
    <w:rsid w:val="001D3C32"/>
    <w:rsid w:val="001D3FEE"/>
    <w:rsid w:val="001D400F"/>
    <w:rsid w:val="001D42F9"/>
    <w:rsid w:val="001D45E6"/>
    <w:rsid w:val="001D474A"/>
    <w:rsid w:val="001D47D0"/>
    <w:rsid w:val="001D507E"/>
    <w:rsid w:val="001D51DA"/>
    <w:rsid w:val="001D5A8E"/>
    <w:rsid w:val="001D5DB3"/>
    <w:rsid w:val="001D68B3"/>
    <w:rsid w:val="001D6AA0"/>
    <w:rsid w:val="001D75A2"/>
    <w:rsid w:val="001E002B"/>
    <w:rsid w:val="001E0C9F"/>
    <w:rsid w:val="001E181A"/>
    <w:rsid w:val="001E1913"/>
    <w:rsid w:val="001E2546"/>
    <w:rsid w:val="001E272D"/>
    <w:rsid w:val="001E27C3"/>
    <w:rsid w:val="001E2D0F"/>
    <w:rsid w:val="001E353A"/>
    <w:rsid w:val="001E43F4"/>
    <w:rsid w:val="001E4542"/>
    <w:rsid w:val="001E4A0D"/>
    <w:rsid w:val="001E4B58"/>
    <w:rsid w:val="001E4D2E"/>
    <w:rsid w:val="001E4F9A"/>
    <w:rsid w:val="001E504A"/>
    <w:rsid w:val="001E5098"/>
    <w:rsid w:val="001E5150"/>
    <w:rsid w:val="001E5748"/>
    <w:rsid w:val="001E5990"/>
    <w:rsid w:val="001E5DDF"/>
    <w:rsid w:val="001E6335"/>
    <w:rsid w:val="001E68DC"/>
    <w:rsid w:val="001E6BB6"/>
    <w:rsid w:val="001E7771"/>
    <w:rsid w:val="001E7BEC"/>
    <w:rsid w:val="001F0F8D"/>
    <w:rsid w:val="001F1266"/>
    <w:rsid w:val="001F12B1"/>
    <w:rsid w:val="001F17D6"/>
    <w:rsid w:val="001F234D"/>
    <w:rsid w:val="001F25D7"/>
    <w:rsid w:val="001F31C7"/>
    <w:rsid w:val="001F337C"/>
    <w:rsid w:val="001F3DEE"/>
    <w:rsid w:val="001F3E79"/>
    <w:rsid w:val="001F3EDE"/>
    <w:rsid w:val="001F4756"/>
    <w:rsid w:val="001F5707"/>
    <w:rsid w:val="001F5AB1"/>
    <w:rsid w:val="001F5DFC"/>
    <w:rsid w:val="001F6074"/>
    <w:rsid w:val="001F64D1"/>
    <w:rsid w:val="001F6596"/>
    <w:rsid w:val="001F6CA5"/>
    <w:rsid w:val="001F6DC3"/>
    <w:rsid w:val="001F6E0B"/>
    <w:rsid w:val="001F7761"/>
    <w:rsid w:val="001F7F7B"/>
    <w:rsid w:val="0020157E"/>
    <w:rsid w:val="0020163D"/>
    <w:rsid w:val="002021C3"/>
    <w:rsid w:val="002024BF"/>
    <w:rsid w:val="00202D32"/>
    <w:rsid w:val="0020364C"/>
    <w:rsid w:val="002039B2"/>
    <w:rsid w:val="00203D01"/>
    <w:rsid w:val="002042E9"/>
    <w:rsid w:val="002046B8"/>
    <w:rsid w:val="00204827"/>
    <w:rsid w:val="002048CC"/>
    <w:rsid w:val="00204A28"/>
    <w:rsid w:val="002051EE"/>
    <w:rsid w:val="00205DF3"/>
    <w:rsid w:val="00205ECC"/>
    <w:rsid w:val="0020644F"/>
    <w:rsid w:val="002065CE"/>
    <w:rsid w:val="00206601"/>
    <w:rsid w:val="00206761"/>
    <w:rsid w:val="00206BD7"/>
    <w:rsid w:val="00206E4B"/>
    <w:rsid w:val="00206EA0"/>
    <w:rsid w:val="00207172"/>
    <w:rsid w:val="0020788D"/>
    <w:rsid w:val="002079DA"/>
    <w:rsid w:val="00207F0C"/>
    <w:rsid w:val="002101A1"/>
    <w:rsid w:val="00210CB4"/>
    <w:rsid w:val="00210E65"/>
    <w:rsid w:val="00211059"/>
    <w:rsid w:val="00211A63"/>
    <w:rsid w:val="00211DAD"/>
    <w:rsid w:val="00211E8C"/>
    <w:rsid w:val="00211F38"/>
    <w:rsid w:val="0021260A"/>
    <w:rsid w:val="002128F6"/>
    <w:rsid w:val="002129BB"/>
    <w:rsid w:val="00212E4D"/>
    <w:rsid w:val="002134A3"/>
    <w:rsid w:val="002138DC"/>
    <w:rsid w:val="00213929"/>
    <w:rsid w:val="00213AA2"/>
    <w:rsid w:val="00213DC0"/>
    <w:rsid w:val="002144F8"/>
    <w:rsid w:val="002144FF"/>
    <w:rsid w:val="002148E0"/>
    <w:rsid w:val="002149C0"/>
    <w:rsid w:val="0021589D"/>
    <w:rsid w:val="00216E54"/>
    <w:rsid w:val="00216FAD"/>
    <w:rsid w:val="0021705C"/>
    <w:rsid w:val="0021769F"/>
    <w:rsid w:val="00217CCE"/>
    <w:rsid w:val="0022083E"/>
    <w:rsid w:val="00220CBF"/>
    <w:rsid w:val="002216EC"/>
    <w:rsid w:val="00221F23"/>
    <w:rsid w:val="00222CBC"/>
    <w:rsid w:val="00222D03"/>
    <w:rsid w:val="00222D0B"/>
    <w:rsid w:val="00222E4D"/>
    <w:rsid w:val="002230C3"/>
    <w:rsid w:val="00224035"/>
    <w:rsid w:val="00224E48"/>
    <w:rsid w:val="0022555D"/>
    <w:rsid w:val="00225594"/>
    <w:rsid w:val="0022563F"/>
    <w:rsid w:val="00225C64"/>
    <w:rsid w:val="00225C9B"/>
    <w:rsid w:val="002264A5"/>
    <w:rsid w:val="00226FD0"/>
    <w:rsid w:val="00227DBC"/>
    <w:rsid w:val="00230164"/>
    <w:rsid w:val="00230577"/>
    <w:rsid w:val="002307FA"/>
    <w:rsid w:val="00230B4E"/>
    <w:rsid w:val="002310E4"/>
    <w:rsid w:val="00231DDF"/>
    <w:rsid w:val="00232044"/>
    <w:rsid w:val="00232B95"/>
    <w:rsid w:val="00232C33"/>
    <w:rsid w:val="002331E2"/>
    <w:rsid w:val="00233BBE"/>
    <w:rsid w:val="00233E4C"/>
    <w:rsid w:val="00233E51"/>
    <w:rsid w:val="0023441B"/>
    <w:rsid w:val="0023554E"/>
    <w:rsid w:val="002358F5"/>
    <w:rsid w:val="0023591D"/>
    <w:rsid w:val="00235D6E"/>
    <w:rsid w:val="00236601"/>
    <w:rsid w:val="00236B27"/>
    <w:rsid w:val="00236C39"/>
    <w:rsid w:val="00236CF6"/>
    <w:rsid w:val="00237510"/>
    <w:rsid w:val="00237EBC"/>
    <w:rsid w:val="002410F1"/>
    <w:rsid w:val="00241D3D"/>
    <w:rsid w:val="00242CCD"/>
    <w:rsid w:val="0024357B"/>
    <w:rsid w:val="002437C4"/>
    <w:rsid w:val="00243AC3"/>
    <w:rsid w:val="00243B62"/>
    <w:rsid w:val="00243D8F"/>
    <w:rsid w:val="00244989"/>
    <w:rsid w:val="0024521C"/>
    <w:rsid w:val="00245347"/>
    <w:rsid w:val="002455A7"/>
    <w:rsid w:val="00245B84"/>
    <w:rsid w:val="00245BBE"/>
    <w:rsid w:val="00245DAC"/>
    <w:rsid w:val="00245FC2"/>
    <w:rsid w:val="002460DB"/>
    <w:rsid w:val="00246116"/>
    <w:rsid w:val="00246494"/>
    <w:rsid w:val="002470BE"/>
    <w:rsid w:val="002471B3"/>
    <w:rsid w:val="00247549"/>
    <w:rsid w:val="00247A74"/>
    <w:rsid w:val="00247BD9"/>
    <w:rsid w:val="0025017D"/>
    <w:rsid w:val="00250963"/>
    <w:rsid w:val="00250B02"/>
    <w:rsid w:val="00251228"/>
    <w:rsid w:val="0025192C"/>
    <w:rsid w:val="00251A85"/>
    <w:rsid w:val="00251F74"/>
    <w:rsid w:val="00252B2A"/>
    <w:rsid w:val="00252DA7"/>
    <w:rsid w:val="00252DCC"/>
    <w:rsid w:val="00253372"/>
    <w:rsid w:val="00253992"/>
    <w:rsid w:val="00253EED"/>
    <w:rsid w:val="00254D2C"/>
    <w:rsid w:val="00254DA8"/>
    <w:rsid w:val="00254EB3"/>
    <w:rsid w:val="00255714"/>
    <w:rsid w:val="00255B67"/>
    <w:rsid w:val="0025629F"/>
    <w:rsid w:val="002566CA"/>
    <w:rsid w:val="0025695B"/>
    <w:rsid w:val="00256A2D"/>
    <w:rsid w:val="00256BCE"/>
    <w:rsid w:val="00256C40"/>
    <w:rsid w:val="00257516"/>
    <w:rsid w:val="00257C3C"/>
    <w:rsid w:val="00257D5D"/>
    <w:rsid w:val="002612AE"/>
    <w:rsid w:val="00261EF6"/>
    <w:rsid w:val="00262058"/>
    <w:rsid w:val="002621AB"/>
    <w:rsid w:val="002623C0"/>
    <w:rsid w:val="00262B1F"/>
    <w:rsid w:val="0026343E"/>
    <w:rsid w:val="00263631"/>
    <w:rsid w:val="00263CB2"/>
    <w:rsid w:val="00264C8D"/>
    <w:rsid w:val="002651E7"/>
    <w:rsid w:val="00265344"/>
    <w:rsid w:val="00265C9B"/>
    <w:rsid w:val="00265EB5"/>
    <w:rsid w:val="002661A8"/>
    <w:rsid w:val="00266EE5"/>
    <w:rsid w:val="00266F7C"/>
    <w:rsid w:val="002679C3"/>
    <w:rsid w:val="00267A1D"/>
    <w:rsid w:val="00267A72"/>
    <w:rsid w:val="00267FC3"/>
    <w:rsid w:val="00270BD4"/>
    <w:rsid w:val="00271506"/>
    <w:rsid w:val="00271597"/>
    <w:rsid w:val="002718A8"/>
    <w:rsid w:val="00271B98"/>
    <w:rsid w:val="00271F11"/>
    <w:rsid w:val="00272230"/>
    <w:rsid w:val="00272A9E"/>
    <w:rsid w:val="00272B04"/>
    <w:rsid w:val="00272D58"/>
    <w:rsid w:val="00273ABC"/>
    <w:rsid w:val="002744BC"/>
    <w:rsid w:val="0027471D"/>
    <w:rsid w:val="00274A60"/>
    <w:rsid w:val="00274C94"/>
    <w:rsid w:val="00274D38"/>
    <w:rsid w:val="00274D6B"/>
    <w:rsid w:val="002753C1"/>
    <w:rsid w:val="0027601D"/>
    <w:rsid w:val="002760FA"/>
    <w:rsid w:val="00276357"/>
    <w:rsid w:val="00276BE8"/>
    <w:rsid w:val="00276D3B"/>
    <w:rsid w:val="00277871"/>
    <w:rsid w:val="00280395"/>
    <w:rsid w:val="00280B44"/>
    <w:rsid w:val="0028121C"/>
    <w:rsid w:val="00282348"/>
    <w:rsid w:val="00282B8E"/>
    <w:rsid w:val="00282ED3"/>
    <w:rsid w:val="00282F76"/>
    <w:rsid w:val="002835E8"/>
    <w:rsid w:val="00283B18"/>
    <w:rsid w:val="002852F1"/>
    <w:rsid w:val="00285751"/>
    <w:rsid w:val="002864EB"/>
    <w:rsid w:val="0028703F"/>
    <w:rsid w:val="002928A0"/>
    <w:rsid w:val="00292F35"/>
    <w:rsid w:val="00293636"/>
    <w:rsid w:val="002940AE"/>
    <w:rsid w:val="002940C4"/>
    <w:rsid w:val="00294290"/>
    <w:rsid w:val="00296367"/>
    <w:rsid w:val="0029677A"/>
    <w:rsid w:val="00296E38"/>
    <w:rsid w:val="00297105"/>
    <w:rsid w:val="0029775C"/>
    <w:rsid w:val="00297C13"/>
    <w:rsid w:val="00297D3A"/>
    <w:rsid w:val="00297E06"/>
    <w:rsid w:val="002A0672"/>
    <w:rsid w:val="002A101F"/>
    <w:rsid w:val="002A1672"/>
    <w:rsid w:val="002A188A"/>
    <w:rsid w:val="002A1DF7"/>
    <w:rsid w:val="002A23E4"/>
    <w:rsid w:val="002A288F"/>
    <w:rsid w:val="002A2909"/>
    <w:rsid w:val="002A2D4A"/>
    <w:rsid w:val="002A30D6"/>
    <w:rsid w:val="002A3635"/>
    <w:rsid w:val="002A3E2F"/>
    <w:rsid w:val="002A4A70"/>
    <w:rsid w:val="002A51DC"/>
    <w:rsid w:val="002A57C4"/>
    <w:rsid w:val="002A5827"/>
    <w:rsid w:val="002A5858"/>
    <w:rsid w:val="002A5AD1"/>
    <w:rsid w:val="002A5CE8"/>
    <w:rsid w:val="002A5D7B"/>
    <w:rsid w:val="002A5FDC"/>
    <w:rsid w:val="002A66A9"/>
    <w:rsid w:val="002A7958"/>
    <w:rsid w:val="002B0192"/>
    <w:rsid w:val="002B0AD9"/>
    <w:rsid w:val="002B11A8"/>
    <w:rsid w:val="002B152C"/>
    <w:rsid w:val="002B1536"/>
    <w:rsid w:val="002B1666"/>
    <w:rsid w:val="002B3A3A"/>
    <w:rsid w:val="002B3FB9"/>
    <w:rsid w:val="002B406E"/>
    <w:rsid w:val="002B4391"/>
    <w:rsid w:val="002B45AE"/>
    <w:rsid w:val="002B5C69"/>
    <w:rsid w:val="002B5CAB"/>
    <w:rsid w:val="002B6C66"/>
    <w:rsid w:val="002B710D"/>
    <w:rsid w:val="002B7A50"/>
    <w:rsid w:val="002B7D26"/>
    <w:rsid w:val="002B7F38"/>
    <w:rsid w:val="002C00AA"/>
    <w:rsid w:val="002C0466"/>
    <w:rsid w:val="002C1321"/>
    <w:rsid w:val="002C1971"/>
    <w:rsid w:val="002C1D59"/>
    <w:rsid w:val="002C1D5D"/>
    <w:rsid w:val="002C1E80"/>
    <w:rsid w:val="002C272F"/>
    <w:rsid w:val="002C29EE"/>
    <w:rsid w:val="002C2C5B"/>
    <w:rsid w:val="002C3001"/>
    <w:rsid w:val="002C4665"/>
    <w:rsid w:val="002C4E24"/>
    <w:rsid w:val="002C5084"/>
    <w:rsid w:val="002C5EC1"/>
    <w:rsid w:val="002C64FE"/>
    <w:rsid w:val="002C6B1B"/>
    <w:rsid w:val="002C6C37"/>
    <w:rsid w:val="002D01D6"/>
    <w:rsid w:val="002D0B27"/>
    <w:rsid w:val="002D1334"/>
    <w:rsid w:val="002D195D"/>
    <w:rsid w:val="002D202D"/>
    <w:rsid w:val="002D223E"/>
    <w:rsid w:val="002D230B"/>
    <w:rsid w:val="002D2634"/>
    <w:rsid w:val="002D2CBD"/>
    <w:rsid w:val="002D31E9"/>
    <w:rsid w:val="002D3F16"/>
    <w:rsid w:val="002D47A0"/>
    <w:rsid w:val="002D4F0E"/>
    <w:rsid w:val="002D5167"/>
    <w:rsid w:val="002D5B55"/>
    <w:rsid w:val="002D631D"/>
    <w:rsid w:val="002D6D63"/>
    <w:rsid w:val="002D76CE"/>
    <w:rsid w:val="002D76D4"/>
    <w:rsid w:val="002D77A7"/>
    <w:rsid w:val="002E1603"/>
    <w:rsid w:val="002E1E12"/>
    <w:rsid w:val="002E1F37"/>
    <w:rsid w:val="002E2272"/>
    <w:rsid w:val="002E242B"/>
    <w:rsid w:val="002E2516"/>
    <w:rsid w:val="002E265A"/>
    <w:rsid w:val="002E2760"/>
    <w:rsid w:val="002E2869"/>
    <w:rsid w:val="002E303B"/>
    <w:rsid w:val="002E30E7"/>
    <w:rsid w:val="002E3141"/>
    <w:rsid w:val="002E3164"/>
    <w:rsid w:val="002E330E"/>
    <w:rsid w:val="002E3F24"/>
    <w:rsid w:val="002E45DD"/>
    <w:rsid w:val="002E45EA"/>
    <w:rsid w:val="002E46F9"/>
    <w:rsid w:val="002E4971"/>
    <w:rsid w:val="002E4BA7"/>
    <w:rsid w:val="002E4F4C"/>
    <w:rsid w:val="002E5523"/>
    <w:rsid w:val="002E56C7"/>
    <w:rsid w:val="002E5DA4"/>
    <w:rsid w:val="002E5DD3"/>
    <w:rsid w:val="002E6188"/>
    <w:rsid w:val="002E6532"/>
    <w:rsid w:val="002E6E76"/>
    <w:rsid w:val="002E7F7A"/>
    <w:rsid w:val="002F0159"/>
    <w:rsid w:val="002F09E7"/>
    <w:rsid w:val="002F0C51"/>
    <w:rsid w:val="002F0D97"/>
    <w:rsid w:val="002F0EC0"/>
    <w:rsid w:val="002F111D"/>
    <w:rsid w:val="002F18C6"/>
    <w:rsid w:val="002F21D2"/>
    <w:rsid w:val="002F27F7"/>
    <w:rsid w:val="002F2909"/>
    <w:rsid w:val="002F2CF2"/>
    <w:rsid w:val="002F330A"/>
    <w:rsid w:val="002F3AB5"/>
    <w:rsid w:val="002F3E90"/>
    <w:rsid w:val="002F45D3"/>
    <w:rsid w:val="002F5528"/>
    <w:rsid w:val="002F5955"/>
    <w:rsid w:val="002F5B6C"/>
    <w:rsid w:val="002F60C0"/>
    <w:rsid w:val="002F6FDF"/>
    <w:rsid w:val="002F778A"/>
    <w:rsid w:val="00301604"/>
    <w:rsid w:val="003017B5"/>
    <w:rsid w:val="00301E56"/>
    <w:rsid w:val="00301F26"/>
    <w:rsid w:val="00302097"/>
    <w:rsid w:val="00302870"/>
    <w:rsid w:val="00302BD4"/>
    <w:rsid w:val="00302C50"/>
    <w:rsid w:val="00302D21"/>
    <w:rsid w:val="00303191"/>
    <w:rsid w:val="00303612"/>
    <w:rsid w:val="003036C2"/>
    <w:rsid w:val="0030397C"/>
    <w:rsid w:val="00303AF9"/>
    <w:rsid w:val="003047F2"/>
    <w:rsid w:val="0030547D"/>
    <w:rsid w:val="003057BA"/>
    <w:rsid w:val="00307985"/>
    <w:rsid w:val="00307DB8"/>
    <w:rsid w:val="00310198"/>
    <w:rsid w:val="0031048E"/>
    <w:rsid w:val="00310847"/>
    <w:rsid w:val="00310B47"/>
    <w:rsid w:val="00310C4E"/>
    <w:rsid w:val="00310E47"/>
    <w:rsid w:val="00310FAB"/>
    <w:rsid w:val="003113D8"/>
    <w:rsid w:val="00311649"/>
    <w:rsid w:val="00311D02"/>
    <w:rsid w:val="00313330"/>
    <w:rsid w:val="0031338F"/>
    <w:rsid w:val="00314F0B"/>
    <w:rsid w:val="00315142"/>
    <w:rsid w:val="003154F6"/>
    <w:rsid w:val="00315846"/>
    <w:rsid w:val="00315BC6"/>
    <w:rsid w:val="00315E99"/>
    <w:rsid w:val="003160FC"/>
    <w:rsid w:val="00316236"/>
    <w:rsid w:val="0031654A"/>
    <w:rsid w:val="00316C56"/>
    <w:rsid w:val="003174FA"/>
    <w:rsid w:val="00320134"/>
    <w:rsid w:val="003213B2"/>
    <w:rsid w:val="003216FE"/>
    <w:rsid w:val="00321D33"/>
    <w:rsid w:val="003220D0"/>
    <w:rsid w:val="00322371"/>
    <w:rsid w:val="003225E7"/>
    <w:rsid w:val="00322E21"/>
    <w:rsid w:val="00322F2F"/>
    <w:rsid w:val="00322F98"/>
    <w:rsid w:val="0032330A"/>
    <w:rsid w:val="003235EA"/>
    <w:rsid w:val="00323905"/>
    <w:rsid w:val="00323D73"/>
    <w:rsid w:val="00323F3D"/>
    <w:rsid w:val="00323FC9"/>
    <w:rsid w:val="003246BD"/>
    <w:rsid w:val="003246F8"/>
    <w:rsid w:val="003258A7"/>
    <w:rsid w:val="00325B30"/>
    <w:rsid w:val="0032604B"/>
    <w:rsid w:val="00326D6B"/>
    <w:rsid w:val="00326DF1"/>
    <w:rsid w:val="00326E61"/>
    <w:rsid w:val="0032754E"/>
    <w:rsid w:val="00327A86"/>
    <w:rsid w:val="00327BC6"/>
    <w:rsid w:val="00327C16"/>
    <w:rsid w:val="003301B0"/>
    <w:rsid w:val="003303C5"/>
    <w:rsid w:val="0033064E"/>
    <w:rsid w:val="00330734"/>
    <w:rsid w:val="00330C0B"/>
    <w:rsid w:val="00330C68"/>
    <w:rsid w:val="00330DCA"/>
    <w:rsid w:val="00330E98"/>
    <w:rsid w:val="00331024"/>
    <w:rsid w:val="003315AF"/>
    <w:rsid w:val="00331E23"/>
    <w:rsid w:val="00331FA4"/>
    <w:rsid w:val="003329B7"/>
    <w:rsid w:val="00332C73"/>
    <w:rsid w:val="003331D6"/>
    <w:rsid w:val="00333642"/>
    <w:rsid w:val="00333BA7"/>
    <w:rsid w:val="00334240"/>
    <w:rsid w:val="00334A5A"/>
    <w:rsid w:val="00334EF2"/>
    <w:rsid w:val="00334FFE"/>
    <w:rsid w:val="003361D7"/>
    <w:rsid w:val="0033629F"/>
    <w:rsid w:val="00336359"/>
    <w:rsid w:val="003367C3"/>
    <w:rsid w:val="00336BA2"/>
    <w:rsid w:val="003371CB"/>
    <w:rsid w:val="0033744C"/>
    <w:rsid w:val="00337C7C"/>
    <w:rsid w:val="00340765"/>
    <w:rsid w:val="00340B30"/>
    <w:rsid w:val="0034282A"/>
    <w:rsid w:val="00342B9A"/>
    <w:rsid w:val="00342C0B"/>
    <w:rsid w:val="003432D5"/>
    <w:rsid w:val="00343367"/>
    <w:rsid w:val="0034398D"/>
    <w:rsid w:val="00344015"/>
    <w:rsid w:val="0034422F"/>
    <w:rsid w:val="003446DE"/>
    <w:rsid w:val="00344DB7"/>
    <w:rsid w:val="00344EE3"/>
    <w:rsid w:val="00344F01"/>
    <w:rsid w:val="00344F13"/>
    <w:rsid w:val="00345626"/>
    <w:rsid w:val="00345EED"/>
    <w:rsid w:val="003464D0"/>
    <w:rsid w:val="00347459"/>
    <w:rsid w:val="00347A04"/>
    <w:rsid w:val="003501ED"/>
    <w:rsid w:val="00350231"/>
    <w:rsid w:val="00350DE5"/>
    <w:rsid w:val="003510E2"/>
    <w:rsid w:val="00351300"/>
    <w:rsid w:val="0035140F"/>
    <w:rsid w:val="00351A79"/>
    <w:rsid w:val="0035201C"/>
    <w:rsid w:val="003527DC"/>
    <w:rsid w:val="003538B7"/>
    <w:rsid w:val="00353E76"/>
    <w:rsid w:val="003541FE"/>
    <w:rsid w:val="003544D8"/>
    <w:rsid w:val="00354CCA"/>
    <w:rsid w:val="00354E38"/>
    <w:rsid w:val="003557EA"/>
    <w:rsid w:val="003558CB"/>
    <w:rsid w:val="003568D7"/>
    <w:rsid w:val="00356D64"/>
    <w:rsid w:val="00357492"/>
    <w:rsid w:val="00357502"/>
    <w:rsid w:val="00360105"/>
    <w:rsid w:val="003601A2"/>
    <w:rsid w:val="00360288"/>
    <w:rsid w:val="00360518"/>
    <w:rsid w:val="0036057F"/>
    <w:rsid w:val="003606DC"/>
    <w:rsid w:val="00360936"/>
    <w:rsid w:val="00360A06"/>
    <w:rsid w:val="00360CCA"/>
    <w:rsid w:val="00360D5D"/>
    <w:rsid w:val="003616B1"/>
    <w:rsid w:val="00361840"/>
    <w:rsid w:val="00361D96"/>
    <w:rsid w:val="00361E48"/>
    <w:rsid w:val="00361FB0"/>
    <w:rsid w:val="0036233E"/>
    <w:rsid w:val="0036277E"/>
    <w:rsid w:val="0036296C"/>
    <w:rsid w:val="00362973"/>
    <w:rsid w:val="00362E89"/>
    <w:rsid w:val="003635CF"/>
    <w:rsid w:val="00363995"/>
    <w:rsid w:val="00363EF4"/>
    <w:rsid w:val="00364426"/>
    <w:rsid w:val="0036513B"/>
    <w:rsid w:val="00365433"/>
    <w:rsid w:val="0036567A"/>
    <w:rsid w:val="003657B2"/>
    <w:rsid w:val="00365B12"/>
    <w:rsid w:val="00366A71"/>
    <w:rsid w:val="00367163"/>
    <w:rsid w:val="003672DF"/>
    <w:rsid w:val="003677BE"/>
    <w:rsid w:val="00367A1B"/>
    <w:rsid w:val="00367A26"/>
    <w:rsid w:val="00367D0B"/>
    <w:rsid w:val="003705B3"/>
    <w:rsid w:val="00370B2A"/>
    <w:rsid w:val="003716F0"/>
    <w:rsid w:val="00371B80"/>
    <w:rsid w:val="00371CCF"/>
    <w:rsid w:val="00372483"/>
    <w:rsid w:val="00373477"/>
    <w:rsid w:val="0037394E"/>
    <w:rsid w:val="00373B5D"/>
    <w:rsid w:val="00373B60"/>
    <w:rsid w:val="003742B8"/>
    <w:rsid w:val="003746D9"/>
    <w:rsid w:val="003747AA"/>
    <w:rsid w:val="003749A3"/>
    <w:rsid w:val="00374F12"/>
    <w:rsid w:val="00375C3F"/>
    <w:rsid w:val="003765B7"/>
    <w:rsid w:val="00376EAA"/>
    <w:rsid w:val="00376EC5"/>
    <w:rsid w:val="003775B2"/>
    <w:rsid w:val="00377988"/>
    <w:rsid w:val="00377D91"/>
    <w:rsid w:val="00377EA9"/>
    <w:rsid w:val="00380206"/>
    <w:rsid w:val="003806EF"/>
    <w:rsid w:val="00380A9F"/>
    <w:rsid w:val="00380AB1"/>
    <w:rsid w:val="00380C22"/>
    <w:rsid w:val="003812EA"/>
    <w:rsid w:val="003814A2"/>
    <w:rsid w:val="003819DB"/>
    <w:rsid w:val="00381F6B"/>
    <w:rsid w:val="003823A6"/>
    <w:rsid w:val="00382986"/>
    <w:rsid w:val="00382A40"/>
    <w:rsid w:val="00382AA2"/>
    <w:rsid w:val="00383510"/>
    <w:rsid w:val="003836BF"/>
    <w:rsid w:val="003837D5"/>
    <w:rsid w:val="00383DE7"/>
    <w:rsid w:val="00383F77"/>
    <w:rsid w:val="003846F5"/>
    <w:rsid w:val="00385FD6"/>
    <w:rsid w:val="00386451"/>
    <w:rsid w:val="00386544"/>
    <w:rsid w:val="00386572"/>
    <w:rsid w:val="00386C64"/>
    <w:rsid w:val="00386D2C"/>
    <w:rsid w:val="00386E56"/>
    <w:rsid w:val="0038762B"/>
    <w:rsid w:val="00387750"/>
    <w:rsid w:val="00387ACC"/>
    <w:rsid w:val="00387E99"/>
    <w:rsid w:val="00387F5C"/>
    <w:rsid w:val="00390FB8"/>
    <w:rsid w:val="00390FBC"/>
    <w:rsid w:val="00392EDE"/>
    <w:rsid w:val="00392F27"/>
    <w:rsid w:val="00392FF3"/>
    <w:rsid w:val="003936CB"/>
    <w:rsid w:val="00393784"/>
    <w:rsid w:val="0039383A"/>
    <w:rsid w:val="003938C1"/>
    <w:rsid w:val="00394D23"/>
    <w:rsid w:val="00395157"/>
    <w:rsid w:val="003951A1"/>
    <w:rsid w:val="003954F8"/>
    <w:rsid w:val="0039563B"/>
    <w:rsid w:val="00396054"/>
    <w:rsid w:val="003960D4"/>
    <w:rsid w:val="0039613D"/>
    <w:rsid w:val="00396416"/>
    <w:rsid w:val="003977EE"/>
    <w:rsid w:val="003A04E3"/>
    <w:rsid w:val="003A0546"/>
    <w:rsid w:val="003A05E7"/>
    <w:rsid w:val="003A060A"/>
    <w:rsid w:val="003A07EB"/>
    <w:rsid w:val="003A07F4"/>
    <w:rsid w:val="003A0E7F"/>
    <w:rsid w:val="003A1B6A"/>
    <w:rsid w:val="003A2359"/>
    <w:rsid w:val="003A29EB"/>
    <w:rsid w:val="003A2CF0"/>
    <w:rsid w:val="003A3098"/>
    <w:rsid w:val="003A3367"/>
    <w:rsid w:val="003A3792"/>
    <w:rsid w:val="003A4702"/>
    <w:rsid w:val="003A4BCD"/>
    <w:rsid w:val="003A54FC"/>
    <w:rsid w:val="003A5C5C"/>
    <w:rsid w:val="003A5D91"/>
    <w:rsid w:val="003A6941"/>
    <w:rsid w:val="003A6BF9"/>
    <w:rsid w:val="003A6D3C"/>
    <w:rsid w:val="003A78C7"/>
    <w:rsid w:val="003B0DE5"/>
    <w:rsid w:val="003B1270"/>
    <w:rsid w:val="003B12D2"/>
    <w:rsid w:val="003B30E8"/>
    <w:rsid w:val="003B3377"/>
    <w:rsid w:val="003B34E8"/>
    <w:rsid w:val="003B406B"/>
    <w:rsid w:val="003B462D"/>
    <w:rsid w:val="003B47B9"/>
    <w:rsid w:val="003B4B0B"/>
    <w:rsid w:val="003B4B14"/>
    <w:rsid w:val="003B4B1B"/>
    <w:rsid w:val="003B4D61"/>
    <w:rsid w:val="003B4E37"/>
    <w:rsid w:val="003B5216"/>
    <w:rsid w:val="003B5A2E"/>
    <w:rsid w:val="003B5A4E"/>
    <w:rsid w:val="003B661B"/>
    <w:rsid w:val="003B6A17"/>
    <w:rsid w:val="003B6B56"/>
    <w:rsid w:val="003B7032"/>
    <w:rsid w:val="003B715E"/>
    <w:rsid w:val="003B72C2"/>
    <w:rsid w:val="003B7303"/>
    <w:rsid w:val="003B79AE"/>
    <w:rsid w:val="003B7AC2"/>
    <w:rsid w:val="003B7EF7"/>
    <w:rsid w:val="003C0001"/>
    <w:rsid w:val="003C030C"/>
    <w:rsid w:val="003C04D0"/>
    <w:rsid w:val="003C05E5"/>
    <w:rsid w:val="003C16A3"/>
    <w:rsid w:val="003C2240"/>
    <w:rsid w:val="003C28B8"/>
    <w:rsid w:val="003C2FC0"/>
    <w:rsid w:val="003C3457"/>
    <w:rsid w:val="003C348A"/>
    <w:rsid w:val="003C40DD"/>
    <w:rsid w:val="003C4646"/>
    <w:rsid w:val="003C4671"/>
    <w:rsid w:val="003C46DB"/>
    <w:rsid w:val="003C4A67"/>
    <w:rsid w:val="003C4A8E"/>
    <w:rsid w:val="003C583F"/>
    <w:rsid w:val="003C6103"/>
    <w:rsid w:val="003C6487"/>
    <w:rsid w:val="003C66F0"/>
    <w:rsid w:val="003D10ED"/>
    <w:rsid w:val="003D13FD"/>
    <w:rsid w:val="003D1977"/>
    <w:rsid w:val="003D1F95"/>
    <w:rsid w:val="003D2DEC"/>
    <w:rsid w:val="003D38ED"/>
    <w:rsid w:val="003D4F29"/>
    <w:rsid w:val="003D517E"/>
    <w:rsid w:val="003D5181"/>
    <w:rsid w:val="003D5AF9"/>
    <w:rsid w:val="003D643E"/>
    <w:rsid w:val="003D705F"/>
    <w:rsid w:val="003D718B"/>
    <w:rsid w:val="003D747D"/>
    <w:rsid w:val="003D7C50"/>
    <w:rsid w:val="003D7DA4"/>
    <w:rsid w:val="003E09D3"/>
    <w:rsid w:val="003E1233"/>
    <w:rsid w:val="003E1433"/>
    <w:rsid w:val="003E1D68"/>
    <w:rsid w:val="003E1E71"/>
    <w:rsid w:val="003E28FB"/>
    <w:rsid w:val="003E310E"/>
    <w:rsid w:val="003E3B45"/>
    <w:rsid w:val="003E4C67"/>
    <w:rsid w:val="003E5143"/>
    <w:rsid w:val="003E51EA"/>
    <w:rsid w:val="003E55C8"/>
    <w:rsid w:val="003E6B0C"/>
    <w:rsid w:val="003E7649"/>
    <w:rsid w:val="003E7CAA"/>
    <w:rsid w:val="003F032E"/>
    <w:rsid w:val="003F1ACC"/>
    <w:rsid w:val="003F1F92"/>
    <w:rsid w:val="003F2041"/>
    <w:rsid w:val="003F2FCB"/>
    <w:rsid w:val="003F3144"/>
    <w:rsid w:val="003F396D"/>
    <w:rsid w:val="003F3DC5"/>
    <w:rsid w:val="003F49FF"/>
    <w:rsid w:val="003F4E2F"/>
    <w:rsid w:val="003F6656"/>
    <w:rsid w:val="003F75EC"/>
    <w:rsid w:val="003F7834"/>
    <w:rsid w:val="003F78DC"/>
    <w:rsid w:val="003F7CF8"/>
    <w:rsid w:val="004002C1"/>
    <w:rsid w:val="00400754"/>
    <w:rsid w:val="004007E1"/>
    <w:rsid w:val="00400D50"/>
    <w:rsid w:val="0040117E"/>
    <w:rsid w:val="0040197A"/>
    <w:rsid w:val="00402BE0"/>
    <w:rsid w:val="00403296"/>
    <w:rsid w:val="004047CC"/>
    <w:rsid w:val="004057E3"/>
    <w:rsid w:val="00406032"/>
    <w:rsid w:val="0040673E"/>
    <w:rsid w:val="0040742F"/>
    <w:rsid w:val="00407A8A"/>
    <w:rsid w:val="004100CC"/>
    <w:rsid w:val="0041042F"/>
    <w:rsid w:val="00410CF3"/>
    <w:rsid w:val="004111CB"/>
    <w:rsid w:val="0041142A"/>
    <w:rsid w:val="00411497"/>
    <w:rsid w:val="00411B3D"/>
    <w:rsid w:val="004131B1"/>
    <w:rsid w:val="004148D3"/>
    <w:rsid w:val="0041508A"/>
    <w:rsid w:val="0041519F"/>
    <w:rsid w:val="004154BC"/>
    <w:rsid w:val="004159A9"/>
    <w:rsid w:val="004159AB"/>
    <w:rsid w:val="00415F81"/>
    <w:rsid w:val="00416B23"/>
    <w:rsid w:val="00416EBC"/>
    <w:rsid w:val="00416EF3"/>
    <w:rsid w:val="004173A6"/>
    <w:rsid w:val="0041762A"/>
    <w:rsid w:val="0041762C"/>
    <w:rsid w:val="0041792B"/>
    <w:rsid w:val="004204B9"/>
    <w:rsid w:val="004213FF"/>
    <w:rsid w:val="0042210B"/>
    <w:rsid w:val="00422425"/>
    <w:rsid w:val="004229D6"/>
    <w:rsid w:val="00422E93"/>
    <w:rsid w:val="004233FC"/>
    <w:rsid w:val="00423500"/>
    <w:rsid w:val="004237F2"/>
    <w:rsid w:val="00423B2E"/>
    <w:rsid w:val="00423D13"/>
    <w:rsid w:val="0042498A"/>
    <w:rsid w:val="00424C1B"/>
    <w:rsid w:val="004259B2"/>
    <w:rsid w:val="00426674"/>
    <w:rsid w:val="004278E6"/>
    <w:rsid w:val="00430CA1"/>
    <w:rsid w:val="00430D07"/>
    <w:rsid w:val="00430D0F"/>
    <w:rsid w:val="00431300"/>
    <w:rsid w:val="004325DB"/>
    <w:rsid w:val="00432ED7"/>
    <w:rsid w:val="004333EA"/>
    <w:rsid w:val="00433640"/>
    <w:rsid w:val="00434207"/>
    <w:rsid w:val="004348DF"/>
    <w:rsid w:val="0043505E"/>
    <w:rsid w:val="00435201"/>
    <w:rsid w:val="004353B9"/>
    <w:rsid w:val="004354BB"/>
    <w:rsid w:val="00435E59"/>
    <w:rsid w:val="004365E3"/>
    <w:rsid w:val="00436E79"/>
    <w:rsid w:val="0043707D"/>
    <w:rsid w:val="0043720A"/>
    <w:rsid w:val="004373A3"/>
    <w:rsid w:val="00437EAA"/>
    <w:rsid w:val="004400F1"/>
    <w:rsid w:val="00440FAE"/>
    <w:rsid w:val="00440FFF"/>
    <w:rsid w:val="00441005"/>
    <w:rsid w:val="0044109C"/>
    <w:rsid w:val="00441FCB"/>
    <w:rsid w:val="004421B7"/>
    <w:rsid w:val="0044366F"/>
    <w:rsid w:val="00443DD5"/>
    <w:rsid w:val="004443B4"/>
    <w:rsid w:val="0044509F"/>
    <w:rsid w:val="004452A2"/>
    <w:rsid w:val="004460E4"/>
    <w:rsid w:val="004463E0"/>
    <w:rsid w:val="004466A8"/>
    <w:rsid w:val="00446AA1"/>
    <w:rsid w:val="0044775A"/>
    <w:rsid w:val="004477E4"/>
    <w:rsid w:val="004504DD"/>
    <w:rsid w:val="00450978"/>
    <w:rsid w:val="00450EF8"/>
    <w:rsid w:val="0045147C"/>
    <w:rsid w:val="004514AB"/>
    <w:rsid w:val="00452993"/>
    <w:rsid w:val="00452C60"/>
    <w:rsid w:val="0045338E"/>
    <w:rsid w:val="0045391C"/>
    <w:rsid w:val="00453DE2"/>
    <w:rsid w:val="0045408C"/>
    <w:rsid w:val="004540F0"/>
    <w:rsid w:val="004541F2"/>
    <w:rsid w:val="00455311"/>
    <w:rsid w:val="004554E9"/>
    <w:rsid w:val="004557E3"/>
    <w:rsid w:val="004565C3"/>
    <w:rsid w:val="00457021"/>
    <w:rsid w:val="00457420"/>
    <w:rsid w:val="00457F5D"/>
    <w:rsid w:val="00460960"/>
    <w:rsid w:val="00460DD6"/>
    <w:rsid w:val="00461550"/>
    <w:rsid w:val="004621DF"/>
    <w:rsid w:val="004623BB"/>
    <w:rsid w:val="0046243F"/>
    <w:rsid w:val="004627D9"/>
    <w:rsid w:val="00462874"/>
    <w:rsid w:val="00462A2A"/>
    <w:rsid w:val="00462A69"/>
    <w:rsid w:val="004632E9"/>
    <w:rsid w:val="004633D7"/>
    <w:rsid w:val="00463691"/>
    <w:rsid w:val="00463B78"/>
    <w:rsid w:val="00464011"/>
    <w:rsid w:val="00464069"/>
    <w:rsid w:val="00464240"/>
    <w:rsid w:val="004646BC"/>
    <w:rsid w:val="00464AE4"/>
    <w:rsid w:val="00464EEB"/>
    <w:rsid w:val="00465B90"/>
    <w:rsid w:val="00466370"/>
    <w:rsid w:val="004666BC"/>
    <w:rsid w:val="0046678C"/>
    <w:rsid w:val="00466C3E"/>
    <w:rsid w:val="004675B7"/>
    <w:rsid w:val="00467CDF"/>
    <w:rsid w:val="00470764"/>
    <w:rsid w:val="00470963"/>
    <w:rsid w:val="004712E0"/>
    <w:rsid w:val="00471988"/>
    <w:rsid w:val="00471CAE"/>
    <w:rsid w:val="00472841"/>
    <w:rsid w:val="004739A6"/>
    <w:rsid w:val="004741BC"/>
    <w:rsid w:val="0047507F"/>
    <w:rsid w:val="00475A39"/>
    <w:rsid w:val="00475CC1"/>
    <w:rsid w:val="00476C56"/>
    <w:rsid w:val="00480827"/>
    <w:rsid w:val="00480CCA"/>
    <w:rsid w:val="00480D87"/>
    <w:rsid w:val="00481CF9"/>
    <w:rsid w:val="0048237F"/>
    <w:rsid w:val="0048265C"/>
    <w:rsid w:val="00483071"/>
    <w:rsid w:val="0048310F"/>
    <w:rsid w:val="004832A6"/>
    <w:rsid w:val="00483663"/>
    <w:rsid w:val="0048473B"/>
    <w:rsid w:val="00484A35"/>
    <w:rsid w:val="00484B01"/>
    <w:rsid w:val="00484B3B"/>
    <w:rsid w:val="00484D24"/>
    <w:rsid w:val="00485D41"/>
    <w:rsid w:val="00486113"/>
    <w:rsid w:val="0048691C"/>
    <w:rsid w:val="00486949"/>
    <w:rsid w:val="004901AA"/>
    <w:rsid w:val="0049066A"/>
    <w:rsid w:val="00491BF8"/>
    <w:rsid w:val="004924BB"/>
    <w:rsid w:val="00492A54"/>
    <w:rsid w:val="00493223"/>
    <w:rsid w:val="004937D2"/>
    <w:rsid w:val="00493812"/>
    <w:rsid w:val="00493B81"/>
    <w:rsid w:val="0049439D"/>
    <w:rsid w:val="00494681"/>
    <w:rsid w:val="00494AD5"/>
    <w:rsid w:val="004955B9"/>
    <w:rsid w:val="0049572E"/>
    <w:rsid w:val="00495D15"/>
    <w:rsid w:val="004960CA"/>
    <w:rsid w:val="0049707A"/>
    <w:rsid w:val="0049718C"/>
    <w:rsid w:val="00497746"/>
    <w:rsid w:val="004A051B"/>
    <w:rsid w:val="004A0E91"/>
    <w:rsid w:val="004A103F"/>
    <w:rsid w:val="004A220A"/>
    <w:rsid w:val="004A26C2"/>
    <w:rsid w:val="004A2A63"/>
    <w:rsid w:val="004A354A"/>
    <w:rsid w:val="004A3A94"/>
    <w:rsid w:val="004A46A7"/>
    <w:rsid w:val="004A487D"/>
    <w:rsid w:val="004A4C57"/>
    <w:rsid w:val="004A4F28"/>
    <w:rsid w:val="004A5C11"/>
    <w:rsid w:val="004A5C3D"/>
    <w:rsid w:val="004A5C8E"/>
    <w:rsid w:val="004A5EE5"/>
    <w:rsid w:val="004A62B3"/>
    <w:rsid w:val="004A6473"/>
    <w:rsid w:val="004A652E"/>
    <w:rsid w:val="004A6F50"/>
    <w:rsid w:val="004A729C"/>
    <w:rsid w:val="004A7856"/>
    <w:rsid w:val="004A7AF9"/>
    <w:rsid w:val="004B00DF"/>
    <w:rsid w:val="004B0CF1"/>
    <w:rsid w:val="004B1F0C"/>
    <w:rsid w:val="004B2212"/>
    <w:rsid w:val="004B22C6"/>
    <w:rsid w:val="004B248B"/>
    <w:rsid w:val="004B3A43"/>
    <w:rsid w:val="004B3B89"/>
    <w:rsid w:val="004B4254"/>
    <w:rsid w:val="004B42B6"/>
    <w:rsid w:val="004B56EB"/>
    <w:rsid w:val="004B5D76"/>
    <w:rsid w:val="004B5F0F"/>
    <w:rsid w:val="004B6D34"/>
    <w:rsid w:val="004B7605"/>
    <w:rsid w:val="004C0651"/>
    <w:rsid w:val="004C16B5"/>
    <w:rsid w:val="004C444D"/>
    <w:rsid w:val="004C511E"/>
    <w:rsid w:val="004C5693"/>
    <w:rsid w:val="004C6004"/>
    <w:rsid w:val="004C6429"/>
    <w:rsid w:val="004C669E"/>
    <w:rsid w:val="004C68AD"/>
    <w:rsid w:val="004C6C15"/>
    <w:rsid w:val="004C6C59"/>
    <w:rsid w:val="004C6D71"/>
    <w:rsid w:val="004C6E67"/>
    <w:rsid w:val="004C70C4"/>
    <w:rsid w:val="004C719B"/>
    <w:rsid w:val="004C758F"/>
    <w:rsid w:val="004D03A5"/>
    <w:rsid w:val="004D0AC6"/>
    <w:rsid w:val="004D0E70"/>
    <w:rsid w:val="004D1193"/>
    <w:rsid w:val="004D14F0"/>
    <w:rsid w:val="004D30BB"/>
    <w:rsid w:val="004D311D"/>
    <w:rsid w:val="004D3480"/>
    <w:rsid w:val="004D3A5B"/>
    <w:rsid w:val="004D3B0F"/>
    <w:rsid w:val="004D3C14"/>
    <w:rsid w:val="004D3EBE"/>
    <w:rsid w:val="004D48B0"/>
    <w:rsid w:val="004D4ABD"/>
    <w:rsid w:val="004D4D85"/>
    <w:rsid w:val="004D55B8"/>
    <w:rsid w:val="004D5701"/>
    <w:rsid w:val="004D5A34"/>
    <w:rsid w:val="004D5C5B"/>
    <w:rsid w:val="004D5F8E"/>
    <w:rsid w:val="004D6520"/>
    <w:rsid w:val="004D661C"/>
    <w:rsid w:val="004D69CF"/>
    <w:rsid w:val="004D7CC8"/>
    <w:rsid w:val="004E018F"/>
    <w:rsid w:val="004E0E3D"/>
    <w:rsid w:val="004E0E84"/>
    <w:rsid w:val="004E23A9"/>
    <w:rsid w:val="004E2B68"/>
    <w:rsid w:val="004E354A"/>
    <w:rsid w:val="004E35CE"/>
    <w:rsid w:val="004E4AA1"/>
    <w:rsid w:val="004E4C5F"/>
    <w:rsid w:val="004E5181"/>
    <w:rsid w:val="004E60AE"/>
    <w:rsid w:val="004E67C0"/>
    <w:rsid w:val="004E6962"/>
    <w:rsid w:val="004E6A43"/>
    <w:rsid w:val="004E75D2"/>
    <w:rsid w:val="004F012C"/>
    <w:rsid w:val="004F0544"/>
    <w:rsid w:val="004F06D5"/>
    <w:rsid w:val="004F0B42"/>
    <w:rsid w:val="004F0C77"/>
    <w:rsid w:val="004F0C84"/>
    <w:rsid w:val="004F112D"/>
    <w:rsid w:val="004F19AC"/>
    <w:rsid w:val="004F1C6F"/>
    <w:rsid w:val="004F1E2D"/>
    <w:rsid w:val="004F26B3"/>
    <w:rsid w:val="004F2910"/>
    <w:rsid w:val="004F2974"/>
    <w:rsid w:val="004F2A2D"/>
    <w:rsid w:val="004F2AF9"/>
    <w:rsid w:val="004F4110"/>
    <w:rsid w:val="004F51C1"/>
    <w:rsid w:val="004F6147"/>
    <w:rsid w:val="004F7410"/>
    <w:rsid w:val="004F74C0"/>
    <w:rsid w:val="004F7C1D"/>
    <w:rsid w:val="004F7F1A"/>
    <w:rsid w:val="005007CF"/>
    <w:rsid w:val="00500DA2"/>
    <w:rsid w:val="00501566"/>
    <w:rsid w:val="005015E1"/>
    <w:rsid w:val="0050317D"/>
    <w:rsid w:val="005031A6"/>
    <w:rsid w:val="00503FD0"/>
    <w:rsid w:val="00504C3B"/>
    <w:rsid w:val="00504DCE"/>
    <w:rsid w:val="00505068"/>
    <w:rsid w:val="00505073"/>
    <w:rsid w:val="00505D45"/>
    <w:rsid w:val="00507342"/>
    <w:rsid w:val="005101C0"/>
    <w:rsid w:val="0051022E"/>
    <w:rsid w:val="00510807"/>
    <w:rsid w:val="005109C9"/>
    <w:rsid w:val="00511C0B"/>
    <w:rsid w:val="00511DF2"/>
    <w:rsid w:val="00511F29"/>
    <w:rsid w:val="0051220A"/>
    <w:rsid w:val="00512647"/>
    <w:rsid w:val="00512A36"/>
    <w:rsid w:val="0051437A"/>
    <w:rsid w:val="00515731"/>
    <w:rsid w:val="00515858"/>
    <w:rsid w:val="00515BF1"/>
    <w:rsid w:val="0051620F"/>
    <w:rsid w:val="00516238"/>
    <w:rsid w:val="00516B0E"/>
    <w:rsid w:val="00516B2C"/>
    <w:rsid w:val="005175A8"/>
    <w:rsid w:val="00520F98"/>
    <w:rsid w:val="0052159A"/>
    <w:rsid w:val="00521A14"/>
    <w:rsid w:val="00521BBE"/>
    <w:rsid w:val="00521DD2"/>
    <w:rsid w:val="005226B5"/>
    <w:rsid w:val="00523A7C"/>
    <w:rsid w:val="00523AD7"/>
    <w:rsid w:val="00523F62"/>
    <w:rsid w:val="00524278"/>
    <w:rsid w:val="005243FF"/>
    <w:rsid w:val="0052452A"/>
    <w:rsid w:val="00524779"/>
    <w:rsid w:val="005249E8"/>
    <w:rsid w:val="00524B66"/>
    <w:rsid w:val="00524C52"/>
    <w:rsid w:val="00524E04"/>
    <w:rsid w:val="0052518A"/>
    <w:rsid w:val="0052589B"/>
    <w:rsid w:val="00525B09"/>
    <w:rsid w:val="005264FD"/>
    <w:rsid w:val="0052671F"/>
    <w:rsid w:val="00526A05"/>
    <w:rsid w:val="00526E8C"/>
    <w:rsid w:val="00527381"/>
    <w:rsid w:val="00527689"/>
    <w:rsid w:val="00527DCB"/>
    <w:rsid w:val="005312B8"/>
    <w:rsid w:val="00531B00"/>
    <w:rsid w:val="00531B9F"/>
    <w:rsid w:val="00531D5C"/>
    <w:rsid w:val="00532213"/>
    <w:rsid w:val="005329C6"/>
    <w:rsid w:val="00533ED7"/>
    <w:rsid w:val="00534054"/>
    <w:rsid w:val="00534601"/>
    <w:rsid w:val="00534BE8"/>
    <w:rsid w:val="00535E88"/>
    <w:rsid w:val="005368D0"/>
    <w:rsid w:val="00536BDD"/>
    <w:rsid w:val="005379A3"/>
    <w:rsid w:val="00537BE7"/>
    <w:rsid w:val="0054013A"/>
    <w:rsid w:val="00540168"/>
    <w:rsid w:val="005402C6"/>
    <w:rsid w:val="005404EA"/>
    <w:rsid w:val="005405D6"/>
    <w:rsid w:val="00541866"/>
    <w:rsid w:val="005419C2"/>
    <w:rsid w:val="00541CBB"/>
    <w:rsid w:val="0054260F"/>
    <w:rsid w:val="005426CA"/>
    <w:rsid w:val="005432BE"/>
    <w:rsid w:val="005437CC"/>
    <w:rsid w:val="00543942"/>
    <w:rsid w:val="00544071"/>
    <w:rsid w:val="00544629"/>
    <w:rsid w:val="00544DAB"/>
    <w:rsid w:val="00545179"/>
    <w:rsid w:val="00545A3F"/>
    <w:rsid w:val="00546124"/>
    <w:rsid w:val="0054648E"/>
    <w:rsid w:val="005477E5"/>
    <w:rsid w:val="0055008E"/>
    <w:rsid w:val="005517D7"/>
    <w:rsid w:val="00551EA9"/>
    <w:rsid w:val="0055205C"/>
    <w:rsid w:val="00552719"/>
    <w:rsid w:val="00552A95"/>
    <w:rsid w:val="00552C07"/>
    <w:rsid w:val="00552FA5"/>
    <w:rsid w:val="00553395"/>
    <w:rsid w:val="00553418"/>
    <w:rsid w:val="00553BB3"/>
    <w:rsid w:val="00553ECA"/>
    <w:rsid w:val="00554569"/>
    <w:rsid w:val="005546A6"/>
    <w:rsid w:val="00554B2D"/>
    <w:rsid w:val="00554C72"/>
    <w:rsid w:val="005552CF"/>
    <w:rsid w:val="005552EE"/>
    <w:rsid w:val="0055560D"/>
    <w:rsid w:val="00555A06"/>
    <w:rsid w:val="00555B77"/>
    <w:rsid w:val="00556CE8"/>
    <w:rsid w:val="00556D38"/>
    <w:rsid w:val="0055721C"/>
    <w:rsid w:val="00557F1F"/>
    <w:rsid w:val="005602DB"/>
    <w:rsid w:val="00560719"/>
    <w:rsid w:val="00561078"/>
    <w:rsid w:val="005612B4"/>
    <w:rsid w:val="00561492"/>
    <w:rsid w:val="005614C8"/>
    <w:rsid w:val="00561F40"/>
    <w:rsid w:val="00562284"/>
    <w:rsid w:val="00562BD3"/>
    <w:rsid w:val="00563AC5"/>
    <w:rsid w:val="00563FF6"/>
    <w:rsid w:val="00564778"/>
    <w:rsid w:val="00564919"/>
    <w:rsid w:val="00564EF3"/>
    <w:rsid w:val="005650A6"/>
    <w:rsid w:val="00566CD6"/>
    <w:rsid w:val="00566E36"/>
    <w:rsid w:val="00567155"/>
    <w:rsid w:val="00567852"/>
    <w:rsid w:val="005706FD"/>
    <w:rsid w:val="00570A05"/>
    <w:rsid w:val="00570A29"/>
    <w:rsid w:val="00570BFE"/>
    <w:rsid w:val="00571119"/>
    <w:rsid w:val="00571359"/>
    <w:rsid w:val="0057138F"/>
    <w:rsid w:val="00571E61"/>
    <w:rsid w:val="005721E4"/>
    <w:rsid w:val="00572521"/>
    <w:rsid w:val="00572FB6"/>
    <w:rsid w:val="0057302C"/>
    <w:rsid w:val="00573363"/>
    <w:rsid w:val="005743D0"/>
    <w:rsid w:val="00574A18"/>
    <w:rsid w:val="00574D61"/>
    <w:rsid w:val="005751C1"/>
    <w:rsid w:val="0057560B"/>
    <w:rsid w:val="00575AF7"/>
    <w:rsid w:val="00575B97"/>
    <w:rsid w:val="0057634A"/>
    <w:rsid w:val="00577090"/>
    <w:rsid w:val="00577395"/>
    <w:rsid w:val="005777BC"/>
    <w:rsid w:val="00577F5C"/>
    <w:rsid w:val="00580D13"/>
    <w:rsid w:val="005813A3"/>
    <w:rsid w:val="00581EB1"/>
    <w:rsid w:val="00582491"/>
    <w:rsid w:val="0058266D"/>
    <w:rsid w:val="00582AA3"/>
    <w:rsid w:val="00582CD6"/>
    <w:rsid w:val="00583291"/>
    <w:rsid w:val="00583E88"/>
    <w:rsid w:val="00584007"/>
    <w:rsid w:val="0058457D"/>
    <w:rsid w:val="00584B3B"/>
    <w:rsid w:val="00584B74"/>
    <w:rsid w:val="0058500D"/>
    <w:rsid w:val="0058578D"/>
    <w:rsid w:val="005859E5"/>
    <w:rsid w:val="00585D04"/>
    <w:rsid w:val="00585FDD"/>
    <w:rsid w:val="00586EB3"/>
    <w:rsid w:val="005871CC"/>
    <w:rsid w:val="00587938"/>
    <w:rsid w:val="00587F09"/>
    <w:rsid w:val="00590425"/>
    <w:rsid w:val="00590D69"/>
    <w:rsid w:val="0059109C"/>
    <w:rsid w:val="005911DF"/>
    <w:rsid w:val="00591240"/>
    <w:rsid w:val="00591531"/>
    <w:rsid w:val="00591D07"/>
    <w:rsid w:val="0059216F"/>
    <w:rsid w:val="005923A3"/>
    <w:rsid w:val="00592507"/>
    <w:rsid w:val="005929F6"/>
    <w:rsid w:val="00592E94"/>
    <w:rsid w:val="00592EC2"/>
    <w:rsid w:val="0059342F"/>
    <w:rsid w:val="00593815"/>
    <w:rsid w:val="005938F6"/>
    <w:rsid w:val="00593E43"/>
    <w:rsid w:val="00593F1B"/>
    <w:rsid w:val="00594904"/>
    <w:rsid w:val="00595364"/>
    <w:rsid w:val="00595F4B"/>
    <w:rsid w:val="00596639"/>
    <w:rsid w:val="005967DE"/>
    <w:rsid w:val="005971CE"/>
    <w:rsid w:val="005A0532"/>
    <w:rsid w:val="005A096A"/>
    <w:rsid w:val="005A0CFA"/>
    <w:rsid w:val="005A0F0F"/>
    <w:rsid w:val="005A150A"/>
    <w:rsid w:val="005A19A5"/>
    <w:rsid w:val="005A1B5C"/>
    <w:rsid w:val="005A27A6"/>
    <w:rsid w:val="005A285F"/>
    <w:rsid w:val="005A2C76"/>
    <w:rsid w:val="005A2CD4"/>
    <w:rsid w:val="005A2FF2"/>
    <w:rsid w:val="005A34CF"/>
    <w:rsid w:val="005A562E"/>
    <w:rsid w:val="005A5D3E"/>
    <w:rsid w:val="005A5EB1"/>
    <w:rsid w:val="005A5F72"/>
    <w:rsid w:val="005A6DC0"/>
    <w:rsid w:val="005A6FF2"/>
    <w:rsid w:val="005A707C"/>
    <w:rsid w:val="005A7DD9"/>
    <w:rsid w:val="005B02F3"/>
    <w:rsid w:val="005B0424"/>
    <w:rsid w:val="005B0433"/>
    <w:rsid w:val="005B08D5"/>
    <w:rsid w:val="005B1E02"/>
    <w:rsid w:val="005B1EF1"/>
    <w:rsid w:val="005B2510"/>
    <w:rsid w:val="005B2FE3"/>
    <w:rsid w:val="005B335B"/>
    <w:rsid w:val="005B36F4"/>
    <w:rsid w:val="005B3DD2"/>
    <w:rsid w:val="005B4652"/>
    <w:rsid w:val="005B4787"/>
    <w:rsid w:val="005B4DE0"/>
    <w:rsid w:val="005B4EA0"/>
    <w:rsid w:val="005B5187"/>
    <w:rsid w:val="005B5359"/>
    <w:rsid w:val="005B6782"/>
    <w:rsid w:val="005B68F7"/>
    <w:rsid w:val="005B7B0B"/>
    <w:rsid w:val="005C0528"/>
    <w:rsid w:val="005C096E"/>
    <w:rsid w:val="005C0ADB"/>
    <w:rsid w:val="005C0B2E"/>
    <w:rsid w:val="005C0B65"/>
    <w:rsid w:val="005C111D"/>
    <w:rsid w:val="005C18AF"/>
    <w:rsid w:val="005C2232"/>
    <w:rsid w:val="005C2674"/>
    <w:rsid w:val="005C29C0"/>
    <w:rsid w:val="005C2EFE"/>
    <w:rsid w:val="005C30E2"/>
    <w:rsid w:val="005C3624"/>
    <w:rsid w:val="005C4E40"/>
    <w:rsid w:val="005C544F"/>
    <w:rsid w:val="005C5CDE"/>
    <w:rsid w:val="005C60C7"/>
    <w:rsid w:val="005C643C"/>
    <w:rsid w:val="005C69B5"/>
    <w:rsid w:val="005C7725"/>
    <w:rsid w:val="005D19B8"/>
    <w:rsid w:val="005D1A40"/>
    <w:rsid w:val="005D1DE2"/>
    <w:rsid w:val="005D1E3B"/>
    <w:rsid w:val="005D239A"/>
    <w:rsid w:val="005D2692"/>
    <w:rsid w:val="005D27F7"/>
    <w:rsid w:val="005D396C"/>
    <w:rsid w:val="005D3B5C"/>
    <w:rsid w:val="005D41A2"/>
    <w:rsid w:val="005D52D1"/>
    <w:rsid w:val="005D53F3"/>
    <w:rsid w:val="005D56B3"/>
    <w:rsid w:val="005D5D33"/>
    <w:rsid w:val="005D6215"/>
    <w:rsid w:val="005D66D5"/>
    <w:rsid w:val="005D680C"/>
    <w:rsid w:val="005D7247"/>
    <w:rsid w:val="005E064A"/>
    <w:rsid w:val="005E070D"/>
    <w:rsid w:val="005E0FAD"/>
    <w:rsid w:val="005E1524"/>
    <w:rsid w:val="005E200A"/>
    <w:rsid w:val="005E2342"/>
    <w:rsid w:val="005E249D"/>
    <w:rsid w:val="005E25C3"/>
    <w:rsid w:val="005E4365"/>
    <w:rsid w:val="005E45B5"/>
    <w:rsid w:val="005E4F14"/>
    <w:rsid w:val="005E5893"/>
    <w:rsid w:val="005E58CB"/>
    <w:rsid w:val="005E5F5F"/>
    <w:rsid w:val="005E6E07"/>
    <w:rsid w:val="005E75BA"/>
    <w:rsid w:val="005E75E8"/>
    <w:rsid w:val="005E7AE6"/>
    <w:rsid w:val="005E7AEF"/>
    <w:rsid w:val="005E7CE6"/>
    <w:rsid w:val="005F1084"/>
    <w:rsid w:val="005F1947"/>
    <w:rsid w:val="005F1A29"/>
    <w:rsid w:val="005F1EBC"/>
    <w:rsid w:val="005F21C5"/>
    <w:rsid w:val="005F27A3"/>
    <w:rsid w:val="005F3A56"/>
    <w:rsid w:val="005F3B84"/>
    <w:rsid w:val="005F4046"/>
    <w:rsid w:val="005F42B8"/>
    <w:rsid w:val="005F4998"/>
    <w:rsid w:val="005F534A"/>
    <w:rsid w:val="005F54E2"/>
    <w:rsid w:val="005F629E"/>
    <w:rsid w:val="005F650D"/>
    <w:rsid w:val="005F6825"/>
    <w:rsid w:val="005F6A35"/>
    <w:rsid w:val="005F72CF"/>
    <w:rsid w:val="005F7432"/>
    <w:rsid w:val="005F7567"/>
    <w:rsid w:val="005F75F9"/>
    <w:rsid w:val="005F7771"/>
    <w:rsid w:val="005F7D04"/>
    <w:rsid w:val="00600159"/>
    <w:rsid w:val="0060031D"/>
    <w:rsid w:val="00600883"/>
    <w:rsid w:val="006009A1"/>
    <w:rsid w:val="00600B38"/>
    <w:rsid w:val="00601326"/>
    <w:rsid w:val="00601F25"/>
    <w:rsid w:val="00602218"/>
    <w:rsid w:val="006023B0"/>
    <w:rsid w:val="00602872"/>
    <w:rsid w:val="00602985"/>
    <w:rsid w:val="0060335A"/>
    <w:rsid w:val="00603554"/>
    <w:rsid w:val="0060389B"/>
    <w:rsid w:val="00603D0A"/>
    <w:rsid w:val="00603DDF"/>
    <w:rsid w:val="00603E99"/>
    <w:rsid w:val="006042E6"/>
    <w:rsid w:val="00604733"/>
    <w:rsid w:val="00604837"/>
    <w:rsid w:val="00604A05"/>
    <w:rsid w:val="00604E18"/>
    <w:rsid w:val="0060517D"/>
    <w:rsid w:val="00605563"/>
    <w:rsid w:val="006064BB"/>
    <w:rsid w:val="00606800"/>
    <w:rsid w:val="00606EEE"/>
    <w:rsid w:val="00607004"/>
    <w:rsid w:val="00607188"/>
    <w:rsid w:val="0060740D"/>
    <w:rsid w:val="00607B97"/>
    <w:rsid w:val="00610095"/>
    <w:rsid w:val="00610282"/>
    <w:rsid w:val="00610B15"/>
    <w:rsid w:val="00610B2B"/>
    <w:rsid w:val="00610B68"/>
    <w:rsid w:val="0061114B"/>
    <w:rsid w:val="006111D7"/>
    <w:rsid w:val="006112FC"/>
    <w:rsid w:val="0061155A"/>
    <w:rsid w:val="006115A6"/>
    <w:rsid w:val="00611C7A"/>
    <w:rsid w:val="00612495"/>
    <w:rsid w:val="00612AD0"/>
    <w:rsid w:val="00613721"/>
    <w:rsid w:val="00613811"/>
    <w:rsid w:val="00613985"/>
    <w:rsid w:val="00615EA1"/>
    <w:rsid w:val="00615F48"/>
    <w:rsid w:val="006165D7"/>
    <w:rsid w:val="00620366"/>
    <w:rsid w:val="00620792"/>
    <w:rsid w:val="006210AF"/>
    <w:rsid w:val="00621208"/>
    <w:rsid w:val="00621CA9"/>
    <w:rsid w:val="00621E6A"/>
    <w:rsid w:val="0062214C"/>
    <w:rsid w:val="0062242F"/>
    <w:rsid w:val="0062280D"/>
    <w:rsid w:val="0062292D"/>
    <w:rsid w:val="00623171"/>
    <w:rsid w:val="0062389C"/>
    <w:rsid w:val="0062465B"/>
    <w:rsid w:val="00625B16"/>
    <w:rsid w:val="00625E4B"/>
    <w:rsid w:val="0062629A"/>
    <w:rsid w:val="006265AB"/>
    <w:rsid w:val="00626968"/>
    <w:rsid w:val="00626B7A"/>
    <w:rsid w:val="006270F2"/>
    <w:rsid w:val="006273B4"/>
    <w:rsid w:val="00627E6B"/>
    <w:rsid w:val="00627F86"/>
    <w:rsid w:val="00630170"/>
    <w:rsid w:val="0063075F"/>
    <w:rsid w:val="00630A1A"/>
    <w:rsid w:val="00631132"/>
    <w:rsid w:val="006322CD"/>
    <w:rsid w:val="006323B3"/>
    <w:rsid w:val="0063253F"/>
    <w:rsid w:val="0063311C"/>
    <w:rsid w:val="00633502"/>
    <w:rsid w:val="006337C7"/>
    <w:rsid w:val="00633803"/>
    <w:rsid w:val="0063434B"/>
    <w:rsid w:val="00634500"/>
    <w:rsid w:val="00634BA0"/>
    <w:rsid w:val="00634DE3"/>
    <w:rsid w:val="00634E49"/>
    <w:rsid w:val="0063547C"/>
    <w:rsid w:val="00635750"/>
    <w:rsid w:val="0063586F"/>
    <w:rsid w:val="00635B24"/>
    <w:rsid w:val="00635B7A"/>
    <w:rsid w:val="00635FD3"/>
    <w:rsid w:val="006364C8"/>
    <w:rsid w:val="00636979"/>
    <w:rsid w:val="00637660"/>
    <w:rsid w:val="00637663"/>
    <w:rsid w:val="00640099"/>
    <w:rsid w:val="0064021A"/>
    <w:rsid w:val="00640240"/>
    <w:rsid w:val="006405FC"/>
    <w:rsid w:val="00640DE4"/>
    <w:rsid w:val="00641205"/>
    <w:rsid w:val="006415F5"/>
    <w:rsid w:val="00641CD4"/>
    <w:rsid w:val="00641E24"/>
    <w:rsid w:val="0064223A"/>
    <w:rsid w:val="00643073"/>
    <w:rsid w:val="006430A5"/>
    <w:rsid w:val="00643428"/>
    <w:rsid w:val="00643AB8"/>
    <w:rsid w:val="00643ED8"/>
    <w:rsid w:val="006440C3"/>
    <w:rsid w:val="006441D0"/>
    <w:rsid w:val="0064420A"/>
    <w:rsid w:val="006447FE"/>
    <w:rsid w:val="00646112"/>
    <w:rsid w:val="006464A7"/>
    <w:rsid w:val="006464AF"/>
    <w:rsid w:val="006478A5"/>
    <w:rsid w:val="00647D7C"/>
    <w:rsid w:val="006507E7"/>
    <w:rsid w:val="00650AF1"/>
    <w:rsid w:val="00650BE4"/>
    <w:rsid w:val="00651255"/>
    <w:rsid w:val="006515B5"/>
    <w:rsid w:val="00651D69"/>
    <w:rsid w:val="00652134"/>
    <w:rsid w:val="0065233D"/>
    <w:rsid w:val="00652441"/>
    <w:rsid w:val="00652F81"/>
    <w:rsid w:val="00652F85"/>
    <w:rsid w:val="00653082"/>
    <w:rsid w:val="00653767"/>
    <w:rsid w:val="006543AE"/>
    <w:rsid w:val="006543EB"/>
    <w:rsid w:val="0065458B"/>
    <w:rsid w:val="006552AF"/>
    <w:rsid w:val="00655F0B"/>
    <w:rsid w:val="006565CB"/>
    <w:rsid w:val="00656E72"/>
    <w:rsid w:val="0065724E"/>
    <w:rsid w:val="00657F32"/>
    <w:rsid w:val="00660949"/>
    <w:rsid w:val="00660BD7"/>
    <w:rsid w:val="00660F57"/>
    <w:rsid w:val="00661722"/>
    <w:rsid w:val="00661818"/>
    <w:rsid w:val="00661E7B"/>
    <w:rsid w:val="0066289A"/>
    <w:rsid w:val="006629BA"/>
    <w:rsid w:val="00662D76"/>
    <w:rsid w:val="0066368D"/>
    <w:rsid w:val="006636A1"/>
    <w:rsid w:val="006637DA"/>
    <w:rsid w:val="00663EAF"/>
    <w:rsid w:val="00663EB9"/>
    <w:rsid w:val="0066416C"/>
    <w:rsid w:val="00664C82"/>
    <w:rsid w:val="00664E1F"/>
    <w:rsid w:val="00664E72"/>
    <w:rsid w:val="00665184"/>
    <w:rsid w:val="006658E4"/>
    <w:rsid w:val="00665BE1"/>
    <w:rsid w:val="00666019"/>
    <w:rsid w:val="00666838"/>
    <w:rsid w:val="0066739C"/>
    <w:rsid w:val="0067016A"/>
    <w:rsid w:val="00670988"/>
    <w:rsid w:val="00670A14"/>
    <w:rsid w:val="00670AAB"/>
    <w:rsid w:val="00670AFC"/>
    <w:rsid w:val="00670B0B"/>
    <w:rsid w:val="00670D9B"/>
    <w:rsid w:val="00670F7C"/>
    <w:rsid w:val="00671382"/>
    <w:rsid w:val="006716B5"/>
    <w:rsid w:val="00671779"/>
    <w:rsid w:val="00671D1D"/>
    <w:rsid w:val="00671FC8"/>
    <w:rsid w:val="0067213F"/>
    <w:rsid w:val="0067242B"/>
    <w:rsid w:val="006728F5"/>
    <w:rsid w:val="006734B4"/>
    <w:rsid w:val="00673D79"/>
    <w:rsid w:val="006740F4"/>
    <w:rsid w:val="0067477B"/>
    <w:rsid w:val="00674CC0"/>
    <w:rsid w:val="006751F7"/>
    <w:rsid w:val="00675662"/>
    <w:rsid w:val="00675963"/>
    <w:rsid w:val="00676314"/>
    <w:rsid w:val="00676390"/>
    <w:rsid w:val="00676A87"/>
    <w:rsid w:val="00676BA5"/>
    <w:rsid w:val="00677C13"/>
    <w:rsid w:val="00677F6F"/>
    <w:rsid w:val="00680F37"/>
    <w:rsid w:val="006818F5"/>
    <w:rsid w:val="0068286F"/>
    <w:rsid w:val="0068290F"/>
    <w:rsid w:val="00682B40"/>
    <w:rsid w:val="006840FD"/>
    <w:rsid w:val="0068411F"/>
    <w:rsid w:val="00684145"/>
    <w:rsid w:val="006846D2"/>
    <w:rsid w:val="00684824"/>
    <w:rsid w:val="00685990"/>
    <w:rsid w:val="006860BF"/>
    <w:rsid w:val="006862B4"/>
    <w:rsid w:val="00686850"/>
    <w:rsid w:val="00687423"/>
    <w:rsid w:val="00687ADA"/>
    <w:rsid w:val="00690020"/>
    <w:rsid w:val="006902FE"/>
    <w:rsid w:val="00690483"/>
    <w:rsid w:val="00690C0B"/>
    <w:rsid w:val="00691A00"/>
    <w:rsid w:val="00692104"/>
    <w:rsid w:val="0069248B"/>
    <w:rsid w:val="006929C9"/>
    <w:rsid w:val="006933B6"/>
    <w:rsid w:val="006936B1"/>
    <w:rsid w:val="006942C3"/>
    <w:rsid w:val="00694E1B"/>
    <w:rsid w:val="006951C2"/>
    <w:rsid w:val="00695633"/>
    <w:rsid w:val="00695B12"/>
    <w:rsid w:val="00695B59"/>
    <w:rsid w:val="00695E4A"/>
    <w:rsid w:val="00697378"/>
    <w:rsid w:val="00697567"/>
    <w:rsid w:val="006975C5"/>
    <w:rsid w:val="006976C2"/>
    <w:rsid w:val="00697BC8"/>
    <w:rsid w:val="006A0916"/>
    <w:rsid w:val="006A13EA"/>
    <w:rsid w:val="006A14CF"/>
    <w:rsid w:val="006A188F"/>
    <w:rsid w:val="006A2AAE"/>
    <w:rsid w:val="006A2BC1"/>
    <w:rsid w:val="006A2DBF"/>
    <w:rsid w:val="006A2EED"/>
    <w:rsid w:val="006A3610"/>
    <w:rsid w:val="006A3908"/>
    <w:rsid w:val="006A5420"/>
    <w:rsid w:val="006A5887"/>
    <w:rsid w:val="006A5F48"/>
    <w:rsid w:val="006A6174"/>
    <w:rsid w:val="006A673C"/>
    <w:rsid w:val="006A6FF5"/>
    <w:rsid w:val="006A7650"/>
    <w:rsid w:val="006A7CC0"/>
    <w:rsid w:val="006A7E14"/>
    <w:rsid w:val="006B11AD"/>
    <w:rsid w:val="006B162F"/>
    <w:rsid w:val="006B33BB"/>
    <w:rsid w:val="006B3A28"/>
    <w:rsid w:val="006B3C22"/>
    <w:rsid w:val="006B403A"/>
    <w:rsid w:val="006B4597"/>
    <w:rsid w:val="006B4A4D"/>
    <w:rsid w:val="006B5784"/>
    <w:rsid w:val="006B5D7C"/>
    <w:rsid w:val="006B641C"/>
    <w:rsid w:val="006B6C78"/>
    <w:rsid w:val="006B7805"/>
    <w:rsid w:val="006B7D12"/>
    <w:rsid w:val="006B7FE3"/>
    <w:rsid w:val="006C02E6"/>
    <w:rsid w:val="006C07B5"/>
    <w:rsid w:val="006C07E0"/>
    <w:rsid w:val="006C0A8F"/>
    <w:rsid w:val="006C0FED"/>
    <w:rsid w:val="006C12EF"/>
    <w:rsid w:val="006C152D"/>
    <w:rsid w:val="006C16D3"/>
    <w:rsid w:val="006C1BF0"/>
    <w:rsid w:val="006C2CDE"/>
    <w:rsid w:val="006C2D8A"/>
    <w:rsid w:val="006C3254"/>
    <w:rsid w:val="006C3963"/>
    <w:rsid w:val="006C3BF0"/>
    <w:rsid w:val="006C3E68"/>
    <w:rsid w:val="006C3FDC"/>
    <w:rsid w:val="006C4078"/>
    <w:rsid w:val="006C419D"/>
    <w:rsid w:val="006C43C7"/>
    <w:rsid w:val="006C4A72"/>
    <w:rsid w:val="006C4B2C"/>
    <w:rsid w:val="006C4C9C"/>
    <w:rsid w:val="006C4CDB"/>
    <w:rsid w:val="006C4E77"/>
    <w:rsid w:val="006C585B"/>
    <w:rsid w:val="006C5A18"/>
    <w:rsid w:val="006C64C9"/>
    <w:rsid w:val="006C69FE"/>
    <w:rsid w:val="006C6F4D"/>
    <w:rsid w:val="006C7B5E"/>
    <w:rsid w:val="006C7D25"/>
    <w:rsid w:val="006D010B"/>
    <w:rsid w:val="006D0312"/>
    <w:rsid w:val="006D0344"/>
    <w:rsid w:val="006D1C31"/>
    <w:rsid w:val="006D2221"/>
    <w:rsid w:val="006D27AF"/>
    <w:rsid w:val="006D311E"/>
    <w:rsid w:val="006D3577"/>
    <w:rsid w:val="006D3DD6"/>
    <w:rsid w:val="006D4083"/>
    <w:rsid w:val="006D4AC1"/>
    <w:rsid w:val="006D53C4"/>
    <w:rsid w:val="006D6181"/>
    <w:rsid w:val="006D61A9"/>
    <w:rsid w:val="006D6342"/>
    <w:rsid w:val="006D69E2"/>
    <w:rsid w:val="006D6EFB"/>
    <w:rsid w:val="006D7086"/>
    <w:rsid w:val="006D7312"/>
    <w:rsid w:val="006D7C6C"/>
    <w:rsid w:val="006E0260"/>
    <w:rsid w:val="006E0626"/>
    <w:rsid w:val="006E06AE"/>
    <w:rsid w:val="006E0C32"/>
    <w:rsid w:val="006E0ED0"/>
    <w:rsid w:val="006E1636"/>
    <w:rsid w:val="006E1B5A"/>
    <w:rsid w:val="006E1E6A"/>
    <w:rsid w:val="006E1F05"/>
    <w:rsid w:val="006E1F51"/>
    <w:rsid w:val="006E243B"/>
    <w:rsid w:val="006E2518"/>
    <w:rsid w:val="006E27BE"/>
    <w:rsid w:val="006E325E"/>
    <w:rsid w:val="006E3424"/>
    <w:rsid w:val="006E3598"/>
    <w:rsid w:val="006E360B"/>
    <w:rsid w:val="006E3788"/>
    <w:rsid w:val="006E4001"/>
    <w:rsid w:val="006E44A2"/>
    <w:rsid w:val="006E4EBA"/>
    <w:rsid w:val="006E4EC0"/>
    <w:rsid w:val="006E537B"/>
    <w:rsid w:val="006E54D3"/>
    <w:rsid w:val="006E5614"/>
    <w:rsid w:val="006E5C52"/>
    <w:rsid w:val="006E6291"/>
    <w:rsid w:val="006E6DB3"/>
    <w:rsid w:val="006E798E"/>
    <w:rsid w:val="006F0153"/>
    <w:rsid w:val="006F1821"/>
    <w:rsid w:val="006F1B6B"/>
    <w:rsid w:val="006F1C2E"/>
    <w:rsid w:val="006F29EB"/>
    <w:rsid w:val="006F446D"/>
    <w:rsid w:val="006F4733"/>
    <w:rsid w:val="006F4EB4"/>
    <w:rsid w:val="006F4EEC"/>
    <w:rsid w:val="006F58A5"/>
    <w:rsid w:val="006F60A5"/>
    <w:rsid w:val="006F6604"/>
    <w:rsid w:val="006F6ADE"/>
    <w:rsid w:val="006F6F48"/>
    <w:rsid w:val="006F73D0"/>
    <w:rsid w:val="00700025"/>
    <w:rsid w:val="0070114D"/>
    <w:rsid w:val="00701582"/>
    <w:rsid w:val="00701777"/>
    <w:rsid w:val="007017E1"/>
    <w:rsid w:val="00701F67"/>
    <w:rsid w:val="00701F8A"/>
    <w:rsid w:val="0070205D"/>
    <w:rsid w:val="00702434"/>
    <w:rsid w:val="0070299A"/>
    <w:rsid w:val="007033F4"/>
    <w:rsid w:val="00703734"/>
    <w:rsid w:val="007038A7"/>
    <w:rsid w:val="00703F5A"/>
    <w:rsid w:val="0070463F"/>
    <w:rsid w:val="007054D4"/>
    <w:rsid w:val="00705682"/>
    <w:rsid w:val="00705694"/>
    <w:rsid w:val="00705955"/>
    <w:rsid w:val="00705C16"/>
    <w:rsid w:val="00706234"/>
    <w:rsid w:val="00707078"/>
    <w:rsid w:val="00707718"/>
    <w:rsid w:val="00710472"/>
    <w:rsid w:val="00711174"/>
    <w:rsid w:val="007111F9"/>
    <w:rsid w:val="00711217"/>
    <w:rsid w:val="00711349"/>
    <w:rsid w:val="00711A22"/>
    <w:rsid w:val="00711C4D"/>
    <w:rsid w:val="00711DAD"/>
    <w:rsid w:val="00712823"/>
    <w:rsid w:val="007129C8"/>
    <w:rsid w:val="00713127"/>
    <w:rsid w:val="00714632"/>
    <w:rsid w:val="0071469E"/>
    <w:rsid w:val="00714927"/>
    <w:rsid w:val="00714EBF"/>
    <w:rsid w:val="00715F96"/>
    <w:rsid w:val="0071655C"/>
    <w:rsid w:val="007165C8"/>
    <w:rsid w:val="00717D79"/>
    <w:rsid w:val="00717E0B"/>
    <w:rsid w:val="0072066D"/>
    <w:rsid w:val="007207A7"/>
    <w:rsid w:val="00721A4F"/>
    <w:rsid w:val="00721CF5"/>
    <w:rsid w:val="00722025"/>
    <w:rsid w:val="007227E7"/>
    <w:rsid w:val="00722817"/>
    <w:rsid w:val="00722EDA"/>
    <w:rsid w:val="00723020"/>
    <w:rsid w:val="00723240"/>
    <w:rsid w:val="0072329F"/>
    <w:rsid w:val="007238CF"/>
    <w:rsid w:val="00723B6B"/>
    <w:rsid w:val="00723C5D"/>
    <w:rsid w:val="0072410E"/>
    <w:rsid w:val="0072476A"/>
    <w:rsid w:val="00724FCD"/>
    <w:rsid w:val="00725145"/>
    <w:rsid w:val="0072606E"/>
    <w:rsid w:val="0072794B"/>
    <w:rsid w:val="00730001"/>
    <w:rsid w:val="0073028D"/>
    <w:rsid w:val="007302B8"/>
    <w:rsid w:val="00730950"/>
    <w:rsid w:val="00730C0B"/>
    <w:rsid w:val="007310F8"/>
    <w:rsid w:val="00731BF8"/>
    <w:rsid w:val="00732011"/>
    <w:rsid w:val="007324F3"/>
    <w:rsid w:val="00732A39"/>
    <w:rsid w:val="00732C11"/>
    <w:rsid w:val="00732CB7"/>
    <w:rsid w:val="0073362E"/>
    <w:rsid w:val="00733D19"/>
    <w:rsid w:val="00734447"/>
    <w:rsid w:val="00734566"/>
    <w:rsid w:val="00734676"/>
    <w:rsid w:val="00734DD0"/>
    <w:rsid w:val="007351D6"/>
    <w:rsid w:val="00735321"/>
    <w:rsid w:val="00735786"/>
    <w:rsid w:val="007357C7"/>
    <w:rsid w:val="00735E12"/>
    <w:rsid w:val="00736BE8"/>
    <w:rsid w:val="00737114"/>
    <w:rsid w:val="007379EF"/>
    <w:rsid w:val="00737BEC"/>
    <w:rsid w:val="00740CB0"/>
    <w:rsid w:val="00741633"/>
    <w:rsid w:val="00741766"/>
    <w:rsid w:val="00741885"/>
    <w:rsid w:val="00742690"/>
    <w:rsid w:val="00742BF8"/>
    <w:rsid w:val="00742E76"/>
    <w:rsid w:val="007430D5"/>
    <w:rsid w:val="00743298"/>
    <w:rsid w:val="00744CE3"/>
    <w:rsid w:val="00744F21"/>
    <w:rsid w:val="00745194"/>
    <w:rsid w:val="00745762"/>
    <w:rsid w:val="007465D6"/>
    <w:rsid w:val="00746F12"/>
    <w:rsid w:val="00747BB3"/>
    <w:rsid w:val="007504E2"/>
    <w:rsid w:val="00750A26"/>
    <w:rsid w:val="00750A62"/>
    <w:rsid w:val="00750F47"/>
    <w:rsid w:val="00751A50"/>
    <w:rsid w:val="00751DEF"/>
    <w:rsid w:val="00752076"/>
    <w:rsid w:val="00752772"/>
    <w:rsid w:val="00752DBC"/>
    <w:rsid w:val="00752E8B"/>
    <w:rsid w:val="007533EC"/>
    <w:rsid w:val="00753DF1"/>
    <w:rsid w:val="00753DF6"/>
    <w:rsid w:val="00753FFE"/>
    <w:rsid w:val="007542D7"/>
    <w:rsid w:val="00754441"/>
    <w:rsid w:val="00754938"/>
    <w:rsid w:val="00754A03"/>
    <w:rsid w:val="00754B2D"/>
    <w:rsid w:val="00754EF2"/>
    <w:rsid w:val="00755269"/>
    <w:rsid w:val="007553D7"/>
    <w:rsid w:val="00755DF0"/>
    <w:rsid w:val="007560F1"/>
    <w:rsid w:val="00756362"/>
    <w:rsid w:val="007570D9"/>
    <w:rsid w:val="00757A22"/>
    <w:rsid w:val="00757FE0"/>
    <w:rsid w:val="00760150"/>
    <w:rsid w:val="007601A5"/>
    <w:rsid w:val="007601F0"/>
    <w:rsid w:val="007608FD"/>
    <w:rsid w:val="00760E14"/>
    <w:rsid w:val="00760FD2"/>
    <w:rsid w:val="0076126F"/>
    <w:rsid w:val="00761633"/>
    <w:rsid w:val="0076271C"/>
    <w:rsid w:val="007627EC"/>
    <w:rsid w:val="00762F8E"/>
    <w:rsid w:val="00763E0D"/>
    <w:rsid w:val="007642F6"/>
    <w:rsid w:val="00764398"/>
    <w:rsid w:val="00766518"/>
    <w:rsid w:val="00766695"/>
    <w:rsid w:val="007666A5"/>
    <w:rsid w:val="00766B05"/>
    <w:rsid w:val="00766B1C"/>
    <w:rsid w:val="00766CD0"/>
    <w:rsid w:val="0076781E"/>
    <w:rsid w:val="00767D95"/>
    <w:rsid w:val="00770070"/>
    <w:rsid w:val="00770305"/>
    <w:rsid w:val="0077068F"/>
    <w:rsid w:val="00770A7B"/>
    <w:rsid w:val="00770DDD"/>
    <w:rsid w:val="00770E8E"/>
    <w:rsid w:val="007717E7"/>
    <w:rsid w:val="00771DB9"/>
    <w:rsid w:val="0077249E"/>
    <w:rsid w:val="00772FF1"/>
    <w:rsid w:val="0077364E"/>
    <w:rsid w:val="007737D1"/>
    <w:rsid w:val="0077400B"/>
    <w:rsid w:val="0077404E"/>
    <w:rsid w:val="00775CE5"/>
    <w:rsid w:val="00776196"/>
    <w:rsid w:val="007770B4"/>
    <w:rsid w:val="00777AED"/>
    <w:rsid w:val="00777BF4"/>
    <w:rsid w:val="00777FC4"/>
    <w:rsid w:val="00780066"/>
    <w:rsid w:val="007801E9"/>
    <w:rsid w:val="00780811"/>
    <w:rsid w:val="00780B45"/>
    <w:rsid w:val="00781C9A"/>
    <w:rsid w:val="007833EE"/>
    <w:rsid w:val="007834C0"/>
    <w:rsid w:val="00783587"/>
    <w:rsid w:val="0078493B"/>
    <w:rsid w:val="007853E6"/>
    <w:rsid w:val="00785474"/>
    <w:rsid w:val="007856EA"/>
    <w:rsid w:val="00785B72"/>
    <w:rsid w:val="00785EE9"/>
    <w:rsid w:val="00786282"/>
    <w:rsid w:val="00786FC3"/>
    <w:rsid w:val="007872B6"/>
    <w:rsid w:val="0078771C"/>
    <w:rsid w:val="007878BC"/>
    <w:rsid w:val="00787BE9"/>
    <w:rsid w:val="007902F4"/>
    <w:rsid w:val="007905B7"/>
    <w:rsid w:val="00790756"/>
    <w:rsid w:val="0079160E"/>
    <w:rsid w:val="00791F4B"/>
    <w:rsid w:val="00792A88"/>
    <w:rsid w:val="00792BF8"/>
    <w:rsid w:val="0079498A"/>
    <w:rsid w:val="00794B4D"/>
    <w:rsid w:val="007953E1"/>
    <w:rsid w:val="0079556A"/>
    <w:rsid w:val="007967ED"/>
    <w:rsid w:val="00796A66"/>
    <w:rsid w:val="00797258"/>
    <w:rsid w:val="007A09D9"/>
    <w:rsid w:val="007A1309"/>
    <w:rsid w:val="007A29C3"/>
    <w:rsid w:val="007A2BAE"/>
    <w:rsid w:val="007A2DB3"/>
    <w:rsid w:val="007A3780"/>
    <w:rsid w:val="007A3E00"/>
    <w:rsid w:val="007A3F95"/>
    <w:rsid w:val="007A59C2"/>
    <w:rsid w:val="007A6634"/>
    <w:rsid w:val="007A699F"/>
    <w:rsid w:val="007A6A6E"/>
    <w:rsid w:val="007A6C1D"/>
    <w:rsid w:val="007A70E0"/>
    <w:rsid w:val="007A7158"/>
    <w:rsid w:val="007A75F8"/>
    <w:rsid w:val="007A76C5"/>
    <w:rsid w:val="007A7DF6"/>
    <w:rsid w:val="007B0681"/>
    <w:rsid w:val="007B0F3F"/>
    <w:rsid w:val="007B1527"/>
    <w:rsid w:val="007B18D5"/>
    <w:rsid w:val="007B2049"/>
    <w:rsid w:val="007B27B7"/>
    <w:rsid w:val="007B2D90"/>
    <w:rsid w:val="007B2FF3"/>
    <w:rsid w:val="007B367A"/>
    <w:rsid w:val="007B372E"/>
    <w:rsid w:val="007B3E19"/>
    <w:rsid w:val="007B41B7"/>
    <w:rsid w:val="007B4C78"/>
    <w:rsid w:val="007B553F"/>
    <w:rsid w:val="007B55FF"/>
    <w:rsid w:val="007B5C23"/>
    <w:rsid w:val="007B6924"/>
    <w:rsid w:val="007B6A9E"/>
    <w:rsid w:val="007B7127"/>
    <w:rsid w:val="007B720F"/>
    <w:rsid w:val="007C00DB"/>
    <w:rsid w:val="007C024D"/>
    <w:rsid w:val="007C0D66"/>
    <w:rsid w:val="007C0F16"/>
    <w:rsid w:val="007C0F9C"/>
    <w:rsid w:val="007C13DA"/>
    <w:rsid w:val="007C1AB1"/>
    <w:rsid w:val="007C1B2A"/>
    <w:rsid w:val="007C1E64"/>
    <w:rsid w:val="007C1E7F"/>
    <w:rsid w:val="007C1F87"/>
    <w:rsid w:val="007C2153"/>
    <w:rsid w:val="007C22D8"/>
    <w:rsid w:val="007C2752"/>
    <w:rsid w:val="007C2DFF"/>
    <w:rsid w:val="007C3298"/>
    <w:rsid w:val="007C390E"/>
    <w:rsid w:val="007C46F5"/>
    <w:rsid w:val="007C4840"/>
    <w:rsid w:val="007C63D9"/>
    <w:rsid w:val="007C6582"/>
    <w:rsid w:val="007C6836"/>
    <w:rsid w:val="007C68BC"/>
    <w:rsid w:val="007C6DB1"/>
    <w:rsid w:val="007C7578"/>
    <w:rsid w:val="007D000E"/>
    <w:rsid w:val="007D084B"/>
    <w:rsid w:val="007D0992"/>
    <w:rsid w:val="007D0E94"/>
    <w:rsid w:val="007D12B1"/>
    <w:rsid w:val="007D2009"/>
    <w:rsid w:val="007D3B65"/>
    <w:rsid w:val="007D4E14"/>
    <w:rsid w:val="007D4E16"/>
    <w:rsid w:val="007D4EC7"/>
    <w:rsid w:val="007D5518"/>
    <w:rsid w:val="007D5888"/>
    <w:rsid w:val="007D5E84"/>
    <w:rsid w:val="007D639A"/>
    <w:rsid w:val="007D680A"/>
    <w:rsid w:val="007D698B"/>
    <w:rsid w:val="007D6AAE"/>
    <w:rsid w:val="007D6F88"/>
    <w:rsid w:val="007D70DA"/>
    <w:rsid w:val="007D7C58"/>
    <w:rsid w:val="007D7CC2"/>
    <w:rsid w:val="007E0A4A"/>
    <w:rsid w:val="007E2255"/>
    <w:rsid w:val="007E260A"/>
    <w:rsid w:val="007E2875"/>
    <w:rsid w:val="007E38B9"/>
    <w:rsid w:val="007E4866"/>
    <w:rsid w:val="007E4BEC"/>
    <w:rsid w:val="007E6420"/>
    <w:rsid w:val="007E71A3"/>
    <w:rsid w:val="007E72FF"/>
    <w:rsid w:val="007E73AF"/>
    <w:rsid w:val="007E7530"/>
    <w:rsid w:val="007E7615"/>
    <w:rsid w:val="007E7920"/>
    <w:rsid w:val="007E7FB9"/>
    <w:rsid w:val="007F0D45"/>
    <w:rsid w:val="007F0EC2"/>
    <w:rsid w:val="007F147D"/>
    <w:rsid w:val="007F1D71"/>
    <w:rsid w:val="007F1E40"/>
    <w:rsid w:val="007F1EBB"/>
    <w:rsid w:val="007F2B6C"/>
    <w:rsid w:val="007F2C5F"/>
    <w:rsid w:val="007F3E6D"/>
    <w:rsid w:val="007F46EE"/>
    <w:rsid w:val="007F51CE"/>
    <w:rsid w:val="007F61FA"/>
    <w:rsid w:val="007F6217"/>
    <w:rsid w:val="007F6292"/>
    <w:rsid w:val="007F6382"/>
    <w:rsid w:val="007F63D8"/>
    <w:rsid w:val="007F6624"/>
    <w:rsid w:val="007F6BA2"/>
    <w:rsid w:val="007F7675"/>
    <w:rsid w:val="007F7C46"/>
    <w:rsid w:val="007F7FD7"/>
    <w:rsid w:val="00800306"/>
    <w:rsid w:val="0080035D"/>
    <w:rsid w:val="00800613"/>
    <w:rsid w:val="00800D12"/>
    <w:rsid w:val="00801281"/>
    <w:rsid w:val="0080159F"/>
    <w:rsid w:val="00801F86"/>
    <w:rsid w:val="00801FC7"/>
    <w:rsid w:val="0080201C"/>
    <w:rsid w:val="00802812"/>
    <w:rsid w:val="00802C1B"/>
    <w:rsid w:val="0080301B"/>
    <w:rsid w:val="008037FC"/>
    <w:rsid w:val="0080388C"/>
    <w:rsid w:val="00803B0F"/>
    <w:rsid w:val="00804962"/>
    <w:rsid w:val="00804F4F"/>
    <w:rsid w:val="00806473"/>
    <w:rsid w:val="00806978"/>
    <w:rsid w:val="00806A92"/>
    <w:rsid w:val="00806CF3"/>
    <w:rsid w:val="008078ED"/>
    <w:rsid w:val="0080795C"/>
    <w:rsid w:val="00810389"/>
    <w:rsid w:val="00810705"/>
    <w:rsid w:val="00811453"/>
    <w:rsid w:val="00811AA6"/>
    <w:rsid w:val="008127F2"/>
    <w:rsid w:val="00812F31"/>
    <w:rsid w:val="008130BD"/>
    <w:rsid w:val="0081336F"/>
    <w:rsid w:val="008137C8"/>
    <w:rsid w:val="00814533"/>
    <w:rsid w:val="008145B1"/>
    <w:rsid w:val="00814806"/>
    <w:rsid w:val="0081514D"/>
    <w:rsid w:val="00816A27"/>
    <w:rsid w:val="00816DD2"/>
    <w:rsid w:val="00816FAE"/>
    <w:rsid w:val="00820A87"/>
    <w:rsid w:val="00820CC4"/>
    <w:rsid w:val="00820D55"/>
    <w:rsid w:val="00820DC1"/>
    <w:rsid w:val="00821193"/>
    <w:rsid w:val="0082186C"/>
    <w:rsid w:val="008219F4"/>
    <w:rsid w:val="00822EFE"/>
    <w:rsid w:val="008230B6"/>
    <w:rsid w:val="008232A5"/>
    <w:rsid w:val="008236AF"/>
    <w:rsid w:val="008246F9"/>
    <w:rsid w:val="008247E2"/>
    <w:rsid w:val="00824974"/>
    <w:rsid w:val="00824C21"/>
    <w:rsid w:val="008261DC"/>
    <w:rsid w:val="00826293"/>
    <w:rsid w:val="0082775D"/>
    <w:rsid w:val="008304E3"/>
    <w:rsid w:val="00830CA6"/>
    <w:rsid w:val="008313ED"/>
    <w:rsid w:val="00831540"/>
    <w:rsid w:val="00832DED"/>
    <w:rsid w:val="0083313A"/>
    <w:rsid w:val="00833A08"/>
    <w:rsid w:val="00833A90"/>
    <w:rsid w:val="00833FE4"/>
    <w:rsid w:val="008340DE"/>
    <w:rsid w:val="00834301"/>
    <w:rsid w:val="008343D7"/>
    <w:rsid w:val="008345E8"/>
    <w:rsid w:val="00835C2A"/>
    <w:rsid w:val="0083614F"/>
    <w:rsid w:val="008363C7"/>
    <w:rsid w:val="00836C3C"/>
    <w:rsid w:val="00837921"/>
    <w:rsid w:val="00837F28"/>
    <w:rsid w:val="00840418"/>
    <w:rsid w:val="00840E71"/>
    <w:rsid w:val="008414DC"/>
    <w:rsid w:val="00841BF5"/>
    <w:rsid w:val="008427D2"/>
    <w:rsid w:val="00843600"/>
    <w:rsid w:val="00844A2F"/>
    <w:rsid w:val="00844B9F"/>
    <w:rsid w:val="00844FE3"/>
    <w:rsid w:val="0084512D"/>
    <w:rsid w:val="008451C7"/>
    <w:rsid w:val="00845942"/>
    <w:rsid w:val="00845A45"/>
    <w:rsid w:val="00845C32"/>
    <w:rsid w:val="00845F84"/>
    <w:rsid w:val="008468E5"/>
    <w:rsid w:val="0084699F"/>
    <w:rsid w:val="0084782F"/>
    <w:rsid w:val="00847AEE"/>
    <w:rsid w:val="0085020F"/>
    <w:rsid w:val="008507B9"/>
    <w:rsid w:val="00851346"/>
    <w:rsid w:val="0085204E"/>
    <w:rsid w:val="00852058"/>
    <w:rsid w:val="0085266C"/>
    <w:rsid w:val="008527AF"/>
    <w:rsid w:val="00852B77"/>
    <w:rsid w:val="008539AB"/>
    <w:rsid w:val="00853A7A"/>
    <w:rsid w:val="00853BB5"/>
    <w:rsid w:val="0085426A"/>
    <w:rsid w:val="00854421"/>
    <w:rsid w:val="00854781"/>
    <w:rsid w:val="00854792"/>
    <w:rsid w:val="00854BEA"/>
    <w:rsid w:val="00855232"/>
    <w:rsid w:val="008568BE"/>
    <w:rsid w:val="00856BC8"/>
    <w:rsid w:val="00856C69"/>
    <w:rsid w:val="00857399"/>
    <w:rsid w:val="008574C3"/>
    <w:rsid w:val="00857979"/>
    <w:rsid w:val="00857B9C"/>
    <w:rsid w:val="008600B6"/>
    <w:rsid w:val="00860AF7"/>
    <w:rsid w:val="00860BDE"/>
    <w:rsid w:val="00860E84"/>
    <w:rsid w:val="008620FA"/>
    <w:rsid w:val="00862BA7"/>
    <w:rsid w:val="00864A08"/>
    <w:rsid w:val="008653E9"/>
    <w:rsid w:val="00865980"/>
    <w:rsid w:val="00865B00"/>
    <w:rsid w:val="00865C61"/>
    <w:rsid w:val="00865D7B"/>
    <w:rsid w:val="00865DBE"/>
    <w:rsid w:val="00865E6F"/>
    <w:rsid w:val="008663B9"/>
    <w:rsid w:val="00866775"/>
    <w:rsid w:val="008669B4"/>
    <w:rsid w:val="00866A49"/>
    <w:rsid w:val="0086714E"/>
    <w:rsid w:val="00867744"/>
    <w:rsid w:val="0087035A"/>
    <w:rsid w:val="00870A84"/>
    <w:rsid w:val="0087192C"/>
    <w:rsid w:val="008725B4"/>
    <w:rsid w:val="008729C5"/>
    <w:rsid w:val="00872DFF"/>
    <w:rsid w:val="00873636"/>
    <w:rsid w:val="00873641"/>
    <w:rsid w:val="00873D1D"/>
    <w:rsid w:val="00874399"/>
    <w:rsid w:val="0087456F"/>
    <w:rsid w:val="00874B54"/>
    <w:rsid w:val="00874B99"/>
    <w:rsid w:val="00874D66"/>
    <w:rsid w:val="00875192"/>
    <w:rsid w:val="008754C7"/>
    <w:rsid w:val="00875B95"/>
    <w:rsid w:val="00875C71"/>
    <w:rsid w:val="00875EFB"/>
    <w:rsid w:val="00876286"/>
    <w:rsid w:val="008768D5"/>
    <w:rsid w:val="00876D25"/>
    <w:rsid w:val="008770B9"/>
    <w:rsid w:val="0087712B"/>
    <w:rsid w:val="0087754F"/>
    <w:rsid w:val="00877B0D"/>
    <w:rsid w:val="00877B24"/>
    <w:rsid w:val="008801AE"/>
    <w:rsid w:val="00881092"/>
    <w:rsid w:val="00881645"/>
    <w:rsid w:val="00881CCB"/>
    <w:rsid w:val="00881D75"/>
    <w:rsid w:val="008820C0"/>
    <w:rsid w:val="0088269D"/>
    <w:rsid w:val="00882F66"/>
    <w:rsid w:val="00883071"/>
    <w:rsid w:val="00883494"/>
    <w:rsid w:val="00883921"/>
    <w:rsid w:val="0088434B"/>
    <w:rsid w:val="0088556B"/>
    <w:rsid w:val="00886F48"/>
    <w:rsid w:val="0088714C"/>
    <w:rsid w:val="00887ECE"/>
    <w:rsid w:val="00890765"/>
    <w:rsid w:val="0089085C"/>
    <w:rsid w:val="00890A12"/>
    <w:rsid w:val="00890A44"/>
    <w:rsid w:val="00890F9B"/>
    <w:rsid w:val="008917F7"/>
    <w:rsid w:val="00891EB7"/>
    <w:rsid w:val="00891F82"/>
    <w:rsid w:val="008922DD"/>
    <w:rsid w:val="008927A2"/>
    <w:rsid w:val="00892B6E"/>
    <w:rsid w:val="0089356C"/>
    <w:rsid w:val="00894808"/>
    <w:rsid w:val="00894B72"/>
    <w:rsid w:val="00894D95"/>
    <w:rsid w:val="0089593D"/>
    <w:rsid w:val="00895A46"/>
    <w:rsid w:val="00895A56"/>
    <w:rsid w:val="00895B0D"/>
    <w:rsid w:val="00896720"/>
    <w:rsid w:val="008972E5"/>
    <w:rsid w:val="0089753C"/>
    <w:rsid w:val="00897C0C"/>
    <w:rsid w:val="00897DB7"/>
    <w:rsid w:val="00897DF2"/>
    <w:rsid w:val="008A0DFE"/>
    <w:rsid w:val="008A0F0D"/>
    <w:rsid w:val="008A0F88"/>
    <w:rsid w:val="008A1DA8"/>
    <w:rsid w:val="008A1EB3"/>
    <w:rsid w:val="008A20B7"/>
    <w:rsid w:val="008A2C79"/>
    <w:rsid w:val="008A2F8B"/>
    <w:rsid w:val="008A3050"/>
    <w:rsid w:val="008A3079"/>
    <w:rsid w:val="008A39DA"/>
    <w:rsid w:val="008A3F1A"/>
    <w:rsid w:val="008A4195"/>
    <w:rsid w:val="008A4301"/>
    <w:rsid w:val="008A45F6"/>
    <w:rsid w:val="008A4C51"/>
    <w:rsid w:val="008A506A"/>
    <w:rsid w:val="008A54F2"/>
    <w:rsid w:val="008A5538"/>
    <w:rsid w:val="008A554E"/>
    <w:rsid w:val="008A5808"/>
    <w:rsid w:val="008A593B"/>
    <w:rsid w:val="008A68AE"/>
    <w:rsid w:val="008A69B0"/>
    <w:rsid w:val="008A6F23"/>
    <w:rsid w:val="008A75DB"/>
    <w:rsid w:val="008B00D4"/>
    <w:rsid w:val="008B0473"/>
    <w:rsid w:val="008B12EB"/>
    <w:rsid w:val="008B1E08"/>
    <w:rsid w:val="008B318E"/>
    <w:rsid w:val="008B388C"/>
    <w:rsid w:val="008B3A59"/>
    <w:rsid w:val="008B3E29"/>
    <w:rsid w:val="008B40A2"/>
    <w:rsid w:val="008B4153"/>
    <w:rsid w:val="008B4F98"/>
    <w:rsid w:val="008B5445"/>
    <w:rsid w:val="008B5D96"/>
    <w:rsid w:val="008B64F8"/>
    <w:rsid w:val="008B6CDC"/>
    <w:rsid w:val="008B7111"/>
    <w:rsid w:val="008B7339"/>
    <w:rsid w:val="008B75FA"/>
    <w:rsid w:val="008B7B1E"/>
    <w:rsid w:val="008C0E20"/>
    <w:rsid w:val="008C1618"/>
    <w:rsid w:val="008C168E"/>
    <w:rsid w:val="008C17BA"/>
    <w:rsid w:val="008C1978"/>
    <w:rsid w:val="008C1F72"/>
    <w:rsid w:val="008C208A"/>
    <w:rsid w:val="008C2164"/>
    <w:rsid w:val="008C2DEA"/>
    <w:rsid w:val="008C33E7"/>
    <w:rsid w:val="008C37C5"/>
    <w:rsid w:val="008C39EC"/>
    <w:rsid w:val="008C3B21"/>
    <w:rsid w:val="008C470E"/>
    <w:rsid w:val="008C4E53"/>
    <w:rsid w:val="008C562B"/>
    <w:rsid w:val="008C5A8D"/>
    <w:rsid w:val="008C5D5F"/>
    <w:rsid w:val="008C6458"/>
    <w:rsid w:val="008C71C7"/>
    <w:rsid w:val="008C7824"/>
    <w:rsid w:val="008D0A05"/>
    <w:rsid w:val="008D0C5D"/>
    <w:rsid w:val="008D1C5C"/>
    <w:rsid w:val="008D2217"/>
    <w:rsid w:val="008D2597"/>
    <w:rsid w:val="008D28D2"/>
    <w:rsid w:val="008D28FC"/>
    <w:rsid w:val="008D2FDC"/>
    <w:rsid w:val="008D4837"/>
    <w:rsid w:val="008D4C30"/>
    <w:rsid w:val="008D5E4E"/>
    <w:rsid w:val="008D6549"/>
    <w:rsid w:val="008D7CCD"/>
    <w:rsid w:val="008E01A3"/>
    <w:rsid w:val="008E0292"/>
    <w:rsid w:val="008E062C"/>
    <w:rsid w:val="008E0A25"/>
    <w:rsid w:val="008E0E43"/>
    <w:rsid w:val="008E1CF9"/>
    <w:rsid w:val="008E20EC"/>
    <w:rsid w:val="008E2916"/>
    <w:rsid w:val="008E2CF3"/>
    <w:rsid w:val="008E32C9"/>
    <w:rsid w:val="008E3B61"/>
    <w:rsid w:val="008E3C31"/>
    <w:rsid w:val="008E471E"/>
    <w:rsid w:val="008E4D2D"/>
    <w:rsid w:val="008E56BE"/>
    <w:rsid w:val="008E5B62"/>
    <w:rsid w:val="008E5CF0"/>
    <w:rsid w:val="008E5E4B"/>
    <w:rsid w:val="008E5F2F"/>
    <w:rsid w:val="008E6A1F"/>
    <w:rsid w:val="008E7202"/>
    <w:rsid w:val="008F0689"/>
    <w:rsid w:val="008F0F23"/>
    <w:rsid w:val="008F255B"/>
    <w:rsid w:val="008F2B03"/>
    <w:rsid w:val="008F369D"/>
    <w:rsid w:val="008F3C01"/>
    <w:rsid w:val="008F4020"/>
    <w:rsid w:val="008F486F"/>
    <w:rsid w:val="008F4EAE"/>
    <w:rsid w:val="008F5772"/>
    <w:rsid w:val="008F5D8E"/>
    <w:rsid w:val="008F5E9C"/>
    <w:rsid w:val="008F614D"/>
    <w:rsid w:val="008F6B26"/>
    <w:rsid w:val="00900206"/>
    <w:rsid w:val="00900433"/>
    <w:rsid w:val="00900468"/>
    <w:rsid w:val="00900966"/>
    <w:rsid w:val="00900DAE"/>
    <w:rsid w:val="00901182"/>
    <w:rsid w:val="00901294"/>
    <w:rsid w:val="00901CB7"/>
    <w:rsid w:val="009031E2"/>
    <w:rsid w:val="009040A0"/>
    <w:rsid w:val="009041B6"/>
    <w:rsid w:val="0090420A"/>
    <w:rsid w:val="009045FC"/>
    <w:rsid w:val="00904D3E"/>
    <w:rsid w:val="00904EAA"/>
    <w:rsid w:val="009051AB"/>
    <w:rsid w:val="009058B9"/>
    <w:rsid w:val="009059E9"/>
    <w:rsid w:val="00905EC2"/>
    <w:rsid w:val="009062BB"/>
    <w:rsid w:val="00906377"/>
    <w:rsid w:val="00906418"/>
    <w:rsid w:val="0090716C"/>
    <w:rsid w:val="00907889"/>
    <w:rsid w:val="009079E4"/>
    <w:rsid w:val="00907BEE"/>
    <w:rsid w:val="00910B9D"/>
    <w:rsid w:val="0091165C"/>
    <w:rsid w:val="009119D4"/>
    <w:rsid w:val="0091209C"/>
    <w:rsid w:val="0091233D"/>
    <w:rsid w:val="00912569"/>
    <w:rsid w:val="00912858"/>
    <w:rsid w:val="0091389A"/>
    <w:rsid w:val="009138A2"/>
    <w:rsid w:val="00913993"/>
    <w:rsid w:val="00913C71"/>
    <w:rsid w:val="0091446D"/>
    <w:rsid w:val="00914AFD"/>
    <w:rsid w:val="00914F0F"/>
    <w:rsid w:val="00914F50"/>
    <w:rsid w:val="009154EC"/>
    <w:rsid w:val="0091556D"/>
    <w:rsid w:val="009157A9"/>
    <w:rsid w:val="00915AA6"/>
    <w:rsid w:val="0091613F"/>
    <w:rsid w:val="00916856"/>
    <w:rsid w:val="0091699C"/>
    <w:rsid w:val="009171CF"/>
    <w:rsid w:val="00917329"/>
    <w:rsid w:val="00917B9D"/>
    <w:rsid w:val="009201E1"/>
    <w:rsid w:val="00920FFF"/>
    <w:rsid w:val="00921494"/>
    <w:rsid w:val="00921829"/>
    <w:rsid w:val="00921C9B"/>
    <w:rsid w:val="00922647"/>
    <w:rsid w:val="00923554"/>
    <w:rsid w:val="00924B71"/>
    <w:rsid w:val="00924FAC"/>
    <w:rsid w:val="009254D3"/>
    <w:rsid w:val="009256A9"/>
    <w:rsid w:val="00925835"/>
    <w:rsid w:val="009258DD"/>
    <w:rsid w:val="009264BF"/>
    <w:rsid w:val="00926D4D"/>
    <w:rsid w:val="0092741C"/>
    <w:rsid w:val="0092750C"/>
    <w:rsid w:val="00927769"/>
    <w:rsid w:val="00927CE7"/>
    <w:rsid w:val="00927DEC"/>
    <w:rsid w:val="00930182"/>
    <w:rsid w:val="00930A0E"/>
    <w:rsid w:val="00931544"/>
    <w:rsid w:val="00931981"/>
    <w:rsid w:val="00931BF5"/>
    <w:rsid w:val="00931C2A"/>
    <w:rsid w:val="00931CC7"/>
    <w:rsid w:val="00931F2D"/>
    <w:rsid w:val="00932748"/>
    <w:rsid w:val="009327DE"/>
    <w:rsid w:val="00932A2F"/>
    <w:rsid w:val="0093369D"/>
    <w:rsid w:val="0093382F"/>
    <w:rsid w:val="00933C98"/>
    <w:rsid w:val="00933F19"/>
    <w:rsid w:val="009344AE"/>
    <w:rsid w:val="009347CF"/>
    <w:rsid w:val="00934A0A"/>
    <w:rsid w:val="009351CF"/>
    <w:rsid w:val="0093536A"/>
    <w:rsid w:val="00935461"/>
    <w:rsid w:val="009361E5"/>
    <w:rsid w:val="00937412"/>
    <w:rsid w:val="00937647"/>
    <w:rsid w:val="00937871"/>
    <w:rsid w:val="00937D9E"/>
    <w:rsid w:val="00940793"/>
    <w:rsid w:val="00941BDB"/>
    <w:rsid w:val="009420EF"/>
    <w:rsid w:val="00942E2C"/>
    <w:rsid w:val="00943602"/>
    <w:rsid w:val="00944FB4"/>
    <w:rsid w:val="009453EA"/>
    <w:rsid w:val="00945511"/>
    <w:rsid w:val="009460B5"/>
    <w:rsid w:val="0094632B"/>
    <w:rsid w:val="00947358"/>
    <w:rsid w:val="00950511"/>
    <w:rsid w:val="00950ACF"/>
    <w:rsid w:val="00950CFA"/>
    <w:rsid w:val="00950EAF"/>
    <w:rsid w:val="00951226"/>
    <w:rsid w:val="0095235C"/>
    <w:rsid w:val="00952574"/>
    <w:rsid w:val="00952B12"/>
    <w:rsid w:val="009530A7"/>
    <w:rsid w:val="00953357"/>
    <w:rsid w:val="00953423"/>
    <w:rsid w:val="0095391F"/>
    <w:rsid w:val="00954EEC"/>
    <w:rsid w:val="00955C7A"/>
    <w:rsid w:val="00955E52"/>
    <w:rsid w:val="00955F41"/>
    <w:rsid w:val="0095654C"/>
    <w:rsid w:val="0095666E"/>
    <w:rsid w:val="00956C30"/>
    <w:rsid w:val="00957502"/>
    <w:rsid w:val="00957D0A"/>
    <w:rsid w:val="009607EC"/>
    <w:rsid w:val="00960C22"/>
    <w:rsid w:val="00960D98"/>
    <w:rsid w:val="00960E56"/>
    <w:rsid w:val="009612F8"/>
    <w:rsid w:val="00962AF4"/>
    <w:rsid w:val="00962D73"/>
    <w:rsid w:val="00962E44"/>
    <w:rsid w:val="00963C15"/>
    <w:rsid w:val="00963EBB"/>
    <w:rsid w:val="009643E4"/>
    <w:rsid w:val="009648B3"/>
    <w:rsid w:val="0096495A"/>
    <w:rsid w:val="00964E5A"/>
    <w:rsid w:val="009650AD"/>
    <w:rsid w:val="0096514E"/>
    <w:rsid w:val="00965292"/>
    <w:rsid w:val="00965373"/>
    <w:rsid w:val="009663B4"/>
    <w:rsid w:val="0096660C"/>
    <w:rsid w:val="00967313"/>
    <w:rsid w:val="00967BBB"/>
    <w:rsid w:val="00967FE0"/>
    <w:rsid w:val="009700AB"/>
    <w:rsid w:val="00970739"/>
    <w:rsid w:val="00970FC0"/>
    <w:rsid w:val="00972042"/>
    <w:rsid w:val="00972552"/>
    <w:rsid w:val="00972BEC"/>
    <w:rsid w:val="00972CCE"/>
    <w:rsid w:val="00972CFC"/>
    <w:rsid w:val="00972D88"/>
    <w:rsid w:val="00972F1F"/>
    <w:rsid w:val="009738C9"/>
    <w:rsid w:val="00973CA9"/>
    <w:rsid w:val="00974A34"/>
    <w:rsid w:val="0097646B"/>
    <w:rsid w:val="00976941"/>
    <w:rsid w:val="00976D27"/>
    <w:rsid w:val="009779D6"/>
    <w:rsid w:val="009801F9"/>
    <w:rsid w:val="00980924"/>
    <w:rsid w:val="00980D4D"/>
    <w:rsid w:val="009810F9"/>
    <w:rsid w:val="00981313"/>
    <w:rsid w:val="00982007"/>
    <w:rsid w:val="00982034"/>
    <w:rsid w:val="00982C0F"/>
    <w:rsid w:val="009830D1"/>
    <w:rsid w:val="00983782"/>
    <w:rsid w:val="00983C85"/>
    <w:rsid w:val="00983E8F"/>
    <w:rsid w:val="00983F89"/>
    <w:rsid w:val="009842A8"/>
    <w:rsid w:val="009844C2"/>
    <w:rsid w:val="00984624"/>
    <w:rsid w:val="00985076"/>
    <w:rsid w:val="00985E1A"/>
    <w:rsid w:val="00986901"/>
    <w:rsid w:val="0098695D"/>
    <w:rsid w:val="00986971"/>
    <w:rsid w:val="0098710C"/>
    <w:rsid w:val="009872C2"/>
    <w:rsid w:val="009876F0"/>
    <w:rsid w:val="00987F30"/>
    <w:rsid w:val="00991340"/>
    <w:rsid w:val="00991468"/>
    <w:rsid w:val="00991769"/>
    <w:rsid w:val="009921CC"/>
    <w:rsid w:val="0099226B"/>
    <w:rsid w:val="00992332"/>
    <w:rsid w:val="009924B7"/>
    <w:rsid w:val="009928A5"/>
    <w:rsid w:val="00992904"/>
    <w:rsid w:val="009929E5"/>
    <w:rsid w:val="00992AEE"/>
    <w:rsid w:val="00994614"/>
    <w:rsid w:val="009960A9"/>
    <w:rsid w:val="00997060"/>
    <w:rsid w:val="00997213"/>
    <w:rsid w:val="009974C3"/>
    <w:rsid w:val="009976DE"/>
    <w:rsid w:val="00997B1E"/>
    <w:rsid w:val="00997D80"/>
    <w:rsid w:val="009A06FF"/>
    <w:rsid w:val="009A0C0A"/>
    <w:rsid w:val="009A1267"/>
    <w:rsid w:val="009A12BB"/>
    <w:rsid w:val="009A1DE1"/>
    <w:rsid w:val="009A25F2"/>
    <w:rsid w:val="009A3146"/>
    <w:rsid w:val="009A35A6"/>
    <w:rsid w:val="009A3BD7"/>
    <w:rsid w:val="009A408B"/>
    <w:rsid w:val="009A40D4"/>
    <w:rsid w:val="009A4718"/>
    <w:rsid w:val="009A529B"/>
    <w:rsid w:val="009A549D"/>
    <w:rsid w:val="009A5AC4"/>
    <w:rsid w:val="009A64AF"/>
    <w:rsid w:val="009A6500"/>
    <w:rsid w:val="009A6C50"/>
    <w:rsid w:val="009A743B"/>
    <w:rsid w:val="009A75E9"/>
    <w:rsid w:val="009A7DA0"/>
    <w:rsid w:val="009B06F7"/>
    <w:rsid w:val="009B09FE"/>
    <w:rsid w:val="009B111D"/>
    <w:rsid w:val="009B15B8"/>
    <w:rsid w:val="009B1E01"/>
    <w:rsid w:val="009B1FD7"/>
    <w:rsid w:val="009B3647"/>
    <w:rsid w:val="009B3AFE"/>
    <w:rsid w:val="009B3B4F"/>
    <w:rsid w:val="009B4687"/>
    <w:rsid w:val="009B4A4B"/>
    <w:rsid w:val="009B4B2D"/>
    <w:rsid w:val="009B57B0"/>
    <w:rsid w:val="009B5D3B"/>
    <w:rsid w:val="009B6C02"/>
    <w:rsid w:val="009B6CCD"/>
    <w:rsid w:val="009B7D6A"/>
    <w:rsid w:val="009B7DED"/>
    <w:rsid w:val="009C10C0"/>
    <w:rsid w:val="009C13BC"/>
    <w:rsid w:val="009C1E24"/>
    <w:rsid w:val="009C1FD2"/>
    <w:rsid w:val="009C2047"/>
    <w:rsid w:val="009C21BA"/>
    <w:rsid w:val="009C2665"/>
    <w:rsid w:val="009C27F7"/>
    <w:rsid w:val="009C2A0A"/>
    <w:rsid w:val="009C2A7F"/>
    <w:rsid w:val="009C412A"/>
    <w:rsid w:val="009C4464"/>
    <w:rsid w:val="009C5CD0"/>
    <w:rsid w:val="009C5E12"/>
    <w:rsid w:val="009C61EE"/>
    <w:rsid w:val="009C62F8"/>
    <w:rsid w:val="009C64B0"/>
    <w:rsid w:val="009C725B"/>
    <w:rsid w:val="009C72AA"/>
    <w:rsid w:val="009C7BD9"/>
    <w:rsid w:val="009D01BA"/>
    <w:rsid w:val="009D0913"/>
    <w:rsid w:val="009D0C29"/>
    <w:rsid w:val="009D0D47"/>
    <w:rsid w:val="009D1BD2"/>
    <w:rsid w:val="009D1DE7"/>
    <w:rsid w:val="009D21B1"/>
    <w:rsid w:val="009D2B9F"/>
    <w:rsid w:val="009D2D33"/>
    <w:rsid w:val="009D31DD"/>
    <w:rsid w:val="009D36FC"/>
    <w:rsid w:val="009D3A3B"/>
    <w:rsid w:val="009D48EE"/>
    <w:rsid w:val="009D5F67"/>
    <w:rsid w:val="009D6373"/>
    <w:rsid w:val="009D6C8C"/>
    <w:rsid w:val="009D6EEE"/>
    <w:rsid w:val="009D741B"/>
    <w:rsid w:val="009D7862"/>
    <w:rsid w:val="009D7E22"/>
    <w:rsid w:val="009D7EBD"/>
    <w:rsid w:val="009D7FD1"/>
    <w:rsid w:val="009E0A9A"/>
    <w:rsid w:val="009E0C62"/>
    <w:rsid w:val="009E0E23"/>
    <w:rsid w:val="009E0F1E"/>
    <w:rsid w:val="009E16F2"/>
    <w:rsid w:val="009E1878"/>
    <w:rsid w:val="009E225E"/>
    <w:rsid w:val="009E227F"/>
    <w:rsid w:val="009E22CA"/>
    <w:rsid w:val="009E2849"/>
    <w:rsid w:val="009E2915"/>
    <w:rsid w:val="009E375B"/>
    <w:rsid w:val="009E3A1C"/>
    <w:rsid w:val="009E3A46"/>
    <w:rsid w:val="009E3CBE"/>
    <w:rsid w:val="009E4888"/>
    <w:rsid w:val="009E49AC"/>
    <w:rsid w:val="009E4F86"/>
    <w:rsid w:val="009E6AD5"/>
    <w:rsid w:val="009E6AF4"/>
    <w:rsid w:val="009E6CFA"/>
    <w:rsid w:val="009E70F1"/>
    <w:rsid w:val="009E7E49"/>
    <w:rsid w:val="009F06C9"/>
    <w:rsid w:val="009F1525"/>
    <w:rsid w:val="009F18BD"/>
    <w:rsid w:val="009F22E4"/>
    <w:rsid w:val="009F2BA9"/>
    <w:rsid w:val="009F2BDF"/>
    <w:rsid w:val="009F3F6B"/>
    <w:rsid w:val="009F43F9"/>
    <w:rsid w:val="009F46B2"/>
    <w:rsid w:val="009F46C2"/>
    <w:rsid w:val="009F4E24"/>
    <w:rsid w:val="009F4FD8"/>
    <w:rsid w:val="009F500C"/>
    <w:rsid w:val="009F5807"/>
    <w:rsid w:val="009F5D4F"/>
    <w:rsid w:val="009F66CC"/>
    <w:rsid w:val="009F6E86"/>
    <w:rsid w:val="009F7640"/>
    <w:rsid w:val="009F76FE"/>
    <w:rsid w:val="00A00A05"/>
    <w:rsid w:val="00A00AA8"/>
    <w:rsid w:val="00A00C11"/>
    <w:rsid w:val="00A01685"/>
    <w:rsid w:val="00A0174B"/>
    <w:rsid w:val="00A0196E"/>
    <w:rsid w:val="00A01A11"/>
    <w:rsid w:val="00A01B3E"/>
    <w:rsid w:val="00A01B72"/>
    <w:rsid w:val="00A01F8A"/>
    <w:rsid w:val="00A02ADA"/>
    <w:rsid w:val="00A02AF8"/>
    <w:rsid w:val="00A031BC"/>
    <w:rsid w:val="00A03AF3"/>
    <w:rsid w:val="00A03B32"/>
    <w:rsid w:val="00A03DC7"/>
    <w:rsid w:val="00A0417C"/>
    <w:rsid w:val="00A043A9"/>
    <w:rsid w:val="00A043D2"/>
    <w:rsid w:val="00A04752"/>
    <w:rsid w:val="00A04818"/>
    <w:rsid w:val="00A04EA0"/>
    <w:rsid w:val="00A053FC"/>
    <w:rsid w:val="00A058D6"/>
    <w:rsid w:val="00A0675D"/>
    <w:rsid w:val="00A070FC"/>
    <w:rsid w:val="00A07555"/>
    <w:rsid w:val="00A10239"/>
    <w:rsid w:val="00A102A2"/>
    <w:rsid w:val="00A105B9"/>
    <w:rsid w:val="00A10652"/>
    <w:rsid w:val="00A10F42"/>
    <w:rsid w:val="00A1109B"/>
    <w:rsid w:val="00A112EB"/>
    <w:rsid w:val="00A116BC"/>
    <w:rsid w:val="00A11BF9"/>
    <w:rsid w:val="00A11ECE"/>
    <w:rsid w:val="00A11F99"/>
    <w:rsid w:val="00A1287E"/>
    <w:rsid w:val="00A1368C"/>
    <w:rsid w:val="00A13810"/>
    <w:rsid w:val="00A14099"/>
    <w:rsid w:val="00A14679"/>
    <w:rsid w:val="00A1467C"/>
    <w:rsid w:val="00A16839"/>
    <w:rsid w:val="00A16F38"/>
    <w:rsid w:val="00A17108"/>
    <w:rsid w:val="00A20477"/>
    <w:rsid w:val="00A20BBC"/>
    <w:rsid w:val="00A20ED8"/>
    <w:rsid w:val="00A217EB"/>
    <w:rsid w:val="00A22491"/>
    <w:rsid w:val="00A227B7"/>
    <w:rsid w:val="00A22BBE"/>
    <w:rsid w:val="00A230C5"/>
    <w:rsid w:val="00A23150"/>
    <w:rsid w:val="00A235E5"/>
    <w:rsid w:val="00A23A2D"/>
    <w:rsid w:val="00A23D27"/>
    <w:rsid w:val="00A23F5E"/>
    <w:rsid w:val="00A24458"/>
    <w:rsid w:val="00A24F7C"/>
    <w:rsid w:val="00A2516E"/>
    <w:rsid w:val="00A25D9E"/>
    <w:rsid w:val="00A25FC9"/>
    <w:rsid w:val="00A260E0"/>
    <w:rsid w:val="00A26347"/>
    <w:rsid w:val="00A263F4"/>
    <w:rsid w:val="00A2742F"/>
    <w:rsid w:val="00A27B4B"/>
    <w:rsid w:val="00A27E08"/>
    <w:rsid w:val="00A30387"/>
    <w:rsid w:val="00A316C2"/>
    <w:rsid w:val="00A31E03"/>
    <w:rsid w:val="00A3295D"/>
    <w:rsid w:val="00A32DBA"/>
    <w:rsid w:val="00A32E2B"/>
    <w:rsid w:val="00A32E50"/>
    <w:rsid w:val="00A335EA"/>
    <w:rsid w:val="00A33612"/>
    <w:rsid w:val="00A3442B"/>
    <w:rsid w:val="00A34678"/>
    <w:rsid w:val="00A34E74"/>
    <w:rsid w:val="00A35844"/>
    <w:rsid w:val="00A35E25"/>
    <w:rsid w:val="00A3613A"/>
    <w:rsid w:val="00A36996"/>
    <w:rsid w:val="00A37BB5"/>
    <w:rsid w:val="00A40B39"/>
    <w:rsid w:val="00A40E8D"/>
    <w:rsid w:val="00A416FF"/>
    <w:rsid w:val="00A422B5"/>
    <w:rsid w:val="00A425AE"/>
    <w:rsid w:val="00A427DA"/>
    <w:rsid w:val="00A42DB5"/>
    <w:rsid w:val="00A42E36"/>
    <w:rsid w:val="00A43116"/>
    <w:rsid w:val="00A43218"/>
    <w:rsid w:val="00A43259"/>
    <w:rsid w:val="00A434EF"/>
    <w:rsid w:val="00A43630"/>
    <w:rsid w:val="00A4417D"/>
    <w:rsid w:val="00A444B3"/>
    <w:rsid w:val="00A44971"/>
    <w:rsid w:val="00A44E55"/>
    <w:rsid w:val="00A451D4"/>
    <w:rsid w:val="00A47A26"/>
    <w:rsid w:val="00A508FD"/>
    <w:rsid w:val="00A513D0"/>
    <w:rsid w:val="00A51AD9"/>
    <w:rsid w:val="00A51CF7"/>
    <w:rsid w:val="00A5229B"/>
    <w:rsid w:val="00A5247E"/>
    <w:rsid w:val="00A52DE3"/>
    <w:rsid w:val="00A52F3D"/>
    <w:rsid w:val="00A537B4"/>
    <w:rsid w:val="00A545E5"/>
    <w:rsid w:val="00A54A77"/>
    <w:rsid w:val="00A54B4E"/>
    <w:rsid w:val="00A54BF5"/>
    <w:rsid w:val="00A55123"/>
    <w:rsid w:val="00A552DD"/>
    <w:rsid w:val="00A55CB6"/>
    <w:rsid w:val="00A55F8E"/>
    <w:rsid w:val="00A566A0"/>
    <w:rsid w:val="00A56CD6"/>
    <w:rsid w:val="00A57D01"/>
    <w:rsid w:val="00A60166"/>
    <w:rsid w:val="00A6070A"/>
    <w:rsid w:val="00A62AF6"/>
    <w:rsid w:val="00A634B7"/>
    <w:rsid w:val="00A6365B"/>
    <w:rsid w:val="00A63E94"/>
    <w:rsid w:val="00A641F7"/>
    <w:rsid w:val="00A644D2"/>
    <w:rsid w:val="00A64A33"/>
    <w:rsid w:val="00A64D1C"/>
    <w:rsid w:val="00A658B0"/>
    <w:rsid w:val="00A65CC6"/>
    <w:rsid w:val="00A65D53"/>
    <w:rsid w:val="00A6632F"/>
    <w:rsid w:val="00A66BBD"/>
    <w:rsid w:val="00A66C71"/>
    <w:rsid w:val="00A676C8"/>
    <w:rsid w:val="00A7057D"/>
    <w:rsid w:val="00A70D2C"/>
    <w:rsid w:val="00A71129"/>
    <w:rsid w:val="00A71756"/>
    <w:rsid w:val="00A72A6C"/>
    <w:rsid w:val="00A731BB"/>
    <w:rsid w:val="00A74603"/>
    <w:rsid w:val="00A74A35"/>
    <w:rsid w:val="00A74BB7"/>
    <w:rsid w:val="00A7517D"/>
    <w:rsid w:val="00A773C3"/>
    <w:rsid w:val="00A7768A"/>
    <w:rsid w:val="00A77D02"/>
    <w:rsid w:val="00A77DD2"/>
    <w:rsid w:val="00A77E1E"/>
    <w:rsid w:val="00A80CB3"/>
    <w:rsid w:val="00A82083"/>
    <w:rsid w:val="00A828CE"/>
    <w:rsid w:val="00A82B1F"/>
    <w:rsid w:val="00A82F9C"/>
    <w:rsid w:val="00A831EC"/>
    <w:rsid w:val="00A83436"/>
    <w:rsid w:val="00A839FE"/>
    <w:rsid w:val="00A83C43"/>
    <w:rsid w:val="00A84326"/>
    <w:rsid w:val="00A84C2F"/>
    <w:rsid w:val="00A85447"/>
    <w:rsid w:val="00A85CF1"/>
    <w:rsid w:val="00A85F65"/>
    <w:rsid w:val="00A9021F"/>
    <w:rsid w:val="00A90259"/>
    <w:rsid w:val="00A9110B"/>
    <w:rsid w:val="00A91DCF"/>
    <w:rsid w:val="00A91E9F"/>
    <w:rsid w:val="00A92071"/>
    <w:rsid w:val="00A92338"/>
    <w:rsid w:val="00A929CE"/>
    <w:rsid w:val="00A92AED"/>
    <w:rsid w:val="00A934F6"/>
    <w:rsid w:val="00A9402E"/>
    <w:rsid w:val="00A941F2"/>
    <w:rsid w:val="00A94246"/>
    <w:rsid w:val="00A94582"/>
    <w:rsid w:val="00A9458D"/>
    <w:rsid w:val="00A948F9"/>
    <w:rsid w:val="00A952CE"/>
    <w:rsid w:val="00A9538B"/>
    <w:rsid w:val="00A95D6C"/>
    <w:rsid w:val="00A96F07"/>
    <w:rsid w:val="00A977DB"/>
    <w:rsid w:val="00A97ED4"/>
    <w:rsid w:val="00AA167A"/>
    <w:rsid w:val="00AA172D"/>
    <w:rsid w:val="00AA1DE1"/>
    <w:rsid w:val="00AA1E7C"/>
    <w:rsid w:val="00AA257F"/>
    <w:rsid w:val="00AA26C3"/>
    <w:rsid w:val="00AA26FD"/>
    <w:rsid w:val="00AA2B0B"/>
    <w:rsid w:val="00AA31E8"/>
    <w:rsid w:val="00AA3732"/>
    <w:rsid w:val="00AA3883"/>
    <w:rsid w:val="00AA4316"/>
    <w:rsid w:val="00AA4D25"/>
    <w:rsid w:val="00AA4E73"/>
    <w:rsid w:val="00AA5432"/>
    <w:rsid w:val="00AA56A6"/>
    <w:rsid w:val="00AA5B33"/>
    <w:rsid w:val="00AA6070"/>
    <w:rsid w:val="00AA6160"/>
    <w:rsid w:val="00AA7355"/>
    <w:rsid w:val="00AA740C"/>
    <w:rsid w:val="00AA754D"/>
    <w:rsid w:val="00AA7A7C"/>
    <w:rsid w:val="00AB0929"/>
    <w:rsid w:val="00AB09FD"/>
    <w:rsid w:val="00AB10E2"/>
    <w:rsid w:val="00AB160C"/>
    <w:rsid w:val="00AB1D81"/>
    <w:rsid w:val="00AB2020"/>
    <w:rsid w:val="00AB2241"/>
    <w:rsid w:val="00AB2456"/>
    <w:rsid w:val="00AB254D"/>
    <w:rsid w:val="00AB25C2"/>
    <w:rsid w:val="00AB25DD"/>
    <w:rsid w:val="00AB58F3"/>
    <w:rsid w:val="00AB66FA"/>
    <w:rsid w:val="00AB6A05"/>
    <w:rsid w:val="00AB6D0F"/>
    <w:rsid w:val="00AB705E"/>
    <w:rsid w:val="00AB7322"/>
    <w:rsid w:val="00AB75A6"/>
    <w:rsid w:val="00AB761E"/>
    <w:rsid w:val="00AB7B69"/>
    <w:rsid w:val="00AB7D1D"/>
    <w:rsid w:val="00AC0919"/>
    <w:rsid w:val="00AC0ACB"/>
    <w:rsid w:val="00AC0D0C"/>
    <w:rsid w:val="00AC0D0F"/>
    <w:rsid w:val="00AC12F4"/>
    <w:rsid w:val="00AC15C2"/>
    <w:rsid w:val="00AC1911"/>
    <w:rsid w:val="00AC20AF"/>
    <w:rsid w:val="00AC2256"/>
    <w:rsid w:val="00AC22AF"/>
    <w:rsid w:val="00AC279B"/>
    <w:rsid w:val="00AC2E12"/>
    <w:rsid w:val="00AC30D9"/>
    <w:rsid w:val="00AC3B97"/>
    <w:rsid w:val="00AC448D"/>
    <w:rsid w:val="00AC45B0"/>
    <w:rsid w:val="00AC47F6"/>
    <w:rsid w:val="00AC49D4"/>
    <w:rsid w:val="00AC4AFA"/>
    <w:rsid w:val="00AC5A18"/>
    <w:rsid w:val="00AC7411"/>
    <w:rsid w:val="00AC7892"/>
    <w:rsid w:val="00AC7C3C"/>
    <w:rsid w:val="00AC7E63"/>
    <w:rsid w:val="00AD0083"/>
    <w:rsid w:val="00AD052B"/>
    <w:rsid w:val="00AD0A96"/>
    <w:rsid w:val="00AD118B"/>
    <w:rsid w:val="00AD1241"/>
    <w:rsid w:val="00AD18AF"/>
    <w:rsid w:val="00AD2103"/>
    <w:rsid w:val="00AD22BA"/>
    <w:rsid w:val="00AD2CD6"/>
    <w:rsid w:val="00AD382E"/>
    <w:rsid w:val="00AD39D6"/>
    <w:rsid w:val="00AD3D5B"/>
    <w:rsid w:val="00AD473E"/>
    <w:rsid w:val="00AD49B5"/>
    <w:rsid w:val="00AD4F2F"/>
    <w:rsid w:val="00AD5793"/>
    <w:rsid w:val="00AD5941"/>
    <w:rsid w:val="00AD5D18"/>
    <w:rsid w:val="00AD6328"/>
    <w:rsid w:val="00AD65A8"/>
    <w:rsid w:val="00AD6797"/>
    <w:rsid w:val="00AD6F89"/>
    <w:rsid w:val="00AD72E4"/>
    <w:rsid w:val="00AD73D1"/>
    <w:rsid w:val="00AD7512"/>
    <w:rsid w:val="00AD7842"/>
    <w:rsid w:val="00AD7AC9"/>
    <w:rsid w:val="00AD7ACE"/>
    <w:rsid w:val="00AD7C9B"/>
    <w:rsid w:val="00AE02C7"/>
    <w:rsid w:val="00AE063A"/>
    <w:rsid w:val="00AE0B90"/>
    <w:rsid w:val="00AE0C60"/>
    <w:rsid w:val="00AE1274"/>
    <w:rsid w:val="00AE16A0"/>
    <w:rsid w:val="00AE1FE6"/>
    <w:rsid w:val="00AE2557"/>
    <w:rsid w:val="00AE2EF0"/>
    <w:rsid w:val="00AE2F9A"/>
    <w:rsid w:val="00AE34CE"/>
    <w:rsid w:val="00AE3881"/>
    <w:rsid w:val="00AE4163"/>
    <w:rsid w:val="00AE4A51"/>
    <w:rsid w:val="00AE5A3F"/>
    <w:rsid w:val="00AE5B9C"/>
    <w:rsid w:val="00AE6078"/>
    <w:rsid w:val="00AE6379"/>
    <w:rsid w:val="00AE6697"/>
    <w:rsid w:val="00AE6BC7"/>
    <w:rsid w:val="00AE6F6D"/>
    <w:rsid w:val="00AE756F"/>
    <w:rsid w:val="00AF017C"/>
    <w:rsid w:val="00AF07B3"/>
    <w:rsid w:val="00AF0AA1"/>
    <w:rsid w:val="00AF0BAB"/>
    <w:rsid w:val="00AF1172"/>
    <w:rsid w:val="00AF1DB2"/>
    <w:rsid w:val="00AF1F3F"/>
    <w:rsid w:val="00AF2158"/>
    <w:rsid w:val="00AF3311"/>
    <w:rsid w:val="00AF495F"/>
    <w:rsid w:val="00AF4B7E"/>
    <w:rsid w:val="00AF6958"/>
    <w:rsid w:val="00AF69BC"/>
    <w:rsid w:val="00AF70D1"/>
    <w:rsid w:val="00AF72DD"/>
    <w:rsid w:val="00B001EC"/>
    <w:rsid w:val="00B002BC"/>
    <w:rsid w:val="00B003F2"/>
    <w:rsid w:val="00B008DA"/>
    <w:rsid w:val="00B014AE"/>
    <w:rsid w:val="00B0151B"/>
    <w:rsid w:val="00B01A77"/>
    <w:rsid w:val="00B023A3"/>
    <w:rsid w:val="00B026CD"/>
    <w:rsid w:val="00B02786"/>
    <w:rsid w:val="00B02B98"/>
    <w:rsid w:val="00B0303E"/>
    <w:rsid w:val="00B03396"/>
    <w:rsid w:val="00B03662"/>
    <w:rsid w:val="00B04135"/>
    <w:rsid w:val="00B0487C"/>
    <w:rsid w:val="00B04BE7"/>
    <w:rsid w:val="00B05647"/>
    <w:rsid w:val="00B05689"/>
    <w:rsid w:val="00B06104"/>
    <w:rsid w:val="00B064C4"/>
    <w:rsid w:val="00B06A5F"/>
    <w:rsid w:val="00B072E6"/>
    <w:rsid w:val="00B0789A"/>
    <w:rsid w:val="00B1063A"/>
    <w:rsid w:val="00B11B5E"/>
    <w:rsid w:val="00B122DC"/>
    <w:rsid w:val="00B128DF"/>
    <w:rsid w:val="00B12A07"/>
    <w:rsid w:val="00B12AC8"/>
    <w:rsid w:val="00B13BBA"/>
    <w:rsid w:val="00B14187"/>
    <w:rsid w:val="00B14D5E"/>
    <w:rsid w:val="00B14F75"/>
    <w:rsid w:val="00B15134"/>
    <w:rsid w:val="00B15A7C"/>
    <w:rsid w:val="00B15C01"/>
    <w:rsid w:val="00B16537"/>
    <w:rsid w:val="00B16926"/>
    <w:rsid w:val="00B16F4D"/>
    <w:rsid w:val="00B17B20"/>
    <w:rsid w:val="00B207EC"/>
    <w:rsid w:val="00B20BA0"/>
    <w:rsid w:val="00B2106C"/>
    <w:rsid w:val="00B21278"/>
    <w:rsid w:val="00B21681"/>
    <w:rsid w:val="00B218F3"/>
    <w:rsid w:val="00B21916"/>
    <w:rsid w:val="00B21E38"/>
    <w:rsid w:val="00B22A3D"/>
    <w:rsid w:val="00B22B54"/>
    <w:rsid w:val="00B22E15"/>
    <w:rsid w:val="00B22FE2"/>
    <w:rsid w:val="00B235A4"/>
    <w:rsid w:val="00B23AC9"/>
    <w:rsid w:val="00B23B6F"/>
    <w:rsid w:val="00B24099"/>
    <w:rsid w:val="00B242AF"/>
    <w:rsid w:val="00B24658"/>
    <w:rsid w:val="00B2482D"/>
    <w:rsid w:val="00B24E42"/>
    <w:rsid w:val="00B24EF8"/>
    <w:rsid w:val="00B251A1"/>
    <w:rsid w:val="00B251DB"/>
    <w:rsid w:val="00B253B8"/>
    <w:rsid w:val="00B25A50"/>
    <w:rsid w:val="00B2694B"/>
    <w:rsid w:val="00B26C25"/>
    <w:rsid w:val="00B26D06"/>
    <w:rsid w:val="00B26F32"/>
    <w:rsid w:val="00B27A91"/>
    <w:rsid w:val="00B27E10"/>
    <w:rsid w:val="00B30ADE"/>
    <w:rsid w:val="00B311F1"/>
    <w:rsid w:val="00B31209"/>
    <w:rsid w:val="00B318A2"/>
    <w:rsid w:val="00B31988"/>
    <w:rsid w:val="00B31CA7"/>
    <w:rsid w:val="00B31E72"/>
    <w:rsid w:val="00B32045"/>
    <w:rsid w:val="00B32268"/>
    <w:rsid w:val="00B32456"/>
    <w:rsid w:val="00B32DBB"/>
    <w:rsid w:val="00B33A2A"/>
    <w:rsid w:val="00B34065"/>
    <w:rsid w:val="00B342D9"/>
    <w:rsid w:val="00B34D53"/>
    <w:rsid w:val="00B352C8"/>
    <w:rsid w:val="00B3575A"/>
    <w:rsid w:val="00B35A84"/>
    <w:rsid w:val="00B35C0C"/>
    <w:rsid w:val="00B3636A"/>
    <w:rsid w:val="00B36A32"/>
    <w:rsid w:val="00B37602"/>
    <w:rsid w:val="00B4001B"/>
    <w:rsid w:val="00B41ED1"/>
    <w:rsid w:val="00B42129"/>
    <w:rsid w:val="00B42D24"/>
    <w:rsid w:val="00B43336"/>
    <w:rsid w:val="00B4338B"/>
    <w:rsid w:val="00B4396D"/>
    <w:rsid w:val="00B43C6A"/>
    <w:rsid w:val="00B440F1"/>
    <w:rsid w:val="00B44656"/>
    <w:rsid w:val="00B44A4A"/>
    <w:rsid w:val="00B44E85"/>
    <w:rsid w:val="00B464CE"/>
    <w:rsid w:val="00B46616"/>
    <w:rsid w:val="00B46BDB"/>
    <w:rsid w:val="00B46F86"/>
    <w:rsid w:val="00B47A98"/>
    <w:rsid w:val="00B47AF9"/>
    <w:rsid w:val="00B50A36"/>
    <w:rsid w:val="00B50A74"/>
    <w:rsid w:val="00B50D0B"/>
    <w:rsid w:val="00B51A31"/>
    <w:rsid w:val="00B51DE7"/>
    <w:rsid w:val="00B52691"/>
    <w:rsid w:val="00B5355A"/>
    <w:rsid w:val="00B5373D"/>
    <w:rsid w:val="00B537D7"/>
    <w:rsid w:val="00B5385E"/>
    <w:rsid w:val="00B53D7A"/>
    <w:rsid w:val="00B54417"/>
    <w:rsid w:val="00B54445"/>
    <w:rsid w:val="00B55191"/>
    <w:rsid w:val="00B55433"/>
    <w:rsid w:val="00B55875"/>
    <w:rsid w:val="00B5615D"/>
    <w:rsid w:val="00B56536"/>
    <w:rsid w:val="00B566A8"/>
    <w:rsid w:val="00B56ADD"/>
    <w:rsid w:val="00B573F9"/>
    <w:rsid w:val="00B5784C"/>
    <w:rsid w:val="00B60032"/>
    <w:rsid w:val="00B60506"/>
    <w:rsid w:val="00B60792"/>
    <w:rsid w:val="00B60D6A"/>
    <w:rsid w:val="00B612D3"/>
    <w:rsid w:val="00B62080"/>
    <w:rsid w:val="00B62315"/>
    <w:rsid w:val="00B625AD"/>
    <w:rsid w:val="00B62940"/>
    <w:rsid w:val="00B629CE"/>
    <w:rsid w:val="00B62D84"/>
    <w:rsid w:val="00B6310D"/>
    <w:rsid w:val="00B6337C"/>
    <w:rsid w:val="00B636E5"/>
    <w:rsid w:val="00B63FEE"/>
    <w:rsid w:val="00B645E6"/>
    <w:rsid w:val="00B65FE2"/>
    <w:rsid w:val="00B6654A"/>
    <w:rsid w:val="00B666FC"/>
    <w:rsid w:val="00B66E64"/>
    <w:rsid w:val="00B67011"/>
    <w:rsid w:val="00B67569"/>
    <w:rsid w:val="00B675A1"/>
    <w:rsid w:val="00B67FFD"/>
    <w:rsid w:val="00B707A8"/>
    <w:rsid w:val="00B70D0D"/>
    <w:rsid w:val="00B71CC6"/>
    <w:rsid w:val="00B71E0F"/>
    <w:rsid w:val="00B721DB"/>
    <w:rsid w:val="00B72224"/>
    <w:rsid w:val="00B72857"/>
    <w:rsid w:val="00B7370A"/>
    <w:rsid w:val="00B744C1"/>
    <w:rsid w:val="00B74579"/>
    <w:rsid w:val="00B75096"/>
    <w:rsid w:val="00B75BD6"/>
    <w:rsid w:val="00B75C1C"/>
    <w:rsid w:val="00B75CDF"/>
    <w:rsid w:val="00B76DD9"/>
    <w:rsid w:val="00B777E4"/>
    <w:rsid w:val="00B77B67"/>
    <w:rsid w:val="00B77DC6"/>
    <w:rsid w:val="00B8002D"/>
    <w:rsid w:val="00B8022E"/>
    <w:rsid w:val="00B8067F"/>
    <w:rsid w:val="00B807F3"/>
    <w:rsid w:val="00B80C34"/>
    <w:rsid w:val="00B80FEE"/>
    <w:rsid w:val="00B81270"/>
    <w:rsid w:val="00B812F7"/>
    <w:rsid w:val="00B81C11"/>
    <w:rsid w:val="00B81E48"/>
    <w:rsid w:val="00B83537"/>
    <w:rsid w:val="00B83774"/>
    <w:rsid w:val="00B83FCF"/>
    <w:rsid w:val="00B849ED"/>
    <w:rsid w:val="00B84FCC"/>
    <w:rsid w:val="00B85291"/>
    <w:rsid w:val="00B8570F"/>
    <w:rsid w:val="00B85987"/>
    <w:rsid w:val="00B85D0F"/>
    <w:rsid w:val="00B873BE"/>
    <w:rsid w:val="00B874F1"/>
    <w:rsid w:val="00B875F8"/>
    <w:rsid w:val="00B877F7"/>
    <w:rsid w:val="00B903CF"/>
    <w:rsid w:val="00B906C2"/>
    <w:rsid w:val="00B9073A"/>
    <w:rsid w:val="00B912AC"/>
    <w:rsid w:val="00B91332"/>
    <w:rsid w:val="00B916C2"/>
    <w:rsid w:val="00B91821"/>
    <w:rsid w:val="00B922D7"/>
    <w:rsid w:val="00B92457"/>
    <w:rsid w:val="00B92662"/>
    <w:rsid w:val="00B92B62"/>
    <w:rsid w:val="00B92DD3"/>
    <w:rsid w:val="00B935F2"/>
    <w:rsid w:val="00B94D9C"/>
    <w:rsid w:val="00B94E75"/>
    <w:rsid w:val="00B95297"/>
    <w:rsid w:val="00B953DA"/>
    <w:rsid w:val="00B9552D"/>
    <w:rsid w:val="00B9562C"/>
    <w:rsid w:val="00B9691E"/>
    <w:rsid w:val="00B96EE9"/>
    <w:rsid w:val="00B97ABE"/>
    <w:rsid w:val="00B97E51"/>
    <w:rsid w:val="00B97ED6"/>
    <w:rsid w:val="00BA00AE"/>
    <w:rsid w:val="00BA082F"/>
    <w:rsid w:val="00BA0B22"/>
    <w:rsid w:val="00BA14E7"/>
    <w:rsid w:val="00BA19C6"/>
    <w:rsid w:val="00BA20DB"/>
    <w:rsid w:val="00BA2180"/>
    <w:rsid w:val="00BA22E0"/>
    <w:rsid w:val="00BA2AE5"/>
    <w:rsid w:val="00BA2E1E"/>
    <w:rsid w:val="00BA2ED6"/>
    <w:rsid w:val="00BA2F07"/>
    <w:rsid w:val="00BA3358"/>
    <w:rsid w:val="00BA3513"/>
    <w:rsid w:val="00BA4545"/>
    <w:rsid w:val="00BA4C43"/>
    <w:rsid w:val="00BA53C4"/>
    <w:rsid w:val="00BA54C4"/>
    <w:rsid w:val="00BA5D80"/>
    <w:rsid w:val="00BA6502"/>
    <w:rsid w:val="00BA6D1A"/>
    <w:rsid w:val="00BA6D58"/>
    <w:rsid w:val="00BA75DB"/>
    <w:rsid w:val="00BA7968"/>
    <w:rsid w:val="00BB049F"/>
    <w:rsid w:val="00BB0D49"/>
    <w:rsid w:val="00BB1240"/>
    <w:rsid w:val="00BB1DDC"/>
    <w:rsid w:val="00BB1F98"/>
    <w:rsid w:val="00BB2273"/>
    <w:rsid w:val="00BB350F"/>
    <w:rsid w:val="00BB3AA4"/>
    <w:rsid w:val="00BB3D35"/>
    <w:rsid w:val="00BB48A0"/>
    <w:rsid w:val="00BB51D5"/>
    <w:rsid w:val="00BB5B75"/>
    <w:rsid w:val="00BB5C4D"/>
    <w:rsid w:val="00BB607E"/>
    <w:rsid w:val="00BB64B3"/>
    <w:rsid w:val="00BB666C"/>
    <w:rsid w:val="00BB76F1"/>
    <w:rsid w:val="00BC0597"/>
    <w:rsid w:val="00BC0DDC"/>
    <w:rsid w:val="00BC1958"/>
    <w:rsid w:val="00BC1FC5"/>
    <w:rsid w:val="00BC27FB"/>
    <w:rsid w:val="00BC3F9B"/>
    <w:rsid w:val="00BC4470"/>
    <w:rsid w:val="00BC4703"/>
    <w:rsid w:val="00BC478F"/>
    <w:rsid w:val="00BC50D9"/>
    <w:rsid w:val="00BC5151"/>
    <w:rsid w:val="00BC5D9E"/>
    <w:rsid w:val="00BC64C9"/>
    <w:rsid w:val="00BC7097"/>
    <w:rsid w:val="00BC7288"/>
    <w:rsid w:val="00BC779B"/>
    <w:rsid w:val="00BC7B6C"/>
    <w:rsid w:val="00BD0379"/>
    <w:rsid w:val="00BD068A"/>
    <w:rsid w:val="00BD08CD"/>
    <w:rsid w:val="00BD0A3F"/>
    <w:rsid w:val="00BD0C0E"/>
    <w:rsid w:val="00BD0F8A"/>
    <w:rsid w:val="00BD1525"/>
    <w:rsid w:val="00BD17BF"/>
    <w:rsid w:val="00BD23D0"/>
    <w:rsid w:val="00BD2807"/>
    <w:rsid w:val="00BD29AE"/>
    <w:rsid w:val="00BD2C1C"/>
    <w:rsid w:val="00BD35B7"/>
    <w:rsid w:val="00BD3A3A"/>
    <w:rsid w:val="00BD3BDB"/>
    <w:rsid w:val="00BD43D1"/>
    <w:rsid w:val="00BD4B6E"/>
    <w:rsid w:val="00BD4D9C"/>
    <w:rsid w:val="00BD4F51"/>
    <w:rsid w:val="00BD53F0"/>
    <w:rsid w:val="00BD5EC9"/>
    <w:rsid w:val="00BD6FC5"/>
    <w:rsid w:val="00BD7014"/>
    <w:rsid w:val="00BD76D4"/>
    <w:rsid w:val="00BE017C"/>
    <w:rsid w:val="00BE01F5"/>
    <w:rsid w:val="00BE0249"/>
    <w:rsid w:val="00BE044A"/>
    <w:rsid w:val="00BE1031"/>
    <w:rsid w:val="00BE14E7"/>
    <w:rsid w:val="00BE166A"/>
    <w:rsid w:val="00BE1A45"/>
    <w:rsid w:val="00BE1CB4"/>
    <w:rsid w:val="00BE2AE8"/>
    <w:rsid w:val="00BE2B48"/>
    <w:rsid w:val="00BE2C1A"/>
    <w:rsid w:val="00BE2DAE"/>
    <w:rsid w:val="00BE349A"/>
    <w:rsid w:val="00BE486A"/>
    <w:rsid w:val="00BE4DE1"/>
    <w:rsid w:val="00BE53C0"/>
    <w:rsid w:val="00BE53C7"/>
    <w:rsid w:val="00BE569B"/>
    <w:rsid w:val="00BE5A8F"/>
    <w:rsid w:val="00BE5D68"/>
    <w:rsid w:val="00BE67C5"/>
    <w:rsid w:val="00BE68BE"/>
    <w:rsid w:val="00BE6EEA"/>
    <w:rsid w:val="00BF0390"/>
    <w:rsid w:val="00BF0CC2"/>
    <w:rsid w:val="00BF411D"/>
    <w:rsid w:val="00BF41D2"/>
    <w:rsid w:val="00BF43F0"/>
    <w:rsid w:val="00BF4D92"/>
    <w:rsid w:val="00BF4E38"/>
    <w:rsid w:val="00BF502D"/>
    <w:rsid w:val="00BF5137"/>
    <w:rsid w:val="00BF51C7"/>
    <w:rsid w:val="00BF52FC"/>
    <w:rsid w:val="00BF626B"/>
    <w:rsid w:val="00BF68E6"/>
    <w:rsid w:val="00BF6BDE"/>
    <w:rsid w:val="00BF72B6"/>
    <w:rsid w:val="00BF7594"/>
    <w:rsid w:val="00C00B99"/>
    <w:rsid w:val="00C01904"/>
    <w:rsid w:val="00C02031"/>
    <w:rsid w:val="00C02622"/>
    <w:rsid w:val="00C02665"/>
    <w:rsid w:val="00C02B3C"/>
    <w:rsid w:val="00C02C92"/>
    <w:rsid w:val="00C03300"/>
    <w:rsid w:val="00C03B04"/>
    <w:rsid w:val="00C04211"/>
    <w:rsid w:val="00C04AFB"/>
    <w:rsid w:val="00C052F3"/>
    <w:rsid w:val="00C05543"/>
    <w:rsid w:val="00C05CDD"/>
    <w:rsid w:val="00C05D7E"/>
    <w:rsid w:val="00C05E96"/>
    <w:rsid w:val="00C0605C"/>
    <w:rsid w:val="00C062AA"/>
    <w:rsid w:val="00C0640D"/>
    <w:rsid w:val="00C06668"/>
    <w:rsid w:val="00C06959"/>
    <w:rsid w:val="00C06F2F"/>
    <w:rsid w:val="00C078F3"/>
    <w:rsid w:val="00C07D01"/>
    <w:rsid w:val="00C10A14"/>
    <w:rsid w:val="00C11436"/>
    <w:rsid w:val="00C1188A"/>
    <w:rsid w:val="00C11B1D"/>
    <w:rsid w:val="00C11D3B"/>
    <w:rsid w:val="00C121F9"/>
    <w:rsid w:val="00C122D3"/>
    <w:rsid w:val="00C126DD"/>
    <w:rsid w:val="00C12837"/>
    <w:rsid w:val="00C133D2"/>
    <w:rsid w:val="00C13E8D"/>
    <w:rsid w:val="00C14C0B"/>
    <w:rsid w:val="00C14C32"/>
    <w:rsid w:val="00C15067"/>
    <w:rsid w:val="00C15605"/>
    <w:rsid w:val="00C157DC"/>
    <w:rsid w:val="00C15B13"/>
    <w:rsid w:val="00C16CFF"/>
    <w:rsid w:val="00C17146"/>
    <w:rsid w:val="00C177CE"/>
    <w:rsid w:val="00C17D76"/>
    <w:rsid w:val="00C17DAD"/>
    <w:rsid w:val="00C2059C"/>
    <w:rsid w:val="00C207E2"/>
    <w:rsid w:val="00C20B15"/>
    <w:rsid w:val="00C20D66"/>
    <w:rsid w:val="00C21BB9"/>
    <w:rsid w:val="00C222E6"/>
    <w:rsid w:val="00C22356"/>
    <w:rsid w:val="00C22E04"/>
    <w:rsid w:val="00C232FB"/>
    <w:rsid w:val="00C23FD9"/>
    <w:rsid w:val="00C2403E"/>
    <w:rsid w:val="00C24D09"/>
    <w:rsid w:val="00C254A5"/>
    <w:rsid w:val="00C2555A"/>
    <w:rsid w:val="00C2630B"/>
    <w:rsid w:val="00C26602"/>
    <w:rsid w:val="00C266B2"/>
    <w:rsid w:val="00C27524"/>
    <w:rsid w:val="00C276C1"/>
    <w:rsid w:val="00C27766"/>
    <w:rsid w:val="00C279ED"/>
    <w:rsid w:val="00C27A42"/>
    <w:rsid w:val="00C30056"/>
    <w:rsid w:val="00C30922"/>
    <w:rsid w:val="00C30AA1"/>
    <w:rsid w:val="00C30BB9"/>
    <w:rsid w:val="00C30C47"/>
    <w:rsid w:val="00C30F77"/>
    <w:rsid w:val="00C31365"/>
    <w:rsid w:val="00C3257D"/>
    <w:rsid w:val="00C32A73"/>
    <w:rsid w:val="00C332A4"/>
    <w:rsid w:val="00C33AEF"/>
    <w:rsid w:val="00C33FB9"/>
    <w:rsid w:val="00C34D7D"/>
    <w:rsid w:val="00C36847"/>
    <w:rsid w:val="00C36D5D"/>
    <w:rsid w:val="00C37A7F"/>
    <w:rsid w:val="00C37F56"/>
    <w:rsid w:val="00C4010D"/>
    <w:rsid w:val="00C41F6F"/>
    <w:rsid w:val="00C42335"/>
    <w:rsid w:val="00C4304A"/>
    <w:rsid w:val="00C43D48"/>
    <w:rsid w:val="00C43D4C"/>
    <w:rsid w:val="00C43F0D"/>
    <w:rsid w:val="00C44630"/>
    <w:rsid w:val="00C45176"/>
    <w:rsid w:val="00C456FC"/>
    <w:rsid w:val="00C4576F"/>
    <w:rsid w:val="00C45844"/>
    <w:rsid w:val="00C45EA4"/>
    <w:rsid w:val="00C470B0"/>
    <w:rsid w:val="00C47299"/>
    <w:rsid w:val="00C4792C"/>
    <w:rsid w:val="00C50A9A"/>
    <w:rsid w:val="00C50B93"/>
    <w:rsid w:val="00C50E75"/>
    <w:rsid w:val="00C516CB"/>
    <w:rsid w:val="00C51741"/>
    <w:rsid w:val="00C51AD6"/>
    <w:rsid w:val="00C52177"/>
    <w:rsid w:val="00C5224C"/>
    <w:rsid w:val="00C5281A"/>
    <w:rsid w:val="00C5292B"/>
    <w:rsid w:val="00C54698"/>
    <w:rsid w:val="00C548C9"/>
    <w:rsid w:val="00C54B1B"/>
    <w:rsid w:val="00C5531B"/>
    <w:rsid w:val="00C55806"/>
    <w:rsid w:val="00C558D3"/>
    <w:rsid w:val="00C56C07"/>
    <w:rsid w:val="00C60271"/>
    <w:rsid w:val="00C6048C"/>
    <w:rsid w:val="00C606DC"/>
    <w:rsid w:val="00C609E9"/>
    <w:rsid w:val="00C613B9"/>
    <w:rsid w:val="00C622F8"/>
    <w:rsid w:val="00C62619"/>
    <w:rsid w:val="00C63750"/>
    <w:rsid w:val="00C63A58"/>
    <w:rsid w:val="00C63B02"/>
    <w:rsid w:val="00C646CF"/>
    <w:rsid w:val="00C64B3D"/>
    <w:rsid w:val="00C65982"/>
    <w:rsid w:val="00C659BB"/>
    <w:rsid w:val="00C65B5A"/>
    <w:rsid w:val="00C65E4E"/>
    <w:rsid w:val="00C661CA"/>
    <w:rsid w:val="00C66439"/>
    <w:rsid w:val="00C66984"/>
    <w:rsid w:val="00C66E37"/>
    <w:rsid w:val="00C676D4"/>
    <w:rsid w:val="00C703FE"/>
    <w:rsid w:val="00C70DBA"/>
    <w:rsid w:val="00C71467"/>
    <w:rsid w:val="00C721B8"/>
    <w:rsid w:val="00C73A8A"/>
    <w:rsid w:val="00C73B7C"/>
    <w:rsid w:val="00C7477D"/>
    <w:rsid w:val="00C749D0"/>
    <w:rsid w:val="00C74D32"/>
    <w:rsid w:val="00C75022"/>
    <w:rsid w:val="00C75873"/>
    <w:rsid w:val="00C75ACB"/>
    <w:rsid w:val="00C75E7E"/>
    <w:rsid w:val="00C76221"/>
    <w:rsid w:val="00C765F1"/>
    <w:rsid w:val="00C77133"/>
    <w:rsid w:val="00C7767E"/>
    <w:rsid w:val="00C77D64"/>
    <w:rsid w:val="00C8017F"/>
    <w:rsid w:val="00C80239"/>
    <w:rsid w:val="00C802DD"/>
    <w:rsid w:val="00C8031D"/>
    <w:rsid w:val="00C808ED"/>
    <w:rsid w:val="00C809C1"/>
    <w:rsid w:val="00C816D9"/>
    <w:rsid w:val="00C81FE7"/>
    <w:rsid w:val="00C82240"/>
    <w:rsid w:val="00C82669"/>
    <w:rsid w:val="00C83E10"/>
    <w:rsid w:val="00C8440E"/>
    <w:rsid w:val="00C865C9"/>
    <w:rsid w:val="00C86B9D"/>
    <w:rsid w:val="00C874A5"/>
    <w:rsid w:val="00C879A8"/>
    <w:rsid w:val="00C87F80"/>
    <w:rsid w:val="00C9068A"/>
    <w:rsid w:val="00C91505"/>
    <w:rsid w:val="00C91AC5"/>
    <w:rsid w:val="00C924B5"/>
    <w:rsid w:val="00C92548"/>
    <w:rsid w:val="00C92696"/>
    <w:rsid w:val="00C928B9"/>
    <w:rsid w:val="00C92BB1"/>
    <w:rsid w:val="00C933C4"/>
    <w:rsid w:val="00C937C1"/>
    <w:rsid w:val="00C93940"/>
    <w:rsid w:val="00C93A6E"/>
    <w:rsid w:val="00C93A80"/>
    <w:rsid w:val="00C93B46"/>
    <w:rsid w:val="00C93C35"/>
    <w:rsid w:val="00C94D41"/>
    <w:rsid w:val="00C95395"/>
    <w:rsid w:val="00C95994"/>
    <w:rsid w:val="00C95D23"/>
    <w:rsid w:val="00C95F81"/>
    <w:rsid w:val="00C96745"/>
    <w:rsid w:val="00C96DDC"/>
    <w:rsid w:val="00C9760C"/>
    <w:rsid w:val="00C97820"/>
    <w:rsid w:val="00C97AC7"/>
    <w:rsid w:val="00C97B27"/>
    <w:rsid w:val="00CA0228"/>
    <w:rsid w:val="00CA07AF"/>
    <w:rsid w:val="00CA0C4E"/>
    <w:rsid w:val="00CA0E3C"/>
    <w:rsid w:val="00CA1650"/>
    <w:rsid w:val="00CA1A0A"/>
    <w:rsid w:val="00CA1AAC"/>
    <w:rsid w:val="00CA1B47"/>
    <w:rsid w:val="00CA2212"/>
    <w:rsid w:val="00CA2855"/>
    <w:rsid w:val="00CA2B65"/>
    <w:rsid w:val="00CA2E46"/>
    <w:rsid w:val="00CA321A"/>
    <w:rsid w:val="00CA3822"/>
    <w:rsid w:val="00CA412D"/>
    <w:rsid w:val="00CA4B35"/>
    <w:rsid w:val="00CA4CF3"/>
    <w:rsid w:val="00CA5072"/>
    <w:rsid w:val="00CA55DB"/>
    <w:rsid w:val="00CA5862"/>
    <w:rsid w:val="00CA5C0C"/>
    <w:rsid w:val="00CA6E3C"/>
    <w:rsid w:val="00CA713C"/>
    <w:rsid w:val="00CA78D7"/>
    <w:rsid w:val="00CB0578"/>
    <w:rsid w:val="00CB0637"/>
    <w:rsid w:val="00CB079F"/>
    <w:rsid w:val="00CB0E4E"/>
    <w:rsid w:val="00CB0E5F"/>
    <w:rsid w:val="00CB1095"/>
    <w:rsid w:val="00CB178A"/>
    <w:rsid w:val="00CB1CA2"/>
    <w:rsid w:val="00CB1D24"/>
    <w:rsid w:val="00CB1F41"/>
    <w:rsid w:val="00CB2885"/>
    <w:rsid w:val="00CB2DE1"/>
    <w:rsid w:val="00CB2F13"/>
    <w:rsid w:val="00CB2F77"/>
    <w:rsid w:val="00CB3863"/>
    <w:rsid w:val="00CB3C10"/>
    <w:rsid w:val="00CB42EF"/>
    <w:rsid w:val="00CB4781"/>
    <w:rsid w:val="00CB4AC2"/>
    <w:rsid w:val="00CB4EE5"/>
    <w:rsid w:val="00CB5187"/>
    <w:rsid w:val="00CB5461"/>
    <w:rsid w:val="00CB5634"/>
    <w:rsid w:val="00CB69D5"/>
    <w:rsid w:val="00CB6E4F"/>
    <w:rsid w:val="00CB70FA"/>
    <w:rsid w:val="00CB7499"/>
    <w:rsid w:val="00CB7518"/>
    <w:rsid w:val="00CB7A33"/>
    <w:rsid w:val="00CB7A9D"/>
    <w:rsid w:val="00CB7C9B"/>
    <w:rsid w:val="00CC01B8"/>
    <w:rsid w:val="00CC030E"/>
    <w:rsid w:val="00CC0F1C"/>
    <w:rsid w:val="00CC12DB"/>
    <w:rsid w:val="00CC1B58"/>
    <w:rsid w:val="00CC1EED"/>
    <w:rsid w:val="00CC2156"/>
    <w:rsid w:val="00CC25B3"/>
    <w:rsid w:val="00CC2BF9"/>
    <w:rsid w:val="00CC32F2"/>
    <w:rsid w:val="00CC3BD8"/>
    <w:rsid w:val="00CC4036"/>
    <w:rsid w:val="00CC4046"/>
    <w:rsid w:val="00CC430D"/>
    <w:rsid w:val="00CC45FF"/>
    <w:rsid w:val="00CC4790"/>
    <w:rsid w:val="00CC484D"/>
    <w:rsid w:val="00CC4A4B"/>
    <w:rsid w:val="00CC5BE2"/>
    <w:rsid w:val="00CC687B"/>
    <w:rsid w:val="00CC6C0A"/>
    <w:rsid w:val="00CC7012"/>
    <w:rsid w:val="00CC74AE"/>
    <w:rsid w:val="00CC7C25"/>
    <w:rsid w:val="00CD02B6"/>
    <w:rsid w:val="00CD06CF"/>
    <w:rsid w:val="00CD0E40"/>
    <w:rsid w:val="00CD11EF"/>
    <w:rsid w:val="00CD194A"/>
    <w:rsid w:val="00CD23D6"/>
    <w:rsid w:val="00CD27F0"/>
    <w:rsid w:val="00CD31E1"/>
    <w:rsid w:val="00CD395A"/>
    <w:rsid w:val="00CD3D47"/>
    <w:rsid w:val="00CD3F87"/>
    <w:rsid w:val="00CD4094"/>
    <w:rsid w:val="00CD4F62"/>
    <w:rsid w:val="00CD528F"/>
    <w:rsid w:val="00CD617B"/>
    <w:rsid w:val="00CD683F"/>
    <w:rsid w:val="00CD699D"/>
    <w:rsid w:val="00CD7067"/>
    <w:rsid w:val="00CD7A53"/>
    <w:rsid w:val="00CD7A67"/>
    <w:rsid w:val="00CD7C89"/>
    <w:rsid w:val="00CD7FD1"/>
    <w:rsid w:val="00CE008C"/>
    <w:rsid w:val="00CE0E17"/>
    <w:rsid w:val="00CE16D3"/>
    <w:rsid w:val="00CE1A63"/>
    <w:rsid w:val="00CE1D9F"/>
    <w:rsid w:val="00CE2291"/>
    <w:rsid w:val="00CE2E58"/>
    <w:rsid w:val="00CE31CC"/>
    <w:rsid w:val="00CE3499"/>
    <w:rsid w:val="00CE3586"/>
    <w:rsid w:val="00CE36E1"/>
    <w:rsid w:val="00CE3D65"/>
    <w:rsid w:val="00CE401D"/>
    <w:rsid w:val="00CE4711"/>
    <w:rsid w:val="00CE4789"/>
    <w:rsid w:val="00CE4BFB"/>
    <w:rsid w:val="00CE4F09"/>
    <w:rsid w:val="00CE4FF4"/>
    <w:rsid w:val="00CE505E"/>
    <w:rsid w:val="00CE508E"/>
    <w:rsid w:val="00CE513C"/>
    <w:rsid w:val="00CE68F4"/>
    <w:rsid w:val="00CE6ABC"/>
    <w:rsid w:val="00CE6BBD"/>
    <w:rsid w:val="00CE6C57"/>
    <w:rsid w:val="00CE6D74"/>
    <w:rsid w:val="00CE7576"/>
    <w:rsid w:val="00CE759A"/>
    <w:rsid w:val="00CE798B"/>
    <w:rsid w:val="00CE79E3"/>
    <w:rsid w:val="00CE7A19"/>
    <w:rsid w:val="00CE7CA3"/>
    <w:rsid w:val="00CE7F17"/>
    <w:rsid w:val="00CF0212"/>
    <w:rsid w:val="00CF03F7"/>
    <w:rsid w:val="00CF0779"/>
    <w:rsid w:val="00CF0881"/>
    <w:rsid w:val="00CF2114"/>
    <w:rsid w:val="00CF25B1"/>
    <w:rsid w:val="00CF2639"/>
    <w:rsid w:val="00CF32CE"/>
    <w:rsid w:val="00CF4DA8"/>
    <w:rsid w:val="00CF5388"/>
    <w:rsid w:val="00CF6447"/>
    <w:rsid w:val="00CF67C2"/>
    <w:rsid w:val="00CF6985"/>
    <w:rsid w:val="00CF76C6"/>
    <w:rsid w:val="00CF7F0B"/>
    <w:rsid w:val="00D001B4"/>
    <w:rsid w:val="00D009E9"/>
    <w:rsid w:val="00D00BDF"/>
    <w:rsid w:val="00D0165D"/>
    <w:rsid w:val="00D01D58"/>
    <w:rsid w:val="00D022BE"/>
    <w:rsid w:val="00D02687"/>
    <w:rsid w:val="00D0272D"/>
    <w:rsid w:val="00D02A07"/>
    <w:rsid w:val="00D02DCF"/>
    <w:rsid w:val="00D03442"/>
    <w:rsid w:val="00D03ABE"/>
    <w:rsid w:val="00D045DA"/>
    <w:rsid w:val="00D0462E"/>
    <w:rsid w:val="00D04ADC"/>
    <w:rsid w:val="00D05039"/>
    <w:rsid w:val="00D05E79"/>
    <w:rsid w:val="00D06A30"/>
    <w:rsid w:val="00D06ACB"/>
    <w:rsid w:val="00D06B46"/>
    <w:rsid w:val="00D06B97"/>
    <w:rsid w:val="00D10678"/>
    <w:rsid w:val="00D10D50"/>
    <w:rsid w:val="00D112BB"/>
    <w:rsid w:val="00D112DE"/>
    <w:rsid w:val="00D119D3"/>
    <w:rsid w:val="00D127F9"/>
    <w:rsid w:val="00D12C9C"/>
    <w:rsid w:val="00D135FA"/>
    <w:rsid w:val="00D1387F"/>
    <w:rsid w:val="00D13972"/>
    <w:rsid w:val="00D14217"/>
    <w:rsid w:val="00D14430"/>
    <w:rsid w:val="00D14EE4"/>
    <w:rsid w:val="00D1517C"/>
    <w:rsid w:val="00D15584"/>
    <w:rsid w:val="00D15BB1"/>
    <w:rsid w:val="00D161AF"/>
    <w:rsid w:val="00D172C7"/>
    <w:rsid w:val="00D17D11"/>
    <w:rsid w:val="00D20279"/>
    <w:rsid w:val="00D21163"/>
    <w:rsid w:val="00D2154C"/>
    <w:rsid w:val="00D21E77"/>
    <w:rsid w:val="00D220CF"/>
    <w:rsid w:val="00D22310"/>
    <w:rsid w:val="00D228DC"/>
    <w:rsid w:val="00D22FE1"/>
    <w:rsid w:val="00D266F1"/>
    <w:rsid w:val="00D27694"/>
    <w:rsid w:val="00D27B86"/>
    <w:rsid w:val="00D27B99"/>
    <w:rsid w:val="00D27CCB"/>
    <w:rsid w:val="00D27F53"/>
    <w:rsid w:val="00D30172"/>
    <w:rsid w:val="00D306F5"/>
    <w:rsid w:val="00D30B8C"/>
    <w:rsid w:val="00D310FE"/>
    <w:rsid w:val="00D3183C"/>
    <w:rsid w:val="00D31AEA"/>
    <w:rsid w:val="00D32098"/>
    <w:rsid w:val="00D322F5"/>
    <w:rsid w:val="00D3265D"/>
    <w:rsid w:val="00D3271F"/>
    <w:rsid w:val="00D32759"/>
    <w:rsid w:val="00D327C8"/>
    <w:rsid w:val="00D3371F"/>
    <w:rsid w:val="00D347D9"/>
    <w:rsid w:val="00D34E70"/>
    <w:rsid w:val="00D34F35"/>
    <w:rsid w:val="00D35B6C"/>
    <w:rsid w:val="00D36439"/>
    <w:rsid w:val="00D375CB"/>
    <w:rsid w:val="00D403AE"/>
    <w:rsid w:val="00D4059D"/>
    <w:rsid w:val="00D40937"/>
    <w:rsid w:val="00D413E0"/>
    <w:rsid w:val="00D41A20"/>
    <w:rsid w:val="00D41C6E"/>
    <w:rsid w:val="00D41D9A"/>
    <w:rsid w:val="00D4213E"/>
    <w:rsid w:val="00D4258D"/>
    <w:rsid w:val="00D42741"/>
    <w:rsid w:val="00D429A9"/>
    <w:rsid w:val="00D42D7C"/>
    <w:rsid w:val="00D43424"/>
    <w:rsid w:val="00D43794"/>
    <w:rsid w:val="00D43E59"/>
    <w:rsid w:val="00D43F69"/>
    <w:rsid w:val="00D4476B"/>
    <w:rsid w:val="00D4485C"/>
    <w:rsid w:val="00D44EB8"/>
    <w:rsid w:val="00D45033"/>
    <w:rsid w:val="00D45244"/>
    <w:rsid w:val="00D463C6"/>
    <w:rsid w:val="00D4725E"/>
    <w:rsid w:val="00D473F8"/>
    <w:rsid w:val="00D475AE"/>
    <w:rsid w:val="00D477A8"/>
    <w:rsid w:val="00D477DB"/>
    <w:rsid w:val="00D50114"/>
    <w:rsid w:val="00D50768"/>
    <w:rsid w:val="00D507B6"/>
    <w:rsid w:val="00D513EC"/>
    <w:rsid w:val="00D5167E"/>
    <w:rsid w:val="00D51793"/>
    <w:rsid w:val="00D5259A"/>
    <w:rsid w:val="00D52C8C"/>
    <w:rsid w:val="00D52E11"/>
    <w:rsid w:val="00D52F24"/>
    <w:rsid w:val="00D532D7"/>
    <w:rsid w:val="00D53C45"/>
    <w:rsid w:val="00D54477"/>
    <w:rsid w:val="00D54D20"/>
    <w:rsid w:val="00D55261"/>
    <w:rsid w:val="00D5553B"/>
    <w:rsid w:val="00D55CD0"/>
    <w:rsid w:val="00D55DCB"/>
    <w:rsid w:val="00D55EC9"/>
    <w:rsid w:val="00D55EEE"/>
    <w:rsid w:val="00D5612C"/>
    <w:rsid w:val="00D561BA"/>
    <w:rsid w:val="00D56F3F"/>
    <w:rsid w:val="00D57093"/>
    <w:rsid w:val="00D575E5"/>
    <w:rsid w:val="00D57C10"/>
    <w:rsid w:val="00D60E61"/>
    <w:rsid w:val="00D61C35"/>
    <w:rsid w:val="00D62177"/>
    <w:rsid w:val="00D6239E"/>
    <w:rsid w:val="00D62783"/>
    <w:rsid w:val="00D62A05"/>
    <w:rsid w:val="00D62C94"/>
    <w:rsid w:val="00D62EF8"/>
    <w:rsid w:val="00D6341E"/>
    <w:rsid w:val="00D63A3F"/>
    <w:rsid w:val="00D64BFA"/>
    <w:rsid w:val="00D6546A"/>
    <w:rsid w:val="00D6620F"/>
    <w:rsid w:val="00D66545"/>
    <w:rsid w:val="00D67505"/>
    <w:rsid w:val="00D6760F"/>
    <w:rsid w:val="00D67D89"/>
    <w:rsid w:val="00D67E46"/>
    <w:rsid w:val="00D70408"/>
    <w:rsid w:val="00D704F3"/>
    <w:rsid w:val="00D709E8"/>
    <w:rsid w:val="00D70A81"/>
    <w:rsid w:val="00D70FE6"/>
    <w:rsid w:val="00D71760"/>
    <w:rsid w:val="00D71765"/>
    <w:rsid w:val="00D719E1"/>
    <w:rsid w:val="00D71D9A"/>
    <w:rsid w:val="00D72E8B"/>
    <w:rsid w:val="00D735DF"/>
    <w:rsid w:val="00D73689"/>
    <w:rsid w:val="00D741C0"/>
    <w:rsid w:val="00D74478"/>
    <w:rsid w:val="00D745E2"/>
    <w:rsid w:val="00D7470D"/>
    <w:rsid w:val="00D75418"/>
    <w:rsid w:val="00D7541D"/>
    <w:rsid w:val="00D7589B"/>
    <w:rsid w:val="00D75F1E"/>
    <w:rsid w:val="00D76603"/>
    <w:rsid w:val="00D804A1"/>
    <w:rsid w:val="00D81301"/>
    <w:rsid w:val="00D81E25"/>
    <w:rsid w:val="00D82364"/>
    <w:rsid w:val="00D82DEA"/>
    <w:rsid w:val="00D838A9"/>
    <w:rsid w:val="00D841E9"/>
    <w:rsid w:val="00D84BF6"/>
    <w:rsid w:val="00D8526E"/>
    <w:rsid w:val="00D85AAD"/>
    <w:rsid w:val="00D85F23"/>
    <w:rsid w:val="00D87474"/>
    <w:rsid w:val="00D87649"/>
    <w:rsid w:val="00D87C5E"/>
    <w:rsid w:val="00D87DD1"/>
    <w:rsid w:val="00D91081"/>
    <w:rsid w:val="00D9122B"/>
    <w:rsid w:val="00D9147C"/>
    <w:rsid w:val="00D917CD"/>
    <w:rsid w:val="00D9211D"/>
    <w:rsid w:val="00D92176"/>
    <w:rsid w:val="00D92294"/>
    <w:rsid w:val="00D92AA1"/>
    <w:rsid w:val="00D935A8"/>
    <w:rsid w:val="00D9521C"/>
    <w:rsid w:val="00D9540C"/>
    <w:rsid w:val="00D9567E"/>
    <w:rsid w:val="00D95A6A"/>
    <w:rsid w:val="00D96058"/>
    <w:rsid w:val="00D9667B"/>
    <w:rsid w:val="00D973A6"/>
    <w:rsid w:val="00D97460"/>
    <w:rsid w:val="00D97530"/>
    <w:rsid w:val="00D975A8"/>
    <w:rsid w:val="00DA09F9"/>
    <w:rsid w:val="00DA171D"/>
    <w:rsid w:val="00DA199F"/>
    <w:rsid w:val="00DA1C5C"/>
    <w:rsid w:val="00DA20A7"/>
    <w:rsid w:val="00DA286F"/>
    <w:rsid w:val="00DA2EDE"/>
    <w:rsid w:val="00DA2F2F"/>
    <w:rsid w:val="00DA3659"/>
    <w:rsid w:val="00DA366E"/>
    <w:rsid w:val="00DA38D6"/>
    <w:rsid w:val="00DA3C9F"/>
    <w:rsid w:val="00DA4438"/>
    <w:rsid w:val="00DA4A4E"/>
    <w:rsid w:val="00DA4B17"/>
    <w:rsid w:val="00DA57F1"/>
    <w:rsid w:val="00DA5846"/>
    <w:rsid w:val="00DA702B"/>
    <w:rsid w:val="00DA71D1"/>
    <w:rsid w:val="00DA7921"/>
    <w:rsid w:val="00DA7DAC"/>
    <w:rsid w:val="00DB17A1"/>
    <w:rsid w:val="00DB1921"/>
    <w:rsid w:val="00DB1F98"/>
    <w:rsid w:val="00DB234F"/>
    <w:rsid w:val="00DB2B8C"/>
    <w:rsid w:val="00DB3252"/>
    <w:rsid w:val="00DB3619"/>
    <w:rsid w:val="00DB3650"/>
    <w:rsid w:val="00DB3BA7"/>
    <w:rsid w:val="00DB4392"/>
    <w:rsid w:val="00DB43D9"/>
    <w:rsid w:val="00DB4464"/>
    <w:rsid w:val="00DB48A2"/>
    <w:rsid w:val="00DB48D8"/>
    <w:rsid w:val="00DB4E8D"/>
    <w:rsid w:val="00DB4FF1"/>
    <w:rsid w:val="00DB55EE"/>
    <w:rsid w:val="00DB5775"/>
    <w:rsid w:val="00DB5D56"/>
    <w:rsid w:val="00DB7383"/>
    <w:rsid w:val="00DB79AF"/>
    <w:rsid w:val="00DB7EB1"/>
    <w:rsid w:val="00DB7EC8"/>
    <w:rsid w:val="00DC065E"/>
    <w:rsid w:val="00DC0D13"/>
    <w:rsid w:val="00DC291C"/>
    <w:rsid w:val="00DC37DC"/>
    <w:rsid w:val="00DC3D00"/>
    <w:rsid w:val="00DC4EC6"/>
    <w:rsid w:val="00DC4ECD"/>
    <w:rsid w:val="00DC507F"/>
    <w:rsid w:val="00DC51F7"/>
    <w:rsid w:val="00DC5290"/>
    <w:rsid w:val="00DC52EA"/>
    <w:rsid w:val="00DC5731"/>
    <w:rsid w:val="00DC5B4D"/>
    <w:rsid w:val="00DC5C91"/>
    <w:rsid w:val="00DC620A"/>
    <w:rsid w:val="00DC6937"/>
    <w:rsid w:val="00DC7542"/>
    <w:rsid w:val="00DC765C"/>
    <w:rsid w:val="00DC7A91"/>
    <w:rsid w:val="00DC7F62"/>
    <w:rsid w:val="00DD02CE"/>
    <w:rsid w:val="00DD0525"/>
    <w:rsid w:val="00DD12DA"/>
    <w:rsid w:val="00DD2B39"/>
    <w:rsid w:val="00DD2BF4"/>
    <w:rsid w:val="00DD4123"/>
    <w:rsid w:val="00DD4127"/>
    <w:rsid w:val="00DD41C7"/>
    <w:rsid w:val="00DD4F8E"/>
    <w:rsid w:val="00DD5AC6"/>
    <w:rsid w:val="00DD5B06"/>
    <w:rsid w:val="00DD63B3"/>
    <w:rsid w:val="00DD7172"/>
    <w:rsid w:val="00DD7284"/>
    <w:rsid w:val="00DD79D1"/>
    <w:rsid w:val="00DD7A5E"/>
    <w:rsid w:val="00DD7BAE"/>
    <w:rsid w:val="00DE048D"/>
    <w:rsid w:val="00DE04A8"/>
    <w:rsid w:val="00DE0501"/>
    <w:rsid w:val="00DE0A14"/>
    <w:rsid w:val="00DE1060"/>
    <w:rsid w:val="00DE1EB4"/>
    <w:rsid w:val="00DE24B7"/>
    <w:rsid w:val="00DE2506"/>
    <w:rsid w:val="00DE2AC9"/>
    <w:rsid w:val="00DE3D4B"/>
    <w:rsid w:val="00DE504A"/>
    <w:rsid w:val="00DE581D"/>
    <w:rsid w:val="00DE5DEB"/>
    <w:rsid w:val="00DE6824"/>
    <w:rsid w:val="00DE6903"/>
    <w:rsid w:val="00DE6B8A"/>
    <w:rsid w:val="00DE7164"/>
    <w:rsid w:val="00DE77FA"/>
    <w:rsid w:val="00DE7C1D"/>
    <w:rsid w:val="00DF10AD"/>
    <w:rsid w:val="00DF11FB"/>
    <w:rsid w:val="00DF136C"/>
    <w:rsid w:val="00DF1832"/>
    <w:rsid w:val="00DF1E70"/>
    <w:rsid w:val="00DF2089"/>
    <w:rsid w:val="00DF21E5"/>
    <w:rsid w:val="00DF24E0"/>
    <w:rsid w:val="00DF2E8E"/>
    <w:rsid w:val="00DF3017"/>
    <w:rsid w:val="00DF3978"/>
    <w:rsid w:val="00DF3F8B"/>
    <w:rsid w:val="00DF418A"/>
    <w:rsid w:val="00DF47B2"/>
    <w:rsid w:val="00DF65F6"/>
    <w:rsid w:val="00DF6AEA"/>
    <w:rsid w:val="00DF6D19"/>
    <w:rsid w:val="00DF70A0"/>
    <w:rsid w:val="00DF78F6"/>
    <w:rsid w:val="00DF7A56"/>
    <w:rsid w:val="00E00405"/>
    <w:rsid w:val="00E00DD2"/>
    <w:rsid w:val="00E01A4C"/>
    <w:rsid w:val="00E01B37"/>
    <w:rsid w:val="00E01C62"/>
    <w:rsid w:val="00E01C67"/>
    <w:rsid w:val="00E01D7D"/>
    <w:rsid w:val="00E026A1"/>
    <w:rsid w:val="00E031A3"/>
    <w:rsid w:val="00E0359B"/>
    <w:rsid w:val="00E0372B"/>
    <w:rsid w:val="00E039B3"/>
    <w:rsid w:val="00E03A95"/>
    <w:rsid w:val="00E04177"/>
    <w:rsid w:val="00E04642"/>
    <w:rsid w:val="00E046B8"/>
    <w:rsid w:val="00E0489B"/>
    <w:rsid w:val="00E04DA0"/>
    <w:rsid w:val="00E05A7E"/>
    <w:rsid w:val="00E05D8C"/>
    <w:rsid w:val="00E05F77"/>
    <w:rsid w:val="00E0698F"/>
    <w:rsid w:val="00E0755F"/>
    <w:rsid w:val="00E10108"/>
    <w:rsid w:val="00E10BAD"/>
    <w:rsid w:val="00E110A9"/>
    <w:rsid w:val="00E1125F"/>
    <w:rsid w:val="00E112AA"/>
    <w:rsid w:val="00E11B00"/>
    <w:rsid w:val="00E12195"/>
    <w:rsid w:val="00E1281C"/>
    <w:rsid w:val="00E12930"/>
    <w:rsid w:val="00E12B02"/>
    <w:rsid w:val="00E12D68"/>
    <w:rsid w:val="00E12EB0"/>
    <w:rsid w:val="00E13A8D"/>
    <w:rsid w:val="00E13DF8"/>
    <w:rsid w:val="00E141D4"/>
    <w:rsid w:val="00E14F58"/>
    <w:rsid w:val="00E1513E"/>
    <w:rsid w:val="00E15233"/>
    <w:rsid w:val="00E15478"/>
    <w:rsid w:val="00E15861"/>
    <w:rsid w:val="00E15C09"/>
    <w:rsid w:val="00E15DCD"/>
    <w:rsid w:val="00E15EC5"/>
    <w:rsid w:val="00E16C61"/>
    <w:rsid w:val="00E17081"/>
    <w:rsid w:val="00E1722A"/>
    <w:rsid w:val="00E17BCC"/>
    <w:rsid w:val="00E2036A"/>
    <w:rsid w:val="00E207B3"/>
    <w:rsid w:val="00E20ABB"/>
    <w:rsid w:val="00E2204D"/>
    <w:rsid w:val="00E22709"/>
    <w:rsid w:val="00E22746"/>
    <w:rsid w:val="00E229F1"/>
    <w:rsid w:val="00E22CC5"/>
    <w:rsid w:val="00E2330D"/>
    <w:rsid w:val="00E233EA"/>
    <w:rsid w:val="00E236F1"/>
    <w:rsid w:val="00E246C4"/>
    <w:rsid w:val="00E2512C"/>
    <w:rsid w:val="00E25257"/>
    <w:rsid w:val="00E25586"/>
    <w:rsid w:val="00E25C40"/>
    <w:rsid w:val="00E25C5F"/>
    <w:rsid w:val="00E2644B"/>
    <w:rsid w:val="00E26974"/>
    <w:rsid w:val="00E2735B"/>
    <w:rsid w:val="00E2776F"/>
    <w:rsid w:val="00E27970"/>
    <w:rsid w:val="00E3027E"/>
    <w:rsid w:val="00E30C03"/>
    <w:rsid w:val="00E31381"/>
    <w:rsid w:val="00E31A90"/>
    <w:rsid w:val="00E32AE3"/>
    <w:rsid w:val="00E33251"/>
    <w:rsid w:val="00E33A2B"/>
    <w:rsid w:val="00E33B43"/>
    <w:rsid w:val="00E33DE2"/>
    <w:rsid w:val="00E33DED"/>
    <w:rsid w:val="00E3436E"/>
    <w:rsid w:val="00E34546"/>
    <w:rsid w:val="00E3485F"/>
    <w:rsid w:val="00E34FA6"/>
    <w:rsid w:val="00E362E6"/>
    <w:rsid w:val="00E367F1"/>
    <w:rsid w:val="00E36EAF"/>
    <w:rsid w:val="00E3716E"/>
    <w:rsid w:val="00E37443"/>
    <w:rsid w:val="00E37BA5"/>
    <w:rsid w:val="00E40116"/>
    <w:rsid w:val="00E4013F"/>
    <w:rsid w:val="00E406FC"/>
    <w:rsid w:val="00E40738"/>
    <w:rsid w:val="00E40B54"/>
    <w:rsid w:val="00E40DD7"/>
    <w:rsid w:val="00E40FA6"/>
    <w:rsid w:val="00E4165C"/>
    <w:rsid w:val="00E41E3C"/>
    <w:rsid w:val="00E42751"/>
    <w:rsid w:val="00E4285F"/>
    <w:rsid w:val="00E42A4E"/>
    <w:rsid w:val="00E431B1"/>
    <w:rsid w:val="00E43809"/>
    <w:rsid w:val="00E4484A"/>
    <w:rsid w:val="00E44DCC"/>
    <w:rsid w:val="00E46096"/>
    <w:rsid w:val="00E46D77"/>
    <w:rsid w:val="00E47084"/>
    <w:rsid w:val="00E47555"/>
    <w:rsid w:val="00E47A33"/>
    <w:rsid w:val="00E50428"/>
    <w:rsid w:val="00E5146C"/>
    <w:rsid w:val="00E51EC5"/>
    <w:rsid w:val="00E523C8"/>
    <w:rsid w:val="00E52433"/>
    <w:rsid w:val="00E52727"/>
    <w:rsid w:val="00E52C17"/>
    <w:rsid w:val="00E535C2"/>
    <w:rsid w:val="00E5452A"/>
    <w:rsid w:val="00E54886"/>
    <w:rsid w:val="00E54FD4"/>
    <w:rsid w:val="00E553EB"/>
    <w:rsid w:val="00E55756"/>
    <w:rsid w:val="00E561BF"/>
    <w:rsid w:val="00E56892"/>
    <w:rsid w:val="00E56A6C"/>
    <w:rsid w:val="00E56B82"/>
    <w:rsid w:val="00E57F10"/>
    <w:rsid w:val="00E60C3D"/>
    <w:rsid w:val="00E611DB"/>
    <w:rsid w:val="00E61897"/>
    <w:rsid w:val="00E61B8D"/>
    <w:rsid w:val="00E6233C"/>
    <w:rsid w:val="00E6249C"/>
    <w:rsid w:val="00E62D77"/>
    <w:rsid w:val="00E62F9F"/>
    <w:rsid w:val="00E632DC"/>
    <w:rsid w:val="00E638C7"/>
    <w:rsid w:val="00E649CA"/>
    <w:rsid w:val="00E666D1"/>
    <w:rsid w:val="00E66840"/>
    <w:rsid w:val="00E66FCD"/>
    <w:rsid w:val="00E674CD"/>
    <w:rsid w:val="00E67F0B"/>
    <w:rsid w:val="00E67F7D"/>
    <w:rsid w:val="00E70FF2"/>
    <w:rsid w:val="00E7110E"/>
    <w:rsid w:val="00E72303"/>
    <w:rsid w:val="00E72582"/>
    <w:rsid w:val="00E72870"/>
    <w:rsid w:val="00E72879"/>
    <w:rsid w:val="00E742A7"/>
    <w:rsid w:val="00E7451E"/>
    <w:rsid w:val="00E748E2"/>
    <w:rsid w:val="00E758E8"/>
    <w:rsid w:val="00E76CEE"/>
    <w:rsid w:val="00E76D78"/>
    <w:rsid w:val="00E76F3D"/>
    <w:rsid w:val="00E774B2"/>
    <w:rsid w:val="00E777A5"/>
    <w:rsid w:val="00E818E1"/>
    <w:rsid w:val="00E81EF0"/>
    <w:rsid w:val="00E830DF"/>
    <w:rsid w:val="00E8340F"/>
    <w:rsid w:val="00E838E1"/>
    <w:rsid w:val="00E83A7A"/>
    <w:rsid w:val="00E84E72"/>
    <w:rsid w:val="00E856A5"/>
    <w:rsid w:val="00E856E3"/>
    <w:rsid w:val="00E85963"/>
    <w:rsid w:val="00E86353"/>
    <w:rsid w:val="00E86700"/>
    <w:rsid w:val="00E868D1"/>
    <w:rsid w:val="00E8774F"/>
    <w:rsid w:val="00E87A56"/>
    <w:rsid w:val="00E87D44"/>
    <w:rsid w:val="00E9070F"/>
    <w:rsid w:val="00E90822"/>
    <w:rsid w:val="00E91512"/>
    <w:rsid w:val="00E91934"/>
    <w:rsid w:val="00E91935"/>
    <w:rsid w:val="00E9297A"/>
    <w:rsid w:val="00E92A75"/>
    <w:rsid w:val="00E92CAC"/>
    <w:rsid w:val="00E92D1F"/>
    <w:rsid w:val="00E93A9C"/>
    <w:rsid w:val="00E93CDA"/>
    <w:rsid w:val="00E93E04"/>
    <w:rsid w:val="00E94BB6"/>
    <w:rsid w:val="00E94C41"/>
    <w:rsid w:val="00E95372"/>
    <w:rsid w:val="00E956E2"/>
    <w:rsid w:val="00E95DE2"/>
    <w:rsid w:val="00E96348"/>
    <w:rsid w:val="00E96787"/>
    <w:rsid w:val="00E9686C"/>
    <w:rsid w:val="00E96A5B"/>
    <w:rsid w:val="00E96D7E"/>
    <w:rsid w:val="00E96E5B"/>
    <w:rsid w:val="00E97233"/>
    <w:rsid w:val="00E97AAD"/>
    <w:rsid w:val="00E97B3F"/>
    <w:rsid w:val="00EA05BF"/>
    <w:rsid w:val="00EA06E6"/>
    <w:rsid w:val="00EA0739"/>
    <w:rsid w:val="00EA1CFB"/>
    <w:rsid w:val="00EA1DF4"/>
    <w:rsid w:val="00EA1EFC"/>
    <w:rsid w:val="00EA1F4A"/>
    <w:rsid w:val="00EA2602"/>
    <w:rsid w:val="00EA2849"/>
    <w:rsid w:val="00EA36C6"/>
    <w:rsid w:val="00EA36E4"/>
    <w:rsid w:val="00EA439C"/>
    <w:rsid w:val="00EA4D13"/>
    <w:rsid w:val="00EA57B1"/>
    <w:rsid w:val="00EA57B8"/>
    <w:rsid w:val="00EA5A92"/>
    <w:rsid w:val="00EA5F13"/>
    <w:rsid w:val="00EA5F76"/>
    <w:rsid w:val="00EA7214"/>
    <w:rsid w:val="00EA7D47"/>
    <w:rsid w:val="00EB00F1"/>
    <w:rsid w:val="00EB1028"/>
    <w:rsid w:val="00EB12D7"/>
    <w:rsid w:val="00EB2522"/>
    <w:rsid w:val="00EB2A69"/>
    <w:rsid w:val="00EB2B66"/>
    <w:rsid w:val="00EB2D8C"/>
    <w:rsid w:val="00EB30BE"/>
    <w:rsid w:val="00EB3C2D"/>
    <w:rsid w:val="00EB4C6C"/>
    <w:rsid w:val="00EB5526"/>
    <w:rsid w:val="00EB5842"/>
    <w:rsid w:val="00EB6A13"/>
    <w:rsid w:val="00EB7337"/>
    <w:rsid w:val="00EB7E3C"/>
    <w:rsid w:val="00EC0084"/>
    <w:rsid w:val="00EC0533"/>
    <w:rsid w:val="00EC089B"/>
    <w:rsid w:val="00EC0AE6"/>
    <w:rsid w:val="00EC0F60"/>
    <w:rsid w:val="00EC171C"/>
    <w:rsid w:val="00EC1899"/>
    <w:rsid w:val="00EC1FCB"/>
    <w:rsid w:val="00EC2DF4"/>
    <w:rsid w:val="00EC3019"/>
    <w:rsid w:val="00EC3850"/>
    <w:rsid w:val="00EC5094"/>
    <w:rsid w:val="00EC5511"/>
    <w:rsid w:val="00EC5691"/>
    <w:rsid w:val="00EC5B96"/>
    <w:rsid w:val="00EC709B"/>
    <w:rsid w:val="00EC71D8"/>
    <w:rsid w:val="00EC7410"/>
    <w:rsid w:val="00EC791C"/>
    <w:rsid w:val="00EC7C47"/>
    <w:rsid w:val="00EC7F84"/>
    <w:rsid w:val="00ED0182"/>
    <w:rsid w:val="00ED0191"/>
    <w:rsid w:val="00ED058B"/>
    <w:rsid w:val="00ED0FD8"/>
    <w:rsid w:val="00ED1217"/>
    <w:rsid w:val="00ED1606"/>
    <w:rsid w:val="00ED179D"/>
    <w:rsid w:val="00ED19AE"/>
    <w:rsid w:val="00ED1D2F"/>
    <w:rsid w:val="00ED1F34"/>
    <w:rsid w:val="00ED2D64"/>
    <w:rsid w:val="00ED32B9"/>
    <w:rsid w:val="00ED5E54"/>
    <w:rsid w:val="00ED64DC"/>
    <w:rsid w:val="00ED65BD"/>
    <w:rsid w:val="00ED6ED1"/>
    <w:rsid w:val="00ED7342"/>
    <w:rsid w:val="00ED767C"/>
    <w:rsid w:val="00ED77FE"/>
    <w:rsid w:val="00ED782C"/>
    <w:rsid w:val="00ED790F"/>
    <w:rsid w:val="00ED7912"/>
    <w:rsid w:val="00ED7A30"/>
    <w:rsid w:val="00ED7F6E"/>
    <w:rsid w:val="00EE0245"/>
    <w:rsid w:val="00EE0C6E"/>
    <w:rsid w:val="00EE0FF9"/>
    <w:rsid w:val="00EE1642"/>
    <w:rsid w:val="00EE183E"/>
    <w:rsid w:val="00EE185C"/>
    <w:rsid w:val="00EE19AC"/>
    <w:rsid w:val="00EE1A26"/>
    <w:rsid w:val="00EE1F4B"/>
    <w:rsid w:val="00EE221C"/>
    <w:rsid w:val="00EE30A1"/>
    <w:rsid w:val="00EE3497"/>
    <w:rsid w:val="00EE35F0"/>
    <w:rsid w:val="00EE384C"/>
    <w:rsid w:val="00EE398F"/>
    <w:rsid w:val="00EE3B22"/>
    <w:rsid w:val="00EE3D03"/>
    <w:rsid w:val="00EE3E58"/>
    <w:rsid w:val="00EE4739"/>
    <w:rsid w:val="00EE481D"/>
    <w:rsid w:val="00EE500F"/>
    <w:rsid w:val="00EE5579"/>
    <w:rsid w:val="00EE585C"/>
    <w:rsid w:val="00EE58A6"/>
    <w:rsid w:val="00EE6814"/>
    <w:rsid w:val="00EE6985"/>
    <w:rsid w:val="00EE6C3F"/>
    <w:rsid w:val="00EE785F"/>
    <w:rsid w:val="00EE7D68"/>
    <w:rsid w:val="00EF0797"/>
    <w:rsid w:val="00EF0A89"/>
    <w:rsid w:val="00EF14A8"/>
    <w:rsid w:val="00EF2194"/>
    <w:rsid w:val="00EF2A45"/>
    <w:rsid w:val="00EF2A5E"/>
    <w:rsid w:val="00EF2BDC"/>
    <w:rsid w:val="00EF334D"/>
    <w:rsid w:val="00EF33F5"/>
    <w:rsid w:val="00EF3936"/>
    <w:rsid w:val="00EF41B8"/>
    <w:rsid w:val="00EF42E9"/>
    <w:rsid w:val="00EF43B5"/>
    <w:rsid w:val="00EF45F8"/>
    <w:rsid w:val="00EF4DA0"/>
    <w:rsid w:val="00EF5AB1"/>
    <w:rsid w:val="00EF5D74"/>
    <w:rsid w:val="00EF6218"/>
    <w:rsid w:val="00EF6F5A"/>
    <w:rsid w:val="00EF7156"/>
    <w:rsid w:val="00EF7BD3"/>
    <w:rsid w:val="00F0085D"/>
    <w:rsid w:val="00F00EE9"/>
    <w:rsid w:val="00F014F7"/>
    <w:rsid w:val="00F01A3A"/>
    <w:rsid w:val="00F01B18"/>
    <w:rsid w:val="00F01B34"/>
    <w:rsid w:val="00F01D97"/>
    <w:rsid w:val="00F01F6E"/>
    <w:rsid w:val="00F02D11"/>
    <w:rsid w:val="00F02F61"/>
    <w:rsid w:val="00F035C5"/>
    <w:rsid w:val="00F04542"/>
    <w:rsid w:val="00F04662"/>
    <w:rsid w:val="00F04947"/>
    <w:rsid w:val="00F04AE8"/>
    <w:rsid w:val="00F04DA4"/>
    <w:rsid w:val="00F05547"/>
    <w:rsid w:val="00F05BEA"/>
    <w:rsid w:val="00F05C92"/>
    <w:rsid w:val="00F1021C"/>
    <w:rsid w:val="00F1041E"/>
    <w:rsid w:val="00F10A11"/>
    <w:rsid w:val="00F10E4A"/>
    <w:rsid w:val="00F11A80"/>
    <w:rsid w:val="00F120CE"/>
    <w:rsid w:val="00F12C26"/>
    <w:rsid w:val="00F12F92"/>
    <w:rsid w:val="00F1335D"/>
    <w:rsid w:val="00F1375C"/>
    <w:rsid w:val="00F139E4"/>
    <w:rsid w:val="00F14433"/>
    <w:rsid w:val="00F14ABE"/>
    <w:rsid w:val="00F14DA2"/>
    <w:rsid w:val="00F15284"/>
    <w:rsid w:val="00F153C4"/>
    <w:rsid w:val="00F157D0"/>
    <w:rsid w:val="00F15CE0"/>
    <w:rsid w:val="00F16195"/>
    <w:rsid w:val="00F168B1"/>
    <w:rsid w:val="00F16FE0"/>
    <w:rsid w:val="00F17866"/>
    <w:rsid w:val="00F179D7"/>
    <w:rsid w:val="00F20437"/>
    <w:rsid w:val="00F206E8"/>
    <w:rsid w:val="00F209E6"/>
    <w:rsid w:val="00F21017"/>
    <w:rsid w:val="00F21263"/>
    <w:rsid w:val="00F214ED"/>
    <w:rsid w:val="00F216A3"/>
    <w:rsid w:val="00F21DDA"/>
    <w:rsid w:val="00F21EAC"/>
    <w:rsid w:val="00F228B7"/>
    <w:rsid w:val="00F22BB9"/>
    <w:rsid w:val="00F233B9"/>
    <w:rsid w:val="00F23B15"/>
    <w:rsid w:val="00F23F34"/>
    <w:rsid w:val="00F24355"/>
    <w:rsid w:val="00F243BE"/>
    <w:rsid w:val="00F249D2"/>
    <w:rsid w:val="00F253E8"/>
    <w:rsid w:val="00F25F85"/>
    <w:rsid w:val="00F261D5"/>
    <w:rsid w:val="00F26A3C"/>
    <w:rsid w:val="00F26DF7"/>
    <w:rsid w:val="00F273DE"/>
    <w:rsid w:val="00F2761E"/>
    <w:rsid w:val="00F3036C"/>
    <w:rsid w:val="00F309B6"/>
    <w:rsid w:val="00F313D2"/>
    <w:rsid w:val="00F3149E"/>
    <w:rsid w:val="00F318B2"/>
    <w:rsid w:val="00F32112"/>
    <w:rsid w:val="00F321B6"/>
    <w:rsid w:val="00F32239"/>
    <w:rsid w:val="00F32757"/>
    <w:rsid w:val="00F33346"/>
    <w:rsid w:val="00F33409"/>
    <w:rsid w:val="00F34044"/>
    <w:rsid w:val="00F341E9"/>
    <w:rsid w:val="00F35307"/>
    <w:rsid w:val="00F354AB"/>
    <w:rsid w:val="00F358C2"/>
    <w:rsid w:val="00F35990"/>
    <w:rsid w:val="00F36BAA"/>
    <w:rsid w:val="00F371BC"/>
    <w:rsid w:val="00F371C3"/>
    <w:rsid w:val="00F37F67"/>
    <w:rsid w:val="00F40450"/>
    <w:rsid w:val="00F407A7"/>
    <w:rsid w:val="00F40D81"/>
    <w:rsid w:val="00F40EED"/>
    <w:rsid w:val="00F4190F"/>
    <w:rsid w:val="00F42601"/>
    <w:rsid w:val="00F42642"/>
    <w:rsid w:val="00F42720"/>
    <w:rsid w:val="00F42A0B"/>
    <w:rsid w:val="00F42CA5"/>
    <w:rsid w:val="00F42E9F"/>
    <w:rsid w:val="00F432B4"/>
    <w:rsid w:val="00F43763"/>
    <w:rsid w:val="00F43842"/>
    <w:rsid w:val="00F43899"/>
    <w:rsid w:val="00F43AED"/>
    <w:rsid w:val="00F43C8C"/>
    <w:rsid w:val="00F43F49"/>
    <w:rsid w:val="00F44C6B"/>
    <w:rsid w:val="00F44D8F"/>
    <w:rsid w:val="00F44E99"/>
    <w:rsid w:val="00F46539"/>
    <w:rsid w:val="00F4687B"/>
    <w:rsid w:val="00F47D9E"/>
    <w:rsid w:val="00F50FA6"/>
    <w:rsid w:val="00F51051"/>
    <w:rsid w:val="00F510F5"/>
    <w:rsid w:val="00F511FD"/>
    <w:rsid w:val="00F51319"/>
    <w:rsid w:val="00F517C0"/>
    <w:rsid w:val="00F51DE9"/>
    <w:rsid w:val="00F52108"/>
    <w:rsid w:val="00F5216E"/>
    <w:rsid w:val="00F522A6"/>
    <w:rsid w:val="00F543C8"/>
    <w:rsid w:val="00F5484D"/>
    <w:rsid w:val="00F54887"/>
    <w:rsid w:val="00F5569F"/>
    <w:rsid w:val="00F55879"/>
    <w:rsid w:val="00F55D52"/>
    <w:rsid w:val="00F56C52"/>
    <w:rsid w:val="00F56DB8"/>
    <w:rsid w:val="00F56EA8"/>
    <w:rsid w:val="00F571C1"/>
    <w:rsid w:val="00F575FE"/>
    <w:rsid w:val="00F57E86"/>
    <w:rsid w:val="00F60155"/>
    <w:rsid w:val="00F607F5"/>
    <w:rsid w:val="00F60EB6"/>
    <w:rsid w:val="00F60EFE"/>
    <w:rsid w:val="00F61017"/>
    <w:rsid w:val="00F61182"/>
    <w:rsid w:val="00F6197A"/>
    <w:rsid w:val="00F61A71"/>
    <w:rsid w:val="00F61FE8"/>
    <w:rsid w:val="00F620F7"/>
    <w:rsid w:val="00F62116"/>
    <w:rsid w:val="00F6249F"/>
    <w:rsid w:val="00F62617"/>
    <w:rsid w:val="00F62938"/>
    <w:rsid w:val="00F62B4E"/>
    <w:rsid w:val="00F62D70"/>
    <w:rsid w:val="00F637BF"/>
    <w:rsid w:val="00F63B26"/>
    <w:rsid w:val="00F6406A"/>
    <w:rsid w:val="00F6434C"/>
    <w:rsid w:val="00F64567"/>
    <w:rsid w:val="00F64E80"/>
    <w:rsid w:val="00F64F78"/>
    <w:rsid w:val="00F657E5"/>
    <w:rsid w:val="00F65CE1"/>
    <w:rsid w:val="00F666D6"/>
    <w:rsid w:val="00F66992"/>
    <w:rsid w:val="00F66A4B"/>
    <w:rsid w:val="00F66D8E"/>
    <w:rsid w:val="00F67973"/>
    <w:rsid w:val="00F67C40"/>
    <w:rsid w:val="00F67CCC"/>
    <w:rsid w:val="00F70E16"/>
    <w:rsid w:val="00F71AB0"/>
    <w:rsid w:val="00F71C08"/>
    <w:rsid w:val="00F72FC2"/>
    <w:rsid w:val="00F73052"/>
    <w:rsid w:val="00F737B5"/>
    <w:rsid w:val="00F7471E"/>
    <w:rsid w:val="00F7489F"/>
    <w:rsid w:val="00F75176"/>
    <w:rsid w:val="00F75652"/>
    <w:rsid w:val="00F75803"/>
    <w:rsid w:val="00F75ECD"/>
    <w:rsid w:val="00F75F53"/>
    <w:rsid w:val="00F76AE8"/>
    <w:rsid w:val="00F76B97"/>
    <w:rsid w:val="00F77684"/>
    <w:rsid w:val="00F77DA9"/>
    <w:rsid w:val="00F802D9"/>
    <w:rsid w:val="00F80865"/>
    <w:rsid w:val="00F80934"/>
    <w:rsid w:val="00F809C6"/>
    <w:rsid w:val="00F80B01"/>
    <w:rsid w:val="00F81401"/>
    <w:rsid w:val="00F81CCB"/>
    <w:rsid w:val="00F8250C"/>
    <w:rsid w:val="00F82C85"/>
    <w:rsid w:val="00F82D6F"/>
    <w:rsid w:val="00F82EB0"/>
    <w:rsid w:val="00F83087"/>
    <w:rsid w:val="00F831CC"/>
    <w:rsid w:val="00F833BB"/>
    <w:rsid w:val="00F83E40"/>
    <w:rsid w:val="00F85749"/>
    <w:rsid w:val="00F8641B"/>
    <w:rsid w:val="00F868DC"/>
    <w:rsid w:val="00F86ADC"/>
    <w:rsid w:val="00F878CD"/>
    <w:rsid w:val="00F87E7F"/>
    <w:rsid w:val="00F90349"/>
    <w:rsid w:val="00F90F2F"/>
    <w:rsid w:val="00F911D2"/>
    <w:rsid w:val="00F91C37"/>
    <w:rsid w:val="00F91FD6"/>
    <w:rsid w:val="00F9201F"/>
    <w:rsid w:val="00F9241F"/>
    <w:rsid w:val="00F9278A"/>
    <w:rsid w:val="00F9362E"/>
    <w:rsid w:val="00F93E05"/>
    <w:rsid w:val="00F9401C"/>
    <w:rsid w:val="00F94482"/>
    <w:rsid w:val="00F94550"/>
    <w:rsid w:val="00F94A77"/>
    <w:rsid w:val="00F94D71"/>
    <w:rsid w:val="00F959D4"/>
    <w:rsid w:val="00F95A9C"/>
    <w:rsid w:val="00F95DBB"/>
    <w:rsid w:val="00F95FD9"/>
    <w:rsid w:val="00F960EB"/>
    <w:rsid w:val="00F96542"/>
    <w:rsid w:val="00F96CDB"/>
    <w:rsid w:val="00F96CE5"/>
    <w:rsid w:val="00F97D83"/>
    <w:rsid w:val="00FA01E8"/>
    <w:rsid w:val="00FA0229"/>
    <w:rsid w:val="00FA07A2"/>
    <w:rsid w:val="00FA0C50"/>
    <w:rsid w:val="00FA1290"/>
    <w:rsid w:val="00FA134C"/>
    <w:rsid w:val="00FA1376"/>
    <w:rsid w:val="00FA19FB"/>
    <w:rsid w:val="00FA2391"/>
    <w:rsid w:val="00FA2868"/>
    <w:rsid w:val="00FA37E8"/>
    <w:rsid w:val="00FA3970"/>
    <w:rsid w:val="00FA3A48"/>
    <w:rsid w:val="00FA44A9"/>
    <w:rsid w:val="00FA4774"/>
    <w:rsid w:val="00FA48CE"/>
    <w:rsid w:val="00FA4A16"/>
    <w:rsid w:val="00FA4A28"/>
    <w:rsid w:val="00FA4E30"/>
    <w:rsid w:val="00FA50AC"/>
    <w:rsid w:val="00FA5143"/>
    <w:rsid w:val="00FA5178"/>
    <w:rsid w:val="00FA51F4"/>
    <w:rsid w:val="00FA6328"/>
    <w:rsid w:val="00FA653B"/>
    <w:rsid w:val="00FA6A3C"/>
    <w:rsid w:val="00FA6AF7"/>
    <w:rsid w:val="00FA7169"/>
    <w:rsid w:val="00FA717B"/>
    <w:rsid w:val="00FA7379"/>
    <w:rsid w:val="00FA79C7"/>
    <w:rsid w:val="00FB0841"/>
    <w:rsid w:val="00FB0E1E"/>
    <w:rsid w:val="00FB137E"/>
    <w:rsid w:val="00FB1B27"/>
    <w:rsid w:val="00FB208F"/>
    <w:rsid w:val="00FB291B"/>
    <w:rsid w:val="00FB2B3E"/>
    <w:rsid w:val="00FB3361"/>
    <w:rsid w:val="00FB36CE"/>
    <w:rsid w:val="00FB37C9"/>
    <w:rsid w:val="00FB3D7C"/>
    <w:rsid w:val="00FB4229"/>
    <w:rsid w:val="00FB4482"/>
    <w:rsid w:val="00FB498D"/>
    <w:rsid w:val="00FB4B6A"/>
    <w:rsid w:val="00FB5085"/>
    <w:rsid w:val="00FB5665"/>
    <w:rsid w:val="00FB57E5"/>
    <w:rsid w:val="00FB6C18"/>
    <w:rsid w:val="00FB73D8"/>
    <w:rsid w:val="00FB7D12"/>
    <w:rsid w:val="00FB7FD3"/>
    <w:rsid w:val="00FC01D6"/>
    <w:rsid w:val="00FC07C6"/>
    <w:rsid w:val="00FC2239"/>
    <w:rsid w:val="00FC24C6"/>
    <w:rsid w:val="00FC25C0"/>
    <w:rsid w:val="00FC3415"/>
    <w:rsid w:val="00FC39D6"/>
    <w:rsid w:val="00FC3B90"/>
    <w:rsid w:val="00FC3F1E"/>
    <w:rsid w:val="00FC3FD3"/>
    <w:rsid w:val="00FC44CB"/>
    <w:rsid w:val="00FC4543"/>
    <w:rsid w:val="00FC56F6"/>
    <w:rsid w:val="00FC5C19"/>
    <w:rsid w:val="00FC5F25"/>
    <w:rsid w:val="00FC61AE"/>
    <w:rsid w:val="00FC6E9D"/>
    <w:rsid w:val="00FC712D"/>
    <w:rsid w:val="00FC755B"/>
    <w:rsid w:val="00FC7EB1"/>
    <w:rsid w:val="00FC7F91"/>
    <w:rsid w:val="00FD0C9E"/>
    <w:rsid w:val="00FD1E3B"/>
    <w:rsid w:val="00FD2DAB"/>
    <w:rsid w:val="00FD3576"/>
    <w:rsid w:val="00FD38BF"/>
    <w:rsid w:val="00FD589C"/>
    <w:rsid w:val="00FD5C57"/>
    <w:rsid w:val="00FD6903"/>
    <w:rsid w:val="00FD724B"/>
    <w:rsid w:val="00FD750E"/>
    <w:rsid w:val="00FD77DD"/>
    <w:rsid w:val="00FD7E7C"/>
    <w:rsid w:val="00FD7FF8"/>
    <w:rsid w:val="00FE01F2"/>
    <w:rsid w:val="00FE0425"/>
    <w:rsid w:val="00FE0E9A"/>
    <w:rsid w:val="00FE0FEA"/>
    <w:rsid w:val="00FE11D9"/>
    <w:rsid w:val="00FE1E64"/>
    <w:rsid w:val="00FE2959"/>
    <w:rsid w:val="00FE2962"/>
    <w:rsid w:val="00FE2975"/>
    <w:rsid w:val="00FE2B3C"/>
    <w:rsid w:val="00FE337E"/>
    <w:rsid w:val="00FE3A20"/>
    <w:rsid w:val="00FE3F03"/>
    <w:rsid w:val="00FE4569"/>
    <w:rsid w:val="00FE532A"/>
    <w:rsid w:val="00FE53F8"/>
    <w:rsid w:val="00FE58B8"/>
    <w:rsid w:val="00FE5947"/>
    <w:rsid w:val="00FE6AA1"/>
    <w:rsid w:val="00FE7787"/>
    <w:rsid w:val="00FE7DB2"/>
    <w:rsid w:val="00FF01AF"/>
    <w:rsid w:val="00FF077E"/>
    <w:rsid w:val="00FF0AA9"/>
    <w:rsid w:val="00FF21F8"/>
    <w:rsid w:val="00FF2242"/>
    <w:rsid w:val="00FF23CF"/>
    <w:rsid w:val="00FF2814"/>
    <w:rsid w:val="00FF2BA1"/>
    <w:rsid w:val="00FF2CF3"/>
    <w:rsid w:val="00FF33B4"/>
    <w:rsid w:val="00FF362F"/>
    <w:rsid w:val="00FF389A"/>
    <w:rsid w:val="00FF3BE8"/>
    <w:rsid w:val="00FF3D37"/>
    <w:rsid w:val="00FF3FD7"/>
    <w:rsid w:val="00FF472C"/>
    <w:rsid w:val="00FF4C88"/>
    <w:rsid w:val="00FF4E59"/>
    <w:rsid w:val="00FF5615"/>
    <w:rsid w:val="00FF5723"/>
    <w:rsid w:val="00FF5B95"/>
    <w:rsid w:val="00FF5D03"/>
    <w:rsid w:val="00FF6038"/>
    <w:rsid w:val="00FF6C3C"/>
    <w:rsid w:val="00FF7DCA"/>
    <w:rsid w:val="011754EB"/>
    <w:rsid w:val="01C46083"/>
    <w:rsid w:val="02AD7AA7"/>
    <w:rsid w:val="04D67487"/>
    <w:rsid w:val="066544DB"/>
    <w:rsid w:val="07E43B7A"/>
    <w:rsid w:val="089A6931"/>
    <w:rsid w:val="08FA9133"/>
    <w:rsid w:val="09CE1D5E"/>
    <w:rsid w:val="09F50711"/>
    <w:rsid w:val="0A17EE20"/>
    <w:rsid w:val="0B5E6EE1"/>
    <w:rsid w:val="0C63D121"/>
    <w:rsid w:val="0CDFE7E5"/>
    <w:rsid w:val="0D780464"/>
    <w:rsid w:val="0DBC8F0C"/>
    <w:rsid w:val="0E554A87"/>
    <w:rsid w:val="0E5C8F20"/>
    <w:rsid w:val="10C9A466"/>
    <w:rsid w:val="116581C8"/>
    <w:rsid w:val="120C16D4"/>
    <w:rsid w:val="12402FC3"/>
    <w:rsid w:val="13045218"/>
    <w:rsid w:val="1314701B"/>
    <w:rsid w:val="136F6A90"/>
    <w:rsid w:val="140081AB"/>
    <w:rsid w:val="1449570E"/>
    <w:rsid w:val="15030210"/>
    <w:rsid w:val="16F8EC99"/>
    <w:rsid w:val="1720E77F"/>
    <w:rsid w:val="18B47A0D"/>
    <w:rsid w:val="1973FB55"/>
    <w:rsid w:val="1997DA6C"/>
    <w:rsid w:val="1B2EEFBB"/>
    <w:rsid w:val="1EDDC4C5"/>
    <w:rsid w:val="1EFE0379"/>
    <w:rsid w:val="1FA84DFB"/>
    <w:rsid w:val="20567ACA"/>
    <w:rsid w:val="20EEFA01"/>
    <w:rsid w:val="24D7364B"/>
    <w:rsid w:val="2530A6AB"/>
    <w:rsid w:val="2539F07F"/>
    <w:rsid w:val="254D5873"/>
    <w:rsid w:val="25594D26"/>
    <w:rsid w:val="2573B293"/>
    <w:rsid w:val="27CC7721"/>
    <w:rsid w:val="2820AE5C"/>
    <w:rsid w:val="2829B5ED"/>
    <w:rsid w:val="28ED724B"/>
    <w:rsid w:val="29216574"/>
    <w:rsid w:val="2CD72EB9"/>
    <w:rsid w:val="2D40B6EF"/>
    <w:rsid w:val="2D60154F"/>
    <w:rsid w:val="2D6ED865"/>
    <w:rsid w:val="2F9D9322"/>
    <w:rsid w:val="30B8778B"/>
    <w:rsid w:val="318605F5"/>
    <w:rsid w:val="319FF0AC"/>
    <w:rsid w:val="31CD27C3"/>
    <w:rsid w:val="31F3174E"/>
    <w:rsid w:val="330F2736"/>
    <w:rsid w:val="335BBE8E"/>
    <w:rsid w:val="37AE8764"/>
    <w:rsid w:val="37BE0395"/>
    <w:rsid w:val="38C25BB2"/>
    <w:rsid w:val="39AF0258"/>
    <w:rsid w:val="3A3AD2A4"/>
    <w:rsid w:val="3AB9FFDA"/>
    <w:rsid w:val="3BAEE2F8"/>
    <w:rsid w:val="3D784B87"/>
    <w:rsid w:val="3D8C42AB"/>
    <w:rsid w:val="3F26C507"/>
    <w:rsid w:val="3F972077"/>
    <w:rsid w:val="407301BA"/>
    <w:rsid w:val="40ED3F28"/>
    <w:rsid w:val="4210658C"/>
    <w:rsid w:val="42504A41"/>
    <w:rsid w:val="437CC0F0"/>
    <w:rsid w:val="437E61D8"/>
    <w:rsid w:val="43C2BF8F"/>
    <w:rsid w:val="4603E799"/>
    <w:rsid w:val="478A9B64"/>
    <w:rsid w:val="48DD616D"/>
    <w:rsid w:val="49568563"/>
    <w:rsid w:val="4961097E"/>
    <w:rsid w:val="496E30FA"/>
    <w:rsid w:val="4B438038"/>
    <w:rsid w:val="4BDE52DA"/>
    <w:rsid w:val="4CF822F3"/>
    <w:rsid w:val="4EBAE8AF"/>
    <w:rsid w:val="4EC647A3"/>
    <w:rsid w:val="4F3EF69D"/>
    <w:rsid w:val="4FD073A8"/>
    <w:rsid w:val="4FF7D4A9"/>
    <w:rsid w:val="507B2030"/>
    <w:rsid w:val="50C60643"/>
    <w:rsid w:val="5167713E"/>
    <w:rsid w:val="51CA7736"/>
    <w:rsid w:val="53DD2718"/>
    <w:rsid w:val="53F30EC3"/>
    <w:rsid w:val="53FE7D85"/>
    <w:rsid w:val="54117023"/>
    <w:rsid w:val="54987ACB"/>
    <w:rsid w:val="569DA8A1"/>
    <w:rsid w:val="56D133A1"/>
    <w:rsid w:val="56D2F0A8"/>
    <w:rsid w:val="57A9D3B1"/>
    <w:rsid w:val="57B9EB3D"/>
    <w:rsid w:val="580DC226"/>
    <w:rsid w:val="5938BDEF"/>
    <w:rsid w:val="5951C540"/>
    <w:rsid w:val="595C2D5F"/>
    <w:rsid w:val="5979A3F3"/>
    <w:rsid w:val="5BA33878"/>
    <w:rsid w:val="5BB84506"/>
    <w:rsid w:val="5C293B74"/>
    <w:rsid w:val="5C4D5EA9"/>
    <w:rsid w:val="5C8BE2FF"/>
    <w:rsid w:val="5CBA6617"/>
    <w:rsid w:val="5D282E35"/>
    <w:rsid w:val="5E2A8675"/>
    <w:rsid w:val="5F53E3CF"/>
    <w:rsid w:val="5F9AA208"/>
    <w:rsid w:val="60080ECE"/>
    <w:rsid w:val="6030D361"/>
    <w:rsid w:val="604F1783"/>
    <w:rsid w:val="619BB905"/>
    <w:rsid w:val="626CB3C3"/>
    <w:rsid w:val="63FB595A"/>
    <w:rsid w:val="6420B792"/>
    <w:rsid w:val="6496F21C"/>
    <w:rsid w:val="64981C58"/>
    <w:rsid w:val="65863E02"/>
    <w:rsid w:val="65A7D18D"/>
    <w:rsid w:val="65E0BED3"/>
    <w:rsid w:val="6622986E"/>
    <w:rsid w:val="67227879"/>
    <w:rsid w:val="67A777DB"/>
    <w:rsid w:val="69A94F37"/>
    <w:rsid w:val="6B24BE83"/>
    <w:rsid w:val="6BA4F631"/>
    <w:rsid w:val="6BB9EEAE"/>
    <w:rsid w:val="6C0E0DDC"/>
    <w:rsid w:val="6CC1AC9B"/>
    <w:rsid w:val="6D2B5D96"/>
    <w:rsid w:val="6DB8A23E"/>
    <w:rsid w:val="6E107FC2"/>
    <w:rsid w:val="6EAF0F8C"/>
    <w:rsid w:val="6EB372C7"/>
    <w:rsid w:val="6EB63714"/>
    <w:rsid w:val="6F2318BB"/>
    <w:rsid w:val="6F7931B0"/>
    <w:rsid w:val="7333B8D0"/>
    <w:rsid w:val="75689851"/>
    <w:rsid w:val="75901F95"/>
    <w:rsid w:val="75CF45B1"/>
    <w:rsid w:val="75E63C0A"/>
    <w:rsid w:val="76413F8C"/>
    <w:rsid w:val="766D43CD"/>
    <w:rsid w:val="77286ACE"/>
    <w:rsid w:val="775440C4"/>
    <w:rsid w:val="78D0C972"/>
    <w:rsid w:val="7A8C0348"/>
    <w:rsid w:val="7A96DD73"/>
    <w:rsid w:val="7AFEED50"/>
    <w:rsid w:val="7B419CC7"/>
    <w:rsid w:val="7C6A2500"/>
    <w:rsid w:val="7D36F187"/>
    <w:rsid w:val="7E072233"/>
    <w:rsid w:val="7EA3C309"/>
    <w:rsid w:val="7ED826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AAE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F1"/>
    <w:pPr>
      <w:spacing w:before="120" w:after="120" w:line="240" w:lineRule="auto"/>
    </w:pPr>
    <w:rPr>
      <w:sz w:val="20"/>
    </w:rPr>
  </w:style>
  <w:style w:type="paragraph" w:styleId="Heading1">
    <w:name w:val="heading 1"/>
    <w:basedOn w:val="Normal"/>
    <w:next w:val="Normal"/>
    <w:link w:val="Heading1Char"/>
    <w:uiPriority w:val="9"/>
    <w:qFormat/>
    <w:rsid w:val="00EB2522"/>
    <w:pPr>
      <w:keepNext/>
      <w:keepLines/>
      <w:contextualSpacing/>
      <w:outlineLvl w:val="0"/>
    </w:pPr>
    <w:rPr>
      <w:rFonts w:asciiTheme="majorHAnsi" w:eastAsiaTheme="majorEastAsia" w:hAnsiTheme="majorHAnsi" w:cstheme="majorBidi"/>
      <w:color w:val="001B35" w:themeColor="background2"/>
      <w:sz w:val="72"/>
      <w:szCs w:val="32"/>
    </w:rPr>
  </w:style>
  <w:style w:type="paragraph" w:styleId="Heading2">
    <w:name w:val="heading 2"/>
    <w:basedOn w:val="Normal"/>
    <w:next w:val="Normal"/>
    <w:link w:val="Heading2Char"/>
    <w:uiPriority w:val="9"/>
    <w:unhideWhenUsed/>
    <w:qFormat/>
    <w:rsid w:val="00855232"/>
    <w:pPr>
      <w:keepNext/>
      <w:keepLines/>
      <w:numPr>
        <w:numId w:val="14"/>
      </w:numPr>
      <w:spacing w:before="360"/>
      <w:outlineLvl w:val="1"/>
    </w:pPr>
    <w:rPr>
      <w:rFonts w:asciiTheme="majorHAnsi" w:eastAsiaTheme="majorEastAsia" w:hAnsiTheme="majorHAnsi" w:cstheme="majorBidi"/>
      <w:color w:val="0766A5" w:themeColor="accent1"/>
      <w:sz w:val="48"/>
      <w:szCs w:val="48"/>
    </w:rPr>
  </w:style>
  <w:style w:type="paragraph" w:styleId="Heading3">
    <w:name w:val="heading 3"/>
    <w:basedOn w:val="Normal"/>
    <w:next w:val="Normal"/>
    <w:link w:val="Heading3Char"/>
    <w:uiPriority w:val="9"/>
    <w:unhideWhenUsed/>
    <w:qFormat/>
    <w:rsid w:val="00423500"/>
    <w:pPr>
      <w:keepNext/>
      <w:keepLines/>
      <w:numPr>
        <w:ilvl w:val="1"/>
        <w:numId w:val="14"/>
      </w:numPr>
      <w:spacing w:before="240"/>
      <w:outlineLvl w:val="2"/>
    </w:pPr>
    <w:rPr>
      <w:rFonts w:asciiTheme="majorHAnsi" w:eastAsiaTheme="majorEastAsia" w:hAnsiTheme="majorHAnsi" w:cstheme="majorBidi"/>
      <w:color w:val="0766A5" w:themeColor="accent1"/>
      <w:sz w:val="40"/>
      <w:szCs w:val="40"/>
    </w:rPr>
  </w:style>
  <w:style w:type="paragraph" w:styleId="Heading4">
    <w:name w:val="heading 4"/>
    <w:basedOn w:val="Normal"/>
    <w:next w:val="Normal"/>
    <w:link w:val="Heading4Char"/>
    <w:uiPriority w:val="9"/>
    <w:unhideWhenUsed/>
    <w:qFormat/>
    <w:rsid w:val="00EB2522"/>
    <w:pPr>
      <w:keepNext/>
      <w:keepLines/>
      <w:numPr>
        <w:ilvl w:val="2"/>
        <w:numId w:val="14"/>
      </w:numPr>
      <w:spacing w:before="240"/>
      <w:outlineLvl w:val="3"/>
    </w:pPr>
    <w:rPr>
      <w:rFonts w:asciiTheme="majorHAnsi" w:eastAsiaTheme="majorEastAsia" w:hAnsiTheme="majorHAnsi" w:cstheme="majorBidi"/>
      <w:iCs/>
      <w:color w:val="0766A5" w:themeColor="accent1"/>
      <w:sz w:val="32"/>
      <w:szCs w:val="28"/>
    </w:rPr>
  </w:style>
  <w:style w:type="paragraph" w:styleId="Heading5">
    <w:name w:val="heading 5"/>
    <w:basedOn w:val="Normal"/>
    <w:next w:val="Normal"/>
    <w:link w:val="Heading5Char"/>
    <w:uiPriority w:val="9"/>
    <w:unhideWhenUsed/>
    <w:qFormat/>
    <w:rsid w:val="00BD43D1"/>
    <w:pPr>
      <w:keepNext/>
      <w:keepLines/>
      <w:numPr>
        <w:ilvl w:val="3"/>
        <w:numId w:val="14"/>
      </w:numPr>
      <w:spacing w:before="240"/>
      <w:outlineLvl w:val="4"/>
    </w:pPr>
    <w:rPr>
      <w:rFonts w:asciiTheme="majorHAnsi" w:eastAsiaTheme="majorEastAsia" w:hAnsiTheme="majorHAnsi" w:cstheme="majorBidi"/>
      <w:color w:val="0766A5" w:themeColor="accent1"/>
      <w:sz w:val="26"/>
      <w:szCs w:val="26"/>
    </w:rPr>
  </w:style>
  <w:style w:type="paragraph" w:styleId="Heading6">
    <w:name w:val="heading 6"/>
    <w:basedOn w:val="Normal"/>
    <w:next w:val="Normal"/>
    <w:link w:val="Heading6Char"/>
    <w:uiPriority w:val="9"/>
    <w:unhideWhenUsed/>
    <w:qFormat/>
    <w:rsid w:val="00C50A9A"/>
    <w:pPr>
      <w:keepNext/>
      <w:keepLines/>
      <w:numPr>
        <w:ilvl w:val="4"/>
        <w:numId w:val="14"/>
      </w:numPr>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numPr>
        <w:ilvl w:val="5"/>
        <w:numId w:val="14"/>
      </w:numPr>
      <w:spacing w:before="240"/>
      <w:outlineLvl w:val="6"/>
    </w:pPr>
    <w:rPr>
      <w:rFonts w:asciiTheme="majorHAnsi" w:eastAsiaTheme="majorEastAsia" w:hAnsiTheme="majorHAnsi" w:cstheme="majorBidi"/>
      <w:b/>
      <w:iCs/>
      <w:color w:val="0766A5" w:themeColor="accent1"/>
      <w:sz w:val="22"/>
    </w:rPr>
  </w:style>
  <w:style w:type="paragraph" w:styleId="Heading8">
    <w:name w:val="heading 8"/>
    <w:basedOn w:val="Normal"/>
    <w:next w:val="Normal"/>
    <w:link w:val="Heading8Char"/>
    <w:uiPriority w:val="9"/>
    <w:unhideWhenUsed/>
    <w:qFormat/>
    <w:rsid w:val="00C50A9A"/>
    <w:pPr>
      <w:keepNext/>
      <w:keepLines/>
      <w:numPr>
        <w:ilvl w:val="7"/>
        <w:numId w:val="14"/>
      </w:numPr>
      <w:spacing w:before="2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85C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B2522"/>
    <w:rPr>
      <w:rFonts w:asciiTheme="majorHAnsi" w:eastAsiaTheme="majorEastAsia" w:hAnsiTheme="majorHAnsi" w:cstheme="majorBidi"/>
      <w:color w:val="001B35" w:themeColor="background2"/>
      <w:sz w:val="72"/>
      <w:szCs w:val="32"/>
    </w:rPr>
  </w:style>
  <w:style w:type="table" w:customStyle="1" w:styleId="Verticaltable">
    <w:name w:val="Vertical table"/>
    <w:basedOn w:val="TableNormal"/>
    <w:uiPriority w:val="99"/>
    <w:rsid w:val="005D19B8"/>
    <w:pPr>
      <w:spacing w:after="0" w:line="240" w:lineRule="auto"/>
    </w:pPr>
    <w:tblPr>
      <w:tblBorders>
        <w:top w:val="single" w:sz="4" w:space="0" w:color="0B474D" w:themeColor="accent4"/>
        <w:left w:val="single" w:sz="4" w:space="0" w:color="0B474D" w:themeColor="accent4"/>
        <w:bottom w:val="single" w:sz="4" w:space="0" w:color="0B474D" w:themeColor="accent4"/>
        <w:right w:val="single" w:sz="4" w:space="0" w:color="0B474D" w:themeColor="accent4"/>
        <w:insideH w:val="single" w:sz="4" w:space="0" w:color="0B474D" w:themeColor="accent4"/>
        <w:insideV w:val="single" w:sz="4" w:space="0" w:color="0B474D" w:themeColor="accent4"/>
      </w:tblBorders>
    </w:tblPr>
    <w:tblStylePr w:type="lastRow">
      <w:rPr>
        <w:b w:val="0"/>
      </w:rPr>
    </w:tblStylePr>
    <w:tblStylePr w:type="firstCol">
      <w:rPr>
        <w:b/>
        <w:color w:val="FFFFFF" w:themeColor="background1"/>
      </w:rPr>
      <w:tblPr/>
      <w:tcPr>
        <w:shd w:val="clear" w:color="auto" w:fill="0766A5" w:themeFill="accent1"/>
      </w:tcPr>
    </w:tblStylePr>
  </w:style>
  <w:style w:type="character" w:styleId="FollowedHyperlink">
    <w:name w:val="FollowedHyperlink"/>
    <w:basedOn w:val="DefaultParagraphFont"/>
    <w:uiPriority w:val="99"/>
    <w:semiHidden/>
    <w:unhideWhenUsed/>
    <w:rsid w:val="00872DFF"/>
    <w:rPr>
      <w:color w:val="001B35" w:themeColor="followedHyperlink"/>
      <w:u w:val="single"/>
    </w:rPr>
  </w:style>
  <w:style w:type="paragraph" w:styleId="Subtitle">
    <w:name w:val="Subtitle"/>
    <w:basedOn w:val="Normal"/>
    <w:next w:val="Normal"/>
    <w:link w:val="SubtitleChar"/>
    <w:uiPriority w:val="11"/>
    <w:qFormat/>
    <w:rsid w:val="00EB2522"/>
    <w:pPr>
      <w:numPr>
        <w:ilvl w:val="1"/>
      </w:numPr>
    </w:pPr>
    <w:rPr>
      <w:rFonts w:eastAsiaTheme="minorEastAsia"/>
      <w:color w:val="0766A5" w:themeColor="accent1"/>
      <w:sz w:val="40"/>
    </w:rPr>
  </w:style>
  <w:style w:type="character" w:customStyle="1" w:styleId="SubtitleChar">
    <w:name w:val="Subtitle Char"/>
    <w:basedOn w:val="DefaultParagraphFont"/>
    <w:link w:val="Subtitle"/>
    <w:uiPriority w:val="11"/>
    <w:rsid w:val="00EB2522"/>
    <w:rPr>
      <w:rFonts w:eastAsiaTheme="minorEastAsia"/>
      <w:color w:val="0766A5" w:themeColor="accent1"/>
      <w:sz w:val="40"/>
    </w:rPr>
  </w:style>
  <w:style w:type="character" w:customStyle="1" w:styleId="Heading2Char">
    <w:name w:val="Heading 2 Char"/>
    <w:basedOn w:val="DefaultParagraphFont"/>
    <w:link w:val="Heading2"/>
    <w:uiPriority w:val="9"/>
    <w:rsid w:val="00855232"/>
    <w:rPr>
      <w:rFonts w:asciiTheme="majorHAnsi" w:eastAsiaTheme="majorEastAsia" w:hAnsiTheme="majorHAnsi" w:cstheme="majorBidi"/>
      <w:color w:val="0766A5" w:themeColor="accent1"/>
      <w:sz w:val="48"/>
      <w:szCs w:val="48"/>
    </w:rPr>
  </w:style>
  <w:style w:type="character" w:customStyle="1" w:styleId="Heading3Char">
    <w:name w:val="Heading 3 Char"/>
    <w:basedOn w:val="DefaultParagraphFont"/>
    <w:link w:val="Heading3"/>
    <w:uiPriority w:val="9"/>
    <w:rsid w:val="00423500"/>
    <w:rPr>
      <w:rFonts w:asciiTheme="majorHAnsi" w:eastAsiaTheme="majorEastAsia" w:hAnsiTheme="majorHAnsi" w:cstheme="majorBidi"/>
      <w:color w:val="0766A5" w:themeColor="accent1"/>
      <w:sz w:val="40"/>
      <w:szCs w:val="40"/>
    </w:rPr>
  </w:style>
  <w:style w:type="character" w:customStyle="1" w:styleId="Heading4Char">
    <w:name w:val="Heading 4 Char"/>
    <w:basedOn w:val="DefaultParagraphFont"/>
    <w:link w:val="Heading4"/>
    <w:uiPriority w:val="9"/>
    <w:rsid w:val="00EB2522"/>
    <w:rPr>
      <w:rFonts w:asciiTheme="majorHAnsi" w:eastAsiaTheme="majorEastAsia" w:hAnsiTheme="majorHAnsi" w:cstheme="majorBidi"/>
      <w:iCs/>
      <w:color w:val="0766A5" w:themeColor="accent1"/>
      <w:sz w:val="32"/>
      <w:szCs w:val="28"/>
    </w:rPr>
  </w:style>
  <w:style w:type="character" w:customStyle="1" w:styleId="Heading5Char">
    <w:name w:val="Heading 5 Char"/>
    <w:basedOn w:val="DefaultParagraphFont"/>
    <w:link w:val="Heading5"/>
    <w:uiPriority w:val="9"/>
    <w:rsid w:val="00BD43D1"/>
    <w:rPr>
      <w:rFonts w:asciiTheme="majorHAnsi" w:eastAsiaTheme="majorEastAsia" w:hAnsiTheme="majorHAnsi" w:cstheme="majorBidi"/>
      <w:color w:val="0766A5" w:themeColor="accent1"/>
      <w:sz w:val="26"/>
      <w:szCs w:val="26"/>
    </w:rPr>
  </w:style>
  <w:style w:type="paragraph" w:styleId="Quote">
    <w:name w:val="Quote"/>
    <w:basedOn w:val="Normal"/>
    <w:next w:val="Normal"/>
    <w:link w:val="QuoteChar"/>
    <w:uiPriority w:val="29"/>
    <w:qFormat/>
    <w:rsid w:val="00EB2522"/>
    <w:pPr>
      <w:pBdr>
        <w:top w:val="single" w:sz="4" w:space="6" w:color="0766A5" w:themeColor="accent1"/>
        <w:bottom w:val="single" w:sz="4" w:space="6" w:color="0766A5" w:themeColor="accent1"/>
      </w:pBdr>
      <w:spacing w:before="240" w:after="240"/>
      <w:ind w:right="2835"/>
    </w:pPr>
    <w:rPr>
      <w:iCs/>
      <w:color w:val="000000" w:themeColor="text1"/>
      <w:sz w:val="22"/>
      <w:szCs w:val="24"/>
    </w:rPr>
  </w:style>
  <w:style w:type="character" w:customStyle="1" w:styleId="QuoteChar">
    <w:name w:val="Quote Char"/>
    <w:basedOn w:val="DefaultParagraphFont"/>
    <w:link w:val="Quote"/>
    <w:uiPriority w:val="29"/>
    <w:rsid w:val="00EB2522"/>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3,Bulleted Para,Bulletr List Paragraph,CAB - List Bullet,FooterText,L,List Bullet Cab,List Paragraph1,List Paragraph11,List Paragraph2,List Paragraph21,Listeafsnit1,NFP GP Bulleted List,Number,Paragraphe de liste1,Parágrafo da Lista1,lp1"/>
    <w:basedOn w:val="Normal"/>
    <w:link w:val="ListParagraphChar"/>
    <w:uiPriority w:val="34"/>
    <w:qFormat/>
    <w:rsid w:val="00090DDB"/>
    <w:pPr>
      <w:numPr>
        <w:numId w:val="1"/>
      </w:numPr>
      <w:spacing w:before="0"/>
    </w:pPr>
  </w:style>
  <w:style w:type="character" w:styleId="Hyperlink">
    <w:name w:val="Hyperlink"/>
    <w:basedOn w:val="DefaultParagraphFont"/>
    <w:uiPriority w:val="99"/>
    <w:unhideWhenUsed/>
    <w:rsid w:val="0080201C"/>
    <w:rPr>
      <w:color w:val="0766A5" w:themeColor="accent1"/>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basedOn w:val="Normal"/>
    <w:next w:val="Normal"/>
    <w:link w:val="IntenseQuoteChar"/>
    <w:uiPriority w:val="30"/>
    <w:qFormat/>
    <w:rsid w:val="00EB2522"/>
    <w:pPr>
      <w:pBdr>
        <w:top w:val="single" w:sz="4" w:space="6" w:color="0766A5" w:themeColor="accent1"/>
        <w:bottom w:val="single" w:sz="4" w:space="6" w:color="0766A5" w:themeColor="accent1"/>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EB2522"/>
    <w:rPr>
      <w:b/>
      <w:iCs/>
      <w:sz w:val="24"/>
    </w:rPr>
  </w:style>
  <w:style w:type="paragraph" w:customStyle="1" w:styleId="Calloutbox">
    <w:name w:val="Call out box"/>
    <w:basedOn w:val="Normal"/>
    <w:qFormat/>
    <w:rsid w:val="00EB2522"/>
    <w:pPr>
      <w:pBdr>
        <w:top w:val="single" w:sz="4" w:space="6" w:color="E2E1E1" w:themeColor="accent5" w:themeTint="33"/>
        <w:left w:val="single" w:sz="4" w:space="4" w:color="E2E1E1" w:themeColor="accent5" w:themeTint="33"/>
        <w:bottom w:val="single" w:sz="4" w:space="6" w:color="E2E1E1" w:themeColor="accent5" w:themeTint="33"/>
        <w:right w:val="single" w:sz="4" w:space="4" w:color="E2E1E1" w:themeColor="accent5" w:themeTint="33"/>
      </w:pBdr>
      <w:shd w:val="clear" w:color="auto" w:fill="E2E1E1" w:themeFill="accent5" w:themeFillTint="33"/>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FF2727" w:themeColor="accent2" w:themeTint="99"/>
        <w:left w:val="single" w:sz="4" w:space="0" w:color="FF2727" w:themeColor="accent2" w:themeTint="99"/>
        <w:bottom w:val="single" w:sz="4" w:space="0" w:color="FF2727" w:themeColor="accent2" w:themeTint="99"/>
        <w:right w:val="single" w:sz="4" w:space="0" w:color="FF2727" w:themeColor="accent2" w:themeTint="99"/>
        <w:insideH w:val="single" w:sz="4" w:space="0" w:color="FF2727" w:themeColor="accent2" w:themeTint="99"/>
        <w:insideV w:val="single" w:sz="4" w:space="0" w:color="FF2727" w:themeColor="accent2" w:themeTint="99"/>
      </w:tblBorders>
    </w:tbl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tblStylePr w:type="band1Horz">
      <w:tblPr/>
      <w:tcPr>
        <w:shd w:val="clear" w:color="auto" w:fill="FFB7B7"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66A5" w:themeFill="accent1"/>
      </w:tcPr>
    </w:tblStylePr>
    <w:tblStylePr w:type="band1Vert">
      <w:tblPr/>
      <w:tcPr>
        <w:shd w:val="clear" w:color="auto" w:fill="7DC7F9" w:themeFill="accent1" w:themeFillTint="66"/>
      </w:tcPr>
    </w:tblStylePr>
    <w:tblStylePr w:type="band1Horz">
      <w:tblPr/>
      <w:tcPr>
        <w:shd w:val="clear" w:color="auto" w:fill="7DC7F9"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insideV w:val="single" w:sz="4" w:space="0" w:color="3CACF6" w:themeColor="accent1" w:themeTint="99"/>
      </w:tblBorders>
    </w:tbl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A9A7A7" w:themeColor="accent5" w:themeTint="99"/>
        <w:left w:val="single" w:sz="4" w:space="0" w:color="A9A7A7" w:themeColor="accent5" w:themeTint="99"/>
        <w:bottom w:val="single" w:sz="4" w:space="0" w:color="A9A7A7" w:themeColor="accent5" w:themeTint="99"/>
        <w:right w:val="single" w:sz="4" w:space="0" w:color="A9A7A7" w:themeColor="accent5" w:themeTint="99"/>
        <w:insideH w:val="single" w:sz="4" w:space="0" w:color="A9A7A7" w:themeColor="accent5" w:themeTint="99"/>
        <w:insideV w:val="single" w:sz="4" w:space="0" w:color="A9A7A7" w:themeColor="accent5" w:themeTint="99"/>
      </w:tblBorders>
    </w:tbl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tblStylePr w:type="band1Horz">
      <w:tblPr/>
      <w:tcPr>
        <w:shd w:val="clear" w:color="auto" w:fill="E2E1E1" w:themeFill="accent5" w:themeFillTint="33"/>
      </w:tcPr>
    </w:tblStylePr>
  </w:style>
  <w:style w:type="table" w:styleId="GridTable4-Accent4">
    <w:name w:val="Grid Table 4 Accent 4"/>
    <w:aliases w:val="DISR banded - Table 2"/>
    <w:basedOn w:val="TableNormal"/>
    <w:uiPriority w:val="49"/>
    <w:rsid w:val="005D19B8"/>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single" w:sz="18" w:space="0" w:color="0B474D" w:themeColor="accent4"/>
        </w:tcBorders>
      </w:tcPr>
    </w:tblStylePr>
    <w:tblStylePr w:type="firstCol">
      <w:rPr>
        <w:b/>
        <w:bCs/>
      </w:rPr>
    </w:tblStylePr>
    <w:tblStylePr w:type="lastCol">
      <w:rPr>
        <w:b/>
        <w:bCs/>
      </w:rPr>
    </w:tblStylePr>
    <w:tblStylePr w:type="band1Vert">
      <w:tblPr/>
      <w:tcPr>
        <w:shd w:val="clear" w:color="auto" w:fill="B4EEF4" w:themeFill="accent4" w:themeFillTint="33"/>
      </w:tcPr>
    </w:tblStylePr>
    <w:tblStylePr w:type="band1Horz">
      <w:tblPr/>
      <w:tcPr>
        <w:shd w:val="clear" w:color="auto" w:fill="E2E1E1" w:themeFill="accent5"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91C1ED" w:themeColor="accent3" w:themeTint="99"/>
        <w:left w:val="single" w:sz="4" w:space="0" w:color="91C1ED" w:themeColor="accent3" w:themeTint="99"/>
        <w:bottom w:val="single" w:sz="4" w:space="0" w:color="91C1ED" w:themeColor="accent3" w:themeTint="99"/>
        <w:right w:val="single" w:sz="4" w:space="0" w:color="91C1ED" w:themeColor="accent3" w:themeTint="99"/>
        <w:insideH w:val="single" w:sz="4" w:space="0" w:color="91C1ED" w:themeColor="accent3" w:themeTint="99"/>
        <w:insideV w:val="single" w:sz="4" w:space="0" w:color="91C1ED" w:themeColor="accent3" w:themeTint="99"/>
      </w:tblBorders>
    </w:tbl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tblStylePr w:type="band1Horz">
      <w:tblPr/>
      <w:tcPr>
        <w:shd w:val="clear" w:color="auto" w:fill="DAEAF9"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001B35"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766A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0B474D" w:themeColor="accent4"/>
        <w:left w:val="single" w:sz="4" w:space="0" w:color="0B474D" w:themeColor="accent4"/>
        <w:bottom w:val="single" w:sz="4" w:space="0" w:color="0B474D" w:themeColor="accent4"/>
        <w:right w:val="single" w:sz="4" w:space="0" w:color="0B474D" w:themeColor="accent4"/>
      </w:tblBorders>
    </w:tblPr>
    <w:tblStylePr w:type="firstRow">
      <w:rPr>
        <w:b/>
        <w:bCs/>
        <w:color w:val="FFFFFF" w:themeColor="background1"/>
      </w:rPr>
      <w:tblPr/>
      <w:tcPr>
        <w:shd w:val="clear" w:color="auto" w:fill="0B474D" w:themeFill="accent4"/>
      </w:tcPr>
    </w:tblStylePr>
    <w:tblStylePr w:type="lastRow">
      <w:rPr>
        <w:b/>
        <w:bCs/>
      </w:rPr>
      <w:tblPr/>
      <w:tcPr>
        <w:tcBorders>
          <w:top w:val="double" w:sz="4" w:space="0" w:color="0B47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474D" w:themeColor="accent4"/>
          <w:right w:val="single" w:sz="4" w:space="0" w:color="0B474D" w:themeColor="accent4"/>
        </w:tcBorders>
      </w:tcPr>
    </w:tblStylePr>
    <w:tblStylePr w:type="band1Horz">
      <w:tblPr/>
      <w:tcPr>
        <w:tcBorders>
          <w:top w:val="single" w:sz="4" w:space="0" w:color="0B474D" w:themeColor="accent4"/>
          <w:bottom w:val="single" w:sz="4" w:space="0" w:color="0B47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474D" w:themeColor="accent4"/>
          <w:left w:val="nil"/>
        </w:tcBorders>
      </w:tcPr>
    </w:tblStylePr>
    <w:tblStylePr w:type="swCell">
      <w:tblPr/>
      <w:tcPr>
        <w:tcBorders>
          <w:top w:val="double" w:sz="4" w:space="0" w:color="0B474D"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EB2522"/>
    <w:pPr>
      <w:contextualSpacing/>
      <w:outlineLvl w:val="0"/>
    </w:pPr>
    <w:rPr>
      <w:rFonts w:asciiTheme="majorHAnsi" w:eastAsiaTheme="majorEastAsia" w:hAnsiTheme="majorHAnsi" w:cstheme="majorBidi"/>
      <w:color w:val="001B35" w:themeColor="background2"/>
      <w:spacing w:val="-10"/>
      <w:kern w:val="28"/>
      <w:sz w:val="72"/>
      <w:szCs w:val="72"/>
    </w:rPr>
  </w:style>
  <w:style w:type="character" w:customStyle="1" w:styleId="TitleChar">
    <w:name w:val="Title Char"/>
    <w:basedOn w:val="DefaultParagraphFont"/>
    <w:link w:val="Title"/>
    <w:uiPriority w:val="10"/>
    <w:rsid w:val="00EB2522"/>
    <w:rPr>
      <w:rFonts w:asciiTheme="majorHAnsi" w:eastAsiaTheme="majorEastAsia" w:hAnsiTheme="majorHAnsi" w:cstheme="majorBidi"/>
      <w:color w:val="001B35" w:themeColor="background2"/>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table" w:styleId="ListTable3-Accent1">
    <w:name w:val="List Table 3 Accent 1"/>
    <w:basedOn w:val="TableNormal"/>
    <w:uiPriority w:val="48"/>
    <w:rsid w:val="005D19B8"/>
    <w:pPr>
      <w:spacing w:after="0" w:line="240" w:lineRule="auto"/>
    </w:pPr>
    <w:tblPr>
      <w:tblStyleRowBandSize w:val="1"/>
      <w:tblStyleColBandSize w:val="1"/>
      <w:tblBorders>
        <w:top w:val="single" w:sz="4" w:space="0" w:color="0766A5" w:themeColor="accent1"/>
        <w:left w:val="single" w:sz="4" w:space="0" w:color="0766A5" w:themeColor="accent1"/>
        <w:bottom w:val="single" w:sz="4" w:space="0" w:color="0766A5" w:themeColor="accent1"/>
        <w:right w:val="single" w:sz="4" w:space="0" w:color="0766A5" w:themeColor="accent1"/>
      </w:tblBorders>
    </w:tblPr>
    <w:tblStylePr w:type="firstRow">
      <w:rPr>
        <w:b/>
        <w:bCs/>
        <w:color w:val="FFFFFF" w:themeColor="background1"/>
      </w:rPr>
      <w:tblPr/>
      <w:tcPr>
        <w:shd w:val="clear" w:color="auto" w:fill="0766A5" w:themeFill="accent1"/>
      </w:tcPr>
    </w:tblStylePr>
    <w:tblStylePr w:type="lastRow">
      <w:rPr>
        <w:b/>
        <w:bCs/>
      </w:rPr>
      <w:tblPr/>
      <w:tcPr>
        <w:tcBorders>
          <w:top w:val="double" w:sz="4" w:space="0" w:color="0766A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66A5" w:themeColor="accent1"/>
          <w:right w:val="single" w:sz="4" w:space="0" w:color="0766A5" w:themeColor="accent1"/>
        </w:tcBorders>
      </w:tcPr>
    </w:tblStylePr>
    <w:tblStylePr w:type="band1Horz">
      <w:tblPr/>
      <w:tcPr>
        <w:tcBorders>
          <w:top w:val="single" w:sz="4" w:space="0" w:color="0766A5" w:themeColor="accent1"/>
          <w:bottom w:val="single" w:sz="4" w:space="0" w:color="0766A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66A5" w:themeColor="accent1"/>
          <w:left w:val="nil"/>
        </w:tcBorders>
      </w:tcPr>
    </w:tblStylePr>
    <w:tblStylePr w:type="swCell">
      <w:tblPr/>
      <w:tcPr>
        <w:tcBorders>
          <w:top w:val="double" w:sz="4" w:space="0" w:color="0766A5" w:themeColor="accent1"/>
          <w:right w:val="nil"/>
        </w:tcBorders>
      </w:tcPr>
    </w:tblStylePr>
  </w:style>
  <w:style w:type="table" w:styleId="ListTable4-Accent1">
    <w:name w:val="List Table 4 Accent 1"/>
    <w:basedOn w:val="TableNormal"/>
    <w:uiPriority w:val="49"/>
    <w:rsid w:val="007F6624"/>
    <w:pPr>
      <w:spacing w:after="0" w:line="240" w:lineRule="auto"/>
    </w:pPr>
    <w:tblPr>
      <w:tblStyleRowBandSize w:val="1"/>
      <w:tblStyleColBandSize w:val="1"/>
      <w:tblBorders>
        <w:top w:val="single" w:sz="4" w:space="0" w:color="3CACF6" w:themeColor="accent1" w:themeTint="99"/>
        <w:left w:val="single" w:sz="4" w:space="0" w:color="3CACF6" w:themeColor="accent1" w:themeTint="99"/>
        <w:bottom w:val="single" w:sz="4" w:space="0" w:color="3CACF6" w:themeColor="accent1" w:themeTint="99"/>
        <w:right w:val="single" w:sz="4" w:space="0" w:color="3CACF6" w:themeColor="accent1" w:themeTint="99"/>
        <w:insideH w:val="single" w:sz="4" w:space="0" w:color="3CACF6" w:themeColor="accent1" w:themeTint="99"/>
      </w:tblBorders>
    </w:tblPr>
    <w:tblStylePr w:type="firstRow">
      <w:rPr>
        <w:b/>
        <w:bCs/>
        <w:color w:val="FFFFFF" w:themeColor="background1"/>
      </w:rPr>
      <w:tblPr/>
      <w:tcPr>
        <w:tcBorders>
          <w:top w:val="single" w:sz="4" w:space="0" w:color="0766A5" w:themeColor="accent1"/>
          <w:left w:val="single" w:sz="4" w:space="0" w:color="0766A5" w:themeColor="accent1"/>
          <w:bottom w:val="single" w:sz="4" w:space="0" w:color="0766A5" w:themeColor="accent1"/>
          <w:right w:val="single" w:sz="4" w:space="0" w:color="0766A5" w:themeColor="accent1"/>
          <w:insideH w:val="nil"/>
        </w:tcBorders>
        <w:shd w:val="clear" w:color="auto" w:fill="0766A5" w:themeFill="accent1"/>
      </w:tcPr>
    </w:tblStylePr>
    <w:tblStylePr w:type="lastRow">
      <w:rPr>
        <w:b/>
        <w:bCs/>
      </w:rPr>
      <w:tblPr/>
      <w:tcPr>
        <w:tcBorders>
          <w:top w:val="double" w:sz="4" w:space="0" w:color="3CACF6" w:themeColor="accent1" w:themeTint="99"/>
        </w:tcBorders>
      </w:tcPr>
    </w:tblStylePr>
    <w:tblStylePr w:type="firstCol">
      <w:rPr>
        <w:b/>
        <w:bCs/>
      </w:rPr>
    </w:tblStylePr>
    <w:tblStylePr w:type="lastCol">
      <w:rPr>
        <w:b/>
        <w:bCs/>
      </w:rPr>
    </w:tblStylePr>
    <w:tblStylePr w:type="band1Vert">
      <w:tblPr/>
      <w:tcPr>
        <w:shd w:val="clear" w:color="auto" w:fill="BEE3FC" w:themeFill="accent1" w:themeFillTint="33"/>
      </w:tcPr>
    </w:tblStylePr>
    <w:tblStylePr w:type="band1Horz">
      <w:tblPr/>
      <w:tcPr>
        <w:shd w:val="clear" w:color="auto" w:fill="BEE3FC" w:themeFill="accent1" w:themeFillTint="33"/>
      </w:tcPr>
    </w:tblStylePr>
  </w:style>
  <w:style w:type="character" w:customStyle="1" w:styleId="Heading9Char">
    <w:name w:val="Heading 9 Char"/>
    <w:basedOn w:val="DefaultParagraphFont"/>
    <w:link w:val="Heading9"/>
    <w:uiPriority w:val="9"/>
    <w:semiHidden/>
    <w:rsid w:val="00A85CF1"/>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3 Char,Bulleted Para Char,Bulletr List Paragraph Char,CAB - List Bullet Char,FooterText Char,L Char,List Bullet Cab Char,List Paragraph1 Char,List Paragraph11 Char,List Paragraph2 Char,List Paragraph21 Char,Listeafsnit1 Char,lp1 Char"/>
    <w:basedOn w:val="DefaultParagraphFont"/>
    <w:link w:val="ListParagraph"/>
    <w:uiPriority w:val="34"/>
    <w:qFormat/>
    <w:locked/>
    <w:rsid w:val="00A85CF1"/>
    <w:rPr>
      <w:sz w:val="20"/>
    </w:rPr>
  </w:style>
  <w:style w:type="character" w:styleId="Mention">
    <w:name w:val="Mention"/>
    <w:basedOn w:val="DefaultParagraphFont"/>
    <w:uiPriority w:val="99"/>
    <w:unhideWhenUsed/>
    <w:rsid w:val="00A85CF1"/>
    <w:rPr>
      <w:color w:val="2B579A"/>
      <w:shd w:val="clear" w:color="auto" w:fill="E1DFDD"/>
    </w:rPr>
  </w:style>
  <w:style w:type="character" w:customStyle="1" w:styleId="cf01">
    <w:name w:val="cf01"/>
    <w:basedOn w:val="DefaultParagraphFont"/>
    <w:rsid w:val="00A85CF1"/>
    <w:rPr>
      <w:rFonts w:ascii="Segoe UI" w:hAnsi="Segoe UI" w:cs="Segoe UI" w:hint="default"/>
      <w:sz w:val="18"/>
      <w:szCs w:val="18"/>
    </w:rPr>
  </w:style>
  <w:style w:type="table" w:customStyle="1" w:styleId="Style1">
    <w:name w:val="Style1"/>
    <w:basedOn w:val="TableNormal"/>
    <w:uiPriority w:val="99"/>
    <w:rsid w:val="00A85CF1"/>
    <w:pPr>
      <w:spacing w:after="0" w:line="240" w:lineRule="auto"/>
    </w:pPr>
    <w:tblPr>
      <w:tblStyleRowBandSize w:val="1"/>
      <w:tblBorders>
        <w:top w:val="single" w:sz="4" w:space="0" w:color="0B474D" w:themeColor="accent4"/>
        <w:left w:val="single" w:sz="4" w:space="0" w:color="0B474D" w:themeColor="accent4"/>
        <w:bottom w:val="single" w:sz="4" w:space="0" w:color="0B474D" w:themeColor="accent4"/>
        <w:right w:val="single" w:sz="4" w:space="0" w:color="0B474D" w:themeColor="accent4"/>
        <w:insideH w:val="single" w:sz="4" w:space="0" w:color="0B474D" w:themeColor="accent4"/>
        <w:insideV w:val="single" w:sz="4" w:space="0" w:color="0B474D" w:themeColor="accent4"/>
      </w:tblBorders>
    </w:tblPr>
    <w:tcPr>
      <w:tcMar>
        <w:top w:w="28" w:type="dxa"/>
        <w:bottom w:w="28" w:type="dxa"/>
      </w:tcMar>
      <w:vAlign w:val="center"/>
    </w:tcPr>
    <w:tblStylePr w:type="firstCol">
      <w:rPr>
        <w:b/>
        <w:color w:val="FFFFFF" w:themeColor="background1"/>
      </w:rPr>
      <w:tblPr/>
      <w:tcPr>
        <w:tcBorders>
          <w:top w:val="nil"/>
          <w:left w:val="nil"/>
          <w:bottom w:val="nil"/>
          <w:right w:val="nil"/>
          <w:insideH w:val="nil"/>
          <w:insideV w:val="nil"/>
          <w:tl2br w:val="nil"/>
          <w:tr2bl w:val="nil"/>
        </w:tcBorders>
        <w:shd w:val="solid" w:color="0B474D" w:themeColor="accent4" w:fill="0B474D" w:themeFill="accent4"/>
      </w:tcPr>
    </w:tblStylePr>
    <w:tblStylePr w:type="band1Horz">
      <w:tblPr/>
      <w:tcPr>
        <w:shd w:val="clear" w:color="auto" w:fill="D3EAF9"/>
      </w:tcPr>
    </w:tblStylePr>
  </w:style>
  <w:style w:type="character" w:customStyle="1" w:styleId="normaltextrun">
    <w:name w:val="normaltextrun"/>
    <w:basedOn w:val="DefaultParagraphFont"/>
    <w:rsid w:val="00C66439"/>
  </w:style>
  <w:style w:type="character" w:customStyle="1" w:styleId="eop">
    <w:name w:val="eop"/>
    <w:basedOn w:val="DefaultParagraphFont"/>
    <w:rsid w:val="00C66439"/>
  </w:style>
  <w:style w:type="table" w:customStyle="1" w:styleId="Verticaltable1">
    <w:name w:val="Vertical table1"/>
    <w:basedOn w:val="TableNormal"/>
    <w:uiPriority w:val="99"/>
    <w:rsid w:val="00B46F86"/>
    <w:pPr>
      <w:spacing w:after="0" w:line="240" w:lineRule="auto"/>
    </w:pPr>
    <w:tblPr>
      <w:tblBorders>
        <w:top w:val="single" w:sz="4" w:space="0" w:color="001B35" w:themeColor="background2"/>
        <w:left w:val="single" w:sz="4" w:space="0" w:color="001B35" w:themeColor="background2"/>
        <w:bottom w:val="single" w:sz="4" w:space="0" w:color="001B35" w:themeColor="background2"/>
        <w:right w:val="single" w:sz="4" w:space="0" w:color="001B35" w:themeColor="background2"/>
        <w:insideH w:val="single" w:sz="4" w:space="0" w:color="001B35" w:themeColor="background2"/>
        <w:insideV w:val="single" w:sz="4" w:space="0" w:color="001B35" w:themeColor="background2"/>
      </w:tblBorders>
    </w:tblPr>
    <w:tblStylePr w:type="lastRow">
      <w:rPr>
        <w:b w:val="0"/>
      </w:rPr>
    </w:tblStylePr>
    <w:tblStylePr w:type="firstCol">
      <w:rPr>
        <w:b/>
        <w:color w:val="FFFFFF" w:themeColor="background1"/>
      </w:rPr>
      <w:tblPr/>
      <w:tcPr>
        <w:shd w:val="clear" w:color="auto" w:fill="0766A5"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71817166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57565829">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140881265">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yperlink" Target="https://epbcpublicportal.awe.gov.au/all-referrals/project-referral-summary/project-decision/?id=d6164cfd-8b6f-ed11-81ac-00224818a55a&amp;" TargetMode="External"/><Relationship Id="rId21" Type="http://schemas.openxmlformats.org/officeDocument/2006/relationships/hyperlink" Target="https://www.legislation.gov.au/C2004A00485/latest/versions" TargetMode="External"/><Relationship Id="rId34" Type="http://schemas.openxmlformats.org/officeDocument/2006/relationships/hyperlink" Target="https://www.industry.gov.au/mining-oil-and-gas/oil-and-gas/offshore-oil-and-gas/decommissioning-northern-endeavour/offshore-petroleum-cost-recovery-levy" TargetMode="External"/><Relationship Id="rId42" Type="http://schemas.openxmlformats.org/officeDocument/2006/relationships/hyperlink" Target="https://epbcpublicportal.awe.gov.au/all-referrals/project-referral-summary/project-decision/?id=feb64fb7-f3d1-ee11-9079-000d3acb176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dcceew.gov.au/environment/epbc/publications/annual-compliance-report-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www.legislation.gov.au/C2004A00485/latest/versions" TargetMode="External"/><Relationship Id="rId32" Type="http://schemas.openxmlformats.org/officeDocument/2006/relationships/footer" Target="footer4.xml"/><Relationship Id="rId37" Type="http://schemas.openxmlformats.org/officeDocument/2006/relationships/hyperlink" Target="https://www.dcceew.gov.au/environment/epbc/publications/annual-compliance-report-guidelines" TargetMode="External"/><Relationship Id="rId40" Type="http://schemas.openxmlformats.org/officeDocument/2006/relationships/hyperlink" Target="https://epbcpublicportal.awe.gov.au/all-referrals/project-referral-summary/project-decision/?id=d6164cfd-8b6f-ed11-81ac-00224818a55a"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epbcpublicportal.awe.gov.au/all-referrals/project-referral-summary/project-decision/?id=d6164cfd-8b6f-ed11-81ac-00224818a55a&amp;" TargetMode="External"/><Relationship Id="rId36" Type="http://schemas.openxmlformats.org/officeDocument/2006/relationships/hyperlink" Target="https://auc-word-edit.officeapps.live.com/we/wordeditorframe.aspx?ui=en-US&amp;rs=en-AU&amp;wopisrc=https%3A%2F%2Fausgov.sharepoint.com%2Fsites%2FSTRATUS-D6770-PPT-NET%2F_vti_bin%2Fwopi.ashx%2Ffiles%2F86abe14e4e1d46859b47e797917260e2&amp;wdpid=3a6c72c8&amp;wdenableroaming=1&amp;mscc=1&amp;hid=5BB459A1-E028-3000-DDB7-568336106F3D.0&amp;uih=sharepointcom&amp;wdlcid=en-US&amp;jsapi=1&amp;jsapiver=v2&amp;corrid=1e3fb3d6-dcbf-4c07-c92d-6072a4fb2c63&amp;usid=1e3fb3d6-dcbf-4c07-c92d-6072a4fb2c63&amp;newsession=1&amp;sftc=1&amp;uihit=docaspx&amp;muv=1&amp;cac=1&amp;sams=1&amp;mtf=1&amp;sfp=1&amp;sdp=1&amp;hch=1&amp;hwfh=1&amp;dchat=1&amp;sc=%7B%22pmo%22%3A%22https%3A%2F%2Fausgov.sharepoint.com%22%2C%22pmshare%22%3Atrue%7D&amp;ctp=LeastProtected&amp;rct=Normal&amp;wdorigin=BrowserReload&amp;instantedit=1&amp;wopicomplete=1&amp;wdredirectionreason=Unified_SingleFlush"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hyperlink" Target="https://www.dcceew.gov.au/environment/epbc/publications/annual-compliance-report-guidelin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gov.au/C2004A00485/latest/versions" TargetMode="External"/><Relationship Id="rId22" Type="http://schemas.openxmlformats.org/officeDocument/2006/relationships/hyperlink" Target="mailto:NEProjectPlanning@industry.gov.au" TargetMode="External"/><Relationship Id="rId27" Type="http://schemas.openxmlformats.org/officeDocument/2006/relationships/hyperlink" Target="https://www.legislation.gov.au/C2004A00485/latest/versions" TargetMode="External"/><Relationship Id="rId30" Type="http://schemas.openxmlformats.org/officeDocument/2006/relationships/hyperlink" Target="https://epbcpublicportal.awe.gov.au/all-referrals/project-referral-summary/project-decision/?id=d6164cfd-8b6f-ed11-81ac-00224818a55a&amp;" TargetMode="External"/><Relationship Id="rId35" Type="http://schemas.openxmlformats.org/officeDocument/2006/relationships/hyperlink" Target="https://epbcpublicportal.awe.gov.au/all-referrals/project-referral-summary/project-decision/?id=d6164cfd-8b6f-ed11-81ac-00224818a55a&amp;" TargetMode="Externa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5" Type="http://schemas.openxmlformats.org/officeDocument/2006/relationships/hyperlink" Target="https://www.legislation.gov.au/C2006A00014/latest/versions" TargetMode="External"/><Relationship Id="rId33" Type="http://schemas.openxmlformats.org/officeDocument/2006/relationships/image" Target="media/image6.png"/><Relationship Id="rId38" Type="http://schemas.openxmlformats.org/officeDocument/2006/relationships/hyperlink" Target="https://www.dcceew.gov.au/environment/epbc/publications/annual-compliance-report-guidelines" TargetMode="External"/><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s://epbcpublicportal.awe.gov.au/all-referrals/project-referral-summary/project-decision/?id=d6164cfd-8b6f-ed11-81ac-00224818a55a&am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ISR Charting">
      <a:dk1>
        <a:sysClr val="windowText" lastClr="000000"/>
      </a:dk1>
      <a:lt1>
        <a:sysClr val="window" lastClr="FFFFFF"/>
      </a:lt1>
      <a:dk2>
        <a:srgbClr val="CE5958"/>
      </a:dk2>
      <a:lt2>
        <a:srgbClr val="001B35"/>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8802</Words>
  <Characters>50177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58862</CharactersWithSpaces>
  <SharedDoc>false</SharedDoc>
  <HLinks>
    <vt:vector size="396" baseType="variant">
      <vt:variant>
        <vt:i4>983109</vt:i4>
      </vt:variant>
      <vt:variant>
        <vt:i4>321</vt:i4>
      </vt:variant>
      <vt:variant>
        <vt:i4>0</vt:i4>
      </vt:variant>
      <vt:variant>
        <vt:i4>5</vt:i4>
      </vt:variant>
      <vt:variant>
        <vt:lpwstr/>
      </vt:variant>
      <vt:variant>
        <vt:lpwstr>_Potential_non-compliance</vt:lpwstr>
      </vt:variant>
      <vt:variant>
        <vt:i4>2162745</vt:i4>
      </vt:variant>
      <vt:variant>
        <vt:i4>318</vt:i4>
      </vt:variant>
      <vt:variant>
        <vt:i4>0</vt:i4>
      </vt:variant>
      <vt:variant>
        <vt:i4>5</vt:i4>
      </vt:variant>
      <vt:variant>
        <vt:lpwstr/>
      </vt:variant>
      <vt:variant>
        <vt:lpwstr>_Incident_report</vt:lpwstr>
      </vt:variant>
      <vt:variant>
        <vt:i4>2097260</vt:i4>
      </vt:variant>
      <vt:variant>
        <vt:i4>315</vt:i4>
      </vt:variant>
      <vt:variant>
        <vt:i4>0</vt:i4>
      </vt:variant>
      <vt:variant>
        <vt:i4>5</vt:i4>
      </vt:variant>
      <vt:variant>
        <vt:lpwstr>https://www.dcceew.gov.au/environment/epbc/publications/annual-compliance-report-guidelines</vt:lpwstr>
      </vt:variant>
      <vt:variant>
        <vt:lpwstr/>
      </vt:variant>
      <vt:variant>
        <vt:i4>458840</vt:i4>
      </vt:variant>
      <vt:variant>
        <vt:i4>312</vt:i4>
      </vt:variant>
      <vt:variant>
        <vt:i4>0</vt:i4>
      </vt:variant>
      <vt:variant>
        <vt:i4>5</vt:i4>
      </vt:variant>
      <vt:variant>
        <vt:lpwstr>https://epbcpublicportal.awe.gov.au/all-referrals/project-referral-summary/project-decision/?id=feb64fb7-f3d1-ee11-9079-000d3acb1769</vt:lpwstr>
      </vt:variant>
      <vt:variant>
        <vt:lpwstr/>
      </vt:variant>
      <vt:variant>
        <vt:i4>5701716</vt:i4>
      </vt:variant>
      <vt:variant>
        <vt:i4>309</vt:i4>
      </vt:variant>
      <vt:variant>
        <vt:i4>0</vt:i4>
      </vt:variant>
      <vt:variant>
        <vt:i4>5</vt:i4>
      </vt:variant>
      <vt:variant>
        <vt:lpwstr>https://epbcpublicportal.awe.gov.au/all-referrals/project-referral-summary/project-decision/?id=d6164cfd-8b6f-ed11-81ac-00224818a55a&amp;</vt:lpwstr>
      </vt:variant>
      <vt:variant>
        <vt:lpwstr/>
      </vt:variant>
      <vt:variant>
        <vt:i4>5701716</vt:i4>
      </vt:variant>
      <vt:variant>
        <vt:i4>306</vt:i4>
      </vt:variant>
      <vt:variant>
        <vt:i4>0</vt:i4>
      </vt:variant>
      <vt:variant>
        <vt:i4>5</vt:i4>
      </vt:variant>
      <vt:variant>
        <vt:lpwstr>https://epbcpublicportal.awe.gov.au/all-referrals/project-referral-summary/project-decision/?id=d6164cfd-8b6f-ed11-81ac-00224818a55a</vt:lpwstr>
      </vt:variant>
      <vt:variant>
        <vt:lpwstr/>
      </vt:variant>
      <vt:variant>
        <vt:i4>5701716</vt:i4>
      </vt:variant>
      <vt:variant>
        <vt:i4>303</vt:i4>
      </vt:variant>
      <vt:variant>
        <vt:i4>0</vt:i4>
      </vt:variant>
      <vt:variant>
        <vt:i4>5</vt:i4>
      </vt:variant>
      <vt:variant>
        <vt:lpwstr>https://epbcpublicportal.awe.gov.au/all-referrals/project-referral-summary/project-decision/?id=d6164cfd-8b6f-ed11-81ac-00224818a55a&amp;</vt:lpwstr>
      </vt:variant>
      <vt:variant>
        <vt:lpwstr/>
      </vt:variant>
      <vt:variant>
        <vt:i4>2097260</vt:i4>
      </vt:variant>
      <vt:variant>
        <vt:i4>300</vt:i4>
      </vt:variant>
      <vt:variant>
        <vt:i4>0</vt:i4>
      </vt:variant>
      <vt:variant>
        <vt:i4>5</vt:i4>
      </vt:variant>
      <vt:variant>
        <vt:lpwstr>https://www.dcceew.gov.au/environment/epbc/publications/annual-compliance-report-guidelines</vt:lpwstr>
      </vt:variant>
      <vt:variant>
        <vt:lpwstr/>
      </vt:variant>
      <vt:variant>
        <vt:i4>7667792</vt:i4>
      </vt:variant>
      <vt:variant>
        <vt:i4>297</vt:i4>
      </vt:variant>
      <vt:variant>
        <vt:i4>0</vt:i4>
      </vt:variant>
      <vt:variant>
        <vt:i4>5</vt:i4>
      </vt:variant>
      <vt:variant>
        <vt:lpwstr/>
      </vt:variant>
      <vt:variant>
        <vt:lpwstr>_Attachment_C_-</vt:lpwstr>
      </vt:variant>
      <vt:variant>
        <vt:i4>2097260</vt:i4>
      </vt:variant>
      <vt:variant>
        <vt:i4>294</vt:i4>
      </vt:variant>
      <vt:variant>
        <vt:i4>0</vt:i4>
      </vt:variant>
      <vt:variant>
        <vt:i4>5</vt:i4>
      </vt:variant>
      <vt:variant>
        <vt:lpwstr>https://www.dcceew.gov.au/environment/epbc/publications/annual-compliance-report-guidelines</vt:lpwstr>
      </vt:variant>
      <vt:variant>
        <vt:lpwstr/>
      </vt:variant>
      <vt:variant>
        <vt:i4>3211283</vt:i4>
      </vt:variant>
      <vt:variant>
        <vt:i4>291</vt:i4>
      </vt:variant>
      <vt:variant>
        <vt:i4>0</vt:i4>
      </vt:variant>
      <vt:variant>
        <vt:i4>5</vt:i4>
      </vt:variant>
      <vt:variant>
        <vt:lpwstr>https://auc-word-edit.officeapps.live.com/we/wordeditorframe.aspx?ui=en-US&amp;rs=en-AU&amp;wopisrc=https%3A%2F%2Fausgov.sharepoint.com%2Fsites%2FSTRATUS-D6770-PPT-NET%2F_vti_bin%2Fwopi.ashx%2Ffiles%2F86abe14e4e1d46859b47e797917260e2&amp;wdpid=3a6c72c8&amp;wdenableroaming=1&amp;mscc=1&amp;hid=5BB459A1-E028-3000-DDB7-568336106F3D.0&amp;uih=sharepointcom&amp;wdlcid=en-US&amp;jsapi=1&amp;jsapiver=v2&amp;corrid=1e3fb3d6-dcbf-4c07-c92d-6072a4fb2c63&amp;usid=1e3fb3d6-dcbf-4c07-c92d-6072a4fb2c63&amp;newsession=1&amp;sftc=1&amp;uihit=docaspx&amp;muv=1&amp;cac=1&amp;sams=1&amp;mtf=1&amp;sfp=1&amp;sdp=1&amp;hch=1&amp;hwfh=1&amp;dchat=1&amp;sc=%7B%22pmo%22%3A%22https%3A%2F%2Fausgov.sharepoint.com%22%2C%22pmshare%22%3Atrue%7D&amp;ctp=LeastProtected&amp;rct=Normal&amp;wdorigin=BrowserReload&amp;instantedit=1&amp;wopicomplete=1&amp;wdredirectionreason=Unified_SingleFlush</vt:lpwstr>
      </vt:variant>
      <vt:variant>
        <vt:lpwstr>_Attachments</vt:lpwstr>
      </vt:variant>
      <vt:variant>
        <vt:i4>5701716</vt:i4>
      </vt:variant>
      <vt:variant>
        <vt:i4>288</vt:i4>
      </vt:variant>
      <vt:variant>
        <vt:i4>0</vt:i4>
      </vt:variant>
      <vt:variant>
        <vt:i4>5</vt:i4>
      </vt:variant>
      <vt:variant>
        <vt:lpwstr>https://epbcpublicportal.awe.gov.au/all-referrals/project-referral-summary/project-decision/?id=d6164cfd-8b6f-ed11-81ac-00224818a55a&amp;</vt:lpwstr>
      </vt:variant>
      <vt:variant>
        <vt:lpwstr/>
      </vt:variant>
      <vt:variant>
        <vt:i4>917579</vt:i4>
      </vt:variant>
      <vt:variant>
        <vt:i4>285</vt:i4>
      </vt:variant>
      <vt:variant>
        <vt:i4>0</vt:i4>
      </vt:variant>
      <vt:variant>
        <vt:i4>5</vt:i4>
      </vt:variant>
      <vt:variant>
        <vt:lpwstr>https://www.industry.gov.au/mining-oil-and-gas/oil-and-gas/offshore-oil-and-gas/decommissioning-northern-endeavour/offshore-petroleum-cost-recovery-levy</vt:lpwstr>
      </vt:variant>
      <vt:variant>
        <vt:lpwstr/>
      </vt:variant>
      <vt:variant>
        <vt:i4>5701716</vt:i4>
      </vt:variant>
      <vt:variant>
        <vt:i4>279</vt:i4>
      </vt:variant>
      <vt:variant>
        <vt:i4>0</vt:i4>
      </vt:variant>
      <vt:variant>
        <vt:i4>5</vt:i4>
      </vt:variant>
      <vt:variant>
        <vt:lpwstr>https://epbcpublicportal.awe.gov.au/all-referrals/project-referral-summary/project-decision/?id=d6164cfd-8b6f-ed11-81ac-00224818a55a&amp;</vt:lpwstr>
      </vt:variant>
      <vt:variant>
        <vt:lpwstr/>
      </vt:variant>
      <vt:variant>
        <vt:i4>2097260</vt:i4>
      </vt:variant>
      <vt:variant>
        <vt:i4>276</vt:i4>
      </vt:variant>
      <vt:variant>
        <vt:i4>0</vt:i4>
      </vt:variant>
      <vt:variant>
        <vt:i4>5</vt:i4>
      </vt:variant>
      <vt:variant>
        <vt:lpwstr>https://www.dcceew.gov.au/environment/epbc/publications/annual-compliance-report-guidelines</vt:lpwstr>
      </vt:variant>
      <vt:variant>
        <vt:lpwstr/>
      </vt:variant>
      <vt:variant>
        <vt:i4>2752543</vt:i4>
      </vt:variant>
      <vt:variant>
        <vt:i4>273</vt:i4>
      </vt:variant>
      <vt:variant>
        <vt:i4>0</vt:i4>
      </vt:variant>
      <vt:variant>
        <vt:i4>5</vt:i4>
      </vt:variant>
      <vt:variant>
        <vt:lpwstr/>
      </vt:variant>
      <vt:variant>
        <vt:lpwstr>_Variation_to_conditions</vt:lpwstr>
      </vt:variant>
      <vt:variant>
        <vt:i4>5701716</vt:i4>
      </vt:variant>
      <vt:variant>
        <vt:i4>270</vt:i4>
      </vt:variant>
      <vt:variant>
        <vt:i4>0</vt:i4>
      </vt:variant>
      <vt:variant>
        <vt:i4>5</vt:i4>
      </vt:variant>
      <vt:variant>
        <vt:lpwstr>https://epbcpublicportal.awe.gov.au/all-referrals/project-referral-summary/project-decision/?id=d6164cfd-8b6f-ed11-81ac-00224818a55a&amp;</vt:lpwstr>
      </vt:variant>
      <vt:variant>
        <vt:lpwstr/>
      </vt:variant>
      <vt:variant>
        <vt:i4>3211318</vt:i4>
      </vt:variant>
      <vt:variant>
        <vt:i4>267</vt:i4>
      </vt:variant>
      <vt:variant>
        <vt:i4>0</vt:i4>
      </vt:variant>
      <vt:variant>
        <vt:i4>5</vt:i4>
      </vt:variant>
      <vt:variant>
        <vt:lpwstr>https://www.legislation.gov.au/C2004A00485/latest/versions</vt:lpwstr>
      </vt:variant>
      <vt:variant>
        <vt:lpwstr/>
      </vt:variant>
      <vt:variant>
        <vt:i4>3539007</vt:i4>
      </vt:variant>
      <vt:variant>
        <vt:i4>264</vt:i4>
      </vt:variant>
      <vt:variant>
        <vt:i4>0</vt:i4>
      </vt:variant>
      <vt:variant>
        <vt:i4>5</vt:i4>
      </vt:variant>
      <vt:variant>
        <vt:lpwstr>https://www.legislation.gov.au/C2006A00014/latest/versions</vt:lpwstr>
      </vt:variant>
      <vt:variant>
        <vt:lpwstr/>
      </vt:variant>
      <vt:variant>
        <vt:i4>3211318</vt:i4>
      </vt:variant>
      <vt:variant>
        <vt:i4>261</vt:i4>
      </vt:variant>
      <vt:variant>
        <vt:i4>0</vt:i4>
      </vt:variant>
      <vt:variant>
        <vt:i4>5</vt:i4>
      </vt:variant>
      <vt:variant>
        <vt:lpwstr>https://www.legislation.gov.au/C2004A00485/latest/versions</vt:lpwstr>
      </vt:variant>
      <vt:variant>
        <vt:lpwstr/>
      </vt:variant>
      <vt:variant>
        <vt:i4>1572963</vt:i4>
      </vt:variant>
      <vt:variant>
        <vt:i4>258</vt:i4>
      </vt:variant>
      <vt:variant>
        <vt:i4>0</vt:i4>
      </vt:variant>
      <vt:variant>
        <vt:i4>5</vt:i4>
      </vt:variant>
      <vt:variant>
        <vt:lpwstr>mailto:NEProjectPlanning@industry.gov.au</vt:lpwstr>
      </vt:variant>
      <vt:variant>
        <vt:lpwstr/>
      </vt:variant>
      <vt:variant>
        <vt:i4>3211318</vt:i4>
      </vt:variant>
      <vt:variant>
        <vt:i4>255</vt:i4>
      </vt:variant>
      <vt:variant>
        <vt:i4>0</vt:i4>
      </vt:variant>
      <vt:variant>
        <vt:i4>5</vt:i4>
      </vt:variant>
      <vt:variant>
        <vt:lpwstr>https://www.legislation.gov.au/C2004A00485/latest/versions</vt:lpwstr>
      </vt:variant>
      <vt:variant>
        <vt:lpwstr/>
      </vt:variant>
      <vt:variant>
        <vt:i4>1703987</vt:i4>
      </vt:variant>
      <vt:variant>
        <vt:i4>248</vt:i4>
      </vt:variant>
      <vt:variant>
        <vt:i4>0</vt:i4>
      </vt:variant>
      <vt:variant>
        <vt:i4>5</vt:i4>
      </vt:variant>
      <vt:variant>
        <vt:lpwstr/>
      </vt:variant>
      <vt:variant>
        <vt:lpwstr>_Toc180504242</vt:lpwstr>
      </vt:variant>
      <vt:variant>
        <vt:i4>1703987</vt:i4>
      </vt:variant>
      <vt:variant>
        <vt:i4>242</vt:i4>
      </vt:variant>
      <vt:variant>
        <vt:i4>0</vt:i4>
      </vt:variant>
      <vt:variant>
        <vt:i4>5</vt:i4>
      </vt:variant>
      <vt:variant>
        <vt:lpwstr/>
      </vt:variant>
      <vt:variant>
        <vt:lpwstr>_Toc180504241</vt:lpwstr>
      </vt:variant>
      <vt:variant>
        <vt:i4>1703987</vt:i4>
      </vt:variant>
      <vt:variant>
        <vt:i4>236</vt:i4>
      </vt:variant>
      <vt:variant>
        <vt:i4>0</vt:i4>
      </vt:variant>
      <vt:variant>
        <vt:i4>5</vt:i4>
      </vt:variant>
      <vt:variant>
        <vt:lpwstr/>
      </vt:variant>
      <vt:variant>
        <vt:lpwstr>_Toc180504240</vt:lpwstr>
      </vt:variant>
      <vt:variant>
        <vt:i4>1900595</vt:i4>
      </vt:variant>
      <vt:variant>
        <vt:i4>230</vt:i4>
      </vt:variant>
      <vt:variant>
        <vt:i4>0</vt:i4>
      </vt:variant>
      <vt:variant>
        <vt:i4>5</vt:i4>
      </vt:variant>
      <vt:variant>
        <vt:lpwstr/>
      </vt:variant>
      <vt:variant>
        <vt:lpwstr>_Toc180504239</vt:lpwstr>
      </vt:variant>
      <vt:variant>
        <vt:i4>1900595</vt:i4>
      </vt:variant>
      <vt:variant>
        <vt:i4>224</vt:i4>
      </vt:variant>
      <vt:variant>
        <vt:i4>0</vt:i4>
      </vt:variant>
      <vt:variant>
        <vt:i4>5</vt:i4>
      </vt:variant>
      <vt:variant>
        <vt:lpwstr/>
      </vt:variant>
      <vt:variant>
        <vt:lpwstr>_Toc180504238</vt:lpwstr>
      </vt:variant>
      <vt:variant>
        <vt:i4>1900595</vt:i4>
      </vt:variant>
      <vt:variant>
        <vt:i4>218</vt:i4>
      </vt:variant>
      <vt:variant>
        <vt:i4>0</vt:i4>
      </vt:variant>
      <vt:variant>
        <vt:i4>5</vt:i4>
      </vt:variant>
      <vt:variant>
        <vt:lpwstr/>
      </vt:variant>
      <vt:variant>
        <vt:lpwstr>_Toc180504237</vt:lpwstr>
      </vt:variant>
      <vt:variant>
        <vt:i4>1900595</vt:i4>
      </vt:variant>
      <vt:variant>
        <vt:i4>212</vt:i4>
      </vt:variant>
      <vt:variant>
        <vt:i4>0</vt:i4>
      </vt:variant>
      <vt:variant>
        <vt:i4>5</vt:i4>
      </vt:variant>
      <vt:variant>
        <vt:lpwstr/>
      </vt:variant>
      <vt:variant>
        <vt:lpwstr>_Toc180504236</vt:lpwstr>
      </vt:variant>
      <vt:variant>
        <vt:i4>1900595</vt:i4>
      </vt:variant>
      <vt:variant>
        <vt:i4>206</vt:i4>
      </vt:variant>
      <vt:variant>
        <vt:i4>0</vt:i4>
      </vt:variant>
      <vt:variant>
        <vt:i4>5</vt:i4>
      </vt:variant>
      <vt:variant>
        <vt:lpwstr/>
      </vt:variant>
      <vt:variant>
        <vt:lpwstr>_Toc180504235</vt:lpwstr>
      </vt:variant>
      <vt:variant>
        <vt:i4>1900595</vt:i4>
      </vt:variant>
      <vt:variant>
        <vt:i4>200</vt:i4>
      </vt:variant>
      <vt:variant>
        <vt:i4>0</vt:i4>
      </vt:variant>
      <vt:variant>
        <vt:i4>5</vt:i4>
      </vt:variant>
      <vt:variant>
        <vt:lpwstr/>
      </vt:variant>
      <vt:variant>
        <vt:lpwstr>_Toc180504234</vt:lpwstr>
      </vt:variant>
      <vt:variant>
        <vt:i4>1900595</vt:i4>
      </vt:variant>
      <vt:variant>
        <vt:i4>194</vt:i4>
      </vt:variant>
      <vt:variant>
        <vt:i4>0</vt:i4>
      </vt:variant>
      <vt:variant>
        <vt:i4>5</vt:i4>
      </vt:variant>
      <vt:variant>
        <vt:lpwstr/>
      </vt:variant>
      <vt:variant>
        <vt:lpwstr>_Toc180504233</vt:lpwstr>
      </vt:variant>
      <vt:variant>
        <vt:i4>1900595</vt:i4>
      </vt:variant>
      <vt:variant>
        <vt:i4>188</vt:i4>
      </vt:variant>
      <vt:variant>
        <vt:i4>0</vt:i4>
      </vt:variant>
      <vt:variant>
        <vt:i4>5</vt:i4>
      </vt:variant>
      <vt:variant>
        <vt:lpwstr/>
      </vt:variant>
      <vt:variant>
        <vt:lpwstr>_Toc180504232</vt:lpwstr>
      </vt:variant>
      <vt:variant>
        <vt:i4>1900595</vt:i4>
      </vt:variant>
      <vt:variant>
        <vt:i4>182</vt:i4>
      </vt:variant>
      <vt:variant>
        <vt:i4>0</vt:i4>
      </vt:variant>
      <vt:variant>
        <vt:i4>5</vt:i4>
      </vt:variant>
      <vt:variant>
        <vt:lpwstr/>
      </vt:variant>
      <vt:variant>
        <vt:lpwstr>_Toc180504231</vt:lpwstr>
      </vt:variant>
      <vt:variant>
        <vt:i4>1900595</vt:i4>
      </vt:variant>
      <vt:variant>
        <vt:i4>176</vt:i4>
      </vt:variant>
      <vt:variant>
        <vt:i4>0</vt:i4>
      </vt:variant>
      <vt:variant>
        <vt:i4>5</vt:i4>
      </vt:variant>
      <vt:variant>
        <vt:lpwstr/>
      </vt:variant>
      <vt:variant>
        <vt:lpwstr>_Toc180504230</vt:lpwstr>
      </vt:variant>
      <vt:variant>
        <vt:i4>1835059</vt:i4>
      </vt:variant>
      <vt:variant>
        <vt:i4>170</vt:i4>
      </vt:variant>
      <vt:variant>
        <vt:i4>0</vt:i4>
      </vt:variant>
      <vt:variant>
        <vt:i4>5</vt:i4>
      </vt:variant>
      <vt:variant>
        <vt:lpwstr/>
      </vt:variant>
      <vt:variant>
        <vt:lpwstr>_Toc180504229</vt:lpwstr>
      </vt:variant>
      <vt:variant>
        <vt:i4>1835059</vt:i4>
      </vt:variant>
      <vt:variant>
        <vt:i4>164</vt:i4>
      </vt:variant>
      <vt:variant>
        <vt:i4>0</vt:i4>
      </vt:variant>
      <vt:variant>
        <vt:i4>5</vt:i4>
      </vt:variant>
      <vt:variant>
        <vt:lpwstr/>
      </vt:variant>
      <vt:variant>
        <vt:lpwstr>_Toc180504228</vt:lpwstr>
      </vt:variant>
      <vt:variant>
        <vt:i4>1835059</vt:i4>
      </vt:variant>
      <vt:variant>
        <vt:i4>158</vt:i4>
      </vt:variant>
      <vt:variant>
        <vt:i4>0</vt:i4>
      </vt:variant>
      <vt:variant>
        <vt:i4>5</vt:i4>
      </vt:variant>
      <vt:variant>
        <vt:lpwstr/>
      </vt:variant>
      <vt:variant>
        <vt:lpwstr>_Toc180504227</vt:lpwstr>
      </vt:variant>
      <vt:variant>
        <vt:i4>1835059</vt:i4>
      </vt:variant>
      <vt:variant>
        <vt:i4>152</vt:i4>
      </vt:variant>
      <vt:variant>
        <vt:i4>0</vt:i4>
      </vt:variant>
      <vt:variant>
        <vt:i4>5</vt:i4>
      </vt:variant>
      <vt:variant>
        <vt:lpwstr/>
      </vt:variant>
      <vt:variant>
        <vt:lpwstr>_Toc180504226</vt:lpwstr>
      </vt:variant>
      <vt:variant>
        <vt:i4>1835059</vt:i4>
      </vt:variant>
      <vt:variant>
        <vt:i4>146</vt:i4>
      </vt:variant>
      <vt:variant>
        <vt:i4>0</vt:i4>
      </vt:variant>
      <vt:variant>
        <vt:i4>5</vt:i4>
      </vt:variant>
      <vt:variant>
        <vt:lpwstr/>
      </vt:variant>
      <vt:variant>
        <vt:lpwstr>_Toc180504225</vt:lpwstr>
      </vt:variant>
      <vt:variant>
        <vt:i4>1835059</vt:i4>
      </vt:variant>
      <vt:variant>
        <vt:i4>140</vt:i4>
      </vt:variant>
      <vt:variant>
        <vt:i4>0</vt:i4>
      </vt:variant>
      <vt:variant>
        <vt:i4>5</vt:i4>
      </vt:variant>
      <vt:variant>
        <vt:lpwstr/>
      </vt:variant>
      <vt:variant>
        <vt:lpwstr>_Toc180504224</vt:lpwstr>
      </vt:variant>
      <vt:variant>
        <vt:i4>1835059</vt:i4>
      </vt:variant>
      <vt:variant>
        <vt:i4>134</vt:i4>
      </vt:variant>
      <vt:variant>
        <vt:i4>0</vt:i4>
      </vt:variant>
      <vt:variant>
        <vt:i4>5</vt:i4>
      </vt:variant>
      <vt:variant>
        <vt:lpwstr/>
      </vt:variant>
      <vt:variant>
        <vt:lpwstr>_Toc180504223</vt:lpwstr>
      </vt:variant>
      <vt:variant>
        <vt:i4>1835059</vt:i4>
      </vt:variant>
      <vt:variant>
        <vt:i4>128</vt:i4>
      </vt:variant>
      <vt:variant>
        <vt:i4>0</vt:i4>
      </vt:variant>
      <vt:variant>
        <vt:i4>5</vt:i4>
      </vt:variant>
      <vt:variant>
        <vt:lpwstr/>
      </vt:variant>
      <vt:variant>
        <vt:lpwstr>_Toc180504222</vt:lpwstr>
      </vt:variant>
      <vt:variant>
        <vt:i4>1835059</vt:i4>
      </vt:variant>
      <vt:variant>
        <vt:i4>122</vt:i4>
      </vt:variant>
      <vt:variant>
        <vt:i4>0</vt:i4>
      </vt:variant>
      <vt:variant>
        <vt:i4>5</vt:i4>
      </vt:variant>
      <vt:variant>
        <vt:lpwstr/>
      </vt:variant>
      <vt:variant>
        <vt:lpwstr>_Toc180504221</vt:lpwstr>
      </vt:variant>
      <vt:variant>
        <vt:i4>1835059</vt:i4>
      </vt:variant>
      <vt:variant>
        <vt:i4>116</vt:i4>
      </vt:variant>
      <vt:variant>
        <vt:i4>0</vt:i4>
      </vt:variant>
      <vt:variant>
        <vt:i4>5</vt:i4>
      </vt:variant>
      <vt:variant>
        <vt:lpwstr/>
      </vt:variant>
      <vt:variant>
        <vt:lpwstr>_Toc180504220</vt:lpwstr>
      </vt:variant>
      <vt:variant>
        <vt:i4>2031667</vt:i4>
      </vt:variant>
      <vt:variant>
        <vt:i4>110</vt:i4>
      </vt:variant>
      <vt:variant>
        <vt:i4>0</vt:i4>
      </vt:variant>
      <vt:variant>
        <vt:i4>5</vt:i4>
      </vt:variant>
      <vt:variant>
        <vt:lpwstr/>
      </vt:variant>
      <vt:variant>
        <vt:lpwstr>_Toc180504219</vt:lpwstr>
      </vt:variant>
      <vt:variant>
        <vt:i4>2031667</vt:i4>
      </vt:variant>
      <vt:variant>
        <vt:i4>104</vt:i4>
      </vt:variant>
      <vt:variant>
        <vt:i4>0</vt:i4>
      </vt:variant>
      <vt:variant>
        <vt:i4>5</vt:i4>
      </vt:variant>
      <vt:variant>
        <vt:lpwstr/>
      </vt:variant>
      <vt:variant>
        <vt:lpwstr>_Toc180504218</vt:lpwstr>
      </vt:variant>
      <vt:variant>
        <vt:i4>2031667</vt:i4>
      </vt:variant>
      <vt:variant>
        <vt:i4>98</vt:i4>
      </vt:variant>
      <vt:variant>
        <vt:i4>0</vt:i4>
      </vt:variant>
      <vt:variant>
        <vt:i4>5</vt:i4>
      </vt:variant>
      <vt:variant>
        <vt:lpwstr/>
      </vt:variant>
      <vt:variant>
        <vt:lpwstr>_Toc180504217</vt:lpwstr>
      </vt:variant>
      <vt:variant>
        <vt:i4>2031667</vt:i4>
      </vt:variant>
      <vt:variant>
        <vt:i4>92</vt:i4>
      </vt:variant>
      <vt:variant>
        <vt:i4>0</vt:i4>
      </vt:variant>
      <vt:variant>
        <vt:i4>5</vt:i4>
      </vt:variant>
      <vt:variant>
        <vt:lpwstr/>
      </vt:variant>
      <vt:variant>
        <vt:lpwstr>_Toc180504216</vt:lpwstr>
      </vt:variant>
      <vt:variant>
        <vt:i4>2031667</vt:i4>
      </vt:variant>
      <vt:variant>
        <vt:i4>86</vt:i4>
      </vt:variant>
      <vt:variant>
        <vt:i4>0</vt:i4>
      </vt:variant>
      <vt:variant>
        <vt:i4>5</vt:i4>
      </vt:variant>
      <vt:variant>
        <vt:lpwstr/>
      </vt:variant>
      <vt:variant>
        <vt:lpwstr>_Toc180504215</vt:lpwstr>
      </vt:variant>
      <vt:variant>
        <vt:i4>2031667</vt:i4>
      </vt:variant>
      <vt:variant>
        <vt:i4>80</vt:i4>
      </vt:variant>
      <vt:variant>
        <vt:i4>0</vt:i4>
      </vt:variant>
      <vt:variant>
        <vt:i4>5</vt:i4>
      </vt:variant>
      <vt:variant>
        <vt:lpwstr/>
      </vt:variant>
      <vt:variant>
        <vt:lpwstr>_Toc180504214</vt:lpwstr>
      </vt:variant>
      <vt:variant>
        <vt:i4>2031667</vt:i4>
      </vt:variant>
      <vt:variant>
        <vt:i4>74</vt:i4>
      </vt:variant>
      <vt:variant>
        <vt:i4>0</vt:i4>
      </vt:variant>
      <vt:variant>
        <vt:i4>5</vt:i4>
      </vt:variant>
      <vt:variant>
        <vt:lpwstr/>
      </vt:variant>
      <vt:variant>
        <vt:lpwstr>_Toc180504213</vt:lpwstr>
      </vt:variant>
      <vt:variant>
        <vt:i4>2031667</vt:i4>
      </vt:variant>
      <vt:variant>
        <vt:i4>68</vt:i4>
      </vt:variant>
      <vt:variant>
        <vt:i4>0</vt:i4>
      </vt:variant>
      <vt:variant>
        <vt:i4>5</vt:i4>
      </vt:variant>
      <vt:variant>
        <vt:lpwstr/>
      </vt:variant>
      <vt:variant>
        <vt:lpwstr>_Toc180504212</vt:lpwstr>
      </vt:variant>
      <vt:variant>
        <vt:i4>2031667</vt:i4>
      </vt:variant>
      <vt:variant>
        <vt:i4>62</vt:i4>
      </vt:variant>
      <vt:variant>
        <vt:i4>0</vt:i4>
      </vt:variant>
      <vt:variant>
        <vt:i4>5</vt:i4>
      </vt:variant>
      <vt:variant>
        <vt:lpwstr/>
      </vt:variant>
      <vt:variant>
        <vt:lpwstr>_Toc180504211</vt:lpwstr>
      </vt:variant>
      <vt:variant>
        <vt:i4>2031667</vt:i4>
      </vt:variant>
      <vt:variant>
        <vt:i4>56</vt:i4>
      </vt:variant>
      <vt:variant>
        <vt:i4>0</vt:i4>
      </vt:variant>
      <vt:variant>
        <vt:i4>5</vt:i4>
      </vt:variant>
      <vt:variant>
        <vt:lpwstr/>
      </vt:variant>
      <vt:variant>
        <vt:lpwstr>_Toc180504210</vt:lpwstr>
      </vt:variant>
      <vt:variant>
        <vt:i4>1966131</vt:i4>
      </vt:variant>
      <vt:variant>
        <vt:i4>50</vt:i4>
      </vt:variant>
      <vt:variant>
        <vt:i4>0</vt:i4>
      </vt:variant>
      <vt:variant>
        <vt:i4>5</vt:i4>
      </vt:variant>
      <vt:variant>
        <vt:lpwstr/>
      </vt:variant>
      <vt:variant>
        <vt:lpwstr>_Toc180504209</vt:lpwstr>
      </vt:variant>
      <vt:variant>
        <vt:i4>1966131</vt:i4>
      </vt:variant>
      <vt:variant>
        <vt:i4>44</vt:i4>
      </vt:variant>
      <vt:variant>
        <vt:i4>0</vt:i4>
      </vt:variant>
      <vt:variant>
        <vt:i4>5</vt:i4>
      </vt:variant>
      <vt:variant>
        <vt:lpwstr/>
      </vt:variant>
      <vt:variant>
        <vt:lpwstr>_Toc180504208</vt:lpwstr>
      </vt:variant>
      <vt:variant>
        <vt:i4>1966131</vt:i4>
      </vt:variant>
      <vt:variant>
        <vt:i4>38</vt:i4>
      </vt:variant>
      <vt:variant>
        <vt:i4>0</vt:i4>
      </vt:variant>
      <vt:variant>
        <vt:i4>5</vt:i4>
      </vt:variant>
      <vt:variant>
        <vt:lpwstr/>
      </vt:variant>
      <vt:variant>
        <vt:lpwstr>_Toc180504207</vt:lpwstr>
      </vt:variant>
      <vt:variant>
        <vt:i4>1966131</vt:i4>
      </vt:variant>
      <vt:variant>
        <vt:i4>32</vt:i4>
      </vt:variant>
      <vt:variant>
        <vt:i4>0</vt:i4>
      </vt:variant>
      <vt:variant>
        <vt:i4>5</vt:i4>
      </vt:variant>
      <vt:variant>
        <vt:lpwstr/>
      </vt:variant>
      <vt:variant>
        <vt:lpwstr>_Toc180504206</vt:lpwstr>
      </vt:variant>
      <vt:variant>
        <vt:i4>1966131</vt:i4>
      </vt:variant>
      <vt:variant>
        <vt:i4>26</vt:i4>
      </vt:variant>
      <vt:variant>
        <vt:i4>0</vt:i4>
      </vt:variant>
      <vt:variant>
        <vt:i4>5</vt:i4>
      </vt:variant>
      <vt:variant>
        <vt:lpwstr/>
      </vt:variant>
      <vt:variant>
        <vt:lpwstr>_Toc180504205</vt:lpwstr>
      </vt:variant>
      <vt:variant>
        <vt:i4>1966131</vt:i4>
      </vt:variant>
      <vt:variant>
        <vt:i4>20</vt:i4>
      </vt:variant>
      <vt:variant>
        <vt:i4>0</vt:i4>
      </vt:variant>
      <vt:variant>
        <vt:i4>5</vt:i4>
      </vt:variant>
      <vt:variant>
        <vt:lpwstr/>
      </vt:variant>
      <vt:variant>
        <vt:lpwstr>_Toc180504204</vt:lpwstr>
      </vt:variant>
      <vt:variant>
        <vt:i4>1966131</vt:i4>
      </vt:variant>
      <vt:variant>
        <vt:i4>14</vt:i4>
      </vt:variant>
      <vt:variant>
        <vt:i4>0</vt:i4>
      </vt:variant>
      <vt:variant>
        <vt:i4>5</vt:i4>
      </vt:variant>
      <vt:variant>
        <vt:lpwstr/>
      </vt:variant>
      <vt:variant>
        <vt:lpwstr>_Toc180504203</vt:lpwstr>
      </vt:variant>
      <vt:variant>
        <vt:i4>3211318</vt:i4>
      </vt:variant>
      <vt:variant>
        <vt:i4>9</vt:i4>
      </vt:variant>
      <vt:variant>
        <vt:i4>0</vt:i4>
      </vt:variant>
      <vt:variant>
        <vt:i4>5</vt:i4>
      </vt:variant>
      <vt:variant>
        <vt:lpwstr>https://www.legislation.gov.au/C2004A00485/latest/versions</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2024-10-22T04:44:00Z</dcterms:created>
  <dcterms:modified xsi:type="dcterms:W3CDTF">2024-10-22T22:41:00Z</dcterms:modified>
  <cp:category/>
  <cp:contentStatus/>
</cp:coreProperties>
</file>