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5CE5" w14:textId="71AF7E63" w:rsidR="00423D13" w:rsidRPr="00960D98" w:rsidRDefault="00662F05" w:rsidP="00423D13">
      <w:pPr>
        <w:pStyle w:val="Footer"/>
        <w:jc w:val="center"/>
        <w:rPr>
          <w:b/>
          <w:color w:val="CC0000"/>
          <w:sz w:val="24"/>
          <w:szCs w:val="24"/>
        </w:rPr>
      </w:pPr>
      <w:bookmarkStart w:id="0" w:name="_Toc19289801"/>
      <w:r>
        <w:rPr>
          <w:b/>
          <w:color w:val="CC0000"/>
          <w:sz w:val="24"/>
          <w:szCs w:val="24"/>
        </w:rPr>
        <w:t>OFFICIAL</w:t>
      </w:r>
    </w:p>
    <w:p w14:paraId="3C199BFA" w14:textId="77777777" w:rsidR="002F60C0" w:rsidRDefault="00960D98" w:rsidP="004A7856">
      <w:pPr>
        <w:spacing w:after="240"/>
      </w:pPr>
      <w:r w:rsidRPr="00180BF8">
        <w:rPr>
          <w:noProof/>
          <w:lang w:eastAsia="en-AU"/>
        </w:rPr>
        <w:drawing>
          <wp:inline distT="0" distB="0" distL="0" distR="0" wp14:anchorId="43E81C31" wp14:editId="3A8E6B34">
            <wp:extent cx="2228400" cy="651600"/>
            <wp:effectExtent l="0" t="0" r="635" b="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400" cy="651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2F60C0" w:rsidRPr="002F60C0">
        <w:t xml:space="preserve"> </w:t>
      </w:r>
    </w:p>
    <w:bookmarkStart w:id="1" w:name="_Toc144911604" w:displacedByCustomXml="next"/>
    <w:bookmarkStart w:id="2" w:name="_Toc155176735" w:displacedByCustomXml="next"/>
    <w:sdt>
      <w:sdtPr>
        <w:rPr>
          <w:rFonts w:asciiTheme="minorHAnsi" w:eastAsiaTheme="minorHAnsi" w:hAnsiTheme="minorHAnsi" w:cstheme="minorBidi"/>
          <w:color w:val="auto"/>
          <w:sz w:val="22"/>
          <w:szCs w:val="22"/>
        </w:rPr>
        <w:id w:val="-2088995269"/>
        <w:docPartObj>
          <w:docPartGallery w:val="Cover Pages"/>
          <w:docPartUnique/>
        </w:docPartObj>
      </w:sdtPr>
      <w:sdtEndPr>
        <w:rPr>
          <w:rFonts w:eastAsiaTheme="minorEastAsia"/>
          <w:color w:val="001B35" w:themeColor="background2"/>
          <w:sz w:val="40"/>
        </w:rPr>
      </w:sdtEndPr>
      <w:sdtContent>
        <w:bookmarkEnd w:id="2" w:displacedByCustomXml="prev"/>
        <w:bookmarkEnd w:id="1" w:displacedByCustomXml="prev"/>
        <w:bookmarkEnd w:id="0" w:displacedByCustomXml="prev"/>
        <w:p w14:paraId="30C05BF1" w14:textId="77777777" w:rsidR="00CC405C" w:rsidRPr="00454CE0" w:rsidRDefault="00662F05" w:rsidP="00917329">
          <w:pPr>
            <w:pStyle w:val="Heading1"/>
            <w:rPr>
              <w:sz w:val="56"/>
              <w:szCs w:val="28"/>
            </w:rPr>
          </w:pPr>
          <w:r w:rsidRPr="00454CE0">
            <w:rPr>
              <w:sz w:val="56"/>
              <w:szCs w:val="28"/>
            </w:rPr>
            <w:t xml:space="preserve">Intellectual </w:t>
          </w:r>
          <w:r w:rsidR="00CC405C" w:rsidRPr="00454CE0">
            <w:rPr>
              <w:sz w:val="56"/>
              <w:szCs w:val="28"/>
            </w:rPr>
            <w:t xml:space="preserve">Property </w:t>
          </w:r>
          <w:r w:rsidRPr="00454CE0">
            <w:rPr>
              <w:sz w:val="56"/>
              <w:szCs w:val="28"/>
            </w:rPr>
            <w:t xml:space="preserve">Policy Group </w:t>
          </w:r>
        </w:p>
        <w:p w14:paraId="3D81970B" w14:textId="6127038E" w:rsidR="0068286F" w:rsidRDefault="00662F05" w:rsidP="00CC405C">
          <w:pPr>
            <w:pStyle w:val="Subtitle"/>
          </w:pPr>
          <w:r w:rsidRPr="00662F05">
            <w:t>Terms of Reference</w:t>
          </w:r>
        </w:p>
      </w:sdtContent>
    </w:sdt>
    <w:p w14:paraId="6C0E7AB4" w14:textId="4C27866E" w:rsidR="00662F05" w:rsidRDefault="00662F05" w:rsidP="00CC405C">
      <w:pPr>
        <w:pStyle w:val="Caption"/>
      </w:pPr>
      <w:bookmarkStart w:id="3" w:name="_Toc144911608"/>
      <w:bookmarkStart w:id="4" w:name="_Toc155176736"/>
      <w:bookmarkStart w:id="5" w:name="_Toc19023741"/>
      <w:bookmarkStart w:id="6" w:name="_Hlk155189889"/>
      <w:r>
        <w:t>April 2024</w:t>
      </w:r>
    </w:p>
    <w:p w14:paraId="082C6C64" w14:textId="4CE79A12" w:rsidR="00662F05" w:rsidRDefault="00662F05" w:rsidP="00662F05">
      <w:pPr>
        <w:pStyle w:val="Heading2"/>
        <w:spacing w:before="0"/>
      </w:pPr>
      <w:r>
        <w:t>Purpose</w:t>
      </w:r>
    </w:p>
    <w:p w14:paraId="2B46ED74" w14:textId="77777777" w:rsidR="00662F05" w:rsidRDefault="00662F05" w:rsidP="00E3349F">
      <w:r>
        <w:rPr>
          <w:lang w:eastAsia="en-AU"/>
        </w:rPr>
        <w:t>To support an integrated and coherent approach to developing the government’s policy agenda for IP issues.</w:t>
      </w:r>
    </w:p>
    <w:p w14:paraId="5B104CA9" w14:textId="77777777" w:rsidR="00662F05" w:rsidRDefault="00662F05" w:rsidP="00662F05">
      <w:pPr>
        <w:pStyle w:val="Heading2"/>
      </w:pPr>
      <w:r>
        <w:t>Membership</w:t>
      </w:r>
    </w:p>
    <w:p w14:paraId="1B59E137" w14:textId="77777777" w:rsidR="00662F05" w:rsidRDefault="00662F05" w:rsidP="00662F05">
      <w:r>
        <w:rPr>
          <w:b/>
          <w:bCs/>
        </w:rPr>
        <w:t>Chair:</w:t>
      </w:r>
      <w:r>
        <w:t xml:space="preserve"> Head of Division – Commercialisation, Department of Industry, Science and Resources</w:t>
      </w:r>
    </w:p>
    <w:p w14:paraId="6221AB15" w14:textId="77777777" w:rsidR="00662F05" w:rsidRDefault="00662F05" w:rsidP="00662F05">
      <w:r>
        <w:rPr>
          <w:b/>
          <w:bCs/>
        </w:rPr>
        <w:t>Deputy Chair:</w:t>
      </w:r>
      <w:r>
        <w:t xml:space="preserve"> Deputy Director General, IP Australia </w:t>
      </w:r>
    </w:p>
    <w:p w14:paraId="40AD35FF" w14:textId="77777777" w:rsidR="00662F05" w:rsidRDefault="00662F05" w:rsidP="00662F05">
      <w:r>
        <w:t>First Assistant Secretaries (or equivalent) of:</w:t>
      </w:r>
    </w:p>
    <w:p w14:paraId="4FFD4AA8" w14:textId="77777777" w:rsidR="00662F05" w:rsidRDefault="00662F05" w:rsidP="00662F05">
      <w:pPr>
        <w:pStyle w:val="ListParagraph"/>
        <w:numPr>
          <w:ilvl w:val="0"/>
          <w:numId w:val="12"/>
        </w:numPr>
        <w:spacing w:after="160" w:line="256" w:lineRule="auto"/>
        <w:contextualSpacing/>
      </w:pPr>
      <w:r>
        <w:t xml:space="preserve">Department of Infrastructure, Transport, Regional Development, </w:t>
      </w:r>
      <w:bookmarkStart w:id="7" w:name="_Int_uiewtrdT"/>
      <w:proofErr w:type="gramStart"/>
      <w:r>
        <w:t>Communications</w:t>
      </w:r>
      <w:bookmarkEnd w:id="7"/>
      <w:proofErr w:type="gramEnd"/>
      <w:r>
        <w:t xml:space="preserve"> and the Arts</w:t>
      </w:r>
    </w:p>
    <w:p w14:paraId="4325F2C3" w14:textId="77777777" w:rsidR="00662F05" w:rsidRDefault="00662F05" w:rsidP="00662F05">
      <w:pPr>
        <w:pStyle w:val="ListParagraph"/>
        <w:numPr>
          <w:ilvl w:val="0"/>
          <w:numId w:val="12"/>
        </w:numPr>
        <w:spacing w:after="160" w:line="256" w:lineRule="auto"/>
        <w:contextualSpacing/>
      </w:pPr>
      <w:r>
        <w:t>Attorney General’s Department</w:t>
      </w:r>
    </w:p>
    <w:p w14:paraId="21DEF39D" w14:textId="77777777" w:rsidR="00662F05" w:rsidRDefault="00662F05" w:rsidP="00662F05">
      <w:pPr>
        <w:pStyle w:val="ListParagraph"/>
        <w:numPr>
          <w:ilvl w:val="0"/>
          <w:numId w:val="12"/>
        </w:numPr>
        <w:spacing w:after="160" w:line="256" w:lineRule="auto"/>
        <w:contextualSpacing/>
      </w:pPr>
      <w:r>
        <w:t>Department of Education</w:t>
      </w:r>
    </w:p>
    <w:p w14:paraId="0134A089" w14:textId="77777777" w:rsidR="00662F05" w:rsidRDefault="00662F05" w:rsidP="00662F05">
      <w:pPr>
        <w:pStyle w:val="ListParagraph"/>
        <w:numPr>
          <w:ilvl w:val="0"/>
          <w:numId w:val="12"/>
        </w:numPr>
        <w:spacing w:after="160" w:line="256" w:lineRule="auto"/>
        <w:contextualSpacing/>
      </w:pPr>
      <w:r>
        <w:t xml:space="preserve">Department of Foreign Affairs and Trade </w:t>
      </w:r>
    </w:p>
    <w:p w14:paraId="5AFF5AB8" w14:textId="77777777" w:rsidR="00662F05" w:rsidRDefault="00662F05" w:rsidP="00662F05">
      <w:pPr>
        <w:pStyle w:val="ListParagraph"/>
        <w:numPr>
          <w:ilvl w:val="0"/>
          <w:numId w:val="12"/>
        </w:numPr>
        <w:spacing w:after="160" w:line="256" w:lineRule="auto"/>
        <w:contextualSpacing/>
      </w:pPr>
      <w:r>
        <w:t>Department of Health and Aged Care</w:t>
      </w:r>
    </w:p>
    <w:p w14:paraId="11483278" w14:textId="77777777" w:rsidR="00662F05" w:rsidRDefault="00662F05" w:rsidP="00662F05">
      <w:pPr>
        <w:pStyle w:val="ListParagraph"/>
        <w:numPr>
          <w:ilvl w:val="0"/>
          <w:numId w:val="12"/>
        </w:numPr>
        <w:spacing w:after="160" w:line="256" w:lineRule="auto"/>
        <w:contextualSpacing/>
      </w:pPr>
      <w:r>
        <w:t>Department of Home Affairs</w:t>
      </w:r>
    </w:p>
    <w:p w14:paraId="19C4DA92" w14:textId="77777777" w:rsidR="00662F05" w:rsidRDefault="00662F05" w:rsidP="00662F05">
      <w:pPr>
        <w:pStyle w:val="ListParagraph"/>
        <w:numPr>
          <w:ilvl w:val="0"/>
          <w:numId w:val="12"/>
        </w:numPr>
        <w:spacing w:after="160" w:line="256" w:lineRule="auto"/>
        <w:contextualSpacing/>
      </w:pPr>
      <w:r>
        <w:t>Department of the Prime Minister and Cabinet</w:t>
      </w:r>
    </w:p>
    <w:p w14:paraId="3001D6A0" w14:textId="77777777" w:rsidR="00662F05" w:rsidRDefault="00662F05" w:rsidP="00662F05">
      <w:pPr>
        <w:pStyle w:val="ListParagraph"/>
        <w:numPr>
          <w:ilvl w:val="0"/>
          <w:numId w:val="12"/>
        </w:numPr>
        <w:spacing w:after="160" w:line="256" w:lineRule="auto"/>
        <w:contextualSpacing/>
      </w:pPr>
      <w:r>
        <w:t>Department of the Treasury</w:t>
      </w:r>
    </w:p>
    <w:p w14:paraId="51938BD2" w14:textId="77777777" w:rsidR="00662F05" w:rsidRDefault="00662F05" w:rsidP="00662F05">
      <w:pPr>
        <w:pStyle w:val="ListParagraph"/>
        <w:numPr>
          <w:ilvl w:val="0"/>
          <w:numId w:val="12"/>
        </w:numPr>
        <w:spacing w:after="160" w:line="256" w:lineRule="auto"/>
        <w:contextualSpacing/>
      </w:pPr>
      <w:r>
        <w:t xml:space="preserve">Department of Agriculture, Fisheries and Forestry </w:t>
      </w:r>
    </w:p>
    <w:p w14:paraId="2467CD02" w14:textId="77777777" w:rsidR="00662F05" w:rsidRDefault="00662F05" w:rsidP="00662F05">
      <w:pPr>
        <w:pStyle w:val="ListParagraph"/>
        <w:numPr>
          <w:ilvl w:val="0"/>
          <w:numId w:val="12"/>
        </w:numPr>
        <w:spacing w:after="160" w:line="256" w:lineRule="auto"/>
        <w:contextualSpacing/>
      </w:pPr>
      <w:r>
        <w:t>Australian Competition and Consumer Commission</w:t>
      </w:r>
    </w:p>
    <w:p w14:paraId="3D3097C6" w14:textId="77777777" w:rsidR="00662F05" w:rsidRDefault="00662F05" w:rsidP="00662F05">
      <w:pPr>
        <w:pStyle w:val="ListParagraph"/>
        <w:numPr>
          <w:ilvl w:val="0"/>
          <w:numId w:val="12"/>
        </w:numPr>
        <w:spacing w:after="160" w:line="256" w:lineRule="auto"/>
        <w:contextualSpacing/>
      </w:pPr>
      <w:r>
        <w:t>National Indigenous Australians Agency</w:t>
      </w:r>
    </w:p>
    <w:p w14:paraId="0C3B5CCD" w14:textId="77777777" w:rsidR="00662F05" w:rsidRDefault="00662F05" w:rsidP="00662F05">
      <w:pPr>
        <w:pStyle w:val="ListParagraph"/>
        <w:numPr>
          <w:ilvl w:val="0"/>
          <w:numId w:val="12"/>
        </w:numPr>
        <w:spacing w:after="160" w:line="256" w:lineRule="auto"/>
        <w:contextualSpacing/>
      </w:pPr>
      <w:r>
        <w:t xml:space="preserve">Other departments as agreed by the </w:t>
      </w:r>
      <w:proofErr w:type="gramStart"/>
      <w:r>
        <w:t>Chair</w:t>
      </w:r>
      <w:proofErr w:type="gramEnd"/>
    </w:p>
    <w:p w14:paraId="5C63DE17" w14:textId="4303D1F6" w:rsidR="00662F05" w:rsidRDefault="00662F05" w:rsidP="00E3349F">
      <w:pPr>
        <w:pStyle w:val="Heading2"/>
      </w:pPr>
      <w:r>
        <w:t xml:space="preserve">Decision </w:t>
      </w:r>
      <w:r w:rsidR="00B24DB5">
        <w:t>m</w:t>
      </w:r>
      <w:r>
        <w:t>aking</w:t>
      </w:r>
    </w:p>
    <w:p w14:paraId="7E4C0C57" w14:textId="77777777" w:rsidR="00662F05" w:rsidRDefault="00662F05" w:rsidP="00662F05">
      <w:r>
        <w:t>There is no legislated decision-making responsibility imparted to the IP Policy Group (IPPG).</w:t>
      </w:r>
    </w:p>
    <w:p w14:paraId="46826CB3" w14:textId="77777777" w:rsidR="00662F05" w:rsidRDefault="00662F05" w:rsidP="00662F05">
      <w:r>
        <w:t xml:space="preserve">Discussions, </w:t>
      </w:r>
      <w:bookmarkStart w:id="8" w:name="_Int_PDiXvMm6"/>
      <w:proofErr w:type="gramStart"/>
      <w:r>
        <w:t>decisions</w:t>
      </w:r>
      <w:bookmarkEnd w:id="8"/>
      <w:proofErr w:type="gramEnd"/>
      <w:r>
        <w:t xml:space="preserve"> and development of IP policy will be informed by a robust evidence base and be guided, </w:t>
      </w:r>
      <w:r>
        <w:rPr>
          <w:i/>
        </w:rPr>
        <w:t>inter alia,</w:t>
      </w:r>
      <w:r>
        <w:t xml:space="preserve"> by the following principles (as agreed to by the Government in response to the PC report Recommendation 2.1):</w:t>
      </w:r>
    </w:p>
    <w:p w14:paraId="1490FC0D" w14:textId="77777777" w:rsidR="00662F05" w:rsidRDefault="00662F05" w:rsidP="00662F05">
      <w:pPr>
        <w:pStyle w:val="ListParagraph"/>
        <w:numPr>
          <w:ilvl w:val="0"/>
          <w:numId w:val="13"/>
        </w:numPr>
        <w:autoSpaceDE w:val="0"/>
        <w:autoSpaceDN w:val="0"/>
        <w:adjustRightInd w:val="0"/>
        <w:ind w:left="714" w:hanging="357"/>
        <w:contextualSpacing/>
        <w:rPr>
          <w:rFonts w:cs="Arial"/>
        </w:rPr>
      </w:pPr>
      <w:r>
        <w:rPr>
          <w:i/>
        </w:rPr>
        <w:t>effectiveness</w:t>
      </w:r>
      <w:r>
        <w:t xml:space="preserve">, which balances </w:t>
      </w:r>
      <w:r>
        <w:rPr>
          <w:rFonts w:cs="Arial"/>
        </w:rPr>
        <w:t xml:space="preserve">providing protection to encourage additional innovation (which would not have otherwise occurred) and allowing ideas to be disseminated </w:t>
      </w:r>
      <w:proofErr w:type="gramStart"/>
      <w:r>
        <w:rPr>
          <w:rFonts w:cs="Arial"/>
        </w:rPr>
        <w:t>widely</w:t>
      </w:r>
      <w:proofErr w:type="gramEnd"/>
    </w:p>
    <w:p w14:paraId="19223D37" w14:textId="77777777" w:rsidR="00662F05" w:rsidRDefault="00662F05" w:rsidP="00662F05">
      <w:pPr>
        <w:pStyle w:val="ListParagraph"/>
        <w:numPr>
          <w:ilvl w:val="0"/>
          <w:numId w:val="13"/>
        </w:numPr>
        <w:autoSpaceDE w:val="0"/>
        <w:autoSpaceDN w:val="0"/>
        <w:adjustRightInd w:val="0"/>
        <w:ind w:left="714" w:hanging="357"/>
        <w:contextualSpacing/>
        <w:rPr>
          <w:rFonts w:cs="Arial"/>
        </w:rPr>
      </w:pPr>
      <w:r>
        <w:rPr>
          <w:rFonts w:cs="Arial"/>
          <w:i/>
          <w:iCs/>
        </w:rPr>
        <w:t>efficiency</w:t>
      </w:r>
      <w:r>
        <w:rPr>
          <w:rFonts w:cs="Arial"/>
        </w:rPr>
        <w:t xml:space="preserve">, which balances returns to innovators and to the wider </w:t>
      </w:r>
      <w:proofErr w:type="gramStart"/>
      <w:r>
        <w:rPr>
          <w:rFonts w:cs="Arial"/>
        </w:rPr>
        <w:t>community</w:t>
      </w:r>
      <w:proofErr w:type="gramEnd"/>
    </w:p>
    <w:p w14:paraId="51932D30" w14:textId="77777777" w:rsidR="00662F05" w:rsidRDefault="00662F05" w:rsidP="00662F05">
      <w:pPr>
        <w:pStyle w:val="ListParagraph"/>
        <w:numPr>
          <w:ilvl w:val="0"/>
          <w:numId w:val="13"/>
        </w:numPr>
        <w:autoSpaceDE w:val="0"/>
        <w:autoSpaceDN w:val="0"/>
        <w:adjustRightInd w:val="0"/>
        <w:ind w:left="714" w:hanging="357"/>
        <w:contextualSpacing/>
        <w:rPr>
          <w:rFonts w:cs="Arial"/>
        </w:rPr>
      </w:pPr>
      <w:r>
        <w:rPr>
          <w:rFonts w:cs="Arial"/>
          <w:i/>
          <w:iCs/>
        </w:rPr>
        <w:t>adaptability</w:t>
      </w:r>
      <w:r>
        <w:rPr>
          <w:rFonts w:cs="Arial"/>
        </w:rPr>
        <w:t xml:space="preserve">, which balances providing policy certainty and having a system that is agile in response to </w:t>
      </w:r>
      <w:proofErr w:type="gramStart"/>
      <w:r>
        <w:rPr>
          <w:rFonts w:cs="Arial"/>
        </w:rPr>
        <w:t>change</w:t>
      </w:r>
      <w:proofErr w:type="gramEnd"/>
    </w:p>
    <w:p w14:paraId="33EB1C67" w14:textId="13A57741" w:rsidR="00662F05" w:rsidRPr="00662F05" w:rsidRDefault="00662F05" w:rsidP="00662F05">
      <w:pPr>
        <w:pStyle w:val="ListParagraph"/>
        <w:numPr>
          <w:ilvl w:val="0"/>
          <w:numId w:val="13"/>
        </w:numPr>
        <w:autoSpaceDE w:val="0"/>
        <w:autoSpaceDN w:val="0"/>
        <w:adjustRightInd w:val="0"/>
        <w:ind w:left="714" w:hanging="357"/>
        <w:contextualSpacing/>
        <w:rPr>
          <w:rFonts w:cs="Arial"/>
        </w:rPr>
      </w:pPr>
      <w:r>
        <w:rPr>
          <w:rFonts w:cs="Arial"/>
          <w:i/>
          <w:iCs/>
        </w:rPr>
        <w:lastRenderedPageBreak/>
        <w:t>accountability</w:t>
      </w:r>
      <w:r>
        <w:rPr>
          <w:rFonts w:cs="Arial"/>
        </w:rPr>
        <w:t>, which balances the cost of collecting and analysing policy–relevant information against the benefits of having transparent and evidence–based policy that considers community wellbeing.</w:t>
      </w:r>
    </w:p>
    <w:p w14:paraId="5DAD7A93" w14:textId="77777777" w:rsidR="00662F05" w:rsidRDefault="00662F05" w:rsidP="00662F05">
      <w:pPr>
        <w:autoSpaceDE w:val="0"/>
        <w:autoSpaceDN w:val="0"/>
        <w:adjustRightInd w:val="0"/>
        <w:spacing w:after="0"/>
      </w:pPr>
      <w:r>
        <w:t xml:space="preserve">Spanning these principles is the need to balance incentives for innovators, </w:t>
      </w:r>
      <w:proofErr w:type="gramStart"/>
      <w:r>
        <w:t>investors</w:t>
      </w:r>
      <w:proofErr w:type="gramEnd"/>
      <w:r>
        <w:t xml:space="preserve"> and creators, with the economic and social welfare of all Australians.</w:t>
      </w:r>
    </w:p>
    <w:p w14:paraId="63444D77" w14:textId="77777777" w:rsidR="00662F05" w:rsidRDefault="00662F05" w:rsidP="00662F05">
      <w:pPr>
        <w:pStyle w:val="Heading2"/>
      </w:pPr>
      <w:r>
        <w:t>Operations</w:t>
      </w:r>
    </w:p>
    <w:p w14:paraId="4E5CB5EE" w14:textId="77777777" w:rsidR="00662F05" w:rsidRDefault="00662F05" w:rsidP="00662F05">
      <w:pPr>
        <w:pStyle w:val="ListParagraph"/>
        <w:numPr>
          <w:ilvl w:val="0"/>
          <w:numId w:val="14"/>
        </w:numPr>
        <w:spacing w:after="160" w:line="256" w:lineRule="auto"/>
        <w:contextualSpacing/>
      </w:pPr>
      <w:r>
        <w:t xml:space="preserve">The IP Policy Group will have one annual meeting. In addition, shorter </w:t>
      </w:r>
      <w:r>
        <w:rPr>
          <w:rStyle w:val="normaltextrun"/>
          <w:rFonts w:eastAsia="Calibri"/>
        </w:rPr>
        <w:t xml:space="preserve">focused ad hoc meetings will be </w:t>
      </w:r>
      <w:bookmarkStart w:id="9" w:name="_Int_PiL3u5Kd"/>
      <w:r>
        <w:rPr>
          <w:rStyle w:val="normaltextrun"/>
          <w:rFonts w:eastAsia="Calibri"/>
        </w:rPr>
        <w:t>held</w:t>
      </w:r>
      <w:bookmarkEnd w:id="9"/>
      <w:r>
        <w:rPr>
          <w:rStyle w:val="normaltextrun"/>
          <w:rFonts w:eastAsia="Calibri"/>
        </w:rPr>
        <w:t xml:space="preserve"> as necessary. Examples of ad hoc meetings could be to discuss an active issue requiring timely strategic oversight or decision-making, or to provide a presentation from an internal or external expert on a cross-cutting topic relating to IP</w:t>
      </w:r>
      <w:r>
        <w:t xml:space="preserve">. </w:t>
      </w:r>
    </w:p>
    <w:p w14:paraId="55BC5449" w14:textId="77777777" w:rsidR="00662F05" w:rsidRDefault="00662F05" w:rsidP="00662F05">
      <w:pPr>
        <w:pStyle w:val="ListParagraph"/>
        <w:numPr>
          <w:ilvl w:val="0"/>
          <w:numId w:val="14"/>
        </w:numPr>
        <w:spacing w:after="160" w:line="256" w:lineRule="auto"/>
        <w:contextualSpacing/>
      </w:pPr>
      <w:r>
        <w:t xml:space="preserve">Meetings will be chaired by Head of Division – Commercialisation, Department of Industry, Science and Resources. The Deputy Director-General of IP Australia will act as Deputy Chair. </w:t>
      </w:r>
    </w:p>
    <w:p w14:paraId="34FA52C8" w14:textId="77777777" w:rsidR="00662F05" w:rsidRDefault="00662F05" w:rsidP="00662F05">
      <w:pPr>
        <w:pStyle w:val="ListParagraph"/>
        <w:numPr>
          <w:ilvl w:val="0"/>
          <w:numId w:val="14"/>
        </w:numPr>
        <w:spacing w:after="160" w:line="256" w:lineRule="auto"/>
        <w:contextualSpacing/>
      </w:pPr>
      <w:r>
        <w:t xml:space="preserve">Secretariat support to be provided by the IP Policy Section in the Commercialisation Division of the Department of Industry, Science and Resources. </w:t>
      </w:r>
    </w:p>
    <w:p w14:paraId="02468978" w14:textId="77777777" w:rsidR="00662F05" w:rsidRDefault="00662F05" w:rsidP="00662F05">
      <w:pPr>
        <w:pStyle w:val="ListParagraph"/>
        <w:numPr>
          <w:ilvl w:val="0"/>
          <w:numId w:val="14"/>
        </w:numPr>
        <w:spacing w:after="160" w:line="256" w:lineRule="auto"/>
        <w:contextualSpacing/>
      </w:pPr>
      <w:r>
        <w:t xml:space="preserve">The secretariat will communicate decisions and actions of the IPPG. </w:t>
      </w:r>
    </w:p>
    <w:p w14:paraId="671466A8" w14:textId="77777777" w:rsidR="00662F05" w:rsidRDefault="00662F05" w:rsidP="00662F05">
      <w:pPr>
        <w:pStyle w:val="ListParagraph"/>
        <w:numPr>
          <w:ilvl w:val="0"/>
          <w:numId w:val="14"/>
        </w:numPr>
        <w:spacing w:after="160" w:line="256" w:lineRule="auto"/>
        <w:contextualSpacing/>
      </w:pPr>
      <w:r>
        <w:t xml:space="preserve">The secretariat will also support connection within the IPPG outside of meetings through email or other tools, including supporting reports from working groups to the IPPG. The secretariat will manage a webpage dedicated to IPPG content to provide transparency within and outside of government. The content of the website will be agreed by IPPG. </w:t>
      </w:r>
    </w:p>
    <w:p w14:paraId="14B31F5E" w14:textId="77777777" w:rsidR="00662F05" w:rsidRDefault="00662F05" w:rsidP="00662F05">
      <w:pPr>
        <w:pStyle w:val="ListParagraph"/>
        <w:numPr>
          <w:ilvl w:val="0"/>
          <w:numId w:val="14"/>
        </w:numPr>
        <w:spacing w:after="160" w:line="256" w:lineRule="auto"/>
        <w:contextualSpacing/>
      </w:pPr>
      <w:r>
        <w:t>These terms of reference will be reviewed every 12 months.</w:t>
      </w:r>
    </w:p>
    <w:p w14:paraId="36C70595" w14:textId="77777777" w:rsidR="00662F05" w:rsidRDefault="00662F05" w:rsidP="00662F05">
      <w:pPr>
        <w:pStyle w:val="Heading2"/>
      </w:pPr>
      <w:r>
        <w:t xml:space="preserve">Themes </w:t>
      </w:r>
    </w:p>
    <w:p w14:paraId="0C2DF3F5" w14:textId="77777777" w:rsidR="00662F05" w:rsidRDefault="00662F05" w:rsidP="00662F05">
      <w:pPr>
        <w:spacing w:after="160" w:line="256" w:lineRule="auto"/>
        <w:ind w:left="567" w:hanging="567"/>
        <w:contextualSpacing/>
      </w:pPr>
      <w:r>
        <w:t>The IPPG will focus on policy development under the following cross-cutting themes:</w:t>
      </w:r>
    </w:p>
    <w:p w14:paraId="286B1C0F" w14:textId="77777777" w:rsidR="00662F05" w:rsidRPr="00E3349F" w:rsidRDefault="00662F05" w:rsidP="00662F05">
      <w:pPr>
        <w:pStyle w:val="paragraph"/>
        <w:numPr>
          <w:ilvl w:val="0"/>
          <w:numId w:val="19"/>
        </w:numPr>
        <w:spacing w:before="0" w:beforeAutospacing="0" w:after="120" w:afterAutospacing="0"/>
        <w:textAlignment w:val="baseline"/>
        <w:rPr>
          <w:rFonts w:asciiTheme="minorHAnsi" w:hAnsiTheme="minorHAnsi" w:cstheme="minorHAnsi"/>
          <w:sz w:val="20"/>
          <w:szCs w:val="20"/>
        </w:rPr>
      </w:pPr>
      <w:r w:rsidRPr="00E3349F">
        <w:rPr>
          <w:rStyle w:val="normaltextrun"/>
          <w:rFonts w:asciiTheme="minorHAnsi" w:eastAsia="Calibri" w:hAnsiTheme="minorHAnsi" w:cstheme="minorHAnsi"/>
          <w:b/>
          <w:bCs/>
          <w:sz w:val="20"/>
          <w:szCs w:val="20"/>
        </w:rPr>
        <w:t>Artificial intelligence (AI):</w:t>
      </w:r>
      <w:r w:rsidRPr="00E3349F">
        <w:rPr>
          <w:rStyle w:val="normaltextrun"/>
          <w:rFonts w:asciiTheme="minorHAnsi" w:eastAsia="Calibri" w:hAnsiTheme="minorHAnsi" w:cstheme="minorHAnsi"/>
          <w:sz w:val="20"/>
          <w:szCs w:val="20"/>
        </w:rPr>
        <w:t xml:space="preserve"> new opportunities and challenges for IP arising from developments in artificial intelligence. This work is under the AI Working Group, Chaired by IP Australia. </w:t>
      </w:r>
      <w:r w:rsidRPr="00E3349F">
        <w:rPr>
          <w:rStyle w:val="eop"/>
          <w:rFonts w:asciiTheme="minorHAnsi" w:hAnsiTheme="minorHAnsi" w:cstheme="minorHAnsi"/>
          <w:sz w:val="20"/>
          <w:szCs w:val="20"/>
        </w:rPr>
        <w:t> </w:t>
      </w:r>
    </w:p>
    <w:p w14:paraId="78505C52" w14:textId="77777777" w:rsidR="00662F05" w:rsidRPr="00E3349F" w:rsidRDefault="00662F05" w:rsidP="00662F05">
      <w:pPr>
        <w:pStyle w:val="paragraph"/>
        <w:numPr>
          <w:ilvl w:val="0"/>
          <w:numId w:val="19"/>
        </w:numPr>
        <w:spacing w:before="0" w:beforeAutospacing="0" w:after="120" w:afterAutospacing="0"/>
        <w:textAlignment w:val="baseline"/>
        <w:rPr>
          <w:rFonts w:asciiTheme="minorHAnsi" w:hAnsiTheme="minorHAnsi" w:cstheme="minorHAnsi"/>
          <w:sz w:val="20"/>
          <w:szCs w:val="20"/>
        </w:rPr>
      </w:pPr>
      <w:r w:rsidRPr="00E3349F">
        <w:rPr>
          <w:rStyle w:val="normaltextrun"/>
          <w:rFonts w:asciiTheme="minorHAnsi" w:eastAsia="Calibri" w:hAnsiTheme="minorHAnsi" w:cstheme="minorBidi"/>
          <w:b/>
          <w:bCs/>
          <w:sz w:val="20"/>
          <w:szCs w:val="20"/>
        </w:rPr>
        <w:t>Indigenous knowledge (IK):</w:t>
      </w:r>
      <w:r w:rsidRPr="00E3349F">
        <w:rPr>
          <w:rStyle w:val="normaltextrun"/>
          <w:rFonts w:asciiTheme="minorHAnsi" w:eastAsia="Calibri" w:hAnsiTheme="minorHAnsi" w:cstheme="minorBidi"/>
          <w:sz w:val="20"/>
          <w:szCs w:val="20"/>
        </w:rPr>
        <w:t xml:space="preserve"> finding ways for the IP system to adequately protect indigenous knowledge, complementing other work by the government on protection of indigenous cultural and intellectual property. This work is under the IK Working Group, Co-Chaired by IP Australia and Office for the Arts, Department of Infrastructure, Transport, Regional Development, </w:t>
      </w:r>
      <w:bookmarkStart w:id="10" w:name="_Int_6KtXtG6N"/>
      <w:proofErr w:type="gramStart"/>
      <w:r w:rsidRPr="00E3349F">
        <w:rPr>
          <w:rStyle w:val="normaltextrun"/>
          <w:rFonts w:asciiTheme="minorHAnsi" w:eastAsia="Calibri" w:hAnsiTheme="minorHAnsi" w:cstheme="minorBidi"/>
          <w:sz w:val="20"/>
          <w:szCs w:val="20"/>
        </w:rPr>
        <w:t>Communications</w:t>
      </w:r>
      <w:bookmarkEnd w:id="10"/>
      <w:proofErr w:type="gramEnd"/>
      <w:r w:rsidRPr="00E3349F">
        <w:rPr>
          <w:rStyle w:val="normaltextrun"/>
          <w:rFonts w:asciiTheme="minorHAnsi" w:eastAsia="Calibri" w:hAnsiTheme="minorHAnsi" w:cstheme="minorBidi"/>
          <w:sz w:val="20"/>
          <w:szCs w:val="20"/>
        </w:rPr>
        <w:t xml:space="preserve"> and the Arts.  </w:t>
      </w:r>
      <w:r w:rsidRPr="00E3349F">
        <w:rPr>
          <w:rStyle w:val="eop"/>
          <w:rFonts w:asciiTheme="minorHAnsi" w:hAnsiTheme="minorHAnsi" w:cstheme="minorBidi"/>
          <w:sz w:val="20"/>
          <w:szCs w:val="20"/>
        </w:rPr>
        <w:t> </w:t>
      </w:r>
    </w:p>
    <w:p w14:paraId="3E4C76E2" w14:textId="77777777" w:rsidR="00662F05" w:rsidRPr="00E3349F" w:rsidRDefault="00662F05" w:rsidP="00662F05">
      <w:pPr>
        <w:pStyle w:val="paragraph"/>
        <w:numPr>
          <w:ilvl w:val="0"/>
          <w:numId w:val="19"/>
        </w:numPr>
        <w:spacing w:before="0" w:beforeAutospacing="0" w:after="120" w:afterAutospacing="0"/>
        <w:textAlignment w:val="baseline"/>
        <w:rPr>
          <w:rFonts w:asciiTheme="minorHAnsi" w:hAnsiTheme="minorHAnsi" w:cstheme="minorHAnsi"/>
          <w:sz w:val="20"/>
          <w:szCs w:val="20"/>
        </w:rPr>
      </w:pPr>
      <w:r w:rsidRPr="00E3349F">
        <w:rPr>
          <w:rStyle w:val="normaltextrun"/>
          <w:rFonts w:asciiTheme="minorHAnsi" w:eastAsia="Calibri" w:hAnsiTheme="minorHAnsi" w:cstheme="minorBidi"/>
          <w:b/>
          <w:bCs/>
          <w:sz w:val="20"/>
          <w:szCs w:val="20"/>
        </w:rPr>
        <w:t>Accessibility of enforcement:</w:t>
      </w:r>
      <w:r w:rsidRPr="00E3349F">
        <w:rPr>
          <w:rStyle w:val="normaltextrun"/>
          <w:rFonts w:asciiTheme="minorHAnsi" w:eastAsia="Calibri" w:hAnsiTheme="minorHAnsi" w:cstheme="minorBidi"/>
          <w:sz w:val="20"/>
          <w:szCs w:val="20"/>
        </w:rPr>
        <w:t xml:space="preserve"> addressing barriers to use of the legal system to enforce IP rights. This work is under the Enforcement Working Group, Chaired by </w:t>
      </w:r>
      <w:bookmarkStart w:id="11" w:name="_Int_QCujmLWE"/>
      <w:r w:rsidRPr="00E3349F">
        <w:rPr>
          <w:rStyle w:val="normaltextrun"/>
          <w:rFonts w:asciiTheme="minorHAnsi" w:eastAsia="Calibri" w:hAnsiTheme="minorHAnsi" w:cstheme="minorBidi"/>
          <w:sz w:val="20"/>
          <w:szCs w:val="20"/>
        </w:rPr>
        <w:t>DISR</w:t>
      </w:r>
      <w:bookmarkEnd w:id="11"/>
      <w:r w:rsidRPr="00E3349F">
        <w:rPr>
          <w:rStyle w:val="normaltextrun"/>
          <w:rFonts w:asciiTheme="minorHAnsi" w:eastAsia="Calibri" w:hAnsiTheme="minorHAnsi" w:cstheme="minorBidi"/>
          <w:sz w:val="20"/>
          <w:szCs w:val="20"/>
        </w:rPr>
        <w:t>. </w:t>
      </w:r>
      <w:r w:rsidRPr="00E3349F">
        <w:rPr>
          <w:rStyle w:val="eop"/>
          <w:rFonts w:asciiTheme="minorHAnsi" w:hAnsiTheme="minorHAnsi" w:cstheme="minorBidi"/>
          <w:sz w:val="20"/>
          <w:szCs w:val="20"/>
        </w:rPr>
        <w:t> </w:t>
      </w:r>
    </w:p>
    <w:p w14:paraId="601B93EC" w14:textId="12756FBE" w:rsidR="00662F05" w:rsidRPr="00E3349F" w:rsidRDefault="00662F05" w:rsidP="00662F05">
      <w:pPr>
        <w:pStyle w:val="paragraph"/>
        <w:numPr>
          <w:ilvl w:val="0"/>
          <w:numId w:val="19"/>
        </w:numPr>
        <w:spacing w:before="0" w:beforeAutospacing="0" w:after="120" w:afterAutospacing="0"/>
        <w:textAlignment w:val="baseline"/>
        <w:rPr>
          <w:rFonts w:asciiTheme="minorHAnsi" w:hAnsiTheme="minorHAnsi" w:cstheme="minorHAnsi"/>
          <w:sz w:val="20"/>
          <w:szCs w:val="20"/>
        </w:rPr>
      </w:pPr>
      <w:r w:rsidRPr="00E3349F">
        <w:rPr>
          <w:rStyle w:val="normaltextrun"/>
          <w:rFonts w:asciiTheme="minorHAnsi" w:eastAsia="Calibri" w:hAnsiTheme="minorHAnsi" w:cstheme="minorHAnsi"/>
          <w:b/>
          <w:bCs/>
          <w:sz w:val="20"/>
          <w:szCs w:val="20"/>
        </w:rPr>
        <w:t>Commercialising IP:</w:t>
      </w:r>
      <w:r w:rsidRPr="00E3349F">
        <w:rPr>
          <w:rStyle w:val="normaltextrun"/>
          <w:rFonts w:asciiTheme="minorHAnsi" w:eastAsia="Calibri" w:hAnsiTheme="minorHAnsi" w:cstheme="minorHAnsi"/>
          <w:sz w:val="20"/>
          <w:szCs w:val="20"/>
        </w:rPr>
        <w:t xml:space="preserve"> supporting the role of IP in the commercialisation pathway. This work is DISR-led, with discussions on best format with relevant agencies.</w:t>
      </w:r>
      <w:r w:rsidRPr="00E3349F">
        <w:rPr>
          <w:rStyle w:val="eop"/>
          <w:rFonts w:asciiTheme="minorHAnsi" w:hAnsiTheme="minorHAnsi" w:cstheme="minorHAnsi"/>
          <w:sz w:val="20"/>
          <w:szCs w:val="20"/>
        </w:rPr>
        <w:t> </w:t>
      </w:r>
    </w:p>
    <w:p w14:paraId="1D06B55B" w14:textId="77777777" w:rsidR="00662F05" w:rsidRPr="00662F05" w:rsidRDefault="00662F05" w:rsidP="00E3349F">
      <w:pPr>
        <w:rPr>
          <w:sz w:val="22"/>
        </w:rPr>
      </w:pPr>
      <w:r>
        <w:t xml:space="preserve">These themes will be reviewed every 12 months, along with the terms of reference. </w:t>
      </w:r>
    </w:p>
    <w:p w14:paraId="256817C3" w14:textId="77777777" w:rsidR="00662F05" w:rsidRDefault="00662F05" w:rsidP="00662F05">
      <w:pPr>
        <w:pStyle w:val="Heading2"/>
      </w:pPr>
      <w:r>
        <w:t>Working groups</w:t>
      </w:r>
    </w:p>
    <w:p w14:paraId="2564540E" w14:textId="77777777" w:rsidR="00662F05" w:rsidRDefault="00662F05" w:rsidP="00662F05">
      <w:pPr>
        <w:pStyle w:val="ListParagraph"/>
        <w:numPr>
          <w:ilvl w:val="0"/>
          <w:numId w:val="17"/>
        </w:numPr>
        <w:spacing w:after="160" w:line="256" w:lineRule="auto"/>
        <w:contextualSpacing/>
      </w:pPr>
      <w:r>
        <w:t xml:space="preserve">The IPPG may establish working groups, including to focus on </w:t>
      </w:r>
      <w:bookmarkStart w:id="12" w:name="_Int_Kd0wygY0"/>
      <w:proofErr w:type="gramStart"/>
      <w:r>
        <w:t>particular themes</w:t>
      </w:r>
      <w:bookmarkEnd w:id="12"/>
      <w:proofErr w:type="gramEnd"/>
      <w:r>
        <w:t>.</w:t>
      </w:r>
    </w:p>
    <w:p w14:paraId="14F96A1D" w14:textId="77777777" w:rsidR="00662F05" w:rsidRDefault="00662F05" w:rsidP="00662F05">
      <w:pPr>
        <w:pStyle w:val="ListParagraph"/>
        <w:numPr>
          <w:ilvl w:val="0"/>
          <w:numId w:val="17"/>
        </w:numPr>
        <w:spacing w:after="160" w:line="256" w:lineRule="auto"/>
        <w:contextualSpacing/>
      </w:pPr>
      <w:r>
        <w:t>Working groups will focus their efforts on work plans approved by the IPPG.</w:t>
      </w:r>
    </w:p>
    <w:p w14:paraId="3F68A9E2" w14:textId="77777777" w:rsidR="00662F05" w:rsidRDefault="00662F05" w:rsidP="00662F05">
      <w:pPr>
        <w:pStyle w:val="ListParagraph"/>
        <w:numPr>
          <w:ilvl w:val="0"/>
          <w:numId w:val="17"/>
        </w:numPr>
        <w:spacing w:after="160" w:line="256" w:lineRule="auto"/>
        <w:contextualSpacing/>
      </w:pPr>
      <w:r>
        <w:t xml:space="preserve">Working groups will have an explicit goal of information exchange, and to meet regularly to ensure information sharing across members. </w:t>
      </w:r>
    </w:p>
    <w:p w14:paraId="28CD1ECC" w14:textId="46513642" w:rsidR="00662F05" w:rsidRPr="00662F05" w:rsidRDefault="00662F05" w:rsidP="00662F05">
      <w:pPr>
        <w:pStyle w:val="ListParagraph"/>
        <w:numPr>
          <w:ilvl w:val="0"/>
          <w:numId w:val="17"/>
        </w:numPr>
        <w:spacing w:after="160" w:line="256" w:lineRule="auto"/>
        <w:contextualSpacing/>
      </w:pPr>
      <w:r>
        <w:t xml:space="preserve">Working groups may be attended by any IPPG member agency, if relevant. </w:t>
      </w:r>
      <w:bookmarkEnd w:id="3"/>
      <w:bookmarkEnd w:id="4"/>
      <w:bookmarkEnd w:id="5"/>
      <w:bookmarkEnd w:id="6"/>
    </w:p>
    <w:sectPr w:rsidR="00662F05" w:rsidRPr="00662F05" w:rsidSect="004A7856">
      <w:headerReference w:type="default" r:id="rId9"/>
      <w:footerReference w:type="default" r:id="rId10"/>
      <w:headerReference w:type="first" r:id="rId11"/>
      <w:footerReference w:type="first" r:id="rId12"/>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8F8A" w14:textId="77777777" w:rsidR="00662F05" w:rsidRDefault="00662F05" w:rsidP="00B251DB">
      <w:pPr>
        <w:spacing w:after="0"/>
      </w:pPr>
      <w:r>
        <w:separator/>
      </w:r>
    </w:p>
  </w:endnote>
  <w:endnote w:type="continuationSeparator" w:id="0">
    <w:p w14:paraId="3B2DD468" w14:textId="77777777" w:rsidR="00662F05" w:rsidRDefault="00662F05"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4DCC" w14:textId="0AEE5EB3" w:rsidR="00D27B99" w:rsidRDefault="00662F05" w:rsidP="00662F05">
    <w:pPr>
      <w:pStyle w:val="Footer"/>
    </w:pPr>
    <w:r>
      <w:rPr>
        <w:color w:val="001B35" w:themeColor="background2"/>
      </w:rPr>
      <w:t>Intellectual Policy Group Terms of Reference</w:t>
    </w:r>
    <w:r w:rsidR="00BD0F8A">
      <w:tab/>
    </w:r>
    <w:r w:rsidR="00BD0F8A">
      <w:tab/>
    </w:r>
    <w:sdt>
      <w:sdtPr>
        <w:id w:val="-104490174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4E5181">
          <w:rPr>
            <w:noProof/>
          </w:rPr>
          <w:t>7</w:t>
        </w:r>
        <w:r w:rsidR="00BD0F8A">
          <w:rPr>
            <w:noProof/>
          </w:rPr>
          <w:fldChar w:fldCharType="end"/>
        </w:r>
      </w:sdtContent>
    </w:sdt>
  </w:p>
  <w:p w14:paraId="0606640E" w14:textId="5DA4F54A" w:rsidR="00194586" w:rsidRPr="00C27CB3" w:rsidRDefault="00662F05" w:rsidP="00C27CB3">
    <w:pPr>
      <w:pStyle w:val="Footer"/>
      <w:jc w:val="center"/>
      <w:rPr>
        <w:b/>
        <w:color w:val="CC0000"/>
        <w:sz w:val="24"/>
        <w:szCs w:val="24"/>
      </w:rPr>
    </w:pPr>
    <w:r>
      <w:rPr>
        <w:b/>
        <w:color w:val="CC0000"/>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BB18" w14:textId="08A5C5C6" w:rsidR="004A7856" w:rsidRPr="00662F05" w:rsidRDefault="00662F05" w:rsidP="00662F05">
    <w:pPr>
      <w:pStyle w:val="Footer"/>
      <w:rPr>
        <w:color w:val="001B35" w:themeColor="background2"/>
      </w:rPr>
    </w:pPr>
    <w:r>
      <w:rPr>
        <w:color w:val="001B35" w:themeColor="background2"/>
      </w:rPr>
      <w:t>Intellectual Policy Group Terms of Reference</w:t>
    </w:r>
    <w:r w:rsidR="004A7856">
      <w:tab/>
    </w:r>
    <w:sdt>
      <w:sdtPr>
        <w:id w:val="1655647692"/>
        <w:docPartObj>
          <w:docPartGallery w:val="Page Numbers (Bottom of Page)"/>
          <w:docPartUnique/>
        </w:docPartObj>
      </w:sdtPr>
      <w:sdtEndPr>
        <w:rPr>
          <w:noProof/>
        </w:rPr>
      </w:sdtEndPr>
      <w:sdtContent>
        <w:r w:rsidR="004A7856">
          <w:fldChar w:fldCharType="begin"/>
        </w:r>
        <w:r w:rsidR="004A7856">
          <w:instrText xml:space="preserve"> PAGE   \* MERGEFORMAT </w:instrText>
        </w:r>
        <w:r w:rsidR="004A7856">
          <w:fldChar w:fldCharType="separate"/>
        </w:r>
        <w:r w:rsidR="004A7856">
          <w:t>1</w:t>
        </w:r>
        <w:r w:rsidR="004A7856">
          <w:rPr>
            <w:noProof/>
          </w:rPr>
          <w:fldChar w:fldCharType="end"/>
        </w:r>
      </w:sdtContent>
    </w:sdt>
  </w:p>
  <w:p w14:paraId="45BE521F" w14:textId="2D2AB607" w:rsidR="004A7856" w:rsidRPr="004A7856" w:rsidRDefault="00662F05" w:rsidP="004A7856">
    <w:pPr>
      <w:pStyle w:val="Footer"/>
      <w:jc w:val="center"/>
      <w:rPr>
        <w:b/>
        <w:color w:val="CC0000"/>
        <w:sz w:val="24"/>
        <w:szCs w:val="24"/>
      </w:rPr>
    </w:pPr>
    <w:r>
      <w:rPr>
        <w:b/>
        <w:color w:val="CC0000"/>
        <w:sz w:val="24"/>
        <w:szCs w:val="24"/>
      </w:rPr>
      <w:t>OFFICIAL</w:t>
    </w:r>
  </w:p>
  <w:p w14:paraId="31615743" w14:textId="77777777" w:rsidR="00194586" w:rsidRDefault="001945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6AAD" w14:textId="77777777" w:rsidR="00662F05" w:rsidRDefault="00662F05" w:rsidP="00B251DB">
      <w:pPr>
        <w:spacing w:after="0"/>
      </w:pPr>
      <w:r>
        <w:separator/>
      </w:r>
    </w:p>
  </w:footnote>
  <w:footnote w:type="continuationSeparator" w:id="0">
    <w:p w14:paraId="71CBFE64" w14:textId="77777777" w:rsidR="00662F05" w:rsidRDefault="00662F05"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75B1" w14:textId="453F46BD" w:rsidR="00194586" w:rsidRPr="00C27CB3" w:rsidRDefault="00662F05" w:rsidP="00C27CB3">
    <w:pPr>
      <w:pStyle w:val="Footer"/>
      <w:jc w:val="center"/>
      <w:rPr>
        <w:b/>
        <w:color w:val="CC0000"/>
        <w:sz w:val="24"/>
        <w:szCs w:val="24"/>
      </w:rPr>
    </w:pPr>
    <w:r>
      <w:rPr>
        <w:b/>
        <w:color w:val="CC0000"/>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3FFB" w14:textId="77777777" w:rsidR="00194586" w:rsidRDefault="009830D1" w:rsidP="00C27CB3">
    <w:pPr>
      <w:pStyle w:val="Header"/>
    </w:pPr>
    <w:r w:rsidRPr="009830D1">
      <w:rPr>
        <w:noProof/>
      </w:rPr>
      <w:drawing>
        <wp:anchor distT="0" distB="0" distL="114300" distR="114300" simplePos="0" relativeHeight="251660288" behindDoc="1" locked="0" layoutInCell="1" allowOverlap="1" wp14:anchorId="35F52F95" wp14:editId="1A2F3369">
          <wp:simplePos x="0" y="0"/>
          <wp:positionH relativeFrom="page">
            <wp:posOffset>3669030</wp:posOffset>
          </wp:positionH>
          <wp:positionV relativeFrom="page">
            <wp:posOffset>0</wp:posOffset>
          </wp:positionV>
          <wp:extent cx="3891600" cy="1843200"/>
          <wp:effectExtent l="0" t="0" r="0" b="5080"/>
          <wp:wrapNone/>
          <wp:docPr id="9" name="Graphic 9">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891600" cy="1843200"/>
                  </a:xfrm>
                  <a:prstGeom prst="rect">
                    <a:avLst/>
                  </a:prstGeom>
                </pic:spPr>
              </pic:pic>
            </a:graphicData>
          </a:graphic>
          <wp14:sizeRelH relativeFrom="margin">
            <wp14:pctWidth>0</wp14:pctWidth>
          </wp14:sizeRelH>
          <wp14:sizeRelV relativeFrom="margin">
            <wp14:pctHeight>0</wp14:pctHeight>
          </wp14:sizeRelV>
        </wp:anchor>
      </w:drawing>
    </w:r>
    <w:r w:rsidRPr="009830D1">
      <w:rPr>
        <w:noProof/>
      </w:rPr>
      <mc:AlternateContent>
        <mc:Choice Requires="wps">
          <w:drawing>
            <wp:anchor distT="0" distB="0" distL="114300" distR="114300" simplePos="0" relativeHeight="251659264" behindDoc="0" locked="0" layoutInCell="1" allowOverlap="1" wp14:anchorId="1FD3F32D" wp14:editId="2124C962">
              <wp:simplePos x="0" y="0"/>
              <wp:positionH relativeFrom="page">
                <wp:posOffset>0</wp:posOffset>
              </wp:positionH>
              <wp:positionV relativeFrom="page">
                <wp:posOffset>0</wp:posOffset>
              </wp:positionV>
              <wp:extent cx="1962000" cy="284400"/>
              <wp:effectExtent l="0" t="0" r="635" b="190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000" cy="284400"/>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BF8CAE0" id="Rectangle 12" o:spid="_x0000_s1026" alt="&quot;&quot;" style="position:absolute;margin-left:0;margin-top:0;width:154.5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" path="m,l2332168,r-65527,196581l,336570,,xe" fillcolor="#0766a5 [3204]" stroked="f" strokeweight="1pt">
              <v:stroke joinstyle="miter"/>
              <v:path arrowok="t" o:connecttype="custom" o:connectlocs="0,0;1962000,0;1906874,166110;0,28440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E3915"/>
    <w:multiLevelType w:val="hybridMultilevel"/>
    <w:tmpl w:val="4168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D811C6"/>
    <w:multiLevelType w:val="hybridMultilevel"/>
    <w:tmpl w:val="10B2C790"/>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67F4B1A"/>
    <w:multiLevelType w:val="hybridMultilevel"/>
    <w:tmpl w:val="7A22C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305039"/>
    <w:multiLevelType w:val="hybridMultilevel"/>
    <w:tmpl w:val="AFE440F6"/>
    <w:lvl w:ilvl="0" w:tplc="8A9E7376">
      <w:start w:val="1"/>
      <w:numFmt w:val="bullet"/>
      <w:lvlText w:val="•"/>
      <w:lvlJc w:val="left"/>
      <w:pPr>
        <w:tabs>
          <w:tab w:val="num" w:pos="720"/>
        </w:tabs>
        <w:ind w:left="720" w:hanging="360"/>
      </w:pPr>
      <w:rPr>
        <w:rFonts w:ascii="Arial" w:hAnsi="Arial" w:hint="default"/>
      </w:rPr>
    </w:lvl>
    <w:lvl w:ilvl="1" w:tplc="EC44B51E" w:tentative="1">
      <w:start w:val="1"/>
      <w:numFmt w:val="bullet"/>
      <w:lvlText w:val="•"/>
      <w:lvlJc w:val="left"/>
      <w:pPr>
        <w:tabs>
          <w:tab w:val="num" w:pos="1440"/>
        </w:tabs>
        <w:ind w:left="1440" w:hanging="360"/>
      </w:pPr>
      <w:rPr>
        <w:rFonts w:ascii="Arial" w:hAnsi="Arial" w:hint="default"/>
      </w:rPr>
    </w:lvl>
    <w:lvl w:ilvl="2" w:tplc="F30A5B74" w:tentative="1">
      <w:start w:val="1"/>
      <w:numFmt w:val="bullet"/>
      <w:lvlText w:val="•"/>
      <w:lvlJc w:val="left"/>
      <w:pPr>
        <w:tabs>
          <w:tab w:val="num" w:pos="2160"/>
        </w:tabs>
        <w:ind w:left="2160" w:hanging="360"/>
      </w:pPr>
      <w:rPr>
        <w:rFonts w:ascii="Arial" w:hAnsi="Arial" w:hint="default"/>
      </w:rPr>
    </w:lvl>
    <w:lvl w:ilvl="3" w:tplc="EE5AA906" w:tentative="1">
      <w:start w:val="1"/>
      <w:numFmt w:val="bullet"/>
      <w:lvlText w:val="•"/>
      <w:lvlJc w:val="left"/>
      <w:pPr>
        <w:tabs>
          <w:tab w:val="num" w:pos="2880"/>
        </w:tabs>
        <w:ind w:left="2880" w:hanging="360"/>
      </w:pPr>
      <w:rPr>
        <w:rFonts w:ascii="Arial" w:hAnsi="Arial" w:hint="default"/>
      </w:rPr>
    </w:lvl>
    <w:lvl w:ilvl="4" w:tplc="DECA6484" w:tentative="1">
      <w:start w:val="1"/>
      <w:numFmt w:val="bullet"/>
      <w:lvlText w:val="•"/>
      <w:lvlJc w:val="left"/>
      <w:pPr>
        <w:tabs>
          <w:tab w:val="num" w:pos="3600"/>
        </w:tabs>
        <w:ind w:left="3600" w:hanging="360"/>
      </w:pPr>
      <w:rPr>
        <w:rFonts w:ascii="Arial" w:hAnsi="Arial" w:hint="default"/>
      </w:rPr>
    </w:lvl>
    <w:lvl w:ilvl="5" w:tplc="85383BD0" w:tentative="1">
      <w:start w:val="1"/>
      <w:numFmt w:val="bullet"/>
      <w:lvlText w:val="•"/>
      <w:lvlJc w:val="left"/>
      <w:pPr>
        <w:tabs>
          <w:tab w:val="num" w:pos="4320"/>
        </w:tabs>
        <w:ind w:left="4320" w:hanging="360"/>
      </w:pPr>
      <w:rPr>
        <w:rFonts w:ascii="Arial" w:hAnsi="Arial" w:hint="default"/>
      </w:rPr>
    </w:lvl>
    <w:lvl w:ilvl="6" w:tplc="0B18D63A" w:tentative="1">
      <w:start w:val="1"/>
      <w:numFmt w:val="bullet"/>
      <w:lvlText w:val="•"/>
      <w:lvlJc w:val="left"/>
      <w:pPr>
        <w:tabs>
          <w:tab w:val="num" w:pos="5040"/>
        </w:tabs>
        <w:ind w:left="5040" w:hanging="360"/>
      </w:pPr>
      <w:rPr>
        <w:rFonts w:ascii="Arial" w:hAnsi="Arial" w:hint="default"/>
      </w:rPr>
    </w:lvl>
    <w:lvl w:ilvl="7" w:tplc="EE68C1F2" w:tentative="1">
      <w:start w:val="1"/>
      <w:numFmt w:val="bullet"/>
      <w:lvlText w:val="•"/>
      <w:lvlJc w:val="left"/>
      <w:pPr>
        <w:tabs>
          <w:tab w:val="num" w:pos="5760"/>
        </w:tabs>
        <w:ind w:left="5760" w:hanging="360"/>
      </w:pPr>
      <w:rPr>
        <w:rFonts w:ascii="Arial" w:hAnsi="Arial" w:hint="default"/>
      </w:rPr>
    </w:lvl>
    <w:lvl w:ilvl="8" w:tplc="F71211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BA0934"/>
    <w:multiLevelType w:val="hybridMultilevel"/>
    <w:tmpl w:val="8772B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D972C08"/>
    <w:multiLevelType w:val="hybridMultilevel"/>
    <w:tmpl w:val="B30C4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DF42628"/>
    <w:multiLevelType w:val="hybridMultilevel"/>
    <w:tmpl w:val="00704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84431D"/>
    <w:multiLevelType w:val="hybridMultilevel"/>
    <w:tmpl w:val="C1047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47C195E"/>
    <w:multiLevelType w:val="hybridMultilevel"/>
    <w:tmpl w:val="B7C0B5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A0E36C4"/>
    <w:multiLevelType w:val="hybridMultilevel"/>
    <w:tmpl w:val="EF868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22605387">
    <w:abstractNumId w:val="10"/>
  </w:num>
  <w:num w:numId="2" w16cid:durableId="648444589">
    <w:abstractNumId w:val="14"/>
  </w:num>
  <w:num w:numId="3" w16cid:durableId="1474374502">
    <w:abstractNumId w:val="3"/>
  </w:num>
  <w:num w:numId="4" w16cid:durableId="660547498">
    <w:abstractNumId w:val="1"/>
  </w:num>
  <w:num w:numId="5" w16cid:durableId="1405948882">
    <w:abstractNumId w:val="0"/>
  </w:num>
  <w:num w:numId="6" w16cid:durableId="1770931210">
    <w:abstractNumId w:val="4"/>
  </w:num>
  <w:num w:numId="7" w16cid:durableId="1514956900">
    <w:abstractNumId w:val="5"/>
  </w:num>
  <w:num w:numId="8" w16cid:durableId="1928151220">
    <w:abstractNumId w:val="11"/>
  </w:num>
  <w:num w:numId="9" w16cid:durableId="1919442051">
    <w:abstractNumId w:val="7"/>
  </w:num>
  <w:num w:numId="10" w16cid:durableId="1203635149">
    <w:abstractNumId w:val="8"/>
  </w:num>
  <w:num w:numId="11" w16cid:durableId="18452456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465147">
    <w:abstractNumId w:val="9"/>
  </w:num>
  <w:num w:numId="13" w16cid:durableId="1603759726">
    <w:abstractNumId w:val="17"/>
  </w:num>
  <w:num w:numId="14" w16cid:durableId="701246771">
    <w:abstractNumId w:val="12"/>
  </w:num>
  <w:num w:numId="15" w16cid:durableId="487088241">
    <w:abstractNumId w:val="13"/>
  </w:num>
  <w:num w:numId="16" w16cid:durableId="1135098218">
    <w:abstractNumId w:val="6"/>
    <w:lvlOverride w:ilvl="0"/>
    <w:lvlOverride w:ilvl="1">
      <w:startOverride w:val="1"/>
    </w:lvlOverride>
    <w:lvlOverride w:ilvl="2"/>
    <w:lvlOverride w:ilvl="3"/>
    <w:lvlOverride w:ilvl="4"/>
    <w:lvlOverride w:ilvl="5"/>
    <w:lvlOverride w:ilvl="6"/>
    <w:lvlOverride w:ilvl="7"/>
    <w:lvlOverride w:ilvl="8"/>
  </w:num>
  <w:num w:numId="17" w16cid:durableId="671445835">
    <w:abstractNumId w:val="15"/>
  </w:num>
  <w:num w:numId="18" w16cid:durableId="1033192677">
    <w:abstractNumId w:val="6"/>
  </w:num>
  <w:num w:numId="19" w16cid:durableId="17352755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05"/>
    <w:rsid w:val="00003766"/>
    <w:rsid w:val="00032995"/>
    <w:rsid w:val="00034867"/>
    <w:rsid w:val="00043F36"/>
    <w:rsid w:val="000552B3"/>
    <w:rsid w:val="0007067B"/>
    <w:rsid w:val="0008167B"/>
    <w:rsid w:val="00081D07"/>
    <w:rsid w:val="00090DDB"/>
    <w:rsid w:val="000A75CB"/>
    <w:rsid w:val="000B6C60"/>
    <w:rsid w:val="000C3494"/>
    <w:rsid w:val="000E0F53"/>
    <w:rsid w:val="000E599A"/>
    <w:rsid w:val="000E5C60"/>
    <w:rsid w:val="000F2564"/>
    <w:rsid w:val="00153C15"/>
    <w:rsid w:val="00171757"/>
    <w:rsid w:val="0018753C"/>
    <w:rsid w:val="00193F92"/>
    <w:rsid w:val="00194586"/>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A101F"/>
    <w:rsid w:val="002B3A3A"/>
    <w:rsid w:val="002B5C69"/>
    <w:rsid w:val="002D230B"/>
    <w:rsid w:val="002F60C0"/>
    <w:rsid w:val="0031048E"/>
    <w:rsid w:val="0031654A"/>
    <w:rsid w:val="00330C0B"/>
    <w:rsid w:val="0035140F"/>
    <w:rsid w:val="00385854"/>
    <w:rsid w:val="00393784"/>
    <w:rsid w:val="003A0E7F"/>
    <w:rsid w:val="003D38ED"/>
    <w:rsid w:val="003D747D"/>
    <w:rsid w:val="00406032"/>
    <w:rsid w:val="00423B2E"/>
    <w:rsid w:val="00423D13"/>
    <w:rsid w:val="0043720A"/>
    <w:rsid w:val="00454CE0"/>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5419E"/>
    <w:rsid w:val="005706FD"/>
    <w:rsid w:val="00572521"/>
    <w:rsid w:val="005777BC"/>
    <w:rsid w:val="00584B74"/>
    <w:rsid w:val="005A1B5C"/>
    <w:rsid w:val="005D27F7"/>
    <w:rsid w:val="005E5F5F"/>
    <w:rsid w:val="00603DDF"/>
    <w:rsid w:val="00607188"/>
    <w:rsid w:val="006337C7"/>
    <w:rsid w:val="00662F05"/>
    <w:rsid w:val="00667762"/>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23C5D"/>
    <w:rsid w:val="0073362E"/>
    <w:rsid w:val="007833EE"/>
    <w:rsid w:val="007B553F"/>
    <w:rsid w:val="00806473"/>
    <w:rsid w:val="00826293"/>
    <w:rsid w:val="00853A7A"/>
    <w:rsid w:val="008653E9"/>
    <w:rsid w:val="00872DFF"/>
    <w:rsid w:val="00892B6E"/>
    <w:rsid w:val="008B7B1E"/>
    <w:rsid w:val="008C2718"/>
    <w:rsid w:val="008C3B21"/>
    <w:rsid w:val="008D244C"/>
    <w:rsid w:val="008E3C31"/>
    <w:rsid w:val="008E5E4B"/>
    <w:rsid w:val="00900E48"/>
    <w:rsid w:val="009059E9"/>
    <w:rsid w:val="0091556D"/>
    <w:rsid w:val="00917329"/>
    <w:rsid w:val="00950208"/>
    <w:rsid w:val="00960D98"/>
    <w:rsid w:val="009830D1"/>
    <w:rsid w:val="009A549D"/>
    <w:rsid w:val="009A64AF"/>
    <w:rsid w:val="009C60B9"/>
    <w:rsid w:val="009E39E6"/>
    <w:rsid w:val="00A52F3D"/>
    <w:rsid w:val="00A61699"/>
    <w:rsid w:val="00A6365B"/>
    <w:rsid w:val="00A731BB"/>
    <w:rsid w:val="00AA740C"/>
    <w:rsid w:val="00AD22BA"/>
    <w:rsid w:val="00B15C01"/>
    <w:rsid w:val="00B17B99"/>
    <w:rsid w:val="00B24DB5"/>
    <w:rsid w:val="00B251DB"/>
    <w:rsid w:val="00B26C25"/>
    <w:rsid w:val="00B35C0C"/>
    <w:rsid w:val="00B40A60"/>
    <w:rsid w:val="00B45B98"/>
    <w:rsid w:val="00BB350F"/>
    <w:rsid w:val="00BC40AC"/>
    <w:rsid w:val="00BD0F8A"/>
    <w:rsid w:val="00BE1CB4"/>
    <w:rsid w:val="00BE53C7"/>
    <w:rsid w:val="00BE6EEA"/>
    <w:rsid w:val="00BF6930"/>
    <w:rsid w:val="00C27CB3"/>
    <w:rsid w:val="00C42F09"/>
    <w:rsid w:val="00C43D48"/>
    <w:rsid w:val="00C50A9A"/>
    <w:rsid w:val="00C65E4E"/>
    <w:rsid w:val="00CB2DE1"/>
    <w:rsid w:val="00CB7499"/>
    <w:rsid w:val="00CC405C"/>
    <w:rsid w:val="00CE4789"/>
    <w:rsid w:val="00CE6BBD"/>
    <w:rsid w:val="00CE7F17"/>
    <w:rsid w:val="00CF353B"/>
    <w:rsid w:val="00D220CF"/>
    <w:rsid w:val="00D27B99"/>
    <w:rsid w:val="00D64BFA"/>
    <w:rsid w:val="00D841E9"/>
    <w:rsid w:val="00D9122B"/>
    <w:rsid w:val="00DE04A8"/>
    <w:rsid w:val="00DE1060"/>
    <w:rsid w:val="00E01D7D"/>
    <w:rsid w:val="00E04DA0"/>
    <w:rsid w:val="00E11B00"/>
    <w:rsid w:val="00E3027E"/>
    <w:rsid w:val="00E3349F"/>
    <w:rsid w:val="00E37443"/>
    <w:rsid w:val="00E51EC5"/>
    <w:rsid w:val="00E95372"/>
    <w:rsid w:val="00EA0739"/>
    <w:rsid w:val="00EA256A"/>
    <w:rsid w:val="00EB2A69"/>
    <w:rsid w:val="00ED173E"/>
    <w:rsid w:val="00EE1F4B"/>
    <w:rsid w:val="00F1441E"/>
    <w:rsid w:val="00F16FE0"/>
    <w:rsid w:val="00F22BB9"/>
    <w:rsid w:val="00F32757"/>
    <w:rsid w:val="00F3409A"/>
    <w:rsid w:val="00F50FA6"/>
    <w:rsid w:val="00F62B4E"/>
    <w:rsid w:val="00F669E4"/>
    <w:rsid w:val="00F66A4B"/>
    <w:rsid w:val="00F93AEE"/>
    <w:rsid w:val="00FA2434"/>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3DB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34"/>
    <w:pPr>
      <w:spacing w:before="120" w:after="120" w:line="240" w:lineRule="auto"/>
    </w:pPr>
    <w:rPr>
      <w:sz w:val="20"/>
    </w:rPr>
  </w:style>
  <w:style w:type="paragraph" w:styleId="Heading1">
    <w:name w:val="heading 1"/>
    <w:basedOn w:val="Normal"/>
    <w:next w:val="Normal"/>
    <w:link w:val="Heading1Char"/>
    <w:uiPriority w:val="9"/>
    <w:qFormat/>
    <w:rsid w:val="00917329"/>
    <w:pPr>
      <w:keepNext/>
      <w:keepLines/>
      <w:contextualSpacing/>
      <w:outlineLvl w:val="0"/>
    </w:pPr>
    <w:rPr>
      <w:rFonts w:asciiTheme="majorHAnsi" w:eastAsiaTheme="majorEastAsia" w:hAnsiTheme="majorHAnsi" w:cstheme="majorBidi"/>
      <w:color w:val="0766A5" w:themeColor="accent1"/>
      <w:sz w:val="72"/>
      <w:szCs w:val="32"/>
    </w:rPr>
  </w:style>
  <w:style w:type="paragraph" w:styleId="Heading2">
    <w:name w:val="heading 2"/>
    <w:basedOn w:val="Normal"/>
    <w:next w:val="Normal"/>
    <w:link w:val="Heading2Char"/>
    <w:uiPriority w:val="9"/>
    <w:unhideWhenUsed/>
    <w:qFormat/>
    <w:rsid w:val="00E3349F"/>
    <w:pPr>
      <w:keepNext/>
      <w:keepLines/>
      <w:spacing w:before="240"/>
      <w:outlineLvl w:val="1"/>
    </w:pPr>
    <w:rPr>
      <w:rFonts w:asciiTheme="majorHAnsi" w:eastAsiaTheme="majorEastAsia" w:hAnsiTheme="majorHAnsi" w:cstheme="majorBidi"/>
      <w:color w:val="0766A5" w:themeColor="accent1"/>
      <w:sz w:val="48"/>
      <w:szCs w:val="48"/>
    </w:rPr>
  </w:style>
  <w:style w:type="paragraph" w:styleId="Heading3">
    <w:name w:val="heading 3"/>
    <w:basedOn w:val="Normal"/>
    <w:next w:val="Normal"/>
    <w:link w:val="Heading3Char"/>
    <w:uiPriority w:val="9"/>
    <w:unhideWhenUsed/>
    <w:qFormat/>
    <w:rsid w:val="00BF6930"/>
    <w:pPr>
      <w:keepNext/>
      <w:keepLines/>
      <w:spacing w:before="240"/>
      <w:outlineLvl w:val="2"/>
    </w:pPr>
    <w:rPr>
      <w:rFonts w:asciiTheme="majorHAnsi" w:eastAsiaTheme="majorEastAsia" w:hAnsiTheme="majorHAnsi" w:cstheme="majorBidi"/>
      <w:color w:val="0766A5" w:themeColor="accent1"/>
      <w:sz w:val="40"/>
      <w:szCs w:val="40"/>
    </w:rPr>
  </w:style>
  <w:style w:type="paragraph" w:styleId="Heading4">
    <w:name w:val="heading 4"/>
    <w:basedOn w:val="Normal"/>
    <w:next w:val="Normal"/>
    <w:link w:val="Heading4Char"/>
    <w:uiPriority w:val="9"/>
    <w:unhideWhenUsed/>
    <w:qFormat/>
    <w:rsid w:val="00BF6930"/>
    <w:pPr>
      <w:keepNext/>
      <w:keepLines/>
      <w:spacing w:before="240"/>
      <w:outlineLvl w:val="3"/>
    </w:pPr>
    <w:rPr>
      <w:rFonts w:asciiTheme="majorHAnsi" w:eastAsiaTheme="majorEastAsia" w:hAnsiTheme="majorHAnsi" w:cstheme="majorBidi"/>
      <w:iCs/>
      <w:color w:val="0766A5" w:themeColor="accent1"/>
      <w:sz w:val="32"/>
      <w:szCs w:val="28"/>
    </w:rPr>
  </w:style>
  <w:style w:type="paragraph" w:styleId="Heading5">
    <w:name w:val="heading 5"/>
    <w:basedOn w:val="Normal"/>
    <w:next w:val="Normal"/>
    <w:link w:val="Heading5Char"/>
    <w:uiPriority w:val="9"/>
    <w:unhideWhenUsed/>
    <w:qFormat/>
    <w:rsid w:val="00900E48"/>
    <w:pPr>
      <w:keepNext/>
      <w:keepLines/>
      <w:spacing w:before="240"/>
      <w:outlineLvl w:val="4"/>
    </w:pPr>
    <w:rPr>
      <w:rFonts w:asciiTheme="majorHAnsi" w:eastAsiaTheme="majorEastAsia" w:hAnsiTheme="majorHAnsi" w:cstheme="majorBidi"/>
      <w:color w:val="0766A5" w:themeColor="accent1"/>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766A5"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917329"/>
    <w:rPr>
      <w:rFonts w:asciiTheme="majorHAnsi" w:eastAsiaTheme="majorEastAsia" w:hAnsiTheme="majorHAnsi" w:cstheme="majorBidi"/>
      <w:color w:val="0766A5" w:themeColor="accent1"/>
      <w:sz w:val="72"/>
      <w:szCs w:val="32"/>
    </w:rPr>
  </w:style>
  <w:style w:type="table" w:customStyle="1" w:styleId="Verticaltable">
    <w:name w:val="Vertical table"/>
    <w:basedOn w:val="TableNormal"/>
    <w:uiPriority w:val="99"/>
    <w:rsid w:val="00BF6930"/>
    <w:pPr>
      <w:spacing w:after="0" w:line="240" w:lineRule="auto"/>
    </w:pPr>
    <w:tblPr>
      <w:tblBorders>
        <w:top w:val="single" w:sz="4" w:space="0" w:color="001B35" w:themeColor="background2"/>
        <w:left w:val="single" w:sz="4" w:space="0" w:color="001B35" w:themeColor="background2"/>
        <w:bottom w:val="single" w:sz="4" w:space="0" w:color="001B35" w:themeColor="background2"/>
        <w:right w:val="single" w:sz="4" w:space="0" w:color="001B35" w:themeColor="background2"/>
        <w:insideH w:val="single" w:sz="4" w:space="0" w:color="001B35" w:themeColor="background2"/>
        <w:insideV w:val="single" w:sz="4" w:space="0" w:color="001B35" w:themeColor="background2"/>
      </w:tblBorders>
    </w:tblPr>
    <w:tblStylePr w:type="lastRow">
      <w:rPr>
        <w:b w:val="0"/>
      </w:rPr>
    </w:tblStylePr>
    <w:tblStylePr w:type="firstCol">
      <w:rPr>
        <w:b/>
        <w:color w:val="FFFFFF" w:themeColor="background1"/>
      </w:rPr>
      <w:tblPr/>
      <w:tcPr>
        <w:shd w:val="clear" w:color="auto" w:fill="0766A5" w:themeFill="accent1"/>
      </w:tcPr>
    </w:tblStylePr>
  </w:style>
  <w:style w:type="character" w:styleId="FollowedHyperlink">
    <w:name w:val="FollowedHyperlink"/>
    <w:basedOn w:val="DefaultParagraphFont"/>
    <w:uiPriority w:val="99"/>
    <w:semiHidden/>
    <w:unhideWhenUsed/>
    <w:rsid w:val="00872DFF"/>
    <w:rPr>
      <w:color w:val="001B35" w:themeColor="followedHyperlink"/>
      <w:u w:val="single"/>
    </w:rPr>
  </w:style>
  <w:style w:type="paragraph" w:styleId="Subtitle">
    <w:name w:val="Subtitle"/>
    <w:basedOn w:val="Normal"/>
    <w:next w:val="Normal"/>
    <w:link w:val="SubtitleChar"/>
    <w:uiPriority w:val="11"/>
    <w:qFormat/>
    <w:rsid w:val="00BF6930"/>
    <w:pPr>
      <w:numPr>
        <w:ilvl w:val="1"/>
      </w:numPr>
    </w:pPr>
    <w:rPr>
      <w:rFonts w:eastAsiaTheme="minorEastAsia"/>
      <w:color w:val="001B35" w:themeColor="background2"/>
      <w:sz w:val="40"/>
    </w:rPr>
  </w:style>
  <w:style w:type="character" w:customStyle="1" w:styleId="SubtitleChar">
    <w:name w:val="Subtitle Char"/>
    <w:basedOn w:val="DefaultParagraphFont"/>
    <w:link w:val="Subtitle"/>
    <w:uiPriority w:val="11"/>
    <w:rsid w:val="00BF6930"/>
    <w:rPr>
      <w:rFonts w:eastAsiaTheme="minorEastAsia"/>
      <w:color w:val="001B35" w:themeColor="background2"/>
      <w:sz w:val="40"/>
    </w:rPr>
  </w:style>
  <w:style w:type="character" w:customStyle="1" w:styleId="Heading2Char">
    <w:name w:val="Heading 2 Char"/>
    <w:basedOn w:val="DefaultParagraphFont"/>
    <w:link w:val="Heading2"/>
    <w:uiPriority w:val="9"/>
    <w:rsid w:val="00E3349F"/>
    <w:rPr>
      <w:rFonts w:asciiTheme="majorHAnsi" w:eastAsiaTheme="majorEastAsia" w:hAnsiTheme="majorHAnsi" w:cstheme="majorBidi"/>
      <w:color w:val="0766A5" w:themeColor="accent1"/>
      <w:sz w:val="48"/>
      <w:szCs w:val="48"/>
    </w:rPr>
  </w:style>
  <w:style w:type="character" w:customStyle="1" w:styleId="Heading3Char">
    <w:name w:val="Heading 3 Char"/>
    <w:basedOn w:val="DefaultParagraphFont"/>
    <w:link w:val="Heading3"/>
    <w:uiPriority w:val="9"/>
    <w:rsid w:val="00BF6930"/>
    <w:rPr>
      <w:rFonts w:asciiTheme="majorHAnsi" w:eastAsiaTheme="majorEastAsia" w:hAnsiTheme="majorHAnsi" w:cstheme="majorBidi"/>
      <w:color w:val="0766A5" w:themeColor="accent1"/>
      <w:sz w:val="40"/>
      <w:szCs w:val="40"/>
    </w:rPr>
  </w:style>
  <w:style w:type="character" w:customStyle="1" w:styleId="Heading4Char">
    <w:name w:val="Heading 4 Char"/>
    <w:basedOn w:val="DefaultParagraphFont"/>
    <w:link w:val="Heading4"/>
    <w:uiPriority w:val="9"/>
    <w:rsid w:val="00BF6930"/>
    <w:rPr>
      <w:rFonts w:asciiTheme="majorHAnsi" w:eastAsiaTheme="majorEastAsia" w:hAnsiTheme="majorHAnsi" w:cstheme="majorBidi"/>
      <w:iCs/>
      <w:color w:val="0766A5" w:themeColor="accent1"/>
      <w:sz w:val="32"/>
      <w:szCs w:val="28"/>
    </w:rPr>
  </w:style>
  <w:style w:type="character" w:customStyle="1" w:styleId="Heading5Char">
    <w:name w:val="Heading 5 Char"/>
    <w:basedOn w:val="DefaultParagraphFont"/>
    <w:link w:val="Heading5"/>
    <w:uiPriority w:val="9"/>
    <w:rsid w:val="00900E48"/>
    <w:rPr>
      <w:rFonts w:asciiTheme="majorHAnsi" w:eastAsiaTheme="majorEastAsia" w:hAnsiTheme="majorHAnsi" w:cstheme="majorBidi"/>
      <w:color w:val="0766A5" w:themeColor="accent1"/>
      <w:sz w:val="26"/>
      <w:szCs w:val="26"/>
    </w:rPr>
  </w:style>
  <w:style w:type="paragraph" w:styleId="Quote">
    <w:name w:val="Quote"/>
    <w:basedOn w:val="Normal"/>
    <w:next w:val="Normal"/>
    <w:link w:val="QuoteChar"/>
    <w:uiPriority w:val="29"/>
    <w:qFormat/>
    <w:rsid w:val="00BF6930"/>
    <w:pPr>
      <w:pBdr>
        <w:top w:val="single" w:sz="4" w:space="6" w:color="0766A5" w:themeColor="accent1"/>
        <w:bottom w:val="single" w:sz="4" w:space="6" w:color="0766A5" w:themeColor="accent1"/>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BF6930"/>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BF6930"/>
    <w:rPr>
      <w:color w:val="0766A5" w:themeColor="accent1"/>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60000" w:themeColor="accent2"/>
        <w:left w:val="single" w:sz="4" w:space="0" w:color="960000" w:themeColor="accent2"/>
        <w:bottom w:val="single" w:sz="4" w:space="0" w:color="960000" w:themeColor="accent2"/>
        <w:right w:val="single" w:sz="4" w:space="0" w:color="960000" w:themeColor="accent2"/>
      </w:tblBorders>
    </w:tblPr>
    <w:tblStylePr w:type="firstRow">
      <w:rPr>
        <w:b/>
        <w:bCs/>
        <w:color w:val="FFFFFF" w:themeColor="background1"/>
      </w:rPr>
      <w:tblPr/>
      <w:tcPr>
        <w:shd w:val="clear" w:color="auto" w:fill="960000" w:themeFill="accent2"/>
      </w:tcPr>
    </w:tblStylePr>
    <w:tblStylePr w:type="lastRow">
      <w:rPr>
        <w:b/>
        <w:bCs/>
      </w:rPr>
      <w:tblPr/>
      <w:tcPr>
        <w:tcBorders>
          <w:top w:val="double" w:sz="4" w:space="0" w:color="96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0000" w:themeColor="accent2"/>
          <w:right w:val="single" w:sz="4" w:space="0" w:color="960000" w:themeColor="accent2"/>
        </w:tcBorders>
      </w:tcPr>
    </w:tblStylePr>
    <w:tblStylePr w:type="band1Horz">
      <w:tblPr/>
      <w:tcPr>
        <w:tcBorders>
          <w:top w:val="single" w:sz="4" w:space="0" w:color="960000" w:themeColor="accent2"/>
          <w:bottom w:val="single" w:sz="4" w:space="0" w:color="96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0000" w:themeColor="accent2"/>
          <w:left w:val="nil"/>
        </w:tcBorders>
      </w:tcPr>
    </w:tblStylePr>
    <w:tblStylePr w:type="swCell">
      <w:tblPr/>
      <w:tcPr>
        <w:tcBorders>
          <w:top w:val="double" w:sz="4" w:space="0" w:color="960000"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999E1" w:themeColor="accent3"/>
        <w:left w:val="single" w:sz="4" w:space="0" w:color="4999E1" w:themeColor="accent3"/>
        <w:bottom w:val="single" w:sz="4" w:space="0" w:color="4999E1" w:themeColor="accent3"/>
        <w:right w:val="single" w:sz="4" w:space="0" w:color="4999E1" w:themeColor="accent3"/>
      </w:tblBorders>
    </w:tblPr>
    <w:tblStylePr w:type="firstRow">
      <w:rPr>
        <w:b/>
        <w:bCs/>
        <w:color w:val="FFFFFF" w:themeColor="background1"/>
      </w:rPr>
      <w:tblPr/>
      <w:tcPr>
        <w:shd w:val="clear" w:color="auto" w:fill="4999E1" w:themeFill="accent3"/>
      </w:tcPr>
    </w:tblStylePr>
    <w:tblStylePr w:type="lastRow">
      <w:rPr>
        <w:b/>
        <w:bCs/>
      </w:rPr>
      <w:tblPr/>
      <w:tcPr>
        <w:tcBorders>
          <w:top w:val="double" w:sz="4" w:space="0" w:color="4999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99E1" w:themeColor="accent3"/>
          <w:right w:val="single" w:sz="4" w:space="0" w:color="4999E1" w:themeColor="accent3"/>
        </w:tcBorders>
      </w:tcPr>
    </w:tblStylePr>
    <w:tblStylePr w:type="band1Horz">
      <w:tblPr/>
      <w:tcPr>
        <w:tcBorders>
          <w:top w:val="single" w:sz="4" w:space="0" w:color="4999E1" w:themeColor="accent3"/>
          <w:bottom w:val="single" w:sz="4" w:space="0" w:color="4999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99E1" w:themeColor="accent3"/>
          <w:left w:val="nil"/>
        </w:tcBorders>
      </w:tcPr>
    </w:tblStylePr>
    <w:tblStylePr w:type="swCell">
      <w:tblPr/>
      <w:tcPr>
        <w:tcBorders>
          <w:top w:val="double" w:sz="4" w:space="0" w:color="4999E1" w:themeColor="accent3"/>
          <w:right w:val="nil"/>
        </w:tcBorders>
      </w:tcPr>
    </w:tblStylePr>
  </w:style>
  <w:style w:type="paragraph" w:styleId="IntenseQuote">
    <w:name w:val="Intense Quote"/>
    <w:basedOn w:val="Normal"/>
    <w:next w:val="Normal"/>
    <w:link w:val="IntenseQuoteChar"/>
    <w:uiPriority w:val="30"/>
    <w:qFormat/>
    <w:rsid w:val="00BF6930"/>
    <w:pPr>
      <w:pBdr>
        <w:top w:val="single" w:sz="4" w:space="6" w:color="0766A5" w:themeColor="accent1"/>
        <w:bottom w:val="single" w:sz="4" w:space="6" w:color="0766A5" w:themeColor="accent1"/>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BF6930"/>
    <w:rPr>
      <w:b/>
      <w:iCs/>
      <w:sz w:val="24"/>
    </w:rPr>
  </w:style>
  <w:style w:type="paragraph" w:customStyle="1" w:styleId="Calloutbox">
    <w:name w:val="Call out box"/>
    <w:basedOn w:val="Normal"/>
    <w:qFormat/>
    <w:rsid w:val="00BF6930"/>
    <w:pPr>
      <w:pBdr>
        <w:top w:val="single" w:sz="4" w:space="6" w:color="E2E1E1" w:themeColor="accent5" w:themeTint="33"/>
        <w:left w:val="single" w:sz="4" w:space="4" w:color="E2E1E1" w:themeColor="accent5" w:themeTint="33"/>
        <w:bottom w:val="single" w:sz="4" w:space="6" w:color="E2E1E1" w:themeColor="accent5" w:themeTint="33"/>
        <w:right w:val="single" w:sz="4" w:space="4" w:color="E2E1E1" w:themeColor="accent5" w:themeTint="33"/>
      </w:pBdr>
      <w:shd w:val="clear" w:color="auto" w:fill="E2E1E1" w:themeFill="accent5"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FF2727" w:themeColor="accent2" w:themeTint="99"/>
        <w:left w:val="single" w:sz="4" w:space="0" w:color="FF2727" w:themeColor="accent2" w:themeTint="99"/>
        <w:bottom w:val="single" w:sz="4" w:space="0" w:color="FF2727" w:themeColor="accent2" w:themeTint="99"/>
        <w:right w:val="single" w:sz="4" w:space="0" w:color="FF2727" w:themeColor="accent2" w:themeTint="99"/>
        <w:insideH w:val="single" w:sz="4" w:space="0" w:color="FF2727" w:themeColor="accent2" w:themeTint="99"/>
        <w:insideV w:val="single" w:sz="4" w:space="0" w:color="FF2727" w:themeColor="accent2" w:themeTint="99"/>
      </w:tblBorders>
    </w:tblPr>
    <w:tblStylePr w:type="firstRow">
      <w:rPr>
        <w:b/>
        <w:bCs/>
        <w:color w:val="FFFFFF" w:themeColor="background1"/>
      </w:rPr>
      <w:tblPr/>
      <w:tcPr>
        <w:tcBorders>
          <w:top w:val="single" w:sz="4" w:space="0" w:color="960000" w:themeColor="accent2"/>
          <w:left w:val="single" w:sz="4" w:space="0" w:color="960000" w:themeColor="accent2"/>
          <w:bottom w:val="single" w:sz="4" w:space="0" w:color="960000" w:themeColor="accent2"/>
          <w:right w:val="single" w:sz="4" w:space="0" w:color="960000" w:themeColor="accent2"/>
          <w:insideH w:val="nil"/>
          <w:insideV w:val="nil"/>
        </w:tcBorders>
        <w:shd w:val="clear" w:color="auto" w:fill="960000" w:themeFill="accent2"/>
      </w:tcPr>
    </w:tblStylePr>
    <w:tblStylePr w:type="lastRow">
      <w:rPr>
        <w:b/>
        <w:bCs/>
      </w:rPr>
      <w:tblPr/>
      <w:tcPr>
        <w:tcBorders>
          <w:top w:val="double" w:sz="4" w:space="0" w:color="960000" w:themeColor="accent2"/>
        </w:tcBorders>
      </w:tcPr>
    </w:tblStylePr>
    <w:tblStylePr w:type="firstCol">
      <w:rPr>
        <w:b/>
        <w:bCs/>
      </w:rPr>
    </w:tblStylePr>
    <w:tblStylePr w:type="lastCol">
      <w:rPr>
        <w:b/>
        <w:bCs/>
      </w:rPr>
    </w:tblStylePr>
    <w:tblStylePr w:type="band1Vert">
      <w:tblPr/>
      <w:tcPr>
        <w:shd w:val="clear" w:color="auto" w:fill="FFB7B7" w:themeFill="accent2" w:themeFillTint="33"/>
      </w:tcPr>
    </w:tblStylePr>
    <w:tblStylePr w:type="band1Horz">
      <w:tblPr/>
      <w:tcPr>
        <w:shd w:val="clear" w:color="auto" w:fill="FFB7B7"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FF6F6F" w:themeColor="accent2" w:themeTint="66"/>
        <w:left w:val="single" w:sz="4" w:space="0" w:color="FF6F6F" w:themeColor="accent2" w:themeTint="66"/>
        <w:bottom w:val="single" w:sz="4" w:space="0" w:color="FF6F6F" w:themeColor="accent2" w:themeTint="66"/>
        <w:right w:val="single" w:sz="4" w:space="0" w:color="FF6F6F" w:themeColor="accent2" w:themeTint="66"/>
        <w:insideH w:val="single" w:sz="4" w:space="0" w:color="FF6F6F" w:themeColor="accent2" w:themeTint="66"/>
        <w:insideV w:val="single" w:sz="4" w:space="0" w:color="FF6F6F" w:themeColor="accent2" w:themeTint="66"/>
      </w:tblBorders>
    </w:tblPr>
    <w:tblStylePr w:type="firstRow">
      <w:rPr>
        <w:b/>
        <w:bCs/>
      </w:rPr>
      <w:tblPr/>
      <w:tcPr>
        <w:tcBorders>
          <w:bottom w:val="single" w:sz="12" w:space="0" w:color="FF2727" w:themeColor="accent2" w:themeTint="99"/>
        </w:tcBorders>
      </w:tcPr>
    </w:tblStylePr>
    <w:tblStylePr w:type="lastRow">
      <w:rPr>
        <w:b/>
        <w:bCs/>
      </w:rPr>
      <w:tblPr/>
      <w:tcPr>
        <w:tcBorders>
          <w:top w:val="double" w:sz="2" w:space="0" w:color="FF2727"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3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66A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66A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66A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66A5" w:themeFill="accent1"/>
      </w:tcPr>
    </w:tblStylePr>
    <w:tblStylePr w:type="band1Vert">
      <w:tblPr/>
      <w:tcPr>
        <w:shd w:val="clear" w:color="auto" w:fill="7DC7F9" w:themeFill="accent1" w:themeFillTint="66"/>
      </w:tcPr>
    </w:tblStylePr>
    <w:tblStylePr w:type="band1Horz">
      <w:tblPr/>
      <w:tcPr>
        <w:shd w:val="clear" w:color="auto" w:fill="7DC7F9"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3CACF6" w:themeColor="accent1" w:themeTint="99"/>
        <w:left w:val="single" w:sz="4" w:space="0" w:color="3CACF6" w:themeColor="accent1" w:themeTint="99"/>
        <w:bottom w:val="single" w:sz="4" w:space="0" w:color="3CACF6" w:themeColor="accent1" w:themeTint="99"/>
        <w:right w:val="single" w:sz="4" w:space="0" w:color="3CACF6" w:themeColor="accent1" w:themeTint="99"/>
        <w:insideH w:val="single" w:sz="4" w:space="0" w:color="3CACF6" w:themeColor="accent1" w:themeTint="99"/>
        <w:insideV w:val="single" w:sz="4" w:space="0" w:color="3CACF6" w:themeColor="accent1" w:themeTint="99"/>
      </w:tblBorders>
    </w:tblPr>
    <w:tblStylePr w:type="firstRow">
      <w:rPr>
        <w:b/>
        <w:bCs/>
        <w:color w:val="FFFFFF" w:themeColor="background1"/>
      </w:rPr>
      <w:tblPr/>
      <w:tcPr>
        <w:shd w:val="clear" w:color="auto" w:fill="054C7B" w:themeFill="accent1" w:themeFillShade="BF"/>
      </w:tcPr>
    </w:tblStylePr>
    <w:tblStylePr w:type="lastRow">
      <w:rPr>
        <w:b/>
        <w:bCs/>
      </w:rPr>
      <w:tblPr/>
      <w:tcPr>
        <w:tcBorders>
          <w:top w:val="double" w:sz="4" w:space="0" w:color="0766A5" w:themeColor="accent1"/>
        </w:tcBorders>
      </w:tcPr>
    </w:tblStylePr>
    <w:tblStylePr w:type="firstCol">
      <w:rPr>
        <w:b/>
        <w:bCs/>
      </w:rPr>
    </w:tblStylePr>
    <w:tblStylePr w:type="lastCol">
      <w:rPr>
        <w:b/>
        <w:bCs/>
      </w:rPr>
    </w:tblStylePr>
    <w:tblStylePr w:type="band1Vert">
      <w:tblPr/>
      <w:tcPr>
        <w:shd w:val="clear" w:color="auto" w:fill="BEE3FC" w:themeFill="accent1" w:themeFillTint="33"/>
      </w:tcPr>
    </w:tblStylePr>
    <w:tblStylePr w:type="band1Horz">
      <w:tblPr/>
      <w:tcPr>
        <w:shd w:val="clear" w:color="auto" w:fill="BEE3FC"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A9A7A7" w:themeColor="accent5" w:themeTint="99"/>
        <w:left w:val="single" w:sz="4" w:space="0" w:color="A9A7A7" w:themeColor="accent5" w:themeTint="99"/>
        <w:bottom w:val="single" w:sz="4" w:space="0" w:color="A9A7A7" w:themeColor="accent5" w:themeTint="99"/>
        <w:right w:val="single" w:sz="4" w:space="0" w:color="A9A7A7" w:themeColor="accent5" w:themeTint="99"/>
        <w:insideH w:val="single" w:sz="4" w:space="0" w:color="A9A7A7" w:themeColor="accent5" w:themeTint="99"/>
        <w:insideV w:val="single" w:sz="4" w:space="0" w:color="A9A7A7" w:themeColor="accent5" w:themeTint="99"/>
      </w:tblBorders>
    </w:tblPr>
    <w:tblStylePr w:type="firstRow">
      <w:rPr>
        <w:b/>
        <w:bCs/>
        <w:color w:val="FFFFFF" w:themeColor="background1"/>
      </w:rPr>
      <w:tblPr/>
      <w:tcPr>
        <w:tcBorders>
          <w:top w:val="single" w:sz="4" w:space="0" w:color="706E6E" w:themeColor="accent5"/>
          <w:left w:val="single" w:sz="4" w:space="0" w:color="706E6E" w:themeColor="accent5"/>
          <w:bottom w:val="single" w:sz="4" w:space="0" w:color="706E6E" w:themeColor="accent5"/>
          <w:right w:val="single" w:sz="4" w:space="0" w:color="706E6E" w:themeColor="accent5"/>
          <w:insideH w:val="nil"/>
          <w:insideV w:val="nil"/>
        </w:tcBorders>
        <w:shd w:val="clear" w:color="auto" w:fill="706E6E" w:themeFill="accent5"/>
      </w:tcPr>
    </w:tblStylePr>
    <w:tblStylePr w:type="lastRow">
      <w:rPr>
        <w:b/>
        <w:bCs/>
      </w:rPr>
      <w:tblPr/>
      <w:tcPr>
        <w:tcBorders>
          <w:top w:val="double" w:sz="4" w:space="0" w:color="706E6E" w:themeColor="accent5"/>
        </w:tcBorders>
      </w:tcPr>
    </w:tblStylePr>
    <w:tblStylePr w:type="firstCol">
      <w:rPr>
        <w:b/>
        <w:bCs/>
      </w:rPr>
    </w:tblStylePr>
    <w:tblStylePr w:type="lastCol">
      <w:rPr>
        <w:b/>
        <w:bCs/>
      </w:rPr>
    </w:tblStylePr>
    <w:tblStylePr w:type="band1Vert">
      <w:tblPr/>
      <w:tcPr>
        <w:shd w:val="clear" w:color="auto" w:fill="E2E1E1" w:themeFill="accent5" w:themeFillTint="33"/>
      </w:tcPr>
    </w:tblStylePr>
    <w:tblStylePr w:type="band1Horz">
      <w:tblPr/>
      <w:tcPr>
        <w:shd w:val="clear" w:color="auto" w:fill="E2E1E1" w:themeFill="accent5" w:themeFillTint="33"/>
      </w:tcPr>
    </w:tblStylePr>
  </w:style>
  <w:style w:type="table" w:styleId="GridTable4-Accent4">
    <w:name w:val="Grid Table 4 Accent 4"/>
    <w:aliases w:val="DISR banded - Table 2"/>
    <w:basedOn w:val="TableNormal"/>
    <w:uiPriority w:val="49"/>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insideH w:val="single" w:sz="4" w:space="0" w:color="0766A5" w:themeColor="accent1"/>
        <w:insideV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single" w:sz="18" w:space="0" w:color="0B474D" w:themeColor="accent4"/>
        </w:tcBorders>
      </w:tcPr>
    </w:tblStylePr>
    <w:tblStylePr w:type="firstCol">
      <w:rPr>
        <w:b/>
        <w:bCs/>
      </w:rPr>
    </w:tblStylePr>
    <w:tblStylePr w:type="lastCol">
      <w:rPr>
        <w:b/>
        <w:bCs/>
      </w:rPr>
    </w:tblStylePr>
    <w:tblStylePr w:type="band1Vert">
      <w:tblPr/>
      <w:tcPr>
        <w:shd w:val="clear" w:color="auto" w:fill="B4EEF4" w:themeFill="accent4" w:themeFillTint="33"/>
      </w:tcPr>
    </w:tblStylePr>
    <w:tblStylePr w:type="band1Horz">
      <w:tblPr/>
      <w:tcPr>
        <w:shd w:val="clear" w:color="auto" w:fill="E2E1E1" w:themeFill="accent5"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91C1ED" w:themeColor="accent3" w:themeTint="99"/>
        <w:left w:val="single" w:sz="4" w:space="0" w:color="91C1ED" w:themeColor="accent3" w:themeTint="99"/>
        <w:bottom w:val="single" w:sz="4" w:space="0" w:color="91C1ED" w:themeColor="accent3" w:themeTint="99"/>
        <w:right w:val="single" w:sz="4" w:space="0" w:color="91C1ED" w:themeColor="accent3" w:themeTint="99"/>
        <w:insideH w:val="single" w:sz="4" w:space="0" w:color="91C1ED" w:themeColor="accent3" w:themeTint="99"/>
        <w:insideV w:val="single" w:sz="4" w:space="0" w:color="91C1ED" w:themeColor="accent3" w:themeTint="99"/>
      </w:tblBorders>
    </w:tblPr>
    <w:tblStylePr w:type="firstRow">
      <w:rPr>
        <w:b/>
        <w:bCs/>
        <w:color w:val="FFFFFF" w:themeColor="background1"/>
      </w:rPr>
      <w:tblPr/>
      <w:tcPr>
        <w:tcBorders>
          <w:top w:val="single" w:sz="4" w:space="0" w:color="4999E1" w:themeColor="accent3"/>
          <w:left w:val="single" w:sz="4" w:space="0" w:color="4999E1" w:themeColor="accent3"/>
          <w:bottom w:val="single" w:sz="4" w:space="0" w:color="4999E1" w:themeColor="accent3"/>
          <w:right w:val="single" w:sz="4" w:space="0" w:color="4999E1" w:themeColor="accent3"/>
          <w:insideH w:val="nil"/>
          <w:insideV w:val="nil"/>
        </w:tcBorders>
        <w:shd w:val="clear" w:color="auto" w:fill="4999E1" w:themeFill="accent3"/>
      </w:tcPr>
    </w:tblStylePr>
    <w:tblStylePr w:type="lastRow">
      <w:rPr>
        <w:b/>
        <w:bCs/>
      </w:rPr>
      <w:tblPr/>
      <w:tcPr>
        <w:tcBorders>
          <w:top w:val="double" w:sz="4" w:space="0" w:color="4999E1" w:themeColor="accent3"/>
        </w:tcBorders>
      </w:tcPr>
    </w:tblStylePr>
    <w:tblStylePr w:type="firstCol">
      <w:rPr>
        <w:b/>
        <w:bCs/>
      </w:rPr>
    </w:tblStylePr>
    <w:tblStylePr w:type="lastCol">
      <w:rPr>
        <w:b/>
        <w:bCs/>
      </w:rPr>
    </w:tblStylePr>
    <w:tblStylePr w:type="band1Vert">
      <w:tblPr/>
      <w:tcPr>
        <w:shd w:val="clear" w:color="auto" w:fill="DAEAF9" w:themeFill="accent3" w:themeFillTint="33"/>
      </w:tcPr>
    </w:tblStylePr>
    <w:tblStylePr w:type="band1Horz">
      <w:tblPr/>
      <w:tcPr>
        <w:shd w:val="clear" w:color="auto" w:fill="DAEAF9"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001B35"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766A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B474D" w:themeColor="accent4"/>
        <w:left w:val="single" w:sz="4" w:space="0" w:color="0B474D" w:themeColor="accent4"/>
        <w:bottom w:val="single" w:sz="4" w:space="0" w:color="0B474D" w:themeColor="accent4"/>
        <w:right w:val="single" w:sz="4" w:space="0" w:color="0B474D" w:themeColor="accent4"/>
      </w:tblBorders>
    </w:tblPr>
    <w:tblStylePr w:type="firstRow">
      <w:rPr>
        <w:b/>
        <w:bCs/>
        <w:color w:val="FFFFFF" w:themeColor="background1"/>
      </w:rPr>
      <w:tblPr/>
      <w:tcPr>
        <w:shd w:val="clear" w:color="auto" w:fill="0B474D" w:themeFill="accent4"/>
      </w:tcPr>
    </w:tblStylePr>
    <w:tblStylePr w:type="lastRow">
      <w:rPr>
        <w:b/>
        <w:bCs/>
      </w:rPr>
      <w:tblPr/>
      <w:tcPr>
        <w:tcBorders>
          <w:top w:val="double" w:sz="4" w:space="0" w:color="0B47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474D" w:themeColor="accent4"/>
          <w:right w:val="single" w:sz="4" w:space="0" w:color="0B474D" w:themeColor="accent4"/>
        </w:tcBorders>
      </w:tcPr>
    </w:tblStylePr>
    <w:tblStylePr w:type="band1Horz">
      <w:tblPr/>
      <w:tcPr>
        <w:tcBorders>
          <w:top w:val="single" w:sz="4" w:space="0" w:color="0B474D" w:themeColor="accent4"/>
          <w:bottom w:val="single" w:sz="4" w:space="0" w:color="0B47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474D" w:themeColor="accent4"/>
          <w:left w:val="nil"/>
        </w:tcBorders>
      </w:tcPr>
    </w:tblStylePr>
    <w:tblStylePr w:type="swCell">
      <w:tblPr/>
      <w:tcPr>
        <w:tcBorders>
          <w:top w:val="double" w:sz="4" w:space="0" w:color="0B474D"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BF6930"/>
    <w:pPr>
      <w:spacing w:after="0" w:line="240" w:lineRule="auto"/>
    </w:pPr>
    <w:tblPr>
      <w:tblStyleRowBandSize w:val="1"/>
      <w:tblStyleColBandSize w:val="1"/>
      <w:tblBorders>
        <w:top w:val="single" w:sz="4" w:space="0" w:color="0766A5" w:themeColor="accent1"/>
        <w:left w:val="single" w:sz="4" w:space="0" w:color="0766A5" w:themeColor="accent1"/>
        <w:bottom w:val="single" w:sz="4" w:space="0" w:color="0766A5" w:themeColor="accent1"/>
        <w:right w:val="single" w:sz="4" w:space="0" w:color="0766A5" w:themeColor="accent1"/>
      </w:tblBorders>
    </w:tblPr>
    <w:tblStylePr w:type="firstRow">
      <w:rPr>
        <w:b/>
        <w:bCs/>
        <w:color w:val="FFFFFF" w:themeColor="background1"/>
      </w:rPr>
      <w:tblPr/>
      <w:tcPr>
        <w:shd w:val="clear" w:color="auto" w:fill="0766A5" w:themeFill="accent1"/>
      </w:tcPr>
    </w:tblStylePr>
    <w:tblStylePr w:type="lastRow">
      <w:rPr>
        <w:b/>
        <w:bCs/>
      </w:rPr>
      <w:tblPr/>
      <w:tcPr>
        <w:tcBorders>
          <w:top w:val="double" w:sz="4" w:space="0" w:color="0766A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66A5" w:themeColor="accent1"/>
          <w:right w:val="single" w:sz="4" w:space="0" w:color="0766A5" w:themeColor="accent1"/>
        </w:tcBorders>
      </w:tcPr>
    </w:tblStylePr>
    <w:tblStylePr w:type="band1Horz">
      <w:tblPr/>
      <w:tcPr>
        <w:tcBorders>
          <w:top w:val="single" w:sz="4" w:space="0" w:color="0766A5" w:themeColor="accent1"/>
          <w:bottom w:val="single" w:sz="4" w:space="0" w:color="0766A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66A5" w:themeColor="accent1"/>
          <w:left w:val="nil"/>
        </w:tcBorders>
      </w:tcPr>
    </w:tblStylePr>
    <w:tblStylePr w:type="swCell">
      <w:tblPr/>
      <w:tcPr>
        <w:tcBorders>
          <w:top w:val="double" w:sz="4" w:space="0" w:color="0766A5" w:themeColor="accent1"/>
          <w:right w:val="nil"/>
        </w:tcBorders>
      </w:tcPr>
    </w:tblStylePr>
  </w:style>
  <w:style w:type="paragraph" w:styleId="NormalWeb">
    <w:name w:val="Normal (Web)"/>
    <w:basedOn w:val="Normal"/>
    <w:uiPriority w:val="99"/>
    <w:semiHidden/>
    <w:unhideWhenUsed/>
    <w:rsid w:val="00FA243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662F0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62F05"/>
  </w:style>
  <w:style w:type="character" w:customStyle="1" w:styleId="eop">
    <w:name w:val="eop"/>
    <w:basedOn w:val="DefaultParagraphFont"/>
    <w:rsid w:val="0066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6953951">
      <w:bodyDiv w:val="1"/>
      <w:marLeft w:val="0"/>
      <w:marRight w:val="0"/>
      <w:marTop w:val="0"/>
      <w:marBottom w:val="0"/>
      <w:divBdr>
        <w:top w:val="none" w:sz="0" w:space="0" w:color="auto"/>
        <w:left w:val="none" w:sz="0" w:space="0" w:color="auto"/>
        <w:bottom w:val="none" w:sz="0" w:space="0" w:color="auto"/>
        <w:right w:val="none" w:sz="0" w:space="0" w:color="auto"/>
      </w:divBdr>
    </w:div>
    <w:div w:id="129977626">
      <w:bodyDiv w:val="1"/>
      <w:marLeft w:val="0"/>
      <w:marRight w:val="0"/>
      <w:marTop w:val="0"/>
      <w:marBottom w:val="0"/>
      <w:divBdr>
        <w:top w:val="none" w:sz="0" w:space="0" w:color="auto"/>
        <w:left w:val="none" w:sz="0" w:space="0" w:color="auto"/>
        <w:bottom w:val="none" w:sz="0" w:space="0" w:color="auto"/>
        <w:right w:val="none" w:sz="0" w:space="0" w:color="auto"/>
      </w:divBdr>
    </w:div>
    <w:div w:id="146671932">
      <w:bodyDiv w:val="1"/>
      <w:marLeft w:val="0"/>
      <w:marRight w:val="0"/>
      <w:marTop w:val="0"/>
      <w:marBottom w:val="0"/>
      <w:divBdr>
        <w:top w:val="none" w:sz="0" w:space="0" w:color="auto"/>
        <w:left w:val="none" w:sz="0" w:space="0" w:color="auto"/>
        <w:bottom w:val="none" w:sz="0" w:space="0" w:color="auto"/>
        <w:right w:val="none" w:sz="0" w:space="0" w:color="auto"/>
      </w:divBdr>
    </w:div>
    <w:div w:id="182593347">
      <w:bodyDiv w:val="1"/>
      <w:marLeft w:val="0"/>
      <w:marRight w:val="0"/>
      <w:marTop w:val="0"/>
      <w:marBottom w:val="0"/>
      <w:divBdr>
        <w:top w:val="none" w:sz="0" w:space="0" w:color="auto"/>
        <w:left w:val="none" w:sz="0" w:space="0" w:color="auto"/>
        <w:bottom w:val="none" w:sz="0" w:space="0" w:color="auto"/>
        <w:right w:val="none" w:sz="0" w:space="0" w:color="auto"/>
      </w:divBdr>
    </w:div>
    <w:div w:id="241333136">
      <w:bodyDiv w:val="1"/>
      <w:marLeft w:val="0"/>
      <w:marRight w:val="0"/>
      <w:marTop w:val="0"/>
      <w:marBottom w:val="0"/>
      <w:divBdr>
        <w:top w:val="none" w:sz="0" w:space="0" w:color="auto"/>
        <w:left w:val="none" w:sz="0" w:space="0" w:color="auto"/>
        <w:bottom w:val="none" w:sz="0" w:space="0" w:color="auto"/>
        <w:right w:val="none" w:sz="0" w:space="0" w:color="auto"/>
      </w:divBdr>
    </w:div>
    <w:div w:id="278414761">
      <w:bodyDiv w:val="1"/>
      <w:marLeft w:val="0"/>
      <w:marRight w:val="0"/>
      <w:marTop w:val="0"/>
      <w:marBottom w:val="0"/>
      <w:divBdr>
        <w:top w:val="none" w:sz="0" w:space="0" w:color="auto"/>
        <w:left w:val="none" w:sz="0" w:space="0" w:color="auto"/>
        <w:bottom w:val="none" w:sz="0" w:space="0" w:color="auto"/>
        <w:right w:val="none" w:sz="0" w:space="0" w:color="auto"/>
      </w:divBdr>
    </w:div>
    <w:div w:id="365302300">
      <w:bodyDiv w:val="1"/>
      <w:marLeft w:val="0"/>
      <w:marRight w:val="0"/>
      <w:marTop w:val="0"/>
      <w:marBottom w:val="0"/>
      <w:divBdr>
        <w:top w:val="none" w:sz="0" w:space="0" w:color="auto"/>
        <w:left w:val="none" w:sz="0" w:space="0" w:color="auto"/>
        <w:bottom w:val="none" w:sz="0" w:space="0" w:color="auto"/>
        <w:right w:val="none" w:sz="0" w:space="0" w:color="auto"/>
      </w:divBdr>
    </w:div>
    <w:div w:id="399600072">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510416490">
      <w:bodyDiv w:val="1"/>
      <w:marLeft w:val="0"/>
      <w:marRight w:val="0"/>
      <w:marTop w:val="0"/>
      <w:marBottom w:val="0"/>
      <w:divBdr>
        <w:top w:val="none" w:sz="0" w:space="0" w:color="auto"/>
        <w:left w:val="none" w:sz="0" w:space="0" w:color="auto"/>
        <w:bottom w:val="none" w:sz="0" w:space="0" w:color="auto"/>
        <w:right w:val="none" w:sz="0" w:space="0" w:color="auto"/>
      </w:divBdr>
      <w:divsChild>
        <w:div w:id="1850831111">
          <w:marLeft w:val="360"/>
          <w:marRight w:val="0"/>
          <w:marTop w:val="120"/>
          <w:marBottom w:val="120"/>
          <w:divBdr>
            <w:top w:val="none" w:sz="0" w:space="0" w:color="auto"/>
            <w:left w:val="none" w:sz="0" w:space="0" w:color="auto"/>
            <w:bottom w:val="none" w:sz="0" w:space="0" w:color="auto"/>
            <w:right w:val="none" w:sz="0" w:space="0" w:color="auto"/>
          </w:divBdr>
        </w:div>
        <w:div w:id="2002272641">
          <w:marLeft w:val="360"/>
          <w:marRight w:val="0"/>
          <w:marTop w:val="120"/>
          <w:marBottom w:val="120"/>
          <w:divBdr>
            <w:top w:val="none" w:sz="0" w:space="0" w:color="auto"/>
            <w:left w:val="none" w:sz="0" w:space="0" w:color="auto"/>
            <w:bottom w:val="none" w:sz="0" w:space="0" w:color="auto"/>
            <w:right w:val="none" w:sz="0" w:space="0" w:color="auto"/>
          </w:divBdr>
        </w:div>
      </w:divsChild>
    </w:div>
    <w:div w:id="540437952">
      <w:bodyDiv w:val="1"/>
      <w:marLeft w:val="0"/>
      <w:marRight w:val="0"/>
      <w:marTop w:val="0"/>
      <w:marBottom w:val="0"/>
      <w:divBdr>
        <w:top w:val="none" w:sz="0" w:space="0" w:color="auto"/>
        <w:left w:val="none" w:sz="0" w:space="0" w:color="auto"/>
        <w:bottom w:val="none" w:sz="0" w:space="0" w:color="auto"/>
        <w:right w:val="none" w:sz="0" w:space="0" w:color="auto"/>
      </w:divBdr>
    </w:div>
    <w:div w:id="694619287">
      <w:bodyDiv w:val="1"/>
      <w:marLeft w:val="0"/>
      <w:marRight w:val="0"/>
      <w:marTop w:val="0"/>
      <w:marBottom w:val="0"/>
      <w:divBdr>
        <w:top w:val="none" w:sz="0" w:space="0" w:color="auto"/>
        <w:left w:val="none" w:sz="0" w:space="0" w:color="auto"/>
        <w:bottom w:val="none" w:sz="0" w:space="0" w:color="auto"/>
        <w:right w:val="none" w:sz="0" w:space="0" w:color="auto"/>
      </w:divBdr>
      <w:divsChild>
        <w:div w:id="468596983">
          <w:marLeft w:val="360"/>
          <w:marRight w:val="0"/>
          <w:marTop w:val="120"/>
          <w:marBottom w:val="120"/>
          <w:divBdr>
            <w:top w:val="none" w:sz="0" w:space="0" w:color="auto"/>
            <w:left w:val="none" w:sz="0" w:space="0" w:color="auto"/>
            <w:bottom w:val="none" w:sz="0" w:space="0" w:color="auto"/>
            <w:right w:val="none" w:sz="0" w:space="0" w:color="auto"/>
          </w:divBdr>
        </w:div>
        <w:div w:id="1459378534">
          <w:marLeft w:val="360"/>
          <w:marRight w:val="0"/>
          <w:marTop w:val="120"/>
          <w:marBottom w:val="120"/>
          <w:divBdr>
            <w:top w:val="none" w:sz="0" w:space="0" w:color="auto"/>
            <w:left w:val="none" w:sz="0" w:space="0" w:color="auto"/>
            <w:bottom w:val="none" w:sz="0" w:space="0" w:color="auto"/>
            <w:right w:val="none" w:sz="0" w:space="0" w:color="auto"/>
          </w:divBdr>
        </w:div>
        <w:div w:id="241917156">
          <w:marLeft w:val="360"/>
          <w:marRight w:val="0"/>
          <w:marTop w:val="120"/>
          <w:marBottom w:val="120"/>
          <w:divBdr>
            <w:top w:val="none" w:sz="0" w:space="0" w:color="auto"/>
            <w:left w:val="none" w:sz="0" w:space="0" w:color="auto"/>
            <w:bottom w:val="none" w:sz="0" w:space="0" w:color="auto"/>
            <w:right w:val="none" w:sz="0" w:space="0" w:color="auto"/>
          </w:divBdr>
        </w:div>
      </w:divsChild>
    </w:div>
    <w:div w:id="803547821">
      <w:bodyDiv w:val="1"/>
      <w:marLeft w:val="0"/>
      <w:marRight w:val="0"/>
      <w:marTop w:val="0"/>
      <w:marBottom w:val="0"/>
      <w:divBdr>
        <w:top w:val="none" w:sz="0" w:space="0" w:color="auto"/>
        <w:left w:val="none" w:sz="0" w:space="0" w:color="auto"/>
        <w:bottom w:val="none" w:sz="0" w:space="0" w:color="auto"/>
        <w:right w:val="none" w:sz="0" w:space="0" w:color="auto"/>
      </w:divBdr>
    </w:div>
    <w:div w:id="863327493">
      <w:bodyDiv w:val="1"/>
      <w:marLeft w:val="0"/>
      <w:marRight w:val="0"/>
      <w:marTop w:val="0"/>
      <w:marBottom w:val="0"/>
      <w:divBdr>
        <w:top w:val="none" w:sz="0" w:space="0" w:color="auto"/>
        <w:left w:val="none" w:sz="0" w:space="0" w:color="auto"/>
        <w:bottom w:val="none" w:sz="0" w:space="0" w:color="auto"/>
        <w:right w:val="none" w:sz="0" w:space="0" w:color="auto"/>
      </w:divBdr>
    </w:div>
    <w:div w:id="917523489">
      <w:bodyDiv w:val="1"/>
      <w:marLeft w:val="0"/>
      <w:marRight w:val="0"/>
      <w:marTop w:val="0"/>
      <w:marBottom w:val="0"/>
      <w:divBdr>
        <w:top w:val="none" w:sz="0" w:space="0" w:color="auto"/>
        <w:left w:val="none" w:sz="0" w:space="0" w:color="auto"/>
        <w:bottom w:val="none" w:sz="0" w:space="0" w:color="auto"/>
        <w:right w:val="none" w:sz="0" w:space="0" w:color="auto"/>
      </w:divBdr>
    </w:div>
    <w:div w:id="937370373">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36027059">
      <w:bodyDiv w:val="1"/>
      <w:marLeft w:val="0"/>
      <w:marRight w:val="0"/>
      <w:marTop w:val="0"/>
      <w:marBottom w:val="0"/>
      <w:divBdr>
        <w:top w:val="none" w:sz="0" w:space="0" w:color="auto"/>
        <w:left w:val="none" w:sz="0" w:space="0" w:color="auto"/>
        <w:bottom w:val="none" w:sz="0" w:space="0" w:color="auto"/>
        <w:right w:val="none" w:sz="0" w:space="0" w:color="auto"/>
      </w:divBdr>
    </w:div>
    <w:div w:id="1422603160">
      <w:bodyDiv w:val="1"/>
      <w:marLeft w:val="0"/>
      <w:marRight w:val="0"/>
      <w:marTop w:val="0"/>
      <w:marBottom w:val="0"/>
      <w:divBdr>
        <w:top w:val="none" w:sz="0" w:space="0" w:color="auto"/>
        <w:left w:val="none" w:sz="0" w:space="0" w:color="auto"/>
        <w:bottom w:val="none" w:sz="0" w:space="0" w:color="auto"/>
        <w:right w:val="none" w:sz="0" w:space="0" w:color="auto"/>
      </w:divBdr>
    </w:div>
    <w:div w:id="1439063441">
      <w:bodyDiv w:val="1"/>
      <w:marLeft w:val="0"/>
      <w:marRight w:val="0"/>
      <w:marTop w:val="0"/>
      <w:marBottom w:val="0"/>
      <w:divBdr>
        <w:top w:val="none" w:sz="0" w:space="0" w:color="auto"/>
        <w:left w:val="none" w:sz="0" w:space="0" w:color="auto"/>
        <w:bottom w:val="none" w:sz="0" w:space="0" w:color="auto"/>
        <w:right w:val="none" w:sz="0" w:space="0" w:color="auto"/>
      </w:divBdr>
    </w:div>
    <w:div w:id="1461534661">
      <w:bodyDiv w:val="1"/>
      <w:marLeft w:val="0"/>
      <w:marRight w:val="0"/>
      <w:marTop w:val="0"/>
      <w:marBottom w:val="0"/>
      <w:divBdr>
        <w:top w:val="none" w:sz="0" w:space="0" w:color="auto"/>
        <w:left w:val="none" w:sz="0" w:space="0" w:color="auto"/>
        <w:bottom w:val="none" w:sz="0" w:space="0" w:color="auto"/>
        <w:right w:val="none" w:sz="0" w:space="0" w:color="auto"/>
      </w:divBdr>
    </w:div>
    <w:div w:id="1501189896">
      <w:bodyDiv w:val="1"/>
      <w:marLeft w:val="0"/>
      <w:marRight w:val="0"/>
      <w:marTop w:val="0"/>
      <w:marBottom w:val="0"/>
      <w:divBdr>
        <w:top w:val="none" w:sz="0" w:space="0" w:color="auto"/>
        <w:left w:val="none" w:sz="0" w:space="0" w:color="auto"/>
        <w:bottom w:val="none" w:sz="0" w:space="0" w:color="auto"/>
        <w:right w:val="none" w:sz="0" w:space="0" w:color="auto"/>
      </w:divBdr>
    </w:div>
    <w:div w:id="1569070900">
      <w:bodyDiv w:val="1"/>
      <w:marLeft w:val="0"/>
      <w:marRight w:val="0"/>
      <w:marTop w:val="0"/>
      <w:marBottom w:val="0"/>
      <w:divBdr>
        <w:top w:val="none" w:sz="0" w:space="0" w:color="auto"/>
        <w:left w:val="none" w:sz="0" w:space="0" w:color="auto"/>
        <w:bottom w:val="none" w:sz="0" w:space="0" w:color="auto"/>
        <w:right w:val="none" w:sz="0" w:space="0" w:color="auto"/>
      </w:divBdr>
    </w:div>
    <w:div w:id="1611426220">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01072375">
      <w:bodyDiv w:val="1"/>
      <w:marLeft w:val="0"/>
      <w:marRight w:val="0"/>
      <w:marTop w:val="0"/>
      <w:marBottom w:val="0"/>
      <w:divBdr>
        <w:top w:val="none" w:sz="0" w:space="0" w:color="auto"/>
        <w:left w:val="none" w:sz="0" w:space="0" w:color="auto"/>
        <w:bottom w:val="none" w:sz="0" w:space="0" w:color="auto"/>
        <w:right w:val="none" w:sz="0" w:space="0" w:color="auto"/>
      </w:divBdr>
    </w:div>
    <w:div w:id="1836529095">
      <w:bodyDiv w:val="1"/>
      <w:marLeft w:val="0"/>
      <w:marRight w:val="0"/>
      <w:marTop w:val="0"/>
      <w:marBottom w:val="0"/>
      <w:divBdr>
        <w:top w:val="none" w:sz="0" w:space="0" w:color="auto"/>
        <w:left w:val="none" w:sz="0" w:space="0" w:color="auto"/>
        <w:bottom w:val="none" w:sz="0" w:space="0" w:color="auto"/>
        <w:right w:val="none" w:sz="0" w:space="0" w:color="auto"/>
      </w:divBdr>
    </w:div>
    <w:div w:id="1899054828">
      <w:bodyDiv w:val="1"/>
      <w:marLeft w:val="0"/>
      <w:marRight w:val="0"/>
      <w:marTop w:val="0"/>
      <w:marBottom w:val="0"/>
      <w:divBdr>
        <w:top w:val="none" w:sz="0" w:space="0" w:color="auto"/>
        <w:left w:val="none" w:sz="0" w:space="0" w:color="auto"/>
        <w:bottom w:val="none" w:sz="0" w:space="0" w:color="auto"/>
        <w:right w:val="none" w:sz="0" w:space="0" w:color="auto"/>
      </w:divBdr>
    </w:div>
    <w:div w:id="1982692475">
      <w:bodyDiv w:val="1"/>
      <w:marLeft w:val="0"/>
      <w:marRight w:val="0"/>
      <w:marTop w:val="0"/>
      <w:marBottom w:val="0"/>
      <w:divBdr>
        <w:top w:val="none" w:sz="0" w:space="0" w:color="auto"/>
        <w:left w:val="none" w:sz="0" w:space="0" w:color="auto"/>
        <w:bottom w:val="none" w:sz="0" w:space="0" w:color="auto"/>
        <w:right w:val="none" w:sz="0" w:space="0" w:color="auto"/>
      </w:divBdr>
    </w:div>
    <w:div w:id="2001813306">
      <w:bodyDiv w:val="1"/>
      <w:marLeft w:val="0"/>
      <w:marRight w:val="0"/>
      <w:marTop w:val="0"/>
      <w:marBottom w:val="0"/>
      <w:divBdr>
        <w:top w:val="none" w:sz="0" w:space="0" w:color="auto"/>
        <w:left w:val="none" w:sz="0" w:space="0" w:color="auto"/>
        <w:bottom w:val="none" w:sz="0" w:space="0" w:color="auto"/>
        <w:right w:val="none" w:sz="0" w:space="0" w:color="auto"/>
      </w:divBdr>
    </w:div>
    <w:div w:id="2030183697">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SR Charting">
      <a:dk1>
        <a:sysClr val="windowText" lastClr="000000"/>
      </a:dk1>
      <a:lt1>
        <a:sysClr val="window" lastClr="FFFFFF"/>
      </a:lt1>
      <a:dk2>
        <a:srgbClr val="CE5958"/>
      </a:dk2>
      <a:lt2>
        <a:srgbClr val="001B35"/>
      </a:lt2>
      <a:accent1>
        <a:srgbClr val="0766A5"/>
      </a:accent1>
      <a:accent2>
        <a:srgbClr val="960000"/>
      </a:accent2>
      <a:accent3>
        <a:srgbClr val="4999E1"/>
      </a:accent3>
      <a:accent4>
        <a:srgbClr val="0B474D"/>
      </a:accent4>
      <a:accent5>
        <a:srgbClr val="706E6E"/>
      </a:accent5>
      <a:accent6>
        <a:srgbClr val="61008E"/>
      </a:accent6>
      <a:hlink>
        <a:srgbClr val="0766A5"/>
      </a:hlink>
      <a:folHlink>
        <a:srgbClr val="001B35"/>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2024-11-29T04:49:00Z</dcterms:created>
  <dcterms:modified xsi:type="dcterms:W3CDTF">2024-12-01T23:56:00Z</dcterms:modified>
</cp:coreProperties>
</file>