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FC58" w14:textId="4983F4FE" w:rsidR="005253CB" w:rsidRDefault="00696FF8" w:rsidP="008B679D">
      <w:pPr>
        <w:pStyle w:val="Pa12"/>
        <w:jc w:val="center"/>
        <w:rPr>
          <w:rFonts w:ascii="Times New Roman" w:hAnsi="Times New Roman" w:cs="Times New Roman"/>
          <w:b/>
          <w:bCs/>
          <w:sz w:val="32"/>
          <w:szCs w:val="32"/>
          <w:lang w:val="en-AU"/>
        </w:rPr>
      </w:pPr>
      <w:r>
        <w:rPr>
          <w:rFonts w:ascii="Times New Roman" w:hAnsi="Times New Roman" w:cs="Times New Roman"/>
          <w:b/>
          <w:bCs/>
          <w:noProof/>
          <w:sz w:val="32"/>
          <w:szCs w:val="32"/>
          <w:lang w:val="en-AU" w:eastAsia="en-AU"/>
        </w:rPr>
        <w:drawing>
          <wp:inline distT="0" distB="0" distL="0" distR="0" wp14:anchorId="61627986" wp14:editId="373F4007">
            <wp:extent cx="4701049" cy="880572"/>
            <wp:effectExtent l="0" t="0" r="444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7447" cy="896755"/>
                    </a:xfrm>
                    <a:prstGeom prst="rect">
                      <a:avLst/>
                    </a:prstGeom>
                    <a:noFill/>
                    <a:ln>
                      <a:noFill/>
                    </a:ln>
                  </pic:spPr>
                </pic:pic>
              </a:graphicData>
            </a:graphic>
          </wp:inline>
        </w:drawing>
      </w:r>
    </w:p>
    <w:p w14:paraId="05B5443E" w14:textId="77777777" w:rsidR="008B679D" w:rsidRPr="00AB20F0" w:rsidRDefault="008B679D" w:rsidP="008B679D">
      <w:pPr>
        <w:rPr>
          <w:rFonts w:asciiTheme="minorHAnsi" w:hAnsiTheme="minorHAnsi"/>
        </w:rPr>
      </w:pPr>
    </w:p>
    <w:p w14:paraId="1607A7F6" w14:textId="77777777" w:rsidR="005253CB" w:rsidRPr="005C7164" w:rsidRDefault="005253CB" w:rsidP="005C7164">
      <w:pPr>
        <w:pStyle w:val="Pa12"/>
        <w:jc w:val="center"/>
        <w:rPr>
          <w:rFonts w:asciiTheme="minorHAnsi" w:hAnsiTheme="minorHAnsi" w:cs="Times New Roman"/>
          <w:b/>
          <w:bCs/>
          <w:sz w:val="32"/>
          <w:szCs w:val="32"/>
          <w:lang w:val="en-AU"/>
        </w:rPr>
      </w:pPr>
      <w:bookmarkStart w:id="0" w:name="OLE_LINK4"/>
      <w:bookmarkStart w:id="1" w:name="OLE_LINK5"/>
    </w:p>
    <w:p w14:paraId="3EC34D00" w14:textId="77777777" w:rsidR="00B67643" w:rsidRDefault="00B67643" w:rsidP="002C295A">
      <w:pPr>
        <w:pStyle w:val="Pa12"/>
        <w:spacing w:before="120"/>
        <w:jc w:val="center"/>
        <w:rPr>
          <w:rFonts w:ascii="Arial" w:hAnsi="Arial" w:cs="Arial"/>
          <w:b/>
          <w:bCs/>
          <w:sz w:val="36"/>
          <w:szCs w:val="36"/>
          <w:lang w:val="en-AU"/>
        </w:rPr>
      </w:pPr>
    </w:p>
    <w:p w14:paraId="656DE186" w14:textId="77777777" w:rsidR="002C295A" w:rsidRDefault="008B679D" w:rsidP="002C295A">
      <w:pPr>
        <w:spacing w:before="120"/>
        <w:jc w:val="center"/>
        <w:rPr>
          <w:rFonts w:cs="Arial"/>
          <w:b/>
          <w:sz w:val="36"/>
          <w:szCs w:val="36"/>
        </w:rPr>
      </w:pPr>
      <w:r w:rsidRPr="003A03B3">
        <w:rPr>
          <w:rFonts w:cs="Arial"/>
          <w:b/>
          <w:sz w:val="36"/>
          <w:szCs w:val="36"/>
        </w:rPr>
        <w:t>COST RECOVERY IMPLEMENTATION STATEMENT</w:t>
      </w:r>
    </w:p>
    <w:p w14:paraId="4371BA6E" w14:textId="6F0BB530" w:rsidR="00EC771B" w:rsidRPr="003A03B3" w:rsidRDefault="00EC771B" w:rsidP="002C295A">
      <w:pPr>
        <w:spacing w:before="120"/>
        <w:jc w:val="center"/>
        <w:rPr>
          <w:rFonts w:cs="Arial"/>
          <w:b/>
          <w:i/>
          <w:iCs/>
          <w:sz w:val="36"/>
          <w:szCs w:val="36"/>
          <w:u w:val="single"/>
        </w:rPr>
      </w:pPr>
    </w:p>
    <w:bookmarkEnd w:id="0"/>
    <w:bookmarkEnd w:id="1"/>
    <w:p w14:paraId="7D09E540" w14:textId="77777777" w:rsidR="003A03B3" w:rsidRPr="003A03B3" w:rsidRDefault="003A03B3" w:rsidP="003A03B3">
      <w:pPr>
        <w:jc w:val="center"/>
        <w:rPr>
          <w:rFonts w:cs="Arial"/>
          <w:b/>
          <w:color w:val="595959" w:themeColor="text1" w:themeTint="A6"/>
          <w:sz w:val="36"/>
          <w:szCs w:val="36"/>
        </w:rPr>
      </w:pPr>
    </w:p>
    <w:p w14:paraId="7FACB98A" w14:textId="77777777" w:rsidR="008B679D" w:rsidRPr="003A03B3" w:rsidRDefault="003A03B3" w:rsidP="003A03B3">
      <w:pPr>
        <w:jc w:val="center"/>
        <w:rPr>
          <w:rFonts w:cs="Arial"/>
          <w:b/>
          <w:sz w:val="36"/>
          <w:szCs w:val="36"/>
        </w:rPr>
      </w:pPr>
      <w:r w:rsidRPr="003A03B3">
        <w:rPr>
          <w:rFonts w:cs="Arial"/>
          <w:b/>
          <w:sz w:val="36"/>
          <w:szCs w:val="36"/>
        </w:rPr>
        <w:t xml:space="preserve">Pattern Approval, Trade Measurement Licensing and </w:t>
      </w:r>
      <w:r w:rsidRPr="003A03B3">
        <w:rPr>
          <w:rFonts w:cs="Arial"/>
          <w:b/>
          <w:sz w:val="36"/>
          <w:szCs w:val="36"/>
        </w:rPr>
        <w:br/>
        <w:t>Legal Metrology Appointments</w:t>
      </w:r>
    </w:p>
    <w:p w14:paraId="2056D58D" w14:textId="77777777" w:rsidR="003A03B3" w:rsidRPr="003A03B3" w:rsidRDefault="003A03B3" w:rsidP="003A03B3">
      <w:pPr>
        <w:jc w:val="center"/>
        <w:rPr>
          <w:rFonts w:cs="Arial"/>
          <w:b/>
          <w:sz w:val="36"/>
          <w:szCs w:val="36"/>
        </w:rPr>
      </w:pPr>
    </w:p>
    <w:p w14:paraId="3E4B43C9" w14:textId="77777777" w:rsidR="003A03B3" w:rsidRPr="003A03B3" w:rsidRDefault="003A03B3" w:rsidP="003A03B3">
      <w:pPr>
        <w:jc w:val="center"/>
        <w:rPr>
          <w:rFonts w:cs="Arial"/>
          <w:b/>
          <w:sz w:val="36"/>
          <w:szCs w:val="36"/>
        </w:rPr>
      </w:pPr>
    </w:p>
    <w:p w14:paraId="68744D62" w14:textId="2B90DA19" w:rsidR="00460095" w:rsidRDefault="00CA4E33" w:rsidP="003A03B3">
      <w:pPr>
        <w:jc w:val="center"/>
        <w:rPr>
          <w:rFonts w:cs="Arial"/>
          <w:b/>
          <w:sz w:val="36"/>
          <w:szCs w:val="36"/>
        </w:rPr>
      </w:pPr>
      <w:r>
        <w:rPr>
          <w:rFonts w:cs="Arial"/>
          <w:b/>
          <w:sz w:val="36"/>
          <w:szCs w:val="36"/>
        </w:rPr>
        <w:t>202</w:t>
      </w:r>
      <w:r w:rsidR="0008562E">
        <w:rPr>
          <w:rFonts w:cs="Arial"/>
          <w:b/>
          <w:sz w:val="36"/>
          <w:szCs w:val="36"/>
        </w:rPr>
        <w:t>4</w:t>
      </w:r>
      <w:r w:rsidR="003927B2">
        <w:rPr>
          <w:rFonts w:cs="Arial"/>
          <w:b/>
          <w:sz w:val="36"/>
          <w:szCs w:val="36"/>
        </w:rPr>
        <w:t>–</w:t>
      </w:r>
      <w:r w:rsidRPr="003A03B3">
        <w:rPr>
          <w:rFonts w:cs="Arial"/>
          <w:b/>
          <w:sz w:val="36"/>
          <w:szCs w:val="36"/>
        </w:rPr>
        <w:t>20</w:t>
      </w:r>
      <w:r>
        <w:rPr>
          <w:rFonts w:cs="Arial"/>
          <w:b/>
          <w:sz w:val="36"/>
          <w:szCs w:val="36"/>
        </w:rPr>
        <w:t>2</w:t>
      </w:r>
      <w:r w:rsidR="0008562E">
        <w:rPr>
          <w:rFonts w:cs="Arial"/>
          <w:b/>
          <w:sz w:val="36"/>
          <w:szCs w:val="36"/>
        </w:rPr>
        <w:t>5</w:t>
      </w:r>
      <w:r>
        <w:rPr>
          <w:rFonts w:cs="Arial"/>
          <w:b/>
          <w:sz w:val="36"/>
          <w:szCs w:val="36"/>
        </w:rPr>
        <w:t xml:space="preserve"> </w:t>
      </w:r>
    </w:p>
    <w:p w14:paraId="622D0637" w14:textId="77777777" w:rsidR="00AB5D3B" w:rsidRDefault="00AB5D3B" w:rsidP="005A229D">
      <w:pPr>
        <w:jc w:val="center"/>
        <w:rPr>
          <w:rFonts w:cs="Arial"/>
          <w:b/>
          <w:sz w:val="36"/>
          <w:szCs w:val="36"/>
        </w:rPr>
      </w:pPr>
    </w:p>
    <w:p w14:paraId="74545434" w14:textId="77777777" w:rsidR="00AB5D3B" w:rsidRDefault="00AB5D3B" w:rsidP="005A229D">
      <w:pPr>
        <w:jc w:val="center"/>
        <w:rPr>
          <w:rFonts w:cs="Arial"/>
          <w:b/>
          <w:sz w:val="36"/>
          <w:szCs w:val="36"/>
        </w:rPr>
      </w:pPr>
    </w:p>
    <w:p w14:paraId="622F4221" w14:textId="77777777" w:rsidR="00344E86" w:rsidRDefault="00344E86" w:rsidP="003A03B3">
      <w:pPr>
        <w:rPr>
          <w:rFonts w:cs="Arial"/>
          <w:b/>
          <w:sz w:val="36"/>
          <w:szCs w:val="36"/>
        </w:rPr>
      </w:pPr>
    </w:p>
    <w:p w14:paraId="4A08D3EA" w14:textId="77777777" w:rsidR="002C295A" w:rsidRDefault="002C295A" w:rsidP="003A03B3">
      <w:pPr>
        <w:rPr>
          <w:rFonts w:cs="Arial"/>
          <w:b/>
          <w:sz w:val="36"/>
          <w:szCs w:val="36"/>
        </w:rPr>
      </w:pPr>
    </w:p>
    <w:p w14:paraId="0CAD9EDD" w14:textId="77777777" w:rsidR="00B7409D" w:rsidRPr="005A229D" w:rsidRDefault="00B7409D" w:rsidP="00C47FF8">
      <w:pPr>
        <w:rPr>
          <w:sz w:val="28"/>
        </w:rPr>
      </w:pPr>
    </w:p>
    <w:p w14:paraId="7BB44625" w14:textId="77777777" w:rsidR="00C47FF8" w:rsidRDefault="00C47FF8" w:rsidP="00FC2ADE">
      <w:pPr>
        <w:rPr>
          <w:rFonts w:cs="Arial"/>
          <w:b/>
          <w:sz w:val="28"/>
          <w:szCs w:val="28"/>
        </w:rPr>
      </w:pPr>
    </w:p>
    <w:p w14:paraId="4DF3ECAE" w14:textId="77777777" w:rsidR="00C47FF8" w:rsidRDefault="00C47FF8" w:rsidP="00FC2ADE">
      <w:pPr>
        <w:rPr>
          <w:rFonts w:cs="Arial"/>
          <w:b/>
          <w:sz w:val="28"/>
          <w:szCs w:val="28"/>
        </w:rPr>
      </w:pPr>
    </w:p>
    <w:p w14:paraId="21CBB723" w14:textId="77777777" w:rsidR="00471A4D" w:rsidRDefault="00471A4D">
      <w:pPr>
        <w:spacing w:after="200" w:line="276" w:lineRule="auto"/>
        <w:rPr>
          <w:rFonts w:cs="Arial"/>
          <w:b/>
          <w:sz w:val="28"/>
          <w:szCs w:val="28"/>
        </w:rPr>
      </w:pPr>
      <w:r>
        <w:rPr>
          <w:rFonts w:cs="Arial"/>
          <w:b/>
          <w:sz w:val="28"/>
          <w:szCs w:val="28"/>
        </w:rPr>
        <w:br w:type="page"/>
      </w:r>
    </w:p>
    <w:p w14:paraId="1F3D9115" w14:textId="77777777" w:rsidR="003A03B3" w:rsidRPr="007F17B7" w:rsidRDefault="003A03B3" w:rsidP="00FC2ADE">
      <w:pPr>
        <w:rPr>
          <w:rFonts w:cs="Arial"/>
          <w:b/>
          <w:sz w:val="28"/>
          <w:szCs w:val="28"/>
        </w:rPr>
      </w:pPr>
      <w:r w:rsidRPr="007F17B7">
        <w:rPr>
          <w:rFonts w:cs="Arial"/>
          <w:b/>
          <w:sz w:val="28"/>
          <w:szCs w:val="28"/>
        </w:rPr>
        <w:lastRenderedPageBreak/>
        <w:t>Contents</w:t>
      </w:r>
    </w:p>
    <w:p w14:paraId="602A7181" w14:textId="4B4E0A94" w:rsidR="00065F45" w:rsidRDefault="00A840C9">
      <w:pPr>
        <w:pStyle w:val="TOC1"/>
        <w:rPr>
          <w:rFonts w:asciiTheme="minorHAnsi" w:eastAsiaTheme="minorEastAsia" w:hAnsiTheme="minorHAnsi" w:cstheme="minorBidi"/>
          <w:b w:val="0"/>
          <w:bCs w:val="0"/>
          <w:noProof/>
          <w:sz w:val="22"/>
          <w:szCs w:val="22"/>
          <w:lang w:eastAsia="en-AU"/>
        </w:rPr>
      </w:pPr>
      <w:r w:rsidRPr="005A229D">
        <w:rPr>
          <w:rFonts w:cs="Arial"/>
          <w:iCs/>
          <w:color w:val="000000" w:themeColor="text1"/>
          <w:sz w:val="22"/>
        </w:rPr>
        <w:fldChar w:fldCharType="begin"/>
      </w:r>
      <w:r>
        <w:rPr>
          <w:rFonts w:cs="Arial"/>
          <w:iCs/>
          <w:color w:val="000000" w:themeColor="text1"/>
          <w:sz w:val="22"/>
        </w:rPr>
        <w:instrText xml:space="preserve"> TOC \o "1-3" \h \z \u </w:instrText>
      </w:r>
      <w:r w:rsidRPr="005A229D">
        <w:rPr>
          <w:rFonts w:cs="Arial"/>
          <w:iCs/>
          <w:color w:val="000000" w:themeColor="text1"/>
          <w:sz w:val="22"/>
        </w:rPr>
        <w:fldChar w:fldCharType="separate"/>
      </w:r>
      <w:hyperlink w:anchor="_Toc150329416" w:history="1">
        <w:r w:rsidR="00065F45" w:rsidRPr="00F7641D">
          <w:rPr>
            <w:rStyle w:val="Hyperlink"/>
            <w:noProof/>
            <w14:scene3d>
              <w14:camera w14:prst="orthographicFront"/>
              <w14:lightRig w14:rig="threePt" w14:dir="t">
                <w14:rot w14:lat="0" w14:lon="0" w14:rev="0"/>
              </w14:lightRig>
            </w14:scene3d>
          </w:rPr>
          <w:t>1.</w:t>
        </w:r>
        <w:r w:rsidR="00065F45">
          <w:rPr>
            <w:rFonts w:asciiTheme="minorHAnsi" w:eastAsiaTheme="minorEastAsia" w:hAnsiTheme="minorHAnsi" w:cstheme="minorBidi"/>
            <w:b w:val="0"/>
            <w:bCs w:val="0"/>
            <w:noProof/>
            <w:sz w:val="22"/>
            <w:szCs w:val="22"/>
            <w:lang w:eastAsia="en-AU"/>
          </w:rPr>
          <w:tab/>
        </w:r>
        <w:r w:rsidR="00065F45" w:rsidRPr="00F7641D">
          <w:rPr>
            <w:rStyle w:val="Hyperlink"/>
            <w:noProof/>
          </w:rPr>
          <w:t>INTRODUCTION</w:t>
        </w:r>
        <w:r w:rsidR="00065F45">
          <w:rPr>
            <w:noProof/>
            <w:webHidden/>
          </w:rPr>
          <w:tab/>
        </w:r>
        <w:r w:rsidR="00065F45">
          <w:rPr>
            <w:noProof/>
            <w:webHidden/>
          </w:rPr>
          <w:fldChar w:fldCharType="begin"/>
        </w:r>
        <w:r w:rsidR="00065F45">
          <w:rPr>
            <w:noProof/>
            <w:webHidden/>
          </w:rPr>
          <w:instrText xml:space="preserve"> PAGEREF _Toc150329416 \h </w:instrText>
        </w:r>
        <w:r w:rsidR="00065F45">
          <w:rPr>
            <w:noProof/>
            <w:webHidden/>
          </w:rPr>
        </w:r>
        <w:r w:rsidR="00065F45">
          <w:rPr>
            <w:noProof/>
            <w:webHidden/>
          </w:rPr>
          <w:fldChar w:fldCharType="separate"/>
        </w:r>
        <w:r w:rsidR="002C510A">
          <w:rPr>
            <w:noProof/>
            <w:webHidden/>
          </w:rPr>
          <w:t>3</w:t>
        </w:r>
        <w:r w:rsidR="00065F45">
          <w:rPr>
            <w:noProof/>
            <w:webHidden/>
          </w:rPr>
          <w:fldChar w:fldCharType="end"/>
        </w:r>
      </w:hyperlink>
    </w:p>
    <w:p w14:paraId="57514CEF" w14:textId="48B108F4" w:rsidR="00065F45" w:rsidRDefault="00FE54B0">
      <w:pPr>
        <w:pStyle w:val="TOC2"/>
        <w:tabs>
          <w:tab w:val="left" w:pos="960"/>
          <w:tab w:val="right" w:leader="dot" w:pos="9062"/>
        </w:tabs>
        <w:rPr>
          <w:rFonts w:asciiTheme="minorHAnsi" w:eastAsiaTheme="minorEastAsia" w:hAnsiTheme="minorHAnsi" w:cstheme="minorBidi"/>
          <w:noProof/>
          <w:sz w:val="22"/>
          <w:szCs w:val="22"/>
          <w:lang w:eastAsia="en-AU"/>
        </w:rPr>
      </w:pPr>
      <w:hyperlink w:anchor="_Toc150329417" w:history="1">
        <w:r w:rsidR="00065F45" w:rsidRPr="00F7641D">
          <w:rPr>
            <w:rStyle w:val="Hyperlink"/>
            <w:rFonts w:eastAsia="MS PGothic"/>
            <w:noProof/>
          </w:rPr>
          <w:t>1.1</w:t>
        </w:r>
        <w:r w:rsidR="00065F45">
          <w:rPr>
            <w:rFonts w:asciiTheme="minorHAnsi" w:eastAsiaTheme="minorEastAsia" w:hAnsiTheme="minorHAnsi" w:cstheme="minorBidi"/>
            <w:noProof/>
            <w:sz w:val="22"/>
            <w:szCs w:val="22"/>
            <w:lang w:eastAsia="en-AU"/>
          </w:rPr>
          <w:tab/>
        </w:r>
        <w:r w:rsidR="00065F45" w:rsidRPr="00F7641D">
          <w:rPr>
            <w:rStyle w:val="Hyperlink"/>
            <w:rFonts w:eastAsia="MS PGothic"/>
            <w:noProof/>
          </w:rPr>
          <w:t>Purpose of the Cost Recovery Implementation Statement</w:t>
        </w:r>
        <w:r w:rsidR="00065F45">
          <w:rPr>
            <w:noProof/>
            <w:webHidden/>
          </w:rPr>
          <w:tab/>
        </w:r>
        <w:r w:rsidR="00065F45">
          <w:rPr>
            <w:noProof/>
            <w:webHidden/>
          </w:rPr>
          <w:fldChar w:fldCharType="begin"/>
        </w:r>
        <w:r w:rsidR="00065F45">
          <w:rPr>
            <w:noProof/>
            <w:webHidden/>
          </w:rPr>
          <w:instrText xml:space="preserve"> PAGEREF _Toc150329417 \h </w:instrText>
        </w:r>
        <w:r w:rsidR="00065F45">
          <w:rPr>
            <w:noProof/>
            <w:webHidden/>
          </w:rPr>
        </w:r>
        <w:r w:rsidR="00065F45">
          <w:rPr>
            <w:noProof/>
            <w:webHidden/>
          </w:rPr>
          <w:fldChar w:fldCharType="separate"/>
        </w:r>
        <w:r w:rsidR="002C510A">
          <w:rPr>
            <w:noProof/>
            <w:webHidden/>
          </w:rPr>
          <w:t>3</w:t>
        </w:r>
        <w:r w:rsidR="00065F45">
          <w:rPr>
            <w:noProof/>
            <w:webHidden/>
          </w:rPr>
          <w:fldChar w:fldCharType="end"/>
        </w:r>
      </w:hyperlink>
    </w:p>
    <w:p w14:paraId="65015C51" w14:textId="128789E6" w:rsidR="00065F45" w:rsidRDefault="00FE54B0">
      <w:pPr>
        <w:pStyle w:val="TOC2"/>
        <w:tabs>
          <w:tab w:val="left" w:pos="960"/>
          <w:tab w:val="right" w:leader="dot" w:pos="9062"/>
        </w:tabs>
        <w:rPr>
          <w:rFonts w:asciiTheme="minorHAnsi" w:eastAsiaTheme="minorEastAsia" w:hAnsiTheme="minorHAnsi" w:cstheme="minorBidi"/>
          <w:noProof/>
          <w:sz w:val="22"/>
          <w:szCs w:val="22"/>
          <w:lang w:eastAsia="en-AU"/>
        </w:rPr>
      </w:pPr>
      <w:hyperlink w:anchor="_Toc150329418" w:history="1">
        <w:r w:rsidR="00065F45" w:rsidRPr="00F7641D">
          <w:rPr>
            <w:rStyle w:val="Hyperlink"/>
            <w:rFonts w:eastAsia="MS PGothic"/>
            <w:noProof/>
          </w:rPr>
          <w:t>1.2</w:t>
        </w:r>
        <w:r w:rsidR="00065F45">
          <w:rPr>
            <w:rFonts w:asciiTheme="minorHAnsi" w:eastAsiaTheme="minorEastAsia" w:hAnsiTheme="minorHAnsi" w:cstheme="minorBidi"/>
            <w:noProof/>
            <w:sz w:val="22"/>
            <w:szCs w:val="22"/>
            <w:lang w:eastAsia="en-AU"/>
          </w:rPr>
          <w:tab/>
        </w:r>
        <w:r w:rsidR="00065F45" w:rsidRPr="00F7641D">
          <w:rPr>
            <w:rStyle w:val="Hyperlink"/>
            <w:rFonts w:eastAsia="MS PGothic"/>
            <w:noProof/>
          </w:rPr>
          <w:t>Description of the regulatory charging activity</w:t>
        </w:r>
        <w:r w:rsidR="00065F45">
          <w:rPr>
            <w:noProof/>
            <w:webHidden/>
          </w:rPr>
          <w:tab/>
        </w:r>
        <w:r w:rsidR="00065F45">
          <w:rPr>
            <w:noProof/>
            <w:webHidden/>
          </w:rPr>
          <w:fldChar w:fldCharType="begin"/>
        </w:r>
        <w:r w:rsidR="00065F45">
          <w:rPr>
            <w:noProof/>
            <w:webHidden/>
          </w:rPr>
          <w:instrText xml:space="preserve"> PAGEREF _Toc150329418 \h </w:instrText>
        </w:r>
        <w:r w:rsidR="00065F45">
          <w:rPr>
            <w:noProof/>
            <w:webHidden/>
          </w:rPr>
        </w:r>
        <w:r w:rsidR="00065F45">
          <w:rPr>
            <w:noProof/>
            <w:webHidden/>
          </w:rPr>
          <w:fldChar w:fldCharType="separate"/>
        </w:r>
        <w:r w:rsidR="002C510A">
          <w:rPr>
            <w:noProof/>
            <w:webHidden/>
          </w:rPr>
          <w:t>3</w:t>
        </w:r>
        <w:r w:rsidR="00065F45">
          <w:rPr>
            <w:noProof/>
            <w:webHidden/>
          </w:rPr>
          <w:fldChar w:fldCharType="end"/>
        </w:r>
      </w:hyperlink>
    </w:p>
    <w:p w14:paraId="003F740F" w14:textId="4F4792E5" w:rsidR="00065F45" w:rsidRDefault="00FE54B0">
      <w:pPr>
        <w:pStyle w:val="TOC3"/>
        <w:tabs>
          <w:tab w:val="left" w:pos="1200"/>
          <w:tab w:val="right" w:leader="dot" w:pos="9062"/>
        </w:tabs>
        <w:rPr>
          <w:rFonts w:asciiTheme="minorHAnsi" w:eastAsiaTheme="minorEastAsia" w:hAnsiTheme="minorHAnsi" w:cstheme="minorBidi"/>
          <w:i w:val="0"/>
          <w:iCs w:val="0"/>
          <w:noProof/>
          <w:sz w:val="22"/>
          <w:szCs w:val="22"/>
          <w:lang w:eastAsia="en-AU"/>
        </w:rPr>
      </w:pPr>
      <w:hyperlink w:anchor="_Toc150329419" w:history="1">
        <w:r w:rsidR="00065F45" w:rsidRPr="00F7641D">
          <w:rPr>
            <w:rStyle w:val="Hyperlink"/>
            <w:noProof/>
            <w14:scene3d>
              <w14:camera w14:prst="orthographicFront"/>
              <w14:lightRig w14:rig="threePt" w14:dir="t">
                <w14:rot w14:lat="0" w14:lon="0" w14:rev="0"/>
              </w14:lightRig>
            </w14:scene3d>
          </w:rPr>
          <w:t>1.2.1</w:t>
        </w:r>
        <w:r w:rsidR="00065F45">
          <w:rPr>
            <w:rFonts w:asciiTheme="minorHAnsi" w:eastAsiaTheme="minorEastAsia" w:hAnsiTheme="minorHAnsi" w:cstheme="minorBidi"/>
            <w:i w:val="0"/>
            <w:iCs w:val="0"/>
            <w:noProof/>
            <w:sz w:val="22"/>
            <w:szCs w:val="22"/>
            <w:lang w:eastAsia="en-AU"/>
          </w:rPr>
          <w:tab/>
        </w:r>
        <w:r w:rsidR="00065F45" w:rsidRPr="00F7641D">
          <w:rPr>
            <w:rStyle w:val="Hyperlink"/>
            <w:noProof/>
          </w:rPr>
          <w:t>Pattern Approval</w:t>
        </w:r>
        <w:r w:rsidR="00065F45">
          <w:rPr>
            <w:noProof/>
            <w:webHidden/>
          </w:rPr>
          <w:tab/>
        </w:r>
        <w:r w:rsidR="00065F45">
          <w:rPr>
            <w:noProof/>
            <w:webHidden/>
          </w:rPr>
          <w:fldChar w:fldCharType="begin"/>
        </w:r>
        <w:r w:rsidR="00065F45">
          <w:rPr>
            <w:noProof/>
            <w:webHidden/>
          </w:rPr>
          <w:instrText xml:space="preserve"> PAGEREF _Toc150329419 \h </w:instrText>
        </w:r>
        <w:r w:rsidR="00065F45">
          <w:rPr>
            <w:noProof/>
            <w:webHidden/>
          </w:rPr>
        </w:r>
        <w:r w:rsidR="00065F45">
          <w:rPr>
            <w:noProof/>
            <w:webHidden/>
          </w:rPr>
          <w:fldChar w:fldCharType="separate"/>
        </w:r>
        <w:r w:rsidR="002C510A">
          <w:rPr>
            <w:noProof/>
            <w:webHidden/>
          </w:rPr>
          <w:t>3</w:t>
        </w:r>
        <w:r w:rsidR="00065F45">
          <w:rPr>
            <w:noProof/>
            <w:webHidden/>
          </w:rPr>
          <w:fldChar w:fldCharType="end"/>
        </w:r>
      </w:hyperlink>
    </w:p>
    <w:p w14:paraId="1D5414C1" w14:textId="02F81E44" w:rsidR="00065F45" w:rsidRDefault="00FE54B0">
      <w:pPr>
        <w:pStyle w:val="TOC3"/>
        <w:tabs>
          <w:tab w:val="left" w:pos="1200"/>
          <w:tab w:val="right" w:leader="dot" w:pos="9062"/>
        </w:tabs>
        <w:rPr>
          <w:rFonts w:asciiTheme="minorHAnsi" w:eastAsiaTheme="minorEastAsia" w:hAnsiTheme="minorHAnsi" w:cstheme="minorBidi"/>
          <w:i w:val="0"/>
          <w:iCs w:val="0"/>
          <w:noProof/>
          <w:sz w:val="22"/>
          <w:szCs w:val="22"/>
          <w:lang w:eastAsia="en-AU"/>
        </w:rPr>
      </w:pPr>
      <w:hyperlink w:anchor="_Toc150329420" w:history="1">
        <w:r w:rsidR="00065F45" w:rsidRPr="00F7641D">
          <w:rPr>
            <w:rStyle w:val="Hyperlink"/>
            <w:noProof/>
            <w14:scene3d>
              <w14:camera w14:prst="orthographicFront"/>
              <w14:lightRig w14:rig="threePt" w14:dir="t">
                <w14:rot w14:lat="0" w14:lon="0" w14:rev="0"/>
              </w14:lightRig>
            </w14:scene3d>
          </w:rPr>
          <w:t>1.2.2</w:t>
        </w:r>
        <w:r w:rsidR="00065F45">
          <w:rPr>
            <w:rFonts w:asciiTheme="minorHAnsi" w:eastAsiaTheme="minorEastAsia" w:hAnsiTheme="minorHAnsi" w:cstheme="minorBidi"/>
            <w:i w:val="0"/>
            <w:iCs w:val="0"/>
            <w:noProof/>
            <w:sz w:val="22"/>
            <w:szCs w:val="22"/>
            <w:lang w:eastAsia="en-AU"/>
          </w:rPr>
          <w:tab/>
        </w:r>
        <w:r w:rsidR="00065F45" w:rsidRPr="00F7641D">
          <w:rPr>
            <w:rStyle w:val="Hyperlink"/>
            <w:noProof/>
          </w:rPr>
          <w:t>Licensing</w:t>
        </w:r>
        <w:r w:rsidR="00065F45">
          <w:rPr>
            <w:noProof/>
            <w:webHidden/>
          </w:rPr>
          <w:tab/>
        </w:r>
        <w:r w:rsidR="00065F45">
          <w:rPr>
            <w:noProof/>
            <w:webHidden/>
          </w:rPr>
          <w:fldChar w:fldCharType="begin"/>
        </w:r>
        <w:r w:rsidR="00065F45">
          <w:rPr>
            <w:noProof/>
            <w:webHidden/>
          </w:rPr>
          <w:instrText xml:space="preserve"> PAGEREF _Toc150329420 \h </w:instrText>
        </w:r>
        <w:r w:rsidR="00065F45">
          <w:rPr>
            <w:noProof/>
            <w:webHidden/>
          </w:rPr>
        </w:r>
        <w:r w:rsidR="00065F45">
          <w:rPr>
            <w:noProof/>
            <w:webHidden/>
          </w:rPr>
          <w:fldChar w:fldCharType="separate"/>
        </w:r>
        <w:r w:rsidR="002C510A">
          <w:rPr>
            <w:noProof/>
            <w:webHidden/>
          </w:rPr>
          <w:t>4</w:t>
        </w:r>
        <w:r w:rsidR="00065F45">
          <w:rPr>
            <w:noProof/>
            <w:webHidden/>
          </w:rPr>
          <w:fldChar w:fldCharType="end"/>
        </w:r>
      </w:hyperlink>
    </w:p>
    <w:p w14:paraId="3DACF786" w14:textId="3F1AC266" w:rsidR="00065F45" w:rsidRDefault="00FE54B0">
      <w:pPr>
        <w:pStyle w:val="TOC3"/>
        <w:tabs>
          <w:tab w:val="left" w:pos="1200"/>
          <w:tab w:val="right" w:leader="dot" w:pos="9062"/>
        </w:tabs>
        <w:rPr>
          <w:rFonts w:asciiTheme="minorHAnsi" w:eastAsiaTheme="minorEastAsia" w:hAnsiTheme="minorHAnsi" w:cstheme="minorBidi"/>
          <w:i w:val="0"/>
          <w:iCs w:val="0"/>
          <w:noProof/>
          <w:sz w:val="22"/>
          <w:szCs w:val="22"/>
          <w:lang w:eastAsia="en-AU"/>
        </w:rPr>
      </w:pPr>
      <w:hyperlink w:anchor="_Toc150329421" w:history="1">
        <w:r w:rsidR="00065F45" w:rsidRPr="00F7641D">
          <w:rPr>
            <w:rStyle w:val="Hyperlink"/>
            <w:noProof/>
            <w14:scene3d>
              <w14:camera w14:prst="orthographicFront"/>
              <w14:lightRig w14:rig="threePt" w14:dir="t">
                <w14:rot w14:lat="0" w14:lon="0" w14:rev="0"/>
              </w14:lightRig>
            </w14:scene3d>
          </w:rPr>
          <w:t>1.2.3</w:t>
        </w:r>
        <w:r w:rsidR="00065F45">
          <w:rPr>
            <w:rFonts w:asciiTheme="minorHAnsi" w:eastAsiaTheme="minorEastAsia" w:hAnsiTheme="minorHAnsi" w:cstheme="minorBidi"/>
            <w:i w:val="0"/>
            <w:iCs w:val="0"/>
            <w:noProof/>
            <w:sz w:val="22"/>
            <w:szCs w:val="22"/>
            <w:lang w:eastAsia="en-AU"/>
          </w:rPr>
          <w:tab/>
        </w:r>
        <w:r w:rsidR="00065F45" w:rsidRPr="00F7641D">
          <w:rPr>
            <w:rStyle w:val="Hyperlink"/>
            <w:noProof/>
          </w:rPr>
          <w:t>Appointments</w:t>
        </w:r>
        <w:r w:rsidR="00065F45">
          <w:rPr>
            <w:noProof/>
            <w:webHidden/>
          </w:rPr>
          <w:tab/>
        </w:r>
        <w:r w:rsidR="00065F45">
          <w:rPr>
            <w:noProof/>
            <w:webHidden/>
          </w:rPr>
          <w:fldChar w:fldCharType="begin"/>
        </w:r>
        <w:r w:rsidR="00065F45">
          <w:rPr>
            <w:noProof/>
            <w:webHidden/>
          </w:rPr>
          <w:instrText xml:space="preserve"> PAGEREF _Toc150329421 \h </w:instrText>
        </w:r>
        <w:r w:rsidR="00065F45">
          <w:rPr>
            <w:noProof/>
            <w:webHidden/>
          </w:rPr>
        </w:r>
        <w:r w:rsidR="00065F45">
          <w:rPr>
            <w:noProof/>
            <w:webHidden/>
          </w:rPr>
          <w:fldChar w:fldCharType="separate"/>
        </w:r>
        <w:r w:rsidR="002C510A">
          <w:rPr>
            <w:noProof/>
            <w:webHidden/>
          </w:rPr>
          <w:t>4</w:t>
        </w:r>
        <w:r w:rsidR="00065F45">
          <w:rPr>
            <w:noProof/>
            <w:webHidden/>
          </w:rPr>
          <w:fldChar w:fldCharType="end"/>
        </w:r>
      </w:hyperlink>
    </w:p>
    <w:p w14:paraId="2FA09584" w14:textId="2E8F7D41" w:rsidR="00065F45" w:rsidRDefault="00FE54B0">
      <w:pPr>
        <w:pStyle w:val="TOC1"/>
        <w:rPr>
          <w:rFonts w:asciiTheme="minorHAnsi" w:eastAsiaTheme="minorEastAsia" w:hAnsiTheme="minorHAnsi" w:cstheme="minorBidi"/>
          <w:b w:val="0"/>
          <w:bCs w:val="0"/>
          <w:noProof/>
          <w:sz w:val="22"/>
          <w:szCs w:val="22"/>
          <w:lang w:eastAsia="en-AU"/>
        </w:rPr>
      </w:pPr>
      <w:hyperlink w:anchor="_Toc150329422" w:history="1">
        <w:r w:rsidR="00065F45" w:rsidRPr="00F7641D">
          <w:rPr>
            <w:rStyle w:val="Hyperlink"/>
            <w:noProof/>
            <w14:scene3d>
              <w14:camera w14:prst="orthographicFront"/>
              <w14:lightRig w14:rig="threePt" w14:dir="t">
                <w14:rot w14:lat="0" w14:lon="0" w14:rev="0"/>
              </w14:lightRig>
            </w14:scene3d>
          </w:rPr>
          <w:t>2.</w:t>
        </w:r>
        <w:r w:rsidR="00065F45">
          <w:rPr>
            <w:rFonts w:asciiTheme="minorHAnsi" w:eastAsiaTheme="minorEastAsia" w:hAnsiTheme="minorHAnsi" w:cstheme="minorBidi"/>
            <w:b w:val="0"/>
            <w:bCs w:val="0"/>
            <w:noProof/>
            <w:sz w:val="22"/>
            <w:szCs w:val="22"/>
            <w:lang w:eastAsia="en-AU"/>
          </w:rPr>
          <w:tab/>
        </w:r>
        <w:r w:rsidR="00065F45" w:rsidRPr="00F7641D">
          <w:rPr>
            <w:rStyle w:val="Hyperlink"/>
            <w:noProof/>
          </w:rPr>
          <w:t>POLICY AND STATUTORY AUTHORITY TO COST RECOVER</w:t>
        </w:r>
        <w:r w:rsidR="00065F45">
          <w:rPr>
            <w:noProof/>
            <w:webHidden/>
          </w:rPr>
          <w:tab/>
        </w:r>
        <w:r w:rsidR="00065F45">
          <w:rPr>
            <w:noProof/>
            <w:webHidden/>
          </w:rPr>
          <w:fldChar w:fldCharType="begin"/>
        </w:r>
        <w:r w:rsidR="00065F45">
          <w:rPr>
            <w:noProof/>
            <w:webHidden/>
          </w:rPr>
          <w:instrText xml:space="preserve"> PAGEREF _Toc150329422 \h </w:instrText>
        </w:r>
        <w:r w:rsidR="00065F45">
          <w:rPr>
            <w:noProof/>
            <w:webHidden/>
          </w:rPr>
        </w:r>
        <w:r w:rsidR="00065F45">
          <w:rPr>
            <w:noProof/>
            <w:webHidden/>
          </w:rPr>
          <w:fldChar w:fldCharType="separate"/>
        </w:r>
        <w:r w:rsidR="002C510A">
          <w:rPr>
            <w:noProof/>
            <w:webHidden/>
          </w:rPr>
          <w:t>6</w:t>
        </w:r>
        <w:r w:rsidR="00065F45">
          <w:rPr>
            <w:noProof/>
            <w:webHidden/>
          </w:rPr>
          <w:fldChar w:fldCharType="end"/>
        </w:r>
      </w:hyperlink>
    </w:p>
    <w:p w14:paraId="3E94A785" w14:textId="0DA69FB5" w:rsidR="00065F45" w:rsidRDefault="00FE54B0">
      <w:pPr>
        <w:pStyle w:val="TOC2"/>
        <w:tabs>
          <w:tab w:val="left" w:pos="960"/>
          <w:tab w:val="right" w:leader="dot" w:pos="9062"/>
        </w:tabs>
        <w:rPr>
          <w:rFonts w:asciiTheme="minorHAnsi" w:eastAsiaTheme="minorEastAsia" w:hAnsiTheme="minorHAnsi" w:cstheme="minorBidi"/>
          <w:noProof/>
          <w:sz w:val="22"/>
          <w:szCs w:val="22"/>
          <w:lang w:eastAsia="en-AU"/>
        </w:rPr>
      </w:pPr>
      <w:hyperlink w:anchor="_Toc150329423" w:history="1">
        <w:r w:rsidR="00065F45" w:rsidRPr="00F7641D">
          <w:rPr>
            <w:rStyle w:val="Hyperlink"/>
            <w:rFonts w:eastAsia="MS PGothic"/>
            <w:noProof/>
          </w:rPr>
          <w:t>2.1</w:t>
        </w:r>
        <w:r w:rsidR="00065F45">
          <w:rPr>
            <w:rFonts w:asciiTheme="minorHAnsi" w:eastAsiaTheme="minorEastAsia" w:hAnsiTheme="minorHAnsi" w:cstheme="minorBidi"/>
            <w:noProof/>
            <w:sz w:val="22"/>
            <w:szCs w:val="22"/>
            <w:lang w:eastAsia="en-AU"/>
          </w:rPr>
          <w:tab/>
        </w:r>
        <w:r w:rsidR="00065F45" w:rsidRPr="00F7641D">
          <w:rPr>
            <w:rStyle w:val="Hyperlink"/>
            <w:rFonts w:eastAsia="MS PGothic"/>
            <w:noProof/>
          </w:rPr>
          <w:t>Statutory authority to charge</w:t>
        </w:r>
        <w:r w:rsidR="00065F45">
          <w:rPr>
            <w:noProof/>
            <w:webHidden/>
          </w:rPr>
          <w:tab/>
        </w:r>
        <w:r w:rsidR="00065F45">
          <w:rPr>
            <w:noProof/>
            <w:webHidden/>
          </w:rPr>
          <w:fldChar w:fldCharType="begin"/>
        </w:r>
        <w:r w:rsidR="00065F45">
          <w:rPr>
            <w:noProof/>
            <w:webHidden/>
          </w:rPr>
          <w:instrText xml:space="preserve"> PAGEREF _Toc150329423 \h </w:instrText>
        </w:r>
        <w:r w:rsidR="00065F45">
          <w:rPr>
            <w:noProof/>
            <w:webHidden/>
          </w:rPr>
        </w:r>
        <w:r w:rsidR="00065F45">
          <w:rPr>
            <w:noProof/>
            <w:webHidden/>
          </w:rPr>
          <w:fldChar w:fldCharType="separate"/>
        </w:r>
        <w:r w:rsidR="002C510A">
          <w:rPr>
            <w:noProof/>
            <w:webHidden/>
          </w:rPr>
          <w:t>6</w:t>
        </w:r>
        <w:r w:rsidR="00065F45">
          <w:rPr>
            <w:noProof/>
            <w:webHidden/>
          </w:rPr>
          <w:fldChar w:fldCharType="end"/>
        </w:r>
      </w:hyperlink>
    </w:p>
    <w:p w14:paraId="67EB667E" w14:textId="3C51DB69" w:rsidR="00065F45" w:rsidRDefault="00FE54B0">
      <w:pPr>
        <w:pStyle w:val="TOC1"/>
        <w:rPr>
          <w:rFonts w:asciiTheme="minorHAnsi" w:eastAsiaTheme="minorEastAsia" w:hAnsiTheme="minorHAnsi" w:cstheme="minorBidi"/>
          <w:b w:val="0"/>
          <w:bCs w:val="0"/>
          <w:noProof/>
          <w:sz w:val="22"/>
          <w:szCs w:val="22"/>
          <w:lang w:eastAsia="en-AU"/>
        </w:rPr>
      </w:pPr>
      <w:hyperlink w:anchor="_Toc150329424" w:history="1">
        <w:r w:rsidR="00065F45" w:rsidRPr="00F7641D">
          <w:rPr>
            <w:rStyle w:val="Hyperlink"/>
            <w:noProof/>
            <w14:scene3d>
              <w14:camera w14:prst="orthographicFront"/>
              <w14:lightRig w14:rig="threePt" w14:dir="t">
                <w14:rot w14:lat="0" w14:lon="0" w14:rev="0"/>
              </w14:lightRig>
            </w14:scene3d>
          </w:rPr>
          <w:t>3.</w:t>
        </w:r>
        <w:r w:rsidR="00065F45">
          <w:rPr>
            <w:rFonts w:asciiTheme="minorHAnsi" w:eastAsiaTheme="minorEastAsia" w:hAnsiTheme="minorHAnsi" w:cstheme="minorBidi"/>
            <w:b w:val="0"/>
            <w:bCs w:val="0"/>
            <w:noProof/>
            <w:sz w:val="22"/>
            <w:szCs w:val="22"/>
            <w:lang w:eastAsia="en-AU"/>
          </w:rPr>
          <w:tab/>
        </w:r>
        <w:r w:rsidR="00065F45" w:rsidRPr="00F7641D">
          <w:rPr>
            <w:rStyle w:val="Hyperlink"/>
            <w:noProof/>
          </w:rPr>
          <w:t>CHARGING MODEL</w:t>
        </w:r>
        <w:r w:rsidR="00065F45">
          <w:rPr>
            <w:noProof/>
            <w:webHidden/>
          </w:rPr>
          <w:tab/>
        </w:r>
        <w:r w:rsidR="00065F45">
          <w:rPr>
            <w:noProof/>
            <w:webHidden/>
          </w:rPr>
          <w:fldChar w:fldCharType="begin"/>
        </w:r>
        <w:r w:rsidR="00065F45">
          <w:rPr>
            <w:noProof/>
            <w:webHidden/>
          </w:rPr>
          <w:instrText xml:space="preserve"> PAGEREF _Toc150329424 \h </w:instrText>
        </w:r>
        <w:r w:rsidR="00065F45">
          <w:rPr>
            <w:noProof/>
            <w:webHidden/>
          </w:rPr>
        </w:r>
        <w:r w:rsidR="00065F45">
          <w:rPr>
            <w:noProof/>
            <w:webHidden/>
          </w:rPr>
          <w:fldChar w:fldCharType="separate"/>
        </w:r>
        <w:r w:rsidR="002C510A">
          <w:rPr>
            <w:noProof/>
            <w:webHidden/>
          </w:rPr>
          <w:t>6</w:t>
        </w:r>
        <w:r w:rsidR="00065F45">
          <w:rPr>
            <w:noProof/>
            <w:webHidden/>
          </w:rPr>
          <w:fldChar w:fldCharType="end"/>
        </w:r>
      </w:hyperlink>
    </w:p>
    <w:p w14:paraId="4CC7CD0F" w14:textId="61CF12EB" w:rsidR="00065F45" w:rsidRDefault="00FE54B0">
      <w:pPr>
        <w:pStyle w:val="TOC2"/>
        <w:tabs>
          <w:tab w:val="left" w:pos="960"/>
          <w:tab w:val="right" w:leader="dot" w:pos="9062"/>
        </w:tabs>
        <w:rPr>
          <w:rFonts w:asciiTheme="minorHAnsi" w:eastAsiaTheme="minorEastAsia" w:hAnsiTheme="minorHAnsi" w:cstheme="minorBidi"/>
          <w:noProof/>
          <w:sz w:val="22"/>
          <w:szCs w:val="22"/>
          <w:lang w:eastAsia="en-AU"/>
        </w:rPr>
      </w:pPr>
      <w:hyperlink w:anchor="_Toc150329425" w:history="1">
        <w:r w:rsidR="00065F45" w:rsidRPr="00F7641D">
          <w:rPr>
            <w:rStyle w:val="Hyperlink"/>
            <w:rFonts w:eastAsia="MS PGothic"/>
            <w:noProof/>
          </w:rPr>
          <w:t>3.1</w:t>
        </w:r>
        <w:r w:rsidR="00065F45">
          <w:rPr>
            <w:rFonts w:asciiTheme="minorHAnsi" w:eastAsiaTheme="minorEastAsia" w:hAnsiTheme="minorHAnsi" w:cstheme="minorBidi"/>
            <w:noProof/>
            <w:sz w:val="22"/>
            <w:szCs w:val="22"/>
            <w:lang w:eastAsia="en-AU"/>
          </w:rPr>
          <w:tab/>
        </w:r>
        <w:r w:rsidR="00065F45" w:rsidRPr="00F7641D">
          <w:rPr>
            <w:rStyle w:val="Hyperlink"/>
            <w:rFonts w:eastAsia="MS PGothic"/>
            <w:noProof/>
          </w:rPr>
          <w:t>Outputs and business processes of the regulatory charging activity</w:t>
        </w:r>
        <w:r w:rsidR="00065F45">
          <w:rPr>
            <w:noProof/>
            <w:webHidden/>
          </w:rPr>
          <w:tab/>
        </w:r>
        <w:r w:rsidR="00065F45">
          <w:rPr>
            <w:noProof/>
            <w:webHidden/>
          </w:rPr>
          <w:fldChar w:fldCharType="begin"/>
        </w:r>
        <w:r w:rsidR="00065F45">
          <w:rPr>
            <w:noProof/>
            <w:webHidden/>
          </w:rPr>
          <w:instrText xml:space="preserve"> PAGEREF _Toc150329425 \h </w:instrText>
        </w:r>
        <w:r w:rsidR="00065F45">
          <w:rPr>
            <w:noProof/>
            <w:webHidden/>
          </w:rPr>
        </w:r>
        <w:r w:rsidR="00065F45">
          <w:rPr>
            <w:noProof/>
            <w:webHidden/>
          </w:rPr>
          <w:fldChar w:fldCharType="separate"/>
        </w:r>
        <w:r w:rsidR="002C510A">
          <w:rPr>
            <w:noProof/>
            <w:webHidden/>
          </w:rPr>
          <w:t>6</w:t>
        </w:r>
        <w:r w:rsidR="00065F45">
          <w:rPr>
            <w:noProof/>
            <w:webHidden/>
          </w:rPr>
          <w:fldChar w:fldCharType="end"/>
        </w:r>
      </w:hyperlink>
    </w:p>
    <w:p w14:paraId="281297C3" w14:textId="38325551" w:rsidR="00065F45" w:rsidRDefault="00FE54B0">
      <w:pPr>
        <w:pStyle w:val="TOC3"/>
        <w:tabs>
          <w:tab w:val="left" w:pos="1200"/>
          <w:tab w:val="right" w:leader="dot" w:pos="9062"/>
        </w:tabs>
        <w:rPr>
          <w:rFonts w:asciiTheme="minorHAnsi" w:eastAsiaTheme="minorEastAsia" w:hAnsiTheme="minorHAnsi" w:cstheme="minorBidi"/>
          <w:i w:val="0"/>
          <w:iCs w:val="0"/>
          <w:noProof/>
          <w:sz w:val="22"/>
          <w:szCs w:val="22"/>
          <w:lang w:eastAsia="en-AU"/>
        </w:rPr>
      </w:pPr>
      <w:hyperlink w:anchor="_Toc150329426" w:history="1">
        <w:r w:rsidR="00065F45" w:rsidRPr="00F7641D">
          <w:rPr>
            <w:rStyle w:val="Hyperlink"/>
            <w:noProof/>
            <w14:scene3d>
              <w14:camera w14:prst="orthographicFront"/>
              <w14:lightRig w14:rig="threePt" w14:dir="t">
                <w14:rot w14:lat="0" w14:lon="0" w14:rev="0"/>
              </w14:lightRig>
            </w14:scene3d>
          </w:rPr>
          <w:t>3.1.1</w:t>
        </w:r>
        <w:r w:rsidR="00065F45">
          <w:rPr>
            <w:rFonts w:asciiTheme="minorHAnsi" w:eastAsiaTheme="minorEastAsia" w:hAnsiTheme="minorHAnsi" w:cstheme="minorBidi"/>
            <w:i w:val="0"/>
            <w:iCs w:val="0"/>
            <w:noProof/>
            <w:sz w:val="22"/>
            <w:szCs w:val="22"/>
            <w:lang w:eastAsia="en-AU"/>
          </w:rPr>
          <w:tab/>
        </w:r>
        <w:r w:rsidR="00065F45" w:rsidRPr="00F7641D">
          <w:rPr>
            <w:rStyle w:val="Hyperlink"/>
            <w:noProof/>
          </w:rPr>
          <w:t>Pattern Approval</w:t>
        </w:r>
        <w:r w:rsidR="00065F45">
          <w:rPr>
            <w:noProof/>
            <w:webHidden/>
          </w:rPr>
          <w:tab/>
        </w:r>
        <w:r w:rsidR="00065F45">
          <w:rPr>
            <w:noProof/>
            <w:webHidden/>
          </w:rPr>
          <w:fldChar w:fldCharType="begin"/>
        </w:r>
        <w:r w:rsidR="00065F45">
          <w:rPr>
            <w:noProof/>
            <w:webHidden/>
          </w:rPr>
          <w:instrText xml:space="preserve"> PAGEREF _Toc150329426 \h </w:instrText>
        </w:r>
        <w:r w:rsidR="00065F45">
          <w:rPr>
            <w:noProof/>
            <w:webHidden/>
          </w:rPr>
        </w:r>
        <w:r w:rsidR="00065F45">
          <w:rPr>
            <w:noProof/>
            <w:webHidden/>
          </w:rPr>
          <w:fldChar w:fldCharType="separate"/>
        </w:r>
        <w:r w:rsidR="002C510A">
          <w:rPr>
            <w:noProof/>
            <w:webHidden/>
          </w:rPr>
          <w:t>6</w:t>
        </w:r>
        <w:r w:rsidR="00065F45">
          <w:rPr>
            <w:noProof/>
            <w:webHidden/>
          </w:rPr>
          <w:fldChar w:fldCharType="end"/>
        </w:r>
      </w:hyperlink>
    </w:p>
    <w:p w14:paraId="6C54C91D" w14:textId="5938A851" w:rsidR="00065F45" w:rsidRDefault="00FE54B0">
      <w:pPr>
        <w:pStyle w:val="TOC3"/>
        <w:tabs>
          <w:tab w:val="left" w:pos="1200"/>
          <w:tab w:val="right" w:leader="dot" w:pos="9062"/>
        </w:tabs>
        <w:rPr>
          <w:rFonts w:asciiTheme="minorHAnsi" w:eastAsiaTheme="minorEastAsia" w:hAnsiTheme="minorHAnsi" w:cstheme="minorBidi"/>
          <w:i w:val="0"/>
          <w:iCs w:val="0"/>
          <w:noProof/>
          <w:sz w:val="22"/>
          <w:szCs w:val="22"/>
          <w:lang w:eastAsia="en-AU"/>
        </w:rPr>
      </w:pPr>
      <w:hyperlink w:anchor="_Toc150329427" w:history="1">
        <w:r w:rsidR="00065F45" w:rsidRPr="00F7641D">
          <w:rPr>
            <w:rStyle w:val="Hyperlink"/>
            <w:noProof/>
            <w14:scene3d>
              <w14:camera w14:prst="orthographicFront"/>
              <w14:lightRig w14:rig="threePt" w14:dir="t">
                <w14:rot w14:lat="0" w14:lon="0" w14:rev="0"/>
              </w14:lightRig>
            </w14:scene3d>
          </w:rPr>
          <w:t>3.1.2</w:t>
        </w:r>
        <w:r w:rsidR="00065F45">
          <w:rPr>
            <w:rFonts w:asciiTheme="minorHAnsi" w:eastAsiaTheme="minorEastAsia" w:hAnsiTheme="minorHAnsi" w:cstheme="minorBidi"/>
            <w:i w:val="0"/>
            <w:iCs w:val="0"/>
            <w:noProof/>
            <w:sz w:val="22"/>
            <w:szCs w:val="22"/>
            <w:lang w:eastAsia="en-AU"/>
          </w:rPr>
          <w:tab/>
        </w:r>
        <w:r w:rsidR="00065F45" w:rsidRPr="00F7641D">
          <w:rPr>
            <w:rStyle w:val="Hyperlink"/>
            <w:noProof/>
          </w:rPr>
          <w:t>Licensing and Appointments</w:t>
        </w:r>
        <w:r w:rsidR="00065F45">
          <w:rPr>
            <w:noProof/>
            <w:webHidden/>
          </w:rPr>
          <w:tab/>
        </w:r>
        <w:r w:rsidR="00065F45">
          <w:rPr>
            <w:noProof/>
            <w:webHidden/>
          </w:rPr>
          <w:fldChar w:fldCharType="begin"/>
        </w:r>
        <w:r w:rsidR="00065F45">
          <w:rPr>
            <w:noProof/>
            <w:webHidden/>
          </w:rPr>
          <w:instrText xml:space="preserve"> PAGEREF _Toc150329427 \h </w:instrText>
        </w:r>
        <w:r w:rsidR="00065F45">
          <w:rPr>
            <w:noProof/>
            <w:webHidden/>
          </w:rPr>
        </w:r>
        <w:r w:rsidR="00065F45">
          <w:rPr>
            <w:noProof/>
            <w:webHidden/>
          </w:rPr>
          <w:fldChar w:fldCharType="separate"/>
        </w:r>
        <w:r w:rsidR="002C510A">
          <w:rPr>
            <w:noProof/>
            <w:webHidden/>
          </w:rPr>
          <w:t>6</w:t>
        </w:r>
        <w:r w:rsidR="00065F45">
          <w:rPr>
            <w:noProof/>
            <w:webHidden/>
          </w:rPr>
          <w:fldChar w:fldCharType="end"/>
        </w:r>
      </w:hyperlink>
    </w:p>
    <w:p w14:paraId="0BB43CFF" w14:textId="653F30B7" w:rsidR="00065F45" w:rsidRDefault="00FE54B0">
      <w:pPr>
        <w:pStyle w:val="TOC2"/>
        <w:tabs>
          <w:tab w:val="left" w:pos="960"/>
          <w:tab w:val="right" w:leader="dot" w:pos="9062"/>
        </w:tabs>
        <w:rPr>
          <w:rFonts w:asciiTheme="minorHAnsi" w:eastAsiaTheme="minorEastAsia" w:hAnsiTheme="minorHAnsi" w:cstheme="minorBidi"/>
          <w:noProof/>
          <w:sz w:val="22"/>
          <w:szCs w:val="22"/>
          <w:lang w:eastAsia="en-AU"/>
        </w:rPr>
      </w:pPr>
      <w:hyperlink w:anchor="_Toc150329428" w:history="1">
        <w:r w:rsidR="00065F45" w:rsidRPr="00F7641D">
          <w:rPr>
            <w:rStyle w:val="Hyperlink"/>
            <w:rFonts w:eastAsia="MS PGothic"/>
            <w:noProof/>
          </w:rPr>
          <w:t>3.2</w:t>
        </w:r>
        <w:r w:rsidR="00065F45">
          <w:rPr>
            <w:rFonts w:asciiTheme="minorHAnsi" w:eastAsiaTheme="minorEastAsia" w:hAnsiTheme="minorHAnsi" w:cstheme="minorBidi"/>
            <w:noProof/>
            <w:sz w:val="22"/>
            <w:szCs w:val="22"/>
            <w:lang w:eastAsia="en-AU"/>
          </w:rPr>
          <w:tab/>
        </w:r>
        <w:r w:rsidR="00065F45" w:rsidRPr="00F7641D">
          <w:rPr>
            <w:rStyle w:val="Hyperlink"/>
            <w:rFonts w:eastAsia="MS PGothic"/>
            <w:noProof/>
          </w:rPr>
          <w:t>Costs of the regulatory charging activity</w:t>
        </w:r>
        <w:r w:rsidR="00065F45">
          <w:rPr>
            <w:noProof/>
            <w:webHidden/>
          </w:rPr>
          <w:tab/>
        </w:r>
        <w:r w:rsidR="00065F45">
          <w:rPr>
            <w:noProof/>
            <w:webHidden/>
          </w:rPr>
          <w:fldChar w:fldCharType="begin"/>
        </w:r>
        <w:r w:rsidR="00065F45">
          <w:rPr>
            <w:noProof/>
            <w:webHidden/>
          </w:rPr>
          <w:instrText xml:space="preserve"> PAGEREF _Toc150329428 \h </w:instrText>
        </w:r>
        <w:r w:rsidR="00065F45">
          <w:rPr>
            <w:noProof/>
            <w:webHidden/>
          </w:rPr>
        </w:r>
        <w:r w:rsidR="00065F45">
          <w:rPr>
            <w:noProof/>
            <w:webHidden/>
          </w:rPr>
          <w:fldChar w:fldCharType="separate"/>
        </w:r>
        <w:r w:rsidR="002C510A">
          <w:rPr>
            <w:noProof/>
            <w:webHidden/>
          </w:rPr>
          <w:t>7</w:t>
        </w:r>
        <w:r w:rsidR="00065F45">
          <w:rPr>
            <w:noProof/>
            <w:webHidden/>
          </w:rPr>
          <w:fldChar w:fldCharType="end"/>
        </w:r>
      </w:hyperlink>
    </w:p>
    <w:p w14:paraId="1C94C600" w14:textId="69562C02" w:rsidR="00065F45" w:rsidRDefault="00FE54B0">
      <w:pPr>
        <w:pStyle w:val="TOC2"/>
        <w:tabs>
          <w:tab w:val="left" w:pos="960"/>
          <w:tab w:val="right" w:leader="dot" w:pos="9062"/>
        </w:tabs>
        <w:rPr>
          <w:rFonts w:asciiTheme="minorHAnsi" w:eastAsiaTheme="minorEastAsia" w:hAnsiTheme="minorHAnsi" w:cstheme="minorBidi"/>
          <w:noProof/>
          <w:sz w:val="22"/>
          <w:szCs w:val="22"/>
          <w:lang w:eastAsia="en-AU"/>
        </w:rPr>
      </w:pPr>
      <w:hyperlink w:anchor="_Toc150329429" w:history="1">
        <w:r w:rsidR="00065F45" w:rsidRPr="00F7641D">
          <w:rPr>
            <w:rStyle w:val="Hyperlink"/>
            <w:rFonts w:eastAsia="MS PGothic"/>
            <w:noProof/>
          </w:rPr>
          <w:t>3.3</w:t>
        </w:r>
        <w:r w:rsidR="00065F45">
          <w:rPr>
            <w:rFonts w:asciiTheme="minorHAnsi" w:eastAsiaTheme="minorEastAsia" w:hAnsiTheme="minorHAnsi" w:cstheme="minorBidi"/>
            <w:noProof/>
            <w:sz w:val="22"/>
            <w:szCs w:val="22"/>
            <w:lang w:eastAsia="en-AU"/>
          </w:rPr>
          <w:tab/>
        </w:r>
        <w:r w:rsidR="00065F45" w:rsidRPr="00F7641D">
          <w:rPr>
            <w:rStyle w:val="Hyperlink"/>
            <w:rFonts w:eastAsia="MS PGothic"/>
            <w:noProof/>
          </w:rPr>
          <w:t>Design of regulatory charges</w:t>
        </w:r>
        <w:r w:rsidR="00065F45">
          <w:rPr>
            <w:noProof/>
            <w:webHidden/>
          </w:rPr>
          <w:tab/>
        </w:r>
        <w:r w:rsidR="00065F45">
          <w:rPr>
            <w:noProof/>
            <w:webHidden/>
          </w:rPr>
          <w:fldChar w:fldCharType="begin"/>
        </w:r>
        <w:r w:rsidR="00065F45">
          <w:rPr>
            <w:noProof/>
            <w:webHidden/>
          </w:rPr>
          <w:instrText xml:space="preserve"> PAGEREF _Toc150329429 \h </w:instrText>
        </w:r>
        <w:r w:rsidR="00065F45">
          <w:rPr>
            <w:noProof/>
            <w:webHidden/>
          </w:rPr>
        </w:r>
        <w:r w:rsidR="00065F45">
          <w:rPr>
            <w:noProof/>
            <w:webHidden/>
          </w:rPr>
          <w:fldChar w:fldCharType="separate"/>
        </w:r>
        <w:r w:rsidR="002C510A">
          <w:rPr>
            <w:noProof/>
            <w:webHidden/>
          </w:rPr>
          <w:t>8</w:t>
        </w:r>
        <w:r w:rsidR="00065F45">
          <w:rPr>
            <w:noProof/>
            <w:webHidden/>
          </w:rPr>
          <w:fldChar w:fldCharType="end"/>
        </w:r>
      </w:hyperlink>
    </w:p>
    <w:p w14:paraId="127CACCB" w14:textId="0E63704B" w:rsidR="00065F45" w:rsidRDefault="00FE54B0">
      <w:pPr>
        <w:pStyle w:val="TOC1"/>
        <w:rPr>
          <w:rFonts w:asciiTheme="minorHAnsi" w:eastAsiaTheme="minorEastAsia" w:hAnsiTheme="minorHAnsi" w:cstheme="minorBidi"/>
          <w:b w:val="0"/>
          <w:bCs w:val="0"/>
          <w:noProof/>
          <w:sz w:val="22"/>
          <w:szCs w:val="22"/>
          <w:lang w:eastAsia="en-AU"/>
        </w:rPr>
      </w:pPr>
      <w:hyperlink w:anchor="_Toc150329430" w:history="1">
        <w:r w:rsidR="00065F45" w:rsidRPr="00F7641D">
          <w:rPr>
            <w:rStyle w:val="Hyperlink"/>
            <w:noProof/>
            <w14:scene3d>
              <w14:camera w14:prst="orthographicFront"/>
              <w14:lightRig w14:rig="threePt" w14:dir="t">
                <w14:rot w14:lat="0" w14:lon="0" w14:rev="0"/>
              </w14:lightRig>
            </w14:scene3d>
          </w:rPr>
          <w:t>4.</w:t>
        </w:r>
        <w:r w:rsidR="00065F45">
          <w:rPr>
            <w:rFonts w:asciiTheme="minorHAnsi" w:eastAsiaTheme="minorEastAsia" w:hAnsiTheme="minorHAnsi" w:cstheme="minorBidi"/>
            <w:b w:val="0"/>
            <w:bCs w:val="0"/>
            <w:noProof/>
            <w:sz w:val="22"/>
            <w:szCs w:val="22"/>
            <w:lang w:eastAsia="en-AU"/>
          </w:rPr>
          <w:tab/>
        </w:r>
        <w:r w:rsidR="00065F45" w:rsidRPr="00F7641D">
          <w:rPr>
            <w:rStyle w:val="Hyperlink"/>
            <w:noProof/>
          </w:rPr>
          <w:t>RISK ASSESSMENT</w:t>
        </w:r>
        <w:r w:rsidR="00065F45">
          <w:rPr>
            <w:noProof/>
            <w:webHidden/>
          </w:rPr>
          <w:tab/>
        </w:r>
        <w:r w:rsidR="00065F45">
          <w:rPr>
            <w:noProof/>
            <w:webHidden/>
          </w:rPr>
          <w:fldChar w:fldCharType="begin"/>
        </w:r>
        <w:r w:rsidR="00065F45">
          <w:rPr>
            <w:noProof/>
            <w:webHidden/>
          </w:rPr>
          <w:instrText xml:space="preserve"> PAGEREF _Toc150329430 \h </w:instrText>
        </w:r>
        <w:r w:rsidR="00065F45">
          <w:rPr>
            <w:noProof/>
            <w:webHidden/>
          </w:rPr>
        </w:r>
        <w:r w:rsidR="00065F45">
          <w:rPr>
            <w:noProof/>
            <w:webHidden/>
          </w:rPr>
          <w:fldChar w:fldCharType="separate"/>
        </w:r>
        <w:r w:rsidR="002C510A">
          <w:rPr>
            <w:noProof/>
            <w:webHidden/>
          </w:rPr>
          <w:t>9</w:t>
        </w:r>
        <w:r w:rsidR="00065F45">
          <w:rPr>
            <w:noProof/>
            <w:webHidden/>
          </w:rPr>
          <w:fldChar w:fldCharType="end"/>
        </w:r>
      </w:hyperlink>
    </w:p>
    <w:p w14:paraId="53FDA377" w14:textId="46BC2530" w:rsidR="00065F45" w:rsidRDefault="00FE54B0">
      <w:pPr>
        <w:pStyle w:val="TOC1"/>
        <w:rPr>
          <w:rFonts w:asciiTheme="minorHAnsi" w:eastAsiaTheme="minorEastAsia" w:hAnsiTheme="minorHAnsi" w:cstheme="minorBidi"/>
          <w:b w:val="0"/>
          <w:bCs w:val="0"/>
          <w:noProof/>
          <w:sz w:val="22"/>
          <w:szCs w:val="22"/>
          <w:lang w:eastAsia="en-AU"/>
        </w:rPr>
      </w:pPr>
      <w:hyperlink w:anchor="_Toc150329431" w:history="1">
        <w:r w:rsidR="00065F45" w:rsidRPr="00F7641D">
          <w:rPr>
            <w:rStyle w:val="Hyperlink"/>
            <w:noProof/>
            <w14:scene3d>
              <w14:camera w14:prst="orthographicFront"/>
              <w14:lightRig w14:rig="threePt" w14:dir="t">
                <w14:rot w14:lat="0" w14:lon="0" w14:rev="0"/>
              </w14:lightRig>
            </w14:scene3d>
          </w:rPr>
          <w:t>5.</w:t>
        </w:r>
        <w:r w:rsidR="00065F45">
          <w:rPr>
            <w:rFonts w:asciiTheme="minorHAnsi" w:eastAsiaTheme="minorEastAsia" w:hAnsiTheme="minorHAnsi" w:cstheme="minorBidi"/>
            <w:b w:val="0"/>
            <w:bCs w:val="0"/>
            <w:noProof/>
            <w:sz w:val="22"/>
            <w:szCs w:val="22"/>
            <w:lang w:eastAsia="en-AU"/>
          </w:rPr>
          <w:tab/>
        </w:r>
        <w:r w:rsidR="00065F45" w:rsidRPr="00F7641D">
          <w:rPr>
            <w:rStyle w:val="Hyperlink"/>
            <w:noProof/>
          </w:rPr>
          <w:t>FINANCIAL ESTIMATES</w:t>
        </w:r>
        <w:r w:rsidR="00065F45">
          <w:rPr>
            <w:noProof/>
            <w:webHidden/>
          </w:rPr>
          <w:tab/>
        </w:r>
        <w:r w:rsidR="00065F45">
          <w:rPr>
            <w:noProof/>
            <w:webHidden/>
          </w:rPr>
          <w:fldChar w:fldCharType="begin"/>
        </w:r>
        <w:r w:rsidR="00065F45">
          <w:rPr>
            <w:noProof/>
            <w:webHidden/>
          </w:rPr>
          <w:instrText xml:space="preserve"> PAGEREF _Toc150329431 \h </w:instrText>
        </w:r>
        <w:r w:rsidR="00065F45">
          <w:rPr>
            <w:noProof/>
            <w:webHidden/>
          </w:rPr>
        </w:r>
        <w:r w:rsidR="00065F45">
          <w:rPr>
            <w:noProof/>
            <w:webHidden/>
          </w:rPr>
          <w:fldChar w:fldCharType="separate"/>
        </w:r>
        <w:r w:rsidR="002C510A">
          <w:rPr>
            <w:noProof/>
            <w:webHidden/>
          </w:rPr>
          <w:t>10</w:t>
        </w:r>
        <w:r w:rsidR="00065F45">
          <w:rPr>
            <w:noProof/>
            <w:webHidden/>
          </w:rPr>
          <w:fldChar w:fldCharType="end"/>
        </w:r>
      </w:hyperlink>
    </w:p>
    <w:p w14:paraId="4474DD27" w14:textId="788CB022" w:rsidR="00065F45" w:rsidRDefault="00FE54B0">
      <w:pPr>
        <w:pStyle w:val="TOC1"/>
        <w:rPr>
          <w:rFonts w:asciiTheme="minorHAnsi" w:eastAsiaTheme="minorEastAsia" w:hAnsiTheme="minorHAnsi" w:cstheme="minorBidi"/>
          <w:b w:val="0"/>
          <w:bCs w:val="0"/>
          <w:noProof/>
          <w:sz w:val="22"/>
          <w:szCs w:val="22"/>
          <w:lang w:eastAsia="en-AU"/>
        </w:rPr>
      </w:pPr>
      <w:hyperlink w:anchor="_Toc150329432" w:history="1">
        <w:r w:rsidR="00065F45" w:rsidRPr="00F7641D">
          <w:rPr>
            <w:rStyle w:val="Hyperlink"/>
            <w:noProof/>
            <w14:scene3d>
              <w14:camera w14:prst="orthographicFront"/>
              <w14:lightRig w14:rig="threePt" w14:dir="t">
                <w14:rot w14:lat="0" w14:lon="0" w14:rev="0"/>
              </w14:lightRig>
            </w14:scene3d>
          </w:rPr>
          <w:t>6.</w:t>
        </w:r>
        <w:r w:rsidR="00065F45">
          <w:rPr>
            <w:rFonts w:asciiTheme="minorHAnsi" w:eastAsiaTheme="minorEastAsia" w:hAnsiTheme="minorHAnsi" w:cstheme="minorBidi"/>
            <w:b w:val="0"/>
            <w:bCs w:val="0"/>
            <w:noProof/>
            <w:sz w:val="22"/>
            <w:szCs w:val="22"/>
            <w:lang w:eastAsia="en-AU"/>
          </w:rPr>
          <w:tab/>
        </w:r>
        <w:r w:rsidR="00065F45" w:rsidRPr="00F7641D">
          <w:rPr>
            <w:rStyle w:val="Hyperlink"/>
            <w:noProof/>
          </w:rPr>
          <w:t>FINANCIAL PERFORMANCE</w:t>
        </w:r>
        <w:r w:rsidR="00065F45">
          <w:rPr>
            <w:noProof/>
            <w:webHidden/>
          </w:rPr>
          <w:tab/>
        </w:r>
        <w:r w:rsidR="00065F45">
          <w:rPr>
            <w:noProof/>
            <w:webHidden/>
          </w:rPr>
          <w:fldChar w:fldCharType="begin"/>
        </w:r>
        <w:r w:rsidR="00065F45">
          <w:rPr>
            <w:noProof/>
            <w:webHidden/>
          </w:rPr>
          <w:instrText xml:space="preserve"> PAGEREF _Toc150329432 \h </w:instrText>
        </w:r>
        <w:r w:rsidR="00065F45">
          <w:rPr>
            <w:noProof/>
            <w:webHidden/>
          </w:rPr>
        </w:r>
        <w:r w:rsidR="00065F45">
          <w:rPr>
            <w:noProof/>
            <w:webHidden/>
          </w:rPr>
          <w:fldChar w:fldCharType="separate"/>
        </w:r>
        <w:r w:rsidR="002C510A">
          <w:rPr>
            <w:noProof/>
            <w:webHidden/>
          </w:rPr>
          <w:t>12</w:t>
        </w:r>
        <w:r w:rsidR="00065F45">
          <w:rPr>
            <w:noProof/>
            <w:webHidden/>
          </w:rPr>
          <w:fldChar w:fldCharType="end"/>
        </w:r>
      </w:hyperlink>
    </w:p>
    <w:p w14:paraId="709081D2" w14:textId="72551C3B" w:rsidR="00065F45" w:rsidRDefault="00FE54B0">
      <w:pPr>
        <w:pStyle w:val="TOC1"/>
        <w:rPr>
          <w:rFonts w:asciiTheme="minorHAnsi" w:eastAsiaTheme="minorEastAsia" w:hAnsiTheme="minorHAnsi" w:cstheme="minorBidi"/>
          <w:b w:val="0"/>
          <w:bCs w:val="0"/>
          <w:noProof/>
          <w:sz w:val="22"/>
          <w:szCs w:val="22"/>
          <w:lang w:eastAsia="en-AU"/>
        </w:rPr>
      </w:pPr>
      <w:hyperlink w:anchor="_Toc150329435" w:history="1">
        <w:r w:rsidR="00065F45" w:rsidRPr="00F7641D">
          <w:rPr>
            <w:rStyle w:val="Hyperlink"/>
            <w:noProof/>
            <w14:scene3d>
              <w14:camera w14:prst="orthographicFront"/>
              <w14:lightRig w14:rig="threePt" w14:dir="t">
                <w14:rot w14:lat="0" w14:lon="0" w14:rev="0"/>
              </w14:lightRig>
            </w14:scene3d>
          </w:rPr>
          <w:t>7.</w:t>
        </w:r>
        <w:r w:rsidR="00065F45">
          <w:rPr>
            <w:rFonts w:asciiTheme="minorHAnsi" w:eastAsiaTheme="minorEastAsia" w:hAnsiTheme="minorHAnsi" w:cstheme="minorBidi"/>
            <w:b w:val="0"/>
            <w:bCs w:val="0"/>
            <w:noProof/>
            <w:sz w:val="22"/>
            <w:szCs w:val="22"/>
            <w:lang w:eastAsia="en-AU"/>
          </w:rPr>
          <w:tab/>
        </w:r>
        <w:r w:rsidR="00065F45" w:rsidRPr="00F7641D">
          <w:rPr>
            <w:rStyle w:val="Hyperlink"/>
            <w:noProof/>
          </w:rPr>
          <w:t>NON-FINANCIAL PERFORMANCE</w:t>
        </w:r>
        <w:r w:rsidR="00065F45">
          <w:rPr>
            <w:noProof/>
            <w:webHidden/>
          </w:rPr>
          <w:tab/>
        </w:r>
        <w:r w:rsidR="00065F45">
          <w:rPr>
            <w:noProof/>
            <w:webHidden/>
          </w:rPr>
          <w:fldChar w:fldCharType="begin"/>
        </w:r>
        <w:r w:rsidR="00065F45">
          <w:rPr>
            <w:noProof/>
            <w:webHidden/>
          </w:rPr>
          <w:instrText xml:space="preserve"> PAGEREF _Toc150329435 \h </w:instrText>
        </w:r>
        <w:r w:rsidR="00065F45">
          <w:rPr>
            <w:noProof/>
            <w:webHidden/>
          </w:rPr>
        </w:r>
        <w:r w:rsidR="00065F45">
          <w:rPr>
            <w:noProof/>
            <w:webHidden/>
          </w:rPr>
          <w:fldChar w:fldCharType="separate"/>
        </w:r>
        <w:r w:rsidR="002C510A">
          <w:rPr>
            <w:noProof/>
            <w:webHidden/>
          </w:rPr>
          <w:t>12</w:t>
        </w:r>
        <w:r w:rsidR="00065F45">
          <w:rPr>
            <w:noProof/>
            <w:webHidden/>
          </w:rPr>
          <w:fldChar w:fldCharType="end"/>
        </w:r>
      </w:hyperlink>
    </w:p>
    <w:p w14:paraId="613D11CD" w14:textId="11C48B4D" w:rsidR="00065F45" w:rsidRDefault="00065F45">
      <w:pPr>
        <w:pStyle w:val="TOC2"/>
        <w:tabs>
          <w:tab w:val="right" w:leader="dot" w:pos="9062"/>
        </w:tabs>
        <w:rPr>
          <w:rStyle w:val="Hyperlink"/>
          <w:noProof/>
        </w:rPr>
      </w:pPr>
    </w:p>
    <w:p w14:paraId="4CCCAB7B" w14:textId="62DB5B88" w:rsidR="00065F45" w:rsidRDefault="00065F45" w:rsidP="00065F45">
      <w:pPr>
        <w:rPr>
          <w:rFonts w:eastAsiaTheme="minorEastAsia"/>
          <w:noProof/>
        </w:rPr>
      </w:pPr>
    </w:p>
    <w:p w14:paraId="1453660C" w14:textId="5E7E9494" w:rsidR="00065F45" w:rsidRDefault="00065F45">
      <w:pPr>
        <w:spacing w:after="200" w:line="276" w:lineRule="auto"/>
        <w:rPr>
          <w:rFonts w:eastAsiaTheme="minorEastAsia"/>
          <w:noProof/>
        </w:rPr>
      </w:pPr>
      <w:r>
        <w:rPr>
          <w:rFonts w:eastAsiaTheme="minorEastAsia"/>
          <w:noProof/>
        </w:rPr>
        <w:br w:type="page"/>
      </w:r>
    </w:p>
    <w:p w14:paraId="7712A025" w14:textId="7EE0CDB2" w:rsidR="008B679D" w:rsidRPr="008366B0" w:rsidRDefault="00A840C9" w:rsidP="00065F45">
      <w:pPr>
        <w:pStyle w:val="Heading1"/>
        <w:ind w:hanging="502"/>
      </w:pPr>
      <w:r w:rsidRPr="005A229D">
        <w:rPr>
          <w:color w:val="000000" w:themeColor="text1"/>
          <w:sz w:val="22"/>
        </w:rPr>
        <w:lastRenderedPageBreak/>
        <w:fldChar w:fldCharType="end"/>
      </w:r>
      <w:r w:rsidR="006D3D85" w:rsidRPr="006D3D85">
        <w:t xml:space="preserve"> </w:t>
      </w:r>
      <w:bookmarkStart w:id="2" w:name="_Toc150329416"/>
      <w:r w:rsidR="006D3D85" w:rsidRPr="008366B0">
        <w:t>INTRODUCTION</w:t>
      </w:r>
      <w:bookmarkStart w:id="3" w:name="_Toc526785386"/>
      <w:bookmarkEnd w:id="2"/>
      <w:bookmarkEnd w:id="3"/>
    </w:p>
    <w:p w14:paraId="2096B610" w14:textId="77777777" w:rsidR="00FC2ADE" w:rsidRPr="006C1DCD" w:rsidRDefault="00FC2ADE" w:rsidP="00065F45">
      <w:pPr>
        <w:pStyle w:val="Heading2"/>
        <w:tabs>
          <w:tab w:val="clear" w:pos="1569"/>
          <w:tab w:val="num" w:pos="567"/>
        </w:tabs>
        <w:spacing w:line="276" w:lineRule="auto"/>
        <w:ind w:hanging="1569"/>
        <w:rPr>
          <w:rFonts w:eastAsia="MS PGothic"/>
          <w:sz w:val="24"/>
          <w:szCs w:val="24"/>
        </w:rPr>
      </w:pPr>
      <w:bookmarkStart w:id="4" w:name="_Toc516468771"/>
      <w:bookmarkStart w:id="5" w:name="_Toc150329417"/>
      <w:r w:rsidRPr="006C1DCD">
        <w:rPr>
          <w:rFonts w:eastAsia="MS PGothic"/>
          <w:sz w:val="24"/>
          <w:szCs w:val="24"/>
        </w:rPr>
        <w:t xml:space="preserve">Purpose of the </w:t>
      </w:r>
      <w:r w:rsidR="00923196" w:rsidRPr="006C1DCD">
        <w:rPr>
          <w:rFonts w:eastAsia="MS PGothic"/>
          <w:sz w:val="24"/>
          <w:szCs w:val="24"/>
        </w:rPr>
        <w:t>Cost Recovery Implementation Statement</w:t>
      </w:r>
      <w:bookmarkEnd w:id="4"/>
      <w:bookmarkEnd w:id="5"/>
    </w:p>
    <w:p w14:paraId="50D338C9" w14:textId="77777777" w:rsidR="00165910" w:rsidRDefault="00165910" w:rsidP="00AB5D3B">
      <w:pPr>
        <w:pStyle w:val="Default"/>
        <w:spacing w:before="120" w:line="276" w:lineRule="auto"/>
        <w:rPr>
          <w:sz w:val="20"/>
          <w:szCs w:val="20"/>
        </w:rPr>
      </w:pPr>
      <w:r w:rsidRPr="00165910">
        <w:rPr>
          <w:sz w:val="20"/>
          <w:szCs w:val="20"/>
        </w:rPr>
        <w:t xml:space="preserve">This Cost Recovery Implementation Statement (CRIS) provides information on how the </w:t>
      </w:r>
      <w:r w:rsidR="00740F91">
        <w:rPr>
          <w:sz w:val="20"/>
          <w:szCs w:val="20"/>
        </w:rPr>
        <w:t>National Measurement Institute (</w:t>
      </w:r>
      <w:r>
        <w:rPr>
          <w:sz w:val="20"/>
          <w:szCs w:val="20"/>
        </w:rPr>
        <w:t>NMI</w:t>
      </w:r>
      <w:r w:rsidR="00740F91">
        <w:rPr>
          <w:sz w:val="20"/>
          <w:szCs w:val="20"/>
        </w:rPr>
        <w:t>)</w:t>
      </w:r>
      <w:r>
        <w:rPr>
          <w:sz w:val="20"/>
          <w:szCs w:val="20"/>
        </w:rPr>
        <w:t xml:space="preserve"> </w:t>
      </w:r>
      <w:r w:rsidRPr="00165910">
        <w:rPr>
          <w:sz w:val="20"/>
          <w:szCs w:val="20"/>
        </w:rPr>
        <w:t xml:space="preserve">implements cost recovery </w:t>
      </w:r>
      <w:r w:rsidR="00060AC1">
        <w:rPr>
          <w:sz w:val="20"/>
          <w:szCs w:val="20"/>
        </w:rPr>
        <w:t xml:space="preserve">for the </w:t>
      </w:r>
      <w:r w:rsidRPr="00165910">
        <w:rPr>
          <w:sz w:val="20"/>
          <w:szCs w:val="20"/>
        </w:rPr>
        <w:t xml:space="preserve">activities associated with the </w:t>
      </w:r>
      <w:r>
        <w:rPr>
          <w:sz w:val="20"/>
          <w:szCs w:val="20"/>
        </w:rPr>
        <w:t>administration of Pattern Approval (PA), Trade Measurement Licensing (Licensing) and Legal Metrology Authority Appointments (Appointments).</w:t>
      </w:r>
      <w:r w:rsidR="00487D23">
        <w:rPr>
          <w:sz w:val="20"/>
          <w:szCs w:val="20"/>
        </w:rPr>
        <w:t xml:space="preserve"> </w:t>
      </w:r>
    </w:p>
    <w:p w14:paraId="523660F8" w14:textId="78E5F45C" w:rsidR="00465D27" w:rsidRDefault="00465D27" w:rsidP="00AB5D3B">
      <w:pPr>
        <w:pStyle w:val="Default"/>
        <w:spacing w:before="120" w:line="276" w:lineRule="auto"/>
        <w:rPr>
          <w:sz w:val="20"/>
          <w:szCs w:val="20"/>
        </w:rPr>
      </w:pPr>
      <w:r w:rsidRPr="00465D27">
        <w:rPr>
          <w:sz w:val="20"/>
          <w:szCs w:val="20"/>
        </w:rPr>
        <w:t xml:space="preserve">This CRIS also reports financial and non-financial performance information for the </w:t>
      </w:r>
      <w:r>
        <w:rPr>
          <w:sz w:val="20"/>
          <w:szCs w:val="20"/>
        </w:rPr>
        <w:t>NMI</w:t>
      </w:r>
      <w:r w:rsidRPr="00465D27">
        <w:rPr>
          <w:sz w:val="20"/>
          <w:szCs w:val="20"/>
        </w:rPr>
        <w:t xml:space="preserve"> </w:t>
      </w:r>
      <w:r w:rsidR="00035E51">
        <w:rPr>
          <w:sz w:val="20"/>
          <w:szCs w:val="20"/>
        </w:rPr>
        <w:t xml:space="preserve">for </w:t>
      </w:r>
      <w:r w:rsidR="00794A48">
        <w:rPr>
          <w:sz w:val="20"/>
          <w:szCs w:val="20"/>
        </w:rPr>
        <w:t>202</w:t>
      </w:r>
      <w:r w:rsidR="0008562E">
        <w:rPr>
          <w:sz w:val="20"/>
          <w:szCs w:val="20"/>
        </w:rPr>
        <w:t>3</w:t>
      </w:r>
      <w:r w:rsidR="00975A3B">
        <w:rPr>
          <w:sz w:val="20"/>
          <w:szCs w:val="20"/>
        </w:rPr>
        <w:t>-</w:t>
      </w:r>
      <w:r w:rsidR="00794A48">
        <w:rPr>
          <w:sz w:val="20"/>
          <w:szCs w:val="20"/>
        </w:rPr>
        <w:t>2</w:t>
      </w:r>
      <w:r w:rsidR="0008562E">
        <w:rPr>
          <w:sz w:val="20"/>
          <w:szCs w:val="20"/>
        </w:rPr>
        <w:t>4</w:t>
      </w:r>
      <w:r w:rsidR="00794A48">
        <w:rPr>
          <w:sz w:val="20"/>
          <w:szCs w:val="20"/>
        </w:rPr>
        <w:t xml:space="preserve"> </w:t>
      </w:r>
      <w:r w:rsidRPr="00465D27">
        <w:rPr>
          <w:sz w:val="20"/>
          <w:szCs w:val="20"/>
        </w:rPr>
        <w:t xml:space="preserve">and contains financial forecasts for </w:t>
      </w:r>
      <w:r w:rsidR="008F6738">
        <w:rPr>
          <w:sz w:val="20"/>
          <w:szCs w:val="20"/>
        </w:rPr>
        <w:t xml:space="preserve">three </w:t>
      </w:r>
      <w:r w:rsidRPr="008F6738">
        <w:rPr>
          <w:sz w:val="20"/>
          <w:szCs w:val="20"/>
        </w:rPr>
        <w:t>forward years.</w:t>
      </w:r>
      <w:r w:rsidRPr="00465D27">
        <w:rPr>
          <w:sz w:val="20"/>
          <w:szCs w:val="20"/>
        </w:rPr>
        <w:t xml:space="preserve"> </w:t>
      </w:r>
    </w:p>
    <w:p w14:paraId="211A6EE8" w14:textId="77777777" w:rsidR="00FC2ADE" w:rsidRPr="006C1DCD" w:rsidRDefault="00913E35" w:rsidP="00065F45">
      <w:pPr>
        <w:pStyle w:val="Heading2"/>
        <w:tabs>
          <w:tab w:val="clear" w:pos="1569"/>
          <w:tab w:val="num" w:pos="567"/>
        </w:tabs>
        <w:spacing w:line="276" w:lineRule="auto"/>
        <w:ind w:hanging="1569"/>
        <w:rPr>
          <w:rFonts w:eastAsia="MS PGothic"/>
          <w:sz w:val="24"/>
          <w:szCs w:val="24"/>
        </w:rPr>
      </w:pPr>
      <w:bookmarkStart w:id="6" w:name="_Toc516468772"/>
      <w:bookmarkStart w:id="7" w:name="_Toc150329418"/>
      <w:r w:rsidRPr="006C1DCD">
        <w:rPr>
          <w:rFonts w:eastAsia="MS PGothic"/>
          <w:sz w:val="24"/>
          <w:szCs w:val="24"/>
        </w:rPr>
        <w:t>Description of the regulatory charging activity</w:t>
      </w:r>
      <w:bookmarkEnd w:id="6"/>
      <w:bookmarkEnd w:id="7"/>
      <w:r w:rsidR="00FC2ADE" w:rsidRPr="006C1DCD">
        <w:rPr>
          <w:rFonts w:eastAsia="MS PGothic"/>
          <w:sz w:val="24"/>
          <w:szCs w:val="24"/>
        </w:rPr>
        <w:tab/>
        <w:t xml:space="preserve"> </w:t>
      </w:r>
    </w:p>
    <w:p w14:paraId="0E1D8D3B" w14:textId="63BADAAF" w:rsidR="0090416A" w:rsidRPr="0090416A" w:rsidRDefault="0090416A" w:rsidP="00940E5A">
      <w:pPr>
        <w:spacing w:before="120" w:after="120" w:line="276" w:lineRule="auto"/>
        <w:rPr>
          <w:rFonts w:eastAsia="Arial" w:cs="Arial"/>
          <w:szCs w:val="20"/>
        </w:rPr>
      </w:pPr>
      <w:r w:rsidRPr="0090416A">
        <w:rPr>
          <w:rFonts w:eastAsia="Arial" w:cs="Arial"/>
          <w:szCs w:val="20"/>
        </w:rPr>
        <w:t>NMI, a division of the D</w:t>
      </w:r>
      <w:r w:rsidR="009F2AFF">
        <w:rPr>
          <w:rFonts w:eastAsia="Arial" w:cs="Arial"/>
          <w:szCs w:val="20"/>
        </w:rPr>
        <w:t xml:space="preserve">epartment of Industry, Science </w:t>
      </w:r>
      <w:r w:rsidR="008F6738">
        <w:rPr>
          <w:rFonts w:eastAsia="Arial" w:cs="Arial"/>
          <w:szCs w:val="20"/>
        </w:rPr>
        <w:t xml:space="preserve">and Resources </w:t>
      </w:r>
      <w:r w:rsidRPr="0090416A">
        <w:rPr>
          <w:rFonts w:eastAsia="Arial" w:cs="Arial"/>
          <w:szCs w:val="20"/>
        </w:rPr>
        <w:t xml:space="preserve">administers Australia’s </w:t>
      </w:r>
      <w:r w:rsidR="00925014">
        <w:rPr>
          <w:rFonts w:eastAsia="Arial" w:cs="Arial"/>
          <w:szCs w:val="20"/>
        </w:rPr>
        <w:t>measurement</w:t>
      </w:r>
      <w:r w:rsidRPr="0090416A">
        <w:rPr>
          <w:rFonts w:eastAsia="Arial" w:cs="Arial"/>
          <w:szCs w:val="20"/>
        </w:rPr>
        <w:t xml:space="preserve"> framework under the </w:t>
      </w:r>
      <w:r w:rsidRPr="003372B7">
        <w:rPr>
          <w:rFonts w:eastAsia="Arial" w:cs="Arial"/>
          <w:i/>
          <w:szCs w:val="20"/>
        </w:rPr>
        <w:t>National Measurement Act 1960</w:t>
      </w:r>
      <w:r w:rsidRPr="0090416A">
        <w:rPr>
          <w:rFonts w:eastAsia="Arial" w:cs="Arial"/>
          <w:szCs w:val="20"/>
        </w:rPr>
        <w:t xml:space="preserve"> (the Act)</w:t>
      </w:r>
      <w:r w:rsidR="00D35FCB">
        <w:rPr>
          <w:rFonts w:eastAsia="Arial" w:cs="Arial"/>
          <w:szCs w:val="20"/>
        </w:rPr>
        <w:t xml:space="preserve">, </w:t>
      </w:r>
      <w:r w:rsidRPr="0090416A">
        <w:rPr>
          <w:rFonts w:eastAsia="Arial" w:cs="Arial"/>
          <w:szCs w:val="20"/>
        </w:rPr>
        <w:t>supporting Regulations and Guidelines.</w:t>
      </w:r>
    </w:p>
    <w:p w14:paraId="1EBFC6D5" w14:textId="77777777" w:rsidR="00477ED5" w:rsidRDefault="00703D51" w:rsidP="00703D51">
      <w:pPr>
        <w:spacing w:after="120" w:line="276" w:lineRule="auto"/>
        <w:rPr>
          <w:rFonts w:eastAsia="Arial" w:cs="Arial"/>
          <w:szCs w:val="20"/>
        </w:rPr>
      </w:pPr>
      <w:r w:rsidRPr="00703D51">
        <w:rPr>
          <w:rFonts w:eastAsia="Arial" w:cs="Arial"/>
          <w:szCs w:val="20"/>
        </w:rPr>
        <w:t xml:space="preserve">NMI contributes to Australia’s prosperity by leading a national system of measurement that is fit for purpose and trusted both nationally and internationally. </w:t>
      </w:r>
    </w:p>
    <w:p w14:paraId="3E3BAE46" w14:textId="77777777" w:rsidR="00703D51" w:rsidRDefault="00703D51" w:rsidP="00703D51">
      <w:pPr>
        <w:spacing w:after="120" w:line="276" w:lineRule="auto"/>
        <w:rPr>
          <w:rFonts w:eastAsia="Arial" w:cs="Arial"/>
          <w:szCs w:val="20"/>
        </w:rPr>
      </w:pPr>
      <w:r w:rsidRPr="00703D51">
        <w:rPr>
          <w:rFonts w:eastAsia="Arial" w:cs="Arial"/>
          <w:szCs w:val="20"/>
        </w:rPr>
        <w:t xml:space="preserve">NMI’s regulatory activities are undertaken as key elements within the wider national system of measurement. </w:t>
      </w:r>
      <w:r w:rsidR="0049138D">
        <w:rPr>
          <w:rFonts w:eastAsia="Arial" w:cs="Arial"/>
          <w:szCs w:val="20"/>
        </w:rPr>
        <w:t>These</w:t>
      </w:r>
      <w:r w:rsidR="0049138D" w:rsidRPr="00703D51">
        <w:rPr>
          <w:rFonts w:eastAsia="Arial" w:cs="Arial"/>
          <w:szCs w:val="20"/>
        </w:rPr>
        <w:t xml:space="preserve"> </w:t>
      </w:r>
      <w:r w:rsidRPr="00703D51">
        <w:rPr>
          <w:rFonts w:eastAsia="Arial" w:cs="Arial"/>
          <w:szCs w:val="20"/>
        </w:rPr>
        <w:t xml:space="preserve">activities include approving the design or pattern of measuring instruments </w:t>
      </w:r>
      <w:r w:rsidR="0062663A">
        <w:rPr>
          <w:rFonts w:eastAsia="Arial" w:cs="Arial"/>
          <w:szCs w:val="20"/>
        </w:rPr>
        <w:t xml:space="preserve">(Pattern Approval or PA), </w:t>
      </w:r>
      <w:r w:rsidRPr="00703D51">
        <w:rPr>
          <w:rFonts w:eastAsia="Arial" w:cs="Arial"/>
          <w:szCs w:val="20"/>
        </w:rPr>
        <w:t xml:space="preserve">and </w:t>
      </w:r>
      <w:r w:rsidR="0062663A">
        <w:rPr>
          <w:rFonts w:eastAsia="Arial" w:cs="Arial"/>
          <w:szCs w:val="20"/>
        </w:rPr>
        <w:t xml:space="preserve">Licensing and Appointments of </w:t>
      </w:r>
      <w:r w:rsidRPr="00703D51">
        <w:rPr>
          <w:rFonts w:eastAsia="Arial" w:cs="Arial"/>
          <w:szCs w:val="20"/>
        </w:rPr>
        <w:t>third parties</w:t>
      </w:r>
      <w:r w:rsidR="00E578AB">
        <w:rPr>
          <w:rFonts w:eastAsia="Arial" w:cs="Arial"/>
          <w:szCs w:val="20"/>
        </w:rPr>
        <w:t>;</w:t>
      </w:r>
      <w:r w:rsidR="0062663A">
        <w:rPr>
          <w:rFonts w:eastAsia="Arial" w:cs="Arial"/>
          <w:szCs w:val="20"/>
        </w:rPr>
        <w:t xml:space="preserve"> for example</w:t>
      </w:r>
      <w:r w:rsidRPr="00703D51">
        <w:rPr>
          <w:rFonts w:eastAsia="Arial" w:cs="Arial"/>
          <w:szCs w:val="20"/>
        </w:rPr>
        <w:t xml:space="preserve"> to verify measuring instruments and verify reference standards.</w:t>
      </w:r>
      <w:r w:rsidR="0062663A">
        <w:rPr>
          <w:rFonts w:eastAsia="Arial" w:cs="Arial"/>
          <w:szCs w:val="20"/>
        </w:rPr>
        <w:t xml:space="preserve"> </w:t>
      </w:r>
      <w:r w:rsidR="00E578AB">
        <w:rPr>
          <w:rFonts w:eastAsia="Arial" w:cs="Arial"/>
          <w:szCs w:val="20"/>
        </w:rPr>
        <w:t xml:space="preserve">These activities </w:t>
      </w:r>
      <w:r w:rsidR="0062663A">
        <w:rPr>
          <w:rFonts w:eastAsia="Arial" w:cs="Arial"/>
          <w:szCs w:val="20"/>
        </w:rPr>
        <w:t xml:space="preserve">are undertaken by NMI’s Legal Metrology </w:t>
      </w:r>
      <w:r w:rsidR="00E578AB">
        <w:rPr>
          <w:rFonts w:eastAsia="Arial" w:cs="Arial"/>
          <w:szCs w:val="20"/>
        </w:rPr>
        <w:t>Branch</w:t>
      </w:r>
      <w:r w:rsidR="0062663A">
        <w:rPr>
          <w:rFonts w:eastAsia="Arial" w:cs="Arial"/>
          <w:szCs w:val="20"/>
        </w:rPr>
        <w:t>.</w:t>
      </w:r>
    </w:p>
    <w:p w14:paraId="1299858E" w14:textId="77777777" w:rsidR="006525D8" w:rsidRDefault="006525D8" w:rsidP="00AB5D3B">
      <w:pPr>
        <w:spacing w:after="120" w:line="276" w:lineRule="auto"/>
        <w:rPr>
          <w:rFonts w:eastAsia="Arial" w:cs="Arial"/>
          <w:szCs w:val="20"/>
        </w:rPr>
      </w:pPr>
      <w:r w:rsidRPr="006525D8">
        <w:rPr>
          <w:rFonts w:eastAsia="Arial" w:cs="Arial"/>
          <w:szCs w:val="20"/>
        </w:rPr>
        <w:t>Legal metrology comprises all measurements carried out for any legal purpose</w:t>
      </w:r>
      <w:r w:rsidR="00A037C4">
        <w:rPr>
          <w:rFonts w:eastAsia="Arial" w:cs="Arial"/>
          <w:szCs w:val="20"/>
        </w:rPr>
        <w:t>. It</w:t>
      </w:r>
      <w:r w:rsidRPr="006525D8">
        <w:rPr>
          <w:rFonts w:eastAsia="Arial" w:cs="Arial"/>
          <w:szCs w:val="20"/>
        </w:rPr>
        <w:t xml:space="preserve"> includes measurements that are subject to regulation by law or government decree together with the supporting technical and regulatory infrastructure. Trade measurement refers to all transactions where the price of commodities or goods </w:t>
      </w:r>
      <w:r w:rsidR="00F95259">
        <w:rPr>
          <w:rFonts w:eastAsia="Arial" w:cs="Arial"/>
          <w:szCs w:val="20"/>
        </w:rPr>
        <w:t>is determined by</w:t>
      </w:r>
      <w:r w:rsidR="00F95259" w:rsidRPr="006525D8">
        <w:rPr>
          <w:rFonts w:eastAsia="Arial" w:cs="Arial"/>
          <w:szCs w:val="20"/>
        </w:rPr>
        <w:t xml:space="preserve"> </w:t>
      </w:r>
      <w:r w:rsidRPr="006525D8">
        <w:rPr>
          <w:rFonts w:eastAsia="Arial" w:cs="Arial"/>
          <w:szCs w:val="20"/>
        </w:rPr>
        <w:t>a measured quantity or quality component. The primary purpose of the Australian trade measurement system is to ensure that the calculated price of traded goods is based on accurate measurement.</w:t>
      </w:r>
    </w:p>
    <w:p w14:paraId="3264459F" w14:textId="77777777" w:rsidR="00815184" w:rsidRDefault="0049138D" w:rsidP="00815184">
      <w:pPr>
        <w:spacing w:after="120" w:line="276" w:lineRule="auto"/>
        <w:rPr>
          <w:rFonts w:eastAsia="Arial" w:cs="Arial"/>
          <w:szCs w:val="20"/>
        </w:rPr>
      </w:pPr>
      <w:r>
        <w:rPr>
          <w:rFonts w:eastAsia="Arial" w:cs="Arial"/>
          <w:szCs w:val="20"/>
        </w:rPr>
        <w:t>NMI also offers a broad range of services in biological, chemical, and physical measurement. Some examples include analytical services in chemistry and microbiology for food and environmental testing</w:t>
      </w:r>
      <w:r w:rsidR="001B165D">
        <w:rPr>
          <w:rFonts w:eastAsia="Arial" w:cs="Arial"/>
          <w:szCs w:val="20"/>
        </w:rPr>
        <w:t>,</w:t>
      </w:r>
      <w:r>
        <w:rPr>
          <w:rFonts w:eastAsia="Arial" w:cs="Arial"/>
          <w:szCs w:val="20"/>
        </w:rPr>
        <w:t xml:space="preserve"> specialist chemical analysis for illicit drugs or drugs in sport</w:t>
      </w:r>
      <w:r w:rsidR="001B165D">
        <w:rPr>
          <w:rFonts w:eastAsia="Arial" w:cs="Arial"/>
          <w:szCs w:val="20"/>
        </w:rPr>
        <w:t>,</w:t>
      </w:r>
      <w:r>
        <w:rPr>
          <w:rFonts w:eastAsia="Arial" w:cs="Arial"/>
          <w:szCs w:val="20"/>
        </w:rPr>
        <w:t xml:space="preserve"> calibration of measuring instruments and of physical standards such as reference masses</w:t>
      </w:r>
      <w:r w:rsidR="001B165D">
        <w:rPr>
          <w:rFonts w:eastAsia="Arial" w:cs="Arial"/>
          <w:szCs w:val="20"/>
        </w:rPr>
        <w:t>,</w:t>
      </w:r>
      <w:r>
        <w:rPr>
          <w:rFonts w:eastAsia="Arial" w:cs="Arial"/>
          <w:szCs w:val="20"/>
        </w:rPr>
        <w:t xml:space="preserve"> and training in measurement techniques. While NMI charges for these services, they are outside the scope of this statement as they are not regulatory activities.</w:t>
      </w:r>
      <w:bookmarkStart w:id="8" w:name="_Toc516468774"/>
    </w:p>
    <w:p w14:paraId="1CCA53DA" w14:textId="37367074" w:rsidR="00815184" w:rsidRPr="006C1DCD" w:rsidRDefault="00815184" w:rsidP="00065F45">
      <w:pPr>
        <w:pStyle w:val="Heading3"/>
        <w:tabs>
          <w:tab w:val="clear" w:pos="862"/>
          <w:tab w:val="num" w:pos="567"/>
        </w:tabs>
        <w:spacing w:line="276" w:lineRule="auto"/>
        <w:ind w:left="340" w:hanging="340"/>
        <w:rPr>
          <w:sz w:val="22"/>
          <w:szCs w:val="22"/>
        </w:rPr>
      </w:pPr>
      <w:bookmarkStart w:id="9" w:name="_Toc150329419"/>
      <w:r>
        <w:rPr>
          <w:sz w:val="22"/>
          <w:szCs w:val="22"/>
        </w:rPr>
        <w:t>Pattern Approval</w:t>
      </w:r>
      <w:bookmarkEnd w:id="9"/>
      <w:r>
        <w:rPr>
          <w:sz w:val="22"/>
          <w:szCs w:val="22"/>
        </w:rPr>
        <w:t xml:space="preserve"> </w:t>
      </w:r>
    </w:p>
    <w:bookmarkEnd w:id="8"/>
    <w:p w14:paraId="1F89EB02" w14:textId="7595F6DD" w:rsidR="006225D8" w:rsidRDefault="006225D8" w:rsidP="005C0801">
      <w:pPr>
        <w:spacing w:before="120" w:line="276" w:lineRule="auto"/>
        <w:rPr>
          <w:rFonts w:cs="Arial"/>
          <w:szCs w:val="20"/>
        </w:rPr>
      </w:pPr>
      <w:r>
        <w:rPr>
          <w:rFonts w:cs="Arial"/>
          <w:szCs w:val="20"/>
        </w:rPr>
        <w:t>In Australia</w:t>
      </w:r>
      <w:r w:rsidR="00C50FFE">
        <w:rPr>
          <w:rFonts w:cs="Arial"/>
          <w:szCs w:val="20"/>
        </w:rPr>
        <w:t>,</w:t>
      </w:r>
      <w:r>
        <w:rPr>
          <w:rFonts w:cs="Arial"/>
          <w:szCs w:val="20"/>
        </w:rPr>
        <w:t xml:space="preserve"> m</w:t>
      </w:r>
      <w:r w:rsidR="005C0801" w:rsidRPr="005C0801">
        <w:rPr>
          <w:rFonts w:cs="Arial"/>
          <w:szCs w:val="20"/>
        </w:rPr>
        <w:t>anufacturers and importers of measuring instruments (e.g. retail scales, weighbridges, petrol</w:t>
      </w:r>
      <w:r w:rsidR="00D35FCB">
        <w:rPr>
          <w:rFonts w:cs="Arial"/>
          <w:szCs w:val="20"/>
        </w:rPr>
        <w:t xml:space="preserve"> pumps</w:t>
      </w:r>
      <w:r w:rsidR="005C0801" w:rsidRPr="005C0801">
        <w:rPr>
          <w:rFonts w:cs="Arial"/>
          <w:szCs w:val="20"/>
        </w:rPr>
        <w:t xml:space="preserve">, </w:t>
      </w:r>
      <w:r w:rsidR="007521FD" w:rsidRPr="005C0801">
        <w:rPr>
          <w:rFonts w:cs="Arial"/>
          <w:szCs w:val="20"/>
        </w:rPr>
        <w:t>breath</w:t>
      </w:r>
      <w:r w:rsidR="00E141D4">
        <w:rPr>
          <w:rFonts w:cs="Arial"/>
          <w:szCs w:val="20"/>
        </w:rPr>
        <w:t>-</w:t>
      </w:r>
      <w:r w:rsidR="005C0801" w:rsidRPr="005C0801">
        <w:rPr>
          <w:rFonts w:cs="Arial"/>
          <w:szCs w:val="20"/>
        </w:rPr>
        <w:t xml:space="preserve">alcohol analysers) are required to have a PA certificate from NMI before instruments can be used for trade or other regulatory purposes. </w:t>
      </w:r>
    </w:p>
    <w:p w14:paraId="0909698C" w14:textId="1E88F235" w:rsidR="00925014" w:rsidRDefault="00925014" w:rsidP="00925014">
      <w:pPr>
        <w:spacing w:before="120" w:line="276" w:lineRule="auto"/>
        <w:rPr>
          <w:rFonts w:cs="Arial"/>
          <w:szCs w:val="20"/>
        </w:rPr>
      </w:pPr>
      <w:r w:rsidRPr="008366B0">
        <w:rPr>
          <w:rFonts w:cs="Arial"/>
          <w:szCs w:val="20"/>
        </w:rPr>
        <w:t>A measuring instrument is used for trade if it is used</w:t>
      </w:r>
      <w:r w:rsidR="00802113">
        <w:rPr>
          <w:rFonts w:cs="Arial"/>
          <w:szCs w:val="20"/>
        </w:rPr>
        <w:t xml:space="preserve"> in</w:t>
      </w:r>
      <w:r>
        <w:rPr>
          <w:rFonts w:cs="Arial"/>
          <w:szCs w:val="20"/>
        </w:rPr>
        <w:t>:</w:t>
      </w:r>
    </w:p>
    <w:p w14:paraId="4922CDB7" w14:textId="77777777" w:rsidR="00925014" w:rsidRPr="004A609B" w:rsidRDefault="00925014" w:rsidP="005A229D">
      <w:pPr>
        <w:pStyle w:val="ListParagraph"/>
        <w:numPr>
          <w:ilvl w:val="0"/>
          <w:numId w:val="25"/>
        </w:numPr>
        <w:spacing w:before="120" w:after="0"/>
        <w:ind w:left="714" w:hanging="357"/>
        <w:contextualSpacing w:val="0"/>
        <w:rPr>
          <w:rFonts w:cs="Arial"/>
          <w:szCs w:val="20"/>
        </w:rPr>
      </w:pPr>
      <w:r w:rsidRPr="00F430BF">
        <w:rPr>
          <w:rFonts w:ascii="Arial" w:hAnsi="Arial" w:cs="Arial"/>
          <w:szCs w:val="20"/>
        </w:rPr>
        <w:t>determining the consideration in respect of a transaction</w:t>
      </w:r>
    </w:p>
    <w:p w14:paraId="573AC59D" w14:textId="77777777" w:rsidR="00925014" w:rsidRPr="004A609B" w:rsidRDefault="00925014" w:rsidP="005A229D">
      <w:pPr>
        <w:pStyle w:val="ListParagraph"/>
        <w:numPr>
          <w:ilvl w:val="0"/>
          <w:numId w:val="25"/>
        </w:numPr>
        <w:spacing w:before="120" w:after="0"/>
        <w:ind w:left="714" w:hanging="357"/>
        <w:contextualSpacing w:val="0"/>
        <w:rPr>
          <w:rFonts w:cs="Arial"/>
          <w:szCs w:val="20"/>
        </w:rPr>
      </w:pPr>
      <w:r w:rsidRPr="00F430BF">
        <w:rPr>
          <w:rFonts w:ascii="Arial" w:hAnsi="Arial" w:cs="Arial"/>
          <w:szCs w:val="20"/>
        </w:rPr>
        <w:t xml:space="preserve">determining the amount of a tax. </w:t>
      </w:r>
    </w:p>
    <w:p w14:paraId="04BBF39A" w14:textId="77777777" w:rsidR="00925014" w:rsidRPr="008366B0" w:rsidRDefault="00925014" w:rsidP="00925014">
      <w:pPr>
        <w:spacing w:before="120" w:line="276" w:lineRule="auto"/>
        <w:rPr>
          <w:rFonts w:cs="Arial"/>
          <w:szCs w:val="20"/>
        </w:rPr>
      </w:pPr>
      <w:r w:rsidRPr="008366B0">
        <w:rPr>
          <w:rFonts w:cs="Arial"/>
          <w:szCs w:val="20"/>
        </w:rPr>
        <w:t xml:space="preserve">In Australia, </w:t>
      </w:r>
      <w:r w:rsidR="00802113">
        <w:rPr>
          <w:rFonts w:cs="Arial"/>
          <w:szCs w:val="20"/>
        </w:rPr>
        <w:t xml:space="preserve">the Act requires </w:t>
      </w:r>
      <w:r w:rsidRPr="008366B0">
        <w:rPr>
          <w:rFonts w:cs="Arial"/>
          <w:szCs w:val="20"/>
        </w:rPr>
        <w:t>all measuring instruments used for trade</w:t>
      </w:r>
      <w:r w:rsidR="00D35FCB">
        <w:rPr>
          <w:rFonts w:cs="Arial"/>
          <w:szCs w:val="20"/>
        </w:rPr>
        <w:t xml:space="preserve"> to </w:t>
      </w:r>
      <w:r w:rsidRPr="008366B0">
        <w:rPr>
          <w:rFonts w:cs="Arial"/>
          <w:szCs w:val="20"/>
        </w:rPr>
        <w:t xml:space="preserve">be pattern-approved. </w:t>
      </w:r>
    </w:p>
    <w:p w14:paraId="397D0D13" w14:textId="7BDAF4AC" w:rsidR="002324C3" w:rsidRDefault="002324C3" w:rsidP="002324C3">
      <w:pPr>
        <w:spacing w:before="120" w:line="276" w:lineRule="auto"/>
        <w:rPr>
          <w:rFonts w:cs="Arial"/>
          <w:szCs w:val="20"/>
        </w:rPr>
      </w:pPr>
      <w:r w:rsidRPr="008366B0">
        <w:rPr>
          <w:rFonts w:cs="Arial"/>
          <w:szCs w:val="20"/>
        </w:rPr>
        <w:t xml:space="preserve">PA confirms that a measuring instrument’s design meets relevant documentary standards and performs as intended over a range of environmental and operating conditions. NMI examines trade </w:t>
      </w:r>
      <w:r w:rsidRPr="008366B0">
        <w:rPr>
          <w:rFonts w:cs="Arial"/>
          <w:szCs w:val="20"/>
        </w:rPr>
        <w:lastRenderedPageBreak/>
        <w:t xml:space="preserve">and other legal measuring instruments against relevant standards and issues </w:t>
      </w:r>
      <w:r w:rsidR="00382078">
        <w:rPr>
          <w:rFonts w:cs="Arial"/>
          <w:szCs w:val="20"/>
        </w:rPr>
        <w:t>PA</w:t>
      </w:r>
      <w:r w:rsidR="00E820B6" w:rsidRPr="008366B0">
        <w:rPr>
          <w:rFonts w:cs="Arial"/>
          <w:szCs w:val="20"/>
        </w:rPr>
        <w:t xml:space="preserve"> </w:t>
      </w:r>
      <w:r w:rsidRPr="008366B0">
        <w:rPr>
          <w:rFonts w:cs="Arial"/>
          <w:szCs w:val="20"/>
        </w:rPr>
        <w:t xml:space="preserve">certificates that are internationally recognised. </w:t>
      </w:r>
    </w:p>
    <w:p w14:paraId="0D6B593D" w14:textId="19E95DF4" w:rsidR="006225D8" w:rsidRPr="006225D8" w:rsidRDefault="006225D8" w:rsidP="006225D8">
      <w:pPr>
        <w:spacing w:before="120" w:line="276" w:lineRule="auto"/>
        <w:rPr>
          <w:rFonts w:cs="Arial"/>
          <w:szCs w:val="20"/>
        </w:rPr>
      </w:pPr>
      <w:r w:rsidRPr="006225D8">
        <w:rPr>
          <w:rFonts w:cs="Arial"/>
          <w:szCs w:val="20"/>
        </w:rPr>
        <w:t xml:space="preserve">When reviewing applications for </w:t>
      </w:r>
      <w:r w:rsidR="00382078">
        <w:rPr>
          <w:rFonts w:cs="Arial"/>
          <w:szCs w:val="20"/>
        </w:rPr>
        <w:t>PA,</w:t>
      </w:r>
      <w:r w:rsidRPr="006225D8">
        <w:rPr>
          <w:rFonts w:cs="Arial"/>
          <w:szCs w:val="20"/>
        </w:rPr>
        <w:t xml:space="preserve"> where certification has already been issued in another country, NMI recognises test reports </w:t>
      </w:r>
      <w:r w:rsidR="00925014">
        <w:rPr>
          <w:rFonts w:cs="Arial"/>
          <w:szCs w:val="20"/>
        </w:rPr>
        <w:t xml:space="preserve">from </w:t>
      </w:r>
      <w:r w:rsidR="00E820B6">
        <w:rPr>
          <w:rFonts w:cs="Arial"/>
          <w:szCs w:val="20"/>
        </w:rPr>
        <w:t xml:space="preserve">overseas </w:t>
      </w:r>
      <w:r w:rsidR="00925014">
        <w:rPr>
          <w:rFonts w:cs="Arial"/>
          <w:szCs w:val="20"/>
        </w:rPr>
        <w:t xml:space="preserve">laboratories </w:t>
      </w:r>
      <w:r w:rsidRPr="006225D8">
        <w:rPr>
          <w:rFonts w:cs="Arial"/>
          <w:szCs w:val="20"/>
        </w:rPr>
        <w:t xml:space="preserve">issued in accordance with the </w:t>
      </w:r>
      <w:r w:rsidR="007A1A49">
        <w:rPr>
          <w:rFonts w:cs="Arial"/>
          <w:szCs w:val="20"/>
        </w:rPr>
        <w:t>OIML</w:t>
      </w:r>
      <w:r w:rsidR="003960A3">
        <w:rPr>
          <w:rFonts w:cs="Arial"/>
          <w:szCs w:val="20"/>
        </w:rPr>
        <w:t xml:space="preserve"> Certification System</w:t>
      </w:r>
      <w:r w:rsidR="00925014">
        <w:rPr>
          <w:rFonts w:cs="Arial"/>
          <w:szCs w:val="20"/>
        </w:rPr>
        <w:t>,</w:t>
      </w:r>
      <w:r w:rsidRPr="006225D8">
        <w:rPr>
          <w:rFonts w:cs="Arial"/>
          <w:szCs w:val="20"/>
        </w:rPr>
        <w:t xml:space="preserve"> and </w:t>
      </w:r>
      <w:r w:rsidR="00E820B6">
        <w:rPr>
          <w:rFonts w:cs="Arial"/>
          <w:szCs w:val="20"/>
        </w:rPr>
        <w:t>may</w:t>
      </w:r>
      <w:r w:rsidR="00E820B6" w:rsidRPr="006225D8">
        <w:rPr>
          <w:rFonts w:cs="Arial"/>
          <w:szCs w:val="20"/>
        </w:rPr>
        <w:t xml:space="preserve"> </w:t>
      </w:r>
      <w:r w:rsidRPr="006225D8">
        <w:rPr>
          <w:rFonts w:cs="Arial"/>
          <w:szCs w:val="20"/>
        </w:rPr>
        <w:t xml:space="preserve">also accept other test </w:t>
      </w:r>
      <w:r w:rsidR="00E820B6">
        <w:rPr>
          <w:rFonts w:cs="Arial"/>
          <w:szCs w:val="20"/>
        </w:rPr>
        <w:t>reports under certain conditions</w:t>
      </w:r>
      <w:r w:rsidRPr="006225D8">
        <w:rPr>
          <w:rFonts w:cs="Arial"/>
          <w:szCs w:val="20"/>
        </w:rPr>
        <w:t xml:space="preserve">. </w:t>
      </w:r>
    </w:p>
    <w:p w14:paraId="6A4B29A3" w14:textId="3D3FD890" w:rsidR="005C0801" w:rsidRDefault="006225D8" w:rsidP="006225D8">
      <w:pPr>
        <w:spacing w:before="120" w:line="276" w:lineRule="auto"/>
        <w:rPr>
          <w:rFonts w:cs="Arial"/>
          <w:szCs w:val="20"/>
        </w:rPr>
      </w:pPr>
      <w:r w:rsidRPr="006225D8">
        <w:rPr>
          <w:rFonts w:cs="Arial"/>
          <w:szCs w:val="20"/>
        </w:rPr>
        <w:t xml:space="preserve">Where </w:t>
      </w:r>
      <w:r w:rsidR="00107E5C">
        <w:rPr>
          <w:rFonts w:cs="Arial"/>
          <w:szCs w:val="20"/>
        </w:rPr>
        <w:t xml:space="preserve">an </w:t>
      </w:r>
      <w:r w:rsidRPr="006225D8">
        <w:rPr>
          <w:rFonts w:cs="Arial"/>
          <w:szCs w:val="20"/>
        </w:rPr>
        <w:t xml:space="preserve">appropriate </w:t>
      </w:r>
      <w:r w:rsidR="00E820B6">
        <w:rPr>
          <w:rFonts w:cs="Arial"/>
          <w:szCs w:val="20"/>
        </w:rPr>
        <w:t>test report</w:t>
      </w:r>
      <w:r w:rsidRPr="006225D8">
        <w:rPr>
          <w:rFonts w:cs="Arial"/>
          <w:szCs w:val="20"/>
        </w:rPr>
        <w:t xml:space="preserve"> </w:t>
      </w:r>
      <w:r w:rsidR="00107E5C">
        <w:rPr>
          <w:rFonts w:cs="Arial"/>
          <w:szCs w:val="20"/>
        </w:rPr>
        <w:t xml:space="preserve">is </w:t>
      </w:r>
      <w:r w:rsidRPr="006225D8">
        <w:rPr>
          <w:rFonts w:cs="Arial"/>
          <w:szCs w:val="20"/>
        </w:rPr>
        <w:t xml:space="preserve">not available, </w:t>
      </w:r>
      <w:r w:rsidR="00E820B6">
        <w:rPr>
          <w:rFonts w:cs="Arial"/>
          <w:szCs w:val="20"/>
        </w:rPr>
        <w:t xml:space="preserve">NMI is able to provide PA testing services. </w:t>
      </w:r>
      <w:r w:rsidRPr="006225D8">
        <w:rPr>
          <w:rFonts w:cs="Arial"/>
          <w:szCs w:val="20"/>
        </w:rPr>
        <w:t xml:space="preserve">This provides confidence in domestic and international trade </w:t>
      </w:r>
      <w:r w:rsidR="00191176">
        <w:rPr>
          <w:rFonts w:cs="Arial"/>
          <w:szCs w:val="20"/>
        </w:rPr>
        <w:t>as well as</w:t>
      </w:r>
      <w:r w:rsidR="00191176" w:rsidRPr="006225D8">
        <w:rPr>
          <w:rFonts w:cs="Arial"/>
          <w:szCs w:val="20"/>
        </w:rPr>
        <w:t xml:space="preserve"> </w:t>
      </w:r>
      <w:r w:rsidRPr="006225D8">
        <w:rPr>
          <w:rFonts w:cs="Arial"/>
          <w:szCs w:val="20"/>
        </w:rPr>
        <w:t xml:space="preserve">other functions and benefits </w:t>
      </w:r>
      <w:r w:rsidR="00191176">
        <w:rPr>
          <w:rFonts w:cs="Arial"/>
          <w:szCs w:val="20"/>
        </w:rPr>
        <w:t xml:space="preserve">for </w:t>
      </w:r>
      <w:r w:rsidRPr="006225D8">
        <w:rPr>
          <w:rFonts w:cs="Arial"/>
          <w:szCs w:val="20"/>
        </w:rPr>
        <w:t>the whole economy.</w:t>
      </w:r>
    </w:p>
    <w:p w14:paraId="6089400F" w14:textId="28C609AC" w:rsidR="00B654CA" w:rsidRDefault="00B654CA" w:rsidP="00AB5D3B">
      <w:pPr>
        <w:spacing w:before="120" w:line="276" w:lineRule="auto"/>
        <w:rPr>
          <w:rFonts w:cs="Arial"/>
          <w:szCs w:val="20"/>
        </w:rPr>
      </w:pPr>
      <w:r w:rsidRPr="008366B0">
        <w:rPr>
          <w:rFonts w:cs="Arial"/>
          <w:szCs w:val="20"/>
        </w:rPr>
        <w:t xml:space="preserve">NMI may also appoint Approving Authorities to </w:t>
      </w:r>
      <w:r w:rsidR="00794559">
        <w:rPr>
          <w:rFonts w:cs="Arial"/>
          <w:szCs w:val="20"/>
        </w:rPr>
        <w:t>conduct independent testing of measuring instruments</w:t>
      </w:r>
      <w:r w:rsidR="00382078">
        <w:rPr>
          <w:rFonts w:cs="Arial"/>
          <w:szCs w:val="20"/>
        </w:rPr>
        <w:t xml:space="preserve"> for PA</w:t>
      </w:r>
      <w:r w:rsidR="00794559">
        <w:rPr>
          <w:rFonts w:cs="Arial"/>
          <w:szCs w:val="20"/>
        </w:rPr>
        <w:t xml:space="preserve">. </w:t>
      </w:r>
      <w:r w:rsidR="002324C3">
        <w:rPr>
          <w:rFonts w:cs="Arial"/>
          <w:szCs w:val="20"/>
        </w:rPr>
        <w:t>T</w:t>
      </w:r>
      <w:r w:rsidR="00CA7F3E">
        <w:rPr>
          <w:rFonts w:cs="Arial"/>
          <w:szCs w:val="20"/>
        </w:rPr>
        <w:t xml:space="preserve">est </w:t>
      </w:r>
      <w:r w:rsidR="00794559">
        <w:rPr>
          <w:rFonts w:cs="Arial"/>
          <w:szCs w:val="20"/>
        </w:rPr>
        <w:t xml:space="preserve">results </w:t>
      </w:r>
      <w:r w:rsidR="0072518F">
        <w:rPr>
          <w:rFonts w:cs="Arial"/>
          <w:szCs w:val="20"/>
        </w:rPr>
        <w:t xml:space="preserve">from </w:t>
      </w:r>
      <w:r w:rsidR="002324C3">
        <w:rPr>
          <w:rFonts w:cs="Arial"/>
          <w:szCs w:val="20"/>
        </w:rPr>
        <w:t xml:space="preserve">an </w:t>
      </w:r>
      <w:r w:rsidR="0072518F">
        <w:rPr>
          <w:rFonts w:cs="Arial"/>
          <w:szCs w:val="20"/>
        </w:rPr>
        <w:t xml:space="preserve">Approving Authority </w:t>
      </w:r>
      <w:r w:rsidR="00794559">
        <w:rPr>
          <w:rFonts w:cs="Arial"/>
          <w:szCs w:val="20"/>
        </w:rPr>
        <w:t xml:space="preserve">will be considered by the NMI when assessing the suitability of a measuring instrument for trade or legal purposes. </w:t>
      </w:r>
    </w:p>
    <w:p w14:paraId="0C6B643B" w14:textId="4A947B02" w:rsidR="00D647AB" w:rsidRDefault="00553E6C" w:rsidP="00D96527">
      <w:pPr>
        <w:spacing w:before="120" w:line="276" w:lineRule="auto"/>
        <w:rPr>
          <w:rFonts w:cs="Arial"/>
          <w:szCs w:val="20"/>
        </w:rPr>
      </w:pPr>
      <w:r>
        <w:rPr>
          <w:rFonts w:cs="Arial"/>
          <w:szCs w:val="20"/>
        </w:rPr>
        <w:t>P</w:t>
      </w:r>
      <w:r w:rsidR="00097660">
        <w:rPr>
          <w:rFonts w:cs="Arial"/>
          <w:szCs w:val="20"/>
        </w:rPr>
        <w:t xml:space="preserve">A </w:t>
      </w:r>
      <w:r>
        <w:rPr>
          <w:rFonts w:cs="Arial"/>
          <w:szCs w:val="20"/>
        </w:rPr>
        <w:t>testing and certification by NMI</w:t>
      </w:r>
      <w:r w:rsidR="00D647AB">
        <w:rPr>
          <w:rFonts w:cs="Arial"/>
          <w:szCs w:val="20"/>
        </w:rPr>
        <w:t xml:space="preserve"> underpins confidence in the accuracy of measuring instruments used for international and </w:t>
      </w:r>
      <w:r w:rsidR="00D35FCB">
        <w:rPr>
          <w:rFonts w:cs="Arial"/>
          <w:szCs w:val="20"/>
        </w:rPr>
        <w:t xml:space="preserve">domestic </w:t>
      </w:r>
      <w:r w:rsidR="00D647AB">
        <w:rPr>
          <w:rFonts w:cs="Arial"/>
          <w:szCs w:val="20"/>
        </w:rPr>
        <w:t xml:space="preserve">trade without undue reliance on overseas authorities, who may </w:t>
      </w:r>
      <w:r w:rsidR="00D35FCB">
        <w:rPr>
          <w:rFonts w:cs="Arial"/>
          <w:szCs w:val="20"/>
        </w:rPr>
        <w:t xml:space="preserve">have little focus </w:t>
      </w:r>
      <w:r w:rsidR="00D647AB">
        <w:rPr>
          <w:rFonts w:cs="Arial"/>
          <w:szCs w:val="20"/>
        </w:rPr>
        <w:t>on protecting Australian trading interests.</w:t>
      </w:r>
      <w:r>
        <w:rPr>
          <w:rFonts w:cs="Arial"/>
          <w:szCs w:val="20"/>
        </w:rPr>
        <w:t xml:space="preserve"> </w:t>
      </w:r>
      <w:r w:rsidR="006A7B39">
        <w:rPr>
          <w:rFonts w:cs="Arial"/>
          <w:szCs w:val="20"/>
        </w:rPr>
        <w:t xml:space="preserve">NMI represents </w:t>
      </w:r>
      <w:r w:rsidR="00DD7ABC" w:rsidRPr="006A7B39">
        <w:rPr>
          <w:rFonts w:cs="Arial"/>
          <w:szCs w:val="20"/>
        </w:rPr>
        <w:t>Australia’s</w:t>
      </w:r>
      <w:r w:rsidR="00754879" w:rsidRPr="006A7B39">
        <w:rPr>
          <w:rFonts w:cs="Arial"/>
          <w:szCs w:val="20"/>
        </w:rPr>
        <w:t xml:space="preserve"> </w:t>
      </w:r>
      <w:r w:rsidR="006A7B39">
        <w:rPr>
          <w:rFonts w:cs="Arial"/>
          <w:szCs w:val="20"/>
        </w:rPr>
        <w:t xml:space="preserve">economic </w:t>
      </w:r>
      <w:r w:rsidR="00754879" w:rsidRPr="006A7B39">
        <w:rPr>
          <w:rFonts w:cs="Arial"/>
          <w:szCs w:val="20"/>
        </w:rPr>
        <w:t>interests</w:t>
      </w:r>
      <w:r w:rsidR="006A7B39" w:rsidRPr="006A7B39">
        <w:rPr>
          <w:rFonts w:cs="Arial"/>
          <w:szCs w:val="20"/>
        </w:rPr>
        <w:t xml:space="preserve"> through the PA certification process, as its counterpart organisations do in most </w:t>
      </w:r>
      <w:r w:rsidR="006A7B39">
        <w:rPr>
          <w:rFonts w:cs="Arial"/>
          <w:szCs w:val="20"/>
        </w:rPr>
        <w:t xml:space="preserve">other </w:t>
      </w:r>
      <w:r w:rsidR="006A7B39" w:rsidRPr="006A7B39">
        <w:rPr>
          <w:rFonts w:cs="Arial"/>
          <w:szCs w:val="20"/>
        </w:rPr>
        <w:t>comparable economies.</w:t>
      </w:r>
    </w:p>
    <w:p w14:paraId="4B67AE03" w14:textId="77777777" w:rsidR="00FB6FEE" w:rsidRPr="006C1DCD" w:rsidRDefault="00FB6FEE" w:rsidP="006C1DCD">
      <w:pPr>
        <w:pStyle w:val="Heading3"/>
        <w:spacing w:line="276" w:lineRule="auto"/>
        <w:ind w:left="340" w:hanging="340"/>
        <w:rPr>
          <w:sz w:val="22"/>
          <w:szCs w:val="22"/>
        </w:rPr>
      </w:pPr>
      <w:bookmarkStart w:id="10" w:name="_Toc516468775"/>
      <w:bookmarkStart w:id="11" w:name="_Toc150329420"/>
      <w:r w:rsidRPr="006C1DCD">
        <w:rPr>
          <w:sz w:val="22"/>
          <w:szCs w:val="22"/>
        </w:rPr>
        <w:t>Licensing</w:t>
      </w:r>
      <w:bookmarkEnd w:id="10"/>
      <w:bookmarkEnd w:id="11"/>
      <w:r w:rsidRPr="006C1DCD">
        <w:rPr>
          <w:sz w:val="22"/>
          <w:szCs w:val="22"/>
        </w:rPr>
        <w:t xml:space="preserve"> </w:t>
      </w:r>
    </w:p>
    <w:p w14:paraId="638B87A6" w14:textId="3F3EB327" w:rsidR="00250B03" w:rsidRPr="00250B03" w:rsidRDefault="00250B03" w:rsidP="00250B03">
      <w:pPr>
        <w:spacing w:before="120" w:line="276" w:lineRule="auto"/>
        <w:rPr>
          <w:rFonts w:cs="Arial"/>
          <w:szCs w:val="20"/>
        </w:rPr>
      </w:pPr>
      <w:r w:rsidRPr="00250B03">
        <w:rPr>
          <w:rFonts w:cs="Arial"/>
          <w:szCs w:val="20"/>
        </w:rPr>
        <w:t>NMI licen</w:t>
      </w:r>
      <w:r w:rsidR="006118BD">
        <w:rPr>
          <w:rFonts w:cs="Arial"/>
          <w:szCs w:val="20"/>
        </w:rPr>
        <w:t>s</w:t>
      </w:r>
      <w:r w:rsidRPr="00250B03">
        <w:rPr>
          <w:rFonts w:cs="Arial"/>
          <w:szCs w:val="20"/>
        </w:rPr>
        <w:t xml:space="preserve">es </w:t>
      </w:r>
      <w:r w:rsidR="00925014">
        <w:rPr>
          <w:rFonts w:cs="Arial"/>
          <w:szCs w:val="20"/>
        </w:rPr>
        <w:t>third-</w:t>
      </w:r>
      <w:r w:rsidRPr="00250B03">
        <w:rPr>
          <w:rFonts w:cs="Arial"/>
          <w:szCs w:val="20"/>
        </w:rPr>
        <w:t>part</w:t>
      </w:r>
      <w:r w:rsidR="00E157FF">
        <w:rPr>
          <w:rFonts w:cs="Arial"/>
          <w:szCs w:val="20"/>
        </w:rPr>
        <w:t>y</w:t>
      </w:r>
      <w:r w:rsidRPr="00250B03">
        <w:rPr>
          <w:rFonts w:cs="Arial"/>
          <w:szCs w:val="20"/>
        </w:rPr>
        <w:t xml:space="preserve"> </w:t>
      </w:r>
      <w:r w:rsidR="00E157FF">
        <w:rPr>
          <w:rFonts w:cs="Arial"/>
          <w:szCs w:val="20"/>
        </w:rPr>
        <w:t>private organisations to</w:t>
      </w:r>
      <w:r w:rsidR="00E141D4">
        <w:rPr>
          <w:rFonts w:cs="Arial"/>
          <w:szCs w:val="20"/>
        </w:rPr>
        <w:t>:</w:t>
      </w:r>
    </w:p>
    <w:p w14:paraId="7ADFCDFB" w14:textId="77777777" w:rsidR="00250B03" w:rsidRPr="009627C3" w:rsidRDefault="00250B03" w:rsidP="00DE02AA">
      <w:pPr>
        <w:pStyle w:val="ListParagraph"/>
        <w:numPr>
          <w:ilvl w:val="0"/>
          <w:numId w:val="11"/>
        </w:numPr>
        <w:spacing w:before="120" w:after="0"/>
        <w:ind w:left="709" w:hanging="352"/>
        <w:contextualSpacing w:val="0"/>
        <w:rPr>
          <w:rFonts w:ascii="Arial" w:hAnsi="Arial" w:cs="Arial"/>
          <w:szCs w:val="20"/>
        </w:rPr>
      </w:pPr>
      <w:r w:rsidRPr="009627C3">
        <w:rPr>
          <w:rFonts w:ascii="Arial" w:hAnsi="Arial" w:cs="Arial"/>
          <w:szCs w:val="20"/>
        </w:rPr>
        <w:t>verify measuring instruments used for trade</w:t>
      </w:r>
      <w:r w:rsidR="00E157FF">
        <w:rPr>
          <w:rFonts w:ascii="Arial" w:hAnsi="Arial" w:cs="Arial"/>
          <w:szCs w:val="20"/>
        </w:rPr>
        <w:t xml:space="preserve"> (Servicing Licensees)</w:t>
      </w:r>
    </w:p>
    <w:p w14:paraId="76EE1EDA" w14:textId="77777777" w:rsidR="00250B03" w:rsidRDefault="00250B03" w:rsidP="00DE02AA">
      <w:pPr>
        <w:pStyle w:val="ListParagraph"/>
        <w:numPr>
          <w:ilvl w:val="0"/>
          <w:numId w:val="11"/>
        </w:numPr>
        <w:spacing w:before="120" w:after="0"/>
        <w:ind w:left="709" w:hanging="352"/>
        <w:contextualSpacing w:val="0"/>
        <w:rPr>
          <w:rFonts w:ascii="Arial" w:hAnsi="Arial" w:cs="Arial"/>
          <w:szCs w:val="20"/>
        </w:rPr>
      </w:pPr>
      <w:r w:rsidRPr="009627C3">
        <w:rPr>
          <w:rFonts w:ascii="Arial" w:hAnsi="Arial" w:cs="Arial"/>
          <w:szCs w:val="20"/>
        </w:rPr>
        <w:t>operate public weighbridges</w:t>
      </w:r>
      <w:r w:rsidR="00E157FF">
        <w:rPr>
          <w:rFonts w:ascii="Arial" w:hAnsi="Arial" w:cs="Arial"/>
          <w:szCs w:val="20"/>
        </w:rPr>
        <w:t xml:space="preserve"> (Public Weighbridge Licensees)</w:t>
      </w:r>
      <w:r w:rsidR="002D679C">
        <w:rPr>
          <w:rFonts w:ascii="Arial" w:hAnsi="Arial" w:cs="Arial"/>
          <w:szCs w:val="20"/>
        </w:rPr>
        <w:t>.</w:t>
      </w:r>
    </w:p>
    <w:p w14:paraId="28227706" w14:textId="6CC0FF4F" w:rsidR="007A1A49" w:rsidRPr="004A609B" w:rsidRDefault="007A1A49" w:rsidP="00940E5A">
      <w:pPr>
        <w:spacing w:before="120" w:line="276" w:lineRule="auto"/>
        <w:rPr>
          <w:rFonts w:cs="Arial"/>
          <w:szCs w:val="20"/>
        </w:rPr>
      </w:pPr>
      <w:r w:rsidRPr="00E157FF">
        <w:rPr>
          <w:rFonts w:cs="Arial"/>
          <w:szCs w:val="20"/>
        </w:rPr>
        <w:t>Businesses across Australia rely on the capability of servicing licen</w:t>
      </w:r>
      <w:r w:rsidR="006118BD">
        <w:rPr>
          <w:rFonts w:cs="Arial"/>
          <w:szCs w:val="20"/>
        </w:rPr>
        <w:t>s</w:t>
      </w:r>
      <w:r w:rsidRPr="00E157FF">
        <w:rPr>
          <w:rFonts w:cs="Arial"/>
          <w:szCs w:val="20"/>
        </w:rPr>
        <w:t>ees and public weighbridge licen</w:t>
      </w:r>
      <w:r w:rsidR="006118BD">
        <w:rPr>
          <w:rFonts w:cs="Arial"/>
          <w:szCs w:val="20"/>
        </w:rPr>
        <w:t>s</w:t>
      </w:r>
      <w:r w:rsidRPr="00E157FF">
        <w:rPr>
          <w:rFonts w:cs="Arial"/>
          <w:szCs w:val="20"/>
        </w:rPr>
        <w:t xml:space="preserve">ees </w:t>
      </w:r>
      <w:proofErr w:type="gramStart"/>
      <w:r w:rsidR="00DD7ABC">
        <w:rPr>
          <w:rFonts w:cs="Arial"/>
          <w:szCs w:val="20"/>
        </w:rPr>
        <w:t xml:space="preserve">in order </w:t>
      </w:r>
      <w:r w:rsidRPr="00E157FF">
        <w:rPr>
          <w:rFonts w:cs="Arial"/>
          <w:szCs w:val="20"/>
        </w:rPr>
        <w:t>to</w:t>
      </w:r>
      <w:proofErr w:type="gramEnd"/>
      <w:r w:rsidRPr="00E157FF">
        <w:rPr>
          <w:rFonts w:cs="Arial"/>
          <w:szCs w:val="20"/>
        </w:rPr>
        <w:t xml:space="preserve"> comply with the requirements of the Act </w:t>
      </w:r>
      <w:r w:rsidR="00DD7ABC">
        <w:rPr>
          <w:rFonts w:cs="Arial"/>
          <w:szCs w:val="20"/>
        </w:rPr>
        <w:t xml:space="preserve">and </w:t>
      </w:r>
      <w:r w:rsidRPr="00E157FF">
        <w:rPr>
          <w:rFonts w:cs="Arial"/>
          <w:szCs w:val="20"/>
        </w:rPr>
        <w:t>to help maintain the metrological infrastructure for trade measurement</w:t>
      </w:r>
      <w:r>
        <w:rPr>
          <w:rFonts w:cs="Arial"/>
          <w:szCs w:val="20"/>
        </w:rPr>
        <w:t>.</w:t>
      </w:r>
    </w:p>
    <w:p w14:paraId="4D3CF553" w14:textId="77777777" w:rsidR="000E6628" w:rsidRPr="008366B0" w:rsidRDefault="000E6628" w:rsidP="000E6628">
      <w:pPr>
        <w:spacing w:before="120" w:line="276" w:lineRule="auto"/>
        <w:rPr>
          <w:rFonts w:cs="Arial"/>
          <w:szCs w:val="20"/>
        </w:rPr>
      </w:pPr>
      <w:r w:rsidRPr="008366B0">
        <w:rPr>
          <w:rFonts w:cs="Arial"/>
          <w:szCs w:val="20"/>
        </w:rPr>
        <w:t>NMI’s approach is to ensure Australia’s servicing licensee workforce is maintained at an appropriate level of competency, that verifications are performed correctly</w:t>
      </w:r>
      <w:r w:rsidR="008504FA">
        <w:rPr>
          <w:rFonts w:cs="Arial"/>
          <w:szCs w:val="20"/>
        </w:rPr>
        <w:t>,</w:t>
      </w:r>
      <w:r w:rsidRPr="008366B0">
        <w:rPr>
          <w:rFonts w:cs="Arial"/>
          <w:szCs w:val="20"/>
        </w:rPr>
        <w:t xml:space="preserve"> and that verifiers have access to the necessary procedures, systems and equipment to perform their duties correctly and in accordance with the Act.</w:t>
      </w:r>
    </w:p>
    <w:p w14:paraId="369C4A51" w14:textId="77777777" w:rsidR="00250B03" w:rsidRDefault="00250B03" w:rsidP="00250B03">
      <w:pPr>
        <w:spacing w:before="120" w:line="276" w:lineRule="auto"/>
        <w:rPr>
          <w:rFonts w:cs="Arial"/>
          <w:szCs w:val="20"/>
        </w:rPr>
      </w:pPr>
      <w:r w:rsidRPr="00250B03">
        <w:rPr>
          <w:rFonts w:cs="Arial"/>
          <w:szCs w:val="20"/>
        </w:rPr>
        <w:t xml:space="preserve">Licensees return data on </w:t>
      </w:r>
      <w:r w:rsidR="009877F6">
        <w:rPr>
          <w:rFonts w:cs="Arial"/>
          <w:szCs w:val="20"/>
        </w:rPr>
        <w:t xml:space="preserve">instrument </w:t>
      </w:r>
      <w:r w:rsidRPr="00250B03">
        <w:rPr>
          <w:rFonts w:cs="Arial"/>
          <w:szCs w:val="20"/>
        </w:rPr>
        <w:t>verification</w:t>
      </w:r>
      <w:r w:rsidR="009877F6">
        <w:rPr>
          <w:rFonts w:cs="Arial"/>
          <w:szCs w:val="20"/>
        </w:rPr>
        <w:t>s</w:t>
      </w:r>
      <w:r w:rsidRPr="00250B03">
        <w:rPr>
          <w:rFonts w:cs="Arial"/>
          <w:szCs w:val="20"/>
        </w:rPr>
        <w:t xml:space="preserve"> to</w:t>
      </w:r>
      <w:r w:rsidR="008504FA">
        <w:rPr>
          <w:rFonts w:cs="Arial"/>
          <w:szCs w:val="20"/>
        </w:rPr>
        <w:t xml:space="preserve"> </w:t>
      </w:r>
      <w:r w:rsidR="00F37A25">
        <w:rPr>
          <w:rFonts w:cs="Arial"/>
          <w:szCs w:val="20"/>
        </w:rPr>
        <w:t xml:space="preserve">the </w:t>
      </w:r>
      <w:r w:rsidRPr="00250B03">
        <w:rPr>
          <w:rFonts w:cs="Arial"/>
          <w:szCs w:val="20"/>
        </w:rPr>
        <w:t>NMI</w:t>
      </w:r>
      <w:r w:rsidR="008504FA">
        <w:rPr>
          <w:rFonts w:cs="Arial"/>
          <w:szCs w:val="20"/>
        </w:rPr>
        <w:t>. This</w:t>
      </w:r>
      <w:r w:rsidRPr="00250B03">
        <w:rPr>
          <w:rFonts w:cs="Arial"/>
          <w:szCs w:val="20"/>
        </w:rPr>
        <w:t xml:space="preserve"> supports efficient delivery of</w:t>
      </w:r>
      <w:r w:rsidR="008504FA">
        <w:rPr>
          <w:rFonts w:cs="Arial"/>
          <w:szCs w:val="20"/>
        </w:rPr>
        <w:t xml:space="preserve"> </w:t>
      </w:r>
      <w:r w:rsidRPr="00250B03">
        <w:rPr>
          <w:rFonts w:cs="Arial"/>
          <w:szCs w:val="20"/>
        </w:rPr>
        <w:t>NMI</w:t>
      </w:r>
      <w:r w:rsidR="008504FA">
        <w:rPr>
          <w:rFonts w:cs="Arial"/>
          <w:szCs w:val="20"/>
        </w:rPr>
        <w:t>’s</w:t>
      </w:r>
      <w:r w:rsidRPr="00250B03">
        <w:rPr>
          <w:rFonts w:cs="Arial"/>
          <w:szCs w:val="20"/>
        </w:rPr>
        <w:t xml:space="preserve"> compliance activities and lowers the overall regulatory burden</w:t>
      </w:r>
      <w:r w:rsidR="007A1A49">
        <w:rPr>
          <w:rFonts w:cs="Arial"/>
          <w:szCs w:val="20"/>
        </w:rPr>
        <w:t xml:space="preserve"> on stakeholders</w:t>
      </w:r>
      <w:r w:rsidR="006E604F">
        <w:rPr>
          <w:rFonts w:cs="Arial"/>
          <w:szCs w:val="20"/>
        </w:rPr>
        <w:t xml:space="preserve"> </w:t>
      </w:r>
      <w:r w:rsidR="007A1A49">
        <w:rPr>
          <w:rFonts w:cs="Arial"/>
          <w:szCs w:val="20"/>
        </w:rPr>
        <w:t xml:space="preserve">by reducing compliance </w:t>
      </w:r>
      <w:r w:rsidR="006E604F">
        <w:rPr>
          <w:rFonts w:cs="Arial"/>
          <w:szCs w:val="20"/>
        </w:rPr>
        <w:t xml:space="preserve">inspection </w:t>
      </w:r>
      <w:r w:rsidR="007A1A49">
        <w:rPr>
          <w:rFonts w:cs="Arial"/>
          <w:szCs w:val="20"/>
        </w:rPr>
        <w:t>cost</w:t>
      </w:r>
      <w:r w:rsidR="006E604F">
        <w:rPr>
          <w:rFonts w:cs="Arial"/>
          <w:szCs w:val="20"/>
        </w:rPr>
        <w:t>s</w:t>
      </w:r>
      <w:r w:rsidRPr="00250B03">
        <w:rPr>
          <w:rFonts w:cs="Arial"/>
          <w:szCs w:val="20"/>
        </w:rPr>
        <w:t xml:space="preserve">. </w:t>
      </w:r>
    </w:p>
    <w:p w14:paraId="22F13B4A" w14:textId="77777777" w:rsidR="00FB6FEE" w:rsidRPr="006C1DCD" w:rsidRDefault="00FB6FEE" w:rsidP="006C1DCD">
      <w:pPr>
        <w:pStyle w:val="Heading3"/>
        <w:spacing w:line="276" w:lineRule="auto"/>
        <w:ind w:left="340" w:hanging="340"/>
        <w:rPr>
          <w:sz w:val="22"/>
          <w:szCs w:val="22"/>
        </w:rPr>
      </w:pPr>
      <w:bookmarkStart w:id="12" w:name="_Toc516468776"/>
      <w:bookmarkStart w:id="13" w:name="_Toc150329421"/>
      <w:r w:rsidRPr="006C1DCD">
        <w:rPr>
          <w:sz w:val="22"/>
          <w:szCs w:val="22"/>
        </w:rPr>
        <w:t>Appointments</w:t>
      </w:r>
      <w:bookmarkEnd w:id="12"/>
      <w:bookmarkEnd w:id="13"/>
    </w:p>
    <w:p w14:paraId="1B7C50BD" w14:textId="64B6AFEB" w:rsidR="00754F3D" w:rsidRPr="008366B0" w:rsidRDefault="00754F3D" w:rsidP="00AB5D3B">
      <w:pPr>
        <w:spacing w:before="120" w:line="276" w:lineRule="auto"/>
        <w:rPr>
          <w:rFonts w:cs="Arial"/>
          <w:bCs/>
          <w:szCs w:val="20"/>
        </w:rPr>
      </w:pPr>
      <w:r w:rsidRPr="008366B0">
        <w:rPr>
          <w:rFonts w:cs="Arial"/>
          <w:bCs/>
          <w:szCs w:val="20"/>
        </w:rPr>
        <w:t xml:space="preserve">To support </w:t>
      </w:r>
      <w:r w:rsidR="00DD7ABC">
        <w:rPr>
          <w:rFonts w:cs="Arial"/>
          <w:bCs/>
          <w:szCs w:val="20"/>
        </w:rPr>
        <w:t>the national</w:t>
      </w:r>
      <w:r w:rsidRPr="008366B0">
        <w:rPr>
          <w:rFonts w:cs="Arial"/>
          <w:bCs/>
          <w:szCs w:val="20"/>
        </w:rPr>
        <w:t xml:space="preserve"> measurement system</w:t>
      </w:r>
      <w:r w:rsidR="006E604F">
        <w:rPr>
          <w:rFonts w:cs="Arial"/>
          <w:bCs/>
          <w:szCs w:val="20"/>
        </w:rPr>
        <w:t>,</w:t>
      </w:r>
      <w:r w:rsidRPr="008366B0">
        <w:rPr>
          <w:rFonts w:cs="Arial"/>
          <w:bCs/>
          <w:szCs w:val="20"/>
        </w:rPr>
        <w:t xml:space="preserve"> NMI appoints </w:t>
      </w:r>
      <w:r w:rsidR="00487D23">
        <w:rPr>
          <w:rFonts w:cs="Arial"/>
          <w:bCs/>
          <w:szCs w:val="20"/>
        </w:rPr>
        <w:t>third-</w:t>
      </w:r>
      <w:r w:rsidRPr="008366B0">
        <w:rPr>
          <w:rFonts w:cs="Arial"/>
          <w:bCs/>
          <w:szCs w:val="20"/>
        </w:rPr>
        <w:t xml:space="preserve">party, private </w:t>
      </w:r>
      <w:r w:rsidR="006E604F">
        <w:rPr>
          <w:rFonts w:cs="Arial"/>
          <w:bCs/>
          <w:szCs w:val="20"/>
        </w:rPr>
        <w:t>sector organisations</w:t>
      </w:r>
      <w:r w:rsidRPr="008366B0">
        <w:rPr>
          <w:rFonts w:cs="Arial"/>
          <w:bCs/>
          <w:szCs w:val="20"/>
        </w:rPr>
        <w:t xml:space="preserve"> </w:t>
      </w:r>
      <w:r w:rsidR="00487D23">
        <w:rPr>
          <w:rFonts w:cs="Arial"/>
          <w:bCs/>
          <w:szCs w:val="20"/>
        </w:rPr>
        <w:t>as</w:t>
      </w:r>
      <w:r w:rsidRPr="008366B0">
        <w:rPr>
          <w:rFonts w:cs="Arial"/>
          <w:bCs/>
          <w:szCs w:val="20"/>
        </w:rPr>
        <w:t xml:space="preserve"> authorities</w:t>
      </w:r>
      <w:r w:rsidR="005729E9">
        <w:rPr>
          <w:rFonts w:cs="Arial"/>
          <w:bCs/>
          <w:szCs w:val="20"/>
        </w:rPr>
        <w:t xml:space="preserve"> including</w:t>
      </w:r>
      <w:r w:rsidRPr="008366B0">
        <w:rPr>
          <w:rFonts w:cs="Arial"/>
          <w:bCs/>
          <w:szCs w:val="20"/>
        </w:rPr>
        <w:t>:</w:t>
      </w:r>
    </w:p>
    <w:p w14:paraId="0B3227BF" w14:textId="3BBD6F2E" w:rsidR="00754F3D" w:rsidRPr="00043131" w:rsidRDefault="00754F3D" w:rsidP="00646D7B">
      <w:pPr>
        <w:pStyle w:val="ListParagraph"/>
        <w:numPr>
          <w:ilvl w:val="0"/>
          <w:numId w:val="5"/>
        </w:numPr>
        <w:spacing w:before="120" w:after="0"/>
        <w:ind w:left="714" w:hanging="357"/>
        <w:contextualSpacing w:val="0"/>
        <w:rPr>
          <w:rFonts w:ascii="Arial" w:hAnsi="Arial" w:cs="Arial"/>
          <w:bCs/>
          <w:szCs w:val="20"/>
        </w:rPr>
      </w:pPr>
      <w:r w:rsidRPr="00043131">
        <w:rPr>
          <w:rFonts w:ascii="Arial" w:hAnsi="Arial" w:cs="Arial"/>
          <w:b/>
          <w:bCs/>
          <w:szCs w:val="20"/>
        </w:rPr>
        <w:t>Certifying authorities</w:t>
      </w:r>
      <w:r w:rsidRPr="00043131">
        <w:rPr>
          <w:rFonts w:ascii="Arial" w:hAnsi="Arial" w:cs="Arial"/>
          <w:bCs/>
          <w:szCs w:val="20"/>
        </w:rPr>
        <w:t xml:space="preserve"> to certify measuring instruments, </w:t>
      </w:r>
      <w:r w:rsidR="006E604F">
        <w:rPr>
          <w:rFonts w:ascii="Arial" w:hAnsi="Arial" w:cs="Arial"/>
          <w:bCs/>
          <w:szCs w:val="20"/>
        </w:rPr>
        <w:t>e</w:t>
      </w:r>
      <w:r w:rsidR="00E141D4">
        <w:rPr>
          <w:rFonts w:ascii="Arial" w:hAnsi="Arial" w:cs="Arial"/>
          <w:bCs/>
          <w:szCs w:val="20"/>
        </w:rPr>
        <w:t>.</w:t>
      </w:r>
      <w:r w:rsidR="006E604F">
        <w:rPr>
          <w:rFonts w:ascii="Arial" w:hAnsi="Arial" w:cs="Arial"/>
          <w:bCs/>
          <w:szCs w:val="20"/>
        </w:rPr>
        <w:t>g</w:t>
      </w:r>
      <w:r w:rsidR="00E141D4">
        <w:rPr>
          <w:rFonts w:ascii="Arial" w:hAnsi="Arial" w:cs="Arial"/>
          <w:bCs/>
          <w:szCs w:val="20"/>
        </w:rPr>
        <w:t>.</w:t>
      </w:r>
      <w:r w:rsidR="006E604F" w:rsidRPr="00043131">
        <w:rPr>
          <w:rFonts w:ascii="Arial" w:hAnsi="Arial" w:cs="Arial"/>
          <w:bCs/>
          <w:szCs w:val="20"/>
        </w:rPr>
        <w:t xml:space="preserve"> </w:t>
      </w:r>
      <w:r w:rsidRPr="00043131">
        <w:rPr>
          <w:rFonts w:ascii="Arial" w:hAnsi="Arial" w:cs="Arial"/>
          <w:bCs/>
          <w:szCs w:val="20"/>
        </w:rPr>
        <w:t xml:space="preserve">evidential breath-alcohol analysers and grain protein measuring instruments, and Australian certified reference materials </w:t>
      </w:r>
      <w:r w:rsidR="00C36F9A">
        <w:rPr>
          <w:rFonts w:ascii="Arial" w:hAnsi="Arial" w:cs="Arial"/>
          <w:bCs/>
          <w:szCs w:val="20"/>
        </w:rPr>
        <w:t>including</w:t>
      </w:r>
      <w:r w:rsidRPr="00043131">
        <w:rPr>
          <w:rFonts w:ascii="Arial" w:hAnsi="Arial" w:cs="Arial"/>
          <w:bCs/>
          <w:szCs w:val="20"/>
        </w:rPr>
        <w:t xml:space="preserve"> aqueous ethanol solutions and whole-grain barley and wheat for use in calibrating appropriate measuring instruments and establish measurement traceability</w:t>
      </w:r>
      <w:r w:rsidR="00157F78">
        <w:rPr>
          <w:rFonts w:ascii="Arial" w:hAnsi="Arial" w:cs="Arial"/>
          <w:bCs/>
          <w:szCs w:val="20"/>
        </w:rPr>
        <w:t>.</w:t>
      </w:r>
    </w:p>
    <w:p w14:paraId="1E2B8FFF" w14:textId="77777777" w:rsidR="00754F3D" w:rsidRPr="00043131" w:rsidRDefault="00754F3D" w:rsidP="00646D7B">
      <w:pPr>
        <w:pStyle w:val="ListParagraph"/>
        <w:numPr>
          <w:ilvl w:val="0"/>
          <w:numId w:val="5"/>
        </w:numPr>
        <w:spacing w:before="120" w:after="0"/>
        <w:ind w:left="714" w:hanging="357"/>
        <w:contextualSpacing w:val="0"/>
        <w:rPr>
          <w:rFonts w:ascii="Arial" w:hAnsi="Arial" w:cs="Arial"/>
          <w:bCs/>
          <w:szCs w:val="20"/>
        </w:rPr>
      </w:pPr>
      <w:r w:rsidRPr="00043131">
        <w:rPr>
          <w:rFonts w:ascii="Arial" w:hAnsi="Arial" w:cs="Arial"/>
          <w:b/>
          <w:bCs/>
          <w:szCs w:val="20"/>
        </w:rPr>
        <w:t>Verifying authorities</w:t>
      </w:r>
      <w:r w:rsidRPr="00043131">
        <w:rPr>
          <w:rFonts w:ascii="Arial" w:hAnsi="Arial" w:cs="Arial"/>
          <w:bCs/>
          <w:szCs w:val="20"/>
        </w:rPr>
        <w:t xml:space="preserve"> to verify reference standards of measurement and physical quantities of an artefact that establish measurement traceability</w:t>
      </w:r>
      <w:r w:rsidR="00157F78">
        <w:rPr>
          <w:rFonts w:ascii="Arial" w:hAnsi="Arial" w:cs="Arial"/>
          <w:bCs/>
          <w:szCs w:val="20"/>
        </w:rPr>
        <w:t>.</w:t>
      </w:r>
    </w:p>
    <w:p w14:paraId="083FF9AA" w14:textId="77777777" w:rsidR="00754F3D" w:rsidRPr="00043131" w:rsidRDefault="00754F3D" w:rsidP="00646D7B">
      <w:pPr>
        <w:pStyle w:val="ListParagraph"/>
        <w:numPr>
          <w:ilvl w:val="0"/>
          <w:numId w:val="5"/>
        </w:numPr>
        <w:spacing w:before="120" w:after="0"/>
        <w:ind w:left="714" w:hanging="357"/>
        <w:contextualSpacing w:val="0"/>
        <w:rPr>
          <w:rFonts w:ascii="Arial" w:hAnsi="Arial" w:cs="Arial"/>
          <w:bCs/>
          <w:szCs w:val="20"/>
        </w:rPr>
      </w:pPr>
      <w:r w:rsidRPr="00043131">
        <w:rPr>
          <w:rFonts w:ascii="Arial" w:hAnsi="Arial" w:cs="Arial"/>
          <w:b/>
          <w:bCs/>
          <w:szCs w:val="20"/>
        </w:rPr>
        <w:t>Approving authorities</w:t>
      </w:r>
      <w:r w:rsidRPr="00043131">
        <w:rPr>
          <w:rFonts w:ascii="Arial" w:hAnsi="Arial" w:cs="Arial"/>
          <w:bCs/>
          <w:szCs w:val="20"/>
        </w:rPr>
        <w:t xml:space="preserve"> to conduct PA testing of </w:t>
      </w:r>
      <w:r w:rsidR="00DD7ABC">
        <w:rPr>
          <w:rFonts w:ascii="Arial" w:hAnsi="Arial" w:cs="Arial"/>
          <w:bCs/>
          <w:szCs w:val="20"/>
        </w:rPr>
        <w:t>utility</w:t>
      </w:r>
      <w:r w:rsidRPr="00043131">
        <w:rPr>
          <w:rFonts w:ascii="Arial" w:hAnsi="Arial" w:cs="Arial"/>
          <w:bCs/>
          <w:szCs w:val="20"/>
        </w:rPr>
        <w:t xml:space="preserve"> meters and evidential breath-alcohol analysers</w:t>
      </w:r>
      <w:r w:rsidR="00157F78">
        <w:rPr>
          <w:rFonts w:ascii="Arial" w:hAnsi="Arial" w:cs="Arial"/>
          <w:bCs/>
          <w:szCs w:val="20"/>
        </w:rPr>
        <w:t>.</w:t>
      </w:r>
      <w:r w:rsidRPr="00043131">
        <w:rPr>
          <w:rFonts w:ascii="Arial" w:hAnsi="Arial" w:cs="Arial"/>
          <w:bCs/>
          <w:szCs w:val="20"/>
        </w:rPr>
        <w:t xml:space="preserve"> </w:t>
      </w:r>
    </w:p>
    <w:p w14:paraId="1959A1F0" w14:textId="77777777" w:rsidR="00754F3D" w:rsidRDefault="00754F3D" w:rsidP="00646D7B">
      <w:pPr>
        <w:pStyle w:val="ListParagraph"/>
        <w:numPr>
          <w:ilvl w:val="0"/>
          <w:numId w:val="5"/>
        </w:numPr>
        <w:spacing w:before="120" w:after="0"/>
        <w:ind w:left="714" w:hanging="357"/>
        <w:contextualSpacing w:val="0"/>
        <w:rPr>
          <w:rFonts w:ascii="Arial" w:hAnsi="Arial" w:cs="Arial"/>
          <w:bCs/>
          <w:szCs w:val="20"/>
        </w:rPr>
      </w:pPr>
      <w:r w:rsidRPr="00043131">
        <w:rPr>
          <w:rFonts w:ascii="Arial" w:hAnsi="Arial" w:cs="Arial"/>
          <w:b/>
          <w:bCs/>
          <w:szCs w:val="20"/>
        </w:rPr>
        <w:t>Utility meter verifiers</w:t>
      </w:r>
      <w:r w:rsidRPr="00043131">
        <w:rPr>
          <w:rFonts w:ascii="Arial" w:hAnsi="Arial" w:cs="Arial"/>
          <w:bCs/>
          <w:szCs w:val="20"/>
        </w:rPr>
        <w:t xml:space="preserve"> to verify </w:t>
      </w:r>
      <w:r w:rsidR="00DD7ABC">
        <w:rPr>
          <w:rFonts w:ascii="Arial" w:hAnsi="Arial" w:cs="Arial"/>
          <w:bCs/>
          <w:szCs w:val="20"/>
        </w:rPr>
        <w:t>utility</w:t>
      </w:r>
      <w:r w:rsidRPr="00043131">
        <w:rPr>
          <w:rFonts w:ascii="Arial" w:hAnsi="Arial" w:cs="Arial"/>
          <w:bCs/>
          <w:szCs w:val="20"/>
        </w:rPr>
        <w:t xml:space="preserve"> meters</w:t>
      </w:r>
      <w:r w:rsidR="00DD7ABC">
        <w:rPr>
          <w:rFonts w:ascii="Arial" w:hAnsi="Arial" w:cs="Arial"/>
          <w:bCs/>
          <w:szCs w:val="20"/>
        </w:rPr>
        <w:t xml:space="preserve"> used for trade</w:t>
      </w:r>
      <w:r w:rsidRPr="00043131">
        <w:rPr>
          <w:rFonts w:ascii="Arial" w:hAnsi="Arial" w:cs="Arial"/>
          <w:bCs/>
          <w:szCs w:val="20"/>
        </w:rPr>
        <w:t>.</w:t>
      </w:r>
    </w:p>
    <w:p w14:paraId="1EA629FD" w14:textId="77777777" w:rsidR="002F680E" w:rsidRDefault="00487D23" w:rsidP="002F680E">
      <w:pPr>
        <w:spacing w:before="120"/>
        <w:rPr>
          <w:rFonts w:cs="Arial"/>
          <w:bCs/>
          <w:szCs w:val="20"/>
        </w:rPr>
      </w:pPr>
      <w:r>
        <w:rPr>
          <w:rFonts w:cs="Arial"/>
          <w:bCs/>
          <w:szCs w:val="20"/>
        </w:rPr>
        <w:lastRenderedPageBreak/>
        <w:t xml:space="preserve">‘Traceability’ </w:t>
      </w:r>
      <w:r w:rsidR="00DD7ABC">
        <w:rPr>
          <w:rFonts w:cs="Arial"/>
          <w:bCs/>
          <w:szCs w:val="20"/>
        </w:rPr>
        <w:t>means that a measurement of a quantity</w:t>
      </w:r>
      <w:r>
        <w:rPr>
          <w:rFonts w:cs="Arial"/>
          <w:bCs/>
          <w:szCs w:val="20"/>
        </w:rPr>
        <w:t xml:space="preserve"> can be related through an unbroken chain of comparisons </w:t>
      </w:r>
      <w:r w:rsidR="00DD7ABC">
        <w:rPr>
          <w:rFonts w:cs="Arial"/>
          <w:bCs/>
          <w:szCs w:val="20"/>
        </w:rPr>
        <w:t>(</w:t>
      </w:r>
      <w:r w:rsidR="00D1781E">
        <w:rPr>
          <w:rFonts w:cs="Arial"/>
          <w:bCs/>
          <w:szCs w:val="20"/>
        </w:rPr>
        <w:t xml:space="preserve">or </w:t>
      </w:r>
      <w:r w:rsidR="00DD7ABC">
        <w:rPr>
          <w:rFonts w:cs="Arial"/>
          <w:bCs/>
          <w:szCs w:val="20"/>
        </w:rPr>
        <w:t xml:space="preserve">calibrations) </w:t>
      </w:r>
      <w:r>
        <w:rPr>
          <w:rFonts w:cs="Arial"/>
          <w:bCs/>
          <w:szCs w:val="20"/>
        </w:rPr>
        <w:t xml:space="preserve">to a national </w:t>
      </w:r>
      <w:r w:rsidR="00DD7ABC">
        <w:rPr>
          <w:rFonts w:cs="Arial"/>
          <w:bCs/>
          <w:szCs w:val="20"/>
        </w:rPr>
        <w:t xml:space="preserve">primary </w:t>
      </w:r>
      <w:r>
        <w:rPr>
          <w:rFonts w:cs="Arial"/>
          <w:bCs/>
          <w:szCs w:val="20"/>
        </w:rPr>
        <w:t>standard</w:t>
      </w:r>
      <w:r w:rsidR="00DD7ABC">
        <w:rPr>
          <w:rFonts w:cs="Arial"/>
          <w:bCs/>
          <w:szCs w:val="20"/>
        </w:rPr>
        <w:t xml:space="preserve"> of measurement</w:t>
      </w:r>
      <w:r>
        <w:rPr>
          <w:rFonts w:cs="Arial"/>
          <w:bCs/>
          <w:szCs w:val="20"/>
        </w:rPr>
        <w:t>, within a stated tolerance or measurement uncertainty.</w:t>
      </w:r>
    </w:p>
    <w:p w14:paraId="67A5926B" w14:textId="28F57E6B" w:rsidR="009C2A92" w:rsidRPr="009C2A92" w:rsidRDefault="00BE5E87" w:rsidP="009C2A92">
      <w:pPr>
        <w:spacing w:before="120" w:line="276" w:lineRule="auto"/>
        <w:rPr>
          <w:rFonts w:cs="Arial"/>
          <w:szCs w:val="20"/>
        </w:rPr>
      </w:pPr>
      <w:r>
        <w:rPr>
          <w:rFonts w:cs="Arial"/>
          <w:szCs w:val="20"/>
        </w:rPr>
        <w:t xml:space="preserve">NMI carries out the regulatory </w:t>
      </w:r>
      <w:r w:rsidR="00097660">
        <w:rPr>
          <w:rFonts w:cs="Arial"/>
          <w:szCs w:val="20"/>
        </w:rPr>
        <w:t xml:space="preserve">activities </w:t>
      </w:r>
      <w:r w:rsidR="009C2A92" w:rsidRPr="009C2A92">
        <w:rPr>
          <w:rFonts w:cs="Arial"/>
          <w:szCs w:val="20"/>
        </w:rPr>
        <w:t xml:space="preserve">of </w:t>
      </w:r>
      <w:r w:rsidR="00975A3B">
        <w:rPr>
          <w:rFonts w:cs="Arial"/>
          <w:szCs w:val="20"/>
        </w:rPr>
        <w:t>p</w:t>
      </w:r>
      <w:r w:rsidR="00382078" w:rsidRPr="009C2A92">
        <w:rPr>
          <w:rFonts w:cs="Arial"/>
          <w:szCs w:val="20"/>
        </w:rPr>
        <w:t xml:space="preserve">attern </w:t>
      </w:r>
      <w:r w:rsidR="00975A3B">
        <w:rPr>
          <w:rFonts w:cs="Arial"/>
          <w:szCs w:val="20"/>
        </w:rPr>
        <w:t>a</w:t>
      </w:r>
      <w:r w:rsidR="00382078" w:rsidRPr="009C2A92">
        <w:rPr>
          <w:rFonts w:cs="Arial"/>
          <w:szCs w:val="20"/>
        </w:rPr>
        <w:t>pproval</w:t>
      </w:r>
      <w:r w:rsidR="009C2A92" w:rsidRPr="009C2A92">
        <w:rPr>
          <w:rFonts w:cs="Arial"/>
          <w:szCs w:val="20"/>
        </w:rPr>
        <w:t>, licensing and legal metrology authority appointments. T</w:t>
      </w:r>
      <w:r w:rsidR="00A01B27">
        <w:rPr>
          <w:rFonts w:cs="Arial"/>
          <w:szCs w:val="20"/>
        </w:rPr>
        <w:t>able 1</w:t>
      </w:r>
      <w:r w:rsidR="009C2A92" w:rsidRPr="009C2A92">
        <w:rPr>
          <w:rFonts w:cs="Arial"/>
          <w:szCs w:val="20"/>
        </w:rPr>
        <w:t xml:space="preserve"> provides the revenue and expenses for each of these activities </w:t>
      </w:r>
      <w:r w:rsidR="00F228F3">
        <w:rPr>
          <w:rFonts w:cs="Arial"/>
          <w:szCs w:val="20"/>
        </w:rPr>
        <w:t xml:space="preserve">for the year </w:t>
      </w:r>
      <w:r w:rsidR="00794A48">
        <w:rPr>
          <w:rFonts w:cs="Arial"/>
          <w:szCs w:val="20"/>
        </w:rPr>
        <w:t>202</w:t>
      </w:r>
      <w:r w:rsidR="0082620B">
        <w:rPr>
          <w:rFonts w:cs="Arial"/>
          <w:szCs w:val="20"/>
        </w:rPr>
        <w:t>3</w:t>
      </w:r>
      <w:r w:rsidR="00D1781E">
        <w:rPr>
          <w:rFonts w:cs="Arial"/>
          <w:szCs w:val="20"/>
        </w:rPr>
        <w:t>–</w:t>
      </w:r>
      <w:r w:rsidR="00794A48">
        <w:rPr>
          <w:rFonts w:cs="Arial"/>
          <w:szCs w:val="20"/>
        </w:rPr>
        <w:t>2</w:t>
      </w:r>
      <w:r w:rsidR="0082620B">
        <w:rPr>
          <w:rFonts w:cs="Arial"/>
          <w:szCs w:val="20"/>
        </w:rPr>
        <w:t>4</w:t>
      </w:r>
      <w:r w:rsidR="00791AC8">
        <w:rPr>
          <w:rFonts w:cs="Arial"/>
          <w:szCs w:val="20"/>
        </w:rPr>
        <w:t>.</w:t>
      </w:r>
      <w:r w:rsidR="009C2A92" w:rsidRPr="009C2A92">
        <w:rPr>
          <w:rFonts w:cs="Arial"/>
          <w:szCs w:val="20"/>
        </w:rPr>
        <w:t xml:space="preserve"> </w:t>
      </w:r>
    </w:p>
    <w:p w14:paraId="55EF05F6" w14:textId="78C4BAE0" w:rsidR="009C2A92" w:rsidRPr="002F680E" w:rsidRDefault="009C2A92" w:rsidP="007704C5">
      <w:pPr>
        <w:spacing w:before="120" w:after="120" w:line="276" w:lineRule="auto"/>
        <w:rPr>
          <w:rFonts w:cs="Arial"/>
          <w:szCs w:val="20"/>
        </w:rPr>
      </w:pPr>
      <w:r w:rsidRPr="00CD4333">
        <w:rPr>
          <w:rFonts w:cs="Arial"/>
          <w:b/>
          <w:szCs w:val="20"/>
        </w:rPr>
        <w:t>Table 1</w:t>
      </w:r>
      <w:r w:rsidRPr="002F680E">
        <w:rPr>
          <w:rFonts w:cs="Arial"/>
          <w:szCs w:val="20"/>
        </w:rPr>
        <w:t xml:space="preserve">: </w:t>
      </w:r>
      <w:r w:rsidR="00097660">
        <w:rPr>
          <w:rFonts w:cs="Arial"/>
          <w:szCs w:val="20"/>
        </w:rPr>
        <w:t xml:space="preserve">Total </w:t>
      </w:r>
      <w:r w:rsidR="00C36F9A">
        <w:rPr>
          <w:rFonts w:cs="Arial"/>
          <w:szCs w:val="20"/>
        </w:rPr>
        <w:t xml:space="preserve">revenue and expenses for NMI’s regulatory activities, </w:t>
      </w:r>
      <w:r w:rsidR="00CA4E33" w:rsidRPr="002F680E">
        <w:rPr>
          <w:rFonts w:cs="Arial"/>
          <w:szCs w:val="20"/>
        </w:rPr>
        <w:t>20</w:t>
      </w:r>
      <w:r w:rsidR="00CA4E33">
        <w:rPr>
          <w:rFonts w:cs="Arial"/>
          <w:szCs w:val="20"/>
        </w:rPr>
        <w:t>2</w:t>
      </w:r>
      <w:r w:rsidR="0082620B">
        <w:rPr>
          <w:rFonts w:cs="Arial"/>
          <w:szCs w:val="20"/>
        </w:rPr>
        <w:t>3</w:t>
      </w:r>
      <w:r w:rsidRPr="002F680E">
        <w:rPr>
          <w:rFonts w:cs="Arial"/>
          <w:szCs w:val="20"/>
        </w:rPr>
        <w:t>–</w:t>
      </w:r>
      <w:r w:rsidR="00CA4E33">
        <w:rPr>
          <w:rFonts w:cs="Arial"/>
          <w:szCs w:val="20"/>
        </w:rPr>
        <w:t>2</w:t>
      </w:r>
      <w:r w:rsidR="0082620B">
        <w:rPr>
          <w:rFonts w:cs="Arial"/>
          <w:szCs w:val="20"/>
        </w:rPr>
        <w:t>4</w:t>
      </w:r>
    </w:p>
    <w:tbl>
      <w:tblPr>
        <w:tblStyle w:val="TableGrid"/>
        <w:tblW w:w="9634" w:type="dxa"/>
        <w:tblLayout w:type="fixed"/>
        <w:tblLook w:val="04A0" w:firstRow="1" w:lastRow="0" w:firstColumn="1" w:lastColumn="0" w:noHBand="0" w:noVBand="1"/>
      </w:tblPr>
      <w:tblGrid>
        <w:gridCol w:w="2263"/>
        <w:gridCol w:w="1843"/>
        <w:gridCol w:w="2552"/>
        <w:gridCol w:w="2976"/>
      </w:tblGrid>
      <w:tr w:rsidR="006B7679" w:rsidRPr="002F680E" w14:paraId="7897B4C0" w14:textId="77777777" w:rsidTr="005A229D">
        <w:tc>
          <w:tcPr>
            <w:tcW w:w="2263" w:type="dxa"/>
            <w:shd w:val="clear" w:color="auto" w:fill="C00000"/>
          </w:tcPr>
          <w:p w14:paraId="4DC48835" w14:textId="77777777" w:rsidR="009C2A92" w:rsidRPr="00165910" w:rsidRDefault="009C2A92" w:rsidP="00F95259">
            <w:pPr>
              <w:spacing w:before="120" w:line="276" w:lineRule="auto"/>
              <w:rPr>
                <w:rFonts w:cs="Arial"/>
                <w:szCs w:val="20"/>
              </w:rPr>
            </w:pPr>
          </w:p>
        </w:tc>
        <w:tc>
          <w:tcPr>
            <w:tcW w:w="1843" w:type="dxa"/>
            <w:shd w:val="clear" w:color="auto" w:fill="C00000"/>
          </w:tcPr>
          <w:p w14:paraId="07AA2AEE" w14:textId="77777777" w:rsidR="009C2A92" w:rsidRDefault="009C2A92" w:rsidP="007704C5">
            <w:pPr>
              <w:spacing w:before="120" w:line="276" w:lineRule="auto"/>
              <w:jc w:val="center"/>
              <w:rPr>
                <w:rFonts w:cs="Arial"/>
                <w:b/>
                <w:szCs w:val="20"/>
              </w:rPr>
            </w:pPr>
            <w:r w:rsidRPr="002F680E">
              <w:rPr>
                <w:rFonts w:cs="Arial"/>
                <w:b/>
                <w:szCs w:val="20"/>
              </w:rPr>
              <w:t>Pattern Approval</w:t>
            </w:r>
          </w:p>
          <w:p w14:paraId="263D9F7D" w14:textId="77777777" w:rsidR="00F95259" w:rsidRPr="002F680E" w:rsidRDefault="00F95259" w:rsidP="007704C5">
            <w:pPr>
              <w:spacing w:before="120" w:line="276" w:lineRule="auto"/>
              <w:jc w:val="center"/>
              <w:rPr>
                <w:rFonts w:cs="Arial"/>
                <w:b/>
                <w:szCs w:val="20"/>
              </w:rPr>
            </w:pPr>
            <w:r>
              <w:rPr>
                <w:rFonts w:cs="Arial"/>
                <w:b/>
                <w:szCs w:val="20"/>
              </w:rPr>
              <w:t>$000s</w:t>
            </w:r>
          </w:p>
        </w:tc>
        <w:tc>
          <w:tcPr>
            <w:tcW w:w="2552" w:type="dxa"/>
            <w:shd w:val="clear" w:color="auto" w:fill="C00000"/>
          </w:tcPr>
          <w:p w14:paraId="251C4CA3" w14:textId="77777777" w:rsidR="009C2A92" w:rsidRDefault="009C2A92" w:rsidP="005A229D">
            <w:pPr>
              <w:spacing w:before="120" w:line="276" w:lineRule="auto"/>
              <w:jc w:val="center"/>
              <w:rPr>
                <w:rFonts w:cs="Arial"/>
                <w:b/>
                <w:szCs w:val="20"/>
              </w:rPr>
            </w:pPr>
            <w:r w:rsidRPr="002F680E">
              <w:rPr>
                <w:rFonts w:cs="Arial"/>
                <w:b/>
                <w:szCs w:val="20"/>
              </w:rPr>
              <w:t>Servicing and Public Weighbridge Licensing</w:t>
            </w:r>
          </w:p>
          <w:p w14:paraId="49B4D4F8" w14:textId="77777777" w:rsidR="00F95259" w:rsidRPr="005A229D" w:rsidRDefault="00F95259" w:rsidP="005A229D">
            <w:pPr>
              <w:spacing w:before="120" w:line="276" w:lineRule="auto"/>
              <w:jc w:val="center"/>
              <w:rPr>
                <w:b/>
              </w:rPr>
            </w:pPr>
            <w:r>
              <w:rPr>
                <w:rFonts w:cs="Arial"/>
                <w:b/>
                <w:szCs w:val="20"/>
              </w:rPr>
              <w:t>$000s</w:t>
            </w:r>
          </w:p>
        </w:tc>
        <w:tc>
          <w:tcPr>
            <w:tcW w:w="2976" w:type="dxa"/>
            <w:shd w:val="clear" w:color="auto" w:fill="C00000"/>
          </w:tcPr>
          <w:p w14:paraId="395AFA12" w14:textId="77777777" w:rsidR="009C2A92" w:rsidRDefault="009C2A92" w:rsidP="007704C5">
            <w:pPr>
              <w:spacing w:before="120" w:line="276" w:lineRule="auto"/>
              <w:jc w:val="center"/>
              <w:rPr>
                <w:rFonts w:cs="Arial"/>
                <w:b/>
                <w:szCs w:val="20"/>
              </w:rPr>
            </w:pPr>
            <w:r w:rsidRPr="002F680E">
              <w:rPr>
                <w:rFonts w:cs="Arial"/>
                <w:b/>
                <w:szCs w:val="20"/>
              </w:rPr>
              <w:t>Legal Metrology Authority Appointments</w:t>
            </w:r>
          </w:p>
          <w:p w14:paraId="7238656B" w14:textId="77777777" w:rsidR="00F95259" w:rsidRPr="002F680E" w:rsidRDefault="00F95259" w:rsidP="007704C5">
            <w:pPr>
              <w:spacing w:before="120" w:line="276" w:lineRule="auto"/>
              <w:jc w:val="center"/>
              <w:rPr>
                <w:rFonts w:cs="Arial"/>
                <w:b/>
                <w:szCs w:val="20"/>
              </w:rPr>
            </w:pPr>
            <w:r>
              <w:rPr>
                <w:rFonts w:cs="Arial"/>
                <w:b/>
                <w:szCs w:val="20"/>
              </w:rPr>
              <w:t>$000s</w:t>
            </w:r>
          </w:p>
        </w:tc>
      </w:tr>
      <w:tr w:rsidR="004561D3" w:rsidRPr="002F680E" w14:paraId="70DE80B4" w14:textId="77777777" w:rsidTr="000656AD">
        <w:tc>
          <w:tcPr>
            <w:tcW w:w="2263" w:type="dxa"/>
            <w:shd w:val="clear" w:color="auto" w:fill="auto"/>
          </w:tcPr>
          <w:p w14:paraId="6EFE25C1" w14:textId="77777777" w:rsidR="004561D3" w:rsidRPr="008E063D" w:rsidRDefault="004561D3" w:rsidP="004561D3">
            <w:pPr>
              <w:spacing w:before="120" w:line="276" w:lineRule="auto"/>
              <w:rPr>
                <w:rFonts w:cs="Arial"/>
                <w:b/>
                <w:szCs w:val="20"/>
              </w:rPr>
            </w:pPr>
            <w:r w:rsidRPr="008E063D">
              <w:rPr>
                <w:rFonts w:cs="Arial"/>
                <w:b/>
                <w:szCs w:val="20"/>
              </w:rPr>
              <w:t xml:space="preserve">Cost of activity or </w:t>
            </w:r>
          </w:p>
          <w:p w14:paraId="26FB4EA2" w14:textId="77777777" w:rsidR="004561D3" w:rsidRPr="008E063D" w:rsidRDefault="004561D3" w:rsidP="004561D3">
            <w:pPr>
              <w:spacing w:after="120" w:line="276" w:lineRule="auto"/>
              <w:rPr>
                <w:rFonts w:cs="Arial"/>
                <w:b/>
                <w:szCs w:val="20"/>
              </w:rPr>
            </w:pPr>
            <w:r w:rsidRPr="008E063D">
              <w:rPr>
                <w:rFonts w:cs="Arial"/>
                <w:b/>
                <w:szCs w:val="20"/>
              </w:rPr>
              <w:t>Expenses (Y)</w:t>
            </w:r>
          </w:p>
        </w:tc>
        <w:tc>
          <w:tcPr>
            <w:tcW w:w="1843" w:type="dxa"/>
            <w:shd w:val="clear" w:color="auto" w:fill="auto"/>
            <w:vAlign w:val="center"/>
          </w:tcPr>
          <w:p w14:paraId="12045786" w14:textId="03AA375F" w:rsidR="004561D3" w:rsidRPr="000656AD" w:rsidRDefault="004561D3" w:rsidP="004561D3">
            <w:pPr>
              <w:spacing w:before="120" w:line="276" w:lineRule="auto"/>
              <w:jc w:val="center"/>
              <w:rPr>
                <w:rFonts w:cs="Arial"/>
                <w:szCs w:val="20"/>
                <w:highlight w:val="yellow"/>
              </w:rPr>
            </w:pPr>
            <w:r w:rsidRPr="000656AD">
              <w:rPr>
                <w:rFonts w:cs="Arial"/>
                <w:color w:val="000000"/>
                <w:szCs w:val="20"/>
              </w:rPr>
              <w:t>$952</w:t>
            </w:r>
          </w:p>
        </w:tc>
        <w:tc>
          <w:tcPr>
            <w:tcW w:w="2552" w:type="dxa"/>
            <w:shd w:val="clear" w:color="auto" w:fill="auto"/>
            <w:vAlign w:val="center"/>
          </w:tcPr>
          <w:p w14:paraId="4B9E6BC6" w14:textId="341ADE7A" w:rsidR="004561D3" w:rsidRPr="000656AD" w:rsidRDefault="004561D3" w:rsidP="004561D3">
            <w:pPr>
              <w:spacing w:before="120" w:line="276" w:lineRule="auto"/>
              <w:jc w:val="center"/>
              <w:rPr>
                <w:rFonts w:cs="Arial"/>
                <w:szCs w:val="20"/>
                <w:highlight w:val="yellow"/>
              </w:rPr>
            </w:pPr>
            <w:r w:rsidRPr="000656AD">
              <w:rPr>
                <w:rFonts w:cs="Arial"/>
                <w:color w:val="000000"/>
                <w:szCs w:val="20"/>
              </w:rPr>
              <w:t>$559</w:t>
            </w:r>
          </w:p>
        </w:tc>
        <w:tc>
          <w:tcPr>
            <w:tcW w:w="2976" w:type="dxa"/>
            <w:shd w:val="clear" w:color="auto" w:fill="auto"/>
            <w:vAlign w:val="center"/>
          </w:tcPr>
          <w:p w14:paraId="17995855" w14:textId="05D5B32F" w:rsidR="004561D3" w:rsidRPr="000656AD" w:rsidRDefault="004561D3" w:rsidP="004561D3">
            <w:pPr>
              <w:spacing w:before="120" w:line="276" w:lineRule="auto"/>
              <w:jc w:val="center"/>
              <w:rPr>
                <w:rFonts w:cs="Arial"/>
                <w:szCs w:val="20"/>
                <w:highlight w:val="yellow"/>
              </w:rPr>
            </w:pPr>
            <w:r w:rsidRPr="000656AD">
              <w:rPr>
                <w:rFonts w:cs="Arial"/>
                <w:color w:val="000000"/>
                <w:szCs w:val="20"/>
              </w:rPr>
              <w:t>$62</w:t>
            </w:r>
          </w:p>
        </w:tc>
      </w:tr>
      <w:tr w:rsidR="004561D3" w:rsidRPr="00165910" w14:paraId="6994F2B3" w14:textId="77777777" w:rsidTr="000656AD">
        <w:tc>
          <w:tcPr>
            <w:tcW w:w="2263" w:type="dxa"/>
          </w:tcPr>
          <w:p w14:paraId="22FC72B4" w14:textId="77777777" w:rsidR="004561D3" w:rsidRPr="008E063D" w:rsidRDefault="004561D3" w:rsidP="004561D3">
            <w:pPr>
              <w:spacing w:before="120" w:line="276" w:lineRule="auto"/>
              <w:rPr>
                <w:rFonts w:cs="Arial"/>
                <w:b/>
                <w:szCs w:val="20"/>
              </w:rPr>
            </w:pPr>
            <w:r w:rsidRPr="008E063D">
              <w:rPr>
                <w:rFonts w:cs="Arial"/>
                <w:b/>
                <w:szCs w:val="20"/>
              </w:rPr>
              <w:t xml:space="preserve">Cost recovered or </w:t>
            </w:r>
          </w:p>
          <w:p w14:paraId="49C919DD" w14:textId="77777777" w:rsidR="004561D3" w:rsidRPr="008E063D" w:rsidRDefault="004561D3" w:rsidP="004561D3">
            <w:pPr>
              <w:spacing w:after="120" w:line="276" w:lineRule="auto"/>
              <w:rPr>
                <w:rFonts w:cs="Arial"/>
                <w:b/>
                <w:szCs w:val="20"/>
              </w:rPr>
            </w:pPr>
            <w:r w:rsidRPr="008E063D">
              <w:rPr>
                <w:rFonts w:cs="Arial"/>
                <w:b/>
                <w:szCs w:val="20"/>
              </w:rPr>
              <w:t xml:space="preserve">Revenue (X) </w:t>
            </w:r>
          </w:p>
        </w:tc>
        <w:tc>
          <w:tcPr>
            <w:tcW w:w="1843" w:type="dxa"/>
            <w:vAlign w:val="center"/>
          </w:tcPr>
          <w:p w14:paraId="42F20F26" w14:textId="7247C2C6" w:rsidR="004561D3" w:rsidRPr="000656AD" w:rsidRDefault="004561D3" w:rsidP="004561D3">
            <w:pPr>
              <w:spacing w:before="120" w:line="276" w:lineRule="auto"/>
              <w:jc w:val="center"/>
              <w:rPr>
                <w:rFonts w:cs="Arial"/>
                <w:szCs w:val="20"/>
                <w:highlight w:val="yellow"/>
              </w:rPr>
            </w:pPr>
            <w:r w:rsidRPr="000656AD">
              <w:rPr>
                <w:rFonts w:cs="Arial"/>
                <w:color w:val="000000"/>
                <w:szCs w:val="20"/>
              </w:rPr>
              <w:t>$559</w:t>
            </w:r>
          </w:p>
        </w:tc>
        <w:tc>
          <w:tcPr>
            <w:tcW w:w="2552" w:type="dxa"/>
            <w:vAlign w:val="center"/>
          </w:tcPr>
          <w:p w14:paraId="5B3BF2CE" w14:textId="460828AE" w:rsidR="004561D3" w:rsidRPr="000656AD" w:rsidRDefault="004561D3" w:rsidP="004561D3">
            <w:pPr>
              <w:spacing w:before="120" w:line="276" w:lineRule="auto"/>
              <w:jc w:val="center"/>
              <w:rPr>
                <w:rFonts w:cs="Arial"/>
                <w:szCs w:val="20"/>
                <w:highlight w:val="yellow"/>
              </w:rPr>
            </w:pPr>
            <w:r w:rsidRPr="000656AD">
              <w:rPr>
                <w:rFonts w:cs="Arial"/>
                <w:color w:val="000000"/>
                <w:szCs w:val="20"/>
              </w:rPr>
              <w:t>$592</w:t>
            </w:r>
          </w:p>
        </w:tc>
        <w:tc>
          <w:tcPr>
            <w:tcW w:w="2976" w:type="dxa"/>
            <w:vAlign w:val="center"/>
          </w:tcPr>
          <w:p w14:paraId="25DEA60C" w14:textId="420D73B4" w:rsidR="004561D3" w:rsidRPr="000656AD" w:rsidRDefault="004561D3" w:rsidP="004561D3">
            <w:pPr>
              <w:spacing w:before="120" w:line="276" w:lineRule="auto"/>
              <w:jc w:val="center"/>
              <w:rPr>
                <w:rFonts w:cs="Arial"/>
                <w:szCs w:val="20"/>
                <w:highlight w:val="yellow"/>
              </w:rPr>
            </w:pPr>
            <w:r w:rsidRPr="000656AD">
              <w:rPr>
                <w:rFonts w:cs="Arial"/>
                <w:color w:val="000000"/>
                <w:szCs w:val="20"/>
              </w:rPr>
              <w:t>$70</w:t>
            </w:r>
          </w:p>
        </w:tc>
      </w:tr>
    </w:tbl>
    <w:p w14:paraId="479EAA1A" w14:textId="191C87BA" w:rsidR="00157F78" w:rsidRDefault="002B22C9" w:rsidP="00CF21AA">
      <w:pPr>
        <w:spacing w:before="120"/>
        <w:rPr>
          <w:b/>
          <w:iCs/>
          <w:sz w:val="28"/>
          <w:lang w:val="en-US"/>
        </w:rPr>
      </w:pPr>
      <w:bookmarkStart w:id="14" w:name="_Toc516468777"/>
      <w:r w:rsidRPr="002B22C9">
        <w:rPr>
          <w:rFonts w:cs="Arial"/>
          <w:bCs/>
          <w:szCs w:val="20"/>
        </w:rPr>
        <w:t xml:space="preserve">Note: All expenses include depreciation. </w:t>
      </w:r>
      <w:r w:rsidRPr="000656AD">
        <w:rPr>
          <w:rFonts w:cs="Arial"/>
          <w:bCs/>
          <w:szCs w:val="20"/>
        </w:rPr>
        <w:t>Expenses exclude capital purchases of $</w:t>
      </w:r>
      <w:r w:rsidR="005906EB" w:rsidRPr="000656AD">
        <w:rPr>
          <w:rFonts w:cs="Arial"/>
          <w:bCs/>
          <w:szCs w:val="20"/>
        </w:rPr>
        <w:t>50</w:t>
      </w:r>
      <w:r w:rsidRPr="000656AD">
        <w:rPr>
          <w:rFonts w:cs="Arial"/>
          <w:bCs/>
          <w:szCs w:val="20"/>
        </w:rPr>
        <w:t>K for Pattern Approval</w:t>
      </w:r>
      <w:r w:rsidRPr="005906EB">
        <w:rPr>
          <w:rFonts w:cs="Arial"/>
          <w:bCs/>
          <w:szCs w:val="20"/>
        </w:rPr>
        <w:t>. There were no capital purchase</w:t>
      </w:r>
      <w:r w:rsidRPr="002B22C9">
        <w:rPr>
          <w:rFonts w:cs="Arial"/>
          <w:bCs/>
          <w:szCs w:val="20"/>
        </w:rPr>
        <w:t xml:space="preserve">s for Servicing and Public Weighbridge Licensing and Legal Metrology Authority Appointments. </w:t>
      </w:r>
      <w:r w:rsidR="00157F78">
        <w:br w:type="page"/>
      </w:r>
    </w:p>
    <w:p w14:paraId="2CF0948B" w14:textId="77777777" w:rsidR="008B679D" w:rsidRPr="008366B0" w:rsidRDefault="008B679D" w:rsidP="00065F45">
      <w:pPr>
        <w:pStyle w:val="Heading1"/>
        <w:ind w:hanging="502"/>
      </w:pPr>
      <w:bookmarkStart w:id="15" w:name="_Toc150329422"/>
      <w:r w:rsidRPr="008366B0">
        <w:lastRenderedPageBreak/>
        <w:t>POLICY AND STATUTORY AUTHORITY TO COST RECOVER</w:t>
      </w:r>
      <w:bookmarkEnd w:id="14"/>
      <w:bookmarkEnd w:id="15"/>
    </w:p>
    <w:p w14:paraId="03BFD9BF" w14:textId="77777777" w:rsidR="00975A3B" w:rsidRPr="00975A3B" w:rsidRDefault="00975A3B" w:rsidP="00065F45">
      <w:pPr>
        <w:pStyle w:val="Heading2"/>
        <w:tabs>
          <w:tab w:val="clear" w:pos="1569"/>
          <w:tab w:val="num" w:pos="567"/>
        </w:tabs>
        <w:ind w:hanging="1569"/>
        <w:rPr>
          <w:rFonts w:eastAsia="MS PGothic"/>
          <w:sz w:val="24"/>
          <w:szCs w:val="24"/>
        </w:rPr>
      </w:pPr>
      <w:bookmarkStart w:id="16" w:name="_Toc150329423"/>
      <w:bookmarkStart w:id="17" w:name="_Toc516468778"/>
      <w:r w:rsidRPr="00975A3B">
        <w:rPr>
          <w:rFonts w:eastAsia="MS PGothic"/>
          <w:sz w:val="24"/>
          <w:szCs w:val="24"/>
        </w:rPr>
        <w:t>Statutory authority to charge</w:t>
      </w:r>
      <w:bookmarkEnd w:id="16"/>
    </w:p>
    <w:p w14:paraId="4F8A80AA" w14:textId="77777777" w:rsidR="00815184" w:rsidRDefault="00B86A84" w:rsidP="00815184">
      <w:pPr>
        <w:spacing w:before="120" w:line="276" w:lineRule="auto"/>
        <w:rPr>
          <w:rFonts w:cs="Arial"/>
          <w:color w:val="000000"/>
          <w:szCs w:val="20"/>
        </w:rPr>
      </w:pPr>
      <w:bookmarkStart w:id="18" w:name="_Toc526785185"/>
      <w:bookmarkStart w:id="19" w:name="_Toc526785234"/>
      <w:bookmarkStart w:id="20" w:name="_Toc526785300"/>
      <w:bookmarkStart w:id="21" w:name="_Toc526785349"/>
      <w:bookmarkStart w:id="22" w:name="_Toc526785400"/>
      <w:bookmarkEnd w:id="17"/>
      <w:bookmarkEnd w:id="18"/>
      <w:bookmarkEnd w:id="19"/>
      <w:bookmarkEnd w:id="20"/>
      <w:bookmarkEnd w:id="21"/>
      <w:bookmarkEnd w:id="22"/>
      <w:r w:rsidRPr="008366B0">
        <w:rPr>
          <w:rFonts w:cs="Arial"/>
          <w:color w:val="000000"/>
          <w:szCs w:val="20"/>
        </w:rPr>
        <w:t>Subsection</w:t>
      </w:r>
      <w:r w:rsidR="00BB1069">
        <w:rPr>
          <w:rFonts w:cs="Arial"/>
          <w:color w:val="000000"/>
          <w:szCs w:val="20"/>
        </w:rPr>
        <w:t>s</w:t>
      </w:r>
      <w:r w:rsidRPr="008366B0">
        <w:rPr>
          <w:rFonts w:cs="Arial"/>
          <w:color w:val="000000"/>
          <w:szCs w:val="20"/>
        </w:rPr>
        <w:t xml:space="preserve"> </w:t>
      </w:r>
      <w:r w:rsidR="00BE1B3B" w:rsidRPr="008366B0">
        <w:rPr>
          <w:rFonts w:cs="Arial"/>
          <w:color w:val="000000"/>
          <w:szCs w:val="20"/>
        </w:rPr>
        <w:t>18A (</w:t>
      </w:r>
      <w:r w:rsidRPr="008366B0">
        <w:rPr>
          <w:rFonts w:cs="Arial"/>
          <w:color w:val="000000"/>
          <w:szCs w:val="20"/>
        </w:rPr>
        <w:t xml:space="preserve">3) and </w:t>
      </w:r>
      <w:r w:rsidR="00BE1B3B" w:rsidRPr="008366B0">
        <w:rPr>
          <w:rFonts w:cs="Arial"/>
          <w:color w:val="000000"/>
          <w:szCs w:val="20"/>
        </w:rPr>
        <w:t>19A (</w:t>
      </w:r>
      <w:r w:rsidRPr="008366B0">
        <w:rPr>
          <w:rFonts w:cs="Arial"/>
          <w:color w:val="000000"/>
          <w:szCs w:val="20"/>
        </w:rPr>
        <w:t xml:space="preserve">8) of the Act authorise fees to be charged for activities undertaken by the Chief Metrologist or their delegate. </w:t>
      </w:r>
    </w:p>
    <w:p w14:paraId="0E7AA015" w14:textId="643F5F97" w:rsidR="0023246F" w:rsidRPr="00815184" w:rsidRDefault="0023246F" w:rsidP="00815184">
      <w:pPr>
        <w:pStyle w:val="ListParagraph"/>
        <w:numPr>
          <w:ilvl w:val="0"/>
          <w:numId w:val="64"/>
        </w:numPr>
        <w:spacing w:before="120"/>
        <w:rPr>
          <w:rFonts w:ascii="Arial" w:hAnsi="Arial" w:cs="Arial"/>
          <w:color w:val="000000"/>
          <w:szCs w:val="20"/>
        </w:rPr>
      </w:pPr>
      <w:r w:rsidRPr="00815184">
        <w:rPr>
          <w:rFonts w:ascii="Arial" w:hAnsi="Arial" w:cs="Arial"/>
          <w:color w:val="000000"/>
          <w:szCs w:val="20"/>
        </w:rPr>
        <w:t xml:space="preserve">PA fees are set </w:t>
      </w:r>
      <w:r w:rsidR="00815184">
        <w:rPr>
          <w:rFonts w:ascii="Arial" w:hAnsi="Arial" w:cs="Arial"/>
          <w:color w:val="000000"/>
          <w:szCs w:val="20"/>
        </w:rPr>
        <w:t xml:space="preserve">out in </w:t>
      </w:r>
      <w:r w:rsidRPr="00815184">
        <w:rPr>
          <w:rFonts w:ascii="Arial" w:hAnsi="Arial" w:cs="Arial"/>
          <w:color w:val="000000"/>
          <w:szCs w:val="20"/>
        </w:rPr>
        <w:t xml:space="preserve">regulation, with annual indexation </w:t>
      </w:r>
      <w:r w:rsidR="005B1CCA" w:rsidRPr="00815184">
        <w:rPr>
          <w:rFonts w:ascii="Arial" w:hAnsi="Arial" w:cs="Arial"/>
          <w:color w:val="000000"/>
          <w:szCs w:val="20"/>
        </w:rPr>
        <w:t>method and increases de</w:t>
      </w:r>
      <w:r w:rsidRPr="00815184">
        <w:rPr>
          <w:rFonts w:ascii="Arial" w:hAnsi="Arial" w:cs="Arial"/>
          <w:color w:val="000000"/>
          <w:szCs w:val="20"/>
        </w:rPr>
        <w:t xml:space="preserve">tailed </w:t>
      </w:r>
      <w:r w:rsidR="005B1CCA" w:rsidRPr="00815184">
        <w:rPr>
          <w:rFonts w:ascii="Arial" w:hAnsi="Arial" w:cs="Arial"/>
          <w:color w:val="000000"/>
          <w:szCs w:val="20"/>
        </w:rPr>
        <w:t xml:space="preserve">regulations </w:t>
      </w:r>
      <w:r w:rsidR="005A6B64">
        <w:rPr>
          <w:rFonts w:ascii="Arial" w:hAnsi="Arial" w:cs="Arial"/>
          <w:color w:val="000000"/>
          <w:szCs w:val="20"/>
        </w:rPr>
        <w:t xml:space="preserve">90B, </w:t>
      </w:r>
      <w:r w:rsidR="005B1CCA" w:rsidRPr="00815184">
        <w:rPr>
          <w:rFonts w:ascii="Arial" w:hAnsi="Arial" w:cs="Arial"/>
          <w:color w:val="000000"/>
          <w:szCs w:val="20"/>
        </w:rPr>
        <w:t xml:space="preserve">90C and 90D </w:t>
      </w:r>
      <w:r w:rsidRPr="00815184">
        <w:rPr>
          <w:rFonts w:ascii="Arial" w:hAnsi="Arial" w:cs="Arial"/>
          <w:color w:val="000000"/>
          <w:szCs w:val="20"/>
        </w:rPr>
        <w:t>of the</w:t>
      </w:r>
      <w:r w:rsidR="00815184" w:rsidRPr="00815184">
        <w:rPr>
          <w:rFonts w:ascii="Arial" w:hAnsi="Arial" w:cs="Arial"/>
          <w:color w:val="000000"/>
          <w:szCs w:val="20"/>
        </w:rPr>
        <w:t xml:space="preserve"> NMR</w:t>
      </w:r>
      <w:r w:rsidRPr="00815184">
        <w:rPr>
          <w:rFonts w:ascii="Arial" w:hAnsi="Arial" w:cs="Arial"/>
          <w:color w:val="000000"/>
          <w:szCs w:val="20"/>
        </w:rPr>
        <w:t>.</w:t>
      </w:r>
    </w:p>
    <w:p w14:paraId="115BF4B0" w14:textId="68EBEEC4" w:rsidR="0023246F" w:rsidRPr="0023246F" w:rsidRDefault="0023246F" w:rsidP="00DE02AA">
      <w:pPr>
        <w:pStyle w:val="ListParagraph"/>
        <w:numPr>
          <w:ilvl w:val="0"/>
          <w:numId w:val="18"/>
        </w:numPr>
        <w:spacing w:before="120"/>
        <w:ind w:left="714" w:hanging="357"/>
        <w:contextualSpacing w:val="0"/>
        <w:rPr>
          <w:rFonts w:ascii="Arial" w:hAnsi="Arial" w:cs="Arial"/>
          <w:color w:val="000000"/>
          <w:szCs w:val="20"/>
        </w:rPr>
      </w:pPr>
      <w:r w:rsidRPr="0023246F">
        <w:rPr>
          <w:rFonts w:ascii="Arial" w:hAnsi="Arial" w:cs="Arial"/>
          <w:color w:val="000000"/>
          <w:szCs w:val="20"/>
        </w:rPr>
        <w:t xml:space="preserve">Licensing fees are set </w:t>
      </w:r>
      <w:r w:rsidR="00815184">
        <w:rPr>
          <w:rFonts w:ascii="Arial" w:hAnsi="Arial" w:cs="Arial"/>
          <w:color w:val="000000"/>
          <w:szCs w:val="20"/>
        </w:rPr>
        <w:t xml:space="preserve">out </w:t>
      </w:r>
      <w:r w:rsidRPr="0023246F">
        <w:rPr>
          <w:rFonts w:ascii="Arial" w:hAnsi="Arial" w:cs="Arial"/>
          <w:color w:val="000000"/>
          <w:szCs w:val="20"/>
        </w:rPr>
        <w:t xml:space="preserve">in Division 2.4 (Servicing Licensees) and Division 3.2 (Public Weighbridge Licensees) of the </w:t>
      </w:r>
      <w:r w:rsidRPr="00F37A25">
        <w:rPr>
          <w:rFonts w:ascii="Arial" w:hAnsi="Arial" w:cs="Arial"/>
          <w:color w:val="000000"/>
          <w:szCs w:val="20"/>
        </w:rPr>
        <w:t>N</w:t>
      </w:r>
      <w:r w:rsidR="00815184">
        <w:rPr>
          <w:rFonts w:ascii="Arial" w:hAnsi="Arial" w:cs="Arial"/>
          <w:color w:val="000000"/>
          <w:szCs w:val="20"/>
        </w:rPr>
        <w:t>TMR</w:t>
      </w:r>
      <w:r w:rsidRPr="0023246F">
        <w:rPr>
          <w:rFonts w:ascii="Arial" w:hAnsi="Arial" w:cs="Arial"/>
          <w:i/>
          <w:color w:val="000000"/>
          <w:szCs w:val="20"/>
        </w:rPr>
        <w:t>.</w:t>
      </w:r>
      <w:r w:rsidRPr="0023246F">
        <w:rPr>
          <w:rFonts w:ascii="Arial" w:hAnsi="Arial" w:cs="Arial"/>
          <w:color w:val="000000"/>
          <w:szCs w:val="20"/>
        </w:rPr>
        <w:t xml:space="preserve"> </w:t>
      </w:r>
    </w:p>
    <w:p w14:paraId="0FC6BA1D" w14:textId="001328C9" w:rsidR="0023246F" w:rsidRPr="000656AD" w:rsidRDefault="0023246F" w:rsidP="00DE02AA">
      <w:pPr>
        <w:pStyle w:val="ListParagraph"/>
        <w:numPr>
          <w:ilvl w:val="0"/>
          <w:numId w:val="18"/>
        </w:numPr>
        <w:spacing w:before="120"/>
        <w:rPr>
          <w:rFonts w:ascii="Arial" w:hAnsi="Arial" w:cs="Arial"/>
          <w:color w:val="000000"/>
          <w:szCs w:val="20"/>
        </w:rPr>
      </w:pPr>
      <w:r w:rsidRPr="0023246F">
        <w:rPr>
          <w:rFonts w:ascii="Arial" w:hAnsi="Arial" w:cs="Arial"/>
          <w:color w:val="000000"/>
          <w:szCs w:val="20"/>
        </w:rPr>
        <w:t>Fees for appointmen</w:t>
      </w:r>
      <w:r w:rsidR="009A70F6">
        <w:rPr>
          <w:rFonts w:ascii="Arial" w:hAnsi="Arial" w:cs="Arial"/>
          <w:color w:val="000000"/>
          <w:szCs w:val="20"/>
        </w:rPr>
        <w:t xml:space="preserve">t of legal metrology authorities have not been set in regulations. The NMI fee </w:t>
      </w:r>
      <w:r w:rsidR="00FC74D1">
        <w:rPr>
          <w:rFonts w:ascii="Arial" w:hAnsi="Arial" w:cs="Arial"/>
          <w:color w:val="000000"/>
          <w:szCs w:val="20"/>
        </w:rPr>
        <w:t xml:space="preserve">per application is set administratively. It was previously set at </w:t>
      </w:r>
      <w:r w:rsidR="009A70F6" w:rsidRPr="000656AD">
        <w:rPr>
          <w:rFonts w:ascii="Arial" w:hAnsi="Arial" w:cs="Arial"/>
          <w:color w:val="000000"/>
          <w:szCs w:val="20"/>
        </w:rPr>
        <w:t xml:space="preserve">$1100 per application </w:t>
      </w:r>
      <w:r w:rsidR="00FC74D1" w:rsidRPr="000656AD">
        <w:rPr>
          <w:rFonts w:ascii="Arial" w:hAnsi="Arial" w:cs="Arial"/>
          <w:color w:val="000000"/>
          <w:szCs w:val="20"/>
        </w:rPr>
        <w:t>(GST exempt)</w:t>
      </w:r>
      <w:r w:rsidR="005A6B64" w:rsidRPr="000656AD">
        <w:rPr>
          <w:rFonts w:ascii="Arial" w:hAnsi="Arial" w:cs="Arial"/>
          <w:color w:val="000000"/>
          <w:szCs w:val="20"/>
        </w:rPr>
        <w:t>.</w:t>
      </w:r>
    </w:p>
    <w:p w14:paraId="7F72E7F7" w14:textId="5EE37E02" w:rsidR="008B679D" w:rsidRPr="008366B0" w:rsidRDefault="00B43193" w:rsidP="00065F45">
      <w:pPr>
        <w:pStyle w:val="Heading1"/>
        <w:ind w:hanging="502"/>
      </w:pPr>
      <w:bookmarkStart w:id="23" w:name="_Toc516468783"/>
      <w:bookmarkStart w:id="24" w:name="_Toc150329424"/>
      <w:r>
        <w:t>C</w:t>
      </w:r>
      <w:r w:rsidR="004D1AFE">
        <w:t xml:space="preserve">HARGING </w:t>
      </w:r>
      <w:r w:rsidR="008B679D" w:rsidRPr="008366B0">
        <w:t>MODEL</w:t>
      </w:r>
      <w:bookmarkEnd w:id="23"/>
      <w:bookmarkEnd w:id="24"/>
    </w:p>
    <w:p w14:paraId="7639FB85" w14:textId="77777777" w:rsidR="008B679D" w:rsidRPr="006C1DCD" w:rsidRDefault="00913E35" w:rsidP="00065F45">
      <w:pPr>
        <w:pStyle w:val="Heading2"/>
        <w:tabs>
          <w:tab w:val="clear" w:pos="1569"/>
          <w:tab w:val="num" w:pos="567"/>
        </w:tabs>
        <w:spacing w:line="276" w:lineRule="auto"/>
        <w:ind w:hanging="1569"/>
        <w:rPr>
          <w:rFonts w:eastAsia="MS PGothic"/>
          <w:sz w:val="24"/>
          <w:szCs w:val="24"/>
        </w:rPr>
      </w:pPr>
      <w:bookmarkStart w:id="25" w:name="_Toc516468784"/>
      <w:bookmarkStart w:id="26" w:name="_Toc150329425"/>
      <w:r w:rsidRPr="006C1DCD">
        <w:rPr>
          <w:rFonts w:eastAsia="MS PGothic"/>
          <w:sz w:val="24"/>
          <w:szCs w:val="24"/>
        </w:rPr>
        <w:t>Outputs and business processes of the regulatory charging activity</w:t>
      </w:r>
      <w:bookmarkEnd w:id="25"/>
      <w:bookmarkEnd w:id="26"/>
    </w:p>
    <w:p w14:paraId="297302D9" w14:textId="77777777" w:rsidR="00B906F9" w:rsidRPr="006C1DCD" w:rsidRDefault="00B906F9" w:rsidP="006C1DCD">
      <w:pPr>
        <w:pStyle w:val="Heading3"/>
        <w:spacing w:line="276" w:lineRule="auto"/>
        <w:ind w:left="340" w:hanging="340"/>
        <w:rPr>
          <w:sz w:val="22"/>
          <w:szCs w:val="22"/>
        </w:rPr>
      </w:pPr>
      <w:bookmarkStart w:id="27" w:name="_Toc516468785"/>
      <w:bookmarkStart w:id="28" w:name="_Toc150329426"/>
      <w:r w:rsidRPr="006C1DCD">
        <w:rPr>
          <w:sz w:val="22"/>
          <w:szCs w:val="22"/>
        </w:rPr>
        <w:t>Pattern Approval</w:t>
      </w:r>
      <w:bookmarkEnd w:id="27"/>
      <w:bookmarkEnd w:id="28"/>
      <w:r w:rsidRPr="006C1DCD">
        <w:rPr>
          <w:sz w:val="22"/>
          <w:szCs w:val="22"/>
        </w:rPr>
        <w:t xml:space="preserve"> </w:t>
      </w:r>
    </w:p>
    <w:p w14:paraId="3C40F71B" w14:textId="77777777" w:rsidR="00B906F9" w:rsidRPr="00B906F9" w:rsidRDefault="005C2BF4" w:rsidP="00B906F9">
      <w:pPr>
        <w:spacing w:before="120"/>
        <w:rPr>
          <w:rFonts w:cs="Arial"/>
          <w:szCs w:val="20"/>
        </w:rPr>
      </w:pPr>
      <w:r>
        <w:rPr>
          <w:rFonts w:cs="Arial"/>
          <w:szCs w:val="20"/>
        </w:rPr>
        <w:t xml:space="preserve">The </w:t>
      </w:r>
      <w:r w:rsidR="00B906F9" w:rsidRPr="00B906F9">
        <w:rPr>
          <w:rFonts w:cs="Arial"/>
          <w:szCs w:val="20"/>
        </w:rPr>
        <w:t>PA team</w:t>
      </w:r>
      <w:r w:rsidR="00520C77">
        <w:rPr>
          <w:rFonts w:cs="Arial"/>
          <w:szCs w:val="20"/>
        </w:rPr>
        <w:t>’s regulatory functions include</w:t>
      </w:r>
      <w:r>
        <w:rPr>
          <w:rFonts w:cs="Arial"/>
          <w:szCs w:val="20"/>
        </w:rPr>
        <w:t>:</w:t>
      </w:r>
    </w:p>
    <w:p w14:paraId="23548A19" w14:textId="77777777" w:rsidR="00B906F9" w:rsidRPr="00F65B72" w:rsidRDefault="000659FA" w:rsidP="00DE02AA">
      <w:pPr>
        <w:pStyle w:val="ListParagraph"/>
        <w:numPr>
          <w:ilvl w:val="0"/>
          <w:numId w:val="12"/>
        </w:numPr>
        <w:spacing w:before="120" w:after="0"/>
        <w:ind w:left="714" w:hanging="357"/>
        <w:contextualSpacing w:val="0"/>
        <w:rPr>
          <w:rFonts w:ascii="Arial" w:hAnsi="Arial" w:cs="Arial"/>
          <w:szCs w:val="20"/>
        </w:rPr>
      </w:pPr>
      <w:r>
        <w:rPr>
          <w:rFonts w:ascii="Arial" w:hAnsi="Arial" w:cs="Arial"/>
          <w:szCs w:val="20"/>
        </w:rPr>
        <w:t>a</w:t>
      </w:r>
      <w:r w:rsidR="00B906F9" w:rsidRPr="009A1311">
        <w:rPr>
          <w:rFonts w:ascii="Arial" w:hAnsi="Arial" w:cs="Arial"/>
          <w:szCs w:val="20"/>
        </w:rPr>
        <w:t>ssessing documentation and issuing PA certificates (applicable to all measuring instruments submitted for PA purposes)</w:t>
      </w:r>
      <w:r w:rsidR="005C2BF4" w:rsidRPr="009A1311">
        <w:rPr>
          <w:rFonts w:ascii="Arial" w:hAnsi="Arial" w:cs="Arial"/>
          <w:szCs w:val="20"/>
        </w:rPr>
        <w:t xml:space="preserve"> </w:t>
      </w:r>
    </w:p>
    <w:p w14:paraId="7D4298E6" w14:textId="77777777" w:rsidR="000816A5" w:rsidRPr="00F65B72" w:rsidRDefault="000659FA" w:rsidP="00F65B72">
      <w:pPr>
        <w:pStyle w:val="ListParagraph"/>
        <w:numPr>
          <w:ilvl w:val="0"/>
          <w:numId w:val="12"/>
        </w:numPr>
        <w:spacing w:before="120" w:after="0"/>
        <w:ind w:left="714" w:hanging="357"/>
        <w:contextualSpacing w:val="0"/>
        <w:rPr>
          <w:rFonts w:ascii="Arial" w:hAnsi="Arial" w:cs="Arial"/>
          <w:szCs w:val="20"/>
        </w:rPr>
      </w:pPr>
      <w:r>
        <w:rPr>
          <w:rFonts w:ascii="Arial" w:hAnsi="Arial" w:cs="Arial"/>
          <w:szCs w:val="20"/>
        </w:rPr>
        <w:t>l</w:t>
      </w:r>
      <w:r w:rsidR="00B906F9" w:rsidRPr="00F65B72">
        <w:rPr>
          <w:rFonts w:ascii="Arial" w:hAnsi="Arial" w:cs="Arial"/>
          <w:szCs w:val="20"/>
        </w:rPr>
        <w:t>aboratory testing of measuring instruments</w:t>
      </w:r>
      <w:r w:rsidR="005C2BF4" w:rsidRPr="00F65B72">
        <w:rPr>
          <w:rFonts w:ascii="Arial" w:hAnsi="Arial" w:cs="Arial"/>
          <w:szCs w:val="20"/>
        </w:rPr>
        <w:t xml:space="preserve">. </w:t>
      </w:r>
      <w:r w:rsidR="000816A5" w:rsidRPr="00F65B72">
        <w:rPr>
          <w:rFonts w:ascii="Arial" w:hAnsi="Arial" w:cs="Arial"/>
          <w:szCs w:val="20"/>
        </w:rPr>
        <w:t xml:space="preserve"> </w:t>
      </w:r>
    </w:p>
    <w:p w14:paraId="7EF0BC1E" w14:textId="32CB1892" w:rsidR="00B906F9" w:rsidRPr="00545C3E" w:rsidRDefault="00545C3E" w:rsidP="000B06BE">
      <w:pPr>
        <w:spacing w:before="120" w:line="276" w:lineRule="auto"/>
        <w:rPr>
          <w:rFonts w:cs="Arial"/>
          <w:szCs w:val="20"/>
        </w:rPr>
      </w:pPr>
      <w:r w:rsidRPr="00545C3E">
        <w:rPr>
          <w:rFonts w:cs="Arial"/>
          <w:szCs w:val="20"/>
        </w:rPr>
        <w:t xml:space="preserve">On average </w:t>
      </w:r>
      <w:r>
        <w:rPr>
          <w:rFonts w:cs="Arial"/>
          <w:szCs w:val="20"/>
        </w:rPr>
        <w:t xml:space="preserve">during the </w:t>
      </w:r>
      <w:r w:rsidRPr="00545C3E">
        <w:rPr>
          <w:rFonts w:cs="Arial"/>
          <w:szCs w:val="20"/>
        </w:rPr>
        <w:t xml:space="preserve">past three years 125 </w:t>
      </w:r>
      <w:r w:rsidR="00B906F9" w:rsidRPr="00545C3E">
        <w:rPr>
          <w:rFonts w:cs="Arial"/>
          <w:szCs w:val="20"/>
        </w:rPr>
        <w:t xml:space="preserve">certificates were </w:t>
      </w:r>
      <w:r w:rsidR="005A57B0" w:rsidRPr="00545C3E">
        <w:rPr>
          <w:rFonts w:cs="Arial"/>
          <w:szCs w:val="20"/>
        </w:rPr>
        <w:t>issued</w:t>
      </w:r>
      <w:r w:rsidR="00CE024F" w:rsidRPr="00545C3E">
        <w:rPr>
          <w:rFonts w:cs="Arial"/>
          <w:szCs w:val="20"/>
        </w:rPr>
        <w:t>,</w:t>
      </w:r>
      <w:r w:rsidR="005A57B0" w:rsidRPr="00545C3E">
        <w:rPr>
          <w:rFonts w:cs="Arial"/>
          <w:szCs w:val="20"/>
        </w:rPr>
        <w:t xml:space="preserve"> </w:t>
      </w:r>
      <w:r w:rsidR="00B906F9" w:rsidRPr="00545C3E">
        <w:rPr>
          <w:rFonts w:cs="Arial"/>
          <w:szCs w:val="20"/>
        </w:rPr>
        <w:t>of which between 60</w:t>
      </w:r>
      <w:r w:rsidR="002072B1" w:rsidRPr="00545C3E">
        <w:rPr>
          <w:rFonts w:cs="Arial"/>
          <w:szCs w:val="20"/>
        </w:rPr>
        <w:t>–80 per cent</w:t>
      </w:r>
      <w:r w:rsidR="00B906F9" w:rsidRPr="00545C3E">
        <w:rPr>
          <w:rFonts w:cs="Arial"/>
          <w:szCs w:val="20"/>
        </w:rPr>
        <w:t xml:space="preserve"> were for product lifecycle modifications </w:t>
      </w:r>
      <w:r w:rsidR="005A57B0" w:rsidRPr="00545C3E">
        <w:rPr>
          <w:rFonts w:cs="Arial"/>
          <w:szCs w:val="20"/>
        </w:rPr>
        <w:t xml:space="preserve">or </w:t>
      </w:r>
      <w:r w:rsidR="00B906F9" w:rsidRPr="00545C3E">
        <w:rPr>
          <w:rFonts w:cs="Arial"/>
          <w:szCs w:val="20"/>
        </w:rPr>
        <w:t>upgrades</w:t>
      </w:r>
      <w:r w:rsidR="00CE024F" w:rsidRPr="00545C3E">
        <w:rPr>
          <w:rFonts w:cs="Arial"/>
          <w:szCs w:val="20"/>
        </w:rPr>
        <w:t>,</w:t>
      </w:r>
      <w:r w:rsidR="00B906F9" w:rsidRPr="00545C3E">
        <w:rPr>
          <w:rFonts w:cs="Arial"/>
          <w:szCs w:val="20"/>
        </w:rPr>
        <w:t xml:space="preserve"> with the remainder for new instruments. </w:t>
      </w:r>
    </w:p>
    <w:p w14:paraId="746DC1CF" w14:textId="1D4DC9F6" w:rsidR="00B906F9" w:rsidRPr="004D1AFE" w:rsidRDefault="00B906F9" w:rsidP="000B06BE">
      <w:pPr>
        <w:spacing w:before="120" w:line="276" w:lineRule="auto"/>
        <w:rPr>
          <w:rFonts w:cs="Arial"/>
          <w:szCs w:val="20"/>
        </w:rPr>
      </w:pPr>
      <w:r w:rsidRPr="004D1AFE">
        <w:rPr>
          <w:rFonts w:cs="Arial"/>
          <w:szCs w:val="20"/>
        </w:rPr>
        <w:t xml:space="preserve">Laboratory based testing is only required where measuring instruments are submitted without appropriate test </w:t>
      </w:r>
      <w:r w:rsidR="00DA2214" w:rsidRPr="004D1AFE">
        <w:rPr>
          <w:rFonts w:cs="Arial"/>
          <w:szCs w:val="20"/>
        </w:rPr>
        <w:t xml:space="preserve">reports </w:t>
      </w:r>
      <w:r w:rsidR="00491BAD" w:rsidRPr="004D1AFE">
        <w:rPr>
          <w:rFonts w:cs="Arial"/>
          <w:szCs w:val="20"/>
        </w:rPr>
        <w:t>as specified by</w:t>
      </w:r>
      <w:r w:rsidR="002072B1" w:rsidRPr="004D1AFE">
        <w:rPr>
          <w:rFonts w:cs="Arial"/>
          <w:szCs w:val="20"/>
        </w:rPr>
        <w:t xml:space="preserve"> </w:t>
      </w:r>
      <w:r w:rsidR="00491BAD" w:rsidRPr="004D1AFE">
        <w:rPr>
          <w:rFonts w:cs="Arial"/>
          <w:szCs w:val="20"/>
        </w:rPr>
        <w:t>NMI</w:t>
      </w:r>
      <w:r w:rsidRPr="004D1AFE">
        <w:rPr>
          <w:rFonts w:cs="Arial"/>
          <w:szCs w:val="20"/>
        </w:rPr>
        <w:t xml:space="preserve">. </w:t>
      </w:r>
      <w:r w:rsidR="00695E7B" w:rsidRPr="004D1AFE">
        <w:rPr>
          <w:rFonts w:cs="Arial"/>
          <w:szCs w:val="20"/>
        </w:rPr>
        <w:t xml:space="preserve">NMI recognises test reports from </w:t>
      </w:r>
      <w:r w:rsidR="00DA2214" w:rsidRPr="004D1AFE">
        <w:rPr>
          <w:rFonts w:cs="Arial"/>
          <w:szCs w:val="20"/>
        </w:rPr>
        <w:t xml:space="preserve">overseas </w:t>
      </w:r>
      <w:r w:rsidR="00695E7B" w:rsidRPr="004D1AFE">
        <w:rPr>
          <w:rFonts w:cs="Arial"/>
          <w:szCs w:val="20"/>
        </w:rPr>
        <w:t>laboratories issued in accordance with the OIML</w:t>
      </w:r>
      <w:r w:rsidR="00C36F9A" w:rsidRPr="004D1AFE">
        <w:rPr>
          <w:rFonts w:cs="Arial"/>
          <w:szCs w:val="20"/>
        </w:rPr>
        <w:t xml:space="preserve"> </w:t>
      </w:r>
      <w:r w:rsidR="00AA2FAF" w:rsidRPr="004D1AFE">
        <w:rPr>
          <w:rFonts w:cs="Arial"/>
          <w:szCs w:val="20"/>
        </w:rPr>
        <w:t xml:space="preserve">Certification </w:t>
      </w:r>
      <w:r w:rsidR="002B22C9" w:rsidRPr="004D1AFE">
        <w:rPr>
          <w:rFonts w:cs="Arial"/>
          <w:szCs w:val="20"/>
        </w:rPr>
        <w:t>System and</w:t>
      </w:r>
      <w:r w:rsidR="00695E7B" w:rsidRPr="004D1AFE">
        <w:rPr>
          <w:rFonts w:cs="Arial"/>
          <w:szCs w:val="20"/>
        </w:rPr>
        <w:t xml:space="preserve"> can also accept other test </w:t>
      </w:r>
      <w:r w:rsidR="00DA2214" w:rsidRPr="004D1AFE">
        <w:rPr>
          <w:rFonts w:cs="Arial"/>
          <w:szCs w:val="20"/>
        </w:rPr>
        <w:t>reports under certain conditions</w:t>
      </w:r>
      <w:r w:rsidR="00695E7B" w:rsidRPr="004D1AFE">
        <w:rPr>
          <w:rFonts w:cs="Arial"/>
          <w:szCs w:val="20"/>
        </w:rPr>
        <w:t xml:space="preserve">. </w:t>
      </w:r>
    </w:p>
    <w:p w14:paraId="31B1063B" w14:textId="77777777" w:rsidR="00EE4F30" w:rsidRPr="004D1AFE" w:rsidRDefault="00EE4F30" w:rsidP="006C1DCD">
      <w:pPr>
        <w:pStyle w:val="Heading3"/>
        <w:spacing w:line="276" w:lineRule="auto"/>
        <w:ind w:left="340" w:hanging="340"/>
        <w:rPr>
          <w:sz w:val="22"/>
          <w:szCs w:val="22"/>
        </w:rPr>
      </w:pPr>
      <w:bookmarkStart w:id="29" w:name="_Toc516468786"/>
      <w:bookmarkStart w:id="30" w:name="_Toc150329427"/>
      <w:r w:rsidRPr="004D1AFE">
        <w:rPr>
          <w:sz w:val="22"/>
          <w:szCs w:val="22"/>
        </w:rPr>
        <w:t>Licensing and Appointments</w:t>
      </w:r>
      <w:bookmarkEnd w:id="29"/>
      <w:bookmarkEnd w:id="30"/>
      <w:r w:rsidRPr="004D1AFE">
        <w:rPr>
          <w:sz w:val="22"/>
          <w:szCs w:val="22"/>
        </w:rPr>
        <w:t xml:space="preserve"> </w:t>
      </w:r>
    </w:p>
    <w:p w14:paraId="6F48CBCA" w14:textId="356EAC27" w:rsidR="00EE4F30" w:rsidRPr="008366B0" w:rsidRDefault="00EE4F30" w:rsidP="00AB5D3B">
      <w:pPr>
        <w:autoSpaceDE w:val="0"/>
        <w:autoSpaceDN w:val="0"/>
        <w:adjustRightInd w:val="0"/>
        <w:spacing w:before="120" w:line="276" w:lineRule="auto"/>
        <w:rPr>
          <w:rFonts w:eastAsiaTheme="minorHAnsi" w:cs="Arial"/>
          <w:color w:val="000000"/>
          <w:szCs w:val="20"/>
        </w:rPr>
      </w:pPr>
      <w:r w:rsidRPr="00545C3E">
        <w:rPr>
          <w:rFonts w:eastAsiaTheme="minorHAnsi" w:cs="Arial"/>
          <w:color w:val="000000"/>
          <w:szCs w:val="20"/>
        </w:rPr>
        <w:t xml:space="preserve">Private sector </w:t>
      </w:r>
      <w:r w:rsidR="006E604F" w:rsidRPr="00545C3E">
        <w:rPr>
          <w:rFonts w:eastAsiaTheme="minorHAnsi" w:cs="Arial"/>
          <w:color w:val="000000"/>
          <w:szCs w:val="20"/>
        </w:rPr>
        <w:t xml:space="preserve">organisations </w:t>
      </w:r>
      <w:r w:rsidRPr="00545C3E">
        <w:rPr>
          <w:rFonts w:eastAsiaTheme="minorHAnsi" w:cs="Arial"/>
          <w:color w:val="000000"/>
          <w:szCs w:val="20"/>
        </w:rPr>
        <w:t xml:space="preserve">support </w:t>
      </w:r>
      <w:r w:rsidR="00971236" w:rsidRPr="00545C3E">
        <w:rPr>
          <w:rFonts w:eastAsiaTheme="minorHAnsi" w:cs="Arial"/>
          <w:color w:val="000000"/>
          <w:szCs w:val="20"/>
        </w:rPr>
        <w:t xml:space="preserve">the </w:t>
      </w:r>
      <w:r w:rsidRPr="00545C3E">
        <w:rPr>
          <w:rFonts w:eastAsiaTheme="minorHAnsi" w:cs="Arial"/>
          <w:color w:val="000000"/>
          <w:szCs w:val="20"/>
        </w:rPr>
        <w:t xml:space="preserve">delivery of a robust trade measurement system for Australia. There are more than </w:t>
      </w:r>
      <w:r w:rsidR="00FF4A15" w:rsidRPr="00545C3E">
        <w:rPr>
          <w:rFonts w:eastAsiaTheme="minorHAnsi" w:cs="Arial"/>
          <w:color w:val="000000"/>
          <w:szCs w:val="20"/>
        </w:rPr>
        <w:t>5</w:t>
      </w:r>
      <w:r w:rsidR="00FF4A15">
        <w:rPr>
          <w:rFonts w:eastAsiaTheme="minorHAnsi" w:cs="Arial"/>
          <w:color w:val="000000"/>
          <w:szCs w:val="20"/>
        </w:rPr>
        <w:t>00</w:t>
      </w:r>
      <w:r w:rsidR="00FF4A15" w:rsidRPr="00545C3E">
        <w:rPr>
          <w:rFonts w:eastAsiaTheme="minorHAnsi" w:cs="Arial"/>
          <w:color w:val="000000"/>
          <w:szCs w:val="20"/>
        </w:rPr>
        <w:t xml:space="preserve"> </w:t>
      </w:r>
      <w:r w:rsidRPr="00545C3E">
        <w:rPr>
          <w:rFonts w:eastAsiaTheme="minorHAnsi" w:cs="Arial"/>
          <w:color w:val="000000"/>
          <w:szCs w:val="20"/>
        </w:rPr>
        <w:t xml:space="preserve">licensees and </w:t>
      </w:r>
      <w:r w:rsidR="003960A3" w:rsidRPr="00545C3E">
        <w:rPr>
          <w:rFonts w:eastAsiaTheme="minorHAnsi" w:cs="Arial"/>
          <w:color w:val="000000"/>
          <w:szCs w:val="20"/>
        </w:rPr>
        <w:t xml:space="preserve">approximately </w:t>
      </w:r>
      <w:r w:rsidR="00545C3E" w:rsidRPr="00545C3E">
        <w:rPr>
          <w:rFonts w:eastAsiaTheme="minorHAnsi" w:cs="Arial"/>
          <w:color w:val="000000"/>
          <w:szCs w:val="20"/>
        </w:rPr>
        <w:t>6</w:t>
      </w:r>
      <w:r w:rsidR="003960A3" w:rsidRPr="00545C3E">
        <w:rPr>
          <w:rFonts w:eastAsiaTheme="minorHAnsi" w:cs="Arial"/>
          <w:color w:val="000000"/>
          <w:szCs w:val="20"/>
        </w:rPr>
        <w:t xml:space="preserve">0 </w:t>
      </w:r>
      <w:r w:rsidRPr="00545C3E">
        <w:rPr>
          <w:rFonts w:eastAsiaTheme="minorHAnsi" w:cs="Arial"/>
          <w:color w:val="000000"/>
          <w:szCs w:val="20"/>
        </w:rPr>
        <w:t xml:space="preserve">legal metrology authorities. Servicing licensees employ around </w:t>
      </w:r>
      <w:r w:rsidR="00073F11" w:rsidRPr="00545C3E">
        <w:rPr>
          <w:rFonts w:eastAsiaTheme="minorHAnsi" w:cs="Arial"/>
          <w:color w:val="000000"/>
          <w:szCs w:val="20"/>
        </w:rPr>
        <w:t xml:space="preserve">1400 </w:t>
      </w:r>
      <w:r w:rsidRPr="00545C3E">
        <w:rPr>
          <w:rFonts w:eastAsiaTheme="minorHAnsi" w:cs="Arial"/>
          <w:color w:val="000000"/>
          <w:szCs w:val="20"/>
        </w:rPr>
        <w:t>verifiers.</w:t>
      </w:r>
      <w:r w:rsidRPr="008366B0">
        <w:rPr>
          <w:rFonts w:eastAsiaTheme="minorHAnsi" w:cs="Arial"/>
          <w:color w:val="000000"/>
          <w:szCs w:val="20"/>
        </w:rPr>
        <w:t xml:space="preserve"> </w:t>
      </w:r>
    </w:p>
    <w:p w14:paraId="56BEF3BA" w14:textId="77777777" w:rsidR="00EE4F30" w:rsidRPr="008366B0" w:rsidRDefault="00EE4F30" w:rsidP="00AB5D3B">
      <w:pPr>
        <w:autoSpaceDE w:val="0"/>
        <w:autoSpaceDN w:val="0"/>
        <w:adjustRightInd w:val="0"/>
        <w:spacing w:before="120" w:line="276" w:lineRule="auto"/>
        <w:rPr>
          <w:rFonts w:eastAsiaTheme="minorHAnsi" w:cs="Arial"/>
          <w:color w:val="000000"/>
          <w:szCs w:val="20"/>
        </w:rPr>
      </w:pPr>
      <w:r w:rsidRPr="008366B0">
        <w:rPr>
          <w:rFonts w:eastAsiaTheme="minorHAnsi" w:cs="Arial"/>
          <w:color w:val="000000"/>
          <w:szCs w:val="20"/>
        </w:rPr>
        <w:t xml:space="preserve">The business process for these activities includes: </w:t>
      </w:r>
    </w:p>
    <w:p w14:paraId="7698FD69" w14:textId="7FAE5645" w:rsidR="00EE4F30" w:rsidRPr="008366B0" w:rsidRDefault="002072B1" w:rsidP="00646D7B">
      <w:pPr>
        <w:pStyle w:val="ListParagraph"/>
        <w:numPr>
          <w:ilvl w:val="0"/>
          <w:numId w:val="6"/>
        </w:numPr>
        <w:autoSpaceDE w:val="0"/>
        <w:autoSpaceDN w:val="0"/>
        <w:adjustRightInd w:val="0"/>
        <w:spacing w:before="120" w:after="0"/>
        <w:ind w:left="714" w:hanging="357"/>
        <w:contextualSpacing w:val="0"/>
        <w:rPr>
          <w:rFonts w:ascii="Arial" w:hAnsi="Arial" w:cs="Arial"/>
          <w:color w:val="000000"/>
          <w:szCs w:val="20"/>
        </w:rPr>
      </w:pPr>
      <w:r>
        <w:rPr>
          <w:rFonts w:ascii="Arial" w:hAnsi="Arial" w:cs="Arial"/>
          <w:color w:val="000000"/>
          <w:szCs w:val="20"/>
        </w:rPr>
        <w:t>a</w:t>
      </w:r>
      <w:r w:rsidR="00EE4F30" w:rsidRPr="008366B0">
        <w:rPr>
          <w:rFonts w:ascii="Arial" w:hAnsi="Arial" w:cs="Arial"/>
          <w:color w:val="000000"/>
          <w:szCs w:val="20"/>
        </w:rPr>
        <w:t>pplication receipt and processing</w:t>
      </w:r>
      <w:r>
        <w:rPr>
          <w:rFonts w:ascii="Arial" w:hAnsi="Arial" w:cs="Arial"/>
          <w:color w:val="000000"/>
          <w:szCs w:val="20"/>
        </w:rPr>
        <w:t>, including</w:t>
      </w:r>
      <w:r w:rsidR="00EE4F30" w:rsidRPr="008366B0">
        <w:rPr>
          <w:rFonts w:ascii="Arial" w:hAnsi="Arial" w:cs="Arial"/>
          <w:color w:val="000000"/>
          <w:szCs w:val="20"/>
        </w:rPr>
        <w:t xml:space="preserve"> file creation and acknowledgement</w:t>
      </w:r>
      <w:r w:rsidR="002B22C9">
        <w:rPr>
          <w:rFonts w:ascii="Arial" w:hAnsi="Arial" w:cs="Arial"/>
          <w:color w:val="000000"/>
          <w:szCs w:val="20"/>
        </w:rPr>
        <w:t>.</w:t>
      </w:r>
      <w:r w:rsidR="00EE4F30" w:rsidRPr="008366B0">
        <w:rPr>
          <w:rFonts w:ascii="Arial" w:hAnsi="Arial" w:cs="Arial"/>
          <w:color w:val="000000"/>
          <w:szCs w:val="20"/>
        </w:rPr>
        <w:t xml:space="preserve"> </w:t>
      </w:r>
    </w:p>
    <w:p w14:paraId="663E92FD" w14:textId="5E308529" w:rsidR="00EE4F30" w:rsidRPr="00684B77" w:rsidRDefault="007C1D01" w:rsidP="00646D7B">
      <w:pPr>
        <w:pStyle w:val="ListParagraph"/>
        <w:numPr>
          <w:ilvl w:val="0"/>
          <w:numId w:val="6"/>
        </w:numPr>
        <w:spacing w:before="120" w:after="0"/>
        <w:ind w:left="714" w:hanging="357"/>
        <w:contextualSpacing w:val="0"/>
      </w:pPr>
      <w:r>
        <w:rPr>
          <w:rFonts w:ascii="Arial" w:hAnsi="Arial" w:cs="Arial"/>
          <w:color w:val="000000"/>
          <w:szCs w:val="20"/>
        </w:rPr>
        <w:t>a</w:t>
      </w:r>
      <w:r w:rsidR="00EE4F30" w:rsidRPr="00043131">
        <w:rPr>
          <w:rFonts w:ascii="Arial" w:hAnsi="Arial" w:cs="Arial"/>
          <w:color w:val="000000"/>
          <w:szCs w:val="20"/>
        </w:rPr>
        <w:t>pplication evaluation</w:t>
      </w:r>
      <w:r w:rsidR="002072B1">
        <w:rPr>
          <w:rFonts w:ascii="Arial" w:hAnsi="Arial" w:cs="Arial"/>
          <w:color w:val="000000"/>
          <w:szCs w:val="20"/>
        </w:rPr>
        <w:t>, including</w:t>
      </w:r>
      <w:r w:rsidR="00EE4F30" w:rsidRPr="00043131">
        <w:rPr>
          <w:rFonts w:ascii="Arial" w:hAnsi="Arial" w:cs="Arial"/>
          <w:color w:val="000000"/>
          <w:szCs w:val="20"/>
        </w:rPr>
        <w:t xml:space="preserve"> review</w:t>
      </w:r>
      <w:r w:rsidR="002072B1">
        <w:rPr>
          <w:rFonts w:ascii="Arial" w:hAnsi="Arial" w:cs="Arial"/>
          <w:color w:val="000000"/>
          <w:szCs w:val="20"/>
        </w:rPr>
        <w:t>ing</w:t>
      </w:r>
      <w:r w:rsidR="00EE4F30" w:rsidRPr="00043131">
        <w:rPr>
          <w:rFonts w:ascii="Arial" w:hAnsi="Arial" w:cs="Arial"/>
          <w:color w:val="000000"/>
          <w:szCs w:val="20"/>
        </w:rPr>
        <w:t xml:space="preserve"> the documentation supplied, mak</w:t>
      </w:r>
      <w:r w:rsidR="002072B1">
        <w:rPr>
          <w:rFonts w:ascii="Arial" w:hAnsi="Arial" w:cs="Arial"/>
          <w:color w:val="000000"/>
          <w:szCs w:val="20"/>
        </w:rPr>
        <w:t>ing</w:t>
      </w:r>
      <w:r w:rsidR="00EE4F30" w:rsidRPr="00043131">
        <w:rPr>
          <w:rFonts w:ascii="Arial" w:hAnsi="Arial" w:cs="Arial"/>
          <w:color w:val="000000"/>
          <w:szCs w:val="20"/>
        </w:rPr>
        <w:t xml:space="preserve"> further enquir</w:t>
      </w:r>
      <w:r w:rsidR="002072B1">
        <w:rPr>
          <w:rFonts w:ascii="Arial" w:hAnsi="Arial" w:cs="Arial"/>
          <w:color w:val="000000"/>
          <w:szCs w:val="20"/>
        </w:rPr>
        <w:t>ies</w:t>
      </w:r>
      <w:r w:rsidR="00EE4F30" w:rsidRPr="00043131">
        <w:rPr>
          <w:rFonts w:ascii="Arial" w:hAnsi="Arial" w:cs="Arial"/>
          <w:color w:val="000000"/>
          <w:szCs w:val="20"/>
        </w:rPr>
        <w:t xml:space="preserve"> or seek</w:t>
      </w:r>
      <w:r w:rsidR="002072B1">
        <w:rPr>
          <w:rFonts w:ascii="Arial" w:hAnsi="Arial" w:cs="Arial"/>
          <w:color w:val="000000"/>
          <w:szCs w:val="20"/>
        </w:rPr>
        <w:t>ing</w:t>
      </w:r>
      <w:r w:rsidR="00EE4F30" w:rsidRPr="00043131">
        <w:rPr>
          <w:rFonts w:ascii="Arial" w:hAnsi="Arial" w:cs="Arial"/>
          <w:color w:val="000000"/>
          <w:szCs w:val="20"/>
        </w:rPr>
        <w:t xml:space="preserve"> clarification if necessary,</w:t>
      </w:r>
      <w:r w:rsidR="002072B1">
        <w:rPr>
          <w:rFonts w:ascii="Arial" w:hAnsi="Arial" w:cs="Arial"/>
          <w:color w:val="000000"/>
          <w:szCs w:val="20"/>
        </w:rPr>
        <w:t xml:space="preserve"> and</w:t>
      </w:r>
      <w:r w:rsidR="00EE4F30" w:rsidRPr="00043131">
        <w:rPr>
          <w:rFonts w:ascii="Arial" w:hAnsi="Arial" w:cs="Arial"/>
          <w:color w:val="000000"/>
          <w:szCs w:val="20"/>
        </w:rPr>
        <w:t xml:space="preserve"> determin</w:t>
      </w:r>
      <w:r w:rsidR="002072B1">
        <w:rPr>
          <w:rFonts w:ascii="Arial" w:hAnsi="Arial" w:cs="Arial"/>
          <w:color w:val="000000"/>
          <w:szCs w:val="20"/>
        </w:rPr>
        <w:t>ing</w:t>
      </w:r>
      <w:r w:rsidR="00EE4F30" w:rsidRPr="00043131">
        <w:rPr>
          <w:rFonts w:ascii="Arial" w:hAnsi="Arial" w:cs="Arial"/>
          <w:color w:val="000000"/>
          <w:szCs w:val="20"/>
        </w:rPr>
        <w:t xml:space="preserve"> whether relevant criteria are satisfied</w:t>
      </w:r>
      <w:r w:rsidR="002B22C9">
        <w:rPr>
          <w:rFonts w:ascii="Arial" w:hAnsi="Arial" w:cs="Arial"/>
          <w:color w:val="000000"/>
          <w:szCs w:val="20"/>
        </w:rPr>
        <w:t>.</w:t>
      </w:r>
    </w:p>
    <w:p w14:paraId="0999D8D8" w14:textId="06715CA0" w:rsidR="005A229D" w:rsidRPr="00647364" w:rsidRDefault="002072B1" w:rsidP="00646D7B">
      <w:pPr>
        <w:pStyle w:val="ListParagraph"/>
        <w:numPr>
          <w:ilvl w:val="0"/>
          <w:numId w:val="6"/>
        </w:numPr>
        <w:spacing w:before="120" w:after="0"/>
        <w:ind w:left="714" w:hanging="357"/>
        <w:contextualSpacing w:val="0"/>
        <w:rPr>
          <w:rFonts w:ascii="Arial" w:hAnsi="Arial" w:cs="Arial"/>
        </w:rPr>
      </w:pPr>
      <w:r>
        <w:rPr>
          <w:rFonts w:ascii="Arial" w:hAnsi="Arial" w:cs="Arial"/>
        </w:rPr>
        <w:t>p</w:t>
      </w:r>
      <w:r w:rsidR="005A229D" w:rsidRPr="00647364">
        <w:rPr>
          <w:rFonts w:ascii="Arial" w:hAnsi="Arial" w:cs="Arial"/>
        </w:rPr>
        <w:t>roviding and maintaining information to assist licensees</w:t>
      </w:r>
      <w:r w:rsidR="00647364" w:rsidRPr="00647364">
        <w:rPr>
          <w:rFonts w:ascii="Arial" w:hAnsi="Arial" w:cs="Arial"/>
        </w:rPr>
        <w:t xml:space="preserve"> to</w:t>
      </w:r>
      <w:r w:rsidR="005A229D" w:rsidRPr="00647364">
        <w:rPr>
          <w:rFonts w:ascii="Arial" w:hAnsi="Arial" w:cs="Arial"/>
        </w:rPr>
        <w:t xml:space="preserve"> meet their regulatory obligations</w:t>
      </w:r>
      <w:r w:rsidR="002B22C9">
        <w:rPr>
          <w:rFonts w:ascii="Arial" w:hAnsi="Arial" w:cs="Arial"/>
        </w:rPr>
        <w:t>.</w:t>
      </w:r>
    </w:p>
    <w:p w14:paraId="6E207D47" w14:textId="49964B7B" w:rsidR="005A229D" w:rsidRPr="00647364" w:rsidRDefault="002072B1" w:rsidP="00646D7B">
      <w:pPr>
        <w:pStyle w:val="ListParagraph"/>
        <w:numPr>
          <w:ilvl w:val="0"/>
          <w:numId w:val="6"/>
        </w:numPr>
        <w:spacing w:before="120" w:after="0"/>
        <w:ind w:left="714" w:hanging="357"/>
        <w:contextualSpacing w:val="0"/>
        <w:rPr>
          <w:rFonts w:ascii="Arial" w:hAnsi="Arial" w:cs="Arial"/>
        </w:rPr>
      </w:pPr>
      <w:r>
        <w:rPr>
          <w:rFonts w:ascii="Arial" w:hAnsi="Arial" w:cs="Arial"/>
        </w:rPr>
        <w:t>p</w:t>
      </w:r>
      <w:r w:rsidR="005A229D" w:rsidRPr="00647364">
        <w:rPr>
          <w:rFonts w:ascii="Arial" w:hAnsi="Arial" w:cs="Arial"/>
        </w:rPr>
        <w:t>rovid</w:t>
      </w:r>
      <w:r w:rsidR="00647364" w:rsidRPr="00647364">
        <w:rPr>
          <w:rFonts w:ascii="Arial" w:hAnsi="Arial" w:cs="Arial"/>
        </w:rPr>
        <w:t>ing</w:t>
      </w:r>
      <w:r w:rsidR="005A229D" w:rsidRPr="00647364">
        <w:rPr>
          <w:rFonts w:ascii="Arial" w:hAnsi="Arial" w:cs="Arial"/>
        </w:rPr>
        <w:t xml:space="preserve"> a point of contact to support licensees (licensees </w:t>
      </w:r>
      <w:r w:rsidR="00EC3867" w:rsidRPr="00647364">
        <w:rPr>
          <w:rFonts w:ascii="Arial" w:hAnsi="Arial" w:cs="Arial"/>
        </w:rPr>
        <w:t>mailbox</w:t>
      </w:r>
      <w:r w:rsidR="00647364" w:rsidRPr="00647364">
        <w:rPr>
          <w:rFonts w:ascii="Arial" w:hAnsi="Arial" w:cs="Arial"/>
        </w:rPr>
        <w:t xml:space="preserve"> and </w:t>
      </w:r>
      <w:r w:rsidR="007F2810">
        <w:rPr>
          <w:rFonts w:ascii="Arial" w:hAnsi="Arial" w:cs="Arial"/>
        </w:rPr>
        <w:t>helpline</w:t>
      </w:r>
      <w:r w:rsidR="005A229D" w:rsidRPr="00647364">
        <w:rPr>
          <w:rFonts w:ascii="Arial" w:hAnsi="Arial" w:cs="Arial"/>
        </w:rPr>
        <w:t>)</w:t>
      </w:r>
      <w:r w:rsidR="008C7174" w:rsidRPr="00647364">
        <w:rPr>
          <w:rFonts w:ascii="Arial" w:hAnsi="Arial" w:cs="Arial"/>
        </w:rPr>
        <w:t xml:space="preserve"> and </w:t>
      </w:r>
      <w:r w:rsidR="005A229D" w:rsidRPr="00647364">
        <w:rPr>
          <w:rFonts w:ascii="Arial" w:hAnsi="Arial" w:cs="Arial"/>
        </w:rPr>
        <w:t>respond</w:t>
      </w:r>
      <w:r w:rsidR="00647364" w:rsidRPr="00647364">
        <w:rPr>
          <w:rFonts w:ascii="Arial" w:hAnsi="Arial" w:cs="Arial"/>
        </w:rPr>
        <w:t>ing</w:t>
      </w:r>
      <w:r w:rsidR="005A229D" w:rsidRPr="00647364">
        <w:rPr>
          <w:rFonts w:ascii="Arial" w:hAnsi="Arial" w:cs="Arial"/>
        </w:rPr>
        <w:t xml:space="preserve"> to enquiries relating to licensing conditions</w:t>
      </w:r>
      <w:r w:rsidR="00647364" w:rsidRPr="00647364">
        <w:rPr>
          <w:rFonts w:ascii="Arial" w:hAnsi="Arial" w:cs="Arial"/>
        </w:rPr>
        <w:t>, verification procedures and requirements</w:t>
      </w:r>
      <w:r w:rsidR="002B22C9">
        <w:rPr>
          <w:rFonts w:ascii="Arial" w:hAnsi="Arial" w:cs="Arial"/>
        </w:rPr>
        <w:t>.</w:t>
      </w:r>
    </w:p>
    <w:p w14:paraId="6F731070" w14:textId="4D3D18AD" w:rsidR="005A229D" w:rsidRPr="00647364" w:rsidRDefault="002072B1" w:rsidP="00646D7B">
      <w:pPr>
        <w:pStyle w:val="ListParagraph"/>
        <w:numPr>
          <w:ilvl w:val="0"/>
          <w:numId w:val="6"/>
        </w:numPr>
        <w:spacing w:before="120" w:after="0"/>
        <w:ind w:left="714" w:hanging="357"/>
        <w:contextualSpacing w:val="0"/>
        <w:rPr>
          <w:rFonts w:ascii="Arial" w:hAnsi="Arial" w:cs="Arial"/>
        </w:rPr>
      </w:pPr>
      <w:r>
        <w:rPr>
          <w:rFonts w:ascii="Arial" w:hAnsi="Arial" w:cs="Arial"/>
        </w:rPr>
        <w:lastRenderedPageBreak/>
        <w:t>m</w:t>
      </w:r>
      <w:r w:rsidR="005A229D" w:rsidRPr="00647364">
        <w:rPr>
          <w:rFonts w:ascii="Arial" w:hAnsi="Arial" w:cs="Arial"/>
        </w:rPr>
        <w:t xml:space="preserve">anaging </w:t>
      </w:r>
      <w:r w:rsidR="00647364" w:rsidRPr="00647364">
        <w:rPr>
          <w:rFonts w:ascii="Arial" w:hAnsi="Arial" w:cs="Arial"/>
        </w:rPr>
        <w:t xml:space="preserve">and processing verification </w:t>
      </w:r>
      <w:r w:rsidR="00647364">
        <w:rPr>
          <w:rFonts w:ascii="Arial" w:hAnsi="Arial" w:cs="Arial"/>
        </w:rPr>
        <w:t xml:space="preserve">notification forms (Form 6 and Form 6A), </w:t>
      </w:r>
      <w:r w:rsidR="005A229D" w:rsidRPr="00647364">
        <w:rPr>
          <w:rFonts w:ascii="Arial" w:hAnsi="Arial" w:cs="Arial"/>
        </w:rPr>
        <w:t xml:space="preserve">test reports and information submitted by the licensees as </w:t>
      </w:r>
      <w:r w:rsidR="00647364">
        <w:rPr>
          <w:rFonts w:ascii="Arial" w:hAnsi="Arial" w:cs="Arial"/>
        </w:rPr>
        <w:t xml:space="preserve">required by legislation and </w:t>
      </w:r>
      <w:r w:rsidR="005A229D" w:rsidRPr="00647364">
        <w:rPr>
          <w:rFonts w:ascii="Arial" w:hAnsi="Arial" w:cs="Arial"/>
        </w:rPr>
        <w:t>licence conditions</w:t>
      </w:r>
      <w:r w:rsidR="002B22C9">
        <w:rPr>
          <w:rFonts w:ascii="Arial" w:hAnsi="Arial" w:cs="Arial"/>
        </w:rPr>
        <w:t>.</w:t>
      </w:r>
    </w:p>
    <w:p w14:paraId="2C4A9E70" w14:textId="77777777" w:rsidR="006B79BE" w:rsidRDefault="006B79BE" w:rsidP="006B79BE">
      <w:pPr>
        <w:spacing w:before="120"/>
      </w:pPr>
      <w:r>
        <w:t>These businesses processes are considered fully regulatory and account for 100</w:t>
      </w:r>
      <w:r w:rsidR="00030753">
        <w:t xml:space="preserve"> per cent </w:t>
      </w:r>
      <w:r>
        <w:t>of the total cost associated with the activities of Licensing and Appointments.</w:t>
      </w:r>
    </w:p>
    <w:p w14:paraId="45ACEB01" w14:textId="77777777" w:rsidR="00913E35" w:rsidRPr="006C1DCD" w:rsidRDefault="00913E35" w:rsidP="00065F45">
      <w:pPr>
        <w:pStyle w:val="Heading2"/>
        <w:tabs>
          <w:tab w:val="clear" w:pos="1569"/>
          <w:tab w:val="num" w:pos="709"/>
        </w:tabs>
        <w:spacing w:line="276" w:lineRule="auto"/>
        <w:ind w:hanging="1569"/>
        <w:rPr>
          <w:rFonts w:eastAsia="MS PGothic"/>
          <w:sz w:val="24"/>
          <w:szCs w:val="24"/>
        </w:rPr>
      </w:pPr>
      <w:bookmarkStart w:id="31" w:name="_Toc516468787"/>
      <w:bookmarkStart w:id="32" w:name="_Toc150329428"/>
      <w:r w:rsidRPr="006C1DCD">
        <w:rPr>
          <w:rFonts w:eastAsia="MS PGothic"/>
          <w:sz w:val="24"/>
          <w:szCs w:val="24"/>
        </w:rPr>
        <w:t>Costs of the regulatory charging activity</w:t>
      </w:r>
      <w:bookmarkEnd w:id="31"/>
      <w:bookmarkEnd w:id="32"/>
    </w:p>
    <w:p w14:paraId="15C067AC" w14:textId="6D6B3F3C" w:rsidR="00D647AB" w:rsidRPr="00D647AB" w:rsidRDefault="005A6B64" w:rsidP="00D647AB">
      <w:pPr>
        <w:spacing w:before="120" w:line="276" w:lineRule="auto"/>
        <w:rPr>
          <w:rFonts w:cs="Arial"/>
          <w:szCs w:val="20"/>
          <w:lang w:val="en"/>
        </w:rPr>
      </w:pPr>
      <w:r>
        <w:rPr>
          <w:rFonts w:cs="Arial"/>
          <w:szCs w:val="20"/>
          <w:lang w:val="en"/>
        </w:rPr>
        <w:t xml:space="preserve">The </w:t>
      </w:r>
      <w:r w:rsidR="00D647AB" w:rsidRPr="00D647AB">
        <w:rPr>
          <w:rFonts w:cs="Arial"/>
          <w:szCs w:val="20"/>
          <w:lang w:val="en"/>
        </w:rPr>
        <w:t>costs</w:t>
      </w:r>
      <w:r w:rsidR="006B79BE">
        <w:rPr>
          <w:rFonts w:cs="Arial"/>
          <w:szCs w:val="20"/>
          <w:lang w:val="en"/>
        </w:rPr>
        <w:t xml:space="preserve"> associated with the regulatory charging activities </w:t>
      </w:r>
      <w:r w:rsidR="00D647AB" w:rsidRPr="00D647AB">
        <w:rPr>
          <w:rFonts w:cs="Arial"/>
          <w:szCs w:val="20"/>
          <w:lang w:val="en"/>
        </w:rPr>
        <w:t>are categorised into</w:t>
      </w:r>
      <w:r w:rsidR="00DE02AA">
        <w:rPr>
          <w:rFonts w:cs="Arial"/>
          <w:szCs w:val="20"/>
          <w:lang w:val="en"/>
        </w:rPr>
        <w:t xml:space="preserve"> direct costs and indirect costs. </w:t>
      </w:r>
    </w:p>
    <w:p w14:paraId="1155F0F4" w14:textId="77777777" w:rsidR="006B72D5" w:rsidRDefault="00D647AB" w:rsidP="00D647AB">
      <w:pPr>
        <w:spacing w:before="120" w:line="276" w:lineRule="auto"/>
        <w:rPr>
          <w:rFonts w:cs="Arial"/>
          <w:szCs w:val="20"/>
          <w:lang w:val="en"/>
        </w:rPr>
      </w:pPr>
      <w:r w:rsidRPr="00D647AB">
        <w:rPr>
          <w:rFonts w:cs="Arial"/>
          <w:b/>
          <w:bCs/>
          <w:szCs w:val="20"/>
          <w:lang w:val="en"/>
        </w:rPr>
        <w:t>Direct costs</w:t>
      </w:r>
    </w:p>
    <w:p w14:paraId="29096E59" w14:textId="77777777" w:rsidR="00D647AB" w:rsidRPr="00D647AB" w:rsidRDefault="006B72D5" w:rsidP="00D647AB">
      <w:pPr>
        <w:spacing w:before="120" w:line="276" w:lineRule="auto"/>
        <w:rPr>
          <w:rFonts w:cs="Arial"/>
          <w:szCs w:val="20"/>
          <w:lang w:val="en"/>
        </w:rPr>
      </w:pPr>
      <w:r>
        <w:rPr>
          <w:rFonts w:cs="Arial"/>
          <w:szCs w:val="20"/>
          <w:lang w:val="en"/>
        </w:rPr>
        <w:t xml:space="preserve">Direct costs </w:t>
      </w:r>
      <w:r w:rsidR="00D647AB" w:rsidRPr="00D647AB">
        <w:rPr>
          <w:rFonts w:cs="Arial"/>
          <w:szCs w:val="20"/>
          <w:lang w:val="en"/>
        </w:rPr>
        <w:t>can be easily traced to a cost object with a high degree of accuracy. The allocation of direct costs to a cost object is relatively straightforward. The most common direct costs are staff salaries (including on-costs such as training, superannuation and leave) and supplier costs (e.g. office supplies).</w:t>
      </w:r>
    </w:p>
    <w:p w14:paraId="69DB1E87" w14:textId="77777777" w:rsidR="006B72D5" w:rsidRDefault="00D647AB" w:rsidP="00D647AB">
      <w:pPr>
        <w:spacing w:before="120" w:line="276" w:lineRule="auto"/>
        <w:rPr>
          <w:rFonts w:cs="Arial"/>
          <w:szCs w:val="20"/>
          <w:lang w:val="en"/>
        </w:rPr>
      </w:pPr>
      <w:r w:rsidRPr="00D647AB">
        <w:rPr>
          <w:rFonts w:cs="Arial"/>
          <w:b/>
          <w:bCs/>
          <w:szCs w:val="20"/>
          <w:lang w:val="en"/>
        </w:rPr>
        <w:t>Indirect costs</w:t>
      </w:r>
      <w:r w:rsidRPr="00D647AB">
        <w:rPr>
          <w:rFonts w:cs="Arial"/>
          <w:szCs w:val="20"/>
          <w:lang w:val="en"/>
        </w:rPr>
        <w:t xml:space="preserve"> </w:t>
      </w:r>
    </w:p>
    <w:p w14:paraId="162F04DA" w14:textId="77777777" w:rsidR="00D647AB" w:rsidRDefault="006B72D5" w:rsidP="00D647AB">
      <w:pPr>
        <w:spacing w:before="120" w:line="276" w:lineRule="auto"/>
        <w:rPr>
          <w:rFonts w:cs="Arial"/>
          <w:szCs w:val="20"/>
          <w:lang w:val="en"/>
        </w:rPr>
      </w:pPr>
      <w:r>
        <w:rPr>
          <w:rFonts w:cs="Arial"/>
          <w:szCs w:val="20"/>
          <w:lang w:val="en"/>
        </w:rPr>
        <w:t xml:space="preserve">Indirect costs </w:t>
      </w:r>
      <w:r w:rsidR="00D647AB" w:rsidRPr="00D647AB">
        <w:rPr>
          <w:rFonts w:cs="Arial"/>
          <w:szCs w:val="20"/>
          <w:lang w:val="en"/>
        </w:rPr>
        <w:t>are the costs that cannot be easily linked to a cost object or for which the costs of tracking this outweigh the benefits. Indirect costs are apportioned to a cost object using the internal costing methodology. Common indirect costs include overhead costs such as corporate costs (e.g. finance, human resources, IT</w:t>
      </w:r>
      <w:r w:rsidR="00694B67">
        <w:rPr>
          <w:rFonts w:cs="Arial"/>
          <w:szCs w:val="20"/>
          <w:lang w:val="en"/>
        </w:rPr>
        <w:t xml:space="preserve"> and</w:t>
      </w:r>
      <w:r w:rsidR="00D647AB" w:rsidRPr="00D647AB">
        <w:rPr>
          <w:rFonts w:cs="Arial"/>
          <w:szCs w:val="20"/>
          <w:lang w:val="en"/>
        </w:rPr>
        <w:t xml:space="preserve"> office accommodation) and salaries of staff in support areas (e.g. regulatory practice and support functions).</w:t>
      </w:r>
    </w:p>
    <w:p w14:paraId="24D9D093" w14:textId="77777777" w:rsidR="00B86A84" w:rsidRPr="008366B0" w:rsidRDefault="00491BAD" w:rsidP="00AB5D3B">
      <w:pPr>
        <w:spacing w:before="120" w:line="276" w:lineRule="auto"/>
        <w:rPr>
          <w:rFonts w:cs="Arial"/>
          <w:szCs w:val="20"/>
        </w:rPr>
      </w:pPr>
      <w:r>
        <w:rPr>
          <w:rFonts w:cs="Arial"/>
          <w:szCs w:val="20"/>
        </w:rPr>
        <w:t xml:space="preserve">NMI’s </w:t>
      </w:r>
      <w:r w:rsidRPr="008366B0">
        <w:rPr>
          <w:rFonts w:cs="Arial"/>
          <w:szCs w:val="20"/>
        </w:rPr>
        <w:t>cost</w:t>
      </w:r>
      <w:r w:rsidR="00B86A84" w:rsidRPr="008366B0">
        <w:rPr>
          <w:rFonts w:cs="Arial"/>
          <w:szCs w:val="20"/>
        </w:rPr>
        <w:t xml:space="preserve"> recovery models incorporate both direct costs and indirect costs which can be assigned or traced specifically to the respective regulatory activities</w:t>
      </w:r>
      <w:r w:rsidR="00694B67">
        <w:rPr>
          <w:rFonts w:cs="Arial"/>
          <w:szCs w:val="20"/>
        </w:rPr>
        <w:t>.</w:t>
      </w:r>
      <w:r w:rsidR="00B86A84" w:rsidRPr="008366B0">
        <w:rPr>
          <w:rFonts w:cs="Arial"/>
          <w:szCs w:val="20"/>
        </w:rPr>
        <w:t xml:space="preserve"> </w:t>
      </w:r>
    </w:p>
    <w:p w14:paraId="532365C7" w14:textId="77777777" w:rsidR="00B86A84" w:rsidRPr="008366B0" w:rsidRDefault="00B86A84" w:rsidP="00AB5D3B">
      <w:pPr>
        <w:spacing w:before="120" w:line="276" w:lineRule="auto"/>
        <w:rPr>
          <w:rFonts w:cs="Arial"/>
          <w:szCs w:val="20"/>
        </w:rPr>
      </w:pPr>
      <w:r w:rsidRPr="008366B0">
        <w:rPr>
          <w:rFonts w:cs="Arial"/>
          <w:szCs w:val="20"/>
        </w:rPr>
        <w:t xml:space="preserve">Direct </w:t>
      </w:r>
      <w:r w:rsidR="00694B67">
        <w:rPr>
          <w:rFonts w:cs="Arial"/>
          <w:szCs w:val="20"/>
        </w:rPr>
        <w:t>c</w:t>
      </w:r>
      <w:r w:rsidRPr="008366B0">
        <w:rPr>
          <w:rFonts w:cs="Arial"/>
          <w:szCs w:val="20"/>
        </w:rPr>
        <w:t>osts</w:t>
      </w:r>
      <w:r w:rsidR="00694B67">
        <w:rPr>
          <w:rFonts w:cs="Arial"/>
          <w:szCs w:val="20"/>
        </w:rPr>
        <w:t xml:space="preserve"> include:</w:t>
      </w:r>
    </w:p>
    <w:p w14:paraId="10045CFC" w14:textId="77777777" w:rsidR="00B86A84" w:rsidRPr="00043131" w:rsidRDefault="00694B67" w:rsidP="00646D7B">
      <w:pPr>
        <w:pStyle w:val="ListParagraph"/>
        <w:widowControl w:val="0"/>
        <w:numPr>
          <w:ilvl w:val="0"/>
          <w:numId w:val="7"/>
        </w:numPr>
        <w:autoSpaceDE w:val="0"/>
        <w:autoSpaceDN w:val="0"/>
        <w:adjustRightInd w:val="0"/>
        <w:spacing w:before="120" w:after="0"/>
        <w:ind w:left="714" w:hanging="357"/>
        <w:contextualSpacing w:val="0"/>
        <w:rPr>
          <w:rFonts w:ascii="Arial" w:hAnsi="Arial" w:cs="Arial"/>
          <w:iCs/>
          <w:szCs w:val="20"/>
        </w:rPr>
      </w:pPr>
      <w:r>
        <w:rPr>
          <w:rFonts w:ascii="Arial" w:hAnsi="Arial" w:cs="Arial"/>
          <w:iCs/>
          <w:szCs w:val="20"/>
        </w:rPr>
        <w:t>e</w:t>
      </w:r>
      <w:r w:rsidR="00B86A84" w:rsidRPr="00043131">
        <w:rPr>
          <w:rFonts w:ascii="Arial" w:hAnsi="Arial" w:cs="Arial"/>
          <w:iCs/>
          <w:szCs w:val="20"/>
        </w:rPr>
        <w:t>mployee costs</w:t>
      </w:r>
    </w:p>
    <w:p w14:paraId="126FF349" w14:textId="77777777" w:rsidR="00B86A84" w:rsidRPr="00043131" w:rsidRDefault="00694B67" w:rsidP="00646D7B">
      <w:pPr>
        <w:pStyle w:val="ListParagraph"/>
        <w:widowControl w:val="0"/>
        <w:numPr>
          <w:ilvl w:val="0"/>
          <w:numId w:val="7"/>
        </w:numPr>
        <w:autoSpaceDE w:val="0"/>
        <w:autoSpaceDN w:val="0"/>
        <w:adjustRightInd w:val="0"/>
        <w:spacing w:before="120" w:after="0"/>
        <w:ind w:left="714" w:hanging="357"/>
        <w:contextualSpacing w:val="0"/>
        <w:rPr>
          <w:rFonts w:ascii="Arial" w:hAnsi="Arial" w:cs="Arial"/>
          <w:iCs/>
          <w:szCs w:val="20"/>
        </w:rPr>
      </w:pPr>
      <w:r>
        <w:rPr>
          <w:rFonts w:ascii="Arial" w:hAnsi="Arial" w:cs="Arial"/>
          <w:iCs/>
          <w:szCs w:val="20"/>
        </w:rPr>
        <w:t>o</w:t>
      </w:r>
      <w:r w:rsidR="00B86A84" w:rsidRPr="00043131">
        <w:rPr>
          <w:rFonts w:ascii="Arial" w:hAnsi="Arial" w:cs="Arial"/>
          <w:iCs/>
          <w:szCs w:val="20"/>
        </w:rPr>
        <w:t>perational costs for providing the service, including laboratory consumables, contractors, repairs and maintenance for laboratory equipment and administrative expenses.</w:t>
      </w:r>
    </w:p>
    <w:p w14:paraId="6BD4F2C9" w14:textId="77777777" w:rsidR="00B86A84" w:rsidRPr="008366B0" w:rsidRDefault="00B86A84" w:rsidP="00AB5D3B">
      <w:pPr>
        <w:widowControl w:val="0"/>
        <w:autoSpaceDE w:val="0"/>
        <w:autoSpaceDN w:val="0"/>
        <w:adjustRightInd w:val="0"/>
        <w:spacing w:before="120" w:line="276" w:lineRule="auto"/>
        <w:rPr>
          <w:rFonts w:cs="Arial"/>
          <w:iCs/>
          <w:szCs w:val="20"/>
        </w:rPr>
      </w:pPr>
      <w:r w:rsidRPr="008366B0">
        <w:rPr>
          <w:rFonts w:cs="Arial"/>
          <w:iCs/>
          <w:szCs w:val="20"/>
        </w:rPr>
        <w:t xml:space="preserve">Indirect </w:t>
      </w:r>
      <w:r w:rsidR="00694B67">
        <w:rPr>
          <w:rFonts w:cs="Arial"/>
          <w:iCs/>
          <w:szCs w:val="20"/>
        </w:rPr>
        <w:t>c</w:t>
      </w:r>
      <w:r w:rsidRPr="008366B0">
        <w:rPr>
          <w:rFonts w:cs="Arial"/>
          <w:iCs/>
          <w:szCs w:val="20"/>
        </w:rPr>
        <w:t>osts</w:t>
      </w:r>
      <w:r w:rsidR="00694B67">
        <w:rPr>
          <w:rFonts w:cs="Arial"/>
          <w:iCs/>
          <w:szCs w:val="20"/>
        </w:rPr>
        <w:t xml:space="preserve"> include:</w:t>
      </w:r>
    </w:p>
    <w:p w14:paraId="6372FCDB" w14:textId="77777777" w:rsidR="00B86A84" w:rsidRPr="00043131" w:rsidRDefault="00694B67" w:rsidP="00646D7B">
      <w:pPr>
        <w:pStyle w:val="ListParagraph"/>
        <w:widowControl w:val="0"/>
        <w:numPr>
          <w:ilvl w:val="0"/>
          <w:numId w:val="8"/>
        </w:numPr>
        <w:autoSpaceDE w:val="0"/>
        <w:autoSpaceDN w:val="0"/>
        <w:adjustRightInd w:val="0"/>
        <w:spacing w:before="120" w:after="0"/>
        <w:ind w:left="714" w:hanging="357"/>
        <w:contextualSpacing w:val="0"/>
        <w:rPr>
          <w:rFonts w:ascii="Arial" w:hAnsi="Arial" w:cs="Arial"/>
          <w:iCs/>
          <w:szCs w:val="20"/>
        </w:rPr>
      </w:pPr>
      <w:r>
        <w:rPr>
          <w:rFonts w:ascii="Arial" w:hAnsi="Arial" w:cs="Arial"/>
          <w:iCs/>
          <w:szCs w:val="20"/>
        </w:rPr>
        <w:t>o</w:t>
      </w:r>
      <w:r w:rsidR="00B86A84" w:rsidRPr="00043131">
        <w:rPr>
          <w:rFonts w:ascii="Arial" w:hAnsi="Arial" w:cs="Arial"/>
          <w:iCs/>
          <w:szCs w:val="20"/>
        </w:rPr>
        <w:t xml:space="preserve">ther costs (such as </w:t>
      </w:r>
      <w:r w:rsidR="00A2544A">
        <w:rPr>
          <w:rFonts w:ascii="Arial" w:hAnsi="Arial" w:cs="Arial"/>
          <w:iCs/>
          <w:szCs w:val="20"/>
        </w:rPr>
        <w:t xml:space="preserve">property and </w:t>
      </w:r>
      <w:r w:rsidR="00B86A84" w:rsidRPr="00043131">
        <w:rPr>
          <w:rFonts w:ascii="Arial" w:hAnsi="Arial" w:cs="Arial"/>
          <w:iCs/>
          <w:szCs w:val="20"/>
        </w:rPr>
        <w:t xml:space="preserve">overhead charges) </w:t>
      </w:r>
    </w:p>
    <w:p w14:paraId="4D5B56DE" w14:textId="77777777" w:rsidR="00B86A84" w:rsidRPr="00043131" w:rsidRDefault="00694B67" w:rsidP="00646D7B">
      <w:pPr>
        <w:pStyle w:val="ListParagraph"/>
        <w:widowControl w:val="0"/>
        <w:numPr>
          <w:ilvl w:val="0"/>
          <w:numId w:val="8"/>
        </w:numPr>
        <w:autoSpaceDE w:val="0"/>
        <w:autoSpaceDN w:val="0"/>
        <w:adjustRightInd w:val="0"/>
        <w:spacing w:before="120" w:after="0"/>
        <w:ind w:left="714" w:hanging="357"/>
        <w:contextualSpacing w:val="0"/>
        <w:rPr>
          <w:rFonts w:ascii="Arial" w:hAnsi="Arial" w:cs="Arial"/>
          <w:iCs/>
          <w:szCs w:val="20"/>
        </w:rPr>
      </w:pPr>
      <w:r>
        <w:rPr>
          <w:rFonts w:ascii="Arial" w:hAnsi="Arial" w:cs="Arial"/>
          <w:iCs/>
          <w:szCs w:val="20"/>
        </w:rPr>
        <w:t>d</w:t>
      </w:r>
      <w:r w:rsidR="00B86A84" w:rsidRPr="00043131">
        <w:rPr>
          <w:rFonts w:ascii="Arial" w:hAnsi="Arial" w:cs="Arial"/>
          <w:iCs/>
          <w:szCs w:val="20"/>
        </w:rPr>
        <w:t>epreciation on assets</w:t>
      </w:r>
      <w:r w:rsidR="00A2544A">
        <w:rPr>
          <w:rFonts w:ascii="Arial" w:hAnsi="Arial" w:cs="Arial"/>
          <w:iCs/>
          <w:szCs w:val="20"/>
        </w:rPr>
        <w:t xml:space="preserve"> used for the activity</w:t>
      </w:r>
      <w:r w:rsidR="00B86A84" w:rsidRPr="00043131">
        <w:rPr>
          <w:rFonts w:ascii="Arial" w:hAnsi="Arial" w:cs="Arial"/>
          <w:iCs/>
          <w:szCs w:val="20"/>
        </w:rPr>
        <w:t>.</w:t>
      </w:r>
    </w:p>
    <w:p w14:paraId="44205F69" w14:textId="7D149537" w:rsidR="00B86A84" w:rsidRDefault="00DD0CBE" w:rsidP="00AB5D3B">
      <w:pPr>
        <w:spacing w:before="120" w:line="276" w:lineRule="auto"/>
        <w:rPr>
          <w:rFonts w:cs="Arial"/>
          <w:iCs/>
          <w:szCs w:val="20"/>
        </w:rPr>
      </w:pPr>
      <w:r w:rsidRPr="008366B0">
        <w:rPr>
          <w:rFonts w:cs="Arial"/>
          <w:iCs/>
          <w:szCs w:val="20"/>
        </w:rPr>
        <w:t xml:space="preserve">Table </w:t>
      </w:r>
      <w:r w:rsidR="006C1DCD">
        <w:rPr>
          <w:rFonts w:cs="Arial"/>
          <w:iCs/>
          <w:szCs w:val="20"/>
        </w:rPr>
        <w:t>2</w:t>
      </w:r>
      <w:r w:rsidRPr="008366B0">
        <w:rPr>
          <w:rFonts w:cs="Arial"/>
          <w:iCs/>
          <w:szCs w:val="20"/>
        </w:rPr>
        <w:t xml:space="preserve"> provides the direct, indirect and capital costs for the activities for </w:t>
      </w:r>
      <w:r w:rsidR="00A84F03" w:rsidRPr="008366B0">
        <w:rPr>
          <w:rFonts w:cs="Arial"/>
          <w:iCs/>
          <w:szCs w:val="20"/>
        </w:rPr>
        <w:t>20</w:t>
      </w:r>
      <w:r w:rsidR="00A84F03">
        <w:rPr>
          <w:rFonts w:cs="Arial"/>
          <w:iCs/>
          <w:szCs w:val="20"/>
        </w:rPr>
        <w:t>2</w:t>
      </w:r>
      <w:r w:rsidR="007F2810">
        <w:rPr>
          <w:rFonts w:cs="Arial"/>
          <w:iCs/>
          <w:szCs w:val="20"/>
        </w:rPr>
        <w:t>4</w:t>
      </w:r>
      <w:r w:rsidR="00694B67">
        <w:rPr>
          <w:rFonts w:cs="Arial"/>
          <w:iCs/>
          <w:szCs w:val="20"/>
        </w:rPr>
        <w:t>–</w:t>
      </w:r>
      <w:r w:rsidR="00A84F03">
        <w:rPr>
          <w:rFonts w:cs="Arial"/>
          <w:iCs/>
          <w:szCs w:val="20"/>
        </w:rPr>
        <w:t>2</w:t>
      </w:r>
      <w:r w:rsidR="007F2810">
        <w:rPr>
          <w:rFonts w:cs="Arial"/>
          <w:iCs/>
          <w:szCs w:val="20"/>
        </w:rPr>
        <w:t>5</w:t>
      </w:r>
      <w:r w:rsidRPr="008366B0">
        <w:rPr>
          <w:rFonts w:cs="Arial"/>
          <w:iCs/>
          <w:szCs w:val="20"/>
        </w:rPr>
        <w:t>.</w:t>
      </w:r>
      <w:r w:rsidR="00487D23">
        <w:rPr>
          <w:rFonts w:cs="Arial"/>
          <w:iCs/>
          <w:szCs w:val="20"/>
        </w:rPr>
        <w:t xml:space="preserve"> </w:t>
      </w:r>
    </w:p>
    <w:p w14:paraId="035C5816" w14:textId="77777777" w:rsidR="005A6B64" w:rsidRDefault="005A6B64" w:rsidP="00B94DDB">
      <w:pPr>
        <w:tabs>
          <w:tab w:val="left" w:pos="5415"/>
        </w:tabs>
        <w:rPr>
          <w:rFonts w:cs="Arial"/>
          <w:b/>
          <w:szCs w:val="20"/>
        </w:rPr>
      </w:pPr>
    </w:p>
    <w:p w14:paraId="46F878B7" w14:textId="59F2E4DD" w:rsidR="00B94DDB" w:rsidRDefault="00B94DDB" w:rsidP="00B94DDB">
      <w:pPr>
        <w:tabs>
          <w:tab w:val="left" w:pos="5415"/>
        </w:tabs>
        <w:rPr>
          <w:rFonts w:cs="Arial"/>
          <w:b/>
          <w:szCs w:val="20"/>
        </w:rPr>
      </w:pPr>
      <w:r w:rsidRPr="00B94DDB">
        <w:rPr>
          <w:rFonts w:cs="Arial"/>
          <w:b/>
          <w:szCs w:val="20"/>
        </w:rPr>
        <w:t xml:space="preserve">Table 2: </w:t>
      </w:r>
      <w:r w:rsidR="00AB0215">
        <w:rPr>
          <w:rFonts w:cs="Arial"/>
          <w:b/>
          <w:szCs w:val="20"/>
        </w:rPr>
        <w:t>NMI c</w:t>
      </w:r>
      <w:r w:rsidR="000F34A8" w:rsidRPr="000F34A8">
        <w:rPr>
          <w:rFonts w:cs="Arial"/>
          <w:b/>
          <w:szCs w:val="20"/>
        </w:rPr>
        <w:t>ost estimates</w:t>
      </w:r>
      <w:r w:rsidR="00AB0215">
        <w:rPr>
          <w:rFonts w:cs="Arial"/>
          <w:b/>
          <w:szCs w:val="20"/>
        </w:rPr>
        <w:t xml:space="preserve"> for regulator</w:t>
      </w:r>
      <w:r w:rsidR="00C36F9A">
        <w:rPr>
          <w:rFonts w:cs="Arial"/>
          <w:b/>
          <w:szCs w:val="20"/>
        </w:rPr>
        <w:t>y</w:t>
      </w:r>
      <w:r w:rsidR="00AB0215">
        <w:rPr>
          <w:rFonts w:cs="Arial"/>
          <w:b/>
          <w:szCs w:val="20"/>
        </w:rPr>
        <w:t xml:space="preserve"> activities,</w:t>
      </w:r>
      <w:r w:rsidR="000F34A8" w:rsidRPr="000F34A8">
        <w:rPr>
          <w:rFonts w:cs="Arial"/>
          <w:b/>
          <w:szCs w:val="20"/>
        </w:rPr>
        <w:t xml:space="preserve"> </w:t>
      </w:r>
      <w:r w:rsidR="00794A48" w:rsidRPr="000F34A8">
        <w:rPr>
          <w:rFonts w:cs="Arial"/>
          <w:b/>
          <w:szCs w:val="20"/>
        </w:rPr>
        <w:t>20</w:t>
      </w:r>
      <w:r w:rsidR="00794A48">
        <w:rPr>
          <w:rFonts w:cs="Arial"/>
          <w:b/>
          <w:szCs w:val="20"/>
        </w:rPr>
        <w:t>2</w:t>
      </w:r>
      <w:r w:rsidR="007F2810">
        <w:rPr>
          <w:rFonts w:cs="Arial"/>
          <w:b/>
          <w:szCs w:val="20"/>
        </w:rPr>
        <w:t>4</w:t>
      </w:r>
      <w:r w:rsidR="00AB0215">
        <w:rPr>
          <w:rFonts w:cs="Arial"/>
          <w:b/>
          <w:szCs w:val="20"/>
        </w:rPr>
        <w:t>–</w:t>
      </w:r>
      <w:r w:rsidR="00794A48">
        <w:rPr>
          <w:rFonts w:cs="Arial"/>
          <w:b/>
          <w:szCs w:val="20"/>
        </w:rPr>
        <w:t>2</w:t>
      </w:r>
      <w:r w:rsidR="007F2810">
        <w:rPr>
          <w:rFonts w:cs="Arial"/>
          <w:b/>
          <w:szCs w:val="20"/>
        </w:rPr>
        <w:t>5</w:t>
      </w:r>
      <w:r w:rsidR="00794A48" w:rsidRPr="000F34A8">
        <w:rPr>
          <w:rFonts w:cs="Arial"/>
          <w:b/>
          <w:szCs w:val="20"/>
        </w:rPr>
        <w:t xml:space="preserve"> </w:t>
      </w:r>
    </w:p>
    <w:p w14:paraId="453BD2A1" w14:textId="77777777" w:rsidR="000F34A8" w:rsidRPr="00B94DDB" w:rsidRDefault="000F34A8" w:rsidP="00B94DDB">
      <w:pPr>
        <w:tabs>
          <w:tab w:val="left" w:pos="5415"/>
        </w:tabs>
        <w:rPr>
          <w:rFonts w:cs="Arial"/>
          <w:b/>
          <w:szCs w:val="20"/>
        </w:rPr>
      </w:pPr>
    </w:p>
    <w:tbl>
      <w:tblPr>
        <w:tblStyle w:val="TableGrid"/>
        <w:tblW w:w="4945" w:type="pct"/>
        <w:tblLook w:val="04A0" w:firstRow="1" w:lastRow="0" w:firstColumn="1" w:lastColumn="0" w:noHBand="0" w:noVBand="1"/>
      </w:tblPr>
      <w:tblGrid>
        <w:gridCol w:w="2764"/>
        <w:gridCol w:w="2117"/>
        <w:gridCol w:w="2104"/>
        <w:gridCol w:w="1977"/>
      </w:tblGrid>
      <w:tr w:rsidR="00B94DDB" w:rsidRPr="00B94DDB" w14:paraId="5C2CBD88" w14:textId="77777777" w:rsidTr="005A229D">
        <w:trPr>
          <w:trHeight w:val="475"/>
        </w:trPr>
        <w:tc>
          <w:tcPr>
            <w:tcW w:w="1542" w:type="pct"/>
            <w:shd w:val="clear" w:color="auto" w:fill="C00000"/>
          </w:tcPr>
          <w:p w14:paraId="230C55A3" w14:textId="77777777" w:rsidR="00B94DDB" w:rsidRPr="00B94DDB" w:rsidRDefault="00B94DDB" w:rsidP="005A229D">
            <w:pPr>
              <w:tabs>
                <w:tab w:val="left" w:pos="5415"/>
              </w:tabs>
              <w:spacing w:before="120" w:after="120"/>
              <w:rPr>
                <w:rFonts w:cs="Arial"/>
                <w:b/>
                <w:szCs w:val="20"/>
                <w:lang w:eastAsia="en-US"/>
              </w:rPr>
            </w:pPr>
          </w:p>
        </w:tc>
        <w:tc>
          <w:tcPr>
            <w:tcW w:w="1181" w:type="pct"/>
            <w:shd w:val="clear" w:color="auto" w:fill="C00000"/>
          </w:tcPr>
          <w:p w14:paraId="2B3E1E51" w14:textId="77777777" w:rsidR="00B94DDB" w:rsidRDefault="00B94DDB" w:rsidP="00B21A13">
            <w:pPr>
              <w:tabs>
                <w:tab w:val="left" w:pos="5415"/>
              </w:tabs>
              <w:spacing w:before="120" w:after="120"/>
              <w:jc w:val="center"/>
              <w:rPr>
                <w:rFonts w:cs="Arial"/>
                <w:b/>
                <w:szCs w:val="20"/>
                <w:lang w:eastAsia="en-US"/>
              </w:rPr>
            </w:pPr>
            <w:r w:rsidRPr="00B94DDB">
              <w:rPr>
                <w:rFonts w:cs="Arial"/>
                <w:b/>
                <w:szCs w:val="20"/>
                <w:lang w:eastAsia="en-US"/>
              </w:rPr>
              <w:t>Direct costs</w:t>
            </w:r>
          </w:p>
          <w:p w14:paraId="091DC393" w14:textId="77777777" w:rsidR="00F95259" w:rsidRPr="00B94DDB" w:rsidRDefault="00F95259" w:rsidP="00B21A13">
            <w:pPr>
              <w:tabs>
                <w:tab w:val="left" w:pos="5415"/>
              </w:tabs>
              <w:spacing w:before="120" w:after="120"/>
              <w:jc w:val="center"/>
              <w:rPr>
                <w:rFonts w:cs="Arial"/>
                <w:b/>
                <w:szCs w:val="20"/>
                <w:lang w:eastAsia="en-US"/>
              </w:rPr>
            </w:pPr>
            <w:r>
              <w:rPr>
                <w:rFonts w:cs="Arial"/>
                <w:b/>
                <w:szCs w:val="20"/>
                <w:lang w:eastAsia="en-US"/>
              </w:rPr>
              <w:t>$’000s</w:t>
            </w:r>
          </w:p>
        </w:tc>
        <w:tc>
          <w:tcPr>
            <w:tcW w:w="1174" w:type="pct"/>
            <w:shd w:val="clear" w:color="auto" w:fill="C00000"/>
          </w:tcPr>
          <w:p w14:paraId="55E49014" w14:textId="77777777" w:rsidR="00B94DDB" w:rsidRDefault="00B94DDB" w:rsidP="00B21A13">
            <w:pPr>
              <w:tabs>
                <w:tab w:val="left" w:pos="5415"/>
              </w:tabs>
              <w:spacing w:before="120" w:after="120"/>
              <w:jc w:val="center"/>
              <w:rPr>
                <w:rFonts w:cs="Arial"/>
                <w:b/>
                <w:szCs w:val="20"/>
                <w:lang w:eastAsia="en-US"/>
              </w:rPr>
            </w:pPr>
            <w:r w:rsidRPr="00B94DDB">
              <w:rPr>
                <w:rFonts w:cs="Arial"/>
                <w:b/>
                <w:szCs w:val="20"/>
                <w:lang w:eastAsia="en-US"/>
              </w:rPr>
              <w:t>Indirect costs</w:t>
            </w:r>
            <w:r w:rsidR="000F34A8">
              <w:rPr>
                <w:rFonts w:cs="Arial"/>
                <w:b/>
                <w:szCs w:val="20"/>
                <w:lang w:eastAsia="en-US"/>
              </w:rPr>
              <w:t>^</w:t>
            </w:r>
          </w:p>
          <w:p w14:paraId="3C783984" w14:textId="77777777" w:rsidR="00F95259" w:rsidRPr="00B94DDB" w:rsidRDefault="00F95259" w:rsidP="00B21A13">
            <w:pPr>
              <w:tabs>
                <w:tab w:val="left" w:pos="5415"/>
              </w:tabs>
              <w:spacing w:before="120" w:after="120"/>
              <w:jc w:val="center"/>
              <w:rPr>
                <w:rFonts w:cs="Arial"/>
                <w:b/>
                <w:szCs w:val="20"/>
                <w:lang w:eastAsia="en-US"/>
              </w:rPr>
            </w:pPr>
            <w:r>
              <w:rPr>
                <w:rFonts w:cs="Arial"/>
                <w:b/>
                <w:szCs w:val="20"/>
                <w:lang w:eastAsia="en-US"/>
              </w:rPr>
              <w:t>$’000s</w:t>
            </w:r>
          </w:p>
        </w:tc>
        <w:tc>
          <w:tcPr>
            <w:tcW w:w="1103" w:type="pct"/>
            <w:shd w:val="clear" w:color="auto" w:fill="C00000"/>
          </w:tcPr>
          <w:p w14:paraId="6B434628" w14:textId="77777777" w:rsidR="00B94DDB" w:rsidRDefault="00B94DDB" w:rsidP="00B21A13">
            <w:pPr>
              <w:tabs>
                <w:tab w:val="left" w:pos="5415"/>
              </w:tabs>
              <w:spacing w:before="120" w:after="120"/>
              <w:jc w:val="center"/>
              <w:rPr>
                <w:rFonts w:cs="Arial"/>
                <w:b/>
                <w:szCs w:val="20"/>
                <w:lang w:eastAsia="en-US"/>
              </w:rPr>
            </w:pPr>
            <w:r w:rsidRPr="00B94DDB">
              <w:rPr>
                <w:rFonts w:cs="Arial"/>
                <w:b/>
                <w:szCs w:val="20"/>
                <w:lang w:eastAsia="en-US"/>
              </w:rPr>
              <w:t>Capital costs</w:t>
            </w:r>
          </w:p>
          <w:p w14:paraId="0EE75822" w14:textId="77777777" w:rsidR="00F95259" w:rsidRPr="00B94DDB" w:rsidRDefault="00F95259" w:rsidP="00B21A13">
            <w:pPr>
              <w:tabs>
                <w:tab w:val="left" w:pos="5415"/>
              </w:tabs>
              <w:spacing w:before="120" w:after="120"/>
              <w:jc w:val="center"/>
              <w:rPr>
                <w:rFonts w:cs="Arial"/>
                <w:b/>
                <w:szCs w:val="20"/>
                <w:lang w:eastAsia="en-US"/>
              </w:rPr>
            </w:pPr>
            <w:r>
              <w:rPr>
                <w:rFonts w:cs="Arial"/>
                <w:b/>
                <w:szCs w:val="20"/>
                <w:lang w:eastAsia="en-US"/>
              </w:rPr>
              <w:t>$’000s</w:t>
            </w:r>
          </w:p>
        </w:tc>
      </w:tr>
      <w:tr w:rsidR="004317B8" w:rsidRPr="00B94DDB" w14:paraId="3F26FC21" w14:textId="77777777" w:rsidTr="00C53A8A">
        <w:trPr>
          <w:trHeight w:val="709"/>
        </w:trPr>
        <w:tc>
          <w:tcPr>
            <w:tcW w:w="1542" w:type="pct"/>
            <w:shd w:val="clear" w:color="auto" w:fill="auto"/>
            <w:vAlign w:val="center"/>
          </w:tcPr>
          <w:p w14:paraId="3B6FF88D" w14:textId="77777777" w:rsidR="004317B8" w:rsidRPr="008E063D" w:rsidRDefault="004317B8" w:rsidP="004317B8">
            <w:pPr>
              <w:tabs>
                <w:tab w:val="left" w:pos="5415"/>
              </w:tabs>
              <w:rPr>
                <w:rFonts w:cs="Arial"/>
                <w:b/>
                <w:szCs w:val="20"/>
                <w:lang w:eastAsia="en-US"/>
              </w:rPr>
            </w:pPr>
            <w:r w:rsidRPr="008E063D">
              <w:rPr>
                <w:rFonts w:cs="Arial"/>
                <w:b/>
                <w:szCs w:val="20"/>
                <w:lang w:eastAsia="en-US"/>
              </w:rPr>
              <w:t>Pattern Approval</w:t>
            </w:r>
          </w:p>
        </w:tc>
        <w:tc>
          <w:tcPr>
            <w:tcW w:w="1181" w:type="pct"/>
            <w:shd w:val="clear" w:color="auto" w:fill="auto"/>
            <w:vAlign w:val="center"/>
          </w:tcPr>
          <w:p w14:paraId="519F1383" w14:textId="71CF3041"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$773</w:t>
            </w:r>
          </w:p>
        </w:tc>
        <w:tc>
          <w:tcPr>
            <w:tcW w:w="1174" w:type="pct"/>
            <w:shd w:val="clear" w:color="auto" w:fill="auto"/>
            <w:vAlign w:val="center"/>
          </w:tcPr>
          <w:p w14:paraId="5EBC5DB5" w14:textId="347B1085"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$880</w:t>
            </w:r>
          </w:p>
        </w:tc>
        <w:tc>
          <w:tcPr>
            <w:tcW w:w="1103" w:type="pct"/>
            <w:shd w:val="clear" w:color="auto" w:fill="auto"/>
            <w:vAlign w:val="center"/>
          </w:tcPr>
          <w:p w14:paraId="7B63CFC7" w14:textId="70358F29"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$0</w:t>
            </w:r>
          </w:p>
        </w:tc>
      </w:tr>
      <w:tr w:rsidR="004317B8" w:rsidRPr="00B94DDB" w14:paraId="2B2D32E2" w14:textId="77777777" w:rsidTr="00C53A8A">
        <w:trPr>
          <w:trHeight w:val="691"/>
        </w:trPr>
        <w:tc>
          <w:tcPr>
            <w:tcW w:w="1542" w:type="pct"/>
            <w:shd w:val="clear" w:color="auto" w:fill="auto"/>
            <w:vAlign w:val="center"/>
          </w:tcPr>
          <w:p w14:paraId="55A35B20" w14:textId="77777777" w:rsidR="004317B8" w:rsidRPr="008E063D" w:rsidRDefault="004317B8" w:rsidP="004317B8">
            <w:pPr>
              <w:tabs>
                <w:tab w:val="left" w:pos="5415"/>
              </w:tabs>
              <w:rPr>
                <w:rFonts w:cs="Arial"/>
                <w:b/>
                <w:szCs w:val="20"/>
                <w:lang w:eastAsia="en-US"/>
              </w:rPr>
            </w:pPr>
            <w:r w:rsidRPr="008E063D">
              <w:rPr>
                <w:rFonts w:cs="Arial"/>
                <w:b/>
                <w:szCs w:val="20"/>
                <w:lang w:eastAsia="en-US"/>
              </w:rPr>
              <w:t>Licensing</w:t>
            </w:r>
          </w:p>
        </w:tc>
        <w:tc>
          <w:tcPr>
            <w:tcW w:w="1181" w:type="pct"/>
            <w:shd w:val="clear" w:color="auto" w:fill="auto"/>
            <w:vAlign w:val="center"/>
          </w:tcPr>
          <w:p w14:paraId="76EBABFE" w14:textId="51C217B9"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$562</w:t>
            </w:r>
          </w:p>
        </w:tc>
        <w:tc>
          <w:tcPr>
            <w:tcW w:w="1174" w:type="pct"/>
            <w:shd w:val="clear" w:color="auto" w:fill="auto"/>
            <w:vAlign w:val="center"/>
          </w:tcPr>
          <w:p w14:paraId="4A323984" w14:textId="1E14E98E"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$232</w:t>
            </w:r>
          </w:p>
        </w:tc>
        <w:tc>
          <w:tcPr>
            <w:tcW w:w="1103" w:type="pct"/>
            <w:shd w:val="clear" w:color="auto" w:fill="auto"/>
            <w:vAlign w:val="center"/>
          </w:tcPr>
          <w:p w14:paraId="03D55BBE" w14:textId="23509BCB"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$0</w:t>
            </w:r>
          </w:p>
        </w:tc>
      </w:tr>
      <w:tr w:rsidR="004317B8" w:rsidRPr="00B94DDB" w14:paraId="7B11C456" w14:textId="77777777" w:rsidTr="00C53A8A">
        <w:trPr>
          <w:trHeight w:val="559"/>
        </w:trPr>
        <w:tc>
          <w:tcPr>
            <w:tcW w:w="1542" w:type="pct"/>
            <w:tcBorders>
              <w:bottom w:val="single" w:sz="4" w:space="0" w:color="auto"/>
            </w:tcBorders>
            <w:shd w:val="clear" w:color="auto" w:fill="auto"/>
            <w:vAlign w:val="center"/>
          </w:tcPr>
          <w:p w14:paraId="0005DE0C" w14:textId="77777777" w:rsidR="004317B8" w:rsidRPr="008E063D" w:rsidRDefault="004317B8" w:rsidP="004317B8">
            <w:pPr>
              <w:tabs>
                <w:tab w:val="left" w:pos="5415"/>
              </w:tabs>
              <w:rPr>
                <w:rFonts w:cs="Arial"/>
                <w:b/>
                <w:szCs w:val="20"/>
                <w:lang w:eastAsia="en-US"/>
              </w:rPr>
            </w:pPr>
            <w:r w:rsidRPr="008E063D">
              <w:rPr>
                <w:rFonts w:cs="Arial"/>
                <w:b/>
                <w:szCs w:val="20"/>
                <w:lang w:eastAsia="en-US"/>
              </w:rPr>
              <w:t>Appointments</w:t>
            </w:r>
          </w:p>
        </w:tc>
        <w:tc>
          <w:tcPr>
            <w:tcW w:w="1181" w:type="pct"/>
            <w:tcBorders>
              <w:bottom w:val="single" w:sz="4" w:space="0" w:color="auto"/>
            </w:tcBorders>
            <w:shd w:val="clear" w:color="auto" w:fill="auto"/>
            <w:vAlign w:val="center"/>
          </w:tcPr>
          <w:p w14:paraId="7C2432F2" w14:textId="66757EDB"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$62</w:t>
            </w:r>
          </w:p>
        </w:tc>
        <w:tc>
          <w:tcPr>
            <w:tcW w:w="1174" w:type="pct"/>
            <w:tcBorders>
              <w:bottom w:val="single" w:sz="4" w:space="0" w:color="auto"/>
            </w:tcBorders>
            <w:shd w:val="clear" w:color="auto" w:fill="auto"/>
            <w:vAlign w:val="center"/>
          </w:tcPr>
          <w:p w14:paraId="13C35DC9" w14:textId="449075AB"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$26</w:t>
            </w:r>
          </w:p>
        </w:tc>
        <w:tc>
          <w:tcPr>
            <w:tcW w:w="1103" w:type="pct"/>
            <w:tcBorders>
              <w:bottom w:val="single" w:sz="4" w:space="0" w:color="auto"/>
            </w:tcBorders>
            <w:shd w:val="clear" w:color="auto" w:fill="auto"/>
            <w:vAlign w:val="center"/>
          </w:tcPr>
          <w:p w14:paraId="48F1B0A0" w14:textId="74FF005A" w:rsidR="004317B8" w:rsidRPr="000656AD" w:rsidRDefault="004317B8" w:rsidP="004317B8">
            <w:pPr>
              <w:tabs>
                <w:tab w:val="left" w:pos="5415"/>
              </w:tabs>
              <w:jc w:val="center"/>
              <w:rPr>
                <w:rFonts w:cs="Arial"/>
                <w:szCs w:val="20"/>
                <w:highlight w:val="yellow"/>
                <w:lang w:eastAsia="en-US"/>
              </w:rPr>
            </w:pPr>
            <w:r w:rsidRPr="000656AD">
              <w:rPr>
                <w:rFonts w:cs="Arial"/>
                <w:color w:val="000000"/>
                <w:szCs w:val="20"/>
              </w:rPr>
              <w:t>$0</w:t>
            </w:r>
          </w:p>
        </w:tc>
      </w:tr>
      <w:tr w:rsidR="004317B8" w:rsidRPr="00C53A8A" w14:paraId="1D2BCD4D" w14:textId="77777777" w:rsidTr="00C53A8A">
        <w:trPr>
          <w:trHeight w:val="553"/>
        </w:trPr>
        <w:tc>
          <w:tcPr>
            <w:tcW w:w="1542" w:type="pct"/>
            <w:tcBorders>
              <w:top w:val="single" w:sz="4" w:space="0" w:color="auto"/>
              <w:bottom w:val="single" w:sz="4" w:space="0" w:color="auto"/>
              <w:right w:val="single" w:sz="4" w:space="0" w:color="auto"/>
            </w:tcBorders>
            <w:shd w:val="clear" w:color="auto" w:fill="auto"/>
            <w:vAlign w:val="center"/>
          </w:tcPr>
          <w:p w14:paraId="73A60BC1" w14:textId="77777777" w:rsidR="004317B8" w:rsidRPr="00C53A8A" w:rsidRDefault="004317B8" w:rsidP="004317B8">
            <w:pPr>
              <w:tabs>
                <w:tab w:val="left" w:pos="5415"/>
              </w:tabs>
              <w:rPr>
                <w:rFonts w:cs="Arial"/>
                <w:b/>
                <w:szCs w:val="20"/>
                <w:lang w:eastAsia="en-US"/>
              </w:rPr>
            </w:pPr>
            <w:r w:rsidRPr="00C53A8A">
              <w:rPr>
                <w:rFonts w:cs="Arial"/>
                <w:b/>
                <w:szCs w:val="20"/>
                <w:lang w:eastAsia="en-US"/>
              </w:rPr>
              <w:t>TOTAL</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41DD656" w14:textId="75BD77BA" w:rsidR="004317B8" w:rsidRPr="000656AD" w:rsidRDefault="004317B8" w:rsidP="004317B8">
            <w:pPr>
              <w:tabs>
                <w:tab w:val="left" w:pos="5415"/>
              </w:tabs>
              <w:jc w:val="center"/>
              <w:rPr>
                <w:rFonts w:cs="Arial"/>
                <w:b/>
                <w:szCs w:val="20"/>
                <w:highlight w:val="yellow"/>
                <w:lang w:eastAsia="en-US"/>
              </w:rPr>
            </w:pPr>
            <w:r w:rsidRPr="000656AD">
              <w:rPr>
                <w:rFonts w:cs="Arial"/>
                <w:color w:val="000000"/>
                <w:szCs w:val="20"/>
              </w:rPr>
              <w:t>$1,397</w:t>
            </w:r>
          </w:p>
        </w:tc>
        <w:tc>
          <w:tcPr>
            <w:tcW w:w="1174" w:type="pct"/>
            <w:tcBorders>
              <w:top w:val="single" w:sz="4" w:space="0" w:color="auto"/>
              <w:left w:val="single" w:sz="4" w:space="0" w:color="auto"/>
              <w:bottom w:val="single" w:sz="4" w:space="0" w:color="auto"/>
              <w:right w:val="single" w:sz="4" w:space="0" w:color="auto"/>
            </w:tcBorders>
            <w:shd w:val="clear" w:color="auto" w:fill="auto"/>
            <w:vAlign w:val="center"/>
          </w:tcPr>
          <w:p w14:paraId="47B47862" w14:textId="00A6FE4E" w:rsidR="004317B8" w:rsidRPr="000656AD" w:rsidRDefault="004317B8" w:rsidP="004317B8">
            <w:pPr>
              <w:tabs>
                <w:tab w:val="left" w:pos="5415"/>
              </w:tabs>
              <w:jc w:val="center"/>
              <w:rPr>
                <w:rFonts w:cs="Arial"/>
                <w:b/>
                <w:szCs w:val="20"/>
                <w:highlight w:val="yellow"/>
                <w:lang w:eastAsia="en-US"/>
              </w:rPr>
            </w:pPr>
            <w:r w:rsidRPr="000656AD">
              <w:rPr>
                <w:rFonts w:cs="Arial"/>
                <w:color w:val="000000"/>
                <w:szCs w:val="20"/>
              </w:rPr>
              <w:t>$1,139</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14:paraId="717B2AF4" w14:textId="2176A0D3" w:rsidR="004317B8" w:rsidRPr="000656AD" w:rsidRDefault="004317B8" w:rsidP="004317B8">
            <w:pPr>
              <w:tabs>
                <w:tab w:val="left" w:pos="5415"/>
              </w:tabs>
              <w:jc w:val="center"/>
              <w:rPr>
                <w:rFonts w:cs="Arial"/>
                <w:b/>
                <w:szCs w:val="20"/>
                <w:highlight w:val="yellow"/>
                <w:lang w:eastAsia="en-US"/>
              </w:rPr>
            </w:pPr>
            <w:r w:rsidRPr="000656AD">
              <w:rPr>
                <w:rFonts w:cs="Arial"/>
                <w:color w:val="000000"/>
                <w:szCs w:val="20"/>
              </w:rPr>
              <w:t>$0</w:t>
            </w:r>
          </w:p>
        </w:tc>
      </w:tr>
    </w:tbl>
    <w:p w14:paraId="166E0B45" w14:textId="77777777" w:rsidR="005A6B64" w:rsidRDefault="005A6B64">
      <w:pPr>
        <w:spacing w:after="200" w:line="276" w:lineRule="auto"/>
        <w:rPr>
          <w:rFonts w:ascii="Calibri" w:hAnsi="Calibri"/>
          <w:color w:val="000000"/>
          <w:sz w:val="22"/>
          <w:szCs w:val="22"/>
          <w:lang w:eastAsia="en-AU"/>
        </w:rPr>
      </w:pPr>
      <w:bookmarkStart w:id="33" w:name="_Toc516468788"/>
      <w:r>
        <w:rPr>
          <w:rFonts w:ascii="Calibri" w:hAnsi="Calibri"/>
          <w:color w:val="000000"/>
          <w:sz w:val="22"/>
          <w:szCs w:val="22"/>
          <w:lang w:eastAsia="en-AU"/>
        </w:rPr>
        <w:br w:type="page"/>
      </w:r>
    </w:p>
    <w:p w14:paraId="070054B5" w14:textId="15DCE521" w:rsidR="00913E35" w:rsidRPr="006C1DCD" w:rsidRDefault="00913E35" w:rsidP="00065F45">
      <w:pPr>
        <w:pStyle w:val="Heading2"/>
        <w:tabs>
          <w:tab w:val="clear" w:pos="1569"/>
          <w:tab w:val="num" w:pos="709"/>
        </w:tabs>
        <w:spacing w:line="276" w:lineRule="auto"/>
        <w:ind w:hanging="1569"/>
        <w:rPr>
          <w:rFonts w:eastAsia="MS PGothic"/>
          <w:sz w:val="24"/>
          <w:szCs w:val="24"/>
        </w:rPr>
      </w:pPr>
      <w:bookmarkStart w:id="34" w:name="_Toc150329429"/>
      <w:r w:rsidRPr="006C1DCD">
        <w:rPr>
          <w:rFonts w:eastAsia="MS PGothic"/>
          <w:sz w:val="24"/>
          <w:szCs w:val="24"/>
        </w:rPr>
        <w:lastRenderedPageBreak/>
        <w:t>Design of regulatory charges</w:t>
      </w:r>
      <w:bookmarkEnd w:id="33"/>
      <w:bookmarkEnd w:id="34"/>
    </w:p>
    <w:p w14:paraId="32BE67F1" w14:textId="77777777" w:rsidR="00BB1069" w:rsidRDefault="00A2544A" w:rsidP="00AB5D3B">
      <w:pPr>
        <w:spacing w:before="120" w:line="276" w:lineRule="auto"/>
        <w:rPr>
          <w:rFonts w:cs="Arial"/>
          <w:szCs w:val="20"/>
        </w:rPr>
      </w:pPr>
      <w:r w:rsidRPr="00A2544A">
        <w:rPr>
          <w:rFonts w:cs="Arial"/>
          <w:szCs w:val="20"/>
        </w:rPr>
        <w:t xml:space="preserve">The characteristics of a government activity determine the type of cost recovery charge used. Fees are charged when a good, service or regulation is provided directly to a specific individual or organisation. </w:t>
      </w:r>
    </w:p>
    <w:p w14:paraId="4DA64744" w14:textId="311F3F23" w:rsidR="003A3B3C" w:rsidRDefault="00A2544A" w:rsidP="00AB5D3B">
      <w:pPr>
        <w:spacing w:before="120" w:line="276" w:lineRule="auto"/>
        <w:rPr>
          <w:rFonts w:cs="Arial"/>
          <w:szCs w:val="20"/>
        </w:rPr>
      </w:pPr>
      <w:r w:rsidRPr="00A2544A">
        <w:rPr>
          <w:rFonts w:cs="Arial"/>
          <w:szCs w:val="20"/>
        </w:rPr>
        <w:t xml:space="preserve">Fees are designed to reflect as closely as possible the underlying cost </w:t>
      </w:r>
      <w:r w:rsidR="00E81034">
        <w:rPr>
          <w:rFonts w:cs="Arial"/>
          <w:szCs w:val="20"/>
        </w:rPr>
        <w:t>of</w:t>
      </w:r>
      <w:r w:rsidR="00AB2BAC">
        <w:rPr>
          <w:rFonts w:cs="Arial"/>
          <w:szCs w:val="20"/>
        </w:rPr>
        <w:t xml:space="preserve"> maintain</w:t>
      </w:r>
      <w:r w:rsidR="00E81034">
        <w:rPr>
          <w:rFonts w:cs="Arial"/>
          <w:szCs w:val="20"/>
        </w:rPr>
        <w:t>ing</w:t>
      </w:r>
      <w:r w:rsidR="00AB2BAC">
        <w:rPr>
          <w:rFonts w:cs="Arial"/>
          <w:szCs w:val="20"/>
        </w:rPr>
        <w:t xml:space="preserve"> the capability and capacity to deliver the services</w:t>
      </w:r>
      <w:r w:rsidR="00E81034">
        <w:rPr>
          <w:rFonts w:cs="Arial"/>
          <w:szCs w:val="20"/>
        </w:rPr>
        <w:t>,</w:t>
      </w:r>
      <w:r w:rsidR="00AB2BAC">
        <w:rPr>
          <w:rFonts w:cs="Arial"/>
          <w:szCs w:val="20"/>
        </w:rPr>
        <w:t xml:space="preserve"> </w:t>
      </w:r>
      <w:r>
        <w:rPr>
          <w:rFonts w:cs="Arial"/>
          <w:szCs w:val="20"/>
        </w:rPr>
        <w:t xml:space="preserve">based on previous </w:t>
      </w:r>
      <w:r w:rsidR="00BB1069">
        <w:rPr>
          <w:rFonts w:cs="Arial"/>
          <w:szCs w:val="20"/>
        </w:rPr>
        <w:t xml:space="preserve">and projected </w:t>
      </w:r>
      <w:r>
        <w:rPr>
          <w:rFonts w:cs="Arial"/>
          <w:szCs w:val="20"/>
        </w:rPr>
        <w:t>demand</w:t>
      </w:r>
      <w:r w:rsidR="00AB2BAC">
        <w:rPr>
          <w:rFonts w:cs="Arial"/>
          <w:szCs w:val="20"/>
        </w:rPr>
        <w:t>s</w:t>
      </w:r>
      <w:r w:rsidRPr="00A2544A">
        <w:rPr>
          <w:rFonts w:cs="Arial"/>
          <w:szCs w:val="20"/>
        </w:rPr>
        <w:t>.</w:t>
      </w:r>
      <w:r w:rsidR="005B1CE3">
        <w:rPr>
          <w:rFonts w:cs="Arial"/>
          <w:szCs w:val="20"/>
        </w:rPr>
        <w:t xml:space="preserve"> Fees for </w:t>
      </w:r>
      <w:r w:rsidR="00382078">
        <w:rPr>
          <w:rFonts w:cs="Arial"/>
          <w:szCs w:val="20"/>
        </w:rPr>
        <w:t>P</w:t>
      </w:r>
      <w:r w:rsidR="005B1CE3">
        <w:rPr>
          <w:rFonts w:cs="Arial"/>
          <w:szCs w:val="20"/>
        </w:rPr>
        <w:t xml:space="preserve">attern </w:t>
      </w:r>
      <w:r w:rsidR="00382078">
        <w:rPr>
          <w:rFonts w:cs="Arial"/>
          <w:szCs w:val="20"/>
        </w:rPr>
        <w:t>A</w:t>
      </w:r>
      <w:r w:rsidR="005B1CE3">
        <w:rPr>
          <w:rFonts w:cs="Arial"/>
          <w:szCs w:val="20"/>
        </w:rPr>
        <w:t>pproval include set fees and hourly fees</w:t>
      </w:r>
      <w:r w:rsidR="00276957">
        <w:rPr>
          <w:rFonts w:cs="Arial"/>
          <w:szCs w:val="20"/>
        </w:rPr>
        <w:t>, which are</w:t>
      </w:r>
      <w:r w:rsidR="005B1CE3">
        <w:rPr>
          <w:rFonts w:cs="Arial"/>
          <w:szCs w:val="20"/>
        </w:rPr>
        <w:t xml:space="preserve"> based on the services and tests required</w:t>
      </w:r>
      <w:r w:rsidR="00AF77FA">
        <w:rPr>
          <w:rFonts w:cs="Arial"/>
          <w:szCs w:val="20"/>
        </w:rPr>
        <w:t>. A</w:t>
      </w:r>
      <w:r w:rsidR="00B04EC1">
        <w:rPr>
          <w:rFonts w:cs="Arial"/>
          <w:szCs w:val="20"/>
        </w:rPr>
        <w:t>ppointments</w:t>
      </w:r>
      <w:r w:rsidR="00AF77FA">
        <w:rPr>
          <w:rFonts w:cs="Arial"/>
          <w:szCs w:val="20"/>
        </w:rPr>
        <w:t xml:space="preserve"> </w:t>
      </w:r>
      <w:r w:rsidR="00B04EC1">
        <w:rPr>
          <w:rFonts w:cs="Arial"/>
          <w:szCs w:val="20"/>
        </w:rPr>
        <w:t xml:space="preserve">are charged </w:t>
      </w:r>
      <w:r w:rsidR="00276957">
        <w:rPr>
          <w:rFonts w:cs="Arial"/>
          <w:szCs w:val="20"/>
        </w:rPr>
        <w:t xml:space="preserve">as </w:t>
      </w:r>
      <w:r w:rsidR="00AF77FA">
        <w:rPr>
          <w:rFonts w:cs="Arial"/>
          <w:szCs w:val="20"/>
        </w:rPr>
        <w:t>a flat fee</w:t>
      </w:r>
      <w:r w:rsidR="00B04EC1">
        <w:rPr>
          <w:rFonts w:cs="Arial"/>
          <w:szCs w:val="20"/>
        </w:rPr>
        <w:t xml:space="preserve"> and </w:t>
      </w:r>
      <w:r w:rsidR="00AF77FA">
        <w:rPr>
          <w:rFonts w:cs="Arial"/>
          <w:szCs w:val="20"/>
        </w:rPr>
        <w:t>l</w:t>
      </w:r>
      <w:r w:rsidR="005B1CE3">
        <w:rPr>
          <w:rFonts w:cs="Arial"/>
          <w:szCs w:val="20"/>
        </w:rPr>
        <w:t>icencing fees are tiered to reflect different levels of effort involved</w:t>
      </w:r>
      <w:r w:rsidR="008C7174">
        <w:rPr>
          <w:rFonts w:cs="Arial"/>
          <w:szCs w:val="20"/>
        </w:rPr>
        <w:t xml:space="preserve">. </w:t>
      </w:r>
    </w:p>
    <w:p w14:paraId="7F08D6D0" w14:textId="77777777" w:rsidR="00B04209" w:rsidRDefault="003A3B3C" w:rsidP="00AB5D3B">
      <w:pPr>
        <w:spacing w:before="120" w:line="276" w:lineRule="auto"/>
        <w:rPr>
          <w:color w:val="1F497D"/>
        </w:rPr>
      </w:pPr>
      <w:r>
        <w:rPr>
          <w:rFonts w:cs="Arial"/>
          <w:szCs w:val="20"/>
        </w:rPr>
        <w:t>In the case of servicing licences</w:t>
      </w:r>
      <w:r w:rsidR="00AC608F">
        <w:rPr>
          <w:rFonts w:cs="Arial"/>
          <w:szCs w:val="20"/>
        </w:rPr>
        <w:t>,</w:t>
      </w:r>
      <w:r>
        <w:rPr>
          <w:rFonts w:cs="Arial"/>
          <w:szCs w:val="20"/>
        </w:rPr>
        <w:t xml:space="preserve"> </w:t>
      </w:r>
      <w:r w:rsidRPr="003A3B3C">
        <w:rPr>
          <w:rFonts w:cs="Arial"/>
          <w:szCs w:val="20"/>
        </w:rPr>
        <w:t xml:space="preserve">the ongoing costs of supporting each licensee vary substantially depending on the licensee’s service area, complexity of instruments and the number of verifications which are difficult to estimate in advance. </w:t>
      </w:r>
      <w:proofErr w:type="gramStart"/>
      <w:r w:rsidRPr="003A3B3C">
        <w:rPr>
          <w:rFonts w:cs="Arial"/>
          <w:szCs w:val="20"/>
        </w:rPr>
        <w:t>Therefore</w:t>
      </w:r>
      <w:proofErr w:type="gramEnd"/>
      <w:r w:rsidRPr="003A3B3C">
        <w:rPr>
          <w:rFonts w:cs="Arial"/>
          <w:szCs w:val="20"/>
        </w:rPr>
        <w:t xml:space="preserve"> the tiered fees </w:t>
      </w:r>
      <w:r w:rsidR="009C76DC">
        <w:rPr>
          <w:rFonts w:cs="Arial"/>
          <w:szCs w:val="20"/>
        </w:rPr>
        <w:t xml:space="preserve">aligned to </w:t>
      </w:r>
      <w:r w:rsidRPr="003A3B3C">
        <w:rPr>
          <w:rFonts w:cs="Arial"/>
          <w:szCs w:val="20"/>
        </w:rPr>
        <w:t>sole, small, medium and large business (based on the number of verifiers) will continue to be used</w:t>
      </w:r>
      <w:r w:rsidR="00476994">
        <w:rPr>
          <w:rFonts w:cs="Arial"/>
          <w:szCs w:val="20"/>
        </w:rPr>
        <w:t xml:space="preserve"> at this time</w:t>
      </w:r>
      <w:r w:rsidRPr="003A3B3C">
        <w:rPr>
          <w:rFonts w:cs="Arial"/>
          <w:szCs w:val="20"/>
        </w:rPr>
        <w:t>.</w:t>
      </w:r>
      <w:r w:rsidR="008C7174" w:rsidRPr="008C7174">
        <w:rPr>
          <w:color w:val="1F497D"/>
        </w:rPr>
        <w:t xml:space="preserve"> </w:t>
      </w:r>
    </w:p>
    <w:p w14:paraId="1125E4F9" w14:textId="77777777" w:rsidR="003A3B3C" w:rsidRPr="00AB35AB" w:rsidRDefault="003A3B3C" w:rsidP="00B04209">
      <w:pPr>
        <w:spacing w:before="120" w:line="276" w:lineRule="auto"/>
        <w:rPr>
          <w:color w:val="000000" w:themeColor="text1"/>
        </w:rPr>
      </w:pPr>
      <w:r w:rsidRPr="00AB35AB">
        <w:rPr>
          <w:color w:val="000000" w:themeColor="text1"/>
        </w:rPr>
        <w:t>These ongoing costs include:</w:t>
      </w:r>
    </w:p>
    <w:p w14:paraId="75CDDE39" w14:textId="34B20E0C" w:rsidR="003A3B3C" w:rsidRPr="00AB35AB" w:rsidRDefault="00276957" w:rsidP="002263B4">
      <w:pPr>
        <w:pStyle w:val="ListParagraph"/>
        <w:numPr>
          <w:ilvl w:val="0"/>
          <w:numId w:val="62"/>
        </w:numPr>
        <w:spacing w:before="120" w:after="0"/>
        <w:ind w:left="714" w:hanging="357"/>
        <w:contextualSpacing w:val="0"/>
        <w:rPr>
          <w:rFonts w:ascii="Arial" w:hAnsi="Arial" w:cs="Arial"/>
          <w:color w:val="000000" w:themeColor="text1"/>
        </w:rPr>
      </w:pPr>
      <w:r>
        <w:rPr>
          <w:rFonts w:ascii="Arial" w:hAnsi="Arial" w:cs="Arial"/>
          <w:color w:val="000000" w:themeColor="text1"/>
        </w:rPr>
        <w:t>s</w:t>
      </w:r>
      <w:r w:rsidR="00AC608F" w:rsidRPr="00AB35AB">
        <w:rPr>
          <w:rFonts w:ascii="Arial" w:hAnsi="Arial" w:cs="Arial"/>
          <w:color w:val="000000" w:themeColor="text1"/>
        </w:rPr>
        <w:t>upplying</w:t>
      </w:r>
      <w:r w:rsidR="00B04209" w:rsidRPr="00AB35AB">
        <w:rPr>
          <w:rFonts w:ascii="Arial" w:hAnsi="Arial" w:cs="Arial"/>
          <w:color w:val="000000" w:themeColor="text1"/>
        </w:rPr>
        <w:t xml:space="preserve"> labels to servicing licensees to enable them to mark the instruments that they verify</w:t>
      </w:r>
      <w:r w:rsidR="00EC3867">
        <w:rPr>
          <w:rFonts w:ascii="Arial" w:hAnsi="Arial" w:cs="Arial"/>
          <w:color w:val="000000" w:themeColor="text1"/>
        </w:rPr>
        <w:t>.</w:t>
      </w:r>
      <w:r w:rsidR="00B04209" w:rsidRPr="00AB35AB">
        <w:rPr>
          <w:rFonts w:ascii="Arial" w:hAnsi="Arial" w:cs="Arial"/>
          <w:color w:val="000000" w:themeColor="text1"/>
        </w:rPr>
        <w:t xml:space="preserve"> </w:t>
      </w:r>
    </w:p>
    <w:p w14:paraId="75D332A1" w14:textId="2DD1B54E" w:rsidR="003A3B3C" w:rsidRPr="00AB35AB" w:rsidRDefault="00276957" w:rsidP="002263B4">
      <w:pPr>
        <w:pStyle w:val="ListParagraph"/>
        <w:numPr>
          <w:ilvl w:val="0"/>
          <w:numId w:val="62"/>
        </w:numPr>
        <w:spacing w:before="120" w:after="0"/>
        <w:ind w:left="714" w:hanging="357"/>
        <w:contextualSpacing w:val="0"/>
        <w:rPr>
          <w:rFonts w:ascii="Arial" w:hAnsi="Arial" w:cs="Arial"/>
          <w:color w:val="000000" w:themeColor="text1"/>
        </w:rPr>
      </w:pPr>
      <w:r>
        <w:rPr>
          <w:rFonts w:ascii="Arial" w:hAnsi="Arial" w:cs="Arial"/>
          <w:color w:val="000000" w:themeColor="text1"/>
        </w:rPr>
        <w:t>p</w:t>
      </w:r>
      <w:r w:rsidR="003A3B3C" w:rsidRPr="00AB35AB">
        <w:rPr>
          <w:rFonts w:ascii="Arial" w:hAnsi="Arial" w:cs="Arial"/>
          <w:color w:val="000000" w:themeColor="text1"/>
        </w:rPr>
        <w:t>roviding and maintaining information to assist licensees to meet their regulatory obligations</w:t>
      </w:r>
      <w:r w:rsidR="00EC3867">
        <w:rPr>
          <w:rFonts w:ascii="Arial" w:hAnsi="Arial" w:cs="Arial"/>
          <w:color w:val="000000" w:themeColor="text1"/>
        </w:rPr>
        <w:t>.</w:t>
      </w:r>
    </w:p>
    <w:p w14:paraId="424A497E" w14:textId="3565BBE1" w:rsidR="003A3B3C" w:rsidRPr="00AB35AB" w:rsidRDefault="00276957" w:rsidP="002263B4">
      <w:pPr>
        <w:pStyle w:val="ListParagraph"/>
        <w:numPr>
          <w:ilvl w:val="0"/>
          <w:numId w:val="62"/>
        </w:numPr>
        <w:spacing w:before="120" w:after="0"/>
        <w:ind w:left="714" w:hanging="357"/>
        <w:contextualSpacing w:val="0"/>
        <w:rPr>
          <w:rFonts w:ascii="Arial" w:hAnsi="Arial" w:cs="Arial"/>
          <w:color w:val="000000" w:themeColor="text1"/>
        </w:rPr>
      </w:pPr>
      <w:r>
        <w:rPr>
          <w:rFonts w:ascii="Arial" w:hAnsi="Arial" w:cs="Arial"/>
          <w:color w:val="000000" w:themeColor="text1"/>
        </w:rPr>
        <w:t>p</w:t>
      </w:r>
      <w:r w:rsidR="003A3B3C" w:rsidRPr="00AB35AB">
        <w:rPr>
          <w:rFonts w:ascii="Arial" w:hAnsi="Arial" w:cs="Arial"/>
          <w:color w:val="000000" w:themeColor="text1"/>
        </w:rPr>
        <w:t xml:space="preserve">roviding a point of contact to support licensees (licensees </w:t>
      </w:r>
      <w:r w:rsidR="00EC3867" w:rsidRPr="00AB35AB">
        <w:rPr>
          <w:rFonts w:ascii="Arial" w:hAnsi="Arial" w:cs="Arial"/>
          <w:color w:val="000000" w:themeColor="text1"/>
        </w:rPr>
        <w:t>mailbox</w:t>
      </w:r>
      <w:r w:rsidR="003A3B3C" w:rsidRPr="00AB35AB">
        <w:rPr>
          <w:rFonts w:ascii="Arial" w:hAnsi="Arial" w:cs="Arial"/>
          <w:color w:val="000000" w:themeColor="text1"/>
        </w:rPr>
        <w:t xml:space="preserve"> and hotline) and responding to enquiries relating to licensing conditions, verification procedures and requirements</w:t>
      </w:r>
      <w:r w:rsidR="00EC3867">
        <w:rPr>
          <w:rFonts w:ascii="Arial" w:hAnsi="Arial" w:cs="Arial"/>
          <w:color w:val="000000" w:themeColor="text1"/>
        </w:rPr>
        <w:t>.</w:t>
      </w:r>
    </w:p>
    <w:p w14:paraId="36F23C1E" w14:textId="6F31E9F9" w:rsidR="003A3B3C" w:rsidRPr="00AB35AB" w:rsidRDefault="00276957" w:rsidP="002263B4">
      <w:pPr>
        <w:pStyle w:val="ListParagraph"/>
        <w:numPr>
          <w:ilvl w:val="0"/>
          <w:numId w:val="62"/>
        </w:numPr>
        <w:spacing w:before="120" w:after="0"/>
        <w:ind w:left="714" w:hanging="357"/>
        <w:contextualSpacing w:val="0"/>
        <w:rPr>
          <w:rFonts w:ascii="Arial" w:hAnsi="Arial" w:cs="Arial"/>
          <w:color w:val="000000" w:themeColor="text1"/>
        </w:rPr>
      </w:pPr>
      <w:r>
        <w:rPr>
          <w:rFonts w:ascii="Arial" w:hAnsi="Arial" w:cs="Arial"/>
          <w:color w:val="000000" w:themeColor="text1"/>
        </w:rPr>
        <w:t>m</w:t>
      </w:r>
      <w:r w:rsidR="003A3B3C" w:rsidRPr="00AB35AB">
        <w:rPr>
          <w:rFonts w:ascii="Arial" w:hAnsi="Arial" w:cs="Arial"/>
          <w:color w:val="000000" w:themeColor="text1"/>
        </w:rPr>
        <w:t>anaging and processing verification notification forms (Form 6 and Form 6A), test reports and information submitted by the licensees as required by legislation and licence conditions</w:t>
      </w:r>
      <w:r w:rsidR="00EC3867">
        <w:rPr>
          <w:rFonts w:ascii="Arial" w:hAnsi="Arial" w:cs="Arial"/>
          <w:color w:val="000000" w:themeColor="text1"/>
        </w:rPr>
        <w:t>.</w:t>
      </w:r>
    </w:p>
    <w:p w14:paraId="05F92078" w14:textId="77777777" w:rsidR="00704E85" w:rsidRDefault="00704E85" w:rsidP="00704E85">
      <w:pPr>
        <w:spacing w:before="120" w:line="276" w:lineRule="auto"/>
        <w:rPr>
          <w:rFonts w:cs="Arial"/>
          <w:szCs w:val="20"/>
          <w:lang w:val="en-US"/>
        </w:rPr>
      </w:pPr>
      <w:r>
        <w:rPr>
          <w:rFonts w:cs="Arial"/>
          <w:szCs w:val="20"/>
          <w:lang w:val="en-US"/>
        </w:rPr>
        <w:t>The Australian Government’s Charging Policy is that individuals or groups that create the need for an activity should pay for that activity, unless the Government decides otherwise. There needs to be a significant policy case for a charge to not reflect the full cost of an activity.</w:t>
      </w:r>
    </w:p>
    <w:p w14:paraId="415F5FB4" w14:textId="5E8DCB66" w:rsidR="00704E85" w:rsidRDefault="00704E85" w:rsidP="00704E85">
      <w:pPr>
        <w:spacing w:before="120" w:line="276" w:lineRule="auto"/>
        <w:rPr>
          <w:rFonts w:cs="Arial"/>
          <w:szCs w:val="20"/>
          <w:lang w:val="en-US"/>
        </w:rPr>
      </w:pPr>
      <w:r>
        <w:rPr>
          <w:rFonts w:cs="Arial"/>
          <w:szCs w:val="20"/>
          <w:lang w:val="en-US"/>
        </w:rPr>
        <w:t>In this context</w:t>
      </w:r>
      <w:r w:rsidR="00AC608F">
        <w:rPr>
          <w:rFonts w:cs="Arial"/>
          <w:szCs w:val="20"/>
          <w:lang w:val="en-US"/>
        </w:rPr>
        <w:t>,</w:t>
      </w:r>
      <w:r>
        <w:rPr>
          <w:rFonts w:cs="Arial"/>
          <w:szCs w:val="20"/>
          <w:lang w:val="en-US"/>
        </w:rPr>
        <w:t xml:space="preserve"> a</w:t>
      </w:r>
      <w:r w:rsidRPr="00744006">
        <w:rPr>
          <w:rFonts w:cs="Arial"/>
          <w:szCs w:val="20"/>
          <w:lang w:val="en-US"/>
        </w:rPr>
        <w:t xml:space="preserve"> key </w:t>
      </w:r>
      <w:r>
        <w:rPr>
          <w:rFonts w:cs="Arial"/>
          <w:szCs w:val="20"/>
          <w:lang w:val="en-US"/>
        </w:rPr>
        <w:t>consideration</w:t>
      </w:r>
      <w:r w:rsidRPr="00744006">
        <w:rPr>
          <w:rFonts w:cs="Arial"/>
          <w:szCs w:val="20"/>
          <w:lang w:val="en-US"/>
        </w:rPr>
        <w:t xml:space="preserve"> when charging for </w:t>
      </w:r>
      <w:r>
        <w:rPr>
          <w:rFonts w:cs="Arial"/>
          <w:szCs w:val="20"/>
          <w:lang w:val="en-US"/>
        </w:rPr>
        <w:t xml:space="preserve">NMI’s </w:t>
      </w:r>
      <w:r w:rsidRPr="00744006">
        <w:rPr>
          <w:rFonts w:cs="Arial"/>
          <w:szCs w:val="20"/>
          <w:lang w:val="en-US"/>
        </w:rPr>
        <w:t>regulatory activit</w:t>
      </w:r>
      <w:r>
        <w:rPr>
          <w:rFonts w:cs="Arial"/>
          <w:szCs w:val="20"/>
          <w:lang w:val="en-US"/>
        </w:rPr>
        <w:t>ies</w:t>
      </w:r>
      <w:r w:rsidRPr="00744006">
        <w:rPr>
          <w:rFonts w:cs="Arial"/>
          <w:szCs w:val="20"/>
          <w:lang w:val="en-US"/>
        </w:rPr>
        <w:t xml:space="preserve"> is </w:t>
      </w:r>
      <w:r>
        <w:rPr>
          <w:rFonts w:cs="Arial"/>
          <w:szCs w:val="20"/>
          <w:lang w:val="en-US"/>
        </w:rPr>
        <w:t xml:space="preserve">the impact on </w:t>
      </w:r>
      <w:r w:rsidRPr="00744006">
        <w:rPr>
          <w:rFonts w:cs="Arial"/>
          <w:szCs w:val="20"/>
          <w:lang w:val="en-US"/>
        </w:rPr>
        <w:t xml:space="preserve">volume of </w:t>
      </w:r>
      <w:r w:rsidR="002F5613">
        <w:rPr>
          <w:rFonts w:cs="Arial"/>
          <w:szCs w:val="20"/>
          <w:lang w:val="en-US"/>
        </w:rPr>
        <w:t xml:space="preserve">demand associated </w:t>
      </w:r>
      <w:r>
        <w:rPr>
          <w:rFonts w:cs="Arial"/>
          <w:szCs w:val="20"/>
          <w:lang w:val="en-US"/>
        </w:rPr>
        <w:t>each activity.</w:t>
      </w:r>
    </w:p>
    <w:p w14:paraId="02E75A81" w14:textId="77777777" w:rsidR="00704E85" w:rsidRPr="00744006" w:rsidRDefault="00704E85" w:rsidP="00704E85">
      <w:pPr>
        <w:spacing w:before="120" w:line="276" w:lineRule="auto"/>
        <w:rPr>
          <w:rFonts w:cs="Arial"/>
          <w:szCs w:val="20"/>
          <w:lang w:val="en-US"/>
        </w:rPr>
      </w:pPr>
      <w:r w:rsidRPr="00744006">
        <w:rPr>
          <w:rFonts w:cs="Arial"/>
          <w:szCs w:val="20"/>
          <w:lang w:val="en-US"/>
        </w:rPr>
        <w:t>This includes:</w:t>
      </w:r>
    </w:p>
    <w:p w14:paraId="0087BFBD" w14:textId="35B0C734" w:rsidR="00704E85" w:rsidRPr="00043131" w:rsidRDefault="00276957" w:rsidP="00704E85">
      <w:pPr>
        <w:pStyle w:val="ListParagraph"/>
        <w:numPr>
          <w:ilvl w:val="0"/>
          <w:numId w:val="9"/>
        </w:numPr>
        <w:spacing w:before="120" w:after="0"/>
        <w:ind w:left="714" w:hanging="357"/>
        <w:contextualSpacing w:val="0"/>
        <w:rPr>
          <w:rFonts w:ascii="Arial" w:hAnsi="Arial" w:cs="Arial"/>
          <w:szCs w:val="20"/>
          <w:lang w:val="en-US"/>
        </w:rPr>
      </w:pPr>
      <w:r>
        <w:rPr>
          <w:rFonts w:ascii="Arial" w:hAnsi="Arial" w:cs="Arial"/>
          <w:szCs w:val="20"/>
          <w:lang w:val="en-US"/>
        </w:rPr>
        <w:t>m</w:t>
      </w:r>
      <w:r w:rsidR="00704E85" w:rsidRPr="00043131">
        <w:rPr>
          <w:rFonts w:ascii="Arial" w:hAnsi="Arial" w:cs="Arial"/>
          <w:szCs w:val="20"/>
          <w:lang w:val="en-US"/>
        </w:rPr>
        <w:t xml:space="preserve">easuring instrument manufacturers withdrawing from developing and manufacturing new technologies in Australia and no longer requiring </w:t>
      </w:r>
      <w:r w:rsidR="00B42981">
        <w:rPr>
          <w:rFonts w:ascii="Arial" w:hAnsi="Arial" w:cs="Arial"/>
          <w:szCs w:val="20"/>
          <w:lang w:val="en-US"/>
        </w:rPr>
        <w:t>P</w:t>
      </w:r>
      <w:r w:rsidR="00B42981" w:rsidRPr="00043131">
        <w:rPr>
          <w:rFonts w:ascii="Arial" w:hAnsi="Arial" w:cs="Arial"/>
          <w:szCs w:val="20"/>
          <w:lang w:val="en-US"/>
        </w:rPr>
        <w:t xml:space="preserve">attern </w:t>
      </w:r>
      <w:r w:rsidR="00B42981">
        <w:rPr>
          <w:rFonts w:ascii="Arial" w:hAnsi="Arial" w:cs="Arial"/>
          <w:szCs w:val="20"/>
          <w:lang w:val="en-US"/>
        </w:rPr>
        <w:t>A</w:t>
      </w:r>
      <w:r w:rsidR="00B42981" w:rsidRPr="00043131">
        <w:rPr>
          <w:rFonts w:ascii="Arial" w:hAnsi="Arial" w:cs="Arial"/>
          <w:szCs w:val="20"/>
          <w:lang w:val="en-US"/>
        </w:rPr>
        <w:t xml:space="preserve">pproval </w:t>
      </w:r>
      <w:r w:rsidR="00704E85" w:rsidRPr="00043131">
        <w:rPr>
          <w:rFonts w:ascii="Arial" w:hAnsi="Arial" w:cs="Arial"/>
          <w:szCs w:val="20"/>
          <w:lang w:val="en-US"/>
        </w:rPr>
        <w:t>testing</w:t>
      </w:r>
    </w:p>
    <w:p w14:paraId="72D363F7" w14:textId="77777777" w:rsidR="00704E85" w:rsidRDefault="00704E85" w:rsidP="00704E85">
      <w:pPr>
        <w:pStyle w:val="ListParagraph"/>
        <w:numPr>
          <w:ilvl w:val="0"/>
          <w:numId w:val="9"/>
        </w:numPr>
        <w:spacing w:before="120" w:after="0"/>
        <w:ind w:left="714" w:hanging="357"/>
        <w:contextualSpacing w:val="0"/>
        <w:rPr>
          <w:rFonts w:ascii="Arial" w:hAnsi="Arial" w:cs="Arial"/>
          <w:szCs w:val="20"/>
          <w:lang w:val="en-US"/>
        </w:rPr>
      </w:pPr>
      <w:r w:rsidRPr="00043131">
        <w:rPr>
          <w:rFonts w:ascii="Arial" w:hAnsi="Arial" w:cs="Arial"/>
          <w:szCs w:val="20"/>
          <w:lang w:val="en-US"/>
        </w:rPr>
        <w:t xml:space="preserve">Licensees </w:t>
      </w:r>
      <w:r>
        <w:rPr>
          <w:rFonts w:ascii="Arial" w:hAnsi="Arial" w:cs="Arial"/>
          <w:szCs w:val="20"/>
          <w:lang w:val="en-US"/>
        </w:rPr>
        <w:t xml:space="preserve">and Authorities </w:t>
      </w:r>
      <w:r w:rsidR="002F5613">
        <w:rPr>
          <w:rFonts w:ascii="Arial" w:hAnsi="Arial" w:cs="Arial"/>
          <w:szCs w:val="20"/>
          <w:lang w:val="en-US"/>
        </w:rPr>
        <w:t xml:space="preserve">withdrawing </w:t>
      </w:r>
      <w:r w:rsidR="003E4F32">
        <w:rPr>
          <w:rFonts w:ascii="Arial" w:hAnsi="Arial" w:cs="Arial"/>
          <w:szCs w:val="20"/>
          <w:lang w:val="en-US"/>
        </w:rPr>
        <w:t xml:space="preserve">from </w:t>
      </w:r>
      <w:r w:rsidR="003E4F32" w:rsidRPr="00043131">
        <w:rPr>
          <w:rFonts w:ascii="Arial" w:hAnsi="Arial" w:cs="Arial"/>
          <w:szCs w:val="20"/>
          <w:lang w:val="en-US"/>
        </w:rPr>
        <w:t>participating</w:t>
      </w:r>
      <w:r w:rsidR="002F5613" w:rsidRPr="00043131">
        <w:rPr>
          <w:rFonts w:ascii="Arial" w:hAnsi="Arial" w:cs="Arial"/>
          <w:szCs w:val="20"/>
          <w:lang w:val="en-US"/>
        </w:rPr>
        <w:t xml:space="preserve"> </w:t>
      </w:r>
      <w:r w:rsidRPr="00043131">
        <w:rPr>
          <w:rFonts w:ascii="Arial" w:hAnsi="Arial" w:cs="Arial"/>
          <w:szCs w:val="20"/>
          <w:lang w:val="en-US"/>
        </w:rPr>
        <w:t xml:space="preserve">in the </w:t>
      </w:r>
      <w:r w:rsidR="00030753">
        <w:rPr>
          <w:rFonts w:ascii="Arial" w:hAnsi="Arial" w:cs="Arial"/>
          <w:szCs w:val="20"/>
          <w:lang w:val="en-US"/>
        </w:rPr>
        <w:t xml:space="preserve">national </w:t>
      </w:r>
      <w:r w:rsidRPr="00043131">
        <w:rPr>
          <w:rFonts w:ascii="Arial" w:hAnsi="Arial" w:cs="Arial"/>
          <w:szCs w:val="20"/>
          <w:lang w:val="en-US"/>
        </w:rPr>
        <w:t>measurement framework.</w:t>
      </w:r>
      <w:r>
        <w:rPr>
          <w:rFonts w:ascii="Arial" w:hAnsi="Arial" w:cs="Arial"/>
          <w:szCs w:val="20"/>
          <w:lang w:val="en-US"/>
        </w:rPr>
        <w:t xml:space="preserve"> </w:t>
      </w:r>
    </w:p>
    <w:p w14:paraId="7D05A4CC" w14:textId="77777777" w:rsidR="00AB2BAC" w:rsidRDefault="0046123B" w:rsidP="00940E5A">
      <w:pPr>
        <w:keepNext/>
        <w:spacing w:before="120" w:line="276" w:lineRule="auto"/>
        <w:rPr>
          <w:rFonts w:cs="Arial"/>
          <w:iCs/>
          <w:szCs w:val="20"/>
        </w:rPr>
      </w:pPr>
      <w:bookmarkStart w:id="35" w:name="_Hlk150329768"/>
      <w:bookmarkStart w:id="36" w:name="calculationofcosts"/>
      <w:r>
        <w:rPr>
          <w:rFonts w:cs="Arial"/>
          <w:iCs/>
          <w:szCs w:val="20"/>
        </w:rPr>
        <w:t xml:space="preserve">The </w:t>
      </w:r>
      <w:r w:rsidR="00AB2BAC">
        <w:rPr>
          <w:rFonts w:cs="Arial"/>
          <w:iCs/>
          <w:szCs w:val="20"/>
        </w:rPr>
        <w:t xml:space="preserve">projected demand for </w:t>
      </w:r>
      <w:r>
        <w:rPr>
          <w:rFonts w:cs="Arial"/>
          <w:iCs/>
          <w:szCs w:val="20"/>
        </w:rPr>
        <w:t xml:space="preserve">these </w:t>
      </w:r>
      <w:r w:rsidR="00AB2BAC">
        <w:rPr>
          <w:rFonts w:cs="Arial"/>
          <w:iCs/>
          <w:szCs w:val="20"/>
        </w:rPr>
        <w:t xml:space="preserve">regulatory </w:t>
      </w:r>
      <w:r>
        <w:rPr>
          <w:rFonts w:cs="Arial"/>
          <w:iCs/>
          <w:szCs w:val="20"/>
        </w:rPr>
        <w:t xml:space="preserve">activities is assumed to </w:t>
      </w:r>
      <w:r w:rsidR="00AB2BAC">
        <w:rPr>
          <w:rFonts w:cs="Arial"/>
          <w:iCs/>
          <w:szCs w:val="20"/>
        </w:rPr>
        <w:t>be:</w:t>
      </w:r>
    </w:p>
    <w:p w14:paraId="5C9022CA" w14:textId="1F80BB2C" w:rsidR="00AB2BAC" w:rsidRPr="00545C3E" w:rsidRDefault="00073F11" w:rsidP="00DE02AA">
      <w:pPr>
        <w:pStyle w:val="ListParagraph"/>
        <w:numPr>
          <w:ilvl w:val="0"/>
          <w:numId w:val="26"/>
        </w:numPr>
        <w:spacing w:before="120" w:after="0"/>
        <w:ind w:left="777" w:hanging="357"/>
        <w:contextualSpacing w:val="0"/>
        <w:rPr>
          <w:rFonts w:ascii="Arial" w:hAnsi="Arial" w:cs="Arial"/>
          <w:iCs/>
          <w:szCs w:val="20"/>
        </w:rPr>
      </w:pPr>
      <w:r w:rsidRPr="00545C3E">
        <w:rPr>
          <w:rFonts w:ascii="Arial" w:hAnsi="Arial" w:cs="Arial"/>
          <w:iCs/>
          <w:szCs w:val="20"/>
        </w:rPr>
        <w:t xml:space="preserve">125 </w:t>
      </w:r>
      <w:r w:rsidR="00382078" w:rsidRPr="00545C3E">
        <w:rPr>
          <w:rFonts w:ascii="Arial" w:hAnsi="Arial" w:cs="Arial"/>
          <w:iCs/>
          <w:szCs w:val="20"/>
        </w:rPr>
        <w:t>PA</w:t>
      </w:r>
      <w:r w:rsidR="00AB2BAC" w:rsidRPr="00545C3E">
        <w:rPr>
          <w:rFonts w:ascii="Arial" w:hAnsi="Arial" w:cs="Arial"/>
          <w:iCs/>
          <w:szCs w:val="20"/>
        </w:rPr>
        <w:t xml:space="preserve"> certificates</w:t>
      </w:r>
      <w:r w:rsidR="0046123B" w:rsidRPr="00545C3E">
        <w:rPr>
          <w:rFonts w:ascii="Arial" w:hAnsi="Arial" w:cs="Arial"/>
          <w:iCs/>
          <w:szCs w:val="20"/>
        </w:rPr>
        <w:t xml:space="preserve"> issued</w:t>
      </w:r>
      <w:r w:rsidR="002B22C9">
        <w:rPr>
          <w:rFonts w:ascii="Arial" w:hAnsi="Arial" w:cs="Arial"/>
          <w:iCs/>
          <w:szCs w:val="20"/>
        </w:rPr>
        <w:t>.</w:t>
      </w:r>
    </w:p>
    <w:p w14:paraId="209382D1" w14:textId="289945ED" w:rsidR="00986B76" w:rsidRPr="00545C3E" w:rsidRDefault="00073F11" w:rsidP="00DE02AA">
      <w:pPr>
        <w:pStyle w:val="ListParagraph"/>
        <w:numPr>
          <w:ilvl w:val="0"/>
          <w:numId w:val="26"/>
        </w:numPr>
        <w:spacing w:before="120" w:after="0"/>
        <w:ind w:left="777" w:hanging="357"/>
        <w:contextualSpacing w:val="0"/>
        <w:rPr>
          <w:rFonts w:ascii="Arial" w:hAnsi="Arial" w:cs="Arial"/>
          <w:iCs/>
          <w:szCs w:val="20"/>
        </w:rPr>
      </w:pPr>
      <w:r w:rsidRPr="00545C3E">
        <w:rPr>
          <w:rFonts w:ascii="Arial" w:hAnsi="Arial" w:cs="Arial"/>
          <w:iCs/>
          <w:szCs w:val="20"/>
        </w:rPr>
        <w:t xml:space="preserve">40 </w:t>
      </w:r>
      <w:r w:rsidR="00986B76" w:rsidRPr="00545C3E">
        <w:rPr>
          <w:rFonts w:ascii="Arial" w:hAnsi="Arial" w:cs="Arial"/>
          <w:iCs/>
          <w:szCs w:val="20"/>
        </w:rPr>
        <w:t>PA testing modules</w:t>
      </w:r>
      <w:r w:rsidR="002B22C9">
        <w:rPr>
          <w:rFonts w:ascii="Arial" w:hAnsi="Arial" w:cs="Arial"/>
          <w:iCs/>
          <w:szCs w:val="20"/>
        </w:rPr>
        <w:t>.</w:t>
      </w:r>
    </w:p>
    <w:p w14:paraId="560E40D3" w14:textId="1B1C5EC1" w:rsidR="00986B76" w:rsidRPr="00545C3E" w:rsidRDefault="00073F11" w:rsidP="00DE02AA">
      <w:pPr>
        <w:pStyle w:val="ListParagraph"/>
        <w:numPr>
          <w:ilvl w:val="0"/>
          <w:numId w:val="26"/>
        </w:numPr>
        <w:spacing w:before="120" w:after="0"/>
        <w:ind w:left="777" w:hanging="357"/>
        <w:contextualSpacing w:val="0"/>
        <w:rPr>
          <w:rFonts w:ascii="Arial" w:hAnsi="Arial" w:cs="Arial"/>
          <w:iCs/>
          <w:szCs w:val="20"/>
        </w:rPr>
      </w:pPr>
      <w:r w:rsidRPr="00545C3E">
        <w:rPr>
          <w:rFonts w:ascii="Arial" w:hAnsi="Arial" w:cs="Arial"/>
          <w:iCs/>
          <w:szCs w:val="20"/>
        </w:rPr>
        <w:t>3</w:t>
      </w:r>
      <w:r w:rsidR="00545C3E" w:rsidRPr="00545C3E">
        <w:rPr>
          <w:rFonts w:ascii="Arial" w:hAnsi="Arial" w:cs="Arial"/>
          <w:iCs/>
          <w:szCs w:val="20"/>
        </w:rPr>
        <w:t>10</w:t>
      </w:r>
      <w:r w:rsidRPr="00545C3E">
        <w:rPr>
          <w:rFonts w:ascii="Arial" w:hAnsi="Arial" w:cs="Arial"/>
          <w:iCs/>
          <w:szCs w:val="20"/>
        </w:rPr>
        <w:t xml:space="preserve"> </w:t>
      </w:r>
      <w:r w:rsidR="00986B76" w:rsidRPr="00545C3E">
        <w:rPr>
          <w:rFonts w:ascii="Arial" w:hAnsi="Arial" w:cs="Arial"/>
          <w:iCs/>
          <w:szCs w:val="20"/>
        </w:rPr>
        <w:t>organisations licensed to verify trade measuring instruments</w:t>
      </w:r>
      <w:r w:rsidR="002B22C9">
        <w:rPr>
          <w:rFonts w:ascii="Arial" w:hAnsi="Arial" w:cs="Arial"/>
          <w:iCs/>
          <w:szCs w:val="20"/>
        </w:rPr>
        <w:t>.</w:t>
      </w:r>
      <w:r w:rsidR="00986B76" w:rsidRPr="00545C3E">
        <w:rPr>
          <w:rFonts w:ascii="Arial" w:hAnsi="Arial" w:cs="Arial"/>
          <w:iCs/>
          <w:szCs w:val="20"/>
        </w:rPr>
        <w:t xml:space="preserve"> </w:t>
      </w:r>
    </w:p>
    <w:p w14:paraId="7BD9C1A1" w14:textId="2A6BDACC" w:rsidR="00986B76" w:rsidRPr="00545C3E" w:rsidRDefault="00073F11" w:rsidP="00DE02AA">
      <w:pPr>
        <w:pStyle w:val="ListParagraph"/>
        <w:numPr>
          <w:ilvl w:val="0"/>
          <w:numId w:val="26"/>
        </w:numPr>
        <w:spacing w:before="120" w:after="0"/>
        <w:ind w:left="777" w:hanging="357"/>
        <w:contextualSpacing w:val="0"/>
        <w:rPr>
          <w:rFonts w:ascii="Arial" w:hAnsi="Arial" w:cs="Arial"/>
          <w:iCs/>
          <w:szCs w:val="20"/>
        </w:rPr>
      </w:pPr>
      <w:r w:rsidRPr="00545C3E">
        <w:rPr>
          <w:rFonts w:ascii="Arial" w:hAnsi="Arial" w:cs="Arial"/>
          <w:iCs/>
          <w:szCs w:val="20"/>
        </w:rPr>
        <w:t>2</w:t>
      </w:r>
      <w:r w:rsidR="00545C3E" w:rsidRPr="00545C3E">
        <w:rPr>
          <w:rFonts w:ascii="Arial" w:hAnsi="Arial" w:cs="Arial"/>
          <w:iCs/>
          <w:szCs w:val="20"/>
        </w:rPr>
        <w:t>15</w:t>
      </w:r>
      <w:r w:rsidRPr="00545C3E">
        <w:rPr>
          <w:rFonts w:ascii="Arial" w:hAnsi="Arial" w:cs="Arial"/>
          <w:iCs/>
          <w:szCs w:val="20"/>
        </w:rPr>
        <w:t xml:space="preserve"> </w:t>
      </w:r>
      <w:r w:rsidR="00986B76" w:rsidRPr="00545C3E">
        <w:rPr>
          <w:rFonts w:ascii="Arial" w:hAnsi="Arial" w:cs="Arial"/>
          <w:iCs/>
          <w:szCs w:val="20"/>
        </w:rPr>
        <w:t>organisations licensed to operate public weighbridges</w:t>
      </w:r>
      <w:r w:rsidR="002B22C9">
        <w:rPr>
          <w:rFonts w:ascii="Arial" w:hAnsi="Arial" w:cs="Arial"/>
          <w:iCs/>
          <w:szCs w:val="20"/>
        </w:rPr>
        <w:t>.</w:t>
      </w:r>
      <w:r w:rsidR="00986B76" w:rsidRPr="00545C3E">
        <w:rPr>
          <w:rFonts w:ascii="Arial" w:hAnsi="Arial" w:cs="Arial"/>
          <w:iCs/>
          <w:szCs w:val="20"/>
        </w:rPr>
        <w:t xml:space="preserve"> </w:t>
      </w:r>
    </w:p>
    <w:p w14:paraId="6BE63BAA" w14:textId="1A9C37FA" w:rsidR="00986B76" w:rsidRPr="00545C3E" w:rsidRDefault="00545C3E" w:rsidP="00DE02AA">
      <w:pPr>
        <w:pStyle w:val="ListParagraph"/>
        <w:numPr>
          <w:ilvl w:val="0"/>
          <w:numId w:val="26"/>
        </w:numPr>
        <w:spacing w:before="120" w:after="0"/>
        <w:ind w:left="777" w:hanging="357"/>
        <w:contextualSpacing w:val="0"/>
        <w:rPr>
          <w:rFonts w:ascii="Arial" w:hAnsi="Arial" w:cs="Arial"/>
          <w:iCs/>
          <w:szCs w:val="20"/>
        </w:rPr>
      </w:pPr>
      <w:r w:rsidRPr="00545C3E">
        <w:rPr>
          <w:rFonts w:ascii="Arial" w:hAnsi="Arial" w:cs="Arial"/>
          <w:iCs/>
          <w:szCs w:val="20"/>
        </w:rPr>
        <w:t>64</w:t>
      </w:r>
      <w:r w:rsidR="00986B76" w:rsidRPr="00545C3E">
        <w:rPr>
          <w:rFonts w:ascii="Arial" w:hAnsi="Arial" w:cs="Arial"/>
          <w:iCs/>
          <w:szCs w:val="20"/>
        </w:rPr>
        <w:t xml:space="preserve"> organisations appointed as authorities</w:t>
      </w:r>
      <w:r w:rsidR="00061403" w:rsidRPr="00545C3E">
        <w:rPr>
          <w:rFonts w:ascii="Arial" w:hAnsi="Arial" w:cs="Arial"/>
          <w:iCs/>
          <w:szCs w:val="20"/>
        </w:rPr>
        <w:t>.</w:t>
      </w:r>
      <w:r w:rsidR="00AB2BAC" w:rsidRPr="00545C3E">
        <w:rPr>
          <w:rFonts w:ascii="Arial" w:hAnsi="Arial" w:cs="Arial"/>
          <w:iCs/>
          <w:szCs w:val="20"/>
        </w:rPr>
        <w:t xml:space="preserve"> </w:t>
      </w:r>
    </w:p>
    <w:bookmarkEnd w:id="35"/>
    <w:p w14:paraId="7A8BE476" w14:textId="77777777" w:rsidR="00061403" w:rsidRDefault="00986B76" w:rsidP="005A229D">
      <w:pPr>
        <w:keepNext/>
        <w:keepLines/>
        <w:spacing w:before="120"/>
        <w:ind w:left="60"/>
        <w:rPr>
          <w:rFonts w:cs="Arial"/>
          <w:iCs/>
          <w:szCs w:val="20"/>
        </w:rPr>
      </w:pPr>
      <w:r>
        <w:rPr>
          <w:rFonts w:cs="Arial"/>
          <w:iCs/>
          <w:szCs w:val="20"/>
        </w:rPr>
        <w:t xml:space="preserve">Factors which may influence </w:t>
      </w:r>
      <w:r w:rsidR="00061403">
        <w:rPr>
          <w:rFonts w:cs="Arial"/>
          <w:iCs/>
          <w:szCs w:val="20"/>
        </w:rPr>
        <w:t>future demands for these activities include:</w:t>
      </w:r>
    </w:p>
    <w:p w14:paraId="63C87EDF" w14:textId="06B57EEF" w:rsidR="00061403" w:rsidRDefault="00276957" w:rsidP="005A229D">
      <w:pPr>
        <w:pStyle w:val="ListParagraph"/>
        <w:keepNext/>
        <w:keepLines/>
        <w:numPr>
          <w:ilvl w:val="0"/>
          <w:numId w:val="27"/>
        </w:numPr>
        <w:spacing w:before="120" w:after="0"/>
        <w:ind w:left="850" w:hanging="425"/>
        <w:contextualSpacing w:val="0"/>
        <w:rPr>
          <w:rFonts w:ascii="Arial" w:hAnsi="Arial" w:cs="Arial"/>
          <w:iCs/>
          <w:szCs w:val="20"/>
        </w:rPr>
      </w:pPr>
      <w:r>
        <w:rPr>
          <w:rFonts w:ascii="Arial" w:hAnsi="Arial" w:cs="Arial"/>
          <w:iCs/>
          <w:szCs w:val="20"/>
        </w:rPr>
        <w:t>o</w:t>
      </w:r>
      <w:r w:rsidR="00061403">
        <w:rPr>
          <w:rFonts w:ascii="Arial" w:hAnsi="Arial" w:cs="Arial"/>
          <w:iCs/>
          <w:szCs w:val="20"/>
        </w:rPr>
        <w:t>ngoing innovation and development of measuring instrument technology</w:t>
      </w:r>
      <w:r w:rsidR="002B22C9">
        <w:rPr>
          <w:rFonts w:ascii="Arial" w:hAnsi="Arial" w:cs="Arial"/>
          <w:iCs/>
          <w:szCs w:val="20"/>
        </w:rPr>
        <w:t>.</w:t>
      </w:r>
    </w:p>
    <w:p w14:paraId="1DB82288" w14:textId="7BD33A7D" w:rsidR="00061403" w:rsidRPr="00061403" w:rsidRDefault="00276957" w:rsidP="00DE02AA">
      <w:pPr>
        <w:pStyle w:val="ListParagraph"/>
        <w:numPr>
          <w:ilvl w:val="0"/>
          <w:numId w:val="27"/>
        </w:numPr>
        <w:spacing w:before="120" w:after="0"/>
        <w:ind w:left="850" w:hanging="425"/>
        <w:contextualSpacing w:val="0"/>
        <w:rPr>
          <w:rFonts w:ascii="Arial" w:hAnsi="Arial" w:cs="Arial"/>
          <w:iCs/>
          <w:szCs w:val="20"/>
        </w:rPr>
      </w:pPr>
      <w:r>
        <w:rPr>
          <w:rFonts w:ascii="Arial" w:hAnsi="Arial" w:cs="Arial"/>
          <w:iCs/>
          <w:szCs w:val="20"/>
        </w:rPr>
        <w:t>m</w:t>
      </w:r>
      <w:r w:rsidR="0046123B">
        <w:rPr>
          <w:rFonts w:ascii="Arial" w:hAnsi="Arial" w:cs="Arial"/>
          <w:iCs/>
          <w:szCs w:val="20"/>
        </w:rPr>
        <w:t xml:space="preserve">arket factors affecting </w:t>
      </w:r>
      <w:r w:rsidR="00061403">
        <w:rPr>
          <w:rFonts w:ascii="Arial" w:hAnsi="Arial" w:cs="Arial"/>
          <w:iCs/>
          <w:szCs w:val="20"/>
        </w:rPr>
        <w:t>manufactur</w:t>
      </w:r>
      <w:r w:rsidR="0046123B">
        <w:rPr>
          <w:rFonts w:ascii="Arial" w:hAnsi="Arial" w:cs="Arial"/>
          <w:iCs/>
          <w:szCs w:val="20"/>
        </w:rPr>
        <w:t>ing of</w:t>
      </w:r>
      <w:r w:rsidR="00061403">
        <w:rPr>
          <w:rFonts w:ascii="Arial" w:hAnsi="Arial" w:cs="Arial"/>
          <w:iCs/>
          <w:szCs w:val="20"/>
        </w:rPr>
        <w:t xml:space="preserve"> measuring instruments in Australia</w:t>
      </w:r>
      <w:r w:rsidR="002B22C9">
        <w:rPr>
          <w:rFonts w:ascii="Arial" w:hAnsi="Arial" w:cs="Arial"/>
          <w:iCs/>
          <w:szCs w:val="20"/>
        </w:rPr>
        <w:t>.</w:t>
      </w:r>
      <w:r w:rsidR="00061403">
        <w:rPr>
          <w:rFonts w:ascii="Arial" w:hAnsi="Arial" w:cs="Arial"/>
          <w:iCs/>
          <w:szCs w:val="20"/>
        </w:rPr>
        <w:t xml:space="preserve"> </w:t>
      </w:r>
      <w:r w:rsidR="00061403" w:rsidRPr="00061403">
        <w:rPr>
          <w:rFonts w:ascii="Arial" w:hAnsi="Arial" w:cs="Arial"/>
          <w:iCs/>
          <w:szCs w:val="20"/>
        </w:rPr>
        <w:t xml:space="preserve"> </w:t>
      </w:r>
    </w:p>
    <w:p w14:paraId="3C117600" w14:textId="7177B8EE" w:rsidR="00061403" w:rsidRDefault="00276957" w:rsidP="00DE02AA">
      <w:pPr>
        <w:pStyle w:val="ListParagraph"/>
        <w:numPr>
          <w:ilvl w:val="0"/>
          <w:numId w:val="27"/>
        </w:numPr>
        <w:spacing w:before="120" w:after="0"/>
        <w:ind w:left="850" w:hanging="425"/>
        <w:contextualSpacing w:val="0"/>
        <w:rPr>
          <w:rFonts w:ascii="Arial" w:hAnsi="Arial" w:cs="Arial"/>
          <w:iCs/>
          <w:szCs w:val="20"/>
        </w:rPr>
      </w:pPr>
      <w:r>
        <w:rPr>
          <w:rFonts w:ascii="Arial" w:hAnsi="Arial" w:cs="Arial"/>
          <w:iCs/>
          <w:szCs w:val="20"/>
        </w:rPr>
        <w:lastRenderedPageBreak/>
        <w:t>d</w:t>
      </w:r>
      <w:r w:rsidR="00061403" w:rsidRPr="00061403">
        <w:rPr>
          <w:rFonts w:ascii="Arial" w:hAnsi="Arial" w:cs="Arial"/>
          <w:iCs/>
          <w:szCs w:val="20"/>
        </w:rPr>
        <w:t xml:space="preserve">emand from </w:t>
      </w:r>
      <w:r w:rsidR="00061403">
        <w:rPr>
          <w:rFonts w:ascii="Arial" w:hAnsi="Arial" w:cs="Arial"/>
          <w:iCs/>
          <w:szCs w:val="20"/>
        </w:rPr>
        <w:t xml:space="preserve">servicing licensee </w:t>
      </w:r>
      <w:r w:rsidR="00061403" w:rsidRPr="00061403">
        <w:rPr>
          <w:rFonts w:ascii="Arial" w:hAnsi="Arial" w:cs="Arial"/>
          <w:iCs/>
          <w:szCs w:val="20"/>
        </w:rPr>
        <w:t xml:space="preserve">clients to verify </w:t>
      </w:r>
      <w:r w:rsidR="00061403">
        <w:rPr>
          <w:rFonts w:ascii="Arial" w:hAnsi="Arial" w:cs="Arial"/>
          <w:iCs/>
          <w:szCs w:val="20"/>
        </w:rPr>
        <w:t xml:space="preserve">trade </w:t>
      </w:r>
      <w:r w:rsidR="00061403" w:rsidRPr="00061403">
        <w:rPr>
          <w:rFonts w:ascii="Arial" w:hAnsi="Arial" w:cs="Arial"/>
          <w:iCs/>
          <w:szCs w:val="20"/>
        </w:rPr>
        <w:t>measuring instruments</w:t>
      </w:r>
      <w:r w:rsidR="00061403">
        <w:rPr>
          <w:rFonts w:ascii="Arial" w:hAnsi="Arial" w:cs="Arial"/>
          <w:iCs/>
          <w:szCs w:val="20"/>
        </w:rPr>
        <w:t xml:space="preserve"> at a commercially viable rate</w:t>
      </w:r>
      <w:r w:rsidR="002B22C9">
        <w:rPr>
          <w:rFonts w:ascii="Arial" w:hAnsi="Arial" w:cs="Arial"/>
          <w:iCs/>
          <w:szCs w:val="20"/>
        </w:rPr>
        <w:t>.</w:t>
      </w:r>
    </w:p>
    <w:p w14:paraId="04E8B97E" w14:textId="201BF568" w:rsidR="003960A3" w:rsidRDefault="00276957" w:rsidP="00DE02AA">
      <w:pPr>
        <w:pStyle w:val="ListParagraph"/>
        <w:numPr>
          <w:ilvl w:val="0"/>
          <w:numId w:val="27"/>
        </w:numPr>
        <w:spacing w:before="120" w:after="0"/>
        <w:ind w:left="850" w:hanging="425"/>
        <w:contextualSpacing w:val="0"/>
        <w:rPr>
          <w:rFonts w:ascii="Arial" w:hAnsi="Arial" w:cs="Arial"/>
          <w:iCs/>
          <w:szCs w:val="20"/>
        </w:rPr>
      </w:pPr>
      <w:r>
        <w:rPr>
          <w:rFonts w:ascii="Arial" w:hAnsi="Arial" w:cs="Arial"/>
          <w:iCs/>
          <w:szCs w:val="20"/>
        </w:rPr>
        <w:t>d</w:t>
      </w:r>
      <w:r w:rsidR="00061403">
        <w:rPr>
          <w:rFonts w:ascii="Arial" w:hAnsi="Arial" w:cs="Arial"/>
          <w:iCs/>
          <w:szCs w:val="20"/>
        </w:rPr>
        <w:t xml:space="preserve">emand from </w:t>
      </w:r>
      <w:r w:rsidR="00EC3867">
        <w:rPr>
          <w:rFonts w:ascii="Arial" w:hAnsi="Arial" w:cs="Arial"/>
          <w:iCs/>
          <w:szCs w:val="20"/>
        </w:rPr>
        <w:t>licensees’</w:t>
      </w:r>
      <w:r w:rsidR="00061403">
        <w:rPr>
          <w:rFonts w:ascii="Arial" w:hAnsi="Arial" w:cs="Arial"/>
          <w:iCs/>
          <w:szCs w:val="20"/>
        </w:rPr>
        <w:t xml:space="preserve"> clients to use public weighbridges at a commercially viable rate</w:t>
      </w:r>
      <w:r w:rsidR="002B22C9">
        <w:rPr>
          <w:rFonts w:ascii="Arial" w:hAnsi="Arial" w:cs="Arial"/>
          <w:iCs/>
          <w:szCs w:val="20"/>
        </w:rPr>
        <w:t>.</w:t>
      </w:r>
      <w:r w:rsidR="00061403">
        <w:rPr>
          <w:rFonts w:ascii="Arial" w:hAnsi="Arial" w:cs="Arial"/>
          <w:iCs/>
          <w:szCs w:val="20"/>
        </w:rPr>
        <w:t xml:space="preserve"> </w:t>
      </w:r>
      <w:r w:rsidR="00061403" w:rsidRPr="00061403">
        <w:rPr>
          <w:rFonts w:ascii="Arial" w:hAnsi="Arial" w:cs="Arial"/>
          <w:iCs/>
          <w:szCs w:val="20"/>
        </w:rPr>
        <w:t xml:space="preserve"> </w:t>
      </w:r>
    </w:p>
    <w:p w14:paraId="6F20C1EE" w14:textId="77777777" w:rsidR="00397DF0" w:rsidRDefault="00276957" w:rsidP="00F37A25">
      <w:pPr>
        <w:pStyle w:val="ListParagraph"/>
        <w:numPr>
          <w:ilvl w:val="0"/>
          <w:numId w:val="27"/>
        </w:numPr>
        <w:spacing w:before="120" w:after="200"/>
        <w:ind w:left="850" w:hanging="425"/>
        <w:contextualSpacing w:val="0"/>
      </w:pPr>
      <w:r w:rsidRPr="008C637B">
        <w:rPr>
          <w:rFonts w:ascii="Arial" w:hAnsi="Arial" w:cs="Arial"/>
          <w:szCs w:val="20"/>
        </w:rPr>
        <w:t>d</w:t>
      </w:r>
      <w:r w:rsidR="00061403" w:rsidRPr="008C637B">
        <w:rPr>
          <w:rFonts w:ascii="Arial" w:hAnsi="Arial" w:cs="Arial"/>
          <w:szCs w:val="20"/>
        </w:rPr>
        <w:t xml:space="preserve">emand from authority clients to use their services at a commercially viable rate.  </w:t>
      </w:r>
    </w:p>
    <w:p w14:paraId="56BCB947" w14:textId="61A6E92D" w:rsidR="00CB5ACA" w:rsidRPr="005A6B64" w:rsidRDefault="00AC608F">
      <w:pPr>
        <w:spacing w:after="200" w:line="276" w:lineRule="auto"/>
      </w:pPr>
      <w:r w:rsidRPr="005A6B64">
        <w:t>The design of regulatory charges may change in the future</w:t>
      </w:r>
      <w:r w:rsidR="00476994" w:rsidRPr="005A6B64">
        <w:t xml:space="preserve"> </w:t>
      </w:r>
      <w:proofErr w:type="gramStart"/>
      <w:r w:rsidR="00476994" w:rsidRPr="005A6B64">
        <w:t>as a result of</w:t>
      </w:r>
      <w:proofErr w:type="gramEnd"/>
      <w:r w:rsidR="00476994" w:rsidRPr="005A6B64">
        <w:t xml:space="preserve"> the Measurement Law Re</w:t>
      </w:r>
      <w:r w:rsidR="005A6B64" w:rsidRPr="005A6B64">
        <w:t xml:space="preserve">form </w:t>
      </w:r>
      <w:r w:rsidR="00476994" w:rsidRPr="005A6B64">
        <w:t>that is underway</w:t>
      </w:r>
      <w:r w:rsidRPr="005A6B64">
        <w:t xml:space="preserve">. </w:t>
      </w:r>
      <w:r w:rsidR="00397DF0" w:rsidRPr="005A6B64">
        <w:t>The Measurement Law Re</w:t>
      </w:r>
      <w:r w:rsidR="005A6B64" w:rsidRPr="005A6B64">
        <w:t xml:space="preserve">form </w:t>
      </w:r>
      <w:r w:rsidR="00397DF0" w:rsidRPr="005A6B64">
        <w:t xml:space="preserve">is </w:t>
      </w:r>
      <w:r w:rsidR="005A6B64" w:rsidRPr="005A6B64">
        <w:t xml:space="preserve">modernising, streamlining or simplifying </w:t>
      </w:r>
      <w:r w:rsidR="00397DF0" w:rsidRPr="005A6B64">
        <w:t xml:space="preserve">aspects of Australia’s </w:t>
      </w:r>
      <w:r w:rsidR="008C637B" w:rsidRPr="005A6B64">
        <w:t>m</w:t>
      </w:r>
      <w:r w:rsidR="00397DF0" w:rsidRPr="005A6B64">
        <w:t>easurement framework. This include</w:t>
      </w:r>
      <w:r w:rsidR="005A6B64" w:rsidRPr="005A6B64">
        <w:t>s</w:t>
      </w:r>
      <w:r w:rsidR="00397DF0" w:rsidRPr="005A6B64">
        <w:t xml:space="preserve"> a review and evaluation of the current charging structure.  </w:t>
      </w:r>
    </w:p>
    <w:p w14:paraId="020234E2" w14:textId="77777777" w:rsidR="008B679D" w:rsidRPr="008366B0" w:rsidRDefault="008B679D" w:rsidP="00065F45">
      <w:pPr>
        <w:pStyle w:val="Heading1"/>
        <w:ind w:hanging="502"/>
      </w:pPr>
      <w:bookmarkStart w:id="37" w:name="_Toc516468789"/>
      <w:bookmarkStart w:id="38" w:name="_Toc150329430"/>
      <w:r w:rsidRPr="008366B0">
        <w:t xml:space="preserve">RISK </w:t>
      </w:r>
      <w:r w:rsidRPr="00EE4F30">
        <w:t>ASSESSMENT</w:t>
      </w:r>
      <w:bookmarkEnd w:id="37"/>
      <w:bookmarkEnd w:id="38"/>
    </w:p>
    <w:p w14:paraId="29B37FD8" w14:textId="6C192C3F" w:rsidR="003D65C7" w:rsidRPr="003D65C7" w:rsidRDefault="00CB21B9" w:rsidP="003D65C7">
      <w:pPr>
        <w:spacing w:before="120" w:line="276" w:lineRule="auto"/>
        <w:rPr>
          <w:rFonts w:cs="Arial"/>
          <w:szCs w:val="20"/>
          <w:lang w:val="en-US"/>
        </w:rPr>
      </w:pPr>
      <w:r>
        <w:rPr>
          <w:rFonts w:cs="Arial"/>
          <w:szCs w:val="20"/>
          <w:lang w:val="en-US"/>
        </w:rPr>
        <w:t>During 2018-19</w:t>
      </w:r>
      <w:r w:rsidR="003D65C7" w:rsidRPr="003D65C7">
        <w:rPr>
          <w:rFonts w:cs="Arial"/>
          <w:szCs w:val="20"/>
          <w:lang w:val="en-US"/>
        </w:rPr>
        <w:t>, NMI undert</w:t>
      </w:r>
      <w:r w:rsidR="00AD689A">
        <w:rPr>
          <w:rFonts w:cs="Arial"/>
          <w:szCs w:val="20"/>
          <w:lang w:val="en-US"/>
        </w:rPr>
        <w:t>ook</w:t>
      </w:r>
      <w:r w:rsidR="003D65C7" w:rsidRPr="003D65C7">
        <w:rPr>
          <w:rFonts w:cs="Arial"/>
          <w:szCs w:val="20"/>
          <w:lang w:val="en-US"/>
        </w:rPr>
        <w:t xml:space="preserve"> a preliminary Charging Risk Assessment (CRA) which included the following key components:</w:t>
      </w:r>
    </w:p>
    <w:p w14:paraId="663C4EB8" w14:textId="6BA266E1"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level of change for cost recovery activities</w:t>
      </w:r>
      <w:r w:rsidR="00EC3867">
        <w:rPr>
          <w:rFonts w:ascii="Arial" w:hAnsi="Arial" w:cs="Arial"/>
          <w:szCs w:val="20"/>
          <w:lang w:val="en-US"/>
        </w:rPr>
        <w:t>.</w:t>
      </w:r>
    </w:p>
    <w:p w14:paraId="32A4E41A" w14:textId="5051A63F"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level of cost recovery revenue</w:t>
      </w:r>
      <w:r w:rsidR="00EC3867">
        <w:rPr>
          <w:rFonts w:ascii="Arial" w:hAnsi="Arial" w:cs="Arial"/>
          <w:szCs w:val="20"/>
          <w:lang w:val="en-US"/>
        </w:rPr>
        <w:t>.</w:t>
      </w:r>
    </w:p>
    <w:p w14:paraId="7ACF8B90" w14:textId="676396ED"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complexity in the cost recovery arrangements (i.e. both fees and charges)</w:t>
      </w:r>
      <w:r w:rsidR="00EC3867">
        <w:rPr>
          <w:rFonts w:ascii="Arial" w:hAnsi="Arial" w:cs="Arial"/>
          <w:szCs w:val="20"/>
          <w:lang w:val="en-US"/>
        </w:rPr>
        <w:t>.</w:t>
      </w:r>
    </w:p>
    <w:p w14:paraId="072A1684" w14:textId="72A1EC58"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level of change in legislative arrangements</w:t>
      </w:r>
      <w:r w:rsidR="00EC3867">
        <w:rPr>
          <w:rFonts w:ascii="Arial" w:hAnsi="Arial" w:cs="Arial"/>
          <w:szCs w:val="20"/>
          <w:lang w:val="en-US"/>
        </w:rPr>
        <w:t>.</w:t>
      </w:r>
    </w:p>
    <w:p w14:paraId="74AE7B86" w14:textId="48F4DB89"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level of complexity of working with other government entities to deliver the regulatory functions</w:t>
      </w:r>
      <w:r w:rsidR="00EC3867">
        <w:rPr>
          <w:rFonts w:ascii="Arial" w:hAnsi="Arial" w:cs="Arial"/>
          <w:szCs w:val="20"/>
          <w:lang w:val="en-US"/>
        </w:rPr>
        <w:t>.</w:t>
      </w:r>
    </w:p>
    <w:p w14:paraId="64C5BF02" w14:textId="74970270"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 xml:space="preserve">level of impact of cost recovery on </w:t>
      </w:r>
      <w:r w:rsidR="002F5613">
        <w:rPr>
          <w:rFonts w:ascii="Arial" w:hAnsi="Arial" w:cs="Arial"/>
          <w:szCs w:val="20"/>
          <w:lang w:val="en-US"/>
        </w:rPr>
        <w:t>clients</w:t>
      </w:r>
      <w:r w:rsidR="00EC3867">
        <w:rPr>
          <w:rFonts w:ascii="Arial" w:hAnsi="Arial" w:cs="Arial"/>
          <w:szCs w:val="20"/>
          <w:lang w:val="en-US"/>
        </w:rPr>
        <w:t>.</w:t>
      </w:r>
    </w:p>
    <w:p w14:paraId="113DAF55" w14:textId="77777777" w:rsidR="003D65C7" w:rsidRPr="003D65C7" w:rsidRDefault="003D65C7" w:rsidP="00DE02AA">
      <w:pPr>
        <w:pStyle w:val="ListParagraph"/>
        <w:numPr>
          <w:ilvl w:val="0"/>
          <w:numId w:val="16"/>
        </w:numPr>
        <w:spacing w:before="120" w:after="0"/>
        <w:ind w:left="851" w:hanging="494"/>
        <w:contextualSpacing w:val="0"/>
        <w:rPr>
          <w:rFonts w:ascii="Arial" w:hAnsi="Arial" w:cs="Arial"/>
          <w:szCs w:val="20"/>
          <w:lang w:val="en-US"/>
        </w:rPr>
      </w:pPr>
      <w:r w:rsidRPr="003D65C7">
        <w:rPr>
          <w:rFonts w:ascii="Arial" w:hAnsi="Arial" w:cs="Arial"/>
          <w:szCs w:val="20"/>
          <w:lang w:val="en-US"/>
        </w:rPr>
        <w:t>outcome of consultation with stakeholders (i.e. any significant issues raised).</w:t>
      </w:r>
    </w:p>
    <w:p w14:paraId="067C102C" w14:textId="2763B49F" w:rsidR="00382484" w:rsidRDefault="00CB21B9" w:rsidP="0002245F">
      <w:pPr>
        <w:spacing w:before="120" w:line="276" w:lineRule="auto"/>
        <w:rPr>
          <w:rFonts w:cs="Arial"/>
          <w:szCs w:val="20"/>
          <w:lang w:val="en-US"/>
        </w:rPr>
      </w:pPr>
      <w:r>
        <w:rPr>
          <w:rFonts w:cs="Arial"/>
          <w:szCs w:val="20"/>
          <w:lang w:val="en-US"/>
        </w:rPr>
        <w:t>Consultation f</w:t>
      </w:r>
      <w:r w:rsidR="00AD689A">
        <w:rPr>
          <w:rFonts w:cs="Arial"/>
          <w:szCs w:val="20"/>
          <w:lang w:val="en-US"/>
        </w:rPr>
        <w:t xml:space="preserve">eedback on the regulatory fees </w:t>
      </w:r>
      <w:r>
        <w:rPr>
          <w:rFonts w:cs="Arial"/>
          <w:szCs w:val="20"/>
          <w:lang w:val="en-US"/>
        </w:rPr>
        <w:t xml:space="preserve">increases </w:t>
      </w:r>
      <w:r w:rsidR="00AD689A">
        <w:rPr>
          <w:rFonts w:cs="Arial"/>
          <w:szCs w:val="20"/>
          <w:lang w:val="en-US"/>
        </w:rPr>
        <w:t xml:space="preserve">proposed </w:t>
      </w:r>
      <w:r>
        <w:rPr>
          <w:rFonts w:cs="Arial"/>
          <w:szCs w:val="20"/>
          <w:lang w:val="en-US"/>
        </w:rPr>
        <w:t xml:space="preserve">were </w:t>
      </w:r>
      <w:proofErr w:type="gramStart"/>
      <w:r w:rsidR="00AD689A">
        <w:rPr>
          <w:rFonts w:cs="Arial"/>
          <w:szCs w:val="20"/>
          <w:lang w:val="en-US"/>
        </w:rPr>
        <w:t>taken into account</w:t>
      </w:r>
      <w:proofErr w:type="gramEnd"/>
      <w:r w:rsidR="00AD689A">
        <w:rPr>
          <w:rFonts w:cs="Arial"/>
          <w:szCs w:val="20"/>
          <w:lang w:val="en-US"/>
        </w:rPr>
        <w:t xml:space="preserve"> in the government’s decision</w:t>
      </w:r>
      <w:r>
        <w:rPr>
          <w:rFonts w:cs="Arial"/>
          <w:szCs w:val="20"/>
          <w:lang w:val="en-US"/>
        </w:rPr>
        <w:t xml:space="preserve"> </w:t>
      </w:r>
      <w:r w:rsidR="00AD689A">
        <w:rPr>
          <w:rFonts w:cs="Arial"/>
          <w:szCs w:val="20"/>
          <w:lang w:val="en-US"/>
        </w:rPr>
        <w:t xml:space="preserve">to allow partial cost recovery rather than full cost recovery for </w:t>
      </w:r>
      <w:r w:rsidR="00382078">
        <w:rPr>
          <w:rFonts w:cs="Arial"/>
          <w:szCs w:val="20"/>
          <w:lang w:val="en-US"/>
        </w:rPr>
        <w:t xml:space="preserve">Pattern Approval </w:t>
      </w:r>
      <w:r w:rsidR="00AD689A">
        <w:rPr>
          <w:rFonts w:cs="Arial"/>
          <w:szCs w:val="20"/>
          <w:lang w:val="en-US"/>
        </w:rPr>
        <w:t xml:space="preserve">laboratory activities directly responds to </w:t>
      </w:r>
      <w:r w:rsidR="0002245F">
        <w:rPr>
          <w:rFonts w:cs="Arial"/>
          <w:szCs w:val="20"/>
          <w:lang w:val="en-US"/>
        </w:rPr>
        <w:t xml:space="preserve">identified risks.  </w:t>
      </w:r>
    </w:p>
    <w:p w14:paraId="6085159D" w14:textId="1A372330" w:rsidR="00382484" w:rsidRDefault="0002245F" w:rsidP="0002245F">
      <w:pPr>
        <w:spacing w:before="120" w:line="276" w:lineRule="auto"/>
        <w:rPr>
          <w:rFonts w:cs="Arial"/>
          <w:szCs w:val="20"/>
          <w:lang w:val="en-US"/>
        </w:rPr>
      </w:pPr>
      <w:r>
        <w:rPr>
          <w:rFonts w:cs="Arial"/>
          <w:szCs w:val="20"/>
          <w:lang w:val="en-US"/>
        </w:rPr>
        <w:t xml:space="preserve">To ensure cost increases </w:t>
      </w:r>
      <w:r w:rsidR="00CB21B9">
        <w:rPr>
          <w:rFonts w:cs="Arial"/>
          <w:szCs w:val="20"/>
          <w:lang w:val="en-US"/>
        </w:rPr>
        <w:t xml:space="preserve">were </w:t>
      </w:r>
      <w:r>
        <w:rPr>
          <w:rFonts w:cs="Arial"/>
          <w:szCs w:val="20"/>
          <w:lang w:val="en-US"/>
        </w:rPr>
        <w:t xml:space="preserve">not prohibitive, </w:t>
      </w:r>
      <w:r w:rsidR="00382484">
        <w:rPr>
          <w:rFonts w:cs="Arial"/>
          <w:szCs w:val="20"/>
          <w:lang w:val="en-US"/>
        </w:rPr>
        <w:t xml:space="preserve">and to facilitate </w:t>
      </w:r>
      <w:r w:rsidR="00382484" w:rsidRPr="00382484">
        <w:rPr>
          <w:rFonts w:cs="Arial"/>
          <w:szCs w:val="20"/>
          <w:lang w:val="en-US"/>
        </w:rPr>
        <w:t>innovation and market access</w:t>
      </w:r>
      <w:r w:rsidR="00382484">
        <w:rPr>
          <w:rFonts w:cs="Arial"/>
          <w:szCs w:val="20"/>
          <w:lang w:val="en-US"/>
        </w:rPr>
        <w:t xml:space="preserve">, </w:t>
      </w:r>
      <w:r w:rsidRPr="0002245F">
        <w:rPr>
          <w:rFonts w:cs="Arial"/>
          <w:szCs w:val="20"/>
          <w:lang w:val="en-US"/>
        </w:rPr>
        <w:t>government support</w:t>
      </w:r>
      <w:r w:rsidR="00CB21B9">
        <w:rPr>
          <w:rFonts w:cs="Arial"/>
          <w:szCs w:val="20"/>
          <w:lang w:val="en-US"/>
        </w:rPr>
        <w:t>ed</w:t>
      </w:r>
      <w:r w:rsidRPr="0002245F">
        <w:rPr>
          <w:rFonts w:cs="Arial"/>
          <w:szCs w:val="20"/>
          <w:lang w:val="en-US"/>
        </w:rPr>
        <w:t xml:space="preserve"> </w:t>
      </w:r>
      <w:r>
        <w:rPr>
          <w:rFonts w:cs="Arial"/>
          <w:szCs w:val="20"/>
          <w:lang w:val="en-US"/>
        </w:rPr>
        <w:t xml:space="preserve">for </w:t>
      </w:r>
      <w:r w:rsidR="00382078">
        <w:rPr>
          <w:rFonts w:cs="Arial"/>
          <w:szCs w:val="20"/>
          <w:lang w:val="en-US"/>
        </w:rPr>
        <w:t>PA</w:t>
      </w:r>
      <w:r>
        <w:rPr>
          <w:rFonts w:cs="Arial"/>
          <w:szCs w:val="20"/>
          <w:lang w:val="en-US"/>
        </w:rPr>
        <w:t xml:space="preserve"> </w:t>
      </w:r>
      <w:r w:rsidR="00CB21B9">
        <w:rPr>
          <w:rFonts w:cs="Arial"/>
          <w:szCs w:val="20"/>
          <w:lang w:val="en-US"/>
        </w:rPr>
        <w:t xml:space="preserve">laboratory </w:t>
      </w:r>
      <w:r>
        <w:rPr>
          <w:rFonts w:cs="Arial"/>
          <w:szCs w:val="20"/>
          <w:lang w:val="en-US"/>
        </w:rPr>
        <w:t xml:space="preserve">testing </w:t>
      </w:r>
      <w:r w:rsidRPr="0002245F">
        <w:rPr>
          <w:rFonts w:cs="Arial"/>
          <w:szCs w:val="20"/>
          <w:lang w:val="en-US"/>
        </w:rPr>
        <w:t>w</w:t>
      </w:r>
      <w:r w:rsidR="00CB21B9">
        <w:rPr>
          <w:rFonts w:cs="Arial"/>
          <w:szCs w:val="20"/>
          <w:lang w:val="en-US"/>
        </w:rPr>
        <w:t xml:space="preserve">ould </w:t>
      </w:r>
      <w:r w:rsidRPr="0002245F">
        <w:rPr>
          <w:rFonts w:cs="Arial"/>
          <w:szCs w:val="20"/>
          <w:lang w:val="en-US"/>
        </w:rPr>
        <w:t>continue, limiting</w:t>
      </w:r>
      <w:r>
        <w:rPr>
          <w:rFonts w:cs="Arial"/>
          <w:szCs w:val="20"/>
          <w:lang w:val="en-US"/>
        </w:rPr>
        <w:t xml:space="preserve"> </w:t>
      </w:r>
      <w:r w:rsidRPr="0002245F">
        <w:rPr>
          <w:rFonts w:cs="Arial"/>
          <w:szCs w:val="20"/>
          <w:lang w:val="en-US"/>
        </w:rPr>
        <w:t>the fees charged to around 20 per cent of the full cost</w:t>
      </w:r>
      <w:r w:rsidR="00382484">
        <w:rPr>
          <w:rFonts w:cs="Arial"/>
          <w:szCs w:val="20"/>
          <w:lang w:val="en-US"/>
        </w:rPr>
        <w:t xml:space="preserve"> of that testing</w:t>
      </w:r>
      <w:r w:rsidRPr="0002245F">
        <w:rPr>
          <w:rFonts w:cs="Arial"/>
          <w:szCs w:val="20"/>
          <w:lang w:val="en-US"/>
        </w:rPr>
        <w:t>.</w:t>
      </w:r>
      <w:r>
        <w:rPr>
          <w:rFonts w:cs="Arial"/>
          <w:szCs w:val="20"/>
          <w:lang w:val="en-US"/>
        </w:rPr>
        <w:t xml:space="preserve"> </w:t>
      </w:r>
      <w:r w:rsidR="00382078">
        <w:rPr>
          <w:rFonts w:cs="Arial"/>
          <w:szCs w:val="20"/>
          <w:lang w:val="en-US"/>
        </w:rPr>
        <w:t>PA</w:t>
      </w:r>
      <w:r w:rsidR="00382484" w:rsidRPr="0002245F">
        <w:rPr>
          <w:rFonts w:cs="Arial"/>
          <w:szCs w:val="20"/>
          <w:lang w:val="en-US"/>
        </w:rPr>
        <w:t xml:space="preserve"> </w:t>
      </w:r>
      <w:r w:rsidR="00CB21B9">
        <w:rPr>
          <w:rFonts w:cs="Arial"/>
          <w:szCs w:val="20"/>
          <w:lang w:val="en-US"/>
        </w:rPr>
        <w:t xml:space="preserve">laboratory testing </w:t>
      </w:r>
      <w:r w:rsidR="00382484" w:rsidRPr="0002245F">
        <w:rPr>
          <w:rFonts w:cs="Arial"/>
          <w:szCs w:val="20"/>
          <w:lang w:val="en-US"/>
        </w:rPr>
        <w:t>is a comprehensive process intended to</w:t>
      </w:r>
      <w:r w:rsidR="00382484">
        <w:rPr>
          <w:rFonts w:cs="Arial"/>
          <w:szCs w:val="20"/>
          <w:lang w:val="en-US"/>
        </w:rPr>
        <w:t xml:space="preserve"> </w:t>
      </w:r>
      <w:r w:rsidR="00382484" w:rsidRPr="0002245F">
        <w:rPr>
          <w:rFonts w:cs="Arial"/>
          <w:szCs w:val="20"/>
          <w:lang w:val="en-US"/>
        </w:rPr>
        <w:t>demonstrate that the measuring instrument can maintain its calibration (and hence</w:t>
      </w:r>
      <w:r w:rsidR="00382484">
        <w:rPr>
          <w:rFonts w:cs="Arial"/>
          <w:szCs w:val="20"/>
          <w:lang w:val="en-US"/>
        </w:rPr>
        <w:t xml:space="preserve"> </w:t>
      </w:r>
      <w:r w:rsidR="00382484" w:rsidRPr="0002245F">
        <w:rPr>
          <w:rFonts w:cs="Arial"/>
          <w:szCs w:val="20"/>
          <w:lang w:val="en-US"/>
        </w:rPr>
        <w:t>accuracy) in the full range of Australian operating conditions. Testing can include</w:t>
      </w:r>
      <w:r w:rsidR="00382484">
        <w:rPr>
          <w:rFonts w:cs="Arial"/>
          <w:szCs w:val="20"/>
          <w:lang w:val="en-US"/>
        </w:rPr>
        <w:t xml:space="preserve"> </w:t>
      </w:r>
      <w:r w:rsidR="00382484" w:rsidRPr="0002245F">
        <w:rPr>
          <w:rFonts w:cs="Arial"/>
          <w:szCs w:val="20"/>
          <w:lang w:val="en-US"/>
        </w:rPr>
        <w:t>measuring performance under varying conditions such as different temperature,</w:t>
      </w:r>
      <w:r w:rsidR="00382484">
        <w:rPr>
          <w:rFonts w:cs="Arial"/>
          <w:szCs w:val="20"/>
          <w:lang w:val="en-US"/>
        </w:rPr>
        <w:t xml:space="preserve"> </w:t>
      </w:r>
      <w:r w:rsidR="00382484" w:rsidRPr="0002245F">
        <w:rPr>
          <w:rFonts w:cs="Arial"/>
          <w:szCs w:val="20"/>
          <w:lang w:val="en-US"/>
        </w:rPr>
        <w:t>humidity, and electromagnetic interference. The laboratory testing requires a high level</w:t>
      </w:r>
      <w:r w:rsidR="00382484">
        <w:rPr>
          <w:rFonts w:cs="Arial"/>
          <w:szCs w:val="20"/>
          <w:lang w:val="en-US"/>
        </w:rPr>
        <w:t xml:space="preserve"> </w:t>
      </w:r>
      <w:r w:rsidR="00382484" w:rsidRPr="0002245F">
        <w:rPr>
          <w:rFonts w:cs="Arial"/>
          <w:szCs w:val="20"/>
          <w:lang w:val="en-US"/>
        </w:rPr>
        <w:t>of skill and is infrastructure intensive.</w:t>
      </w:r>
      <w:r w:rsidR="00382484">
        <w:rPr>
          <w:rFonts w:cs="Arial"/>
          <w:szCs w:val="20"/>
          <w:lang w:val="en-US"/>
        </w:rPr>
        <w:t xml:space="preserve">  </w:t>
      </w:r>
    </w:p>
    <w:p w14:paraId="6C9B19A0" w14:textId="46A60463" w:rsidR="00AD689A" w:rsidRPr="00E52C87" w:rsidRDefault="00CB21B9" w:rsidP="005A229D">
      <w:pPr>
        <w:spacing w:before="120" w:line="276" w:lineRule="auto"/>
        <w:rPr>
          <w:rFonts w:cs="Arial"/>
          <w:szCs w:val="20"/>
        </w:rPr>
      </w:pPr>
      <w:r>
        <w:rPr>
          <w:rFonts w:cs="Arial"/>
          <w:szCs w:val="20"/>
          <w:lang w:val="en-US"/>
        </w:rPr>
        <w:t>T</w:t>
      </w:r>
      <w:r w:rsidR="00382484">
        <w:rPr>
          <w:rFonts w:cs="Arial"/>
          <w:szCs w:val="20"/>
          <w:lang w:val="en-US"/>
        </w:rPr>
        <w:t>his approach mitigate</w:t>
      </w:r>
      <w:r>
        <w:rPr>
          <w:rFonts w:cs="Arial"/>
          <w:szCs w:val="20"/>
          <w:lang w:val="en-US"/>
        </w:rPr>
        <w:t>d</w:t>
      </w:r>
      <w:r w:rsidR="00382484">
        <w:rPr>
          <w:rFonts w:cs="Arial"/>
          <w:szCs w:val="20"/>
          <w:lang w:val="en-US"/>
        </w:rPr>
        <w:t xml:space="preserve"> the risk of sudden shocks </w:t>
      </w:r>
      <w:r w:rsidR="00DD66E6">
        <w:rPr>
          <w:rFonts w:cs="Arial"/>
          <w:szCs w:val="20"/>
          <w:lang w:val="en-US"/>
        </w:rPr>
        <w:t>to the national trade</w:t>
      </w:r>
      <w:r w:rsidR="00382484">
        <w:rPr>
          <w:rFonts w:cs="Arial"/>
          <w:szCs w:val="20"/>
          <w:lang w:val="en-US"/>
        </w:rPr>
        <w:t xml:space="preserve"> </w:t>
      </w:r>
      <w:r w:rsidR="00DD66E6">
        <w:rPr>
          <w:rFonts w:cs="Arial"/>
          <w:szCs w:val="20"/>
          <w:lang w:val="en-US"/>
        </w:rPr>
        <w:t xml:space="preserve">measurement system. </w:t>
      </w:r>
      <w:r w:rsidR="00382484">
        <w:rPr>
          <w:rFonts w:cs="Arial"/>
          <w:szCs w:val="20"/>
          <w:lang w:val="en-US"/>
        </w:rPr>
        <w:t xml:space="preserve"> </w:t>
      </w:r>
    </w:p>
    <w:p w14:paraId="1DC68D2C" w14:textId="77777777" w:rsidR="00392721" w:rsidRDefault="00392721">
      <w:pPr>
        <w:spacing w:after="200" w:line="276" w:lineRule="auto"/>
        <w:rPr>
          <w:b/>
          <w:iCs/>
          <w:sz w:val="28"/>
          <w:lang w:val="en-US"/>
        </w:rPr>
      </w:pPr>
      <w:bookmarkStart w:id="39" w:name="_Toc516468791"/>
      <w:r>
        <w:br w:type="page"/>
      </w:r>
    </w:p>
    <w:p w14:paraId="0AA988A0" w14:textId="17406DF2" w:rsidR="00823D9F" w:rsidRDefault="00823D9F" w:rsidP="00065F45">
      <w:pPr>
        <w:pStyle w:val="Heading1"/>
        <w:ind w:hanging="502"/>
      </w:pPr>
      <w:bookmarkStart w:id="40" w:name="_Toc150329431"/>
      <w:r w:rsidRPr="008366B0">
        <w:lastRenderedPageBreak/>
        <w:t>FINANCIAL ESTIMATES</w:t>
      </w:r>
      <w:bookmarkEnd w:id="39"/>
      <w:bookmarkEnd w:id="40"/>
    </w:p>
    <w:p w14:paraId="24EB0D83" w14:textId="2518FA19" w:rsidR="002445EE" w:rsidRDefault="002445EE" w:rsidP="002445EE">
      <w:pPr>
        <w:spacing w:before="120" w:line="276" w:lineRule="auto"/>
        <w:rPr>
          <w:rFonts w:cs="Arial"/>
          <w:szCs w:val="20"/>
          <w:lang w:val="en-US"/>
        </w:rPr>
      </w:pPr>
      <w:r w:rsidRPr="000250B6">
        <w:rPr>
          <w:rFonts w:cs="Arial"/>
          <w:szCs w:val="20"/>
          <w:lang w:val="en-US"/>
        </w:rPr>
        <w:t xml:space="preserve">This section sets out </w:t>
      </w:r>
      <w:r>
        <w:rPr>
          <w:rFonts w:cs="Arial"/>
          <w:szCs w:val="20"/>
          <w:lang w:val="en-US"/>
        </w:rPr>
        <w:t xml:space="preserve">the budget estimates for the regulatory activities </w:t>
      </w:r>
      <w:r w:rsidR="002F5613">
        <w:rPr>
          <w:rFonts w:cs="Arial"/>
          <w:szCs w:val="20"/>
          <w:lang w:val="en-US"/>
        </w:rPr>
        <w:t xml:space="preserve">undertaken </w:t>
      </w:r>
      <w:r>
        <w:rPr>
          <w:rFonts w:cs="Arial"/>
          <w:szCs w:val="20"/>
          <w:lang w:val="en-US"/>
        </w:rPr>
        <w:t xml:space="preserve">by NMI, </w:t>
      </w:r>
      <w:r w:rsidRPr="000250B6">
        <w:rPr>
          <w:rFonts w:cs="Arial"/>
          <w:szCs w:val="20"/>
          <w:lang w:val="en-US"/>
        </w:rPr>
        <w:t>assuming consistent market demands and similar operating costs for f</w:t>
      </w:r>
      <w:r w:rsidR="00030753">
        <w:rPr>
          <w:rFonts w:cs="Arial"/>
          <w:szCs w:val="20"/>
          <w:lang w:val="en-US"/>
        </w:rPr>
        <w:t>orward</w:t>
      </w:r>
      <w:r w:rsidRPr="000250B6">
        <w:rPr>
          <w:rFonts w:cs="Arial"/>
          <w:szCs w:val="20"/>
          <w:lang w:val="en-US"/>
        </w:rPr>
        <w:t xml:space="preserve"> years.</w:t>
      </w:r>
    </w:p>
    <w:p w14:paraId="68721495" w14:textId="11F34427" w:rsidR="00E20B0F" w:rsidRPr="00065F45" w:rsidRDefault="00E20B0F" w:rsidP="002263B4">
      <w:pPr>
        <w:pStyle w:val="ListParagraph"/>
        <w:numPr>
          <w:ilvl w:val="0"/>
          <w:numId w:val="65"/>
        </w:numPr>
        <w:spacing w:before="120" w:after="0"/>
        <w:ind w:left="714" w:hanging="357"/>
        <w:contextualSpacing w:val="0"/>
        <w:rPr>
          <w:rFonts w:ascii="Arial" w:hAnsi="Arial" w:cs="Arial"/>
          <w:szCs w:val="20"/>
          <w:lang w:val="en-US"/>
        </w:rPr>
      </w:pPr>
      <w:r w:rsidRPr="00065F45">
        <w:rPr>
          <w:rFonts w:ascii="Arial" w:hAnsi="Arial" w:cs="Arial"/>
          <w:szCs w:val="20"/>
          <w:lang w:val="en-US"/>
        </w:rPr>
        <w:t xml:space="preserve">Table 3 provides a summary of the NMI’s budget estimates for the financial year </w:t>
      </w:r>
      <w:r w:rsidR="00865A00" w:rsidRPr="00065F45">
        <w:rPr>
          <w:rFonts w:ascii="Arial" w:hAnsi="Arial" w:cs="Arial"/>
          <w:szCs w:val="20"/>
          <w:lang w:val="en-US"/>
        </w:rPr>
        <w:t>202</w:t>
      </w:r>
      <w:r w:rsidR="007F2810">
        <w:rPr>
          <w:rFonts w:ascii="Arial" w:hAnsi="Arial" w:cs="Arial"/>
          <w:szCs w:val="20"/>
          <w:lang w:val="en-US"/>
        </w:rPr>
        <w:t>4</w:t>
      </w:r>
      <w:r w:rsidR="00FD3253" w:rsidRPr="00065F45">
        <w:rPr>
          <w:rFonts w:ascii="Arial" w:hAnsi="Arial" w:cs="Arial"/>
          <w:szCs w:val="20"/>
          <w:lang w:val="en-US"/>
        </w:rPr>
        <w:t>–</w:t>
      </w:r>
      <w:r w:rsidR="00865A00" w:rsidRPr="00065F45">
        <w:rPr>
          <w:rFonts w:ascii="Arial" w:hAnsi="Arial" w:cs="Arial"/>
          <w:szCs w:val="20"/>
          <w:lang w:val="en-US"/>
        </w:rPr>
        <w:t>2</w:t>
      </w:r>
      <w:r w:rsidR="007F2810">
        <w:rPr>
          <w:rFonts w:ascii="Arial" w:hAnsi="Arial" w:cs="Arial"/>
          <w:szCs w:val="20"/>
          <w:lang w:val="en-US"/>
        </w:rPr>
        <w:t>5</w:t>
      </w:r>
      <w:r w:rsidRPr="00065F45">
        <w:rPr>
          <w:rFonts w:ascii="Arial" w:hAnsi="Arial" w:cs="Arial"/>
          <w:szCs w:val="20"/>
          <w:lang w:val="en-US"/>
        </w:rPr>
        <w:t xml:space="preserve">. </w:t>
      </w:r>
    </w:p>
    <w:p w14:paraId="3E060BC3" w14:textId="67628A89" w:rsidR="00E20B0F" w:rsidRPr="00065F45" w:rsidRDefault="00E20B0F" w:rsidP="002263B4">
      <w:pPr>
        <w:pStyle w:val="ListParagraph"/>
        <w:numPr>
          <w:ilvl w:val="0"/>
          <w:numId w:val="65"/>
        </w:numPr>
        <w:spacing w:before="120" w:after="0"/>
        <w:ind w:left="714" w:hanging="357"/>
        <w:contextualSpacing w:val="0"/>
        <w:rPr>
          <w:rFonts w:ascii="Arial" w:hAnsi="Arial" w:cs="Arial"/>
          <w:szCs w:val="20"/>
          <w:lang w:val="en-US"/>
        </w:rPr>
      </w:pPr>
      <w:r w:rsidRPr="00065F45">
        <w:rPr>
          <w:rFonts w:ascii="Arial" w:hAnsi="Arial" w:cs="Arial"/>
          <w:szCs w:val="20"/>
          <w:lang w:val="en-US"/>
        </w:rPr>
        <w:t xml:space="preserve">Table 4 provides a summary of the NMI’s budget estimates based on the fee increases for PA for the years </w:t>
      </w:r>
      <w:r w:rsidR="00ED6126" w:rsidRPr="00065F45">
        <w:rPr>
          <w:rFonts w:ascii="Arial" w:hAnsi="Arial" w:cs="Arial"/>
          <w:szCs w:val="20"/>
          <w:lang w:val="en-US"/>
        </w:rPr>
        <w:t>202</w:t>
      </w:r>
      <w:r w:rsidR="00E45546">
        <w:rPr>
          <w:rFonts w:ascii="Arial" w:hAnsi="Arial" w:cs="Arial"/>
          <w:szCs w:val="20"/>
          <w:lang w:val="en-US"/>
        </w:rPr>
        <w:t>4</w:t>
      </w:r>
      <w:r w:rsidRPr="00065F45">
        <w:rPr>
          <w:rFonts w:ascii="Arial" w:hAnsi="Arial" w:cs="Arial"/>
          <w:szCs w:val="20"/>
          <w:lang w:val="en-US"/>
        </w:rPr>
        <w:t>-</w:t>
      </w:r>
      <w:r w:rsidR="00ED6126" w:rsidRPr="00065F45">
        <w:rPr>
          <w:rFonts w:ascii="Arial" w:hAnsi="Arial" w:cs="Arial"/>
          <w:szCs w:val="20"/>
          <w:lang w:val="en-US"/>
        </w:rPr>
        <w:t>2</w:t>
      </w:r>
      <w:r w:rsidR="00E45546">
        <w:rPr>
          <w:rFonts w:ascii="Arial" w:hAnsi="Arial" w:cs="Arial"/>
          <w:szCs w:val="20"/>
          <w:lang w:val="en-US"/>
        </w:rPr>
        <w:t>8</w:t>
      </w:r>
      <w:r w:rsidRPr="00065F45">
        <w:rPr>
          <w:rFonts w:ascii="Arial" w:hAnsi="Arial" w:cs="Arial"/>
          <w:szCs w:val="20"/>
          <w:lang w:val="en-US"/>
        </w:rPr>
        <w:t>. The numbers in Table 4 are provided for guidance only.</w:t>
      </w:r>
    </w:p>
    <w:p w14:paraId="2893896C" w14:textId="2E22F831" w:rsidR="00E20B0F" w:rsidRPr="00065F45" w:rsidRDefault="00E20B0F" w:rsidP="002263B4">
      <w:pPr>
        <w:pStyle w:val="ListParagraph"/>
        <w:numPr>
          <w:ilvl w:val="0"/>
          <w:numId w:val="65"/>
        </w:numPr>
        <w:spacing w:before="120" w:after="0"/>
        <w:ind w:left="714" w:hanging="357"/>
        <w:contextualSpacing w:val="0"/>
        <w:rPr>
          <w:rFonts w:ascii="Arial" w:hAnsi="Arial" w:cs="Arial"/>
          <w:szCs w:val="20"/>
          <w:lang w:val="en-US"/>
        </w:rPr>
      </w:pPr>
      <w:r w:rsidRPr="00065F45">
        <w:rPr>
          <w:rFonts w:ascii="Arial" w:hAnsi="Arial" w:cs="Arial"/>
          <w:szCs w:val="20"/>
          <w:lang w:val="en-US"/>
        </w:rPr>
        <w:t>Table 5 provides a summary of the NMI’s budget estimates based on the fee increases for Licensing</w:t>
      </w:r>
      <w:r w:rsidR="00392721" w:rsidRPr="00065F45">
        <w:rPr>
          <w:rFonts w:ascii="Arial" w:hAnsi="Arial" w:cs="Arial"/>
          <w:szCs w:val="20"/>
          <w:lang w:val="en-US"/>
        </w:rPr>
        <w:t xml:space="preserve"> and appointments </w:t>
      </w:r>
      <w:r w:rsidRPr="00065F45">
        <w:rPr>
          <w:rFonts w:ascii="Arial" w:hAnsi="Arial" w:cs="Arial"/>
          <w:szCs w:val="20"/>
          <w:lang w:val="en-US"/>
        </w:rPr>
        <w:t xml:space="preserve">for the years </w:t>
      </w:r>
      <w:r w:rsidR="00ED6126" w:rsidRPr="00065F45">
        <w:rPr>
          <w:rFonts w:ascii="Arial" w:hAnsi="Arial" w:cs="Arial"/>
          <w:szCs w:val="20"/>
          <w:lang w:val="en-US"/>
        </w:rPr>
        <w:t>202</w:t>
      </w:r>
      <w:r w:rsidR="00E45546">
        <w:rPr>
          <w:rFonts w:ascii="Arial" w:hAnsi="Arial" w:cs="Arial"/>
          <w:szCs w:val="20"/>
          <w:lang w:val="en-US"/>
        </w:rPr>
        <w:t>4</w:t>
      </w:r>
      <w:r w:rsidR="00FD3253" w:rsidRPr="00065F45">
        <w:rPr>
          <w:rFonts w:ascii="Arial" w:hAnsi="Arial" w:cs="Arial"/>
          <w:szCs w:val="20"/>
          <w:lang w:val="en-US"/>
        </w:rPr>
        <w:t>–</w:t>
      </w:r>
      <w:r w:rsidR="00ED6126" w:rsidRPr="00065F45">
        <w:rPr>
          <w:rFonts w:ascii="Arial" w:hAnsi="Arial" w:cs="Arial"/>
          <w:szCs w:val="20"/>
          <w:lang w:val="en-US"/>
        </w:rPr>
        <w:t>2</w:t>
      </w:r>
      <w:r w:rsidR="00E45546">
        <w:rPr>
          <w:rFonts w:ascii="Arial" w:hAnsi="Arial" w:cs="Arial"/>
          <w:szCs w:val="20"/>
          <w:lang w:val="en-US"/>
        </w:rPr>
        <w:t>8</w:t>
      </w:r>
      <w:r w:rsidRPr="00065F45">
        <w:rPr>
          <w:rFonts w:ascii="Arial" w:hAnsi="Arial" w:cs="Arial"/>
          <w:szCs w:val="20"/>
          <w:lang w:val="en-US"/>
        </w:rPr>
        <w:t>. The numbers in Table 5 are provided for guidance only.</w:t>
      </w:r>
    </w:p>
    <w:p w14:paraId="1D9057D9" w14:textId="4C7F98F8" w:rsidR="00D6292A" w:rsidRDefault="00D6292A" w:rsidP="00D6292A">
      <w:pPr>
        <w:spacing w:before="120" w:after="120" w:line="276" w:lineRule="auto"/>
        <w:rPr>
          <w:rFonts w:cs="Arial"/>
          <w:szCs w:val="20"/>
          <w:lang w:val="en-US"/>
        </w:rPr>
      </w:pPr>
      <w:r>
        <w:rPr>
          <w:rFonts w:cs="Arial"/>
          <w:szCs w:val="20"/>
          <w:lang w:val="en-US"/>
        </w:rPr>
        <w:t xml:space="preserve">The cost recovery models will be reviewed again </w:t>
      </w:r>
      <w:r w:rsidR="004359B3">
        <w:rPr>
          <w:rFonts w:cs="Arial"/>
          <w:szCs w:val="20"/>
          <w:lang w:val="en-US"/>
        </w:rPr>
        <w:t>as part of the</w:t>
      </w:r>
      <w:r>
        <w:rPr>
          <w:rFonts w:cs="Arial"/>
          <w:szCs w:val="20"/>
          <w:lang w:val="en-US"/>
        </w:rPr>
        <w:t xml:space="preserve"> </w:t>
      </w:r>
      <w:r w:rsidR="004359B3">
        <w:rPr>
          <w:rFonts w:cs="Arial"/>
          <w:szCs w:val="20"/>
          <w:lang w:val="en-US"/>
        </w:rPr>
        <w:t>Measurement Law Re</w:t>
      </w:r>
      <w:r w:rsidR="00065F45">
        <w:rPr>
          <w:rFonts w:cs="Arial"/>
          <w:szCs w:val="20"/>
          <w:lang w:val="en-US"/>
        </w:rPr>
        <w:t xml:space="preserve">form </w:t>
      </w:r>
      <w:r>
        <w:rPr>
          <w:rFonts w:cs="Arial"/>
          <w:szCs w:val="20"/>
          <w:lang w:val="en-US"/>
        </w:rPr>
        <w:t>and NMI will continue to work with industry to identify sustainable cost recovery models.</w:t>
      </w:r>
    </w:p>
    <w:p w14:paraId="5821F62E" w14:textId="0D643D36" w:rsidR="00E76480" w:rsidRDefault="009212A9" w:rsidP="0000307D">
      <w:pPr>
        <w:spacing w:before="120" w:line="276" w:lineRule="auto"/>
        <w:rPr>
          <w:rFonts w:cs="Arial"/>
          <w:b/>
          <w:szCs w:val="20"/>
        </w:rPr>
      </w:pPr>
      <w:r w:rsidRPr="009212A9">
        <w:rPr>
          <w:rFonts w:cs="Arial"/>
          <w:b/>
          <w:szCs w:val="20"/>
        </w:rPr>
        <w:t xml:space="preserve">Table </w:t>
      </w:r>
      <w:r>
        <w:rPr>
          <w:rFonts w:cs="Arial"/>
          <w:b/>
          <w:szCs w:val="20"/>
        </w:rPr>
        <w:t>3</w:t>
      </w:r>
      <w:r w:rsidRPr="009212A9">
        <w:rPr>
          <w:rFonts w:cs="Arial"/>
          <w:b/>
          <w:szCs w:val="20"/>
        </w:rPr>
        <w:t xml:space="preserve">: </w:t>
      </w:r>
      <w:r>
        <w:rPr>
          <w:rFonts w:cs="Arial"/>
          <w:b/>
          <w:szCs w:val="20"/>
        </w:rPr>
        <w:t>Financial projections for Regulatory charging activities</w:t>
      </w:r>
      <w:r w:rsidR="00FD3253">
        <w:rPr>
          <w:rFonts w:cs="Arial"/>
          <w:b/>
          <w:szCs w:val="20"/>
        </w:rPr>
        <w:t>,</w:t>
      </w:r>
      <w:r>
        <w:rPr>
          <w:rFonts w:cs="Arial"/>
          <w:b/>
          <w:szCs w:val="20"/>
        </w:rPr>
        <w:t xml:space="preserve"> </w:t>
      </w:r>
      <w:r w:rsidR="0008799C">
        <w:rPr>
          <w:rFonts w:cs="Arial"/>
          <w:b/>
          <w:szCs w:val="20"/>
        </w:rPr>
        <w:t xml:space="preserve">1 July </w:t>
      </w:r>
      <w:r w:rsidR="00ED6126">
        <w:rPr>
          <w:rFonts w:cs="Arial"/>
          <w:b/>
          <w:szCs w:val="20"/>
        </w:rPr>
        <w:t>202</w:t>
      </w:r>
      <w:r w:rsidR="00E45546">
        <w:rPr>
          <w:rFonts w:cs="Arial"/>
          <w:b/>
          <w:szCs w:val="20"/>
        </w:rPr>
        <w:t>4</w:t>
      </w:r>
      <w:r w:rsidR="00ED6126">
        <w:rPr>
          <w:rFonts w:cs="Arial"/>
          <w:b/>
          <w:szCs w:val="20"/>
        </w:rPr>
        <w:t xml:space="preserve"> </w:t>
      </w:r>
      <w:r w:rsidR="0008799C">
        <w:rPr>
          <w:rFonts w:cs="Arial"/>
          <w:b/>
          <w:szCs w:val="20"/>
        </w:rPr>
        <w:t xml:space="preserve">to 30 June </w:t>
      </w:r>
      <w:r w:rsidR="00ED6126">
        <w:rPr>
          <w:rFonts w:cs="Arial"/>
          <w:b/>
          <w:szCs w:val="20"/>
        </w:rPr>
        <w:t>202</w:t>
      </w:r>
      <w:r w:rsidR="00E45546">
        <w:rPr>
          <w:rFonts w:cs="Arial"/>
          <w:b/>
          <w:szCs w:val="20"/>
        </w:rPr>
        <w:t>5</w:t>
      </w:r>
    </w:p>
    <w:tbl>
      <w:tblPr>
        <w:tblStyle w:val="TableGrid"/>
        <w:tblW w:w="0" w:type="auto"/>
        <w:tblLook w:val="04A0" w:firstRow="1" w:lastRow="0" w:firstColumn="1" w:lastColumn="0" w:noHBand="0" w:noVBand="1"/>
      </w:tblPr>
      <w:tblGrid>
        <w:gridCol w:w="5946"/>
        <w:gridCol w:w="3116"/>
      </w:tblGrid>
      <w:tr w:rsidR="000F34A8" w:rsidRPr="000F34A8" w14:paraId="186E7DE1" w14:textId="77777777" w:rsidTr="002B22C9">
        <w:trPr>
          <w:trHeight w:val="300"/>
        </w:trPr>
        <w:tc>
          <w:tcPr>
            <w:tcW w:w="9062" w:type="dxa"/>
            <w:gridSpan w:val="2"/>
            <w:shd w:val="clear" w:color="auto" w:fill="FF0000"/>
            <w:noWrap/>
            <w:hideMark/>
          </w:tcPr>
          <w:p w14:paraId="29EE3714" w14:textId="77777777" w:rsidR="000F34A8" w:rsidRDefault="000F34A8" w:rsidP="00F65B72">
            <w:pPr>
              <w:spacing w:before="60" w:after="60"/>
              <w:jc w:val="center"/>
              <w:rPr>
                <w:rFonts w:cs="Arial"/>
                <w:b/>
                <w:bCs/>
                <w:color w:val="FFFFFF" w:themeColor="background1"/>
                <w:szCs w:val="20"/>
              </w:rPr>
            </w:pPr>
            <w:r w:rsidRPr="0008799C">
              <w:rPr>
                <w:rFonts w:cs="Arial"/>
                <w:b/>
                <w:bCs/>
                <w:color w:val="FFFFFF" w:themeColor="background1"/>
                <w:szCs w:val="20"/>
              </w:rPr>
              <w:t>Forecast Revenue for Legal Metrology Branch Regulatory Charging Activities</w:t>
            </w:r>
          </w:p>
          <w:p w14:paraId="32C3B11D" w14:textId="79435FA4" w:rsidR="000F34A8" w:rsidRPr="005A229D" w:rsidRDefault="000F34A8" w:rsidP="00ED6126">
            <w:pPr>
              <w:tabs>
                <w:tab w:val="left" w:pos="5310"/>
              </w:tabs>
              <w:spacing w:before="60" w:after="60" w:line="276" w:lineRule="auto"/>
              <w:jc w:val="center"/>
              <w:rPr>
                <w:b/>
              </w:rPr>
            </w:pPr>
            <w:r w:rsidRPr="0008799C">
              <w:rPr>
                <w:rFonts w:cs="Arial"/>
                <w:b/>
                <w:bCs/>
                <w:color w:val="FFFFFF" w:themeColor="background1"/>
                <w:szCs w:val="20"/>
              </w:rPr>
              <w:t>1 July</w:t>
            </w:r>
            <w:r w:rsidR="00F20580">
              <w:rPr>
                <w:rFonts w:cs="Arial"/>
                <w:b/>
                <w:bCs/>
                <w:color w:val="FFFFFF" w:themeColor="background1"/>
                <w:szCs w:val="20"/>
              </w:rPr>
              <w:t xml:space="preserve"> </w:t>
            </w:r>
            <w:r w:rsidR="00ED6126">
              <w:rPr>
                <w:rFonts w:cs="Arial"/>
                <w:b/>
                <w:bCs/>
                <w:color w:val="FFFFFF" w:themeColor="background1"/>
                <w:szCs w:val="20"/>
              </w:rPr>
              <w:t>202</w:t>
            </w:r>
            <w:r w:rsidR="00E45546">
              <w:rPr>
                <w:rFonts w:cs="Arial"/>
                <w:b/>
                <w:bCs/>
                <w:color w:val="FFFFFF" w:themeColor="background1"/>
                <w:szCs w:val="20"/>
              </w:rPr>
              <w:t>4</w:t>
            </w:r>
            <w:r w:rsidR="00ED6126">
              <w:rPr>
                <w:rFonts w:cs="Arial"/>
                <w:b/>
                <w:bCs/>
                <w:color w:val="FFFFFF" w:themeColor="background1"/>
                <w:szCs w:val="20"/>
              </w:rPr>
              <w:t xml:space="preserve"> </w:t>
            </w:r>
            <w:r w:rsidRPr="0008799C">
              <w:rPr>
                <w:rFonts w:cs="Arial"/>
                <w:b/>
                <w:bCs/>
                <w:color w:val="FFFFFF" w:themeColor="background1"/>
                <w:szCs w:val="20"/>
              </w:rPr>
              <w:t xml:space="preserve">to 30 June </w:t>
            </w:r>
            <w:r w:rsidR="00ED6126" w:rsidRPr="0008799C">
              <w:rPr>
                <w:rFonts w:cs="Arial"/>
                <w:b/>
                <w:bCs/>
                <w:color w:val="FFFFFF" w:themeColor="background1"/>
                <w:szCs w:val="20"/>
              </w:rPr>
              <w:t>20</w:t>
            </w:r>
            <w:r w:rsidR="00ED6126">
              <w:rPr>
                <w:rFonts w:cs="Arial"/>
                <w:b/>
                <w:bCs/>
                <w:color w:val="FFFFFF" w:themeColor="background1"/>
                <w:szCs w:val="20"/>
              </w:rPr>
              <w:t>2</w:t>
            </w:r>
            <w:r w:rsidR="00E45546">
              <w:rPr>
                <w:rFonts w:cs="Arial"/>
                <w:b/>
                <w:bCs/>
                <w:color w:val="FFFFFF" w:themeColor="background1"/>
                <w:szCs w:val="20"/>
              </w:rPr>
              <w:t>5</w:t>
            </w:r>
          </w:p>
        </w:tc>
      </w:tr>
      <w:tr w:rsidR="000F34A8" w:rsidRPr="000F34A8" w14:paraId="5E02746B" w14:textId="77777777" w:rsidTr="002B22C9">
        <w:trPr>
          <w:trHeight w:val="300"/>
        </w:trPr>
        <w:tc>
          <w:tcPr>
            <w:tcW w:w="5946" w:type="dxa"/>
            <w:shd w:val="clear" w:color="auto" w:fill="FFA7A7"/>
            <w:noWrap/>
            <w:vAlign w:val="center"/>
            <w:hideMark/>
          </w:tcPr>
          <w:p w14:paraId="61DFDA22" w14:textId="77777777" w:rsidR="000F34A8" w:rsidRPr="000F34A8" w:rsidRDefault="000F34A8" w:rsidP="00F65B72">
            <w:pPr>
              <w:tabs>
                <w:tab w:val="left" w:pos="5310"/>
              </w:tabs>
              <w:spacing w:before="60" w:after="60" w:line="276" w:lineRule="auto"/>
              <w:rPr>
                <w:rFonts w:cs="Arial"/>
                <w:b/>
                <w:bCs/>
                <w:szCs w:val="20"/>
              </w:rPr>
            </w:pPr>
            <w:r w:rsidRPr="000F34A8">
              <w:rPr>
                <w:rFonts w:cs="Arial"/>
                <w:b/>
                <w:bCs/>
                <w:szCs w:val="20"/>
              </w:rPr>
              <w:t>Pattern Approval</w:t>
            </w:r>
          </w:p>
        </w:tc>
        <w:tc>
          <w:tcPr>
            <w:tcW w:w="3116" w:type="dxa"/>
            <w:shd w:val="clear" w:color="auto" w:fill="FFA7A7"/>
            <w:vAlign w:val="center"/>
            <w:hideMark/>
          </w:tcPr>
          <w:p w14:paraId="63C0296F" w14:textId="77777777" w:rsidR="000F34A8" w:rsidRPr="000F34A8" w:rsidRDefault="000F34A8" w:rsidP="00F65B72">
            <w:pPr>
              <w:tabs>
                <w:tab w:val="left" w:pos="5310"/>
              </w:tabs>
              <w:spacing w:before="60" w:after="60" w:line="276" w:lineRule="auto"/>
              <w:jc w:val="center"/>
              <w:rPr>
                <w:rFonts w:cs="Arial"/>
                <w:b/>
                <w:bCs/>
                <w:szCs w:val="20"/>
              </w:rPr>
            </w:pPr>
            <w:r>
              <w:rPr>
                <w:rFonts w:cs="Arial"/>
                <w:b/>
                <w:bCs/>
                <w:szCs w:val="20"/>
              </w:rPr>
              <w:t>$’000s</w:t>
            </w:r>
          </w:p>
        </w:tc>
      </w:tr>
      <w:tr w:rsidR="0042776D" w:rsidRPr="000F34A8" w14:paraId="655C7588" w14:textId="77777777" w:rsidTr="002B22C9">
        <w:trPr>
          <w:trHeight w:val="300"/>
        </w:trPr>
        <w:tc>
          <w:tcPr>
            <w:tcW w:w="5946" w:type="dxa"/>
            <w:noWrap/>
            <w:vAlign w:val="center"/>
            <w:hideMark/>
          </w:tcPr>
          <w:p w14:paraId="1F3918B2" w14:textId="77777777" w:rsidR="0042776D" w:rsidRPr="000F34A8" w:rsidRDefault="0042776D" w:rsidP="0042776D">
            <w:pPr>
              <w:tabs>
                <w:tab w:val="left" w:pos="5310"/>
              </w:tabs>
              <w:spacing w:before="60" w:after="60" w:line="276" w:lineRule="auto"/>
              <w:rPr>
                <w:rFonts w:cs="Arial"/>
                <w:b/>
                <w:bCs/>
                <w:szCs w:val="20"/>
              </w:rPr>
            </w:pPr>
            <w:r w:rsidRPr="000F34A8">
              <w:rPr>
                <w:rFonts w:cs="Arial"/>
                <w:b/>
                <w:bCs/>
                <w:szCs w:val="20"/>
              </w:rPr>
              <w:t>Expenses</w:t>
            </w:r>
          </w:p>
        </w:tc>
        <w:tc>
          <w:tcPr>
            <w:tcW w:w="3116" w:type="dxa"/>
          </w:tcPr>
          <w:p w14:paraId="6C7526C0" w14:textId="5F0471C1" w:rsidR="0042776D" w:rsidRPr="00E45546" w:rsidRDefault="0042776D" w:rsidP="0042776D">
            <w:pPr>
              <w:tabs>
                <w:tab w:val="left" w:pos="5310"/>
              </w:tabs>
              <w:spacing w:before="60" w:after="60" w:line="276" w:lineRule="auto"/>
              <w:jc w:val="center"/>
              <w:rPr>
                <w:rFonts w:cs="Arial"/>
                <w:szCs w:val="20"/>
                <w:highlight w:val="yellow"/>
              </w:rPr>
            </w:pPr>
            <w:r w:rsidRPr="00BB3A62">
              <w:t>$1,653</w:t>
            </w:r>
          </w:p>
        </w:tc>
      </w:tr>
      <w:tr w:rsidR="0042776D" w:rsidRPr="000F34A8" w14:paraId="39EDF6EF" w14:textId="77777777" w:rsidTr="002B22C9">
        <w:trPr>
          <w:trHeight w:val="300"/>
        </w:trPr>
        <w:tc>
          <w:tcPr>
            <w:tcW w:w="5946" w:type="dxa"/>
            <w:noWrap/>
            <w:vAlign w:val="center"/>
            <w:hideMark/>
          </w:tcPr>
          <w:p w14:paraId="2715BDE5" w14:textId="77777777" w:rsidR="0042776D" w:rsidRPr="000F34A8" w:rsidRDefault="0042776D" w:rsidP="0042776D">
            <w:pPr>
              <w:tabs>
                <w:tab w:val="left" w:pos="5310"/>
              </w:tabs>
              <w:spacing w:before="60" w:after="60" w:line="276" w:lineRule="auto"/>
              <w:rPr>
                <w:rFonts w:cs="Arial"/>
                <w:b/>
                <w:bCs/>
                <w:szCs w:val="20"/>
              </w:rPr>
            </w:pPr>
            <w:r w:rsidRPr="000F34A8">
              <w:rPr>
                <w:rFonts w:cs="Arial"/>
                <w:b/>
                <w:bCs/>
                <w:szCs w:val="20"/>
              </w:rPr>
              <w:t>Revenue</w:t>
            </w:r>
            <w:r>
              <w:rPr>
                <w:rFonts w:cs="Arial"/>
                <w:b/>
                <w:bCs/>
                <w:szCs w:val="20"/>
              </w:rPr>
              <w:t xml:space="preserve"> Total</w:t>
            </w:r>
          </w:p>
        </w:tc>
        <w:tc>
          <w:tcPr>
            <w:tcW w:w="3116" w:type="dxa"/>
          </w:tcPr>
          <w:p w14:paraId="0822CBB8" w14:textId="488CD9CF" w:rsidR="0042776D" w:rsidRPr="00E45546" w:rsidRDefault="0042776D" w:rsidP="0042776D">
            <w:pPr>
              <w:tabs>
                <w:tab w:val="left" w:pos="5310"/>
              </w:tabs>
              <w:spacing w:before="60" w:after="60" w:line="276" w:lineRule="auto"/>
              <w:jc w:val="center"/>
              <w:rPr>
                <w:rFonts w:cs="Arial"/>
                <w:b/>
                <w:bCs/>
                <w:szCs w:val="20"/>
                <w:highlight w:val="yellow"/>
              </w:rPr>
            </w:pPr>
            <w:r w:rsidRPr="00BB3A62">
              <w:t>$485</w:t>
            </w:r>
          </w:p>
        </w:tc>
      </w:tr>
      <w:tr w:rsidR="0042776D" w:rsidRPr="000F34A8" w14:paraId="2D553F59" w14:textId="77777777" w:rsidTr="002B22C9">
        <w:trPr>
          <w:trHeight w:val="300"/>
        </w:trPr>
        <w:tc>
          <w:tcPr>
            <w:tcW w:w="5946" w:type="dxa"/>
            <w:noWrap/>
            <w:vAlign w:val="center"/>
            <w:hideMark/>
          </w:tcPr>
          <w:p w14:paraId="7927054A" w14:textId="77777777" w:rsidR="0042776D" w:rsidRPr="000F34A8" w:rsidRDefault="0042776D" w:rsidP="0042776D">
            <w:pPr>
              <w:tabs>
                <w:tab w:val="left" w:pos="5310"/>
              </w:tabs>
              <w:spacing w:before="60" w:after="60" w:line="276" w:lineRule="auto"/>
              <w:rPr>
                <w:rFonts w:cs="Arial"/>
                <w:szCs w:val="20"/>
              </w:rPr>
            </w:pPr>
            <w:r>
              <w:rPr>
                <w:rFonts w:cs="Arial"/>
                <w:szCs w:val="20"/>
              </w:rPr>
              <w:t xml:space="preserve">   </w:t>
            </w:r>
            <w:r w:rsidRPr="000F34A8">
              <w:rPr>
                <w:rFonts w:cs="Arial"/>
                <w:szCs w:val="20"/>
              </w:rPr>
              <w:t>Pattern Approval Certificates</w:t>
            </w:r>
          </w:p>
        </w:tc>
        <w:tc>
          <w:tcPr>
            <w:tcW w:w="3116" w:type="dxa"/>
            <w:shd w:val="clear" w:color="auto" w:fill="auto"/>
          </w:tcPr>
          <w:p w14:paraId="6902D93F" w14:textId="5E8CB084" w:rsidR="0042776D" w:rsidRPr="000656AD" w:rsidRDefault="0042776D" w:rsidP="0042776D">
            <w:pPr>
              <w:tabs>
                <w:tab w:val="left" w:pos="5310"/>
              </w:tabs>
              <w:spacing w:before="60" w:after="60" w:line="276" w:lineRule="auto"/>
              <w:jc w:val="center"/>
              <w:rPr>
                <w:rFonts w:cs="Arial"/>
                <w:szCs w:val="20"/>
              </w:rPr>
            </w:pPr>
            <w:r w:rsidRPr="000656AD">
              <w:t>$389</w:t>
            </w:r>
          </w:p>
        </w:tc>
      </w:tr>
      <w:tr w:rsidR="0042776D" w:rsidRPr="000F34A8" w14:paraId="07BA5FCE" w14:textId="77777777" w:rsidTr="002B22C9">
        <w:trPr>
          <w:trHeight w:val="300"/>
        </w:trPr>
        <w:tc>
          <w:tcPr>
            <w:tcW w:w="5946" w:type="dxa"/>
            <w:noWrap/>
            <w:vAlign w:val="center"/>
            <w:hideMark/>
          </w:tcPr>
          <w:p w14:paraId="3A6BFDAB" w14:textId="77777777" w:rsidR="0042776D" w:rsidRPr="000F34A8" w:rsidRDefault="0042776D" w:rsidP="0042776D">
            <w:pPr>
              <w:tabs>
                <w:tab w:val="left" w:pos="5310"/>
              </w:tabs>
              <w:spacing w:before="60" w:after="60" w:line="276" w:lineRule="auto"/>
              <w:rPr>
                <w:rFonts w:cs="Arial"/>
                <w:szCs w:val="20"/>
              </w:rPr>
            </w:pPr>
            <w:r>
              <w:rPr>
                <w:rFonts w:cs="Arial"/>
                <w:szCs w:val="20"/>
              </w:rPr>
              <w:t xml:space="preserve">   </w:t>
            </w:r>
            <w:r w:rsidRPr="000F34A8">
              <w:rPr>
                <w:rFonts w:cs="Arial"/>
                <w:szCs w:val="20"/>
              </w:rPr>
              <w:t>Pattern Approval Laboratory</w:t>
            </w:r>
          </w:p>
        </w:tc>
        <w:tc>
          <w:tcPr>
            <w:tcW w:w="3116" w:type="dxa"/>
            <w:shd w:val="clear" w:color="auto" w:fill="auto"/>
          </w:tcPr>
          <w:p w14:paraId="5BEF55C5" w14:textId="565C9B62" w:rsidR="0042776D" w:rsidRPr="000656AD" w:rsidRDefault="0042776D" w:rsidP="0042776D">
            <w:pPr>
              <w:tabs>
                <w:tab w:val="left" w:pos="5310"/>
              </w:tabs>
              <w:spacing w:before="60" w:after="60" w:line="276" w:lineRule="auto"/>
              <w:jc w:val="center"/>
              <w:rPr>
                <w:rFonts w:cs="Arial"/>
                <w:szCs w:val="20"/>
              </w:rPr>
            </w:pPr>
            <w:r w:rsidRPr="000656AD">
              <w:t>$96</w:t>
            </w:r>
          </w:p>
        </w:tc>
      </w:tr>
      <w:tr w:rsidR="0042776D" w:rsidRPr="000F34A8" w14:paraId="5AC10297" w14:textId="77777777" w:rsidTr="002B22C9">
        <w:trPr>
          <w:trHeight w:val="300"/>
        </w:trPr>
        <w:tc>
          <w:tcPr>
            <w:tcW w:w="5946" w:type="dxa"/>
            <w:noWrap/>
            <w:vAlign w:val="center"/>
            <w:hideMark/>
          </w:tcPr>
          <w:p w14:paraId="13FA1145" w14:textId="77777777" w:rsidR="0042776D" w:rsidRPr="000F34A8" w:rsidRDefault="0042776D" w:rsidP="0042776D">
            <w:pPr>
              <w:tabs>
                <w:tab w:val="left" w:pos="5310"/>
              </w:tabs>
              <w:spacing w:before="60" w:after="60" w:line="276" w:lineRule="auto"/>
              <w:rPr>
                <w:rFonts w:cs="Arial"/>
                <w:b/>
                <w:bCs/>
                <w:szCs w:val="20"/>
              </w:rPr>
            </w:pPr>
            <w:r w:rsidRPr="000F34A8">
              <w:rPr>
                <w:rFonts w:cs="Arial"/>
                <w:b/>
                <w:bCs/>
                <w:szCs w:val="20"/>
              </w:rPr>
              <w:t>Balance</w:t>
            </w:r>
          </w:p>
        </w:tc>
        <w:tc>
          <w:tcPr>
            <w:tcW w:w="3116" w:type="dxa"/>
          </w:tcPr>
          <w:p w14:paraId="7B7536B7" w14:textId="39C1D9DD" w:rsidR="0042776D" w:rsidRPr="00E45546" w:rsidRDefault="0042776D" w:rsidP="0042776D">
            <w:pPr>
              <w:tabs>
                <w:tab w:val="left" w:pos="5310"/>
              </w:tabs>
              <w:spacing w:before="60" w:after="60" w:line="276" w:lineRule="auto"/>
              <w:jc w:val="center"/>
              <w:rPr>
                <w:rFonts w:cs="Arial"/>
                <w:szCs w:val="20"/>
                <w:highlight w:val="yellow"/>
              </w:rPr>
            </w:pPr>
            <w:r w:rsidRPr="00BB3A62">
              <w:t>-$1,168</w:t>
            </w:r>
          </w:p>
        </w:tc>
      </w:tr>
      <w:tr w:rsidR="002B22C9" w:rsidRPr="000F34A8" w14:paraId="789CBD02" w14:textId="77777777" w:rsidTr="002B22C9">
        <w:trPr>
          <w:trHeight w:val="300"/>
        </w:trPr>
        <w:tc>
          <w:tcPr>
            <w:tcW w:w="5946" w:type="dxa"/>
            <w:shd w:val="clear" w:color="auto" w:fill="FFA7A7"/>
            <w:noWrap/>
            <w:vAlign w:val="center"/>
            <w:hideMark/>
          </w:tcPr>
          <w:p w14:paraId="398D3B4A" w14:textId="77777777" w:rsidR="002B22C9" w:rsidRPr="000F34A8" w:rsidRDefault="002B22C9" w:rsidP="002B22C9">
            <w:pPr>
              <w:tabs>
                <w:tab w:val="left" w:pos="5310"/>
              </w:tabs>
              <w:spacing w:before="60" w:after="60" w:line="276" w:lineRule="auto"/>
              <w:rPr>
                <w:rFonts w:cs="Arial"/>
                <w:b/>
                <w:bCs/>
                <w:szCs w:val="20"/>
              </w:rPr>
            </w:pPr>
            <w:r w:rsidRPr="000F34A8">
              <w:rPr>
                <w:rFonts w:cs="Arial"/>
                <w:b/>
                <w:bCs/>
                <w:szCs w:val="20"/>
              </w:rPr>
              <w:t xml:space="preserve">Licensing </w:t>
            </w:r>
          </w:p>
        </w:tc>
        <w:tc>
          <w:tcPr>
            <w:tcW w:w="3116" w:type="dxa"/>
            <w:shd w:val="clear" w:color="auto" w:fill="FFA7A7"/>
            <w:vAlign w:val="center"/>
          </w:tcPr>
          <w:p w14:paraId="7A2856F4" w14:textId="627EDC7A" w:rsidR="002B22C9" w:rsidRPr="00ED6126" w:rsidRDefault="002B22C9" w:rsidP="002B22C9">
            <w:pPr>
              <w:tabs>
                <w:tab w:val="left" w:pos="5310"/>
              </w:tabs>
              <w:spacing w:before="60" w:after="60" w:line="276" w:lineRule="auto"/>
              <w:jc w:val="center"/>
              <w:rPr>
                <w:rFonts w:cs="Arial"/>
                <w:b/>
                <w:bCs/>
                <w:szCs w:val="20"/>
                <w:highlight w:val="yellow"/>
              </w:rPr>
            </w:pPr>
          </w:p>
        </w:tc>
      </w:tr>
      <w:tr w:rsidR="0042776D" w:rsidRPr="000F34A8" w14:paraId="2C34BF53" w14:textId="77777777" w:rsidTr="002B22C9">
        <w:trPr>
          <w:trHeight w:val="300"/>
        </w:trPr>
        <w:tc>
          <w:tcPr>
            <w:tcW w:w="5946" w:type="dxa"/>
            <w:noWrap/>
            <w:vAlign w:val="center"/>
            <w:hideMark/>
          </w:tcPr>
          <w:p w14:paraId="300BE4FF" w14:textId="77777777" w:rsidR="0042776D" w:rsidRPr="000F34A8" w:rsidRDefault="0042776D" w:rsidP="0042776D">
            <w:pPr>
              <w:spacing w:before="60" w:after="60"/>
              <w:rPr>
                <w:rFonts w:ascii="Calibri" w:hAnsi="Calibri"/>
                <w:b/>
                <w:bCs/>
                <w:color w:val="000000"/>
                <w:sz w:val="22"/>
                <w:szCs w:val="22"/>
              </w:rPr>
            </w:pPr>
            <w:r w:rsidRPr="000F34A8">
              <w:rPr>
                <w:b/>
              </w:rPr>
              <w:t>Expenses</w:t>
            </w:r>
          </w:p>
        </w:tc>
        <w:tc>
          <w:tcPr>
            <w:tcW w:w="3116" w:type="dxa"/>
          </w:tcPr>
          <w:p w14:paraId="535CDA6F" w14:textId="5CCFD644" w:rsidR="0042776D" w:rsidRPr="00E45546" w:rsidRDefault="0042776D" w:rsidP="0042776D">
            <w:pPr>
              <w:spacing w:before="60" w:after="60"/>
              <w:jc w:val="center"/>
              <w:rPr>
                <w:rFonts w:cs="Arial"/>
                <w:color w:val="000000"/>
                <w:szCs w:val="20"/>
                <w:highlight w:val="yellow"/>
              </w:rPr>
            </w:pPr>
            <w:r w:rsidRPr="00417FD8">
              <w:t>$794</w:t>
            </w:r>
          </w:p>
        </w:tc>
      </w:tr>
      <w:tr w:rsidR="0042776D" w:rsidRPr="000F34A8" w14:paraId="53273101" w14:textId="77777777" w:rsidTr="002B22C9">
        <w:trPr>
          <w:trHeight w:val="300"/>
        </w:trPr>
        <w:tc>
          <w:tcPr>
            <w:tcW w:w="5946" w:type="dxa"/>
            <w:noWrap/>
            <w:vAlign w:val="center"/>
            <w:hideMark/>
          </w:tcPr>
          <w:p w14:paraId="7E9C954F" w14:textId="77777777" w:rsidR="0042776D" w:rsidRPr="000F34A8" w:rsidRDefault="0042776D" w:rsidP="0042776D">
            <w:pPr>
              <w:spacing w:before="60" w:after="60"/>
              <w:rPr>
                <w:rFonts w:ascii="Calibri" w:hAnsi="Calibri"/>
                <w:b/>
                <w:bCs/>
                <w:color w:val="000000"/>
                <w:sz w:val="22"/>
                <w:szCs w:val="22"/>
              </w:rPr>
            </w:pPr>
            <w:r w:rsidRPr="000F34A8">
              <w:rPr>
                <w:b/>
              </w:rPr>
              <w:t>Revenue Total</w:t>
            </w:r>
          </w:p>
        </w:tc>
        <w:tc>
          <w:tcPr>
            <w:tcW w:w="3116" w:type="dxa"/>
          </w:tcPr>
          <w:p w14:paraId="581906D0" w14:textId="2C5BC685" w:rsidR="0042776D" w:rsidRPr="00E45546" w:rsidRDefault="0042776D" w:rsidP="0042776D">
            <w:pPr>
              <w:spacing w:before="60" w:after="60"/>
              <w:jc w:val="center"/>
              <w:rPr>
                <w:rFonts w:cs="Arial"/>
                <w:b/>
                <w:bCs/>
                <w:color w:val="000000"/>
                <w:szCs w:val="20"/>
                <w:highlight w:val="yellow"/>
              </w:rPr>
            </w:pPr>
            <w:r w:rsidRPr="00417FD8">
              <w:t>$564</w:t>
            </w:r>
          </w:p>
        </w:tc>
      </w:tr>
      <w:tr w:rsidR="0042776D" w:rsidRPr="000F34A8" w14:paraId="5E74AE1F" w14:textId="77777777" w:rsidTr="002B22C9">
        <w:trPr>
          <w:trHeight w:val="300"/>
        </w:trPr>
        <w:tc>
          <w:tcPr>
            <w:tcW w:w="5946" w:type="dxa"/>
            <w:noWrap/>
            <w:vAlign w:val="center"/>
            <w:hideMark/>
          </w:tcPr>
          <w:p w14:paraId="218FCC3B" w14:textId="77777777" w:rsidR="0042776D" w:rsidRPr="000F34A8" w:rsidRDefault="0042776D" w:rsidP="0042776D">
            <w:pPr>
              <w:spacing w:before="60" w:after="60"/>
              <w:ind w:firstLineChars="200" w:firstLine="400"/>
              <w:rPr>
                <w:rFonts w:ascii="Calibri" w:hAnsi="Calibri"/>
                <w:color w:val="000000"/>
                <w:sz w:val="22"/>
                <w:szCs w:val="22"/>
              </w:rPr>
            </w:pPr>
            <w:r w:rsidRPr="00353176">
              <w:t>Servicing Licences</w:t>
            </w:r>
          </w:p>
        </w:tc>
        <w:tc>
          <w:tcPr>
            <w:tcW w:w="3116" w:type="dxa"/>
            <w:shd w:val="clear" w:color="auto" w:fill="auto"/>
          </w:tcPr>
          <w:p w14:paraId="249AB73F" w14:textId="57DBB1A9" w:rsidR="0042776D" w:rsidRPr="000656AD" w:rsidRDefault="0042776D" w:rsidP="0042776D">
            <w:pPr>
              <w:spacing w:before="60" w:after="60"/>
              <w:jc w:val="center"/>
              <w:rPr>
                <w:rFonts w:cs="Arial"/>
                <w:color w:val="000000"/>
                <w:szCs w:val="20"/>
              </w:rPr>
            </w:pPr>
            <w:r w:rsidRPr="000656AD">
              <w:t>$480</w:t>
            </w:r>
          </w:p>
        </w:tc>
      </w:tr>
      <w:tr w:rsidR="0042776D" w:rsidRPr="000F34A8" w14:paraId="0A55B85D" w14:textId="77777777" w:rsidTr="002B22C9">
        <w:trPr>
          <w:trHeight w:val="300"/>
        </w:trPr>
        <w:tc>
          <w:tcPr>
            <w:tcW w:w="5946" w:type="dxa"/>
            <w:noWrap/>
            <w:vAlign w:val="center"/>
            <w:hideMark/>
          </w:tcPr>
          <w:p w14:paraId="3D48CAFB" w14:textId="77777777" w:rsidR="0042776D" w:rsidRPr="000F34A8" w:rsidRDefault="0042776D" w:rsidP="0042776D">
            <w:pPr>
              <w:spacing w:before="60" w:after="60"/>
              <w:ind w:firstLineChars="200" w:firstLine="400"/>
              <w:rPr>
                <w:rFonts w:ascii="Calibri" w:hAnsi="Calibri"/>
                <w:color w:val="000000"/>
                <w:sz w:val="22"/>
                <w:szCs w:val="22"/>
              </w:rPr>
            </w:pPr>
            <w:r w:rsidRPr="00353176">
              <w:t>Public Weighbridge Licences</w:t>
            </w:r>
          </w:p>
        </w:tc>
        <w:tc>
          <w:tcPr>
            <w:tcW w:w="3116" w:type="dxa"/>
            <w:shd w:val="clear" w:color="auto" w:fill="auto"/>
          </w:tcPr>
          <w:p w14:paraId="2C9FD25B" w14:textId="223B75F7" w:rsidR="0042776D" w:rsidRPr="000656AD" w:rsidRDefault="0042776D" w:rsidP="0042776D">
            <w:pPr>
              <w:spacing w:before="60" w:after="60"/>
              <w:jc w:val="center"/>
              <w:rPr>
                <w:rFonts w:cs="Arial"/>
                <w:color w:val="000000"/>
                <w:szCs w:val="20"/>
              </w:rPr>
            </w:pPr>
            <w:r w:rsidRPr="000656AD">
              <w:t>$84</w:t>
            </w:r>
          </w:p>
        </w:tc>
      </w:tr>
      <w:tr w:rsidR="0042776D" w:rsidRPr="000F34A8" w14:paraId="44FB06C1" w14:textId="77777777" w:rsidTr="002B22C9">
        <w:trPr>
          <w:trHeight w:val="300"/>
        </w:trPr>
        <w:tc>
          <w:tcPr>
            <w:tcW w:w="5946" w:type="dxa"/>
            <w:noWrap/>
            <w:vAlign w:val="center"/>
            <w:hideMark/>
          </w:tcPr>
          <w:p w14:paraId="158E9052" w14:textId="77777777" w:rsidR="0042776D" w:rsidRPr="000F34A8" w:rsidRDefault="0042776D" w:rsidP="0042776D">
            <w:pPr>
              <w:spacing w:before="60" w:after="60"/>
              <w:rPr>
                <w:rFonts w:ascii="Calibri" w:hAnsi="Calibri"/>
                <w:b/>
                <w:bCs/>
                <w:color w:val="000000"/>
                <w:sz w:val="22"/>
                <w:szCs w:val="22"/>
              </w:rPr>
            </w:pPr>
            <w:r w:rsidRPr="00353176">
              <w:t>Balance</w:t>
            </w:r>
          </w:p>
        </w:tc>
        <w:tc>
          <w:tcPr>
            <w:tcW w:w="3116" w:type="dxa"/>
          </w:tcPr>
          <w:p w14:paraId="194346AC" w14:textId="5E2948D7" w:rsidR="0042776D" w:rsidRPr="00E45546" w:rsidRDefault="0042776D" w:rsidP="0042776D">
            <w:pPr>
              <w:spacing w:before="60" w:after="60"/>
              <w:jc w:val="center"/>
              <w:rPr>
                <w:rFonts w:cs="Arial"/>
                <w:color w:val="000000"/>
                <w:szCs w:val="20"/>
                <w:highlight w:val="yellow"/>
              </w:rPr>
            </w:pPr>
            <w:r w:rsidRPr="00417FD8">
              <w:t>-$230</w:t>
            </w:r>
          </w:p>
        </w:tc>
      </w:tr>
      <w:tr w:rsidR="002B22C9" w:rsidRPr="000F34A8" w14:paraId="3792B6BE" w14:textId="77777777" w:rsidTr="002B22C9">
        <w:trPr>
          <w:trHeight w:val="300"/>
        </w:trPr>
        <w:tc>
          <w:tcPr>
            <w:tcW w:w="5946" w:type="dxa"/>
            <w:shd w:val="clear" w:color="auto" w:fill="FFA7A7"/>
            <w:noWrap/>
            <w:vAlign w:val="center"/>
            <w:hideMark/>
          </w:tcPr>
          <w:p w14:paraId="6D3F04E2" w14:textId="77777777" w:rsidR="002B22C9" w:rsidRPr="000F34A8" w:rsidRDefault="002B22C9" w:rsidP="002B22C9">
            <w:pPr>
              <w:tabs>
                <w:tab w:val="left" w:pos="5310"/>
              </w:tabs>
              <w:spacing w:before="60" w:after="60" w:line="276" w:lineRule="auto"/>
              <w:rPr>
                <w:rFonts w:cs="Arial"/>
                <w:b/>
                <w:bCs/>
                <w:szCs w:val="20"/>
              </w:rPr>
            </w:pPr>
            <w:r w:rsidRPr="000F34A8">
              <w:rPr>
                <w:rFonts w:cs="Arial"/>
                <w:b/>
                <w:bCs/>
                <w:szCs w:val="20"/>
              </w:rPr>
              <w:t>Appointments</w:t>
            </w:r>
          </w:p>
        </w:tc>
        <w:tc>
          <w:tcPr>
            <w:tcW w:w="3116" w:type="dxa"/>
            <w:shd w:val="clear" w:color="auto" w:fill="FFA7A7"/>
            <w:vAlign w:val="center"/>
          </w:tcPr>
          <w:p w14:paraId="25AB4C16" w14:textId="589D2F93" w:rsidR="002B22C9" w:rsidRPr="00ED6126" w:rsidRDefault="002B22C9" w:rsidP="002B22C9">
            <w:pPr>
              <w:tabs>
                <w:tab w:val="left" w:pos="5310"/>
              </w:tabs>
              <w:spacing w:before="60" w:after="60" w:line="276" w:lineRule="auto"/>
              <w:jc w:val="center"/>
              <w:rPr>
                <w:rFonts w:cs="Arial"/>
                <w:b/>
                <w:bCs/>
                <w:szCs w:val="20"/>
                <w:highlight w:val="yellow"/>
              </w:rPr>
            </w:pPr>
          </w:p>
        </w:tc>
      </w:tr>
      <w:tr w:rsidR="0042776D" w:rsidRPr="000F34A8" w14:paraId="69EA0EC0" w14:textId="77777777" w:rsidTr="002B22C9">
        <w:trPr>
          <w:trHeight w:val="300"/>
        </w:trPr>
        <w:tc>
          <w:tcPr>
            <w:tcW w:w="5946" w:type="dxa"/>
            <w:noWrap/>
            <w:vAlign w:val="center"/>
            <w:hideMark/>
          </w:tcPr>
          <w:p w14:paraId="12796D32" w14:textId="77777777" w:rsidR="0042776D" w:rsidRPr="000F34A8" w:rsidRDefault="0042776D" w:rsidP="0042776D">
            <w:pPr>
              <w:spacing w:before="60" w:after="60"/>
              <w:rPr>
                <w:rFonts w:ascii="Calibri" w:hAnsi="Calibri"/>
                <w:b/>
                <w:bCs/>
                <w:color w:val="000000"/>
                <w:sz w:val="22"/>
                <w:szCs w:val="22"/>
              </w:rPr>
            </w:pPr>
            <w:r w:rsidRPr="000F34A8">
              <w:rPr>
                <w:b/>
              </w:rPr>
              <w:t>Expenses</w:t>
            </w:r>
          </w:p>
        </w:tc>
        <w:tc>
          <w:tcPr>
            <w:tcW w:w="3116" w:type="dxa"/>
          </w:tcPr>
          <w:p w14:paraId="575EC64B" w14:textId="70DC3E36" w:rsidR="0042776D" w:rsidRPr="00E45546" w:rsidRDefault="0042776D" w:rsidP="0042776D">
            <w:pPr>
              <w:spacing w:before="60" w:after="60"/>
              <w:jc w:val="center"/>
              <w:rPr>
                <w:rFonts w:cs="Arial"/>
                <w:color w:val="000000"/>
                <w:szCs w:val="20"/>
                <w:highlight w:val="yellow"/>
              </w:rPr>
            </w:pPr>
            <w:r w:rsidRPr="000665B6">
              <w:t>$88</w:t>
            </w:r>
          </w:p>
        </w:tc>
      </w:tr>
      <w:tr w:rsidR="0042776D" w:rsidRPr="000F34A8" w14:paraId="1E4EEF30" w14:textId="77777777" w:rsidTr="002B22C9">
        <w:trPr>
          <w:trHeight w:val="300"/>
        </w:trPr>
        <w:tc>
          <w:tcPr>
            <w:tcW w:w="5946" w:type="dxa"/>
            <w:noWrap/>
            <w:vAlign w:val="center"/>
            <w:hideMark/>
          </w:tcPr>
          <w:p w14:paraId="5344BDFB" w14:textId="77777777" w:rsidR="0042776D" w:rsidRPr="000F34A8" w:rsidRDefault="0042776D" w:rsidP="0042776D">
            <w:pPr>
              <w:spacing w:before="60" w:after="60"/>
              <w:rPr>
                <w:rFonts w:ascii="Calibri" w:hAnsi="Calibri"/>
                <w:b/>
                <w:bCs/>
                <w:color w:val="000000"/>
                <w:sz w:val="22"/>
                <w:szCs w:val="22"/>
              </w:rPr>
            </w:pPr>
            <w:r w:rsidRPr="000F34A8">
              <w:rPr>
                <w:b/>
              </w:rPr>
              <w:t xml:space="preserve">Revenue </w:t>
            </w:r>
            <w:r>
              <w:rPr>
                <w:b/>
              </w:rPr>
              <w:t>– LMA Appointments</w:t>
            </w:r>
          </w:p>
        </w:tc>
        <w:tc>
          <w:tcPr>
            <w:tcW w:w="3116" w:type="dxa"/>
          </w:tcPr>
          <w:p w14:paraId="0F39250C" w14:textId="4C4BA337" w:rsidR="0042776D" w:rsidRPr="00E45546" w:rsidRDefault="0042776D" w:rsidP="0042776D">
            <w:pPr>
              <w:spacing w:before="60" w:after="60"/>
              <w:jc w:val="center"/>
              <w:rPr>
                <w:rFonts w:cs="Arial"/>
                <w:b/>
                <w:bCs/>
                <w:color w:val="000000"/>
                <w:szCs w:val="20"/>
                <w:highlight w:val="yellow"/>
              </w:rPr>
            </w:pPr>
            <w:r w:rsidRPr="000665B6">
              <w:t>$77</w:t>
            </w:r>
          </w:p>
        </w:tc>
      </w:tr>
      <w:tr w:rsidR="0042776D" w:rsidRPr="000F34A8" w14:paraId="59B23B51" w14:textId="77777777" w:rsidTr="002B22C9">
        <w:trPr>
          <w:trHeight w:val="300"/>
        </w:trPr>
        <w:tc>
          <w:tcPr>
            <w:tcW w:w="5946" w:type="dxa"/>
            <w:noWrap/>
            <w:vAlign w:val="center"/>
            <w:hideMark/>
          </w:tcPr>
          <w:p w14:paraId="553AD642" w14:textId="77777777" w:rsidR="0042776D" w:rsidRPr="000F34A8" w:rsidRDefault="0042776D" w:rsidP="0042776D">
            <w:pPr>
              <w:spacing w:before="60" w:after="60"/>
              <w:rPr>
                <w:rFonts w:ascii="Calibri" w:hAnsi="Calibri"/>
                <w:b/>
                <w:bCs/>
                <w:color w:val="000000"/>
                <w:sz w:val="22"/>
                <w:szCs w:val="22"/>
              </w:rPr>
            </w:pPr>
            <w:r w:rsidRPr="00353176">
              <w:t>Balance</w:t>
            </w:r>
          </w:p>
        </w:tc>
        <w:tc>
          <w:tcPr>
            <w:tcW w:w="3116" w:type="dxa"/>
          </w:tcPr>
          <w:p w14:paraId="4D3A894D" w14:textId="0CC149BA" w:rsidR="0042776D" w:rsidRPr="00E45546" w:rsidRDefault="0042776D" w:rsidP="0042776D">
            <w:pPr>
              <w:spacing w:before="60" w:after="60"/>
              <w:jc w:val="center"/>
              <w:rPr>
                <w:rFonts w:cs="Arial"/>
                <w:color w:val="000000"/>
                <w:szCs w:val="20"/>
                <w:highlight w:val="yellow"/>
              </w:rPr>
            </w:pPr>
            <w:r w:rsidRPr="000665B6">
              <w:t>-$11</w:t>
            </w:r>
          </w:p>
        </w:tc>
      </w:tr>
    </w:tbl>
    <w:p w14:paraId="259A854B" w14:textId="77777777" w:rsidR="000F34A8" w:rsidRDefault="000F34A8" w:rsidP="005A229D">
      <w:pPr>
        <w:tabs>
          <w:tab w:val="left" w:pos="5310"/>
        </w:tabs>
        <w:spacing w:line="276" w:lineRule="auto"/>
        <w:rPr>
          <w:rFonts w:cs="Arial"/>
          <w:szCs w:val="20"/>
          <w:lang w:val="en-US"/>
        </w:rPr>
      </w:pPr>
    </w:p>
    <w:p w14:paraId="19EF329D" w14:textId="77777777" w:rsidR="002263B4" w:rsidRDefault="002263B4">
      <w:pPr>
        <w:spacing w:after="200" w:line="276" w:lineRule="auto"/>
        <w:rPr>
          <w:rFonts w:cs="Arial"/>
          <w:b/>
          <w:szCs w:val="20"/>
        </w:rPr>
      </w:pPr>
      <w:bookmarkStart w:id="41" w:name="_Hlk150329873"/>
      <w:r>
        <w:rPr>
          <w:rFonts w:cs="Arial"/>
          <w:b/>
          <w:szCs w:val="20"/>
        </w:rPr>
        <w:br w:type="page"/>
      </w:r>
    </w:p>
    <w:p w14:paraId="33F8532E" w14:textId="11CDA993" w:rsidR="00271553" w:rsidRPr="005A229D" w:rsidRDefault="00271553" w:rsidP="005A229D">
      <w:pPr>
        <w:spacing w:before="120" w:line="276" w:lineRule="auto"/>
      </w:pPr>
      <w:r w:rsidRPr="009212A9">
        <w:rPr>
          <w:rFonts w:cs="Arial"/>
          <w:b/>
          <w:szCs w:val="20"/>
        </w:rPr>
        <w:lastRenderedPageBreak/>
        <w:t xml:space="preserve">Table </w:t>
      </w:r>
      <w:r>
        <w:rPr>
          <w:rFonts w:cs="Arial"/>
          <w:b/>
          <w:szCs w:val="20"/>
        </w:rPr>
        <w:t>4</w:t>
      </w:r>
      <w:r w:rsidRPr="009212A9">
        <w:rPr>
          <w:rFonts w:cs="Arial"/>
          <w:b/>
          <w:szCs w:val="20"/>
        </w:rPr>
        <w:t xml:space="preserve">: </w:t>
      </w:r>
      <w:r w:rsidR="00D0156F" w:rsidRPr="00D0156F">
        <w:rPr>
          <w:rFonts w:cs="Arial"/>
          <w:b/>
          <w:szCs w:val="20"/>
        </w:rPr>
        <w:t xml:space="preserve">Financial Estimates </w:t>
      </w:r>
      <w:r w:rsidRPr="00271553">
        <w:rPr>
          <w:rFonts w:cs="Arial"/>
          <w:b/>
          <w:szCs w:val="20"/>
        </w:rPr>
        <w:t xml:space="preserve">for </w:t>
      </w:r>
      <w:r w:rsidRPr="005A229D">
        <w:rPr>
          <w:b/>
        </w:rPr>
        <w:t>Pattern Approval</w:t>
      </w:r>
      <w:r w:rsidR="007575A9">
        <w:rPr>
          <w:rFonts w:cs="Arial"/>
          <w:b/>
          <w:szCs w:val="20"/>
        </w:rPr>
        <w:t xml:space="preserve"> Regulatory Charging Activity</w:t>
      </w:r>
    </w:p>
    <w:tbl>
      <w:tblPr>
        <w:tblStyle w:val="TableGrid"/>
        <w:tblW w:w="0" w:type="auto"/>
        <w:tblLook w:val="04A0" w:firstRow="1" w:lastRow="0" w:firstColumn="1" w:lastColumn="0" w:noHBand="0" w:noVBand="1"/>
      </w:tblPr>
      <w:tblGrid>
        <w:gridCol w:w="2158"/>
        <w:gridCol w:w="1625"/>
        <w:gridCol w:w="1625"/>
        <w:gridCol w:w="1760"/>
        <w:gridCol w:w="1894"/>
      </w:tblGrid>
      <w:tr w:rsidR="00C64184" w:rsidRPr="00D0156F" w14:paraId="70631CA6" w14:textId="67DCE32F" w:rsidTr="002B22C9">
        <w:trPr>
          <w:trHeight w:val="300"/>
        </w:trPr>
        <w:tc>
          <w:tcPr>
            <w:tcW w:w="9062" w:type="dxa"/>
            <w:gridSpan w:val="5"/>
            <w:shd w:val="clear" w:color="auto" w:fill="FF0000"/>
            <w:noWrap/>
            <w:vAlign w:val="center"/>
            <w:hideMark/>
          </w:tcPr>
          <w:p w14:paraId="200480DB" w14:textId="5D636DCB" w:rsidR="00C64184" w:rsidRPr="007575A9" w:rsidRDefault="00C64184">
            <w:pPr>
              <w:spacing w:before="60" w:after="60" w:line="276" w:lineRule="auto"/>
              <w:jc w:val="center"/>
              <w:rPr>
                <w:rFonts w:cs="Arial"/>
                <w:b/>
                <w:bCs/>
                <w:color w:val="FFFFFF" w:themeColor="background1"/>
                <w:szCs w:val="20"/>
              </w:rPr>
            </w:pPr>
            <w:r w:rsidRPr="007575A9">
              <w:rPr>
                <w:rFonts w:cs="Arial"/>
                <w:b/>
                <w:bCs/>
                <w:color w:val="FFFFFF" w:themeColor="background1"/>
                <w:szCs w:val="20"/>
              </w:rPr>
              <w:t>Pattern Approval</w:t>
            </w:r>
          </w:p>
        </w:tc>
      </w:tr>
      <w:tr w:rsidR="00C64184" w:rsidRPr="00D0156F" w14:paraId="701EAC30" w14:textId="67D011EB" w:rsidTr="002B22C9">
        <w:trPr>
          <w:trHeight w:val="300"/>
        </w:trPr>
        <w:tc>
          <w:tcPr>
            <w:tcW w:w="2158" w:type="dxa"/>
            <w:noWrap/>
          </w:tcPr>
          <w:p w14:paraId="5264E240" w14:textId="6CD183CC" w:rsidR="00C64184" w:rsidRPr="00D0156F" w:rsidRDefault="00C64184" w:rsidP="008F6738">
            <w:pPr>
              <w:spacing w:before="60" w:after="60" w:line="276" w:lineRule="auto"/>
              <w:rPr>
                <w:rFonts w:cs="Arial"/>
                <w:b/>
                <w:bCs/>
                <w:szCs w:val="20"/>
              </w:rPr>
            </w:pPr>
            <w:r w:rsidRPr="00D0156F">
              <w:rPr>
                <w:rFonts w:cs="Arial"/>
                <w:b/>
                <w:bCs/>
                <w:szCs w:val="20"/>
              </w:rPr>
              <w:t>$'000s</w:t>
            </w:r>
          </w:p>
        </w:tc>
        <w:tc>
          <w:tcPr>
            <w:tcW w:w="1625" w:type="dxa"/>
          </w:tcPr>
          <w:p w14:paraId="03488ED7" w14:textId="381DA617" w:rsidR="00C64184" w:rsidRPr="000656AD" w:rsidRDefault="00865A00" w:rsidP="00865A00">
            <w:pPr>
              <w:spacing w:before="60" w:after="60" w:line="276" w:lineRule="auto"/>
              <w:jc w:val="center"/>
            </w:pPr>
            <w:r w:rsidRPr="000656AD">
              <w:rPr>
                <w:rFonts w:cs="Arial"/>
                <w:b/>
                <w:bCs/>
                <w:szCs w:val="20"/>
              </w:rPr>
              <w:t>202</w:t>
            </w:r>
            <w:r w:rsidR="00E45546" w:rsidRPr="000656AD">
              <w:rPr>
                <w:rFonts w:cs="Arial"/>
                <w:b/>
                <w:bCs/>
                <w:szCs w:val="20"/>
              </w:rPr>
              <w:t>4</w:t>
            </w:r>
            <w:r w:rsidR="00C64184" w:rsidRPr="000656AD">
              <w:rPr>
                <w:rFonts w:cs="Arial"/>
                <w:b/>
                <w:bCs/>
                <w:szCs w:val="20"/>
              </w:rPr>
              <w:t>-</w:t>
            </w:r>
            <w:r w:rsidRPr="000656AD">
              <w:rPr>
                <w:rFonts w:cs="Arial"/>
                <w:b/>
                <w:bCs/>
                <w:szCs w:val="20"/>
              </w:rPr>
              <w:t>2</w:t>
            </w:r>
            <w:r w:rsidR="00E45546" w:rsidRPr="000656AD">
              <w:rPr>
                <w:rFonts w:cs="Arial"/>
                <w:b/>
                <w:bCs/>
                <w:szCs w:val="20"/>
              </w:rPr>
              <w:t>5</w:t>
            </w:r>
          </w:p>
        </w:tc>
        <w:tc>
          <w:tcPr>
            <w:tcW w:w="1625" w:type="dxa"/>
          </w:tcPr>
          <w:p w14:paraId="119C7C90" w14:textId="1C7F9C5E" w:rsidR="00C64184" w:rsidRPr="000656AD" w:rsidRDefault="00865A00" w:rsidP="00865A00">
            <w:pPr>
              <w:spacing w:before="60" w:after="60" w:line="276" w:lineRule="auto"/>
              <w:jc w:val="center"/>
            </w:pPr>
            <w:r w:rsidRPr="000656AD">
              <w:rPr>
                <w:rFonts w:cs="Arial"/>
                <w:b/>
                <w:bCs/>
                <w:szCs w:val="20"/>
              </w:rPr>
              <w:t>202</w:t>
            </w:r>
            <w:r w:rsidR="00E45546" w:rsidRPr="000656AD">
              <w:rPr>
                <w:rFonts w:cs="Arial"/>
                <w:b/>
                <w:bCs/>
                <w:szCs w:val="20"/>
              </w:rPr>
              <w:t>5</w:t>
            </w:r>
            <w:r w:rsidR="00C64184" w:rsidRPr="000656AD">
              <w:rPr>
                <w:rFonts w:cs="Arial"/>
                <w:b/>
                <w:bCs/>
                <w:szCs w:val="20"/>
              </w:rPr>
              <w:t>-</w:t>
            </w:r>
            <w:r w:rsidRPr="000656AD">
              <w:rPr>
                <w:rFonts w:cs="Arial"/>
                <w:b/>
                <w:bCs/>
                <w:szCs w:val="20"/>
              </w:rPr>
              <w:t>2</w:t>
            </w:r>
            <w:r w:rsidR="00E45546" w:rsidRPr="000656AD">
              <w:rPr>
                <w:rFonts w:cs="Arial"/>
                <w:b/>
                <w:bCs/>
                <w:szCs w:val="20"/>
              </w:rPr>
              <w:t>6</w:t>
            </w:r>
          </w:p>
        </w:tc>
        <w:tc>
          <w:tcPr>
            <w:tcW w:w="1760" w:type="dxa"/>
          </w:tcPr>
          <w:p w14:paraId="3B636B78" w14:textId="29A93048" w:rsidR="00C64184" w:rsidRPr="000656AD" w:rsidRDefault="00865A00" w:rsidP="00865A00">
            <w:pPr>
              <w:spacing w:before="60" w:after="60" w:line="276" w:lineRule="auto"/>
              <w:jc w:val="center"/>
              <w:rPr>
                <w:rFonts w:cs="Arial"/>
                <w:szCs w:val="20"/>
              </w:rPr>
            </w:pPr>
            <w:r w:rsidRPr="000656AD">
              <w:rPr>
                <w:rFonts w:cs="Arial"/>
                <w:b/>
                <w:bCs/>
                <w:szCs w:val="20"/>
              </w:rPr>
              <w:t>202</w:t>
            </w:r>
            <w:r w:rsidR="00E45546" w:rsidRPr="000656AD">
              <w:rPr>
                <w:rFonts w:cs="Arial"/>
                <w:b/>
                <w:bCs/>
                <w:szCs w:val="20"/>
              </w:rPr>
              <w:t>6</w:t>
            </w:r>
            <w:r w:rsidR="00C64184" w:rsidRPr="000656AD">
              <w:rPr>
                <w:rFonts w:cs="Arial"/>
                <w:b/>
                <w:bCs/>
                <w:szCs w:val="20"/>
              </w:rPr>
              <w:t>-</w:t>
            </w:r>
            <w:r w:rsidRPr="000656AD">
              <w:rPr>
                <w:rFonts w:cs="Arial"/>
                <w:b/>
                <w:bCs/>
                <w:szCs w:val="20"/>
              </w:rPr>
              <w:t>2</w:t>
            </w:r>
            <w:r w:rsidR="00E45546" w:rsidRPr="000656AD">
              <w:rPr>
                <w:rFonts w:cs="Arial"/>
                <w:b/>
                <w:bCs/>
                <w:szCs w:val="20"/>
              </w:rPr>
              <w:t>7</w:t>
            </w:r>
          </w:p>
        </w:tc>
        <w:tc>
          <w:tcPr>
            <w:tcW w:w="1894" w:type="dxa"/>
          </w:tcPr>
          <w:p w14:paraId="344C65B3" w14:textId="3F7B4C27" w:rsidR="00C64184" w:rsidRPr="000656AD" w:rsidRDefault="00865A00" w:rsidP="00865A00">
            <w:pPr>
              <w:spacing w:before="60" w:after="60" w:line="276" w:lineRule="auto"/>
              <w:jc w:val="center"/>
              <w:rPr>
                <w:rFonts w:cs="Arial"/>
                <w:b/>
                <w:bCs/>
                <w:szCs w:val="20"/>
              </w:rPr>
            </w:pPr>
            <w:r w:rsidRPr="000656AD">
              <w:rPr>
                <w:rFonts w:cs="Arial"/>
                <w:b/>
                <w:bCs/>
                <w:szCs w:val="20"/>
              </w:rPr>
              <w:t>202</w:t>
            </w:r>
            <w:r w:rsidR="00E45546" w:rsidRPr="000656AD">
              <w:rPr>
                <w:rFonts w:cs="Arial"/>
                <w:b/>
                <w:bCs/>
                <w:szCs w:val="20"/>
              </w:rPr>
              <w:t>7</w:t>
            </w:r>
            <w:r w:rsidR="00C64184" w:rsidRPr="000656AD">
              <w:rPr>
                <w:rFonts w:cs="Arial"/>
                <w:b/>
                <w:bCs/>
                <w:szCs w:val="20"/>
              </w:rPr>
              <w:t>-</w:t>
            </w:r>
            <w:r w:rsidRPr="000656AD">
              <w:rPr>
                <w:rFonts w:cs="Arial"/>
                <w:b/>
                <w:bCs/>
                <w:szCs w:val="20"/>
              </w:rPr>
              <w:t>2</w:t>
            </w:r>
            <w:r w:rsidR="00E45546" w:rsidRPr="000656AD">
              <w:rPr>
                <w:rFonts w:cs="Arial"/>
                <w:b/>
                <w:bCs/>
                <w:szCs w:val="20"/>
              </w:rPr>
              <w:t>8</w:t>
            </w:r>
          </w:p>
        </w:tc>
      </w:tr>
      <w:tr w:rsidR="0042776D" w:rsidRPr="00D0156F" w14:paraId="58B00F03" w14:textId="71E64B22" w:rsidTr="002B22C9">
        <w:trPr>
          <w:trHeight w:val="300"/>
        </w:trPr>
        <w:tc>
          <w:tcPr>
            <w:tcW w:w="2158" w:type="dxa"/>
            <w:noWrap/>
            <w:vAlign w:val="center"/>
            <w:hideMark/>
          </w:tcPr>
          <w:p w14:paraId="2F88616D" w14:textId="77777777" w:rsidR="0042776D" w:rsidRPr="00D0156F" w:rsidRDefault="0042776D" w:rsidP="0042776D">
            <w:pPr>
              <w:spacing w:before="60" w:after="60" w:line="276" w:lineRule="auto"/>
              <w:rPr>
                <w:rFonts w:cs="Arial"/>
                <w:b/>
                <w:bCs/>
                <w:szCs w:val="20"/>
              </w:rPr>
            </w:pPr>
            <w:r w:rsidRPr="00D0156F">
              <w:rPr>
                <w:rFonts w:cs="Arial"/>
                <w:b/>
                <w:bCs/>
                <w:szCs w:val="20"/>
              </w:rPr>
              <w:t>Expenses</w:t>
            </w:r>
          </w:p>
        </w:tc>
        <w:tc>
          <w:tcPr>
            <w:tcW w:w="1625" w:type="dxa"/>
          </w:tcPr>
          <w:p w14:paraId="2B150E58" w14:textId="6E3628C1" w:rsidR="0042776D" w:rsidRPr="00E45546" w:rsidRDefault="0042776D" w:rsidP="0042776D">
            <w:pPr>
              <w:spacing w:before="60" w:after="60" w:line="276" w:lineRule="auto"/>
              <w:jc w:val="center"/>
              <w:rPr>
                <w:rFonts w:cs="Arial"/>
                <w:szCs w:val="20"/>
                <w:highlight w:val="yellow"/>
              </w:rPr>
            </w:pPr>
            <w:r w:rsidRPr="0007340A">
              <w:t>$1,653</w:t>
            </w:r>
          </w:p>
        </w:tc>
        <w:tc>
          <w:tcPr>
            <w:tcW w:w="1625" w:type="dxa"/>
          </w:tcPr>
          <w:p w14:paraId="61D40608" w14:textId="2EC65931" w:rsidR="0042776D" w:rsidRPr="00E45546" w:rsidRDefault="0042776D" w:rsidP="0042776D">
            <w:pPr>
              <w:spacing w:before="60" w:after="60" w:line="276" w:lineRule="auto"/>
              <w:jc w:val="center"/>
              <w:rPr>
                <w:rFonts w:cs="Arial"/>
                <w:szCs w:val="20"/>
                <w:highlight w:val="yellow"/>
              </w:rPr>
            </w:pPr>
            <w:r w:rsidRPr="0007340A">
              <w:t>$1,713</w:t>
            </w:r>
          </w:p>
        </w:tc>
        <w:tc>
          <w:tcPr>
            <w:tcW w:w="1760" w:type="dxa"/>
          </w:tcPr>
          <w:p w14:paraId="1DF8465D" w14:textId="0A5887FE" w:rsidR="0042776D" w:rsidRPr="00E45546" w:rsidRDefault="0042776D" w:rsidP="0042776D">
            <w:pPr>
              <w:spacing w:before="60" w:after="60" w:line="276" w:lineRule="auto"/>
              <w:jc w:val="center"/>
              <w:rPr>
                <w:rFonts w:cs="Arial"/>
                <w:szCs w:val="20"/>
                <w:highlight w:val="yellow"/>
              </w:rPr>
            </w:pPr>
            <w:r w:rsidRPr="0007340A">
              <w:t>$1,773</w:t>
            </w:r>
          </w:p>
        </w:tc>
        <w:tc>
          <w:tcPr>
            <w:tcW w:w="1894" w:type="dxa"/>
          </w:tcPr>
          <w:p w14:paraId="2ADD3FA7" w14:textId="0165D0ED" w:rsidR="0042776D" w:rsidRPr="00E45546" w:rsidRDefault="0042776D" w:rsidP="0042776D">
            <w:pPr>
              <w:spacing w:before="60" w:after="60" w:line="276" w:lineRule="auto"/>
              <w:jc w:val="center"/>
              <w:rPr>
                <w:highlight w:val="yellow"/>
              </w:rPr>
            </w:pPr>
            <w:r w:rsidRPr="0007340A">
              <w:t>$1,833</w:t>
            </w:r>
          </w:p>
        </w:tc>
      </w:tr>
      <w:tr w:rsidR="0042776D" w:rsidRPr="00B20B8F" w14:paraId="55B7F35B" w14:textId="04DFBD84" w:rsidTr="002B22C9">
        <w:trPr>
          <w:trHeight w:val="300"/>
        </w:trPr>
        <w:tc>
          <w:tcPr>
            <w:tcW w:w="2158" w:type="dxa"/>
            <w:noWrap/>
            <w:vAlign w:val="center"/>
            <w:hideMark/>
          </w:tcPr>
          <w:p w14:paraId="753CCCE3" w14:textId="77777777" w:rsidR="0042776D" w:rsidRPr="00B20B8F" w:rsidRDefault="0042776D" w:rsidP="0042776D">
            <w:pPr>
              <w:spacing w:before="60" w:after="60" w:line="276" w:lineRule="auto"/>
              <w:rPr>
                <w:rFonts w:cs="Arial"/>
                <w:b/>
                <w:bCs/>
                <w:szCs w:val="20"/>
              </w:rPr>
            </w:pPr>
            <w:r w:rsidRPr="00B20B8F">
              <w:rPr>
                <w:rFonts w:cs="Arial"/>
                <w:b/>
                <w:bCs/>
                <w:szCs w:val="20"/>
              </w:rPr>
              <w:t>Revenue</w:t>
            </w:r>
          </w:p>
        </w:tc>
        <w:tc>
          <w:tcPr>
            <w:tcW w:w="1625" w:type="dxa"/>
          </w:tcPr>
          <w:p w14:paraId="1A6183E7" w14:textId="3A0CC9AC" w:rsidR="0042776D" w:rsidRPr="00E45546" w:rsidRDefault="0042776D" w:rsidP="0042776D">
            <w:pPr>
              <w:spacing w:before="60" w:after="60" w:line="276" w:lineRule="auto"/>
              <w:jc w:val="center"/>
              <w:rPr>
                <w:rFonts w:cs="Arial"/>
                <w:b/>
                <w:szCs w:val="20"/>
                <w:highlight w:val="yellow"/>
              </w:rPr>
            </w:pPr>
            <w:r w:rsidRPr="0007340A">
              <w:t>$485</w:t>
            </w:r>
          </w:p>
        </w:tc>
        <w:tc>
          <w:tcPr>
            <w:tcW w:w="1625" w:type="dxa"/>
          </w:tcPr>
          <w:p w14:paraId="2A0DFE33" w14:textId="17A1A075" w:rsidR="0042776D" w:rsidRPr="00E45546" w:rsidRDefault="0042776D" w:rsidP="0042776D">
            <w:pPr>
              <w:spacing w:before="60" w:after="60" w:line="276" w:lineRule="auto"/>
              <w:jc w:val="center"/>
              <w:rPr>
                <w:rFonts w:cs="Arial"/>
                <w:b/>
                <w:szCs w:val="20"/>
                <w:highlight w:val="yellow"/>
              </w:rPr>
            </w:pPr>
            <w:r w:rsidRPr="0007340A">
              <w:t>$503</w:t>
            </w:r>
          </w:p>
        </w:tc>
        <w:tc>
          <w:tcPr>
            <w:tcW w:w="1760" w:type="dxa"/>
          </w:tcPr>
          <w:p w14:paraId="75DDB6BA" w14:textId="2E9566B2" w:rsidR="0042776D" w:rsidRPr="00E45546" w:rsidRDefault="0042776D" w:rsidP="0042776D">
            <w:pPr>
              <w:spacing w:before="60" w:after="60" w:line="276" w:lineRule="auto"/>
              <w:jc w:val="center"/>
              <w:rPr>
                <w:rFonts w:cs="Arial"/>
                <w:b/>
                <w:szCs w:val="20"/>
                <w:highlight w:val="yellow"/>
              </w:rPr>
            </w:pPr>
            <w:r w:rsidRPr="0007340A">
              <w:t>$523</w:t>
            </w:r>
          </w:p>
        </w:tc>
        <w:tc>
          <w:tcPr>
            <w:tcW w:w="1894" w:type="dxa"/>
          </w:tcPr>
          <w:p w14:paraId="16762E3F" w14:textId="34918B5D" w:rsidR="0042776D" w:rsidRPr="00E45546" w:rsidRDefault="0042776D" w:rsidP="0042776D">
            <w:pPr>
              <w:spacing w:before="60" w:after="60" w:line="276" w:lineRule="auto"/>
              <w:jc w:val="center"/>
              <w:rPr>
                <w:b/>
                <w:highlight w:val="yellow"/>
              </w:rPr>
            </w:pPr>
            <w:r w:rsidRPr="0007340A">
              <w:t>$542</w:t>
            </w:r>
          </w:p>
        </w:tc>
      </w:tr>
      <w:tr w:rsidR="0042776D" w:rsidRPr="00D0156F" w14:paraId="54955B1C" w14:textId="4ED8F0B1" w:rsidTr="002B22C9">
        <w:trPr>
          <w:trHeight w:val="300"/>
        </w:trPr>
        <w:tc>
          <w:tcPr>
            <w:tcW w:w="2158" w:type="dxa"/>
            <w:noWrap/>
            <w:vAlign w:val="center"/>
            <w:hideMark/>
          </w:tcPr>
          <w:p w14:paraId="0CFFD895" w14:textId="77777777" w:rsidR="0042776D" w:rsidRPr="00D0156F" w:rsidRDefault="0042776D" w:rsidP="0042776D">
            <w:pPr>
              <w:spacing w:before="60" w:after="60" w:line="276" w:lineRule="auto"/>
              <w:rPr>
                <w:rFonts w:cs="Arial"/>
                <w:b/>
                <w:bCs/>
                <w:szCs w:val="20"/>
              </w:rPr>
            </w:pPr>
            <w:r w:rsidRPr="00D0156F">
              <w:rPr>
                <w:rFonts w:cs="Arial"/>
                <w:b/>
                <w:bCs/>
                <w:szCs w:val="20"/>
              </w:rPr>
              <w:t>Balance</w:t>
            </w:r>
          </w:p>
        </w:tc>
        <w:tc>
          <w:tcPr>
            <w:tcW w:w="1625" w:type="dxa"/>
          </w:tcPr>
          <w:p w14:paraId="68CA5448" w14:textId="4E9C3A50" w:rsidR="0042776D" w:rsidRPr="00E45546" w:rsidRDefault="0042776D" w:rsidP="0042776D">
            <w:pPr>
              <w:spacing w:before="60" w:after="60" w:line="276" w:lineRule="auto"/>
              <w:jc w:val="center"/>
              <w:rPr>
                <w:rFonts w:cs="Arial"/>
                <w:szCs w:val="20"/>
                <w:highlight w:val="yellow"/>
              </w:rPr>
            </w:pPr>
            <w:r w:rsidRPr="0007340A">
              <w:t>-$1,168</w:t>
            </w:r>
          </w:p>
        </w:tc>
        <w:tc>
          <w:tcPr>
            <w:tcW w:w="1625" w:type="dxa"/>
          </w:tcPr>
          <w:p w14:paraId="3510370F" w14:textId="5A75EC7F" w:rsidR="0042776D" w:rsidRPr="00E45546" w:rsidRDefault="0042776D" w:rsidP="0042776D">
            <w:pPr>
              <w:spacing w:before="60" w:after="60" w:line="276" w:lineRule="auto"/>
              <w:jc w:val="center"/>
              <w:rPr>
                <w:rFonts w:cs="Arial"/>
                <w:szCs w:val="20"/>
                <w:highlight w:val="yellow"/>
              </w:rPr>
            </w:pPr>
            <w:r w:rsidRPr="0007340A">
              <w:t>-$1,210</w:t>
            </w:r>
          </w:p>
        </w:tc>
        <w:tc>
          <w:tcPr>
            <w:tcW w:w="1760" w:type="dxa"/>
          </w:tcPr>
          <w:p w14:paraId="4A1CF950" w14:textId="78FEB161" w:rsidR="0042776D" w:rsidRPr="00E45546" w:rsidRDefault="0042776D" w:rsidP="0042776D">
            <w:pPr>
              <w:spacing w:before="60" w:after="60" w:line="276" w:lineRule="auto"/>
              <w:jc w:val="center"/>
              <w:rPr>
                <w:rFonts w:cs="Arial"/>
                <w:szCs w:val="20"/>
                <w:highlight w:val="yellow"/>
              </w:rPr>
            </w:pPr>
            <w:r w:rsidRPr="0007340A">
              <w:t>-$1,251</w:t>
            </w:r>
          </w:p>
        </w:tc>
        <w:tc>
          <w:tcPr>
            <w:tcW w:w="1894" w:type="dxa"/>
          </w:tcPr>
          <w:p w14:paraId="73968CEA" w14:textId="5DE7CFFF" w:rsidR="0042776D" w:rsidRPr="00E45546" w:rsidRDefault="0042776D" w:rsidP="0042776D">
            <w:pPr>
              <w:spacing w:before="60" w:after="60" w:line="276" w:lineRule="auto"/>
              <w:jc w:val="center"/>
              <w:rPr>
                <w:highlight w:val="yellow"/>
              </w:rPr>
            </w:pPr>
            <w:r w:rsidRPr="0007340A">
              <w:t>-$1,291</w:t>
            </w:r>
          </w:p>
        </w:tc>
      </w:tr>
      <w:tr w:rsidR="0042776D" w:rsidRPr="00D0156F" w14:paraId="77C2FF5F" w14:textId="71A8EC4F" w:rsidTr="002B22C9">
        <w:trPr>
          <w:trHeight w:val="300"/>
        </w:trPr>
        <w:tc>
          <w:tcPr>
            <w:tcW w:w="2158" w:type="dxa"/>
            <w:noWrap/>
            <w:vAlign w:val="center"/>
            <w:hideMark/>
          </w:tcPr>
          <w:p w14:paraId="00D53457" w14:textId="77777777" w:rsidR="0042776D" w:rsidRPr="00D0156F" w:rsidRDefault="0042776D" w:rsidP="0042776D">
            <w:pPr>
              <w:spacing w:before="60" w:after="60" w:line="276" w:lineRule="auto"/>
              <w:rPr>
                <w:rFonts w:cs="Arial"/>
                <w:b/>
                <w:bCs/>
                <w:szCs w:val="20"/>
              </w:rPr>
            </w:pPr>
            <w:r w:rsidRPr="00D0156F">
              <w:rPr>
                <w:rFonts w:cs="Arial"/>
                <w:b/>
                <w:bCs/>
                <w:szCs w:val="20"/>
              </w:rPr>
              <w:t>Cumulative balance</w:t>
            </w:r>
          </w:p>
        </w:tc>
        <w:tc>
          <w:tcPr>
            <w:tcW w:w="1625" w:type="dxa"/>
          </w:tcPr>
          <w:p w14:paraId="214CC847" w14:textId="212349EC" w:rsidR="0042776D" w:rsidRPr="00E45546" w:rsidRDefault="0042776D" w:rsidP="0042776D">
            <w:pPr>
              <w:spacing w:before="60" w:after="60" w:line="276" w:lineRule="auto"/>
              <w:jc w:val="center"/>
              <w:rPr>
                <w:rFonts w:cs="Arial"/>
                <w:szCs w:val="20"/>
                <w:highlight w:val="yellow"/>
              </w:rPr>
            </w:pPr>
            <w:r w:rsidRPr="0007340A">
              <w:t>-$1,168</w:t>
            </w:r>
          </w:p>
        </w:tc>
        <w:tc>
          <w:tcPr>
            <w:tcW w:w="1625" w:type="dxa"/>
          </w:tcPr>
          <w:p w14:paraId="19AC0AB3" w14:textId="61D7A5DE" w:rsidR="0042776D" w:rsidRPr="00E45546" w:rsidRDefault="0042776D" w:rsidP="0042776D">
            <w:pPr>
              <w:spacing w:before="60" w:after="60" w:line="276" w:lineRule="auto"/>
              <w:jc w:val="center"/>
              <w:rPr>
                <w:rFonts w:cs="Arial"/>
                <w:szCs w:val="20"/>
                <w:highlight w:val="yellow"/>
              </w:rPr>
            </w:pPr>
            <w:r w:rsidRPr="0007340A">
              <w:t>-$2,378</w:t>
            </w:r>
          </w:p>
        </w:tc>
        <w:tc>
          <w:tcPr>
            <w:tcW w:w="1760" w:type="dxa"/>
          </w:tcPr>
          <w:p w14:paraId="78232803" w14:textId="29032C43" w:rsidR="0042776D" w:rsidRPr="00E45546" w:rsidRDefault="0042776D" w:rsidP="0042776D">
            <w:pPr>
              <w:spacing w:before="60" w:after="60" w:line="276" w:lineRule="auto"/>
              <w:jc w:val="center"/>
              <w:rPr>
                <w:rFonts w:cs="Arial"/>
                <w:szCs w:val="20"/>
                <w:highlight w:val="yellow"/>
              </w:rPr>
            </w:pPr>
            <w:r w:rsidRPr="0007340A">
              <w:t>-$3,629</w:t>
            </w:r>
          </w:p>
        </w:tc>
        <w:tc>
          <w:tcPr>
            <w:tcW w:w="1894" w:type="dxa"/>
          </w:tcPr>
          <w:p w14:paraId="787E83EA" w14:textId="79C5CE6B" w:rsidR="0042776D" w:rsidRPr="00E45546" w:rsidRDefault="0042776D" w:rsidP="0042776D">
            <w:pPr>
              <w:spacing w:before="60" w:after="60" w:line="276" w:lineRule="auto"/>
              <w:jc w:val="center"/>
              <w:rPr>
                <w:highlight w:val="yellow"/>
              </w:rPr>
            </w:pPr>
            <w:r w:rsidRPr="0007340A">
              <w:t>-$4,919</w:t>
            </w:r>
          </w:p>
        </w:tc>
      </w:tr>
    </w:tbl>
    <w:p w14:paraId="1BC01A34" w14:textId="77777777" w:rsidR="002263B4" w:rsidRDefault="002263B4" w:rsidP="005A229D">
      <w:pPr>
        <w:spacing w:after="200" w:line="276" w:lineRule="auto"/>
        <w:rPr>
          <w:rFonts w:cs="Arial"/>
          <w:b/>
          <w:szCs w:val="20"/>
        </w:rPr>
      </w:pPr>
      <w:bookmarkStart w:id="42" w:name="_Ref499803396"/>
      <w:bookmarkEnd w:id="41"/>
    </w:p>
    <w:p w14:paraId="0ECBE6E9" w14:textId="08756C15" w:rsidR="005C4D1A" w:rsidRDefault="005C4D1A" w:rsidP="002263B4">
      <w:pPr>
        <w:spacing w:line="276" w:lineRule="auto"/>
        <w:rPr>
          <w:rFonts w:cs="Arial"/>
          <w:b/>
          <w:szCs w:val="20"/>
        </w:rPr>
      </w:pPr>
      <w:r w:rsidRPr="009212A9">
        <w:rPr>
          <w:rFonts w:cs="Arial"/>
          <w:b/>
          <w:szCs w:val="20"/>
        </w:rPr>
        <w:t xml:space="preserve">Table </w:t>
      </w:r>
      <w:r>
        <w:rPr>
          <w:rFonts w:cs="Arial"/>
          <w:b/>
          <w:szCs w:val="20"/>
        </w:rPr>
        <w:t>5</w:t>
      </w:r>
      <w:r w:rsidRPr="009212A9">
        <w:rPr>
          <w:rFonts w:cs="Arial"/>
          <w:b/>
          <w:szCs w:val="20"/>
        </w:rPr>
        <w:t xml:space="preserve">: </w:t>
      </w:r>
      <w:r w:rsidR="007575A9" w:rsidRPr="00D0156F">
        <w:rPr>
          <w:rFonts w:cs="Arial"/>
          <w:b/>
          <w:szCs w:val="20"/>
        </w:rPr>
        <w:t xml:space="preserve">Financial Estimates </w:t>
      </w:r>
      <w:r w:rsidR="007575A9" w:rsidRPr="00271553">
        <w:rPr>
          <w:rFonts w:cs="Arial"/>
          <w:b/>
          <w:szCs w:val="20"/>
        </w:rPr>
        <w:t xml:space="preserve">for </w:t>
      </w:r>
      <w:r w:rsidR="007D3384">
        <w:rPr>
          <w:rFonts w:cs="Arial"/>
          <w:b/>
          <w:szCs w:val="20"/>
        </w:rPr>
        <w:t>Licensing</w:t>
      </w:r>
      <w:r w:rsidRPr="00271553">
        <w:rPr>
          <w:rFonts w:cs="Arial"/>
          <w:b/>
          <w:szCs w:val="20"/>
        </w:rPr>
        <w:t xml:space="preserve"> </w:t>
      </w:r>
      <w:r w:rsidR="007575A9">
        <w:rPr>
          <w:rFonts w:cs="Arial"/>
          <w:b/>
          <w:szCs w:val="20"/>
        </w:rPr>
        <w:t>and Appointments Regulatory Charging Activity</w:t>
      </w:r>
    </w:p>
    <w:tbl>
      <w:tblPr>
        <w:tblStyle w:val="TableGrid"/>
        <w:tblW w:w="9493" w:type="dxa"/>
        <w:tblLayout w:type="fixed"/>
        <w:tblLook w:val="04A0" w:firstRow="1" w:lastRow="0" w:firstColumn="1" w:lastColumn="0" w:noHBand="0" w:noVBand="1"/>
      </w:tblPr>
      <w:tblGrid>
        <w:gridCol w:w="3256"/>
        <w:gridCol w:w="1559"/>
        <w:gridCol w:w="1418"/>
        <w:gridCol w:w="1418"/>
        <w:gridCol w:w="1842"/>
      </w:tblGrid>
      <w:tr w:rsidR="003F364A" w:rsidRPr="00D0156F" w14:paraId="4F04E3EE" w14:textId="76656078" w:rsidTr="00445549">
        <w:trPr>
          <w:trHeight w:val="300"/>
          <w:tblHeader/>
        </w:trPr>
        <w:tc>
          <w:tcPr>
            <w:tcW w:w="9493" w:type="dxa"/>
            <w:gridSpan w:val="5"/>
            <w:shd w:val="clear" w:color="auto" w:fill="FF0000"/>
            <w:noWrap/>
            <w:hideMark/>
          </w:tcPr>
          <w:p w14:paraId="2A32C877" w14:textId="05FE43DD" w:rsidR="003F364A" w:rsidRPr="007575A9" w:rsidRDefault="003F364A" w:rsidP="005A229D">
            <w:pPr>
              <w:spacing w:before="60" w:after="60" w:line="276" w:lineRule="auto"/>
              <w:jc w:val="center"/>
              <w:rPr>
                <w:rFonts w:cs="Arial"/>
                <w:b/>
                <w:bCs/>
                <w:color w:val="FFFFFF" w:themeColor="background1"/>
                <w:szCs w:val="20"/>
              </w:rPr>
            </w:pPr>
            <w:bookmarkStart w:id="43" w:name="_Ref499803409"/>
            <w:bookmarkEnd w:id="42"/>
            <w:r w:rsidRPr="007575A9">
              <w:rPr>
                <w:rFonts w:cs="Arial"/>
                <w:b/>
                <w:bCs/>
                <w:color w:val="FFFFFF" w:themeColor="background1"/>
                <w:szCs w:val="20"/>
              </w:rPr>
              <w:t>Licensing and Appointments</w:t>
            </w:r>
          </w:p>
        </w:tc>
      </w:tr>
      <w:tr w:rsidR="00392721" w:rsidRPr="00D0156F" w14:paraId="1E8F77C6" w14:textId="79415438" w:rsidTr="00445549">
        <w:trPr>
          <w:trHeight w:val="300"/>
        </w:trPr>
        <w:tc>
          <w:tcPr>
            <w:tcW w:w="3256" w:type="dxa"/>
            <w:noWrap/>
            <w:hideMark/>
          </w:tcPr>
          <w:p w14:paraId="09A90F89" w14:textId="77777777" w:rsidR="00392721" w:rsidRPr="00D0156F" w:rsidRDefault="00392721" w:rsidP="00392721">
            <w:pPr>
              <w:spacing w:before="60" w:after="60" w:line="276" w:lineRule="auto"/>
              <w:rPr>
                <w:rFonts w:cs="Arial"/>
                <w:b/>
                <w:bCs/>
                <w:szCs w:val="20"/>
              </w:rPr>
            </w:pPr>
            <w:r w:rsidRPr="00D0156F">
              <w:rPr>
                <w:rFonts w:cs="Arial"/>
                <w:b/>
                <w:bCs/>
                <w:szCs w:val="20"/>
              </w:rPr>
              <w:t>$'000s</w:t>
            </w:r>
          </w:p>
        </w:tc>
        <w:tc>
          <w:tcPr>
            <w:tcW w:w="1559" w:type="dxa"/>
            <w:noWrap/>
          </w:tcPr>
          <w:p w14:paraId="7AC063CF" w14:textId="3DA64FF5" w:rsidR="00392721" w:rsidRPr="000656AD" w:rsidRDefault="00392721" w:rsidP="00392721">
            <w:pPr>
              <w:spacing w:before="60" w:after="60" w:line="276" w:lineRule="auto"/>
              <w:jc w:val="center"/>
              <w:rPr>
                <w:rFonts w:cs="Arial"/>
                <w:b/>
                <w:bCs/>
                <w:szCs w:val="20"/>
              </w:rPr>
            </w:pPr>
            <w:r w:rsidRPr="000656AD">
              <w:rPr>
                <w:rFonts w:cs="Arial"/>
                <w:b/>
                <w:bCs/>
                <w:szCs w:val="20"/>
              </w:rPr>
              <w:t>202</w:t>
            </w:r>
            <w:r w:rsidR="00E45546" w:rsidRPr="000656AD">
              <w:rPr>
                <w:rFonts w:cs="Arial"/>
                <w:b/>
                <w:bCs/>
                <w:szCs w:val="20"/>
              </w:rPr>
              <w:t>4</w:t>
            </w:r>
            <w:r w:rsidRPr="000656AD">
              <w:rPr>
                <w:rFonts w:cs="Arial"/>
                <w:b/>
                <w:bCs/>
                <w:szCs w:val="20"/>
              </w:rPr>
              <w:t>-2</w:t>
            </w:r>
            <w:r w:rsidR="00E45546" w:rsidRPr="000656AD">
              <w:rPr>
                <w:rFonts w:cs="Arial"/>
                <w:b/>
                <w:bCs/>
                <w:szCs w:val="20"/>
              </w:rPr>
              <w:t>5</w:t>
            </w:r>
          </w:p>
        </w:tc>
        <w:tc>
          <w:tcPr>
            <w:tcW w:w="1418" w:type="dxa"/>
            <w:noWrap/>
          </w:tcPr>
          <w:p w14:paraId="41C1E2DA" w14:textId="5B1789E5" w:rsidR="00392721" w:rsidRPr="000656AD" w:rsidRDefault="00392721" w:rsidP="00392721">
            <w:pPr>
              <w:spacing w:before="60" w:after="60" w:line="276" w:lineRule="auto"/>
              <w:jc w:val="center"/>
              <w:rPr>
                <w:rFonts w:cs="Arial"/>
                <w:b/>
                <w:bCs/>
                <w:szCs w:val="20"/>
              </w:rPr>
            </w:pPr>
            <w:r w:rsidRPr="000656AD">
              <w:rPr>
                <w:rFonts w:cs="Arial"/>
                <w:b/>
                <w:bCs/>
                <w:szCs w:val="20"/>
              </w:rPr>
              <w:t>202</w:t>
            </w:r>
            <w:r w:rsidR="00E45546" w:rsidRPr="000656AD">
              <w:rPr>
                <w:rFonts w:cs="Arial"/>
                <w:b/>
                <w:bCs/>
                <w:szCs w:val="20"/>
              </w:rPr>
              <w:t>5</w:t>
            </w:r>
            <w:r w:rsidRPr="000656AD">
              <w:rPr>
                <w:rFonts w:cs="Arial"/>
                <w:b/>
                <w:bCs/>
                <w:szCs w:val="20"/>
              </w:rPr>
              <w:t>-2</w:t>
            </w:r>
            <w:r w:rsidR="00E45546" w:rsidRPr="000656AD">
              <w:rPr>
                <w:rFonts w:cs="Arial"/>
                <w:b/>
                <w:bCs/>
                <w:szCs w:val="20"/>
              </w:rPr>
              <w:t>6</w:t>
            </w:r>
          </w:p>
        </w:tc>
        <w:tc>
          <w:tcPr>
            <w:tcW w:w="1418" w:type="dxa"/>
          </w:tcPr>
          <w:p w14:paraId="3017C31C" w14:textId="6CF81931" w:rsidR="00392721" w:rsidRPr="000656AD" w:rsidRDefault="00392721" w:rsidP="00392721">
            <w:pPr>
              <w:spacing w:before="60" w:after="60" w:line="276" w:lineRule="auto"/>
              <w:jc w:val="center"/>
              <w:rPr>
                <w:rFonts w:cs="Arial"/>
                <w:b/>
                <w:bCs/>
                <w:szCs w:val="20"/>
              </w:rPr>
            </w:pPr>
            <w:r w:rsidRPr="000656AD">
              <w:rPr>
                <w:rFonts w:cs="Arial"/>
                <w:b/>
                <w:bCs/>
                <w:szCs w:val="20"/>
              </w:rPr>
              <w:t>202</w:t>
            </w:r>
            <w:r w:rsidR="00E45546" w:rsidRPr="000656AD">
              <w:rPr>
                <w:rFonts w:cs="Arial"/>
                <w:b/>
                <w:bCs/>
                <w:szCs w:val="20"/>
              </w:rPr>
              <w:t>6</w:t>
            </w:r>
            <w:r w:rsidRPr="000656AD">
              <w:rPr>
                <w:rFonts w:cs="Arial"/>
                <w:b/>
                <w:bCs/>
                <w:szCs w:val="20"/>
              </w:rPr>
              <w:t>-2</w:t>
            </w:r>
            <w:r w:rsidR="00E45546" w:rsidRPr="000656AD">
              <w:rPr>
                <w:rFonts w:cs="Arial"/>
                <w:b/>
                <w:bCs/>
                <w:szCs w:val="20"/>
              </w:rPr>
              <w:t>7</w:t>
            </w:r>
          </w:p>
        </w:tc>
        <w:tc>
          <w:tcPr>
            <w:tcW w:w="1842" w:type="dxa"/>
          </w:tcPr>
          <w:p w14:paraId="5A48E420" w14:textId="6995D58B" w:rsidR="00392721" w:rsidRPr="000656AD" w:rsidRDefault="00392721" w:rsidP="00392721">
            <w:pPr>
              <w:spacing w:before="60" w:after="60" w:line="276" w:lineRule="auto"/>
              <w:jc w:val="center"/>
              <w:rPr>
                <w:rFonts w:cs="Arial"/>
                <w:b/>
                <w:bCs/>
                <w:szCs w:val="20"/>
              </w:rPr>
            </w:pPr>
            <w:r w:rsidRPr="000656AD">
              <w:rPr>
                <w:rFonts w:cs="Arial"/>
                <w:b/>
                <w:bCs/>
                <w:szCs w:val="20"/>
              </w:rPr>
              <w:t>202</w:t>
            </w:r>
            <w:r w:rsidR="00E45546" w:rsidRPr="000656AD">
              <w:rPr>
                <w:rFonts w:cs="Arial"/>
                <w:b/>
                <w:bCs/>
                <w:szCs w:val="20"/>
              </w:rPr>
              <w:t>7</w:t>
            </w:r>
            <w:r w:rsidRPr="000656AD">
              <w:rPr>
                <w:rFonts w:cs="Arial"/>
                <w:b/>
                <w:bCs/>
                <w:szCs w:val="20"/>
              </w:rPr>
              <w:t>-2</w:t>
            </w:r>
            <w:r w:rsidR="00E45546" w:rsidRPr="000656AD">
              <w:rPr>
                <w:rFonts w:cs="Arial"/>
                <w:b/>
                <w:bCs/>
                <w:szCs w:val="20"/>
              </w:rPr>
              <w:t>8</w:t>
            </w:r>
          </w:p>
        </w:tc>
      </w:tr>
      <w:tr w:rsidR="0042776D" w:rsidRPr="00D0156F" w14:paraId="15D3C70B" w14:textId="39647C2A" w:rsidTr="00445549">
        <w:trPr>
          <w:trHeight w:val="300"/>
        </w:trPr>
        <w:tc>
          <w:tcPr>
            <w:tcW w:w="3256" w:type="dxa"/>
            <w:noWrap/>
            <w:hideMark/>
          </w:tcPr>
          <w:p w14:paraId="00F2A041" w14:textId="1F64BFF8" w:rsidR="0042776D" w:rsidRPr="007575A9" w:rsidRDefault="0042776D" w:rsidP="0042776D">
            <w:pPr>
              <w:spacing w:before="60" w:after="60" w:line="276" w:lineRule="auto"/>
              <w:rPr>
                <w:rFonts w:cs="Arial"/>
                <w:b/>
                <w:bCs/>
                <w:szCs w:val="20"/>
              </w:rPr>
            </w:pPr>
            <w:r w:rsidRPr="007575A9">
              <w:rPr>
                <w:b/>
              </w:rPr>
              <w:t>Expenses</w:t>
            </w:r>
          </w:p>
        </w:tc>
        <w:tc>
          <w:tcPr>
            <w:tcW w:w="1559" w:type="dxa"/>
          </w:tcPr>
          <w:p w14:paraId="055AD402" w14:textId="348CD509" w:rsidR="0042776D" w:rsidRPr="00E45546" w:rsidRDefault="0042776D" w:rsidP="0042776D">
            <w:pPr>
              <w:spacing w:before="60" w:after="60" w:line="276" w:lineRule="auto"/>
              <w:jc w:val="center"/>
              <w:rPr>
                <w:rFonts w:cs="Arial"/>
                <w:szCs w:val="20"/>
                <w:highlight w:val="yellow"/>
              </w:rPr>
            </w:pPr>
            <w:r w:rsidRPr="0087335D">
              <w:t>$882</w:t>
            </w:r>
          </w:p>
        </w:tc>
        <w:tc>
          <w:tcPr>
            <w:tcW w:w="1418" w:type="dxa"/>
          </w:tcPr>
          <w:p w14:paraId="0883FB11" w14:textId="19D57EFB" w:rsidR="0042776D" w:rsidRPr="00E45546" w:rsidRDefault="0042776D" w:rsidP="0042776D">
            <w:pPr>
              <w:spacing w:before="60" w:after="60" w:line="276" w:lineRule="auto"/>
              <w:jc w:val="center"/>
              <w:rPr>
                <w:rFonts w:cs="Arial"/>
                <w:szCs w:val="20"/>
                <w:highlight w:val="yellow"/>
              </w:rPr>
            </w:pPr>
            <w:r w:rsidRPr="0087335D">
              <w:t>$917</w:t>
            </w:r>
          </w:p>
        </w:tc>
        <w:tc>
          <w:tcPr>
            <w:tcW w:w="1418" w:type="dxa"/>
          </w:tcPr>
          <w:p w14:paraId="428BDCED" w14:textId="2E752C51" w:rsidR="0042776D" w:rsidRPr="00E45546" w:rsidRDefault="0042776D" w:rsidP="0042776D">
            <w:pPr>
              <w:spacing w:before="60" w:after="60" w:line="276" w:lineRule="auto"/>
              <w:jc w:val="center"/>
              <w:rPr>
                <w:highlight w:val="yellow"/>
              </w:rPr>
            </w:pPr>
            <w:r w:rsidRPr="0087335D">
              <w:t>$952</w:t>
            </w:r>
          </w:p>
        </w:tc>
        <w:tc>
          <w:tcPr>
            <w:tcW w:w="1842" w:type="dxa"/>
          </w:tcPr>
          <w:p w14:paraId="5EFC173F" w14:textId="6031DDB1" w:rsidR="0042776D" w:rsidRPr="00E45546" w:rsidRDefault="0042776D" w:rsidP="0042776D">
            <w:pPr>
              <w:spacing w:before="60" w:after="60" w:line="276" w:lineRule="auto"/>
              <w:jc w:val="center"/>
              <w:rPr>
                <w:highlight w:val="yellow"/>
              </w:rPr>
            </w:pPr>
            <w:r w:rsidRPr="0087335D">
              <w:t>$985</w:t>
            </w:r>
          </w:p>
        </w:tc>
      </w:tr>
      <w:tr w:rsidR="0042776D" w:rsidRPr="00B20B8F" w14:paraId="55B815FE" w14:textId="0814AA60" w:rsidTr="00D61E48">
        <w:trPr>
          <w:trHeight w:val="300"/>
        </w:trPr>
        <w:tc>
          <w:tcPr>
            <w:tcW w:w="3256" w:type="dxa"/>
            <w:noWrap/>
            <w:hideMark/>
          </w:tcPr>
          <w:p w14:paraId="7887B7E0" w14:textId="77777777" w:rsidR="0042776D" w:rsidRPr="00B20B8F" w:rsidRDefault="0042776D" w:rsidP="0042776D">
            <w:pPr>
              <w:spacing w:before="60" w:after="60" w:line="276" w:lineRule="auto"/>
              <w:rPr>
                <w:rFonts w:cs="Arial"/>
                <w:b/>
                <w:bCs/>
                <w:szCs w:val="20"/>
              </w:rPr>
            </w:pPr>
            <w:r w:rsidRPr="00B20B8F">
              <w:rPr>
                <w:b/>
              </w:rPr>
              <w:t>Revenue Total</w:t>
            </w:r>
          </w:p>
        </w:tc>
        <w:tc>
          <w:tcPr>
            <w:tcW w:w="1559" w:type="dxa"/>
          </w:tcPr>
          <w:p w14:paraId="414626A2" w14:textId="7412A6F7" w:rsidR="0042776D" w:rsidRPr="000656AD" w:rsidRDefault="0042776D" w:rsidP="0042776D">
            <w:pPr>
              <w:spacing w:before="60" w:after="60" w:line="276" w:lineRule="auto"/>
              <w:jc w:val="center"/>
              <w:rPr>
                <w:rFonts w:cs="Arial"/>
                <w:b/>
                <w:szCs w:val="20"/>
              </w:rPr>
            </w:pPr>
            <w:r w:rsidRPr="000656AD">
              <w:t>$641</w:t>
            </w:r>
          </w:p>
        </w:tc>
        <w:tc>
          <w:tcPr>
            <w:tcW w:w="1418" w:type="dxa"/>
          </w:tcPr>
          <w:p w14:paraId="3B44FE5A" w14:textId="0A9C3F81" w:rsidR="0042776D" w:rsidRPr="000656AD" w:rsidRDefault="0042776D" w:rsidP="0042776D">
            <w:pPr>
              <w:spacing w:before="60" w:after="60" w:line="276" w:lineRule="auto"/>
              <w:jc w:val="center"/>
              <w:rPr>
                <w:rFonts w:cs="Arial"/>
                <w:b/>
                <w:szCs w:val="20"/>
              </w:rPr>
            </w:pPr>
            <w:r w:rsidRPr="000656AD">
              <w:t>$600</w:t>
            </w:r>
          </w:p>
        </w:tc>
        <w:tc>
          <w:tcPr>
            <w:tcW w:w="1418" w:type="dxa"/>
          </w:tcPr>
          <w:p w14:paraId="4E8A30D5" w14:textId="273CEF63" w:rsidR="0042776D" w:rsidRPr="000656AD" w:rsidRDefault="0042776D" w:rsidP="0042776D">
            <w:pPr>
              <w:spacing w:before="60" w:after="60" w:line="276" w:lineRule="auto"/>
              <w:jc w:val="center"/>
              <w:rPr>
                <w:b/>
              </w:rPr>
            </w:pPr>
            <w:r w:rsidRPr="000656AD">
              <w:t>$608</w:t>
            </w:r>
          </w:p>
        </w:tc>
        <w:tc>
          <w:tcPr>
            <w:tcW w:w="1842" w:type="dxa"/>
          </w:tcPr>
          <w:p w14:paraId="1BD8DA3A" w14:textId="67B8734B" w:rsidR="0042776D" w:rsidRPr="000656AD" w:rsidRDefault="0042776D" w:rsidP="0042776D">
            <w:pPr>
              <w:spacing w:before="60" w:after="60" w:line="276" w:lineRule="auto"/>
              <w:jc w:val="center"/>
              <w:rPr>
                <w:b/>
              </w:rPr>
            </w:pPr>
            <w:r w:rsidRPr="000656AD">
              <w:t>$657</w:t>
            </w:r>
          </w:p>
        </w:tc>
      </w:tr>
      <w:tr w:rsidR="0042776D" w:rsidRPr="00D0156F" w14:paraId="1A713F62" w14:textId="6938A322" w:rsidTr="00D61E48">
        <w:trPr>
          <w:trHeight w:val="300"/>
        </w:trPr>
        <w:tc>
          <w:tcPr>
            <w:tcW w:w="3256" w:type="dxa"/>
            <w:noWrap/>
          </w:tcPr>
          <w:p w14:paraId="1230A770" w14:textId="77777777" w:rsidR="0042776D" w:rsidRPr="00D0156F" w:rsidRDefault="0042776D" w:rsidP="0042776D">
            <w:pPr>
              <w:spacing w:before="60" w:after="60" w:line="276" w:lineRule="auto"/>
              <w:rPr>
                <w:rFonts w:cs="Arial"/>
                <w:b/>
                <w:bCs/>
                <w:szCs w:val="20"/>
              </w:rPr>
            </w:pPr>
            <w:r>
              <w:t xml:space="preserve">      </w:t>
            </w:r>
            <w:r w:rsidRPr="004B53E2">
              <w:t>Servicing Licences</w:t>
            </w:r>
          </w:p>
        </w:tc>
        <w:tc>
          <w:tcPr>
            <w:tcW w:w="1559" w:type="dxa"/>
          </w:tcPr>
          <w:p w14:paraId="24418A51" w14:textId="2A2BE548" w:rsidR="0042776D" w:rsidRPr="000656AD" w:rsidRDefault="0042776D" w:rsidP="0042776D">
            <w:pPr>
              <w:spacing w:before="60" w:after="60" w:line="276" w:lineRule="auto"/>
              <w:jc w:val="center"/>
              <w:rPr>
                <w:rFonts w:cs="Arial"/>
                <w:szCs w:val="20"/>
              </w:rPr>
            </w:pPr>
            <w:r w:rsidRPr="000656AD">
              <w:t>$480</w:t>
            </w:r>
          </w:p>
        </w:tc>
        <w:tc>
          <w:tcPr>
            <w:tcW w:w="1418" w:type="dxa"/>
          </w:tcPr>
          <w:p w14:paraId="016407E4" w14:textId="7107B73F" w:rsidR="0042776D" w:rsidRPr="000656AD" w:rsidRDefault="0042776D" w:rsidP="0042776D">
            <w:pPr>
              <w:spacing w:before="60" w:after="60" w:line="276" w:lineRule="auto"/>
              <w:jc w:val="center"/>
              <w:rPr>
                <w:rFonts w:cs="Arial"/>
                <w:szCs w:val="20"/>
              </w:rPr>
            </w:pPr>
            <w:r w:rsidRPr="000656AD">
              <w:t>$390</w:t>
            </w:r>
          </w:p>
        </w:tc>
        <w:tc>
          <w:tcPr>
            <w:tcW w:w="1418" w:type="dxa"/>
          </w:tcPr>
          <w:p w14:paraId="2229F8A0" w14:textId="500DDFA6" w:rsidR="0042776D" w:rsidRPr="000656AD" w:rsidRDefault="0042776D" w:rsidP="0042776D">
            <w:pPr>
              <w:spacing w:before="60" w:after="60" w:line="276" w:lineRule="auto"/>
              <w:jc w:val="center"/>
            </w:pPr>
            <w:r w:rsidRPr="000656AD">
              <w:t>$425</w:t>
            </w:r>
          </w:p>
        </w:tc>
        <w:tc>
          <w:tcPr>
            <w:tcW w:w="1842" w:type="dxa"/>
          </w:tcPr>
          <w:p w14:paraId="3CD734CE" w14:textId="3F49D592" w:rsidR="0042776D" w:rsidRPr="000656AD" w:rsidRDefault="0042776D" w:rsidP="0042776D">
            <w:pPr>
              <w:spacing w:before="60" w:after="60" w:line="276" w:lineRule="auto"/>
              <w:jc w:val="center"/>
            </w:pPr>
            <w:r w:rsidRPr="000656AD">
              <w:t>$446</w:t>
            </w:r>
          </w:p>
        </w:tc>
      </w:tr>
      <w:tr w:rsidR="0042776D" w:rsidRPr="00D0156F" w14:paraId="07BA3FC5" w14:textId="27119A6E" w:rsidTr="00D61E48">
        <w:trPr>
          <w:trHeight w:val="300"/>
        </w:trPr>
        <w:tc>
          <w:tcPr>
            <w:tcW w:w="3256" w:type="dxa"/>
            <w:noWrap/>
          </w:tcPr>
          <w:p w14:paraId="05994448" w14:textId="77777777" w:rsidR="0042776D" w:rsidRPr="00D0156F" w:rsidRDefault="0042776D" w:rsidP="0042776D">
            <w:pPr>
              <w:spacing w:before="60" w:after="60" w:line="276" w:lineRule="auto"/>
              <w:rPr>
                <w:rFonts w:cs="Arial"/>
                <w:b/>
                <w:bCs/>
                <w:szCs w:val="20"/>
              </w:rPr>
            </w:pPr>
            <w:r>
              <w:t xml:space="preserve">      </w:t>
            </w:r>
            <w:r w:rsidRPr="004B53E2">
              <w:t>Public Weighbridge Licences</w:t>
            </w:r>
          </w:p>
        </w:tc>
        <w:tc>
          <w:tcPr>
            <w:tcW w:w="1559" w:type="dxa"/>
          </w:tcPr>
          <w:p w14:paraId="3A3B6934" w14:textId="0E931BF5" w:rsidR="0042776D" w:rsidRPr="000656AD" w:rsidRDefault="0042776D" w:rsidP="0042776D">
            <w:pPr>
              <w:spacing w:before="60" w:after="60" w:line="276" w:lineRule="auto"/>
              <w:jc w:val="center"/>
              <w:rPr>
                <w:rFonts w:cs="Arial"/>
                <w:szCs w:val="20"/>
              </w:rPr>
            </w:pPr>
            <w:r w:rsidRPr="000656AD">
              <w:t>$84</w:t>
            </w:r>
          </w:p>
        </w:tc>
        <w:tc>
          <w:tcPr>
            <w:tcW w:w="1418" w:type="dxa"/>
          </w:tcPr>
          <w:p w14:paraId="143FB521" w14:textId="3CA43848" w:rsidR="0042776D" w:rsidRPr="000656AD" w:rsidRDefault="0042776D" w:rsidP="0042776D">
            <w:pPr>
              <w:spacing w:before="60" w:after="60" w:line="276" w:lineRule="auto"/>
              <w:jc w:val="center"/>
              <w:rPr>
                <w:rFonts w:cs="Arial"/>
                <w:szCs w:val="20"/>
              </w:rPr>
            </w:pPr>
            <w:r w:rsidRPr="000656AD">
              <w:t>$120</w:t>
            </w:r>
          </w:p>
        </w:tc>
        <w:tc>
          <w:tcPr>
            <w:tcW w:w="1418" w:type="dxa"/>
          </w:tcPr>
          <w:p w14:paraId="4477A558" w14:textId="030FF76E" w:rsidR="0042776D" w:rsidRPr="000656AD" w:rsidRDefault="0042776D" w:rsidP="0042776D">
            <w:pPr>
              <w:spacing w:before="60" w:after="60" w:line="276" w:lineRule="auto"/>
              <w:jc w:val="center"/>
            </w:pPr>
            <w:r w:rsidRPr="000656AD">
              <w:t>$85</w:t>
            </w:r>
          </w:p>
        </w:tc>
        <w:tc>
          <w:tcPr>
            <w:tcW w:w="1842" w:type="dxa"/>
          </w:tcPr>
          <w:p w14:paraId="695E2E66" w14:textId="1693DF33" w:rsidR="0042776D" w:rsidRPr="000656AD" w:rsidRDefault="0042776D" w:rsidP="0042776D">
            <w:pPr>
              <w:spacing w:before="60" w:after="60" w:line="276" w:lineRule="auto"/>
              <w:jc w:val="center"/>
            </w:pPr>
            <w:r w:rsidRPr="000656AD">
              <w:t>$107</w:t>
            </w:r>
          </w:p>
        </w:tc>
      </w:tr>
      <w:tr w:rsidR="0042776D" w:rsidRPr="00D0156F" w14:paraId="28631671" w14:textId="5D26E0FC" w:rsidTr="00D61E48">
        <w:trPr>
          <w:trHeight w:val="300"/>
        </w:trPr>
        <w:tc>
          <w:tcPr>
            <w:tcW w:w="3256" w:type="dxa"/>
            <w:noWrap/>
          </w:tcPr>
          <w:p w14:paraId="0F2D1CA5" w14:textId="77777777" w:rsidR="0042776D" w:rsidRPr="00D0156F" w:rsidRDefault="0042776D" w:rsidP="0042776D">
            <w:pPr>
              <w:spacing w:before="60" w:after="60" w:line="276" w:lineRule="auto"/>
              <w:rPr>
                <w:rFonts w:cs="Arial"/>
                <w:b/>
                <w:bCs/>
                <w:szCs w:val="20"/>
              </w:rPr>
            </w:pPr>
            <w:r>
              <w:t xml:space="preserve">      </w:t>
            </w:r>
            <w:r w:rsidRPr="004B53E2">
              <w:t>Appointments</w:t>
            </w:r>
          </w:p>
        </w:tc>
        <w:tc>
          <w:tcPr>
            <w:tcW w:w="1559" w:type="dxa"/>
          </w:tcPr>
          <w:p w14:paraId="235BFFA3" w14:textId="41E66FC3" w:rsidR="0042776D" w:rsidRPr="000656AD" w:rsidRDefault="0042776D" w:rsidP="0042776D">
            <w:pPr>
              <w:spacing w:before="60" w:after="60" w:line="276" w:lineRule="auto"/>
              <w:jc w:val="center"/>
              <w:rPr>
                <w:rFonts w:cs="Arial"/>
                <w:szCs w:val="20"/>
              </w:rPr>
            </w:pPr>
            <w:r w:rsidRPr="000656AD">
              <w:t>$77</w:t>
            </w:r>
          </w:p>
        </w:tc>
        <w:tc>
          <w:tcPr>
            <w:tcW w:w="1418" w:type="dxa"/>
          </w:tcPr>
          <w:p w14:paraId="1B6AE171" w14:textId="405A5A37" w:rsidR="0042776D" w:rsidRPr="000656AD" w:rsidRDefault="0042776D" w:rsidP="0042776D">
            <w:pPr>
              <w:spacing w:before="60" w:after="60" w:line="276" w:lineRule="auto"/>
              <w:jc w:val="center"/>
              <w:rPr>
                <w:rFonts w:cs="Arial"/>
                <w:szCs w:val="20"/>
              </w:rPr>
            </w:pPr>
            <w:r w:rsidRPr="000656AD">
              <w:t>$90</w:t>
            </w:r>
          </w:p>
        </w:tc>
        <w:tc>
          <w:tcPr>
            <w:tcW w:w="1418" w:type="dxa"/>
          </w:tcPr>
          <w:p w14:paraId="0311C4DE" w14:textId="6543C9AB" w:rsidR="0042776D" w:rsidRPr="000656AD" w:rsidRDefault="0042776D" w:rsidP="0042776D">
            <w:pPr>
              <w:spacing w:before="60" w:after="60" w:line="276" w:lineRule="auto"/>
              <w:jc w:val="center"/>
            </w:pPr>
            <w:r w:rsidRPr="000656AD">
              <w:t>$98</w:t>
            </w:r>
          </w:p>
        </w:tc>
        <w:tc>
          <w:tcPr>
            <w:tcW w:w="1842" w:type="dxa"/>
          </w:tcPr>
          <w:p w14:paraId="37920CE6" w14:textId="749C8F37" w:rsidR="0042776D" w:rsidRPr="000656AD" w:rsidRDefault="0042776D" w:rsidP="0042776D">
            <w:pPr>
              <w:spacing w:before="60" w:after="60" w:line="276" w:lineRule="auto"/>
              <w:jc w:val="center"/>
            </w:pPr>
            <w:r w:rsidRPr="000656AD">
              <w:t>$104</w:t>
            </w:r>
          </w:p>
        </w:tc>
      </w:tr>
      <w:tr w:rsidR="0042776D" w:rsidRPr="00D0156F" w14:paraId="184BB2B3" w14:textId="790595DD" w:rsidTr="00445549">
        <w:trPr>
          <w:trHeight w:val="300"/>
        </w:trPr>
        <w:tc>
          <w:tcPr>
            <w:tcW w:w="3256" w:type="dxa"/>
            <w:noWrap/>
            <w:hideMark/>
          </w:tcPr>
          <w:p w14:paraId="7C60B6B4" w14:textId="77777777" w:rsidR="0042776D" w:rsidRPr="00365EEA" w:rsidRDefault="0042776D" w:rsidP="0042776D">
            <w:pPr>
              <w:spacing w:before="60" w:after="60" w:line="276" w:lineRule="auto"/>
              <w:rPr>
                <w:rFonts w:cs="Arial"/>
                <w:b/>
                <w:bCs/>
                <w:szCs w:val="20"/>
              </w:rPr>
            </w:pPr>
            <w:r w:rsidRPr="00365EEA">
              <w:rPr>
                <w:b/>
              </w:rPr>
              <w:t>Balance</w:t>
            </w:r>
          </w:p>
        </w:tc>
        <w:tc>
          <w:tcPr>
            <w:tcW w:w="1559" w:type="dxa"/>
          </w:tcPr>
          <w:p w14:paraId="3D59B1A8" w14:textId="352F38FA" w:rsidR="0042776D" w:rsidRPr="000656AD" w:rsidRDefault="0042776D" w:rsidP="0042776D">
            <w:pPr>
              <w:spacing w:before="60" w:after="60" w:line="276" w:lineRule="auto"/>
              <w:jc w:val="center"/>
              <w:rPr>
                <w:rFonts w:cs="Arial"/>
                <w:szCs w:val="20"/>
              </w:rPr>
            </w:pPr>
            <w:r w:rsidRPr="000656AD">
              <w:t>-$241</w:t>
            </w:r>
          </w:p>
        </w:tc>
        <w:tc>
          <w:tcPr>
            <w:tcW w:w="1418" w:type="dxa"/>
          </w:tcPr>
          <w:p w14:paraId="35015200" w14:textId="6FA99C5E" w:rsidR="0042776D" w:rsidRPr="000656AD" w:rsidRDefault="0042776D" w:rsidP="0042776D">
            <w:pPr>
              <w:spacing w:before="60" w:after="60" w:line="276" w:lineRule="auto"/>
              <w:jc w:val="center"/>
              <w:rPr>
                <w:rFonts w:cs="Arial"/>
                <w:szCs w:val="20"/>
              </w:rPr>
            </w:pPr>
            <w:r w:rsidRPr="000656AD">
              <w:t>-$317</w:t>
            </w:r>
          </w:p>
        </w:tc>
        <w:tc>
          <w:tcPr>
            <w:tcW w:w="1418" w:type="dxa"/>
          </w:tcPr>
          <w:p w14:paraId="0E448FEF" w14:textId="58E0C246" w:rsidR="0042776D" w:rsidRPr="000656AD" w:rsidRDefault="0042776D" w:rsidP="0042776D">
            <w:pPr>
              <w:spacing w:before="60" w:after="60" w:line="276" w:lineRule="auto"/>
              <w:jc w:val="center"/>
            </w:pPr>
            <w:r w:rsidRPr="000656AD">
              <w:t>-$344</w:t>
            </w:r>
          </w:p>
        </w:tc>
        <w:tc>
          <w:tcPr>
            <w:tcW w:w="1842" w:type="dxa"/>
          </w:tcPr>
          <w:p w14:paraId="665335F8" w14:textId="4189E8A6" w:rsidR="0042776D" w:rsidRPr="000656AD" w:rsidRDefault="0042776D" w:rsidP="0042776D">
            <w:pPr>
              <w:spacing w:before="60" w:after="60" w:line="276" w:lineRule="auto"/>
              <w:jc w:val="center"/>
            </w:pPr>
            <w:r w:rsidRPr="000656AD">
              <w:t>-$328</w:t>
            </w:r>
          </w:p>
        </w:tc>
      </w:tr>
      <w:tr w:rsidR="0042776D" w:rsidRPr="00D0156F" w14:paraId="2B193ABA" w14:textId="214A6082" w:rsidTr="00445549">
        <w:trPr>
          <w:trHeight w:val="300"/>
        </w:trPr>
        <w:tc>
          <w:tcPr>
            <w:tcW w:w="3256" w:type="dxa"/>
            <w:noWrap/>
            <w:hideMark/>
          </w:tcPr>
          <w:p w14:paraId="2B1341E3" w14:textId="77777777" w:rsidR="0042776D" w:rsidRPr="00365EEA" w:rsidRDefault="0042776D" w:rsidP="0042776D">
            <w:pPr>
              <w:spacing w:before="60" w:after="60" w:line="276" w:lineRule="auto"/>
              <w:rPr>
                <w:rFonts w:cs="Arial"/>
                <w:b/>
                <w:bCs/>
                <w:szCs w:val="20"/>
              </w:rPr>
            </w:pPr>
            <w:r w:rsidRPr="00365EEA">
              <w:rPr>
                <w:b/>
              </w:rPr>
              <w:t>Cumulative balance</w:t>
            </w:r>
          </w:p>
        </w:tc>
        <w:tc>
          <w:tcPr>
            <w:tcW w:w="1559" w:type="dxa"/>
          </w:tcPr>
          <w:p w14:paraId="77C3D5CA" w14:textId="62AEED63" w:rsidR="0042776D" w:rsidRPr="000656AD" w:rsidRDefault="0042776D" w:rsidP="0042776D">
            <w:pPr>
              <w:spacing w:before="60" w:after="60" w:line="276" w:lineRule="auto"/>
              <w:jc w:val="center"/>
              <w:rPr>
                <w:rFonts w:cs="Arial"/>
                <w:szCs w:val="20"/>
              </w:rPr>
            </w:pPr>
            <w:r w:rsidRPr="000656AD">
              <w:t>-$241</w:t>
            </w:r>
          </w:p>
        </w:tc>
        <w:tc>
          <w:tcPr>
            <w:tcW w:w="1418" w:type="dxa"/>
          </w:tcPr>
          <w:p w14:paraId="2EEDA52A" w14:textId="6BD5DAEF" w:rsidR="0042776D" w:rsidRPr="000656AD" w:rsidRDefault="0042776D" w:rsidP="0042776D">
            <w:pPr>
              <w:spacing w:before="60" w:after="60" w:line="276" w:lineRule="auto"/>
              <w:jc w:val="center"/>
              <w:rPr>
                <w:rFonts w:cs="Arial"/>
                <w:szCs w:val="20"/>
              </w:rPr>
            </w:pPr>
            <w:r w:rsidRPr="000656AD">
              <w:t>-$558</w:t>
            </w:r>
          </w:p>
        </w:tc>
        <w:tc>
          <w:tcPr>
            <w:tcW w:w="1418" w:type="dxa"/>
          </w:tcPr>
          <w:p w14:paraId="33F0BD0A" w14:textId="063CF937" w:rsidR="0042776D" w:rsidRPr="000656AD" w:rsidRDefault="0042776D" w:rsidP="0042776D">
            <w:pPr>
              <w:spacing w:before="60" w:after="60" w:line="276" w:lineRule="auto"/>
              <w:jc w:val="center"/>
            </w:pPr>
            <w:r w:rsidRPr="000656AD">
              <w:t>-$902</w:t>
            </w:r>
          </w:p>
        </w:tc>
        <w:tc>
          <w:tcPr>
            <w:tcW w:w="1842" w:type="dxa"/>
          </w:tcPr>
          <w:p w14:paraId="3D6526E8" w14:textId="6C316627" w:rsidR="0042776D" w:rsidRPr="000656AD" w:rsidRDefault="0042776D" w:rsidP="0042776D">
            <w:pPr>
              <w:spacing w:before="60" w:after="60" w:line="276" w:lineRule="auto"/>
              <w:jc w:val="center"/>
            </w:pPr>
            <w:r w:rsidRPr="000656AD">
              <w:t>-$1,230</w:t>
            </w:r>
          </w:p>
        </w:tc>
      </w:tr>
    </w:tbl>
    <w:bookmarkEnd w:id="43"/>
    <w:p w14:paraId="1E8E9C7A" w14:textId="77777777" w:rsidR="007575A9" w:rsidRDefault="008D572B" w:rsidP="005A229D">
      <w:pPr>
        <w:spacing w:before="120" w:after="120" w:line="276" w:lineRule="auto"/>
        <w:rPr>
          <w:rFonts w:cs="Arial"/>
          <w:szCs w:val="20"/>
          <w:lang w:val="en-US"/>
        </w:rPr>
      </w:pPr>
      <w:r w:rsidRPr="005A229D">
        <w:rPr>
          <w:rFonts w:cs="Arial"/>
          <w:szCs w:val="20"/>
          <w:lang w:val="en-US"/>
        </w:rPr>
        <w:t xml:space="preserve">The projected revenues </w:t>
      </w:r>
      <w:proofErr w:type="gramStart"/>
      <w:r w:rsidRPr="005A229D">
        <w:rPr>
          <w:rFonts w:cs="Arial"/>
          <w:szCs w:val="20"/>
          <w:lang w:val="en-US"/>
        </w:rPr>
        <w:t>take into account</w:t>
      </w:r>
      <w:proofErr w:type="gramEnd"/>
      <w:r w:rsidRPr="005A229D">
        <w:rPr>
          <w:rFonts w:cs="Arial"/>
          <w:szCs w:val="20"/>
          <w:lang w:val="en-US"/>
        </w:rPr>
        <w:t xml:space="preserve"> the expected timing of license renewals, noting that </w:t>
      </w:r>
      <w:r>
        <w:rPr>
          <w:rFonts w:cs="Arial"/>
          <w:szCs w:val="20"/>
          <w:lang w:val="en-US"/>
        </w:rPr>
        <w:t>many licenses are renewed for three years rather than annually.</w:t>
      </w:r>
    </w:p>
    <w:p w14:paraId="0F6CAEBF" w14:textId="77777777" w:rsidR="002263B4" w:rsidRDefault="002263B4">
      <w:pPr>
        <w:spacing w:after="200" w:line="276" w:lineRule="auto"/>
        <w:rPr>
          <w:b/>
          <w:iCs/>
          <w:sz w:val="28"/>
          <w:lang w:val="en-US"/>
        </w:rPr>
      </w:pPr>
      <w:bookmarkStart w:id="44" w:name="_Toc516468795"/>
      <w:bookmarkStart w:id="45" w:name="_Toc150329432"/>
      <w:r>
        <w:br w:type="page"/>
      </w:r>
    </w:p>
    <w:p w14:paraId="1E645C23" w14:textId="4891761A" w:rsidR="00A71907" w:rsidRDefault="00065F45" w:rsidP="00065F45">
      <w:pPr>
        <w:pStyle w:val="Heading1"/>
        <w:ind w:hanging="502"/>
      </w:pPr>
      <w:r w:rsidRPr="008366B0">
        <w:lastRenderedPageBreak/>
        <w:t xml:space="preserve">FINANCIAL </w:t>
      </w:r>
      <w:r w:rsidR="00A71907" w:rsidRPr="00EE4F30">
        <w:t>PERFORMANCE</w:t>
      </w:r>
      <w:bookmarkEnd w:id="44"/>
      <w:bookmarkEnd w:id="45"/>
      <w:r w:rsidR="00A71907" w:rsidRPr="008366B0">
        <w:t xml:space="preserve"> </w:t>
      </w:r>
    </w:p>
    <w:p w14:paraId="0B2F60BE" w14:textId="5EB96DDB" w:rsidR="00914DCD" w:rsidRPr="006A3E88" w:rsidRDefault="00914DCD" w:rsidP="00AB5D3B">
      <w:pPr>
        <w:spacing w:before="120" w:line="276" w:lineRule="auto"/>
        <w:rPr>
          <w:rFonts w:cs="Arial"/>
          <w:szCs w:val="20"/>
          <w:lang w:val="en-US"/>
        </w:rPr>
      </w:pPr>
      <w:r w:rsidRPr="006A3E88">
        <w:rPr>
          <w:rFonts w:cs="Arial"/>
          <w:szCs w:val="20"/>
          <w:lang w:val="en-US"/>
        </w:rPr>
        <w:t xml:space="preserve">Tables </w:t>
      </w:r>
      <w:r w:rsidR="00065F45">
        <w:rPr>
          <w:rFonts w:cs="Arial"/>
          <w:szCs w:val="20"/>
          <w:lang w:val="en-US"/>
        </w:rPr>
        <w:t>7</w:t>
      </w:r>
      <w:r w:rsidR="003546AA">
        <w:rPr>
          <w:rFonts w:cs="Arial"/>
          <w:szCs w:val="20"/>
          <w:lang w:val="en-US"/>
        </w:rPr>
        <w:t xml:space="preserve"> </w:t>
      </w:r>
      <w:r w:rsidR="006A3E88">
        <w:rPr>
          <w:rFonts w:cs="Arial"/>
          <w:szCs w:val="20"/>
          <w:lang w:val="en-US"/>
        </w:rPr>
        <w:t xml:space="preserve">and </w:t>
      </w:r>
      <w:r w:rsidR="00065F45">
        <w:rPr>
          <w:rFonts w:cs="Arial"/>
          <w:szCs w:val="20"/>
          <w:lang w:val="en-US"/>
        </w:rPr>
        <w:t>8</w:t>
      </w:r>
      <w:r w:rsidR="003546AA">
        <w:rPr>
          <w:rFonts w:cs="Arial"/>
          <w:szCs w:val="20"/>
          <w:lang w:val="en-US"/>
        </w:rPr>
        <w:t xml:space="preserve"> </w:t>
      </w:r>
      <w:r w:rsidRPr="006A3E88">
        <w:rPr>
          <w:rFonts w:cs="Arial"/>
          <w:szCs w:val="20"/>
          <w:lang w:val="en-US"/>
        </w:rPr>
        <w:t xml:space="preserve">illustrate the historic financial performance of </w:t>
      </w:r>
      <w:r w:rsidR="006A3E88">
        <w:rPr>
          <w:rFonts w:cs="Arial"/>
          <w:szCs w:val="20"/>
          <w:lang w:val="en-US"/>
        </w:rPr>
        <w:t xml:space="preserve">the Pattern Approval, Licensing and Appointments </w:t>
      </w:r>
      <w:r w:rsidRPr="006A3E88">
        <w:rPr>
          <w:rFonts w:cs="Arial"/>
          <w:szCs w:val="20"/>
          <w:lang w:val="en-US"/>
        </w:rPr>
        <w:t xml:space="preserve">activity groups. </w:t>
      </w:r>
    </w:p>
    <w:p w14:paraId="4B0DC65F" w14:textId="77777777" w:rsidR="00A33038" w:rsidRDefault="00A33038" w:rsidP="00A33038">
      <w:pPr>
        <w:rPr>
          <w:lang w:val="en-US"/>
        </w:rPr>
      </w:pPr>
      <w:bookmarkStart w:id="46" w:name="_Toc516468796"/>
      <w:bookmarkStart w:id="47" w:name="_Toc150329433"/>
    </w:p>
    <w:p w14:paraId="339F0B14" w14:textId="01D45D59" w:rsidR="006A3E88" w:rsidRPr="00A33038" w:rsidRDefault="00A01B27" w:rsidP="00A33038">
      <w:pPr>
        <w:rPr>
          <w:b/>
          <w:bCs/>
          <w:lang w:val="en-US"/>
        </w:rPr>
      </w:pPr>
      <w:r w:rsidRPr="00A33038">
        <w:rPr>
          <w:b/>
          <w:bCs/>
          <w:lang w:val="en-US"/>
        </w:rPr>
        <w:t xml:space="preserve">Table 7 </w:t>
      </w:r>
      <w:r w:rsidR="00A71907" w:rsidRPr="00A33038">
        <w:rPr>
          <w:b/>
          <w:bCs/>
          <w:lang w:val="en-US"/>
        </w:rPr>
        <w:t>Pattern Approva</w:t>
      </w:r>
      <w:r w:rsidR="006A3E88" w:rsidRPr="00A33038">
        <w:rPr>
          <w:b/>
          <w:bCs/>
          <w:lang w:val="en-US"/>
        </w:rPr>
        <w:t>l</w:t>
      </w:r>
      <w:bookmarkEnd w:id="46"/>
      <w:bookmarkEnd w:id="47"/>
    </w:p>
    <w:tbl>
      <w:tblPr>
        <w:tblStyle w:val="TableGrid"/>
        <w:tblpPr w:leftFromText="180" w:rightFromText="180" w:vertAnchor="text" w:tblpY="191"/>
        <w:tblW w:w="9353" w:type="dxa"/>
        <w:tblLayout w:type="fixed"/>
        <w:tblLook w:val="04A0" w:firstRow="1" w:lastRow="0" w:firstColumn="1" w:lastColumn="0" w:noHBand="0" w:noVBand="1"/>
      </w:tblPr>
      <w:tblGrid>
        <w:gridCol w:w="2263"/>
        <w:gridCol w:w="1418"/>
        <w:gridCol w:w="1418"/>
        <w:gridCol w:w="1418"/>
        <w:gridCol w:w="1418"/>
        <w:gridCol w:w="1418"/>
      </w:tblGrid>
      <w:tr w:rsidR="00DB7661" w:rsidRPr="008366B0" w14:paraId="693BDD61" w14:textId="4ADBFF1E" w:rsidTr="00DB7661">
        <w:tc>
          <w:tcPr>
            <w:tcW w:w="2263" w:type="dxa"/>
            <w:shd w:val="clear" w:color="auto" w:fill="FF0000"/>
          </w:tcPr>
          <w:p w14:paraId="7778BEA0" w14:textId="77777777" w:rsidR="00DB7661" w:rsidRPr="005A229D" w:rsidRDefault="00DB7661" w:rsidP="00392721">
            <w:pPr>
              <w:spacing w:before="60" w:after="60" w:line="276" w:lineRule="auto"/>
              <w:rPr>
                <w:b/>
                <w:color w:val="FFFFFF" w:themeColor="background1"/>
              </w:rPr>
            </w:pPr>
            <w:r>
              <w:rPr>
                <w:rFonts w:cs="Arial"/>
                <w:b/>
                <w:iCs/>
                <w:color w:val="FFFFFF" w:themeColor="background1"/>
                <w:szCs w:val="20"/>
              </w:rPr>
              <w:t>$’000s</w:t>
            </w:r>
          </w:p>
        </w:tc>
        <w:tc>
          <w:tcPr>
            <w:tcW w:w="1418" w:type="dxa"/>
            <w:shd w:val="clear" w:color="auto" w:fill="FF0000"/>
          </w:tcPr>
          <w:p w14:paraId="3D9B7C6D" w14:textId="20A64CE2" w:rsidR="00DB7661" w:rsidRDefault="00DB7661" w:rsidP="00392721">
            <w:pPr>
              <w:spacing w:before="60" w:after="60" w:line="276" w:lineRule="auto"/>
              <w:jc w:val="center"/>
              <w:rPr>
                <w:rFonts w:cs="Arial"/>
                <w:b/>
                <w:color w:val="FFFFFF" w:themeColor="background1"/>
                <w:szCs w:val="20"/>
              </w:rPr>
            </w:pPr>
            <w:r w:rsidRPr="00334812">
              <w:rPr>
                <w:rFonts w:cs="Arial"/>
                <w:b/>
                <w:color w:val="FFFFFF" w:themeColor="background1"/>
                <w:szCs w:val="20"/>
              </w:rPr>
              <w:t>201</w:t>
            </w:r>
            <w:r>
              <w:rPr>
                <w:rFonts w:cs="Arial"/>
                <w:b/>
                <w:color w:val="FFFFFF" w:themeColor="background1"/>
                <w:szCs w:val="20"/>
              </w:rPr>
              <w:t>9-</w:t>
            </w:r>
            <w:r w:rsidRPr="00334812">
              <w:rPr>
                <w:rFonts w:cs="Arial"/>
                <w:b/>
                <w:color w:val="FFFFFF" w:themeColor="background1"/>
                <w:szCs w:val="20"/>
              </w:rPr>
              <w:t>20</w:t>
            </w:r>
            <w:r>
              <w:rPr>
                <w:rFonts w:cs="Arial"/>
                <w:b/>
                <w:color w:val="FFFFFF" w:themeColor="background1"/>
                <w:szCs w:val="20"/>
              </w:rPr>
              <w:t>20</w:t>
            </w:r>
          </w:p>
        </w:tc>
        <w:tc>
          <w:tcPr>
            <w:tcW w:w="1418" w:type="dxa"/>
            <w:shd w:val="clear" w:color="auto" w:fill="FF0000"/>
          </w:tcPr>
          <w:p w14:paraId="4C9061CB" w14:textId="47C8437B" w:rsidR="00DB7661" w:rsidRPr="00334812" w:rsidRDefault="00DB7661" w:rsidP="00392721">
            <w:pPr>
              <w:spacing w:before="60" w:after="60" w:line="276" w:lineRule="auto"/>
              <w:jc w:val="center"/>
              <w:rPr>
                <w:rFonts w:cs="Arial"/>
                <w:b/>
                <w:color w:val="FFFFFF" w:themeColor="background1"/>
                <w:szCs w:val="20"/>
              </w:rPr>
            </w:pPr>
            <w:r w:rsidRPr="00C3603B">
              <w:rPr>
                <w:rFonts w:cs="Arial"/>
                <w:b/>
                <w:color w:val="FFFFFF" w:themeColor="background1"/>
                <w:szCs w:val="20"/>
              </w:rPr>
              <w:t>202</w:t>
            </w:r>
            <w:r>
              <w:rPr>
                <w:rFonts w:cs="Arial"/>
                <w:b/>
                <w:color w:val="FFFFFF" w:themeColor="background1"/>
                <w:szCs w:val="20"/>
              </w:rPr>
              <w:t>0</w:t>
            </w:r>
            <w:r w:rsidRPr="00C3603B">
              <w:rPr>
                <w:rFonts w:cs="Arial"/>
                <w:b/>
                <w:color w:val="FFFFFF" w:themeColor="background1"/>
                <w:szCs w:val="20"/>
              </w:rPr>
              <w:t>-202</w:t>
            </w:r>
            <w:r>
              <w:rPr>
                <w:rFonts w:cs="Arial"/>
                <w:b/>
                <w:color w:val="FFFFFF" w:themeColor="background1"/>
                <w:szCs w:val="20"/>
              </w:rPr>
              <w:t>1</w:t>
            </w:r>
          </w:p>
        </w:tc>
        <w:tc>
          <w:tcPr>
            <w:tcW w:w="1418" w:type="dxa"/>
            <w:shd w:val="clear" w:color="auto" w:fill="FF0000"/>
          </w:tcPr>
          <w:p w14:paraId="37E66F0D" w14:textId="07024C87" w:rsidR="00DB7661" w:rsidRPr="00C3603B" w:rsidRDefault="00DB7661" w:rsidP="00392721">
            <w:pPr>
              <w:spacing w:before="60" w:after="60" w:line="276" w:lineRule="auto"/>
              <w:jc w:val="center"/>
              <w:rPr>
                <w:rFonts w:cs="Arial"/>
                <w:b/>
                <w:color w:val="FFFFFF" w:themeColor="background1"/>
                <w:szCs w:val="20"/>
              </w:rPr>
            </w:pPr>
            <w:r>
              <w:rPr>
                <w:rFonts w:cs="Arial"/>
                <w:b/>
                <w:color w:val="FFFFFF" w:themeColor="background1"/>
                <w:szCs w:val="20"/>
              </w:rPr>
              <w:t>2021-2022</w:t>
            </w:r>
          </w:p>
        </w:tc>
        <w:tc>
          <w:tcPr>
            <w:tcW w:w="1418" w:type="dxa"/>
            <w:shd w:val="clear" w:color="auto" w:fill="FF0000"/>
          </w:tcPr>
          <w:p w14:paraId="7F39F0E0" w14:textId="61C89E76" w:rsidR="00DB7661" w:rsidRDefault="00DB7661" w:rsidP="00392721">
            <w:pPr>
              <w:spacing w:before="60" w:after="60" w:line="276" w:lineRule="auto"/>
              <w:jc w:val="center"/>
              <w:rPr>
                <w:rFonts w:cs="Arial"/>
                <w:b/>
                <w:color w:val="FFFFFF" w:themeColor="background1"/>
                <w:szCs w:val="20"/>
              </w:rPr>
            </w:pPr>
            <w:r>
              <w:rPr>
                <w:rFonts w:cs="Arial"/>
                <w:b/>
                <w:color w:val="FFFFFF" w:themeColor="background1"/>
                <w:szCs w:val="20"/>
              </w:rPr>
              <w:t>2022-2023</w:t>
            </w:r>
          </w:p>
        </w:tc>
        <w:tc>
          <w:tcPr>
            <w:tcW w:w="1418" w:type="dxa"/>
            <w:shd w:val="clear" w:color="auto" w:fill="FF0000"/>
          </w:tcPr>
          <w:p w14:paraId="74D6FBF6" w14:textId="175DF1BE" w:rsidR="00DB7661" w:rsidRDefault="00DB7661" w:rsidP="00392721">
            <w:pPr>
              <w:spacing w:before="60" w:after="60" w:line="276" w:lineRule="auto"/>
              <w:jc w:val="center"/>
              <w:rPr>
                <w:rFonts w:cs="Arial"/>
                <w:b/>
                <w:color w:val="FFFFFF" w:themeColor="background1"/>
                <w:szCs w:val="20"/>
              </w:rPr>
            </w:pPr>
            <w:r>
              <w:rPr>
                <w:rFonts w:cs="Arial"/>
                <w:b/>
                <w:color w:val="FFFFFF" w:themeColor="background1"/>
                <w:szCs w:val="20"/>
              </w:rPr>
              <w:t>2023-2024</w:t>
            </w:r>
          </w:p>
        </w:tc>
      </w:tr>
      <w:tr w:rsidR="001561E2" w:rsidRPr="008366B0" w14:paraId="6C2A1FDF" w14:textId="768CF2F1" w:rsidTr="00DB7661">
        <w:tc>
          <w:tcPr>
            <w:tcW w:w="2263" w:type="dxa"/>
            <w:shd w:val="clear" w:color="auto" w:fill="auto"/>
            <w:vAlign w:val="center"/>
          </w:tcPr>
          <w:p w14:paraId="38A8CFD2" w14:textId="77777777" w:rsidR="001561E2" w:rsidRPr="008366B0" w:rsidRDefault="001561E2" w:rsidP="001561E2">
            <w:pPr>
              <w:spacing w:before="60" w:after="60" w:line="276" w:lineRule="auto"/>
              <w:rPr>
                <w:rFonts w:cs="Arial"/>
                <w:szCs w:val="20"/>
              </w:rPr>
            </w:pPr>
            <w:r w:rsidRPr="008366B0">
              <w:rPr>
                <w:rFonts w:cs="Arial"/>
                <w:szCs w:val="20"/>
              </w:rPr>
              <w:t>Expenses = X</w:t>
            </w:r>
          </w:p>
        </w:tc>
        <w:tc>
          <w:tcPr>
            <w:tcW w:w="1418" w:type="dxa"/>
            <w:shd w:val="clear" w:color="auto" w:fill="auto"/>
          </w:tcPr>
          <w:p w14:paraId="78859B85" w14:textId="3E28E8B2" w:rsidR="001561E2" w:rsidRPr="00DB7661" w:rsidRDefault="001561E2" w:rsidP="001561E2">
            <w:pPr>
              <w:spacing w:before="60" w:after="60" w:line="276" w:lineRule="auto"/>
              <w:jc w:val="center"/>
            </w:pPr>
            <w:r w:rsidRPr="00296187">
              <w:t>$1,331</w:t>
            </w:r>
          </w:p>
        </w:tc>
        <w:tc>
          <w:tcPr>
            <w:tcW w:w="1418" w:type="dxa"/>
          </w:tcPr>
          <w:p w14:paraId="7B0F7AC8" w14:textId="4273B853" w:rsidR="001561E2" w:rsidRPr="00DB7661" w:rsidRDefault="001561E2" w:rsidP="001561E2">
            <w:pPr>
              <w:spacing w:before="60" w:after="60" w:line="276" w:lineRule="auto"/>
              <w:jc w:val="center"/>
            </w:pPr>
            <w:r w:rsidRPr="00296187">
              <w:t>$1,229</w:t>
            </w:r>
          </w:p>
        </w:tc>
        <w:tc>
          <w:tcPr>
            <w:tcW w:w="1418" w:type="dxa"/>
          </w:tcPr>
          <w:p w14:paraId="73D089D5" w14:textId="6C7322D0" w:rsidR="001561E2" w:rsidRPr="00DB7661" w:rsidRDefault="001561E2" w:rsidP="001561E2">
            <w:pPr>
              <w:spacing w:before="60" w:after="60" w:line="276" w:lineRule="auto"/>
              <w:jc w:val="center"/>
            </w:pPr>
            <w:r w:rsidRPr="00296187">
              <w:t>$1,209</w:t>
            </w:r>
          </w:p>
        </w:tc>
        <w:tc>
          <w:tcPr>
            <w:tcW w:w="1418" w:type="dxa"/>
          </w:tcPr>
          <w:p w14:paraId="1F9FF82C" w14:textId="180B7D87" w:rsidR="001561E2" w:rsidRPr="00DB7661" w:rsidRDefault="001561E2" w:rsidP="001561E2">
            <w:pPr>
              <w:spacing w:before="60" w:after="60" w:line="276" w:lineRule="auto"/>
              <w:jc w:val="center"/>
              <w:rPr>
                <w:rFonts w:cs="Arial"/>
                <w:szCs w:val="20"/>
              </w:rPr>
            </w:pPr>
            <w:r w:rsidRPr="00296187">
              <w:t>$1,316</w:t>
            </w:r>
          </w:p>
        </w:tc>
        <w:tc>
          <w:tcPr>
            <w:tcW w:w="1418" w:type="dxa"/>
          </w:tcPr>
          <w:p w14:paraId="1850FB05" w14:textId="779FA7A9" w:rsidR="001561E2" w:rsidRPr="00DB7661" w:rsidRDefault="001561E2" w:rsidP="001561E2">
            <w:pPr>
              <w:spacing w:before="60" w:after="60" w:line="276" w:lineRule="auto"/>
              <w:jc w:val="center"/>
            </w:pPr>
            <w:r w:rsidRPr="00296187">
              <w:t>$952</w:t>
            </w:r>
          </w:p>
        </w:tc>
      </w:tr>
      <w:tr w:rsidR="001561E2" w:rsidRPr="008366B0" w14:paraId="746278A7" w14:textId="75BA9ED8" w:rsidTr="00DB7661">
        <w:tc>
          <w:tcPr>
            <w:tcW w:w="2263" w:type="dxa"/>
            <w:shd w:val="clear" w:color="auto" w:fill="auto"/>
            <w:vAlign w:val="center"/>
          </w:tcPr>
          <w:p w14:paraId="2715AB5E" w14:textId="77777777" w:rsidR="001561E2" w:rsidRPr="008366B0" w:rsidRDefault="001561E2" w:rsidP="001561E2">
            <w:pPr>
              <w:spacing w:before="60" w:after="60" w:line="276" w:lineRule="auto"/>
              <w:rPr>
                <w:rFonts w:cs="Arial"/>
                <w:szCs w:val="20"/>
              </w:rPr>
            </w:pPr>
            <w:r w:rsidRPr="008366B0">
              <w:rPr>
                <w:rFonts w:cs="Arial"/>
                <w:szCs w:val="20"/>
              </w:rPr>
              <w:t>Revenue = Y</w:t>
            </w:r>
          </w:p>
        </w:tc>
        <w:tc>
          <w:tcPr>
            <w:tcW w:w="1418" w:type="dxa"/>
            <w:shd w:val="clear" w:color="auto" w:fill="auto"/>
          </w:tcPr>
          <w:p w14:paraId="3FD86A7C" w14:textId="42EFEC04" w:rsidR="001561E2" w:rsidRPr="00DB7661" w:rsidRDefault="001561E2" w:rsidP="001561E2">
            <w:pPr>
              <w:spacing w:before="60" w:after="60" w:line="276" w:lineRule="auto"/>
              <w:jc w:val="center"/>
            </w:pPr>
            <w:r w:rsidRPr="00296187">
              <w:t>$360</w:t>
            </w:r>
          </w:p>
        </w:tc>
        <w:tc>
          <w:tcPr>
            <w:tcW w:w="1418" w:type="dxa"/>
          </w:tcPr>
          <w:p w14:paraId="6A268A72" w14:textId="093E2568" w:rsidR="001561E2" w:rsidRPr="00DB7661" w:rsidRDefault="001561E2" w:rsidP="001561E2">
            <w:pPr>
              <w:spacing w:before="60" w:after="60" w:line="276" w:lineRule="auto"/>
              <w:jc w:val="center"/>
            </w:pPr>
            <w:r w:rsidRPr="00296187">
              <w:t>$396</w:t>
            </w:r>
          </w:p>
        </w:tc>
        <w:tc>
          <w:tcPr>
            <w:tcW w:w="1418" w:type="dxa"/>
          </w:tcPr>
          <w:p w14:paraId="3C09C5FC" w14:textId="302DB2FE" w:rsidR="001561E2" w:rsidRPr="00DB7661" w:rsidRDefault="001561E2" w:rsidP="001561E2">
            <w:pPr>
              <w:spacing w:before="60" w:after="60" w:line="276" w:lineRule="auto"/>
              <w:jc w:val="center"/>
            </w:pPr>
            <w:r w:rsidRPr="00296187">
              <w:t>$246</w:t>
            </w:r>
          </w:p>
        </w:tc>
        <w:tc>
          <w:tcPr>
            <w:tcW w:w="1418" w:type="dxa"/>
          </w:tcPr>
          <w:p w14:paraId="4783DA0D" w14:textId="64387431" w:rsidR="001561E2" w:rsidRPr="00DB7661" w:rsidRDefault="001561E2" w:rsidP="001561E2">
            <w:pPr>
              <w:spacing w:before="60" w:after="60" w:line="276" w:lineRule="auto"/>
              <w:jc w:val="center"/>
              <w:rPr>
                <w:rFonts w:cs="Arial"/>
                <w:szCs w:val="20"/>
              </w:rPr>
            </w:pPr>
            <w:r w:rsidRPr="00296187">
              <w:t>$417</w:t>
            </w:r>
          </w:p>
        </w:tc>
        <w:tc>
          <w:tcPr>
            <w:tcW w:w="1418" w:type="dxa"/>
          </w:tcPr>
          <w:p w14:paraId="136CAEDF" w14:textId="64CE654C" w:rsidR="001561E2" w:rsidRPr="00DB7661" w:rsidRDefault="001561E2" w:rsidP="001561E2">
            <w:pPr>
              <w:spacing w:before="60" w:after="60" w:line="276" w:lineRule="auto"/>
              <w:jc w:val="center"/>
            </w:pPr>
            <w:r w:rsidRPr="00296187">
              <w:t>$559</w:t>
            </w:r>
          </w:p>
        </w:tc>
      </w:tr>
      <w:tr w:rsidR="001561E2" w:rsidRPr="008366B0" w14:paraId="07F817B9" w14:textId="4B7D51CA" w:rsidTr="00DB7661">
        <w:tc>
          <w:tcPr>
            <w:tcW w:w="2263" w:type="dxa"/>
            <w:shd w:val="clear" w:color="auto" w:fill="auto"/>
            <w:vAlign w:val="center"/>
          </w:tcPr>
          <w:p w14:paraId="00BB8600" w14:textId="77777777" w:rsidR="001561E2" w:rsidRPr="009819E9" w:rsidRDefault="001561E2" w:rsidP="001561E2">
            <w:pPr>
              <w:spacing w:before="60" w:after="60" w:line="276" w:lineRule="auto"/>
              <w:rPr>
                <w:rFonts w:cs="Arial"/>
                <w:b/>
                <w:szCs w:val="20"/>
              </w:rPr>
            </w:pPr>
            <w:r w:rsidRPr="009819E9">
              <w:rPr>
                <w:rFonts w:cs="Arial"/>
                <w:b/>
                <w:szCs w:val="20"/>
              </w:rPr>
              <w:t>Balance = Y – X</w:t>
            </w:r>
          </w:p>
        </w:tc>
        <w:tc>
          <w:tcPr>
            <w:tcW w:w="1418" w:type="dxa"/>
            <w:shd w:val="clear" w:color="auto" w:fill="auto"/>
          </w:tcPr>
          <w:p w14:paraId="1C0432AF" w14:textId="5D110B38" w:rsidR="001561E2" w:rsidRPr="00DB7661" w:rsidRDefault="001561E2" w:rsidP="001561E2">
            <w:pPr>
              <w:spacing w:before="60" w:after="60" w:line="276" w:lineRule="auto"/>
              <w:jc w:val="center"/>
            </w:pPr>
            <w:r w:rsidRPr="00296187">
              <w:t>-$971</w:t>
            </w:r>
          </w:p>
        </w:tc>
        <w:tc>
          <w:tcPr>
            <w:tcW w:w="1418" w:type="dxa"/>
          </w:tcPr>
          <w:p w14:paraId="2CD06B88" w14:textId="71E851C9" w:rsidR="001561E2" w:rsidRPr="00DB7661" w:rsidRDefault="001561E2" w:rsidP="001561E2">
            <w:pPr>
              <w:spacing w:before="60" w:after="60" w:line="276" w:lineRule="auto"/>
              <w:jc w:val="center"/>
            </w:pPr>
            <w:r w:rsidRPr="00296187">
              <w:t>-$834</w:t>
            </w:r>
          </w:p>
        </w:tc>
        <w:tc>
          <w:tcPr>
            <w:tcW w:w="1418" w:type="dxa"/>
          </w:tcPr>
          <w:p w14:paraId="55A9F4F9" w14:textId="7896822E" w:rsidR="001561E2" w:rsidRPr="00DB7661" w:rsidRDefault="001561E2" w:rsidP="001561E2">
            <w:pPr>
              <w:spacing w:before="60" w:after="60" w:line="276" w:lineRule="auto"/>
              <w:jc w:val="center"/>
            </w:pPr>
            <w:r w:rsidRPr="00296187">
              <w:t>-$963</w:t>
            </w:r>
          </w:p>
        </w:tc>
        <w:tc>
          <w:tcPr>
            <w:tcW w:w="1418" w:type="dxa"/>
          </w:tcPr>
          <w:p w14:paraId="491CCB23" w14:textId="410D09C9" w:rsidR="001561E2" w:rsidRPr="00DB7661" w:rsidRDefault="001561E2" w:rsidP="001561E2">
            <w:pPr>
              <w:spacing w:before="60" w:after="60" w:line="276" w:lineRule="auto"/>
              <w:jc w:val="center"/>
              <w:rPr>
                <w:rFonts w:cs="Arial"/>
                <w:szCs w:val="20"/>
              </w:rPr>
            </w:pPr>
            <w:r w:rsidRPr="00296187">
              <w:t>-$899</w:t>
            </w:r>
          </w:p>
        </w:tc>
        <w:tc>
          <w:tcPr>
            <w:tcW w:w="1418" w:type="dxa"/>
          </w:tcPr>
          <w:p w14:paraId="21B795BD" w14:textId="2C3D2D3A" w:rsidR="001561E2" w:rsidRPr="00DB7661" w:rsidRDefault="001561E2" w:rsidP="001561E2">
            <w:pPr>
              <w:spacing w:before="60" w:after="60" w:line="276" w:lineRule="auto"/>
              <w:jc w:val="center"/>
            </w:pPr>
            <w:r w:rsidRPr="00296187">
              <w:t>-$394</w:t>
            </w:r>
          </w:p>
        </w:tc>
      </w:tr>
      <w:tr w:rsidR="001561E2" w:rsidRPr="008366B0" w14:paraId="430948B5" w14:textId="1AF847F5" w:rsidTr="00DB7661">
        <w:tc>
          <w:tcPr>
            <w:tcW w:w="2263" w:type="dxa"/>
            <w:shd w:val="clear" w:color="auto" w:fill="auto"/>
            <w:vAlign w:val="center"/>
          </w:tcPr>
          <w:p w14:paraId="53B2CFA0" w14:textId="77777777" w:rsidR="001561E2" w:rsidRPr="008366B0" w:rsidRDefault="001561E2" w:rsidP="001561E2">
            <w:pPr>
              <w:spacing w:before="60" w:after="60" w:line="276" w:lineRule="auto"/>
              <w:rPr>
                <w:rFonts w:cs="Arial"/>
                <w:szCs w:val="20"/>
              </w:rPr>
            </w:pPr>
            <w:r w:rsidRPr="008366B0">
              <w:rPr>
                <w:rFonts w:cs="Arial"/>
                <w:szCs w:val="20"/>
              </w:rPr>
              <w:t>Cumulative balance</w:t>
            </w:r>
          </w:p>
        </w:tc>
        <w:tc>
          <w:tcPr>
            <w:tcW w:w="1418" w:type="dxa"/>
            <w:shd w:val="clear" w:color="auto" w:fill="auto"/>
          </w:tcPr>
          <w:p w14:paraId="27F1C43D" w14:textId="41FCCF4E" w:rsidR="001561E2" w:rsidRPr="00DB7661" w:rsidRDefault="001561E2" w:rsidP="001561E2">
            <w:pPr>
              <w:spacing w:before="60" w:after="60" w:line="276" w:lineRule="auto"/>
              <w:jc w:val="center"/>
            </w:pPr>
            <w:r w:rsidRPr="00296187">
              <w:t>-$1,881</w:t>
            </w:r>
          </w:p>
        </w:tc>
        <w:tc>
          <w:tcPr>
            <w:tcW w:w="1418" w:type="dxa"/>
          </w:tcPr>
          <w:p w14:paraId="459F7650" w14:textId="1AA9B6E2" w:rsidR="001561E2" w:rsidRPr="00DB7661" w:rsidRDefault="001561E2" w:rsidP="001561E2">
            <w:pPr>
              <w:spacing w:before="60" w:after="60" w:line="276" w:lineRule="auto"/>
              <w:jc w:val="center"/>
            </w:pPr>
            <w:r w:rsidRPr="00296187">
              <w:t>-$2,714</w:t>
            </w:r>
          </w:p>
        </w:tc>
        <w:tc>
          <w:tcPr>
            <w:tcW w:w="1418" w:type="dxa"/>
          </w:tcPr>
          <w:p w14:paraId="34EE791F" w14:textId="7BD9C3E1" w:rsidR="001561E2" w:rsidRPr="00DB7661" w:rsidRDefault="001561E2" w:rsidP="001561E2">
            <w:pPr>
              <w:spacing w:before="60" w:after="60" w:line="276" w:lineRule="auto"/>
              <w:jc w:val="center"/>
            </w:pPr>
            <w:r w:rsidRPr="00296187">
              <w:t>-$3,678</w:t>
            </w:r>
          </w:p>
        </w:tc>
        <w:tc>
          <w:tcPr>
            <w:tcW w:w="1418" w:type="dxa"/>
          </w:tcPr>
          <w:p w14:paraId="3D0A47EA" w14:textId="6C3C8F63" w:rsidR="001561E2" w:rsidRPr="00DB7661" w:rsidRDefault="001561E2" w:rsidP="001561E2">
            <w:pPr>
              <w:spacing w:before="60" w:after="60" w:line="276" w:lineRule="auto"/>
              <w:jc w:val="center"/>
              <w:rPr>
                <w:rFonts w:cs="Arial"/>
                <w:szCs w:val="20"/>
              </w:rPr>
            </w:pPr>
            <w:r w:rsidRPr="00296187">
              <w:t>-$4,577</w:t>
            </w:r>
          </w:p>
        </w:tc>
        <w:tc>
          <w:tcPr>
            <w:tcW w:w="1418" w:type="dxa"/>
          </w:tcPr>
          <w:p w14:paraId="41ED42BE" w14:textId="6A55C485" w:rsidR="001561E2" w:rsidRPr="00DB7661" w:rsidRDefault="001561E2" w:rsidP="001561E2">
            <w:pPr>
              <w:spacing w:before="60" w:after="60" w:line="276" w:lineRule="auto"/>
              <w:jc w:val="center"/>
            </w:pPr>
            <w:r w:rsidRPr="00296187">
              <w:t>-$4,971</w:t>
            </w:r>
          </w:p>
        </w:tc>
      </w:tr>
    </w:tbl>
    <w:p w14:paraId="5637299C" w14:textId="77777777" w:rsidR="00F914FA" w:rsidRDefault="00F914FA" w:rsidP="00AB5D3B">
      <w:pPr>
        <w:spacing w:line="276" w:lineRule="auto"/>
      </w:pPr>
    </w:p>
    <w:p w14:paraId="1D44280E" w14:textId="77777777" w:rsidR="006A3E88" w:rsidRPr="00A33038" w:rsidRDefault="00A01B27" w:rsidP="00A33038">
      <w:pPr>
        <w:rPr>
          <w:b/>
          <w:bCs/>
          <w:lang w:val="en-US"/>
        </w:rPr>
      </w:pPr>
      <w:bookmarkStart w:id="48" w:name="_Toc516468797"/>
      <w:bookmarkStart w:id="49" w:name="_Toc150329434"/>
      <w:r w:rsidRPr="00A33038">
        <w:rPr>
          <w:b/>
          <w:bCs/>
          <w:lang w:val="en-US"/>
        </w:rPr>
        <w:t xml:space="preserve">Table 8 </w:t>
      </w:r>
      <w:r w:rsidR="006A3E88" w:rsidRPr="00A33038">
        <w:rPr>
          <w:b/>
          <w:bCs/>
          <w:lang w:val="en-US"/>
        </w:rPr>
        <w:t>Licensing and Appointments</w:t>
      </w:r>
      <w:bookmarkEnd w:id="48"/>
      <w:bookmarkEnd w:id="49"/>
    </w:p>
    <w:tbl>
      <w:tblPr>
        <w:tblStyle w:val="TableGrid"/>
        <w:tblpPr w:leftFromText="180" w:rightFromText="180" w:vertAnchor="text" w:tblpY="19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5"/>
      </w:tblGrid>
      <w:tr w:rsidR="00A71907" w:rsidRPr="008366B0" w14:paraId="57BCC145" w14:textId="77777777" w:rsidTr="00A95462">
        <w:tc>
          <w:tcPr>
            <w:tcW w:w="9385" w:type="dxa"/>
            <w:shd w:val="clear" w:color="auto" w:fill="auto"/>
            <w:vAlign w:val="center"/>
          </w:tcPr>
          <w:tbl>
            <w:tblPr>
              <w:tblStyle w:val="TableGrid"/>
              <w:tblpPr w:leftFromText="180" w:rightFromText="180" w:vertAnchor="page" w:horzAnchor="margin" w:tblpX="-147" w:tblpY="1"/>
              <w:tblOverlap w:val="never"/>
              <w:tblW w:w="9359" w:type="dxa"/>
              <w:tblLayout w:type="fixed"/>
              <w:tblLook w:val="04A0" w:firstRow="1" w:lastRow="0" w:firstColumn="1" w:lastColumn="0" w:noHBand="0" w:noVBand="1"/>
            </w:tblPr>
            <w:tblGrid>
              <w:gridCol w:w="2274"/>
              <w:gridCol w:w="1417"/>
              <w:gridCol w:w="1417"/>
              <w:gridCol w:w="1417"/>
              <w:gridCol w:w="1417"/>
              <w:gridCol w:w="1417"/>
            </w:tblGrid>
            <w:tr w:rsidR="00DB7661" w:rsidRPr="008366B0" w14:paraId="6FBB3162" w14:textId="16E37B3E" w:rsidTr="00DB7661">
              <w:trPr>
                <w:trHeight w:val="426"/>
              </w:trPr>
              <w:tc>
                <w:tcPr>
                  <w:tcW w:w="2274" w:type="dxa"/>
                  <w:shd w:val="clear" w:color="auto" w:fill="FF0000"/>
                </w:tcPr>
                <w:p w14:paraId="5AC16784" w14:textId="77777777" w:rsidR="00DB7661" w:rsidRPr="005A229D" w:rsidRDefault="00DB7661" w:rsidP="009611A3">
                  <w:pPr>
                    <w:spacing w:beforeLines="60" w:before="144" w:after="60" w:line="276" w:lineRule="auto"/>
                    <w:rPr>
                      <w:b/>
                      <w:color w:val="FFFFFF" w:themeColor="background1"/>
                    </w:rPr>
                  </w:pPr>
                  <w:r>
                    <w:rPr>
                      <w:rFonts w:cs="Arial"/>
                      <w:b/>
                      <w:iCs/>
                      <w:color w:val="FFFFFF" w:themeColor="background1"/>
                      <w:szCs w:val="20"/>
                    </w:rPr>
                    <w:t>$’000s</w:t>
                  </w:r>
                </w:p>
              </w:tc>
              <w:tc>
                <w:tcPr>
                  <w:tcW w:w="1417" w:type="dxa"/>
                  <w:shd w:val="clear" w:color="auto" w:fill="FF0000"/>
                </w:tcPr>
                <w:p w14:paraId="30FCB0C5" w14:textId="4A21D1A3" w:rsidR="00DB7661" w:rsidRDefault="00DB7661" w:rsidP="009611A3">
                  <w:pPr>
                    <w:spacing w:beforeLines="60" w:before="144" w:after="60" w:line="276" w:lineRule="auto"/>
                    <w:jc w:val="center"/>
                    <w:rPr>
                      <w:rFonts w:cs="Arial"/>
                      <w:b/>
                      <w:iCs/>
                      <w:color w:val="FFFFFF" w:themeColor="background1"/>
                      <w:szCs w:val="20"/>
                    </w:rPr>
                  </w:pPr>
                  <w:r w:rsidRPr="00334812">
                    <w:rPr>
                      <w:rFonts w:cs="Arial"/>
                      <w:b/>
                      <w:iCs/>
                      <w:color w:val="FFFFFF" w:themeColor="background1"/>
                      <w:szCs w:val="20"/>
                    </w:rPr>
                    <w:t>2019-2020</w:t>
                  </w:r>
                </w:p>
              </w:tc>
              <w:tc>
                <w:tcPr>
                  <w:tcW w:w="1417" w:type="dxa"/>
                  <w:shd w:val="clear" w:color="auto" w:fill="FF0000"/>
                </w:tcPr>
                <w:p w14:paraId="40D278A5" w14:textId="3F36361D" w:rsidR="00DB7661" w:rsidRPr="00334812" w:rsidRDefault="00DB7661" w:rsidP="009611A3">
                  <w:pPr>
                    <w:spacing w:beforeLines="60" w:before="144" w:after="60" w:line="276" w:lineRule="auto"/>
                    <w:jc w:val="center"/>
                    <w:rPr>
                      <w:rFonts w:cs="Arial"/>
                      <w:b/>
                      <w:iCs/>
                      <w:color w:val="FFFFFF" w:themeColor="background1"/>
                      <w:szCs w:val="20"/>
                    </w:rPr>
                  </w:pPr>
                  <w:r>
                    <w:rPr>
                      <w:rFonts w:cs="Arial"/>
                      <w:b/>
                      <w:iCs/>
                      <w:color w:val="FFFFFF" w:themeColor="background1"/>
                      <w:szCs w:val="20"/>
                    </w:rPr>
                    <w:t>2020-21</w:t>
                  </w:r>
                </w:p>
              </w:tc>
              <w:tc>
                <w:tcPr>
                  <w:tcW w:w="1417" w:type="dxa"/>
                  <w:shd w:val="clear" w:color="auto" w:fill="FF0000"/>
                </w:tcPr>
                <w:p w14:paraId="7DA3697D" w14:textId="76D4A2EC" w:rsidR="00DB7661" w:rsidRDefault="00DB7661" w:rsidP="009611A3">
                  <w:pPr>
                    <w:spacing w:beforeLines="60" w:before="144" w:after="60" w:line="276" w:lineRule="auto"/>
                    <w:jc w:val="center"/>
                    <w:rPr>
                      <w:rFonts w:cs="Arial"/>
                      <w:b/>
                      <w:iCs/>
                      <w:color w:val="FFFFFF" w:themeColor="background1"/>
                      <w:szCs w:val="20"/>
                    </w:rPr>
                  </w:pPr>
                  <w:r>
                    <w:rPr>
                      <w:rFonts w:cs="Arial"/>
                      <w:b/>
                      <w:iCs/>
                      <w:color w:val="FFFFFF" w:themeColor="background1"/>
                      <w:szCs w:val="20"/>
                    </w:rPr>
                    <w:t>2020-21</w:t>
                  </w:r>
                </w:p>
              </w:tc>
              <w:tc>
                <w:tcPr>
                  <w:tcW w:w="1417" w:type="dxa"/>
                  <w:shd w:val="clear" w:color="auto" w:fill="FF0000"/>
                </w:tcPr>
                <w:p w14:paraId="51C9989B" w14:textId="6B363039" w:rsidR="00DB7661" w:rsidRDefault="00DB7661" w:rsidP="009611A3">
                  <w:pPr>
                    <w:spacing w:beforeLines="60" w:before="144" w:after="60" w:line="276" w:lineRule="auto"/>
                    <w:jc w:val="center"/>
                    <w:rPr>
                      <w:rFonts w:cs="Arial"/>
                      <w:b/>
                      <w:iCs/>
                      <w:color w:val="FFFFFF" w:themeColor="background1"/>
                      <w:szCs w:val="20"/>
                    </w:rPr>
                  </w:pPr>
                  <w:r>
                    <w:rPr>
                      <w:rFonts w:cs="Arial"/>
                      <w:b/>
                      <w:color w:val="FFFFFF" w:themeColor="background1"/>
                      <w:szCs w:val="20"/>
                    </w:rPr>
                    <w:t>2022-2023</w:t>
                  </w:r>
                </w:p>
              </w:tc>
              <w:tc>
                <w:tcPr>
                  <w:tcW w:w="1417" w:type="dxa"/>
                  <w:shd w:val="clear" w:color="auto" w:fill="FF0000"/>
                </w:tcPr>
                <w:p w14:paraId="2FFBB5EB" w14:textId="4F39099B" w:rsidR="00DB7661" w:rsidRDefault="00DB7661" w:rsidP="009611A3">
                  <w:pPr>
                    <w:spacing w:beforeLines="60" w:before="144" w:after="60" w:line="276" w:lineRule="auto"/>
                    <w:jc w:val="center"/>
                    <w:rPr>
                      <w:rFonts w:cs="Arial"/>
                      <w:b/>
                      <w:color w:val="FFFFFF" w:themeColor="background1"/>
                      <w:szCs w:val="20"/>
                    </w:rPr>
                  </w:pPr>
                  <w:r>
                    <w:rPr>
                      <w:rFonts w:cs="Arial"/>
                      <w:b/>
                      <w:color w:val="FFFFFF" w:themeColor="background1"/>
                      <w:szCs w:val="20"/>
                    </w:rPr>
                    <w:t>2023-2024</w:t>
                  </w:r>
                </w:p>
              </w:tc>
            </w:tr>
            <w:tr w:rsidR="001561E2" w:rsidRPr="008366B0" w14:paraId="15357E20" w14:textId="667EBB48" w:rsidTr="00DB7661">
              <w:trPr>
                <w:trHeight w:val="407"/>
              </w:trPr>
              <w:tc>
                <w:tcPr>
                  <w:tcW w:w="2274" w:type="dxa"/>
                  <w:shd w:val="clear" w:color="auto" w:fill="auto"/>
                  <w:vAlign w:val="center"/>
                </w:tcPr>
                <w:p w14:paraId="7B6272E9" w14:textId="77777777" w:rsidR="001561E2" w:rsidRPr="008366B0" w:rsidRDefault="001561E2" w:rsidP="001561E2">
                  <w:pPr>
                    <w:spacing w:before="60" w:after="60" w:line="276" w:lineRule="auto"/>
                    <w:rPr>
                      <w:rFonts w:cs="Arial"/>
                      <w:szCs w:val="20"/>
                    </w:rPr>
                  </w:pPr>
                  <w:r w:rsidRPr="008366B0">
                    <w:rPr>
                      <w:rFonts w:cs="Arial"/>
                      <w:szCs w:val="20"/>
                    </w:rPr>
                    <w:t>Expenses = X</w:t>
                  </w:r>
                </w:p>
              </w:tc>
              <w:tc>
                <w:tcPr>
                  <w:tcW w:w="1417" w:type="dxa"/>
                  <w:shd w:val="clear" w:color="auto" w:fill="auto"/>
                </w:tcPr>
                <w:p w14:paraId="17056510" w14:textId="77611062" w:rsidR="001561E2" w:rsidRPr="00F517AC" w:rsidRDefault="001561E2" w:rsidP="001561E2">
                  <w:pPr>
                    <w:spacing w:before="60" w:after="60" w:line="276" w:lineRule="auto"/>
                    <w:jc w:val="center"/>
                    <w:rPr>
                      <w:highlight w:val="yellow"/>
                    </w:rPr>
                  </w:pPr>
                  <w:r w:rsidRPr="0063676C">
                    <w:t>$675</w:t>
                  </w:r>
                </w:p>
              </w:tc>
              <w:tc>
                <w:tcPr>
                  <w:tcW w:w="1417" w:type="dxa"/>
                </w:tcPr>
                <w:p w14:paraId="5A70155B" w14:textId="61BE7949" w:rsidR="001561E2" w:rsidRPr="00F517AC" w:rsidRDefault="001561E2" w:rsidP="001561E2">
                  <w:pPr>
                    <w:spacing w:before="60" w:after="60" w:line="276" w:lineRule="auto"/>
                    <w:jc w:val="center"/>
                    <w:rPr>
                      <w:highlight w:val="yellow"/>
                    </w:rPr>
                  </w:pPr>
                  <w:r w:rsidRPr="0063676C">
                    <w:t>$920</w:t>
                  </w:r>
                </w:p>
              </w:tc>
              <w:tc>
                <w:tcPr>
                  <w:tcW w:w="1417" w:type="dxa"/>
                </w:tcPr>
                <w:p w14:paraId="4B1A85F9" w14:textId="633FBEC2" w:rsidR="001561E2" w:rsidRPr="00796E8F" w:rsidRDefault="001561E2" w:rsidP="001561E2">
                  <w:pPr>
                    <w:spacing w:before="60" w:after="60" w:line="276" w:lineRule="auto"/>
                    <w:jc w:val="center"/>
                  </w:pPr>
                  <w:r w:rsidRPr="0063676C">
                    <w:t>$694</w:t>
                  </w:r>
                </w:p>
              </w:tc>
              <w:tc>
                <w:tcPr>
                  <w:tcW w:w="1417" w:type="dxa"/>
                </w:tcPr>
                <w:p w14:paraId="4835AD80" w14:textId="1F85FF21" w:rsidR="001561E2" w:rsidRPr="00392721" w:rsidRDefault="001561E2" w:rsidP="001561E2">
                  <w:pPr>
                    <w:spacing w:before="60" w:after="60" w:line="276" w:lineRule="auto"/>
                    <w:jc w:val="center"/>
                    <w:rPr>
                      <w:highlight w:val="yellow"/>
                    </w:rPr>
                  </w:pPr>
                  <w:r w:rsidRPr="0063676C">
                    <w:t>$727</w:t>
                  </w:r>
                </w:p>
              </w:tc>
              <w:tc>
                <w:tcPr>
                  <w:tcW w:w="1417" w:type="dxa"/>
                </w:tcPr>
                <w:p w14:paraId="26E39ADD" w14:textId="729968FB" w:rsidR="001561E2" w:rsidRPr="000E72AD" w:rsidRDefault="001561E2" w:rsidP="001561E2">
                  <w:pPr>
                    <w:spacing w:before="60" w:after="60" w:line="276" w:lineRule="auto"/>
                    <w:jc w:val="center"/>
                  </w:pPr>
                  <w:r w:rsidRPr="0063676C">
                    <w:t>$621</w:t>
                  </w:r>
                </w:p>
              </w:tc>
            </w:tr>
            <w:tr w:rsidR="001561E2" w:rsidRPr="008366B0" w14:paraId="7D6BDC0B" w14:textId="04B8E4BC" w:rsidTr="00DB7661">
              <w:trPr>
                <w:trHeight w:val="412"/>
              </w:trPr>
              <w:tc>
                <w:tcPr>
                  <w:tcW w:w="2274" w:type="dxa"/>
                  <w:shd w:val="clear" w:color="auto" w:fill="auto"/>
                  <w:vAlign w:val="center"/>
                </w:tcPr>
                <w:p w14:paraId="40343F68" w14:textId="77777777" w:rsidR="001561E2" w:rsidRPr="008366B0" w:rsidRDefault="001561E2" w:rsidP="001561E2">
                  <w:pPr>
                    <w:spacing w:before="60" w:after="60" w:line="276" w:lineRule="auto"/>
                    <w:rPr>
                      <w:rFonts w:cs="Arial"/>
                      <w:szCs w:val="20"/>
                    </w:rPr>
                  </w:pPr>
                  <w:r w:rsidRPr="008366B0">
                    <w:rPr>
                      <w:rFonts w:cs="Arial"/>
                      <w:szCs w:val="20"/>
                    </w:rPr>
                    <w:t>Revenue = Y</w:t>
                  </w:r>
                </w:p>
              </w:tc>
              <w:tc>
                <w:tcPr>
                  <w:tcW w:w="1417" w:type="dxa"/>
                  <w:shd w:val="clear" w:color="auto" w:fill="auto"/>
                </w:tcPr>
                <w:p w14:paraId="15EC5802" w14:textId="025D56C7" w:rsidR="001561E2" w:rsidRPr="00F517AC" w:rsidRDefault="001561E2" w:rsidP="001561E2">
                  <w:pPr>
                    <w:spacing w:before="60" w:after="60" w:line="276" w:lineRule="auto"/>
                    <w:ind w:left="-173" w:firstLine="173"/>
                    <w:jc w:val="center"/>
                    <w:rPr>
                      <w:highlight w:val="yellow"/>
                    </w:rPr>
                  </w:pPr>
                  <w:r w:rsidRPr="0063676C">
                    <w:t>$444</w:t>
                  </w:r>
                </w:p>
              </w:tc>
              <w:tc>
                <w:tcPr>
                  <w:tcW w:w="1417" w:type="dxa"/>
                </w:tcPr>
                <w:p w14:paraId="4E9833A6" w14:textId="51D6D1DB" w:rsidR="001561E2" w:rsidRPr="00F517AC" w:rsidRDefault="001561E2" w:rsidP="001561E2">
                  <w:pPr>
                    <w:spacing w:before="60" w:after="60" w:line="276" w:lineRule="auto"/>
                    <w:ind w:left="-173" w:firstLine="173"/>
                    <w:jc w:val="center"/>
                    <w:rPr>
                      <w:highlight w:val="yellow"/>
                    </w:rPr>
                  </w:pPr>
                  <w:r w:rsidRPr="0063676C">
                    <w:t>$499</w:t>
                  </w:r>
                </w:p>
              </w:tc>
              <w:tc>
                <w:tcPr>
                  <w:tcW w:w="1417" w:type="dxa"/>
                </w:tcPr>
                <w:p w14:paraId="364BC757" w14:textId="393D95EE" w:rsidR="001561E2" w:rsidRPr="00796E8F" w:rsidRDefault="001561E2" w:rsidP="001561E2">
                  <w:pPr>
                    <w:spacing w:before="60" w:after="60" w:line="276" w:lineRule="auto"/>
                    <w:ind w:left="-173" w:firstLine="173"/>
                    <w:jc w:val="center"/>
                  </w:pPr>
                  <w:r w:rsidRPr="0063676C">
                    <w:t>$537</w:t>
                  </w:r>
                </w:p>
              </w:tc>
              <w:tc>
                <w:tcPr>
                  <w:tcW w:w="1417" w:type="dxa"/>
                </w:tcPr>
                <w:p w14:paraId="1D1DF488" w14:textId="0AAD8E00" w:rsidR="001561E2" w:rsidRPr="00392721" w:rsidRDefault="001561E2" w:rsidP="001561E2">
                  <w:pPr>
                    <w:spacing w:before="60" w:after="60" w:line="276" w:lineRule="auto"/>
                    <w:ind w:left="-173" w:firstLine="173"/>
                    <w:jc w:val="center"/>
                    <w:rPr>
                      <w:highlight w:val="yellow"/>
                    </w:rPr>
                  </w:pPr>
                  <w:r w:rsidRPr="0063676C">
                    <w:t>$601</w:t>
                  </w:r>
                </w:p>
              </w:tc>
              <w:tc>
                <w:tcPr>
                  <w:tcW w:w="1417" w:type="dxa"/>
                </w:tcPr>
                <w:p w14:paraId="442BA89C" w14:textId="491D8B56" w:rsidR="001561E2" w:rsidRPr="000E72AD" w:rsidRDefault="001561E2" w:rsidP="001561E2">
                  <w:pPr>
                    <w:spacing w:before="60" w:after="60" w:line="276" w:lineRule="auto"/>
                    <w:ind w:left="-173" w:firstLine="173"/>
                    <w:jc w:val="center"/>
                  </w:pPr>
                  <w:r w:rsidRPr="0063676C">
                    <w:t>$662</w:t>
                  </w:r>
                </w:p>
              </w:tc>
            </w:tr>
            <w:tr w:rsidR="001561E2" w:rsidRPr="008366B0" w14:paraId="4CA03734" w14:textId="59F037DF" w:rsidTr="00DB7661">
              <w:trPr>
                <w:trHeight w:val="406"/>
              </w:trPr>
              <w:tc>
                <w:tcPr>
                  <w:tcW w:w="2274" w:type="dxa"/>
                  <w:shd w:val="clear" w:color="auto" w:fill="auto"/>
                  <w:vAlign w:val="center"/>
                </w:tcPr>
                <w:p w14:paraId="2DE58862" w14:textId="77777777" w:rsidR="001561E2" w:rsidRPr="009819E9" w:rsidRDefault="001561E2" w:rsidP="001561E2">
                  <w:pPr>
                    <w:spacing w:before="60" w:after="60" w:line="276" w:lineRule="auto"/>
                    <w:rPr>
                      <w:rFonts w:cs="Arial"/>
                      <w:b/>
                      <w:szCs w:val="20"/>
                    </w:rPr>
                  </w:pPr>
                  <w:r w:rsidRPr="009819E9">
                    <w:rPr>
                      <w:rFonts w:cs="Arial"/>
                      <w:b/>
                      <w:szCs w:val="20"/>
                    </w:rPr>
                    <w:t>Balance = Y – X</w:t>
                  </w:r>
                </w:p>
              </w:tc>
              <w:tc>
                <w:tcPr>
                  <w:tcW w:w="1417" w:type="dxa"/>
                  <w:shd w:val="clear" w:color="auto" w:fill="auto"/>
                </w:tcPr>
                <w:p w14:paraId="394269F5" w14:textId="0D772F0C" w:rsidR="001561E2" w:rsidRPr="00F517AC" w:rsidRDefault="001561E2" w:rsidP="001561E2">
                  <w:pPr>
                    <w:spacing w:before="60" w:after="60" w:line="276" w:lineRule="auto"/>
                    <w:jc w:val="center"/>
                    <w:rPr>
                      <w:highlight w:val="yellow"/>
                    </w:rPr>
                  </w:pPr>
                  <w:r w:rsidRPr="0063676C">
                    <w:t>-$231</w:t>
                  </w:r>
                </w:p>
              </w:tc>
              <w:tc>
                <w:tcPr>
                  <w:tcW w:w="1417" w:type="dxa"/>
                </w:tcPr>
                <w:p w14:paraId="32840EDD" w14:textId="305499CE" w:rsidR="001561E2" w:rsidRPr="00F517AC" w:rsidRDefault="001561E2" w:rsidP="001561E2">
                  <w:pPr>
                    <w:spacing w:before="60" w:after="60" w:line="276" w:lineRule="auto"/>
                    <w:jc w:val="center"/>
                    <w:rPr>
                      <w:highlight w:val="yellow"/>
                    </w:rPr>
                  </w:pPr>
                  <w:r w:rsidRPr="0063676C">
                    <w:t>-$422</w:t>
                  </w:r>
                </w:p>
              </w:tc>
              <w:tc>
                <w:tcPr>
                  <w:tcW w:w="1417" w:type="dxa"/>
                </w:tcPr>
                <w:p w14:paraId="5676AA89" w14:textId="389D4163" w:rsidR="001561E2" w:rsidRPr="00796E8F" w:rsidRDefault="001561E2" w:rsidP="001561E2">
                  <w:pPr>
                    <w:spacing w:before="60" w:after="60" w:line="276" w:lineRule="auto"/>
                    <w:jc w:val="center"/>
                  </w:pPr>
                  <w:r w:rsidRPr="0063676C">
                    <w:t>-$157</w:t>
                  </w:r>
                </w:p>
              </w:tc>
              <w:tc>
                <w:tcPr>
                  <w:tcW w:w="1417" w:type="dxa"/>
                </w:tcPr>
                <w:p w14:paraId="6418B02D" w14:textId="03E24CBC" w:rsidR="001561E2" w:rsidRPr="00392721" w:rsidRDefault="001561E2" w:rsidP="001561E2">
                  <w:pPr>
                    <w:spacing w:before="60" w:after="60" w:line="276" w:lineRule="auto"/>
                    <w:jc w:val="center"/>
                    <w:rPr>
                      <w:highlight w:val="yellow"/>
                    </w:rPr>
                  </w:pPr>
                  <w:r w:rsidRPr="0063676C">
                    <w:t>-$126</w:t>
                  </w:r>
                </w:p>
              </w:tc>
              <w:tc>
                <w:tcPr>
                  <w:tcW w:w="1417" w:type="dxa"/>
                </w:tcPr>
                <w:p w14:paraId="6F9C3FA0" w14:textId="5AA286B9" w:rsidR="001561E2" w:rsidRPr="000E72AD" w:rsidRDefault="001561E2" w:rsidP="001561E2">
                  <w:pPr>
                    <w:spacing w:before="60" w:after="60" w:line="276" w:lineRule="auto"/>
                    <w:jc w:val="center"/>
                  </w:pPr>
                  <w:r w:rsidRPr="0063676C">
                    <w:t>$41</w:t>
                  </w:r>
                </w:p>
              </w:tc>
            </w:tr>
            <w:tr w:rsidR="001561E2" w:rsidRPr="008366B0" w14:paraId="61F9467D" w14:textId="5841C041" w:rsidTr="00DB7661">
              <w:trPr>
                <w:trHeight w:val="340"/>
              </w:trPr>
              <w:tc>
                <w:tcPr>
                  <w:tcW w:w="2274" w:type="dxa"/>
                  <w:shd w:val="clear" w:color="auto" w:fill="auto"/>
                  <w:vAlign w:val="center"/>
                </w:tcPr>
                <w:p w14:paraId="3972B4EF" w14:textId="77777777" w:rsidR="001561E2" w:rsidRPr="008366B0" w:rsidRDefault="001561E2" w:rsidP="001561E2">
                  <w:pPr>
                    <w:spacing w:before="60" w:after="60" w:line="276" w:lineRule="auto"/>
                    <w:rPr>
                      <w:rFonts w:cs="Arial"/>
                      <w:szCs w:val="20"/>
                    </w:rPr>
                  </w:pPr>
                  <w:r w:rsidRPr="008366B0">
                    <w:rPr>
                      <w:rFonts w:cs="Arial"/>
                      <w:szCs w:val="20"/>
                    </w:rPr>
                    <w:t>Cumulative balance</w:t>
                  </w:r>
                </w:p>
              </w:tc>
              <w:tc>
                <w:tcPr>
                  <w:tcW w:w="1417" w:type="dxa"/>
                  <w:shd w:val="clear" w:color="auto" w:fill="auto"/>
                </w:tcPr>
                <w:p w14:paraId="2C40653E" w14:textId="28175B6C" w:rsidR="001561E2" w:rsidRPr="00F517AC" w:rsidRDefault="001561E2" w:rsidP="001561E2">
                  <w:pPr>
                    <w:spacing w:before="60" w:after="60" w:line="276" w:lineRule="auto"/>
                    <w:jc w:val="center"/>
                    <w:rPr>
                      <w:highlight w:val="yellow"/>
                    </w:rPr>
                  </w:pPr>
                  <w:r w:rsidRPr="0063676C">
                    <w:t>-$664</w:t>
                  </w:r>
                </w:p>
              </w:tc>
              <w:tc>
                <w:tcPr>
                  <w:tcW w:w="1417" w:type="dxa"/>
                </w:tcPr>
                <w:p w14:paraId="658BAAF6" w14:textId="231B0D83" w:rsidR="001561E2" w:rsidRPr="00F517AC" w:rsidRDefault="001561E2" w:rsidP="001561E2">
                  <w:pPr>
                    <w:spacing w:before="60" w:after="60" w:line="276" w:lineRule="auto"/>
                    <w:jc w:val="center"/>
                    <w:rPr>
                      <w:highlight w:val="yellow"/>
                    </w:rPr>
                  </w:pPr>
                  <w:r w:rsidRPr="0063676C">
                    <w:t>-$1,086</w:t>
                  </w:r>
                </w:p>
              </w:tc>
              <w:tc>
                <w:tcPr>
                  <w:tcW w:w="1417" w:type="dxa"/>
                </w:tcPr>
                <w:p w14:paraId="40439EBD" w14:textId="5FE214CF" w:rsidR="001561E2" w:rsidRPr="00796E8F" w:rsidRDefault="001561E2" w:rsidP="001561E2">
                  <w:pPr>
                    <w:spacing w:before="60" w:after="60" w:line="276" w:lineRule="auto"/>
                    <w:jc w:val="center"/>
                  </w:pPr>
                  <w:r w:rsidRPr="0063676C">
                    <w:t>-$1,243</w:t>
                  </w:r>
                </w:p>
              </w:tc>
              <w:tc>
                <w:tcPr>
                  <w:tcW w:w="1417" w:type="dxa"/>
                </w:tcPr>
                <w:p w14:paraId="00A90AD7" w14:textId="7F452834" w:rsidR="001561E2" w:rsidRPr="00392721" w:rsidRDefault="001561E2" w:rsidP="001561E2">
                  <w:pPr>
                    <w:spacing w:before="60" w:after="60" w:line="276" w:lineRule="auto"/>
                    <w:jc w:val="center"/>
                    <w:rPr>
                      <w:highlight w:val="yellow"/>
                    </w:rPr>
                  </w:pPr>
                  <w:r w:rsidRPr="0063676C">
                    <w:t>-$1,369</w:t>
                  </w:r>
                </w:p>
              </w:tc>
              <w:tc>
                <w:tcPr>
                  <w:tcW w:w="1417" w:type="dxa"/>
                </w:tcPr>
                <w:p w14:paraId="6D796370" w14:textId="1B245F62" w:rsidR="001561E2" w:rsidRPr="000E72AD" w:rsidRDefault="001561E2" w:rsidP="001561E2">
                  <w:pPr>
                    <w:spacing w:before="60" w:after="60" w:line="276" w:lineRule="auto"/>
                    <w:jc w:val="center"/>
                  </w:pPr>
                  <w:r w:rsidRPr="0063676C">
                    <w:t>-$1,328</w:t>
                  </w:r>
                </w:p>
              </w:tc>
            </w:tr>
          </w:tbl>
          <w:p w14:paraId="33121502" w14:textId="77777777" w:rsidR="006A3E88" w:rsidRPr="006A3E88" w:rsidRDefault="006A3E88" w:rsidP="00A01B27">
            <w:pPr>
              <w:spacing w:line="276" w:lineRule="auto"/>
              <w:rPr>
                <w:rFonts w:cs="Arial"/>
                <w:b/>
                <w:szCs w:val="20"/>
              </w:rPr>
            </w:pPr>
          </w:p>
        </w:tc>
      </w:tr>
    </w:tbl>
    <w:p w14:paraId="7F4F6235" w14:textId="7D37ECBD" w:rsidR="00EE4F30" w:rsidRPr="00FB6FEE" w:rsidRDefault="00EE4F30" w:rsidP="00065F45">
      <w:pPr>
        <w:pStyle w:val="Heading1"/>
        <w:ind w:hanging="502"/>
      </w:pPr>
      <w:bookmarkStart w:id="50" w:name="_Toc516468798"/>
      <w:bookmarkStart w:id="51" w:name="_Toc150329435"/>
      <w:r w:rsidRPr="00FB6FEE">
        <w:t>NON-</w:t>
      </w:r>
      <w:r w:rsidRPr="000250B6">
        <w:t>FINANCIAL</w:t>
      </w:r>
      <w:r w:rsidRPr="00FB6FEE">
        <w:t xml:space="preserve"> PERFORMANC</w:t>
      </w:r>
      <w:r w:rsidR="00E06B6F">
        <w:t>E</w:t>
      </w:r>
      <w:bookmarkEnd w:id="50"/>
      <w:bookmarkEnd w:id="51"/>
      <w:r w:rsidRPr="00FB6FEE">
        <w:t xml:space="preserve"> </w:t>
      </w:r>
    </w:p>
    <w:p w14:paraId="23778BE8" w14:textId="1D31057F" w:rsidR="00C66899" w:rsidRPr="005A229D" w:rsidRDefault="00C66899" w:rsidP="007C1D01">
      <w:pPr>
        <w:rPr>
          <w:lang w:val="en-US"/>
        </w:rPr>
      </w:pPr>
      <w:bookmarkStart w:id="52" w:name="_Toc516468799"/>
      <w:r w:rsidRPr="005A229D">
        <w:rPr>
          <w:lang w:val="en-US"/>
        </w:rPr>
        <w:t>NMI</w:t>
      </w:r>
      <w:r>
        <w:rPr>
          <w:lang w:val="en-US"/>
        </w:rPr>
        <w:t>’s activities contribute to</w:t>
      </w:r>
      <w:r w:rsidR="003B691E">
        <w:rPr>
          <w:lang w:val="en-US"/>
        </w:rPr>
        <w:t xml:space="preserve">wards </w:t>
      </w:r>
      <w:r w:rsidRPr="00C66899">
        <w:rPr>
          <w:lang w:val="en-US"/>
        </w:rPr>
        <w:t xml:space="preserve">Australia’s national system of measurement </w:t>
      </w:r>
      <w:r w:rsidR="003B691E">
        <w:rPr>
          <w:lang w:val="en-US"/>
        </w:rPr>
        <w:t>being</w:t>
      </w:r>
      <w:r w:rsidRPr="00C66899">
        <w:rPr>
          <w:lang w:val="en-US"/>
        </w:rPr>
        <w:t xml:space="preserve"> trusted nationally and internationally</w:t>
      </w:r>
      <w:r>
        <w:rPr>
          <w:lang w:val="en-US"/>
        </w:rPr>
        <w:t xml:space="preserve">. </w:t>
      </w:r>
    </w:p>
    <w:p w14:paraId="3C3F187A" w14:textId="77777777" w:rsidR="00EE4F30" w:rsidRPr="00A33038" w:rsidRDefault="00EE4F30" w:rsidP="00A33038">
      <w:pPr>
        <w:spacing w:before="120"/>
        <w:rPr>
          <w:b/>
          <w:bCs/>
          <w:lang w:val="en-US"/>
        </w:rPr>
      </w:pPr>
      <w:bookmarkStart w:id="53" w:name="_Toc150329436"/>
      <w:r w:rsidRPr="00A33038">
        <w:rPr>
          <w:b/>
          <w:bCs/>
          <w:lang w:val="en-US"/>
        </w:rPr>
        <w:t>Pattern Approval</w:t>
      </w:r>
      <w:bookmarkEnd w:id="52"/>
      <w:bookmarkEnd w:id="53"/>
    </w:p>
    <w:p w14:paraId="5B9AC7F3" w14:textId="264482F6" w:rsidR="00EE4F30" w:rsidRPr="008D6983" w:rsidRDefault="00EE4F30" w:rsidP="00AB5D3B">
      <w:pPr>
        <w:spacing w:before="120" w:line="276" w:lineRule="auto"/>
        <w:rPr>
          <w:rFonts w:cs="Arial"/>
          <w:szCs w:val="20"/>
          <w:lang w:val="en-US"/>
        </w:rPr>
      </w:pPr>
      <w:r w:rsidRPr="008D6983">
        <w:rPr>
          <w:rFonts w:cs="Arial"/>
          <w:szCs w:val="20"/>
          <w:lang w:val="en-US"/>
        </w:rPr>
        <w:t xml:space="preserve">The number of certificates prepared varies with demand. </w:t>
      </w:r>
      <w:r w:rsidR="002263B4" w:rsidRPr="002263B4">
        <w:rPr>
          <w:rFonts w:cs="Arial"/>
          <w:szCs w:val="20"/>
          <w:lang w:val="en-US"/>
        </w:rPr>
        <w:t xml:space="preserve">On average during the past three years 125 certificates were issued, of which between 60–80 per cent were for product lifecycle modifications or upgrades, with the remainder for new instruments. </w:t>
      </w:r>
    </w:p>
    <w:p w14:paraId="5BF5A7FE" w14:textId="77777777" w:rsidR="00EE4F30" w:rsidRPr="008D6983" w:rsidRDefault="00EE4F30" w:rsidP="00AB5D3B">
      <w:pPr>
        <w:spacing w:before="120" w:line="276" w:lineRule="auto"/>
        <w:rPr>
          <w:rFonts w:cs="Arial"/>
          <w:szCs w:val="20"/>
          <w:lang w:val="en-US"/>
        </w:rPr>
      </w:pPr>
      <w:r w:rsidRPr="008D6983">
        <w:rPr>
          <w:rFonts w:cs="Arial"/>
          <w:szCs w:val="20"/>
          <w:lang w:val="en-US"/>
        </w:rPr>
        <w:t>Laboratory accreditation through the National Association of Testing Laboratories has been maintained.</w:t>
      </w:r>
    </w:p>
    <w:p w14:paraId="7A3A98A2" w14:textId="77777777" w:rsidR="00EE4F30" w:rsidRPr="008D6983" w:rsidRDefault="00EE4F30" w:rsidP="00AB5D3B">
      <w:pPr>
        <w:spacing w:before="120" w:line="276" w:lineRule="auto"/>
        <w:rPr>
          <w:rFonts w:cs="Arial"/>
          <w:szCs w:val="20"/>
          <w:lang w:val="en-US"/>
        </w:rPr>
      </w:pPr>
      <w:r w:rsidRPr="008D6983">
        <w:rPr>
          <w:rFonts w:cs="Arial"/>
          <w:szCs w:val="20"/>
          <w:lang w:val="en-US"/>
        </w:rPr>
        <w:t>Suitable bilateral and multilateral arrangements are in place to support mutual recognition of testing performed within the scope of agreements with international partners and to enhance alignment with international specifications, where possible.</w:t>
      </w:r>
    </w:p>
    <w:p w14:paraId="34FE6521" w14:textId="77777777" w:rsidR="00EE4F30" w:rsidRPr="00A33038" w:rsidRDefault="00EE4F30" w:rsidP="00A33038">
      <w:pPr>
        <w:spacing w:before="120"/>
        <w:rPr>
          <w:b/>
          <w:bCs/>
          <w:lang w:val="en-US"/>
        </w:rPr>
      </w:pPr>
      <w:bookmarkStart w:id="54" w:name="_Toc516468800"/>
      <w:bookmarkStart w:id="55" w:name="_Toc150329437"/>
      <w:r w:rsidRPr="00A33038">
        <w:rPr>
          <w:b/>
          <w:bCs/>
          <w:lang w:val="en-US"/>
        </w:rPr>
        <w:t>Licensing and Appointments</w:t>
      </w:r>
      <w:bookmarkEnd w:id="54"/>
      <w:bookmarkEnd w:id="55"/>
    </w:p>
    <w:p w14:paraId="1E7A7A95" w14:textId="28F6E9CD" w:rsidR="00EE4F30" w:rsidRDefault="00EE4F30" w:rsidP="00AB5D3B">
      <w:pPr>
        <w:spacing w:before="120" w:line="276" w:lineRule="auto"/>
        <w:rPr>
          <w:rFonts w:cs="Arial"/>
          <w:szCs w:val="20"/>
          <w:lang w:val="en-US"/>
        </w:rPr>
      </w:pPr>
      <w:r w:rsidRPr="002263B4">
        <w:rPr>
          <w:rFonts w:cs="Arial"/>
          <w:szCs w:val="20"/>
          <w:lang w:val="en-US"/>
        </w:rPr>
        <w:t xml:space="preserve">There are over </w:t>
      </w:r>
      <w:r w:rsidR="00131AC8" w:rsidRPr="002263B4">
        <w:rPr>
          <w:rFonts w:cs="Arial"/>
          <w:szCs w:val="20"/>
          <w:lang w:val="en-US"/>
        </w:rPr>
        <w:t>5</w:t>
      </w:r>
      <w:r w:rsidR="002263B4" w:rsidRPr="002263B4">
        <w:rPr>
          <w:rFonts w:cs="Arial"/>
          <w:szCs w:val="20"/>
          <w:lang w:val="en-US"/>
        </w:rPr>
        <w:t>2</w:t>
      </w:r>
      <w:r w:rsidR="00131AC8" w:rsidRPr="002263B4">
        <w:rPr>
          <w:rFonts w:cs="Arial"/>
          <w:szCs w:val="20"/>
          <w:lang w:val="en-US"/>
        </w:rPr>
        <w:t xml:space="preserve">5 </w:t>
      </w:r>
      <w:r w:rsidRPr="002263B4">
        <w:rPr>
          <w:rFonts w:cs="Arial"/>
          <w:szCs w:val="20"/>
          <w:lang w:val="en-US"/>
        </w:rPr>
        <w:t xml:space="preserve">licensees and over </w:t>
      </w:r>
      <w:r w:rsidR="002263B4" w:rsidRPr="002263B4">
        <w:rPr>
          <w:rFonts w:cs="Arial"/>
          <w:szCs w:val="20"/>
          <w:lang w:val="en-US"/>
        </w:rPr>
        <w:t>6</w:t>
      </w:r>
      <w:r w:rsidR="00131AC8" w:rsidRPr="002263B4">
        <w:rPr>
          <w:rFonts w:cs="Arial"/>
          <w:szCs w:val="20"/>
          <w:lang w:val="en-US"/>
        </w:rPr>
        <w:t xml:space="preserve">0 </w:t>
      </w:r>
      <w:r w:rsidRPr="002263B4">
        <w:rPr>
          <w:rFonts w:cs="Arial"/>
          <w:szCs w:val="20"/>
          <w:lang w:val="en-US"/>
        </w:rPr>
        <w:t xml:space="preserve">legal metrology authorities. Servicing licensees employ around </w:t>
      </w:r>
      <w:r w:rsidR="00131AC8" w:rsidRPr="002263B4">
        <w:rPr>
          <w:rFonts w:cs="Arial"/>
          <w:szCs w:val="20"/>
          <w:lang w:val="en-US"/>
        </w:rPr>
        <w:t xml:space="preserve">1400 </w:t>
      </w:r>
      <w:r w:rsidRPr="002263B4">
        <w:rPr>
          <w:rFonts w:cs="Arial"/>
          <w:szCs w:val="20"/>
          <w:lang w:val="en-US"/>
        </w:rPr>
        <w:t>verifiers.</w:t>
      </w:r>
      <w:bookmarkEnd w:id="36"/>
    </w:p>
    <w:p w14:paraId="6A5B06AB" w14:textId="411BC7BB" w:rsidR="002263B4" w:rsidRDefault="002263B4" w:rsidP="00AB5D3B">
      <w:pPr>
        <w:spacing w:before="120" w:line="276" w:lineRule="auto"/>
        <w:rPr>
          <w:rFonts w:cs="Arial"/>
          <w:szCs w:val="20"/>
          <w:lang w:val="en-US"/>
        </w:rPr>
      </w:pPr>
    </w:p>
    <w:sectPr w:rsidR="002263B4" w:rsidSect="004D1AFE">
      <w:footerReference w:type="default" r:id="rId9"/>
      <w:pgSz w:w="11906" w:h="16838" w:code="9"/>
      <w:pgMar w:top="1440" w:right="1700" w:bottom="1440" w:left="1134" w:header="142" w:footer="9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5BF6" w14:textId="77777777" w:rsidR="00C53595" w:rsidRDefault="00C53595" w:rsidP="008B679D">
      <w:r>
        <w:separator/>
      </w:r>
    </w:p>
  </w:endnote>
  <w:endnote w:type="continuationSeparator" w:id="0">
    <w:p w14:paraId="01BC3172" w14:textId="77777777" w:rsidR="00C53595" w:rsidRDefault="00C53595" w:rsidP="008B679D">
      <w:r>
        <w:continuationSeparator/>
      </w:r>
    </w:p>
  </w:endnote>
  <w:endnote w:type="continuationNotice" w:id="1">
    <w:p w14:paraId="3F0D0191" w14:textId="77777777" w:rsidR="00C53595" w:rsidRDefault="00C53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43F6" w14:textId="77777777" w:rsidR="00C53595" w:rsidRDefault="00C53595" w:rsidP="00B7409D">
    <w:pPr>
      <w:pStyle w:val="Footer"/>
      <w:tabs>
        <w:tab w:val="clear" w:pos="4513"/>
        <w:tab w:val="clear" w:pos="9026"/>
        <w:tab w:val="left" w:pos="4005"/>
        <w:tab w:val="left" w:pos="6300"/>
      </w:tabs>
      <w:rPr>
        <w:color w:val="7F7F7F" w:themeColor="background1" w:themeShade="7F"/>
        <w:spacing w:val="60"/>
      </w:rPr>
    </w:pPr>
  </w:p>
  <w:p w14:paraId="53751B65" w14:textId="77777777" w:rsidR="00C53595" w:rsidRDefault="00C53595" w:rsidP="00B7409D">
    <w:pPr>
      <w:pStyle w:val="Footer"/>
      <w:tabs>
        <w:tab w:val="clear" w:pos="4513"/>
        <w:tab w:val="clear" w:pos="9026"/>
        <w:tab w:val="left" w:pos="4005"/>
        <w:tab w:val="left" w:pos="6300"/>
      </w:tabs>
    </w:pPr>
    <w:r>
      <w:rPr>
        <w:color w:val="7F7F7F" w:themeColor="background1" w:themeShade="7F"/>
        <w:spacing w:val="60"/>
      </w:rPr>
      <w:t xml:space="preserve"> Page</w:t>
    </w:r>
    <w:r>
      <w:t xml:space="preserve"> | </w:t>
    </w:r>
    <w:r>
      <w:fldChar w:fldCharType="begin"/>
    </w:r>
    <w:r>
      <w:instrText xml:space="preserve"> PAGE   \* MERGEFORMAT </w:instrText>
    </w:r>
    <w:r>
      <w:fldChar w:fldCharType="separate"/>
    </w:r>
    <w:r w:rsidR="005603EE" w:rsidRPr="005603EE">
      <w:rPr>
        <w:b/>
        <w:bCs/>
        <w:noProof/>
      </w:rPr>
      <w:t>29</w:t>
    </w:r>
    <w:r>
      <w:rPr>
        <w:b/>
        <w:bCs/>
        <w:noProof/>
      </w:rPr>
      <w:fldChar w:fldCharType="end"/>
    </w:r>
  </w:p>
  <w:p w14:paraId="4EA8C23D" w14:textId="171008D9" w:rsidR="00C53595" w:rsidRDefault="00C53595" w:rsidP="00B7409D">
    <w:pPr>
      <w:pStyle w:val="Footer"/>
      <w:tabs>
        <w:tab w:val="clear" w:pos="4513"/>
        <w:tab w:val="clear" w:pos="9026"/>
        <w:tab w:val="left" w:pos="4005"/>
        <w:tab w:val="left" w:pos="6300"/>
      </w:tabs>
    </w:pPr>
    <w:r>
      <w:rPr>
        <w:noProof/>
        <w:lang w:eastAsia="en-AU"/>
      </w:rPr>
      <w:drawing>
        <wp:anchor distT="0" distB="0" distL="114300" distR="114300" simplePos="0" relativeHeight="251657728" behindDoc="1" locked="0" layoutInCell="1" allowOverlap="1" wp14:anchorId="5D303716" wp14:editId="108819B9">
          <wp:simplePos x="0" y="0"/>
          <wp:positionH relativeFrom="margin">
            <wp:posOffset>0</wp:posOffset>
          </wp:positionH>
          <wp:positionV relativeFrom="paragraph">
            <wp:posOffset>0</wp:posOffset>
          </wp:positionV>
          <wp:extent cx="6734755" cy="379095"/>
          <wp:effectExtent l="0" t="0" r="9525"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28731"/>
                  <a:stretch/>
                </pic:blipFill>
                <pic:spPr bwMode="auto">
                  <a:xfrm>
                    <a:off x="0" y="0"/>
                    <a:ext cx="6740317" cy="379408"/>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A640" w14:textId="77777777" w:rsidR="00C53595" w:rsidRDefault="00C53595" w:rsidP="008B679D">
      <w:r>
        <w:separator/>
      </w:r>
    </w:p>
  </w:footnote>
  <w:footnote w:type="continuationSeparator" w:id="0">
    <w:p w14:paraId="62406906" w14:textId="77777777" w:rsidR="00C53595" w:rsidRDefault="00C53595" w:rsidP="008B679D">
      <w:r>
        <w:continuationSeparator/>
      </w:r>
    </w:p>
  </w:footnote>
  <w:footnote w:type="continuationNotice" w:id="1">
    <w:p w14:paraId="06249A24" w14:textId="77777777" w:rsidR="00C53595" w:rsidRDefault="00C535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4F81BD" w:themeColor="accent1"/>
      </w:rPr>
    </w:lvl>
  </w:abstractNum>
  <w:abstractNum w:abstractNumId="1" w15:restartNumberingAfterBreak="0">
    <w:nsid w:val="0483565C"/>
    <w:multiLevelType w:val="hybridMultilevel"/>
    <w:tmpl w:val="C38EAB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5CF0682"/>
    <w:multiLevelType w:val="hybridMultilevel"/>
    <w:tmpl w:val="D10C61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34FCA"/>
    <w:multiLevelType w:val="hybridMultilevel"/>
    <w:tmpl w:val="5B28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74F1B"/>
    <w:multiLevelType w:val="hybridMultilevel"/>
    <w:tmpl w:val="265E6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C74BE"/>
    <w:multiLevelType w:val="hybridMultilevel"/>
    <w:tmpl w:val="FCB69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04A77"/>
    <w:multiLevelType w:val="hybridMultilevel"/>
    <w:tmpl w:val="0A026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C188C"/>
    <w:multiLevelType w:val="hybridMultilevel"/>
    <w:tmpl w:val="B7A4A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3149A4"/>
    <w:multiLevelType w:val="multilevel"/>
    <w:tmpl w:val="9A34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66105"/>
    <w:multiLevelType w:val="hybridMultilevel"/>
    <w:tmpl w:val="AA5628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8971CB0"/>
    <w:multiLevelType w:val="hybridMultilevel"/>
    <w:tmpl w:val="93222BAC"/>
    <w:lvl w:ilvl="0" w:tplc="11403578">
      <w:start w:val="1"/>
      <w:numFmt w:val="bullet"/>
      <w:lvlText w:val="•"/>
      <w:lvlJc w:val="left"/>
      <w:pPr>
        <w:tabs>
          <w:tab w:val="num" w:pos="720"/>
        </w:tabs>
        <w:ind w:left="720" w:hanging="360"/>
      </w:pPr>
      <w:rPr>
        <w:rFonts w:ascii="Times New Roman" w:hAnsi="Times New Roman" w:cs="Times New Roman" w:hint="default"/>
      </w:rPr>
    </w:lvl>
    <w:lvl w:ilvl="1" w:tplc="9C862BBE">
      <w:start w:val="1"/>
      <w:numFmt w:val="bullet"/>
      <w:lvlText w:val="•"/>
      <w:lvlJc w:val="left"/>
      <w:pPr>
        <w:tabs>
          <w:tab w:val="num" w:pos="1440"/>
        </w:tabs>
        <w:ind w:left="1440" w:hanging="360"/>
      </w:pPr>
      <w:rPr>
        <w:rFonts w:ascii="Times New Roman" w:hAnsi="Times New Roman" w:cs="Times New Roman" w:hint="default"/>
      </w:rPr>
    </w:lvl>
    <w:lvl w:ilvl="2" w:tplc="0C090001">
      <w:start w:val="1"/>
      <w:numFmt w:val="bullet"/>
      <w:lvlText w:val=""/>
      <w:lvlJc w:val="left"/>
      <w:pPr>
        <w:tabs>
          <w:tab w:val="num" w:pos="2160"/>
        </w:tabs>
        <w:ind w:left="2160" w:hanging="360"/>
      </w:pPr>
      <w:rPr>
        <w:rFonts w:ascii="Symbol" w:hAnsi="Symbol" w:hint="default"/>
      </w:rPr>
    </w:lvl>
    <w:lvl w:ilvl="3" w:tplc="CD2A6322">
      <w:start w:val="1"/>
      <w:numFmt w:val="bullet"/>
      <w:lvlText w:val="•"/>
      <w:lvlJc w:val="left"/>
      <w:pPr>
        <w:tabs>
          <w:tab w:val="num" w:pos="2880"/>
        </w:tabs>
        <w:ind w:left="2880" w:hanging="360"/>
      </w:pPr>
      <w:rPr>
        <w:rFonts w:ascii="Times New Roman" w:hAnsi="Times New Roman" w:cs="Times New Roman" w:hint="default"/>
      </w:rPr>
    </w:lvl>
    <w:lvl w:ilvl="4" w:tplc="A7BA09DA">
      <w:start w:val="1"/>
      <w:numFmt w:val="bullet"/>
      <w:lvlText w:val="•"/>
      <w:lvlJc w:val="left"/>
      <w:pPr>
        <w:tabs>
          <w:tab w:val="num" w:pos="3600"/>
        </w:tabs>
        <w:ind w:left="3600" w:hanging="360"/>
      </w:pPr>
      <w:rPr>
        <w:rFonts w:ascii="Times New Roman" w:hAnsi="Times New Roman" w:cs="Times New Roman" w:hint="default"/>
      </w:rPr>
    </w:lvl>
    <w:lvl w:ilvl="5" w:tplc="59D0EAE4">
      <w:start w:val="1"/>
      <w:numFmt w:val="bullet"/>
      <w:lvlText w:val="•"/>
      <w:lvlJc w:val="left"/>
      <w:pPr>
        <w:tabs>
          <w:tab w:val="num" w:pos="4320"/>
        </w:tabs>
        <w:ind w:left="4320" w:hanging="360"/>
      </w:pPr>
      <w:rPr>
        <w:rFonts w:ascii="Times New Roman" w:hAnsi="Times New Roman" w:cs="Times New Roman" w:hint="default"/>
      </w:rPr>
    </w:lvl>
    <w:lvl w:ilvl="6" w:tplc="ADB6A3FE">
      <w:start w:val="1"/>
      <w:numFmt w:val="bullet"/>
      <w:lvlText w:val="•"/>
      <w:lvlJc w:val="left"/>
      <w:pPr>
        <w:tabs>
          <w:tab w:val="num" w:pos="5040"/>
        </w:tabs>
        <w:ind w:left="5040" w:hanging="360"/>
      </w:pPr>
      <w:rPr>
        <w:rFonts w:ascii="Times New Roman" w:hAnsi="Times New Roman" w:cs="Times New Roman" w:hint="default"/>
      </w:rPr>
    </w:lvl>
    <w:lvl w:ilvl="7" w:tplc="D2D269EC">
      <w:start w:val="1"/>
      <w:numFmt w:val="bullet"/>
      <w:lvlText w:val="•"/>
      <w:lvlJc w:val="left"/>
      <w:pPr>
        <w:tabs>
          <w:tab w:val="num" w:pos="5760"/>
        </w:tabs>
        <w:ind w:left="5760" w:hanging="360"/>
      </w:pPr>
      <w:rPr>
        <w:rFonts w:ascii="Times New Roman" w:hAnsi="Times New Roman" w:cs="Times New Roman" w:hint="default"/>
      </w:rPr>
    </w:lvl>
    <w:lvl w:ilvl="8" w:tplc="DD20B4C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18DD7E6A"/>
    <w:multiLevelType w:val="hybridMultilevel"/>
    <w:tmpl w:val="5F9EBAE6"/>
    <w:lvl w:ilvl="0" w:tplc="B6F0C81C">
      <w:start w:val="1"/>
      <w:numFmt w:val="bullet"/>
      <w:lvlText w:val=""/>
      <w:lvlJc w:val="left"/>
      <w:pPr>
        <w:ind w:left="780" w:hanging="360"/>
      </w:pPr>
      <w:rPr>
        <w:rFonts w:ascii="Arial"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DC134AA"/>
    <w:multiLevelType w:val="hybridMultilevel"/>
    <w:tmpl w:val="5E3A4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901369"/>
    <w:multiLevelType w:val="hybridMultilevel"/>
    <w:tmpl w:val="B19AD0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32B5D4A"/>
    <w:multiLevelType w:val="hybridMultilevel"/>
    <w:tmpl w:val="74D22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DE7A1A"/>
    <w:multiLevelType w:val="hybridMultilevel"/>
    <w:tmpl w:val="FBB86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7E4D4B"/>
    <w:multiLevelType w:val="hybridMultilevel"/>
    <w:tmpl w:val="F098B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986C8C"/>
    <w:multiLevelType w:val="hybridMultilevel"/>
    <w:tmpl w:val="F5A0C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308BD"/>
    <w:multiLevelType w:val="hybridMultilevel"/>
    <w:tmpl w:val="E5128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813DE"/>
    <w:multiLevelType w:val="hybridMultilevel"/>
    <w:tmpl w:val="E42C3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C24D4"/>
    <w:multiLevelType w:val="hybridMultilevel"/>
    <w:tmpl w:val="4940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CF5663"/>
    <w:multiLevelType w:val="hybridMultilevel"/>
    <w:tmpl w:val="74F8D2C0"/>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35570673"/>
    <w:multiLevelType w:val="hybridMultilevel"/>
    <w:tmpl w:val="133C4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49137D"/>
    <w:multiLevelType w:val="hybridMultilevel"/>
    <w:tmpl w:val="B1A6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E90EAB"/>
    <w:multiLevelType w:val="hybridMultilevel"/>
    <w:tmpl w:val="A2DC4072"/>
    <w:lvl w:ilvl="0" w:tplc="C7B6305C">
      <w:start w:val="1"/>
      <w:numFmt w:val="bullet"/>
      <w:lvlText w:val=""/>
      <w:lvlJc w:val="left"/>
      <w:pPr>
        <w:ind w:left="945" w:hanging="360"/>
      </w:pPr>
      <w:rPr>
        <w:rFonts w:ascii="Symbol" w:hAnsi="Symbol" w:hint="default"/>
        <w:sz w:val="20"/>
        <w:szCs w:val="20"/>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25" w15:restartNumberingAfterBreak="0">
    <w:nsid w:val="39801219"/>
    <w:multiLevelType w:val="hybridMultilevel"/>
    <w:tmpl w:val="E370F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707A30"/>
    <w:multiLevelType w:val="hybridMultilevel"/>
    <w:tmpl w:val="8C82C6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A1BD3"/>
    <w:multiLevelType w:val="hybridMultilevel"/>
    <w:tmpl w:val="6C381320"/>
    <w:lvl w:ilvl="0" w:tplc="11403578">
      <w:start w:val="1"/>
      <w:numFmt w:val="bullet"/>
      <w:lvlText w:val="•"/>
      <w:lvlJc w:val="left"/>
      <w:pPr>
        <w:tabs>
          <w:tab w:val="num" w:pos="720"/>
        </w:tabs>
        <w:ind w:left="720" w:hanging="360"/>
      </w:pPr>
      <w:rPr>
        <w:rFonts w:ascii="Times New Roman" w:hAnsi="Times New Roman" w:cs="Times New Roman" w:hint="default"/>
      </w:rPr>
    </w:lvl>
    <w:lvl w:ilvl="1" w:tplc="9C862BBE">
      <w:start w:val="1"/>
      <w:numFmt w:val="bullet"/>
      <w:lvlText w:val="•"/>
      <w:lvlJc w:val="left"/>
      <w:pPr>
        <w:tabs>
          <w:tab w:val="num" w:pos="1440"/>
        </w:tabs>
        <w:ind w:left="1440" w:hanging="360"/>
      </w:pPr>
      <w:rPr>
        <w:rFonts w:ascii="Times New Roman" w:hAnsi="Times New Roman" w:cs="Times New Roman" w:hint="default"/>
      </w:rPr>
    </w:lvl>
    <w:lvl w:ilvl="2" w:tplc="5CE423E0">
      <w:start w:val="61"/>
      <w:numFmt w:val="bullet"/>
      <w:lvlText w:val="•"/>
      <w:lvlJc w:val="left"/>
      <w:pPr>
        <w:tabs>
          <w:tab w:val="num" w:pos="2160"/>
        </w:tabs>
        <w:ind w:left="2160" w:hanging="360"/>
      </w:pPr>
      <w:rPr>
        <w:rFonts w:ascii="Times New Roman" w:hAnsi="Times New Roman" w:cs="Times New Roman" w:hint="default"/>
      </w:rPr>
    </w:lvl>
    <w:lvl w:ilvl="3" w:tplc="CD2A6322">
      <w:start w:val="1"/>
      <w:numFmt w:val="bullet"/>
      <w:lvlText w:val="•"/>
      <w:lvlJc w:val="left"/>
      <w:pPr>
        <w:tabs>
          <w:tab w:val="num" w:pos="2880"/>
        </w:tabs>
        <w:ind w:left="2880" w:hanging="360"/>
      </w:pPr>
      <w:rPr>
        <w:rFonts w:ascii="Times New Roman" w:hAnsi="Times New Roman" w:cs="Times New Roman" w:hint="default"/>
      </w:rPr>
    </w:lvl>
    <w:lvl w:ilvl="4" w:tplc="A7BA09DA">
      <w:start w:val="1"/>
      <w:numFmt w:val="bullet"/>
      <w:lvlText w:val="•"/>
      <w:lvlJc w:val="left"/>
      <w:pPr>
        <w:tabs>
          <w:tab w:val="num" w:pos="3600"/>
        </w:tabs>
        <w:ind w:left="3600" w:hanging="360"/>
      </w:pPr>
      <w:rPr>
        <w:rFonts w:ascii="Times New Roman" w:hAnsi="Times New Roman" w:cs="Times New Roman" w:hint="default"/>
      </w:rPr>
    </w:lvl>
    <w:lvl w:ilvl="5" w:tplc="59D0EAE4">
      <w:start w:val="1"/>
      <w:numFmt w:val="bullet"/>
      <w:lvlText w:val="•"/>
      <w:lvlJc w:val="left"/>
      <w:pPr>
        <w:tabs>
          <w:tab w:val="num" w:pos="4320"/>
        </w:tabs>
        <w:ind w:left="4320" w:hanging="360"/>
      </w:pPr>
      <w:rPr>
        <w:rFonts w:ascii="Times New Roman" w:hAnsi="Times New Roman" w:cs="Times New Roman" w:hint="default"/>
      </w:rPr>
    </w:lvl>
    <w:lvl w:ilvl="6" w:tplc="ADB6A3FE">
      <w:start w:val="1"/>
      <w:numFmt w:val="bullet"/>
      <w:lvlText w:val="•"/>
      <w:lvlJc w:val="left"/>
      <w:pPr>
        <w:tabs>
          <w:tab w:val="num" w:pos="5040"/>
        </w:tabs>
        <w:ind w:left="5040" w:hanging="360"/>
      </w:pPr>
      <w:rPr>
        <w:rFonts w:ascii="Times New Roman" w:hAnsi="Times New Roman" w:cs="Times New Roman" w:hint="default"/>
      </w:rPr>
    </w:lvl>
    <w:lvl w:ilvl="7" w:tplc="D2D269EC">
      <w:start w:val="1"/>
      <w:numFmt w:val="bullet"/>
      <w:lvlText w:val="•"/>
      <w:lvlJc w:val="left"/>
      <w:pPr>
        <w:tabs>
          <w:tab w:val="num" w:pos="5760"/>
        </w:tabs>
        <w:ind w:left="5760" w:hanging="360"/>
      </w:pPr>
      <w:rPr>
        <w:rFonts w:ascii="Times New Roman" w:hAnsi="Times New Roman" w:cs="Times New Roman" w:hint="default"/>
      </w:rPr>
    </w:lvl>
    <w:lvl w:ilvl="8" w:tplc="DD20B4C8">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41D268E6"/>
    <w:multiLevelType w:val="hybridMultilevel"/>
    <w:tmpl w:val="FB0A3C30"/>
    <w:lvl w:ilvl="0" w:tplc="E6FCF82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1B1F30"/>
    <w:multiLevelType w:val="hybridMultilevel"/>
    <w:tmpl w:val="58E0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1E550B"/>
    <w:multiLevelType w:val="multilevel"/>
    <w:tmpl w:val="BE36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D22F13"/>
    <w:multiLevelType w:val="hybridMultilevel"/>
    <w:tmpl w:val="1FEAB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586409"/>
    <w:multiLevelType w:val="hybridMultilevel"/>
    <w:tmpl w:val="1DB29E1A"/>
    <w:lvl w:ilvl="0" w:tplc="C04CA26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590E7D"/>
    <w:multiLevelType w:val="hybridMultilevel"/>
    <w:tmpl w:val="280E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6F52FF"/>
    <w:multiLevelType w:val="hybridMultilevel"/>
    <w:tmpl w:val="8A9E4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EA779A"/>
    <w:multiLevelType w:val="hybridMultilevel"/>
    <w:tmpl w:val="C5946C82"/>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36" w15:restartNumberingAfterBreak="0">
    <w:nsid w:val="51D51A45"/>
    <w:multiLevelType w:val="hybridMultilevel"/>
    <w:tmpl w:val="E49E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5015B6"/>
    <w:multiLevelType w:val="hybridMultilevel"/>
    <w:tmpl w:val="2CBE0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318099B"/>
    <w:multiLevelType w:val="hybridMultilevel"/>
    <w:tmpl w:val="6B620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796901"/>
    <w:multiLevelType w:val="hybridMultilevel"/>
    <w:tmpl w:val="0ECCF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334FE3"/>
    <w:multiLevelType w:val="hybridMultilevel"/>
    <w:tmpl w:val="0B507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79003E"/>
    <w:multiLevelType w:val="hybridMultilevel"/>
    <w:tmpl w:val="DF9A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1B3083"/>
    <w:multiLevelType w:val="hybridMultilevel"/>
    <w:tmpl w:val="BD82AD00"/>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43" w15:restartNumberingAfterBreak="0">
    <w:nsid w:val="600F69B6"/>
    <w:multiLevelType w:val="hybridMultilevel"/>
    <w:tmpl w:val="5680D1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C813AD"/>
    <w:multiLevelType w:val="hybridMultilevel"/>
    <w:tmpl w:val="2856B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0A4887"/>
    <w:multiLevelType w:val="hybridMultilevel"/>
    <w:tmpl w:val="4BA2D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A63A55"/>
    <w:multiLevelType w:val="hybridMultilevel"/>
    <w:tmpl w:val="38DA8A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DCE3716"/>
    <w:multiLevelType w:val="hybridMultilevel"/>
    <w:tmpl w:val="0720948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0D0D95"/>
    <w:multiLevelType w:val="hybridMultilevel"/>
    <w:tmpl w:val="7846B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776DE2"/>
    <w:multiLevelType w:val="hybridMultilevel"/>
    <w:tmpl w:val="ED30D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817059"/>
    <w:multiLevelType w:val="hybridMultilevel"/>
    <w:tmpl w:val="A04E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FC6B5B"/>
    <w:multiLevelType w:val="hybridMultilevel"/>
    <w:tmpl w:val="8FD4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144BE5"/>
    <w:multiLevelType w:val="hybridMultilevel"/>
    <w:tmpl w:val="A03EEB8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E37E82"/>
    <w:multiLevelType w:val="hybridMultilevel"/>
    <w:tmpl w:val="38D84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7E7265C"/>
    <w:multiLevelType w:val="hybridMultilevel"/>
    <w:tmpl w:val="8E5A9C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15:restartNumberingAfterBreak="0">
    <w:nsid w:val="7AD765CC"/>
    <w:multiLevelType w:val="hybridMultilevel"/>
    <w:tmpl w:val="048A8F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7B11059A"/>
    <w:multiLevelType w:val="hybridMultilevel"/>
    <w:tmpl w:val="48C2D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3624C8"/>
    <w:multiLevelType w:val="hybridMultilevel"/>
    <w:tmpl w:val="83386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A648DB"/>
    <w:multiLevelType w:val="multilevel"/>
    <w:tmpl w:val="1BC007AC"/>
    <w:lvl w:ilvl="0">
      <w:start w:val="1"/>
      <w:numFmt w:val="decimal"/>
      <w:pStyle w:val="Heading1"/>
      <w:lvlText w:val="%1."/>
      <w:lvlJc w:val="left"/>
      <w:pPr>
        <w:ind w:left="502"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569"/>
        </w:tabs>
        <w:ind w:left="1569" w:hanging="576"/>
      </w:pPr>
      <w:rPr>
        <w:rFonts w:cs="Times New Roman" w:hint="default"/>
        <w:color w:val="auto"/>
      </w:rPr>
    </w:lvl>
    <w:lvl w:ilvl="2">
      <w:start w:val="1"/>
      <w:numFmt w:val="decimal"/>
      <w:pStyle w:val="Heading3"/>
      <w:lvlText w:val="%1.%2.%3"/>
      <w:lvlJc w:val="left"/>
      <w:pPr>
        <w:tabs>
          <w:tab w:val="num" w:pos="862"/>
        </w:tabs>
        <w:ind w:left="862"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cs="Times New Roman" w:hint="default"/>
        <w:b w:val="0"/>
        <w:sz w:val="22"/>
        <w:szCs w:val="22"/>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9" w15:restartNumberingAfterBreak="0">
    <w:nsid w:val="7E6A0D43"/>
    <w:multiLevelType w:val="hybridMultilevel"/>
    <w:tmpl w:val="DA826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0D68FF"/>
    <w:multiLevelType w:val="hybridMultilevel"/>
    <w:tmpl w:val="9BD0F4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4960564">
    <w:abstractNumId w:val="58"/>
  </w:num>
  <w:num w:numId="2" w16cid:durableId="1843855607">
    <w:abstractNumId w:val="0"/>
  </w:num>
  <w:num w:numId="3" w16cid:durableId="1071151149">
    <w:abstractNumId w:val="39"/>
  </w:num>
  <w:num w:numId="4" w16cid:durableId="95638663">
    <w:abstractNumId w:val="2"/>
  </w:num>
  <w:num w:numId="5" w16cid:durableId="319694725">
    <w:abstractNumId w:val="19"/>
  </w:num>
  <w:num w:numId="6" w16cid:durableId="1031343279">
    <w:abstractNumId w:val="59"/>
  </w:num>
  <w:num w:numId="7" w16cid:durableId="1537113033">
    <w:abstractNumId w:val="22"/>
  </w:num>
  <w:num w:numId="8" w16cid:durableId="1220168046">
    <w:abstractNumId w:val="17"/>
  </w:num>
  <w:num w:numId="9" w16cid:durableId="2034573908">
    <w:abstractNumId w:val="23"/>
  </w:num>
  <w:num w:numId="10" w16cid:durableId="248933097">
    <w:abstractNumId w:val="56"/>
  </w:num>
  <w:num w:numId="11" w16cid:durableId="92437036">
    <w:abstractNumId w:val="47"/>
  </w:num>
  <w:num w:numId="12" w16cid:durableId="1905337290">
    <w:abstractNumId w:val="60"/>
  </w:num>
  <w:num w:numId="13" w16cid:durableId="491724326">
    <w:abstractNumId w:val="31"/>
  </w:num>
  <w:num w:numId="14" w16cid:durableId="1337267497">
    <w:abstractNumId w:val="20"/>
  </w:num>
  <w:num w:numId="15" w16cid:durableId="1338267138">
    <w:abstractNumId w:val="5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0472021">
    <w:abstractNumId w:val="52"/>
  </w:num>
  <w:num w:numId="17" w16cid:durableId="1676608604">
    <w:abstractNumId w:val="43"/>
  </w:num>
  <w:num w:numId="18" w16cid:durableId="1530292565">
    <w:abstractNumId w:val="4"/>
  </w:num>
  <w:num w:numId="19" w16cid:durableId="333458834">
    <w:abstractNumId w:val="8"/>
  </w:num>
  <w:num w:numId="20" w16cid:durableId="646400377">
    <w:abstractNumId w:val="55"/>
  </w:num>
  <w:num w:numId="21" w16cid:durableId="827861330">
    <w:abstractNumId w:val="49"/>
  </w:num>
  <w:num w:numId="22" w16cid:durableId="506291564">
    <w:abstractNumId w:val="54"/>
  </w:num>
  <w:num w:numId="23" w16cid:durableId="1522932050">
    <w:abstractNumId w:val="14"/>
  </w:num>
  <w:num w:numId="24" w16cid:durableId="658387884">
    <w:abstractNumId w:val="34"/>
  </w:num>
  <w:num w:numId="25" w16cid:durableId="1697923023">
    <w:abstractNumId w:val="36"/>
  </w:num>
  <w:num w:numId="26" w16cid:durableId="1979799957">
    <w:abstractNumId w:val="1"/>
  </w:num>
  <w:num w:numId="27" w16cid:durableId="832447619">
    <w:abstractNumId w:val="24"/>
  </w:num>
  <w:num w:numId="28" w16cid:durableId="1177765997">
    <w:abstractNumId w:val="45"/>
  </w:num>
  <w:num w:numId="29" w16cid:durableId="886916625">
    <w:abstractNumId w:val="7"/>
  </w:num>
  <w:num w:numId="30" w16cid:durableId="456143997">
    <w:abstractNumId w:val="35"/>
  </w:num>
  <w:num w:numId="31" w16cid:durableId="1556968898">
    <w:abstractNumId w:val="15"/>
  </w:num>
  <w:num w:numId="32" w16cid:durableId="1530678022">
    <w:abstractNumId w:val="33"/>
  </w:num>
  <w:num w:numId="33" w16cid:durableId="508839528">
    <w:abstractNumId w:val="58"/>
  </w:num>
  <w:num w:numId="34" w16cid:durableId="1495491390">
    <w:abstractNumId w:val="58"/>
  </w:num>
  <w:num w:numId="35" w16cid:durableId="686103211">
    <w:abstractNumId w:val="58"/>
  </w:num>
  <w:num w:numId="36" w16cid:durableId="583144797">
    <w:abstractNumId w:val="18"/>
  </w:num>
  <w:num w:numId="37" w16cid:durableId="2130321868">
    <w:abstractNumId w:val="16"/>
  </w:num>
  <w:num w:numId="38" w16cid:durableId="1152405576">
    <w:abstractNumId w:val="53"/>
  </w:num>
  <w:num w:numId="39" w16cid:durableId="1946420086">
    <w:abstractNumId w:val="12"/>
  </w:num>
  <w:num w:numId="40" w16cid:durableId="933246036">
    <w:abstractNumId w:val="9"/>
  </w:num>
  <w:num w:numId="41" w16cid:durableId="2093551646">
    <w:abstractNumId w:val="41"/>
  </w:num>
  <w:num w:numId="42" w16cid:durableId="854733495">
    <w:abstractNumId w:val="57"/>
  </w:num>
  <w:num w:numId="43" w16cid:durableId="1270044144">
    <w:abstractNumId w:val="30"/>
  </w:num>
  <w:num w:numId="44" w16cid:durableId="572546853">
    <w:abstractNumId w:val="44"/>
  </w:num>
  <w:num w:numId="45" w16cid:durableId="1501041084">
    <w:abstractNumId w:val="29"/>
  </w:num>
  <w:num w:numId="46" w16cid:durableId="86387429">
    <w:abstractNumId w:val="3"/>
  </w:num>
  <w:num w:numId="47" w16cid:durableId="165949574">
    <w:abstractNumId w:val="21"/>
  </w:num>
  <w:num w:numId="48" w16cid:durableId="1750888654">
    <w:abstractNumId w:val="40"/>
  </w:num>
  <w:num w:numId="49" w16cid:durableId="476722074">
    <w:abstractNumId w:val="28"/>
  </w:num>
  <w:num w:numId="50" w16cid:durableId="650983401">
    <w:abstractNumId w:val="50"/>
  </w:num>
  <w:num w:numId="51" w16cid:durableId="291250043">
    <w:abstractNumId w:val="32"/>
  </w:num>
  <w:num w:numId="52" w16cid:durableId="1215196555">
    <w:abstractNumId w:val="26"/>
  </w:num>
  <w:num w:numId="53" w16cid:durableId="2079355600">
    <w:abstractNumId w:val="27"/>
  </w:num>
  <w:num w:numId="54" w16cid:durableId="1582519367">
    <w:abstractNumId w:val="10"/>
  </w:num>
  <w:num w:numId="55" w16cid:durableId="1882090336">
    <w:abstractNumId w:val="11"/>
  </w:num>
  <w:num w:numId="56" w16cid:durableId="1703044906">
    <w:abstractNumId w:val="13"/>
  </w:num>
  <w:num w:numId="57" w16cid:durableId="1673557663">
    <w:abstractNumId w:val="48"/>
  </w:num>
  <w:num w:numId="58" w16cid:durableId="1615094239">
    <w:abstractNumId w:val="5"/>
  </w:num>
  <w:num w:numId="59" w16cid:durableId="1452823645">
    <w:abstractNumId w:val="42"/>
  </w:num>
  <w:num w:numId="60" w16cid:durableId="1463040847">
    <w:abstractNumId w:val="51"/>
  </w:num>
  <w:num w:numId="61" w16cid:durableId="963652233">
    <w:abstractNumId w:val="37"/>
  </w:num>
  <w:num w:numId="62" w16cid:durableId="747504804">
    <w:abstractNumId w:val="38"/>
  </w:num>
  <w:num w:numId="63" w16cid:durableId="1382359271">
    <w:abstractNumId w:val="46"/>
  </w:num>
  <w:num w:numId="64" w16cid:durableId="1141194909">
    <w:abstractNumId w:val="6"/>
  </w:num>
  <w:num w:numId="65" w16cid:durableId="503934027">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307D"/>
    <w:rsid w:val="00003086"/>
    <w:rsid w:val="0001000F"/>
    <w:rsid w:val="000126B8"/>
    <w:rsid w:val="00013B5F"/>
    <w:rsid w:val="0001482D"/>
    <w:rsid w:val="000153A1"/>
    <w:rsid w:val="000170BD"/>
    <w:rsid w:val="00021C01"/>
    <w:rsid w:val="0002245F"/>
    <w:rsid w:val="00022664"/>
    <w:rsid w:val="000250B6"/>
    <w:rsid w:val="000256D9"/>
    <w:rsid w:val="00030753"/>
    <w:rsid w:val="00031718"/>
    <w:rsid w:val="0003199B"/>
    <w:rsid w:val="00032553"/>
    <w:rsid w:val="00033DB6"/>
    <w:rsid w:val="00033F1A"/>
    <w:rsid w:val="00035E51"/>
    <w:rsid w:val="0003617E"/>
    <w:rsid w:val="00036892"/>
    <w:rsid w:val="00040C09"/>
    <w:rsid w:val="000424CB"/>
    <w:rsid w:val="00043131"/>
    <w:rsid w:val="00045552"/>
    <w:rsid w:val="0004722C"/>
    <w:rsid w:val="0005218A"/>
    <w:rsid w:val="0005223D"/>
    <w:rsid w:val="000525B4"/>
    <w:rsid w:val="00052A2B"/>
    <w:rsid w:val="00052DE5"/>
    <w:rsid w:val="00056802"/>
    <w:rsid w:val="00060AC1"/>
    <w:rsid w:val="00061403"/>
    <w:rsid w:val="000621C1"/>
    <w:rsid w:val="00062A94"/>
    <w:rsid w:val="00064256"/>
    <w:rsid w:val="000656AD"/>
    <w:rsid w:val="000659FA"/>
    <w:rsid w:val="00065F45"/>
    <w:rsid w:val="00066F61"/>
    <w:rsid w:val="00073F11"/>
    <w:rsid w:val="00076936"/>
    <w:rsid w:val="000772FF"/>
    <w:rsid w:val="00077C41"/>
    <w:rsid w:val="000816A5"/>
    <w:rsid w:val="0008562E"/>
    <w:rsid w:val="00087054"/>
    <w:rsid w:val="00087741"/>
    <w:rsid w:val="0008799C"/>
    <w:rsid w:val="0009487B"/>
    <w:rsid w:val="00096C1C"/>
    <w:rsid w:val="00097660"/>
    <w:rsid w:val="000A13AE"/>
    <w:rsid w:val="000A2E2B"/>
    <w:rsid w:val="000A35E6"/>
    <w:rsid w:val="000A70F5"/>
    <w:rsid w:val="000A76BE"/>
    <w:rsid w:val="000B05A6"/>
    <w:rsid w:val="000B06BE"/>
    <w:rsid w:val="000B2CCC"/>
    <w:rsid w:val="000B2E9F"/>
    <w:rsid w:val="000B3E0B"/>
    <w:rsid w:val="000B4500"/>
    <w:rsid w:val="000C2B6A"/>
    <w:rsid w:val="000C4361"/>
    <w:rsid w:val="000C5160"/>
    <w:rsid w:val="000D386B"/>
    <w:rsid w:val="000D5FC4"/>
    <w:rsid w:val="000D65A5"/>
    <w:rsid w:val="000D7C0F"/>
    <w:rsid w:val="000E2DC6"/>
    <w:rsid w:val="000E6628"/>
    <w:rsid w:val="000E7777"/>
    <w:rsid w:val="000F0F96"/>
    <w:rsid w:val="000F34A8"/>
    <w:rsid w:val="000F46DB"/>
    <w:rsid w:val="00101163"/>
    <w:rsid w:val="0010181F"/>
    <w:rsid w:val="00104EA1"/>
    <w:rsid w:val="00105D60"/>
    <w:rsid w:val="0010784F"/>
    <w:rsid w:val="00107AB0"/>
    <w:rsid w:val="00107E5C"/>
    <w:rsid w:val="00111001"/>
    <w:rsid w:val="00111611"/>
    <w:rsid w:val="00112640"/>
    <w:rsid w:val="00113386"/>
    <w:rsid w:val="00113C9D"/>
    <w:rsid w:val="0011419D"/>
    <w:rsid w:val="001158FA"/>
    <w:rsid w:val="00120169"/>
    <w:rsid w:val="001235CC"/>
    <w:rsid w:val="00123BE9"/>
    <w:rsid w:val="00124D15"/>
    <w:rsid w:val="00124D2E"/>
    <w:rsid w:val="00125863"/>
    <w:rsid w:val="00126E99"/>
    <w:rsid w:val="00131AC8"/>
    <w:rsid w:val="001324FA"/>
    <w:rsid w:val="00137622"/>
    <w:rsid w:val="00141654"/>
    <w:rsid w:val="00141B60"/>
    <w:rsid w:val="00143AA2"/>
    <w:rsid w:val="00143C2E"/>
    <w:rsid w:val="001465EF"/>
    <w:rsid w:val="00150904"/>
    <w:rsid w:val="00150D39"/>
    <w:rsid w:val="0015339A"/>
    <w:rsid w:val="00154478"/>
    <w:rsid w:val="001561E2"/>
    <w:rsid w:val="00157B97"/>
    <w:rsid w:val="00157F78"/>
    <w:rsid w:val="001609D2"/>
    <w:rsid w:val="00160B5A"/>
    <w:rsid w:val="00161A4C"/>
    <w:rsid w:val="00165910"/>
    <w:rsid w:val="0016634A"/>
    <w:rsid w:val="0016712E"/>
    <w:rsid w:val="00171608"/>
    <w:rsid w:val="00173012"/>
    <w:rsid w:val="00173FDE"/>
    <w:rsid w:val="0017533E"/>
    <w:rsid w:val="001813A3"/>
    <w:rsid w:val="00181CA6"/>
    <w:rsid w:val="001827AD"/>
    <w:rsid w:val="001829CD"/>
    <w:rsid w:val="00183D20"/>
    <w:rsid w:val="00185599"/>
    <w:rsid w:val="00190C84"/>
    <w:rsid w:val="00191176"/>
    <w:rsid w:val="001929F4"/>
    <w:rsid w:val="001954B0"/>
    <w:rsid w:val="001965C0"/>
    <w:rsid w:val="00197648"/>
    <w:rsid w:val="001A2EE4"/>
    <w:rsid w:val="001A6497"/>
    <w:rsid w:val="001A6662"/>
    <w:rsid w:val="001A7D05"/>
    <w:rsid w:val="001B0211"/>
    <w:rsid w:val="001B165D"/>
    <w:rsid w:val="001B2667"/>
    <w:rsid w:val="001C67CD"/>
    <w:rsid w:val="001D1065"/>
    <w:rsid w:val="001D1ECC"/>
    <w:rsid w:val="001D217C"/>
    <w:rsid w:val="001D55C1"/>
    <w:rsid w:val="001D5D9A"/>
    <w:rsid w:val="001D7B33"/>
    <w:rsid w:val="001E75E7"/>
    <w:rsid w:val="001E7A29"/>
    <w:rsid w:val="001F00D0"/>
    <w:rsid w:val="001F2C50"/>
    <w:rsid w:val="001F3DFD"/>
    <w:rsid w:val="001F7EF0"/>
    <w:rsid w:val="002019CD"/>
    <w:rsid w:val="00203700"/>
    <w:rsid w:val="00203F30"/>
    <w:rsid w:val="002072B1"/>
    <w:rsid w:val="002109CC"/>
    <w:rsid w:val="002126E1"/>
    <w:rsid w:val="002131E4"/>
    <w:rsid w:val="002179D5"/>
    <w:rsid w:val="0022032F"/>
    <w:rsid w:val="002263B4"/>
    <w:rsid w:val="002278E1"/>
    <w:rsid w:val="00230CF9"/>
    <w:rsid w:val="00231A27"/>
    <w:rsid w:val="0023246F"/>
    <w:rsid w:val="002324C3"/>
    <w:rsid w:val="00236122"/>
    <w:rsid w:val="00240816"/>
    <w:rsid w:val="00240AA7"/>
    <w:rsid w:val="002445EE"/>
    <w:rsid w:val="00245A16"/>
    <w:rsid w:val="00245DA7"/>
    <w:rsid w:val="00247FF2"/>
    <w:rsid w:val="00250B03"/>
    <w:rsid w:val="00250C19"/>
    <w:rsid w:val="00250D90"/>
    <w:rsid w:val="00252339"/>
    <w:rsid w:val="00254CED"/>
    <w:rsid w:val="00260C92"/>
    <w:rsid w:val="00263A25"/>
    <w:rsid w:val="002654D2"/>
    <w:rsid w:val="00271553"/>
    <w:rsid w:val="0027357A"/>
    <w:rsid w:val="002763CC"/>
    <w:rsid w:val="00276957"/>
    <w:rsid w:val="0027791B"/>
    <w:rsid w:val="00283C39"/>
    <w:rsid w:val="00284234"/>
    <w:rsid w:val="00285F10"/>
    <w:rsid w:val="00286136"/>
    <w:rsid w:val="00291E1E"/>
    <w:rsid w:val="0029328B"/>
    <w:rsid w:val="00296FB3"/>
    <w:rsid w:val="002A48A7"/>
    <w:rsid w:val="002A4D0E"/>
    <w:rsid w:val="002A51EB"/>
    <w:rsid w:val="002A5F41"/>
    <w:rsid w:val="002A7945"/>
    <w:rsid w:val="002B1DBC"/>
    <w:rsid w:val="002B1EBF"/>
    <w:rsid w:val="002B22C9"/>
    <w:rsid w:val="002B4167"/>
    <w:rsid w:val="002B6560"/>
    <w:rsid w:val="002C11CB"/>
    <w:rsid w:val="002C172E"/>
    <w:rsid w:val="002C295A"/>
    <w:rsid w:val="002C4F32"/>
    <w:rsid w:val="002C510A"/>
    <w:rsid w:val="002C5D92"/>
    <w:rsid w:val="002C738F"/>
    <w:rsid w:val="002D679C"/>
    <w:rsid w:val="002E4C0A"/>
    <w:rsid w:val="002F0754"/>
    <w:rsid w:val="002F448A"/>
    <w:rsid w:val="002F465A"/>
    <w:rsid w:val="002F5613"/>
    <w:rsid w:val="002F680E"/>
    <w:rsid w:val="003000E0"/>
    <w:rsid w:val="00301171"/>
    <w:rsid w:val="0030300B"/>
    <w:rsid w:val="00303281"/>
    <w:rsid w:val="00303331"/>
    <w:rsid w:val="0031138A"/>
    <w:rsid w:val="003115A0"/>
    <w:rsid w:val="003130A3"/>
    <w:rsid w:val="00314066"/>
    <w:rsid w:val="00316A15"/>
    <w:rsid w:val="003175A1"/>
    <w:rsid w:val="00320B75"/>
    <w:rsid w:val="003219CB"/>
    <w:rsid w:val="00324785"/>
    <w:rsid w:val="00325B9B"/>
    <w:rsid w:val="003318C1"/>
    <w:rsid w:val="00334812"/>
    <w:rsid w:val="0033516E"/>
    <w:rsid w:val="0033561D"/>
    <w:rsid w:val="003372B7"/>
    <w:rsid w:val="00341862"/>
    <w:rsid w:val="0034253E"/>
    <w:rsid w:val="00342C80"/>
    <w:rsid w:val="00344E86"/>
    <w:rsid w:val="003477D5"/>
    <w:rsid w:val="00350BD7"/>
    <w:rsid w:val="00352391"/>
    <w:rsid w:val="003546AA"/>
    <w:rsid w:val="00355C27"/>
    <w:rsid w:val="00364B91"/>
    <w:rsid w:val="00365606"/>
    <w:rsid w:val="00365906"/>
    <w:rsid w:val="00365EEA"/>
    <w:rsid w:val="003667D0"/>
    <w:rsid w:val="00366F16"/>
    <w:rsid w:val="003715B0"/>
    <w:rsid w:val="00371873"/>
    <w:rsid w:val="003760A3"/>
    <w:rsid w:val="0037765A"/>
    <w:rsid w:val="00377E20"/>
    <w:rsid w:val="00382078"/>
    <w:rsid w:val="0038242F"/>
    <w:rsid w:val="00382484"/>
    <w:rsid w:val="003915D0"/>
    <w:rsid w:val="00391E77"/>
    <w:rsid w:val="00392721"/>
    <w:rsid w:val="003927B2"/>
    <w:rsid w:val="00393248"/>
    <w:rsid w:val="003933B9"/>
    <w:rsid w:val="003960A3"/>
    <w:rsid w:val="00397DF0"/>
    <w:rsid w:val="003A03B3"/>
    <w:rsid w:val="003A2144"/>
    <w:rsid w:val="003A30F1"/>
    <w:rsid w:val="003A3855"/>
    <w:rsid w:val="003A3B3C"/>
    <w:rsid w:val="003A41D3"/>
    <w:rsid w:val="003A4743"/>
    <w:rsid w:val="003A584C"/>
    <w:rsid w:val="003A6F48"/>
    <w:rsid w:val="003B0C02"/>
    <w:rsid w:val="003B2141"/>
    <w:rsid w:val="003B4085"/>
    <w:rsid w:val="003B691E"/>
    <w:rsid w:val="003B74B5"/>
    <w:rsid w:val="003C240F"/>
    <w:rsid w:val="003C246E"/>
    <w:rsid w:val="003C60CC"/>
    <w:rsid w:val="003C63B9"/>
    <w:rsid w:val="003D258B"/>
    <w:rsid w:val="003D520D"/>
    <w:rsid w:val="003D65C7"/>
    <w:rsid w:val="003E0D73"/>
    <w:rsid w:val="003E2C95"/>
    <w:rsid w:val="003E4070"/>
    <w:rsid w:val="003E49EF"/>
    <w:rsid w:val="003E4F32"/>
    <w:rsid w:val="003E5D59"/>
    <w:rsid w:val="003E7454"/>
    <w:rsid w:val="003F0A66"/>
    <w:rsid w:val="003F2521"/>
    <w:rsid w:val="003F3183"/>
    <w:rsid w:val="003F32D0"/>
    <w:rsid w:val="003F345B"/>
    <w:rsid w:val="003F364A"/>
    <w:rsid w:val="003F486B"/>
    <w:rsid w:val="00402FA0"/>
    <w:rsid w:val="0040361D"/>
    <w:rsid w:val="004130BE"/>
    <w:rsid w:val="004149DD"/>
    <w:rsid w:val="00415153"/>
    <w:rsid w:val="00422A61"/>
    <w:rsid w:val="004272D0"/>
    <w:rsid w:val="0042776D"/>
    <w:rsid w:val="004277F4"/>
    <w:rsid w:val="00427A84"/>
    <w:rsid w:val="00427B93"/>
    <w:rsid w:val="0043164E"/>
    <w:rsid w:val="004317B8"/>
    <w:rsid w:val="00432B6D"/>
    <w:rsid w:val="004359B3"/>
    <w:rsid w:val="00437B98"/>
    <w:rsid w:val="00440E67"/>
    <w:rsid w:val="004429F8"/>
    <w:rsid w:val="00445549"/>
    <w:rsid w:val="004478BE"/>
    <w:rsid w:val="00451BE9"/>
    <w:rsid w:val="00452AAF"/>
    <w:rsid w:val="00452E92"/>
    <w:rsid w:val="004561D3"/>
    <w:rsid w:val="004571A7"/>
    <w:rsid w:val="00460095"/>
    <w:rsid w:val="0046123B"/>
    <w:rsid w:val="00461267"/>
    <w:rsid w:val="004637D0"/>
    <w:rsid w:val="004653A0"/>
    <w:rsid w:val="00465D27"/>
    <w:rsid w:val="00467E66"/>
    <w:rsid w:val="00471A4D"/>
    <w:rsid w:val="00476994"/>
    <w:rsid w:val="00477ED5"/>
    <w:rsid w:val="0048079B"/>
    <w:rsid w:val="004825BF"/>
    <w:rsid w:val="00483D5F"/>
    <w:rsid w:val="004846E7"/>
    <w:rsid w:val="00485BF7"/>
    <w:rsid w:val="00487577"/>
    <w:rsid w:val="00487D23"/>
    <w:rsid w:val="004901E1"/>
    <w:rsid w:val="0049138D"/>
    <w:rsid w:val="00491BAD"/>
    <w:rsid w:val="0049314F"/>
    <w:rsid w:val="00494B36"/>
    <w:rsid w:val="00495AD4"/>
    <w:rsid w:val="004A609B"/>
    <w:rsid w:val="004B3C92"/>
    <w:rsid w:val="004B4210"/>
    <w:rsid w:val="004B5A21"/>
    <w:rsid w:val="004C14A8"/>
    <w:rsid w:val="004C2605"/>
    <w:rsid w:val="004C5CA4"/>
    <w:rsid w:val="004C6006"/>
    <w:rsid w:val="004C7112"/>
    <w:rsid w:val="004D1AFE"/>
    <w:rsid w:val="004D241F"/>
    <w:rsid w:val="004D2BB0"/>
    <w:rsid w:val="004D5084"/>
    <w:rsid w:val="004D526C"/>
    <w:rsid w:val="004D6DBC"/>
    <w:rsid w:val="004E1B13"/>
    <w:rsid w:val="004E1E4D"/>
    <w:rsid w:val="004E27FE"/>
    <w:rsid w:val="004E318B"/>
    <w:rsid w:val="004E3440"/>
    <w:rsid w:val="004E3741"/>
    <w:rsid w:val="004E53AD"/>
    <w:rsid w:val="004E5449"/>
    <w:rsid w:val="004F106C"/>
    <w:rsid w:val="004F186E"/>
    <w:rsid w:val="004F2067"/>
    <w:rsid w:val="004F2D75"/>
    <w:rsid w:val="004F3E9A"/>
    <w:rsid w:val="005030A8"/>
    <w:rsid w:val="00504E70"/>
    <w:rsid w:val="0051086F"/>
    <w:rsid w:val="00514212"/>
    <w:rsid w:val="005200BE"/>
    <w:rsid w:val="00520C18"/>
    <w:rsid w:val="00520C77"/>
    <w:rsid w:val="0052263D"/>
    <w:rsid w:val="00523044"/>
    <w:rsid w:val="005253CB"/>
    <w:rsid w:val="0052557C"/>
    <w:rsid w:val="0052581D"/>
    <w:rsid w:val="005274FC"/>
    <w:rsid w:val="00527784"/>
    <w:rsid w:val="0053125A"/>
    <w:rsid w:val="005319BB"/>
    <w:rsid w:val="00531FA1"/>
    <w:rsid w:val="00532023"/>
    <w:rsid w:val="00532A5A"/>
    <w:rsid w:val="00533AB6"/>
    <w:rsid w:val="0053638E"/>
    <w:rsid w:val="00536A04"/>
    <w:rsid w:val="00537010"/>
    <w:rsid w:val="005402B1"/>
    <w:rsid w:val="0054408F"/>
    <w:rsid w:val="00545C3E"/>
    <w:rsid w:val="00546EF7"/>
    <w:rsid w:val="00552337"/>
    <w:rsid w:val="00553DFC"/>
    <w:rsid w:val="00553E6C"/>
    <w:rsid w:val="00554742"/>
    <w:rsid w:val="00557A28"/>
    <w:rsid w:val="00557D2A"/>
    <w:rsid w:val="005603EE"/>
    <w:rsid w:val="005615D6"/>
    <w:rsid w:val="00564EBA"/>
    <w:rsid w:val="005668A7"/>
    <w:rsid w:val="005729E9"/>
    <w:rsid w:val="00572A05"/>
    <w:rsid w:val="00572DBD"/>
    <w:rsid w:val="00573115"/>
    <w:rsid w:val="00573BED"/>
    <w:rsid w:val="00574A53"/>
    <w:rsid w:val="00575655"/>
    <w:rsid w:val="00576B13"/>
    <w:rsid w:val="00580788"/>
    <w:rsid w:val="00582489"/>
    <w:rsid w:val="005857C5"/>
    <w:rsid w:val="005906EB"/>
    <w:rsid w:val="00590FC4"/>
    <w:rsid w:val="00592C2B"/>
    <w:rsid w:val="005936A2"/>
    <w:rsid w:val="0059392C"/>
    <w:rsid w:val="005953FB"/>
    <w:rsid w:val="005A229D"/>
    <w:rsid w:val="005A57B0"/>
    <w:rsid w:val="005A6B64"/>
    <w:rsid w:val="005B0022"/>
    <w:rsid w:val="005B1B66"/>
    <w:rsid w:val="005B1CCA"/>
    <w:rsid w:val="005B1CE3"/>
    <w:rsid w:val="005B33A5"/>
    <w:rsid w:val="005B3C52"/>
    <w:rsid w:val="005B5CE6"/>
    <w:rsid w:val="005B5D99"/>
    <w:rsid w:val="005C0801"/>
    <w:rsid w:val="005C2617"/>
    <w:rsid w:val="005C26EE"/>
    <w:rsid w:val="005C2BF4"/>
    <w:rsid w:val="005C4D1A"/>
    <w:rsid w:val="005C715A"/>
    <w:rsid w:val="005C7164"/>
    <w:rsid w:val="005C735C"/>
    <w:rsid w:val="005D13C1"/>
    <w:rsid w:val="005D1904"/>
    <w:rsid w:val="005D285C"/>
    <w:rsid w:val="005D28E8"/>
    <w:rsid w:val="005D2CDB"/>
    <w:rsid w:val="005D54FE"/>
    <w:rsid w:val="005E283C"/>
    <w:rsid w:val="005E3E46"/>
    <w:rsid w:val="005F5178"/>
    <w:rsid w:val="00600CB8"/>
    <w:rsid w:val="00601D2F"/>
    <w:rsid w:val="0060783D"/>
    <w:rsid w:val="00607DA9"/>
    <w:rsid w:val="00611556"/>
    <w:rsid w:val="006118BD"/>
    <w:rsid w:val="006143E3"/>
    <w:rsid w:val="006225D8"/>
    <w:rsid w:val="00623186"/>
    <w:rsid w:val="00624DC4"/>
    <w:rsid w:val="0062663A"/>
    <w:rsid w:val="006266FF"/>
    <w:rsid w:val="00631E38"/>
    <w:rsid w:val="00632871"/>
    <w:rsid w:val="006355DB"/>
    <w:rsid w:val="00636085"/>
    <w:rsid w:val="00637D1C"/>
    <w:rsid w:val="00640B75"/>
    <w:rsid w:val="00644544"/>
    <w:rsid w:val="006452B0"/>
    <w:rsid w:val="00646D7B"/>
    <w:rsid w:val="00647364"/>
    <w:rsid w:val="006473D6"/>
    <w:rsid w:val="00650649"/>
    <w:rsid w:val="00650B25"/>
    <w:rsid w:val="00651990"/>
    <w:rsid w:val="006525D8"/>
    <w:rsid w:val="0065375A"/>
    <w:rsid w:val="00653BB4"/>
    <w:rsid w:val="0065546A"/>
    <w:rsid w:val="0066549F"/>
    <w:rsid w:val="00673153"/>
    <w:rsid w:val="0067355C"/>
    <w:rsid w:val="00673F56"/>
    <w:rsid w:val="00674A7C"/>
    <w:rsid w:val="0068060C"/>
    <w:rsid w:val="0068234A"/>
    <w:rsid w:val="00683E21"/>
    <w:rsid w:val="0068464E"/>
    <w:rsid w:val="00684B77"/>
    <w:rsid w:val="00687F98"/>
    <w:rsid w:val="006913DA"/>
    <w:rsid w:val="0069230F"/>
    <w:rsid w:val="00692351"/>
    <w:rsid w:val="00694B67"/>
    <w:rsid w:val="00695E7B"/>
    <w:rsid w:val="00696FF8"/>
    <w:rsid w:val="00697B83"/>
    <w:rsid w:val="006A0290"/>
    <w:rsid w:val="006A043E"/>
    <w:rsid w:val="006A2116"/>
    <w:rsid w:val="006A3E88"/>
    <w:rsid w:val="006A4FDE"/>
    <w:rsid w:val="006A524C"/>
    <w:rsid w:val="006A6798"/>
    <w:rsid w:val="006A7B39"/>
    <w:rsid w:val="006B72D5"/>
    <w:rsid w:val="006B7679"/>
    <w:rsid w:val="006B79BE"/>
    <w:rsid w:val="006B7F7C"/>
    <w:rsid w:val="006C00D6"/>
    <w:rsid w:val="006C044F"/>
    <w:rsid w:val="006C1DCD"/>
    <w:rsid w:val="006C2B7C"/>
    <w:rsid w:val="006C2F23"/>
    <w:rsid w:val="006C3D55"/>
    <w:rsid w:val="006C5C37"/>
    <w:rsid w:val="006C5CE3"/>
    <w:rsid w:val="006D1BAA"/>
    <w:rsid w:val="006D2553"/>
    <w:rsid w:val="006D2F22"/>
    <w:rsid w:val="006D386A"/>
    <w:rsid w:val="006D3D85"/>
    <w:rsid w:val="006D4BA4"/>
    <w:rsid w:val="006D56F4"/>
    <w:rsid w:val="006D6FCF"/>
    <w:rsid w:val="006D7543"/>
    <w:rsid w:val="006E0D51"/>
    <w:rsid w:val="006E1574"/>
    <w:rsid w:val="006E604F"/>
    <w:rsid w:val="006E7DA0"/>
    <w:rsid w:val="006F2061"/>
    <w:rsid w:val="00701C1B"/>
    <w:rsid w:val="007033FE"/>
    <w:rsid w:val="00703D51"/>
    <w:rsid w:val="00704E85"/>
    <w:rsid w:val="0070745E"/>
    <w:rsid w:val="00716CA3"/>
    <w:rsid w:val="00716D7E"/>
    <w:rsid w:val="00717AEE"/>
    <w:rsid w:val="0072518F"/>
    <w:rsid w:val="0072686A"/>
    <w:rsid w:val="00727BD1"/>
    <w:rsid w:val="00732215"/>
    <w:rsid w:val="007409DC"/>
    <w:rsid w:val="00740F91"/>
    <w:rsid w:val="00741225"/>
    <w:rsid w:val="00741D9C"/>
    <w:rsid w:val="00743530"/>
    <w:rsid w:val="00744006"/>
    <w:rsid w:val="00745BF7"/>
    <w:rsid w:val="007464B5"/>
    <w:rsid w:val="007521FD"/>
    <w:rsid w:val="0075362C"/>
    <w:rsid w:val="007545E0"/>
    <w:rsid w:val="00754879"/>
    <w:rsid w:val="00754F3D"/>
    <w:rsid w:val="007551F7"/>
    <w:rsid w:val="00755ECC"/>
    <w:rsid w:val="007575A9"/>
    <w:rsid w:val="007602CD"/>
    <w:rsid w:val="00760FFC"/>
    <w:rsid w:val="00761A1F"/>
    <w:rsid w:val="00761BD8"/>
    <w:rsid w:val="00761F68"/>
    <w:rsid w:val="0076236B"/>
    <w:rsid w:val="00764B06"/>
    <w:rsid w:val="0076692C"/>
    <w:rsid w:val="00766EDB"/>
    <w:rsid w:val="007704C5"/>
    <w:rsid w:val="00773EA9"/>
    <w:rsid w:val="007749F4"/>
    <w:rsid w:val="00776A11"/>
    <w:rsid w:val="007771D5"/>
    <w:rsid w:val="00777698"/>
    <w:rsid w:val="00784EF0"/>
    <w:rsid w:val="00785069"/>
    <w:rsid w:val="00791AC8"/>
    <w:rsid w:val="00791D54"/>
    <w:rsid w:val="00793A35"/>
    <w:rsid w:val="00794559"/>
    <w:rsid w:val="00794A48"/>
    <w:rsid w:val="00795E62"/>
    <w:rsid w:val="00795E68"/>
    <w:rsid w:val="00796105"/>
    <w:rsid w:val="007962C8"/>
    <w:rsid w:val="007964CB"/>
    <w:rsid w:val="00797B2B"/>
    <w:rsid w:val="007A125B"/>
    <w:rsid w:val="007A1A49"/>
    <w:rsid w:val="007A4138"/>
    <w:rsid w:val="007A427A"/>
    <w:rsid w:val="007A7585"/>
    <w:rsid w:val="007B329D"/>
    <w:rsid w:val="007B412C"/>
    <w:rsid w:val="007B7CE9"/>
    <w:rsid w:val="007C096D"/>
    <w:rsid w:val="007C0A11"/>
    <w:rsid w:val="007C0D1F"/>
    <w:rsid w:val="007C1D01"/>
    <w:rsid w:val="007C2355"/>
    <w:rsid w:val="007C370B"/>
    <w:rsid w:val="007C6400"/>
    <w:rsid w:val="007C7FBC"/>
    <w:rsid w:val="007D3384"/>
    <w:rsid w:val="007D3EA4"/>
    <w:rsid w:val="007D5FD9"/>
    <w:rsid w:val="007D7850"/>
    <w:rsid w:val="007E2536"/>
    <w:rsid w:val="007E337D"/>
    <w:rsid w:val="007E5D4D"/>
    <w:rsid w:val="007F17B7"/>
    <w:rsid w:val="007F2810"/>
    <w:rsid w:val="00802113"/>
    <w:rsid w:val="00802167"/>
    <w:rsid w:val="00803B7B"/>
    <w:rsid w:val="00803D1B"/>
    <w:rsid w:val="00805477"/>
    <w:rsid w:val="0080651F"/>
    <w:rsid w:val="008065EE"/>
    <w:rsid w:val="0080690F"/>
    <w:rsid w:val="00810913"/>
    <w:rsid w:val="00811AFA"/>
    <w:rsid w:val="00811B0F"/>
    <w:rsid w:val="00812743"/>
    <w:rsid w:val="00813B66"/>
    <w:rsid w:val="00815184"/>
    <w:rsid w:val="00815606"/>
    <w:rsid w:val="00822A84"/>
    <w:rsid w:val="00823D9F"/>
    <w:rsid w:val="008251EE"/>
    <w:rsid w:val="00825A75"/>
    <w:rsid w:val="0082620B"/>
    <w:rsid w:val="008274B0"/>
    <w:rsid w:val="008314C9"/>
    <w:rsid w:val="00831818"/>
    <w:rsid w:val="008358B0"/>
    <w:rsid w:val="008366B0"/>
    <w:rsid w:val="00841DA4"/>
    <w:rsid w:val="00842D24"/>
    <w:rsid w:val="0084370C"/>
    <w:rsid w:val="00845B95"/>
    <w:rsid w:val="008504FA"/>
    <w:rsid w:val="00851BEE"/>
    <w:rsid w:val="008540DC"/>
    <w:rsid w:val="00860888"/>
    <w:rsid w:val="00865A00"/>
    <w:rsid w:val="0086625E"/>
    <w:rsid w:val="008663CE"/>
    <w:rsid w:val="008669CC"/>
    <w:rsid w:val="008753F2"/>
    <w:rsid w:val="00875938"/>
    <w:rsid w:val="00880523"/>
    <w:rsid w:val="00880B1A"/>
    <w:rsid w:val="00882BD6"/>
    <w:rsid w:val="00883263"/>
    <w:rsid w:val="00886D1A"/>
    <w:rsid w:val="00887506"/>
    <w:rsid w:val="008905EE"/>
    <w:rsid w:val="00890D32"/>
    <w:rsid w:val="00892409"/>
    <w:rsid w:val="00892600"/>
    <w:rsid w:val="00894BCA"/>
    <w:rsid w:val="00896E40"/>
    <w:rsid w:val="00897B03"/>
    <w:rsid w:val="008A0281"/>
    <w:rsid w:val="008A09AA"/>
    <w:rsid w:val="008A1EA3"/>
    <w:rsid w:val="008A2046"/>
    <w:rsid w:val="008A5EBD"/>
    <w:rsid w:val="008A5F7E"/>
    <w:rsid w:val="008A77AF"/>
    <w:rsid w:val="008B1154"/>
    <w:rsid w:val="008B1FB3"/>
    <w:rsid w:val="008B3F16"/>
    <w:rsid w:val="008B679D"/>
    <w:rsid w:val="008C0E75"/>
    <w:rsid w:val="008C1313"/>
    <w:rsid w:val="008C1329"/>
    <w:rsid w:val="008C3197"/>
    <w:rsid w:val="008C3588"/>
    <w:rsid w:val="008C37EF"/>
    <w:rsid w:val="008C637B"/>
    <w:rsid w:val="008C66B9"/>
    <w:rsid w:val="008C7174"/>
    <w:rsid w:val="008D0E5C"/>
    <w:rsid w:val="008D292A"/>
    <w:rsid w:val="008D37F4"/>
    <w:rsid w:val="008D4190"/>
    <w:rsid w:val="008D4975"/>
    <w:rsid w:val="008D572B"/>
    <w:rsid w:val="008D6983"/>
    <w:rsid w:val="008D7C6D"/>
    <w:rsid w:val="008E063D"/>
    <w:rsid w:val="008E18B7"/>
    <w:rsid w:val="008E4091"/>
    <w:rsid w:val="008E74FB"/>
    <w:rsid w:val="008E7B2E"/>
    <w:rsid w:val="008E7B8A"/>
    <w:rsid w:val="008F491D"/>
    <w:rsid w:val="008F57A4"/>
    <w:rsid w:val="008F5F69"/>
    <w:rsid w:val="008F6738"/>
    <w:rsid w:val="008F69B5"/>
    <w:rsid w:val="008F69E0"/>
    <w:rsid w:val="008F6D07"/>
    <w:rsid w:val="0090103A"/>
    <w:rsid w:val="0090416A"/>
    <w:rsid w:val="009052E9"/>
    <w:rsid w:val="009053F3"/>
    <w:rsid w:val="00911083"/>
    <w:rsid w:val="0091193E"/>
    <w:rsid w:val="00913E35"/>
    <w:rsid w:val="0091466C"/>
    <w:rsid w:val="00914DCD"/>
    <w:rsid w:val="00914FBB"/>
    <w:rsid w:val="00915A95"/>
    <w:rsid w:val="00916783"/>
    <w:rsid w:val="00917DD9"/>
    <w:rsid w:val="00920685"/>
    <w:rsid w:val="009212A9"/>
    <w:rsid w:val="009217E4"/>
    <w:rsid w:val="00921F0B"/>
    <w:rsid w:val="00922B7A"/>
    <w:rsid w:val="00923196"/>
    <w:rsid w:val="0092479B"/>
    <w:rsid w:val="00925014"/>
    <w:rsid w:val="009263B0"/>
    <w:rsid w:val="00927720"/>
    <w:rsid w:val="00932739"/>
    <w:rsid w:val="00932964"/>
    <w:rsid w:val="00940E5A"/>
    <w:rsid w:val="009453F8"/>
    <w:rsid w:val="00945B1B"/>
    <w:rsid w:val="00955A4D"/>
    <w:rsid w:val="00955F8A"/>
    <w:rsid w:val="00956928"/>
    <w:rsid w:val="00956BC2"/>
    <w:rsid w:val="009570D2"/>
    <w:rsid w:val="009573F2"/>
    <w:rsid w:val="009611A3"/>
    <w:rsid w:val="009627C3"/>
    <w:rsid w:val="00962AC4"/>
    <w:rsid w:val="0096304A"/>
    <w:rsid w:val="0096489B"/>
    <w:rsid w:val="00965191"/>
    <w:rsid w:val="0096642F"/>
    <w:rsid w:val="00970B5B"/>
    <w:rsid w:val="00970BBE"/>
    <w:rsid w:val="00971236"/>
    <w:rsid w:val="00975A3B"/>
    <w:rsid w:val="00976282"/>
    <w:rsid w:val="00977687"/>
    <w:rsid w:val="009819E9"/>
    <w:rsid w:val="00985EA1"/>
    <w:rsid w:val="00986B76"/>
    <w:rsid w:val="009877F6"/>
    <w:rsid w:val="00991E84"/>
    <w:rsid w:val="009949C9"/>
    <w:rsid w:val="0099618C"/>
    <w:rsid w:val="009A05C6"/>
    <w:rsid w:val="009A0E83"/>
    <w:rsid w:val="009A1311"/>
    <w:rsid w:val="009A1C09"/>
    <w:rsid w:val="009A5584"/>
    <w:rsid w:val="009A58B4"/>
    <w:rsid w:val="009A59DD"/>
    <w:rsid w:val="009A6970"/>
    <w:rsid w:val="009A6F94"/>
    <w:rsid w:val="009A70F6"/>
    <w:rsid w:val="009B2095"/>
    <w:rsid w:val="009B5274"/>
    <w:rsid w:val="009B6769"/>
    <w:rsid w:val="009C1A52"/>
    <w:rsid w:val="009C2A92"/>
    <w:rsid w:val="009C5BDD"/>
    <w:rsid w:val="009C6976"/>
    <w:rsid w:val="009C6C59"/>
    <w:rsid w:val="009C76DC"/>
    <w:rsid w:val="009D3390"/>
    <w:rsid w:val="009D4CF7"/>
    <w:rsid w:val="009D7066"/>
    <w:rsid w:val="009D7B55"/>
    <w:rsid w:val="009E0FE9"/>
    <w:rsid w:val="009E3862"/>
    <w:rsid w:val="009E4F07"/>
    <w:rsid w:val="009E602A"/>
    <w:rsid w:val="009F2312"/>
    <w:rsid w:val="009F237D"/>
    <w:rsid w:val="009F280E"/>
    <w:rsid w:val="009F2AFF"/>
    <w:rsid w:val="009F2FEF"/>
    <w:rsid w:val="009F5C69"/>
    <w:rsid w:val="00A01B27"/>
    <w:rsid w:val="00A037C4"/>
    <w:rsid w:val="00A16A80"/>
    <w:rsid w:val="00A17693"/>
    <w:rsid w:val="00A20B71"/>
    <w:rsid w:val="00A24344"/>
    <w:rsid w:val="00A2544A"/>
    <w:rsid w:val="00A25914"/>
    <w:rsid w:val="00A25E57"/>
    <w:rsid w:val="00A26164"/>
    <w:rsid w:val="00A26813"/>
    <w:rsid w:val="00A27AD0"/>
    <w:rsid w:val="00A32097"/>
    <w:rsid w:val="00A328CA"/>
    <w:rsid w:val="00A33038"/>
    <w:rsid w:val="00A3384A"/>
    <w:rsid w:val="00A33E44"/>
    <w:rsid w:val="00A35995"/>
    <w:rsid w:val="00A36C6D"/>
    <w:rsid w:val="00A379F5"/>
    <w:rsid w:val="00A42015"/>
    <w:rsid w:val="00A4599B"/>
    <w:rsid w:val="00A45A45"/>
    <w:rsid w:val="00A47846"/>
    <w:rsid w:val="00A54BF4"/>
    <w:rsid w:val="00A55532"/>
    <w:rsid w:val="00A60044"/>
    <w:rsid w:val="00A62BB6"/>
    <w:rsid w:val="00A63E3E"/>
    <w:rsid w:val="00A63F04"/>
    <w:rsid w:val="00A65DAF"/>
    <w:rsid w:val="00A67C3B"/>
    <w:rsid w:val="00A7148D"/>
    <w:rsid w:val="00A71907"/>
    <w:rsid w:val="00A72F8D"/>
    <w:rsid w:val="00A7366B"/>
    <w:rsid w:val="00A73F16"/>
    <w:rsid w:val="00A77F0E"/>
    <w:rsid w:val="00A840C9"/>
    <w:rsid w:val="00A84F03"/>
    <w:rsid w:val="00A90F2F"/>
    <w:rsid w:val="00A91339"/>
    <w:rsid w:val="00A914F5"/>
    <w:rsid w:val="00A91DC2"/>
    <w:rsid w:val="00A93C42"/>
    <w:rsid w:val="00A941AF"/>
    <w:rsid w:val="00A9503B"/>
    <w:rsid w:val="00A95462"/>
    <w:rsid w:val="00AA0A41"/>
    <w:rsid w:val="00AA1040"/>
    <w:rsid w:val="00AA2FAF"/>
    <w:rsid w:val="00AA431C"/>
    <w:rsid w:val="00AA7258"/>
    <w:rsid w:val="00AB0215"/>
    <w:rsid w:val="00AB20F0"/>
    <w:rsid w:val="00AB2A7F"/>
    <w:rsid w:val="00AB2BAC"/>
    <w:rsid w:val="00AB35AB"/>
    <w:rsid w:val="00AB5D3B"/>
    <w:rsid w:val="00AC0175"/>
    <w:rsid w:val="00AC213E"/>
    <w:rsid w:val="00AC5F4A"/>
    <w:rsid w:val="00AC608F"/>
    <w:rsid w:val="00AC6893"/>
    <w:rsid w:val="00AC6D22"/>
    <w:rsid w:val="00AD0E80"/>
    <w:rsid w:val="00AD1E73"/>
    <w:rsid w:val="00AD689A"/>
    <w:rsid w:val="00AE17A5"/>
    <w:rsid w:val="00AE2A2D"/>
    <w:rsid w:val="00AE605D"/>
    <w:rsid w:val="00AE635A"/>
    <w:rsid w:val="00AF1CD1"/>
    <w:rsid w:val="00AF1ECD"/>
    <w:rsid w:val="00AF261E"/>
    <w:rsid w:val="00AF3B8E"/>
    <w:rsid w:val="00AF5F1F"/>
    <w:rsid w:val="00AF72A9"/>
    <w:rsid w:val="00AF77FA"/>
    <w:rsid w:val="00B00B61"/>
    <w:rsid w:val="00B01151"/>
    <w:rsid w:val="00B0227F"/>
    <w:rsid w:val="00B02495"/>
    <w:rsid w:val="00B04209"/>
    <w:rsid w:val="00B04EC1"/>
    <w:rsid w:val="00B0518A"/>
    <w:rsid w:val="00B05B46"/>
    <w:rsid w:val="00B1073B"/>
    <w:rsid w:val="00B11DDB"/>
    <w:rsid w:val="00B12159"/>
    <w:rsid w:val="00B140FE"/>
    <w:rsid w:val="00B16484"/>
    <w:rsid w:val="00B17707"/>
    <w:rsid w:val="00B17A37"/>
    <w:rsid w:val="00B20B8F"/>
    <w:rsid w:val="00B20D1F"/>
    <w:rsid w:val="00B21A13"/>
    <w:rsid w:val="00B23E01"/>
    <w:rsid w:val="00B25213"/>
    <w:rsid w:val="00B27126"/>
    <w:rsid w:val="00B2738F"/>
    <w:rsid w:val="00B27B74"/>
    <w:rsid w:val="00B300BD"/>
    <w:rsid w:val="00B3534F"/>
    <w:rsid w:val="00B358B1"/>
    <w:rsid w:val="00B372EB"/>
    <w:rsid w:val="00B377EA"/>
    <w:rsid w:val="00B407CE"/>
    <w:rsid w:val="00B41EA9"/>
    <w:rsid w:val="00B42981"/>
    <w:rsid w:val="00B43193"/>
    <w:rsid w:val="00B4392E"/>
    <w:rsid w:val="00B43A91"/>
    <w:rsid w:val="00B545D6"/>
    <w:rsid w:val="00B54F17"/>
    <w:rsid w:val="00B60D22"/>
    <w:rsid w:val="00B654CA"/>
    <w:rsid w:val="00B67643"/>
    <w:rsid w:val="00B7082E"/>
    <w:rsid w:val="00B7409D"/>
    <w:rsid w:val="00B767A5"/>
    <w:rsid w:val="00B83321"/>
    <w:rsid w:val="00B84372"/>
    <w:rsid w:val="00B86A84"/>
    <w:rsid w:val="00B87D9E"/>
    <w:rsid w:val="00B906F9"/>
    <w:rsid w:val="00B925F9"/>
    <w:rsid w:val="00B93CC1"/>
    <w:rsid w:val="00B94DDB"/>
    <w:rsid w:val="00B9527D"/>
    <w:rsid w:val="00B964E8"/>
    <w:rsid w:val="00B973D3"/>
    <w:rsid w:val="00BA1FDE"/>
    <w:rsid w:val="00BA4472"/>
    <w:rsid w:val="00BA787E"/>
    <w:rsid w:val="00BA7BBF"/>
    <w:rsid w:val="00BB00C8"/>
    <w:rsid w:val="00BB1069"/>
    <w:rsid w:val="00BB3486"/>
    <w:rsid w:val="00BB64B7"/>
    <w:rsid w:val="00BC0295"/>
    <w:rsid w:val="00BC062B"/>
    <w:rsid w:val="00BC27D9"/>
    <w:rsid w:val="00BD3171"/>
    <w:rsid w:val="00BD5711"/>
    <w:rsid w:val="00BD7A99"/>
    <w:rsid w:val="00BE1B3B"/>
    <w:rsid w:val="00BE1C86"/>
    <w:rsid w:val="00BE4AB7"/>
    <w:rsid w:val="00BE5E87"/>
    <w:rsid w:val="00BE702C"/>
    <w:rsid w:val="00BF0FEA"/>
    <w:rsid w:val="00BF190B"/>
    <w:rsid w:val="00BF41EC"/>
    <w:rsid w:val="00BF4E91"/>
    <w:rsid w:val="00BF6DA5"/>
    <w:rsid w:val="00C00960"/>
    <w:rsid w:val="00C04A78"/>
    <w:rsid w:val="00C107E9"/>
    <w:rsid w:val="00C13C62"/>
    <w:rsid w:val="00C14195"/>
    <w:rsid w:val="00C14FF5"/>
    <w:rsid w:val="00C20E2F"/>
    <w:rsid w:val="00C21DCE"/>
    <w:rsid w:val="00C223A5"/>
    <w:rsid w:val="00C225F9"/>
    <w:rsid w:val="00C23607"/>
    <w:rsid w:val="00C244BC"/>
    <w:rsid w:val="00C3105B"/>
    <w:rsid w:val="00C3211A"/>
    <w:rsid w:val="00C3603B"/>
    <w:rsid w:val="00C36DB5"/>
    <w:rsid w:val="00C36F9A"/>
    <w:rsid w:val="00C378EB"/>
    <w:rsid w:val="00C37B34"/>
    <w:rsid w:val="00C46403"/>
    <w:rsid w:val="00C47B2F"/>
    <w:rsid w:val="00C47FF8"/>
    <w:rsid w:val="00C5050F"/>
    <w:rsid w:val="00C50549"/>
    <w:rsid w:val="00C50FFE"/>
    <w:rsid w:val="00C5271E"/>
    <w:rsid w:val="00C53595"/>
    <w:rsid w:val="00C53804"/>
    <w:rsid w:val="00C53A8A"/>
    <w:rsid w:val="00C551F1"/>
    <w:rsid w:val="00C57F0E"/>
    <w:rsid w:val="00C6177E"/>
    <w:rsid w:val="00C6227B"/>
    <w:rsid w:val="00C64184"/>
    <w:rsid w:val="00C666CC"/>
    <w:rsid w:val="00C66899"/>
    <w:rsid w:val="00C714DF"/>
    <w:rsid w:val="00C7220A"/>
    <w:rsid w:val="00C7360A"/>
    <w:rsid w:val="00C74585"/>
    <w:rsid w:val="00C75710"/>
    <w:rsid w:val="00C7634C"/>
    <w:rsid w:val="00C775B4"/>
    <w:rsid w:val="00C77712"/>
    <w:rsid w:val="00C807FE"/>
    <w:rsid w:val="00C82CFB"/>
    <w:rsid w:val="00C84F33"/>
    <w:rsid w:val="00C8526D"/>
    <w:rsid w:val="00C87E72"/>
    <w:rsid w:val="00C910B2"/>
    <w:rsid w:val="00C94CAE"/>
    <w:rsid w:val="00C95B3F"/>
    <w:rsid w:val="00C97B6F"/>
    <w:rsid w:val="00C97B7E"/>
    <w:rsid w:val="00CA003F"/>
    <w:rsid w:val="00CA0BDD"/>
    <w:rsid w:val="00CA48B5"/>
    <w:rsid w:val="00CA4E33"/>
    <w:rsid w:val="00CA7F3E"/>
    <w:rsid w:val="00CB21B9"/>
    <w:rsid w:val="00CB3BDF"/>
    <w:rsid w:val="00CB5ACA"/>
    <w:rsid w:val="00CC0D2B"/>
    <w:rsid w:val="00CC1785"/>
    <w:rsid w:val="00CC2273"/>
    <w:rsid w:val="00CC4E80"/>
    <w:rsid w:val="00CC7E93"/>
    <w:rsid w:val="00CD07E4"/>
    <w:rsid w:val="00CD0B35"/>
    <w:rsid w:val="00CD1581"/>
    <w:rsid w:val="00CD3FDE"/>
    <w:rsid w:val="00CD4333"/>
    <w:rsid w:val="00CD486A"/>
    <w:rsid w:val="00CE024F"/>
    <w:rsid w:val="00CE07F3"/>
    <w:rsid w:val="00CE3506"/>
    <w:rsid w:val="00CE5D1E"/>
    <w:rsid w:val="00CE62DF"/>
    <w:rsid w:val="00CF16F1"/>
    <w:rsid w:val="00CF1905"/>
    <w:rsid w:val="00CF21AA"/>
    <w:rsid w:val="00CF3391"/>
    <w:rsid w:val="00CF523F"/>
    <w:rsid w:val="00D0156F"/>
    <w:rsid w:val="00D01E61"/>
    <w:rsid w:val="00D0364F"/>
    <w:rsid w:val="00D03AA3"/>
    <w:rsid w:val="00D07A1D"/>
    <w:rsid w:val="00D07FBF"/>
    <w:rsid w:val="00D112E2"/>
    <w:rsid w:val="00D1274B"/>
    <w:rsid w:val="00D1781E"/>
    <w:rsid w:val="00D17D71"/>
    <w:rsid w:val="00D207D2"/>
    <w:rsid w:val="00D20850"/>
    <w:rsid w:val="00D20A7A"/>
    <w:rsid w:val="00D22352"/>
    <w:rsid w:val="00D2325D"/>
    <w:rsid w:val="00D24423"/>
    <w:rsid w:val="00D25B16"/>
    <w:rsid w:val="00D30CAD"/>
    <w:rsid w:val="00D32E37"/>
    <w:rsid w:val="00D33B6F"/>
    <w:rsid w:val="00D35FCB"/>
    <w:rsid w:val="00D36D32"/>
    <w:rsid w:val="00D376DC"/>
    <w:rsid w:val="00D41AEA"/>
    <w:rsid w:val="00D452FF"/>
    <w:rsid w:val="00D45C06"/>
    <w:rsid w:val="00D4666C"/>
    <w:rsid w:val="00D50F8D"/>
    <w:rsid w:val="00D51E27"/>
    <w:rsid w:val="00D54433"/>
    <w:rsid w:val="00D54FE0"/>
    <w:rsid w:val="00D6292A"/>
    <w:rsid w:val="00D64701"/>
    <w:rsid w:val="00D647AB"/>
    <w:rsid w:val="00D6510F"/>
    <w:rsid w:val="00D66D72"/>
    <w:rsid w:val="00D70C94"/>
    <w:rsid w:val="00D71E7C"/>
    <w:rsid w:val="00D72582"/>
    <w:rsid w:val="00D74108"/>
    <w:rsid w:val="00D758BF"/>
    <w:rsid w:val="00D75D66"/>
    <w:rsid w:val="00D76A78"/>
    <w:rsid w:val="00D77BA9"/>
    <w:rsid w:val="00D83BA6"/>
    <w:rsid w:val="00D85F9E"/>
    <w:rsid w:val="00D9012F"/>
    <w:rsid w:val="00D911AA"/>
    <w:rsid w:val="00D92768"/>
    <w:rsid w:val="00D928A6"/>
    <w:rsid w:val="00D95E28"/>
    <w:rsid w:val="00D96527"/>
    <w:rsid w:val="00DA2214"/>
    <w:rsid w:val="00DA425B"/>
    <w:rsid w:val="00DA4BAB"/>
    <w:rsid w:val="00DA4EC0"/>
    <w:rsid w:val="00DB1260"/>
    <w:rsid w:val="00DB7661"/>
    <w:rsid w:val="00DB7AD9"/>
    <w:rsid w:val="00DC0E3D"/>
    <w:rsid w:val="00DC56BC"/>
    <w:rsid w:val="00DC613D"/>
    <w:rsid w:val="00DC6D09"/>
    <w:rsid w:val="00DD0CBE"/>
    <w:rsid w:val="00DD34E4"/>
    <w:rsid w:val="00DD50AA"/>
    <w:rsid w:val="00DD66E6"/>
    <w:rsid w:val="00DD7ABC"/>
    <w:rsid w:val="00DE02AA"/>
    <w:rsid w:val="00DE0B2C"/>
    <w:rsid w:val="00DE138E"/>
    <w:rsid w:val="00DE1F07"/>
    <w:rsid w:val="00DE6386"/>
    <w:rsid w:val="00DE79B3"/>
    <w:rsid w:val="00DF3FE5"/>
    <w:rsid w:val="00DF5EF0"/>
    <w:rsid w:val="00DF5F12"/>
    <w:rsid w:val="00DF6A23"/>
    <w:rsid w:val="00E031A1"/>
    <w:rsid w:val="00E049E4"/>
    <w:rsid w:val="00E05EC0"/>
    <w:rsid w:val="00E05FE4"/>
    <w:rsid w:val="00E06B6F"/>
    <w:rsid w:val="00E07A10"/>
    <w:rsid w:val="00E100E0"/>
    <w:rsid w:val="00E129DD"/>
    <w:rsid w:val="00E141D4"/>
    <w:rsid w:val="00E1456C"/>
    <w:rsid w:val="00E157FF"/>
    <w:rsid w:val="00E15E16"/>
    <w:rsid w:val="00E16136"/>
    <w:rsid w:val="00E17FE8"/>
    <w:rsid w:val="00E20B0F"/>
    <w:rsid w:val="00E22BE5"/>
    <w:rsid w:val="00E22D21"/>
    <w:rsid w:val="00E252DF"/>
    <w:rsid w:val="00E2687D"/>
    <w:rsid w:val="00E26B47"/>
    <w:rsid w:val="00E26CA3"/>
    <w:rsid w:val="00E30119"/>
    <w:rsid w:val="00E34CCF"/>
    <w:rsid w:val="00E3599A"/>
    <w:rsid w:val="00E36079"/>
    <w:rsid w:val="00E45546"/>
    <w:rsid w:val="00E46B76"/>
    <w:rsid w:val="00E47976"/>
    <w:rsid w:val="00E50A62"/>
    <w:rsid w:val="00E52C87"/>
    <w:rsid w:val="00E5354E"/>
    <w:rsid w:val="00E5423C"/>
    <w:rsid w:val="00E561AC"/>
    <w:rsid w:val="00E578AB"/>
    <w:rsid w:val="00E605E8"/>
    <w:rsid w:val="00E6144A"/>
    <w:rsid w:val="00E62173"/>
    <w:rsid w:val="00E6306B"/>
    <w:rsid w:val="00E63703"/>
    <w:rsid w:val="00E63712"/>
    <w:rsid w:val="00E67898"/>
    <w:rsid w:val="00E716E2"/>
    <w:rsid w:val="00E76480"/>
    <w:rsid w:val="00E765E2"/>
    <w:rsid w:val="00E7784D"/>
    <w:rsid w:val="00E81034"/>
    <w:rsid w:val="00E81DB2"/>
    <w:rsid w:val="00E820B6"/>
    <w:rsid w:val="00E832CE"/>
    <w:rsid w:val="00E84412"/>
    <w:rsid w:val="00E9459E"/>
    <w:rsid w:val="00E967B9"/>
    <w:rsid w:val="00EA075A"/>
    <w:rsid w:val="00EA2964"/>
    <w:rsid w:val="00EA3479"/>
    <w:rsid w:val="00EB019B"/>
    <w:rsid w:val="00EB1CA5"/>
    <w:rsid w:val="00EB2D34"/>
    <w:rsid w:val="00EC039C"/>
    <w:rsid w:val="00EC050F"/>
    <w:rsid w:val="00EC3001"/>
    <w:rsid w:val="00EC3867"/>
    <w:rsid w:val="00EC3933"/>
    <w:rsid w:val="00EC771B"/>
    <w:rsid w:val="00ED03A4"/>
    <w:rsid w:val="00ED0BFF"/>
    <w:rsid w:val="00ED0C7A"/>
    <w:rsid w:val="00ED0DA2"/>
    <w:rsid w:val="00ED0F9F"/>
    <w:rsid w:val="00ED1959"/>
    <w:rsid w:val="00ED333C"/>
    <w:rsid w:val="00ED6126"/>
    <w:rsid w:val="00ED6606"/>
    <w:rsid w:val="00ED691E"/>
    <w:rsid w:val="00EE10F9"/>
    <w:rsid w:val="00EE1E60"/>
    <w:rsid w:val="00EE2CAA"/>
    <w:rsid w:val="00EE4F30"/>
    <w:rsid w:val="00EE574F"/>
    <w:rsid w:val="00EE64CE"/>
    <w:rsid w:val="00EE6C82"/>
    <w:rsid w:val="00EE6FA7"/>
    <w:rsid w:val="00EF3C7E"/>
    <w:rsid w:val="00EF44F7"/>
    <w:rsid w:val="00EF48A5"/>
    <w:rsid w:val="00EF56F5"/>
    <w:rsid w:val="00F001D8"/>
    <w:rsid w:val="00F01666"/>
    <w:rsid w:val="00F06F0C"/>
    <w:rsid w:val="00F12237"/>
    <w:rsid w:val="00F1255A"/>
    <w:rsid w:val="00F136AD"/>
    <w:rsid w:val="00F142D0"/>
    <w:rsid w:val="00F20580"/>
    <w:rsid w:val="00F21689"/>
    <w:rsid w:val="00F21BAB"/>
    <w:rsid w:val="00F221C7"/>
    <w:rsid w:val="00F228F3"/>
    <w:rsid w:val="00F23BE3"/>
    <w:rsid w:val="00F2576E"/>
    <w:rsid w:val="00F305BF"/>
    <w:rsid w:val="00F30BBA"/>
    <w:rsid w:val="00F3182D"/>
    <w:rsid w:val="00F350B7"/>
    <w:rsid w:val="00F3541D"/>
    <w:rsid w:val="00F36033"/>
    <w:rsid w:val="00F37967"/>
    <w:rsid w:val="00F37A25"/>
    <w:rsid w:val="00F4219B"/>
    <w:rsid w:val="00F4283A"/>
    <w:rsid w:val="00F430BF"/>
    <w:rsid w:val="00F45353"/>
    <w:rsid w:val="00F50290"/>
    <w:rsid w:val="00F517AC"/>
    <w:rsid w:val="00F614F3"/>
    <w:rsid w:val="00F626A9"/>
    <w:rsid w:val="00F6581D"/>
    <w:rsid w:val="00F65B72"/>
    <w:rsid w:val="00F70411"/>
    <w:rsid w:val="00F72C5C"/>
    <w:rsid w:val="00F7400A"/>
    <w:rsid w:val="00F75561"/>
    <w:rsid w:val="00F760F9"/>
    <w:rsid w:val="00F7664D"/>
    <w:rsid w:val="00F77512"/>
    <w:rsid w:val="00F8230E"/>
    <w:rsid w:val="00F84C33"/>
    <w:rsid w:val="00F855BA"/>
    <w:rsid w:val="00F86756"/>
    <w:rsid w:val="00F8784F"/>
    <w:rsid w:val="00F87BC1"/>
    <w:rsid w:val="00F914FA"/>
    <w:rsid w:val="00F926B1"/>
    <w:rsid w:val="00F95259"/>
    <w:rsid w:val="00F96019"/>
    <w:rsid w:val="00F97F34"/>
    <w:rsid w:val="00FA1138"/>
    <w:rsid w:val="00FA2C57"/>
    <w:rsid w:val="00FA38EB"/>
    <w:rsid w:val="00FB1F18"/>
    <w:rsid w:val="00FB4120"/>
    <w:rsid w:val="00FB4B98"/>
    <w:rsid w:val="00FB583B"/>
    <w:rsid w:val="00FB5BD8"/>
    <w:rsid w:val="00FB6FEE"/>
    <w:rsid w:val="00FC07E0"/>
    <w:rsid w:val="00FC2ADE"/>
    <w:rsid w:val="00FC43E7"/>
    <w:rsid w:val="00FC6053"/>
    <w:rsid w:val="00FC74D1"/>
    <w:rsid w:val="00FD0521"/>
    <w:rsid w:val="00FD3253"/>
    <w:rsid w:val="00FD3EDA"/>
    <w:rsid w:val="00FD6E47"/>
    <w:rsid w:val="00FD71C2"/>
    <w:rsid w:val="00FD79E8"/>
    <w:rsid w:val="00FD7D1D"/>
    <w:rsid w:val="00FE2FE9"/>
    <w:rsid w:val="00FE54B0"/>
    <w:rsid w:val="00FF4A15"/>
    <w:rsid w:val="00FF5110"/>
    <w:rsid w:val="00FF61F7"/>
    <w:rsid w:val="00FF7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0A3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9F4"/>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D54433"/>
    <w:pPr>
      <w:keepNext/>
      <w:numPr>
        <w:numId w:val="1"/>
      </w:numPr>
      <w:spacing w:before="360" w:line="276" w:lineRule="auto"/>
      <w:outlineLvl w:val="0"/>
    </w:pPr>
    <w:rPr>
      <w:b/>
      <w:iCs/>
      <w:sz w:val="28"/>
      <w:lang w:val="en-US"/>
    </w:rPr>
  </w:style>
  <w:style w:type="paragraph" w:styleId="Heading2">
    <w:name w:val="heading 2"/>
    <w:basedOn w:val="Normal"/>
    <w:next w:val="Normal"/>
    <w:link w:val="Heading2Char"/>
    <w:uiPriority w:val="99"/>
    <w:qFormat/>
    <w:rsid w:val="002A5F4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uiPriority w:val="99"/>
    <w:qFormat/>
    <w:rsid w:val="002A5F4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4433"/>
    <w:rPr>
      <w:rFonts w:ascii="Arial" w:eastAsia="Times New Roman" w:hAnsi="Arial" w:cs="Times New Roman"/>
      <w:b/>
      <w:iCs/>
      <w:sz w:val="28"/>
      <w:szCs w:val="24"/>
      <w:lang w:val="en-US"/>
    </w:rPr>
  </w:style>
  <w:style w:type="character" w:customStyle="1" w:styleId="Heading2Char">
    <w:name w:val="Heading 2 Char"/>
    <w:basedOn w:val="DefaultParagraphFont"/>
    <w:link w:val="Heading2"/>
    <w:uiPriority w:val="99"/>
    <w:rsid w:val="00AB5D3B"/>
    <w:rPr>
      <w:rFonts w:ascii="Arial" w:eastAsia="Times New Roman" w:hAnsi="Arial" w:cs="Arial"/>
      <w:b/>
      <w:bCs/>
      <w:iCs/>
      <w:sz w:val="20"/>
      <w:szCs w:val="28"/>
    </w:rPr>
  </w:style>
  <w:style w:type="character" w:customStyle="1" w:styleId="Heading3Char">
    <w:name w:val="Heading 3 Char"/>
    <w:basedOn w:val="DefaultParagraphFont"/>
    <w:link w:val="Heading3"/>
    <w:uiPriority w:val="99"/>
    <w:rsid w:val="00D54433"/>
    <w:rPr>
      <w:rFonts w:ascii="Arial" w:eastAsia="Times New Roman" w:hAnsi="Arial" w:cs="Arial"/>
      <w:b/>
      <w:bCs/>
      <w:sz w:val="20"/>
      <w:szCs w:val="26"/>
    </w:rPr>
  </w:style>
  <w:style w:type="character" w:customStyle="1" w:styleId="Heading4Char">
    <w:name w:val="Heading 4 Char"/>
    <w:basedOn w:val="DefaultParagraphFont"/>
    <w:link w:val="Heading4"/>
    <w:uiPriority w:val="99"/>
    <w:rsid w:val="008B679D"/>
    <w:rPr>
      <w:rFonts w:ascii="Arial" w:eastAsia="Times New Roman" w:hAnsi="Arial" w:cs="Times New Roman"/>
      <w:b/>
      <w:bCs/>
      <w:sz w:val="28"/>
      <w:szCs w:val="28"/>
    </w:rPr>
  </w:style>
  <w:style w:type="character" w:customStyle="1" w:styleId="Heading5Char">
    <w:name w:val="Heading 5 Char"/>
    <w:basedOn w:val="DefaultParagraphFont"/>
    <w:link w:val="Heading5"/>
    <w:uiPriority w:val="99"/>
    <w:rsid w:val="008B679D"/>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8B679D"/>
    <w:rPr>
      <w:rFonts w:ascii="Arial" w:eastAsia="Times New Roman" w:hAnsi="Arial" w:cs="Times New Roman"/>
      <w:b/>
      <w:bCs/>
    </w:rPr>
  </w:style>
  <w:style w:type="character" w:customStyle="1" w:styleId="Heading7Char">
    <w:name w:val="Heading 7 Char"/>
    <w:basedOn w:val="DefaultParagraphFont"/>
    <w:link w:val="Heading7"/>
    <w:uiPriority w:val="99"/>
    <w:rsid w:val="008B679D"/>
    <w:rPr>
      <w:rFonts w:ascii="Arial" w:eastAsia="Times New Roman" w:hAnsi="Arial" w:cs="Times New Roman"/>
      <w:sz w:val="20"/>
      <w:szCs w:val="24"/>
    </w:rPr>
  </w:style>
  <w:style w:type="character" w:customStyle="1" w:styleId="Heading8Char">
    <w:name w:val="Heading 8 Char"/>
    <w:basedOn w:val="DefaultParagraphFont"/>
    <w:link w:val="Heading8"/>
    <w:uiPriority w:val="99"/>
    <w:rsid w:val="008B679D"/>
    <w:rPr>
      <w:rFonts w:ascii="Arial" w:eastAsia="Times New Roman" w:hAnsi="Arial" w:cs="Times New Roman"/>
      <w:i/>
      <w:iCs/>
      <w:sz w:val="20"/>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unhideWhenUsed/>
    <w:rsid w:val="0086625E"/>
    <w:rPr>
      <w:szCs w:val="20"/>
    </w:rPr>
  </w:style>
  <w:style w:type="character" w:customStyle="1" w:styleId="CommentTextChar">
    <w:name w:val="Comment Text Char"/>
    <w:basedOn w:val="DefaultParagraphFont"/>
    <w:link w:val="CommentText"/>
    <w:uiPriority w:val="99"/>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3A03B3"/>
    <w:pPr>
      <w:keepLines/>
      <w:numPr>
        <w:numId w:val="0"/>
      </w:numPr>
      <w:spacing w:after="240"/>
      <w:outlineLvl w:val="9"/>
    </w:pPr>
    <w:rPr>
      <w:rFonts w:asciiTheme="majorHAnsi" w:eastAsiaTheme="majorEastAsia" w:hAnsiTheme="majorHAnsi" w:cstheme="majorBidi"/>
      <w:b w:val="0"/>
      <w:bCs/>
      <w:i/>
      <w:iCs w:val="0"/>
      <w:color w:val="365F91" w:themeColor="accent1" w:themeShade="BF"/>
      <w:szCs w:val="28"/>
      <w:lang w:eastAsia="ja-JP"/>
    </w:rPr>
  </w:style>
  <w:style w:type="paragraph" w:styleId="TOC1">
    <w:name w:val="toc 1"/>
    <w:basedOn w:val="Normal"/>
    <w:next w:val="Normal"/>
    <w:autoRedefine/>
    <w:uiPriority w:val="39"/>
    <w:unhideWhenUsed/>
    <w:qFormat/>
    <w:rsid w:val="002A5F41"/>
    <w:pPr>
      <w:tabs>
        <w:tab w:val="left" w:pos="480"/>
        <w:tab w:val="right" w:leader="dot" w:pos="9736"/>
      </w:tabs>
      <w:spacing w:before="120" w:after="120"/>
    </w:pPr>
    <w:rPr>
      <w:b/>
      <w:bCs/>
      <w:szCs w:val="20"/>
    </w:rPr>
  </w:style>
  <w:style w:type="paragraph" w:styleId="TOC2">
    <w:name w:val="toc 2"/>
    <w:basedOn w:val="Normal"/>
    <w:next w:val="Normal"/>
    <w:autoRedefine/>
    <w:uiPriority w:val="39"/>
    <w:unhideWhenUsed/>
    <w:qFormat/>
    <w:rsid w:val="002A5F41"/>
    <w:pPr>
      <w:ind w:left="240"/>
    </w:pPr>
    <w:rPr>
      <w:szCs w:val="20"/>
    </w:rPr>
  </w:style>
  <w:style w:type="paragraph" w:customStyle="1" w:styleId="Style1">
    <w:name w:val="Style1"/>
    <w:basedOn w:val="Normal"/>
    <w:link w:val="Style1Char"/>
    <w:qFormat/>
    <w:rsid w:val="00FC2ADE"/>
    <w:pPr>
      <w:spacing w:line="480" w:lineRule="auto"/>
    </w:pPr>
    <w:rPr>
      <w:rFonts w:cs="Arial"/>
      <w:b/>
      <w:sz w:val="28"/>
      <w:szCs w:val="22"/>
    </w:rPr>
  </w:style>
  <w:style w:type="character" w:customStyle="1" w:styleId="Style1Char">
    <w:name w:val="Style1 Char"/>
    <w:basedOn w:val="DefaultParagraphFont"/>
    <w:link w:val="Style1"/>
    <w:rsid w:val="00FC2ADE"/>
    <w:rPr>
      <w:rFonts w:ascii="Arial" w:eastAsia="Times New Roman" w:hAnsi="Arial" w:cs="Arial"/>
      <w:b/>
      <w:sz w:val="28"/>
    </w:rPr>
  </w:style>
  <w:style w:type="paragraph" w:customStyle="1" w:styleId="Default">
    <w:name w:val="Default"/>
    <w:rsid w:val="00FC2ADE"/>
    <w:pPr>
      <w:autoSpaceDE w:val="0"/>
      <w:autoSpaceDN w:val="0"/>
      <w:adjustRightInd w:val="0"/>
      <w:spacing w:after="0" w:line="240" w:lineRule="auto"/>
    </w:pPr>
    <w:rPr>
      <w:rFonts w:ascii="Arial" w:hAnsi="Arial" w:cs="Arial"/>
      <w:color w:val="000000"/>
      <w:sz w:val="24"/>
      <w:szCs w:val="24"/>
    </w:rPr>
  </w:style>
  <w:style w:type="table" w:styleId="TableClassic3">
    <w:name w:val="Table Classic 3"/>
    <w:basedOn w:val="TableNormal"/>
    <w:rsid w:val="00B86A84"/>
    <w:pPr>
      <w:spacing w:after="0" w:line="300" w:lineRule="auto"/>
    </w:pPr>
    <w:rPr>
      <w:rFonts w:ascii="Arial" w:eastAsia="Times New Roman" w:hAnsi="Arial" w:cs="Times New Roman"/>
      <w:color w:val="000080"/>
      <w:lang w:eastAsia="en-AU"/>
    </w:rPr>
    <w:tblPr>
      <w:tblBorders>
        <w:top w:val="single" w:sz="4" w:space="0" w:color="005677"/>
        <w:bottom w:val="single" w:sz="4" w:space="0" w:color="005677"/>
        <w:insideH w:val="single" w:sz="4" w:space="0" w:color="005677"/>
      </w:tblBorders>
    </w:tblPr>
    <w:tcPr>
      <w:shd w:val="clear" w:color="C0C0C0" w:fill="auto"/>
    </w:tcPr>
    <w:tblStylePr w:type="firstRow">
      <w:rPr>
        <w:rFonts w:ascii="Courier New" w:hAnsi="Courier New"/>
        <w:b/>
        <w:bCs/>
        <w:i w:val="0"/>
        <w:iCs/>
        <w:color w:val="FFFFFF"/>
        <w:sz w:val="22"/>
      </w:rPr>
      <w:tblPr/>
      <w:tcPr>
        <w:tcBorders>
          <w:top w:val="nil"/>
          <w:bottom w:val="nil"/>
        </w:tcBorders>
        <w:shd w:val="clear" w:color="C0C0C0" w:fill="3A87AE"/>
      </w:tcPr>
    </w:tblStylePr>
    <w:tblStylePr w:type="lastRow">
      <w:rPr>
        <w:rFonts w:ascii="Courier New" w:hAnsi="Courier New"/>
        <w:b/>
        <w:i w:val="0"/>
        <w:color w:val="auto"/>
        <w:sz w:val="24"/>
      </w:rPr>
      <w:tblPr/>
      <w:tcPr>
        <w:tcBorders>
          <w:top w:val="single" w:sz="12" w:space="0" w:color="000000"/>
        </w:tcBorders>
        <w:shd w:val="solid" w:color="FFFFFF" w:fill="FFFFFF"/>
      </w:tcPr>
    </w:tblStylePr>
    <w:tblStylePr w:type="firstCol">
      <w:rPr>
        <w:b/>
        <w:bCs/>
        <w:color w:val="000000"/>
      </w:rPr>
    </w:tblStylePr>
  </w:style>
  <w:style w:type="paragraph" w:styleId="ListBullet">
    <w:name w:val="List Bullet"/>
    <w:basedOn w:val="Normal"/>
    <w:uiPriority w:val="99"/>
    <w:unhideWhenUsed/>
    <w:rsid w:val="00B86A84"/>
    <w:pPr>
      <w:numPr>
        <w:numId w:val="2"/>
      </w:numPr>
      <w:spacing w:after="120" w:line="276" w:lineRule="auto"/>
      <w:ind w:left="284" w:hanging="284"/>
      <w:contextualSpacing/>
    </w:pPr>
    <w:rPr>
      <w:rFonts w:asciiTheme="minorHAnsi" w:eastAsiaTheme="minorHAnsi" w:hAnsiTheme="minorHAnsi" w:cstheme="minorBidi"/>
      <w:szCs w:val="22"/>
    </w:rPr>
  </w:style>
  <w:style w:type="character" w:customStyle="1" w:styleId="Figuretitle">
    <w:name w:val="Figure title"/>
    <w:basedOn w:val="DefaultParagraphFont"/>
    <w:uiPriority w:val="1"/>
    <w:qFormat/>
    <w:rsid w:val="00B86A84"/>
    <w:rPr>
      <w:b/>
      <w:color w:val="4F81BD" w:themeColor="accent1"/>
    </w:rPr>
  </w:style>
  <w:style w:type="paragraph" w:styleId="ListParagraph">
    <w:name w:val="List Paragraph"/>
    <w:basedOn w:val="Normal"/>
    <w:uiPriority w:val="34"/>
    <w:qFormat/>
    <w:rsid w:val="00B86A84"/>
    <w:pPr>
      <w:spacing w:after="120" w:line="276" w:lineRule="auto"/>
      <w:ind w:left="720"/>
      <w:contextualSpacing/>
    </w:pPr>
    <w:rPr>
      <w:rFonts w:asciiTheme="minorHAnsi" w:eastAsiaTheme="minorHAnsi" w:hAnsiTheme="minorHAnsi" w:cstheme="minorBidi"/>
      <w:szCs w:val="22"/>
    </w:rPr>
  </w:style>
  <w:style w:type="table" w:customStyle="1" w:styleId="TableGrid1">
    <w:name w:val="Table Grid1"/>
    <w:basedOn w:val="TableNormal"/>
    <w:next w:val="TableGrid"/>
    <w:uiPriority w:val="39"/>
    <w:rsid w:val="00A9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A5F41"/>
    <w:pPr>
      <w:ind w:left="480"/>
    </w:pPr>
    <w:rPr>
      <w:i/>
      <w:iCs/>
      <w:szCs w:val="20"/>
    </w:rPr>
  </w:style>
  <w:style w:type="paragraph" w:styleId="TOC4">
    <w:name w:val="toc 4"/>
    <w:basedOn w:val="Normal"/>
    <w:next w:val="Normal"/>
    <w:autoRedefine/>
    <w:uiPriority w:val="39"/>
    <w:unhideWhenUsed/>
    <w:rsid w:val="008C1329"/>
    <w:pPr>
      <w:ind w:left="720"/>
    </w:pPr>
    <w:rPr>
      <w:rFonts w:asciiTheme="minorHAnsi" w:hAnsiTheme="minorHAnsi"/>
      <w:sz w:val="18"/>
      <w:szCs w:val="18"/>
    </w:rPr>
  </w:style>
  <w:style w:type="paragraph" w:styleId="TOC5">
    <w:name w:val="toc 5"/>
    <w:basedOn w:val="Normal"/>
    <w:next w:val="Normal"/>
    <w:autoRedefine/>
    <w:uiPriority w:val="39"/>
    <w:unhideWhenUsed/>
    <w:rsid w:val="008C1329"/>
    <w:pPr>
      <w:ind w:left="960"/>
    </w:pPr>
    <w:rPr>
      <w:rFonts w:asciiTheme="minorHAnsi" w:hAnsiTheme="minorHAnsi"/>
      <w:sz w:val="18"/>
      <w:szCs w:val="18"/>
    </w:rPr>
  </w:style>
  <w:style w:type="paragraph" w:styleId="TOC6">
    <w:name w:val="toc 6"/>
    <w:basedOn w:val="Normal"/>
    <w:next w:val="Normal"/>
    <w:autoRedefine/>
    <w:uiPriority w:val="39"/>
    <w:unhideWhenUsed/>
    <w:rsid w:val="008C1329"/>
    <w:pPr>
      <w:ind w:left="1200"/>
    </w:pPr>
    <w:rPr>
      <w:rFonts w:asciiTheme="minorHAnsi" w:hAnsiTheme="minorHAnsi"/>
      <w:sz w:val="18"/>
      <w:szCs w:val="18"/>
    </w:rPr>
  </w:style>
  <w:style w:type="paragraph" w:styleId="TOC7">
    <w:name w:val="toc 7"/>
    <w:basedOn w:val="Normal"/>
    <w:next w:val="Normal"/>
    <w:autoRedefine/>
    <w:uiPriority w:val="39"/>
    <w:unhideWhenUsed/>
    <w:rsid w:val="008C1329"/>
    <w:pPr>
      <w:ind w:left="1440"/>
    </w:pPr>
    <w:rPr>
      <w:rFonts w:asciiTheme="minorHAnsi" w:hAnsiTheme="minorHAnsi"/>
      <w:sz w:val="18"/>
      <w:szCs w:val="18"/>
    </w:rPr>
  </w:style>
  <w:style w:type="paragraph" w:styleId="TOC8">
    <w:name w:val="toc 8"/>
    <w:basedOn w:val="Normal"/>
    <w:next w:val="Normal"/>
    <w:autoRedefine/>
    <w:uiPriority w:val="39"/>
    <w:unhideWhenUsed/>
    <w:rsid w:val="008C1329"/>
    <w:pPr>
      <w:ind w:left="1680"/>
    </w:pPr>
    <w:rPr>
      <w:rFonts w:asciiTheme="minorHAnsi" w:hAnsiTheme="minorHAnsi"/>
      <w:sz w:val="18"/>
      <w:szCs w:val="18"/>
    </w:rPr>
  </w:style>
  <w:style w:type="paragraph" w:styleId="TOC9">
    <w:name w:val="toc 9"/>
    <w:basedOn w:val="Normal"/>
    <w:next w:val="Normal"/>
    <w:autoRedefine/>
    <w:uiPriority w:val="39"/>
    <w:unhideWhenUsed/>
    <w:rsid w:val="008C1329"/>
    <w:pPr>
      <w:ind w:left="1920"/>
    </w:pPr>
    <w:rPr>
      <w:rFonts w:asciiTheme="minorHAnsi" w:hAnsiTheme="minorHAnsi"/>
      <w:sz w:val="18"/>
      <w:szCs w:val="18"/>
    </w:rPr>
  </w:style>
  <w:style w:type="character" w:styleId="IntenseEmphasis">
    <w:name w:val="Intense Emphasis"/>
    <w:basedOn w:val="DefaultParagraphFont"/>
    <w:uiPriority w:val="21"/>
    <w:qFormat/>
    <w:rsid w:val="00644544"/>
    <w:rPr>
      <w:i/>
      <w:iCs/>
      <w:color w:val="4F81BD" w:themeColor="accent1"/>
    </w:rPr>
  </w:style>
  <w:style w:type="paragraph" w:styleId="Revision">
    <w:name w:val="Revision"/>
    <w:hidden/>
    <w:uiPriority w:val="99"/>
    <w:semiHidden/>
    <w:rsid w:val="007521FD"/>
    <w:pPr>
      <w:spacing w:after="0" w:line="240" w:lineRule="auto"/>
    </w:pPr>
    <w:rPr>
      <w:rFonts w:ascii="Arial" w:eastAsia="Times New Roman" w:hAnsi="Arial" w:cs="Times New Roman"/>
      <w:sz w:val="20"/>
      <w:szCs w:val="24"/>
    </w:rPr>
  </w:style>
  <w:style w:type="character" w:styleId="FollowedHyperlink">
    <w:name w:val="FollowedHyperlink"/>
    <w:basedOn w:val="DefaultParagraphFont"/>
    <w:uiPriority w:val="99"/>
    <w:semiHidden/>
    <w:unhideWhenUsed/>
    <w:rsid w:val="00D24423"/>
    <w:rPr>
      <w:color w:val="800080" w:themeColor="followedHyperlink"/>
      <w:u w:val="single"/>
    </w:rPr>
  </w:style>
  <w:style w:type="character" w:styleId="PlaceholderText">
    <w:name w:val="Placeholder Text"/>
    <w:basedOn w:val="DefaultParagraphFont"/>
    <w:uiPriority w:val="99"/>
    <w:semiHidden/>
    <w:rsid w:val="00624D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134">
      <w:bodyDiv w:val="1"/>
      <w:marLeft w:val="0"/>
      <w:marRight w:val="0"/>
      <w:marTop w:val="0"/>
      <w:marBottom w:val="0"/>
      <w:divBdr>
        <w:top w:val="none" w:sz="0" w:space="0" w:color="auto"/>
        <w:left w:val="none" w:sz="0" w:space="0" w:color="auto"/>
        <w:bottom w:val="none" w:sz="0" w:space="0" w:color="auto"/>
        <w:right w:val="none" w:sz="0" w:space="0" w:color="auto"/>
      </w:divBdr>
      <w:divsChild>
        <w:div w:id="1449007316">
          <w:marLeft w:val="0"/>
          <w:marRight w:val="0"/>
          <w:marTop w:val="0"/>
          <w:marBottom w:val="0"/>
          <w:divBdr>
            <w:top w:val="none" w:sz="0" w:space="0" w:color="auto"/>
            <w:left w:val="none" w:sz="0" w:space="0" w:color="auto"/>
            <w:bottom w:val="none" w:sz="0" w:space="0" w:color="auto"/>
            <w:right w:val="none" w:sz="0" w:space="0" w:color="auto"/>
          </w:divBdr>
          <w:divsChild>
            <w:div w:id="619344062">
              <w:marLeft w:val="0"/>
              <w:marRight w:val="0"/>
              <w:marTop w:val="0"/>
              <w:marBottom w:val="0"/>
              <w:divBdr>
                <w:top w:val="none" w:sz="0" w:space="0" w:color="auto"/>
                <w:left w:val="none" w:sz="0" w:space="0" w:color="auto"/>
                <w:bottom w:val="none" w:sz="0" w:space="0" w:color="auto"/>
                <w:right w:val="none" w:sz="0" w:space="0" w:color="auto"/>
              </w:divBdr>
              <w:divsChild>
                <w:div w:id="1465387203">
                  <w:marLeft w:val="0"/>
                  <w:marRight w:val="0"/>
                  <w:marTop w:val="0"/>
                  <w:marBottom w:val="0"/>
                  <w:divBdr>
                    <w:top w:val="none" w:sz="0" w:space="0" w:color="auto"/>
                    <w:left w:val="none" w:sz="0" w:space="0" w:color="auto"/>
                    <w:bottom w:val="none" w:sz="0" w:space="0" w:color="auto"/>
                    <w:right w:val="none" w:sz="0" w:space="0" w:color="auto"/>
                  </w:divBdr>
                  <w:divsChild>
                    <w:div w:id="1941912639">
                      <w:marLeft w:val="0"/>
                      <w:marRight w:val="0"/>
                      <w:marTop w:val="0"/>
                      <w:marBottom w:val="0"/>
                      <w:divBdr>
                        <w:top w:val="none" w:sz="0" w:space="0" w:color="auto"/>
                        <w:left w:val="none" w:sz="0" w:space="0" w:color="auto"/>
                        <w:bottom w:val="none" w:sz="0" w:space="0" w:color="auto"/>
                        <w:right w:val="none" w:sz="0" w:space="0" w:color="auto"/>
                      </w:divBdr>
                      <w:divsChild>
                        <w:div w:id="1797261159">
                          <w:marLeft w:val="0"/>
                          <w:marRight w:val="0"/>
                          <w:marTop w:val="0"/>
                          <w:marBottom w:val="0"/>
                          <w:divBdr>
                            <w:top w:val="none" w:sz="0" w:space="0" w:color="auto"/>
                            <w:left w:val="none" w:sz="0" w:space="0" w:color="auto"/>
                            <w:bottom w:val="none" w:sz="0" w:space="0" w:color="auto"/>
                            <w:right w:val="none" w:sz="0" w:space="0" w:color="auto"/>
                          </w:divBdr>
                          <w:divsChild>
                            <w:div w:id="1044402708">
                              <w:marLeft w:val="0"/>
                              <w:marRight w:val="0"/>
                              <w:marTop w:val="0"/>
                              <w:marBottom w:val="0"/>
                              <w:divBdr>
                                <w:top w:val="none" w:sz="0" w:space="0" w:color="auto"/>
                                <w:left w:val="none" w:sz="0" w:space="0" w:color="auto"/>
                                <w:bottom w:val="none" w:sz="0" w:space="0" w:color="auto"/>
                                <w:right w:val="none" w:sz="0" w:space="0" w:color="auto"/>
                              </w:divBdr>
                              <w:divsChild>
                                <w:div w:id="75708525">
                                  <w:marLeft w:val="0"/>
                                  <w:marRight w:val="0"/>
                                  <w:marTop w:val="0"/>
                                  <w:marBottom w:val="0"/>
                                  <w:divBdr>
                                    <w:top w:val="none" w:sz="0" w:space="0" w:color="auto"/>
                                    <w:left w:val="none" w:sz="0" w:space="0" w:color="auto"/>
                                    <w:bottom w:val="none" w:sz="0" w:space="0" w:color="auto"/>
                                    <w:right w:val="none" w:sz="0" w:space="0" w:color="auto"/>
                                  </w:divBdr>
                                  <w:divsChild>
                                    <w:div w:id="507060603">
                                      <w:marLeft w:val="0"/>
                                      <w:marRight w:val="0"/>
                                      <w:marTop w:val="0"/>
                                      <w:marBottom w:val="0"/>
                                      <w:divBdr>
                                        <w:top w:val="none" w:sz="0" w:space="0" w:color="auto"/>
                                        <w:left w:val="none" w:sz="0" w:space="0" w:color="auto"/>
                                        <w:bottom w:val="none" w:sz="0" w:space="0" w:color="auto"/>
                                        <w:right w:val="none" w:sz="0" w:space="0" w:color="auto"/>
                                      </w:divBdr>
                                      <w:divsChild>
                                        <w:div w:id="4981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89870">
      <w:bodyDiv w:val="1"/>
      <w:marLeft w:val="0"/>
      <w:marRight w:val="0"/>
      <w:marTop w:val="0"/>
      <w:marBottom w:val="0"/>
      <w:divBdr>
        <w:top w:val="none" w:sz="0" w:space="0" w:color="auto"/>
        <w:left w:val="none" w:sz="0" w:space="0" w:color="auto"/>
        <w:bottom w:val="none" w:sz="0" w:space="0" w:color="auto"/>
        <w:right w:val="none" w:sz="0" w:space="0" w:color="auto"/>
      </w:divBdr>
    </w:div>
    <w:div w:id="79838253">
      <w:bodyDiv w:val="1"/>
      <w:marLeft w:val="0"/>
      <w:marRight w:val="0"/>
      <w:marTop w:val="0"/>
      <w:marBottom w:val="0"/>
      <w:divBdr>
        <w:top w:val="none" w:sz="0" w:space="0" w:color="auto"/>
        <w:left w:val="none" w:sz="0" w:space="0" w:color="auto"/>
        <w:bottom w:val="none" w:sz="0" w:space="0" w:color="auto"/>
        <w:right w:val="none" w:sz="0" w:space="0" w:color="auto"/>
      </w:divBdr>
    </w:div>
    <w:div w:id="111487544">
      <w:bodyDiv w:val="1"/>
      <w:marLeft w:val="0"/>
      <w:marRight w:val="0"/>
      <w:marTop w:val="0"/>
      <w:marBottom w:val="0"/>
      <w:divBdr>
        <w:top w:val="none" w:sz="0" w:space="0" w:color="auto"/>
        <w:left w:val="none" w:sz="0" w:space="0" w:color="auto"/>
        <w:bottom w:val="none" w:sz="0" w:space="0" w:color="auto"/>
        <w:right w:val="none" w:sz="0" w:space="0" w:color="auto"/>
      </w:divBdr>
      <w:divsChild>
        <w:div w:id="721710074">
          <w:marLeft w:val="547"/>
          <w:marRight w:val="0"/>
          <w:marTop w:val="0"/>
          <w:marBottom w:val="0"/>
          <w:divBdr>
            <w:top w:val="none" w:sz="0" w:space="0" w:color="auto"/>
            <w:left w:val="none" w:sz="0" w:space="0" w:color="auto"/>
            <w:bottom w:val="none" w:sz="0" w:space="0" w:color="auto"/>
            <w:right w:val="none" w:sz="0" w:space="0" w:color="auto"/>
          </w:divBdr>
        </w:div>
      </w:divsChild>
    </w:div>
    <w:div w:id="293297919">
      <w:bodyDiv w:val="1"/>
      <w:marLeft w:val="0"/>
      <w:marRight w:val="0"/>
      <w:marTop w:val="0"/>
      <w:marBottom w:val="0"/>
      <w:divBdr>
        <w:top w:val="none" w:sz="0" w:space="0" w:color="auto"/>
        <w:left w:val="none" w:sz="0" w:space="0" w:color="auto"/>
        <w:bottom w:val="none" w:sz="0" w:space="0" w:color="auto"/>
        <w:right w:val="none" w:sz="0" w:space="0" w:color="auto"/>
      </w:divBdr>
    </w:div>
    <w:div w:id="548684674">
      <w:bodyDiv w:val="1"/>
      <w:marLeft w:val="0"/>
      <w:marRight w:val="0"/>
      <w:marTop w:val="0"/>
      <w:marBottom w:val="0"/>
      <w:divBdr>
        <w:top w:val="none" w:sz="0" w:space="0" w:color="auto"/>
        <w:left w:val="none" w:sz="0" w:space="0" w:color="auto"/>
        <w:bottom w:val="none" w:sz="0" w:space="0" w:color="auto"/>
        <w:right w:val="none" w:sz="0" w:space="0" w:color="auto"/>
      </w:divBdr>
      <w:divsChild>
        <w:div w:id="1055397830">
          <w:marLeft w:val="0"/>
          <w:marRight w:val="0"/>
          <w:marTop w:val="0"/>
          <w:marBottom w:val="0"/>
          <w:divBdr>
            <w:top w:val="none" w:sz="0" w:space="0" w:color="auto"/>
            <w:left w:val="none" w:sz="0" w:space="0" w:color="auto"/>
            <w:bottom w:val="none" w:sz="0" w:space="0" w:color="auto"/>
            <w:right w:val="none" w:sz="0" w:space="0" w:color="auto"/>
          </w:divBdr>
          <w:divsChild>
            <w:div w:id="163589632">
              <w:marLeft w:val="0"/>
              <w:marRight w:val="0"/>
              <w:marTop w:val="0"/>
              <w:marBottom w:val="0"/>
              <w:divBdr>
                <w:top w:val="none" w:sz="0" w:space="0" w:color="auto"/>
                <w:left w:val="none" w:sz="0" w:space="0" w:color="auto"/>
                <w:bottom w:val="none" w:sz="0" w:space="0" w:color="auto"/>
                <w:right w:val="none" w:sz="0" w:space="0" w:color="auto"/>
              </w:divBdr>
              <w:divsChild>
                <w:div w:id="998726766">
                  <w:marLeft w:val="0"/>
                  <w:marRight w:val="0"/>
                  <w:marTop w:val="0"/>
                  <w:marBottom w:val="0"/>
                  <w:divBdr>
                    <w:top w:val="none" w:sz="0" w:space="0" w:color="auto"/>
                    <w:left w:val="none" w:sz="0" w:space="0" w:color="auto"/>
                    <w:bottom w:val="none" w:sz="0" w:space="0" w:color="auto"/>
                    <w:right w:val="none" w:sz="0" w:space="0" w:color="auto"/>
                  </w:divBdr>
                  <w:divsChild>
                    <w:div w:id="1159687684">
                      <w:marLeft w:val="0"/>
                      <w:marRight w:val="0"/>
                      <w:marTop w:val="0"/>
                      <w:marBottom w:val="0"/>
                      <w:divBdr>
                        <w:top w:val="none" w:sz="0" w:space="0" w:color="auto"/>
                        <w:left w:val="none" w:sz="0" w:space="0" w:color="auto"/>
                        <w:bottom w:val="none" w:sz="0" w:space="0" w:color="auto"/>
                        <w:right w:val="none" w:sz="0" w:space="0" w:color="auto"/>
                      </w:divBdr>
                      <w:divsChild>
                        <w:div w:id="51586192">
                          <w:marLeft w:val="0"/>
                          <w:marRight w:val="0"/>
                          <w:marTop w:val="0"/>
                          <w:marBottom w:val="0"/>
                          <w:divBdr>
                            <w:top w:val="none" w:sz="0" w:space="0" w:color="auto"/>
                            <w:left w:val="none" w:sz="0" w:space="0" w:color="auto"/>
                            <w:bottom w:val="none" w:sz="0" w:space="0" w:color="auto"/>
                            <w:right w:val="none" w:sz="0" w:space="0" w:color="auto"/>
                          </w:divBdr>
                          <w:divsChild>
                            <w:div w:id="1438253653">
                              <w:marLeft w:val="0"/>
                              <w:marRight w:val="0"/>
                              <w:marTop w:val="0"/>
                              <w:marBottom w:val="0"/>
                              <w:divBdr>
                                <w:top w:val="none" w:sz="0" w:space="0" w:color="auto"/>
                                <w:left w:val="none" w:sz="0" w:space="0" w:color="auto"/>
                                <w:bottom w:val="none" w:sz="0" w:space="0" w:color="auto"/>
                                <w:right w:val="none" w:sz="0" w:space="0" w:color="auto"/>
                              </w:divBdr>
                              <w:divsChild>
                                <w:div w:id="927497140">
                                  <w:marLeft w:val="0"/>
                                  <w:marRight w:val="0"/>
                                  <w:marTop w:val="0"/>
                                  <w:marBottom w:val="0"/>
                                  <w:divBdr>
                                    <w:top w:val="none" w:sz="0" w:space="0" w:color="auto"/>
                                    <w:left w:val="none" w:sz="0" w:space="0" w:color="auto"/>
                                    <w:bottom w:val="none" w:sz="0" w:space="0" w:color="auto"/>
                                    <w:right w:val="none" w:sz="0" w:space="0" w:color="auto"/>
                                  </w:divBdr>
                                  <w:divsChild>
                                    <w:div w:id="1333870778">
                                      <w:marLeft w:val="0"/>
                                      <w:marRight w:val="0"/>
                                      <w:marTop w:val="0"/>
                                      <w:marBottom w:val="0"/>
                                      <w:divBdr>
                                        <w:top w:val="none" w:sz="0" w:space="0" w:color="auto"/>
                                        <w:left w:val="none" w:sz="0" w:space="0" w:color="auto"/>
                                        <w:bottom w:val="none" w:sz="0" w:space="0" w:color="auto"/>
                                        <w:right w:val="none" w:sz="0" w:space="0" w:color="auto"/>
                                      </w:divBdr>
                                      <w:divsChild>
                                        <w:div w:id="4691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827089">
      <w:bodyDiv w:val="1"/>
      <w:marLeft w:val="0"/>
      <w:marRight w:val="0"/>
      <w:marTop w:val="0"/>
      <w:marBottom w:val="0"/>
      <w:divBdr>
        <w:top w:val="none" w:sz="0" w:space="0" w:color="auto"/>
        <w:left w:val="none" w:sz="0" w:space="0" w:color="auto"/>
        <w:bottom w:val="none" w:sz="0" w:space="0" w:color="auto"/>
        <w:right w:val="none" w:sz="0" w:space="0" w:color="auto"/>
      </w:divBdr>
    </w:div>
    <w:div w:id="795105128">
      <w:bodyDiv w:val="1"/>
      <w:marLeft w:val="0"/>
      <w:marRight w:val="0"/>
      <w:marTop w:val="0"/>
      <w:marBottom w:val="0"/>
      <w:divBdr>
        <w:top w:val="none" w:sz="0" w:space="0" w:color="auto"/>
        <w:left w:val="none" w:sz="0" w:space="0" w:color="auto"/>
        <w:bottom w:val="none" w:sz="0" w:space="0" w:color="auto"/>
        <w:right w:val="none" w:sz="0" w:space="0" w:color="auto"/>
      </w:divBdr>
    </w:div>
    <w:div w:id="796487454">
      <w:bodyDiv w:val="1"/>
      <w:marLeft w:val="0"/>
      <w:marRight w:val="0"/>
      <w:marTop w:val="0"/>
      <w:marBottom w:val="0"/>
      <w:divBdr>
        <w:top w:val="none" w:sz="0" w:space="0" w:color="auto"/>
        <w:left w:val="none" w:sz="0" w:space="0" w:color="auto"/>
        <w:bottom w:val="none" w:sz="0" w:space="0" w:color="auto"/>
        <w:right w:val="none" w:sz="0" w:space="0" w:color="auto"/>
      </w:divBdr>
    </w:div>
    <w:div w:id="821966363">
      <w:bodyDiv w:val="1"/>
      <w:marLeft w:val="0"/>
      <w:marRight w:val="0"/>
      <w:marTop w:val="100"/>
      <w:marBottom w:val="100"/>
      <w:divBdr>
        <w:top w:val="none" w:sz="0" w:space="0" w:color="auto"/>
        <w:left w:val="none" w:sz="0" w:space="0" w:color="auto"/>
        <w:bottom w:val="none" w:sz="0" w:space="0" w:color="auto"/>
        <w:right w:val="none" w:sz="0" w:space="0" w:color="auto"/>
      </w:divBdr>
      <w:divsChild>
        <w:div w:id="1209605116">
          <w:marLeft w:val="0"/>
          <w:marRight w:val="0"/>
          <w:marTop w:val="0"/>
          <w:marBottom w:val="0"/>
          <w:divBdr>
            <w:top w:val="none" w:sz="0" w:space="0" w:color="auto"/>
            <w:left w:val="none" w:sz="0" w:space="0" w:color="auto"/>
            <w:bottom w:val="none" w:sz="0" w:space="0" w:color="auto"/>
            <w:right w:val="none" w:sz="0" w:space="0" w:color="auto"/>
          </w:divBdr>
          <w:divsChild>
            <w:div w:id="634674301">
              <w:marLeft w:val="0"/>
              <w:marRight w:val="0"/>
              <w:marTop w:val="0"/>
              <w:marBottom w:val="0"/>
              <w:divBdr>
                <w:top w:val="none" w:sz="0" w:space="0" w:color="auto"/>
                <w:left w:val="none" w:sz="0" w:space="0" w:color="auto"/>
                <w:bottom w:val="none" w:sz="0" w:space="0" w:color="auto"/>
                <w:right w:val="none" w:sz="0" w:space="0" w:color="auto"/>
              </w:divBdr>
              <w:divsChild>
                <w:div w:id="521552821">
                  <w:marLeft w:val="0"/>
                  <w:marRight w:val="0"/>
                  <w:marTop w:val="0"/>
                  <w:marBottom w:val="0"/>
                  <w:divBdr>
                    <w:top w:val="none" w:sz="0" w:space="0" w:color="auto"/>
                    <w:left w:val="none" w:sz="0" w:space="0" w:color="auto"/>
                    <w:bottom w:val="none" w:sz="0" w:space="0" w:color="auto"/>
                    <w:right w:val="none" w:sz="0" w:space="0" w:color="auto"/>
                  </w:divBdr>
                  <w:divsChild>
                    <w:div w:id="10842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19676">
      <w:bodyDiv w:val="1"/>
      <w:marLeft w:val="0"/>
      <w:marRight w:val="0"/>
      <w:marTop w:val="0"/>
      <w:marBottom w:val="0"/>
      <w:divBdr>
        <w:top w:val="none" w:sz="0" w:space="0" w:color="auto"/>
        <w:left w:val="none" w:sz="0" w:space="0" w:color="auto"/>
        <w:bottom w:val="none" w:sz="0" w:space="0" w:color="auto"/>
        <w:right w:val="none" w:sz="0" w:space="0" w:color="auto"/>
      </w:divBdr>
      <w:divsChild>
        <w:div w:id="1940989939">
          <w:marLeft w:val="0"/>
          <w:marRight w:val="0"/>
          <w:marTop w:val="0"/>
          <w:marBottom w:val="0"/>
          <w:divBdr>
            <w:top w:val="none" w:sz="0" w:space="0" w:color="auto"/>
            <w:left w:val="none" w:sz="0" w:space="0" w:color="auto"/>
            <w:bottom w:val="none" w:sz="0" w:space="0" w:color="auto"/>
            <w:right w:val="none" w:sz="0" w:space="0" w:color="auto"/>
          </w:divBdr>
          <w:divsChild>
            <w:div w:id="491458160">
              <w:marLeft w:val="0"/>
              <w:marRight w:val="0"/>
              <w:marTop w:val="0"/>
              <w:marBottom w:val="0"/>
              <w:divBdr>
                <w:top w:val="none" w:sz="0" w:space="0" w:color="auto"/>
                <w:left w:val="none" w:sz="0" w:space="0" w:color="auto"/>
                <w:bottom w:val="none" w:sz="0" w:space="0" w:color="auto"/>
                <w:right w:val="none" w:sz="0" w:space="0" w:color="auto"/>
              </w:divBdr>
              <w:divsChild>
                <w:div w:id="191187393">
                  <w:marLeft w:val="0"/>
                  <w:marRight w:val="0"/>
                  <w:marTop w:val="0"/>
                  <w:marBottom w:val="0"/>
                  <w:divBdr>
                    <w:top w:val="none" w:sz="0" w:space="0" w:color="auto"/>
                    <w:left w:val="none" w:sz="0" w:space="0" w:color="auto"/>
                    <w:bottom w:val="none" w:sz="0" w:space="0" w:color="auto"/>
                    <w:right w:val="none" w:sz="0" w:space="0" w:color="auto"/>
                  </w:divBdr>
                  <w:divsChild>
                    <w:div w:id="1316571815">
                      <w:marLeft w:val="0"/>
                      <w:marRight w:val="0"/>
                      <w:marTop w:val="0"/>
                      <w:marBottom w:val="0"/>
                      <w:divBdr>
                        <w:top w:val="none" w:sz="0" w:space="0" w:color="auto"/>
                        <w:left w:val="none" w:sz="0" w:space="0" w:color="auto"/>
                        <w:bottom w:val="none" w:sz="0" w:space="0" w:color="auto"/>
                        <w:right w:val="none" w:sz="0" w:space="0" w:color="auto"/>
                      </w:divBdr>
                      <w:divsChild>
                        <w:div w:id="1851600411">
                          <w:marLeft w:val="0"/>
                          <w:marRight w:val="0"/>
                          <w:marTop w:val="0"/>
                          <w:marBottom w:val="0"/>
                          <w:divBdr>
                            <w:top w:val="none" w:sz="0" w:space="0" w:color="auto"/>
                            <w:left w:val="none" w:sz="0" w:space="0" w:color="auto"/>
                            <w:bottom w:val="none" w:sz="0" w:space="0" w:color="auto"/>
                            <w:right w:val="none" w:sz="0" w:space="0" w:color="auto"/>
                          </w:divBdr>
                          <w:divsChild>
                            <w:div w:id="286934798">
                              <w:marLeft w:val="0"/>
                              <w:marRight w:val="0"/>
                              <w:marTop w:val="0"/>
                              <w:marBottom w:val="0"/>
                              <w:divBdr>
                                <w:top w:val="none" w:sz="0" w:space="0" w:color="auto"/>
                                <w:left w:val="none" w:sz="0" w:space="0" w:color="auto"/>
                                <w:bottom w:val="none" w:sz="0" w:space="0" w:color="auto"/>
                                <w:right w:val="none" w:sz="0" w:space="0" w:color="auto"/>
                              </w:divBdr>
                              <w:divsChild>
                                <w:div w:id="1090808042">
                                  <w:marLeft w:val="0"/>
                                  <w:marRight w:val="0"/>
                                  <w:marTop w:val="0"/>
                                  <w:marBottom w:val="0"/>
                                  <w:divBdr>
                                    <w:top w:val="none" w:sz="0" w:space="0" w:color="auto"/>
                                    <w:left w:val="none" w:sz="0" w:space="0" w:color="auto"/>
                                    <w:bottom w:val="none" w:sz="0" w:space="0" w:color="auto"/>
                                    <w:right w:val="none" w:sz="0" w:space="0" w:color="auto"/>
                                  </w:divBdr>
                                  <w:divsChild>
                                    <w:div w:id="1648512394">
                                      <w:marLeft w:val="0"/>
                                      <w:marRight w:val="0"/>
                                      <w:marTop w:val="0"/>
                                      <w:marBottom w:val="0"/>
                                      <w:divBdr>
                                        <w:top w:val="none" w:sz="0" w:space="0" w:color="auto"/>
                                        <w:left w:val="none" w:sz="0" w:space="0" w:color="auto"/>
                                        <w:bottom w:val="none" w:sz="0" w:space="0" w:color="auto"/>
                                        <w:right w:val="none" w:sz="0" w:space="0" w:color="auto"/>
                                      </w:divBdr>
                                      <w:divsChild>
                                        <w:div w:id="7614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063152">
      <w:bodyDiv w:val="1"/>
      <w:marLeft w:val="0"/>
      <w:marRight w:val="0"/>
      <w:marTop w:val="0"/>
      <w:marBottom w:val="0"/>
      <w:divBdr>
        <w:top w:val="none" w:sz="0" w:space="0" w:color="auto"/>
        <w:left w:val="none" w:sz="0" w:space="0" w:color="auto"/>
        <w:bottom w:val="none" w:sz="0" w:space="0" w:color="auto"/>
        <w:right w:val="none" w:sz="0" w:space="0" w:color="auto"/>
      </w:divBdr>
    </w:div>
    <w:div w:id="1004475288">
      <w:bodyDiv w:val="1"/>
      <w:marLeft w:val="0"/>
      <w:marRight w:val="0"/>
      <w:marTop w:val="0"/>
      <w:marBottom w:val="0"/>
      <w:divBdr>
        <w:top w:val="none" w:sz="0" w:space="0" w:color="auto"/>
        <w:left w:val="none" w:sz="0" w:space="0" w:color="auto"/>
        <w:bottom w:val="none" w:sz="0" w:space="0" w:color="auto"/>
        <w:right w:val="none" w:sz="0" w:space="0" w:color="auto"/>
      </w:divBdr>
    </w:div>
    <w:div w:id="1011614118">
      <w:bodyDiv w:val="1"/>
      <w:marLeft w:val="0"/>
      <w:marRight w:val="0"/>
      <w:marTop w:val="0"/>
      <w:marBottom w:val="0"/>
      <w:divBdr>
        <w:top w:val="none" w:sz="0" w:space="0" w:color="auto"/>
        <w:left w:val="none" w:sz="0" w:space="0" w:color="auto"/>
        <w:bottom w:val="none" w:sz="0" w:space="0" w:color="auto"/>
        <w:right w:val="none" w:sz="0" w:space="0" w:color="auto"/>
      </w:divBdr>
      <w:divsChild>
        <w:div w:id="1836335570">
          <w:marLeft w:val="0"/>
          <w:marRight w:val="0"/>
          <w:marTop w:val="0"/>
          <w:marBottom w:val="0"/>
          <w:divBdr>
            <w:top w:val="none" w:sz="0" w:space="0" w:color="auto"/>
            <w:left w:val="none" w:sz="0" w:space="0" w:color="auto"/>
            <w:bottom w:val="none" w:sz="0" w:space="0" w:color="auto"/>
            <w:right w:val="none" w:sz="0" w:space="0" w:color="auto"/>
          </w:divBdr>
          <w:divsChild>
            <w:div w:id="1390375693">
              <w:marLeft w:val="0"/>
              <w:marRight w:val="0"/>
              <w:marTop w:val="0"/>
              <w:marBottom w:val="0"/>
              <w:divBdr>
                <w:top w:val="none" w:sz="0" w:space="0" w:color="auto"/>
                <w:left w:val="none" w:sz="0" w:space="0" w:color="auto"/>
                <w:bottom w:val="none" w:sz="0" w:space="0" w:color="auto"/>
                <w:right w:val="none" w:sz="0" w:space="0" w:color="auto"/>
              </w:divBdr>
              <w:divsChild>
                <w:div w:id="730881296">
                  <w:marLeft w:val="0"/>
                  <w:marRight w:val="0"/>
                  <w:marTop w:val="0"/>
                  <w:marBottom w:val="0"/>
                  <w:divBdr>
                    <w:top w:val="none" w:sz="0" w:space="0" w:color="auto"/>
                    <w:left w:val="none" w:sz="0" w:space="0" w:color="auto"/>
                    <w:bottom w:val="none" w:sz="0" w:space="0" w:color="auto"/>
                    <w:right w:val="none" w:sz="0" w:space="0" w:color="auto"/>
                  </w:divBdr>
                  <w:divsChild>
                    <w:div w:id="2115199110">
                      <w:marLeft w:val="0"/>
                      <w:marRight w:val="0"/>
                      <w:marTop w:val="0"/>
                      <w:marBottom w:val="0"/>
                      <w:divBdr>
                        <w:top w:val="none" w:sz="0" w:space="0" w:color="auto"/>
                        <w:left w:val="none" w:sz="0" w:space="0" w:color="auto"/>
                        <w:bottom w:val="none" w:sz="0" w:space="0" w:color="auto"/>
                        <w:right w:val="none" w:sz="0" w:space="0" w:color="auto"/>
                      </w:divBdr>
                      <w:divsChild>
                        <w:div w:id="1992979674">
                          <w:marLeft w:val="0"/>
                          <w:marRight w:val="0"/>
                          <w:marTop w:val="0"/>
                          <w:marBottom w:val="0"/>
                          <w:divBdr>
                            <w:top w:val="none" w:sz="0" w:space="0" w:color="auto"/>
                            <w:left w:val="none" w:sz="0" w:space="0" w:color="auto"/>
                            <w:bottom w:val="none" w:sz="0" w:space="0" w:color="auto"/>
                            <w:right w:val="none" w:sz="0" w:space="0" w:color="auto"/>
                          </w:divBdr>
                          <w:divsChild>
                            <w:div w:id="408697423">
                              <w:marLeft w:val="0"/>
                              <w:marRight w:val="0"/>
                              <w:marTop w:val="0"/>
                              <w:marBottom w:val="0"/>
                              <w:divBdr>
                                <w:top w:val="none" w:sz="0" w:space="0" w:color="auto"/>
                                <w:left w:val="none" w:sz="0" w:space="0" w:color="auto"/>
                                <w:bottom w:val="none" w:sz="0" w:space="0" w:color="auto"/>
                                <w:right w:val="none" w:sz="0" w:space="0" w:color="auto"/>
                              </w:divBdr>
                              <w:divsChild>
                                <w:div w:id="1311789709">
                                  <w:marLeft w:val="0"/>
                                  <w:marRight w:val="0"/>
                                  <w:marTop w:val="0"/>
                                  <w:marBottom w:val="0"/>
                                  <w:divBdr>
                                    <w:top w:val="none" w:sz="0" w:space="0" w:color="auto"/>
                                    <w:left w:val="none" w:sz="0" w:space="0" w:color="auto"/>
                                    <w:bottom w:val="none" w:sz="0" w:space="0" w:color="auto"/>
                                    <w:right w:val="none" w:sz="0" w:space="0" w:color="auto"/>
                                  </w:divBdr>
                                  <w:divsChild>
                                    <w:div w:id="1852259681">
                                      <w:marLeft w:val="0"/>
                                      <w:marRight w:val="0"/>
                                      <w:marTop w:val="0"/>
                                      <w:marBottom w:val="0"/>
                                      <w:divBdr>
                                        <w:top w:val="none" w:sz="0" w:space="0" w:color="auto"/>
                                        <w:left w:val="none" w:sz="0" w:space="0" w:color="auto"/>
                                        <w:bottom w:val="none" w:sz="0" w:space="0" w:color="auto"/>
                                        <w:right w:val="none" w:sz="0" w:space="0" w:color="auto"/>
                                      </w:divBdr>
                                      <w:divsChild>
                                        <w:div w:id="1873152450">
                                          <w:marLeft w:val="0"/>
                                          <w:marRight w:val="0"/>
                                          <w:marTop w:val="0"/>
                                          <w:marBottom w:val="0"/>
                                          <w:divBdr>
                                            <w:top w:val="none" w:sz="0" w:space="0" w:color="auto"/>
                                            <w:left w:val="none" w:sz="0" w:space="0" w:color="auto"/>
                                            <w:bottom w:val="none" w:sz="0" w:space="0" w:color="auto"/>
                                            <w:right w:val="none" w:sz="0" w:space="0" w:color="auto"/>
                                          </w:divBdr>
                                          <w:divsChild>
                                            <w:div w:id="290091025">
                                              <w:marLeft w:val="0"/>
                                              <w:marRight w:val="0"/>
                                              <w:marTop w:val="0"/>
                                              <w:marBottom w:val="0"/>
                                              <w:divBdr>
                                                <w:top w:val="none" w:sz="0" w:space="0" w:color="auto"/>
                                                <w:left w:val="none" w:sz="0" w:space="0" w:color="auto"/>
                                                <w:bottom w:val="none" w:sz="0" w:space="0" w:color="auto"/>
                                                <w:right w:val="none" w:sz="0" w:space="0" w:color="auto"/>
                                              </w:divBdr>
                                              <w:divsChild>
                                                <w:div w:id="699937806">
                                                  <w:marLeft w:val="0"/>
                                                  <w:marRight w:val="0"/>
                                                  <w:marTop w:val="0"/>
                                                  <w:marBottom w:val="0"/>
                                                  <w:divBdr>
                                                    <w:top w:val="none" w:sz="0" w:space="0" w:color="auto"/>
                                                    <w:left w:val="none" w:sz="0" w:space="0" w:color="auto"/>
                                                    <w:bottom w:val="none" w:sz="0" w:space="0" w:color="auto"/>
                                                    <w:right w:val="none" w:sz="0" w:space="0" w:color="auto"/>
                                                  </w:divBdr>
                                                  <w:divsChild>
                                                    <w:div w:id="1286111005">
                                                      <w:marLeft w:val="0"/>
                                                      <w:marRight w:val="0"/>
                                                      <w:marTop w:val="0"/>
                                                      <w:marBottom w:val="0"/>
                                                      <w:divBdr>
                                                        <w:top w:val="none" w:sz="0" w:space="0" w:color="auto"/>
                                                        <w:left w:val="none" w:sz="0" w:space="0" w:color="auto"/>
                                                        <w:bottom w:val="none" w:sz="0" w:space="0" w:color="auto"/>
                                                        <w:right w:val="none" w:sz="0" w:space="0" w:color="auto"/>
                                                      </w:divBdr>
                                                      <w:divsChild>
                                                        <w:div w:id="1889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157362">
      <w:bodyDiv w:val="1"/>
      <w:marLeft w:val="0"/>
      <w:marRight w:val="0"/>
      <w:marTop w:val="0"/>
      <w:marBottom w:val="0"/>
      <w:divBdr>
        <w:top w:val="none" w:sz="0" w:space="0" w:color="auto"/>
        <w:left w:val="none" w:sz="0" w:space="0" w:color="auto"/>
        <w:bottom w:val="none" w:sz="0" w:space="0" w:color="auto"/>
        <w:right w:val="none" w:sz="0" w:space="0" w:color="auto"/>
      </w:divBdr>
    </w:div>
    <w:div w:id="1126312777">
      <w:bodyDiv w:val="1"/>
      <w:marLeft w:val="0"/>
      <w:marRight w:val="0"/>
      <w:marTop w:val="0"/>
      <w:marBottom w:val="0"/>
      <w:divBdr>
        <w:top w:val="none" w:sz="0" w:space="0" w:color="auto"/>
        <w:left w:val="none" w:sz="0" w:space="0" w:color="auto"/>
        <w:bottom w:val="none" w:sz="0" w:space="0" w:color="auto"/>
        <w:right w:val="none" w:sz="0" w:space="0" w:color="auto"/>
      </w:divBdr>
    </w:div>
    <w:div w:id="1156453661">
      <w:bodyDiv w:val="1"/>
      <w:marLeft w:val="0"/>
      <w:marRight w:val="0"/>
      <w:marTop w:val="0"/>
      <w:marBottom w:val="0"/>
      <w:divBdr>
        <w:top w:val="none" w:sz="0" w:space="0" w:color="auto"/>
        <w:left w:val="none" w:sz="0" w:space="0" w:color="auto"/>
        <w:bottom w:val="none" w:sz="0" w:space="0" w:color="auto"/>
        <w:right w:val="none" w:sz="0" w:space="0" w:color="auto"/>
      </w:divBdr>
    </w:div>
    <w:div w:id="1170172908">
      <w:bodyDiv w:val="1"/>
      <w:marLeft w:val="0"/>
      <w:marRight w:val="0"/>
      <w:marTop w:val="0"/>
      <w:marBottom w:val="0"/>
      <w:divBdr>
        <w:top w:val="none" w:sz="0" w:space="0" w:color="auto"/>
        <w:left w:val="none" w:sz="0" w:space="0" w:color="auto"/>
        <w:bottom w:val="none" w:sz="0" w:space="0" w:color="auto"/>
        <w:right w:val="none" w:sz="0" w:space="0" w:color="auto"/>
      </w:divBdr>
    </w:div>
    <w:div w:id="1213343129">
      <w:bodyDiv w:val="1"/>
      <w:marLeft w:val="0"/>
      <w:marRight w:val="0"/>
      <w:marTop w:val="0"/>
      <w:marBottom w:val="0"/>
      <w:divBdr>
        <w:top w:val="none" w:sz="0" w:space="0" w:color="auto"/>
        <w:left w:val="none" w:sz="0" w:space="0" w:color="auto"/>
        <w:bottom w:val="none" w:sz="0" w:space="0" w:color="auto"/>
        <w:right w:val="none" w:sz="0" w:space="0" w:color="auto"/>
      </w:divBdr>
    </w:div>
    <w:div w:id="1237134282">
      <w:bodyDiv w:val="1"/>
      <w:marLeft w:val="0"/>
      <w:marRight w:val="0"/>
      <w:marTop w:val="0"/>
      <w:marBottom w:val="0"/>
      <w:divBdr>
        <w:top w:val="none" w:sz="0" w:space="0" w:color="auto"/>
        <w:left w:val="none" w:sz="0" w:space="0" w:color="auto"/>
        <w:bottom w:val="none" w:sz="0" w:space="0" w:color="auto"/>
        <w:right w:val="none" w:sz="0" w:space="0" w:color="auto"/>
      </w:divBdr>
    </w:div>
    <w:div w:id="1301156117">
      <w:bodyDiv w:val="1"/>
      <w:marLeft w:val="0"/>
      <w:marRight w:val="0"/>
      <w:marTop w:val="0"/>
      <w:marBottom w:val="0"/>
      <w:divBdr>
        <w:top w:val="none" w:sz="0" w:space="0" w:color="auto"/>
        <w:left w:val="none" w:sz="0" w:space="0" w:color="auto"/>
        <w:bottom w:val="none" w:sz="0" w:space="0" w:color="auto"/>
        <w:right w:val="none" w:sz="0" w:space="0" w:color="auto"/>
      </w:divBdr>
    </w:div>
    <w:div w:id="1317537204">
      <w:bodyDiv w:val="1"/>
      <w:marLeft w:val="0"/>
      <w:marRight w:val="0"/>
      <w:marTop w:val="0"/>
      <w:marBottom w:val="0"/>
      <w:divBdr>
        <w:top w:val="none" w:sz="0" w:space="0" w:color="auto"/>
        <w:left w:val="none" w:sz="0" w:space="0" w:color="auto"/>
        <w:bottom w:val="none" w:sz="0" w:space="0" w:color="auto"/>
        <w:right w:val="none" w:sz="0" w:space="0" w:color="auto"/>
      </w:divBdr>
    </w:div>
    <w:div w:id="1319962042">
      <w:bodyDiv w:val="1"/>
      <w:marLeft w:val="0"/>
      <w:marRight w:val="0"/>
      <w:marTop w:val="0"/>
      <w:marBottom w:val="0"/>
      <w:divBdr>
        <w:top w:val="none" w:sz="0" w:space="0" w:color="auto"/>
        <w:left w:val="none" w:sz="0" w:space="0" w:color="auto"/>
        <w:bottom w:val="none" w:sz="0" w:space="0" w:color="auto"/>
        <w:right w:val="none" w:sz="0" w:space="0" w:color="auto"/>
      </w:divBdr>
    </w:div>
    <w:div w:id="1465847409">
      <w:bodyDiv w:val="1"/>
      <w:marLeft w:val="0"/>
      <w:marRight w:val="0"/>
      <w:marTop w:val="0"/>
      <w:marBottom w:val="0"/>
      <w:divBdr>
        <w:top w:val="none" w:sz="0" w:space="0" w:color="auto"/>
        <w:left w:val="none" w:sz="0" w:space="0" w:color="auto"/>
        <w:bottom w:val="none" w:sz="0" w:space="0" w:color="auto"/>
        <w:right w:val="none" w:sz="0" w:space="0" w:color="auto"/>
      </w:divBdr>
    </w:div>
    <w:div w:id="1467308686">
      <w:bodyDiv w:val="1"/>
      <w:marLeft w:val="0"/>
      <w:marRight w:val="0"/>
      <w:marTop w:val="0"/>
      <w:marBottom w:val="0"/>
      <w:divBdr>
        <w:top w:val="none" w:sz="0" w:space="0" w:color="auto"/>
        <w:left w:val="none" w:sz="0" w:space="0" w:color="auto"/>
        <w:bottom w:val="none" w:sz="0" w:space="0" w:color="auto"/>
        <w:right w:val="none" w:sz="0" w:space="0" w:color="auto"/>
      </w:divBdr>
      <w:divsChild>
        <w:div w:id="2109348668">
          <w:marLeft w:val="0"/>
          <w:marRight w:val="0"/>
          <w:marTop w:val="0"/>
          <w:marBottom w:val="0"/>
          <w:divBdr>
            <w:top w:val="none" w:sz="0" w:space="0" w:color="auto"/>
            <w:left w:val="none" w:sz="0" w:space="0" w:color="auto"/>
            <w:bottom w:val="none" w:sz="0" w:space="0" w:color="auto"/>
            <w:right w:val="none" w:sz="0" w:space="0" w:color="auto"/>
          </w:divBdr>
          <w:divsChild>
            <w:div w:id="750009134">
              <w:marLeft w:val="0"/>
              <w:marRight w:val="0"/>
              <w:marTop w:val="0"/>
              <w:marBottom w:val="0"/>
              <w:divBdr>
                <w:top w:val="none" w:sz="0" w:space="0" w:color="auto"/>
                <w:left w:val="none" w:sz="0" w:space="0" w:color="auto"/>
                <w:bottom w:val="none" w:sz="0" w:space="0" w:color="auto"/>
                <w:right w:val="none" w:sz="0" w:space="0" w:color="auto"/>
              </w:divBdr>
              <w:divsChild>
                <w:div w:id="791170108">
                  <w:marLeft w:val="0"/>
                  <w:marRight w:val="0"/>
                  <w:marTop w:val="0"/>
                  <w:marBottom w:val="0"/>
                  <w:divBdr>
                    <w:top w:val="none" w:sz="0" w:space="0" w:color="auto"/>
                    <w:left w:val="none" w:sz="0" w:space="0" w:color="auto"/>
                    <w:bottom w:val="none" w:sz="0" w:space="0" w:color="auto"/>
                    <w:right w:val="none" w:sz="0" w:space="0" w:color="auto"/>
                  </w:divBdr>
                  <w:divsChild>
                    <w:div w:id="1143739915">
                      <w:marLeft w:val="0"/>
                      <w:marRight w:val="0"/>
                      <w:marTop w:val="0"/>
                      <w:marBottom w:val="0"/>
                      <w:divBdr>
                        <w:top w:val="none" w:sz="0" w:space="0" w:color="auto"/>
                        <w:left w:val="none" w:sz="0" w:space="0" w:color="auto"/>
                        <w:bottom w:val="none" w:sz="0" w:space="0" w:color="auto"/>
                        <w:right w:val="none" w:sz="0" w:space="0" w:color="auto"/>
                      </w:divBdr>
                      <w:divsChild>
                        <w:div w:id="63839019">
                          <w:marLeft w:val="0"/>
                          <w:marRight w:val="0"/>
                          <w:marTop w:val="0"/>
                          <w:marBottom w:val="0"/>
                          <w:divBdr>
                            <w:top w:val="none" w:sz="0" w:space="0" w:color="auto"/>
                            <w:left w:val="none" w:sz="0" w:space="0" w:color="auto"/>
                            <w:bottom w:val="none" w:sz="0" w:space="0" w:color="auto"/>
                            <w:right w:val="none" w:sz="0" w:space="0" w:color="auto"/>
                          </w:divBdr>
                          <w:divsChild>
                            <w:div w:id="1725566904">
                              <w:marLeft w:val="0"/>
                              <w:marRight w:val="0"/>
                              <w:marTop w:val="0"/>
                              <w:marBottom w:val="0"/>
                              <w:divBdr>
                                <w:top w:val="none" w:sz="0" w:space="0" w:color="auto"/>
                                <w:left w:val="none" w:sz="0" w:space="0" w:color="auto"/>
                                <w:bottom w:val="none" w:sz="0" w:space="0" w:color="auto"/>
                                <w:right w:val="none" w:sz="0" w:space="0" w:color="auto"/>
                              </w:divBdr>
                              <w:divsChild>
                                <w:div w:id="1804687619">
                                  <w:marLeft w:val="0"/>
                                  <w:marRight w:val="0"/>
                                  <w:marTop w:val="0"/>
                                  <w:marBottom w:val="0"/>
                                  <w:divBdr>
                                    <w:top w:val="none" w:sz="0" w:space="0" w:color="auto"/>
                                    <w:left w:val="none" w:sz="0" w:space="0" w:color="auto"/>
                                    <w:bottom w:val="none" w:sz="0" w:space="0" w:color="auto"/>
                                    <w:right w:val="none" w:sz="0" w:space="0" w:color="auto"/>
                                  </w:divBdr>
                                  <w:divsChild>
                                    <w:div w:id="1299265706">
                                      <w:marLeft w:val="0"/>
                                      <w:marRight w:val="0"/>
                                      <w:marTop w:val="0"/>
                                      <w:marBottom w:val="0"/>
                                      <w:divBdr>
                                        <w:top w:val="none" w:sz="0" w:space="0" w:color="auto"/>
                                        <w:left w:val="none" w:sz="0" w:space="0" w:color="auto"/>
                                        <w:bottom w:val="none" w:sz="0" w:space="0" w:color="auto"/>
                                        <w:right w:val="none" w:sz="0" w:space="0" w:color="auto"/>
                                      </w:divBdr>
                                      <w:divsChild>
                                        <w:div w:id="1975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959362">
      <w:bodyDiv w:val="1"/>
      <w:marLeft w:val="0"/>
      <w:marRight w:val="0"/>
      <w:marTop w:val="0"/>
      <w:marBottom w:val="0"/>
      <w:divBdr>
        <w:top w:val="none" w:sz="0" w:space="0" w:color="auto"/>
        <w:left w:val="none" w:sz="0" w:space="0" w:color="auto"/>
        <w:bottom w:val="none" w:sz="0" w:space="0" w:color="auto"/>
        <w:right w:val="none" w:sz="0" w:space="0" w:color="auto"/>
      </w:divBdr>
    </w:div>
    <w:div w:id="1511794025">
      <w:bodyDiv w:val="1"/>
      <w:marLeft w:val="0"/>
      <w:marRight w:val="0"/>
      <w:marTop w:val="0"/>
      <w:marBottom w:val="0"/>
      <w:divBdr>
        <w:top w:val="none" w:sz="0" w:space="0" w:color="auto"/>
        <w:left w:val="none" w:sz="0" w:space="0" w:color="auto"/>
        <w:bottom w:val="none" w:sz="0" w:space="0" w:color="auto"/>
        <w:right w:val="none" w:sz="0" w:space="0" w:color="auto"/>
      </w:divBdr>
    </w:div>
    <w:div w:id="1513448303">
      <w:bodyDiv w:val="1"/>
      <w:marLeft w:val="0"/>
      <w:marRight w:val="0"/>
      <w:marTop w:val="0"/>
      <w:marBottom w:val="0"/>
      <w:divBdr>
        <w:top w:val="none" w:sz="0" w:space="0" w:color="auto"/>
        <w:left w:val="none" w:sz="0" w:space="0" w:color="auto"/>
        <w:bottom w:val="none" w:sz="0" w:space="0" w:color="auto"/>
        <w:right w:val="none" w:sz="0" w:space="0" w:color="auto"/>
      </w:divBdr>
    </w:div>
    <w:div w:id="1514757450">
      <w:bodyDiv w:val="1"/>
      <w:marLeft w:val="0"/>
      <w:marRight w:val="0"/>
      <w:marTop w:val="0"/>
      <w:marBottom w:val="0"/>
      <w:divBdr>
        <w:top w:val="none" w:sz="0" w:space="0" w:color="auto"/>
        <w:left w:val="none" w:sz="0" w:space="0" w:color="auto"/>
        <w:bottom w:val="none" w:sz="0" w:space="0" w:color="auto"/>
        <w:right w:val="none" w:sz="0" w:space="0" w:color="auto"/>
      </w:divBdr>
    </w:div>
    <w:div w:id="1554921225">
      <w:bodyDiv w:val="1"/>
      <w:marLeft w:val="0"/>
      <w:marRight w:val="0"/>
      <w:marTop w:val="0"/>
      <w:marBottom w:val="0"/>
      <w:divBdr>
        <w:top w:val="none" w:sz="0" w:space="0" w:color="auto"/>
        <w:left w:val="none" w:sz="0" w:space="0" w:color="auto"/>
        <w:bottom w:val="none" w:sz="0" w:space="0" w:color="auto"/>
        <w:right w:val="none" w:sz="0" w:space="0" w:color="auto"/>
      </w:divBdr>
    </w:div>
    <w:div w:id="1567958420">
      <w:bodyDiv w:val="1"/>
      <w:marLeft w:val="0"/>
      <w:marRight w:val="0"/>
      <w:marTop w:val="0"/>
      <w:marBottom w:val="0"/>
      <w:divBdr>
        <w:top w:val="none" w:sz="0" w:space="0" w:color="auto"/>
        <w:left w:val="none" w:sz="0" w:space="0" w:color="auto"/>
        <w:bottom w:val="none" w:sz="0" w:space="0" w:color="auto"/>
        <w:right w:val="none" w:sz="0" w:space="0" w:color="auto"/>
      </w:divBdr>
    </w:div>
    <w:div w:id="1592352560">
      <w:bodyDiv w:val="1"/>
      <w:marLeft w:val="0"/>
      <w:marRight w:val="0"/>
      <w:marTop w:val="0"/>
      <w:marBottom w:val="0"/>
      <w:divBdr>
        <w:top w:val="none" w:sz="0" w:space="0" w:color="auto"/>
        <w:left w:val="none" w:sz="0" w:space="0" w:color="auto"/>
        <w:bottom w:val="none" w:sz="0" w:space="0" w:color="auto"/>
        <w:right w:val="none" w:sz="0" w:space="0" w:color="auto"/>
      </w:divBdr>
    </w:div>
    <w:div w:id="1638561683">
      <w:bodyDiv w:val="1"/>
      <w:marLeft w:val="0"/>
      <w:marRight w:val="0"/>
      <w:marTop w:val="0"/>
      <w:marBottom w:val="0"/>
      <w:divBdr>
        <w:top w:val="none" w:sz="0" w:space="0" w:color="auto"/>
        <w:left w:val="none" w:sz="0" w:space="0" w:color="auto"/>
        <w:bottom w:val="none" w:sz="0" w:space="0" w:color="auto"/>
        <w:right w:val="none" w:sz="0" w:space="0" w:color="auto"/>
      </w:divBdr>
      <w:divsChild>
        <w:div w:id="594442404">
          <w:marLeft w:val="547"/>
          <w:marRight w:val="0"/>
          <w:marTop w:val="0"/>
          <w:marBottom w:val="0"/>
          <w:divBdr>
            <w:top w:val="none" w:sz="0" w:space="0" w:color="auto"/>
            <w:left w:val="none" w:sz="0" w:space="0" w:color="auto"/>
            <w:bottom w:val="none" w:sz="0" w:space="0" w:color="auto"/>
            <w:right w:val="none" w:sz="0" w:space="0" w:color="auto"/>
          </w:divBdr>
        </w:div>
      </w:divsChild>
    </w:div>
    <w:div w:id="1786928766">
      <w:bodyDiv w:val="1"/>
      <w:marLeft w:val="0"/>
      <w:marRight w:val="0"/>
      <w:marTop w:val="0"/>
      <w:marBottom w:val="0"/>
      <w:divBdr>
        <w:top w:val="none" w:sz="0" w:space="0" w:color="auto"/>
        <w:left w:val="none" w:sz="0" w:space="0" w:color="auto"/>
        <w:bottom w:val="none" w:sz="0" w:space="0" w:color="auto"/>
        <w:right w:val="none" w:sz="0" w:space="0" w:color="auto"/>
      </w:divBdr>
    </w:div>
    <w:div w:id="1792745382">
      <w:bodyDiv w:val="1"/>
      <w:marLeft w:val="0"/>
      <w:marRight w:val="0"/>
      <w:marTop w:val="0"/>
      <w:marBottom w:val="0"/>
      <w:divBdr>
        <w:top w:val="none" w:sz="0" w:space="0" w:color="auto"/>
        <w:left w:val="none" w:sz="0" w:space="0" w:color="auto"/>
        <w:bottom w:val="none" w:sz="0" w:space="0" w:color="auto"/>
        <w:right w:val="none" w:sz="0" w:space="0" w:color="auto"/>
      </w:divBdr>
    </w:div>
    <w:div w:id="1827284290">
      <w:bodyDiv w:val="1"/>
      <w:marLeft w:val="0"/>
      <w:marRight w:val="0"/>
      <w:marTop w:val="0"/>
      <w:marBottom w:val="0"/>
      <w:divBdr>
        <w:top w:val="none" w:sz="0" w:space="0" w:color="auto"/>
        <w:left w:val="none" w:sz="0" w:space="0" w:color="auto"/>
        <w:bottom w:val="none" w:sz="0" w:space="0" w:color="auto"/>
        <w:right w:val="none" w:sz="0" w:space="0" w:color="auto"/>
      </w:divBdr>
    </w:div>
    <w:div w:id="1846940516">
      <w:bodyDiv w:val="1"/>
      <w:marLeft w:val="0"/>
      <w:marRight w:val="0"/>
      <w:marTop w:val="0"/>
      <w:marBottom w:val="0"/>
      <w:divBdr>
        <w:top w:val="none" w:sz="0" w:space="0" w:color="auto"/>
        <w:left w:val="none" w:sz="0" w:space="0" w:color="auto"/>
        <w:bottom w:val="none" w:sz="0" w:space="0" w:color="auto"/>
        <w:right w:val="none" w:sz="0" w:space="0" w:color="auto"/>
      </w:divBdr>
    </w:div>
    <w:div w:id="1851334549">
      <w:bodyDiv w:val="1"/>
      <w:marLeft w:val="0"/>
      <w:marRight w:val="0"/>
      <w:marTop w:val="0"/>
      <w:marBottom w:val="0"/>
      <w:divBdr>
        <w:top w:val="none" w:sz="0" w:space="0" w:color="auto"/>
        <w:left w:val="none" w:sz="0" w:space="0" w:color="auto"/>
        <w:bottom w:val="none" w:sz="0" w:space="0" w:color="auto"/>
        <w:right w:val="none" w:sz="0" w:space="0" w:color="auto"/>
      </w:divBdr>
    </w:div>
    <w:div w:id="1969041502">
      <w:bodyDiv w:val="1"/>
      <w:marLeft w:val="0"/>
      <w:marRight w:val="0"/>
      <w:marTop w:val="0"/>
      <w:marBottom w:val="0"/>
      <w:divBdr>
        <w:top w:val="none" w:sz="0" w:space="0" w:color="auto"/>
        <w:left w:val="none" w:sz="0" w:space="0" w:color="auto"/>
        <w:bottom w:val="none" w:sz="0" w:space="0" w:color="auto"/>
        <w:right w:val="none" w:sz="0" w:space="0" w:color="auto"/>
      </w:divBdr>
    </w:div>
    <w:div w:id="2062556056">
      <w:bodyDiv w:val="1"/>
      <w:marLeft w:val="0"/>
      <w:marRight w:val="0"/>
      <w:marTop w:val="0"/>
      <w:marBottom w:val="0"/>
      <w:divBdr>
        <w:top w:val="none" w:sz="0" w:space="0" w:color="auto"/>
        <w:left w:val="none" w:sz="0" w:space="0" w:color="auto"/>
        <w:bottom w:val="none" w:sz="0" w:space="0" w:color="auto"/>
        <w:right w:val="none" w:sz="0" w:space="0" w:color="auto"/>
      </w:divBdr>
    </w:div>
    <w:div w:id="20910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8C640-BC73-4D5C-8503-E7F7942D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2025-02-06T00:08:00Z</dcterms:created>
  <dcterms:modified xsi:type="dcterms:W3CDTF">2025-02-06T00:08:00Z</dcterms:modified>
</cp:coreProperties>
</file>