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0DB676" w14:textId="77777777" w:rsidR="00295AF8" w:rsidRDefault="00767279" w:rsidP="00552D65">
      <w:bookmarkStart w:id="0" w:name="_GoBack"/>
      <w:r>
        <w:rPr>
          <w:noProof/>
          <w:lang w:eastAsia="en-AU"/>
        </w:rPr>
        <w:drawing>
          <wp:anchor distT="0" distB="0" distL="114300" distR="114300" simplePos="0" relativeHeight="251664384" behindDoc="1" locked="0" layoutInCell="1" allowOverlap="1" wp14:anchorId="3073A578" wp14:editId="5F9FBDF7">
            <wp:simplePos x="0" y="0"/>
            <wp:positionH relativeFrom="page">
              <wp:align>left</wp:align>
            </wp:positionH>
            <wp:positionV relativeFrom="paragraph">
              <wp:posOffset>-1008708</wp:posOffset>
            </wp:positionV>
            <wp:extent cx="7614745" cy="10767449"/>
            <wp:effectExtent l="0" t="0" r="5715" b="0"/>
            <wp:wrapNone/>
            <wp:docPr id="10" name="Picture 10" descr="Text reads: Community Energy Efficiency Programme Evaluation, April 2017, www.industry.gov.au/oce&#10;&#10;Also inlcudes Office of the Chief Economist logo, report icon and image of Australian streetscape with powerlines. " title="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EP Cover AW-01-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4745" cy="10767449"/>
                    </a:xfrm>
                    <a:prstGeom prst="rect">
                      <a:avLst/>
                    </a:prstGeom>
                  </pic:spPr>
                </pic:pic>
              </a:graphicData>
            </a:graphic>
            <wp14:sizeRelH relativeFrom="page">
              <wp14:pctWidth>0</wp14:pctWidth>
            </wp14:sizeRelH>
            <wp14:sizeRelV relativeFrom="page">
              <wp14:pctHeight>0</wp14:pctHeight>
            </wp14:sizeRelV>
          </wp:anchor>
        </w:drawing>
      </w:r>
      <w:bookmarkEnd w:id="0"/>
    </w:p>
    <w:p w14:paraId="361DBC23" w14:textId="77777777" w:rsidR="001D1EB0" w:rsidRPr="00570F0F" w:rsidRDefault="001D1EB0" w:rsidP="001D1EB0">
      <w:pPr>
        <w:sectPr w:rsidR="001D1EB0" w:rsidRPr="00570F0F" w:rsidSect="007E308B">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09" w:footer="709" w:gutter="0"/>
          <w:pgNumType w:start="0"/>
          <w:cols w:space="708"/>
          <w:titlePg/>
          <w:docGrid w:linePitch="360"/>
        </w:sectPr>
      </w:pPr>
    </w:p>
    <w:bookmarkStart w:id="1" w:name="_Toc446426608" w:displacedByCustomXml="next"/>
    <w:bookmarkStart w:id="2" w:name="_Toc355705044" w:displacedByCustomXml="next"/>
    <w:bookmarkStart w:id="3" w:name="_Toc332291708" w:displacedByCustomXml="next"/>
    <w:sdt>
      <w:sdtPr>
        <w:rPr>
          <w:rFonts w:ascii="Arial" w:hAnsi="Arial"/>
          <w:color w:val="auto"/>
          <w:sz w:val="18"/>
          <w:szCs w:val="18"/>
          <w:lang w:val="en-GB"/>
        </w:rPr>
        <w:id w:val="-1394110536"/>
        <w:docPartObj>
          <w:docPartGallery w:val="Cover Pages"/>
          <w:docPartUnique/>
        </w:docPartObj>
      </w:sdtPr>
      <w:sdtEndPr>
        <w:rPr>
          <w:rFonts w:asciiTheme="minorHAnsi" w:hAnsiTheme="minorHAnsi"/>
          <w:color w:val="595A5B"/>
          <w:lang w:val="en-AU"/>
        </w:rPr>
      </w:sdtEndPr>
      <w:sdtContent>
        <w:tbl>
          <w:tblPr>
            <w:tblW w:w="0" w:type="auto"/>
            <w:tblInd w:w="-2268" w:type="dxa"/>
            <w:tblLook w:val="04A0" w:firstRow="1" w:lastRow="0" w:firstColumn="1" w:lastColumn="0" w:noHBand="0" w:noVBand="1"/>
          </w:tblPr>
          <w:tblGrid>
            <w:gridCol w:w="9162"/>
          </w:tblGrid>
          <w:tr w:rsidR="001D1EB0" w:rsidRPr="00EC35B0" w14:paraId="53E83E96" w14:textId="77777777" w:rsidTr="00F14AB6">
            <w:trPr>
              <w:cantSplit/>
              <w:trHeight w:hRule="exact" w:val="2835"/>
            </w:trPr>
            <w:tc>
              <w:tcPr>
                <w:tcW w:w="9162" w:type="dxa"/>
              </w:tcPr>
              <w:p w14:paraId="2DC75A84" w14:textId="77777777" w:rsidR="001D1EB0" w:rsidRPr="00EC35B0" w:rsidRDefault="00F14AB6" w:rsidP="00AE7591">
                <w:pPr>
                  <w:pStyle w:val="CoverNormal"/>
                  <w:jc w:val="right"/>
                  <w:rPr>
                    <w:sz w:val="18"/>
                    <w:szCs w:val="18"/>
                  </w:rPr>
                </w:pPr>
                <w:r w:rsidRPr="00EC35B0">
                  <w:rPr>
                    <w:noProof/>
                    <w:sz w:val="18"/>
                    <w:szCs w:val="18"/>
                    <w:lang w:eastAsia="en-AU"/>
                  </w:rPr>
                  <w:drawing>
                    <wp:anchor distT="0" distB="0" distL="114300" distR="114300" simplePos="0" relativeHeight="251661312" behindDoc="0" locked="0" layoutInCell="1" allowOverlap="1" wp14:anchorId="0E47909D" wp14:editId="6A838F61">
                      <wp:simplePos x="0" y="0"/>
                      <wp:positionH relativeFrom="margin">
                        <wp:posOffset>-4256</wp:posOffset>
                      </wp:positionH>
                      <wp:positionV relativeFrom="margin">
                        <wp:posOffset>0</wp:posOffset>
                      </wp:positionV>
                      <wp:extent cx="5753961" cy="676894"/>
                      <wp:effectExtent l="0" t="0" r="0" b="9525"/>
                      <wp:wrapSquare wrapText="bothSides"/>
                      <wp:docPr id="8" name="Picture 8" descr="Office of the Chief Economist Logo" title="O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40804 OCE lockup 02 Green RGB.png"/>
                              <pic:cNvPicPr/>
                            </pic:nvPicPr>
                            <pic:blipFill>
                              <a:blip r:embed="rId18">
                                <a:extLst>
                                  <a:ext uri="{28A0092B-C50C-407E-A947-70E740481C1C}">
                                    <a14:useLocalDpi xmlns:a14="http://schemas.microsoft.com/office/drawing/2010/main" val="0"/>
                                  </a:ext>
                                </a:extLst>
                              </a:blip>
                              <a:stretch>
                                <a:fillRect/>
                              </a:stretch>
                            </pic:blipFill>
                            <pic:spPr>
                              <a:xfrm>
                                <a:off x="0" y="0"/>
                                <a:ext cx="5784174" cy="680448"/>
                              </a:xfrm>
                              <a:prstGeom prst="rect">
                                <a:avLst/>
                              </a:prstGeom>
                            </pic:spPr>
                          </pic:pic>
                        </a:graphicData>
                      </a:graphic>
                      <wp14:sizeRelH relativeFrom="margin">
                        <wp14:pctWidth>0</wp14:pctWidth>
                      </wp14:sizeRelH>
                      <wp14:sizeRelV relativeFrom="margin">
                        <wp14:pctHeight>0</wp14:pctHeight>
                      </wp14:sizeRelV>
                    </wp:anchor>
                  </w:drawing>
                </w:r>
              </w:p>
            </w:tc>
          </w:tr>
          <w:tr w:rsidR="001D1EB0" w:rsidRPr="00EC35B0" w14:paraId="50B92734" w14:textId="77777777" w:rsidTr="00F14AB6">
            <w:trPr>
              <w:cantSplit/>
            </w:trPr>
            <w:tc>
              <w:tcPr>
                <w:tcW w:w="9162" w:type="dxa"/>
              </w:tcPr>
              <w:p w14:paraId="0FB5E905" w14:textId="77777777" w:rsidR="001D1EB0" w:rsidRPr="00EC35B0" w:rsidRDefault="001D1EB0" w:rsidP="003E6924">
                <w:pPr>
                  <w:pStyle w:val="TitleHeading"/>
                </w:pPr>
                <w:r w:rsidRPr="00EC35B0">
                  <w:t>Community Energy Efficiency Program Evaluation</w:t>
                </w:r>
              </w:p>
            </w:tc>
          </w:tr>
          <w:tr w:rsidR="001D1EB0" w:rsidRPr="00EC35B0" w14:paraId="1EE8A56B" w14:textId="77777777" w:rsidTr="00F14AB6">
            <w:trPr>
              <w:cantSplit/>
            </w:trPr>
            <w:tc>
              <w:tcPr>
                <w:tcW w:w="9162" w:type="dxa"/>
                <w:vAlign w:val="center"/>
              </w:tcPr>
              <w:p w14:paraId="6A21CD2E" w14:textId="77777777" w:rsidR="001D1EB0" w:rsidRPr="00EC35B0" w:rsidRDefault="001D1EB0" w:rsidP="00AE7591">
                <w:pPr>
                  <w:pStyle w:val="CoverNormal"/>
                  <w:rPr>
                    <w:rFonts w:ascii="Arial" w:eastAsia="Times New Roman" w:hAnsi="Arial" w:cs="Arial"/>
                    <w:b/>
                    <w:color w:val="22789A"/>
                    <w:sz w:val="18"/>
                    <w:szCs w:val="18"/>
                  </w:rPr>
                </w:pPr>
              </w:p>
              <w:p w14:paraId="2DC94F01" w14:textId="77777777" w:rsidR="001D1EB0" w:rsidRPr="00EC35B0" w:rsidRDefault="001D1EB0" w:rsidP="00AE7591">
                <w:pPr>
                  <w:pStyle w:val="CoverNormal"/>
                  <w:rPr>
                    <w:sz w:val="18"/>
                    <w:szCs w:val="18"/>
                  </w:rPr>
                </w:pPr>
                <w:r w:rsidRPr="00EC35B0">
                  <w:rPr>
                    <w:rFonts w:ascii="Arial" w:eastAsia="Times New Roman" w:hAnsi="Arial" w:cs="Arial"/>
                    <w:b/>
                    <w:color w:val="22789A"/>
                    <w:sz w:val="18"/>
                    <w:szCs w:val="18"/>
                  </w:rPr>
                  <w:t xml:space="preserve">Impact Evaluation </w:t>
                </w:r>
              </w:p>
            </w:tc>
          </w:tr>
          <w:tr w:rsidR="001D1EB0" w:rsidRPr="00EC35B0" w14:paraId="5C0688D2" w14:textId="77777777" w:rsidTr="00F14AB6">
            <w:trPr>
              <w:cantSplit/>
            </w:trPr>
            <w:tc>
              <w:tcPr>
                <w:tcW w:w="9162" w:type="dxa"/>
                <w:vAlign w:val="center"/>
              </w:tcPr>
              <w:p w14:paraId="5E1EBB5B" w14:textId="77777777" w:rsidR="001D1EB0" w:rsidRPr="00EC35B0" w:rsidRDefault="00F14AB6" w:rsidP="00F14AB6">
                <w:pPr>
                  <w:pStyle w:val="MonthYear"/>
                  <w:rPr>
                    <w:sz w:val="18"/>
                    <w:szCs w:val="18"/>
                  </w:rPr>
                </w:pPr>
                <w:r w:rsidRPr="00EC35B0">
                  <w:rPr>
                    <w:sz w:val="18"/>
                    <w:szCs w:val="18"/>
                  </w:rPr>
                  <w:t>April 2017</w:t>
                </w:r>
              </w:p>
            </w:tc>
          </w:tr>
          <w:tr w:rsidR="001D1EB0" w:rsidRPr="00EC35B0" w14:paraId="5540C2E8" w14:textId="77777777" w:rsidTr="00F14AB6">
            <w:trPr>
              <w:cantSplit/>
            </w:trPr>
            <w:tc>
              <w:tcPr>
                <w:tcW w:w="9162" w:type="dxa"/>
              </w:tcPr>
              <w:p w14:paraId="01BBB650" w14:textId="77777777" w:rsidR="001D1EB0" w:rsidRPr="00EC35B0" w:rsidRDefault="001D1EB0" w:rsidP="00AE7591">
                <w:pPr>
                  <w:pStyle w:val="ReportCoverInformation"/>
                  <w:rPr>
                    <w:sz w:val="18"/>
                    <w:szCs w:val="18"/>
                  </w:rPr>
                </w:pPr>
                <w:r w:rsidRPr="00EC35B0">
                  <w:rPr>
                    <w:sz w:val="18"/>
                    <w:szCs w:val="18"/>
                  </w:rPr>
                  <w:t>Evaluators:</w:t>
                </w:r>
              </w:p>
              <w:p w14:paraId="194DBC42" w14:textId="77777777" w:rsidR="001D1EB0" w:rsidRPr="00025B9B" w:rsidRDefault="001D1EB0" w:rsidP="00AE7591">
                <w:pPr>
                  <w:pStyle w:val="ReportCoverContact"/>
                  <w:rPr>
                    <w:color w:val="595A5B" w:themeColor="text2"/>
                    <w:sz w:val="18"/>
                  </w:rPr>
                </w:pPr>
                <w:r w:rsidRPr="00025B9B">
                  <w:rPr>
                    <w:color w:val="595A5B" w:themeColor="text2"/>
                    <w:sz w:val="18"/>
                  </w:rPr>
                  <w:t>Bridgette Hargreave</w:t>
                </w:r>
                <w:r w:rsidR="00F14AB6" w:rsidRPr="00025B9B">
                  <w:rPr>
                    <w:color w:val="595A5B" w:themeColor="text2"/>
                    <w:sz w:val="18"/>
                  </w:rPr>
                  <w:t xml:space="preserve">, Jamos McAlester, Niki Walters, Elize Wium and </w:t>
                </w:r>
                <w:r w:rsidRPr="00025B9B">
                  <w:rPr>
                    <w:color w:val="595A5B" w:themeColor="text2"/>
                    <w:sz w:val="18"/>
                  </w:rPr>
                  <w:t>Kevin Yao</w:t>
                </w:r>
              </w:p>
              <w:p w14:paraId="563BF55D" w14:textId="77777777" w:rsidR="001D1EB0" w:rsidRPr="00EC35B0" w:rsidRDefault="001D1EB0" w:rsidP="00AE7591">
                <w:pPr>
                  <w:pStyle w:val="ReportCoverContact"/>
                  <w:rPr>
                    <w:sz w:val="18"/>
                  </w:rPr>
                </w:pPr>
              </w:p>
            </w:tc>
          </w:tr>
        </w:tbl>
        <w:p w14:paraId="30821B1E" w14:textId="77777777" w:rsidR="001D1EB0" w:rsidRPr="00EC35B0" w:rsidRDefault="001D1EB0" w:rsidP="001D1EB0">
          <w:pPr>
            <w:pStyle w:val="CoverNormal"/>
            <w:rPr>
              <w:sz w:val="18"/>
              <w:szCs w:val="18"/>
            </w:rPr>
          </w:pPr>
          <w:bookmarkStart w:id="4" w:name="TOC"/>
        </w:p>
        <w:bookmarkEnd w:id="4"/>
        <w:p w14:paraId="0A5729C4" w14:textId="77777777" w:rsidR="00F14AB6" w:rsidRDefault="001D1EB0" w:rsidP="001D1EB0">
          <w:pPr>
            <w:spacing w:after="200" w:line="276" w:lineRule="auto"/>
            <w:rPr>
              <w:sz w:val="18"/>
              <w:szCs w:val="18"/>
            </w:rPr>
          </w:pPr>
          <w:r w:rsidRPr="00EC35B0">
            <w:rPr>
              <w:sz w:val="18"/>
              <w:szCs w:val="18"/>
            </w:rPr>
            <w:br w:type="page"/>
          </w:r>
          <w:bookmarkStart w:id="5" w:name="_Toc465946816"/>
        </w:p>
        <w:p w14:paraId="345CF7BA" w14:textId="77777777" w:rsidR="007017B2" w:rsidRDefault="007017B2" w:rsidP="001D1EB0">
          <w:pPr>
            <w:spacing w:after="200" w:line="276" w:lineRule="auto"/>
            <w:rPr>
              <w:sz w:val="18"/>
              <w:szCs w:val="18"/>
            </w:rPr>
            <w:sectPr w:rsidR="007017B2" w:rsidSect="007017B2">
              <w:footerReference w:type="default" r:id="rId19"/>
              <w:pgSz w:w="11906" w:h="16838" w:code="9"/>
              <w:pgMar w:top="1440" w:right="1440" w:bottom="1440" w:left="3572" w:header="709" w:footer="709" w:gutter="0"/>
              <w:pgNumType w:fmt="upperRoman" w:start="0"/>
              <w:cols w:space="708"/>
              <w:docGrid w:linePitch="360"/>
            </w:sectPr>
          </w:pPr>
        </w:p>
        <w:p w14:paraId="45097451" w14:textId="77777777" w:rsidR="00F14AB6" w:rsidRPr="00EC35B0" w:rsidRDefault="00F14AB6" w:rsidP="00F14AB6">
          <w:pPr>
            <w:pStyle w:val="DisclaimerHeading"/>
            <w:spacing w:before="600"/>
            <w:ind w:left="0"/>
            <w:rPr>
              <w:sz w:val="18"/>
              <w:szCs w:val="18"/>
            </w:rPr>
          </w:pPr>
          <w:r w:rsidRPr="00EC35B0">
            <w:rPr>
              <w:sz w:val="18"/>
              <w:szCs w:val="18"/>
            </w:rPr>
            <w:lastRenderedPageBreak/>
            <w:t xml:space="preserve">For further information on this report please contact: </w:t>
          </w:r>
        </w:p>
        <w:p w14:paraId="16C01FC5" w14:textId="77777777" w:rsidR="00F14AB6" w:rsidRPr="00EC35B0" w:rsidRDefault="00F14AB6" w:rsidP="00F14AB6">
          <w:pPr>
            <w:pStyle w:val="DisclaimerandAcknowledgement"/>
            <w:spacing w:after="0"/>
            <w:rPr>
              <w:sz w:val="18"/>
            </w:rPr>
          </w:pPr>
          <w:r w:rsidRPr="00EC35B0">
            <w:rPr>
              <w:sz w:val="18"/>
            </w:rPr>
            <w:t>Evaluation Unit</w:t>
          </w:r>
        </w:p>
        <w:p w14:paraId="638F81F6" w14:textId="77777777" w:rsidR="00F14AB6" w:rsidRPr="00EC35B0" w:rsidRDefault="00F14AB6" w:rsidP="00F14AB6">
          <w:pPr>
            <w:pStyle w:val="DisclaimerandAcknowledgement"/>
            <w:spacing w:after="0"/>
            <w:rPr>
              <w:sz w:val="18"/>
            </w:rPr>
          </w:pPr>
          <w:r w:rsidRPr="00EC35B0">
            <w:rPr>
              <w:sz w:val="18"/>
            </w:rPr>
            <w:t>Department of Industry, Innovation and Science</w:t>
          </w:r>
        </w:p>
        <w:p w14:paraId="13799974" w14:textId="77777777" w:rsidR="00F14AB6" w:rsidRPr="00EC35B0" w:rsidRDefault="00F14AB6" w:rsidP="00F14AB6">
          <w:pPr>
            <w:pStyle w:val="DisclaimerandAcknowledgement"/>
            <w:spacing w:after="0"/>
            <w:rPr>
              <w:sz w:val="18"/>
            </w:rPr>
          </w:pPr>
          <w:r w:rsidRPr="00EC35B0">
            <w:rPr>
              <w:sz w:val="18"/>
            </w:rPr>
            <w:t xml:space="preserve">Email: </w:t>
          </w:r>
          <w:hyperlink r:id="rId20" w:history="1">
            <w:r w:rsidRPr="00EC35B0">
              <w:rPr>
                <w:color w:val="22789A"/>
                <w:sz w:val="18"/>
                <w:u w:val="single"/>
              </w:rPr>
              <w:t>Evaluation.Unit@industry.gov.au</w:t>
            </w:r>
          </w:hyperlink>
          <w:r w:rsidRPr="00EC35B0">
            <w:rPr>
              <w:sz w:val="18"/>
            </w:rPr>
            <w:t xml:space="preserve"> </w:t>
          </w:r>
        </w:p>
        <w:p w14:paraId="3B00BDE0" w14:textId="68097F96" w:rsidR="00F14AB6" w:rsidRPr="00EC35B0" w:rsidRDefault="00F14AB6" w:rsidP="00F14AB6">
          <w:pPr>
            <w:pStyle w:val="DisclaimerHeading"/>
            <w:ind w:left="0"/>
            <w:rPr>
              <w:sz w:val="18"/>
              <w:szCs w:val="18"/>
            </w:rPr>
          </w:pPr>
          <w:r w:rsidRPr="00EC35B0">
            <w:rPr>
              <w:sz w:val="18"/>
              <w:szCs w:val="18"/>
            </w:rPr>
            <w:t xml:space="preserve">Evaluators: Bridgette Hargreave, Jamos McAlester, Niki Walters, Elize Wium and Kevin Yao </w:t>
          </w:r>
        </w:p>
        <w:p w14:paraId="2680FFD6" w14:textId="77777777" w:rsidR="00F14AB6" w:rsidRPr="00EC35B0" w:rsidRDefault="00F14AB6" w:rsidP="00F14AB6">
          <w:pPr>
            <w:pStyle w:val="DisclaimerandAcknowledgement"/>
            <w:rPr>
              <w:sz w:val="18"/>
            </w:rPr>
          </w:pPr>
          <w:r w:rsidRPr="00EC35B0">
            <w:rPr>
              <w:sz w:val="18"/>
            </w:rPr>
            <w:t>The Evaluation Unit would like to acknowledge and thank all stakeholders and programme participants for their cooperation. The unit is grateful for the assistance provided by the Community, Small Business and International Science Branch in AusIndustry, and the Energy Division in the Department of Environment and Energy, whose efforts contributed to the accuracy and quality of the report.</w:t>
          </w:r>
        </w:p>
        <w:p w14:paraId="3DE376D4" w14:textId="77777777" w:rsidR="00F14AB6" w:rsidRPr="00EC35B0" w:rsidRDefault="00F14AB6" w:rsidP="00F14AB6">
          <w:pPr>
            <w:pStyle w:val="DisclaimerHeading"/>
            <w:ind w:left="0"/>
            <w:rPr>
              <w:sz w:val="18"/>
              <w:szCs w:val="18"/>
            </w:rPr>
          </w:pPr>
          <w:r w:rsidRPr="00EC35B0">
            <w:rPr>
              <w:sz w:val="18"/>
              <w:szCs w:val="18"/>
            </w:rPr>
            <w:t>Disclaimer</w:t>
          </w:r>
        </w:p>
        <w:p w14:paraId="5A5284CC" w14:textId="77777777" w:rsidR="00F14AB6" w:rsidRPr="00EC35B0" w:rsidRDefault="00F14AB6" w:rsidP="00F14AB6">
          <w:pPr>
            <w:pStyle w:val="DisclaimerandAcknowledgement"/>
            <w:rPr>
              <w:sz w:val="18"/>
            </w:rPr>
          </w:pPr>
          <w:r w:rsidRPr="00EC35B0">
            <w:rPr>
              <w:sz w:val="18"/>
            </w:rPr>
            <w:t>The views expressed in this report are those of the author(s) and do not necessarily reflect those of the Australian Government or the Department of Industry, Innovation and Science.</w:t>
          </w:r>
        </w:p>
        <w:p w14:paraId="2ABD6186" w14:textId="77777777" w:rsidR="00F14AB6" w:rsidRPr="00EC35B0" w:rsidRDefault="00F14AB6" w:rsidP="00F14AB6">
          <w:pPr>
            <w:pStyle w:val="DisclaimerandAcknowledgement"/>
            <w:rPr>
              <w:sz w:val="18"/>
            </w:rPr>
          </w:pPr>
          <w:r w:rsidRPr="00EC35B0">
            <w:rPr>
              <w:sz w:val="18"/>
            </w:rPr>
            <w:sym w:font="Symbol" w:char="F0D3"/>
          </w:r>
          <w:r w:rsidRPr="00EC35B0">
            <w:rPr>
              <w:sz w:val="18"/>
            </w:rPr>
            <w:t xml:space="preserve"> Commonwealth of Australia 2017. </w:t>
          </w:r>
        </w:p>
        <w:p w14:paraId="3E531C3C" w14:textId="77777777" w:rsidR="00F14AB6" w:rsidRPr="00EC35B0" w:rsidRDefault="00F14AB6" w:rsidP="00F14AB6">
          <w:pPr>
            <w:pStyle w:val="DisclaimerandAcknowledgement"/>
            <w:rPr>
              <w:rStyle w:val="HyperlinkStyleChar"/>
              <w:sz w:val="18"/>
              <w:szCs w:val="18"/>
            </w:rPr>
          </w:pPr>
          <w:r w:rsidRPr="00EC35B0">
            <w:rPr>
              <w:rFonts w:ascii="inherit" w:hAnsi="inherit"/>
              <w:noProof/>
              <w:sz w:val="18"/>
              <w:lang w:val="en-AU" w:eastAsia="en-AU"/>
            </w:rPr>
            <w:drawing>
              <wp:anchor distT="0" distB="0" distL="114300" distR="114300" simplePos="0" relativeHeight="251663360" behindDoc="0" locked="0" layoutInCell="1" allowOverlap="1" wp14:anchorId="54206CDB" wp14:editId="7AFCE79E">
                <wp:simplePos x="0" y="0"/>
                <wp:positionH relativeFrom="margin">
                  <wp:align>left</wp:align>
                </wp:positionH>
                <wp:positionV relativeFrom="paragraph">
                  <wp:posOffset>985776</wp:posOffset>
                </wp:positionV>
                <wp:extent cx="1189355" cy="407035"/>
                <wp:effectExtent l="0" t="0" r="0" b="0"/>
                <wp:wrapTopAndBottom/>
                <wp:docPr id="7" name="Picture 7"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9355" cy="40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5B0">
            <w:rPr>
              <w:sz w:val="18"/>
            </w:rPr>
            <w:t xml:space="preserve">This work is copyright. Apart from use under Copyright Act 1968, no part may be reproduced or altered by any process without prior written permission from the Australian Government. Requests and inquiries concerning reproduction and rights should be addressed to </w:t>
          </w:r>
          <w:hyperlink r:id="rId22" w:history="1">
            <w:r w:rsidRPr="00EC35B0">
              <w:rPr>
                <w:rStyle w:val="Hyperlink"/>
                <w:sz w:val="18"/>
              </w:rPr>
              <w:t>chiefeconomist@industry.gov.au</w:t>
            </w:r>
          </w:hyperlink>
          <w:r w:rsidRPr="00EC35B0">
            <w:rPr>
              <w:rFonts w:cstheme="minorHAnsi"/>
              <w:color w:val="666666"/>
              <w:sz w:val="18"/>
            </w:rPr>
            <w:t>.</w:t>
          </w:r>
          <w:r w:rsidRPr="00EC35B0">
            <w:rPr>
              <w:rFonts w:ascii="Tahoma" w:hAnsi="Tahoma" w:cs="Tahoma"/>
              <w:color w:val="666666"/>
              <w:sz w:val="18"/>
            </w:rPr>
            <w:t> </w:t>
          </w:r>
          <w:r w:rsidRPr="00EC35B0">
            <w:rPr>
              <w:sz w:val="18"/>
            </w:rPr>
            <w:t xml:space="preserve">For more information on Office of the Chief Economist research papers please access the Department’s website at: </w:t>
          </w:r>
          <w:hyperlink r:id="rId23" w:tooltip="www.industry.gov.au/OCE" w:history="1">
            <w:r w:rsidRPr="00EC35B0">
              <w:rPr>
                <w:rStyle w:val="Hyperlink"/>
                <w:sz w:val="18"/>
              </w:rPr>
              <w:t>www.industry.gov.au/OCE</w:t>
            </w:r>
          </w:hyperlink>
        </w:p>
        <w:p w14:paraId="156EF960" w14:textId="77777777" w:rsidR="00F14AB6" w:rsidRPr="00EC35B0" w:rsidRDefault="00F14AB6" w:rsidP="00F14AB6">
          <w:pPr>
            <w:pStyle w:val="CreativeCommonsLicence"/>
            <w:ind w:left="0"/>
            <w:rPr>
              <w:rFonts w:eastAsia="Calibri"/>
              <w:sz w:val="18"/>
              <w:szCs w:val="18"/>
            </w:rPr>
          </w:pPr>
          <w:r w:rsidRPr="00EC35B0">
            <w:rPr>
              <w:sz w:val="18"/>
              <w:szCs w:val="18"/>
            </w:rPr>
            <w:t>Creative Commons Licence</w:t>
          </w:r>
        </w:p>
        <w:p w14:paraId="5D61879A" w14:textId="77777777" w:rsidR="00F14AB6" w:rsidRPr="00EC35B0" w:rsidRDefault="00F14AB6" w:rsidP="00F14AB6">
          <w:pPr>
            <w:pStyle w:val="DisclaimerandAcknowledgement"/>
            <w:rPr>
              <w:sz w:val="18"/>
            </w:rPr>
          </w:pPr>
          <w:r w:rsidRPr="00EC35B0">
            <w:rPr>
              <w:sz w:val="18"/>
            </w:rPr>
            <w:t>With the exception of the Coat of Arms, this publication is licensed under a Creative Commons Attribution 3.0 Australia Licence.</w:t>
          </w:r>
        </w:p>
        <w:p w14:paraId="019C13D6" w14:textId="77777777" w:rsidR="00F14AB6" w:rsidRPr="00EC35B0" w:rsidRDefault="00F14AB6" w:rsidP="00F14AB6">
          <w:pPr>
            <w:pStyle w:val="DisclaimerandAcknowledgement"/>
            <w:rPr>
              <w:sz w:val="18"/>
            </w:rPr>
          </w:pPr>
          <w:r w:rsidRPr="00EC35B0">
            <w:rPr>
              <w:sz w:val="18"/>
            </w:rPr>
            <w:t xml:space="preserve">Creative Commons Attribution 3.0 Australia Licence is a standard form license agreement that allows you to copy, distribute, transmit and adapt this publication provided that you attribute the work. A summary of the licence terms is available from </w:t>
          </w:r>
          <w:hyperlink r:id="rId24" w:tooltip="http://creativecommons.org/licenses/by/3.0/au/deed.en" w:history="1">
            <w:r w:rsidRPr="00EC35B0">
              <w:rPr>
                <w:rStyle w:val="Hyperlink"/>
                <w:sz w:val="18"/>
              </w:rPr>
              <w:t>http://creativecommons.org/licenses/by/3.0/au/deed.en</w:t>
            </w:r>
          </w:hyperlink>
          <w:r w:rsidRPr="00EC35B0">
            <w:rPr>
              <w:sz w:val="18"/>
            </w:rPr>
            <w:t xml:space="preserve">. The full licence terms are available from </w:t>
          </w:r>
          <w:hyperlink r:id="rId25" w:tooltip="http://creativecommons.org/licenses/by/3.0/au/legalcode" w:history="1">
            <w:r w:rsidRPr="00EC35B0">
              <w:rPr>
                <w:rStyle w:val="Hyperlink"/>
                <w:sz w:val="18"/>
              </w:rPr>
              <w:t>http://creativecommons.org/licenses/by/3.0/au/legalcode</w:t>
            </w:r>
          </w:hyperlink>
          <w:r w:rsidRPr="00EC35B0">
            <w:rPr>
              <w:sz w:val="18"/>
            </w:rPr>
            <w:t>.</w:t>
          </w:r>
        </w:p>
        <w:p w14:paraId="5BB1BA01" w14:textId="77777777" w:rsidR="00F14AB6" w:rsidRPr="00EC35B0" w:rsidRDefault="00F14AB6" w:rsidP="00F14AB6">
          <w:pPr>
            <w:pStyle w:val="DisclaimerandAcknowledgement"/>
            <w:rPr>
              <w:sz w:val="18"/>
            </w:rPr>
          </w:pPr>
          <w:r w:rsidRPr="00EC35B0">
            <w:rPr>
              <w:sz w:val="18"/>
            </w:rPr>
            <w:t>The Commonwealth’s preference is that you attribute this publication (and any material sourced from it) using the following wording:</w:t>
          </w:r>
        </w:p>
        <w:p w14:paraId="4C399A38" w14:textId="77777777" w:rsidR="00F14AB6" w:rsidRPr="00EC35B0" w:rsidRDefault="00F14AB6" w:rsidP="00F14AB6">
          <w:pPr>
            <w:pStyle w:val="DisclaimerandAcknowledgement"/>
            <w:rPr>
              <w:sz w:val="18"/>
            </w:rPr>
          </w:pPr>
          <w:r w:rsidRPr="00EC35B0">
            <w:rPr>
              <w:sz w:val="18"/>
            </w:rPr>
            <w:t xml:space="preserve">Source: Licensed from the Commonwealth of Australia under a Creative Commons Attribution 3.0 Australia Licence. The Commonwealth of Australia does not necessarily endorse the content of this publication. </w:t>
          </w:r>
        </w:p>
        <w:p w14:paraId="58DE4430" w14:textId="77777777" w:rsidR="001D1EB0" w:rsidRPr="00EC35B0" w:rsidRDefault="001D1EB0" w:rsidP="001D1EB0">
          <w:pPr>
            <w:spacing w:after="200" w:line="276" w:lineRule="auto"/>
            <w:rPr>
              <w:sz w:val="18"/>
              <w:szCs w:val="18"/>
            </w:rPr>
          </w:pPr>
          <w:r w:rsidRPr="00EC35B0">
            <w:rPr>
              <w:sz w:val="18"/>
              <w:szCs w:val="18"/>
            </w:rPr>
            <w:br w:type="page"/>
          </w:r>
        </w:p>
        <w:bookmarkStart w:id="6" w:name="_Toc483236842" w:displacedByCustomXml="next"/>
        <w:bookmarkStart w:id="7" w:name="_Toc480801022" w:displacedByCustomXml="next"/>
        <w:bookmarkStart w:id="8" w:name="_Toc468457642" w:displacedByCustomXml="next"/>
        <w:bookmarkStart w:id="9" w:name="_Toc480963879" w:displacedByCustomXml="next"/>
        <w:sdt>
          <w:sdtPr>
            <w:rPr>
              <w:rFonts w:ascii="Arial" w:eastAsiaTheme="minorHAnsi" w:hAnsi="Arial" w:cstheme="minorBidi"/>
              <w:b w:val="0"/>
              <w:bCs w:val="0"/>
              <w:color w:val="595A5B"/>
              <w:kern w:val="0"/>
              <w:sz w:val="18"/>
              <w:szCs w:val="18"/>
            </w:rPr>
            <w:id w:val="1295558867"/>
            <w:docPartObj>
              <w:docPartGallery w:val="Table of Contents"/>
              <w:docPartUnique/>
            </w:docPartObj>
          </w:sdtPr>
          <w:sdtEndPr>
            <w:rPr>
              <w:rFonts w:asciiTheme="minorHAnsi" w:hAnsiTheme="minorHAnsi"/>
              <w:noProof/>
            </w:rPr>
          </w:sdtEndPr>
          <w:sdtContent>
            <w:p w14:paraId="554C04E4" w14:textId="77777777" w:rsidR="00CB2492" w:rsidRDefault="001D1EB0" w:rsidP="00EC35B0">
              <w:pPr>
                <w:pStyle w:val="Heading1"/>
                <w:numPr>
                  <w:ilvl w:val="0"/>
                  <w:numId w:val="0"/>
                </w:numPr>
                <w:spacing w:line="240" w:lineRule="auto"/>
                <w:rPr>
                  <w:noProof/>
                </w:rPr>
              </w:pPr>
              <w:r w:rsidRPr="00EC35B0">
                <w:rPr>
                  <w:szCs w:val="18"/>
                </w:rPr>
                <w:t>Table of Contents</w:t>
              </w:r>
              <w:bookmarkEnd w:id="5"/>
              <w:bookmarkEnd w:id="9"/>
              <w:bookmarkEnd w:id="8"/>
              <w:bookmarkEnd w:id="7"/>
              <w:bookmarkEnd w:id="6"/>
              <w:r w:rsidRPr="00EC35B0">
                <w:rPr>
                  <w:color w:val="595A5B" w:themeColor="text2"/>
                  <w:szCs w:val="18"/>
                </w:rPr>
                <w:fldChar w:fldCharType="begin"/>
              </w:r>
              <w:r w:rsidRPr="00EC35B0">
                <w:rPr>
                  <w:color w:val="595A5B" w:themeColor="text2"/>
                  <w:szCs w:val="18"/>
                </w:rPr>
                <w:instrText xml:space="preserve"> TOC \o "1-3" \h \z \u </w:instrText>
              </w:r>
              <w:r w:rsidRPr="00EC35B0">
                <w:rPr>
                  <w:color w:val="595A5B" w:themeColor="text2"/>
                  <w:szCs w:val="18"/>
                </w:rPr>
                <w:fldChar w:fldCharType="separate"/>
              </w:r>
            </w:p>
            <w:p w14:paraId="60648973" w14:textId="77777777" w:rsidR="00CB2492" w:rsidRPr="00CB2492" w:rsidRDefault="006E7B34">
              <w:pPr>
                <w:pStyle w:val="TOC1"/>
                <w:rPr>
                  <w:rFonts w:eastAsiaTheme="minorEastAsia"/>
                  <w:b w:val="0"/>
                  <w:color w:val="595A5B" w:themeColor="text2"/>
                  <w:sz w:val="18"/>
                  <w:szCs w:val="22"/>
                  <w:lang w:eastAsia="en-AU"/>
                </w:rPr>
              </w:pPr>
              <w:hyperlink w:anchor="_Toc483236842" w:history="1">
                <w:r w:rsidR="00CB2492" w:rsidRPr="00CB2492">
                  <w:rPr>
                    <w:rStyle w:val="Hyperlink"/>
                    <w:color w:val="595A5B" w:themeColor="text2"/>
                    <w:sz w:val="18"/>
                  </w:rPr>
                  <w:t>Table of Contents</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_Toc483236842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II</w:t>
                </w:r>
                <w:r w:rsidR="00CB2492" w:rsidRPr="00CB2492">
                  <w:rPr>
                    <w:webHidden/>
                    <w:color w:val="595A5B" w:themeColor="text2"/>
                    <w:sz w:val="18"/>
                  </w:rPr>
                  <w:fldChar w:fldCharType="end"/>
                </w:r>
              </w:hyperlink>
            </w:p>
            <w:p w14:paraId="0BF9ECD4" w14:textId="77777777" w:rsidR="00CB2492" w:rsidRPr="00CB2492" w:rsidRDefault="006E7B34">
              <w:pPr>
                <w:pStyle w:val="TOC1"/>
                <w:rPr>
                  <w:rFonts w:eastAsiaTheme="minorEastAsia"/>
                  <w:b w:val="0"/>
                  <w:color w:val="595A5B" w:themeColor="text2"/>
                  <w:sz w:val="18"/>
                  <w:szCs w:val="22"/>
                  <w:lang w:eastAsia="en-AU"/>
                </w:rPr>
              </w:pPr>
              <w:hyperlink w:anchor="_Toc483236843" w:history="1">
                <w:r w:rsidR="00CB2492" w:rsidRPr="00CB2492">
                  <w:rPr>
                    <w:rStyle w:val="Hyperlink"/>
                    <w:color w:val="595A5B" w:themeColor="text2"/>
                    <w:sz w:val="18"/>
                  </w:rPr>
                  <w:t>1.</w:t>
                </w:r>
                <w:r w:rsidR="00CB2492" w:rsidRPr="00CB2492">
                  <w:rPr>
                    <w:rFonts w:eastAsiaTheme="minorEastAsia"/>
                    <w:b w:val="0"/>
                    <w:color w:val="595A5B" w:themeColor="text2"/>
                    <w:sz w:val="18"/>
                    <w:szCs w:val="22"/>
                    <w:lang w:eastAsia="en-AU"/>
                  </w:rPr>
                  <w:tab/>
                </w:r>
                <w:r w:rsidR="00CB2492" w:rsidRPr="00CB2492">
                  <w:rPr>
                    <w:rStyle w:val="Hyperlink"/>
                    <w:color w:val="595A5B" w:themeColor="text2"/>
                    <w:sz w:val="18"/>
                  </w:rPr>
                  <w:t>Executive Summary</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_Toc483236843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1</w:t>
                </w:r>
                <w:r w:rsidR="00CB2492" w:rsidRPr="00CB2492">
                  <w:rPr>
                    <w:webHidden/>
                    <w:color w:val="595A5B" w:themeColor="text2"/>
                    <w:sz w:val="18"/>
                  </w:rPr>
                  <w:fldChar w:fldCharType="end"/>
                </w:r>
              </w:hyperlink>
            </w:p>
            <w:p w14:paraId="0DFF31A6" w14:textId="77777777" w:rsidR="00CB2492" w:rsidRPr="00CB2492" w:rsidRDefault="006E7B34">
              <w:pPr>
                <w:pStyle w:val="TOC2"/>
                <w:rPr>
                  <w:rFonts w:eastAsiaTheme="minorEastAsia"/>
                  <w:color w:val="595A5B" w:themeColor="text2"/>
                  <w:sz w:val="18"/>
                  <w:lang w:eastAsia="en-AU"/>
                </w:rPr>
              </w:pPr>
              <w:hyperlink w:anchor="_Toc483236844" w:history="1">
                <w:r w:rsidR="00CB2492" w:rsidRPr="00CB2492">
                  <w:rPr>
                    <w:rStyle w:val="Hyperlink"/>
                    <w:color w:val="595A5B" w:themeColor="text2"/>
                    <w:sz w:val="18"/>
                  </w:rPr>
                  <w:t>1.1</w:t>
                </w:r>
                <w:r w:rsidR="00CB2492" w:rsidRPr="00CB2492">
                  <w:rPr>
                    <w:rFonts w:eastAsiaTheme="minorEastAsia"/>
                    <w:color w:val="595A5B" w:themeColor="text2"/>
                    <w:sz w:val="18"/>
                    <w:lang w:eastAsia="en-AU"/>
                  </w:rPr>
                  <w:tab/>
                </w:r>
                <w:r w:rsidR="00CB2492" w:rsidRPr="00CB2492">
                  <w:rPr>
                    <w:rStyle w:val="Hyperlink"/>
                    <w:color w:val="595A5B" w:themeColor="text2"/>
                    <w:sz w:val="18"/>
                  </w:rPr>
                  <w:t>The Community Energy Efficiency Program</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_Toc483236844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1</w:t>
                </w:r>
                <w:r w:rsidR="00CB2492" w:rsidRPr="00CB2492">
                  <w:rPr>
                    <w:webHidden/>
                    <w:color w:val="595A5B" w:themeColor="text2"/>
                    <w:sz w:val="18"/>
                  </w:rPr>
                  <w:fldChar w:fldCharType="end"/>
                </w:r>
              </w:hyperlink>
            </w:p>
            <w:p w14:paraId="12205C5D" w14:textId="77777777" w:rsidR="00CB2492" w:rsidRPr="00CB2492" w:rsidRDefault="006E7B34">
              <w:pPr>
                <w:pStyle w:val="TOC2"/>
                <w:rPr>
                  <w:rFonts w:eastAsiaTheme="minorEastAsia"/>
                  <w:color w:val="595A5B" w:themeColor="text2"/>
                  <w:sz w:val="18"/>
                  <w:lang w:eastAsia="en-AU"/>
                </w:rPr>
              </w:pPr>
              <w:hyperlink w:anchor="_Toc483236845" w:history="1">
                <w:r w:rsidR="00CB2492" w:rsidRPr="00CB2492">
                  <w:rPr>
                    <w:rStyle w:val="Hyperlink"/>
                    <w:color w:val="595A5B" w:themeColor="text2"/>
                    <w:sz w:val="18"/>
                  </w:rPr>
                  <w:t>1.2</w:t>
                </w:r>
                <w:r w:rsidR="00CB2492" w:rsidRPr="00CB2492">
                  <w:rPr>
                    <w:rFonts w:eastAsiaTheme="minorEastAsia"/>
                    <w:color w:val="595A5B" w:themeColor="text2"/>
                    <w:sz w:val="18"/>
                    <w:lang w:eastAsia="en-AU"/>
                  </w:rPr>
                  <w:tab/>
                </w:r>
                <w:r w:rsidR="00CB2492" w:rsidRPr="00CB2492">
                  <w:rPr>
                    <w:rStyle w:val="Hyperlink"/>
                    <w:color w:val="595A5B" w:themeColor="text2"/>
                    <w:sz w:val="18"/>
                  </w:rPr>
                  <w:t xml:space="preserve">Appropriateness </w:t>
                </w:r>
                <w:r w:rsidR="00CB2492" w:rsidRPr="00CB2492">
                  <w:rPr>
                    <w:rStyle w:val="Hyperlink"/>
                    <w:rFonts w:cstheme="majorHAnsi"/>
                    <w:color w:val="595A5B" w:themeColor="text2"/>
                    <w:sz w:val="18"/>
                  </w:rPr>
                  <w:t>—</w:t>
                </w:r>
                <w:r w:rsidR="00CB2492" w:rsidRPr="00CB2492">
                  <w:rPr>
                    <w:rStyle w:val="Hyperlink"/>
                    <w:color w:val="595A5B" w:themeColor="text2"/>
                    <w:sz w:val="18"/>
                  </w:rPr>
                  <w:t xml:space="preserve"> Policy Intent</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_Toc483236845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2</w:t>
                </w:r>
                <w:r w:rsidR="00CB2492" w:rsidRPr="00CB2492">
                  <w:rPr>
                    <w:webHidden/>
                    <w:color w:val="595A5B" w:themeColor="text2"/>
                    <w:sz w:val="18"/>
                  </w:rPr>
                  <w:fldChar w:fldCharType="end"/>
                </w:r>
              </w:hyperlink>
            </w:p>
            <w:p w14:paraId="7E8411F4" w14:textId="77777777" w:rsidR="00CB2492" w:rsidRPr="00CB2492" w:rsidRDefault="006E7B34">
              <w:pPr>
                <w:pStyle w:val="TOC2"/>
                <w:rPr>
                  <w:rFonts w:eastAsiaTheme="minorEastAsia"/>
                  <w:color w:val="595A5B" w:themeColor="text2"/>
                  <w:sz w:val="18"/>
                  <w:lang w:eastAsia="en-AU"/>
                </w:rPr>
              </w:pPr>
              <w:hyperlink w:anchor="_Toc483236846" w:history="1">
                <w:r w:rsidR="00CB2492" w:rsidRPr="00CB2492">
                  <w:rPr>
                    <w:rStyle w:val="Hyperlink"/>
                    <w:color w:val="595A5B" w:themeColor="text2"/>
                    <w:sz w:val="18"/>
                  </w:rPr>
                  <w:t>1.3</w:t>
                </w:r>
                <w:r w:rsidR="00CB2492" w:rsidRPr="00CB2492">
                  <w:rPr>
                    <w:rFonts w:eastAsiaTheme="minorEastAsia"/>
                    <w:color w:val="595A5B" w:themeColor="text2"/>
                    <w:sz w:val="18"/>
                    <w:lang w:eastAsia="en-AU"/>
                  </w:rPr>
                  <w:tab/>
                </w:r>
                <w:r w:rsidR="00CB2492" w:rsidRPr="00CB2492">
                  <w:rPr>
                    <w:rStyle w:val="Hyperlink"/>
                    <w:color w:val="595A5B" w:themeColor="text2"/>
                    <w:sz w:val="18"/>
                  </w:rPr>
                  <w:t>Effectiveness – Programme Impact</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_Toc483236846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3</w:t>
                </w:r>
                <w:r w:rsidR="00CB2492" w:rsidRPr="00CB2492">
                  <w:rPr>
                    <w:webHidden/>
                    <w:color w:val="595A5B" w:themeColor="text2"/>
                    <w:sz w:val="18"/>
                  </w:rPr>
                  <w:fldChar w:fldCharType="end"/>
                </w:r>
              </w:hyperlink>
            </w:p>
            <w:p w14:paraId="2BB1CA5C" w14:textId="77777777" w:rsidR="00CB2492" w:rsidRPr="00CB2492" w:rsidRDefault="006E7B34">
              <w:pPr>
                <w:pStyle w:val="TOC2"/>
                <w:rPr>
                  <w:rFonts w:eastAsiaTheme="minorEastAsia"/>
                  <w:color w:val="595A5B" w:themeColor="text2"/>
                  <w:sz w:val="18"/>
                  <w:lang w:eastAsia="en-AU"/>
                </w:rPr>
              </w:pPr>
              <w:hyperlink w:anchor="_Toc483236847" w:history="1">
                <w:r w:rsidR="00CB2492" w:rsidRPr="00CB2492">
                  <w:rPr>
                    <w:rStyle w:val="Hyperlink"/>
                    <w:color w:val="595A5B" w:themeColor="text2"/>
                    <w:sz w:val="18"/>
                  </w:rPr>
                  <w:t>1.4</w:t>
                </w:r>
                <w:r w:rsidR="00CB2492" w:rsidRPr="00CB2492">
                  <w:rPr>
                    <w:rFonts w:eastAsiaTheme="minorEastAsia"/>
                    <w:color w:val="595A5B" w:themeColor="text2"/>
                    <w:sz w:val="18"/>
                    <w:lang w:eastAsia="en-AU"/>
                  </w:rPr>
                  <w:tab/>
                </w:r>
                <w:r w:rsidR="00CB2492" w:rsidRPr="00CB2492">
                  <w:rPr>
                    <w:rStyle w:val="Hyperlink"/>
                    <w:color w:val="595A5B" w:themeColor="text2"/>
                    <w:sz w:val="18"/>
                  </w:rPr>
                  <w:t>Co-benefits</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_Toc483236847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4</w:t>
                </w:r>
                <w:r w:rsidR="00CB2492" w:rsidRPr="00CB2492">
                  <w:rPr>
                    <w:webHidden/>
                    <w:color w:val="595A5B" w:themeColor="text2"/>
                    <w:sz w:val="18"/>
                  </w:rPr>
                  <w:fldChar w:fldCharType="end"/>
                </w:r>
              </w:hyperlink>
            </w:p>
            <w:p w14:paraId="5EACE3B1" w14:textId="77777777" w:rsidR="00CB2492" w:rsidRPr="00CB2492" w:rsidRDefault="006E7B34">
              <w:pPr>
                <w:pStyle w:val="TOC2"/>
                <w:rPr>
                  <w:rFonts w:eastAsiaTheme="minorEastAsia"/>
                  <w:color w:val="595A5B" w:themeColor="text2"/>
                  <w:sz w:val="18"/>
                  <w:lang w:eastAsia="en-AU"/>
                </w:rPr>
              </w:pPr>
              <w:hyperlink w:anchor="_Toc483236848" w:history="1">
                <w:r w:rsidR="00CB2492" w:rsidRPr="00CB2492">
                  <w:rPr>
                    <w:rStyle w:val="Hyperlink"/>
                    <w:color w:val="595A5B" w:themeColor="text2"/>
                    <w:sz w:val="18"/>
                  </w:rPr>
                  <w:t>1.5</w:t>
                </w:r>
                <w:r w:rsidR="00CB2492" w:rsidRPr="00CB2492">
                  <w:rPr>
                    <w:rFonts w:eastAsiaTheme="minorEastAsia"/>
                    <w:color w:val="595A5B" w:themeColor="text2"/>
                    <w:sz w:val="18"/>
                    <w:lang w:eastAsia="en-AU"/>
                  </w:rPr>
                  <w:tab/>
                </w:r>
                <w:r w:rsidR="00CB2492" w:rsidRPr="00CB2492">
                  <w:rPr>
                    <w:rStyle w:val="Hyperlink"/>
                    <w:color w:val="595A5B" w:themeColor="text2"/>
                    <w:sz w:val="18"/>
                  </w:rPr>
                  <w:t>Unintended Consequences</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_Toc483236848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4</w:t>
                </w:r>
                <w:r w:rsidR="00CB2492" w:rsidRPr="00CB2492">
                  <w:rPr>
                    <w:webHidden/>
                    <w:color w:val="595A5B" w:themeColor="text2"/>
                    <w:sz w:val="18"/>
                  </w:rPr>
                  <w:fldChar w:fldCharType="end"/>
                </w:r>
              </w:hyperlink>
            </w:p>
            <w:p w14:paraId="29A7E6F4" w14:textId="77777777" w:rsidR="00CB2492" w:rsidRPr="00CB2492" w:rsidRDefault="006E7B34">
              <w:pPr>
                <w:pStyle w:val="TOC1"/>
                <w:rPr>
                  <w:rFonts w:eastAsiaTheme="minorEastAsia"/>
                  <w:b w:val="0"/>
                  <w:color w:val="595A5B" w:themeColor="text2"/>
                  <w:sz w:val="18"/>
                  <w:szCs w:val="22"/>
                  <w:lang w:eastAsia="en-AU"/>
                </w:rPr>
              </w:pPr>
              <w:hyperlink w:anchor="_Toc483236849" w:history="1">
                <w:r w:rsidR="00CB2492" w:rsidRPr="00CB2492">
                  <w:rPr>
                    <w:rStyle w:val="Hyperlink"/>
                    <w:color w:val="595A5B" w:themeColor="text2"/>
                    <w:sz w:val="18"/>
                  </w:rPr>
                  <w:t>2.</w:t>
                </w:r>
                <w:r w:rsidR="00CB2492" w:rsidRPr="00CB2492">
                  <w:rPr>
                    <w:rFonts w:eastAsiaTheme="minorEastAsia"/>
                    <w:b w:val="0"/>
                    <w:color w:val="595A5B" w:themeColor="text2"/>
                    <w:sz w:val="18"/>
                    <w:szCs w:val="22"/>
                    <w:lang w:eastAsia="en-AU"/>
                  </w:rPr>
                  <w:tab/>
                </w:r>
                <w:r w:rsidR="00CB2492" w:rsidRPr="00CB2492">
                  <w:rPr>
                    <w:rStyle w:val="Hyperlink"/>
                    <w:color w:val="595A5B" w:themeColor="text2"/>
                    <w:sz w:val="18"/>
                  </w:rPr>
                  <w:t>Findings, Recommendations and Lessons Learned</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_Toc483236849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5</w:t>
                </w:r>
                <w:r w:rsidR="00CB2492" w:rsidRPr="00CB2492">
                  <w:rPr>
                    <w:webHidden/>
                    <w:color w:val="595A5B" w:themeColor="text2"/>
                    <w:sz w:val="18"/>
                  </w:rPr>
                  <w:fldChar w:fldCharType="end"/>
                </w:r>
              </w:hyperlink>
            </w:p>
            <w:p w14:paraId="2953D677" w14:textId="77777777" w:rsidR="00CB2492" w:rsidRPr="00CB2492" w:rsidRDefault="006E7B34">
              <w:pPr>
                <w:pStyle w:val="TOC2"/>
                <w:rPr>
                  <w:rFonts w:eastAsiaTheme="minorEastAsia"/>
                  <w:color w:val="595A5B" w:themeColor="text2"/>
                  <w:sz w:val="18"/>
                  <w:lang w:eastAsia="en-AU"/>
                </w:rPr>
              </w:pPr>
              <w:hyperlink w:anchor="_Toc483236850" w:history="1">
                <w:r w:rsidR="00CB2492" w:rsidRPr="00CB2492">
                  <w:rPr>
                    <w:rStyle w:val="Hyperlink"/>
                    <w:rFonts w:eastAsia="Calibri"/>
                    <w:color w:val="595A5B" w:themeColor="text2"/>
                    <w:sz w:val="18"/>
                  </w:rPr>
                  <w:t>2.1</w:t>
                </w:r>
                <w:r w:rsidR="00CB2492" w:rsidRPr="00CB2492">
                  <w:rPr>
                    <w:rFonts w:eastAsiaTheme="minorEastAsia"/>
                    <w:color w:val="595A5B" w:themeColor="text2"/>
                    <w:sz w:val="18"/>
                    <w:lang w:eastAsia="en-AU"/>
                  </w:rPr>
                  <w:tab/>
                </w:r>
                <w:r w:rsidR="00CB2492" w:rsidRPr="00CB2492">
                  <w:rPr>
                    <w:rStyle w:val="Hyperlink"/>
                    <w:rFonts w:eastAsia="Calibri"/>
                    <w:color w:val="595A5B" w:themeColor="text2"/>
                    <w:sz w:val="18"/>
                  </w:rPr>
                  <w:t>Impact Evaluation</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_Toc483236850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5</w:t>
                </w:r>
                <w:r w:rsidR="00CB2492" w:rsidRPr="00CB2492">
                  <w:rPr>
                    <w:webHidden/>
                    <w:color w:val="595A5B" w:themeColor="text2"/>
                    <w:sz w:val="18"/>
                  </w:rPr>
                  <w:fldChar w:fldCharType="end"/>
                </w:r>
              </w:hyperlink>
            </w:p>
            <w:p w14:paraId="10575313" w14:textId="6C01A3B8" w:rsidR="00CB2492" w:rsidRPr="00CB2492" w:rsidRDefault="00CB2492" w:rsidP="00CB2492">
              <w:pPr>
                <w:pStyle w:val="TOC2"/>
                <w:ind w:left="1842" w:hanging="1275"/>
                <w:rPr>
                  <w:rFonts w:eastAsiaTheme="minorEastAsia"/>
                  <w:color w:val="595A5B" w:themeColor="text2"/>
                  <w:sz w:val="18"/>
                  <w:lang w:eastAsia="en-AU"/>
                </w:rPr>
              </w:pPr>
              <w:r w:rsidRPr="00CB2492">
                <w:rPr>
                  <w:rStyle w:val="Hyperlink"/>
                  <w:rFonts w:eastAsia="Calibri"/>
                  <w:color w:val="595A5B" w:themeColor="text2"/>
                  <w:sz w:val="18"/>
                </w:rPr>
                <w:t>2.2</w:t>
              </w:r>
              <w:r w:rsidRPr="00CB2492">
                <w:rPr>
                  <w:rFonts w:eastAsiaTheme="minorEastAsia"/>
                  <w:color w:val="595A5B" w:themeColor="text2"/>
                  <w:sz w:val="18"/>
                  <w:lang w:eastAsia="en-AU"/>
                </w:rPr>
                <w:tab/>
              </w:r>
              <w:r>
                <w:rPr>
                  <w:rFonts w:eastAsiaTheme="minorEastAsia"/>
                  <w:color w:val="595A5B" w:themeColor="text2"/>
                  <w:sz w:val="18"/>
                  <w:lang w:eastAsia="en-AU"/>
                </w:rPr>
                <w:tab/>
              </w:r>
              <w:r w:rsidRPr="00CB2492">
                <w:rPr>
                  <w:rStyle w:val="Hyperlink"/>
                  <w:rFonts w:eastAsia="Calibri"/>
                  <w:color w:val="595A5B" w:themeColor="text2"/>
                  <w:sz w:val="18"/>
                  <w:u w:val="none"/>
                </w:rPr>
                <w:t xml:space="preserve">Governance and Administration Evaluation(advice provided by </w:t>
              </w:r>
              <w:r w:rsidRPr="00CB2492">
                <w:rPr>
                  <w:rStyle w:val="Hyperlink"/>
                  <w:color w:val="595A5B" w:themeColor="text2"/>
                  <w:sz w:val="18"/>
                  <w:u w:val="none"/>
                </w:rPr>
                <w:t>ACIL Allen Consulting)</w:t>
              </w:r>
              <w:r w:rsidRPr="00CB2492">
                <w:rPr>
                  <w:rStyle w:val="Hyperlink"/>
                  <w:color w:val="595A5B" w:themeColor="text2"/>
                  <w:sz w:val="18"/>
                </w:rPr>
                <w:t xml:space="preserve"> – see www.industry.gov.au/OCE for the full report</w:t>
              </w:r>
              <w:r w:rsidRPr="00CB2492">
                <w:rPr>
                  <w:webHidden/>
                  <w:color w:val="595A5B" w:themeColor="text2"/>
                  <w:sz w:val="18"/>
                </w:rPr>
                <w:tab/>
              </w:r>
              <w:r w:rsidRPr="00CB2492">
                <w:rPr>
                  <w:webHidden/>
                  <w:color w:val="595A5B" w:themeColor="text2"/>
                  <w:sz w:val="18"/>
                </w:rPr>
                <w:fldChar w:fldCharType="begin"/>
              </w:r>
              <w:r w:rsidRPr="00CB2492">
                <w:rPr>
                  <w:webHidden/>
                  <w:color w:val="595A5B" w:themeColor="text2"/>
                  <w:sz w:val="18"/>
                </w:rPr>
                <w:instrText xml:space="preserve"> PAGEREF _Toc483236851 \h </w:instrText>
              </w:r>
              <w:r w:rsidRPr="00CB2492">
                <w:rPr>
                  <w:webHidden/>
                  <w:color w:val="595A5B" w:themeColor="text2"/>
                  <w:sz w:val="18"/>
                </w:rPr>
              </w:r>
              <w:r w:rsidRPr="00CB2492">
                <w:rPr>
                  <w:webHidden/>
                  <w:color w:val="595A5B" w:themeColor="text2"/>
                  <w:sz w:val="18"/>
                </w:rPr>
                <w:fldChar w:fldCharType="separate"/>
              </w:r>
              <w:r w:rsidRPr="00CB2492">
                <w:rPr>
                  <w:webHidden/>
                  <w:color w:val="595A5B" w:themeColor="text2"/>
                  <w:sz w:val="18"/>
                </w:rPr>
                <w:t>7</w:t>
              </w:r>
              <w:r w:rsidRPr="00CB2492">
                <w:rPr>
                  <w:webHidden/>
                  <w:color w:val="595A5B" w:themeColor="text2"/>
                  <w:sz w:val="18"/>
                </w:rPr>
                <w:fldChar w:fldCharType="end"/>
              </w:r>
            </w:p>
            <w:p w14:paraId="011AAA17" w14:textId="77777777" w:rsidR="00CB2492" w:rsidRPr="00CB2492" w:rsidRDefault="006E7B34">
              <w:pPr>
                <w:pStyle w:val="TOC2"/>
                <w:rPr>
                  <w:rFonts w:eastAsiaTheme="minorEastAsia"/>
                  <w:color w:val="595A5B" w:themeColor="text2"/>
                  <w:sz w:val="18"/>
                  <w:lang w:eastAsia="en-AU"/>
                </w:rPr>
              </w:pPr>
              <w:hyperlink w:anchor="_Toc483236852" w:history="1">
                <w:r w:rsidR="00CB2492" w:rsidRPr="00CB2492">
                  <w:rPr>
                    <w:rStyle w:val="Hyperlink"/>
                    <w:rFonts w:eastAsia="Calibri"/>
                    <w:color w:val="595A5B" w:themeColor="text2"/>
                    <w:sz w:val="18"/>
                  </w:rPr>
                  <w:t>2.3</w:t>
                </w:r>
                <w:r w:rsidR="00CB2492" w:rsidRPr="00CB2492">
                  <w:rPr>
                    <w:rFonts w:eastAsiaTheme="minorEastAsia"/>
                    <w:color w:val="595A5B" w:themeColor="text2"/>
                    <w:sz w:val="18"/>
                    <w:lang w:eastAsia="en-AU"/>
                  </w:rPr>
                  <w:tab/>
                </w:r>
                <w:r w:rsidR="00CB2492" w:rsidRPr="00CB2492">
                  <w:rPr>
                    <w:rStyle w:val="Hyperlink"/>
                    <w:rFonts w:eastAsia="Calibri"/>
                    <w:color w:val="595A5B" w:themeColor="text2"/>
                    <w:sz w:val="18"/>
                  </w:rPr>
                  <w:t>Lessons Learned</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_Toc483236852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7</w:t>
                </w:r>
                <w:r w:rsidR="00CB2492" w:rsidRPr="00CB2492">
                  <w:rPr>
                    <w:webHidden/>
                    <w:color w:val="595A5B" w:themeColor="text2"/>
                    <w:sz w:val="18"/>
                  </w:rPr>
                  <w:fldChar w:fldCharType="end"/>
                </w:r>
              </w:hyperlink>
            </w:p>
            <w:p w14:paraId="76FBF1F2" w14:textId="77777777" w:rsidR="00CB2492" w:rsidRPr="00CB2492" w:rsidRDefault="006E7B34">
              <w:pPr>
                <w:pStyle w:val="TOC1"/>
                <w:rPr>
                  <w:rFonts w:eastAsiaTheme="minorEastAsia"/>
                  <w:b w:val="0"/>
                  <w:color w:val="595A5B" w:themeColor="text2"/>
                  <w:sz w:val="18"/>
                  <w:szCs w:val="22"/>
                  <w:lang w:eastAsia="en-AU"/>
                </w:rPr>
              </w:pPr>
              <w:hyperlink w:anchor="_Toc483236853" w:history="1">
                <w:r w:rsidR="00CB2492" w:rsidRPr="00CB2492">
                  <w:rPr>
                    <w:rStyle w:val="Hyperlink"/>
                    <w:color w:val="595A5B" w:themeColor="text2"/>
                    <w:sz w:val="18"/>
                  </w:rPr>
                  <w:t>3.</w:t>
                </w:r>
                <w:r w:rsidR="00CB2492" w:rsidRPr="00CB2492">
                  <w:rPr>
                    <w:rFonts w:eastAsiaTheme="minorEastAsia"/>
                    <w:b w:val="0"/>
                    <w:color w:val="595A5B" w:themeColor="text2"/>
                    <w:sz w:val="18"/>
                    <w:szCs w:val="22"/>
                    <w:lang w:eastAsia="en-AU"/>
                  </w:rPr>
                  <w:tab/>
                </w:r>
                <w:r w:rsidR="00CB2492" w:rsidRPr="00CB2492">
                  <w:rPr>
                    <w:rStyle w:val="Hyperlink"/>
                    <w:color w:val="595A5B" w:themeColor="text2"/>
                    <w:sz w:val="18"/>
                  </w:rPr>
                  <w:t>Introduction</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_Toc483236853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9</w:t>
                </w:r>
                <w:r w:rsidR="00CB2492" w:rsidRPr="00CB2492">
                  <w:rPr>
                    <w:webHidden/>
                    <w:color w:val="595A5B" w:themeColor="text2"/>
                    <w:sz w:val="18"/>
                  </w:rPr>
                  <w:fldChar w:fldCharType="end"/>
                </w:r>
              </w:hyperlink>
            </w:p>
            <w:p w14:paraId="3A7DB698" w14:textId="77777777" w:rsidR="00CB2492" w:rsidRPr="00CB2492" w:rsidRDefault="006E7B34">
              <w:pPr>
                <w:pStyle w:val="TOC2"/>
                <w:rPr>
                  <w:rFonts w:eastAsiaTheme="minorEastAsia"/>
                  <w:color w:val="595A5B" w:themeColor="text2"/>
                  <w:sz w:val="18"/>
                  <w:lang w:eastAsia="en-AU"/>
                </w:rPr>
              </w:pPr>
              <w:hyperlink w:anchor="_Toc483236854" w:history="1">
                <w:r w:rsidR="00CB2492" w:rsidRPr="00CB2492">
                  <w:rPr>
                    <w:rStyle w:val="Hyperlink"/>
                    <w:color w:val="595A5B" w:themeColor="text2"/>
                    <w:sz w:val="18"/>
                  </w:rPr>
                  <w:t>3.1</w:t>
                </w:r>
                <w:r w:rsidR="00CB2492" w:rsidRPr="00CB2492">
                  <w:rPr>
                    <w:rFonts w:eastAsiaTheme="minorEastAsia"/>
                    <w:color w:val="595A5B" w:themeColor="text2"/>
                    <w:sz w:val="18"/>
                    <w:lang w:eastAsia="en-AU"/>
                  </w:rPr>
                  <w:tab/>
                </w:r>
                <w:r w:rsidR="00CB2492" w:rsidRPr="00CB2492">
                  <w:rPr>
                    <w:rStyle w:val="Hyperlink"/>
                    <w:color w:val="595A5B" w:themeColor="text2"/>
                    <w:sz w:val="18"/>
                  </w:rPr>
                  <w:t>The Programme Objectives</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_Toc483236854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9</w:t>
                </w:r>
                <w:r w:rsidR="00CB2492" w:rsidRPr="00CB2492">
                  <w:rPr>
                    <w:webHidden/>
                    <w:color w:val="595A5B" w:themeColor="text2"/>
                    <w:sz w:val="18"/>
                  </w:rPr>
                  <w:fldChar w:fldCharType="end"/>
                </w:r>
              </w:hyperlink>
            </w:p>
            <w:p w14:paraId="03D2B6F8" w14:textId="77777777" w:rsidR="00CB2492" w:rsidRPr="00CB2492" w:rsidRDefault="006E7B34">
              <w:pPr>
                <w:pStyle w:val="TOC2"/>
                <w:rPr>
                  <w:rFonts w:eastAsiaTheme="minorEastAsia"/>
                  <w:color w:val="595A5B" w:themeColor="text2"/>
                  <w:sz w:val="18"/>
                  <w:lang w:eastAsia="en-AU"/>
                </w:rPr>
              </w:pPr>
              <w:hyperlink w:anchor="_Toc483236855" w:history="1">
                <w:r w:rsidR="00CB2492" w:rsidRPr="00CB2492">
                  <w:rPr>
                    <w:rStyle w:val="Hyperlink"/>
                    <w:color w:val="595A5B" w:themeColor="text2"/>
                    <w:sz w:val="18"/>
                  </w:rPr>
                  <w:t>3.2</w:t>
                </w:r>
                <w:r w:rsidR="00CB2492" w:rsidRPr="00CB2492">
                  <w:rPr>
                    <w:rFonts w:eastAsiaTheme="minorEastAsia"/>
                    <w:color w:val="595A5B" w:themeColor="text2"/>
                    <w:sz w:val="18"/>
                    <w:lang w:eastAsia="en-AU"/>
                  </w:rPr>
                  <w:tab/>
                </w:r>
                <w:r w:rsidR="00CB2492" w:rsidRPr="00CB2492">
                  <w:rPr>
                    <w:rStyle w:val="Hyperlink"/>
                    <w:color w:val="595A5B" w:themeColor="text2"/>
                    <w:sz w:val="18"/>
                  </w:rPr>
                  <w:t>Project Funding</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_Toc483236855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9</w:t>
                </w:r>
                <w:r w:rsidR="00CB2492" w:rsidRPr="00CB2492">
                  <w:rPr>
                    <w:webHidden/>
                    <w:color w:val="595A5B" w:themeColor="text2"/>
                    <w:sz w:val="18"/>
                  </w:rPr>
                  <w:fldChar w:fldCharType="end"/>
                </w:r>
              </w:hyperlink>
            </w:p>
            <w:p w14:paraId="45C20217" w14:textId="77777777" w:rsidR="00CB2492" w:rsidRPr="00CB2492" w:rsidRDefault="006E7B34">
              <w:pPr>
                <w:pStyle w:val="TOC2"/>
                <w:rPr>
                  <w:rFonts w:eastAsiaTheme="minorEastAsia"/>
                  <w:color w:val="595A5B" w:themeColor="text2"/>
                  <w:sz w:val="18"/>
                  <w:lang w:eastAsia="en-AU"/>
                </w:rPr>
              </w:pPr>
              <w:hyperlink w:anchor="_Toc483236856" w:history="1">
                <w:r w:rsidR="00CB2492" w:rsidRPr="00CB2492">
                  <w:rPr>
                    <w:rStyle w:val="Hyperlink"/>
                    <w:color w:val="595A5B" w:themeColor="text2"/>
                    <w:sz w:val="18"/>
                  </w:rPr>
                  <w:t>3.3</w:t>
                </w:r>
                <w:r w:rsidR="00CB2492" w:rsidRPr="00CB2492">
                  <w:rPr>
                    <w:rFonts w:eastAsiaTheme="minorEastAsia"/>
                    <w:color w:val="595A5B" w:themeColor="text2"/>
                    <w:sz w:val="18"/>
                    <w:lang w:eastAsia="en-AU"/>
                  </w:rPr>
                  <w:tab/>
                </w:r>
                <w:r w:rsidR="00CB2492" w:rsidRPr="00CB2492">
                  <w:rPr>
                    <w:rStyle w:val="Hyperlink"/>
                    <w:color w:val="595A5B" w:themeColor="text2"/>
                    <w:sz w:val="18"/>
                  </w:rPr>
                  <w:t>Assessment Process</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_Toc483236856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10</w:t>
                </w:r>
                <w:r w:rsidR="00CB2492" w:rsidRPr="00CB2492">
                  <w:rPr>
                    <w:webHidden/>
                    <w:color w:val="595A5B" w:themeColor="text2"/>
                    <w:sz w:val="18"/>
                  </w:rPr>
                  <w:fldChar w:fldCharType="end"/>
                </w:r>
              </w:hyperlink>
            </w:p>
            <w:p w14:paraId="3ED6F676" w14:textId="77777777" w:rsidR="00CB2492" w:rsidRPr="00CB2492" w:rsidRDefault="006E7B34">
              <w:pPr>
                <w:pStyle w:val="TOC2"/>
                <w:rPr>
                  <w:rFonts w:eastAsiaTheme="minorEastAsia"/>
                  <w:color w:val="595A5B" w:themeColor="text2"/>
                  <w:sz w:val="18"/>
                  <w:lang w:eastAsia="en-AU"/>
                </w:rPr>
              </w:pPr>
              <w:hyperlink w:anchor="_Toc483236857" w:history="1">
                <w:r w:rsidR="00CB2492" w:rsidRPr="00CB2492">
                  <w:rPr>
                    <w:rStyle w:val="Hyperlink"/>
                    <w:color w:val="595A5B" w:themeColor="text2"/>
                    <w:sz w:val="18"/>
                  </w:rPr>
                  <w:t>3.4</w:t>
                </w:r>
                <w:r w:rsidR="00CB2492" w:rsidRPr="00CB2492">
                  <w:rPr>
                    <w:rFonts w:eastAsiaTheme="minorEastAsia"/>
                    <w:color w:val="595A5B" w:themeColor="text2"/>
                    <w:sz w:val="18"/>
                    <w:lang w:eastAsia="en-AU"/>
                  </w:rPr>
                  <w:tab/>
                </w:r>
                <w:r w:rsidR="00CB2492" w:rsidRPr="00CB2492">
                  <w:rPr>
                    <w:rStyle w:val="Hyperlink"/>
                    <w:color w:val="595A5B" w:themeColor="text2"/>
                    <w:sz w:val="18"/>
                  </w:rPr>
                  <w:t>Programme Delivery</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_Toc483236857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11</w:t>
                </w:r>
                <w:r w:rsidR="00CB2492" w:rsidRPr="00CB2492">
                  <w:rPr>
                    <w:webHidden/>
                    <w:color w:val="595A5B" w:themeColor="text2"/>
                    <w:sz w:val="18"/>
                  </w:rPr>
                  <w:fldChar w:fldCharType="end"/>
                </w:r>
              </w:hyperlink>
            </w:p>
            <w:p w14:paraId="57B9D8FE" w14:textId="77777777" w:rsidR="00CB2492" w:rsidRPr="00CB2492" w:rsidRDefault="006E7B34">
              <w:pPr>
                <w:pStyle w:val="TOC2"/>
                <w:rPr>
                  <w:rFonts w:eastAsiaTheme="minorEastAsia"/>
                  <w:color w:val="595A5B" w:themeColor="text2"/>
                  <w:sz w:val="18"/>
                  <w:lang w:eastAsia="en-AU"/>
                </w:rPr>
              </w:pPr>
              <w:hyperlink w:anchor="_Toc483236858" w:history="1">
                <w:r w:rsidR="00CB2492" w:rsidRPr="00CB2492">
                  <w:rPr>
                    <w:rStyle w:val="Hyperlink"/>
                    <w:color w:val="595A5B" w:themeColor="text2"/>
                    <w:sz w:val="18"/>
                  </w:rPr>
                  <w:t>3.5</w:t>
                </w:r>
                <w:r w:rsidR="00CB2492" w:rsidRPr="00CB2492">
                  <w:rPr>
                    <w:rFonts w:eastAsiaTheme="minorEastAsia"/>
                    <w:color w:val="595A5B" w:themeColor="text2"/>
                    <w:sz w:val="18"/>
                    <w:lang w:eastAsia="en-AU"/>
                  </w:rPr>
                  <w:tab/>
                </w:r>
                <w:r w:rsidR="00CB2492" w:rsidRPr="00CB2492">
                  <w:rPr>
                    <w:rStyle w:val="Hyperlink"/>
                    <w:color w:val="595A5B" w:themeColor="text2"/>
                    <w:sz w:val="18"/>
                  </w:rPr>
                  <w:t>This Evaluation</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_Toc483236858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12</w:t>
                </w:r>
                <w:r w:rsidR="00CB2492" w:rsidRPr="00CB2492">
                  <w:rPr>
                    <w:webHidden/>
                    <w:color w:val="595A5B" w:themeColor="text2"/>
                    <w:sz w:val="18"/>
                  </w:rPr>
                  <w:fldChar w:fldCharType="end"/>
                </w:r>
              </w:hyperlink>
            </w:p>
            <w:p w14:paraId="10ADD008" w14:textId="77777777" w:rsidR="00CB2492" w:rsidRPr="00CB2492" w:rsidRDefault="006E7B34">
              <w:pPr>
                <w:pStyle w:val="TOC1"/>
                <w:rPr>
                  <w:rFonts w:eastAsiaTheme="minorEastAsia"/>
                  <w:b w:val="0"/>
                  <w:color w:val="595A5B" w:themeColor="text2"/>
                  <w:sz w:val="18"/>
                  <w:szCs w:val="22"/>
                  <w:lang w:eastAsia="en-AU"/>
                </w:rPr>
              </w:pPr>
              <w:hyperlink w:anchor="_Toc483236861" w:history="1">
                <w:r w:rsidR="00CB2492" w:rsidRPr="00CB2492">
                  <w:rPr>
                    <w:rStyle w:val="Hyperlink"/>
                    <w:color w:val="595A5B" w:themeColor="text2"/>
                    <w:sz w:val="18"/>
                  </w:rPr>
                  <w:t>4.</w:t>
                </w:r>
                <w:r w:rsidR="00CB2492" w:rsidRPr="00CB2492">
                  <w:rPr>
                    <w:rFonts w:eastAsiaTheme="minorEastAsia"/>
                    <w:b w:val="0"/>
                    <w:color w:val="595A5B" w:themeColor="text2"/>
                    <w:sz w:val="18"/>
                    <w:szCs w:val="22"/>
                    <w:lang w:eastAsia="en-AU"/>
                  </w:rPr>
                  <w:tab/>
                </w:r>
                <w:r w:rsidR="00CB2492" w:rsidRPr="00CB2492">
                  <w:rPr>
                    <w:rStyle w:val="Hyperlink"/>
                    <w:color w:val="595A5B" w:themeColor="text2"/>
                    <w:sz w:val="18"/>
                  </w:rPr>
                  <w:t>Appropriateness – Policy Intent</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_Toc483236861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14</w:t>
                </w:r>
                <w:r w:rsidR="00CB2492" w:rsidRPr="00CB2492">
                  <w:rPr>
                    <w:webHidden/>
                    <w:color w:val="595A5B" w:themeColor="text2"/>
                    <w:sz w:val="18"/>
                  </w:rPr>
                  <w:fldChar w:fldCharType="end"/>
                </w:r>
              </w:hyperlink>
            </w:p>
            <w:p w14:paraId="771286F0" w14:textId="77777777" w:rsidR="00CB2492" w:rsidRPr="00CB2492" w:rsidRDefault="006E7B34">
              <w:pPr>
                <w:pStyle w:val="TOC2"/>
                <w:rPr>
                  <w:rFonts w:eastAsiaTheme="minorEastAsia"/>
                  <w:color w:val="595A5B" w:themeColor="text2"/>
                  <w:sz w:val="18"/>
                  <w:lang w:eastAsia="en-AU"/>
                </w:rPr>
              </w:pPr>
              <w:hyperlink w:anchor="_Toc483236862" w:history="1">
                <w:r w:rsidR="00CB2492" w:rsidRPr="00CB2492">
                  <w:rPr>
                    <w:rStyle w:val="Hyperlink"/>
                    <w:color w:val="595A5B" w:themeColor="text2"/>
                    <w:sz w:val="18"/>
                  </w:rPr>
                  <w:t>4.1</w:t>
                </w:r>
                <w:r w:rsidR="00CB2492" w:rsidRPr="00CB2492">
                  <w:rPr>
                    <w:rFonts w:eastAsiaTheme="minorEastAsia"/>
                    <w:color w:val="595A5B" w:themeColor="text2"/>
                    <w:sz w:val="18"/>
                    <w:lang w:eastAsia="en-AU"/>
                  </w:rPr>
                  <w:tab/>
                </w:r>
                <w:r w:rsidR="00CB2492" w:rsidRPr="00CB2492">
                  <w:rPr>
                    <w:rStyle w:val="Hyperlink"/>
                    <w:color w:val="595A5B" w:themeColor="text2"/>
                    <w:sz w:val="18"/>
                  </w:rPr>
                  <w:t>Rationale for government intervention</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_Toc483236862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14</w:t>
                </w:r>
                <w:r w:rsidR="00CB2492" w:rsidRPr="00CB2492">
                  <w:rPr>
                    <w:webHidden/>
                    <w:color w:val="595A5B" w:themeColor="text2"/>
                    <w:sz w:val="18"/>
                  </w:rPr>
                  <w:fldChar w:fldCharType="end"/>
                </w:r>
              </w:hyperlink>
            </w:p>
            <w:p w14:paraId="1CCFA2B2" w14:textId="77777777" w:rsidR="00CB2492" w:rsidRPr="00CB2492" w:rsidRDefault="006E7B34">
              <w:pPr>
                <w:pStyle w:val="TOC2"/>
                <w:rPr>
                  <w:rFonts w:eastAsiaTheme="minorEastAsia"/>
                  <w:color w:val="595A5B" w:themeColor="text2"/>
                  <w:sz w:val="18"/>
                  <w:lang w:eastAsia="en-AU"/>
                </w:rPr>
              </w:pPr>
              <w:hyperlink w:anchor="_Toc483236863" w:history="1">
                <w:r w:rsidR="00CB2492" w:rsidRPr="00CB2492">
                  <w:rPr>
                    <w:rStyle w:val="Hyperlink"/>
                    <w:color w:val="595A5B" w:themeColor="text2"/>
                    <w:sz w:val="18"/>
                  </w:rPr>
                  <w:t>4.2</w:t>
                </w:r>
                <w:r w:rsidR="00CB2492" w:rsidRPr="00CB2492">
                  <w:rPr>
                    <w:rFonts w:eastAsiaTheme="minorEastAsia"/>
                    <w:color w:val="595A5B" w:themeColor="text2"/>
                    <w:sz w:val="18"/>
                    <w:lang w:eastAsia="en-AU"/>
                  </w:rPr>
                  <w:tab/>
                </w:r>
                <w:r w:rsidR="00CB2492" w:rsidRPr="00CB2492">
                  <w:rPr>
                    <w:rStyle w:val="Hyperlink"/>
                    <w:color w:val="595A5B" w:themeColor="text2"/>
                    <w:sz w:val="18"/>
                  </w:rPr>
                  <w:t>Consistency with government priorities</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_Toc483236863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14</w:t>
                </w:r>
                <w:r w:rsidR="00CB2492" w:rsidRPr="00CB2492">
                  <w:rPr>
                    <w:webHidden/>
                    <w:color w:val="595A5B" w:themeColor="text2"/>
                    <w:sz w:val="18"/>
                  </w:rPr>
                  <w:fldChar w:fldCharType="end"/>
                </w:r>
              </w:hyperlink>
            </w:p>
            <w:p w14:paraId="64A143BB" w14:textId="77777777" w:rsidR="00CB2492" w:rsidRPr="00CB2492" w:rsidRDefault="006E7B34">
              <w:pPr>
                <w:pStyle w:val="TOC2"/>
                <w:rPr>
                  <w:rFonts w:eastAsiaTheme="minorEastAsia"/>
                  <w:color w:val="595A5B" w:themeColor="text2"/>
                  <w:sz w:val="18"/>
                  <w:lang w:eastAsia="en-AU"/>
                </w:rPr>
              </w:pPr>
              <w:hyperlink w:anchor="_Toc483236864" w:history="1">
                <w:r w:rsidR="00CB2492" w:rsidRPr="00CB2492">
                  <w:rPr>
                    <w:rStyle w:val="Hyperlink"/>
                    <w:color w:val="595A5B" w:themeColor="text2"/>
                    <w:sz w:val="18"/>
                  </w:rPr>
                  <w:t>4.3</w:t>
                </w:r>
                <w:r w:rsidR="00CB2492" w:rsidRPr="00CB2492">
                  <w:rPr>
                    <w:rFonts w:eastAsiaTheme="minorEastAsia"/>
                    <w:color w:val="595A5B" w:themeColor="text2"/>
                    <w:sz w:val="18"/>
                    <w:lang w:eastAsia="en-AU"/>
                  </w:rPr>
                  <w:tab/>
                </w:r>
                <w:r w:rsidR="00CB2492" w:rsidRPr="00CB2492">
                  <w:rPr>
                    <w:rStyle w:val="Hyperlink"/>
                    <w:color w:val="595A5B" w:themeColor="text2"/>
                    <w:sz w:val="18"/>
                  </w:rPr>
                  <w:t>Conclusion and findings</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_Toc483236864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15</w:t>
                </w:r>
                <w:r w:rsidR="00CB2492" w:rsidRPr="00CB2492">
                  <w:rPr>
                    <w:webHidden/>
                    <w:color w:val="595A5B" w:themeColor="text2"/>
                    <w:sz w:val="18"/>
                  </w:rPr>
                  <w:fldChar w:fldCharType="end"/>
                </w:r>
              </w:hyperlink>
            </w:p>
            <w:p w14:paraId="19B03833" w14:textId="77777777" w:rsidR="00CB2492" w:rsidRPr="00CB2492" w:rsidRDefault="006E7B34">
              <w:pPr>
                <w:pStyle w:val="TOC1"/>
                <w:rPr>
                  <w:rFonts w:eastAsiaTheme="minorEastAsia"/>
                  <w:b w:val="0"/>
                  <w:color w:val="595A5B" w:themeColor="text2"/>
                  <w:sz w:val="18"/>
                  <w:szCs w:val="22"/>
                  <w:lang w:eastAsia="en-AU"/>
                </w:rPr>
              </w:pPr>
              <w:hyperlink w:anchor="_Toc483236865" w:history="1">
                <w:r w:rsidR="00CB2492" w:rsidRPr="00CB2492">
                  <w:rPr>
                    <w:rStyle w:val="Hyperlink"/>
                    <w:color w:val="595A5B" w:themeColor="text2"/>
                    <w:sz w:val="18"/>
                  </w:rPr>
                  <w:t>5.</w:t>
                </w:r>
                <w:r w:rsidR="00CB2492" w:rsidRPr="00CB2492">
                  <w:rPr>
                    <w:rFonts w:eastAsiaTheme="minorEastAsia"/>
                    <w:b w:val="0"/>
                    <w:color w:val="595A5B" w:themeColor="text2"/>
                    <w:sz w:val="18"/>
                    <w:szCs w:val="22"/>
                    <w:lang w:eastAsia="en-AU"/>
                  </w:rPr>
                  <w:tab/>
                </w:r>
                <w:r w:rsidR="00CB2492" w:rsidRPr="00CB2492">
                  <w:rPr>
                    <w:rStyle w:val="Hyperlink"/>
                    <w:color w:val="595A5B" w:themeColor="text2"/>
                    <w:sz w:val="18"/>
                  </w:rPr>
                  <w:t>Effectiveness – Programme Impact</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_Toc483236865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17</w:t>
                </w:r>
                <w:r w:rsidR="00CB2492" w:rsidRPr="00CB2492">
                  <w:rPr>
                    <w:webHidden/>
                    <w:color w:val="595A5B" w:themeColor="text2"/>
                    <w:sz w:val="18"/>
                  </w:rPr>
                  <w:fldChar w:fldCharType="end"/>
                </w:r>
              </w:hyperlink>
            </w:p>
            <w:p w14:paraId="1868B926" w14:textId="77777777" w:rsidR="00CB2492" w:rsidRPr="00CB2492" w:rsidRDefault="006E7B34">
              <w:pPr>
                <w:pStyle w:val="TOC2"/>
                <w:rPr>
                  <w:rFonts w:eastAsiaTheme="minorEastAsia"/>
                  <w:color w:val="595A5B" w:themeColor="text2"/>
                  <w:sz w:val="18"/>
                  <w:lang w:eastAsia="en-AU"/>
                </w:rPr>
              </w:pPr>
              <w:hyperlink w:anchor="_Toc483236866" w:history="1">
                <w:r w:rsidR="00CB2492" w:rsidRPr="00CB2492">
                  <w:rPr>
                    <w:rStyle w:val="Hyperlink"/>
                    <w:color w:val="595A5B" w:themeColor="text2"/>
                    <w:sz w:val="18"/>
                  </w:rPr>
                  <w:t>5.1</w:t>
                </w:r>
                <w:r w:rsidR="00CB2492" w:rsidRPr="00CB2492">
                  <w:rPr>
                    <w:rFonts w:eastAsiaTheme="minorEastAsia"/>
                    <w:color w:val="595A5B" w:themeColor="text2"/>
                    <w:sz w:val="18"/>
                    <w:lang w:eastAsia="en-AU"/>
                  </w:rPr>
                  <w:tab/>
                </w:r>
                <w:r w:rsidR="00CB2492" w:rsidRPr="00CB2492">
                  <w:rPr>
                    <w:rStyle w:val="Hyperlink"/>
                    <w:color w:val="595A5B" w:themeColor="text2"/>
                    <w:sz w:val="18"/>
                  </w:rPr>
                  <w:t>Grant Distribution</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_Toc483236866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17</w:t>
                </w:r>
                <w:r w:rsidR="00CB2492" w:rsidRPr="00CB2492">
                  <w:rPr>
                    <w:webHidden/>
                    <w:color w:val="595A5B" w:themeColor="text2"/>
                    <w:sz w:val="18"/>
                  </w:rPr>
                  <w:fldChar w:fldCharType="end"/>
                </w:r>
              </w:hyperlink>
            </w:p>
            <w:p w14:paraId="04939843" w14:textId="77777777" w:rsidR="00CB2492" w:rsidRPr="00CB2492" w:rsidRDefault="006E7B34">
              <w:pPr>
                <w:pStyle w:val="TOC2"/>
                <w:rPr>
                  <w:rFonts w:eastAsiaTheme="minorEastAsia"/>
                  <w:color w:val="595A5B" w:themeColor="text2"/>
                  <w:sz w:val="18"/>
                  <w:lang w:eastAsia="en-AU"/>
                </w:rPr>
              </w:pPr>
              <w:hyperlink w:anchor="_Toc483236867" w:history="1">
                <w:r w:rsidR="00CB2492" w:rsidRPr="00CB2492">
                  <w:rPr>
                    <w:rStyle w:val="Hyperlink"/>
                    <w:color w:val="595A5B" w:themeColor="text2"/>
                    <w:sz w:val="18"/>
                  </w:rPr>
                  <w:t>5.2</w:t>
                </w:r>
                <w:r w:rsidR="00CB2492" w:rsidRPr="00CB2492">
                  <w:rPr>
                    <w:rFonts w:eastAsiaTheme="minorEastAsia"/>
                    <w:color w:val="595A5B" w:themeColor="text2"/>
                    <w:sz w:val="18"/>
                    <w:lang w:eastAsia="en-AU"/>
                  </w:rPr>
                  <w:tab/>
                </w:r>
                <w:r w:rsidR="00CB2492" w:rsidRPr="00CB2492">
                  <w:rPr>
                    <w:rStyle w:val="Hyperlink"/>
                    <w:color w:val="595A5B" w:themeColor="text2"/>
                    <w:sz w:val="18"/>
                  </w:rPr>
                  <w:t>Energy Efficiency</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_Toc483236867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18</w:t>
                </w:r>
                <w:r w:rsidR="00CB2492" w:rsidRPr="00CB2492">
                  <w:rPr>
                    <w:webHidden/>
                    <w:color w:val="595A5B" w:themeColor="text2"/>
                    <w:sz w:val="18"/>
                  </w:rPr>
                  <w:fldChar w:fldCharType="end"/>
                </w:r>
              </w:hyperlink>
            </w:p>
            <w:p w14:paraId="2D44F152" w14:textId="77777777" w:rsidR="00CB2492" w:rsidRPr="00CB2492" w:rsidRDefault="006E7B34">
              <w:pPr>
                <w:pStyle w:val="TOC2"/>
                <w:rPr>
                  <w:rFonts w:eastAsiaTheme="minorEastAsia"/>
                  <w:color w:val="595A5B" w:themeColor="text2"/>
                  <w:sz w:val="18"/>
                  <w:lang w:eastAsia="en-AU"/>
                </w:rPr>
              </w:pPr>
              <w:hyperlink w:anchor="_Toc483236868" w:history="1">
                <w:r w:rsidR="00CB2492" w:rsidRPr="00CB2492">
                  <w:rPr>
                    <w:rStyle w:val="Hyperlink"/>
                    <w:color w:val="595A5B" w:themeColor="text2"/>
                    <w:sz w:val="18"/>
                  </w:rPr>
                  <w:t>5.3</w:t>
                </w:r>
                <w:r w:rsidR="00CB2492" w:rsidRPr="00CB2492">
                  <w:rPr>
                    <w:rFonts w:eastAsiaTheme="minorEastAsia"/>
                    <w:color w:val="595A5B" w:themeColor="text2"/>
                    <w:sz w:val="18"/>
                    <w:lang w:eastAsia="en-AU"/>
                  </w:rPr>
                  <w:tab/>
                </w:r>
                <w:r w:rsidR="00CB2492" w:rsidRPr="00CB2492">
                  <w:rPr>
                    <w:rStyle w:val="Hyperlink"/>
                    <w:color w:val="595A5B" w:themeColor="text2"/>
                    <w:sz w:val="18"/>
                  </w:rPr>
                  <w:t>Technology Types</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_Toc483236868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20</w:t>
                </w:r>
                <w:r w:rsidR="00CB2492" w:rsidRPr="00CB2492">
                  <w:rPr>
                    <w:webHidden/>
                    <w:color w:val="595A5B" w:themeColor="text2"/>
                    <w:sz w:val="18"/>
                  </w:rPr>
                  <w:fldChar w:fldCharType="end"/>
                </w:r>
              </w:hyperlink>
            </w:p>
            <w:p w14:paraId="48EAAC5B" w14:textId="77777777" w:rsidR="00CB2492" w:rsidRPr="00CB2492" w:rsidRDefault="006E7B34">
              <w:pPr>
                <w:pStyle w:val="TOC2"/>
                <w:rPr>
                  <w:rFonts w:eastAsiaTheme="minorEastAsia"/>
                  <w:color w:val="595A5B" w:themeColor="text2"/>
                  <w:sz w:val="18"/>
                  <w:lang w:eastAsia="en-AU"/>
                </w:rPr>
              </w:pPr>
              <w:hyperlink w:anchor="_Toc483236869" w:history="1">
                <w:r w:rsidR="00CB2492" w:rsidRPr="00CB2492">
                  <w:rPr>
                    <w:rStyle w:val="Hyperlink"/>
                    <w:color w:val="595A5B" w:themeColor="text2"/>
                    <w:sz w:val="18"/>
                  </w:rPr>
                  <w:t>5.4</w:t>
                </w:r>
                <w:r w:rsidR="00CB2492" w:rsidRPr="00CB2492">
                  <w:rPr>
                    <w:rFonts w:eastAsiaTheme="minorEastAsia"/>
                    <w:color w:val="595A5B" w:themeColor="text2"/>
                    <w:sz w:val="18"/>
                    <w:lang w:eastAsia="en-AU"/>
                  </w:rPr>
                  <w:tab/>
                </w:r>
                <w:r w:rsidR="00CB2492" w:rsidRPr="00CB2492">
                  <w:rPr>
                    <w:rStyle w:val="Hyperlink"/>
                    <w:color w:val="595A5B" w:themeColor="text2"/>
                    <w:sz w:val="18"/>
                  </w:rPr>
                  <w:t>The Demonstration Effect</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_Toc483236869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22</w:t>
                </w:r>
                <w:r w:rsidR="00CB2492" w:rsidRPr="00CB2492">
                  <w:rPr>
                    <w:webHidden/>
                    <w:color w:val="595A5B" w:themeColor="text2"/>
                    <w:sz w:val="18"/>
                  </w:rPr>
                  <w:fldChar w:fldCharType="end"/>
                </w:r>
              </w:hyperlink>
            </w:p>
            <w:p w14:paraId="6DE30987" w14:textId="77777777" w:rsidR="00CB2492" w:rsidRPr="00CB2492" w:rsidRDefault="006E7B34">
              <w:pPr>
                <w:pStyle w:val="TOC2"/>
                <w:rPr>
                  <w:rFonts w:eastAsiaTheme="minorEastAsia"/>
                  <w:color w:val="595A5B" w:themeColor="text2"/>
                  <w:sz w:val="18"/>
                  <w:lang w:eastAsia="en-AU"/>
                </w:rPr>
              </w:pPr>
              <w:hyperlink w:anchor="_Toc483236870" w:history="1">
                <w:r w:rsidR="00CB2492" w:rsidRPr="00CB2492">
                  <w:rPr>
                    <w:rStyle w:val="Hyperlink"/>
                    <w:color w:val="595A5B" w:themeColor="text2"/>
                    <w:sz w:val="18"/>
                  </w:rPr>
                  <w:t>5.5</w:t>
                </w:r>
                <w:r w:rsidR="00CB2492" w:rsidRPr="00CB2492">
                  <w:rPr>
                    <w:rFonts w:eastAsiaTheme="minorEastAsia"/>
                    <w:color w:val="595A5B" w:themeColor="text2"/>
                    <w:sz w:val="18"/>
                    <w:lang w:eastAsia="en-AU"/>
                  </w:rPr>
                  <w:tab/>
                </w:r>
                <w:r w:rsidR="00CB2492" w:rsidRPr="00CB2492">
                  <w:rPr>
                    <w:rStyle w:val="Hyperlink"/>
                    <w:color w:val="595A5B" w:themeColor="text2"/>
                    <w:sz w:val="18"/>
                  </w:rPr>
                  <w:t>Data Limitations</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_Toc483236870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24</w:t>
                </w:r>
                <w:r w:rsidR="00CB2492" w:rsidRPr="00CB2492">
                  <w:rPr>
                    <w:webHidden/>
                    <w:color w:val="595A5B" w:themeColor="text2"/>
                    <w:sz w:val="18"/>
                  </w:rPr>
                  <w:fldChar w:fldCharType="end"/>
                </w:r>
              </w:hyperlink>
            </w:p>
            <w:p w14:paraId="39F18484" w14:textId="77777777" w:rsidR="00CB2492" w:rsidRPr="00CB2492" w:rsidRDefault="006E7B34">
              <w:pPr>
                <w:pStyle w:val="TOC2"/>
                <w:rPr>
                  <w:rFonts w:eastAsiaTheme="minorEastAsia"/>
                  <w:color w:val="595A5B" w:themeColor="text2"/>
                  <w:sz w:val="18"/>
                  <w:lang w:eastAsia="en-AU"/>
                </w:rPr>
              </w:pPr>
              <w:hyperlink w:anchor="_Toc483236871" w:history="1">
                <w:r w:rsidR="00CB2492" w:rsidRPr="00CB2492">
                  <w:rPr>
                    <w:rStyle w:val="Hyperlink"/>
                    <w:color w:val="595A5B" w:themeColor="text2"/>
                    <w:sz w:val="18"/>
                  </w:rPr>
                  <w:t>5.6</w:t>
                </w:r>
                <w:r w:rsidR="00CB2492" w:rsidRPr="00CB2492">
                  <w:rPr>
                    <w:rFonts w:eastAsiaTheme="minorEastAsia"/>
                    <w:color w:val="595A5B" w:themeColor="text2"/>
                    <w:sz w:val="18"/>
                    <w:lang w:eastAsia="en-AU"/>
                  </w:rPr>
                  <w:tab/>
                </w:r>
                <w:r w:rsidR="00CB2492" w:rsidRPr="00CB2492">
                  <w:rPr>
                    <w:rStyle w:val="Hyperlink"/>
                    <w:color w:val="595A5B" w:themeColor="text2"/>
                    <w:sz w:val="18"/>
                  </w:rPr>
                  <w:t>Conclusion and Findings</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_Toc483236871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24</w:t>
                </w:r>
                <w:r w:rsidR="00CB2492" w:rsidRPr="00CB2492">
                  <w:rPr>
                    <w:webHidden/>
                    <w:color w:val="595A5B" w:themeColor="text2"/>
                    <w:sz w:val="18"/>
                  </w:rPr>
                  <w:fldChar w:fldCharType="end"/>
                </w:r>
              </w:hyperlink>
            </w:p>
            <w:p w14:paraId="01759B31" w14:textId="77777777" w:rsidR="00CB2492" w:rsidRPr="00CB2492" w:rsidRDefault="006E7B34">
              <w:pPr>
                <w:pStyle w:val="TOC1"/>
                <w:rPr>
                  <w:rFonts w:eastAsiaTheme="minorEastAsia"/>
                  <w:b w:val="0"/>
                  <w:color w:val="595A5B" w:themeColor="text2"/>
                  <w:sz w:val="18"/>
                  <w:szCs w:val="22"/>
                  <w:lang w:eastAsia="en-AU"/>
                </w:rPr>
              </w:pPr>
              <w:hyperlink w:anchor="_Toc483236872" w:history="1">
                <w:r w:rsidR="00CB2492" w:rsidRPr="00CB2492">
                  <w:rPr>
                    <w:rStyle w:val="Hyperlink"/>
                    <w:color w:val="595A5B" w:themeColor="text2"/>
                    <w:sz w:val="18"/>
                  </w:rPr>
                  <w:t>6.</w:t>
                </w:r>
                <w:r w:rsidR="00CB2492" w:rsidRPr="00CB2492">
                  <w:rPr>
                    <w:rFonts w:eastAsiaTheme="minorEastAsia"/>
                    <w:b w:val="0"/>
                    <w:color w:val="595A5B" w:themeColor="text2"/>
                    <w:sz w:val="18"/>
                    <w:szCs w:val="22"/>
                    <w:lang w:eastAsia="en-AU"/>
                  </w:rPr>
                  <w:tab/>
                </w:r>
                <w:r w:rsidR="00CB2492" w:rsidRPr="00CB2492">
                  <w:rPr>
                    <w:rStyle w:val="Hyperlink"/>
                    <w:color w:val="595A5B" w:themeColor="text2"/>
                    <w:sz w:val="18"/>
                  </w:rPr>
                  <w:t>Co-benefits</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_Toc483236872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26</w:t>
                </w:r>
                <w:r w:rsidR="00CB2492" w:rsidRPr="00CB2492">
                  <w:rPr>
                    <w:webHidden/>
                    <w:color w:val="595A5B" w:themeColor="text2"/>
                    <w:sz w:val="18"/>
                  </w:rPr>
                  <w:fldChar w:fldCharType="end"/>
                </w:r>
              </w:hyperlink>
            </w:p>
            <w:p w14:paraId="17CF551C" w14:textId="77777777" w:rsidR="00CB2492" w:rsidRPr="00CB2492" w:rsidRDefault="006E7B34">
              <w:pPr>
                <w:pStyle w:val="TOC1"/>
                <w:rPr>
                  <w:rFonts w:eastAsiaTheme="minorEastAsia"/>
                  <w:b w:val="0"/>
                  <w:color w:val="595A5B" w:themeColor="text2"/>
                  <w:sz w:val="18"/>
                  <w:szCs w:val="22"/>
                  <w:lang w:eastAsia="en-AU"/>
                </w:rPr>
              </w:pPr>
              <w:hyperlink w:anchor="_Toc483236873" w:history="1">
                <w:r w:rsidR="00CB2492" w:rsidRPr="00CB2492">
                  <w:rPr>
                    <w:rStyle w:val="Hyperlink"/>
                    <w:color w:val="595A5B" w:themeColor="text2"/>
                    <w:sz w:val="18"/>
                  </w:rPr>
                  <w:t>7.</w:t>
                </w:r>
                <w:r w:rsidR="00CB2492" w:rsidRPr="00CB2492">
                  <w:rPr>
                    <w:rFonts w:eastAsiaTheme="minorEastAsia"/>
                    <w:b w:val="0"/>
                    <w:color w:val="595A5B" w:themeColor="text2"/>
                    <w:sz w:val="18"/>
                    <w:szCs w:val="22"/>
                    <w:lang w:eastAsia="en-AU"/>
                  </w:rPr>
                  <w:tab/>
                </w:r>
                <w:r w:rsidR="00CB2492" w:rsidRPr="00CB2492">
                  <w:rPr>
                    <w:rStyle w:val="Hyperlink"/>
                    <w:color w:val="595A5B" w:themeColor="text2"/>
                    <w:sz w:val="18"/>
                  </w:rPr>
                  <w:t>Unintended Consequences</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_Toc483236873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29</w:t>
                </w:r>
                <w:r w:rsidR="00CB2492" w:rsidRPr="00CB2492">
                  <w:rPr>
                    <w:webHidden/>
                    <w:color w:val="595A5B" w:themeColor="text2"/>
                    <w:sz w:val="18"/>
                  </w:rPr>
                  <w:fldChar w:fldCharType="end"/>
                </w:r>
              </w:hyperlink>
            </w:p>
            <w:p w14:paraId="0800D065" w14:textId="77777777" w:rsidR="00CB2492" w:rsidRPr="00CB2492" w:rsidRDefault="006E7B34">
              <w:pPr>
                <w:pStyle w:val="TOC1"/>
                <w:rPr>
                  <w:rFonts w:eastAsiaTheme="minorEastAsia"/>
                  <w:b w:val="0"/>
                  <w:color w:val="595A5B" w:themeColor="text2"/>
                  <w:sz w:val="18"/>
                  <w:szCs w:val="22"/>
                  <w:lang w:eastAsia="en-AU"/>
                </w:rPr>
              </w:pPr>
              <w:hyperlink w:anchor="_Toc483236874" w:history="1">
                <w:r w:rsidR="00CB2492" w:rsidRPr="00CB2492">
                  <w:rPr>
                    <w:rStyle w:val="Hyperlink"/>
                    <w:color w:val="595A5B" w:themeColor="text2"/>
                    <w:sz w:val="18"/>
                  </w:rPr>
                  <w:t>8.</w:t>
                </w:r>
                <w:r w:rsidR="00CB2492" w:rsidRPr="00CB2492">
                  <w:rPr>
                    <w:rFonts w:eastAsiaTheme="minorEastAsia"/>
                    <w:b w:val="0"/>
                    <w:color w:val="595A5B" w:themeColor="text2"/>
                    <w:sz w:val="18"/>
                    <w:szCs w:val="22"/>
                    <w:lang w:eastAsia="en-AU"/>
                  </w:rPr>
                  <w:tab/>
                </w:r>
                <w:r w:rsidR="00CB2492" w:rsidRPr="00CB2492">
                  <w:rPr>
                    <w:rStyle w:val="Hyperlink"/>
                    <w:color w:val="595A5B" w:themeColor="text2"/>
                    <w:sz w:val="18"/>
                  </w:rPr>
                  <w:t>Governance and Administration</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_Toc483236874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30</w:t>
                </w:r>
                <w:r w:rsidR="00CB2492" w:rsidRPr="00CB2492">
                  <w:rPr>
                    <w:webHidden/>
                    <w:color w:val="595A5B" w:themeColor="text2"/>
                    <w:sz w:val="18"/>
                  </w:rPr>
                  <w:fldChar w:fldCharType="end"/>
                </w:r>
              </w:hyperlink>
            </w:p>
            <w:p w14:paraId="22475AAB" w14:textId="77777777" w:rsidR="00CB2492" w:rsidRPr="00CB2492" w:rsidRDefault="006E7B34">
              <w:pPr>
                <w:pStyle w:val="TOC2"/>
                <w:rPr>
                  <w:rFonts w:eastAsiaTheme="minorEastAsia"/>
                  <w:color w:val="595A5B" w:themeColor="text2"/>
                  <w:sz w:val="18"/>
                  <w:lang w:eastAsia="en-AU"/>
                </w:rPr>
              </w:pPr>
              <w:hyperlink w:anchor="_Toc483236875" w:history="1">
                <w:r w:rsidR="00CB2492" w:rsidRPr="00CB2492">
                  <w:rPr>
                    <w:rStyle w:val="Hyperlink"/>
                    <w:color w:val="595A5B" w:themeColor="text2"/>
                    <w:sz w:val="18"/>
                  </w:rPr>
                  <w:t>8.1</w:t>
                </w:r>
                <w:r w:rsidR="00CB2492" w:rsidRPr="00CB2492">
                  <w:rPr>
                    <w:rFonts w:eastAsiaTheme="minorEastAsia"/>
                    <w:color w:val="595A5B" w:themeColor="text2"/>
                    <w:sz w:val="18"/>
                    <w:lang w:eastAsia="en-AU"/>
                  </w:rPr>
                  <w:tab/>
                </w:r>
                <w:r w:rsidR="00CB2492" w:rsidRPr="00CB2492">
                  <w:rPr>
                    <w:rStyle w:val="Hyperlink"/>
                    <w:color w:val="595A5B" w:themeColor="text2"/>
                    <w:sz w:val="18"/>
                  </w:rPr>
                  <w:t>ACIL Allen Consulting Evaluation</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_Toc483236875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30</w:t>
                </w:r>
                <w:r w:rsidR="00CB2492" w:rsidRPr="00CB2492">
                  <w:rPr>
                    <w:webHidden/>
                    <w:color w:val="595A5B" w:themeColor="text2"/>
                    <w:sz w:val="18"/>
                  </w:rPr>
                  <w:fldChar w:fldCharType="end"/>
                </w:r>
              </w:hyperlink>
            </w:p>
            <w:p w14:paraId="266E1525" w14:textId="77777777" w:rsidR="00CB2492" w:rsidRPr="00CB2492" w:rsidRDefault="006E7B34">
              <w:pPr>
                <w:pStyle w:val="TOC2"/>
                <w:rPr>
                  <w:rFonts w:eastAsiaTheme="minorEastAsia"/>
                  <w:color w:val="595A5B" w:themeColor="text2"/>
                  <w:sz w:val="18"/>
                  <w:lang w:eastAsia="en-AU"/>
                </w:rPr>
              </w:pPr>
              <w:hyperlink w:anchor="_Toc483236876" w:history="1">
                <w:r w:rsidR="00CB2492" w:rsidRPr="00CB2492">
                  <w:rPr>
                    <w:rStyle w:val="Hyperlink"/>
                    <w:color w:val="595A5B" w:themeColor="text2"/>
                    <w:sz w:val="18"/>
                  </w:rPr>
                  <w:t>8.2</w:t>
                </w:r>
                <w:r w:rsidR="00CB2492" w:rsidRPr="00CB2492">
                  <w:rPr>
                    <w:rFonts w:eastAsiaTheme="minorEastAsia"/>
                    <w:color w:val="595A5B" w:themeColor="text2"/>
                    <w:sz w:val="18"/>
                    <w:lang w:eastAsia="en-AU"/>
                  </w:rPr>
                  <w:tab/>
                </w:r>
                <w:r w:rsidR="00CB2492" w:rsidRPr="00CB2492">
                  <w:rPr>
                    <w:rStyle w:val="Hyperlink"/>
                    <w:color w:val="595A5B" w:themeColor="text2"/>
                    <w:sz w:val="18"/>
                  </w:rPr>
                  <w:t>Conclusion and Findings</w:t>
                </w:r>
                <w:r w:rsidR="00CB2492" w:rsidRPr="00CB2492">
                  <w:rPr>
                    <w:webHidden/>
                    <w:color w:val="595A5B" w:themeColor="text2"/>
                    <w:sz w:val="18"/>
                  </w:rPr>
                  <w:tab/>
                </w:r>
                <w:r w:rsidR="00CB2492" w:rsidRPr="00CB2492">
                  <w:rPr>
                    <w:webHidden/>
                    <w:color w:val="595A5B" w:themeColor="text2"/>
                    <w:sz w:val="18"/>
                  </w:rPr>
                  <w:fldChar w:fldCharType="begin"/>
                </w:r>
                <w:r w:rsidR="00CB2492" w:rsidRPr="00CB2492">
                  <w:rPr>
                    <w:webHidden/>
                    <w:color w:val="595A5B" w:themeColor="text2"/>
                    <w:sz w:val="18"/>
                  </w:rPr>
                  <w:instrText xml:space="preserve"> PAGEREF _Toc483236876 \h </w:instrText>
                </w:r>
                <w:r w:rsidR="00CB2492" w:rsidRPr="00CB2492">
                  <w:rPr>
                    <w:webHidden/>
                    <w:color w:val="595A5B" w:themeColor="text2"/>
                    <w:sz w:val="18"/>
                  </w:rPr>
                </w:r>
                <w:r w:rsidR="00CB2492" w:rsidRPr="00CB2492">
                  <w:rPr>
                    <w:webHidden/>
                    <w:color w:val="595A5B" w:themeColor="text2"/>
                    <w:sz w:val="18"/>
                  </w:rPr>
                  <w:fldChar w:fldCharType="separate"/>
                </w:r>
                <w:r w:rsidR="00CB2492" w:rsidRPr="00CB2492">
                  <w:rPr>
                    <w:webHidden/>
                    <w:color w:val="595A5B" w:themeColor="text2"/>
                    <w:sz w:val="18"/>
                  </w:rPr>
                  <w:t>30</w:t>
                </w:r>
                <w:r w:rsidR="00CB2492" w:rsidRPr="00CB2492">
                  <w:rPr>
                    <w:webHidden/>
                    <w:color w:val="595A5B" w:themeColor="text2"/>
                    <w:sz w:val="18"/>
                  </w:rPr>
                  <w:fldChar w:fldCharType="end"/>
                </w:r>
              </w:hyperlink>
            </w:p>
            <w:p w14:paraId="10BF2362" w14:textId="77777777" w:rsidR="001D1EB0" w:rsidRDefault="001D1EB0" w:rsidP="00EC35B0">
              <w:pPr>
                <w:pStyle w:val="BodyText"/>
              </w:pPr>
              <w:r w:rsidRPr="00EC35B0">
                <w:rPr>
                  <w:b/>
                  <w:bCs/>
                  <w:noProof/>
                  <w:color w:val="595A5B" w:themeColor="text2"/>
                  <w:sz w:val="18"/>
                  <w:szCs w:val="18"/>
                </w:rPr>
                <w:fldChar w:fldCharType="end"/>
              </w:r>
            </w:p>
          </w:sdtContent>
        </w:sdt>
      </w:sdtContent>
    </w:sdt>
    <w:p w14:paraId="4F64674A" w14:textId="77777777" w:rsidR="00CB2492" w:rsidRDefault="00CB2492">
      <w:pPr>
        <w:spacing w:after="200" w:line="276" w:lineRule="auto"/>
        <w:rPr>
          <w:rFonts w:ascii="Arial" w:eastAsia="Times New Roman" w:hAnsi="Arial" w:cs="Times New Roman"/>
          <w:b/>
          <w:color w:val="22789A"/>
          <w:kern w:val="32"/>
          <w:sz w:val="32"/>
          <w:szCs w:val="20"/>
        </w:rPr>
      </w:pPr>
      <w:r>
        <w:br w:type="page"/>
      </w:r>
    </w:p>
    <w:p w14:paraId="0FBD2219" w14:textId="24B85A14" w:rsidR="00295AF8" w:rsidRPr="00D8529C" w:rsidRDefault="00295AF8" w:rsidP="00D8529C">
      <w:pPr>
        <w:pStyle w:val="UnnumberedHeading"/>
      </w:pPr>
      <w:r w:rsidRPr="00C044FA">
        <w:t>Glossary</w:t>
      </w:r>
      <w:bookmarkEnd w:id="3"/>
      <w:bookmarkEnd w:id="2"/>
      <w:bookmarkEnd w:id="1"/>
    </w:p>
    <w:tbl>
      <w:tblPr>
        <w:tblW w:w="0" w:type="auto"/>
        <w:tblInd w:w="-3" w:type="dxa"/>
        <w:tblLayout w:type="fixed"/>
        <w:tblLook w:val="01E0" w:firstRow="1" w:lastRow="1" w:firstColumn="1" w:lastColumn="1" w:noHBand="0" w:noVBand="0"/>
      </w:tblPr>
      <w:tblGrid>
        <w:gridCol w:w="993"/>
        <w:gridCol w:w="5648"/>
      </w:tblGrid>
      <w:tr w:rsidR="00532D9C" w:rsidRPr="00C044FA" w14:paraId="309FE3B0" w14:textId="77777777" w:rsidTr="00AE7591">
        <w:trPr>
          <w:trHeight w:val="284"/>
        </w:trPr>
        <w:tc>
          <w:tcPr>
            <w:tcW w:w="993" w:type="dxa"/>
          </w:tcPr>
          <w:p w14:paraId="65D1D519" w14:textId="77777777" w:rsidR="00532D9C" w:rsidRPr="00C044FA" w:rsidRDefault="00532D9C" w:rsidP="00447864">
            <w:pPr>
              <w:pStyle w:val="BodyText"/>
              <w:rPr>
                <w:rFonts w:eastAsia="Calibri" w:cs="Times New Roman"/>
              </w:rPr>
            </w:pPr>
            <w:r>
              <w:t>CPRS</w:t>
            </w:r>
          </w:p>
        </w:tc>
        <w:tc>
          <w:tcPr>
            <w:tcW w:w="5648" w:type="dxa"/>
          </w:tcPr>
          <w:p w14:paraId="3DE90CE1" w14:textId="77777777" w:rsidR="00532D9C" w:rsidRPr="00C044FA" w:rsidRDefault="00532D9C" w:rsidP="00447864">
            <w:pPr>
              <w:pStyle w:val="BodyText"/>
              <w:rPr>
                <w:rFonts w:eastAsia="Calibri" w:cs="Times New Roman"/>
              </w:rPr>
            </w:pPr>
            <w:r w:rsidRPr="00532D9C">
              <w:t>Carbon Pollution Reduction Scheme</w:t>
            </w:r>
            <w:r>
              <w:rPr>
                <w:i/>
              </w:rPr>
              <w:t xml:space="preserve"> </w:t>
            </w:r>
          </w:p>
        </w:tc>
      </w:tr>
      <w:tr w:rsidR="00295AF8" w:rsidRPr="00C044FA" w14:paraId="488B24BA" w14:textId="77777777" w:rsidTr="00AE7591">
        <w:trPr>
          <w:trHeight w:val="284"/>
        </w:trPr>
        <w:tc>
          <w:tcPr>
            <w:tcW w:w="993" w:type="dxa"/>
          </w:tcPr>
          <w:p w14:paraId="00EEA983" w14:textId="77777777" w:rsidR="00295AF8" w:rsidRPr="00C044FA" w:rsidRDefault="00295AF8" w:rsidP="00447864">
            <w:pPr>
              <w:pStyle w:val="BodyText"/>
              <w:rPr>
                <w:rFonts w:eastAsia="Calibri" w:cs="Times New Roman"/>
              </w:rPr>
            </w:pPr>
            <w:r w:rsidRPr="00C044FA">
              <w:rPr>
                <w:rFonts w:eastAsia="Calibri" w:cs="Times New Roman"/>
              </w:rPr>
              <w:t>CEEP</w:t>
            </w:r>
          </w:p>
        </w:tc>
        <w:tc>
          <w:tcPr>
            <w:tcW w:w="5648" w:type="dxa"/>
          </w:tcPr>
          <w:p w14:paraId="5EE9C082" w14:textId="77777777" w:rsidR="00295AF8" w:rsidRPr="00C044FA" w:rsidRDefault="00295AF8" w:rsidP="00447864">
            <w:pPr>
              <w:pStyle w:val="BodyText"/>
              <w:rPr>
                <w:rFonts w:eastAsia="Calibri" w:cs="Times New Roman"/>
              </w:rPr>
            </w:pPr>
            <w:r w:rsidRPr="00C044FA">
              <w:rPr>
                <w:rFonts w:eastAsia="Calibri" w:cs="Times New Roman"/>
              </w:rPr>
              <w:t xml:space="preserve">Community Energy Efficiency </w:t>
            </w:r>
            <w:r w:rsidR="00835A86">
              <w:rPr>
                <w:rFonts w:eastAsia="Calibri" w:cs="Times New Roman"/>
              </w:rPr>
              <w:t>Program</w:t>
            </w:r>
          </w:p>
        </w:tc>
      </w:tr>
      <w:tr w:rsidR="00295AF8" w:rsidRPr="00C044FA" w14:paraId="2BBFB095" w14:textId="77777777" w:rsidTr="00AE7591">
        <w:trPr>
          <w:trHeight w:val="284"/>
        </w:trPr>
        <w:tc>
          <w:tcPr>
            <w:tcW w:w="993" w:type="dxa"/>
          </w:tcPr>
          <w:p w14:paraId="1D0CCF49" w14:textId="77777777" w:rsidR="00295AF8" w:rsidRPr="00C044FA" w:rsidRDefault="00295AF8" w:rsidP="00447864">
            <w:pPr>
              <w:pStyle w:val="BodyText"/>
              <w:rPr>
                <w:rFonts w:eastAsia="Calibri" w:cs="Times New Roman"/>
              </w:rPr>
            </w:pPr>
            <w:r w:rsidRPr="00C044FA">
              <w:rPr>
                <w:rFonts w:eastAsia="Calibri" w:cs="Times New Roman"/>
              </w:rPr>
              <w:t>DIIS</w:t>
            </w:r>
          </w:p>
        </w:tc>
        <w:tc>
          <w:tcPr>
            <w:tcW w:w="5648" w:type="dxa"/>
          </w:tcPr>
          <w:p w14:paraId="0F78E396" w14:textId="77777777" w:rsidR="00295AF8" w:rsidRPr="00C044FA" w:rsidRDefault="00295AF8" w:rsidP="00447864">
            <w:pPr>
              <w:pStyle w:val="BodyText"/>
              <w:rPr>
                <w:rFonts w:eastAsia="Calibri" w:cs="Times New Roman"/>
              </w:rPr>
            </w:pPr>
            <w:r w:rsidRPr="00C044FA">
              <w:rPr>
                <w:rFonts w:eastAsia="Calibri" w:cs="Times New Roman"/>
              </w:rPr>
              <w:t>Department of Industry, Innovation and Science</w:t>
            </w:r>
          </w:p>
        </w:tc>
      </w:tr>
      <w:tr w:rsidR="00373490" w:rsidRPr="00C044FA" w14:paraId="0169C3E0" w14:textId="77777777" w:rsidTr="00AE7591">
        <w:trPr>
          <w:trHeight w:val="284"/>
        </w:trPr>
        <w:tc>
          <w:tcPr>
            <w:tcW w:w="993" w:type="dxa"/>
          </w:tcPr>
          <w:p w14:paraId="73E61BB8" w14:textId="77777777" w:rsidR="00373490" w:rsidRPr="00373490" w:rsidRDefault="00373490" w:rsidP="00447864">
            <w:pPr>
              <w:pStyle w:val="BodyText"/>
              <w:rPr>
                <w:rFonts w:eastAsia="Calibri" w:cs="Times New Roman"/>
              </w:rPr>
            </w:pPr>
            <w:r w:rsidRPr="00373490">
              <w:rPr>
                <w:rFonts w:eastAsia="Calibri" w:cs="Times New Roman"/>
              </w:rPr>
              <w:t>ERF</w:t>
            </w:r>
          </w:p>
        </w:tc>
        <w:tc>
          <w:tcPr>
            <w:tcW w:w="5648" w:type="dxa"/>
          </w:tcPr>
          <w:p w14:paraId="5DC248A5" w14:textId="77777777" w:rsidR="00373490" w:rsidRPr="00373490" w:rsidRDefault="00373490" w:rsidP="00447864">
            <w:pPr>
              <w:pStyle w:val="BodyText"/>
              <w:rPr>
                <w:rFonts w:eastAsia="Calibri" w:cs="Times New Roman"/>
              </w:rPr>
            </w:pPr>
            <w:r w:rsidRPr="00373490">
              <w:rPr>
                <w:rFonts w:eastAsia="Calibri" w:cs="Times New Roman"/>
              </w:rPr>
              <w:t>Emissions Reduction Fund</w:t>
            </w:r>
          </w:p>
        </w:tc>
      </w:tr>
      <w:tr w:rsidR="00C6141C" w:rsidRPr="00C044FA" w14:paraId="01FC07E0" w14:textId="77777777" w:rsidTr="00AE7591">
        <w:trPr>
          <w:trHeight w:val="284"/>
        </w:trPr>
        <w:tc>
          <w:tcPr>
            <w:tcW w:w="993" w:type="dxa"/>
          </w:tcPr>
          <w:p w14:paraId="518C2B5C" w14:textId="77777777" w:rsidR="00C6141C" w:rsidRPr="00C044FA" w:rsidRDefault="00C6141C" w:rsidP="00447864">
            <w:pPr>
              <w:pStyle w:val="BodyText"/>
              <w:rPr>
                <w:rFonts w:eastAsia="Calibri" w:cs="Times New Roman"/>
              </w:rPr>
            </w:pPr>
            <w:r>
              <w:rPr>
                <w:rFonts w:eastAsia="Calibri" w:cs="Times New Roman"/>
              </w:rPr>
              <w:t>ETS</w:t>
            </w:r>
          </w:p>
        </w:tc>
        <w:tc>
          <w:tcPr>
            <w:tcW w:w="5648" w:type="dxa"/>
          </w:tcPr>
          <w:p w14:paraId="0968511A" w14:textId="77777777" w:rsidR="00C6141C" w:rsidRPr="00C044FA" w:rsidRDefault="00C6141C" w:rsidP="00447864">
            <w:pPr>
              <w:pStyle w:val="BodyText"/>
              <w:rPr>
                <w:rFonts w:eastAsia="Calibri" w:cs="Times New Roman"/>
              </w:rPr>
            </w:pPr>
            <w:r>
              <w:rPr>
                <w:rFonts w:eastAsia="Calibri" w:cs="Times New Roman"/>
              </w:rPr>
              <w:t>Emissions Trading Scheme</w:t>
            </w:r>
          </w:p>
        </w:tc>
      </w:tr>
      <w:tr w:rsidR="00C6141C" w:rsidRPr="00C044FA" w14:paraId="0BFDF57D" w14:textId="77777777" w:rsidTr="00AE7591">
        <w:trPr>
          <w:trHeight w:val="284"/>
        </w:trPr>
        <w:tc>
          <w:tcPr>
            <w:tcW w:w="993" w:type="dxa"/>
          </w:tcPr>
          <w:p w14:paraId="3CC6BD0B" w14:textId="77777777" w:rsidR="00C6141C" w:rsidRPr="00C044FA" w:rsidRDefault="00C6141C" w:rsidP="00447864">
            <w:pPr>
              <w:pStyle w:val="BodyText"/>
              <w:rPr>
                <w:rFonts w:eastAsia="Calibri" w:cs="Times New Roman"/>
              </w:rPr>
            </w:pPr>
            <w:r>
              <w:rPr>
                <w:rFonts w:eastAsia="Calibri" w:cs="Times New Roman"/>
              </w:rPr>
              <w:t>HVAC</w:t>
            </w:r>
          </w:p>
        </w:tc>
        <w:tc>
          <w:tcPr>
            <w:tcW w:w="5648" w:type="dxa"/>
          </w:tcPr>
          <w:p w14:paraId="2F4F3055" w14:textId="77777777" w:rsidR="00C6141C" w:rsidRPr="00C044FA" w:rsidRDefault="00C6141C" w:rsidP="00447864">
            <w:pPr>
              <w:pStyle w:val="BodyText"/>
              <w:rPr>
                <w:rFonts w:eastAsia="Calibri" w:cs="Times New Roman"/>
              </w:rPr>
            </w:pPr>
            <w:r>
              <w:rPr>
                <w:rFonts w:eastAsia="Calibri" w:cs="Times New Roman"/>
              </w:rPr>
              <w:t>Heating, Ventilation and Air Conditioning</w:t>
            </w:r>
          </w:p>
        </w:tc>
      </w:tr>
      <w:tr w:rsidR="00C6141C" w:rsidRPr="00C044FA" w14:paraId="3A7B0E8F" w14:textId="77777777" w:rsidTr="00AE7591">
        <w:trPr>
          <w:trHeight w:val="284"/>
        </w:trPr>
        <w:tc>
          <w:tcPr>
            <w:tcW w:w="993" w:type="dxa"/>
          </w:tcPr>
          <w:p w14:paraId="28BF7043" w14:textId="77777777" w:rsidR="00C6141C" w:rsidRPr="00C044FA" w:rsidRDefault="00C6141C" w:rsidP="00447864">
            <w:pPr>
              <w:pStyle w:val="BodyText"/>
              <w:rPr>
                <w:rFonts w:eastAsia="Calibri" w:cs="Times New Roman"/>
              </w:rPr>
            </w:pPr>
            <w:r>
              <w:rPr>
                <w:rFonts w:eastAsia="Calibri" w:cs="Times New Roman"/>
              </w:rPr>
              <w:t>LED</w:t>
            </w:r>
          </w:p>
        </w:tc>
        <w:tc>
          <w:tcPr>
            <w:tcW w:w="5648" w:type="dxa"/>
          </w:tcPr>
          <w:p w14:paraId="5342887D" w14:textId="77777777" w:rsidR="00C6141C" w:rsidRPr="00C044FA" w:rsidRDefault="00C6141C" w:rsidP="00447864">
            <w:pPr>
              <w:pStyle w:val="BodyText"/>
              <w:rPr>
                <w:rFonts w:eastAsia="Calibri" w:cs="Times New Roman"/>
              </w:rPr>
            </w:pPr>
            <w:r>
              <w:rPr>
                <w:rFonts w:eastAsia="Calibri" w:cs="Times New Roman"/>
              </w:rPr>
              <w:t>Light Emitting Diode</w:t>
            </w:r>
          </w:p>
        </w:tc>
      </w:tr>
      <w:tr w:rsidR="00C6141C" w:rsidRPr="00C044FA" w14:paraId="460A8CB0" w14:textId="77777777" w:rsidTr="00AE7591">
        <w:trPr>
          <w:trHeight w:val="284"/>
        </w:trPr>
        <w:tc>
          <w:tcPr>
            <w:tcW w:w="993" w:type="dxa"/>
          </w:tcPr>
          <w:p w14:paraId="1DEA540D" w14:textId="77777777" w:rsidR="00C6141C" w:rsidRPr="00C044FA" w:rsidRDefault="00C6141C" w:rsidP="00447864">
            <w:pPr>
              <w:pStyle w:val="BodyText"/>
              <w:rPr>
                <w:rFonts w:eastAsia="Calibri" w:cs="Times New Roman"/>
              </w:rPr>
            </w:pPr>
            <w:r w:rsidRPr="00C044FA">
              <w:rPr>
                <w:rFonts w:eastAsia="Calibri" w:cs="Times New Roman"/>
              </w:rPr>
              <w:t>LIEEP</w:t>
            </w:r>
          </w:p>
        </w:tc>
        <w:tc>
          <w:tcPr>
            <w:tcW w:w="5648" w:type="dxa"/>
          </w:tcPr>
          <w:p w14:paraId="41A730DE" w14:textId="77777777" w:rsidR="00C6141C" w:rsidRPr="00C044FA" w:rsidRDefault="00C6141C" w:rsidP="00447864">
            <w:pPr>
              <w:pStyle w:val="BodyText"/>
              <w:rPr>
                <w:rFonts w:eastAsia="Calibri" w:cs="Times New Roman"/>
              </w:rPr>
            </w:pPr>
            <w:r w:rsidRPr="00C044FA">
              <w:rPr>
                <w:rFonts w:eastAsia="Calibri" w:cs="Times New Roman"/>
              </w:rPr>
              <w:t xml:space="preserve">Low Income Energy Efficiency </w:t>
            </w:r>
            <w:r w:rsidR="00835A86">
              <w:rPr>
                <w:rFonts w:eastAsia="Calibri" w:cs="Times New Roman"/>
              </w:rPr>
              <w:t>Programme</w:t>
            </w:r>
          </w:p>
        </w:tc>
      </w:tr>
      <w:tr w:rsidR="00C6141C" w:rsidRPr="00C044FA" w14:paraId="7193272C" w14:textId="77777777" w:rsidTr="00AE7591">
        <w:trPr>
          <w:trHeight w:val="284"/>
        </w:trPr>
        <w:tc>
          <w:tcPr>
            <w:tcW w:w="993" w:type="dxa"/>
          </w:tcPr>
          <w:p w14:paraId="1DC42630" w14:textId="77777777" w:rsidR="00C6141C" w:rsidRPr="00C044FA" w:rsidRDefault="00C6141C" w:rsidP="00447864">
            <w:pPr>
              <w:pStyle w:val="BodyText"/>
              <w:rPr>
                <w:rFonts w:eastAsia="Calibri" w:cs="Times New Roman"/>
              </w:rPr>
            </w:pPr>
            <w:r>
              <w:rPr>
                <w:rFonts w:eastAsia="Calibri" w:cs="Times New Roman"/>
              </w:rPr>
              <w:t>LSE</w:t>
            </w:r>
          </w:p>
        </w:tc>
        <w:tc>
          <w:tcPr>
            <w:tcW w:w="5648" w:type="dxa"/>
          </w:tcPr>
          <w:p w14:paraId="08F9C8A5" w14:textId="77777777" w:rsidR="00C6141C" w:rsidRPr="00C044FA" w:rsidRDefault="00C6141C" w:rsidP="00447864">
            <w:pPr>
              <w:pStyle w:val="BodyText"/>
              <w:rPr>
                <w:rFonts w:eastAsia="Calibri" w:cs="Times New Roman"/>
              </w:rPr>
            </w:pPr>
            <w:r>
              <w:rPr>
                <w:rFonts w:eastAsia="Calibri" w:cs="Times New Roman"/>
              </w:rPr>
              <w:t>Low Socio-economic Status</w:t>
            </w:r>
          </w:p>
        </w:tc>
      </w:tr>
      <w:tr w:rsidR="00C6141C" w:rsidRPr="00C044FA" w14:paraId="2FA25E9E" w14:textId="77777777" w:rsidTr="00AE7591">
        <w:trPr>
          <w:trHeight w:val="284"/>
        </w:trPr>
        <w:tc>
          <w:tcPr>
            <w:tcW w:w="993" w:type="dxa"/>
          </w:tcPr>
          <w:p w14:paraId="3552BCE5" w14:textId="77777777" w:rsidR="00C6141C" w:rsidRDefault="00C6141C" w:rsidP="00447864">
            <w:pPr>
              <w:pStyle w:val="BodyText"/>
              <w:rPr>
                <w:rFonts w:eastAsia="Calibri" w:cs="Times New Roman"/>
              </w:rPr>
            </w:pPr>
            <w:r>
              <w:rPr>
                <w:rFonts w:eastAsia="Calibri" w:cs="Times New Roman"/>
              </w:rPr>
              <w:t>MJ</w:t>
            </w:r>
          </w:p>
        </w:tc>
        <w:tc>
          <w:tcPr>
            <w:tcW w:w="5648" w:type="dxa"/>
          </w:tcPr>
          <w:p w14:paraId="4225650C" w14:textId="77777777" w:rsidR="00C6141C" w:rsidRDefault="00C6141C" w:rsidP="00447864">
            <w:pPr>
              <w:pStyle w:val="BodyText"/>
              <w:rPr>
                <w:rFonts w:eastAsia="Calibri" w:cs="Times New Roman"/>
              </w:rPr>
            </w:pPr>
            <w:r>
              <w:rPr>
                <w:rFonts w:eastAsia="Calibri" w:cs="Times New Roman"/>
              </w:rPr>
              <w:t>Megajoule (1 million joules)</w:t>
            </w:r>
          </w:p>
        </w:tc>
      </w:tr>
      <w:tr w:rsidR="009F3188" w:rsidRPr="00C044FA" w14:paraId="2204CBAD" w14:textId="77777777" w:rsidTr="00AE7591">
        <w:trPr>
          <w:trHeight w:val="284"/>
        </w:trPr>
        <w:tc>
          <w:tcPr>
            <w:tcW w:w="993" w:type="dxa"/>
          </w:tcPr>
          <w:p w14:paraId="0314A466" w14:textId="77777777" w:rsidR="009F3188" w:rsidRDefault="009F3188" w:rsidP="00447864">
            <w:pPr>
              <w:pStyle w:val="BodyText"/>
              <w:rPr>
                <w:rFonts w:eastAsia="Calibri" w:cs="Times New Roman"/>
              </w:rPr>
            </w:pPr>
            <w:r>
              <w:rPr>
                <w:rFonts w:eastAsia="Calibri" w:cs="Times New Roman"/>
              </w:rPr>
              <w:t>NEEP</w:t>
            </w:r>
          </w:p>
        </w:tc>
        <w:tc>
          <w:tcPr>
            <w:tcW w:w="5648" w:type="dxa"/>
          </w:tcPr>
          <w:p w14:paraId="49F39E18" w14:textId="77777777" w:rsidR="009F3188" w:rsidRPr="009F3188" w:rsidRDefault="009F3188" w:rsidP="00447864">
            <w:pPr>
              <w:pStyle w:val="BodyText"/>
              <w:rPr>
                <w:rFonts w:eastAsia="Calibri" w:cs="Times New Roman"/>
              </w:rPr>
            </w:pPr>
            <w:r w:rsidRPr="009F3188">
              <w:t>National Energy Productivity Plan</w:t>
            </w:r>
          </w:p>
        </w:tc>
      </w:tr>
      <w:tr w:rsidR="00C6141C" w:rsidRPr="00C044FA" w14:paraId="027D47F4" w14:textId="77777777" w:rsidTr="00AE7591">
        <w:trPr>
          <w:trHeight w:val="284"/>
        </w:trPr>
        <w:tc>
          <w:tcPr>
            <w:tcW w:w="993" w:type="dxa"/>
          </w:tcPr>
          <w:p w14:paraId="2D0664DF" w14:textId="77777777" w:rsidR="00C6141C" w:rsidRPr="00C044FA" w:rsidRDefault="00C6141C" w:rsidP="00447864">
            <w:pPr>
              <w:pStyle w:val="BodyText"/>
              <w:rPr>
                <w:rFonts w:eastAsia="Calibri" w:cs="Times New Roman"/>
              </w:rPr>
            </w:pPr>
            <w:r>
              <w:rPr>
                <w:rFonts w:eastAsia="Calibri" w:cs="Times New Roman"/>
              </w:rPr>
              <w:t>TJ</w:t>
            </w:r>
          </w:p>
        </w:tc>
        <w:tc>
          <w:tcPr>
            <w:tcW w:w="5648" w:type="dxa"/>
          </w:tcPr>
          <w:p w14:paraId="69587B40" w14:textId="77777777" w:rsidR="00C6141C" w:rsidRPr="00C044FA" w:rsidRDefault="00C6141C" w:rsidP="00447864">
            <w:pPr>
              <w:pStyle w:val="BodyText"/>
              <w:rPr>
                <w:rFonts w:eastAsia="Calibri" w:cs="Times New Roman"/>
              </w:rPr>
            </w:pPr>
            <w:r>
              <w:rPr>
                <w:rFonts w:eastAsia="Calibri" w:cs="Times New Roman"/>
              </w:rPr>
              <w:t>Terajoule (1 million megajoules)</w:t>
            </w:r>
          </w:p>
        </w:tc>
      </w:tr>
    </w:tbl>
    <w:p w14:paraId="1B3E1F3B" w14:textId="77777777" w:rsidR="009817C0" w:rsidRDefault="00295AF8" w:rsidP="009817C0">
      <w:pPr>
        <w:pStyle w:val="Heading1"/>
        <w:sectPr w:rsidR="009817C0" w:rsidSect="007017B2">
          <w:footerReference w:type="default" r:id="rId26"/>
          <w:type w:val="continuous"/>
          <w:pgSz w:w="11906" w:h="16838" w:code="9"/>
          <w:pgMar w:top="1440" w:right="1440" w:bottom="1440" w:left="3572" w:header="709" w:footer="709" w:gutter="0"/>
          <w:pgNumType w:fmt="upperRoman"/>
          <w:cols w:space="708"/>
          <w:docGrid w:linePitch="360"/>
        </w:sectPr>
      </w:pPr>
      <w:r w:rsidRPr="00C044FA">
        <w:br w:type="page"/>
      </w:r>
      <w:bookmarkStart w:id="10" w:name="_Toc141513228"/>
      <w:bookmarkStart w:id="11" w:name="_Toc145749708"/>
      <w:bookmarkStart w:id="12" w:name="_Toc332291709"/>
      <w:bookmarkStart w:id="13" w:name="_Toc446426609"/>
      <w:bookmarkStart w:id="14" w:name="_Toc463621560"/>
      <w:bookmarkStart w:id="15" w:name="_Toc463864360"/>
      <w:bookmarkStart w:id="16" w:name="_Toc463876936"/>
      <w:bookmarkStart w:id="17" w:name="_Toc463970038"/>
      <w:bookmarkStart w:id="18" w:name="_Toc464116807"/>
    </w:p>
    <w:p w14:paraId="3940C7C5" w14:textId="77777777" w:rsidR="00295AF8" w:rsidRPr="00D84108" w:rsidRDefault="00295AF8" w:rsidP="00D84108">
      <w:pPr>
        <w:pStyle w:val="Heading1"/>
        <w:numPr>
          <w:ilvl w:val="0"/>
          <w:numId w:val="46"/>
        </w:numPr>
      </w:pPr>
      <w:bookmarkStart w:id="19" w:name="_Toc483236843"/>
      <w:r w:rsidRPr="00D84108">
        <w:t>Executive Summary</w:t>
      </w:r>
      <w:bookmarkEnd w:id="10"/>
      <w:bookmarkEnd w:id="11"/>
      <w:bookmarkEnd w:id="12"/>
      <w:bookmarkEnd w:id="13"/>
      <w:bookmarkEnd w:id="14"/>
      <w:bookmarkEnd w:id="15"/>
      <w:bookmarkEnd w:id="16"/>
      <w:bookmarkEnd w:id="17"/>
      <w:bookmarkEnd w:id="18"/>
      <w:bookmarkEnd w:id="19"/>
    </w:p>
    <w:p w14:paraId="053C96EE" w14:textId="77777777" w:rsidR="007302FE" w:rsidRPr="003B2D3A" w:rsidRDefault="007302FE" w:rsidP="00D84108">
      <w:pPr>
        <w:spacing w:line="276" w:lineRule="auto"/>
        <w:rPr>
          <w:rFonts w:eastAsia="Calibri" w:cs="Times New Roman"/>
        </w:rPr>
      </w:pPr>
      <w:r w:rsidRPr="006149FD">
        <w:rPr>
          <w:rStyle w:val="BodyTextChar"/>
        </w:rPr>
        <w:t xml:space="preserve">Based </w:t>
      </w:r>
      <w:r>
        <w:rPr>
          <w:rStyle w:val="BodyTextChar"/>
        </w:rPr>
        <w:t>on the final project reports provided by grant recipients</w:t>
      </w:r>
      <w:r w:rsidRPr="006149FD">
        <w:rPr>
          <w:rStyle w:val="BodyTextChar"/>
        </w:rPr>
        <w:t xml:space="preserve">, there is clear evidence the </w:t>
      </w:r>
      <w:r w:rsidR="00835A86">
        <w:rPr>
          <w:rStyle w:val="BodyTextChar"/>
        </w:rPr>
        <w:t>programme</w:t>
      </w:r>
      <w:r w:rsidRPr="006149FD">
        <w:rPr>
          <w:rStyle w:val="BodyTextChar"/>
        </w:rPr>
        <w:t xml:space="preserve"> assisted local councils and community groups to i</w:t>
      </w:r>
      <w:r>
        <w:rPr>
          <w:rStyle w:val="BodyTextChar"/>
        </w:rPr>
        <w:t>ncrease their energy efficiency. While the current Australian Government</w:t>
      </w:r>
      <w:r w:rsidR="00981B16">
        <w:rPr>
          <w:rStyle w:val="BodyTextChar"/>
        </w:rPr>
        <w:t xml:space="preserve"> does not plan to introduce an emissions trading scheme (ETS)</w:t>
      </w:r>
      <w:r>
        <w:rPr>
          <w:rStyle w:val="BodyTextChar"/>
        </w:rPr>
        <w:t xml:space="preserve">, </w:t>
      </w:r>
      <w:r w:rsidRPr="006149FD">
        <w:rPr>
          <w:rStyle w:val="BodyTextChar"/>
        </w:rPr>
        <w:t>these projects are expected to continue</w:t>
      </w:r>
      <w:r>
        <w:rPr>
          <w:rStyle w:val="BodyTextChar"/>
        </w:rPr>
        <w:t xml:space="preserve"> benefiting the communities i</w:t>
      </w:r>
      <w:r w:rsidR="001578AB">
        <w:rPr>
          <w:rStyle w:val="BodyTextChar"/>
        </w:rPr>
        <w:t xml:space="preserve">n the longer </w:t>
      </w:r>
      <w:r>
        <w:rPr>
          <w:rStyle w:val="BodyTextChar"/>
        </w:rPr>
        <w:t>term through reduced energy costs.</w:t>
      </w:r>
      <w:r w:rsidRPr="006149FD">
        <w:rPr>
          <w:rStyle w:val="BodyTextChar"/>
        </w:rPr>
        <w:t xml:space="preserve"> The projects will also continue to improve energy efficiency</w:t>
      </w:r>
      <w:r>
        <w:rPr>
          <w:rStyle w:val="BodyTextChar"/>
        </w:rPr>
        <w:t xml:space="preserve"> in Australia</w:t>
      </w:r>
      <w:r w:rsidRPr="006149FD">
        <w:rPr>
          <w:rStyle w:val="BodyTextChar"/>
        </w:rPr>
        <w:t xml:space="preserve"> more broadly, by demonstrating the financial </w:t>
      </w:r>
      <w:r>
        <w:rPr>
          <w:rStyle w:val="BodyTextChar"/>
        </w:rPr>
        <w:t>savings that can be achieved in the broader community, and by helping Australia to reach i</w:t>
      </w:r>
      <w:r w:rsidR="004D706E">
        <w:rPr>
          <w:rStyle w:val="BodyTextChar"/>
        </w:rPr>
        <w:t>t</w:t>
      </w:r>
      <w:r>
        <w:rPr>
          <w:rStyle w:val="BodyTextChar"/>
        </w:rPr>
        <w:t>s carbon pollution reduction target in 2020.</w:t>
      </w:r>
    </w:p>
    <w:p w14:paraId="0076CB15" w14:textId="77777777" w:rsidR="007302FE" w:rsidRPr="007302FE" w:rsidRDefault="007302FE" w:rsidP="00D84108">
      <w:pPr>
        <w:pStyle w:val="Heading2"/>
      </w:pPr>
      <w:bookmarkStart w:id="20" w:name="_Toc483236844"/>
      <w:r w:rsidRPr="007302FE">
        <w:t xml:space="preserve">The Community Energy Efficiency </w:t>
      </w:r>
      <w:r w:rsidR="00835A86">
        <w:t>Program</w:t>
      </w:r>
      <w:bookmarkEnd w:id="20"/>
    </w:p>
    <w:p w14:paraId="685994F5" w14:textId="77777777" w:rsidR="002C04B2" w:rsidRDefault="00295AF8" w:rsidP="00FA6A89">
      <w:pPr>
        <w:pStyle w:val="BodyText"/>
        <w:jc w:val="left"/>
      </w:pPr>
      <w:r>
        <w:t xml:space="preserve">The Community Energy Efficiency </w:t>
      </w:r>
      <w:r w:rsidR="00835A86">
        <w:t>Program</w:t>
      </w:r>
      <w:r>
        <w:t xml:space="preserve"> (CEEP) was</w:t>
      </w:r>
      <w:r w:rsidR="009E3292">
        <w:t xml:space="preserve"> introduced in 2012</w:t>
      </w:r>
      <w:r>
        <w:t xml:space="preserve"> as part of </w:t>
      </w:r>
      <w:r w:rsidRPr="00981B16">
        <w:t>th</w:t>
      </w:r>
      <w:r w:rsidR="009E3292" w:rsidRPr="00981B16">
        <w:t>e</w:t>
      </w:r>
      <w:r w:rsidRPr="00981B16">
        <w:t xml:space="preserve"> Low Carbon Communities</w:t>
      </w:r>
      <w:r>
        <w:t xml:space="preserve"> initiative. </w:t>
      </w:r>
      <w:r w:rsidR="00076EB6">
        <w:t xml:space="preserve">The </w:t>
      </w:r>
      <w:r w:rsidR="00A778A7">
        <w:t>CEEP</w:t>
      </w:r>
      <w:r>
        <w:t xml:space="preserve"> was</w:t>
      </w:r>
      <w:r w:rsidRPr="002B13E4">
        <w:t xml:space="preserve"> a competitive merit-based grant</w:t>
      </w:r>
      <w:r>
        <w:t>s</w:t>
      </w:r>
      <w:r w:rsidRPr="002B13E4">
        <w:t xml:space="preserve"> </w:t>
      </w:r>
      <w:r w:rsidR="00835A86">
        <w:t>programme</w:t>
      </w:r>
      <w:r w:rsidRPr="002B13E4">
        <w:t xml:space="preserve"> that provide</w:t>
      </w:r>
      <w:r>
        <w:t>d</w:t>
      </w:r>
      <w:r w:rsidR="00A778A7">
        <w:t xml:space="preserve"> co-funding to local governments</w:t>
      </w:r>
      <w:r w:rsidRPr="002B13E4">
        <w:t xml:space="preserve"> and non-profit community organisations to</w:t>
      </w:r>
      <w:r w:rsidR="00076EB6">
        <w:t xml:space="preserve"> improve their</w:t>
      </w:r>
      <w:r>
        <w:t xml:space="preserve"> energy efficiency. The </w:t>
      </w:r>
      <w:r w:rsidR="00835A86">
        <w:t>programme</w:t>
      </w:r>
      <w:r>
        <w:t xml:space="preserve"> commenced</w:t>
      </w:r>
      <w:r w:rsidR="00240AF7">
        <w:t xml:space="preserve"> in</w:t>
      </w:r>
      <w:r>
        <w:t xml:space="preserve"> February 2012</w:t>
      </w:r>
      <w:r w:rsidR="00076EB6">
        <w:t>,</w:t>
      </w:r>
      <w:r>
        <w:t xml:space="preserve"> </w:t>
      </w:r>
      <w:r w:rsidR="00E46C77">
        <w:t>with the final round closing</w:t>
      </w:r>
      <w:r>
        <w:t xml:space="preserve"> </w:t>
      </w:r>
      <w:r w:rsidR="00240AF7">
        <w:t xml:space="preserve">in </w:t>
      </w:r>
      <w:r>
        <w:t>February 2013.</w:t>
      </w:r>
      <w:r w:rsidR="002C04B2">
        <w:t xml:space="preserve"> Funding for all projects ceased by June 2016. </w:t>
      </w:r>
    </w:p>
    <w:p w14:paraId="4FB45AEA" w14:textId="77777777" w:rsidR="00BB61F5" w:rsidRPr="00B327FC" w:rsidRDefault="00BB61F5" w:rsidP="00FA6A89">
      <w:pPr>
        <w:pStyle w:val="BodyText"/>
        <w:spacing w:after="120"/>
        <w:jc w:val="left"/>
        <w:rPr>
          <w:rFonts w:eastAsia="Calibri" w:cs="Times New Roman"/>
        </w:rPr>
      </w:pPr>
      <w:r>
        <w:rPr>
          <w:rFonts w:cs="Arial"/>
          <w:lang w:eastAsia="en-AU"/>
        </w:rPr>
        <w:t>T</w:t>
      </w:r>
      <w:r w:rsidRPr="00B327FC">
        <w:rPr>
          <w:rFonts w:eastAsia="Calibri" w:cs="Times New Roman"/>
        </w:rPr>
        <w:t xml:space="preserve">he objectives of </w:t>
      </w:r>
      <w:r>
        <w:rPr>
          <w:rFonts w:eastAsia="Calibri" w:cs="Times New Roman"/>
        </w:rPr>
        <w:t>the CEEP</w:t>
      </w:r>
      <w:r w:rsidRPr="00B327FC">
        <w:rPr>
          <w:rFonts w:eastAsia="Calibri" w:cs="Times New Roman"/>
        </w:rPr>
        <w:t xml:space="preserve"> </w:t>
      </w:r>
      <w:r>
        <w:rPr>
          <w:rFonts w:eastAsia="Calibri" w:cs="Times New Roman"/>
        </w:rPr>
        <w:t>we</w:t>
      </w:r>
      <w:r w:rsidRPr="00B327FC">
        <w:rPr>
          <w:rFonts w:eastAsia="Calibri" w:cs="Times New Roman"/>
        </w:rPr>
        <w:t>re to:</w:t>
      </w:r>
    </w:p>
    <w:p w14:paraId="55109521" w14:textId="77777777" w:rsidR="00BB61F5" w:rsidRPr="001D5471" w:rsidRDefault="00BB61F5" w:rsidP="001D5471">
      <w:pPr>
        <w:pStyle w:val="ListParagraph"/>
        <w:numPr>
          <w:ilvl w:val="0"/>
          <w:numId w:val="14"/>
        </w:numPr>
        <w:ind w:left="425"/>
        <w:jc w:val="left"/>
      </w:pPr>
      <w:r w:rsidRPr="00B327FC">
        <w:t>Support a range of local councils and community organisations to increase the energy efficiency of different types of non</w:t>
      </w:r>
      <w:r w:rsidRPr="00B327FC">
        <w:rPr>
          <w:rFonts w:ascii="MS Gothic" w:hAnsi="MS Gothic"/>
        </w:rPr>
        <w:t>‑</w:t>
      </w:r>
      <w:r w:rsidRPr="00B327FC">
        <w:t>residential council and community</w:t>
      </w:r>
      <w:r w:rsidR="001D5471">
        <w:rPr>
          <w:rFonts w:ascii="MS Gothic" w:hAnsi="MS Gothic"/>
        </w:rPr>
        <w:t xml:space="preserve"> </w:t>
      </w:r>
      <w:r w:rsidRPr="00B327FC">
        <w:t xml:space="preserve">use buildings, facilities and lighting. </w:t>
      </w:r>
      <w:r w:rsidR="007302FE">
        <w:t>Round T</w:t>
      </w:r>
      <w:r w:rsidRPr="00645BA2">
        <w:t xml:space="preserve">wo </w:t>
      </w:r>
      <w:r w:rsidR="001D5471">
        <w:t>added the words ‘</w:t>
      </w:r>
      <w:r w:rsidRPr="001D5471">
        <w:rPr>
          <w:i/>
        </w:rPr>
        <w:t>particularly where this would benefit low socio</w:t>
      </w:r>
      <w:r w:rsidRPr="001D5471">
        <w:rPr>
          <w:rFonts w:ascii="MS Gothic" w:hAnsi="MS Gothic"/>
          <w:i/>
        </w:rPr>
        <w:t>‑</w:t>
      </w:r>
      <w:r w:rsidRPr="001D5471">
        <w:rPr>
          <w:i/>
        </w:rPr>
        <w:t>economic and other disadvantaged communities or support energy efficiency in regional and rural councils.’</w:t>
      </w:r>
    </w:p>
    <w:p w14:paraId="7835EFD2" w14:textId="77777777" w:rsidR="00BB61F5" w:rsidRDefault="00BB61F5" w:rsidP="00FA6A89">
      <w:pPr>
        <w:pStyle w:val="ListParagraph"/>
        <w:numPr>
          <w:ilvl w:val="0"/>
          <w:numId w:val="14"/>
        </w:numPr>
        <w:spacing w:after="180"/>
        <w:ind w:left="419" w:hanging="357"/>
        <w:jc w:val="left"/>
      </w:pPr>
      <w:r w:rsidRPr="00B327FC">
        <w:t>Demonstrate and encourage the adoption of improved energy management practices within councils, organisations and the broader community</w:t>
      </w:r>
      <w:r>
        <w:t>.</w:t>
      </w:r>
    </w:p>
    <w:p w14:paraId="483E4D84" w14:textId="77777777" w:rsidR="00BB61F5" w:rsidRDefault="00BB61F5" w:rsidP="00FA6A89">
      <w:pPr>
        <w:pStyle w:val="BodyText"/>
        <w:spacing w:after="120"/>
      </w:pPr>
      <w:r>
        <w:t xml:space="preserve">The </w:t>
      </w:r>
      <w:r w:rsidR="00835A86">
        <w:t>programme</w:t>
      </w:r>
      <w:r>
        <w:t xml:space="preserve"> was also expected to provide the following co-benefits</w:t>
      </w:r>
      <w:r>
        <w:rPr>
          <w:rStyle w:val="FootnoteReference"/>
        </w:rPr>
        <w:footnoteReference w:id="2"/>
      </w:r>
      <w:r>
        <w:t xml:space="preserve">: </w:t>
      </w:r>
    </w:p>
    <w:p w14:paraId="19308F1B" w14:textId="77777777" w:rsidR="00BB61F5" w:rsidRDefault="00F20D90" w:rsidP="00F20D90">
      <w:pPr>
        <w:pStyle w:val="ListBullet"/>
        <w:spacing w:after="0"/>
        <w:ind w:left="426"/>
        <w:jc w:val="left"/>
      </w:pPr>
      <w:r>
        <w:t>M</w:t>
      </w:r>
      <w:r w:rsidR="00BB61F5">
        <w:t>inimise energy consumption a</w:t>
      </w:r>
      <w:r w:rsidR="00B714F7">
        <w:t>nd costs, in order to mitigate</w:t>
      </w:r>
      <w:r w:rsidR="00BB61F5">
        <w:t xml:space="preserve"> the impacts of the carbon price on loca</w:t>
      </w:r>
      <w:r>
        <w:t>l councils and community groups</w:t>
      </w:r>
    </w:p>
    <w:p w14:paraId="76EEC397" w14:textId="77777777" w:rsidR="00BB61F5" w:rsidRDefault="00F20D90" w:rsidP="00F20D90">
      <w:pPr>
        <w:pStyle w:val="ListBullet"/>
        <w:spacing w:after="0"/>
        <w:ind w:left="426"/>
        <w:jc w:val="left"/>
      </w:pPr>
      <w:r>
        <w:t>C</w:t>
      </w:r>
      <w:r w:rsidR="00BB61F5">
        <w:t xml:space="preserve">ontribute to the national effort to </w:t>
      </w:r>
      <w:r>
        <w:t>reduce greenhouse gas emissions</w:t>
      </w:r>
    </w:p>
    <w:p w14:paraId="40D26E51" w14:textId="77777777" w:rsidR="00BB61F5" w:rsidRDefault="00F20D90" w:rsidP="00F20D90">
      <w:pPr>
        <w:pStyle w:val="ListBullet"/>
        <w:spacing w:after="0"/>
        <w:ind w:left="426"/>
        <w:jc w:val="left"/>
      </w:pPr>
      <w:r>
        <w:t>B</w:t>
      </w:r>
      <w:r w:rsidR="00BB61F5">
        <w:t>uild the knowledge and capacity of energy eff</w:t>
      </w:r>
      <w:r>
        <w:t>iciency industries in Australia</w:t>
      </w:r>
    </w:p>
    <w:p w14:paraId="63DEFA02" w14:textId="77777777" w:rsidR="00BB61F5" w:rsidRDefault="00F20D90" w:rsidP="00F20D90">
      <w:pPr>
        <w:pStyle w:val="ListBullet"/>
        <w:spacing w:after="0"/>
        <w:ind w:left="426"/>
        <w:jc w:val="left"/>
      </w:pPr>
      <w:r>
        <w:t>S</w:t>
      </w:r>
      <w:r w:rsidR="00BB61F5">
        <w:t>upport competitive energy efficiency technology and equip</w:t>
      </w:r>
      <w:r>
        <w:t>ment manufacturers in Australia</w:t>
      </w:r>
    </w:p>
    <w:p w14:paraId="7C29FDBB" w14:textId="77777777" w:rsidR="00BB61F5" w:rsidRDefault="00F20D90" w:rsidP="00F20D90">
      <w:pPr>
        <w:pStyle w:val="ListBullet"/>
        <w:spacing w:after="180"/>
        <w:ind w:left="426"/>
        <w:jc w:val="left"/>
      </w:pPr>
      <w:r>
        <w:t>A</w:t>
      </w:r>
      <w:r w:rsidR="00BB61F5">
        <w:t>ssist recipients to provide better services and improved building</w:t>
      </w:r>
      <w:r>
        <w:t xml:space="preserve"> amenities to their communities</w:t>
      </w:r>
      <w:r w:rsidR="00345ABE">
        <w:t>.</w:t>
      </w:r>
    </w:p>
    <w:p w14:paraId="71F7FB6C" w14:textId="4FB1F4AB" w:rsidR="00A325F4" w:rsidRPr="00A325F4" w:rsidRDefault="00BB61F5" w:rsidP="00FA6A89">
      <w:pPr>
        <w:pStyle w:val="BodyText"/>
        <w:jc w:val="left"/>
      </w:pPr>
      <w:r>
        <w:t xml:space="preserve">Under the </w:t>
      </w:r>
      <w:r w:rsidR="00835A86">
        <w:t>programme</w:t>
      </w:r>
      <w:r w:rsidR="00332CF5">
        <w:t>, 171</w:t>
      </w:r>
      <w:r w:rsidR="00A325F4" w:rsidRPr="00A325F4">
        <w:t xml:space="preserve"> grants were awarded tota</w:t>
      </w:r>
      <w:r w:rsidR="00332CF5">
        <w:t>lling $113.3</w:t>
      </w:r>
      <w:r w:rsidR="00A325F4">
        <w:t xml:space="preserve"> million. However, seven</w:t>
      </w:r>
      <w:r w:rsidR="00332CF5">
        <w:t xml:space="preserve"> projects were terminated and eleven</w:t>
      </w:r>
      <w:r w:rsidR="00A325F4" w:rsidRPr="00A325F4">
        <w:t xml:space="preserve"> were withdrawn before fun</w:t>
      </w:r>
      <w:r w:rsidR="001D5471">
        <w:t xml:space="preserve">ding agreements were executed </w:t>
      </w:r>
      <w:r w:rsidR="00A325F4" w:rsidRPr="00A325F4">
        <w:t>leaving 153 completed pro</w:t>
      </w:r>
      <w:r w:rsidR="00CE77E6">
        <w:t xml:space="preserve">jects and a total </w:t>
      </w:r>
      <w:r w:rsidR="00164071">
        <w:t>of $96.3</w:t>
      </w:r>
      <w:r w:rsidR="00332CF5">
        <w:t xml:space="preserve"> million</w:t>
      </w:r>
      <w:r w:rsidR="00A325F4" w:rsidRPr="00A325F4">
        <w:t xml:space="preserve"> paid in grant funding by the close of the </w:t>
      </w:r>
      <w:r w:rsidR="00835A86">
        <w:t>programme</w:t>
      </w:r>
      <w:r w:rsidR="00A325F4" w:rsidRPr="00A325F4">
        <w:t>.</w:t>
      </w:r>
      <w:r w:rsidR="000A51CC">
        <w:t xml:space="preserve"> On average, these grants accounted for 47 per cent of the total project cost</w:t>
      </w:r>
      <w:r w:rsidR="001D5471">
        <w:t xml:space="preserve"> of all projects</w:t>
      </w:r>
      <w:r w:rsidR="000A51CC">
        <w:t>. Grant recipients directly contrib</w:t>
      </w:r>
      <w:r w:rsidR="00164071">
        <w:t>uted $117.3</w:t>
      </w:r>
      <w:r w:rsidR="004D706E">
        <w:t xml:space="preserve"> million to</w:t>
      </w:r>
      <w:r w:rsidR="000A51CC">
        <w:t xml:space="preserve"> the projects.</w:t>
      </w:r>
    </w:p>
    <w:p w14:paraId="51754E40" w14:textId="77777777" w:rsidR="00B96C9E" w:rsidRDefault="00295AF8" w:rsidP="00FA6A89">
      <w:pPr>
        <w:pStyle w:val="BodyText"/>
        <w:jc w:val="left"/>
      </w:pPr>
      <w:r w:rsidRPr="00D51722">
        <w:t>This report presents the findings and recommendations arising fro</w:t>
      </w:r>
      <w:r w:rsidR="00921E1D">
        <w:t>m an evaluation of</w:t>
      </w:r>
      <w:r w:rsidR="001347BD">
        <w:t xml:space="preserve"> </w:t>
      </w:r>
      <w:r w:rsidR="00076EB6">
        <w:t xml:space="preserve">the </w:t>
      </w:r>
      <w:r w:rsidR="001347BD">
        <w:t xml:space="preserve">impact of the </w:t>
      </w:r>
      <w:r w:rsidRPr="00D51722">
        <w:t>CEEP.</w:t>
      </w:r>
      <w:r w:rsidR="001347BD">
        <w:t xml:space="preserve"> </w:t>
      </w:r>
    </w:p>
    <w:p w14:paraId="1C47DC5F" w14:textId="77777777" w:rsidR="005D59EC" w:rsidRDefault="00FA6A89" w:rsidP="00FA6A89">
      <w:pPr>
        <w:pStyle w:val="BodyText"/>
        <w:jc w:val="left"/>
      </w:pPr>
      <w:r>
        <w:t>The evaluation encountered several issues with the integrity and reliability of the energy efficiency data p</w:t>
      </w:r>
      <w:r w:rsidR="00D7222D">
        <w:t xml:space="preserve">rovided by </w:t>
      </w:r>
      <w:r>
        <w:t>grant recipient</w:t>
      </w:r>
      <w:r w:rsidR="00D7222D">
        <w:t>s in the</w:t>
      </w:r>
      <w:r>
        <w:t xml:space="preserve"> final project reports. These issues are descri</w:t>
      </w:r>
      <w:r w:rsidR="00F20D90">
        <w:t>bed in more detail in Section 5.5.</w:t>
      </w:r>
    </w:p>
    <w:p w14:paraId="0BDDEA4D" w14:textId="6EF3DBD7" w:rsidR="00295AF8" w:rsidRPr="002C04B2" w:rsidRDefault="001347BD" w:rsidP="00CE6237">
      <w:pPr>
        <w:pStyle w:val="BodyText"/>
        <w:jc w:val="left"/>
      </w:pPr>
      <w:r>
        <w:t>The d</w:t>
      </w:r>
      <w:r w:rsidR="00295AF8" w:rsidRPr="00D51722">
        <w:t>epartment</w:t>
      </w:r>
      <w:r w:rsidR="00295AF8">
        <w:t xml:space="preserve"> </w:t>
      </w:r>
      <w:r w:rsidR="00295AF8" w:rsidRPr="00D51722">
        <w:t>commissioned ACIL Allen</w:t>
      </w:r>
      <w:r w:rsidR="00076EB6">
        <w:t xml:space="preserve"> Consulting</w:t>
      </w:r>
      <w:r w:rsidR="00295AF8" w:rsidRPr="00D51722">
        <w:t xml:space="preserve"> to conduct a separ</w:t>
      </w:r>
      <w:r w:rsidR="00A778A7">
        <w:t>ate evaluation of the governance and administration</w:t>
      </w:r>
      <w:r w:rsidR="00295AF8" w:rsidRPr="00D51722">
        <w:t xml:space="preserve"> of the </w:t>
      </w:r>
      <w:r w:rsidR="00835A86">
        <w:t>programme</w:t>
      </w:r>
      <w:r w:rsidR="00295AF8" w:rsidRPr="00D51722">
        <w:t>.</w:t>
      </w:r>
      <w:r w:rsidR="005D6030">
        <w:t xml:space="preserve"> </w:t>
      </w:r>
      <w:r w:rsidR="00921E1D" w:rsidRPr="00981B16">
        <w:rPr>
          <w:i/>
        </w:rPr>
        <w:t>The ACIL Allen Evaluation R</w:t>
      </w:r>
      <w:r w:rsidR="005D6030" w:rsidRPr="00981B16">
        <w:rPr>
          <w:i/>
        </w:rPr>
        <w:t xml:space="preserve">eport </w:t>
      </w:r>
      <w:r w:rsidR="005D6030">
        <w:t>was approved by the CEEP Steering Committee in August 2016.</w:t>
      </w:r>
      <w:r w:rsidR="00076EB6">
        <w:t xml:space="preserve"> </w:t>
      </w:r>
      <w:r w:rsidR="00A778A7">
        <w:t>For completeness, t</w:t>
      </w:r>
      <w:r w:rsidR="005D6030">
        <w:t xml:space="preserve">he findings and </w:t>
      </w:r>
      <w:r w:rsidR="005D6030" w:rsidRPr="00981B16">
        <w:t>recom</w:t>
      </w:r>
      <w:r w:rsidR="00981B16" w:rsidRPr="00981B16">
        <w:t>mendations from</w:t>
      </w:r>
      <w:r w:rsidR="00981B16" w:rsidRPr="00981B16">
        <w:rPr>
          <w:i/>
        </w:rPr>
        <w:t xml:space="preserve"> T</w:t>
      </w:r>
      <w:r w:rsidR="00921E1D" w:rsidRPr="00981B16">
        <w:rPr>
          <w:i/>
        </w:rPr>
        <w:t xml:space="preserve">he ACIL Allen Report </w:t>
      </w:r>
      <w:r w:rsidR="00921E1D">
        <w:t>have been incorporated</w:t>
      </w:r>
      <w:r w:rsidR="005D6030">
        <w:t xml:space="preserve"> in</w:t>
      </w:r>
      <w:r w:rsidR="00921E1D">
        <w:t>to</w:t>
      </w:r>
      <w:r w:rsidR="005D6030">
        <w:t xml:space="preserve"> </w:t>
      </w:r>
      <w:r w:rsidR="00A778A7">
        <w:t xml:space="preserve">Section 8 of </w:t>
      </w:r>
      <w:r w:rsidR="005D6030">
        <w:t>this report. A full copy of the ACI</w:t>
      </w:r>
      <w:r w:rsidR="00921E1D">
        <w:t xml:space="preserve">L Allen report </w:t>
      </w:r>
      <w:r w:rsidR="00BD5149">
        <w:t>can be</w:t>
      </w:r>
      <w:r w:rsidR="005D6030">
        <w:t xml:space="preserve"> </w:t>
      </w:r>
      <w:r w:rsidR="00BD5149">
        <w:t xml:space="preserve">found at </w:t>
      </w:r>
      <w:hyperlink r:id="rId27" w:tooltip="www.industry.gov.au/OCE" w:history="1">
        <w:r w:rsidR="00BD5149" w:rsidRPr="00CE1C63">
          <w:rPr>
            <w:rStyle w:val="Hyperlink"/>
          </w:rPr>
          <w:t>www.industry.gov.au/OCE</w:t>
        </w:r>
      </w:hyperlink>
      <w:r w:rsidR="00850002">
        <w:rPr>
          <w:u w:val="single"/>
        </w:rPr>
        <w:t>.</w:t>
      </w:r>
    </w:p>
    <w:p w14:paraId="5B7251E1" w14:textId="77777777" w:rsidR="00117A98" w:rsidRPr="00117A98" w:rsidRDefault="00C566EB" w:rsidP="00BB2FF3">
      <w:pPr>
        <w:pStyle w:val="Heading2"/>
      </w:pPr>
      <w:bookmarkStart w:id="21" w:name="_Toc483236845"/>
      <w:r>
        <w:t xml:space="preserve">Appropriateness </w:t>
      </w:r>
      <w:r>
        <w:rPr>
          <w:rFonts w:cstheme="majorHAnsi"/>
        </w:rPr>
        <w:t>—</w:t>
      </w:r>
      <w:r w:rsidR="00A778A7">
        <w:t xml:space="preserve"> </w:t>
      </w:r>
      <w:r w:rsidR="00117A98" w:rsidRPr="00117A98">
        <w:t>Policy Intent</w:t>
      </w:r>
      <w:bookmarkEnd w:id="21"/>
    </w:p>
    <w:p w14:paraId="4BBC10A2" w14:textId="77777777" w:rsidR="00A778A7" w:rsidRDefault="00A778A7" w:rsidP="00CE6237">
      <w:pPr>
        <w:pStyle w:val="BodyText"/>
        <w:jc w:val="left"/>
      </w:pPr>
      <w:r>
        <w:t xml:space="preserve">Carbon pollution is a form of negative externality caused by household and business activity. </w:t>
      </w:r>
      <w:r w:rsidRPr="008C0E68">
        <w:t xml:space="preserve">Externalities </w:t>
      </w:r>
      <w:r>
        <w:t xml:space="preserve">are a type of market failure that </w:t>
      </w:r>
      <w:r w:rsidRPr="008C0E68">
        <w:t>exist when the price of a good or service does not reflect its full costs or ben</w:t>
      </w:r>
      <w:r>
        <w:t>efits. Carbon pollution</w:t>
      </w:r>
      <w:r w:rsidRPr="008C0E68">
        <w:t xml:space="preserve"> </w:t>
      </w:r>
      <w:r>
        <w:t>imposes costs on other sectors of the economy that are not factored into the price of goods and services produced.</w:t>
      </w:r>
    </w:p>
    <w:p w14:paraId="08D70646" w14:textId="77777777" w:rsidR="00A778A7" w:rsidRDefault="00A778A7" w:rsidP="00CE6237">
      <w:pPr>
        <w:pStyle w:val="BodyText"/>
        <w:jc w:val="left"/>
      </w:pPr>
      <w:r>
        <w:t xml:space="preserve">In order to address this externality and </w:t>
      </w:r>
      <w:r w:rsidRPr="00C044FA">
        <w:t>encourage</w:t>
      </w:r>
      <w:r>
        <w:t xml:space="preserve"> a</w:t>
      </w:r>
      <w:r w:rsidRPr="00C044FA">
        <w:t xml:space="preserve"> reduction in Australia’s </w:t>
      </w:r>
      <w:r>
        <w:t xml:space="preserve">carbon </w:t>
      </w:r>
      <w:r w:rsidRPr="00C044FA">
        <w:t>emissions</w:t>
      </w:r>
      <w:r>
        <w:t xml:space="preserve">, the </w:t>
      </w:r>
      <w:r w:rsidR="004D706E">
        <w:t>former g</w:t>
      </w:r>
      <w:r>
        <w:t xml:space="preserve">overnment introduced </w:t>
      </w:r>
      <w:r w:rsidR="00345ABE">
        <w:t>a range of measures in the 2008</w:t>
      </w:r>
      <w:r w:rsidR="00345ABE">
        <w:rPr>
          <w:rFonts w:ascii="Calibri" w:hAnsi="Calibri"/>
        </w:rPr>
        <w:t>–</w:t>
      </w:r>
      <w:r>
        <w:t>09 Budget, including the Carbon Pollution Reduction Scheme (CPRS). Through the CPRS</w:t>
      </w:r>
      <w:r w:rsidR="004D706E">
        <w:t>, the g</w:t>
      </w:r>
      <w:r w:rsidRPr="008E1789">
        <w:t xml:space="preserve">overnment </w:t>
      </w:r>
      <w:r w:rsidR="00CE6237">
        <w:t xml:space="preserve">intended to </w:t>
      </w:r>
      <w:r>
        <w:t>introduce a</w:t>
      </w:r>
      <w:r w:rsidR="00981B16">
        <w:t>n ETS</w:t>
      </w:r>
      <w:r w:rsidRPr="008E1789">
        <w:t>.</w:t>
      </w:r>
      <w:r w:rsidR="004D706E">
        <w:t xml:space="preserve"> The g</w:t>
      </w:r>
      <w:r w:rsidR="00CE6237">
        <w:t xml:space="preserve">overnment believed </w:t>
      </w:r>
      <w:r>
        <w:t>the ETS</w:t>
      </w:r>
      <w:r w:rsidRPr="006F3001">
        <w:t xml:space="preserve"> would disproportiona</w:t>
      </w:r>
      <w:r>
        <w:t>te</w:t>
      </w:r>
      <w:r w:rsidRPr="006F3001">
        <w:t>ly aff</w:t>
      </w:r>
      <w:r>
        <w:t>ect local councils and community groups, through a sudden increase in energy prices.</w:t>
      </w:r>
      <w:r w:rsidRPr="00C044FA">
        <w:t xml:space="preserve"> </w:t>
      </w:r>
      <w:r>
        <w:t xml:space="preserve">It </w:t>
      </w:r>
      <w:r w:rsidRPr="00C044FA">
        <w:t>offer</w:t>
      </w:r>
      <w:r>
        <w:t xml:space="preserve">ed support through the CEEP to help these groups improve their energy efficiency, reduce their energy </w:t>
      </w:r>
      <w:r w:rsidR="00B714F7">
        <w:t>use, and subsequently mitigate</w:t>
      </w:r>
      <w:r>
        <w:t xml:space="preserve"> the financial impact of the introduction of the ETS.</w:t>
      </w:r>
    </w:p>
    <w:p w14:paraId="3C1862BA" w14:textId="77777777" w:rsidR="008269CC" w:rsidRDefault="008269CC" w:rsidP="00CE6237">
      <w:pPr>
        <w:pStyle w:val="BodyText"/>
        <w:jc w:val="left"/>
      </w:pPr>
      <w:r>
        <w:t>The</w:t>
      </w:r>
      <w:r w:rsidRPr="004E5F44">
        <w:t xml:space="preserve"> ETS</w:t>
      </w:r>
      <w:r>
        <w:t xml:space="preserve"> </w:t>
      </w:r>
      <w:r w:rsidR="00CB0999">
        <w:t xml:space="preserve">was not implemented as planned. </w:t>
      </w:r>
      <w:r>
        <w:t>However, the CEEP projects provided a significant improvement in energy efficiency and a large reduction in energy use by local coun</w:t>
      </w:r>
      <w:r w:rsidR="00F20D90">
        <w:t>cils and community groups (see</w:t>
      </w:r>
      <w:r>
        <w:t xml:space="preserve"> Section 5</w:t>
      </w:r>
      <w:r w:rsidR="00F20D90">
        <w:t>.2</w:t>
      </w:r>
      <w:r>
        <w:t>).</w:t>
      </w:r>
      <w:r w:rsidRPr="004E5F44">
        <w:t xml:space="preserve"> </w:t>
      </w:r>
      <w:r>
        <w:t>As most of the infrastructure projects h</w:t>
      </w:r>
      <w:r w:rsidR="00345ABE">
        <w:t>ave an expected life span of 10</w:t>
      </w:r>
      <w:r w:rsidR="00345ABE">
        <w:rPr>
          <w:rFonts w:ascii="Calibri" w:hAnsi="Calibri"/>
        </w:rPr>
        <w:t>–</w:t>
      </w:r>
      <w:r>
        <w:t>20 years, the grant recipients will continue to benefit from these financial savings for many years. The reduction in carbon pollution will also continue for many years, assisting Austr</w:t>
      </w:r>
      <w:r w:rsidR="00B714F7">
        <w:t>alia in its</w:t>
      </w:r>
      <w:r w:rsidR="004D706E">
        <w:t xml:space="preserve"> efforts to reach its</w:t>
      </w:r>
      <w:r>
        <w:t xml:space="preserve"> carbon pollution reduction goal by 2020.</w:t>
      </w:r>
    </w:p>
    <w:p w14:paraId="0E90555C" w14:textId="77777777" w:rsidR="008269CC" w:rsidRPr="00D5095F" w:rsidRDefault="008269CC" w:rsidP="00CE6237">
      <w:pPr>
        <w:pStyle w:val="BodyText"/>
        <w:jc w:val="left"/>
      </w:pPr>
      <w:r>
        <w:t>The CEEP</w:t>
      </w:r>
      <w:r w:rsidRPr="006545FE">
        <w:t xml:space="preserve"> w</w:t>
      </w:r>
      <w:r w:rsidR="00A17647">
        <w:t>as consistent with the</w:t>
      </w:r>
      <w:r>
        <w:t xml:space="preserve"> objectives of the </w:t>
      </w:r>
      <w:r w:rsidR="003D0AE4">
        <w:t xml:space="preserve">former </w:t>
      </w:r>
      <w:r w:rsidR="004D706E">
        <w:t>g</w:t>
      </w:r>
      <w:r>
        <w:t xml:space="preserve">overnment when the </w:t>
      </w:r>
      <w:r w:rsidR="00835A86">
        <w:t>programme</w:t>
      </w:r>
      <w:r w:rsidR="00737C4B">
        <w:t xml:space="preserve"> was introduced in 2011</w:t>
      </w:r>
      <w:r>
        <w:t xml:space="preserve">. It was also consistent with the objectives of the </w:t>
      </w:r>
      <w:r w:rsidR="003D0AE4">
        <w:t xml:space="preserve">former </w:t>
      </w:r>
      <w:r w:rsidR="004D706E">
        <w:t>g</w:t>
      </w:r>
      <w:r>
        <w:t xml:space="preserve">overnment’s 2011 strategy </w:t>
      </w:r>
      <w:r w:rsidRPr="00A17647">
        <w:rPr>
          <w:i/>
        </w:rPr>
        <w:t>Securing a Clean Energy Future.</w:t>
      </w:r>
      <w:r>
        <w:t xml:space="preserve"> The </w:t>
      </w:r>
      <w:r w:rsidR="004D706E">
        <w:t>current g</w:t>
      </w:r>
      <w:r w:rsidR="003D0AE4">
        <w:t xml:space="preserve">overnment’s </w:t>
      </w:r>
      <w:r>
        <w:t>Climate Action Plan centres on</w:t>
      </w:r>
      <w:r w:rsidRPr="00373490">
        <w:t xml:space="preserve"> the Emissions Reduction Fund</w:t>
      </w:r>
      <w:r>
        <w:t xml:space="preserve"> (ERF)</w:t>
      </w:r>
      <w:r w:rsidRPr="00373490">
        <w:t xml:space="preserve"> which supports Australian busin</w:t>
      </w:r>
      <w:r>
        <w:t>ess</w:t>
      </w:r>
      <w:r w:rsidRPr="00373490">
        <w:t xml:space="preserve"> and </w:t>
      </w:r>
      <w:r>
        <w:t xml:space="preserve">local </w:t>
      </w:r>
      <w:r w:rsidRPr="00373490">
        <w:t>councils to take practical, direct action to reduce emissions.</w:t>
      </w:r>
      <w:r w:rsidR="007854FA">
        <w:t xml:space="preserve"> </w:t>
      </w:r>
      <w:r w:rsidR="00EA6A28">
        <w:t xml:space="preserve">The </w:t>
      </w:r>
      <w:r w:rsidR="00EA6A28" w:rsidRPr="00973FDC">
        <w:rPr>
          <w:i/>
        </w:rPr>
        <w:t xml:space="preserve">National Energy Productivity Plan </w:t>
      </w:r>
      <w:r w:rsidR="00EA6A28" w:rsidRPr="00973FDC">
        <w:t>(NEEP)</w:t>
      </w:r>
      <w:r w:rsidR="00EA6A28">
        <w:t xml:space="preserve"> also</w:t>
      </w:r>
      <w:r w:rsidR="00A17647">
        <w:t xml:space="preserve"> supports activities to improve energy productivity in government operations</w:t>
      </w:r>
      <w:r w:rsidR="00EA6A28" w:rsidRPr="00973FDC">
        <w:t>.</w:t>
      </w:r>
      <w:r w:rsidR="00EA6A28">
        <w:t xml:space="preserve"> </w:t>
      </w:r>
      <w:r w:rsidR="007854FA">
        <w:t>Thus</w:t>
      </w:r>
      <w:r>
        <w:t xml:space="preserve"> the CEEP is consistent with the</w:t>
      </w:r>
      <w:r w:rsidR="004D706E">
        <w:t xml:space="preserve"> current g</w:t>
      </w:r>
      <w:r w:rsidR="003D0AE4">
        <w:t xml:space="preserve">overnment’s </w:t>
      </w:r>
      <w:r>
        <w:t>policy objectives.</w:t>
      </w:r>
    </w:p>
    <w:p w14:paraId="52277174" w14:textId="77777777" w:rsidR="008269CC" w:rsidRPr="008269CC" w:rsidRDefault="008269CC" w:rsidP="00BB2FF3">
      <w:pPr>
        <w:pStyle w:val="Heading2"/>
      </w:pPr>
      <w:bookmarkStart w:id="22" w:name="_Toc483236846"/>
      <w:r>
        <w:t xml:space="preserve">Effectiveness – </w:t>
      </w:r>
      <w:r w:rsidR="00835A86">
        <w:t>Programme</w:t>
      </w:r>
      <w:r>
        <w:t xml:space="preserve"> Impact</w:t>
      </w:r>
      <w:bookmarkEnd w:id="22"/>
    </w:p>
    <w:p w14:paraId="4E385079" w14:textId="77777777" w:rsidR="00D7222D" w:rsidRPr="00D7222D" w:rsidRDefault="00D7222D" w:rsidP="00D7222D">
      <w:pPr>
        <w:pStyle w:val="BodyText"/>
        <w:spacing w:after="120"/>
        <w:jc w:val="left"/>
        <w:rPr>
          <w:rFonts w:eastAsia="Calibri" w:cstheme="minorHAnsi"/>
        </w:rPr>
      </w:pPr>
      <w:r w:rsidRPr="00D7222D">
        <w:rPr>
          <w:rFonts w:eastAsia="Calibri" w:cstheme="minorHAnsi"/>
        </w:rPr>
        <w:t xml:space="preserve">According to the final project report data provided by grant recipients, all but two projects achieved energy efficiency improvements. The projects resulted in a combined total saving of approximately </w:t>
      </w:r>
      <w:r w:rsidRPr="00BD5149">
        <w:rPr>
          <w:rFonts w:eastAsia="Calibri" w:cstheme="minorHAnsi"/>
        </w:rPr>
        <w:t>350 TJ</w:t>
      </w:r>
      <w:r w:rsidRPr="00D7222D">
        <w:rPr>
          <w:rFonts w:eastAsia="Calibri" w:cstheme="minorHAnsi"/>
        </w:rPr>
        <w:t xml:space="preserve"> of energy per annum. This is equivalent to the energy used</w:t>
      </w:r>
      <w:r>
        <w:rPr>
          <w:rFonts w:eastAsia="Calibri" w:cstheme="minorHAnsi"/>
        </w:rPr>
        <w:t xml:space="preserve"> by over 6,800 Australian homes.</w:t>
      </w:r>
      <w:r w:rsidRPr="00D7222D">
        <w:rPr>
          <w:rStyle w:val="FootnoteReference"/>
          <w:rFonts w:eastAsia="Calibri" w:cstheme="minorHAnsi"/>
        </w:rPr>
        <w:t xml:space="preserve"> </w:t>
      </w:r>
      <w:r w:rsidRPr="00FA1FDD">
        <w:rPr>
          <w:rStyle w:val="FootnoteReference"/>
          <w:rFonts w:eastAsia="Calibri" w:cstheme="minorHAnsi"/>
        </w:rPr>
        <w:footnoteReference w:id="3"/>
      </w:r>
      <w:r>
        <w:t xml:space="preserve"> </w:t>
      </w:r>
      <w:r w:rsidRPr="00D7222D">
        <w:rPr>
          <w:rFonts w:eastAsia="Calibri" w:cstheme="minorHAnsi"/>
        </w:rPr>
        <w:t>It is clear from these results that the programme achieved the objectives of improving the energy efficiency</w:t>
      </w:r>
      <w:r w:rsidR="00B714F7">
        <w:rPr>
          <w:rFonts w:eastAsia="Calibri" w:cstheme="minorHAnsi"/>
        </w:rPr>
        <w:t>, and reducing the energy costs</w:t>
      </w:r>
      <w:r w:rsidRPr="00D7222D">
        <w:rPr>
          <w:rFonts w:eastAsia="Calibri" w:cstheme="minorHAnsi"/>
        </w:rPr>
        <w:t xml:space="preserve"> of grant recipients. However, it is difficult to assess the extent to which the programme met the Government’s expectations, as no performance targets were established at the commencement of the programme.</w:t>
      </w:r>
    </w:p>
    <w:p w14:paraId="617409EC" w14:textId="77777777" w:rsidR="00D7222D" w:rsidRPr="00D7222D" w:rsidRDefault="00D7222D" w:rsidP="00D7222D">
      <w:pPr>
        <w:pStyle w:val="BodyText"/>
        <w:spacing w:after="120"/>
        <w:jc w:val="left"/>
        <w:rPr>
          <w:rFonts w:eastAsia="Calibri" w:cstheme="minorHAnsi"/>
        </w:rPr>
      </w:pPr>
      <w:r w:rsidRPr="00D7222D">
        <w:rPr>
          <w:rFonts w:eastAsia="Calibri" w:cstheme="minorHAnsi"/>
        </w:rPr>
        <w:t>Based on the final project report data provided by grant recipients, over an assumed fi</w:t>
      </w:r>
      <w:r w:rsidR="00B714F7">
        <w:rPr>
          <w:rFonts w:eastAsia="Calibri" w:cstheme="minorHAnsi"/>
        </w:rPr>
        <w:t>fteen-year project life span the programme</w:t>
      </w:r>
      <w:r w:rsidRPr="00D7222D">
        <w:rPr>
          <w:rFonts w:eastAsia="Calibri" w:cstheme="minorHAnsi"/>
        </w:rPr>
        <w:t xml:space="preserve"> cost the Australian Government approximately $19,000 to reduce one TJ of energy. The total cost (including both CEEP grant funding and contributions by grant recipients) equates to approximately $38,000 to reduce one TJ of energy.</w:t>
      </w:r>
      <w:r w:rsidRPr="00D7222D">
        <w:rPr>
          <w:rStyle w:val="FootnoteReference"/>
          <w:rFonts w:eastAsia="Calibri" w:cstheme="minorHAnsi"/>
        </w:rPr>
        <w:t xml:space="preserve"> </w:t>
      </w:r>
      <w:r w:rsidRPr="00FA1FDD">
        <w:rPr>
          <w:rStyle w:val="FootnoteReference"/>
          <w:rFonts w:eastAsia="Calibri" w:cstheme="minorHAnsi"/>
        </w:rPr>
        <w:footnoteReference w:id="4"/>
      </w:r>
    </w:p>
    <w:p w14:paraId="3BAD8604" w14:textId="77777777" w:rsidR="00D7222D" w:rsidRPr="00D7222D" w:rsidRDefault="00D7222D" w:rsidP="00D7222D">
      <w:pPr>
        <w:pStyle w:val="BodyText"/>
        <w:spacing w:after="120"/>
        <w:jc w:val="left"/>
        <w:rPr>
          <w:rFonts w:eastAsia="Calibri" w:cstheme="minorHAnsi"/>
        </w:rPr>
      </w:pPr>
      <w:r w:rsidRPr="00D7222D">
        <w:rPr>
          <w:rFonts w:eastAsia="Calibri" w:cstheme="minorHAnsi"/>
        </w:rPr>
        <w:t>The evaluation was unable to assess the cost-effectiveness of the programme because of the data limitations (described</w:t>
      </w:r>
      <w:r w:rsidR="00B714F7">
        <w:rPr>
          <w:rFonts w:eastAsia="Calibri" w:cstheme="minorHAnsi"/>
        </w:rPr>
        <w:t xml:space="preserve"> below and</w:t>
      </w:r>
      <w:r w:rsidRPr="00D7222D">
        <w:rPr>
          <w:rFonts w:eastAsia="Calibri" w:cstheme="minorHAnsi"/>
        </w:rPr>
        <w:t xml:space="preserve"> in Section 5.5). In addition, there was no information available on the results achieved by comparable domestic and international programmes. The evaluation considered the price that would be paid by the average Australian household for one TJ of energy ($29,280).</w:t>
      </w:r>
      <w:r w:rsidRPr="00D7222D">
        <w:rPr>
          <w:rStyle w:val="FootnoteReference"/>
          <w:rFonts w:eastAsia="Calibri" w:cstheme="minorHAnsi"/>
        </w:rPr>
        <w:t xml:space="preserve"> </w:t>
      </w:r>
      <w:r w:rsidRPr="001F4128">
        <w:rPr>
          <w:rStyle w:val="FootnoteReference"/>
          <w:rFonts w:eastAsia="Calibri" w:cstheme="minorHAnsi"/>
        </w:rPr>
        <w:footnoteReference w:id="5"/>
      </w:r>
      <w:r w:rsidRPr="00D7222D">
        <w:rPr>
          <w:rFonts w:eastAsia="Calibri" w:cstheme="minorHAnsi"/>
        </w:rPr>
        <w:t xml:space="preserve"> However, this comparison does not include the co-benefits of the programme or the reduction in carbon emissions achieved. The energy saving results, together with the qualitative information from grant recipients, suggests that the programme was beneficial when co-benefits were included. However, a more detailed assessment of co-benefits would be required in order to measure the programme’s cost-effectiveness.</w:t>
      </w:r>
    </w:p>
    <w:p w14:paraId="0AFB14C8" w14:textId="77777777" w:rsidR="008269CC" w:rsidRDefault="008269CC" w:rsidP="00067B3B">
      <w:pPr>
        <w:pStyle w:val="BodyText"/>
        <w:spacing w:after="120"/>
        <w:jc w:val="left"/>
      </w:pPr>
      <w:r>
        <w:t>Most of the CEEP projects were provided to upgrade space lighting (indoor and outdoor). Many projects involved more than one type of technology upgrade. However, grant recipient data was collated according to ‘main’ technology type. This made it difficult to assess the extent of each technology type used, and the corresponding energy reductions achieved. Based on the grant recipient data, space lighting provided the highest return on investment of all technology types implemented, closely followed by street lighting.</w:t>
      </w:r>
    </w:p>
    <w:p w14:paraId="5D590184" w14:textId="77777777" w:rsidR="008269CC" w:rsidRDefault="004D706E" w:rsidP="00067B3B">
      <w:pPr>
        <w:pStyle w:val="BodyText"/>
        <w:spacing w:after="120"/>
        <w:jc w:val="left"/>
        <w:rPr>
          <w:rFonts w:eastAsia="Calibri" w:cs="Times New Roman"/>
        </w:rPr>
      </w:pPr>
      <w:r>
        <w:rPr>
          <w:rFonts w:eastAsia="Calibri" w:cs="Times New Roman"/>
        </w:rPr>
        <w:t xml:space="preserve">A </w:t>
      </w:r>
      <w:r w:rsidR="008269CC">
        <w:rPr>
          <w:rFonts w:eastAsia="Calibri" w:cs="Times New Roman"/>
        </w:rPr>
        <w:t>small number of grant recipients provided evidence of the impact of direct community engagement activities (</w:t>
      </w:r>
      <w:r w:rsidR="00BD5149">
        <w:rPr>
          <w:rFonts w:eastAsia="Calibri" w:cs="Times New Roman"/>
        </w:rPr>
        <w:t xml:space="preserve">such as </w:t>
      </w:r>
      <w:r w:rsidR="008269CC">
        <w:rPr>
          <w:rFonts w:eastAsia="Calibri" w:cs="Times New Roman"/>
        </w:rPr>
        <w:t>public workshops and seminars). This included surveys of participants directly after the events, and lo</w:t>
      </w:r>
      <w:r>
        <w:rPr>
          <w:rFonts w:eastAsia="Calibri" w:cs="Times New Roman"/>
        </w:rPr>
        <w:t xml:space="preserve">nger-term surveys to measure </w:t>
      </w:r>
      <w:r w:rsidR="008269CC">
        <w:rPr>
          <w:rFonts w:eastAsia="Calibri" w:cs="Times New Roman"/>
        </w:rPr>
        <w:t>implement</w:t>
      </w:r>
      <w:r>
        <w:rPr>
          <w:rFonts w:eastAsia="Calibri" w:cs="Times New Roman"/>
        </w:rPr>
        <w:t>ation of</w:t>
      </w:r>
      <w:r w:rsidR="008269CC">
        <w:rPr>
          <w:rFonts w:eastAsia="Calibri" w:cs="Times New Roman"/>
        </w:rPr>
        <w:t xml:space="preserve"> energy efficiency measures. While only a small sample size, the results show a significant improvement in energy efficiency by households who participated in the events. No information was provided by grant recipients on the impact of less direct commun</w:t>
      </w:r>
      <w:r>
        <w:rPr>
          <w:rFonts w:eastAsia="Calibri" w:cs="Times New Roman"/>
        </w:rPr>
        <w:t>ity engagement activities (</w:t>
      </w:r>
      <w:r w:rsidR="00BD5149">
        <w:rPr>
          <w:rFonts w:eastAsia="Calibri" w:cs="Times New Roman"/>
        </w:rPr>
        <w:t xml:space="preserve">such as </w:t>
      </w:r>
      <w:r w:rsidR="008269CC">
        <w:rPr>
          <w:rFonts w:eastAsia="Calibri" w:cs="Times New Roman"/>
        </w:rPr>
        <w:t>adverti</w:t>
      </w:r>
      <w:r w:rsidR="00075F5E">
        <w:rPr>
          <w:rFonts w:eastAsia="Calibri" w:cs="Times New Roman"/>
        </w:rPr>
        <w:t>sing, brochures and websites</w:t>
      </w:r>
      <w:r w:rsidR="008269CC">
        <w:rPr>
          <w:rFonts w:eastAsia="Calibri" w:cs="Times New Roman"/>
        </w:rPr>
        <w:t>).</w:t>
      </w:r>
    </w:p>
    <w:p w14:paraId="3A9BFC05" w14:textId="77777777" w:rsidR="005D59EC" w:rsidRDefault="005D59EC" w:rsidP="00067B3B">
      <w:pPr>
        <w:pStyle w:val="BodyText"/>
        <w:spacing w:after="120"/>
        <w:jc w:val="left"/>
      </w:pPr>
      <w:r>
        <w:rPr>
          <w:rFonts w:eastAsia="Calibri" w:cs="Times New Roman"/>
        </w:rPr>
        <w:t>The evaluation was constrained by limitations encountered with the energy efficiency data. Inconsistent baseline energy figures, an inadequate post-reporting period, and the influence of external factors</w:t>
      </w:r>
      <w:r w:rsidR="00177AFA">
        <w:rPr>
          <w:rFonts w:eastAsia="Calibri" w:cs="Times New Roman"/>
        </w:rPr>
        <w:t xml:space="preserve"> (such as seasonal changes to energy use and changes to energy prices)</w:t>
      </w:r>
      <w:r>
        <w:rPr>
          <w:rFonts w:eastAsia="Calibri" w:cs="Times New Roman"/>
        </w:rPr>
        <w:t>, all restricted the reliability of the data. Due to the inconsistent energy measurements used by grant recipients, the data required a significant amount of collating and formatting by AusIndustry before it was provided to the evaluators.</w:t>
      </w:r>
      <w:r w:rsidR="00075F5E">
        <w:rPr>
          <w:rFonts w:eastAsia="Calibri" w:cs="Times New Roman"/>
        </w:rPr>
        <w:t xml:space="preserve"> Further detail on the data limitations is provided in Section 5.5.</w:t>
      </w:r>
    </w:p>
    <w:p w14:paraId="0D202835" w14:textId="77777777" w:rsidR="00FA6A89" w:rsidRPr="00B714F7" w:rsidRDefault="001578AB" w:rsidP="00BB2FF3">
      <w:pPr>
        <w:pStyle w:val="Heading2"/>
      </w:pPr>
      <w:bookmarkStart w:id="23" w:name="_Toc483236847"/>
      <w:r>
        <w:t>Co</w:t>
      </w:r>
      <w:r w:rsidR="00F30BC2">
        <w:t>-</w:t>
      </w:r>
      <w:r w:rsidR="00FA6A89">
        <w:t>benefits</w:t>
      </w:r>
      <w:bookmarkEnd w:id="23"/>
    </w:p>
    <w:p w14:paraId="25B32B4F" w14:textId="77777777" w:rsidR="00A400C9" w:rsidRDefault="004D706E" w:rsidP="00CE6237">
      <w:pPr>
        <w:pStyle w:val="BodyText"/>
        <w:jc w:val="left"/>
      </w:pPr>
      <w:r>
        <w:rPr>
          <w:szCs w:val="20"/>
        </w:rPr>
        <w:t>Qualitative</w:t>
      </w:r>
      <w:r w:rsidR="00A400C9">
        <w:rPr>
          <w:szCs w:val="20"/>
        </w:rPr>
        <w:t xml:space="preserve"> evidence provided by grant recipients suggests the CEEP</w:t>
      </w:r>
      <w:r w:rsidR="00A400C9" w:rsidRPr="00D71163">
        <w:rPr>
          <w:szCs w:val="20"/>
        </w:rPr>
        <w:t xml:space="preserve"> produced a wide range of co-benefits including: </w:t>
      </w:r>
      <w:r w:rsidR="00A400C9" w:rsidRPr="0032009C">
        <w:rPr>
          <w:szCs w:val="20"/>
        </w:rPr>
        <w:t>improved facility amenities; reduced maintenance costs; increased operating hours; improved employee/client health and safety; increased sales; and increased services available to the community.</w:t>
      </w:r>
      <w:r w:rsidR="00A400C9">
        <w:rPr>
          <w:szCs w:val="20"/>
        </w:rPr>
        <w:t xml:space="preserve"> </w:t>
      </w:r>
      <w:r w:rsidR="00A400C9">
        <w:t>There was no quantitative data provided by grant recipient</w:t>
      </w:r>
      <w:r>
        <w:t>s to measure the specific level</w:t>
      </w:r>
      <w:r w:rsidR="00A400C9">
        <w:t xml:space="preserve"> of co-benefits produced by the CEEP. Information was analysed from the comments provided by grant recipients in the final project reports.</w:t>
      </w:r>
    </w:p>
    <w:p w14:paraId="65913610" w14:textId="77777777" w:rsidR="008269CC" w:rsidRDefault="00A400C9" w:rsidP="00CE6237">
      <w:pPr>
        <w:pStyle w:val="BodyText"/>
        <w:jc w:val="left"/>
        <w:rPr>
          <w:i/>
        </w:rPr>
      </w:pPr>
      <w:r>
        <w:rPr>
          <w:szCs w:val="20"/>
        </w:rPr>
        <w:t>The CEEP often</w:t>
      </w:r>
      <w:r w:rsidRPr="0032009C">
        <w:rPr>
          <w:szCs w:val="20"/>
        </w:rPr>
        <w:t xml:space="preserve"> enabled technology upgrades that ma</w:t>
      </w:r>
      <w:r>
        <w:rPr>
          <w:szCs w:val="20"/>
        </w:rPr>
        <w:t xml:space="preserve">y not have otherwise occurred. </w:t>
      </w:r>
      <w:r>
        <w:t xml:space="preserve">More than half of the grant recipients indicated that without the CEEP grant they would not have begun the energy efficiency upgrades, or would have delayed their projects by several years. </w:t>
      </w:r>
    </w:p>
    <w:p w14:paraId="0ED3DEC7" w14:textId="77777777" w:rsidR="00FA6A89" w:rsidRDefault="00A400C9" w:rsidP="00CE6237">
      <w:pPr>
        <w:pStyle w:val="BodyText"/>
        <w:jc w:val="left"/>
      </w:pPr>
      <w:r>
        <w:rPr>
          <w:szCs w:val="20"/>
        </w:rPr>
        <w:t xml:space="preserve">There was no quantitative information available to measure the impact of the CEEP on the </w:t>
      </w:r>
      <w:r w:rsidRPr="00913D3E">
        <w:rPr>
          <w:szCs w:val="20"/>
        </w:rPr>
        <w:t>broader energy efficiency industry in Australia</w:t>
      </w:r>
      <w:r>
        <w:rPr>
          <w:szCs w:val="20"/>
        </w:rPr>
        <w:t xml:space="preserve">. Interviews with a small number of industry stakeholders suggest that </w:t>
      </w:r>
      <w:r w:rsidR="00B96C9E">
        <w:rPr>
          <w:szCs w:val="20"/>
        </w:rPr>
        <w:t xml:space="preserve">the </w:t>
      </w:r>
      <w:r>
        <w:rPr>
          <w:szCs w:val="20"/>
        </w:rPr>
        <w:t>CE</w:t>
      </w:r>
      <w:r w:rsidR="00B96C9E">
        <w:rPr>
          <w:szCs w:val="20"/>
        </w:rPr>
        <w:t>EP may have supported the growth of Australian manufacturers of LEDs</w:t>
      </w:r>
      <w:r>
        <w:rPr>
          <w:szCs w:val="20"/>
        </w:rPr>
        <w:t xml:space="preserve">. </w:t>
      </w:r>
      <w:r>
        <w:t xml:space="preserve">One stakeholder claimed that the CEEP allowed grant recipients to afford significantly larger street light projects. </w:t>
      </w:r>
      <w:r w:rsidR="00B96C9E">
        <w:t xml:space="preserve">He believed this increased the demand for LEDs, which reduced the manufacturing price by 50 per cent. </w:t>
      </w:r>
    </w:p>
    <w:p w14:paraId="71163F66" w14:textId="77777777" w:rsidR="00FA6A89" w:rsidRPr="00FA6A89" w:rsidRDefault="00FA6A89" w:rsidP="00BB2FF3">
      <w:pPr>
        <w:pStyle w:val="Heading2"/>
      </w:pPr>
      <w:bookmarkStart w:id="24" w:name="_Toc483236848"/>
      <w:r>
        <w:t>Unintended Consequences</w:t>
      </w:r>
      <w:bookmarkEnd w:id="24"/>
    </w:p>
    <w:p w14:paraId="7D8B145A" w14:textId="77777777" w:rsidR="00E64234" w:rsidRPr="00CE6237" w:rsidRDefault="00BB61F5" w:rsidP="00664B56">
      <w:pPr>
        <w:pStyle w:val="BodyText"/>
        <w:jc w:val="left"/>
        <w:rPr>
          <w:i/>
        </w:rPr>
      </w:pPr>
      <w:r>
        <w:t xml:space="preserve">The evaluation considered the comments provided in grant recipient final reports to assess whether there have been any unintended effects of the </w:t>
      </w:r>
      <w:r w:rsidR="00835A86">
        <w:t>programme</w:t>
      </w:r>
      <w:r>
        <w:t xml:space="preserve"> on grant recipients. </w:t>
      </w:r>
      <w:r w:rsidRPr="00EB0D56">
        <w:t xml:space="preserve">Some </w:t>
      </w:r>
      <w:r>
        <w:t xml:space="preserve">grant </w:t>
      </w:r>
      <w:r w:rsidRPr="00EB0D56">
        <w:t>recipients</w:t>
      </w:r>
      <w:r>
        <w:t xml:space="preserve"> reported</w:t>
      </w:r>
      <w:r w:rsidRPr="00EB0D56">
        <w:t xml:space="preserve"> that after the installation of LED s</w:t>
      </w:r>
      <w:r>
        <w:t>t</w:t>
      </w:r>
      <w:r w:rsidRPr="00EB0D56">
        <w:t>reetlights, the</w:t>
      </w:r>
      <w:r>
        <w:t>ir</w:t>
      </w:r>
      <w:r w:rsidRPr="00EB0D56">
        <w:t xml:space="preserve"> </w:t>
      </w:r>
      <w:r w:rsidR="00F20D90">
        <w:t xml:space="preserve">power companies increased </w:t>
      </w:r>
      <w:r w:rsidRPr="00EB0D56">
        <w:t xml:space="preserve">prices to compensate for the revenue lost through </w:t>
      </w:r>
      <w:r>
        <w:t>reduced maintenance requirements</w:t>
      </w:r>
      <w:r w:rsidRPr="00EB0D56">
        <w:t xml:space="preserve">. </w:t>
      </w:r>
      <w:r>
        <w:t xml:space="preserve">Typically, this was observed in regional and remote locations. </w:t>
      </w:r>
      <w:r w:rsidR="00377814">
        <w:t>Two grant recipients (delivering a joint project) had to reduce the scope of their street light replacement programme due to the requirement of paying a gifting tax to the relevant state government (approximately $1 million). This was caused by issues with the ownership of street light poles (</w:t>
      </w:r>
      <w:r w:rsidR="00901806">
        <w:t xml:space="preserve">owned </w:t>
      </w:r>
      <w:r w:rsidR="00377814">
        <w:t>by the network provider). These issues may require further consideration in the design of future energy efficiency programme</w:t>
      </w:r>
      <w:r w:rsidR="00901806">
        <w:t>s. T</w:t>
      </w:r>
      <w:r w:rsidR="00901806">
        <w:rPr>
          <w:szCs w:val="20"/>
        </w:rPr>
        <w:t>he evaluation did not find</w:t>
      </w:r>
      <w:r>
        <w:rPr>
          <w:szCs w:val="20"/>
        </w:rPr>
        <w:t xml:space="preserve"> evidence of significant unintended consequences as a result of the </w:t>
      </w:r>
      <w:r w:rsidR="00835A86">
        <w:rPr>
          <w:szCs w:val="20"/>
        </w:rPr>
        <w:t>programme</w:t>
      </w:r>
      <w:r>
        <w:rPr>
          <w:szCs w:val="20"/>
        </w:rPr>
        <w:t>.</w:t>
      </w:r>
      <w:r w:rsidR="00E64234" w:rsidRPr="006149FD">
        <w:rPr>
          <w:rStyle w:val="BodyTextChar"/>
        </w:rPr>
        <w:t xml:space="preserve"> </w:t>
      </w:r>
    </w:p>
    <w:p w14:paraId="5B98BAE7" w14:textId="77777777" w:rsidR="00623B41" w:rsidRDefault="00623B41">
      <w:pPr>
        <w:spacing w:after="200" w:line="276" w:lineRule="auto"/>
        <w:rPr>
          <w:rFonts w:asciiTheme="majorHAnsi" w:eastAsia="Times New Roman" w:hAnsiTheme="majorHAnsi" w:cs="Arial"/>
          <w:b/>
          <w:bCs/>
          <w:color w:val="22789A"/>
          <w:kern w:val="32"/>
          <w:sz w:val="32"/>
          <w:szCs w:val="32"/>
        </w:rPr>
      </w:pPr>
      <w:bookmarkStart w:id="25" w:name="_Toc332291710"/>
      <w:bookmarkStart w:id="26" w:name="_Toc355705047"/>
      <w:bookmarkStart w:id="27" w:name="_Toc446426610"/>
      <w:bookmarkStart w:id="28" w:name="_Toc463621565"/>
      <w:bookmarkStart w:id="29" w:name="_Toc463864365"/>
      <w:bookmarkStart w:id="30" w:name="_Toc463876941"/>
      <w:bookmarkStart w:id="31" w:name="_Toc463970043"/>
      <w:bookmarkStart w:id="32" w:name="_Toc464116812"/>
      <w:r>
        <w:br w:type="page"/>
      </w:r>
    </w:p>
    <w:p w14:paraId="0D4713A7" w14:textId="77777777" w:rsidR="00295AF8" w:rsidRPr="00370124" w:rsidRDefault="00295AF8" w:rsidP="00117A98">
      <w:pPr>
        <w:pStyle w:val="Heading1"/>
      </w:pPr>
      <w:bookmarkStart w:id="33" w:name="_Toc483236849"/>
      <w:r w:rsidRPr="00C044FA">
        <w:t>Finding</w:t>
      </w:r>
      <w:bookmarkStart w:id="34" w:name="_Toc171840433"/>
      <w:bookmarkStart w:id="35" w:name="_Toc206494353"/>
      <w:bookmarkStart w:id="36" w:name="_Toc213230785"/>
      <w:bookmarkStart w:id="37" w:name="_Toc213741670"/>
      <w:bookmarkStart w:id="38" w:name="_Toc332291711"/>
      <w:bookmarkStart w:id="39" w:name="_Toc355705048"/>
      <w:bookmarkStart w:id="40" w:name="_Toc463621566"/>
      <w:bookmarkStart w:id="41" w:name="_Toc463864366"/>
      <w:bookmarkStart w:id="42" w:name="_Toc463876942"/>
      <w:bookmarkStart w:id="43" w:name="_Toc463970044"/>
      <w:bookmarkStart w:id="44" w:name="_Toc464116813"/>
      <w:bookmarkEnd w:id="25"/>
      <w:bookmarkEnd w:id="26"/>
      <w:bookmarkEnd w:id="27"/>
      <w:bookmarkEnd w:id="28"/>
      <w:bookmarkEnd w:id="29"/>
      <w:bookmarkEnd w:id="30"/>
      <w:bookmarkEnd w:id="31"/>
      <w:bookmarkEnd w:id="32"/>
      <w:bookmarkEnd w:id="34"/>
      <w:bookmarkEnd w:id="35"/>
      <w:bookmarkEnd w:id="36"/>
      <w:bookmarkEnd w:id="37"/>
      <w:bookmarkEnd w:id="38"/>
      <w:bookmarkEnd w:id="39"/>
      <w:bookmarkEnd w:id="40"/>
      <w:bookmarkEnd w:id="41"/>
      <w:bookmarkEnd w:id="42"/>
      <w:bookmarkEnd w:id="43"/>
      <w:bookmarkEnd w:id="44"/>
      <w:r w:rsidR="00E64234">
        <w:t>s</w:t>
      </w:r>
      <w:r w:rsidR="0052429C">
        <w:t>, Recommendations and Lessons Learned</w:t>
      </w:r>
      <w:bookmarkEnd w:id="33"/>
    </w:p>
    <w:p w14:paraId="7AC99813" w14:textId="77777777" w:rsidR="00623B41" w:rsidRPr="00623B41" w:rsidRDefault="00F167A5" w:rsidP="00623B41">
      <w:pPr>
        <w:pStyle w:val="Heading2"/>
        <w:rPr>
          <w:rFonts w:eastAsia="Calibri"/>
        </w:rPr>
      </w:pPr>
      <w:bookmarkStart w:id="45" w:name="_Toc483236850"/>
      <w:r>
        <w:rPr>
          <w:rFonts w:eastAsia="Calibri"/>
        </w:rPr>
        <w:t>Impact Evaluation</w:t>
      </w:r>
      <w:bookmarkEnd w:id="45"/>
    </w:p>
    <w:tbl>
      <w:tblPr>
        <w:tblStyle w:val="OCETable"/>
        <w:tblpPr w:leftFromText="180" w:rightFromText="180" w:vertAnchor="text" w:horzAnchor="margin" w:tblpY="42"/>
        <w:tblW w:w="6804" w:type="dxa"/>
        <w:tblLayout w:type="fixed"/>
        <w:tblLook w:val="04A0" w:firstRow="1" w:lastRow="0" w:firstColumn="1" w:lastColumn="0" w:noHBand="0" w:noVBand="1"/>
        <w:tblCaption w:val="Summary of the nine findings from this Impact evaluation"/>
        <w:tblDescription w:val="1 The CEEP was appropriately designed, at the time it was introduced, to ameliorate the financial impact of the introduction of an ETS on local councils and community groups. Despite the ETS not being implemented, the CEEP projects will continue to deliver financial benefits to grant recipients, and environmental benefits to Australia.&#10;2.The CEEP has been consistent with the strategic objectives of the Australian Government since the programme was introduced in 2011. In particular, it is consistent with the current government’s programme objectives and approach, through the Emissions Reduction Fund and the National Energy Productivity Plan.&#10;3.All but two projects achieved energy efficiency improvements. The projects resulted in a combined total saving of approximately 350 TJ per annum.&#10;4. Grant recipient data was collated according to ‘main’ technology type. This made it difficult to assess the extent of each technology type used. However, the data suggest that the projects with the highest return on investment were space and street lighting.&#10;5. Limited evidence was provided by grant recipients to measure the benefits of community awareness activities. However, a small sample of information suggests a significant improvement in energy efficiency by households who participated in direct engagement activities (public workshops and seminars).&#10;6. Qualitative evidence provided by grant recipients suggests the CEEP produced a wide range of co-benefits including: improved facility amenities; reduced maintenance costs; increased operating hours; improved employee/client health and safety; increased sales; and increased services available to the community.&#10;7. The CEEP often enabled technology upgrades that may not have otherwise occurred. Grant recipients commonly reported that the grant allowed projects to be brought forward by many years, or to fund upgrades that were not planned at all due to financial constraints.&#10;8. There was no quantitative information available to measure the impact of the CEEP on the broader energy efficiency industry in Australia. Interviews with a small number of industry stakeholders suggest that CEEP may have supported the growth of Australian manufacturers of LEDs.&#10;9. The evaluation did not find any evidence of significant unintended consequences as a result of the programme. However, some barriers did exist (in a limited number of cases) that reduced the effectiveness of the programme. This included issues with the ownership of street light poles, and the pricing structure for street lighting.&#10;"/>
      </w:tblPr>
      <w:tblGrid>
        <w:gridCol w:w="426"/>
        <w:gridCol w:w="6378"/>
      </w:tblGrid>
      <w:tr w:rsidR="00BA6835" w:rsidRPr="00BA6835" w14:paraId="6E6F573A" w14:textId="77777777" w:rsidTr="008A0E69">
        <w:trPr>
          <w:cnfStyle w:val="100000000000" w:firstRow="1" w:lastRow="0" w:firstColumn="0" w:lastColumn="0" w:oddVBand="0" w:evenVBand="0" w:oddHBand="0" w:evenHBand="0" w:firstRowFirstColumn="0" w:firstRowLastColumn="0" w:lastRowFirstColumn="0" w:lastRowLastColumn="0"/>
          <w:tblHeader/>
        </w:trPr>
        <w:tc>
          <w:tcPr>
            <w:tcW w:w="6804" w:type="dxa"/>
            <w:gridSpan w:val="2"/>
          </w:tcPr>
          <w:p w14:paraId="22DC09C4" w14:textId="77777777" w:rsidR="00BA6835" w:rsidRPr="00BA6835" w:rsidRDefault="002D2A24" w:rsidP="00BB2FF3">
            <w:pPr>
              <w:spacing w:before="120" w:after="120" w:line="276" w:lineRule="auto"/>
              <w:rPr>
                <w:rFonts w:eastAsia="Calibri" w:cs="Times New Roman"/>
                <w:szCs w:val="20"/>
              </w:rPr>
            </w:pPr>
            <w:r w:rsidRPr="00BA6835">
              <w:rPr>
                <w:rFonts w:eastAsia="Calibri" w:cs="Times New Roman"/>
                <w:color w:val="FFFFFF" w:themeColor="background1"/>
                <w:szCs w:val="20"/>
              </w:rPr>
              <w:t>FINDINGS – Impact Evaluation</w:t>
            </w:r>
          </w:p>
        </w:tc>
      </w:tr>
      <w:tr w:rsidR="00623B41" w14:paraId="0A7CD9B1" w14:textId="77777777" w:rsidTr="002D2A24">
        <w:tc>
          <w:tcPr>
            <w:tcW w:w="426" w:type="dxa"/>
          </w:tcPr>
          <w:p w14:paraId="407240A9" w14:textId="77777777" w:rsidR="00623B41" w:rsidRPr="00CE1C63" w:rsidRDefault="00623B41" w:rsidP="00CE1C63">
            <w:pPr>
              <w:pStyle w:val="Tabletext"/>
            </w:pPr>
            <w:r w:rsidRPr="00CE1C63">
              <w:t>1</w:t>
            </w:r>
          </w:p>
          <w:p w14:paraId="7A275F25" w14:textId="77777777" w:rsidR="00623B41" w:rsidRPr="00CE1C63" w:rsidRDefault="00623B41" w:rsidP="00CE1C63">
            <w:pPr>
              <w:pStyle w:val="Tabletext"/>
            </w:pPr>
          </w:p>
        </w:tc>
        <w:tc>
          <w:tcPr>
            <w:tcW w:w="6378" w:type="dxa"/>
          </w:tcPr>
          <w:p w14:paraId="537A00C8" w14:textId="77777777" w:rsidR="00623B41" w:rsidRPr="00CE1C63" w:rsidRDefault="00623B41" w:rsidP="00CE1C63">
            <w:pPr>
              <w:pStyle w:val="Tabletext"/>
            </w:pPr>
            <w:r w:rsidRPr="00CE1C63">
              <w:t xml:space="preserve">The CEEP was appropriately designed, at the time </w:t>
            </w:r>
            <w:r w:rsidR="00B714F7" w:rsidRPr="00CE1C63">
              <w:t>it was introduced, to mitigate</w:t>
            </w:r>
            <w:r w:rsidRPr="00CE1C63">
              <w:t xml:space="preserve"> the financial impact of the introduction of an ETS on local councils and community groups. Despite the ETS not being implemented, the CEEP projects will continue to deliver financial benefits to grant recipients, and environmental benefits to Australia.</w:t>
            </w:r>
          </w:p>
        </w:tc>
      </w:tr>
      <w:tr w:rsidR="00623B41" w14:paraId="3E5BA39F" w14:textId="77777777" w:rsidTr="002D2A24">
        <w:tc>
          <w:tcPr>
            <w:tcW w:w="426" w:type="dxa"/>
          </w:tcPr>
          <w:p w14:paraId="72B81764" w14:textId="77777777" w:rsidR="00623B41" w:rsidRPr="00CE1C63" w:rsidRDefault="00623B41" w:rsidP="00CE1C63">
            <w:pPr>
              <w:pStyle w:val="Tabletext"/>
            </w:pPr>
            <w:r w:rsidRPr="00CE1C63">
              <w:t>2.</w:t>
            </w:r>
          </w:p>
        </w:tc>
        <w:tc>
          <w:tcPr>
            <w:tcW w:w="6378" w:type="dxa"/>
          </w:tcPr>
          <w:p w14:paraId="1B664B18" w14:textId="77777777" w:rsidR="00623B41" w:rsidRPr="00CE1C63" w:rsidRDefault="00623B41" w:rsidP="00CE1C63">
            <w:pPr>
              <w:pStyle w:val="Tabletext"/>
            </w:pPr>
            <w:r w:rsidRPr="00CE1C63">
              <w:t xml:space="preserve">The CEEP has been consistent with the strategic objectives of the Australian Government since the </w:t>
            </w:r>
            <w:r w:rsidR="00835A86" w:rsidRPr="00CE1C63">
              <w:t>programme</w:t>
            </w:r>
            <w:r w:rsidRPr="00CE1C63">
              <w:t xml:space="preserve"> was </w:t>
            </w:r>
            <w:r w:rsidR="00737C4B" w:rsidRPr="00CE1C63">
              <w:t>introduced in 2011</w:t>
            </w:r>
            <w:r w:rsidRPr="00CE1C63">
              <w:t xml:space="preserve">. </w:t>
            </w:r>
            <w:r w:rsidR="00AA625C" w:rsidRPr="00CE1C63">
              <w:t>In particular, it</w:t>
            </w:r>
            <w:r w:rsidR="004D706E" w:rsidRPr="00CE1C63">
              <w:t xml:space="preserve"> is consistent with the current government’s</w:t>
            </w:r>
            <w:r w:rsidR="00737C4B" w:rsidRPr="00CE1C63">
              <w:t xml:space="preserve"> programme</w:t>
            </w:r>
            <w:r w:rsidRPr="00CE1C63">
              <w:t xml:space="preserve"> objectives and approach, throu</w:t>
            </w:r>
            <w:r w:rsidR="005528C0" w:rsidRPr="00CE1C63">
              <w:t>gh the Emissions Reduction Fund and the National Energy Productivity Plan.</w:t>
            </w:r>
          </w:p>
        </w:tc>
      </w:tr>
      <w:tr w:rsidR="00623B41" w14:paraId="581A25AD" w14:textId="77777777" w:rsidTr="002D2A24">
        <w:tc>
          <w:tcPr>
            <w:tcW w:w="426" w:type="dxa"/>
          </w:tcPr>
          <w:p w14:paraId="5CA0E4AD" w14:textId="77777777" w:rsidR="00623B41" w:rsidRPr="00CE1C63" w:rsidRDefault="00F167A5" w:rsidP="00CE1C63">
            <w:pPr>
              <w:pStyle w:val="Tabletext"/>
            </w:pPr>
            <w:r w:rsidRPr="00CE1C63">
              <w:t>3.</w:t>
            </w:r>
          </w:p>
        </w:tc>
        <w:tc>
          <w:tcPr>
            <w:tcW w:w="6378" w:type="dxa"/>
          </w:tcPr>
          <w:p w14:paraId="2371997D" w14:textId="77777777" w:rsidR="00623B41" w:rsidRPr="00CE1C63" w:rsidRDefault="00F167A5" w:rsidP="00CE1C63">
            <w:pPr>
              <w:pStyle w:val="Tabletext"/>
            </w:pPr>
            <w:r w:rsidRPr="00CE1C63">
              <w:t xml:space="preserve">All </w:t>
            </w:r>
            <w:r w:rsidR="00050FFC" w:rsidRPr="00CE1C63">
              <w:t>but two</w:t>
            </w:r>
            <w:r w:rsidRPr="00CE1C63">
              <w:t xml:space="preserve"> projects achieved energy efficiency improvements. The projects resulte</w:t>
            </w:r>
            <w:r w:rsidR="00642815" w:rsidRPr="00CE1C63">
              <w:t>d in a combined total saving of approximately 350</w:t>
            </w:r>
            <w:r w:rsidRPr="00CE1C63">
              <w:t xml:space="preserve"> TJ per annum.</w:t>
            </w:r>
          </w:p>
        </w:tc>
      </w:tr>
      <w:tr w:rsidR="00623B41" w14:paraId="0942F27C" w14:textId="77777777" w:rsidTr="002D2A24">
        <w:tc>
          <w:tcPr>
            <w:tcW w:w="426" w:type="dxa"/>
          </w:tcPr>
          <w:p w14:paraId="7E2452CF" w14:textId="77777777" w:rsidR="00623B41" w:rsidRPr="00CE1C63" w:rsidRDefault="00F167A5" w:rsidP="00CE1C63">
            <w:pPr>
              <w:pStyle w:val="Tabletext"/>
            </w:pPr>
            <w:r w:rsidRPr="00CE1C63">
              <w:t>4</w:t>
            </w:r>
          </w:p>
        </w:tc>
        <w:tc>
          <w:tcPr>
            <w:tcW w:w="6378" w:type="dxa"/>
          </w:tcPr>
          <w:p w14:paraId="5289BDCB" w14:textId="77777777" w:rsidR="00623B41" w:rsidRPr="00CE1C63" w:rsidRDefault="00F167A5" w:rsidP="00CE1C63">
            <w:pPr>
              <w:pStyle w:val="Tabletext"/>
            </w:pPr>
            <w:r w:rsidRPr="00CE1C63">
              <w:t>Grant recipient data was collated according to ‘main’ technology type. This made it difficult to assess the extent of each technology type used. However, the data suggest that the projects with the highest return on investment were space and street lighting.</w:t>
            </w:r>
          </w:p>
        </w:tc>
      </w:tr>
      <w:tr w:rsidR="00F167A5" w14:paraId="28035F13" w14:textId="77777777" w:rsidTr="002D2A24">
        <w:tc>
          <w:tcPr>
            <w:tcW w:w="426" w:type="dxa"/>
          </w:tcPr>
          <w:p w14:paraId="685D3B70" w14:textId="77777777" w:rsidR="00F167A5" w:rsidRPr="00CE1C63" w:rsidRDefault="00F167A5" w:rsidP="00CE1C63">
            <w:pPr>
              <w:pStyle w:val="Tabletext"/>
            </w:pPr>
            <w:r w:rsidRPr="00CE1C63">
              <w:t>5.</w:t>
            </w:r>
          </w:p>
        </w:tc>
        <w:tc>
          <w:tcPr>
            <w:tcW w:w="6378" w:type="dxa"/>
          </w:tcPr>
          <w:p w14:paraId="5BBE20F6" w14:textId="77777777" w:rsidR="00F167A5" w:rsidRPr="00CE1C63" w:rsidRDefault="00F167A5" w:rsidP="00CE1C63">
            <w:pPr>
              <w:pStyle w:val="Tabletext"/>
            </w:pPr>
            <w:r w:rsidRPr="00CE1C63">
              <w:t>Limited evidence was provided by grant recipients to measure the benefits of community awareness activities. How</w:t>
            </w:r>
            <w:r w:rsidR="004D706E" w:rsidRPr="00CE1C63">
              <w:t>ever, a small sample of information</w:t>
            </w:r>
            <w:r w:rsidRPr="00CE1C63">
              <w:t xml:space="preserve"> suggests a significant improvement in energy efficiency by households who participated in di</w:t>
            </w:r>
            <w:r w:rsidR="004D706E" w:rsidRPr="00CE1C63">
              <w:t>rect engagement activities (</w:t>
            </w:r>
            <w:r w:rsidRPr="00CE1C63">
              <w:t>public workshops and seminars).</w:t>
            </w:r>
          </w:p>
        </w:tc>
      </w:tr>
      <w:tr w:rsidR="00F167A5" w14:paraId="715B3CEC" w14:textId="77777777" w:rsidTr="002D2A24">
        <w:tc>
          <w:tcPr>
            <w:tcW w:w="426" w:type="dxa"/>
          </w:tcPr>
          <w:p w14:paraId="24633059" w14:textId="77777777" w:rsidR="00F167A5" w:rsidRPr="00CE1C63" w:rsidRDefault="00F167A5" w:rsidP="00CE1C63">
            <w:pPr>
              <w:pStyle w:val="Tabletext"/>
            </w:pPr>
            <w:r w:rsidRPr="00CE1C63">
              <w:t>6.</w:t>
            </w:r>
          </w:p>
        </w:tc>
        <w:tc>
          <w:tcPr>
            <w:tcW w:w="6378" w:type="dxa"/>
          </w:tcPr>
          <w:p w14:paraId="0C429503" w14:textId="77777777" w:rsidR="00F167A5" w:rsidRPr="00CE1C63" w:rsidRDefault="004D706E" w:rsidP="00CE1C63">
            <w:pPr>
              <w:pStyle w:val="Tabletext"/>
            </w:pPr>
            <w:r w:rsidRPr="00CE1C63">
              <w:t>Qualitative</w:t>
            </w:r>
            <w:r w:rsidR="00F167A5" w:rsidRPr="00CE1C63">
              <w:t xml:space="preserve"> evidence provided by grant recipients suggests the CEEP produced a wide range of co-benefits including: improved facility amenities; reduced maintenance costs; increased operating hours; improved employee/client health and safety; increased sales; and increased services available to the community.</w:t>
            </w:r>
          </w:p>
        </w:tc>
      </w:tr>
      <w:tr w:rsidR="00F167A5" w14:paraId="510D6CA3" w14:textId="77777777" w:rsidTr="002D2A24">
        <w:tc>
          <w:tcPr>
            <w:tcW w:w="426" w:type="dxa"/>
          </w:tcPr>
          <w:p w14:paraId="543D29B6" w14:textId="77777777" w:rsidR="00F167A5" w:rsidRPr="00CE1C63" w:rsidRDefault="00F167A5" w:rsidP="00CE1C63">
            <w:pPr>
              <w:pStyle w:val="Tabletext"/>
            </w:pPr>
            <w:r w:rsidRPr="00CE1C63">
              <w:t>7.</w:t>
            </w:r>
          </w:p>
        </w:tc>
        <w:tc>
          <w:tcPr>
            <w:tcW w:w="6378" w:type="dxa"/>
          </w:tcPr>
          <w:p w14:paraId="49760E3F" w14:textId="77777777" w:rsidR="00F167A5" w:rsidRPr="00CE1C63" w:rsidRDefault="004D706E" w:rsidP="00CE1C63">
            <w:pPr>
              <w:pStyle w:val="Tabletext"/>
            </w:pPr>
            <w:r w:rsidRPr="00CE1C63">
              <w:t>T</w:t>
            </w:r>
            <w:r w:rsidR="00F167A5" w:rsidRPr="00CE1C63">
              <w:t>he CEEP often enabled technology upgrades that may not have otherwise occurred. Grant recipients commonly reported that the grant allowed projects to be brought forward by many years, or to fund upgrades that were not planned at all due to financial constraints.</w:t>
            </w:r>
          </w:p>
        </w:tc>
      </w:tr>
      <w:tr w:rsidR="00F167A5" w14:paraId="5CB53F79" w14:textId="77777777" w:rsidTr="002D2A24">
        <w:tc>
          <w:tcPr>
            <w:tcW w:w="426" w:type="dxa"/>
          </w:tcPr>
          <w:p w14:paraId="0B0D9CAF" w14:textId="77777777" w:rsidR="00F167A5" w:rsidRPr="00CE1C63" w:rsidRDefault="00F167A5" w:rsidP="00CE1C63">
            <w:pPr>
              <w:pStyle w:val="Tabletext"/>
            </w:pPr>
            <w:r w:rsidRPr="00CE1C63">
              <w:t>8.</w:t>
            </w:r>
          </w:p>
        </w:tc>
        <w:tc>
          <w:tcPr>
            <w:tcW w:w="6378" w:type="dxa"/>
          </w:tcPr>
          <w:p w14:paraId="24409588" w14:textId="77777777" w:rsidR="00F167A5" w:rsidRPr="00CE1C63" w:rsidRDefault="00F167A5" w:rsidP="00CE1C63">
            <w:pPr>
              <w:pStyle w:val="Tabletext"/>
            </w:pPr>
            <w:r w:rsidRPr="00CE1C63">
              <w:t xml:space="preserve">There was no quantitative information available to measure the impact of the CEEP on the broader energy efficiency industry in Australia. Interviews with a small number of industry stakeholders suggest that CEEP may </w:t>
            </w:r>
            <w:r w:rsidR="00D336E0" w:rsidRPr="00CE1C63">
              <w:t>have supported the growth of Australian manufacturers of LEDs.</w:t>
            </w:r>
          </w:p>
        </w:tc>
      </w:tr>
      <w:tr w:rsidR="00F167A5" w14:paraId="5F3DF2F7" w14:textId="77777777" w:rsidTr="002D2A24">
        <w:tc>
          <w:tcPr>
            <w:tcW w:w="426" w:type="dxa"/>
          </w:tcPr>
          <w:p w14:paraId="3050E039" w14:textId="77777777" w:rsidR="00F167A5" w:rsidRPr="00CE1C63" w:rsidRDefault="00F167A5" w:rsidP="00CE1C63">
            <w:pPr>
              <w:pStyle w:val="Tabletext"/>
            </w:pPr>
            <w:r w:rsidRPr="00CE1C63">
              <w:t>9.</w:t>
            </w:r>
          </w:p>
        </w:tc>
        <w:tc>
          <w:tcPr>
            <w:tcW w:w="6378" w:type="dxa"/>
          </w:tcPr>
          <w:p w14:paraId="29B6A753" w14:textId="77777777" w:rsidR="00F167A5" w:rsidRPr="00CE1C63" w:rsidRDefault="003146EE" w:rsidP="00CE1C63">
            <w:pPr>
              <w:pStyle w:val="Tabletext"/>
            </w:pPr>
            <w:r w:rsidRPr="00CE1C63">
              <w:t xml:space="preserve">The evaluation did not find any evidence of significant unintended consequences as a result of the programme. However, some barriers did exist </w:t>
            </w:r>
            <w:r w:rsidR="002A09C5" w:rsidRPr="00CE1C63">
              <w:t>(</w:t>
            </w:r>
            <w:r w:rsidRPr="00CE1C63">
              <w:t>in a limited number of cases</w:t>
            </w:r>
            <w:r w:rsidR="002A09C5" w:rsidRPr="00CE1C63">
              <w:t>)</w:t>
            </w:r>
            <w:r w:rsidRPr="00CE1C63">
              <w:t xml:space="preserve"> that reduced the effectiveness of the programme. This included issues with the ownership of street light poles, and the pricing structure for street lighting.</w:t>
            </w:r>
          </w:p>
        </w:tc>
      </w:tr>
    </w:tbl>
    <w:p w14:paraId="669EE96F" w14:textId="77777777" w:rsidR="00F167A5" w:rsidRDefault="00F167A5" w:rsidP="00623B41">
      <w:pPr>
        <w:pStyle w:val="BodyText"/>
      </w:pPr>
    </w:p>
    <w:tbl>
      <w:tblPr>
        <w:tblStyle w:val="OCETable"/>
        <w:tblpPr w:leftFromText="180" w:rightFromText="180" w:vertAnchor="text" w:horzAnchor="margin" w:tblpY="-38"/>
        <w:tblW w:w="6903" w:type="dxa"/>
        <w:tblLayout w:type="fixed"/>
        <w:tblLook w:val="04A0" w:firstRow="1" w:lastRow="0" w:firstColumn="1" w:lastColumn="0" w:noHBand="0" w:noVBand="1"/>
        <w:tblCaption w:val="Summary of the five recommendations that come from this evaluation"/>
      </w:tblPr>
      <w:tblGrid>
        <w:gridCol w:w="431"/>
        <w:gridCol w:w="6472"/>
      </w:tblGrid>
      <w:tr w:rsidR="00F167A5" w:rsidRPr="00BA6835" w14:paraId="1616FF17" w14:textId="77777777" w:rsidTr="00AE7591">
        <w:trPr>
          <w:cnfStyle w:val="100000000000" w:firstRow="1" w:lastRow="0" w:firstColumn="0" w:lastColumn="0" w:oddVBand="0" w:evenVBand="0" w:oddHBand="0" w:evenHBand="0" w:firstRowFirstColumn="0" w:firstRowLastColumn="0" w:lastRowFirstColumn="0" w:lastRowLastColumn="0"/>
          <w:trHeight w:val="248"/>
          <w:tblHeader/>
        </w:trPr>
        <w:tc>
          <w:tcPr>
            <w:tcW w:w="6903" w:type="dxa"/>
            <w:gridSpan w:val="2"/>
          </w:tcPr>
          <w:p w14:paraId="796E4341" w14:textId="77777777" w:rsidR="00F167A5" w:rsidRPr="00BA6835" w:rsidRDefault="00F167A5" w:rsidP="002D2A24">
            <w:pPr>
              <w:spacing w:before="120" w:after="120" w:line="276" w:lineRule="auto"/>
              <w:rPr>
                <w:rFonts w:eastAsia="Calibri" w:cs="Times New Roman"/>
                <w:szCs w:val="20"/>
              </w:rPr>
            </w:pPr>
            <w:r w:rsidRPr="00BA6835">
              <w:rPr>
                <w:rFonts w:eastAsia="Calibri" w:cs="Times New Roman"/>
                <w:color w:val="FFFFFF" w:themeColor="background1"/>
                <w:szCs w:val="20"/>
              </w:rPr>
              <w:t>RECOMMENDATIONS</w:t>
            </w:r>
            <w:r w:rsidR="00BA6835">
              <w:rPr>
                <w:rFonts w:eastAsia="Calibri" w:cs="Times New Roman"/>
                <w:color w:val="FFFFFF" w:themeColor="background1"/>
                <w:szCs w:val="20"/>
              </w:rPr>
              <w:t xml:space="preserve"> – Impact Evaluation</w:t>
            </w:r>
          </w:p>
        </w:tc>
      </w:tr>
      <w:tr w:rsidR="00F167A5" w14:paraId="72FA7AC5" w14:textId="77777777" w:rsidTr="00F167A5">
        <w:trPr>
          <w:trHeight w:val="508"/>
        </w:trPr>
        <w:tc>
          <w:tcPr>
            <w:tcW w:w="431" w:type="dxa"/>
          </w:tcPr>
          <w:p w14:paraId="0B44CD2E" w14:textId="77777777" w:rsidR="00F167A5" w:rsidRDefault="00F167A5" w:rsidP="002D2A24">
            <w:pPr>
              <w:pStyle w:val="Tabletext"/>
            </w:pPr>
            <w:r>
              <w:t>1.</w:t>
            </w:r>
          </w:p>
        </w:tc>
        <w:tc>
          <w:tcPr>
            <w:tcW w:w="6472" w:type="dxa"/>
            <w:vAlign w:val="center"/>
          </w:tcPr>
          <w:p w14:paraId="69801D8C" w14:textId="77777777" w:rsidR="00F167A5" w:rsidRPr="005849A1" w:rsidRDefault="00F167A5" w:rsidP="002D2A24">
            <w:pPr>
              <w:pStyle w:val="Tabletext"/>
              <w:rPr>
                <w:szCs w:val="20"/>
              </w:rPr>
            </w:pPr>
            <w:r>
              <w:rPr>
                <w:szCs w:val="20"/>
              </w:rPr>
              <w:t xml:space="preserve">An evaluation strategy should </w:t>
            </w:r>
            <w:r w:rsidRPr="00D7136C">
              <w:rPr>
                <w:szCs w:val="20"/>
              </w:rPr>
              <w:t xml:space="preserve">be part </w:t>
            </w:r>
            <w:r>
              <w:rPr>
                <w:szCs w:val="20"/>
              </w:rPr>
              <w:t xml:space="preserve">of the design of new </w:t>
            </w:r>
            <w:r w:rsidR="00835A86">
              <w:rPr>
                <w:szCs w:val="20"/>
              </w:rPr>
              <w:t>programme</w:t>
            </w:r>
            <w:r>
              <w:rPr>
                <w:szCs w:val="20"/>
              </w:rPr>
              <w:t>s to ensure</w:t>
            </w:r>
            <w:r w:rsidRPr="00D7136C">
              <w:rPr>
                <w:szCs w:val="20"/>
              </w:rPr>
              <w:t xml:space="preserve"> that data needed to measure </w:t>
            </w:r>
            <w:r w:rsidR="00835A86">
              <w:rPr>
                <w:szCs w:val="20"/>
              </w:rPr>
              <w:t>programme</w:t>
            </w:r>
            <w:r>
              <w:rPr>
                <w:szCs w:val="20"/>
              </w:rPr>
              <w:t xml:space="preserve"> </w:t>
            </w:r>
            <w:r w:rsidRPr="00D7136C">
              <w:rPr>
                <w:szCs w:val="20"/>
              </w:rPr>
              <w:t xml:space="preserve">impact are carefully considered and data collection requirements are clear from the time a </w:t>
            </w:r>
            <w:r w:rsidR="00835A86">
              <w:rPr>
                <w:szCs w:val="20"/>
              </w:rPr>
              <w:t>programme</w:t>
            </w:r>
            <w:r w:rsidRPr="00D7136C">
              <w:rPr>
                <w:szCs w:val="20"/>
              </w:rPr>
              <w:t xml:space="preserve"> is launched.</w:t>
            </w:r>
          </w:p>
        </w:tc>
      </w:tr>
      <w:tr w:rsidR="00F167A5" w14:paraId="4C7D3683" w14:textId="77777777" w:rsidTr="00F167A5">
        <w:trPr>
          <w:trHeight w:val="508"/>
        </w:trPr>
        <w:tc>
          <w:tcPr>
            <w:tcW w:w="431" w:type="dxa"/>
          </w:tcPr>
          <w:p w14:paraId="0E44BB86" w14:textId="77777777" w:rsidR="00F167A5" w:rsidRDefault="00F167A5" w:rsidP="002D2A24">
            <w:pPr>
              <w:pStyle w:val="Tabletext"/>
            </w:pPr>
            <w:r>
              <w:t>2.</w:t>
            </w:r>
          </w:p>
        </w:tc>
        <w:tc>
          <w:tcPr>
            <w:tcW w:w="6472" w:type="dxa"/>
            <w:vAlign w:val="center"/>
          </w:tcPr>
          <w:p w14:paraId="7DDAC324" w14:textId="77777777" w:rsidR="00F167A5" w:rsidRDefault="00F167A5" w:rsidP="002D2A24">
            <w:pPr>
              <w:pStyle w:val="Tabletext"/>
              <w:rPr>
                <w:szCs w:val="20"/>
              </w:rPr>
            </w:pPr>
            <w:r>
              <w:rPr>
                <w:szCs w:val="20"/>
              </w:rPr>
              <w:t>C</w:t>
            </w:r>
            <w:r w:rsidR="004D706E">
              <w:rPr>
                <w:szCs w:val="20"/>
              </w:rPr>
              <w:t>onsideration should be given to</w:t>
            </w:r>
            <w:r>
              <w:rPr>
                <w:szCs w:val="20"/>
              </w:rPr>
              <w:t xml:space="preserve"> ways of collecting a larger sample size of data to measure the impact of community engagement activities on energy efficiency.</w:t>
            </w:r>
          </w:p>
        </w:tc>
      </w:tr>
      <w:tr w:rsidR="00F167A5" w14:paraId="19A85D54" w14:textId="77777777" w:rsidTr="00F167A5">
        <w:trPr>
          <w:trHeight w:val="508"/>
        </w:trPr>
        <w:tc>
          <w:tcPr>
            <w:tcW w:w="431" w:type="dxa"/>
          </w:tcPr>
          <w:p w14:paraId="7AA111EF" w14:textId="77777777" w:rsidR="00F167A5" w:rsidRDefault="00F167A5" w:rsidP="002D2A24">
            <w:pPr>
              <w:pStyle w:val="Tabletext"/>
            </w:pPr>
            <w:r>
              <w:t>3.</w:t>
            </w:r>
          </w:p>
        </w:tc>
        <w:tc>
          <w:tcPr>
            <w:tcW w:w="6472" w:type="dxa"/>
            <w:vAlign w:val="center"/>
          </w:tcPr>
          <w:p w14:paraId="1039EF92" w14:textId="77777777" w:rsidR="00F167A5" w:rsidRPr="0079443E" w:rsidRDefault="00D85F13" w:rsidP="002D2A24">
            <w:pPr>
              <w:pStyle w:val="Tabletext"/>
              <w:rPr>
                <w:szCs w:val="20"/>
              </w:rPr>
            </w:pPr>
            <w:r>
              <w:rPr>
                <w:szCs w:val="20"/>
              </w:rPr>
              <w:t xml:space="preserve">Grant reporting through a SmartForm should be established </w:t>
            </w:r>
            <w:r w:rsidR="00F167A5">
              <w:rPr>
                <w:szCs w:val="20"/>
              </w:rPr>
              <w:t>so that information is collected in a consistent manner. This will reduce the amount of collating required by the department, and will simplify reporting processes for grant recipients.</w:t>
            </w:r>
          </w:p>
        </w:tc>
      </w:tr>
      <w:tr w:rsidR="00F167A5" w14:paraId="2897C5AE" w14:textId="77777777" w:rsidTr="00F167A5">
        <w:trPr>
          <w:trHeight w:val="508"/>
        </w:trPr>
        <w:tc>
          <w:tcPr>
            <w:tcW w:w="431" w:type="dxa"/>
          </w:tcPr>
          <w:p w14:paraId="6B111636" w14:textId="77777777" w:rsidR="00F167A5" w:rsidRDefault="00F167A5" w:rsidP="002D2A24">
            <w:pPr>
              <w:pStyle w:val="Tabletext"/>
            </w:pPr>
            <w:r>
              <w:t>4.</w:t>
            </w:r>
          </w:p>
        </w:tc>
        <w:tc>
          <w:tcPr>
            <w:tcW w:w="6472" w:type="dxa"/>
            <w:vAlign w:val="center"/>
          </w:tcPr>
          <w:p w14:paraId="098E0663" w14:textId="77777777" w:rsidR="00F167A5" w:rsidRDefault="00D85F13" w:rsidP="002D2A24">
            <w:pPr>
              <w:pStyle w:val="Tabletext"/>
              <w:rPr>
                <w:szCs w:val="20"/>
              </w:rPr>
            </w:pPr>
            <w:r>
              <w:rPr>
                <w:szCs w:val="20"/>
              </w:rPr>
              <w:t xml:space="preserve">Acknowledging the need to </w:t>
            </w:r>
            <w:r w:rsidR="00F167A5" w:rsidRPr="00D71163">
              <w:rPr>
                <w:szCs w:val="20"/>
              </w:rPr>
              <w:t xml:space="preserve">minimise the reporting burden on grant recipients, future </w:t>
            </w:r>
            <w:r w:rsidR="00835A86">
              <w:rPr>
                <w:szCs w:val="20"/>
              </w:rPr>
              <w:t>programme</w:t>
            </w:r>
            <w:r>
              <w:rPr>
                <w:szCs w:val="20"/>
              </w:rPr>
              <w:t>s sh</w:t>
            </w:r>
            <w:r w:rsidR="00F167A5" w:rsidRPr="00D71163">
              <w:rPr>
                <w:szCs w:val="20"/>
              </w:rPr>
              <w:t>ould consider possible methods of collecting data to measure co-benefits</w:t>
            </w:r>
            <w:r w:rsidR="00F30BC2">
              <w:rPr>
                <w:szCs w:val="20"/>
              </w:rPr>
              <w:t>.</w:t>
            </w:r>
          </w:p>
        </w:tc>
      </w:tr>
      <w:tr w:rsidR="00BA6835" w14:paraId="193A9F56" w14:textId="77777777" w:rsidTr="00F167A5">
        <w:trPr>
          <w:trHeight w:val="508"/>
        </w:trPr>
        <w:tc>
          <w:tcPr>
            <w:tcW w:w="431" w:type="dxa"/>
          </w:tcPr>
          <w:p w14:paraId="61876326" w14:textId="77777777" w:rsidR="00BA6835" w:rsidRDefault="00BA6835" w:rsidP="002D2A24">
            <w:pPr>
              <w:pStyle w:val="Tabletext"/>
            </w:pPr>
            <w:r>
              <w:t>5.</w:t>
            </w:r>
          </w:p>
        </w:tc>
        <w:tc>
          <w:tcPr>
            <w:tcW w:w="6472" w:type="dxa"/>
            <w:vAlign w:val="center"/>
          </w:tcPr>
          <w:p w14:paraId="21F398D3" w14:textId="77777777" w:rsidR="00BA6835" w:rsidRPr="00D71163" w:rsidRDefault="00901806" w:rsidP="002D2A24">
            <w:pPr>
              <w:pStyle w:val="Tabletext"/>
              <w:rPr>
                <w:szCs w:val="20"/>
              </w:rPr>
            </w:pPr>
            <w:r>
              <w:rPr>
                <w:szCs w:val="20"/>
              </w:rPr>
              <w:t>Energy efficiency programmes should consider monitoring the energy costs of grant recipients, to assess whether the financial benefits of reduced energy consumption are being received by end users. The ownership of street lighting infrastructure should also be considered.</w:t>
            </w:r>
          </w:p>
        </w:tc>
      </w:tr>
    </w:tbl>
    <w:p w14:paraId="78FF610F" w14:textId="77777777" w:rsidR="00F167A5" w:rsidRDefault="00F167A5">
      <w:pPr>
        <w:spacing w:after="200" w:line="276" w:lineRule="auto"/>
      </w:pPr>
      <w:r>
        <w:br w:type="page"/>
      </w:r>
    </w:p>
    <w:p w14:paraId="783B6CD7" w14:textId="0043E037" w:rsidR="00F167A5" w:rsidRPr="00664B56" w:rsidRDefault="00F167A5" w:rsidP="00664B56">
      <w:pPr>
        <w:pStyle w:val="Heading2"/>
        <w:rPr>
          <w:rFonts w:eastAsia="Calibri"/>
        </w:rPr>
      </w:pPr>
      <w:bookmarkStart w:id="46" w:name="_Toc483236851"/>
      <w:r>
        <w:rPr>
          <w:rFonts w:eastAsia="Calibri"/>
        </w:rPr>
        <w:t>Governance and Administration Evaluation</w:t>
      </w:r>
      <w:r w:rsidR="00664B56">
        <w:rPr>
          <w:rFonts w:eastAsia="Calibri"/>
        </w:rPr>
        <w:tab/>
      </w:r>
      <w:r w:rsidR="00664B56">
        <w:rPr>
          <w:rFonts w:eastAsia="Calibri"/>
        </w:rPr>
        <w:tab/>
      </w:r>
      <w:r w:rsidR="00664B56">
        <w:rPr>
          <w:rFonts w:eastAsia="Calibri"/>
        </w:rPr>
        <w:tab/>
      </w:r>
      <w:r w:rsidRPr="00664B56">
        <w:rPr>
          <w:rFonts w:eastAsia="Calibri"/>
        </w:rPr>
        <w:t>(</w:t>
      </w:r>
      <w:r w:rsidR="00AC533D">
        <w:rPr>
          <w:rFonts w:eastAsia="Calibri"/>
        </w:rPr>
        <w:t xml:space="preserve">advice provided by </w:t>
      </w:r>
      <w:r>
        <w:t>ACIL Allen Consulting)</w:t>
      </w:r>
      <w:r w:rsidR="00520D6C">
        <w:t xml:space="preserve"> – see </w:t>
      </w:r>
      <w:hyperlink r:id="rId28" w:tooltip="www.industry.gov.au/oce" w:history="1">
        <w:r w:rsidR="00BD5149" w:rsidRPr="00CE1C63">
          <w:rPr>
            <w:rStyle w:val="Hyperlink"/>
          </w:rPr>
          <w:t>www.industry.gov.au</w:t>
        </w:r>
        <w:r w:rsidR="001443BD" w:rsidRPr="00CE1C63">
          <w:rPr>
            <w:rStyle w:val="Hyperlink"/>
          </w:rPr>
          <w:t>/OCE</w:t>
        </w:r>
      </w:hyperlink>
      <w:r w:rsidR="00520D6C">
        <w:t xml:space="preserve"> for</w:t>
      </w:r>
      <w:r w:rsidR="002023D8">
        <w:t xml:space="preserve"> the </w:t>
      </w:r>
      <w:r w:rsidR="00520D6C">
        <w:t>full report</w:t>
      </w:r>
      <w:bookmarkEnd w:id="46"/>
    </w:p>
    <w:tbl>
      <w:tblPr>
        <w:tblStyle w:val="OCETable"/>
        <w:tblpPr w:leftFromText="180" w:rightFromText="180" w:vertAnchor="text" w:horzAnchor="margin" w:tblpY="42"/>
        <w:tblW w:w="6945" w:type="dxa"/>
        <w:tblLayout w:type="fixed"/>
        <w:tblLook w:val="04A0" w:firstRow="1" w:lastRow="0" w:firstColumn="1" w:lastColumn="0" w:noHBand="0" w:noVBand="1"/>
        <w:tblCaption w:val="Summary of five the Findings (Governance and Administration)"/>
      </w:tblPr>
      <w:tblGrid>
        <w:gridCol w:w="567"/>
        <w:gridCol w:w="6378"/>
      </w:tblGrid>
      <w:tr w:rsidR="00F167A5" w:rsidRPr="00BA6835" w14:paraId="07207025" w14:textId="77777777" w:rsidTr="008A0E69">
        <w:trPr>
          <w:cnfStyle w:val="100000000000" w:firstRow="1" w:lastRow="0" w:firstColumn="0" w:lastColumn="0" w:oddVBand="0" w:evenVBand="0" w:oddHBand="0" w:evenHBand="0" w:firstRowFirstColumn="0" w:firstRowLastColumn="0" w:lastRowFirstColumn="0" w:lastRowLastColumn="0"/>
          <w:tblHeader/>
        </w:trPr>
        <w:tc>
          <w:tcPr>
            <w:tcW w:w="6945" w:type="dxa"/>
            <w:gridSpan w:val="2"/>
          </w:tcPr>
          <w:p w14:paraId="1ACB5FA1" w14:textId="77777777" w:rsidR="00F167A5" w:rsidRPr="00BA6835" w:rsidRDefault="00F167A5" w:rsidP="002D2A24">
            <w:pPr>
              <w:spacing w:before="120" w:after="120" w:line="276" w:lineRule="auto"/>
              <w:rPr>
                <w:rFonts w:eastAsia="Calibri" w:cs="Times New Roman"/>
                <w:szCs w:val="20"/>
              </w:rPr>
            </w:pPr>
            <w:r w:rsidRPr="00BA6835">
              <w:rPr>
                <w:rFonts w:eastAsia="Calibri" w:cs="Times New Roman"/>
                <w:color w:val="FFFFFF" w:themeColor="background1"/>
                <w:szCs w:val="20"/>
              </w:rPr>
              <w:t>FINDINGS</w:t>
            </w:r>
            <w:r w:rsidR="00BA6835">
              <w:rPr>
                <w:rFonts w:eastAsia="Calibri" w:cs="Times New Roman"/>
                <w:color w:val="FFFFFF" w:themeColor="background1"/>
                <w:szCs w:val="20"/>
              </w:rPr>
              <w:t xml:space="preserve"> – Governance and Administration Evaluation</w:t>
            </w:r>
          </w:p>
        </w:tc>
      </w:tr>
      <w:tr w:rsidR="00F167A5" w14:paraId="537E2A8E" w14:textId="77777777" w:rsidTr="00F167A5">
        <w:tc>
          <w:tcPr>
            <w:tcW w:w="567" w:type="dxa"/>
          </w:tcPr>
          <w:p w14:paraId="027AE7F4" w14:textId="77777777" w:rsidR="00F167A5" w:rsidRDefault="00F167A5" w:rsidP="002D2A24">
            <w:pPr>
              <w:pStyle w:val="Tabletext"/>
            </w:pPr>
            <w:r>
              <w:t>10.</w:t>
            </w:r>
          </w:p>
        </w:tc>
        <w:tc>
          <w:tcPr>
            <w:tcW w:w="6378" w:type="dxa"/>
            <w:vAlign w:val="center"/>
          </w:tcPr>
          <w:p w14:paraId="40212B12" w14:textId="77777777" w:rsidR="00F167A5" w:rsidRPr="005849A1" w:rsidRDefault="00F167A5" w:rsidP="002D2A24">
            <w:pPr>
              <w:pStyle w:val="Tabletext"/>
              <w:rPr>
                <w:szCs w:val="20"/>
              </w:rPr>
            </w:pPr>
            <w:r>
              <w:rPr>
                <w:szCs w:val="20"/>
              </w:rPr>
              <w:t xml:space="preserve">The </w:t>
            </w:r>
            <w:r w:rsidRPr="001E26CC">
              <w:rPr>
                <w:szCs w:val="20"/>
              </w:rPr>
              <w:t>overall CEEP application process and assessment processes wer</w:t>
            </w:r>
            <w:r w:rsidR="00520D6C">
              <w:rPr>
                <w:szCs w:val="20"/>
              </w:rPr>
              <w:t xml:space="preserve">e clear to applicants. The </w:t>
            </w:r>
            <w:r w:rsidRPr="001E26CC">
              <w:rPr>
                <w:szCs w:val="20"/>
              </w:rPr>
              <w:t>guidelines were seen as highly e</w:t>
            </w:r>
            <w:r w:rsidR="00520D6C">
              <w:rPr>
                <w:szCs w:val="20"/>
              </w:rPr>
              <w:t>ffective in providing clarity for</w:t>
            </w:r>
            <w:r w:rsidRPr="001E26CC">
              <w:rPr>
                <w:szCs w:val="20"/>
              </w:rPr>
              <w:t xml:space="preserve"> the applica</w:t>
            </w:r>
            <w:r>
              <w:rPr>
                <w:szCs w:val="20"/>
              </w:rPr>
              <w:t xml:space="preserve">tion process and requirements. </w:t>
            </w:r>
            <w:r w:rsidRPr="001E26CC">
              <w:rPr>
                <w:szCs w:val="20"/>
              </w:rPr>
              <w:t xml:space="preserve">A small percentage of grant recipients found the </w:t>
            </w:r>
            <w:r w:rsidR="00835A86">
              <w:rPr>
                <w:szCs w:val="20"/>
              </w:rPr>
              <w:t>programme</w:t>
            </w:r>
            <w:r w:rsidRPr="001E26CC">
              <w:rPr>
                <w:szCs w:val="20"/>
              </w:rPr>
              <w:t>’s data collection and r</w:t>
            </w:r>
            <w:r>
              <w:rPr>
                <w:szCs w:val="20"/>
              </w:rPr>
              <w:t>eporting requirements were un</w:t>
            </w:r>
            <w:r w:rsidRPr="001E26CC">
              <w:rPr>
                <w:szCs w:val="20"/>
              </w:rPr>
              <w:t>clear.</w:t>
            </w:r>
            <w:r>
              <w:rPr>
                <w:szCs w:val="20"/>
              </w:rPr>
              <w:t xml:space="preserve"> </w:t>
            </w:r>
          </w:p>
        </w:tc>
      </w:tr>
      <w:tr w:rsidR="00F167A5" w14:paraId="70A466B2" w14:textId="77777777" w:rsidTr="00F167A5">
        <w:tc>
          <w:tcPr>
            <w:tcW w:w="567" w:type="dxa"/>
          </w:tcPr>
          <w:p w14:paraId="2A337256" w14:textId="77777777" w:rsidR="00F167A5" w:rsidRDefault="00F167A5" w:rsidP="002D2A24">
            <w:pPr>
              <w:pStyle w:val="Tabletext"/>
            </w:pPr>
            <w:r>
              <w:t>11.</w:t>
            </w:r>
          </w:p>
        </w:tc>
        <w:tc>
          <w:tcPr>
            <w:tcW w:w="6378" w:type="dxa"/>
            <w:vAlign w:val="center"/>
          </w:tcPr>
          <w:p w14:paraId="12B62489" w14:textId="77777777" w:rsidR="00F167A5" w:rsidRDefault="00F167A5" w:rsidP="002D2A24">
            <w:pPr>
              <w:pStyle w:val="Tabletext"/>
              <w:rPr>
                <w:szCs w:val="20"/>
              </w:rPr>
            </w:pPr>
            <w:r w:rsidRPr="001E26CC">
              <w:rPr>
                <w:szCs w:val="20"/>
              </w:rPr>
              <w:t xml:space="preserve">Machinery of government changes were disruptive to the negotiation of funding agreements (and also to </w:t>
            </w:r>
            <w:r w:rsidR="00835A86">
              <w:rPr>
                <w:szCs w:val="20"/>
              </w:rPr>
              <w:t>programme</w:t>
            </w:r>
            <w:r w:rsidRPr="001E26CC">
              <w:rPr>
                <w:szCs w:val="20"/>
              </w:rPr>
              <w:t xml:space="preserve"> delivery). The high turnover of </w:t>
            </w:r>
            <w:r w:rsidR="00835A86">
              <w:rPr>
                <w:szCs w:val="20"/>
              </w:rPr>
              <w:t>programme</w:t>
            </w:r>
            <w:r>
              <w:rPr>
                <w:szCs w:val="20"/>
              </w:rPr>
              <w:t xml:space="preserve"> administrators</w:t>
            </w:r>
            <w:r w:rsidRPr="001E26CC">
              <w:rPr>
                <w:szCs w:val="20"/>
              </w:rPr>
              <w:t xml:space="preserve"> also affected project continuity and stakeholder relationships. </w:t>
            </w:r>
          </w:p>
        </w:tc>
      </w:tr>
      <w:tr w:rsidR="00F167A5" w14:paraId="3489EF3E" w14:textId="77777777" w:rsidTr="00F167A5">
        <w:tc>
          <w:tcPr>
            <w:tcW w:w="567" w:type="dxa"/>
          </w:tcPr>
          <w:p w14:paraId="6E04AD14" w14:textId="77777777" w:rsidR="00F167A5" w:rsidRDefault="00F167A5" w:rsidP="002D2A24">
            <w:pPr>
              <w:pStyle w:val="Tabletext"/>
            </w:pPr>
            <w:r>
              <w:t>12.</w:t>
            </w:r>
          </w:p>
        </w:tc>
        <w:tc>
          <w:tcPr>
            <w:tcW w:w="6378" w:type="dxa"/>
            <w:vAlign w:val="center"/>
          </w:tcPr>
          <w:p w14:paraId="4470C031" w14:textId="77777777" w:rsidR="00F167A5" w:rsidRDefault="00F167A5" w:rsidP="002D2A24">
            <w:pPr>
              <w:pStyle w:val="Tabletext"/>
              <w:rPr>
                <w:szCs w:val="20"/>
              </w:rPr>
            </w:pPr>
            <w:r w:rsidRPr="001E26CC">
              <w:rPr>
                <w:szCs w:val="20"/>
              </w:rPr>
              <w:t xml:space="preserve">Compressed delivery timeframes caused by protracted negotiations of the funding agreements were cited </w:t>
            </w:r>
            <w:r w:rsidR="00520D6C">
              <w:rPr>
                <w:szCs w:val="20"/>
              </w:rPr>
              <w:t>(</w:t>
            </w:r>
            <w:r w:rsidR="00520D6C" w:rsidRPr="001E26CC">
              <w:rPr>
                <w:szCs w:val="20"/>
              </w:rPr>
              <w:t xml:space="preserve">by </w:t>
            </w:r>
            <w:r w:rsidR="00520D6C">
              <w:rPr>
                <w:szCs w:val="20"/>
              </w:rPr>
              <w:t xml:space="preserve">some Round One grant recipients) </w:t>
            </w:r>
            <w:r w:rsidRPr="001E26CC">
              <w:rPr>
                <w:szCs w:val="20"/>
              </w:rPr>
              <w:t>as a key hurdle to effective project delivery</w:t>
            </w:r>
            <w:r w:rsidR="00F30BC2">
              <w:rPr>
                <w:szCs w:val="20"/>
              </w:rPr>
              <w:t>.</w:t>
            </w:r>
            <w:r w:rsidRPr="001E26CC">
              <w:rPr>
                <w:szCs w:val="20"/>
              </w:rPr>
              <w:t xml:space="preserve"> </w:t>
            </w:r>
          </w:p>
        </w:tc>
      </w:tr>
      <w:tr w:rsidR="00F167A5" w14:paraId="12490D51" w14:textId="77777777" w:rsidTr="00F167A5">
        <w:tc>
          <w:tcPr>
            <w:tcW w:w="567" w:type="dxa"/>
          </w:tcPr>
          <w:p w14:paraId="2AABF664" w14:textId="77777777" w:rsidR="00F167A5" w:rsidRDefault="00F167A5" w:rsidP="002D2A24">
            <w:pPr>
              <w:pStyle w:val="Tabletext"/>
            </w:pPr>
            <w:r>
              <w:t>13.</w:t>
            </w:r>
          </w:p>
        </w:tc>
        <w:tc>
          <w:tcPr>
            <w:tcW w:w="6378" w:type="dxa"/>
            <w:vAlign w:val="center"/>
          </w:tcPr>
          <w:p w14:paraId="22181E24" w14:textId="77777777" w:rsidR="00F167A5" w:rsidRPr="001E26CC" w:rsidRDefault="00F167A5" w:rsidP="002D2A24">
            <w:pPr>
              <w:pStyle w:val="Tabletext"/>
              <w:rPr>
                <w:szCs w:val="20"/>
              </w:rPr>
            </w:pPr>
            <w:r w:rsidRPr="001E26CC">
              <w:rPr>
                <w:szCs w:val="20"/>
              </w:rPr>
              <w:t xml:space="preserve">Just over half of CEEP grant recipients agreed the reporting requirements were reasonable. However nearly one quarter of </w:t>
            </w:r>
            <w:r w:rsidR="007302FE">
              <w:rPr>
                <w:szCs w:val="20"/>
              </w:rPr>
              <w:t>Round O</w:t>
            </w:r>
            <w:r w:rsidRPr="001E26CC">
              <w:rPr>
                <w:szCs w:val="20"/>
              </w:rPr>
              <w:t xml:space="preserve">ne and </w:t>
            </w:r>
            <w:r w:rsidR="007302FE">
              <w:rPr>
                <w:szCs w:val="20"/>
              </w:rPr>
              <w:t>Round T</w:t>
            </w:r>
            <w:r w:rsidRPr="001E26CC">
              <w:rPr>
                <w:szCs w:val="20"/>
              </w:rPr>
              <w:t>wo</w:t>
            </w:r>
            <w:r>
              <w:rPr>
                <w:szCs w:val="20"/>
              </w:rPr>
              <w:t xml:space="preserve"> </w:t>
            </w:r>
            <w:r w:rsidRPr="001E26CC">
              <w:rPr>
                <w:szCs w:val="20"/>
              </w:rPr>
              <w:t xml:space="preserve">grant recipients considered that funding agreements were impractical, too complicated and had </w:t>
            </w:r>
            <w:r w:rsidR="00520D6C">
              <w:rPr>
                <w:szCs w:val="20"/>
              </w:rPr>
              <w:t xml:space="preserve">too </w:t>
            </w:r>
            <w:r w:rsidRPr="001E26CC">
              <w:rPr>
                <w:szCs w:val="20"/>
              </w:rPr>
              <w:t>frequent milestone reporting.</w:t>
            </w:r>
          </w:p>
        </w:tc>
      </w:tr>
      <w:tr w:rsidR="00F167A5" w14:paraId="393CDC52" w14:textId="77777777" w:rsidTr="00F167A5">
        <w:tc>
          <w:tcPr>
            <w:tcW w:w="567" w:type="dxa"/>
          </w:tcPr>
          <w:p w14:paraId="1790A5C9" w14:textId="77777777" w:rsidR="00F167A5" w:rsidRDefault="00F167A5" w:rsidP="002D2A24">
            <w:pPr>
              <w:pStyle w:val="Tabletext"/>
            </w:pPr>
            <w:r>
              <w:t>14.</w:t>
            </w:r>
          </w:p>
        </w:tc>
        <w:tc>
          <w:tcPr>
            <w:tcW w:w="6378" w:type="dxa"/>
            <w:vAlign w:val="center"/>
          </w:tcPr>
          <w:p w14:paraId="2334BCD4" w14:textId="77777777" w:rsidR="00F167A5" w:rsidRPr="001E26CC" w:rsidRDefault="00F167A5" w:rsidP="002D2A24">
            <w:pPr>
              <w:pStyle w:val="Tabletext"/>
              <w:rPr>
                <w:szCs w:val="20"/>
              </w:rPr>
            </w:pPr>
            <w:r w:rsidRPr="001E26CC">
              <w:rPr>
                <w:szCs w:val="20"/>
              </w:rPr>
              <w:t>Grant</w:t>
            </w:r>
            <w:r>
              <w:rPr>
                <w:szCs w:val="20"/>
              </w:rPr>
              <w:t xml:space="preserve"> recipients found managing the</w:t>
            </w:r>
            <w:r w:rsidRPr="001E26CC">
              <w:rPr>
                <w:szCs w:val="20"/>
              </w:rPr>
              <w:t xml:space="preserve"> projects more challenging than they had envisaged at the project concept and design stage, gi</w:t>
            </w:r>
            <w:r>
              <w:rPr>
                <w:szCs w:val="20"/>
              </w:rPr>
              <w:t>ven the size and nature of the</w:t>
            </w:r>
            <w:r w:rsidRPr="001E26CC">
              <w:rPr>
                <w:szCs w:val="20"/>
              </w:rPr>
              <w:t xml:space="preserve"> projects relative to their day-to-day responsibilities. In some cases, recipients also lacked the technical skills to effectively manage the data collection and reporting. </w:t>
            </w:r>
          </w:p>
        </w:tc>
      </w:tr>
    </w:tbl>
    <w:p w14:paraId="6EDCFE51" w14:textId="77777777" w:rsidR="00623B41" w:rsidRDefault="00623B41" w:rsidP="00623B41">
      <w:pPr>
        <w:pStyle w:val="BodyText"/>
      </w:pPr>
    </w:p>
    <w:tbl>
      <w:tblPr>
        <w:tblStyle w:val="OCETable"/>
        <w:tblpPr w:leftFromText="180" w:rightFromText="180" w:vertAnchor="text" w:horzAnchor="margin" w:tblpY="-38"/>
        <w:tblW w:w="7039" w:type="dxa"/>
        <w:tblLayout w:type="fixed"/>
        <w:tblLook w:val="04A0" w:firstRow="1" w:lastRow="0" w:firstColumn="1" w:lastColumn="0" w:noHBand="0" w:noVBand="1"/>
        <w:tblCaption w:val="Summary of the five recommendations (Governance and Administration)"/>
      </w:tblPr>
      <w:tblGrid>
        <w:gridCol w:w="567"/>
        <w:gridCol w:w="6472"/>
      </w:tblGrid>
      <w:tr w:rsidR="00BA6835" w:rsidRPr="00BA6835" w14:paraId="6285229D" w14:textId="77777777" w:rsidTr="008A0E69">
        <w:trPr>
          <w:cnfStyle w:val="100000000000" w:firstRow="1" w:lastRow="0" w:firstColumn="0" w:lastColumn="0" w:oddVBand="0" w:evenVBand="0" w:oddHBand="0" w:evenHBand="0" w:firstRowFirstColumn="0" w:firstRowLastColumn="0" w:lastRowFirstColumn="0" w:lastRowLastColumn="0"/>
          <w:trHeight w:val="248"/>
          <w:tblHeader/>
        </w:trPr>
        <w:tc>
          <w:tcPr>
            <w:tcW w:w="7039" w:type="dxa"/>
            <w:gridSpan w:val="2"/>
          </w:tcPr>
          <w:p w14:paraId="2F156309" w14:textId="77777777" w:rsidR="00BA6835" w:rsidRPr="00BA6835" w:rsidRDefault="00BA6835" w:rsidP="002D2A24">
            <w:pPr>
              <w:spacing w:before="120" w:after="120" w:line="276" w:lineRule="auto"/>
              <w:rPr>
                <w:rFonts w:eastAsia="Calibri" w:cs="Times New Roman"/>
                <w:szCs w:val="20"/>
              </w:rPr>
            </w:pPr>
            <w:r w:rsidRPr="00BA6835">
              <w:rPr>
                <w:rFonts w:eastAsia="Calibri" w:cs="Times New Roman"/>
                <w:color w:val="FFFFFF" w:themeColor="background1"/>
                <w:szCs w:val="20"/>
              </w:rPr>
              <w:t>RECOMMENDATIONS</w:t>
            </w:r>
            <w:r>
              <w:rPr>
                <w:rFonts w:eastAsia="Calibri" w:cs="Times New Roman"/>
                <w:color w:val="FFFFFF" w:themeColor="background1"/>
                <w:szCs w:val="20"/>
              </w:rPr>
              <w:t xml:space="preserve"> – Governance and Administration Evaluation</w:t>
            </w:r>
          </w:p>
        </w:tc>
      </w:tr>
      <w:tr w:rsidR="00BA6835" w14:paraId="06F199E0" w14:textId="77777777" w:rsidTr="00BB61F5">
        <w:trPr>
          <w:trHeight w:val="508"/>
        </w:trPr>
        <w:tc>
          <w:tcPr>
            <w:tcW w:w="567" w:type="dxa"/>
          </w:tcPr>
          <w:p w14:paraId="288DD2C7" w14:textId="77777777" w:rsidR="00BA6835" w:rsidRDefault="00BA6835" w:rsidP="002D2A24">
            <w:pPr>
              <w:pStyle w:val="Tabletext"/>
            </w:pPr>
            <w:r>
              <w:t>6.</w:t>
            </w:r>
          </w:p>
        </w:tc>
        <w:tc>
          <w:tcPr>
            <w:tcW w:w="6472" w:type="dxa"/>
            <w:vAlign w:val="center"/>
          </w:tcPr>
          <w:p w14:paraId="63DBEBCA" w14:textId="77777777" w:rsidR="00BA6835" w:rsidRPr="005849A1" w:rsidRDefault="00183C02" w:rsidP="002D2A24">
            <w:pPr>
              <w:pStyle w:val="Tabletext"/>
              <w:rPr>
                <w:szCs w:val="20"/>
              </w:rPr>
            </w:pPr>
            <w:r>
              <w:rPr>
                <w:szCs w:val="20"/>
              </w:rPr>
              <w:t>Ensure</w:t>
            </w:r>
            <w:r w:rsidR="00BA6835" w:rsidRPr="0079443E">
              <w:rPr>
                <w:szCs w:val="20"/>
              </w:rPr>
              <w:t xml:space="preserve"> stakeholders and grant recipients establish a shared understanding of the data required to measure the </w:t>
            </w:r>
            <w:r w:rsidR="00835A86">
              <w:rPr>
                <w:szCs w:val="20"/>
              </w:rPr>
              <w:t>programme</w:t>
            </w:r>
            <w:r w:rsidR="00BA6835" w:rsidRPr="0079443E">
              <w:rPr>
                <w:szCs w:val="20"/>
              </w:rPr>
              <w:t>’s effectiveness</w:t>
            </w:r>
            <w:r w:rsidR="00F77574">
              <w:rPr>
                <w:szCs w:val="20"/>
              </w:rPr>
              <w:t>. For example</w:t>
            </w:r>
            <w:r w:rsidR="00BA6835" w:rsidRPr="0079443E">
              <w:rPr>
                <w:szCs w:val="20"/>
              </w:rPr>
              <w:t xml:space="preserve"> </w:t>
            </w:r>
            <w:r w:rsidR="00F77574">
              <w:rPr>
                <w:szCs w:val="20"/>
              </w:rPr>
              <w:t>investigate ways to establish a</w:t>
            </w:r>
            <w:r>
              <w:rPr>
                <w:szCs w:val="20"/>
              </w:rPr>
              <w:t>n agreed</w:t>
            </w:r>
            <w:r w:rsidR="00F77574">
              <w:rPr>
                <w:szCs w:val="20"/>
              </w:rPr>
              <w:t xml:space="preserve"> baseline for energy use</w:t>
            </w:r>
            <w:r>
              <w:rPr>
                <w:szCs w:val="20"/>
              </w:rPr>
              <w:t xml:space="preserve"> prior to the programme</w:t>
            </w:r>
            <w:r w:rsidR="00F77574">
              <w:rPr>
                <w:szCs w:val="20"/>
              </w:rPr>
              <w:t xml:space="preserve">, </w:t>
            </w:r>
            <w:r>
              <w:rPr>
                <w:szCs w:val="20"/>
              </w:rPr>
              <w:t>and expectations to collect</w:t>
            </w:r>
            <w:r w:rsidR="00BA6835" w:rsidRPr="0079443E">
              <w:rPr>
                <w:szCs w:val="20"/>
              </w:rPr>
              <w:t xml:space="preserve"> one f</w:t>
            </w:r>
            <w:r>
              <w:rPr>
                <w:szCs w:val="20"/>
              </w:rPr>
              <w:t>ull year of</w:t>
            </w:r>
            <w:r w:rsidR="00BA6835" w:rsidRPr="0079443E">
              <w:rPr>
                <w:szCs w:val="20"/>
              </w:rPr>
              <w:t xml:space="preserve"> energy consumption data post-project.</w:t>
            </w:r>
          </w:p>
        </w:tc>
      </w:tr>
      <w:tr w:rsidR="00BA6835" w14:paraId="197BD5B0" w14:textId="77777777" w:rsidTr="00BB61F5">
        <w:trPr>
          <w:trHeight w:val="508"/>
        </w:trPr>
        <w:tc>
          <w:tcPr>
            <w:tcW w:w="567" w:type="dxa"/>
          </w:tcPr>
          <w:p w14:paraId="7DA8D2A7" w14:textId="77777777" w:rsidR="00BA6835" w:rsidRDefault="00BA6835" w:rsidP="002D2A24">
            <w:pPr>
              <w:pStyle w:val="Tabletext"/>
            </w:pPr>
            <w:r>
              <w:t>7.</w:t>
            </w:r>
          </w:p>
        </w:tc>
        <w:tc>
          <w:tcPr>
            <w:tcW w:w="6472" w:type="dxa"/>
            <w:vAlign w:val="center"/>
          </w:tcPr>
          <w:p w14:paraId="50A65E48" w14:textId="77777777" w:rsidR="00BA6835" w:rsidRPr="0079443E" w:rsidRDefault="00BA6835" w:rsidP="002D2A24">
            <w:pPr>
              <w:pStyle w:val="Tabletext"/>
              <w:rPr>
                <w:szCs w:val="20"/>
              </w:rPr>
            </w:pPr>
            <w:r>
              <w:rPr>
                <w:szCs w:val="20"/>
              </w:rPr>
              <w:t xml:space="preserve">Consider </w:t>
            </w:r>
            <w:r w:rsidRPr="0079443E">
              <w:rPr>
                <w:szCs w:val="20"/>
              </w:rPr>
              <w:t xml:space="preserve">compliance thresholds for small, medium and large projects </w:t>
            </w:r>
            <w:r>
              <w:rPr>
                <w:szCs w:val="20"/>
              </w:rPr>
              <w:t xml:space="preserve">to ensure </w:t>
            </w:r>
            <w:r w:rsidRPr="0079443E">
              <w:rPr>
                <w:szCs w:val="20"/>
              </w:rPr>
              <w:t>the level of required compliance</w:t>
            </w:r>
            <w:r>
              <w:rPr>
                <w:szCs w:val="20"/>
              </w:rPr>
              <w:t xml:space="preserve"> reporting</w:t>
            </w:r>
            <w:r w:rsidRPr="0079443E">
              <w:rPr>
                <w:szCs w:val="20"/>
              </w:rPr>
              <w:t xml:space="preserve"> is commensurate with the size, complexity, and de</w:t>
            </w:r>
            <w:r>
              <w:rPr>
                <w:szCs w:val="20"/>
              </w:rPr>
              <w:t xml:space="preserve">livery timeframe of a project. </w:t>
            </w:r>
          </w:p>
        </w:tc>
      </w:tr>
      <w:tr w:rsidR="00BA6835" w14:paraId="7F154535" w14:textId="77777777" w:rsidTr="00BB61F5">
        <w:trPr>
          <w:trHeight w:val="508"/>
        </w:trPr>
        <w:tc>
          <w:tcPr>
            <w:tcW w:w="567" w:type="dxa"/>
          </w:tcPr>
          <w:p w14:paraId="3EC17922" w14:textId="77777777" w:rsidR="00BA6835" w:rsidRDefault="00BA6835" w:rsidP="002D2A24">
            <w:pPr>
              <w:pStyle w:val="Tabletext"/>
            </w:pPr>
            <w:r>
              <w:t>8.</w:t>
            </w:r>
          </w:p>
        </w:tc>
        <w:tc>
          <w:tcPr>
            <w:tcW w:w="6472" w:type="dxa"/>
            <w:vAlign w:val="center"/>
          </w:tcPr>
          <w:p w14:paraId="1F50F009" w14:textId="77777777" w:rsidR="00BA6835" w:rsidRPr="0079443E" w:rsidRDefault="00BA6835" w:rsidP="002D2A24">
            <w:pPr>
              <w:pStyle w:val="Tabletext"/>
              <w:rPr>
                <w:szCs w:val="20"/>
              </w:rPr>
            </w:pPr>
            <w:r w:rsidRPr="0079443E">
              <w:rPr>
                <w:szCs w:val="20"/>
              </w:rPr>
              <w:t>Consider whether it would be cost effective to engage energy auditors directly</w:t>
            </w:r>
            <w:r>
              <w:rPr>
                <w:szCs w:val="20"/>
              </w:rPr>
              <w:t xml:space="preserve"> for</w:t>
            </w:r>
            <w:r w:rsidRPr="0079443E">
              <w:rPr>
                <w:szCs w:val="20"/>
              </w:rPr>
              <w:t xml:space="preserve"> future energy efficiency </w:t>
            </w:r>
            <w:r w:rsidR="00835A86">
              <w:rPr>
                <w:szCs w:val="20"/>
              </w:rPr>
              <w:t>programme</w:t>
            </w:r>
            <w:r w:rsidRPr="0079443E">
              <w:rPr>
                <w:szCs w:val="20"/>
              </w:rPr>
              <w:t>s. This would provide economies of scale and consistent methods of assessment, and would reduce</w:t>
            </w:r>
            <w:r>
              <w:rPr>
                <w:szCs w:val="20"/>
              </w:rPr>
              <w:t xml:space="preserve"> the amount</w:t>
            </w:r>
            <w:r w:rsidRPr="0079443E">
              <w:rPr>
                <w:szCs w:val="20"/>
              </w:rPr>
              <w:t xml:space="preserve"> of reporting</w:t>
            </w:r>
            <w:r>
              <w:rPr>
                <w:szCs w:val="20"/>
              </w:rPr>
              <w:t xml:space="preserve"> for</w:t>
            </w:r>
            <w:r w:rsidRPr="0079443E">
              <w:rPr>
                <w:szCs w:val="20"/>
              </w:rPr>
              <w:t xml:space="preserve"> grant recipients.</w:t>
            </w:r>
          </w:p>
        </w:tc>
      </w:tr>
      <w:tr w:rsidR="00BA6835" w14:paraId="632BEA30" w14:textId="77777777" w:rsidTr="00BB61F5">
        <w:trPr>
          <w:trHeight w:val="508"/>
        </w:trPr>
        <w:tc>
          <w:tcPr>
            <w:tcW w:w="567" w:type="dxa"/>
          </w:tcPr>
          <w:p w14:paraId="6E0D0E71" w14:textId="77777777" w:rsidR="00BA6835" w:rsidRDefault="00BA6835" w:rsidP="002D2A24">
            <w:pPr>
              <w:pStyle w:val="Tabletext"/>
            </w:pPr>
            <w:r>
              <w:t>9.</w:t>
            </w:r>
          </w:p>
        </w:tc>
        <w:tc>
          <w:tcPr>
            <w:tcW w:w="6472" w:type="dxa"/>
            <w:vAlign w:val="center"/>
          </w:tcPr>
          <w:p w14:paraId="05EFFF90" w14:textId="77777777" w:rsidR="00BA6835" w:rsidRPr="0079443E" w:rsidRDefault="00BA6835" w:rsidP="002D2A24">
            <w:pPr>
              <w:pStyle w:val="Tabletext"/>
              <w:rPr>
                <w:szCs w:val="20"/>
              </w:rPr>
            </w:pPr>
            <w:r w:rsidRPr="00F02DF6">
              <w:rPr>
                <w:szCs w:val="20"/>
              </w:rPr>
              <w:t xml:space="preserve">The department should work with grant applicants to help them understand the skill sets and likely time and budget allocation for project management. Grant applicants should be encouraged to allow adequate funds to ensure that appropriately experienced and capable project managers are engaged. </w:t>
            </w:r>
          </w:p>
        </w:tc>
      </w:tr>
      <w:tr w:rsidR="00BA6835" w14:paraId="77921FEC" w14:textId="77777777" w:rsidTr="00BB61F5">
        <w:trPr>
          <w:trHeight w:val="508"/>
        </w:trPr>
        <w:tc>
          <w:tcPr>
            <w:tcW w:w="567" w:type="dxa"/>
          </w:tcPr>
          <w:p w14:paraId="26C41A17" w14:textId="77777777" w:rsidR="00BA6835" w:rsidRDefault="00BA6835" w:rsidP="002D2A24">
            <w:pPr>
              <w:pStyle w:val="Tabletext"/>
            </w:pPr>
            <w:r>
              <w:t>10.</w:t>
            </w:r>
          </w:p>
        </w:tc>
        <w:tc>
          <w:tcPr>
            <w:tcW w:w="6472" w:type="dxa"/>
            <w:vAlign w:val="center"/>
          </w:tcPr>
          <w:p w14:paraId="4C29B85A" w14:textId="77777777" w:rsidR="00BA6835" w:rsidRPr="00F02DF6" w:rsidRDefault="00BA6835" w:rsidP="002D2A24">
            <w:pPr>
              <w:pStyle w:val="Tabletext"/>
              <w:rPr>
                <w:szCs w:val="20"/>
              </w:rPr>
            </w:pPr>
            <w:r>
              <w:rPr>
                <w:szCs w:val="20"/>
              </w:rPr>
              <w:t>The s</w:t>
            </w:r>
            <w:r w:rsidRPr="00D7136C">
              <w:rPr>
                <w:szCs w:val="20"/>
              </w:rPr>
              <w:t>uccess stories</w:t>
            </w:r>
            <w:r>
              <w:rPr>
                <w:szCs w:val="20"/>
              </w:rPr>
              <w:t xml:space="preserve"> of grant recipients</w:t>
            </w:r>
            <w:r w:rsidRPr="00D7136C">
              <w:rPr>
                <w:szCs w:val="20"/>
              </w:rPr>
              <w:t xml:space="preserve"> should be disseminated to key bodies, such as local government associations, relevant state government</w:t>
            </w:r>
            <w:r>
              <w:rPr>
                <w:szCs w:val="20"/>
              </w:rPr>
              <w:t xml:space="preserve"> authorities</w:t>
            </w:r>
            <w:r w:rsidRPr="00D7136C">
              <w:rPr>
                <w:szCs w:val="20"/>
              </w:rPr>
              <w:t xml:space="preserve"> and industry associations, to showcase the energy savings achieved and promote further upgrades to energy efficient technologies.</w:t>
            </w:r>
          </w:p>
        </w:tc>
      </w:tr>
    </w:tbl>
    <w:p w14:paraId="3BDF88A9" w14:textId="77777777" w:rsidR="00623B41" w:rsidRPr="001A44E5" w:rsidRDefault="00623B41" w:rsidP="001A44E5">
      <w:pPr>
        <w:spacing w:after="200" w:line="276" w:lineRule="auto"/>
      </w:pPr>
    </w:p>
    <w:p w14:paraId="098A92D7" w14:textId="77777777" w:rsidR="00BA6835" w:rsidRDefault="00295AF8" w:rsidP="00BA6835">
      <w:pPr>
        <w:pStyle w:val="Heading2"/>
        <w:rPr>
          <w:rFonts w:eastAsia="Calibri"/>
        </w:rPr>
      </w:pPr>
      <w:bookmarkStart w:id="47" w:name="_Toc463621570"/>
      <w:bookmarkStart w:id="48" w:name="_Toc463864370"/>
      <w:bookmarkStart w:id="49" w:name="_Toc463876946"/>
      <w:bookmarkStart w:id="50" w:name="_Toc463970048"/>
      <w:bookmarkStart w:id="51" w:name="_Toc464116818"/>
      <w:bookmarkStart w:id="52" w:name="_Toc483236852"/>
      <w:r w:rsidRPr="00375193">
        <w:rPr>
          <w:rFonts w:eastAsia="Calibri"/>
        </w:rPr>
        <w:t>Lessons Learned</w:t>
      </w:r>
      <w:bookmarkEnd w:id="47"/>
      <w:bookmarkEnd w:id="48"/>
      <w:bookmarkEnd w:id="49"/>
      <w:bookmarkEnd w:id="50"/>
      <w:bookmarkEnd w:id="51"/>
      <w:bookmarkEnd w:id="52"/>
      <w:r w:rsidRPr="00375193">
        <w:rPr>
          <w:rFonts w:eastAsia="Calibri"/>
        </w:rPr>
        <w:t xml:space="preserve"> </w:t>
      </w:r>
    </w:p>
    <w:p w14:paraId="242FF49C" w14:textId="77777777" w:rsidR="00BA6835" w:rsidRPr="00BA6835" w:rsidRDefault="00BA6835" w:rsidP="001A44E5">
      <w:pPr>
        <w:pStyle w:val="BodyText"/>
        <w:jc w:val="left"/>
      </w:pPr>
      <w:r>
        <w:t xml:space="preserve">The following lessons were </w:t>
      </w:r>
      <w:r w:rsidR="001A44E5">
        <w:t>noted from</w:t>
      </w:r>
      <w:r>
        <w:t xml:space="preserve"> evaluation</w:t>
      </w:r>
      <w:r w:rsidR="001A44E5">
        <w:t>s conducted on</w:t>
      </w:r>
      <w:r>
        <w:t xml:space="preserve"> the CEEP.</w:t>
      </w:r>
    </w:p>
    <w:tbl>
      <w:tblPr>
        <w:tblStyle w:val="OCETable"/>
        <w:tblpPr w:leftFromText="180" w:rightFromText="180" w:vertAnchor="text" w:horzAnchor="margin" w:tblpY="-38"/>
        <w:tblW w:w="7039" w:type="dxa"/>
        <w:tblLayout w:type="fixed"/>
        <w:tblLook w:val="04A0" w:firstRow="1" w:lastRow="0" w:firstColumn="1" w:lastColumn="0" w:noHBand="0" w:noVBand="1"/>
        <w:tblCaption w:val="Summary of the three lessons learned"/>
      </w:tblPr>
      <w:tblGrid>
        <w:gridCol w:w="567"/>
        <w:gridCol w:w="6472"/>
      </w:tblGrid>
      <w:tr w:rsidR="00BA6835" w14:paraId="3162FF49" w14:textId="77777777" w:rsidTr="00AE7591">
        <w:trPr>
          <w:cnfStyle w:val="100000000000" w:firstRow="1" w:lastRow="0" w:firstColumn="0" w:lastColumn="0" w:oddVBand="0" w:evenVBand="0" w:oddHBand="0" w:evenHBand="0" w:firstRowFirstColumn="0" w:firstRowLastColumn="0" w:lastRowFirstColumn="0" w:lastRowLastColumn="0"/>
          <w:trHeight w:val="248"/>
          <w:tblHeader/>
        </w:trPr>
        <w:tc>
          <w:tcPr>
            <w:tcW w:w="7039" w:type="dxa"/>
            <w:gridSpan w:val="2"/>
          </w:tcPr>
          <w:p w14:paraId="5EC7C87B" w14:textId="77777777" w:rsidR="00BA6835" w:rsidRDefault="00BA6835" w:rsidP="002D2A24">
            <w:pPr>
              <w:spacing w:before="120" w:after="120" w:line="276" w:lineRule="auto"/>
              <w:rPr>
                <w:rFonts w:eastAsia="Calibri" w:cs="Times New Roman"/>
              </w:rPr>
            </w:pPr>
            <w:r>
              <w:rPr>
                <w:rFonts w:eastAsia="Calibri" w:cs="Times New Roman"/>
                <w:color w:val="FFFFFF" w:themeColor="background1"/>
              </w:rPr>
              <w:t>LESSONS LEARNED</w:t>
            </w:r>
          </w:p>
        </w:tc>
      </w:tr>
      <w:tr w:rsidR="00BA6835" w14:paraId="2930562A" w14:textId="77777777" w:rsidTr="00BB61F5">
        <w:trPr>
          <w:trHeight w:val="508"/>
        </w:trPr>
        <w:tc>
          <w:tcPr>
            <w:tcW w:w="567" w:type="dxa"/>
          </w:tcPr>
          <w:p w14:paraId="3DE85CE0" w14:textId="77777777" w:rsidR="00BA6835" w:rsidRDefault="00BA6835" w:rsidP="002D2A24">
            <w:pPr>
              <w:pStyle w:val="Tabletext"/>
            </w:pPr>
            <w:r>
              <w:t>1.</w:t>
            </w:r>
          </w:p>
        </w:tc>
        <w:tc>
          <w:tcPr>
            <w:tcW w:w="6472" w:type="dxa"/>
            <w:vAlign w:val="center"/>
          </w:tcPr>
          <w:p w14:paraId="163FD08C" w14:textId="77777777" w:rsidR="00BA6835" w:rsidRPr="005849A1" w:rsidRDefault="00E87044" w:rsidP="002D2A24">
            <w:pPr>
              <w:pStyle w:val="Tabletext"/>
              <w:rPr>
                <w:szCs w:val="20"/>
              </w:rPr>
            </w:pPr>
            <w:r>
              <w:rPr>
                <w:szCs w:val="20"/>
              </w:rPr>
              <w:t>Despite the limitations</w:t>
            </w:r>
            <w:r w:rsidR="00BA6835">
              <w:rPr>
                <w:szCs w:val="20"/>
              </w:rPr>
              <w:t xml:space="preserve"> of the data collected from grant recipients, the available information suggests that c</w:t>
            </w:r>
            <w:r w:rsidR="00BA6835" w:rsidRPr="00BA6835">
              <w:rPr>
                <w:szCs w:val="20"/>
              </w:rPr>
              <w:t>o-funded energy efficiency upgrades</w:t>
            </w:r>
            <w:r w:rsidR="007946B5">
              <w:rPr>
                <w:szCs w:val="20"/>
              </w:rPr>
              <w:t xml:space="preserve"> with</w:t>
            </w:r>
            <w:r w:rsidR="00BA6835">
              <w:rPr>
                <w:szCs w:val="20"/>
              </w:rPr>
              <w:t xml:space="preserve"> </w:t>
            </w:r>
            <w:r w:rsidR="007946B5">
              <w:rPr>
                <w:szCs w:val="20"/>
              </w:rPr>
              <w:t xml:space="preserve">local councils and community organisations, </w:t>
            </w:r>
            <w:r w:rsidR="00BA6835">
              <w:rPr>
                <w:szCs w:val="20"/>
              </w:rPr>
              <w:t>are</w:t>
            </w:r>
            <w:r w:rsidR="00BA6835" w:rsidRPr="00BA6835">
              <w:rPr>
                <w:szCs w:val="20"/>
              </w:rPr>
              <w:t xml:space="preserve"> a cost-effec</w:t>
            </w:r>
            <w:r w:rsidR="00BA6835">
              <w:rPr>
                <w:szCs w:val="20"/>
              </w:rPr>
              <w:t>tive wa</w:t>
            </w:r>
            <w:r w:rsidR="007946B5">
              <w:rPr>
                <w:szCs w:val="20"/>
              </w:rPr>
              <w:t>y of reducing energy consumption.</w:t>
            </w:r>
            <w:r w:rsidR="00BA6835">
              <w:rPr>
                <w:szCs w:val="20"/>
              </w:rPr>
              <w:t xml:space="preserve"> </w:t>
            </w:r>
          </w:p>
        </w:tc>
      </w:tr>
      <w:tr w:rsidR="00BA6835" w14:paraId="567F43C2" w14:textId="77777777" w:rsidTr="00BB61F5">
        <w:trPr>
          <w:trHeight w:val="508"/>
        </w:trPr>
        <w:tc>
          <w:tcPr>
            <w:tcW w:w="567" w:type="dxa"/>
          </w:tcPr>
          <w:p w14:paraId="3E6651CA" w14:textId="77777777" w:rsidR="00BA6835" w:rsidRDefault="00BA6835" w:rsidP="002D2A24">
            <w:pPr>
              <w:pStyle w:val="Tabletext"/>
            </w:pPr>
            <w:r>
              <w:t>2.</w:t>
            </w:r>
          </w:p>
        </w:tc>
        <w:tc>
          <w:tcPr>
            <w:tcW w:w="6472" w:type="dxa"/>
            <w:vAlign w:val="center"/>
          </w:tcPr>
          <w:p w14:paraId="765C85A0" w14:textId="77777777" w:rsidR="00BA6835" w:rsidRPr="0079443E" w:rsidRDefault="00BA6835" w:rsidP="002D2A24">
            <w:pPr>
              <w:pStyle w:val="Tabletext"/>
              <w:rPr>
                <w:szCs w:val="20"/>
              </w:rPr>
            </w:pPr>
            <w:r w:rsidRPr="00BA6835">
              <w:rPr>
                <w:szCs w:val="20"/>
              </w:rPr>
              <w:t xml:space="preserve">The use of a panel of independent experts to assess </w:t>
            </w:r>
            <w:r w:rsidR="003B05AB">
              <w:rPr>
                <w:szCs w:val="20"/>
              </w:rPr>
              <w:t xml:space="preserve">grant </w:t>
            </w:r>
            <w:r w:rsidRPr="00BA6835">
              <w:rPr>
                <w:szCs w:val="20"/>
              </w:rPr>
              <w:t xml:space="preserve">applications can be very useful. Such panels can also play a role in providing feedback to applicants on their proposals. </w:t>
            </w:r>
          </w:p>
        </w:tc>
      </w:tr>
      <w:tr w:rsidR="00BA6835" w14:paraId="0F3083B2" w14:textId="77777777" w:rsidTr="00BB61F5">
        <w:trPr>
          <w:trHeight w:val="508"/>
        </w:trPr>
        <w:tc>
          <w:tcPr>
            <w:tcW w:w="567" w:type="dxa"/>
          </w:tcPr>
          <w:p w14:paraId="6B575466" w14:textId="77777777" w:rsidR="00BA6835" w:rsidRDefault="00BA6835" w:rsidP="002D2A24">
            <w:pPr>
              <w:pStyle w:val="Tabletext"/>
            </w:pPr>
            <w:r>
              <w:t>3.</w:t>
            </w:r>
          </w:p>
        </w:tc>
        <w:tc>
          <w:tcPr>
            <w:tcW w:w="6472" w:type="dxa"/>
            <w:vAlign w:val="center"/>
          </w:tcPr>
          <w:p w14:paraId="104DAE9D" w14:textId="77777777" w:rsidR="00BA6835" w:rsidRPr="0079443E" w:rsidRDefault="003B05AB" w:rsidP="002D2A24">
            <w:pPr>
              <w:pStyle w:val="Tabletext"/>
              <w:rPr>
                <w:szCs w:val="20"/>
              </w:rPr>
            </w:pPr>
            <w:r>
              <w:rPr>
                <w:szCs w:val="20"/>
              </w:rPr>
              <w:t>A detailed</w:t>
            </w:r>
            <w:r w:rsidR="00BA6835" w:rsidRPr="00BA6835">
              <w:rPr>
                <w:szCs w:val="20"/>
              </w:rPr>
              <w:t xml:space="preserve"> evaluation plan </w:t>
            </w:r>
            <w:r>
              <w:rPr>
                <w:szCs w:val="20"/>
              </w:rPr>
              <w:t>should be developed for</w:t>
            </w:r>
            <w:r w:rsidR="00BA6835" w:rsidRPr="00BA6835">
              <w:rPr>
                <w:szCs w:val="20"/>
              </w:rPr>
              <w:t xml:space="preserve"> energy efficiency </w:t>
            </w:r>
            <w:r w:rsidR="00835A86">
              <w:rPr>
                <w:szCs w:val="20"/>
              </w:rPr>
              <w:t>programme</w:t>
            </w:r>
            <w:r w:rsidR="00BA6835" w:rsidRPr="00BA6835">
              <w:rPr>
                <w:szCs w:val="20"/>
              </w:rPr>
              <w:t>s, including: key performance indicators, data sources, collection methods and parameter</w:t>
            </w:r>
            <w:r w:rsidR="00E87044">
              <w:rPr>
                <w:szCs w:val="20"/>
              </w:rPr>
              <w:t>s for analysis. This plan should be communicated</w:t>
            </w:r>
            <w:r>
              <w:rPr>
                <w:szCs w:val="20"/>
              </w:rPr>
              <w:t xml:space="preserve"> to potential grant applicants.</w:t>
            </w:r>
          </w:p>
        </w:tc>
      </w:tr>
    </w:tbl>
    <w:p w14:paraId="53390227" w14:textId="77777777" w:rsidR="00295AF8" w:rsidRPr="002D2A24" w:rsidRDefault="00295AF8" w:rsidP="002D2A24">
      <w:pPr>
        <w:pStyle w:val="Heading1"/>
      </w:pPr>
      <w:r w:rsidRPr="00C044FA">
        <w:br w:type="page"/>
      </w:r>
      <w:bookmarkStart w:id="53" w:name="_Toc332291713"/>
      <w:bookmarkStart w:id="54" w:name="_Toc355705050"/>
      <w:bookmarkStart w:id="55" w:name="_Toc446426611"/>
      <w:bookmarkStart w:id="56" w:name="_Toc463621571"/>
      <w:bookmarkStart w:id="57" w:name="_Toc463864371"/>
      <w:bookmarkStart w:id="58" w:name="_Toc463876947"/>
      <w:bookmarkStart w:id="59" w:name="_Toc463970049"/>
      <w:bookmarkStart w:id="60" w:name="_Toc464116819"/>
      <w:bookmarkStart w:id="61" w:name="_Toc483236853"/>
      <w:r w:rsidRPr="002D2A24">
        <w:t>Introduction</w:t>
      </w:r>
      <w:bookmarkEnd w:id="53"/>
      <w:bookmarkEnd w:id="54"/>
      <w:bookmarkEnd w:id="55"/>
      <w:bookmarkEnd w:id="56"/>
      <w:bookmarkEnd w:id="57"/>
      <w:bookmarkEnd w:id="58"/>
      <w:bookmarkEnd w:id="59"/>
      <w:bookmarkEnd w:id="60"/>
      <w:bookmarkEnd w:id="61"/>
    </w:p>
    <w:p w14:paraId="4D147EBD" w14:textId="77777777" w:rsidR="00AA377F" w:rsidRDefault="000819A0" w:rsidP="00A325F4">
      <w:pPr>
        <w:pStyle w:val="BodyText"/>
        <w:jc w:val="left"/>
        <w:rPr>
          <w:rFonts w:cs="Arial"/>
          <w:lang w:eastAsia="en-AU"/>
        </w:rPr>
      </w:pPr>
      <w:r>
        <w:t>The CEEP</w:t>
      </w:r>
      <w:r w:rsidR="00AA377F" w:rsidRPr="00C044FA">
        <w:t xml:space="preserve"> was</w:t>
      </w:r>
      <w:r w:rsidR="00AA377F">
        <w:t xml:space="preserve"> introduced in 2012 as a </w:t>
      </w:r>
      <w:r w:rsidR="00AA377F" w:rsidRPr="00C044FA">
        <w:t xml:space="preserve">competitive grants </w:t>
      </w:r>
      <w:r w:rsidR="00835A86">
        <w:t>programme</w:t>
      </w:r>
      <w:r w:rsidR="00AA377F" w:rsidRPr="00C044FA">
        <w:t xml:space="preserve"> </w:t>
      </w:r>
      <w:r w:rsidR="00AA377F">
        <w:t>delivered through</w:t>
      </w:r>
      <w:r w:rsidR="00AA377F" w:rsidRPr="00C044FA">
        <w:t xml:space="preserve"> the </w:t>
      </w:r>
      <w:r w:rsidR="00AA377F">
        <w:t xml:space="preserve">$80 million </w:t>
      </w:r>
      <w:r w:rsidR="00AA377F" w:rsidRPr="002016EC">
        <w:rPr>
          <w:i/>
        </w:rPr>
        <w:t>Low Carbon Communities</w:t>
      </w:r>
      <w:r w:rsidR="00AA377F" w:rsidRPr="00C044FA">
        <w:t xml:space="preserve"> initiative</w:t>
      </w:r>
      <w:r w:rsidR="002D2A24">
        <w:rPr>
          <w:rFonts w:cs="Arial"/>
          <w:lang w:eastAsia="en-AU"/>
        </w:rPr>
        <w:t>.</w:t>
      </w:r>
    </w:p>
    <w:p w14:paraId="264EFA12" w14:textId="77777777" w:rsidR="00AA377F" w:rsidRDefault="00AA377F" w:rsidP="00A325F4">
      <w:pPr>
        <w:pStyle w:val="BodyText"/>
        <w:jc w:val="left"/>
      </w:pPr>
      <w:r>
        <w:t>Funding rounds were held in February and October 2012. The funding model required recipients to co-invest at rates between one third and two thirds of the project cost.</w:t>
      </w:r>
    </w:p>
    <w:p w14:paraId="3EDC3D1C" w14:textId="5DB6D2B7" w:rsidR="00A325F4" w:rsidRDefault="007302FE" w:rsidP="00A325F4">
      <w:pPr>
        <w:pStyle w:val="BodyText"/>
        <w:jc w:val="left"/>
      </w:pPr>
      <w:r>
        <w:t>Round O</w:t>
      </w:r>
      <w:r w:rsidR="00266E21">
        <w:t>ne awarded 63 grants</w:t>
      </w:r>
      <w:r w:rsidR="00AC3F35">
        <w:t xml:space="preserve"> from 295 applications. </w:t>
      </w:r>
      <w:r>
        <w:t>Round T</w:t>
      </w:r>
      <w:r w:rsidR="00266E21">
        <w:t>wo approved 107</w:t>
      </w:r>
      <w:r w:rsidR="00AC3F35">
        <w:t xml:space="preserve"> grants from 241 applications. </w:t>
      </w:r>
      <w:r w:rsidR="00266E21">
        <w:t>These grants ranged from $10,000 to $5.3 million</w:t>
      </w:r>
      <w:r w:rsidR="00A325F4">
        <w:t xml:space="preserve"> each</w:t>
      </w:r>
      <w:r w:rsidR="00E87044">
        <w:t xml:space="preserve">. </w:t>
      </w:r>
      <w:r w:rsidR="00A325F4">
        <w:t xml:space="preserve">In total, 153 </w:t>
      </w:r>
      <w:r w:rsidR="00266E21">
        <w:t xml:space="preserve">projects were completed, </w:t>
      </w:r>
      <w:r w:rsidR="00A325F4">
        <w:t>seven</w:t>
      </w:r>
      <w:r w:rsidR="00266E21">
        <w:t xml:space="preserve"> </w:t>
      </w:r>
      <w:r w:rsidR="00332CF5">
        <w:t xml:space="preserve">projects were terminated, </w:t>
      </w:r>
      <w:r w:rsidR="00BA7E15">
        <w:t xml:space="preserve">and </w:t>
      </w:r>
      <w:r w:rsidR="00332CF5">
        <w:t>eleven</w:t>
      </w:r>
      <w:r w:rsidR="00266E21">
        <w:t xml:space="preserve"> proj</w:t>
      </w:r>
      <w:r w:rsidR="00A325F4">
        <w:t>ects withdrew from the process</w:t>
      </w:r>
      <w:r w:rsidR="00266E21">
        <w:t>.</w:t>
      </w:r>
      <w:r w:rsidR="00AC533D">
        <w:t xml:space="preserve"> A total of $96.3</w:t>
      </w:r>
      <w:r w:rsidR="00A325F4">
        <w:t xml:space="preserve"> </w:t>
      </w:r>
      <w:r w:rsidR="00BA7E15">
        <w:t xml:space="preserve">million </w:t>
      </w:r>
      <w:r w:rsidR="00A325F4">
        <w:t xml:space="preserve">was paid in grant funding by the close of the </w:t>
      </w:r>
      <w:r w:rsidR="00835A86">
        <w:t>programme</w:t>
      </w:r>
      <w:r w:rsidR="00A325F4">
        <w:t>.</w:t>
      </w:r>
      <w:r w:rsidR="000A51CC">
        <w:t xml:space="preserve"> On average, these grants accounted for 47 per cent of the total project cost. Grant reci</w:t>
      </w:r>
      <w:r w:rsidR="00164071">
        <w:t>pients directly contributed $117.3</w:t>
      </w:r>
      <w:r w:rsidR="000A51CC">
        <w:t xml:space="preserve"> million to the cost of the projects.</w:t>
      </w:r>
    </w:p>
    <w:p w14:paraId="22213A55" w14:textId="77777777" w:rsidR="00266E21" w:rsidRPr="002D2A24" w:rsidRDefault="0052429C" w:rsidP="002D2A24">
      <w:pPr>
        <w:pStyle w:val="Heading2"/>
      </w:pPr>
      <w:bookmarkStart w:id="62" w:name="_Toc483236854"/>
      <w:bookmarkStart w:id="63" w:name="_Toc351458275"/>
      <w:bookmarkStart w:id="64" w:name="_Toc355705051"/>
      <w:bookmarkStart w:id="65" w:name="_Toc446426612"/>
      <w:bookmarkStart w:id="66" w:name="_Toc463621572"/>
      <w:bookmarkStart w:id="67" w:name="_Toc463864372"/>
      <w:bookmarkStart w:id="68" w:name="_Toc463876948"/>
      <w:bookmarkStart w:id="69" w:name="_Toc463970050"/>
      <w:bookmarkStart w:id="70" w:name="_Toc464116820"/>
      <w:r w:rsidRPr="002D2A24">
        <w:t xml:space="preserve">The </w:t>
      </w:r>
      <w:r w:rsidR="00835A86" w:rsidRPr="002D2A24">
        <w:t>Programme</w:t>
      </w:r>
      <w:r w:rsidRPr="002D2A24">
        <w:t xml:space="preserve"> </w:t>
      </w:r>
      <w:r w:rsidR="00266E21" w:rsidRPr="002D2A24">
        <w:t>Objectives</w:t>
      </w:r>
      <w:bookmarkEnd w:id="62"/>
    </w:p>
    <w:p w14:paraId="6FC79C94" w14:textId="77777777" w:rsidR="00266E21" w:rsidRPr="00B327FC" w:rsidRDefault="00266E21" w:rsidP="00A325F4">
      <w:pPr>
        <w:pStyle w:val="BodyText"/>
        <w:jc w:val="left"/>
        <w:rPr>
          <w:rFonts w:eastAsia="Calibri" w:cs="Times New Roman"/>
        </w:rPr>
      </w:pPr>
      <w:r>
        <w:rPr>
          <w:rFonts w:cs="Arial"/>
          <w:lang w:eastAsia="en-AU"/>
        </w:rPr>
        <w:t>T</w:t>
      </w:r>
      <w:r w:rsidRPr="00B327FC">
        <w:rPr>
          <w:rFonts w:eastAsia="Calibri" w:cs="Times New Roman"/>
        </w:rPr>
        <w:t xml:space="preserve">he objectives of </w:t>
      </w:r>
      <w:r w:rsidR="000819A0">
        <w:rPr>
          <w:rFonts w:eastAsia="Calibri" w:cs="Times New Roman"/>
        </w:rPr>
        <w:t>the CEEP</w:t>
      </w:r>
      <w:r w:rsidRPr="00B327FC">
        <w:rPr>
          <w:rFonts w:eastAsia="Calibri" w:cs="Times New Roman"/>
        </w:rPr>
        <w:t xml:space="preserve"> </w:t>
      </w:r>
      <w:r>
        <w:rPr>
          <w:rFonts w:eastAsia="Calibri" w:cs="Times New Roman"/>
        </w:rPr>
        <w:t>we</w:t>
      </w:r>
      <w:r w:rsidRPr="00B327FC">
        <w:rPr>
          <w:rFonts w:eastAsia="Calibri" w:cs="Times New Roman"/>
        </w:rPr>
        <w:t>re to:</w:t>
      </w:r>
    </w:p>
    <w:p w14:paraId="57CEC177" w14:textId="77777777" w:rsidR="00266E21" w:rsidRPr="00E87044" w:rsidRDefault="00266E21" w:rsidP="002023D8">
      <w:pPr>
        <w:pStyle w:val="ListParagraph"/>
        <w:numPr>
          <w:ilvl w:val="0"/>
          <w:numId w:val="47"/>
        </w:numPr>
        <w:ind w:left="360" w:hanging="290"/>
        <w:jc w:val="left"/>
      </w:pPr>
      <w:r w:rsidRPr="00B327FC">
        <w:t>Support a range of local councils and community organisations to increase the energy efficiency of different types of non</w:t>
      </w:r>
      <w:r w:rsidRPr="00B327FC">
        <w:rPr>
          <w:rFonts w:ascii="MS Gothic" w:hAnsi="MS Gothic"/>
        </w:rPr>
        <w:t>‑</w:t>
      </w:r>
      <w:r w:rsidRPr="00B327FC">
        <w:t>residential council and community</w:t>
      </w:r>
      <w:r w:rsidR="00E87044">
        <w:rPr>
          <w:rFonts w:ascii="MS Gothic" w:hAnsi="MS Gothic"/>
        </w:rPr>
        <w:t xml:space="preserve"> </w:t>
      </w:r>
      <w:r w:rsidRPr="00B327FC">
        <w:t xml:space="preserve">use buildings, facilities and lighting. </w:t>
      </w:r>
      <w:r w:rsidR="007302FE">
        <w:t>Round T</w:t>
      </w:r>
      <w:r w:rsidR="00E87044">
        <w:t>wo added the words</w:t>
      </w:r>
      <w:r w:rsidRPr="00E87044">
        <w:rPr>
          <w:i/>
        </w:rPr>
        <w:t xml:space="preserve"> </w:t>
      </w:r>
      <w:r w:rsidR="00A325F4" w:rsidRPr="00E87044">
        <w:rPr>
          <w:i/>
        </w:rPr>
        <w:t>‘</w:t>
      </w:r>
      <w:r w:rsidRPr="00E87044">
        <w:rPr>
          <w:i/>
        </w:rPr>
        <w:t>particularly where this would benefit low socio</w:t>
      </w:r>
      <w:r w:rsidRPr="00E87044">
        <w:rPr>
          <w:rFonts w:ascii="MS Gothic" w:hAnsi="MS Gothic"/>
          <w:i/>
        </w:rPr>
        <w:t>‑</w:t>
      </w:r>
      <w:r w:rsidRPr="00E87044">
        <w:rPr>
          <w:i/>
        </w:rPr>
        <w:t>economic and other disadvantaged communities or support energy efficiency</w:t>
      </w:r>
      <w:r w:rsidR="00A325F4" w:rsidRPr="00E87044">
        <w:rPr>
          <w:i/>
        </w:rPr>
        <w:t xml:space="preserve"> in regional and rural councils.’</w:t>
      </w:r>
    </w:p>
    <w:p w14:paraId="31E0DB0E" w14:textId="77777777" w:rsidR="00266E21" w:rsidRPr="00B327FC" w:rsidRDefault="00266E21" w:rsidP="002023D8">
      <w:pPr>
        <w:pStyle w:val="ListParagraph"/>
        <w:numPr>
          <w:ilvl w:val="0"/>
          <w:numId w:val="47"/>
        </w:numPr>
        <w:ind w:left="426"/>
        <w:jc w:val="left"/>
      </w:pPr>
      <w:r w:rsidRPr="00B327FC">
        <w:t>Demonstrate and encourage the adoption of improved energy management practices within councils, organisations and the broader community</w:t>
      </w:r>
      <w:r w:rsidR="0064130D">
        <w:t>.</w:t>
      </w:r>
    </w:p>
    <w:p w14:paraId="1A408659" w14:textId="77777777" w:rsidR="00266E21" w:rsidRDefault="00266E21" w:rsidP="00A325F4">
      <w:pPr>
        <w:pStyle w:val="BodyText"/>
        <w:jc w:val="left"/>
      </w:pPr>
      <w:r>
        <w:t xml:space="preserve">These objectives were </w:t>
      </w:r>
      <w:r w:rsidR="00E87044">
        <w:t xml:space="preserve">to be </w:t>
      </w:r>
      <w:r>
        <w:t>achieved through the retrofit of energy-efficient technologies</w:t>
      </w:r>
      <w:r w:rsidR="00480C8F">
        <w:t xml:space="preserve"> to existing sites and facilities</w:t>
      </w:r>
      <w:r>
        <w:t xml:space="preserve">, and </w:t>
      </w:r>
      <w:r w:rsidR="00593987">
        <w:t xml:space="preserve">by </w:t>
      </w:r>
      <w:r>
        <w:t xml:space="preserve">demonstrating energy efficiency management practices to the broader community.  </w:t>
      </w:r>
    </w:p>
    <w:p w14:paraId="386ECB24" w14:textId="77777777" w:rsidR="007001B6" w:rsidRDefault="007001B6" w:rsidP="007001B6">
      <w:pPr>
        <w:pStyle w:val="BodyText"/>
      </w:pPr>
      <w:r>
        <w:t xml:space="preserve">The </w:t>
      </w:r>
      <w:r w:rsidR="00835A86">
        <w:t>programme</w:t>
      </w:r>
      <w:r>
        <w:t xml:space="preserve"> was expected to provide the following </w:t>
      </w:r>
      <w:r w:rsidR="00593987">
        <w:t>co-</w:t>
      </w:r>
      <w:r>
        <w:t>benefits</w:t>
      </w:r>
      <w:r w:rsidR="00C47E69">
        <w:rPr>
          <w:rStyle w:val="FootnoteReference"/>
        </w:rPr>
        <w:footnoteReference w:id="6"/>
      </w:r>
      <w:r>
        <w:t xml:space="preserve">: </w:t>
      </w:r>
    </w:p>
    <w:p w14:paraId="0D73F082" w14:textId="77777777" w:rsidR="007001B6" w:rsidRDefault="00546861" w:rsidP="00593987">
      <w:pPr>
        <w:pStyle w:val="ListBullet"/>
        <w:spacing w:after="0"/>
        <w:jc w:val="left"/>
      </w:pPr>
      <w:r>
        <w:t>M</w:t>
      </w:r>
      <w:r w:rsidR="007001B6">
        <w:t>inimise energy consumption and costs</w:t>
      </w:r>
      <w:r w:rsidR="00B714F7">
        <w:t>, in order to mitigate</w:t>
      </w:r>
      <w:r w:rsidR="007001B6">
        <w:t xml:space="preserve"> the impacts of the carbon price</w:t>
      </w:r>
      <w:r w:rsidR="004C5971">
        <w:t xml:space="preserve"> on loca</w:t>
      </w:r>
      <w:r>
        <w:t>l councils and community groups</w:t>
      </w:r>
    </w:p>
    <w:p w14:paraId="33DE6931" w14:textId="77777777" w:rsidR="00480C8F" w:rsidRDefault="00546861" w:rsidP="00593987">
      <w:pPr>
        <w:pStyle w:val="ListBullet"/>
        <w:spacing w:after="0"/>
        <w:jc w:val="left"/>
      </w:pPr>
      <w:r>
        <w:t>C</w:t>
      </w:r>
      <w:r w:rsidR="00480C8F">
        <w:t>ontribute to the national effort to reduce greenhouse gas emissions</w:t>
      </w:r>
    </w:p>
    <w:p w14:paraId="76765EF4" w14:textId="77777777" w:rsidR="007001B6" w:rsidRDefault="00546861" w:rsidP="00593987">
      <w:pPr>
        <w:pStyle w:val="ListBullet"/>
        <w:spacing w:after="0"/>
        <w:jc w:val="left"/>
      </w:pPr>
      <w:r>
        <w:t>B</w:t>
      </w:r>
      <w:r w:rsidR="007001B6">
        <w:t>uild th</w:t>
      </w:r>
      <w:r w:rsidR="004C5971">
        <w:t xml:space="preserve">e knowledge and capacity of </w:t>
      </w:r>
      <w:r w:rsidR="007001B6">
        <w:t xml:space="preserve">energy </w:t>
      </w:r>
      <w:r w:rsidR="004C5971">
        <w:t>eff</w:t>
      </w:r>
      <w:r>
        <w:t>iciency industries in Australia</w:t>
      </w:r>
    </w:p>
    <w:p w14:paraId="3625B4E5" w14:textId="77777777" w:rsidR="007001B6" w:rsidRDefault="00546861" w:rsidP="00593987">
      <w:pPr>
        <w:pStyle w:val="ListBullet"/>
        <w:spacing w:after="0"/>
        <w:jc w:val="left"/>
      </w:pPr>
      <w:r>
        <w:t>S</w:t>
      </w:r>
      <w:r w:rsidR="004C5971">
        <w:t>upport competitive</w:t>
      </w:r>
      <w:r w:rsidR="007001B6">
        <w:t xml:space="preserve"> energy efficiency technology and equipment manufacturers</w:t>
      </w:r>
      <w:r>
        <w:t xml:space="preserve"> in Australia</w:t>
      </w:r>
    </w:p>
    <w:p w14:paraId="5F999194" w14:textId="77777777" w:rsidR="007001B6" w:rsidRDefault="00546861" w:rsidP="00BF3B14">
      <w:pPr>
        <w:pStyle w:val="ListBullet"/>
        <w:spacing w:after="0"/>
        <w:jc w:val="left"/>
      </w:pPr>
      <w:r>
        <w:t>A</w:t>
      </w:r>
      <w:r w:rsidR="004C5971">
        <w:t xml:space="preserve">ssist recipients to </w:t>
      </w:r>
      <w:r w:rsidR="00480C8F">
        <w:t>provide better services and improved</w:t>
      </w:r>
      <w:r w:rsidR="004C5971">
        <w:t xml:space="preserve"> building amenities</w:t>
      </w:r>
      <w:r w:rsidR="00480C8F">
        <w:t xml:space="preserve"> </w:t>
      </w:r>
      <w:r>
        <w:t>to their communities</w:t>
      </w:r>
      <w:r w:rsidR="00F30BC2">
        <w:t>.</w:t>
      </w:r>
    </w:p>
    <w:p w14:paraId="2172B32F" w14:textId="77777777" w:rsidR="00266E21" w:rsidRPr="002D2A24" w:rsidRDefault="00266E21" w:rsidP="002D2A24">
      <w:pPr>
        <w:pStyle w:val="Heading2"/>
      </w:pPr>
      <w:bookmarkStart w:id="71" w:name="_Toc483236855"/>
      <w:r w:rsidRPr="002D2A24">
        <w:t>Project Funding</w:t>
      </w:r>
      <w:bookmarkEnd w:id="71"/>
    </w:p>
    <w:p w14:paraId="4850D270" w14:textId="77777777" w:rsidR="00266E21" w:rsidRDefault="00266E21" w:rsidP="007302FE">
      <w:pPr>
        <w:pStyle w:val="BodyText"/>
        <w:jc w:val="left"/>
      </w:pPr>
      <w:r w:rsidRPr="001C19B5">
        <w:t>S</w:t>
      </w:r>
      <w:r>
        <w:t>ubject to eligibility and merit-</w:t>
      </w:r>
      <w:r w:rsidRPr="001C19B5">
        <w:t xml:space="preserve">based criteria, </w:t>
      </w:r>
      <w:r>
        <w:t xml:space="preserve">the minimum grant was </w:t>
      </w:r>
      <w:r w:rsidRPr="001C19B5">
        <w:t>$</w:t>
      </w:r>
      <w:r>
        <w:t>10</w:t>
      </w:r>
      <w:r w:rsidRPr="001C19B5">
        <w:t>,000</w:t>
      </w:r>
      <w:r>
        <w:t xml:space="preserve"> for non</w:t>
      </w:r>
      <w:r w:rsidRPr="00790FC7">
        <w:t>–</w:t>
      </w:r>
      <w:r>
        <w:t>profit community organisations or small regional or rural councils.  Single organisations could apply for grants of up to $2 million and group applicants for grants of up to $5 million.</w:t>
      </w:r>
    </w:p>
    <w:p w14:paraId="5FA5EDA6" w14:textId="77777777" w:rsidR="00266E21" w:rsidRDefault="007302FE" w:rsidP="007302FE">
      <w:pPr>
        <w:pStyle w:val="BodyText"/>
        <w:jc w:val="left"/>
      </w:pPr>
      <w:r>
        <w:t>Round O</w:t>
      </w:r>
      <w:r w:rsidR="00266E21">
        <w:t>ne applicants were require</w:t>
      </w:r>
      <w:r w:rsidR="00B941F6">
        <w:t>d to contribute at least half of</w:t>
      </w:r>
      <w:r w:rsidR="00266E21">
        <w:t xml:space="preserve"> the total project costs. R</w:t>
      </w:r>
      <w:r w:rsidR="00266E21" w:rsidRPr="000D5527">
        <w:t>egional and</w:t>
      </w:r>
      <w:r w:rsidR="00266E21">
        <w:t xml:space="preserve"> </w:t>
      </w:r>
      <w:r w:rsidR="00266E21" w:rsidRPr="000D5527">
        <w:t xml:space="preserve">rural councils </w:t>
      </w:r>
      <w:r w:rsidR="00266E21">
        <w:t>were able</w:t>
      </w:r>
      <w:r w:rsidR="00266E21" w:rsidRPr="000D5527">
        <w:t xml:space="preserve"> to provide up to 25 per cent of the total project cost in the form</w:t>
      </w:r>
      <w:r w:rsidR="00266E21">
        <w:t xml:space="preserve"> </w:t>
      </w:r>
      <w:r w:rsidR="00266E21" w:rsidRPr="000D5527">
        <w:t>of in</w:t>
      </w:r>
      <w:r w:rsidR="00266E21" w:rsidRPr="000D5527">
        <w:rPr>
          <w:rFonts w:ascii="MS Gothic" w:hAnsi="MS Gothic"/>
        </w:rPr>
        <w:t>‑</w:t>
      </w:r>
      <w:r w:rsidR="00266E21" w:rsidRPr="000D5527">
        <w:t>kind contributions calculated according to standard rates.</w:t>
      </w:r>
      <w:r w:rsidR="00266E21">
        <w:t xml:space="preserve"> </w:t>
      </w:r>
    </w:p>
    <w:p w14:paraId="7B9AE6C6" w14:textId="77777777" w:rsidR="002A04DE" w:rsidRDefault="00266E21" w:rsidP="007302FE">
      <w:pPr>
        <w:pStyle w:val="BodyText"/>
        <w:jc w:val="left"/>
      </w:pPr>
      <w:r>
        <w:t>A funding</w:t>
      </w:r>
      <w:r w:rsidR="007302FE">
        <w:t xml:space="preserve"> model was developed for Round T</w:t>
      </w:r>
      <w:r>
        <w:t>wo tha</w:t>
      </w:r>
      <w:r w:rsidR="00B941F6">
        <w:t>t provided increased opportunities</w:t>
      </w:r>
      <w:r>
        <w:t xml:space="preserve"> for projects that focused on low socio-economic communities and areas of disadvantage (see </w:t>
      </w:r>
      <w:r>
        <w:fldChar w:fldCharType="begin"/>
      </w:r>
      <w:r>
        <w:instrText xml:space="preserve"> REF _Ref467587681 \h </w:instrText>
      </w:r>
      <w:r w:rsidR="007302FE">
        <w:instrText xml:space="preserve"> \* MERGEFORMAT </w:instrText>
      </w:r>
      <w:r>
        <w:fldChar w:fldCharType="separate"/>
      </w:r>
      <w:r w:rsidR="00CB2492">
        <w:t xml:space="preserve">Table </w:t>
      </w:r>
      <w:r w:rsidR="00CB2492">
        <w:rPr>
          <w:noProof/>
        </w:rPr>
        <w:t>3.1</w:t>
      </w:r>
      <w:r>
        <w:fldChar w:fldCharType="end"/>
      </w:r>
      <w:r>
        <w:t>).</w:t>
      </w:r>
      <w:r w:rsidR="00546861">
        <w:t xml:space="preserve"> T</w:t>
      </w:r>
      <w:r w:rsidR="00A77DD7">
        <w:t>he revised model better targeted projects that were less likely to have been impl</w:t>
      </w:r>
      <w:r w:rsidR="00B941F6">
        <w:t>emented without the CEEP grant.</w:t>
      </w:r>
    </w:p>
    <w:p w14:paraId="0094223C" w14:textId="77777777" w:rsidR="00266E21" w:rsidRDefault="00266E21" w:rsidP="002A04DE">
      <w:pPr>
        <w:pStyle w:val="Caption"/>
      </w:pPr>
      <w:bookmarkStart w:id="72" w:name="_Ref467587681"/>
      <w:r>
        <w:t>T</w:t>
      </w:r>
      <w:r w:rsidR="00C64E6E">
        <w:t xml:space="preserve">able </w:t>
      </w:r>
      <w:r w:rsidR="002A04DE">
        <w:t>3.</w:t>
      </w:r>
      <w:r w:rsidR="006E7B34">
        <w:fldChar w:fldCharType="begin"/>
      </w:r>
      <w:r w:rsidR="006E7B34">
        <w:instrText xml:space="preserve"> SEQ Table \* ARABIC \s 1 </w:instrText>
      </w:r>
      <w:r w:rsidR="006E7B34">
        <w:fldChar w:fldCharType="separate"/>
      </w:r>
      <w:r w:rsidR="00CB2492">
        <w:rPr>
          <w:noProof/>
        </w:rPr>
        <w:t>1</w:t>
      </w:r>
      <w:r w:rsidR="006E7B34">
        <w:rPr>
          <w:noProof/>
        </w:rPr>
        <w:fldChar w:fldCharType="end"/>
      </w:r>
      <w:bookmarkEnd w:id="72"/>
      <w:r w:rsidR="00E77130">
        <w:rPr>
          <w:noProof/>
        </w:rPr>
        <w:t xml:space="preserve"> CEEP Round Two Funding M</w:t>
      </w:r>
      <w:r>
        <w:rPr>
          <w:noProof/>
        </w:rPr>
        <w:t>odel</w:t>
      </w:r>
    </w:p>
    <w:tbl>
      <w:tblPr>
        <w:tblStyle w:val="OCETable"/>
        <w:tblW w:w="7277" w:type="pct"/>
        <w:tblInd w:w="-2552" w:type="dxa"/>
        <w:tblCellMar>
          <w:left w:w="28" w:type="dxa"/>
        </w:tblCellMar>
        <w:tblLook w:val="0000" w:firstRow="0" w:lastRow="0" w:firstColumn="0" w:lastColumn="0" w:noHBand="0" w:noVBand="0"/>
        <w:tblCaption w:val="CEEP Round Two Funding Model"/>
        <w:tblDescription w:val="Metropolitan and large regional councils are not eligible for projects under fifty thousand dollars, unless they are of low socioeconomic status, where the lower limit is thirty thousand dollars. Similarly, medium sized regional councils are not elibible for projects under thirty five thousand dollars, unless they are of low socioeconomic status, where the lower limit is twenty thousand dollars. Small councils and not-for-profits are eligible down to ten thousand dollars, idependent of socioeconomic status.&#10;&#10;Socioeconomic status also greatly influences the contribution to project costs. Low SES focused projects must contribute at least one third pof the total project costs. Other recipients must contribute between half (small councils and not-for-profits)  and two thirds (medium and large councils) of project costs."/>
      </w:tblPr>
      <w:tblGrid>
        <w:gridCol w:w="2128"/>
        <w:gridCol w:w="1806"/>
        <w:gridCol w:w="1810"/>
        <w:gridCol w:w="30"/>
        <w:gridCol w:w="2107"/>
        <w:gridCol w:w="2125"/>
        <w:gridCol w:w="28"/>
      </w:tblGrid>
      <w:tr w:rsidR="00266E21" w14:paraId="0146DFF7" w14:textId="77777777" w:rsidTr="008A0E69">
        <w:trPr>
          <w:trHeight w:val="236"/>
          <w:tblHeader/>
        </w:trPr>
        <w:tc>
          <w:tcPr>
            <w:tcW w:w="1060" w:type="pct"/>
            <w:shd w:val="clear" w:color="auto" w:fill="22789A" w:themeFill="accent3"/>
          </w:tcPr>
          <w:p w14:paraId="4DF20547" w14:textId="77777777" w:rsidR="00266E21" w:rsidRPr="00296BA6" w:rsidRDefault="00266E21" w:rsidP="002D2A24">
            <w:pPr>
              <w:pStyle w:val="Tableheader"/>
            </w:pPr>
            <w:r w:rsidRPr="00296BA6">
              <w:t xml:space="preserve">Applicant Category </w:t>
            </w:r>
          </w:p>
        </w:tc>
        <w:tc>
          <w:tcPr>
            <w:tcW w:w="1817" w:type="pct"/>
            <w:gridSpan w:val="3"/>
            <w:shd w:val="clear" w:color="auto" w:fill="22789A" w:themeFill="accent3"/>
          </w:tcPr>
          <w:p w14:paraId="58C15873" w14:textId="77777777" w:rsidR="00266E21" w:rsidRPr="00296BA6" w:rsidRDefault="00266E21" w:rsidP="002D2A24">
            <w:pPr>
              <w:pStyle w:val="Tableheader"/>
            </w:pPr>
            <w:r w:rsidRPr="00296BA6">
              <w:t>Lower Funding Limit</w:t>
            </w:r>
          </w:p>
        </w:tc>
        <w:tc>
          <w:tcPr>
            <w:tcW w:w="2123" w:type="pct"/>
            <w:gridSpan w:val="3"/>
            <w:shd w:val="clear" w:color="auto" w:fill="22789A" w:themeFill="accent3"/>
          </w:tcPr>
          <w:p w14:paraId="0C6B090D" w14:textId="77777777" w:rsidR="00266E21" w:rsidRPr="00296BA6" w:rsidRDefault="00266E21" w:rsidP="002D2A24">
            <w:pPr>
              <w:pStyle w:val="Tableheader"/>
            </w:pPr>
            <w:r w:rsidRPr="00296BA6">
              <w:t>Minimum Applicant Contribution</w:t>
            </w:r>
          </w:p>
        </w:tc>
      </w:tr>
      <w:tr w:rsidR="00266E21" w14:paraId="1A180644" w14:textId="77777777" w:rsidTr="00AE7591">
        <w:trPr>
          <w:gridAfter w:val="1"/>
          <w:wAfter w:w="14" w:type="pct"/>
          <w:trHeight w:val="1299"/>
        </w:trPr>
        <w:tc>
          <w:tcPr>
            <w:tcW w:w="1060" w:type="pct"/>
            <w:shd w:val="clear" w:color="auto" w:fill="22789A" w:themeFill="accent3"/>
          </w:tcPr>
          <w:p w14:paraId="170AA89A" w14:textId="77777777" w:rsidR="00266E21" w:rsidRPr="002D2A24" w:rsidRDefault="00266E21" w:rsidP="00AE7591">
            <w:pPr>
              <w:pStyle w:val="Tableheader"/>
            </w:pPr>
          </w:p>
        </w:tc>
        <w:tc>
          <w:tcPr>
            <w:tcW w:w="900" w:type="pct"/>
            <w:shd w:val="clear" w:color="auto" w:fill="22789A" w:themeFill="accent3"/>
          </w:tcPr>
          <w:p w14:paraId="0EF2D352" w14:textId="77777777" w:rsidR="00266E21" w:rsidRPr="002D2A24" w:rsidRDefault="00266E21" w:rsidP="00AE7591">
            <w:pPr>
              <w:pStyle w:val="Tableheader"/>
            </w:pPr>
            <w:r w:rsidRPr="002D2A24">
              <w:t xml:space="preserve">Projects from applicants not having LSE status and without </w:t>
            </w:r>
            <w:r w:rsidR="002D2A24">
              <w:t xml:space="preserve">LSE focus </w:t>
            </w:r>
          </w:p>
        </w:tc>
        <w:tc>
          <w:tcPr>
            <w:tcW w:w="902" w:type="pct"/>
            <w:shd w:val="clear" w:color="auto" w:fill="22789A" w:themeFill="accent3"/>
          </w:tcPr>
          <w:p w14:paraId="14A1B8B0" w14:textId="77777777" w:rsidR="00266E21" w:rsidRPr="002D2A24" w:rsidRDefault="00266E21" w:rsidP="00AE7591">
            <w:pPr>
              <w:pStyle w:val="Tableheader"/>
            </w:pPr>
            <w:r w:rsidRPr="002D2A24">
              <w:t>Projects from councils with LSE status or non</w:t>
            </w:r>
            <w:r w:rsidRPr="002D2A24">
              <w:noBreakHyphen/>
              <w:t xml:space="preserve">LSE status applicants proposing projects with LSE focus </w:t>
            </w:r>
          </w:p>
        </w:tc>
        <w:tc>
          <w:tcPr>
            <w:tcW w:w="1065" w:type="pct"/>
            <w:gridSpan w:val="2"/>
            <w:shd w:val="clear" w:color="auto" w:fill="22789A" w:themeFill="accent3"/>
          </w:tcPr>
          <w:p w14:paraId="1B36E323" w14:textId="77777777" w:rsidR="00266E21" w:rsidRPr="002D2A24" w:rsidRDefault="00266E21" w:rsidP="00AE7591">
            <w:pPr>
              <w:pStyle w:val="Tableheader"/>
            </w:pPr>
            <w:r w:rsidRPr="002D2A24">
              <w:t xml:space="preserve">Projects from applicants not having LSE status and without LSE focus </w:t>
            </w:r>
          </w:p>
          <w:p w14:paraId="23B47179" w14:textId="77777777" w:rsidR="00266E21" w:rsidRPr="002D2A24" w:rsidRDefault="00266E21" w:rsidP="00AE7591">
            <w:pPr>
              <w:pStyle w:val="Tableheader"/>
            </w:pPr>
          </w:p>
        </w:tc>
        <w:tc>
          <w:tcPr>
            <w:tcW w:w="1059" w:type="pct"/>
            <w:shd w:val="clear" w:color="auto" w:fill="22789A" w:themeFill="accent3"/>
          </w:tcPr>
          <w:p w14:paraId="5C71F02E" w14:textId="77777777" w:rsidR="00266E21" w:rsidRPr="002D2A24" w:rsidRDefault="00266E21" w:rsidP="00AE7591">
            <w:pPr>
              <w:pStyle w:val="Tableheader"/>
            </w:pPr>
            <w:r w:rsidRPr="002D2A24">
              <w:t>Projects from councils with LSE status or non</w:t>
            </w:r>
            <w:r w:rsidRPr="002D2A24">
              <w:noBreakHyphen/>
              <w:t xml:space="preserve">LSE status applicants proposing projects with </w:t>
            </w:r>
            <w:r w:rsidR="002D2A24">
              <w:t xml:space="preserve">LSE focus </w:t>
            </w:r>
          </w:p>
        </w:tc>
      </w:tr>
      <w:tr w:rsidR="00266E21" w14:paraId="7C315372" w14:textId="77777777" w:rsidTr="00AE7591">
        <w:trPr>
          <w:gridAfter w:val="1"/>
          <w:wAfter w:w="14" w:type="pct"/>
          <w:trHeight w:val="399"/>
        </w:trPr>
        <w:tc>
          <w:tcPr>
            <w:tcW w:w="1060" w:type="pct"/>
          </w:tcPr>
          <w:p w14:paraId="26B52FED" w14:textId="77777777" w:rsidR="00266E21" w:rsidRPr="002D2A24" w:rsidRDefault="00266E21" w:rsidP="002D2A24">
            <w:pPr>
              <w:pStyle w:val="Tabletext"/>
            </w:pPr>
            <w:r w:rsidRPr="002D2A24">
              <w:t>Non</w:t>
            </w:r>
            <w:r w:rsidRPr="002D2A24">
              <w:noBreakHyphen/>
              <w:t xml:space="preserve">profit community organisations </w:t>
            </w:r>
          </w:p>
        </w:tc>
        <w:tc>
          <w:tcPr>
            <w:tcW w:w="900" w:type="pct"/>
          </w:tcPr>
          <w:p w14:paraId="0FFC6D0B" w14:textId="77777777" w:rsidR="00266E21" w:rsidRPr="002D2A24" w:rsidRDefault="00266E21" w:rsidP="002D2A24">
            <w:pPr>
              <w:pStyle w:val="Tabletext"/>
            </w:pPr>
            <w:r w:rsidRPr="002D2A24">
              <w:t xml:space="preserve">$10,000 </w:t>
            </w:r>
          </w:p>
        </w:tc>
        <w:tc>
          <w:tcPr>
            <w:tcW w:w="902" w:type="pct"/>
          </w:tcPr>
          <w:p w14:paraId="61EFFF95" w14:textId="77777777" w:rsidR="00266E21" w:rsidRPr="002D2A24" w:rsidRDefault="00266E21" w:rsidP="002D2A24">
            <w:pPr>
              <w:pStyle w:val="Tabletext"/>
            </w:pPr>
            <w:r w:rsidRPr="002D2A24">
              <w:t xml:space="preserve">$10,000 </w:t>
            </w:r>
          </w:p>
        </w:tc>
        <w:tc>
          <w:tcPr>
            <w:tcW w:w="1065" w:type="pct"/>
            <w:gridSpan w:val="2"/>
          </w:tcPr>
          <w:p w14:paraId="4F2CE6FF" w14:textId="77777777" w:rsidR="00266E21" w:rsidRPr="002D2A24" w:rsidRDefault="00266E21" w:rsidP="002D2A24">
            <w:pPr>
              <w:pStyle w:val="Tabletext"/>
            </w:pPr>
            <w:r w:rsidRPr="002D2A24">
              <w:t>One</w:t>
            </w:r>
            <w:r w:rsidRPr="002D2A24">
              <w:noBreakHyphen/>
              <w:t xml:space="preserve">half of total project cost </w:t>
            </w:r>
          </w:p>
        </w:tc>
        <w:tc>
          <w:tcPr>
            <w:tcW w:w="1059" w:type="pct"/>
          </w:tcPr>
          <w:p w14:paraId="08A6A5BF" w14:textId="77777777" w:rsidR="00266E21" w:rsidRPr="002D2A24" w:rsidRDefault="00266E21" w:rsidP="002D2A24">
            <w:pPr>
              <w:pStyle w:val="Tabletext"/>
            </w:pPr>
            <w:r w:rsidRPr="002D2A24">
              <w:t>One</w:t>
            </w:r>
            <w:r w:rsidRPr="002D2A24">
              <w:noBreakHyphen/>
              <w:t xml:space="preserve">third of total project cost </w:t>
            </w:r>
          </w:p>
        </w:tc>
      </w:tr>
      <w:tr w:rsidR="00266E21" w14:paraId="3FB507B1" w14:textId="77777777" w:rsidTr="007F78C7">
        <w:trPr>
          <w:gridAfter w:val="1"/>
          <w:wAfter w:w="14" w:type="pct"/>
          <w:trHeight w:val="259"/>
        </w:trPr>
        <w:tc>
          <w:tcPr>
            <w:tcW w:w="1060" w:type="pct"/>
          </w:tcPr>
          <w:p w14:paraId="0B5B2C10" w14:textId="77777777" w:rsidR="00266E21" w:rsidRPr="002D2A24" w:rsidRDefault="00266E21" w:rsidP="002D2A24">
            <w:pPr>
              <w:pStyle w:val="Tabletext"/>
            </w:pPr>
            <w:r w:rsidRPr="002D2A24">
              <w:t xml:space="preserve">Small regional and rural councils </w:t>
            </w:r>
          </w:p>
        </w:tc>
        <w:tc>
          <w:tcPr>
            <w:tcW w:w="900" w:type="pct"/>
          </w:tcPr>
          <w:p w14:paraId="43B607CD" w14:textId="77777777" w:rsidR="00266E21" w:rsidRPr="002D2A24" w:rsidRDefault="00266E21" w:rsidP="002D2A24">
            <w:pPr>
              <w:pStyle w:val="Tabletext"/>
            </w:pPr>
            <w:r w:rsidRPr="002D2A24">
              <w:t xml:space="preserve">$10,000 </w:t>
            </w:r>
          </w:p>
        </w:tc>
        <w:tc>
          <w:tcPr>
            <w:tcW w:w="902" w:type="pct"/>
          </w:tcPr>
          <w:p w14:paraId="395620D6" w14:textId="77777777" w:rsidR="00266E21" w:rsidRPr="002D2A24" w:rsidRDefault="00266E21" w:rsidP="002D2A24">
            <w:pPr>
              <w:pStyle w:val="Tabletext"/>
            </w:pPr>
            <w:r w:rsidRPr="002D2A24">
              <w:t xml:space="preserve">$10,000 </w:t>
            </w:r>
          </w:p>
        </w:tc>
        <w:tc>
          <w:tcPr>
            <w:tcW w:w="1065" w:type="pct"/>
            <w:gridSpan w:val="2"/>
          </w:tcPr>
          <w:p w14:paraId="383671A8" w14:textId="77777777" w:rsidR="00266E21" w:rsidRPr="002D2A24" w:rsidRDefault="00266E21" w:rsidP="002D2A24">
            <w:pPr>
              <w:pStyle w:val="Tabletext"/>
            </w:pPr>
            <w:r w:rsidRPr="002D2A24">
              <w:t>One</w:t>
            </w:r>
            <w:r w:rsidRPr="002D2A24">
              <w:noBreakHyphen/>
              <w:t xml:space="preserve">half of total project cost </w:t>
            </w:r>
          </w:p>
        </w:tc>
        <w:tc>
          <w:tcPr>
            <w:tcW w:w="1059" w:type="pct"/>
          </w:tcPr>
          <w:p w14:paraId="1BB3118D" w14:textId="77777777" w:rsidR="00266E21" w:rsidRPr="002D2A24" w:rsidRDefault="00266E21" w:rsidP="002D2A24">
            <w:pPr>
              <w:pStyle w:val="Tabletext"/>
            </w:pPr>
            <w:r w:rsidRPr="002D2A24">
              <w:t>One</w:t>
            </w:r>
            <w:r w:rsidRPr="002D2A24">
              <w:noBreakHyphen/>
              <w:t xml:space="preserve">third of total project cost </w:t>
            </w:r>
          </w:p>
        </w:tc>
      </w:tr>
      <w:tr w:rsidR="00266E21" w14:paraId="725CAF14" w14:textId="77777777" w:rsidTr="007F78C7">
        <w:trPr>
          <w:gridAfter w:val="1"/>
          <w:wAfter w:w="14" w:type="pct"/>
          <w:trHeight w:val="259"/>
        </w:trPr>
        <w:tc>
          <w:tcPr>
            <w:tcW w:w="1060" w:type="pct"/>
          </w:tcPr>
          <w:p w14:paraId="1EF4F75B" w14:textId="77777777" w:rsidR="00266E21" w:rsidRPr="002D2A24" w:rsidRDefault="00266E21" w:rsidP="002D2A24">
            <w:pPr>
              <w:pStyle w:val="Tabletext"/>
            </w:pPr>
            <w:r w:rsidRPr="002D2A24">
              <w:t>Medium</w:t>
            </w:r>
            <w:r w:rsidRPr="002D2A24">
              <w:noBreakHyphen/>
              <w:t xml:space="preserve">sized regional councils </w:t>
            </w:r>
          </w:p>
        </w:tc>
        <w:tc>
          <w:tcPr>
            <w:tcW w:w="900" w:type="pct"/>
          </w:tcPr>
          <w:p w14:paraId="36C220AC" w14:textId="77777777" w:rsidR="00266E21" w:rsidRPr="002D2A24" w:rsidRDefault="00266E21" w:rsidP="002D2A24">
            <w:pPr>
              <w:pStyle w:val="Tabletext"/>
            </w:pPr>
            <w:r w:rsidRPr="002D2A24">
              <w:t xml:space="preserve">$35,000 </w:t>
            </w:r>
          </w:p>
        </w:tc>
        <w:tc>
          <w:tcPr>
            <w:tcW w:w="902" w:type="pct"/>
          </w:tcPr>
          <w:p w14:paraId="506C2C51" w14:textId="77777777" w:rsidR="00266E21" w:rsidRPr="002D2A24" w:rsidRDefault="00266E21" w:rsidP="002D2A24">
            <w:pPr>
              <w:pStyle w:val="Tabletext"/>
            </w:pPr>
            <w:r w:rsidRPr="002D2A24">
              <w:t xml:space="preserve">$20,000 </w:t>
            </w:r>
          </w:p>
        </w:tc>
        <w:tc>
          <w:tcPr>
            <w:tcW w:w="1065" w:type="pct"/>
            <w:gridSpan w:val="2"/>
          </w:tcPr>
          <w:p w14:paraId="60ED045A" w14:textId="77777777" w:rsidR="00266E21" w:rsidRPr="002D2A24" w:rsidRDefault="00266E21" w:rsidP="002D2A24">
            <w:pPr>
              <w:pStyle w:val="Tabletext"/>
            </w:pPr>
            <w:r w:rsidRPr="002D2A24">
              <w:t>Two</w:t>
            </w:r>
            <w:r w:rsidRPr="002D2A24">
              <w:noBreakHyphen/>
              <w:t xml:space="preserve">thirds of total project cost </w:t>
            </w:r>
          </w:p>
        </w:tc>
        <w:tc>
          <w:tcPr>
            <w:tcW w:w="1059" w:type="pct"/>
          </w:tcPr>
          <w:p w14:paraId="7FCCE43B" w14:textId="77777777" w:rsidR="00266E21" w:rsidRPr="002D2A24" w:rsidRDefault="00266E21" w:rsidP="002D2A24">
            <w:pPr>
              <w:pStyle w:val="Tabletext"/>
            </w:pPr>
            <w:r w:rsidRPr="002D2A24">
              <w:t>One</w:t>
            </w:r>
            <w:r w:rsidRPr="002D2A24">
              <w:noBreakHyphen/>
              <w:t xml:space="preserve">third of total project cost </w:t>
            </w:r>
          </w:p>
        </w:tc>
      </w:tr>
      <w:tr w:rsidR="00266E21" w14:paraId="1EC4DCB2" w14:textId="77777777" w:rsidTr="007F78C7">
        <w:trPr>
          <w:gridAfter w:val="1"/>
          <w:wAfter w:w="14" w:type="pct"/>
          <w:trHeight w:val="399"/>
        </w:trPr>
        <w:tc>
          <w:tcPr>
            <w:tcW w:w="1060" w:type="pct"/>
          </w:tcPr>
          <w:p w14:paraId="68B59803" w14:textId="77777777" w:rsidR="00266E21" w:rsidRPr="002D2A24" w:rsidRDefault="00266E21" w:rsidP="002D2A24">
            <w:pPr>
              <w:pStyle w:val="Tabletext"/>
            </w:pPr>
            <w:r w:rsidRPr="002D2A24">
              <w:t xml:space="preserve">Metropolitan and large regional councils </w:t>
            </w:r>
          </w:p>
        </w:tc>
        <w:tc>
          <w:tcPr>
            <w:tcW w:w="900" w:type="pct"/>
          </w:tcPr>
          <w:p w14:paraId="19958DC6" w14:textId="77777777" w:rsidR="00266E21" w:rsidRPr="002D2A24" w:rsidRDefault="00266E21" w:rsidP="002D2A24">
            <w:pPr>
              <w:pStyle w:val="Tabletext"/>
            </w:pPr>
            <w:r w:rsidRPr="002D2A24">
              <w:t xml:space="preserve">$50,000 </w:t>
            </w:r>
          </w:p>
        </w:tc>
        <w:tc>
          <w:tcPr>
            <w:tcW w:w="902" w:type="pct"/>
          </w:tcPr>
          <w:p w14:paraId="196CA0E0" w14:textId="77777777" w:rsidR="00266E21" w:rsidRPr="002D2A24" w:rsidRDefault="00266E21" w:rsidP="002D2A24">
            <w:pPr>
              <w:pStyle w:val="Tabletext"/>
            </w:pPr>
            <w:r w:rsidRPr="002D2A24">
              <w:t xml:space="preserve">$30,000 </w:t>
            </w:r>
          </w:p>
        </w:tc>
        <w:tc>
          <w:tcPr>
            <w:tcW w:w="1065" w:type="pct"/>
            <w:gridSpan w:val="2"/>
          </w:tcPr>
          <w:p w14:paraId="776470D6" w14:textId="77777777" w:rsidR="00266E21" w:rsidRPr="002D2A24" w:rsidRDefault="00266E21" w:rsidP="002D2A24">
            <w:pPr>
              <w:pStyle w:val="Tabletext"/>
            </w:pPr>
            <w:r w:rsidRPr="002D2A24">
              <w:t>Two</w:t>
            </w:r>
            <w:r w:rsidRPr="002D2A24">
              <w:noBreakHyphen/>
              <w:t xml:space="preserve">thirds of total project cost </w:t>
            </w:r>
          </w:p>
        </w:tc>
        <w:tc>
          <w:tcPr>
            <w:tcW w:w="1059" w:type="pct"/>
          </w:tcPr>
          <w:p w14:paraId="6349BC2C" w14:textId="77777777" w:rsidR="00266E21" w:rsidRPr="002D2A24" w:rsidRDefault="00266E21" w:rsidP="002D2A24">
            <w:pPr>
              <w:pStyle w:val="Tabletext"/>
            </w:pPr>
            <w:r w:rsidRPr="002D2A24">
              <w:t>One</w:t>
            </w:r>
            <w:r w:rsidRPr="002D2A24">
              <w:noBreakHyphen/>
              <w:t xml:space="preserve">third of total project cost </w:t>
            </w:r>
          </w:p>
        </w:tc>
      </w:tr>
    </w:tbl>
    <w:p w14:paraId="0153640C" w14:textId="77777777" w:rsidR="007C17E5" w:rsidRPr="002D2A24" w:rsidRDefault="007C17E5" w:rsidP="002D2A24">
      <w:pPr>
        <w:pStyle w:val="Heading2"/>
      </w:pPr>
      <w:bookmarkStart w:id="73" w:name="_Toc463621580"/>
      <w:bookmarkStart w:id="74" w:name="_Toc463864380"/>
      <w:bookmarkStart w:id="75" w:name="_Toc463876956"/>
      <w:bookmarkStart w:id="76" w:name="_Toc463970058"/>
      <w:bookmarkStart w:id="77" w:name="_Toc464116828"/>
      <w:bookmarkStart w:id="78" w:name="_Toc483236856"/>
      <w:bookmarkStart w:id="79" w:name="_Toc463621579"/>
      <w:bookmarkStart w:id="80" w:name="_Toc463864379"/>
      <w:bookmarkStart w:id="81" w:name="_Toc463876955"/>
      <w:bookmarkStart w:id="82" w:name="_Toc463970057"/>
      <w:bookmarkStart w:id="83" w:name="_Toc464116827"/>
      <w:bookmarkEnd w:id="63"/>
      <w:bookmarkEnd w:id="64"/>
      <w:bookmarkEnd w:id="65"/>
      <w:bookmarkEnd w:id="66"/>
      <w:bookmarkEnd w:id="67"/>
      <w:bookmarkEnd w:id="68"/>
      <w:bookmarkEnd w:id="69"/>
      <w:bookmarkEnd w:id="70"/>
      <w:r w:rsidRPr="002D2A24">
        <w:t>Assessment Process</w:t>
      </w:r>
      <w:bookmarkEnd w:id="73"/>
      <w:bookmarkEnd w:id="74"/>
      <w:bookmarkEnd w:id="75"/>
      <w:bookmarkEnd w:id="76"/>
      <w:bookmarkEnd w:id="77"/>
      <w:bookmarkEnd w:id="78"/>
    </w:p>
    <w:p w14:paraId="7731C97E" w14:textId="77777777" w:rsidR="00664B56" w:rsidRDefault="007C17E5" w:rsidP="00546861">
      <w:pPr>
        <w:pStyle w:val="BodyText"/>
        <w:jc w:val="left"/>
      </w:pPr>
      <w:r>
        <w:t xml:space="preserve">Applications established as meeting eligibility criteria, such as grant amount and technology type, were given to an independent </w:t>
      </w:r>
      <w:r w:rsidR="00835A86">
        <w:t>Programme</w:t>
      </w:r>
      <w:r w:rsidR="00546861">
        <w:t xml:space="preserve"> Advisory Committee. The Committee developed</w:t>
      </w:r>
      <w:r>
        <w:t xml:space="preserve"> technological, financial and project financial risk matri</w:t>
      </w:r>
      <w:r w:rsidR="00546861">
        <w:t>ces. Proposed projects were</w:t>
      </w:r>
      <w:r>
        <w:t xml:space="preserve"> assessed using the risk matrices and assigned a merit score to reflect the extent to which they would deliver against the criteria. These criteria were augmented between Round One and R</w:t>
      </w:r>
      <w:r w:rsidR="00E77130">
        <w:t xml:space="preserve">ound Two, as shown in Table </w:t>
      </w:r>
      <w:r w:rsidR="00AE7591">
        <w:t>3.</w:t>
      </w:r>
      <w:r w:rsidR="00E77130">
        <w:t>2.</w:t>
      </w:r>
    </w:p>
    <w:p w14:paraId="4C0BDC43" w14:textId="77777777" w:rsidR="00664B56" w:rsidRDefault="00664B56">
      <w:pPr>
        <w:spacing w:after="200" w:line="276" w:lineRule="auto"/>
      </w:pPr>
      <w:r>
        <w:br w:type="page"/>
      </w:r>
    </w:p>
    <w:p w14:paraId="7E0DD485" w14:textId="77777777" w:rsidR="007C17E5" w:rsidRPr="00C64E6E" w:rsidRDefault="00C64E6E" w:rsidP="00C64E6E">
      <w:pPr>
        <w:pStyle w:val="Caption"/>
      </w:pPr>
      <w:bookmarkStart w:id="84" w:name="_Ref464487016"/>
      <w:bookmarkStart w:id="85" w:name="_Ref464547587"/>
      <w:bookmarkStart w:id="86" w:name="_Ref464547565"/>
      <w:r>
        <w:t xml:space="preserve">Table </w:t>
      </w:r>
      <w:bookmarkEnd w:id="84"/>
      <w:bookmarkEnd w:id="85"/>
      <w:bookmarkEnd w:id="86"/>
      <w:r w:rsidR="002A04DE">
        <w:t>3.2</w:t>
      </w:r>
      <w:r>
        <w:rPr>
          <w:noProof/>
        </w:rPr>
        <w:t>. Merit Criteria for CEEP Grant Applications</w:t>
      </w:r>
    </w:p>
    <w:tbl>
      <w:tblPr>
        <w:tblStyle w:val="TableGrid"/>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Merit Criteria for CEEP Grant Applications"/>
        <w:tblDescription w:val="Round One criteria and their weight in the selciton process are as follows:&#10;Energy Efficiency improvement potential, thirty per cent.&#10;Potential to encourage improved energy management practices, thirty percent.&#10;Project design, funding and management, twenty per cent.&#10;Value for Money, twenty percent.&#10;&#10;The criteria for Round Two all have equal weighting. They are:&#10;Energy Efficiency improvement potential.&#10;Targeting low socioeconomic and other disadvantaged communities.&#10;Potential to encourage improved energy management practices.&#10;Project design, funding and management.&#10;Value for Money.&#10;"/>
      </w:tblPr>
      <w:tblGrid>
        <w:gridCol w:w="2268"/>
        <w:gridCol w:w="1418"/>
        <w:gridCol w:w="2268"/>
        <w:gridCol w:w="1276"/>
      </w:tblGrid>
      <w:tr w:rsidR="007C17E5" w14:paraId="144A6856" w14:textId="77777777" w:rsidTr="008A0E69">
        <w:trPr>
          <w:tblHeader/>
        </w:trPr>
        <w:tc>
          <w:tcPr>
            <w:tcW w:w="3686" w:type="dxa"/>
            <w:gridSpan w:val="2"/>
            <w:shd w:val="clear" w:color="auto" w:fill="22789A" w:themeFill="accent3"/>
          </w:tcPr>
          <w:p w14:paraId="739EFEE1" w14:textId="77777777" w:rsidR="007C17E5" w:rsidRPr="00376338" w:rsidRDefault="007C17E5" w:rsidP="002D2A24">
            <w:pPr>
              <w:pStyle w:val="Tableheader"/>
            </w:pPr>
            <w:r w:rsidRPr="00376338">
              <w:t>Round One</w:t>
            </w:r>
          </w:p>
        </w:tc>
        <w:tc>
          <w:tcPr>
            <w:tcW w:w="3544" w:type="dxa"/>
            <w:gridSpan w:val="2"/>
            <w:shd w:val="clear" w:color="auto" w:fill="22789A" w:themeFill="accent3"/>
          </w:tcPr>
          <w:p w14:paraId="35A4F4A7" w14:textId="77777777" w:rsidR="007C17E5" w:rsidRPr="00376338" w:rsidRDefault="007C17E5" w:rsidP="002D2A24">
            <w:pPr>
              <w:pStyle w:val="Tableheader"/>
            </w:pPr>
            <w:r w:rsidRPr="00376338">
              <w:t>Round Two</w:t>
            </w:r>
          </w:p>
        </w:tc>
      </w:tr>
      <w:tr w:rsidR="007C17E5" w14:paraId="56F0EEB9" w14:textId="77777777" w:rsidTr="00AE7591">
        <w:tc>
          <w:tcPr>
            <w:tcW w:w="2268" w:type="dxa"/>
            <w:shd w:val="clear" w:color="auto" w:fill="C4E8EB" w:themeFill="accent2" w:themeFillTint="99"/>
          </w:tcPr>
          <w:p w14:paraId="05917187" w14:textId="77777777" w:rsidR="007C17E5" w:rsidRDefault="007C17E5" w:rsidP="002D2A24">
            <w:pPr>
              <w:pStyle w:val="Tabletext"/>
            </w:pPr>
            <w:r>
              <w:t>Criterion</w:t>
            </w:r>
          </w:p>
        </w:tc>
        <w:tc>
          <w:tcPr>
            <w:tcW w:w="1418" w:type="dxa"/>
            <w:shd w:val="clear" w:color="auto" w:fill="C4E8EB" w:themeFill="accent2" w:themeFillTint="99"/>
          </w:tcPr>
          <w:p w14:paraId="37BD0A0E" w14:textId="77777777" w:rsidR="00AE7591" w:rsidRDefault="00AE7591" w:rsidP="002D2A24">
            <w:pPr>
              <w:pStyle w:val="Tabletext"/>
            </w:pPr>
            <w:r>
              <w:t xml:space="preserve">Weight </w:t>
            </w:r>
          </w:p>
          <w:p w14:paraId="6A3795E6" w14:textId="77777777" w:rsidR="007C17E5" w:rsidRDefault="00AE7591" w:rsidP="002D2A24">
            <w:pPr>
              <w:pStyle w:val="Tabletext"/>
            </w:pPr>
            <w:r>
              <w:t>(per cent</w:t>
            </w:r>
            <w:r w:rsidR="007C17E5">
              <w:t>)</w:t>
            </w:r>
          </w:p>
        </w:tc>
        <w:tc>
          <w:tcPr>
            <w:tcW w:w="2268" w:type="dxa"/>
            <w:shd w:val="clear" w:color="auto" w:fill="C4E8EB" w:themeFill="accent2" w:themeFillTint="99"/>
          </w:tcPr>
          <w:p w14:paraId="717E7816" w14:textId="77777777" w:rsidR="007C17E5" w:rsidRDefault="007C17E5" w:rsidP="002D2A24">
            <w:pPr>
              <w:pStyle w:val="Tabletext"/>
            </w:pPr>
            <w:r>
              <w:t>Criterion</w:t>
            </w:r>
          </w:p>
        </w:tc>
        <w:tc>
          <w:tcPr>
            <w:tcW w:w="1276" w:type="dxa"/>
            <w:shd w:val="clear" w:color="auto" w:fill="C4E8EB" w:themeFill="accent2" w:themeFillTint="99"/>
          </w:tcPr>
          <w:p w14:paraId="1BD1D489" w14:textId="77777777" w:rsidR="00AE7591" w:rsidRDefault="007C17E5" w:rsidP="002D2A24">
            <w:pPr>
              <w:pStyle w:val="Tabletext"/>
            </w:pPr>
            <w:r>
              <w:t xml:space="preserve">Weight </w:t>
            </w:r>
          </w:p>
          <w:p w14:paraId="5BD35F03" w14:textId="77777777" w:rsidR="007C17E5" w:rsidRDefault="00AE7591" w:rsidP="002D2A24">
            <w:pPr>
              <w:pStyle w:val="Tabletext"/>
            </w:pPr>
            <w:r>
              <w:t>(per cent</w:t>
            </w:r>
            <w:r w:rsidR="007C17E5">
              <w:t>)</w:t>
            </w:r>
          </w:p>
        </w:tc>
      </w:tr>
      <w:tr w:rsidR="007C17E5" w14:paraId="30F0A6E4" w14:textId="77777777" w:rsidTr="00AE7591">
        <w:tc>
          <w:tcPr>
            <w:tcW w:w="2268" w:type="dxa"/>
            <w:shd w:val="clear" w:color="auto" w:fill="C4E8EB" w:themeFill="accent2" w:themeFillTint="99"/>
          </w:tcPr>
          <w:p w14:paraId="740319FA" w14:textId="77777777" w:rsidR="007C17E5" w:rsidRDefault="007C17E5" w:rsidP="002D2A24">
            <w:pPr>
              <w:pStyle w:val="Tabletext"/>
            </w:pPr>
            <w:r>
              <w:t>Energy Efficiency improvement potential</w:t>
            </w:r>
          </w:p>
        </w:tc>
        <w:tc>
          <w:tcPr>
            <w:tcW w:w="1418" w:type="dxa"/>
            <w:shd w:val="clear" w:color="auto" w:fill="C4E8EB" w:themeFill="accent2" w:themeFillTint="99"/>
          </w:tcPr>
          <w:p w14:paraId="360885CE" w14:textId="77777777" w:rsidR="007C17E5" w:rsidRDefault="007C17E5" w:rsidP="002D2A24">
            <w:pPr>
              <w:pStyle w:val="Tabletext"/>
            </w:pPr>
            <w:r>
              <w:t>30</w:t>
            </w:r>
          </w:p>
        </w:tc>
        <w:tc>
          <w:tcPr>
            <w:tcW w:w="2268" w:type="dxa"/>
            <w:shd w:val="clear" w:color="auto" w:fill="C4E8EB" w:themeFill="accent2" w:themeFillTint="99"/>
          </w:tcPr>
          <w:p w14:paraId="0001FE97" w14:textId="77777777" w:rsidR="007C17E5" w:rsidRDefault="007C17E5" w:rsidP="002D2A24">
            <w:pPr>
              <w:pStyle w:val="Tabletext"/>
            </w:pPr>
            <w:r>
              <w:t>Energy efficiency Improvement potential</w:t>
            </w:r>
          </w:p>
        </w:tc>
        <w:tc>
          <w:tcPr>
            <w:tcW w:w="1276" w:type="dxa"/>
            <w:shd w:val="clear" w:color="auto" w:fill="C4E8EB" w:themeFill="accent2" w:themeFillTint="99"/>
          </w:tcPr>
          <w:p w14:paraId="679096A8" w14:textId="77777777" w:rsidR="007C17E5" w:rsidRDefault="007C17E5" w:rsidP="002D2A24">
            <w:pPr>
              <w:pStyle w:val="Tabletext"/>
            </w:pPr>
            <w:r>
              <w:t>20</w:t>
            </w:r>
          </w:p>
        </w:tc>
      </w:tr>
      <w:tr w:rsidR="007C17E5" w14:paraId="6BC3063D" w14:textId="77777777" w:rsidTr="00AE7591">
        <w:tc>
          <w:tcPr>
            <w:tcW w:w="2268" w:type="dxa"/>
            <w:shd w:val="clear" w:color="auto" w:fill="C4E8EB" w:themeFill="accent2" w:themeFillTint="99"/>
          </w:tcPr>
          <w:p w14:paraId="1B3F43D5" w14:textId="77777777" w:rsidR="007C17E5" w:rsidRDefault="007C17E5" w:rsidP="002D2A24">
            <w:pPr>
              <w:pStyle w:val="Tabletext"/>
            </w:pPr>
            <w:r>
              <w:t>Potential to encourage improved energy management practices</w:t>
            </w:r>
          </w:p>
        </w:tc>
        <w:tc>
          <w:tcPr>
            <w:tcW w:w="1418" w:type="dxa"/>
            <w:shd w:val="clear" w:color="auto" w:fill="C4E8EB" w:themeFill="accent2" w:themeFillTint="99"/>
          </w:tcPr>
          <w:p w14:paraId="651A1566" w14:textId="77777777" w:rsidR="007C17E5" w:rsidRDefault="007C17E5" w:rsidP="002D2A24">
            <w:pPr>
              <w:pStyle w:val="Tabletext"/>
            </w:pPr>
            <w:r>
              <w:t>30</w:t>
            </w:r>
          </w:p>
        </w:tc>
        <w:tc>
          <w:tcPr>
            <w:tcW w:w="2268" w:type="dxa"/>
            <w:shd w:val="clear" w:color="auto" w:fill="C4E8EB" w:themeFill="accent2" w:themeFillTint="99"/>
          </w:tcPr>
          <w:p w14:paraId="34B3CDC9" w14:textId="77777777" w:rsidR="007C17E5" w:rsidRDefault="007C17E5" w:rsidP="002D2A24">
            <w:pPr>
              <w:pStyle w:val="Tabletext"/>
            </w:pPr>
            <w:r>
              <w:t>Targeting low socio-economic and other disadvantaged communities</w:t>
            </w:r>
          </w:p>
        </w:tc>
        <w:tc>
          <w:tcPr>
            <w:tcW w:w="1276" w:type="dxa"/>
            <w:shd w:val="clear" w:color="auto" w:fill="C4E8EB" w:themeFill="accent2" w:themeFillTint="99"/>
          </w:tcPr>
          <w:p w14:paraId="70EA68CA" w14:textId="77777777" w:rsidR="007C17E5" w:rsidRDefault="007C17E5" w:rsidP="002D2A24">
            <w:pPr>
              <w:pStyle w:val="Tabletext"/>
            </w:pPr>
            <w:r>
              <w:t>20</w:t>
            </w:r>
          </w:p>
        </w:tc>
      </w:tr>
      <w:tr w:rsidR="007C17E5" w14:paraId="03A53B9E" w14:textId="77777777" w:rsidTr="00AE7591">
        <w:tc>
          <w:tcPr>
            <w:tcW w:w="2268" w:type="dxa"/>
            <w:shd w:val="clear" w:color="auto" w:fill="C4E8EB" w:themeFill="accent2" w:themeFillTint="99"/>
          </w:tcPr>
          <w:p w14:paraId="33D351EA" w14:textId="77777777" w:rsidR="007C17E5" w:rsidRDefault="007C17E5" w:rsidP="002D2A24">
            <w:pPr>
              <w:pStyle w:val="Tabletext"/>
            </w:pPr>
            <w:r>
              <w:t>Project design, funding and management</w:t>
            </w:r>
          </w:p>
        </w:tc>
        <w:tc>
          <w:tcPr>
            <w:tcW w:w="1418" w:type="dxa"/>
            <w:shd w:val="clear" w:color="auto" w:fill="C4E8EB" w:themeFill="accent2" w:themeFillTint="99"/>
          </w:tcPr>
          <w:p w14:paraId="4CFA4C4F" w14:textId="77777777" w:rsidR="007C17E5" w:rsidRDefault="007C17E5" w:rsidP="002D2A24">
            <w:pPr>
              <w:pStyle w:val="Tabletext"/>
            </w:pPr>
            <w:r>
              <w:t>20</w:t>
            </w:r>
          </w:p>
        </w:tc>
        <w:tc>
          <w:tcPr>
            <w:tcW w:w="2268" w:type="dxa"/>
            <w:shd w:val="clear" w:color="auto" w:fill="C4E8EB" w:themeFill="accent2" w:themeFillTint="99"/>
          </w:tcPr>
          <w:p w14:paraId="394E456C" w14:textId="77777777" w:rsidR="007C17E5" w:rsidRDefault="007C17E5" w:rsidP="002D2A24">
            <w:pPr>
              <w:pStyle w:val="Tabletext"/>
            </w:pPr>
            <w:r>
              <w:t>Potential to encourage improved energy management practices</w:t>
            </w:r>
          </w:p>
        </w:tc>
        <w:tc>
          <w:tcPr>
            <w:tcW w:w="1276" w:type="dxa"/>
            <w:shd w:val="clear" w:color="auto" w:fill="C4E8EB" w:themeFill="accent2" w:themeFillTint="99"/>
          </w:tcPr>
          <w:p w14:paraId="0ACA0818" w14:textId="77777777" w:rsidR="007C17E5" w:rsidRDefault="007C17E5" w:rsidP="002D2A24">
            <w:pPr>
              <w:pStyle w:val="Tabletext"/>
            </w:pPr>
            <w:r>
              <w:t>20</w:t>
            </w:r>
          </w:p>
        </w:tc>
      </w:tr>
      <w:tr w:rsidR="007C17E5" w14:paraId="3B29DF08" w14:textId="77777777" w:rsidTr="00AE7591">
        <w:tc>
          <w:tcPr>
            <w:tcW w:w="2268" w:type="dxa"/>
            <w:vMerge w:val="restart"/>
            <w:shd w:val="clear" w:color="auto" w:fill="C4E8EB" w:themeFill="accent2" w:themeFillTint="99"/>
          </w:tcPr>
          <w:p w14:paraId="74ECC708" w14:textId="77777777" w:rsidR="007C17E5" w:rsidRDefault="007C17E5" w:rsidP="002D2A24">
            <w:pPr>
              <w:pStyle w:val="Tabletext"/>
            </w:pPr>
            <w:r>
              <w:t>Value for Money</w:t>
            </w:r>
          </w:p>
        </w:tc>
        <w:tc>
          <w:tcPr>
            <w:tcW w:w="1418" w:type="dxa"/>
            <w:vMerge w:val="restart"/>
            <w:shd w:val="clear" w:color="auto" w:fill="C4E8EB" w:themeFill="accent2" w:themeFillTint="99"/>
          </w:tcPr>
          <w:p w14:paraId="3A9C654F" w14:textId="77777777" w:rsidR="007C17E5" w:rsidRDefault="007C17E5" w:rsidP="002D2A24">
            <w:pPr>
              <w:pStyle w:val="Tabletext"/>
            </w:pPr>
            <w:r>
              <w:t>20</w:t>
            </w:r>
          </w:p>
        </w:tc>
        <w:tc>
          <w:tcPr>
            <w:tcW w:w="2268" w:type="dxa"/>
            <w:shd w:val="clear" w:color="auto" w:fill="C4E8EB" w:themeFill="accent2" w:themeFillTint="99"/>
          </w:tcPr>
          <w:p w14:paraId="1CE754A7" w14:textId="77777777" w:rsidR="007C17E5" w:rsidRDefault="007C17E5" w:rsidP="002D2A24">
            <w:pPr>
              <w:pStyle w:val="Tabletext"/>
            </w:pPr>
            <w:r>
              <w:t>Project design, funding  and management</w:t>
            </w:r>
          </w:p>
        </w:tc>
        <w:tc>
          <w:tcPr>
            <w:tcW w:w="1276" w:type="dxa"/>
            <w:shd w:val="clear" w:color="auto" w:fill="C4E8EB" w:themeFill="accent2" w:themeFillTint="99"/>
          </w:tcPr>
          <w:p w14:paraId="71A7530C" w14:textId="77777777" w:rsidR="007C17E5" w:rsidRDefault="007C17E5" w:rsidP="002D2A24">
            <w:pPr>
              <w:pStyle w:val="Tabletext"/>
            </w:pPr>
            <w:r>
              <w:t>20</w:t>
            </w:r>
          </w:p>
        </w:tc>
      </w:tr>
      <w:tr w:rsidR="007C17E5" w14:paraId="171D6C53" w14:textId="77777777" w:rsidTr="00AE7591">
        <w:trPr>
          <w:trHeight w:val="575"/>
        </w:trPr>
        <w:tc>
          <w:tcPr>
            <w:tcW w:w="2268" w:type="dxa"/>
            <w:vMerge/>
            <w:shd w:val="clear" w:color="auto" w:fill="C4E8EB" w:themeFill="accent2" w:themeFillTint="99"/>
          </w:tcPr>
          <w:p w14:paraId="505E107E" w14:textId="77777777" w:rsidR="007C17E5" w:rsidRDefault="007C17E5" w:rsidP="002D2A24">
            <w:pPr>
              <w:pStyle w:val="Tabletext"/>
            </w:pPr>
          </w:p>
        </w:tc>
        <w:tc>
          <w:tcPr>
            <w:tcW w:w="1418" w:type="dxa"/>
            <w:vMerge/>
            <w:shd w:val="clear" w:color="auto" w:fill="C4E8EB" w:themeFill="accent2" w:themeFillTint="99"/>
          </w:tcPr>
          <w:p w14:paraId="43ABA2C4" w14:textId="77777777" w:rsidR="007C17E5" w:rsidRDefault="007C17E5" w:rsidP="002D2A24">
            <w:pPr>
              <w:pStyle w:val="Tabletext"/>
            </w:pPr>
          </w:p>
        </w:tc>
        <w:tc>
          <w:tcPr>
            <w:tcW w:w="2268" w:type="dxa"/>
            <w:shd w:val="clear" w:color="auto" w:fill="C4E8EB" w:themeFill="accent2" w:themeFillTint="99"/>
          </w:tcPr>
          <w:p w14:paraId="2A900FBF" w14:textId="77777777" w:rsidR="007C17E5" w:rsidRDefault="00800A39" w:rsidP="002D2A24">
            <w:pPr>
              <w:pStyle w:val="Tabletext"/>
            </w:pPr>
            <w:r>
              <w:t>V</w:t>
            </w:r>
            <w:r w:rsidR="007C17E5">
              <w:t>alue for money</w:t>
            </w:r>
          </w:p>
        </w:tc>
        <w:tc>
          <w:tcPr>
            <w:tcW w:w="1276" w:type="dxa"/>
            <w:shd w:val="clear" w:color="auto" w:fill="C4E8EB" w:themeFill="accent2" w:themeFillTint="99"/>
          </w:tcPr>
          <w:p w14:paraId="73B8E45B" w14:textId="77777777" w:rsidR="007C17E5" w:rsidRDefault="007C17E5" w:rsidP="002D2A24">
            <w:pPr>
              <w:pStyle w:val="Tabletext"/>
            </w:pPr>
            <w:r>
              <w:t>20</w:t>
            </w:r>
          </w:p>
        </w:tc>
      </w:tr>
    </w:tbl>
    <w:p w14:paraId="5ED169F7" w14:textId="77777777" w:rsidR="00295AF8" w:rsidRPr="002D2A24" w:rsidRDefault="00835A86" w:rsidP="002D2A24">
      <w:pPr>
        <w:pStyle w:val="Heading2"/>
      </w:pPr>
      <w:bookmarkStart w:id="87" w:name="_Toc483236857"/>
      <w:r w:rsidRPr="002D2A24">
        <w:t>Programme</w:t>
      </w:r>
      <w:r w:rsidR="0052429C" w:rsidRPr="002D2A24">
        <w:t xml:space="preserve"> D</w:t>
      </w:r>
      <w:r w:rsidR="00295AF8" w:rsidRPr="002D2A24">
        <w:t>elivery</w:t>
      </w:r>
      <w:bookmarkEnd w:id="79"/>
      <w:bookmarkEnd w:id="80"/>
      <w:bookmarkEnd w:id="81"/>
      <w:bookmarkEnd w:id="82"/>
      <w:bookmarkEnd w:id="83"/>
      <w:bookmarkEnd w:id="87"/>
    </w:p>
    <w:p w14:paraId="22DB2351" w14:textId="77777777" w:rsidR="007D6894" w:rsidRDefault="007D6894" w:rsidP="00B941F6">
      <w:pPr>
        <w:pStyle w:val="BodyText"/>
        <w:jc w:val="left"/>
        <w:rPr>
          <w:lang w:val="en"/>
        </w:rPr>
      </w:pPr>
      <w:r>
        <w:rPr>
          <w:lang w:val="en"/>
        </w:rPr>
        <w:t>Proposed projects were required to achieve clear, measurable gains in energy efficiency or a reduction in energy use.</w:t>
      </w:r>
      <w:r w:rsidR="009A6AA7">
        <w:rPr>
          <w:lang w:val="en"/>
        </w:rPr>
        <w:t xml:space="preserve"> </w:t>
      </w:r>
      <w:r>
        <w:rPr>
          <w:lang w:val="en"/>
        </w:rPr>
        <w:t>Eligible activities</w:t>
      </w:r>
      <w:r w:rsidRPr="00192B02">
        <w:rPr>
          <w:lang w:val="en"/>
        </w:rPr>
        <w:t xml:space="preserve"> included energy</w:t>
      </w:r>
      <w:r>
        <w:rPr>
          <w:lang w:val="en"/>
        </w:rPr>
        <w:t xml:space="preserve"> audits; upgrades or retrofits to buildings and facilities; upgrades to outdoor lighting; basic energy efficiency items; monitoring and reporting; educational activities and raising community awareness; administration support; and financial auditing costs. The guidelines specified ineligible activities and upgrades, which included the purchase or installation of renewable energy generation systems and energy efficiency upgrades to new buildings or extensions. </w:t>
      </w:r>
    </w:p>
    <w:p w14:paraId="4BE69432" w14:textId="77777777" w:rsidR="00800A39" w:rsidRDefault="000B6B56" w:rsidP="00B941F6">
      <w:pPr>
        <w:pStyle w:val="BodyText"/>
        <w:jc w:val="left"/>
        <w:rPr>
          <w:lang w:val="en"/>
        </w:rPr>
      </w:pPr>
      <w:r>
        <w:rPr>
          <w:lang w:val="en"/>
        </w:rPr>
        <w:t xml:space="preserve">Organisations eligible for funding included local government bodies, not-for-profit organisations, building owners, and combinations thereof. </w:t>
      </w:r>
      <w:r w:rsidR="007D6894">
        <w:rPr>
          <w:lang w:val="en"/>
        </w:rPr>
        <w:t>Ineligible organisations included for-profit organisations; government agencies; public hospitals; primary or secondary schools; tertiary education institutes; aged care facilities; in</w:t>
      </w:r>
      <w:r w:rsidR="00E77130">
        <w:rPr>
          <w:lang w:val="en"/>
        </w:rPr>
        <w:t>dividuals; and informal groups.</w:t>
      </w:r>
    </w:p>
    <w:p w14:paraId="67D01DB9" w14:textId="77777777" w:rsidR="001B5A2C" w:rsidRDefault="00B81FA6" w:rsidP="00402F61">
      <w:pPr>
        <w:pStyle w:val="BodyText"/>
        <w:jc w:val="left"/>
      </w:pPr>
      <w:r>
        <w:t>A</w:t>
      </w:r>
      <w:r w:rsidR="001B5A2C" w:rsidRPr="00B61F67">
        <w:t xml:space="preserve">pplications were assessed for </w:t>
      </w:r>
      <w:r>
        <w:t xml:space="preserve">eligibility by the department. </w:t>
      </w:r>
      <w:r w:rsidR="00E87427">
        <w:t xml:space="preserve">In turn, </w:t>
      </w:r>
      <w:r w:rsidR="00546861">
        <w:t>the</w:t>
      </w:r>
      <w:r w:rsidR="00E87427" w:rsidRPr="00B61F67">
        <w:t xml:space="preserve"> </w:t>
      </w:r>
      <w:r w:rsidR="00835A86">
        <w:t>Programme</w:t>
      </w:r>
      <w:r w:rsidR="00E87427" w:rsidRPr="00B61F67">
        <w:t xml:space="preserve"> Advisory Committee</w:t>
      </w:r>
      <w:r w:rsidR="00E87427">
        <w:t xml:space="preserve"> assessed eligible applications.</w:t>
      </w:r>
      <w:r w:rsidR="00F62EC8">
        <w:t xml:space="preserve"> Successful applications were announced by the Minister. Recipient</w:t>
      </w:r>
      <w:r w:rsidR="006D3B02">
        <w:t>s</w:t>
      </w:r>
      <w:r w:rsidR="00F62EC8">
        <w:t xml:space="preserve"> entered funding agreements within 60 days from the announcement of the</w:t>
      </w:r>
      <w:r w:rsidR="006D3B02">
        <w:t>ir</w:t>
      </w:r>
      <w:r w:rsidR="00F62EC8">
        <w:t xml:space="preserve"> grant.</w:t>
      </w:r>
    </w:p>
    <w:p w14:paraId="36114110" w14:textId="77777777" w:rsidR="00FC31D7" w:rsidRPr="00B61F67" w:rsidRDefault="00FC31D7" w:rsidP="00402F61">
      <w:pPr>
        <w:pStyle w:val="BodyText"/>
        <w:jc w:val="left"/>
      </w:pPr>
      <w:r>
        <w:t>Initial payments not exceeding 40</w:t>
      </w:r>
      <w:r w:rsidR="00FD76C9">
        <w:t xml:space="preserve"> per cent</w:t>
      </w:r>
      <w:r>
        <w:t xml:space="preserve"> of the grant were made available</w:t>
      </w:r>
      <w:r w:rsidR="00980576">
        <w:t xml:space="preserve"> following the execution of the funding agreement</w:t>
      </w:r>
      <w:r>
        <w:t xml:space="preserve">. </w:t>
      </w:r>
      <w:r w:rsidR="00F62EC8">
        <w:t xml:space="preserve">Further payments were provided </w:t>
      </w:r>
      <w:r w:rsidR="00980576">
        <w:t xml:space="preserve">against agreed </w:t>
      </w:r>
      <w:r>
        <w:t>milestones</w:t>
      </w:r>
      <w:r w:rsidR="00F62EC8">
        <w:t xml:space="preserve">. Recipients were required to submit </w:t>
      </w:r>
      <w:r w:rsidR="006D3B02">
        <w:t>financial audits</w:t>
      </w:r>
      <w:r w:rsidR="00F62EC8">
        <w:t xml:space="preserve"> on the completion of the project. </w:t>
      </w:r>
    </w:p>
    <w:p w14:paraId="4EF9CA25" w14:textId="77777777" w:rsidR="00CC6C48" w:rsidRPr="00B61F67" w:rsidRDefault="00572C6A" w:rsidP="00402F61">
      <w:pPr>
        <w:pStyle w:val="BodyText"/>
        <w:jc w:val="left"/>
      </w:pPr>
      <w:r w:rsidRPr="00B61F67">
        <w:t xml:space="preserve">More than 60 per cent of applicants were informed </w:t>
      </w:r>
      <w:r w:rsidR="00402F61">
        <w:t>within seven</w:t>
      </w:r>
      <w:r w:rsidR="001B5A2C" w:rsidRPr="00B61F67">
        <w:t xml:space="preserve"> days </w:t>
      </w:r>
      <w:r w:rsidRPr="00B61F67">
        <w:t xml:space="preserve">that their </w:t>
      </w:r>
      <w:r w:rsidR="001B5A2C" w:rsidRPr="00B61F67">
        <w:t>complete</w:t>
      </w:r>
      <w:r w:rsidR="00012DEF" w:rsidRPr="00B61F67">
        <w:t xml:space="preserve">, eligible </w:t>
      </w:r>
      <w:r w:rsidRPr="00B61F67">
        <w:t xml:space="preserve">applications were </w:t>
      </w:r>
      <w:r w:rsidR="001B5A2C" w:rsidRPr="00B61F67">
        <w:t>received</w:t>
      </w:r>
      <w:r w:rsidRPr="00B61F67">
        <w:t xml:space="preserve"> and were</w:t>
      </w:r>
      <w:r w:rsidR="00853EEA" w:rsidRPr="00B61F67">
        <w:t xml:space="preserve"> being </w:t>
      </w:r>
      <w:r w:rsidR="001B5A2C" w:rsidRPr="00B61F67">
        <w:t>assessed.</w:t>
      </w:r>
      <w:r w:rsidR="009A6AA7">
        <w:t xml:space="preserve"> </w:t>
      </w:r>
      <w:r w:rsidR="001B5A2C" w:rsidRPr="00B61F67">
        <w:t>T</w:t>
      </w:r>
      <w:r w:rsidR="00853EEA" w:rsidRPr="00B61F67">
        <w:t xml:space="preserve">he outcome of that assessment was </w:t>
      </w:r>
      <w:r w:rsidR="001B5A2C" w:rsidRPr="00B61F67">
        <w:t>announced</w:t>
      </w:r>
      <w:r w:rsidR="00012DEF" w:rsidRPr="00B61F67">
        <w:t xml:space="preserve"> by the Minister</w:t>
      </w:r>
      <w:r w:rsidR="001B5A2C" w:rsidRPr="00B61F67">
        <w:t>, on average, 32 days after application.</w:t>
      </w:r>
      <w:r w:rsidR="00CC6C48" w:rsidRPr="00B61F67">
        <w:t xml:space="preserve"> </w:t>
      </w:r>
    </w:p>
    <w:p w14:paraId="5FCCC448" w14:textId="77777777" w:rsidR="00266E21" w:rsidRPr="002D2A24" w:rsidRDefault="00266E21" w:rsidP="002D2A24">
      <w:pPr>
        <w:pStyle w:val="Heading2"/>
      </w:pPr>
      <w:bookmarkStart w:id="88" w:name="_Toc483236858"/>
      <w:r w:rsidRPr="002D2A24">
        <w:t>This Evaluation</w:t>
      </w:r>
      <w:bookmarkEnd w:id="88"/>
    </w:p>
    <w:p w14:paraId="4D92EC00" w14:textId="77777777" w:rsidR="00546861" w:rsidRPr="006149FD" w:rsidRDefault="00546861" w:rsidP="00546861">
      <w:pPr>
        <w:pStyle w:val="BodyText"/>
        <w:jc w:val="left"/>
      </w:pPr>
      <w:r w:rsidRPr="006149FD">
        <w:t>This report presents the findings and recom</w:t>
      </w:r>
      <w:r>
        <w:t>mendations arising from an i</w:t>
      </w:r>
      <w:r w:rsidRPr="006149FD">
        <w:t>mpact</w:t>
      </w:r>
      <w:r>
        <w:t xml:space="preserve"> e</w:t>
      </w:r>
      <w:r w:rsidRPr="006149FD">
        <w:t xml:space="preserve">valuation of </w:t>
      </w:r>
      <w:r>
        <w:t xml:space="preserve">the </w:t>
      </w:r>
      <w:r w:rsidRPr="006149FD">
        <w:t xml:space="preserve">CEEP, undertaken between March and </w:t>
      </w:r>
      <w:r>
        <w:t>December</w:t>
      </w:r>
      <w:r w:rsidRPr="006149FD">
        <w:t xml:space="preserve"> 2016. The timing and nature of this evaluation is driven by the </w:t>
      </w:r>
      <w:r>
        <w:t>protocol that terminating Tier Two</w:t>
      </w:r>
      <w:r w:rsidRPr="006149FD">
        <w:t xml:space="preserve"> departmental </w:t>
      </w:r>
      <w:r w:rsidR="00835A86">
        <w:t>programme</w:t>
      </w:r>
      <w:r w:rsidRPr="006149FD">
        <w:t xml:space="preserve">s of strategic importance should be evaluated either by, or in partnership with, the </w:t>
      </w:r>
      <w:r>
        <w:t>Evaluation Unit.</w:t>
      </w:r>
    </w:p>
    <w:p w14:paraId="1874A0C8" w14:textId="77777777" w:rsidR="00546861" w:rsidRPr="006149FD" w:rsidRDefault="00546861" w:rsidP="00546861">
      <w:pPr>
        <w:pStyle w:val="BodyText"/>
        <w:jc w:val="left"/>
      </w:pPr>
      <w:r>
        <w:t>The key evaluation questions address</w:t>
      </w:r>
      <w:r w:rsidR="00850002">
        <w:t>ed</w:t>
      </w:r>
      <w:r>
        <w:t xml:space="preserve"> the following areas: the appropriateness of the </w:t>
      </w:r>
      <w:r w:rsidR="00835A86">
        <w:t>programme</w:t>
      </w:r>
      <w:r>
        <w:t xml:space="preserve"> (its policy intent); the effectiveness of the </w:t>
      </w:r>
      <w:r w:rsidR="00835A86">
        <w:t>programme</w:t>
      </w:r>
      <w:r>
        <w:t xml:space="preserve"> (its impact); and the co-benefits that have been realised through the </w:t>
      </w:r>
      <w:r w:rsidR="00835A86">
        <w:t>programme</w:t>
      </w:r>
      <w:r>
        <w:t xml:space="preserve">. </w:t>
      </w:r>
    </w:p>
    <w:p w14:paraId="4D48D7E5" w14:textId="77777777" w:rsidR="00BB61F5" w:rsidRDefault="00BB61F5" w:rsidP="00BB61F5">
      <w:pPr>
        <w:pStyle w:val="BodyText"/>
        <w:spacing w:after="120"/>
        <w:jc w:val="left"/>
      </w:pPr>
      <w:r w:rsidRPr="00F60334">
        <w:t>Impac</w:t>
      </w:r>
      <w:r>
        <w:t>t evaluations are usually large, complex evaluations that</w:t>
      </w:r>
      <w:r w:rsidRPr="00F60334">
        <w:t xml:space="preserve"> </w:t>
      </w:r>
      <w:r>
        <w:t xml:space="preserve">assess the achievements of a </w:t>
      </w:r>
      <w:r w:rsidR="00835A86">
        <w:t>programme</w:t>
      </w:r>
      <w:r w:rsidRPr="00F60334">
        <w:t xml:space="preserve">. Where possible they consider concepts such as a ‘counterfactual’ and ‘additionality’. In other words, impact evaluations seek to compare </w:t>
      </w:r>
      <w:r w:rsidR="00835A86">
        <w:t>programme</w:t>
      </w:r>
      <w:r w:rsidRPr="00F60334">
        <w:t xml:space="preserve"> outcomes with a prediction of what would have happened in the absence of the </w:t>
      </w:r>
      <w:r w:rsidR="00835A86">
        <w:t>programme</w:t>
      </w:r>
      <w:r>
        <w:t>, and may include research on</w:t>
      </w:r>
      <w:r w:rsidRPr="00F60334">
        <w:t xml:space="preserve"> </w:t>
      </w:r>
      <w:r w:rsidR="00835A86">
        <w:t>programme</w:t>
      </w:r>
      <w:r w:rsidRPr="00F60334">
        <w:t xml:space="preserve"> alternatives to </w:t>
      </w:r>
      <w:r>
        <w:t xml:space="preserve">enable the </w:t>
      </w:r>
      <w:r w:rsidRPr="00F60334">
        <w:t>compar</w:t>
      </w:r>
      <w:r>
        <w:t>ison of</w:t>
      </w:r>
      <w:r w:rsidRPr="00F60334">
        <w:t xml:space="preserve"> results.</w:t>
      </w:r>
    </w:p>
    <w:p w14:paraId="7E8F51B7" w14:textId="14B607EC" w:rsidR="00486ECF" w:rsidRDefault="00486ECF" w:rsidP="00C91119">
      <w:pPr>
        <w:pStyle w:val="BodyText"/>
        <w:spacing w:after="120"/>
        <w:jc w:val="left"/>
      </w:pPr>
      <w:r>
        <w:t xml:space="preserve">This evaluation did not include the efficiency of the CEEP. The department engaged ACIL Allen Consulting to conduct a separate evaluation of the administration of the </w:t>
      </w:r>
      <w:r w:rsidR="00835A86">
        <w:t>programme</w:t>
      </w:r>
      <w:r>
        <w:t>. To inform the evaluation, ACIL Allen considered the final reports provided by grant recipients, an online survey of grant recipients, and telephone interviews with a small number of grant recipients. The ACIL Allen Evaluation Report was approved by the Steering Committee in August 2016. For completeness, a summary of the key f</w:t>
      </w:r>
      <w:r w:rsidR="001E1EE4">
        <w:t>indings is provided in Section 8</w:t>
      </w:r>
      <w:r>
        <w:t xml:space="preserve"> of this report. A full copy of the final ACIL Allen Evaluation Report is</w:t>
      </w:r>
      <w:r w:rsidR="003C0E9C">
        <w:t xml:space="preserve"> available on </w:t>
      </w:r>
      <w:hyperlink r:id="rId29" w:tooltip="www.industry.gov.au/OCE" w:history="1">
        <w:r w:rsidR="003C0E9C" w:rsidRPr="00FE2F04">
          <w:rPr>
            <w:rStyle w:val="Hyperlink"/>
          </w:rPr>
          <w:t>www.industry.gov.au/OCE</w:t>
        </w:r>
      </w:hyperlink>
      <w:r w:rsidRPr="00486ECF">
        <w:rPr>
          <w:u w:val="single"/>
        </w:rPr>
        <w:t>.</w:t>
      </w:r>
    </w:p>
    <w:p w14:paraId="5B3EDE67" w14:textId="77777777" w:rsidR="00BB61F5" w:rsidRDefault="00BB61F5">
      <w:pPr>
        <w:spacing w:after="200" w:line="276" w:lineRule="auto"/>
        <w:rPr>
          <w:rFonts w:asciiTheme="majorHAnsi" w:eastAsia="Times New Roman" w:hAnsiTheme="majorHAnsi" w:cs="Arial"/>
          <w:bCs/>
          <w:color w:val="22789A"/>
        </w:rPr>
      </w:pPr>
      <w:bookmarkStart w:id="89" w:name="_Toc355705053"/>
      <w:bookmarkStart w:id="90" w:name="_Toc446426614"/>
      <w:bookmarkStart w:id="91" w:name="_Toc463621573"/>
      <w:bookmarkStart w:id="92" w:name="_Toc463864373"/>
      <w:bookmarkStart w:id="93" w:name="_Toc463876949"/>
      <w:bookmarkStart w:id="94" w:name="_Toc463970051"/>
      <w:bookmarkStart w:id="95" w:name="_Toc464116821"/>
      <w:r>
        <w:br w:type="page"/>
      </w:r>
    </w:p>
    <w:p w14:paraId="15E6F840" w14:textId="77777777" w:rsidR="00266E21" w:rsidRPr="002D2A24" w:rsidRDefault="00266E21" w:rsidP="002D2A24">
      <w:pPr>
        <w:pStyle w:val="Heading3"/>
      </w:pPr>
      <w:bookmarkStart w:id="96" w:name="_Toc483236859"/>
      <w:r w:rsidRPr="002D2A24">
        <w:t>Governance</w:t>
      </w:r>
      <w:bookmarkEnd w:id="89"/>
      <w:bookmarkEnd w:id="90"/>
      <w:bookmarkEnd w:id="91"/>
      <w:bookmarkEnd w:id="92"/>
      <w:bookmarkEnd w:id="93"/>
      <w:bookmarkEnd w:id="94"/>
      <w:bookmarkEnd w:id="95"/>
      <w:bookmarkEnd w:id="96"/>
    </w:p>
    <w:p w14:paraId="58CE7921" w14:textId="77777777" w:rsidR="00266E21" w:rsidRPr="00C044FA" w:rsidRDefault="00486ECF" w:rsidP="00486ECF">
      <w:pPr>
        <w:pStyle w:val="BodyText"/>
        <w:jc w:val="left"/>
      </w:pPr>
      <w:r>
        <w:t>The</w:t>
      </w:r>
      <w:r w:rsidR="00266E21" w:rsidRPr="00C044FA">
        <w:t xml:space="preserve"> Steering Committee</w:t>
      </w:r>
      <w:r>
        <w:t xml:space="preserve"> was established to provide</w:t>
      </w:r>
      <w:r w:rsidR="00266E21" w:rsidRPr="00C044FA">
        <w:t xml:space="preserve"> o</w:t>
      </w:r>
      <w:r w:rsidR="00266E21">
        <w:t>versight and direction for the e</w:t>
      </w:r>
      <w:r w:rsidR="00266E21" w:rsidRPr="00C044FA">
        <w:t>valuati</w:t>
      </w:r>
      <w:r w:rsidR="00266E21">
        <w:t xml:space="preserve">on. This </w:t>
      </w:r>
      <w:r>
        <w:t xml:space="preserve">was to ensure </w:t>
      </w:r>
      <w:r w:rsidR="00266E21">
        <w:t>the Terms of R</w:t>
      </w:r>
      <w:r w:rsidR="00266E21" w:rsidRPr="00C044FA">
        <w:t xml:space="preserve">eference were addressed and that appropriate methodologies were used to provide evidence for the conclusions drawn in the </w:t>
      </w:r>
      <w:r w:rsidR="00ED5013">
        <w:t xml:space="preserve">evaluation </w:t>
      </w:r>
      <w:r w:rsidR="00266E21" w:rsidRPr="00C044FA">
        <w:t>report.</w:t>
      </w:r>
    </w:p>
    <w:p w14:paraId="0409C494" w14:textId="77777777" w:rsidR="00266E21" w:rsidRPr="00C044FA" w:rsidRDefault="00266E21" w:rsidP="00486ECF">
      <w:pPr>
        <w:pStyle w:val="BodyText"/>
        <w:jc w:val="left"/>
      </w:pPr>
      <w:r w:rsidRPr="00C044FA">
        <w:t>T</w:t>
      </w:r>
      <w:r w:rsidR="00ED5013">
        <w:t>he Steering Committee comprised the following members:</w:t>
      </w:r>
    </w:p>
    <w:p w14:paraId="05C7103A" w14:textId="77777777" w:rsidR="00266E21" w:rsidRDefault="00266E21" w:rsidP="00C91119">
      <w:pPr>
        <w:pStyle w:val="ListBullet"/>
        <w:spacing w:after="0"/>
        <w:jc w:val="left"/>
      </w:pPr>
      <w:bookmarkStart w:id="97" w:name="_Toc355705054"/>
      <w:bookmarkStart w:id="98" w:name="_Toc446426615"/>
      <w:r>
        <w:t>Dr Abrie Swanepoel</w:t>
      </w:r>
      <w:r w:rsidR="00F30BC2">
        <w:t>, Mr Tim Bradley</w:t>
      </w:r>
      <w:r>
        <w:t xml:space="preserve"> and Mr Andrew Lalor (Chairs)</w:t>
      </w:r>
      <w:r w:rsidRPr="00D5034B">
        <w:t>, General Manager</w:t>
      </w:r>
      <w:r>
        <w:t>s, Economic and Analytical Services Division</w:t>
      </w:r>
      <w:r w:rsidR="00546861">
        <w:t>. These positions were held at different times by each General Manager during the evaluation</w:t>
      </w:r>
    </w:p>
    <w:p w14:paraId="40C625DC" w14:textId="77777777" w:rsidR="00266E21" w:rsidRPr="00C044FA" w:rsidRDefault="00266E21" w:rsidP="00C91119">
      <w:pPr>
        <w:pStyle w:val="ListBullet"/>
        <w:spacing w:after="0"/>
        <w:jc w:val="left"/>
      </w:pPr>
      <w:r>
        <w:t xml:space="preserve">Mr Gene McGlynn, </w:t>
      </w:r>
      <w:r w:rsidR="00737C4B">
        <w:t>General Manager, Community, Small Business and International Science Branch</w:t>
      </w:r>
      <w:r w:rsidRPr="00C044FA">
        <w:t>, AusIndustry</w:t>
      </w:r>
    </w:p>
    <w:p w14:paraId="0CA749E2" w14:textId="77777777" w:rsidR="007E24E5" w:rsidRDefault="00645BA2" w:rsidP="00ED5013">
      <w:pPr>
        <w:pStyle w:val="ListBullet"/>
        <w:jc w:val="left"/>
      </w:pPr>
      <w:r>
        <w:t>Ms Joann Wilkie and Mr Mark Weaver</w:t>
      </w:r>
      <w:r w:rsidR="00266E21">
        <w:t xml:space="preserve">, </w:t>
      </w:r>
      <w:r w:rsidR="00266E21" w:rsidRPr="00C044FA">
        <w:t>General Manager</w:t>
      </w:r>
      <w:r w:rsidR="00737C4B">
        <w:t>s, Energy Division, Department of Environment and Energy.</w:t>
      </w:r>
      <w:r w:rsidR="00546861">
        <w:t xml:space="preserve"> These positions were held at different times by each General Manager during the evaluation</w:t>
      </w:r>
      <w:r w:rsidR="00F30BC2">
        <w:t>.</w:t>
      </w:r>
    </w:p>
    <w:p w14:paraId="08CA183B" w14:textId="77777777" w:rsidR="00266E21" w:rsidRPr="00C044FA" w:rsidRDefault="00266E21" w:rsidP="00AC3F35">
      <w:pPr>
        <w:pStyle w:val="Heading3"/>
        <w:spacing w:before="0" w:after="120"/>
      </w:pPr>
      <w:bookmarkStart w:id="99" w:name="_Toc463621574"/>
      <w:bookmarkStart w:id="100" w:name="_Toc463864374"/>
      <w:bookmarkStart w:id="101" w:name="_Toc463876950"/>
      <w:bookmarkStart w:id="102" w:name="_Toc463970052"/>
      <w:bookmarkStart w:id="103" w:name="_Toc464116822"/>
      <w:bookmarkStart w:id="104" w:name="_Toc483236860"/>
      <w:r w:rsidRPr="00C044FA">
        <w:t>Evaluation Methodology</w:t>
      </w:r>
      <w:bookmarkEnd w:id="97"/>
      <w:bookmarkEnd w:id="98"/>
      <w:bookmarkEnd w:id="99"/>
      <w:bookmarkEnd w:id="100"/>
      <w:bookmarkEnd w:id="101"/>
      <w:bookmarkEnd w:id="102"/>
      <w:bookmarkEnd w:id="103"/>
      <w:bookmarkEnd w:id="104"/>
    </w:p>
    <w:p w14:paraId="4C103A98" w14:textId="77777777" w:rsidR="00266E21" w:rsidRPr="00C044FA" w:rsidRDefault="00266E21" w:rsidP="00AC3F35">
      <w:pPr>
        <w:pStyle w:val="BodyText"/>
        <w:spacing w:after="120"/>
        <w:jc w:val="left"/>
      </w:pPr>
      <w:r>
        <w:t>A review of the following documents was undertaken to inform the evaluation finding</w:t>
      </w:r>
      <w:r w:rsidR="00546861">
        <w:t>s and recommendations.</w:t>
      </w:r>
    </w:p>
    <w:p w14:paraId="25A4A4AC" w14:textId="77777777" w:rsidR="00266E21" w:rsidRPr="00150665" w:rsidRDefault="00546861" w:rsidP="00C91119">
      <w:pPr>
        <w:pStyle w:val="ListBullet"/>
        <w:spacing w:after="0"/>
        <w:jc w:val="left"/>
      </w:pPr>
      <w:r>
        <w:t>T</w:t>
      </w:r>
      <w:r w:rsidR="00266E21" w:rsidRPr="00150665">
        <w:t>he original New Policy Propo</w:t>
      </w:r>
      <w:r w:rsidR="00266E21">
        <w:t>sal and formative documentation</w:t>
      </w:r>
    </w:p>
    <w:p w14:paraId="384E30F4" w14:textId="77777777" w:rsidR="00266E21" w:rsidRPr="00150665" w:rsidRDefault="00835A86" w:rsidP="00C91119">
      <w:pPr>
        <w:pStyle w:val="ListBullet"/>
        <w:spacing w:after="0"/>
        <w:jc w:val="left"/>
      </w:pPr>
      <w:r>
        <w:t>Programme</w:t>
      </w:r>
      <w:r w:rsidR="00266E21">
        <w:t xml:space="preserve"> guidelines</w:t>
      </w:r>
    </w:p>
    <w:p w14:paraId="2AB8CBA5" w14:textId="77777777" w:rsidR="00266E21" w:rsidRPr="00150665" w:rsidRDefault="00266E21" w:rsidP="00C91119">
      <w:pPr>
        <w:pStyle w:val="ListBullet"/>
        <w:spacing w:after="0"/>
        <w:jc w:val="left"/>
      </w:pPr>
      <w:r w:rsidRPr="00150665">
        <w:t>CEEP’s Perfor</w:t>
      </w:r>
      <w:r w:rsidR="00B714F7">
        <w:t>mance</w:t>
      </w:r>
      <w:r w:rsidRPr="00150665">
        <w:t xml:space="preserve"> Measurement, Re</w:t>
      </w:r>
      <w:r>
        <w:t>porting and Evaluation Strategy</w:t>
      </w:r>
      <w:r w:rsidR="00ED5013">
        <w:t>;</w:t>
      </w:r>
    </w:p>
    <w:p w14:paraId="0E694BF7" w14:textId="77777777" w:rsidR="00037E56" w:rsidRDefault="00546861" w:rsidP="00C91119">
      <w:pPr>
        <w:pStyle w:val="ListBullet"/>
        <w:spacing w:after="0"/>
        <w:jc w:val="left"/>
      </w:pPr>
      <w:r>
        <w:t>T</w:t>
      </w:r>
      <w:r w:rsidR="00C91119">
        <w:t>he final reports provided by grant recipients</w:t>
      </w:r>
      <w:r w:rsidR="00037E56">
        <w:t xml:space="preserve"> </w:t>
      </w:r>
    </w:p>
    <w:p w14:paraId="78940018" w14:textId="77777777" w:rsidR="00C91119" w:rsidRDefault="00546861" w:rsidP="00C91119">
      <w:pPr>
        <w:pStyle w:val="ListBullet"/>
        <w:jc w:val="left"/>
      </w:pPr>
      <w:r>
        <w:t>I</w:t>
      </w:r>
      <w:r w:rsidR="00ED5013">
        <w:t xml:space="preserve">nterviews with a small number of </w:t>
      </w:r>
      <w:r w:rsidR="00037E56">
        <w:t>i</w:t>
      </w:r>
      <w:r w:rsidR="00ED5013">
        <w:t>ndustr</w:t>
      </w:r>
      <w:r>
        <w:t>y stakeholders</w:t>
      </w:r>
    </w:p>
    <w:p w14:paraId="60D48FDA" w14:textId="77777777" w:rsidR="00AF690C" w:rsidRDefault="00AF690C" w:rsidP="00AF690C">
      <w:pPr>
        <w:pStyle w:val="ListBullet"/>
        <w:numPr>
          <w:ilvl w:val="0"/>
          <w:numId w:val="0"/>
        </w:numPr>
      </w:pPr>
      <w:r>
        <w:t>Energy efficiency d</w:t>
      </w:r>
      <w:r w:rsidRPr="006149FD">
        <w:t xml:space="preserve">ata </w:t>
      </w:r>
      <w:r>
        <w:t>was</w:t>
      </w:r>
      <w:r w:rsidRPr="006149FD">
        <w:t xml:space="preserve"> provided by AusIndust</w:t>
      </w:r>
      <w:r>
        <w:t xml:space="preserve">ry. The data was gathered from final reports submitted by grant recipients. The evaluation encountered several issues with the integrity and reliability of the data (see Section </w:t>
      </w:r>
      <w:r w:rsidR="005B1FC0">
        <w:t>5.5)</w:t>
      </w:r>
      <w:r>
        <w:t>.</w:t>
      </w:r>
    </w:p>
    <w:p w14:paraId="559F9734" w14:textId="77777777" w:rsidR="005B1FC0" w:rsidRPr="00A778A7" w:rsidRDefault="005B1FC0" w:rsidP="005B1FC0">
      <w:pPr>
        <w:pStyle w:val="BodyText"/>
        <w:spacing w:after="120"/>
        <w:jc w:val="left"/>
      </w:pPr>
      <w:r>
        <w:t xml:space="preserve">The evaluation also considered qualitative information from the grant recipient final project reports. A small number of industry stakeholders were also interviewed to gain an understanding of the impact of the </w:t>
      </w:r>
      <w:r w:rsidR="00835A86">
        <w:t>programme</w:t>
      </w:r>
      <w:r>
        <w:t xml:space="preserve"> on the broader energy efficiency industry in Australia.</w:t>
      </w:r>
    </w:p>
    <w:p w14:paraId="66788D24" w14:textId="77777777" w:rsidR="00AF690C" w:rsidRDefault="00C91119" w:rsidP="00AF690C">
      <w:pPr>
        <w:pStyle w:val="ListBullet"/>
        <w:numPr>
          <w:ilvl w:val="0"/>
          <w:numId w:val="0"/>
        </w:numPr>
        <w:jc w:val="left"/>
      </w:pPr>
      <w:r>
        <w:t>The terms of reference stated that the evaluation would conduct interviews with grant recipien</w:t>
      </w:r>
      <w:r w:rsidR="00546861">
        <w:t>ts. However, it was</w:t>
      </w:r>
      <w:r>
        <w:t xml:space="preserve"> decided that sufficient information was</w:t>
      </w:r>
      <w:r w:rsidR="00645BA2">
        <w:t xml:space="preserve"> already</w:t>
      </w:r>
      <w:r>
        <w:t xml:space="preserve"> available from the</w:t>
      </w:r>
      <w:r w:rsidR="00546861">
        <w:t xml:space="preserve"> grant recipient</w:t>
      </w:r>
      <w:r w:rsidR="00645BA2">
        <w:t>s</w:t>
      </w:r>
      <w:r w:rsidR="00546861">
        <w:t>’</w:t>
      </w:r>
      <w:r w:rsidR="00645BA2">
        <w:t xml:space="preserve"> final reports</w:t>
      </w:r>
      <w:r>
        <w:t>, and that no additional information would be gained by conducting interviews.</w:t>
      </w:r>
      <w:bookmarkStart w:id="105" w:name="_Toc355705057"/>
      <w:bookmarkStart w:id="106" w:name="_Toc446426618"/>
      <w:bookmarkStart w:id="107" w:name="_Toc463621578"/>
      <w:bookmarkStart w:id="108" w:name="_Toc463864378"/>
      <w:bookmarkStart w:id="109" w:name="_Toc463876954"/>
      <w:bookmarkStart w:id="110" w:name="_Toc463970056"/>
      <w:bookmarkStart w:id="111" w:name="_Toc464116826"/>
    </w:p>
    <w:p w14:paraId="39CB8375" w14:textId="77777777" w:rsidR="00AF690C" w:rsidRDefault="00AF690C" w:rsidP="00AC3F35">
      <w:pPr>
        <w:pStyle w:val="BodyText"/>
        <w:spacing w:after="120"/>
        <w:jc w:val="left"/>
      </w:pPr>
    </w:p>
    <w:bookmarkEnd w:id="105"/>
    <w:bookmarkEnd w:id="106"/>
    <w:bookmarkEnd w:id="107"/>
    <w:bookmarkEnd w:id="108"/>
    <w:bookmarkEnd w:id="109"/>
    <w:bookmarkEnd w:id="110"/>
    <w:bookmarkEnd w:id="111"/>
    <w:p w14:paraId="4F7EF020" w14:textId="77777777" w:rsidR="005B1FC0" w:rsidRDefault="005B1FC0">
      <w:pPr>
        <w:spacing w:after="200" w:line="276" w:lineRule="auto"/>
        <w:rPr>
          <w:rFonts w:asciiTheme="majorHAnsi" w:eastAsia="Times New Roman" w:hAnsiTheme="majorHAnsi" w:cs="Arial"/>
          <w:b/>
          <w:bCs/>
          <w:color w:val="22789A"/>
          <w:kern w:val="32"/>
          <w:sz w:val="32"/>
          <w:szCs w:val="32"/>
        </w:rPr>
      </w:pPr>
      <w:r>
        <w:br w:type="page"/>
      </w:r>
    </w:p>
    <w:p w14:paraId="53CEE68C" w14:textId="77777777" w:rsidR="006422A9" w:rsidRPr="002D2A24" w:rsidRDefault="003578C3" w:rsidP="002D2A24">
      <w:pPr>
        <w:pStyle w:val="Heading1"/>
      </w:pPr>
      <w:bookmarkStart w:id="112" w:name="_Toc483236861"/>
      <w:r w:rsidRPr="002D2A24">
        <w:t>Appropriateness – Policy Intent</w:t>
      </w:r>
      <w:bookmarkEnd w:id="112"/>
    </w:p>
    <w:p w14:paraId="436F6A6B" w14:textId="77777777" w:rsidR="00645BA2" w:rsidRDefault="00645BA2" w:rsidP="00645BA2">
      <w:pPr>
        <w:pStyle w:val="Heading2"/>
      </w:pPr>
      <w:bookmarkStart w:id="113" w:name="_Toc483236862"/>
      <w:r>
        <w:t>Rationale for government intervention</w:t>
      </w:r>
      <w:bookmarkEnd w:id="113"/>
    </w:p>
    <w:p w14:paraId="24525161" w14:textId="77777777" w:rsidR="00B4631F" w:rsidRPr="006F2AFF" w:rsidRDefault="00B4631F" w:rsidP="00645BA2">
      <w:pPr>
        <w:pStyle w:val="BodyText"/>
        <w:jc w:val="left"/>
        <w:rPr>
          <w:b/>
          <w:i/>
        </w:rPr>
      </w:pPr>
      <w:r>
        <w:t>T</w:t>
      </w:r>
      <w:r w:rsidRPr="00824AB1">
        <w:t xml:space="preserve">he </w:t>
      </w:r>
      <w:r w:rsidR="007854FA">
        <w:t xml:space="preserve">former </w:t>
      </w:r>
      <w:r w:rsidRPr="00824AB1">
        <w:t xml:space="preserve">Australian Government considered climate change to be a risk that would intensify if greenhouse gas emissions continued to increase. To address climate change risks the Government </w:t>
      </w:r>
      <w:r w:rsidRPr="00824AB1">
        <w:rPr>
          <w:rStyle w:val="BodyTextChar"/>
        </w:rPr>
        <w:t>committed to reduce carbon pollution by five per cent from 2000 levels by 2020, and by up to 15 or 25 per cent depending on the scale of global action</w:t>
      </w:r>
      <w:r>
        <w:rPr>
          <w:rStyle w:val="BodyTextChar"/>
        </w:rPr>
        <w:t>.</w:t>
      </w:r>
      <w:r>
        <w:rPr>
          <w:rStyle w:val="FootnoteReference"/>
        </w:rPr>
        <w:footnoteReference w:id="7"/>
      </w:r>
    </w:p>
    <w:p w14:paraId="0508CD29" w14:textId="77777777" w:rsidR="00F6089E" w:rsidRDefault="00F6089E" w:rsidP="00F6089E">
      <w:pPr>
        <w:pStyle w:val="BodyText"/>
        <w:jc w:val="left"/>
      </w:pPr>
      <w:r>
        <w:t xml:space="preserve">The Government identified carbon pollution as a form of negative externality caused by household and business activity. </w:t>
      </w:r>
      <w:r w:rsidRPr="008C0E68">
        <w:t xml:space="preserve">Externalities </w:t>
      </w:r>
      <w:r w:rsidR="00E02B65">
        <w:t xml:space="preserve">are a type of market failure that </w:t>
      </w:r>
      <w:r w:rsidRPr="008C0E68">
        <w:t>exist when the price of a good or service does not reflect its full costs or ben</w:t>
      </w:r>
      <w:r>
        <w:t xml:space="preserve">efits. These spillover costs or </w:t>
      </w:r>
      <w:r w:rsidRPr="008C0E68">
        <w:t>benefits ar</w:t>
      </w:r>
      <w:r w:rsidR="00E02B65">
        <w:t>e</w:t>
      </w:r>
      <w:r>
        <w:t xml:space="preserve"> borne by a third party. The Government considered that carbon pollution</w:t>
      </w:r>
      <w:r w:rsidRPr="008C0E68">
        <w:t xml:space="preserve"> </w:t>
      </w:r>
      <w:r>
        <w:t xml:space="preserve">imposes costs on other sectors of the economy that are not factored into the price of goods and services produced. </w:t>
      </w:r>
    </w:p>
    <w:p w14:paraId="3DB345FB" w14:textId="77777777" w:rsidR="00F6089E" w:rsidRDefault="00B4631F" w:rsidP="00645BA2">
      <w:pPr>
        <w:pStyle w:val="BodyText"/>
        <w:jc w:val="left"/>
      </w:pPr>
      <w:r>
        <w:t xml:space="preserve">In order to address this externality and </w:t>
      </w:r>
      <w:r w:rsidRPr="00C044FA">
        <w:t>encourage</w:t>
      </w:r>
      <w:r>
        <w:t xml:space="preserve"> a</w:t>
      </w:r>
      <w:r w:rsidRPr="00C044FA">
        <w:t xml:space="preserve"> reduction in Australia’s </w:t>
      </w:r>
      <w:r w:rsidR="00E02B65">
        <w:t xml:space="preserve">carbon </w:t>
      </w:r>
      <w:r w:rsidRPr="00C044FA">
        <w:t>emissions</w:t>
      </w:r>
      <w:r>
        <w:t xml:space="preserve">, the </w:t>
      </w:r>
      <w:r w:rsidR="004D178D">
        <w:t xml:space="preserve">former </w:t>
      </w:r>
      <w:r>
        <w:t>Government introduced a r</w:t>
      </w:r>
      <w:r w:rsidR="00345ABE">
        <w:t>ange of measures in the 2008</w:t>
      </w:r>
      <w:r w:rsidR="00345ABE">
        <w:rPr>
          <w:rFonts w:ascii="Calibri" w:hAnsi="Calibri"/>
        </w:rPr>
        <w:t>–</w:t>
      </w:r>
      <w:r>
        <w:t xml:space="preserve">09 Budget, including the </w:t>
      </w:r>
      <w:r w:rsidRPr="00532D9C">
        <w:t>Carbon Pollution Reduction Scheme</w:t>
      </w:r>
      <w:r>
        <w:rPr>
          <w:i/>
        </w:rPr>
        <w:t xml:space="preserve"> </w:t>
      </w:r>
      <w:r w:rsidRPr="00217FA7">
        <w:t>(CPRS)</w:t>
      </w:r>
      <w:r>
        <w:t xml:space="preserve">. </w:t>
      </w:r>
      <w:r w:rsidR="00F6089E">
        <w:t>The</w:t>
      </w:r>
      <w:r w:rsidR="00F6089E" w:rsidRPr="00E369C6">
        <w:t xml:space="preserve"> measures </w:t>
      </w:r>
      <w:r w:rsidR="00F6089E">
        <w:t>were designed to:</w:t>
      </w:r>
      <w:r w:rsidR="00F6089E" w:rsidRPr="00E369C6">
        <w:t xml:space="preserve"> demonstrate to Australian business the benefits of capturin</w:t>
      </w:r>
      <w:r w:rsidR="00F6089E">
        <w:t>g efficiencies; reduce Australia's</w:t>
      </w:r>
      <w:r w:rsidR="00F6089E" w:rsidRPr="00E369C6">
        <w:t xml:space="preserve"> emissions</w:t>
      </w:r>
      <w:r w:rsidR="00F6089E">
        <w:t>;</w:t>
      </w:r>
      <w:r w:rsidR="00F6089E" w:rsidRPr="00E369C6">
        <w:t xml:space="preserve"> a</w:t>
      </w:r>
      <w:r w:rsidR="00F6089E">
        <w:t>nd have a positive impact on the</w:t>
      </w:r>
      <w:r w:rsidR="00F6089E" w:rsidRPr="00E369C6">
        <w:t xml:space="preserve"> economy.</w:t>
      </w:r>
      <w:r w:rsidR="00F6089E">
        <w:rPr>
          <w:rStyle w:val="FootnoteReference"/>
        </w:rPr>
        <w:footnoteReference w:id="8"/>
      </w:r>
    </w:p>
    <w:p w14:paraId="21908ED8" w14:textId="77777777" w:rsidR="00944945" w:rsidRDefault="00F6089E" w:rsidP="00645BA2">
      <w:pPr>
        <w:pStyle w:val="BodyText"/>
        <w:jc w:val="left"/>
      </w:pPr>
      <w:r>
        <w:t>Through the CPRS</w:t>
      </w:r>
      <w:r w:rsidR="00B4631F" w:rsidRPr="008E1789">
        <w:t xml:space="preserve">, the </w:t>
      </w:r>
      <w:r w:rsidR="004D178D">
        <w:t>former g</w:t>
      </w:r>
      <w:r w:rsidR="00B4631F" w:rsidRPr="008E1789">
        <w:t>overnment announced that it would introdu</w:t>
      </w:r>
      <w:r w:rsidR="00F30BC2">
        <w:t>ce an ETS</w:t>
      </w:r>
      <w:r w:rsidR="00B4631F" w:rsidRPr="008E1789">
        <w:t>.</w:t>
      </w:r>
      <w:r w:rsidR="004D178D">
        <w:t xml:space="preserve"> The g</w:t>
      </w:r>
      <w:r>
        <w:t>overnment believed the</w:t>
      </w:r>
      <w:r w:rsidR="00B4631F">
        <w:t xml:space="preserve"> </w:t>
      </w:r>
      <w:r>
        <w:t xml:space="preserve">introduction of the </w:t>
      </w:r>
      <w:r w:rsidR="00B4631F">
        <w:t>proposed ETS</w:t>
      </w:r>
      <w:r w:rsidR="00B4631F" w:rsidRPr="006F3001">
        <w:t xml:space="preserve"> would disproportiona</w:t>
      </w:r>
      <w:r w:rsidR="00B4631F">
        <w:t>te</w:t>
      </w:r>
      <w:r w:rsidR="00B4631F" w:rsidRPr="006F3001">
        <w:t>ly aff</w:t>
      </w:r>
      <w:r>
        <w:t>ect local councils and community groups, through a sudden increase in energy prices.</w:t>
      </w:r>
      <w:r w:rsidR="00B4631F" w:rsidRPr="00C044FA">
        <w:t xml:space="preserve"> </w:t>
      </w:r>
      <w:r w:rsidR="007854FA">
        <w:t>I</w:t>
      </w:r>
      <w:r w:rsidR="00B4631F">
        <w:t xml:space="preserve">t </w:t>
      </w:r>
      <w:r w:rsidR="00B4631F" w:rsidRPr="00C044FA">
        <w:t>offer</w:t>
      </w:r>
      <w:r w:rsidR="00B4631F">
        <w:t>ed</w:t>
      </w:r>
      <w:r>
        <w:t xml:space="preserve"> support through the CEEP to help these groups improve their energy efficiency, reduce th</w:t>
      </w:r>
      <w:r w:rsidR="007854FA">
        <w:t>eir energy use, and</w:t>
      </w:r>
      <w:r w:rsidR="00B714F7">
        <w:t xml:space="preserve"> mitigate</w:t>
      </w:r>
      <w:r>
        <w:t xml:space="preserve"> the financial impact of the</w:t>
      </w:r>
      <w:r w:rsidR="000724E8">
        <w:t xml:space="preserve"> introduction of the</w:t>
      </w:r>
      <w:r>
        <w:t xml:space="preserve"> ETS.</w:t>
      </w:r>
    </w:p>
    <w:p w14:paraId="41C4B415" w14:textId="77777777" w:rsidR="00D5095F" w:rsidRPr="00BB61F5" w:rsidRDefault="004D178D" w:rsidP="00BB61F5">
      <w:pPr>
        <w:pStyle w:val="Heading2"/>
        <w:spacing w:before="0" w:after="120"/>
      </w:pPr>
      <w:bookmarkStart w:id="114" w:name="_Toc483236863"/>
      <w:r>
        <w:t>Consistency with g</w:t>
      </w:r>
      <w:r w:rsidR="00D5095F">
        <w:t>overnment priorities</w:t>
      </w:r>
      <w:bookmarkEnd w:id="114"/>
    </w:p>
    <w:p w14:paraId="323D6BA3" w14:textId="77777777" w:rsidR="00652FA3" w:rsidRDefault="00D5095F" w:rsidP="00BB61F5">
      <w:pPr>
        <w:pStyle w:val="BodyText"/>
        <w:spacing w:after="120"/>
        <w:jc w:val="left"/>
      </w:pPr>
      <w:r>
        <w:t xml:space="preserve">In July 2008 the </w:t>
      </w:r>
      <w:r w:rsidRPr="00D5095F">
        <w:t>Wilkins Review</w:t>
      </w:r>
      <w:r w:rsidR="004D178D">
        <w:t xml:space="preserve"> was released to advise the g</w:t>
      </w:r>
      <w:r>
        <w:t xml:space="preserve">overnment on measures to complement an emissions trading scheme. The review recommended the </w:t>
      </w:r>
      <w:r w:rsidR="00107E68">
        <w:t>establishment of a new Clim</w:t>
      </w:r>
      <w:r w:rsidR="00532D9C">
        <w:t xml:space="preserve">ate Change Action Fund. The </w:t>
      </w:r>
      <w:r w:rsidR="00107E68">
        <w:t>fund would facilitate the restructuring of business inputs (labour and capital) following the introduction of a carbon price. The fund would have two components: information provision and support to facilitate business restructuring; and subsidies in the form of tax rebates or grants.</w:t>
      </w:r>
      <w:r w:rsidR="00107E68">
        <w:rPr>
          <w:rStyle w:val="FootnoteReference"/>
        </w:rPr>
        <w:footnoteReference w:id="9"/>
      </w:r>
      <w:r w:rsidR="007854FA">
        <w:t xml:space="preserve"> The r</w:t>
      </w:r>
      <w:r w:rsidR="00107E68" w:rsidRPr="00735F95">
        <w:t xml:space="preserve">eview </w:t>
      </w:r>
      <w:r w:rsidR="00107E68">
        <w:t xml:space="preserve">supported the strategy of providing financial assistance to business in the short to medium term, as an incentive to adjust their operations to be more energy efficient. </w:t>
      </w:r>
      <w:r>
        <w:t xml:space="preserve">The CPRS was one of a suite of measures designed to demonstrate to Australian business the benefits of capturing production efficiencies and </w:t>
      </w:r>
      <w:r w:rsidR="00735F95">
        <w:t xml:space="preserve">to </w:t>
      </w:r>
      <w:r>
        <w:t>reduce Australia’s</w:t>
      </w:r>
      <w:r w:rsidR="00735F95">
        <w:t xml:space="preserve"> carbon</w:t>
      </w:r>
      <w:r>
        <w:t xml:space="preserve"> emissions.</w:t>
      </w:r>
    </w:p>
    <w:p w14:paraId="7957162A" w14:textId="77777777" w:rsidR="00D5095F" w:rsidRDefault="004D178D" w:rsidP="00BB61F5">
      <w:pPr>
        <w:pStyle w:val="BodyText"/>
        <w:spacing w:after="120"/>
        <w:jc w:val="left"/>
      </w:pPr>
      <w:r>
        <w:t>The g</w:t>
      </w:r>
      <w:r w:rsidR="00D5095F">
        <w:t xml:space="preserve">overnment considered </w:t>
      </w:r>
      <w:r w:rsidR="00652FA3">
        <w:t>local councils and community gro</w:t>
      </w:r>
      <w:r w:rsidR="007854FA">
        <w:t>ups to be even more vulnerable than commercial businesses</w:t>
      </w:r>
      <w:r w:rsidR="00652FA3">
        <w:t xml:space="preserve"> to the financial impact of the introduction of the ETS, due to their limited fi</w:t>
      </w:r>
      <w:r w:rsidR="007854FA">
        <w:t>nancial resources. It therefore</w:t>
      </w:r>
      <w:r w:rsidR="00652FA3">
        <w:t xml:space="preserve"> announced the Low Carbon Communities Initiative (including the CEEP) to assist these groups to reduce their energy use,</w:t>
      </w:r>
      <w:r w:rsidR="00B714F7">
        <w:t xml:space="preserve"> and thereby mitigate</w:t>
      </w:r>
      <w:r w:rsidR="00652FA3">
        <w:t xml:space="preserve"> the expected financial impact of the planned ETS.</w:t>
      </w:r>
    </w:p>
    <w:p w14:paraId="1CFA542D" w14:textId="77777777" w:rsidR="00D5095F" w:rsidRDefault="00345ABE" w:rsidP="00981B16">
      <w:pPr>
        <w:pStyle w:val="BodyText"/>
        <w:spacing w:after="100"/>
        <w:jc w:val="left"/>
      </w:pPr>
      <w:r>
        <w:t>In the 2009</w:t>
      </w:r>
      <w:r>
        <w:rPr>
          <w:rFonts w:ascii="Calibri" w:hAnsi="Calibri"/>
        </w:rPr>
        <w:t>–</w:t>
      </w:r>
      <w:r w:rsidR="004D178D">
        <w:t>10 Budget the g</w:t>
      </w:r>
      <w:r w:rsidR="00D5095F">
        <w:t xml:space="preserve">overnment announced the deferral of the CPRS, and in July 2011 it was replaced by </w:t>
      </w:r>
      <w:r w:rsidR="00D5095F" w:rsidRPr="00652FA3">
        <w:rPr>
          <w:i/>
        </w:rPr>
        <w:t>Securing a Clean Energy Future</w:t>
      </w:r>
      <w:r w:rsidR="00D5095F">
        <w:t xml:space="preserve"> (including a carbon price an</w:t>
      </w:r>
      <w:r w:rsidR="002C1CAC">
        <w:t>d later ETS</w:t>
      </w:r>
      <w:r w:rsidR="00D5095F">
        <w:t xml:space="preserve">). </w:t>
      </w:r>
      <w:r w:rsidR="00D5095F" w:rsidRPr="00652FA3">
        <w:rPr>
          <w:i/>
        </w:rPr>
        <w:t>Securing a Clean Energy Future</w:t>
      </w:r>
      <w:r w:rsidR="002C1CAC">
        <w:t xml:space="preserve"> </w:t>
      </w:r>
      <w:r w:rsidR="00981B16">
        <w:t>included</w:t>
      </w:r>
      <w:r w:rsidR="00D5095F">
        <w:t xml:space="preserve"> as</w:t>
      </w:r>
      <w:r w:rsidR="00981B16">
        <w:t>sistance for</w:t>
      </w:r>
      <w:r w:rsidR="002C1CAC">
        <w:t xml:space="preserve"> business</w:t>
      </w:r>
      <w:r w:rsidR="00981B16">
        <w:t>es</w:t>
      </w:r>
      <w:r w:rsidR="002C1CAC">
        <w:t xml:space="preserve"> to adjust to</w:t>
      </w:r>
      <w:r w:rsidR="00D5095F">
        <w:t xml:space="preserve"> energy efficient technology. </w:t>
      </w:r>
    </w:p>
    <w:p w14:paraId="4A7C1332" w14:textId="77777777" w:rsidR="00D5095F" w:rsidRPr="006545FE" w:rsidRDefault="00D5095F" w:rsidP="00981B16">
      <w:pPr>
        <w:pStyle w:val="BodyText"/>
        <w:spacing w:after="80"/>
        <w:jc w:val="left"/>
      </w:pPr>
      <w:r>
        <w:t>While there were several c</w:t>
      </w:r>
      <w:r w:rsidR="004D178D">
        <w:t>hanges to the direction of the g</w:t>
      </w:r>
      <w:r>
        <w:t xml:space="preserve">overnment’s </w:t>
      </w:r>
      <w:r w:rsidRPr="006545FE">
        <w:t>cl</w:t>
      </w:r>
      <w:r>
        <w:t>imate change policies, there was</w:t>
      </w:r>
      <w:r w:rsidRPr="006545FE">
        <w:t xml:space="preserve"> c</w:t>
      </w:r>
      <w:r>
        <w:t xml:space="preserve">onsistency in the broad objectives: </w:t>
      </w:r>
    </w:p>
    <w:p w14:paraId="14F93EA2" w14:textId="77777777" w:rsidR="00D5095F" w:rsidRPr="00D5095F" w:rsidRDefault="007854FA" w:rsidP="00BB61F5">
      <w:pPr>
        <w:pStyle w:val="BodyText"/>
        <w:numPr>
          <w:ilvl w:val="0"/>
          <w:numId w:val="21"/>
        </w:numPr>
        <w:spacing w:after="0"/>
        <w:ind w:left="714" w:hanging="357"/>
        <w:jc w:val="left"/>
      </w:pPr>
      <w:r>
        <w:t>T</w:t>
      </w:r>
      <w:r w:rsidR="00D5095F" w:rsidRPr="00D5095F">
        <w:t>o reduce Australia’s greenho</w:t>
      </w:r>
      <w:r>
        <w:t>use gas emissions at least cost</w:t>
      </w:r>
    </w:p>
    <w:p w14:paraId="38E47BAF" w14:textId="77777777" w:rsidR="00D5095F" w:rsidRPr="00D5095F" w:rsidRDefault="007854FA" w:rsidP="00BB61F5">
      <w:pPr>
        <w:pStyle w:val="BodyText"/>
        <w:numPr>
          <w:ilvl w:val="0"/>
          <w:numId w:val="21"/>
        </w:numPr>
        <w:spacing w:after="0"/>
        <w:ind w:left="714" w:hanging="357"/>
        <w:jc w:val="left"/>
      </w:pPr>
      <w:r>
        <w:t>T</w:t>
      </w:r>
      <w:r w:rsidR="00D5095F" w:rsidRPr="00D5095F">
        <w:t>o adapt to unavoidabl</w:t>
      </w:r>
      <w:r>
        <w:t>e climate change (adaption)</w:t>
      </w:r>
    </w:p>
    <w:p w14:paraId="3069B035" w14:textId="77777777" w:rsidR="00652FA3" w:rsidRPr="00D5095F" w:rsidRDefault="007854FA" w:rsidP="00BB61F5">
      <w:pPr>
        <w:pStyle w:val="BodyText"/>
        <w:numPr>
          <w:ilvl w:val="0"/>
          <w:numId w:val="21"/>
        </w:numPr>
        <w:spacing w:after="120"/>
        <w:ind w:left="714" w:hanging="357"/>
        <w:jc w:val="left"/>
      </w:pPr>
      <w:r>
        <w:t>T</w:t>
      </w:r>
      <w:r w:rsidR="00D5095F" w:rsidRPr="00D5095F">
        <w:t xml:space="preserve">o help shape a </w:t>
      </w:r>
      <w:r>
        <w:t>global solution (international)</w:t>
      </w:r>
      <w:r w:rsidR="00D5095F" w:rsidRPr="00652FA3">
        <w:rPr>
          <w:rStyle w:val="FootnoteReference"/>
        </w:rPr>
        <w:footnoteReference w:id="10"/>
      </w:r>
    </w:p>
    <w:p w14:paraId="6199AD9B" w14:textId="77777777" w:rsidR="00D5095F" w:rsidRDefault="00D5095F" w:rsidP="00BB61F5">
      <w:pPr>
        <w:pStyle w:val="BodyText"/>
        <w:spacing w:after="120"/>
        <w:jc w:val="left"/>
      </w:pPr>
      <w:r>
        <w:t xml:space="preserve">The </w:t>
      </w:r>
      <w:r w:rsidR="00652FA3">
        <w:t>CEEP</w:t>
      </w:r>
      <w:r w:rsidRPr="006545FE">
        <w:t xml:space="preserve"> was consistent with the strategic</w:t>
      </w:r>
      <w:r w:rsidR="004D178D">
        <w:t xml:space="preserve"> objectives of the former g</w:t>
      </w:r>
      <w:r>
        <w:t xml:space="preserve">overnment </w:t>
      </w:r>
      <w:r w:rsidR="00652FA3">
        <w:t xml:space="preserve">when the </w:t>
      </w:r>
      <w:r w:rsidR="00835A86">
        <w:t>programme</w:t>
      </w:r>
      <w:r w:rsidR="00652FA3">
        <w:t xml:space="preserve"> was introduced</w:t>
      </w:r>
      <w:r w:rsidR="009F3188">
        <w:t xml:space="preserve"> in 2011</w:t>
      </w:r>
      <w:r>
        <w:t xml:space="preserve">. It was also consistent with the objectives of the </w:t>
      </w:r>
      <w:r w:rsidR="004D178D">
        <w:t>former g</w:t>
      </w:r>
      <w:r>
        <w:t xml:space="preserve">overnment’s 2011 strategy </w:t>
      </w:r>
      <w:r w:rsidRPr="009F3188">
        <w:rPr>
          <w:i/>
        </w:rPr>
        <w:t>Securing a Clean Energy Future</w:t>
      </w:r>
      <w:r w:rsidRPr="00D5095F">
        <w:t>.</w:t>
      </w:r>
      <w:r w:rsidR="004D178D">
        <w:t xml:space="preserve"> However, the former government</w:t>
      </w:r>
      <w:r w:rsidR="00652FA3">
        <w:t xml:space="preserve"> envisaged that </w:t>
      </w:r>
      <w:r w:rsidR="00835A86">
        <w:t>programme</w:t>
      </w:r>
      <w:r w:rsidR="00652FA3">
        <w:t>s</w:t>
      </w:r>
      <w:r w:rsidR="00150FDA">
        <w:t xml:space="preserve"> like the CEEP</w:t>
      </w:r>
      <w:r w:rsidR="007854FA">
        <w:t xml:space="preserve"> would be a short to medium-</w:t>
      </w:r>
      <w:r>
        <w:t>term measure until businesses</w:t>
      </w:r>
      <w:r w:rsidR="00107E68">
        <w:t xml:space="preserve"> (including</w:t>
      </w:r>
      <w:r w:rsidR="00150FDA">
        <w:t xml:space="preserve"> local councils and community groups)</w:t>
      </w:r>
      <w:r>
        <w:t xml:space="preserve"> adjust</w:t>
      </w:r>
      <w:r w:rsidR="00150FDA">
        <w:t>ed</w:t>
      </w:r>
      <w:r>
        <w:t xml:space="preserve"> to a new emissions trading scheme (or carbon tax).</w:t>
      </w:r>
    </w:p>
    <w:p w14:paraId="5FA5F0AB" w14:textId="77777777" w:rsidR="009F3188" w:rsidRDefault="004D178D" w:rsidP="009F3188">
      <w:pPr>
        <w:pStyle w:val="BodyText"/>
        <w:spacing w:after="120"/>
        <w:jc w:val="left"/>
      </w:pPr>
      <w:r>
        <w:t xml:space="preserve">The current government’s </w:t>
      </w:r>
      <w:r w:rsidR="00373490">
        <w:t>Climate Action Plan centres on</w:t>
      </w:r>
      <w:r w:rsidR="00373490" w:rsidRPr="00373490">
        <w:t xml:space="preserve"> the Emissions Reduction Fund</w:t>
      </w:r>
      <w:r w:rsidR="00373490">
        <w:t xml:space="preserve"> (ERF)</w:t>
      </w:r>
      <w:r w:rsidR="00373490" w:rsidRPr="00373490">
        <w:t xml:space="preserve"> which supports Australian businesses and </w:t>
      </w:r>
      <w:r w:rsidR="00373490">
        <w:t xml:space="preserve">local </w:t>
      </w:r>
      <w:r w:rsidR="00373490" w:rsidRPr="00373490">
        <w:t xml:space="preserve">councils to take practical, direct action to reduce emissions. </w:t>
      </w:r>
      <w:r w:rsidR="00373490">
        <w:t>E</w:t>
      </w:r>
      <w:r w:rsidR="00373490" w:rsidRPr="00373490">
        <w:t>nergy efficiency improvement</w:t>
      </w:r>
      <w:r w:rsidR="00373490">
        <w:t>s are</w:t>
      </w:r>
      <w:r w:rsidR="00373490" w:rsidRPr="00373490">
        <w:t xml:space="preserve"> one of the seven emission reduction method</w:t>
      </w:r>
      <w:r w:rsidR="00373490">
        <w:t>s</w:t>
      </w:r>
      <w:r w:rsidR="00373490" w:rsidRPr="00373490">
        <w:t xml:space="preserve"> liste</w:t>
      </w:r>
      <w:r w:rsidR="00373490">
        <w:t xml:space="preserve">d in the ERF, including the upgrade of </w:t>
      </w:r>
      <w:r w:rsidR="00373490" w:rsidRPr="00373490">
        <w:t>commercial and public l</w:t>
      </w:r>
      <w:r w:rsidR="00532D9C">
        <w:t>ighting,</w:t>
      </w:r>
      <w:r w:rsidR="00373490" w:rsidRPr="00373490">
        <w:t xml:space="preserve"> refriger</w:t>
      </w:r>
      <w:r w:rsidR="00373490">
        <w:t xml:space="preserve">ation or </w:t>
      </w:r>
      <w:r w:rsidR="00532D9C">
        <w:t>ventilation fans,</w:t>
      </w:r>
      <w:r w:rsidR="00373490">
        <w:t xml:space="preserve"> and </w:t>
      </w:r>
      <w:r w:rsidR="00373490" w:rsidRPr="00373490">
        <w:t>commercial building energy efficiency.</w:t>
      </w:r>
      <w:r w:rsidR="007854FA">
        <w:t xml:space="preserve"> </w:t>
      </w:r>
    </w:p>
    <w:p w14:paraId="7C0EB665" w14:textId="77777777" w:rsidR="00F40689" w:rsidRPr="00D5095F" w:rsidRDefault="009F3188" w:rsidP="009F3188">
      <w:pPr>
        <w:pStyle w:val="BodyText"/>
        <w:spacing w:after="100"/>
        <w:jc w:val="left"/>
      </w:pPr>
      <w:r w:rsidRPr="00973FDC">
        <w:t>In December 2015 the</w:t>
      </w:r>
      <w:r>
        <w:t xml:space="preserve"> current</w:t>
      </w:r>
      <w:r w:rsidRPr="00973FDC">
        <w:t xml:space="preserve"> government released the </w:t>
      </w:r>
      <w:r w:rsidRPr="00973FDC">
        <w:rPr>
          <w:i/>
        </w:rPr>
        <w:t xml:space="preserve">National Energy Productivity Plan </w:t>
      </w:r>
      <w:r w:rsidRPr="00973FDC">
        <w:t>(NE</w:t>
      </w:r>
      <w:r w:rsidR="00F4059A">
        <w:t>P</w:t>
      </w:r>
      <w:r w:rsidRPr="00973FDC">
        <w:t>P).</w:t>
      </w:r>
      <w:r>
        <w:t xml:space="preserve"> The NE</w:t>
      </w:r>
      <w:r w:rsidR="00F4059A">
        <w:t>P</w:t>
      </w:r>
      <w:r>
        <w:t>P provides a framework of new and existing measures designed to coordinate efforts and accelerate improvement to deliver a 40 per cent improvement in Australia’s energy productivity. The plan includes activities to improve the energy productivity in government operations.</w:t>
      </w:r>
      <w:r w:rsidRPr="00973FDC">
        <w:rPr>
          <w:rStyle w:val="FootnoteReference"/>
        </w:rPr>
        <w:t xml:space="preserve"> </w:t>
      </w:r>
      <w:r>
        <w:rPr>
          <w:rStyle w:val="FootnoteReference"/>
        </w:rPr>
        <w:footnoteReference w:id="11"/>
      </w:r>
      <w:r>
        <w:t xml:space="preserve"> </w:t>
      </w:r>
      <w:r w:rsidR="007854FA">
        <w:t>Thus t</w:t>
      </w:r>
      <w:r w:rsidR="004D178D">
        <w:t>he CEEP is consistent with the current g</w:t>
      </w:r>
      <w:r w:rsidR="00373490">
        <w:t>overnment’s</w:t>
      </w:r>
      <w:r>
        <w:t xml:space="preserve"> policy objectives and approach to reducing carbon emissions.</w:t>
      </w:r>
    </w:p>
    <w:p w14:paraId="5B783E92" w14:textId="77777777" w:rsidR="00861FE2" w:rsidRPr="002D2A24" w:rsidRDefault="003578C3" w:rsidP="002D2A24">
      <w:pPr>
        <w:pStyle w:val="Heading2"/>
      </w:pPr>
      <w:bookmarkStart w:id="115" w:name="_Toc483236864"/>
      <w:r w:rsidRPr="002D2A24">
        <w:t>Conclusion and findings</w:t>
      </w:r>
      <w:bookmarkEnd w:id="115"/>
    </w:p>
    <w:p w14:paraId="2F0546E0" w14:textId="77777777" w:rsidR="00800A39" w:rsidRDefault="008269CC" w:rsidP="00DF2ED1">
      <w:pPr>
        <w:pStyle w:val="BodyText"/>
        <w:spacing w:after="120"/>
        <w:jc w:val="left"/>
      </w:pPr>
      <w:r>
        <w:t>The</w:t>
      </w:r>
      <w:r w:rsidRPr="004E5F44">
        <w:t xml:space="preserve"> ETS</w:t>
      </w:r>
      <w:r>
        <w:t xml:space="preserve"> </w:t>
      </w:r>
      <w:r w:rsidR="00CB0999">
        <w:t xml:space="preserve">was not implemented as planned. </w:t>
      </w:r>
      <w:r>
        <w:t>However, the CEEP projects provided a significant improvement in energy efficiency and a large reduction in energy use by local councils and community groups (refer to Section 5).</w:t>
      </w:r>
      <w:r w:rsidRPr="004E5F44">
        <w:t xml:space="preserve"> </w:t>
      </w:r>
      <w:r>
        <w:t>As most of the infrastructure projects h</w:t>
      </w:r>
      <w:r w:rsidR="00345ABE">
        <w:t>ave an expected life span of 10</w:t>
      </w:r>
      <w:r w:rsidR="00345ABE">
        <w:rPr>
          <w:rFonts w:ascii="Calibri" w:hAnsi="Calibri"/>
        </w:rPr>
        <w:t>–</w:t>
      </w:r>
      <w:r>
        <w:t>20 years, the grant recipients will continue to benefit from these financial savings for many years. The reduction in carbon pollution will also continue for many years, assisting Australia in our efforts to reach our carbon pollution reduction goal by 2020.</w:t>
      </w:r>
    </w:p>
    <w:p w14:paraId="787CBF10" w14:textId="77777777" w:rsidR="005D0821" w:rsidRDefault="005D0821" w:rsidP="005D0821">
      <w:pPr>
        <w:pStyle w:val="BodyText"/>
        <w:jc w:val="left"/>
      </w:pPr>
      <w:r>
        <w:t>The CEEP</w:t>
      </w:r>
      <w:r w:rsidRPr="006545FE">
        <w:t xml:space="preserve"> w</w:t>
      </w:r>
      <w:r>
        <w:t xml:space="preserve">as consistent with the objectives of the former government when the programme was introduced in 2011. It was also consistent with the objectives of the former government’s 2011 strategy </w:t>
      </w:r>
      <w:r w:rsidRPr="00A17647">
        <w:rPr>
          <w:i/>
        </w:rPr>
        <w:t>Securing a Clean Energy Future.</w:t>
      </w:r>
      <w:r>
        <w:t xml:space="preserve"> The current government’s Climate Action Plan centres on</w:t>
      </w:r>
      <w:r w:rsidRPr="00373490">
        <w:t xml:space="preserve"> the Emissions Reduction Fund</w:t>
      </w:r>
      <w:r>
        <w:t xml:space="preserve"> (ERF)</w:t>
      </w:r>
      <w:r w:rsidRPr="00373490">
        <w:t xml:space="preserve"> which supports Australian busin</w:t>
      </w:r>
      <w:r>
        <w:t>ess</w:t>
      </w:r>
      <w:r w:rsidRPr="00373490">
        <w:t xml:space="preserve"> and </w:t>
      </w:r>
      <w:r>
        <w:t xml:space="preserve">local </w:t>
      </w:r>
      <w:r w:rsidRPr="00373490">
        <w:t>councils to take practical, direct action to reduce emissions.</w:t>
      </w:r>
      <w:r>
        <w:t xml:space="preserve"> The </w:t>
      </w:r>
      <w:r w:rsidRPr="00973FDC">
        <w:rPr>
          <w:i/>
        </w:rPr>
        <w:t xml:space="preserve">National Energy Productivity Plan </w:t>
      </w:r>
      <w:r w:rsidRPr="00973FDC">
        <w:t>(NEEP)</w:t>
      </w:r>
      <w:r>
        <w:t xml:space="preserve"> also supports activities to improve energy productivity in government operations</w:t>
      </w:r>
      <w:r w:rsidRPr="00973FDC">
        <w:t>.</w:t>
      </w:r>
      <w:r>
        <w:t xml:space="preserve"> Thus the CEEP is consistent with the current government’s policy objectives.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dings Table"/>
        <w:tblDescription w:val="1. The CEEP was appropriately designed, at the time it was introduced, to mitigate the financial impact of the introduction of an ETS on local councils and community groups. Despite the ETS not being implemented, the CEEP projects will continue to deliver financial benefits to grant recipients, and environmental benefits to Australia.&#10;2.The CEEP has been consistent with the strategic objectives of the Australian Government since the programme was introduced in 2011. In particular, it is consistent with the current government’s programme objectives and approach, through the Emissions Reduction Fund and the National Energy Productivity Plan.&#10;"/>
      </w:tblPr>
      <w:tblGrid>
        <w:gridCol w:w="562"/>
        <w:gridCol w:w="6322"/>
      </w:tblGrid>
      <w:tr w:rsidR="00AE7591" w14:paraId="6943584A" w14:textId="77777777" w:rsidTr="000A359E">
        <w:trPr>
          <w:tblHeader/>
        </w:trPr>
        <w:tc>
          <w:tcPr>
            <w:tcW w:w="6884" w:type="dxa"/>
            <w:gridSpan w:val="2"/>
            <w:shd w:val="clear" w:color="auto" w:fill="22789A" w:themeFill="accent3"/>
          </w:tcPr>
          <w:p w14:paraId="64BAB1C9" w14:textId="77777777" w:rsidR="00AE7591" w:rsidRDefault="00AE7591" w:rsidP="00AE7591">
            <w:pPr>
              <w:pStyle w:val="Tableheader"/>
            </w:pPr>
            <w:r w:rsidRPr="002D2A24">
              <w:rPr>
                <w:rFonts w:eastAsia="Calibri"/>
              </w:rPr>
              <w:t>FINDINGS</w:t>
            </w:r>
          </w:p>
        </w:tc>
      </w:tr>
      <w:tr w:rsidR="00AE7591" w14:paraId="496AD014" w14:textId="77777777" w:rsidTr="00AE7591">
        <w:tc>
          <w:tcPr>
            <w:tcW w:w="562" w:type="dxa"/>
            <w:shd w:val="clear" w:color="auto" w:fill="C4E8EB" w:themeFill="accent2" w:themeFillTint="99"/>
          </w:tcPr>
          <w:p w14:paraId="579EFAC7" w14:textId="77777777" w:rsidR="00AE7591" w:rsidRDefault="00AE7591" w:rsidP="00AE7591">
            <w:pPr>
              <w:pStyle w:val="Tabletext"/>
              <w:rPr>
                <w:rFonts w:eastAsia="Calibri"/>
              </w:rPr>
            </w:pPr>
            <w:r>
              <w:rPr>
                <w:rFonts w:eastAsia="Calibri"/>
              </w:rPr>
              <w:t>1</w:t>
            </w:r>
          </w:p>
          <w:p w14:paraId="090793B7" w14:textId="77777777" w:rsidR="00AE7591" w:rsidRDefault="00AE7591" w:rsidP="00AE7591">
            <w:pPr>
              <w:pStyle w:val="BodyText"/>
              <w:jc w:val="left"/>
            </w:pPr>
          </w:p>
        </w:tc>
        <w:tc>
          <w:tcPr>
            <w:tcW w:w="6322" w:type="dxa"/>
            <w:shd w:val="clear" w:color="auto" w:fill="C4E8EB" w:themeFill="accent2" w:themeFillTint="99"/>
            <w:vAlign w:val="center"/>
          </w:tcPr>
          <w:p w14:paraId="02BA8AC8" w14:textId="77777777" w:rsidR="00AE7591" w:rsidRDefault="00AE7591" w:rsidP="00AE7591">
            <w:pPr>
              <w:pStyle w:val="BodyText"/>
              <w:jc w:val="left"/>
            </w:pPr>
            <w:r w:rsidRPr="00A15E4A">
              <w:rPr>
                <w:rFonts w:eastAsia="Calibri"/>
                <w:szCs w:val="20"/>
              </w:rPr>
              <w:t xml:space="preserve">The CEEP was appropriately designed, at the time </w:t>
            </w:r>
            <w:r>
              <w:rPr>
                <w:rFonts w:eastAsia="Calibri"/>
                <w:szCs w:val="20"/>
              </w:rPr>
              <w:t>it was introduced, to mitigate</w:t>
            </w:r>
            <w:r w:rsidRPr="00A15E4A">
              <w:rPr>
                <w:rFonts w:eastAsia="Calibri"/>
                <w:szCs w:val="20"/>
              </w:rPr>
              <w:t xml:space="preserve"> the financial impact of the introduction of an ETS on local councils and community groups. Despite the ETS not being implemented, the CEEP projects will continue to deliver financial benefits to grant recipients, and environmental benefits to Australia.</w:t>
            </w:r>
          </w:p>
        </w:tc>
      </w:tr>
      <w:tr w:rsidR="00AE7591" w14:paraId="0D866FD6" w14:textId="77777777" w:rsidTr="00AE7591">
        <w:tc>
          <w:tcPr>
            <w:tcW w:w="562" w:type="dxa"/>
            <w:shd w:val="clear" w:color="auto" w:fill="C4E8EB" w:themeFill="accent2" w:themeFillTint="99"/>
          </w:tcPr>
          <w:p w14:paraId="21BD7CAA" w14:textId="77777777" w:rsidR="00AE7591" w:rsidRDefault="00AE7591" w:rsidP="00AE7591">
            <w:pPr>
              <w:pStyle w:val="BodyText"/>
              <w:jc w:val="left"/>
            </w:pPr>
            <w:r>
              <w:rPr>
                <w:rFonts w:eastAsia="Calibri"/>
              </w:rPr>
              <w:t>2.</w:t>
            </w:r>
          </w:p>
        </w:tc>
        <w:tc>
          <w:tcPr>
            <w:tcW w:w="6322" w:type="dxa"/>
            <w:shd w:val="clear" w:color="auto" w:fill="C4E8EB" w:themeFill="accent2" w:themeFillTint="99"/>
            <w:vAlign w:val="center"/>
          </w:tcPr>
          <w:p w14:paraId="7D6457BA" w14:textId="77777777" w:rsidR="00AE7591" w:rsidRDefault="00AE7591" w:rsidP="00AE7591">
            <w:pPr>
              <w:pStyle w:val="BodyText"/>
              <w:jc w:val="left"/>
            </w:pPr>
            <w:r w:rsidRPr="00A15E4A">
              <w:rPr>
                <w:rFonts w:eastAsia="Calibri"/>
                <w:szCs w:val="20"/>
              </w:rPr>
              <w:t xml:space="preserve">The CEEP </w:t>
            </w:r>
            <w:r>
              <w:rPr>
                <w:rFonts w:eastAsia="Calibri"/>
                <w:szCs w:val="20"/>
              </w:rPr>
              <w:t>has been</w:t>
            </w:r>
            <w:r w:rsidRPr="00A15E4A">
              <w:rPr>
                <w:rFonts w:eastAsia="Calibri"/>
                <w:szCs w:val="20"/>
              </w:rPr>
              <w:t xml:space="preserve"> consistent with the strategi</w:t>
            </w:r>
            <w:r>
              <w:rPr>
                <w:rFonts w:eastAsia="Calibri"/>
                <w:szCs w:val="20"/>
              </w:rPr>
              <w:t xml:space="preserve">c objectives of the </w:t>
            </w:r>
            <w:r w:rsidRPr="00A15E4A">
              <w:rPr>
                <w:rFonts w:eastAsia="Calibri"/>
                <w:szCs w:val="20"/>
              </w:rPr>
              <w:t>Australian Government</w:t>
            </w:r>
            <w:r>
              <w:rPr>
                <w:rFonts w:eastAsia="Calibri"/>
                <w:szCs w:val="20"/>
              </w:rPr>
              <w:t xml:space="preserve"> since the programme was introduced in 2011</w:t>
            </w:r>
            <w:r w:rsidRPr="00A15E4A">
              <w:rPr>
                <w:rFonts w:eastAsia="Calibri"/>
                <w:szCs w:val="20"/>
              </w:rPr>
              <w:t xml:space="preserve">. </w:t>
            </w:r>
            <w:r>
              <w:rPr>
                <w:rFonts w:eastAsia="Calibri"/>
                <w:szCs w:val="20"/>
              </w:rPr>
              <w:t>In particular, it</w:t>
            </w:r>
            <w:r>
              <w:rPr>
                <w:szCs w:val="20"/>
              </w:rPr>
              <w:t xml:space="preserve"> is consistent with the current government’s programme</w:t>
            </w:r>
            <w:r w:rsidRPr="00A15E4A">
              <w:rPr>
                <w:szCs w:val="20"/>
              </w:rPr>
              <w:t xml:space="preserve"> objectives and approach, throu</w:t>
            </w:r>
            <w:r>
              <w:rPr>
                <w:szCs w:val="20"/>
              </w:rPr>
              <w:t>gh the Emissions Reduction Fund and the National Energy Productivity Plan.</w:t>
            </w:r>
          </w:p>
        </w:tc>
      </w:tr>
    </w:tbl>
    <w:p w14:paraId="797D228E" w14:textId="77777777" w:rsidR="003578C3" w:rsidRPr="002D2A24" w:rsidRDefault="00AE7591" w:rsidP="00AE7591">
      <w:pPr>
        <w:pStyle w:val="Heading1"/>
      </w:pPr>
      <w:bookmarkStart w:id="116" w:name="_Toc463621589"/>
      <w:bookmarkStart w:id="117" w:name="_Toc463864389"/>
      <w:bookmarkStart w:id="118" w:name="_Toc463876965"/>
      <w:bookmarkStart w:id="119" w:name="_Toc463970067"/>
      <w:bookmarkStart w:id="120" w:name="_Toc464116836"/>
      <w:bookmarkEnd w:id="116"/>
      <w:bookmarkEnd w:id="117"/>
      <w:bookmarkEnd w:id="118"/>
      <w:bookmarkEnd w:id="119"/>
      <w:bookmarkEnd w:id="120"/>
      <w:r>
        <w:br w:type="page"/>
      </w:r>
      <w:bookmarkStart w:id="121" w:name="_Toc483236865"/>
      <w:r w:rsidR="003578C3" w:rsidRPr="002D2A24">
        <w:t>Effectiveness</w:t>
      </w:r>
      <w:r w:rsidR="00AD03B0" w:rsidRPr="002D2A24">
        <w:t xml:space="preserve"> – </w:t>
      </w:r>
      <w:r w:rsidR="00835A86" w:rsidRPr="002D2A24">
        <w:t>Programme</w:t>
      </w:r>
      <w:r w:rsidR="00AD03B0" w:rsidRPr="002D2A24">
        <w:t xml:space="preserve"> Impact</w:t>
      </w:r>
      <w:bookmarkEnd w:id="121"/>
    </w:p>
    <w:p w14:paraId="50A39C2B" w14:textId="77777777" w:rsidR="009A291B" w:rsidRDefault="009A291B" w:rsidP="009A291B">
      <w:pPr>
        <w:pStyle w:val="BodyText"/>
        <w:jc w:val="left"/>
      </w:pPr>
      <w:r>
        <w:t>As discussed in Section 3, the policy objective of the CEEP was to assist local councils and community organisations to adjust to the forecast increase in energy prices following the implementation of an ETS. It expected to do this by improving the energy efficiency of local council</w:t>
      </w:r>
      <w:r w:rsidR="000A51CC">
        <w:t xml:space="preserve"> </w:t>
      </w:r>
      <w:r>
        <w:t>and c</w:t>
      </w:r>
      <w:r w:rsidR="000A51CC">
        <w:t>ommunity facilities</w:t>
      </w:r>
      <w:r>
        <w:t xml:space="preserve">, thereby reducing their energy costs. The CEEP also aimed to demonstrate the benefits of energy efficiency upgrades to the broader community. </w:t>
      </w:r>
    </w:p>
    <w:p w14:paraId="2FAAFDC1" w14:textId="3CA8D6BF" w:rsidR="00387E3B" w:rsidRDefault="00387E3B" w:rsidP="00677378">
      <w:pPr>
        <w:pStyle w:val="BodyText"/>
        <w:spacing w:after="240"/>
        <w:jc w:val="left"/>
      </w:pPr>
      <w:r>
        <w:t xml:space="preserve">Over the life of the </w:t>
      </w:r>
      <w:r w:rsidR="00835A86">
        <w:t>programme</w:t>
      </w:r>
      <w:r>
        <w:t xml:space="preserve">, </w:t>
      </w:r>
      <w:r w:rsidR="00AC533D">
        <w:t>171</w:t>
      </w:r>
      <w:r w:rsidRPr="00A325F4">
        <w:t xml:space="preserve"> grants were awarded tota</w:t>
      </w:r>
      <w:r w:rsidR="00AC533D">
        <w:t>lling $113.3</w:t>
      </w:r>
      <w:r w:rsidR="00AF09E7">
        <w:t xml:space="preserve"> million.</w:t>
      </w:r>
      <w:r w:rsidR="00164071" w:rsidRPr="00164071">
        <w:t xml:space="preserve"> </w:t>
      </w:r>
      <w:r w:rsidR="00164071">
        <w:t xml:space="preserve">Seven projects were terminated and </w:t>
      </w:r>
      <w:r w:rsidR="00164071" w:rsidRPr="00164071">
        <w:rPr>
          <w:bCs/>
        </w:rPr>
        <w:t>11</w:t>
      </w:r>
      <w:r w:rsidR="00164071">
        <w:t xml:space="preserve"> were withdrawn before funding agreements were executed, leaving 153 completed projects and a total of </w:t>
      </w:r>
      <w:r w:rsidR="00164071" w:rsidRPr="00164071">
        <w:rPr>
          <w:bCs/>
        </w:rPr>
        <w:t>$</w:t>
      </w:r>
      <w:r w:rsidR="000A5807">
        <w:rPr>
          <w:bCs/>
        </w:rPr>
        <w:t>96.3 million</w:t>
      </w:r>
      <w:r w:rsidR="00164071" w:rsidRPr="00164071">
        <w:rPr>
          <w:bCs/>
        </w:rPr>
        <w:t xml:space="preserve"> </w:t>
      </w:r>
      <w:r w:rsidR="00164071">
        <w:t>paid in grant funding.</w:t>
      </w:r>
      <w:r>
        <w:t xml:space="preserve"> On average, these grants accounted for 47 per cent of the total project cost. Grant reci</w:t>
      </w:r>
      <w:r w:rsidR="00164071">
        <w:t>pients directly contributed $117.3</w:t>
      </w:r>
      <w:r>
        <w:t xml:space="preserve"> million to the cost of the projects.</w:t>
      </w:r>
    </w:p>
    <w:p w14:paraId="4DD5B0AD" w14:textId="77777777" w:rsidR="00677378" w:rsidRDefault="00C566EB" w:rsidP="00AE7591">
      <w:pPr>
        <w:pStyle w:val="Caption"/>
      </w:pPr>
      <w:r>
        <w:t xml:space="preserve">Figure 5.1: Distribution of CEEP </w:t>
      </w:r>
      <w:r w:rsidRPr="0063499B">
        <w:t>Grants below $2 million</w:t>
      </w:r>
    </w:p>
    <w:tbl>
      <w:tblPr>
        <w:tblStyle w:val="OCETable"/>
        <w:tblW w:w="4940" w:type="pct"/>
        <w:tblInd w:w="108" w:type="dxa"/>
        <w:tblLayout w:type="fixed"/>
        <w:tblLook w:val="04A0" w:firstRow="1" w:lastRow="0" w:firstColumn="1" w:lastColumn="0" w:noHBand="0" w:noVBand="1"/>
        <w:tblCaption w:val="The place holder table for figure 1"/>
      </w:tblPr>
      <w:tblGrid>
        <w:gridCol w:w="6811"/>
      </w:tblGrid>
      <w:tr w:rsidR="00677378" w14:paraId="692491EF" w14:textId="77777777" w:rsidTr="00664B56">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19E7B557" w14:textId="17A00CCE" w:rsidR="00677378" w:rsidRDefault="00CE1C63" w:rsidP="00677378">
            <w:pPr>
              <w:pStyle w:val="PlaceholderWide"/>
            </w:pPr>
            <w:r>
              <w:rPr>
                <w:noProof/>
                <w:lang w:eastAsia="en-AU"/>
              </w:rPr>
              <w:drawing>
                <wp:inline distT="0" distB="0" distL="0" distR="0" wp14:anchorId="279C1342" wp14:editId="75787496">
                  <wp:extent cx="4176395" cy="2664460"/>
                  <wp:effectExtent l="0" t="0" r="0" b="2540"/>
                  <wp:docPr id="11" name="Picture 11" descr="he distribution is heavily skewed to the lower values.&#10;&#10;About one third of the grants awarded were below two hundred thousand dollars. About one third were in the range of two hundred thousand dollars to six hundred thousand. One third covers the range of sixhundred thousand dollars to over 5 million dollars." title="Figure 5.1: Distribution of CEEP Grants below $2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6395" cy="2664460"/>
                          </a:xfrm>
                          <a:prstGeom prst="rect">
                            <a:avLst/>
                          </a:prstGeom>
                          <a:noFill/>
                        </pic:spPr>
                      </pic:pic>
                    </a:graphicData>
                  </a:graphic>
                </wp:inline>
              </w:drawing>
            </w:r>
          </w:p>
        </w:tc>
      </w:tr>
    </w:tbl>
    <w:p w14:paraId="3AFF7B08" w14:textId="77777777" w:rsidR="00677378" w:rsidRDefault="00677378" w:rsidP="00847D20">
      <w:pPr>
        <w:pStyle w:val="Note"/>
        <w:spacing w:before="0" w:after="0"/>
        <w:rPr>
          <w:lang w:val="en-AU"/>
        </w:rPr>
      </w:pPr>
      <w:r>
        <w:t xml:space="preserve">Notes: </w:t>
      </w:r>
      <w:r w:rsidRPr="0063499B">
        <w:rPr>
          <w:lang w:val="en-AU"/>
        </w:rPr>
        <w:t xml:space="preserve">Ten grants lie in the range of </w:t>
      </w:r>
      <w:r>
        <w:rPr>
          <w:lang w:val="en-AU"/>
        </w:rPr>
        <w:t>$</w:t>
      </w:r>
      <w:r w:rsidRPr="0063499B">
        <w:rPr>
          <w:lang w:val="en-AU"/>
        </w:rPr>
        <w:t>2</w:t>
      </w:r>
      <w:r w:rsidR="00345ABE">
        <w:rPr>
          <w:rFonts w:ascii="Calibri" w:hAnsi="Calibri"/>
          <w:lang w:val="en-AU"/>
        </w:rPr>
        <w:t>–</w:t>
      </w:r>
      <w:r w:rsidRPr="0063499B">
        <w:rPr>
          <w:lang w:val="en-AU"/>
        </w:rPr>
        <w:t>5.5 million</w:t>
      </w:r>
      <w:r>
        <w:rPr>
          <w:lang w:val="en-AU"/>
        </w:rPr>
        <w:t>.</w:t>
      </w:r>
    </w:p>
    <w:p w14:paraId="761FA963" w14:textId="77777777" w:rsidR="00677378" w:rsidRDefault="00677378" w:rsidP="00847D20">
      <w:pPr>
        <w:pStyle w:val="Source"/>
        <w:spacing w:before="0" w:after="120"/>
      </w:pPr>
      <w:r>
        <w:t>Source: Programme Data, AusIndustry</w:t>
      </w:r>
    </w:p>
    <w:p w14:paraId="37B21FBF" w14:textId="77777777" w:rsidR="00477506" w:rsidRPr="002428B7" w:rsidRDefault="00477506" w:rsidP="00677378">
      <w:pPr>
        <w:pStyle w:val="Heading2"/>
        <w:spacing w:before="240" w:after="120"/>
      </w:pPr>
      <w:bookmarkStart w:id="122" w:name="_Toc483236866"/>
      <w:r w:rsidRPr="002428B7">
        <w:t>Grant Distribution</w:t>
      </w:r>
      <w:bookmarkEnd w:id="122"/>
    </w:p>
    <w:p w14:paraId="4778A1B3" w14:textId="77777777" w:rsidR="00477506" w:rsidRDefault="00477506" w:rsidP="00677378">
      <w:pPr>
        <w:pStyle w:val="BodyText"/>
        <w:spacing w:after="240"/>
        <w:jc w:val="left"/>
      </w:pPr>
      <w:r>
        <w:t>The CEEP award</w:t>
      </w:r>
      <w:r w:rsidR="00B65411">
        <w:t>ed grants to projects in every S</w:t>
      </w:r>
      <w:r>
        <w:t>ta</w:t>
      </w:r>
      <w:r w:rsidR="00B65411">
        <w:t>te and T</w:t>
      </w:r>
      <w:r>
        <w:t>erritory across Australia. Grants ranged from $10,000 to $5.25 million. The geographic distribution of grants was broadly proporti</w:t>
      </w:r>
      <w:r w:rsidR="00B65411">
        <w:t>onal to the population of each S</w:t>
      </w:r>
      <w:r>
        <w:t xml:space="preserve">tate, with New South Wales receiving the largest share of grants by number (212), followed by Victoria (117). </w:t>
      </w:r>
    </w:p>
    <w:p w14:paraId="79E03C85" w14:textId="77777777" w:rsidR="00C566EB" w:rsidRPr="00C566EB" w:rsidRDefault="00C566EB" w:rsidP="002A04DE">
      <w:pPr>
        <w:pStyle w:val="CaptionWide"/>
        <w:ind w:left="0"/>
      </w:pPr>
      <w:r>
        <w:t>Figure 5.2: Mean CEEP grant value (</w:t>
      </w:r>
      <w:r>
        <w:rPr>
          <w:rFonts w:cs="Arial"/>
        </w:rPr>
        <w:t>±</w:t>
      </w:r>
      <w:r>
        <w:t>1 SD) and maximum grant by State</w:t>
      </w:r>
    </w:p>
    <w:tbl>
      <w:tblPr>
        <w:tblStyle w:val="OCETable"/>
        <w:tblW w:w="5347" w:type="pct"/>
        <w:tblInd w:w="-284" w:type="dxa"/>
        <w:tblLayout w:type="fixed"/>
        <w:tblCellMar>
          <w:left w:w="28" w:type="dxa"/>
          <w:right w:w="28" w:type="dxa"/>
        </w:tblCellMar>
        <w:tblLook w:val="04A0" w:firstRow="1" w:lastRow="0" w:firstColumn="1" w:lastColumn="0" w:noHBand="0" w:noVBand="1"/>
        <w:tblCaption w:val="Place holder table for Figure two"/>
      </w:tblPr>
      <w:tblGrid>
        <w:gridCol w:w="7372"/>
      </w:tblGrid>
      <w:tr w:rsidR="00477506" w14:paraId="5ADD5107" w14:textId="77777777" w:rsidTr="00664B56">
        <w:trPr>
          <w:cnfStyle w:val="100000000000" w:firstRow="1" w:lastRow="0" w:firstColumn="0" w:lastColumn="0" w:oddVBand="0" w:evenVBand="0" w:oddHBand="0" w:evenHBand="0" w:firstRowFirstColumn="0" w:firstRowLastColumn="0" w:lastRowFirstColumn="0" w:lastRowLastColumn="0"/>
          <w:tblHeader/>
        </w:trPr>
        <w:tc>
          <w:tcPr>
            <w:tcW w:w="7372" w:type="dxa"/>
            <w:shd w:val="clear" w:color="auto" w:fill="auto"/>
            <w:vAlign w:val="center"/>
          </w:tcPr>
          <w:p w14:paraId="2A7EBB1F" w14:textId="231BE903" w:rsidR="001D1EB0" w:rsidRDefault="00CE1C63" w:rsidP="001D1EB0">
            <w:pPr>
              <w:pStyle w:val="PlaceholderWide"/>
              <w:jc w:val="left"/>
            </w:pPr>
            <w:r>
              <w:rPr>
                <w:noProof/>
                <w:lang w:eastAsia="en-AU"/>
              </w:rPr>
              <w:drawing>
                <wp:inline distT="0" distB="0" distL="0" distR="0" wp14:anchorId="080A4075" wp14:editId="17EEFF27">
                  <wp:extent cx="4389755" cy="2755900"/>
                  <wp:effectExtent l="0" t="0" r="0" b="6350"/>
                  <wp:docPr id="9" name="Picture 9" descr="Though there are noticable differences between the states' and territories mean CEEP grant figure, the national average is within 1 standard deviation of their means, except for South Australia, Tasmania which had five small projects and the Northern Territory which had four small projects.&#10;&#10;There is much greater variation in the maximum grants, with New South Wales, Queensland and Victoria each recieving grants in excess of four and half million dollars. The A C T recieved a three million dollar grant, Western Australia recieved a two million dollar grant. The South Australia, Tasmania and Northern Territory each recieved grants no larger than 1 million dollars." title="Figure 5.2: Mean CEEP grant value (±1 SD) and maximum grant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9755" cy="2755900"/>
                          </a:xfrm>
                          <a:prstGeom prst="rect">
                            <a:avLst/>
                          </a:prstGeom>
                          <a:noFill/>
                        </pic:spPr>
                      </pic:pic>
                    </a:graphicData>
                  </a:graphic>
                </wp:inline>
              </w:drawing>
            </w:r>
          </w:p>
        </w:tc>
      </w:tr>
    </w:tbl>
    <w:p w14:paraId="777A5F4B" w14:textId="77777777" w:rsidR="00477506" w:rsidRDefault="00477506" w:rsidP="00847D20">
      <w:pPr>
        <w:pStyle w:val="Note"/>
        <w:spacing w:before="0" w:after="0"/>
      </w:pPr>
      <w:r>
        <w:t xml:space="preserve">Source: </w:t>
      </w:r>
      <w:r w:rsidR="00835A86">
        <w:t>Programme</w:t>
      </w:r>
      <w:r>
        <w:t xml:space="preserve"> data, AusIndustry</w:t>
      </w:r>
    </w:p>
    <w:p w14:paraId="2CA6B3B6" w14:textId="77777777" w:rsidR="00677378" w:rsidRDefault="00677378" w:rsidP="00677378">
      <w:pPr>
        <w:pStyle w:val="BodyText"/>
        <w:spacing w:after="0"/>
        <w:jc w:val="left"/>
      </w:pPr>
    </w:p>
    <w:p w14:paraId="12492383" w14:textId="77777777" w:rsidR="00AF09E7" w:rsidRDefault="00477506" w:rsidP="00847D20">
      <w:pPr>
        <w:pStyle w:val="BodyText"/>
        <w:spacing w:after="120"/>
        <w:jc w:val="left"/>
      </w:pPr>
      <w:r>
        <w:t>The Australian Capital Territory had the highest average grant value, as there were only t</w:t>
      </w:r>
      <w:r w:rsidR="00AF09E7">
        <w:t>wo projects. All grants to</w:t>
      </w:r>
      <w:r>
        <w:t xml:space="preserve"> projects in the Northern Territory and Tasmania were be</w:t>
      </w:r>
      <w:r w:rsidR="00AF09E7">
        <w:t>low the average</w:t>
      </w:r>
      <w:r>
        <w:t>. Only one grant awarded to South Australia w</w:t>
      </w:r>
      <w:r w:rsidR="00D74DEE">
        <w:t>as greater than the CEEP average grant</w:t>
      </w:r>
      <w:r>
        <w:t xml:space="preserve"> value. Unlike Victoria and New South Wales, no large consortia of local councils from the Northern Territory, South Austra</w:t>
      </w:r>
      <w:r w:rsidR="00D74DEE">
        <w:t>lia or Tasmania applied.</w:t>
      </w:r>
    </w:p>
    <w:p w14:paraId="1AE41CA1" w14:textId="77777777" w:rsidR="00455258" w:rsidRDefault="00455258" w:rsidP="00847D20">
      <w:pPr>
        <w:pStyle w:val="Heading2"/>
        <w:spacing w:before="120" w:after="120"/>
      </w:pPr>
      <w:bookmarkStart w:id="123" w:name="_Toc483236867"/>
      <w:r>
        <w:t>Energy Efficiency</w:t>
      </w:r>
      <w:bookmarkEnd w:id="123"/>
    </w:p>
    <w:p w14:paraId="3C2AFD44" w14:textId="77777777" w:rsidR="00DF58AA" w:rsidRDefault="00D7222D" w:rsidP="00D7222D">
      <w:pPr>
        <w:pStyle w:val="BodyText"/>
        <w:spacing w:after="120"/>
        <w:jc w:val="left"/>
      </w:pPr>
      <w:r w:rsidRPr="00D7222D">
        <w:t xml:space="preserve">According to the final project report data provided by grant recipients, all but two projects achieved energy efficiency improvements. </w:t>
      </w:r>
      <w:r w:rsidR="00DF58AA">
        <w:t>The projects that did not result in energy efficiency improvements usually experienced increases in capacity that affected their total energy use.</w:t>
      </w:r>
    </w:p>
    <w:p w14:paraId="5842FD0F" w14:textId="77777777" w:rsidR="00D7222D" w:rsidRPr="00D7222D" w:rsidRDefault="00D7222D" w:rsidP="00D7222D">
      <w:pPr>
        <w:pStyle w:val="BodyText"/>
        <w:spacing w:after="120"/>
        <w:jc w:val="left"/>
      </w:pPr>
      <w:r w:rsidRPr="00D7222D">
        <w:t xml:space="preserve">The projects resulted in a combined total saving of approximately </w:t>
      </w:r>
      <w:r w:rsidRPr="005F5F4B">
        <w:t xml:space="preserve">350 TJ </w:t>
      </w:r>
      <w:r w:rsidRPr="00D7222D">
        <w:t>of energy per annum. This is equivalent to the energy used by over 6,800 Australian homes.</w:t>
      </w:r>
      <w:r w:rsidRPr="00D7222D">
        <w:rPr>
          <w:rStyle w:val="FootnoteReference"/>
          <w:rFonts w:eastAsia="Calibri" w:cstheme="minorHAnsi"/>
        </w:rPr>
        <w:t xml:space="preserve"> </w:t>
      </w:r>
      <w:r w:rsidRPr="00FA1FDD">
        <w:rPr>
          <w:rStyle w:val="FootnoteReference"/>
          <w:rFonts w:eastAsia="Calibri" w:cstheme="minorHAnsi"/>
        </w:rPr>
        <w:footnoteReference w:id="12"/>
      </w:r>
      <w:r w:rsidRPr="00D7222D">
        <w:t xml:space="preserve"> It is clear from these results that the programme achieved the objectives of improving the energy efficiency, and reducing the energy costs, of grant recipients. However, it is difficult to assess the extent to which the programme met the Government’s expectations, as no performance targets were established at the commencement of the programme.</w:t>
      </w:r>
    </w:p>
    <w:p w14:paraId="1CF2FCBF" w14:textId="77777777" w:rsidR="00D7222D" w:rsidRPr="00D7222D" w:rsidRDefault="00D7222D" w:rsidP="00D7222D">
      <w:pPr>
        <w:pStyle w:val="BodyText"/>
        <w:spacing w:after="120"/>
        <w:jc w:val="left"/>
      </w:pPr>
      <w:r w:rsidRPr="00D7222D">
        <w:t>Based on the final project report data provided by grant recipients, over an assumed fifteen-year project life span, it cost the Australian Government approximately $19,000 to reduce one TJ of energy. The total cost (including both CEEP grant funding and contributions by grant recipients) equates to approximately $38,000 to reduce one TJ of energy.</w:t>
      </w:r>
      <w:r w:rsidRPr="00D7222D">
        <w:rPr>
          <w:rStyle w:val="FootnoteReference"/>
          <w:rFonts w:eastAsia="Calibri" w:cstheme="minorHAnsi"/>
        </w:rPr>
        <w:t xml:space="preserve"> </w:t>
      </w:r>
      <w:r w:rsidRPr="00FA1FDD">
        <w:rPr>
          <w:rStyle w:val="FootnoteReference"/>
          <w:rFonts w:eastAsia="Calibri" w:cstheme="minorHAnsi"/>
        </w:rPr>
        <w:footnoteReference w:id="13"/>
      </w:r>
    </w:p>
    <w:p w14:paraId="30D6EC20" w14:textId="77777777" w:rsidR="00D7222D" w:rsidRPr="00D7222D" w:rsidRDefault="00D7222D" w:rsidP="00D7222D">
      <w:pPr>
        <w:pStyle w:val="BodyText"/>
        <w:spacing w:after="120"/>
        <w:jc w:val="left"/>
      </w:pPr>
      <w:r w:rsidRPr="00D7222D">
        <w:t>The evaluation was unable to assess the cost-effectiveness of the programme because of the data limitations (described in Section 5.5). In addition, there was no information available on the results achieved by comparable domestic and international programmes. The evaluation considered the price that would be paid by the average Australian household for one TJ of energy ($29,280).</w:t>
      </w:r>
      <w:r w:rsidR="00DF58AA" w:rsidRPr="00DF58AA">
        <w:rPr>
          <w:rStyle w:val="FootnoteReference"/>
          <w:rFonts w:eastAsia="Calibri" w:cstheme="minorHAnsi"/>
        </w:rPr>
        <w:t xml:space="preserve"> </w:t>
      </w:r>
      <w:r w:rsidR="00DF58AA" w:rsidRPr="001F4128">
        <w:rPr>
          <w:rStyle w:val="FootnoteReference"/>
          <w:rFonts w:eastAsia="Calibri" w:cstheme="minorHAnsi"/>
        </w:rPr>
        <w:footnoteReference w:id="14"/>
      </w:r>
      <w:r w:rsidR="00DF58AA">
        <w:rPr>
          <w:rFonts w:eastAsia="Calibri" w:cstheme="minorHAnsi"/>
        </w:rPr>
        <w:t xml:space="preserve"> </w:t>
      </w:r>
      <w:r w:rsidR="00DF58AA">
        <w:t xml:space="preserve"> </w:t>
      </w:r>
      <w:r w:rsidRPr="00D7222D">
        <w:t>However, this comparison does not include the co-benefits of the programme or the reduction in carbon emissions achieved. The energy saving results, together with the qualitative information from grant recipients, suggests that the programme was beneficial when co-benefits were included. However, a more detailed assessment of co-benefits would be required in order to measure the programme’s cost-effectiveness.</w:t>
      </w:r>
    </w:p>
    <w:p w14:paraId="402D5F11" w14:textId="77777777" w:rsidR="00170C1C" w:rsidRPr="00B32191" w:rsidRDefault="00AE7591" w:rsidP="00642815">
      <w:pPr>
        <w:pStyle w:val="BodyText"/>
        <w:spacing w:after="240"/>
        <w:jc w:val="left"/>
      </w:pPr>
      <w:r>
        <w:rPr>
          <w:rFonts w:eastAsia="Calibri" w:cstheme="minorHAnsi"/>
        </w:rPr>
        <w:t>Table 5</w:t>
      </w:r>
      <w:r w:rsidR="002A04DE">
        <w:rPr>
          <w:rFonts w:eastAsia="Calibri" w:cstheme="minorHAnsi"/>
        </w:rPr>
        <w:t>.1</w:t>
      </w:r>
      <w:r w:rsidR="00170C1C">
        <w:rPr>
          <w:rFonts w:eastAsia="Calibri" w:cstheme="minorHAnsi"/>
        </w:rPr>
        <w:t xml:space="preserve"> outlines the energy savings achieved for each round of the CEEP. </w:t>
      </w:r>
      <w:r w:rsidR="007302FE">
        <w:t>Through Round O</w:t>
      </w:r>
      <w:r w:rsidR="00170C1C">
        <w:t>ne, 63 grants were approved, with 61 provid</w:t>
      </w:r>
      <w:r w:rsidR="007302FE">
        <w:t>ed. The average grant value of Round O</w:t>
      </w:r>
      <w:r w:rsidR="00170C1C">
        <w:t>ne was $572,641. The average project cost (including both grant amount and contributions by grant rec</w:t>
      </w:r>
      <w:r w:rsidR="007302FE">
        <w:t>ipients) was $1,486,840. Round O</w:t>
      </w:r>
      <w:r w:rsidR="00170C1C">
        <w:t xml:space="preserve">ne projects saved on </w:t>
      </w:r>
      <w:r w:rsidR="00170C1C" w:rsidRPr="002023D8">
        <w:t>average 2.7 TJ</w:t>
      </w:r>
      <w:r w:rsidR="00FB422F" w:rsidRPr="00087E57">
        <w:rPr>
          <w:rFonts w:eastAsia="Calibri" w:cstheme="minorHAnsi"/>
        </w:rPr>
        <w:t xml:space="preserve"> </w:t>
      </w:r>
      <w:r w:rsidR="00FB422F">
        <w:t xml:space="preserve">per year. </w:t>
      </w:r>
      <w:r w:rsidR="007302FE">
        <w:t>Through Round T</w:t>
      </w:r>
      <w:r w:rsidR="00170C1C">
        <w:t xml:space="preserve">wo, </w:t>
      </w:r>
      <w:r w:rsidR="00170C1C" w:rsidRPr="00375193">
        <w:t>10</w:t>
      </w:r>
      <w:r w:rsidR="00170C1C">
        <w:t>7</w:t>
      </w:r>
      <w:r w:rsidR="00170C1C" w:rsidRPr="00375193">
        <w:t xml:space="preserve"> grants were </w:t>
      </w:r>
      <w:r w:rsidR="00170C1C">
        <w:t>approved</w:t>
      </w:r>
      <w:r w:rsidR="00170C1C" w:rsidRPr="00375193">
        <w:t>,</w:t>
      </w:r>
      <w:r w:rsidR="00170C1C">
        <w:t xml:space="preserve"> with 92 provided.</w:t>
      </w:r>
      <w:r w:rsidR="00170C1C" w:rsidRPr="00375193">
        <w:t xml:space="preserve"> </w:t>
      </w:r>
      <w:r w:rsidR="007302FE">
        <w:t>The average grant value of Round T</w:t>
      </w:r>
      <w:r w:rsidR="00170C1C">
        <w:t xml:space="preserve">wo was </w:t>
      </w:r>
      <w:r w:rsidR="00170C1C" w:rsidRPr="00375193">
        <w:t xml:space="preserve">$663,357. The average project cost </w:t>
      </w:r>
      <w:r w:rsidR="00170C1C">
        <w:t>(including both grant amount and contributions by grant recipients)</w:t>
      </w:r>
      <w:r w:rsidR="00FB422F">
        <w:t xml:space="preserve"> was</w:t>
      </w:r>
      <w:r w:rsidR="00170C1C">
        <w:t xml:space="preserve"> $1,322,648</w:t>
      </w:r>
      <w:r w:rsidR="007302FE">
        <w:t>. Round T</w:t>
      </w:r>
      <w:r w:rsidR="00170C1C" w:rsidRPr="00375193">
        <w:t>wo projects save</w:t>
      </w:r>
      <w:r w:rsidR="00170C1C">
        <w:t>d</w:t>
      </w:r>
      <w:r w:rsidR="00170C1C" w:rsidRPr="00375193">
        <w:t xml:space="preserve"> on average </w:t>
      </w:r>
      <w:r w:rsidR="00170C1C" w:rsidRPr="002023D8">
        <w:t>1.8 TJ</w:t>
      </w:r>
      <w:r w:rsidR="00170C1C" w:rsidRPr="00375193">
        <w:t xml:space="preserve"> per year.</w:t>
      </w:r>
    </w:p>
    <w:p w14:paraId="27A4E80B" w14:textId="77777777" w:rsidR="00170C1C" w:rsidRPr="000618FB" w:rsidRDefault="00170C1C" w:rsidP="00847D20">
      <w:pPr>
        <w:pStyle w:val="Caption"/>
        <w:spacing w:before="120" w:after="120"/>
      </w:pPr>
      <w:r w:rsidRPr="000618FB">
        <w:t>Table</w:t>
      </w:r>
      <w:r w:rsidR="00AE7591">
        <w:t xml:space="preserve"> 5</w:t>
      </w:r>
      <w:r w:rsidR="002A04DE">
        <w:t xml:space="preserve">.1: </w:t>
      </w:r>
      <w:r>
        <w:t xml:space="preserve">Community Energy Efficiency </w:t>
      </w:r>
      <w:r w:rsidR="00835A86">
        <w:t>Program</w:t>
      </w:r>
      <w:r>
        <w:t xml:space="preserve"> key statistics</w:t>
      </w:r>
    </w:p>
    <w:tbl>
      <w:tblPr>
        <w:tblStyle w:val="OCETable"/>
        <w:tblpPr w:leftFromText="180" w:rightFromText="180" w:vertAnchor="text" w:horzAnchor="margin" w:tblpY="-21"/>
        <w:tblW w:w="5000" w:type="pct"/>
        <w:shd w:val="clear" w:color="auto" w:fill="CAE7F3"/>
        <w:tblLook w:val="04A0" w:firstRow="1" w:lastRow="0" w:firstColumn="1" w:lastColumn="0" w:noHBand="0" w:noVBand="1"/>
        <w:tblCaption w:val="Table 3 The CEEP key statistics"/>
        <w:tblDescription w:val="Though Round One of CEEP had fewer grants approved than Round Two, Round One had a higher compeltion rate than Round Two. Round One had sixty one projects from sixty three grants complete, two grants were terminated. Round Two had ninety two projects from one hundred and eight grants. Five grants were terminated, Nine were withdrawn. &#10;&#10;Though the mean of the grants awarded is marginally lower in Round One than in Round Two, the mean project total cost is greater, and the energy savings provided are significantly higher at approximately two point seven terajoules per year for Round one versus one point eight terajoules per year."/>
      </w:tblPr>
      <w:tblGrid>
        <w:gridCol w:w="2906"/>
        <w:gridCol w:w="1357"/>
        <w:gridCol w:w="1517"/>
        <w:gridCol w:w="1114"/>
      </w:tblGrid>
      <w:tr w:rsidR="00170C1C" w:rsidRPr="0064508F" w14:paraId="63AD37EC" w14:textId="77777777" w:rsidTr="00664B56">
        <w:trPr>
          <w:cnfStyle w:val="100000000000" w:firstRow="1" w:lastRow="0" w:firstColumn="0" w:lastColumn="0" w:oddVBand="0" w:evenVBand="0" w:oddHBand="0" w:evenHBand="0" w:firstRowFirstColumn="0" w:firstRowLastColumn="0" w:lastRowFirstColumn="0" w:lastRowLastColumn="0"/>
          <w:trHeight w:val="300"/>
          <w:tblHeader/>
        </w:trPr>
        <w:tc>
          <w:tcPr>
            <w:tcW w:w="2093" w:type="pct"/>
            <w:noWrap/>
            <w:tcMar>
              <w:left w:w="57" w:type="dxa"/>
              <w:right w:w="57" w:type="dxa"/>
            </w:tcMar>
            <w:hideMark/>
          </w:tcPr>
          <w:p w14:paraId="7C66B1CE" w14:textId="77777777" w:rsidR="00170C1C" w:rsidRPr="00A7770D" w:rsidRDefault="00170C1C" w:rsidP="00A7770D">
            <w:pPr>
              <w:pStyle w:val="Tableheader"/>
              <w:rPr>
                <w:i/>
              </w:rPr>
            </w:pPr>
          </w:p>
        </w:tc>
        <w:tc>
          <w:tcPr>
            <w:tcW w:w="989" w:type="pct"/>
            <w:noWrap/>
            <w:tcMar>
              <w:left w:w="57" w:type="dxa"/>
              <w:right w:w="57" w:type="dxa"/>
            </w:tcMar>
            <w:hideMark/>
          </w:tcPr>
          <w:p w14:paraId="0AC01470" w14:textId="77777777" w:rsidR="00170C1C" w:rsidRPr="00A7770D" w:rsidRDefault="00170C1C" w:rsidP="00A7770D">
            <w:pPr>
              <w:pStyle w:val="Tableheader"/>
              <w:rPr>
                <w:i/>
              </w:rPr>
            </w:pPr>
            <w:r w:rsidRPr="00A7770D">
              <w:rPr>
                <w:i/>
              </w:rPr>
              <w:t>Round One</w:t>
            </w:r>
          </w:p>
        </w:tc>
        <w:tc>
          <w:tcPr>
            <w:tcW w:w="1105" w:type="pct"/>
            <w:noWrap/>
            <w:tcMar>
              <w:left w:w="57" w:type="dxa"/>
              <w:right w:w="57" w:type="dxa"/>
            </w:tcMar>
            <w:hideMark/>
          </w:tcPr>
          <w:p w14:paraId="05DCD60C" w14:textId="77777777" w:rsidR="00170C1C" w:rsidRPr="00A7770D" w:rsidRDefault="00170C1C" w:rsidP="00A7770D">
            <w:pPr>
              <w:pStyle w:val="Tableheader"/>
              <w:rPr>
                <w:i/>
              </w:rPr>
            </w:pPr>
            <w:r w:rsidRPr="00A7770D">
              <w:rPr>
                <w:i/>
              </w:rPr>
              <w:t>Round Two</w:t>
            </w:r>
          </w:p>
        </w:tc>
        <w:tc>
          <w:tcPr>
            <w:tcW w:w="812" w:type="pct"/>
            <w:noWrap/>
            <w:tcMar>
              <w:left w:w="57" w:type="dxa"/>
              <w:right w:w="57" w:type="dxa"/>
            </w:tcMar>
            <w:vAlign w:val="center"/>
            <w:hideMark/>
          </w:tcPr>
          <w:p w14:paraId="040C372C" w14:textId="77777777" w:rsidR="00170C1C" w:rsidRPr="00A7770D" w:rsidRDefault="00170C1C" w:rsidP="00A7770D">
            <w:pPr>
              <w:pStyle w:val="Tableheader"/>
              <w:rPr>
                <w:i/>
              </w:rPr>
            </w:pPr>
            <w:r w:rsidRPr="00A7770D">
              <w:rPr>
                <w:i/>
              </w:rPr>
              <w:t>Total</w:t>
            </w:r>
          </w:p>
        </w:tc>
      </w:tr>
      <w:tr w:rsidR="00170C1C" w:rsidRPr="0064508F" w14:paraId="613A2465" w14:textId="77777777" w:rsidTr="00AF2CFF">
        <w:trPr>
          <w:trHeight w:val="300"/>
        </w:trPr>
        <w:tc>
          <w:tcPr>
            <w:tcW w:w="2093" w:type="pct"/>
            <w:noWrap/>
            <w:tcMar>
              <w:left w:w="57" w:type="dxa"/>
              <w:right w:w="57" w:type="dxa"/>
            </w:tcMar>
            <w:hideMark/>
          </w:tcPr>
          <w:p w14:paraId="074747A2" w14:textId="77777777" w:rsidR="00170C1C" w:rsidRPr="00A7770D" w:rsidRDefault="00170C1C" w:rsidP="00A7770D">
            <w:pPr>
              <w:pStyle w:val="Tabletext"/>
            </w:pPr>
            <w:r w:rsidRPr="00A7770D">
              <w:t>Grants approved</w:t>
            </w:r>
          </w:p>
        </w:tc>
        <w:tc>
          <w:tcPr>
            <w:tcW w:w="989" w:type="pct"/>
            <w:noWrap/>
            <w:tcMar>
              <w:left w:w="57" w:type="dxa"/>
              <w:right w:w="57" w:type="dxa"/>
            </w:tcMar>
            <w:hideMark/>
          </w:tcPr>
          <w:p w14:paraId="5493BEBC" w14:textId="77777777" w:rsidR="00170C1C" w:rsidRPr="00A7770D" w:rsidRDefault="00170C1C" w:rsidP="00A7770D">
            <w:pPr>
              <w:pStyle w:val="Tabletext"/>
            </w:pPr>
            <w:r w:rsidRPr="00A7770D">
              <w:t>63</w:t>
            </w:r>
          </w:p>
        </w:tc>
        <w:tc>
          <w:tcPr>
            <w:tcW w:w="1105" w:type="pct"/>
            <w:noWrap/>
            <w:tcMar>
              <w:left w:w="57" w:type="dxa"/>
              <w:right w:w="57" w:type="dxa"/>
            </w:tcMar>
            <w:hideMark/>
          </w:tcPr>
          <w:p w14:paraId="43090491" w14:textId="77777777" w:rsidR="00170C1C" w:rsidRPr="00A7770D" w:rsidRDefault="00F40194" w:rsidP="00A7770D">
            <w:pPr>
              <w:pStyle w:val="Tabletext"/>
            </w:pPr>
            <w:r>
              <w:t>1</w:t>
            </w:r>
            <w:r w:rsidR="007D4F07" w:rsidRPr="00A7770D">
              <w:t>08</w:t>
            </w:r>
          </w:p>
        </w:tc>
        <w:tc>
          <w:tcPr>
            <w:tcW w:w="812" w:type="pct"/>
            <w:noWrap/>
            <w:tcMar>
              <w:left w:w="57" w:type="dxa"/>
              <w:right w:w="57" w:type="dxa"/>
            </w:tcMar>
            <w:vAlign w:val="center"/>
            <w:hideMark/>
          </w:tcPr>
          <w:p w14:paraId="4C011973" w14:textId="77777777" w:rsidR="00170C1C" w:rsidRPr="00A7770D" w:rsidRDefault="00170C1C" w:rsidP="00A7770D">
            <w:pPr>
              <w:pStyle w:val="Tabletext"/>
            </w:pPr>
            <w:r w:rsidRPr="00A7770D">
              <w:t>1</w:t>
            </w:r>
            <w:r w:rsidR="007D4F07" w:rsidRPr="00A7770D">
              <w:t>71</w:t>
            </w:r>
          </w:p>
        </w:tc>
      </w:tr>
      <w:tr w:rsidR="00170C1C" w:rsidRPr="0064508F" w14:paraId="33BDC00B" w14:textId="77777777" w:rsidTr="00AF2CFF">
        <w:trPr>
          <w:trHeight w:val="300"/>
        </w:trPr>
        <w:tc>
          <w:tcPr>
            <w:tcW w:w="2093" w:type="pct"/>
            <w:noWrap/>
            <w:tcMar>
              <w:left w:w="57" w:type="dxa"/>
              <w:right w:w="57" w:type="dxa"/>
            </w:tcMar>
            <w:hideMark/>
          </w:tcPr>
          <w:p w14:paraId="0E932BCF" w14:textId="77777777" w:rsidR="00170C1C" w:rsidRPr="00A7770D" w:rsidRDefault="00170C1C" w:rsidP="00A7770D">
            <w:pPr>
              <w:pStyle w:val="Tabletext"/>
            </w:pPr>
            <w:r w:rsidRPr="00A7770D">
              <w:t>Projects completed</w:t>
            </w:r>
          </w:p>
        </w:tc>
        <w:tc>
          <w:tcPr>
            <w:tcW w:w="989" w:type="pct"/>
            <w:noWrap/>
            <w:tcMar>
              <w:left w:w="57" w:type="dxa"/>
              <w:right w:w="57" w:type="dxa"/>
            </w:tcMar>
            <w:hideMark/>
          </w:tcPr>
          <w:p w14:paraId="3F045401" w14:textId="77777777" w:rsidR="00170C1C" w:rsidRPr="00A7770D" w:rsidRDefault="00170C1C" w:rsidP="00A7770D">
            <w:pPr>
              <w:pStyle w:val="Tabletext"/>
            </w:pPr>
            <w:r w:rsidRPr="00A7770D">
              <w:t>61</w:t>
            </w:r>
          </w:p>
        </w:tc>
        <w:tc>
          <w:tcPr>
            <w:tcW w:w="1105" w:type="pct"/>
            <w:noWrap/>
            <w:tcMar>
              <w:left w:w="57" w:type="dxa"/>
              <w:right w:w="57" w:type="dxa"/>
            </w:tcMar>
            <w:hideMark/>
          </w:tcPr>
          <w:p w14:paraId="24177FDC" w14:textId="77777777" w:rsidR="00170C1C" w:rsidRPr="00A7770D" w:rsidRDefault="00170C1C" w:rsidP="00A7770D">
            <w:pPr>
              <w:pStyle w:val="Tabletext"/>
            </w:pPr>
            <w:r w:rsidRPr="00A7770D">
              <w:t>92</w:t>
            </w:r>
          </w:p>
        </w:tc>
        <w:tc>
          <w:tcPr>
            <w:tcW w:w="812" w:type="pct"/>
            <w:noWrap/>
            <w:tcMar>
              <w:left w:w="57" w:type="dxa"/>
              <w:right w:w="57" w:type="dxa"/>
            </w:tcMar>
            <w:vAlign w:val="center"/>
            <w:hideMark/>
          </w:tcPr>
          <w:p w14:paraId="3490D810" w14:textId="77777777" w:rsidR="00170C1C" w:rsidRPr="00A7770D" w:rsidRDefault="00170C1C" w:rsidP="00A7770D">
            <w:pPr>
              <w:pStyle w:val="Tabletext"/>
            </w:pPr>
            <w:r w:rsidRPr="00A7770D">
              <w:t>153</w:t>
            </w:r>
          </w:p>
        </w:tc>
      </w:tr>
      <w:tr w:rsidR="00170C1C" w:rsidRPr="0064508F" w14:paraId="7E1CE421" w14:textId="77777777" w:rsidTr="00AF2CFF">
        <w:trPr>
          <w:trHeight w:val="300"/>
        </w:trPr>
        <w:tc>
          <w:tcPr>
            <w:tcW w:w="2093" w:type="pct"/>
            <w:noWrap/>
            <w:tcMar>
              <w:left w:w="57" w:type="dxa"/>
              <w:right w:w="57" w:type="dxa"/>
            </w:tcMar>
            <w:hideMark/>
          </w:tcPr>
          <w:p w14:paraId="117D44DC" w14:textId="77777777" w:rsidR="00170C1C" w:rsidRPr="00A7770D" w:rsidRDefault="00170C1C" w:rsidP="00A7770D">
            <w:pPr>
              <w:pStyle w:val="Tabletext"/>
            </w:pPr>
            <w:r w:rsidRPr="00A7770D">
              <w:t>Grants terminated, withdrawn</w:t>
            </w:r>
          </w:p>
        </w:tc>
        <w:tc>
          <w:tcPr>
            <w:tcW w:w="989" w:type="pct"/>
            <w:noWrap/>
            <w:tcMar>
              <w:left w:w="57" w:type="dxa"/>
              <w:right w:w="57" w:type="dxa"/>
            </w:tcMar>
            <w:hideMark/>
          </w:tcPr>
          <w:p w14:paraId="0DC75DC1" w14:textId="77777777" w:rsidR="00170C1C" w:rsidRPr="00A7770D" w:rsidRDefault="00170C1C" w:rsidP="00A7770D">
            <w:pPr>
              <w:pStyle w:val="Tabletext"/>
            </w:pPr>
            <w:r w:rsidRPr="00A7770D">
              <w:t>2, 0</w:t>
            </w:r>
          </w:p>
        </w:tc>
        <w:tc>
          <w:tcPr>
            <w:tcW w:w="1105" w:type="pct"/>
            <w:noWrap/>
            <w:tcMar>
              <w:left w:w="57" w:type="dxa"/>
              <w:right w:w="57" w:type="dxa"/>
            </w:tcMar>
            <w:hideMark/>
          </w:tcPr>
          <w:p w14:paraId="34646093" w14:textId="77777777" w:rsidR="00170C1C" w:rsidRPr="00A7770D" w:rsidRDefault="00170C1C" w:rsidP="00A7770D">
            <w:pPr>
              <w:pStyle w:val="Tabletext"/>
            </w:pPr>
            <w:r w:rsidRPr="00A7770D">
              <w:t>5, 9</w:t>
            </w:r>
          </w:p>
        </w:tc>
        <w:tc>
          <w:tcPr>
            <w:tcW w:w="812" w:type="pct"/>
            <w:noWrap/>
            <w:tcMar>
              <w:left w:w="57" w:type="dxa"/>
              <w:right w:w="57" w:type="dxa"/>
            </w:tcMar>
            <w:hideMark/>
          </w:tcPr>
          <w:p w14:paraId="09D9A85E" w14:textId="77777777" w:rsidR="00170C1C" w:rsidRPr="00A7770D" w:rsidRDefault="00170C1C" w:rsidP="00A7770D">
            <w:pPr>
              <w:pStyle w:val="Tabletext"/>
            </w:pPr>
            <w:r w:rsidRPr="00A7770D">
              <w:t>7, 9</w:t>
            </w:r>
          </w:p>
        </w:tc>
      </w:tr>
      <w:tr w:rsidR="00170C1C" w:rsidRPr="0064508F" w14:paraId="40B26439" w14:textId="77777777" w:rsidTr="00AF2CFF">
        <w:trPr>
          <w:trHeight w:val="300"/>
        </w:trPr>
        <w:tc>
          <w:tcPr>
            <w:tcW w:w="2093" w:type="pct"/>
            <w:noWrap/>
            <w:tcMar>
              <w:left w:w="57" w:type="dxa"/>
              <w:right w:w="57" w:type="dxa"/>
            </w:tcMar>
            <w:hideMark/>
          </w:tcPr>
          <w:p w14:paraId="3568B8DB" w14:textId="77777777" w:rsidR="00170C1C" w:rsidRPr="00A7770D" w:rsidRDefault="00170C1C" w:rsidP="00A7770D">
            <w:pPr>
              <w:pStyle w:val="Tabletext"/>
            </w:pPr>
            <w:r w:rsidRPr="00A7770D">
              <w:t>Grant Value $ (Average)</w:t>
            </w:r>
          </w:p>
        </w:tc>
        <w:tc>
          <w:tcPr>
            <w:tcW w:w="989" w:type="pct"/>
            <w:noWrap/>
            <w:tcMar>
              <w:left w:w="57" w:type="dxa"/>
              <w:right w:w="57" w:type="dxa"/>
            </w:tcMar>
            <w:hideMark/>
          </w:tcPr>
          <w:p w14:paraId="0D886E92" w14:textId="77777777" w:rsidR="00170C1C" w:rsidRPr="00A7770D" w:rsidRDefault="00170C1C" w:rsidP="00A7770D">
            <w:pPr>
              <w:pStyle w:val="Tabletext"/>
            </w:pPr>
            <w:r w:rsidRPr="00A7770D">
              <w:t xml:space="preserve">572,641 </w:t>
            </w:r>
          </w:p>
        </w:tc>
        <w:tc>
          <w:tcPr>
            <w:tcW w:w="1105" w:type="pct"/>
            <w:noWrap/>
            <w:tcMar>
              <w:left w:w="57" w:type="dxa"/>
              <w:right w:w="57" w:type="dxa"/>
            </w:tcMar>
            <w:hideMark/>
          </w:tcPr>
          <w:p w14:paraId="460695AE" w14:textId="77777777" w:rsidR="00170C1C" w:rsidRPr="00A7770D" w:rsidRDefault="00170C1C" w:rsidP="00A7770D">
            <w:pPr>
              <w:pStyle w:val="Tabletext"/>
            </w:pPr>
            <w:r w:rsidRPr="00A7770D">
              <w:t xml:space="preserve">663,357 </w:t>
            </w:r>
          </w:p>
        </w:tc>
        <w:tc>
          <w:tcPr>
            <w:tcW w:w="812" w:type="pct"/>
            <w:noWrap/>
            <w:tcMar>
              <w:left w:w="57" w:type="dxa"/>
              <w:right w:w="57" w:type="dxa"/>
            </w:tcMar>
            <w:vAlign w:val="center"/>
            <w:hideMark/>
          </w:tcPr>
          <w:p w14:paraId="05A9085C" w14:textId="77777777" w:rsidR="00170C1C" w:rsidRPr="00A7770D" w:rsidRDefault="00170C1C" w:rsidP="00A7770D">
            <w:pPr>
              <w:pStyle w:val="Tabletext"/>
            </w:pPr>
            <w:r w:rsidRPr="00A7770D">
              <w:t xml:space="preserve">627,190 </w:t>
            </w:r>
          </w:p>
        </w:tc>
      </w:tr>
      <w:tr w:rsidR="00170C1C" w:rsidRPr="0064508F" w14:paraId="3357EBC7" w14:textId="77777777" w:rsidTr="00AF2CFF">
        <w:trPr>
          <w:trHeight w:val="300"/>
        </w:trPr>
        <w:tc>
          <w:tcPr>
            <w:tcW w:w="2093" w:type="pct"/>
            <w:noWrap/>
            <w:tcMar>
              <w:left w:w="57" w:type="dxa"/>
              <w:right w:w="57" w:type="dxa"/>
            </w:tcMar>
            <w:hideMark/>
          </w:tcPr>
          <w:p w14:paraId="16BBBE65" w14:textId="77777777" w:rsidR="00170C1C" w:rsidRPr="00A7770D" w:rsidRDefault="00170C1C" w:rsidP="00A7770D">
            <w:pPr>
              <w:pStyle w:val="Tabletext"/>
            </w:pPr>
            <w:r w:rsidRPr="00A7770D">
              <w:t>Project Value $ (Average)</w:t>
            </w:r>
          </w:p>
        </w:tc>
        <w:tc>
          <w:tcPr>
            <w:tcW w:w="989" w:type="pct"/>
            <w:noWrap/>
            <w:tcMar>
              <w:left w:w="57" w:type="dxa"/>
              <w:right w:w="57" w:type="dxa"/>
            </w:tcMar>
            <w:hideMark/>
          </w:tcPr>
          <w:p w14:paraId="3B83DA72" w14:textId="77777777" w:rsidR="00170C1C" w:rsidRPr="00A7770D" w:rsidRDefault="00170C1C" w:rsidP="00A7770D">
            <w:pPr>
              <w:pStyle w:val="Tabletext"/>
            </w:pPr>
            <w:r w:rsidRPr="00A7770D">
              <w:t xml:space="preserve">1,486,840 </w:t>
            </w:r>
          </w:p>
        </w:tc>
        <w:tc>
          <w:tcPr>
            <w:tcW w:w="1105" w:type="pct"/>
            <w:noWrap/>
            <w:tcMar>
              <w:left w:w="57" w:type="dxa"/>
              <w:right w:w="57" w:type="dxa"/>
            </w:tcMar>
            <w:hideMark/>
          </w:tcPr>
          <w:p w14:paraId="4C601244" w14:textId="77777777" w:rsidR="00170C1C" w:rsidRPr="00A7770D" w:rsidRDefault="00170C1C" w:rsidP="00A7770D">
            <w:pPr>
              <w:pStyle w:val="Tabletext"/>
            </w:pPr>
            <w:r w:rsidRPr="00A7770D">
              <w:t xml:space="preserve">1,322,648 </w:t>
            </w:r>
          </w:p>
        </w:tc>
        <w:tc>
          <w:tcPr>
            <w:tcW w:w="812" w:type="pct"/>
            <w:noWrap/>
            <w:tcMar>
              <w:left w:w="57" w:type="dxa"/>
              <w:right w:w="57" w:type="dxa"/>
            </w:tcMar>
            <w:vAlign w:val="center"/>
            <w:hideMark/>
          </w:tcPr>
          <w:p w14:paraId="1CA9A627" w14:textId="77777777" w:rsidR="00170C1C" w:rsidRPr="00A7770D" w:rsidRDefault="00170C1C" w:rsidP="00A7770D">
            <w:pPr>
              <w:pStyle w:val="Tabletext"/>
            </w:pPr>
            <w:r w:rsidRPr="00A7770D">
              <w:t xml:space="preserve">1,388,111 </w:t>
            </w:r>
          </w:p>
        </w:tc>
      </w:tr>
      <w:tr w:rsidR="00170C1C" w:rsidRPr="0064508F" w14:paraId="2D56DE1E" w14:textId="77777777" w:rsidTr="00AF2CFF">
        <w:trPr>
          <w:trHeight w:val="300"/>
        </w:trPr>
        <w:tc>
          <w:tcPr>
            <w:tcW w:w="2093" w:type="pct"/>
            <w:noWrap/>
            <w:tcMar>
              <w:left w:w="57" w:type="dxa"/>
              <w:right w:w="57" w:type="dxa"/>
            </w:tcMar>
            <w:hideMark/>
          </w:tcPr>
          <w:p w14:paraId="4EFD0151" w14:textId="77777777" w:rsidR="00170C1C" w:rsidRPr="00A7770D" w:rsidRDefault="00170C1C" w:rsidP="00A7770D">
            <w:pPr>
              <w:pStyle w:val="Tabletext"/>
            </w:pPr>
            <w:r w:rsidRPr="00A7770D">
              <w:t>Energy Savings MJ/year (Average)</w:t>
            </w:r>
          </w:p>
        </w:tc>
        <w:tc>
          <w:tcPr>
            <w:tcW w:w="989" w:type="pct"/>
            <w:noWrap/>
            <w:tcMar>
              <w:left w:w="57" w:type="dxa"/>
              <w:right w:w="57" w:type="dxa"/>
            </w:tcMar>
            <w:hideMark/>
          </w:tcPr>
          <w:p w14:paraId="5B2859F7" w14:textId="77777777" w:rsidR="00170C1C" w:rsidRPr="00A7770D" w:rsidRDefault="00170C1C" w:rsidP="00A7770D">
            <w:pPr>
              <w:pStyle w:val="Tabletext"/>
            </w:pPr>
            <w:r w:rsidRPr="00A7770D">
              <w:t xml:space="preserve">2,660,217  </w:t>
            </w:r>
          </w:p>
        </w:tc>
        <w:tc>
          <w:tcPr>
            <w:tcW w:w="1105" w:type="pct"/>
            <w:noWrap/>
            <w:tcMar>
              <w:left w:w="57" w:type="dxa"/>
              <w:right w:w="57" w:type="dxa"/>
            </w:tcMar>
            <w:hideMark/>
          </w:tcPr>
          <w:p w14:paraId="361034E5" w14:textId="77777777" w:rsidR="00170C1C" w:rsidRPr="00A7770D" w:rsidRDefault="00170C1C" w:rsidP="00A7770D">
            <w:pPr>
              <w:pStyle w:val="Tabletext"/>
            </w:pPr>
            <w:r w:rsidRPr="00A7770D">
              <w:t xml:space="preserve">1,762,635   </w:t>
            </w:r>
          </w:p>
        </w:tc>
        <w:tc>
          <w:tcPr>
            <w:tcW w:w="812" w:type="pct"/>
            <w:noWrap/>
            <w:tcMar>
              <w:left w:w="57" w:type="dxa"/>
              <w:right w:w="57" w:type="dxa"/>
            </w:tcMar>
            <w:hideMark/>
          </w:tcPr>
          <w:p w14:paraId="26C9F8B4" w14:textId="77777777" w:rsidR="00170C1C" w:rsidRPr="00A7770D" w:rsidRDefault="00170C1C" w:rsidP="00A7770D">
            <w:pPr>
              <w:pStyle w:val="Tabletext"/>
            </w:pPr>
            <w:r w:rsidRPr="00A7770D">
              <w:t>2,149,399</w:t>
            </w:r>
          </w:p>
        </w:tc>
      </w:tr>
    </w:tbl>
    <w:p w14:paraId="7893FEBC" w14:textId="77777777" w:rsidR="00170C1C" w:rsidRPr="00A7770D" w:rsidRDefault="00170C1C" w:rsidP="00A7770D">
      <w:pPr>
        <w:pStyle w:val="Source"/>
      </w:pPr>
      <w:r w:rsidRPr="00A7770D">
        <w:t>Notes: Energy Savings are indicative, rather than absolute, as a result of data collection issues.</w:t>
      </w:r>
      <w:r w:rsidR="00847D20" w:rsidRPr="00A7770D">
        <w:br/>
      </w:r>
      <w:r w:rsidRPr="00A7770D">
        <w:t xml:space="preserve">Source: </w:t>
      </w:r>
      <w:r w:rsidR="00835A86" w:rsidRPr="00A7770D">
        <w:t>Programme</w:t>
      </w:r>
      <w:r w:rsidRPr="00A7770D">
        <w:t xml:space="preserve"> Data, AusIndustry</w:t>
      </w:r>
      <w:r w:rsidRPr="00A7770D">
        <w:tab/>
      </w:r>
    </w:p>
    <w:p w14:paraId="60A06A55" w14:textId="77777777" w:rsidR="00E77130" w:rsidRDefault="00A56597" w:rsidP="00276D0E">
      <w:pPr>
        <w:pStyle w:val="BodyText"/>
        <w:spacing w:before="120" w:after="240"/>
        <w:jc w:val="left"/>
      </w:pPr>
      <w:r>
        <w:t xml:space="preserve">It is clear </w:t>
      </w:r>
      <w:r w:rsidR="00AF09E7">
        <w:t>from the results provided above</w:t>
      </w:r>
      <w:r>
        <w:t xml:space="preserve"> that the </w:t>
      </w:r>
      <w:r w:rsidR="00835A86">
        <w:t>programme</w:t>
      </w:r>
      <w:r w:rsidR="00A40C29">
        <w:t xml:space="preserve"> achieved the</w:t>
      </w:r>
      <w:r>
        <w:t xml:space="preserve"> objective</w:t>
      </w:r>
      <w:r w:rsidR="001D172D">
        <w:t>s</w:t>
      </w:r>
      <w:r>
        <w:t xml:space="preserve"> of improving the energy efficiency</w:t>
      </w:r>
      <w:r w:rsidR="001D172D">
        <w:t>,</w:t>
      </w:r>
      <w:r>
        <w:t xml:space="preserve"> and reducing the energy costs</w:t>
      </w:r>
      <w:r w:rsidR="001D172D">
        <w:t>,</w:t>
      </w:r>
      <w:r>
        <w:t xml:space="preserve"> of grant recipients. However, it is difficult to </w:t>
      </w:r>
      <w:r w:rsidR="00AF2CFF">
        <w:t xml:space="preserve">assess the extent to which the </w:t>
      </w:r>
      <w:r w:rsidR="00835A86">
        <w:t>programme</w:t>
      </w:r>
      <w:r w:rsidR="004D178D">
        <w:t xml:space="preserve"> met the g</w:t>
      </w:r>
      <w:r w:rsidR="00AF2CFF">
        <w:t xml:space="preserve">overnment’s expectations, </w:t>
      </w:r>
      <w:r w:rsidR="001D172D">
        <w:t xml:space="preserve">as no performance targets were established at the commencement of the </w:t>
      </w:r>
      <w:r w:rsidR="00835A86">
        <w:t>programme</w:t>
      </w:r>
      <w:r w:rsidR="001D172D">
        <w:t xml:space="preserve">. </w:t>
      </w:r>
      <w:r w:rsidR="00DF42C2">
        <w:t xml:space="preserve">As a result, this evaluation has </w:t>
      </w:r>
      <w:r w:rsidR="008F6321">
        <w:t>been unable to assess</w:t>
      </w:r>
      <w:r w:rsidR="001D172D">
        <w:t xml:space="preserve"> the </w:t>
      </w:r>
      <w:r w:rsidR="008F6321">
        <w:t xml:space="preserve">achievements of the </w:t>
      </w:r>
      <w:r w:rsidR="00835A86">
        <w:t>programme</w:t>
      </w:r>
      <w:r w:rsidR="004D178D">
        <w:t xml:space="preserve"> against the g</w:t>
      </w:r>
      <w:r w:rsidR="008F6321">
        <w:t xml:space="preserve">overnment’s </w:t>
      </w:r>
      <w:r w:rsidR="004D3F02">
        <w:t xml:space="preserve">original </w:t>
      </w:r>
      <w:r w:rsidR="008F6321">
        <w:t>expectations.</w:t>
      </w:r>
    </w:p>
    <w:p w14:paraId="051C186C" w14:textId="77777777" w:rsidR="00387E3B" w:rsidRDefault="00387E3B" w:rsidP="00E77130">
      <w:pPr>
        <w:pStyle w:val="Heading2"/>
        <w:spacing w:before="120"/>
      </w:pPr>
      <w:bookmarkStart w:id="124" w:name="_Toc483236868"/>
      <w:r>
        <w:t>Technology Types</w:t>
      </w:r>
      <w:bookmarkEnd w:id="124"/>
    </w:p>
    <w:p w14:paraId="21E19D09" w14:textId="77777777" w:rsidR="009A291B" w:rsidRDefault="00C24EF5" w:rsidP="00455258">
      <w:pPr>
        <w:pStyle w:val="BodyText"/>
        <w:ind w:right="-194"/>
        <w:jc w:val="left"/>
      </w:pPr>
      <w:r>
        <w:t xml:space="preserve">The </w:t>
      </w:r>
      <w:r w:rsidR="00D46E03">
        <w:t xml:space="preserve">eligible projects </w:t>
      </w:r>
      <w:r w:rsidR="009A291B">
        <w:t>in</w:t>
      </w:r>
      <w:r w:rsidR="00387E3B">
        <w:t>cluded e</w:t>
      </w:r>
      <w:r w:rsidR="00387E3B" w:rsidRPr="00387E3B">
        <w:t>nergy efficiency upgrades or retrofits to non</w:t>
      </w:r>
      <w:r w:rsidR="00387E3B" w:rsidRPr="00387E3B">
        <w:rPr>
          <w:rFonts w:hint="eastAsia"/>
        </w:rPr>
        <w:noBreakHyphen/>
      </w:r>
      <w:r w:rsidR="00387E3B" w:rsidRPr="00387E3B">
        <w:t>residential council or community use buildings, facilities or sites (including street li</w:t>
      </w:r>
      <w:r w:rsidR="00387E3B">
        <w:t>ghts), where the majority use was</w:t>
      </w:r>
      <w:r w:rsidR="00387E3B" w:rsidRPr="00387E3B">
        <w:t xml:space="preserve"> for a council or community purpose.</w:t>
      </w:r>
      <w:r w:rsidR="00387E3B">
        <w:rPr>
          <w:rStyle w:val="FootnoteReference"/>
        </w:rPr>
        <w:footnoteReference w:id="15"/>
      </w:r>
    </w:p>
    <w:p w14:paraId="675225C7" w14:textId="77777777" w:rsidR="00387E3B" w:rsidRDefault="00AE7591" w:rsidP="00276D0E">
      <w:pPr>
        <w:pStyle w:val="BodyText"/>
        <w:spacing w:after="240"/>
        <w:jc w:val="left"/>
      </w:pPr>
      <w:r>
        <w:t>Table 5</w:t>
      </w:r>
      <w:r w:rsidR="002A04DE">
        <w:t>.2</w:t>
      </w:r>
      <w:r w:rsidR="00455258">
        <w:t xml:space="preserve"> lists the number of projects according to each technology type. </w:t>
      </w:r>
      <w:r w:rsidR="000A51CC">
        <w:t xml:space="preserve">Most of the CEEP projects were provided to upgrade space lighting (indoor and outdoor). This predominantly involved upgrading </w:t>
      </w:r>
      <w:r w:rsidR="00387E3B">
        <w:t>to LED bulbs and installing</w:t>
      </w:r>
      <w:r w:rsidR="000A51CC">
        <w:t xml:space="preserve"> timing devices. Many projects involved more than </w:t>
      </w:r>
      <w:r w:rsidR="00B22F9D">
        <w:t>one type of technolo</w:t>
      </w:r>
      <w:r w:rsidR="00772C76">
        <w:t>gy upgrade. However, grant recipient</w:t>
      </w:r>
      <w:r w:rsidR="00B22F9D">
        <w:t xml:space="preserve"> data was collated </w:t>
      </w:r>
      <w:r w:rsidR="00387E3B">
        <w:t>according to</w:t>
      </w:r>
      <w:r w:rsidR="00B22F9D">
        <w:t xml:space="preserve"> ‘main’ tech</w:t>
      </w:r>
      <w:r w:rsidR="00387E3B">
        <w:t>nology type. This</w:t>
      </w:r>
      <w:r w:rsidR="00B22F9D">
        <w:t xml:space="preserve"> has made it difficult to assess the exte</w:t>
      </w:r>
      <w:r w:rsidR="00387E3B">
        <w:t>nt of each technology type used, and the corresponding energy reductions achieved.</w:t>
      </w:r>
    </w:p>
    <w:p w14:paraId="55803662" w14:textId="77777777" w:rsidR="00FD4654" w:rsidRDefault="00AE7591" w:rsidP="00276D0E">
      <w:pPr>
        <w:pStyle w:val="Caption"/>
        <w:spacing w:after="120"/>
      </w:pPr>
      <w:r>
        <w:t>Table 5</w:t>
      </w:r>
      <w:r w:rsidR="002A04DE">
        <w:t>.2:</w:t>
      </w:r>
      <w:r w:rsidR="00FD4654" w:rsidRPr="000618FB">
        <w:t xml:space="preserve"> </w:t>
      </w:r>
      <w:r w:rsidR="00FD4654">
        <w:t>Summary of technology types and number of sites upgraded under CEEP.</w:t>
      </w:r>
    </w:p>
    <w:tbl>
      <w:tblPr>
        <w:tblW w:w="5132" w:type="pct"/>
        <w:tblInd w:w="57" w:type="dxa"/>
        <w:shd w:val="clear" w:color="auto" w:fill="CAE7F3"/>
        <w:tblLayout w:type="fixed"/>
        <w:tblCellMar>
          <w:right w:w="28" w:type="dxa"/>
        </w:tblCellMar>
        <w:tblLook w:val="0000" w:firstRow="0" w:lastRow="0" w:firstColumn="0" w:lastColumn="0" w:noHBand="0" w:noVBand="0"/>
        <w:tblCaption w:val="Summary of the Technology types and number of sites upgraded under CEEP"/>
        <w:tblDescription w:val="Few sites had single technologies upgraded through CEEP. Each site had a &quot;major&quot;&quot; technology type, which most accurately represented the projects' upgrades. &#10;&#10;The four &quot;major&quot; technology types that were awarded grants were: Efficient space lighting in 279 sites&#10;Pump and Compressor upgrades in 51 sites&#10;Efficient street lighting in 48 sites&#10;Improve/replace street HVAC systems in 43 sites&#10;The remaining 69 sites are dsitributed across 10 other &quot;major&quot; technology types.  "/>
      </w:tblPr>
      <w:tblGrid>
        <w:gridCol w:w="3629"/>
        <w:gridCol w:w="3447"/>
      </w:tblGrid>
      <w:tr w:rsidR="00FD4654" w:rsidRPr="0007219D" w14:paraId="0AEBF19A" w14:textId="77777777" w:rsidTr="00FD4654">
        <w:trPr>
          <w:cantSplit/>
        </w:trPr>
        <w:tc>
          <w:tcPr>
            <w:tcW w:w="3629" w:type="dxa"/>
            <w:shd w:val="clear" w:color="auto" w:fill="22789A"/>
            <w:vAlign w:val="center"/>
          </w:tcPr>
          <w:p w14:paraId="32B32771" w14:textId="77777777" w:rsidR="00FD4654" w:rsidRPr="00A7770D" w:rsidRDefault="00FD4654" w:rsidP="00A7770D">
            <w:pPr>
              <w:pStyle w:val="Tableheader"/>
            </w:pPr>
            <w:r w:rsidRPr="00A7770D">
              <w:t>Major technology type</w:t>
            </w:r>
          </w:p>
        </w:tc>
        <w:tc>
          <w:tcPr>
            <w:tcW w:w="3447" w:type="dxa"/>
            <w:shd w:val="clear" w:color="auto" w:fill="22789A"/>
            <w:vAlign w:val="center"/>
          </w:tcPr>
          <w:p w14:paraId="1DFCEBBA" w14:textId="77777777" w:rsidR="00FD4654" w:rsidRPr="00A7770D" w:rsidRDefault="00FD4654" w:rsidP="00A7770D">
            <w:pPr>
              <w:pStyle w:val="Tableheader"/>
              <w:jc w:val="center"/>
            </w:pPr>
            <w:r w:rsidRPr="00A7770D">
              <w:t>Number of sites</w:t>
            </w:r>
          </w:p>
        </w:tc>
      </w:tr>
      <w:tr w:rsidR="00FD4654" w:rsidRPr="0007219D" w14:paraId="5DFC749E" w14:textId="77777777" w:rsidTr="00FD4654">
        <w:trPr>
          <w:cantSplit/>
        </w:trPr>
        <w:tc>
          <w:tcPr>
            <w:tcW w:w="3629" w:type="dxa"/>
            <w:shd w:val="clear" w:color="auto" w:fill="CAE7F3"/>
          </w:tcPr>
          <w:p w14:paraId="18A048CF" w14:textId="77777777" w:rsidR="00FD4654" w:rsidRPr="00A7770D" w:rsidRDefault="00FD4654" w:rsidP="00A7770D">
            <w:pPr>
              <w:pStyle w:val="Tabletext"/>
            </w:pPr>
            <w:r w:rsidRPr="00A7770D">
              <w:t>Efficient space lighting</w:t>
            </w:r>
          </w:p>
        </w:tc>
        <w:tc>
          <w:tcPr>
            <w:tcW w:w="3447" w:type="dxa"/>
            <w:shd w:val="clear" w:color="auto" w:fill="CAE7F3"/>
          </w:tcPr>
          <w:p w14:paraId="5815F8F3" w14:textId="77777777" w:rsidR="00FD4654" w:rsidRPr="00A7770D" w:rsidRDefault="00FD4654" w:rsidP="00A7770D">
            <w:pPr>
              <w:pStyle w:val="Tabletext"/>
              <w:jc w:val="center"/>
            </w:pPr>
            <w:r w:rsidRPr="00A7770D">
              <w:t>279</w:t>
            </w:r>
          </w:p>
        </w:tc>
      </w:tr>
      <w:tr w:rsidR="00FD4654" w:rsidRPr="0007219D" w14:paraId="5F46EA7D" w14:textId="77777777" w:rsidTr="00FD4654">
        <w:trPr>
          <w:cantSplit/>
        </w:trPr>
        <w:tc>
          <w:tcPr>
            <w:tcW w:w="3629" w:type="dxa"/>
            <w:shd w:val="clear" w:color="auto" w:fill="CAE7F3"/>
          </w:tcPr>
          <w:p w14:paraId="3912B248" w14:textId="77777777" w:rsidR="00FD4654" w:rsidRPr="00A7770D" w:rsidRDefault="00FD4654" w:rsidP="00A7770D">
            <w:pPr>
              <w:pStyle w:val="Tabletext"/>
            </w:pPr>
            <w:r w:rsidRPr="00A7770D">
              <w:t xml:space="preserve">Pump/ compressor upgrade </w:t>
            </w:r>
          </w:p>
        </w:tc>
        <w:tc>
          <w:tcPr>
            <w:tcW w:w="3447" w:type="dxa"/>
            <w:shd w:val="clear" w:color="auto" w:fill="CAE7F3"/>
          </w:tcPr>
          <w:p w14:paraId="1D4E48AE" w14:textId="77777777" w:rsidR="00FD4654" w:rsidRPr="00A7770D" w:rsidRDefault="00FD4654" w:rsidP="00A7770D">
            <w:pPr>
              <w:pStyle w:val="Tabletext"/>
              <w:jc w:val="center"/>
            </w:pPr>
            <w:r w:rsidRPr="00A7770D">
              <w:t>51</w:t>
            </w:r>
          </w:p>
        </w:tc>
      </w:tr>
      <w:tr w:rsidR="00FD4654" w:rsidRPr="0007219D" w14:paraId="5F67D9AE" w14:textId="77777777" w:rsidTr="00FD4654">
        <w:trPr>
          <w:cantSplit/>
        </w:trPr>
        <w:tc>
          <w:tcPr>
            <w:tcW w:w="3629" w:type="dxa"/>
            <w:shd w:val="clear" w:color="auto" w:fill="CAE7F3"/>
          </w:tcPr>
          <w:p w14:paraId="3E9EAEDA" w14:textId="77777777" w:rsidR="00FD4654" w:rsidRPr="00A7770D" w:rsidRDefault="00FD4654" w:rsidP="00A7770D">
            <w:pPr>
              <w:pStyle w:val="Tabletext"/>
            </w:pPr>
            <w:r w:rsidRPr="00A7770D">
              <w:t>Efficient street lighting</w:t>
            </w:r>
          </w:p>
        </w:tc>
        <w:tc>
          <w:tcPr>
            <w:tcW w:w="3447" w:type="dxa"/>
            <w:shd w:val="clear" w:color="auto" w:fill="CAE7F3"/>
          </w:tcPr>
          <w:p w14:paraId="68A6BB2F" w14:textId="77777777" w:rsidR="00FD4654" w:rsidRPr="00A7770D" w:rsidRDefault="00FD4654" w:rsidP="00A7770D">
            <w:pPr>
              <w:pStyle w:val="Tabletext"/>
              <w:jc w:val="center"/>
            </w:pPr>
            <w:r w:rsidRPr="00A7770D">
              <w:t>48</w:t>
            </w:r>
          </w:p>
        </w:tc>
      </w:tr>
      <w:tr w:rsidR="00FD4654" w:rsidRPr="0007219D" w14:paraId="70954EC8" w14:textId="77777777" w:rsidTr="00FD4654">
        <w:trPr>
          <w:cantSplit/>
        </w:trPr>
        <w:tc>
          <w:tcPr>
            <w:tcW w:w="3629" w:type="dxa"/>
            <w:shd w:val="clear" w:color="auto" w:fill="CAE7F3"/>
          </w:tcPr>
          <w:p w14:paraId="2E16DFB9" w14:textId="77777777" w:rsidR="00FD4654" w:rsidRPr="00A7770D" w:rsidRDefault="00FD4654" w:rsidP="00A7770D">
            <w:pPr>
              <w:pStyle w:val="Tabletext"/>
            </w:pPr>
            <w:r w:rsidRPr="00A7770D">
              <w:t>Improve/replace HVAC systems</w:t>
            </w:r>
          </w:p>
        </w:tc>
        <w:tc>
          <w:tcPr>
            <w:tcW w:w="3447" w:type="dxa"/>
            <w:shd w:val="clear" w:color="auto" w:fill="CAE7F3"/>
          </w:tcPr>
          <w:p w14:paraId="3E918B2F" w14:textId="77777777" w:rsidR="00FD4654" w:rsidRPr="00A7770D" w:rsidRDefault="00FD4654" w:rsidP="00A7770D">
            <w:pPr>
              <w:pStyle w:val="Tabletext"/>
              <w:jc w:val="center"/>
            </w:pPr>
            <w:r w:rsidRPr="00A7770D">
              <w:t>43</w:t>
            </w:r>
          </w:p>
        </w:tc>
      </w:tr>
      <w:tr w:rsidR="00FD4654" w:rsidRPr="0007219D" w14:paraId="6EF4A5FD" w14:textId="77777777" w:rsidTr="00FD4654">
        <w:trPr>
          <w:cantSplit/>
        </w:trPr>
        <w:tc>
          <w:tcPr>
            <w:tcW w:w="3629" w:type="dxa"/>
            <w:shd w:val="clear" w:color="auto" w:fill="CAE7F3"/>
          </w:tcPr>
          <w:p w14:paraId="2AFC3E27" w14:textId="77777777" w:rsidR="00FD4654" w:rsidRPr="00A7770D" w:rsidRDefault="00FD4654" w:rsidP="00A7770D">
            <w:pPr>
              <w:pStyle w:val="Tabletext"/>
            </w:pPr>
            <w:r w:rsidRPr="00A7770D">
              <w:t>Cogeneration or tri-generation installation</w:t>
            </w:r>
          </w:p>
        </w:tc>
        <w:tc>
          <w:tcPr>
            <w:tcW w:w="3447" w:type="dxa"/>
            <w:shd w:val="clear" w:color="auto" w:fill="CAE7F3"/>
          </w:tcPr>
          <w:p w14:paraId="29E91C6F" w14:textId="77777777" w:rsidR="00FD4654" w:rsidRPr="00A7770D" w:rsidRDefault="00FD4654" w:rsidP="00A7770D">
            <w:pPr>
              <w:pStyle w:val="Tabletext"/>
              <w:jc w:val="center"/>
            </w:pPr>
            <w:r w:rsidRPr="00A7770D">
              <w:t>16</w:t>
            </w:r>
          </w:p>
        </w:tc>
      </w:tr>
      <w:tr w:rsidR="00FD4654" w:rsidRPr="0007219D" w14:paraId="57511E69" w14:textId="77777777" w:rsidTr="00FD4654">
        <w:trPr>
          <w:cantSplit/>
        </w:trPr>
        <w:tc>
          <w:tcPr>
            <w:tcW w:w="3629" w:type="dxa"/>
            <w:shd w:val="clear" w:color="auto" w:fill="CAE7F3"/>
          </w:tcPr>
          <w:p w14:paraId="3A90C8AE" w14:textId="77777777" w:rsidR="00FD4654" w:rsidRPr="00A7770D" w:rsidRDefault="00FD4654" w:rsidP="00A7770D">
            <w:pPr>
              <w:pStyle w:val="Tabletext"/>
            </w:pPr>
            <w:r w:rsidRPr="00A7770D">
              <w:t>Efficient hot water (heat pump or solar)</w:t>
            </w:r>
          </w:p>
        </w:tc>
        <w:tc>
          <w:tcPr>
            <w:tcW w:w="3447" w:type="dxa"/>
            <w:shd w:val="clear" w:color="auto" w:fill="CAE7F3"/>
          </w:tcPr>
          <w:p w14:paraId="5F6F9918" w14:textId="77777777" w:rsidR="00FD4654" w:rsidRPr="00A7770D" w:rsidRDefault="00FD4654" w:rsidP="00A7770D">
            <w:pPr>
              <w:pStyle w:val="Tabletext"/>
              <w:jc w:val="center"/>
            </w:pPr>
            <w:r w:rsidRPr="00A7770D">
              <w:t>13</w:t>
            </w:r>
          </w:p>
        </w:tc>
      </w:tr>
      <w:tr w:rsidR="00FD4654" w:rsidRPr="0007219D" w14:paraId="3572A73D" w14:textId="77777777" w:rsidTr="00FD4654">
        <w:trPr>
          <w:cantSplit/>
        </w:trPr>
        <w:tc>
          <w:tcPr>
            <w:tcW w:w="3629" w:type="dxa"/>
            <w:shd w:val="clear" w:color="auto" w:fill="CAE7F3"/>
          </w:tcPr>
          <w:p w14:paraId="5E08832D" w14:textId="77777777" w:rsidR="00FD4654" w:rsidRPr="00A7770D" w:rsidRDefault="00FD4654" w:rsidP="00A7770D">
            <w:pPr>
              <w:pStyle w:val="Tabletext"/>
            </w:pPr>
            <w:r w:rsidRPr="00A7770D">
              <w:t>Mixed/multiple upgrades</w:t>
            </w:r>
          </w:p>
        </w:tc>
        <w:tc>
          <w:tcPr>
            <w:tcW w:w="3447" w:type="dxa"/>
            <w:shd w:val="clear" w:color="auto" w:fill="CAE7F3"/>
          </w:tcPr>
          <w:p w14:paraId="079D37CF" w14:textId="77777777" w:rsidR="00FD4654" w:rsidRPr="00A7770D" w:rsidRDefault="00FD4654" w:rsidP="00A7770D">
            <w:pPr>
              <w:pStyle w:val="Tabletext"/>
              <w:jc w:val="center"/>
            </w:pPr>
            <w:r w:rsidRPr="00A7770D">
              <w:t>13</w:t>
            </w:r>
          </w:p>
        </w:tc>
      </w:tr>
      <w:tr w:rsidR="00FD4654" w:rsidRPr="0007219D" w14:paraId="0DE4E453" w14:textId="77777777" w:rsidTr="00FD4654">
        <w:trPr>
          <w:cantSplit/>
        </w:trPr>
        <w:tc>
          <w:tcPr>
            <w:tcW w:w="3629" w:type="dxa"/>
            <w:shd w:val="clear" w:color="auto" w:fill="CAE7F3"/>
          </w:tcPr>
          <w:p w14:paraId="0A869AFE" w14:textId="77777777" w:rsidR="00FD4654" w:rsidRPr="00A7770D" w:rsidRDefault="00FD4654" w:rsidP="00A7770D">
            <w:pPr>
              <w:pStyle w:val="Tabletext"/>
            </w:pPr>
            <w:r w:rsidRPr="00A7770D">
              <w:t>Power factor optimisation</w:t>
            </w:r>
          </w:p>
        </w:tc>
        <w:tc>
          <w:tcPr>
            <w:tcW w:w="3447" w:type="dxa"/>
            <w:shd w:val="clear" w:color="auto" w:fill="CAE7F3"/>
          </w:tcPr>
          <w:p w14:paraId="68F4AEDB" w14:textId="77777777" w:rsidR="00FD4654" w:rsidRPr="00A7770D" w:rsidRDefault="00FD4654" w:rsidP="00A7770D">
            <w:pPr>
              <w:pStyle w:val="Tabletext"/>
              <w:jc w:val="center"/>
            </w:pPr>
            <w:r w:rsidRPr="00A7770D">
              <w:t>9</w:t>
            </w:r>
          </w:p>
        </w:tc>
      </w:tr>
      <w:tr w:rsidR="00FD4654" w:rsidRPr="0007219D" w14:paraId="7B6F8A7F" w14:textId="77777777" w:rsidTr="00FD4654">
        <w:trPr>
          <w:cantSplit/>
        </w:trPr>
        <w:tc>
          <w:tcPr>
            <w:tcW w:w="3629" w:type="dxa"/>
            <w:shd w:val="clear" w:color="auto" w:fill="CAE7F3"/>
          </w:tcPr>
          <w:p w14:paraId="2117F2AF" w14:textId="77777777" w:rsidR="00FD4654" w:rsidRPr="00A7770D" w:rsidRDefault="00FD4654" w:rsidP="00A7770D">
            <w:pPr>
              <w:pStyle w:val="Tabletext"/>
            </w:pPr>
            <w:r w:rsidRPr="00A7770D">
              <w:t>Geothermal heat exchange</w:t>
            </w:r>
          </w:p>
        </w:tc>
        <w:tc>
          <w:tcPr>
            <w:tcW w:w="3447" w:type="dxa"/>
            <w:shd w:val="clear" w:color="auto" w:fill="CAE7F3"/>
          </w:tcPr>
          <w:p w14:paraId="2EC5F5B2" w14:textId="77777777" w:rsidR="00FD4654" w:rsidRPr="00A7770D" w:rsidRDefault="00FD4654" w:rsidP="00A7770D">
            <w:pPr>
              <w:pStyle w:val="Tabletext"/>
              <w:jc w:val="center"/>
            </w:pPr>
            <w:r w:rsidRPr="00A7770D">
              <w:t>7</w:t>
            </w:r>
          </w:p>
        </w:tc>
      </w:tr>
      <w:tr w:rsidR="00FD4654" w:rsidRPr="0007219D" w14:paraId="207CF0FA" w14:textId="77777777" w:rsidTr="00FD4654">
        <w:trPr>
          <w:cantSplit/>
        </w:trPr>
        <w:tc>
          <w:tcPr>
            <w:tcW w:w="3629" w:type="dxa"/>
            <w:shd w:val="clear" w:color="auto" w:fill="CAE7F3"/>
          </w:tcPr>
          <w:p w14:paraId="01212C5E" w14:textId="77777777" w:rsidR="00FD4654" w:rsidRPr="00A7770D" w:rsidRDefault="00FD4654" w:rsidP="00A7770D">
            <w:pPr>
              <w:pStyle w:val="Tabletext"/>
            </w:pPr>
            <w:r w:rsidRPr="00A7770D">
              <w:t>Improve building fabric / Insulation</w:t>
            </w:r>
          </w:p>
        </w:tc>
        <w:tc>
          <w:tcPr>
            <w:tcW w:w="3447" w:type="dxa"/>
            <w:shd w:val="clear" w:color="auto" w:fill="CAE7F3"/>
          </w:tcPr>
          <w:p w14:paraId="70AFB9EF" w14:textId="77777777" w:rsidR="00FD4654" w:rsidRPr="00A7770D" w:rsidRDefault="00FD4654" w:rsidP="00A7770D">
            <w:pPr>
              <w:pStyle w:val="Tabletext"/>
              <w:jc w:val="center"/>
            </w:pPr>
            <w:r w:rsidRPr="00A7770D">
              <w:t>5</w:t>
            </w:r>
          </w:p>
        </w:tc>
      </w:tr>
      <w:tr w:rsidR="00FD4654" w:rsidRPr="0007219D" w14:paraId="28B07C13" w14:textId="77777777" w:rsidTr="00FD4654">
        <w:trPr>
          <w:cantSplit/>
        </w:trPr>
        <w:tc>
          <w:tcPr>
            <w:tcW w:w="3629" w:type="dxa"/>
            <w:shd w:val="clear" w:color="auto" w:fill="CAE7F3"/>
          </w:tcPr>
          <w:p w14:paraId="74355C17" w14:textId="77777777" w:rsidR="00FD4654" w:rsidRPr="00A7770D" w:rsidRDefault="00FD4654" w:rsidP="00A7770D">
            <w:pPr>
              <w:pStyle w:val="Tabletext"/>
            </w:pPr>
            <w:r w:rsidRPr="00A7770D">
              <w:t>Boiler/chiller upgrade</w:t>
            </w:r>
          </w:p>
        </w:tc>
        <w:tc>
          <w:tcPr>
            <w:tcW w:w="3447" w:type="dxa"/>
            <w:shd w:val="clear" w:color="auto" w:fill="CAE7F3"/>
          </w:tcPr>
          <w:p w14:paraId="3E1AE42E" w14:textId="77777777" w:rsidR="00FD4654" w:rsidRPr="00A7770D" w:rsidRDefault="00FD4654" w:rsidP="00A7770D">
            <w:pPr>
              <w:pStyle w:val="Tabletext"/>
              <w:jc w:val="center"/>
            </w:pPr>
            <w:r w:rsidRPr="00A7770D">
              <w:t>3</w:t>
            </w:r>
          </w:p>
        </w:tc>
      </w:tr>
      <w:tr w:rsidR="00FD4654" w:rsidRPr="0007219D" w14:paraId="1CE74387" w14:textId="77777777" w:rsidTr="00FD4654">
        <w:trPr>
          <w:cantSplit/>
        </w:trPr>
        <w:tc>
          <w:tcPr>
            <w:tcW w:w="3629" w:type="dxa"/>
            <w:shd w:val="clear" w:color="auto" w:fill="CAE7F3"/>
          </w:tcPr>
          <w:p w14:paraId="1594A3B2" w14:textId="77777777" w:rsidR="00FD4654" w:rsidRPr="00A7770D" w:rsidRDefault="00FD4654" w:rsidP="00A7770D">
            <w:pPr>
              <w:pStyle w:val="Tabletext"/>
            </w:pPr>
            <w:r w:rsidRPr="00A7770D">
              <w:t>Industry specific equipment upgrade</w:t>
            </w:r>
          </w:p>
        </w:tc>
        <w:tc>
          <w:tcPr>
            <w:tcW w:w="3447" w:type="dxa"/>
            <w:shd w:val="clear" w:color="auto" w:fill="CAE7F3"/>
          </w:tcPr>
          <w:p w14:paraId="02589F63" w14:textId="77777777" w:rsidR="00FD4654" w:rsidRPr="00A7770D" w:rsidRDefault="00FD4654" w:rsidP="00A7770D">
            <w:pPr>
              <w:pStyle w:val="Tabletext"/>
              <w:jc w:val="center"/>
            </w:pPr>
            <w:r w:rsidRPr="00A7770D">
              <w:t>1</w:t>
            </w:r>
          </w:p>
        </w:tc>
      </w:tr>
      <w:tr w:rsidR="00FD4654" w:rsidRPr="0007219D" w14:paraId="6286320C" w14:textId="77777777" w:rsidTr="00FD4654">
        <w:trPr>
          <w:cantSplit/>
        </w:trPr>
        <w:tc>
          <w:tcPr>
            <w:tcW w:w="3629" w:type="dxa"/>
            <w:shd w:val="clear" w:color="auto" w:fill="CAE7F3"/>
          </w:tcPr>
          <w:p w14:paraId="6F164C1D" w14:textId="77777777" w:rsidR="00FD4654" w:rsidRPr="00A7770D" w:rsidRDefault="00FD4654" w:rsidP="00A7770D">
            <w:pPr>
              <w:pStyle w:val="Tabletext"/>
            </w:pPr>
            <w:r w:rsidRPr="00A7770D">
              <w:t xml:space="preserve">Energy Monitoring </w:t>
            </w:r>
          </w:p>
        </w:tc>
        <w:tc>
          <w:tcPr>
            <w:tcW w:w="3447" w:type="dxa"/>
            <w:shd w:val="clear" w:color="auto" w:fill="CAE7F3"/>
          </w:tcPr>
          <w:p w14:paraId="4572DC9C" w14:textId="77777777" w:rsidR="00FD4654" w:rsidRPr="00A7770D" w:rsidRDefault="00FD4654" w:rsidP="00A7770D">
            <w:pPr>
              <w:pStyle w:val="Tabletext"/>
              <w:jc w:val="center"/>
            </w:pPr>
            <w:r w:rsidRPr="00A7770D">
              <w:t>1</w:t>
            </w:r>
          </w:p>
        </w:tc>
      </w:tr>
      <w:tr w:rsidR="00FD4654" w:rsidRPr="0007219D" w14:paraId="6EC39362" w14:textId="77777777" w:rsidTr="00FD4654">
        <w:trPr>
          <w:cantSplit/>
        </w:trPr>
        <w:tc>
          <w:tcPr>
            <w:tcW w:w="3629" w:type="dxa"/>
            <w:shd w:val="clear" w:color="auto" w:fill="CAE7F3"/>
          </w:tcPr>
          <w:p w14:paraId="513AED58" w14:textId="77777777" w:rsidR="00FD4654" w:rsidRPr="00A7770D" w:rsidRDefault="00FD4654" w:rsidP="00A7770D">
            <w:pPr>
              <w:pStyle w:val="Tabletext"/>
            </w:pPr>
            <w:r w:rsidRPr="00A7770D">
              <w:t>Smart Controls</w:t>
            </w:r>
          </w:p>
        </w:tc>
        <w:tc>
          <w:tcPr>
            <w:tcW w:w="3447" w:type="dxa"/>
            <w:shd w:val="clear" w:color="auto" w:fill="CAE7F3"/>
          </w:tcPr>
          <w:p w14:paraId="5CB033E4" w14:textId="77777777" w:rsidR="00FD4654" w:rsidRPr="00A7770D" w:rsidRDefault="00FD4654" w:rsidP="00A7770D">
            <w:pPr>
              <w:pStyle w:val="Tabletext"/>
              <w:jc w:val="center"/>
            </w:pPr>
            <w:r w:rsidRPr="00A7770D">
              <w:t>1</w:t>
            </w:r>
          </w:p>
        </w:tc>
      </w:tr>
    </w:tbl>
    <w:p w14:paraId="5FFA0379" w14:textId="77777777" w:rsidR="00FD4654" w:rsidRDefault="00FD4654" w:rsidP="00FD4654">
      <w:pPr>
        <w:pStyle w:val="Note"/>
        <w:tabs>
          <w:tab w:val="right" w:pos="9026"/>
        </w:tabs>
        <w:spacing w:before="120" w:after="120" w:line="240" w:lineRule="auto"/>
      </w:pPr>
      <w:r>
        <w:t xml:space="preserve">Source: </w:t>
      </w:r>
      <w:r w:rsidR="00835A86">
        <w:t>Programme</w:t>
      </w:r>
      <w:r>
        <w:t xml:space="preserve"> data, AusIndustry</w:t>
      </w:r>
    </w:p>
    <w:p w14:paraId="15640FF4" w14:textId="77777777" w:rsidR="0007219D" w:rsidRDefault="0007219D" w:rsidP="00075F5E">
      <w:pPr>
        <w:pStyle w:val="BodyText"/>
        <w:spacing w:before="240" w:after="120"/>
      </w:pPr>
      <w:r>
        <w:t>This evaluation analysed the data available to assess four technology types:</w:t>
      </w:r>
    </w:p>
    <w:p w14:paraId="3AC4B2B2" w14:textId="77777777" w:rsidR="0007219D" w:rsidRDefault="0007219D" w:rsidP="00D7136C">
      <w:pPr>
        <w:pStyle w:val="BodyText"/>
        <w:numPr>
          <w:ilvl w:val="0"/>
          <w:numId w:val="22"/>
        </w:numPr>
        <w:spacing w:after="0"/>
        <w:ind w:left="714" w:hanging="357"/>
      </w:pPr>
      <w:r>
        <w:t>Space lighting</w:t>
      </w:r>
      <w:r w:rsidR="00AF09E7">
        <w:t xml:space="preserve"> (replacing light bulbs with LED)</w:t>
      </w:r>
      <w:r>
        <w:t xml:space="preserve"> (27</w:t>
      </w:r>
      <w:r w:rsidR="0082433C">
        <w:t>9</w:t>
      </w:r>
      <w:r>
        <w:t>)</w:t>
      </w:r>
    </w:p>
    <w:p w14:paraId="27083334" w14:textId="77777777" w:rsidR="00455258" w:rsidRDefault="00455258" w:rsidP="00D7136C">
      <w:pPr>
        <w:pStyle w:val="BodyText"/>
        <w:numPr>
          <w:ilvl w:val="0"/>
          <w:numId w:val="22"/>
        </w:numPr>
        <w:spacing w:after="0"/>
        <w:ind w:left="714" w:hanging="357"/>
      </w:pPr>
      <w:r>
        <w:t xml:space="preserve">Pump upgrades </w:t>
      </w:r>
      <w:r w:rsidR="00AF09E7">
        <w:t>(replacing water pump systems) (51)</w:t>
      </w:r>
    </w:p>
    <w:p w14:paraId="00A111E2" w14:textId="77777777" w:rsidR="0007219D" w:rsidRDefault="0007219D" w:rsidP="00D7136C">
      <w:pPr>
        <w:pStyle w:val="BodyText"/>
        <w:numPr>
          <w:ilvl w:val="0"/>
          <w:numId w:val="22"/>
        </w:numPr>
        <w:spacing w:after="0"/>
        <w:ind w:left="714" w:hanging="357"/>
      </w:pPr>
      <w:r>
        <w:t>Street lighting</w:t>
      </w:r>
      <w:r w:rsidR="00AF09E7">
        <w:t xml:space="preserve"> (replacing light bulbs with LED)</w:t>
      </w:r>
      <w:r>
        <w:t xml:space="preserve"> (48)</w:t>
      </w:r>
    </w:p>
    <w:p w14:paraId="3E37C339" w14:textId="77777777" w:rsidR="0007219D" w:rsidRDefault="00AF09E7" w:rsidP="00D7136C">
      <w:pPr>
        <w:pStyle w:val="BodyText"/>
        <w:numPr>
          <w:ilvl w:val="0"/>
          <w:numId w:val="22"/>
        </w:numPr>
        <w:spacing w:after="120"/>
        <w:ind w:left="714" w:hanging="357"/>
      </w:pPr>
      <w:r>
        <w:t>HVAC (replacing air conditioners and cooling systems) (43)</w:t>
      </w:r>
    </w:p>
    <w:p w14:paraId="7C493D6B" w14:textId="77777777" w:rsidR="00777B30" w:rsidRDefault="00387E3B" w:rsidP="00455258">
      <w:pPr>
        <w:pStyle w:val="BodyText"/>
        <w:spacing w:after="120"/>
        <w:jc w:val="left"/>
      </w:pPr>
      <w:r w:rsidRPr="001F16F0">
        <w:t>These four technology types account</w:t>
      </w:r>
      <w:r>
        <w:t>ed</w:t>
      </w:r>
      <w:r w:rsidRPr="001F16F0">
        <w:t xml:space="preserve"> for 6</w:t>
      </w:r>
      <w:r>
        <w:t>6</w:t>
      </w:r>
      <w:r w:rsidRPr="001F16F0">
        <w:t xml:space="preserve"> per cent of the total project costs</w:t>
      </w:r>
      <w:r>
        <w:t xml:space="preserve"> and</w:t>
      </w:r>
      <w:r w:rsidR="0007219D">
        <w:t xml:space="preserve"> 53 per cent of the </w:t>
      </w:r>
      <w:r w:rsidR="00777B30">
        <w:t xml:space="preserve">total </w:t>
      </w:r>
      <w:r w:rsidR="0007219D">
        <w:t>energy savings achieved</w:t>
      </w:r>
      <w:r>
        <w:t xml:space="preserve"> through </w:t>
      </w:r>
      <w:r w:rsidR="00777B30">
        <w:t>the CEEP. They are often the largest consumers of electricity in non-residential buildings.</w:t>
      </w:r>
      <w:r w:rsidR="00777B30">
        <w:rPr>
          <w:rStyle w:val="FootnoteReference"/>
        </w:rPr>
        <w:footnoteReference w:id="16"/>
      </w:r>
      <w:r w:rsidR="00777B30">
        <w:t xml:space="preserve"> For instance, non-residential HVAC systems are estimated to consume </w:t>
      </w:r>
      <w:r w:rsidR="00777B30" w:rsidRPr="00FF5041">
        <w:t>9 per cent of electricity produced in Australia</w:t>
      </w:r>
      <w:r w:rsidR="00AB7BD2">
        <w:t>,</w:t>
      </w:r>
      <w:r w:rsidR="00777B30" w:rsidRPr="00FF5041">
        <w:t xml:space="preserve"> and produce 3.6 per cent</w:t>
      </w:r>
      <w:r w:rsidR="00777B30">
        <w:t xml:space="preserve"> of total carbon emissions.</w:t>
      </w:r>
      <w:r w:rsidR="00777B30">
        <w:rPr>
          <w:rStyle w:val="FootnoteReference"/>
        </w:rPr>
        <w:footnoteReference w:id="17"/>
      </w:r>
      <w:r w:rsidR="00777B30">
        <w:t xml:space="preserve"> Further, HVAC systems can be responsible for up to 60 per cent of all energy used in non-residential buildings. </w:t>
      </w:r>
      <w:r w:rsidR="00AE7591">
        <w:t>Table 5</w:t>
      </w:r>
      <w:r w:rsidR="002A04DE">
        <w:t>.3</w:t>
      </w:r>
      <w:r w:rsidR="00455258">
        <w:t xml:space="preserve"> </w:t>
      </w:r>
      <w:r w:rsidR="00777B30">
        <w:t>outlines the typical benefits of converting to energy ef</w:t>
      </w:r>
      <w:r w:rsidR="00AB7BD2">
        <w:t>ficient replacements for these</w:t>
      </w:r>
      <w:r w:rsidR="00777B30">
        <w:t xml:space="preserve"> technology types. </w:t>
      </w:r>
    </w:p>
    <w:p w14:paraId="20C623C4" w14:textId="77777777" w:rsidR="00777B30" w:rsidRDefault="00777B30" w:rsidP="00AB7BD2">
      <w:pPr>
        <w:pStyle w:val="Caption"/>
        <w:spacing w:before="240" w:after="120"/>
      </w:pPr>
      <w:bookmarkStart w:id="125" w:name="_Ref464819356"/>
      <w:r w:rsidRPr="000618FB">
        <w:t xml:space="preserve">Table </w:t>
      </w:r>
      <w:bookmarkEnd w:id="125"/>
      <w:r w:rsidR="00AE7591">
        <w:t>5</w:t>
      </w:r>
      <w:r w:rsidR="002A04DE">
        <w:rPr>
          <w:noProof/>
        </w:rPr>
        <w:t>.3</w:t>
      </w:r>
      <w:r w:rsidR="002A04DE">
        <w:t>:</w:t>
      </w:r>
      <w:r w:rsidRPr="000618FB">
        <w:t xml:space="preserve"> </w:t>
      </w:r>
      <w:r>
        <w:t>The average energy saving, life expectancy and payback period of energy efficient technology conversions for street lighting, space lighting and HVAC systems.</w:t>
      </w:r>
    </w:p>
    <w:tbl>
      <w:tblPr>
        <w:tblW w:w="4994" w:type="pct"/>
        <w:tblInd w:w="57" w:type="dxa"/>
        <w:shd w:val="clear" w:color="auto" w:fill="CAE7F3"/>
        <w:tblLayout w:type="fixed"/>
        <w:tblCellMar>
          <w:right w:w="28" w:type="dxa"/>
        </w:tblCellMar>
        <w:tblLook w:val="0000" w:firstRow="0" w:lastRow="0" w:firstColumn="0" w:lastColumn="0" w:noHBand="0" w:noVBand="0"/>
        <w:tblCaption w:val="Table 5. The average energy saving, life expectancy and payback period of energy efficient technology conversions for street lighting, space lighting and HVAC systems"/>
        <w:tblDescription w:val="Compared to a 400 Watt mercury vapour street light, a 110 Watt LED streetlight will save between 55 and 75 percent of the energy use, have an average life expectancy of 50,000 hours, may reduce carbon dioxide emmissions by 88.7 tonnes per year, and has a typical payback period of 2.9 years.&#10;&#10;Compared to a 36 Watt fluorescent, a 30 Watt integrated LED saves between 60 to 66 per cent of the energy consumption, has an average life expectancy of 30,000 to 50,000 hours, may save 16.5 tonnes of carbon dioxide per year and has a typical payback period of 3.7 years.&#10;&#10;Heating, ventilation and air conditioning systems, once upgraded, can save 70 percent of the energy consumption,reduce carbon dioxide emissions by 786 tonnes per year, and have typical pay back periods of 12.5 years."/>
      </w:tblPr>
      <w:tblGrid>
        <w:gridCol w:w="1252"/>
        <w:gridCol w:w="876"/>
        <w:gridCol w:w="1235"/>
        <w:gridCol w:w="1144"/>
        <w:gridCol w:w="981"/>
        <w:gridCol w:w="1398"/>
      </w:tblGrid>
      <w:tr w:rsidR="00777B30" w14:paraId="54B5D064" w14:textId="77777777" w:rsidTr="00AF2CFF">
        <w:trPr>
          <w:cantSplit/>
        </w:trPr>
        <w:tc>
          <w:tcPr>
            <w:tcW w:w="1252" w:type="dxa"/>
            <w:shd w:val="clear" w:color="auto" w:fill="22789A"/>
            <w:vAlign w:val="center"/>
          </w:tcPr>
          <w:p w14:paraId="6C56CD46" w14:textId="77777777" w:rsidR="00777B30" w:rsidRDefault="00777B30" w:rsidP="00AF2CFF">
            <w:pPr>
              <w:pStyle w:val="Tableheader"/>
            </w:pPr>
            <w:r>
              <w:t>Technology</w:t>
            </w:r>
          </w:p>
        </w:tc>
        <w:tc>
          <w:tcPr>
            <w:tcW w:w="876" w:type="dxa"/>
            <w:shd w:val="clear" w:color="auto" w:fill="22789A"/>
            <w:vAlign w:val="center"/>
          </w:tcPr>
          <w:p w14:paraId="590DE3AD" w14:textId="77777777" w:rsidR="00777B30" w:rsidRDefault="00777B30" w:rsidP="00AF2CFF">
            <w:pPr>
              <w:pStyle w:val="Tableheader"/>
            </w:pPr>
            <w:r>
              <w:t>Energy Saving</w:t>
            </w:r>
          </w:p>
        </w:tc>
        <w:tc>
          <w:tcPr>
            <w:tcW w:w="1235" w:type="dxa"/>
            <w:shd w:val="clear" w:color="auto" w:fill="22789A"/>
            <w:vAlign w:val="center"/>
          </w:tcPr>
          <w:p w14:paraId="04E43766" w14:textId="77777777" w:rsidR="00777B30" w:rsidRDefault="00777B30" w:rsidP="00AF2CFF">
            <w:pPr>
              <w:pStyle w:val="Tableheader"/>
            </w:pPr>
            <w:r>
              <w:t>Life Expectancy</w:t>
            </w:r>
          </w:p>
        </w:tc>
        <w:tc>
          <w:tcPr>
            <w:tcW w:w="1144" w:type="dxa"/>
            <w:shd w:val="clear" w:color="auto" w:fill="22789A"/>
          </w:tcPr>
          <w:p w14:paraId="422DE579" w14:textId="77777777" w:rsidR="00777B30" w:rsidRDefault="00777B30" w:rsidP="00AF2CFF">
            <w:pPr>
              <w:pStyle w:val="Tableheader"/>
            </w:pPr>
            <w:r>
              <w:t>Emission Reduction (CO</w:t>
            </w:r>
            <w:r w:rsidRPr="00C618F8">
              <w:rPr>
                <w:vertAlign w:val="subscript"/>
              </w:rPr>
              <w:t>2</w:t>
            </w:r>
            <w:r>
              <w:t xml:space="preserve"> p.a)</w:t>
            </w:r>
          </w:p>
        </w:tc>
        <w:tc>
          <w:tcPr>
            <w:tcW w:w="981" w:type="dxa"/>
            <w:shd w:val="clear" w:color="auto" w:fill="22789A"/>
            <w:vAlign w:val="center"/>
          </w:tcPr>
          <w:p w14:paraId="75C92D3E" w14:textId="77777777" w:rsidR="00777B30" w:rsidRDefault="00777B30" w:rsidP="00AF2CFF">
            <w:pPr>
              <w:pStyle w:val="Tableheader"/>
            </w:pPr>
            <w:r>
              <w:t>Payback Period</w:t>
            </w:r>
          </w:p>
        </w:tc>
        <w:tc>
          <w:tcPr>
            <w:tcW w:w="1398" w:type="dxa"/>
            <w:shd w:val="clear" w:color="auto" w:fill="22789A"/>
            <w:vAlign w:val="center"/>
          </w:tcPr>
          <w:p w14:paraId="41D99F01" w14:textId="77777777" w:rsidR="00777B30" w:rsidRDefault="00777B30" w:rsidP="00AF2CFF">
            <w:pPr>
              <w:pStyle w:val="Tableheader"/>
            </w:pPr>
            <w:r>
              <w:t>Comparison</w:t>
            </w:r>
          </w:p>
        </w:tc>
      </w:tr>
      <w:tr w:rsidR="00777B30" w14:paraId="2B4E1B93" w14:textId="77777777" w:rsidTr="00AF2CFF">
        <w:trPr>
          <w:cantSplit/>
        </w:trPr>
        <w:tc>
          <w:tcPr>
            <w:tcW w:w="1252" w:type="dxa"/>
            <w:shd w:val="clear" w:color="auto" w:fill="CAE7F3"/>
          </w:tcPr>
          <w:p w14:paraId="5E085CCD" w14:textId="77777777" w:rsidR="00777B30" w:rsidRDefault="00777B30" w:rsidP="00AF2CFF">
            <w:pPr>
              <w:pStyle w:val="Tabletext"/>
            </w:pPr>
            <w:r>
              <w:t>Street lighting (110W LED luminaire)</w:t>
            </w:r>
          </w:p>
        </w:tc>
        <w:tc>
          <w:tcPr>
            <w:tcW w:w="876" w:type="dxa"/>
            <w:shd w:val="clear" w:color="auto" w:fill="CAE7F3"/>
          </w:tcPr>
          <w:p w14:paraId="01DD0176" w14:textId="77777777" w:rsidR="00777B30" w:rsidRDefault="00345ABE" w:rsidP="00AF2CFF">
            <w:pPr>
              <w:pStyle w:val="Tabletext"/>
            </w:pPr>
            <w:r>
              <w:t>55</w:t>
            </w:r>
            <w:r>
              <w:rPr>
                <w:rFonts w:ascii="Calibri" w:hAnsi="Calibri"/>
              </w:rPr>
              <w:t>–</w:t>
            </w:r>
            <w:r w:rsidR="00777B30">
              <w:t>75 per cent</w:t>
            </w:r>
          </w:p>
        </w:tc>
        <w:tc>
          <w:tcPr>
            <w:tcW w:w="1235" w:type="dxa"/>
            <w:shd w:val="clear" w:color="auto" w:fill="CAE7F3"/>
          </w:tcPr>
          <w:p w14:paraId="168DCF4E" w14:textId="77777777" w:rsidR="00777B30" w:rsidRDefault="00777B30" w:rsidP="00AF2CFF">
            <w:pPr>
              <w:pStyle w:val="Tabletext"/>
            </w:pPr>
            <w:r>
              <w:t>50,000 hours</w:t>
            </w:r>
          </w:p>
        </w:tc>
        <w:tc>
          <w:tcPr>
            <w:tcW w:w="1144" w:type="dxa"/>
            <w:shd w:val="clear" w:color="auto" w:fill="CAE7F3"/>
          </w:tcPr>
          <w:p w14:paraId="5956A918" w14:textId="77777777" w:rsidR="00777B30" w:rsidRDefault="00777B30" w:rsidP="00AF2CFF">
            <w:pPr>
              <w:pStyle w:val="Tabletext"/>
            </w:pPr>
            <w:r>
              <w:t>88.7 tonnes</w:t>
            </w:r>
          </w:p>
        </w:tc>
        <w:tc>
          <w:tcPr>
            <w:tcW w:w="981" w:type="dxa"/>
            <w:shd w:val="clear" w:color="auto" w:fill="CAE7F3"/>
          </w:tcPr>
          <w:p w14:paraId="6CA1F2AE" w14:textId="77777777" w:rsidR="00777B30" w:rsidRDefault="00777B30" w:rsidP="00AF2CFF">
            <w:pPr>
              <w:pStyle w:val="Tabletext"/>
            </w:pPr>
            <w:r>
              <w:t>2.9 years</w:t>
            </w:r>
          </w:p>
        </w:tc>
        <w:tc>
          <w:tcPr>
            <w:tcW w:w="1398" w:type="dxa"/>
            <w:shd w:val="clear" w:color="auto" w:fill="CAE7F3"/>
          </w:tcPr>
          <w:p w14:paraId="1BE7EBCF" w14:textId="77777777" w:rsidR="00777B30" w:rsidRDefault="00777B30" w:rsidP="00AF2CFF">
            <w:pPr>
              <w:pStyle w:val="Tabletext"/>
            </w:pPr>
            <w:r>
              <w:t>400W mercury vapour luminaire</w:t>
            </w:r>
          </w:p>
        </w:tc>
      </w:tr>
      <w:tr w:rsidR="00777B30" w14:paraId="43893310" w14:textId="77777777" w:rsidTr="00AF2CFF">
        <w:trPr>
          <w:cantSplit/>
        </w:trPr>
        <w:tc>
          <w:tcPr>
            <w:tcW w:w="1252" w:type="dxa"/>
            <w:shd w:val="clear" w:color="auto" w:fill="CAE7F3"/>
          </w:tcPr>
          <w:p w14:paraId="6E8492CB" w14:textId="77777777" w:rsidR="00777B30" w:rsidRDefault="00777B30" w:rsidP="00AF2CFF">
            <w:pPr>
              <w:pStyle w:val="Tabletext"/>
            </w:pPr>
            <w:r>
              <w:t>Space lighting (30W integrated LED luminaire)</w:t>
            </w:r>
          </w:p>
        </w:tc>
        <w:tc>
          <w:tcPr>
            <w:tcW w:w="876" w:type="dxa"/>
            <w:shd w:val="clear" w:color="auto" w:fill="CAE7F3"/>
          </w:tcPr>
          <w:p w14:paraId="6F005F05" w14:textId="77777777" w:rsidR="00777B30" w:rsidRDefault="00345ABE" w:rsidP="00AF2CFF">
            <w:pPr>
              <w:pStyle w:val="Tabletext"/>
            </w:pPr>
            <w:r>
              <w:t>60</w:t>
            </w:r>
            <w:r>
              <w:rPr>
                <w:rFonts w:ascii="Calibri" w:hAnsi="Calibri"/>
              </w:rPr>
              <w:t>–</w:t>
            </w:r>
            <w:r w:rsidR="00777B30">
              <w:t>67 per cent</w:t>
            </w:r>
          </w:p>
        </w:tc>
        <w:tc>
          <w:tcPr>
            <w:tcW w:w="1235" w:type="dxa"/>
            <w:shd w:val="clear" w:color="auto" w:fill="CAE7F3"/>
          </w:tcPr>
          <w:p w14:paraId="7C4A2498" w14:textId="77777777" w:rsidR="00777B30" w:rsidRDefault="00345ABE" w:rsidP="00AF2CFF">
            <w:pPr>
              <w:pStyle w:val="Tabletext"/>
            </w:pPr>
            <w:r>
              <w:t>30,000</w:t>
            </w:r>
            <w:r>
              <w:rPr>
                <w:rFonts w:ascii="Calibri" w:hAnsi="Calibri"/>
              </w:rPr>
              <w:t>–</w:t>
            </w:r>
            <w:r w:rsidR="00777B30">
              <w:t>50,000 hours</w:t>
            </w:r>
          </w:p>
        </w:tc>
        <w:tc>
          <w:tcPr>
            <w:tcW w:w="1144" w:type="dxa"/>
            <w:shd w:val="clear" w:color="auto" w:fill="CAE7F3"/>
          </w:tcPr>
          <w:p w14:paraId="436ADD12" w14:textId="77777777" w:rsidR="00777B30" w:rsidRDefault="00777B30" w:rsidP="00AF2CFF">
            <w:pPr>
              <w:pStyle w:val="Tabletext"/>
            </w:pPr>
            <w:r>
              <w:t>16.5 tonnes</w:t>
            </w:r>
          </w:p>
        </w:tc>
        <w:tc>
          <w:tcPr>
            <w:tcW w:w="981" w:type="dxa"/>
            <w:shd w:val="clear" w:color="auto" w:fill="CAE7F3"/>
          </w:tcPr>
          <w:p w14:paraId="75AFCD22" w14:textId="77777777" w:rsidR="00777B30" w:rsidRDefault="00777B30" w:rsidP="00AF2CFF">
            <w:pPr>
              <w:pStyle w:val="Tabletext"/>
            </w:pPr>
            <w:r>
              <w:t>3.7 years</w:t>
            </w:r>
          </w:p>
        </w:tc>
        <w:tc>
          <w:tcPr>
            <w:tcW w:w="1398" w:type="dxa"/>
            <w:shd w:val="clear" w:color="auto" w:fill="CAE7F3"/>
          </w:tcPr>
          <w:p w14:paraId="745D8A22" w14:textId="77777777" w:rsidR="00777B30" w:rsidRDefault="00777B30" w:rsidP="00AF2CFF">
            <w:pPr>
              <w:pStyle w:val="Tabletext"/>
            </w:pPr>
            <w:r>
              <w:t>Twin 36W T8 fluorescent luminaires</w:t>
            </w:r>
          </w:p>
        </w:tc>
      </w:tr>
      <w:tr w:rsidR="00777B30" w14:paraId="5C9E4CF8" w14:textId="77777777" w:rsidTr="00AF2CFF">
        <w:trPr>
          <w:cantSplit/>
        </w:trPr>
        <w:tc>
          <w:tcPr>
            <w:tcW w:w="1252" w:type="dxa"/>
            <w:shd w:val="clear" w:color="auto" w:fill="CAE7F3"/>
          </w:tcPr>
          <w:p w14:paraId="0178B845" w14:textId="77777777" w:rsidR="00777B30" w:rsidRDefault="00777B30" w:rsidP="00AF2CFF">
            <w:pPr>
              <w:pStyle w:val="Tabletext"/>
            </w:pPr>
            <w:r>
              <w:t>HVAC</w:t>
            </w:r>
          </w:p>
        </w:tc>
        <w:tc>
          <w:tcPr>
            <w:tcW w:w="876" w:type="dxa"/>
            <w:shd w:val="clear" w:color="auto" w:fill="CAE7F3"/>
          </w:tcPr>
          <w:p w14:paraId="0F41DF2C" w14:textId="77777777" w:rsidR="00777B30" w:rsidRDefault="00777B30" w:rsidP="00664B56">
            <w:pPr>
              <w:pStyle w:val="Tabletext"/>
            </w:pPr>
            <w:r>
              <w:t>70</w:t>
            </w:r>
            <w:r w:rsidR="00664B56">
              <w:t xml:space="preserve"> </w:t>
            </w:r>
            <w:r>
              <w:t>per cent</w:t>
            </w:r>
          </w:p>
        </w:tc>
        <w:tc>
          <w:tcPr>
            <w:tcW w:w="1235" w:type="dxa"/>
            <w:shd w:val="clear" w:color="auto" w:fill="CAE7F3"/>
          </w:tcPr>
          <w:p w14:paraId="6D1B65FD" w14:textId="77777777" w:rsidR="00777B30" w:rsidRDefault="00777B30" w:rsidP="00AF2CFF">
            <w:pPr>
              <w:pStyle w:val="Tabletext"/>
            </w:pPr>
            <w:r>
              <w:t>N/A</w:t>
            </w:r>
          </w:p>
        </w:tc>
        <w:tc>
          <w:tcPr>
            <w:tcW w:w="1144" w:type="dxa"/>
            <w:shd w:val="clear" w:color="auto" w:fill="CAE7F3"/>
          </w:tcPr>
          <w:p w14:paraId="4F24796E" w14:textId="77777777" w:rsidR="00777B30" w:rsidRDefault="00777B30" w:rsidP="00AF2CFF">
            <w:pPr>
              <w:pStyle w:val="Tabletext"/>
            </w:pPr>
            <w:r>
              <w:t>786 tonnes</w:t>
            </w:r>
          </w:p>
        </w:tc>
        <w:tc>
          <w:tcPr>
            <w:tcW w:w="981" w:type="dxa"/>
            <w:shd w:val="clear" w:color="auto" w:fill="CAE7F3"/>
          </w:tcPr>
          <w:p w14:paraId="45536360" w14:textId="77777777" w:rsidR="00777B30" w:rsidRDefault="00777B30" w:rsidP="00AF2CFF">
            <w:pPr>
              <w:pStyle w:val="Tabletext"/>
            </w:pPr>
            <w:r>
              <w:t>12.5 years</w:t>
            </w:r>
          </w:p>
        </w:tc>
        <w:tc>
          <w:tcPr>
            <w:tcW w:w="1398" w:type="dxa"/>
            <w:shd w:val="clear" w:color="auto" w:fill="CAE7F3"/>
          </w:tcPr>
          <w:p w14:paraId="2B1841BA" w14:textId="77777777" w:rsidR="00777B30" w:rsidRPr="00000C53" w:rsidRDefault="00777B30" w:rsidP="00AF2CFF">
            <w:pPr>
              <w:pStyle w:val="Tabletext"/>
            </w:pPr>
            <w:r w:rsidRPr="00000C53">
              <w:t>N/A</w:t>
            </w:r>
          </w:p>
        </w:tc>
      </w:tr>
    </w:tbl>
    <w:p w14:paraId="3FFB9C1D" w14:textId="77777777" w:rsidR="00777B30" w:rsidRDefault="00777B30" w:rsidP="00777B30">
      <w:pPr>
        <w:pStyle w:val="Note"/>
        <w:spacing w:line="240" w:lineRule="auto"/>
      </w:pPr>
      <w:r>
        <w:t>Notes: Average for specific technology types, which does not account for individual use or costs at the time. Payback period does not include increase in building assets and reductions in payback periods due to external funding.</w:t>
      </w:r>
    </w:p>
    <w:p w14:paraId="32A0CC18" w14:textId="77777777" w:rsidR="00777B30" w:rsidRDefault="00777B30" w:rsidP="00777B30">
      <w:pPr>
        <w:pStyle w:val="Source"/>
        <w:spacing w:after="240"/>
      </w:pPr>
      <w:r>
        <w:t>Source: Office of Environment &amp; Heritage (2014</w:t>
      </w:r>
      <w:r w:rsidR="00AB7BD2">
        <w:t xml:space="preserve">), </w:t>
      </w:r>
      <w:hyperlink r:id="rId32" w:history="1">
        <w:r w:rsidR="00AB7BD2" w:rsidRPr="00670CCF">
          <w:rPr>
            <w:rStyle w:val="Hyperlink"/>
            <w:i/>
          </w:rPr>
          <w:t>Energy efficient lighting t</w:t>
        </w:r>
        <w:r w:rsidRPr="00670CCF">
          <w:rPr>
            <w:rStyle w:val="Hyperlink"/>
            <w:i/>
          </w:rPr>
          <w:t>echnology report</w:t>
        </w:r>
      </w:hyperlink>
    </w:p>
    <w:p w14:paraId="5DC27A1A" w14:textId="77777777" w:rsidR="00AB7BD2" w:rsidRDefault="00777B30" w:rsidP="00455258">
      <w:pPr>
        <w:pStyle w:val="BodyText"/>
        <w:spacing w:after="120"/>
        <w:jc w:val="left"/>
      </w:pPr>
      <w:r>
        <w:t>Broadly, these technologies have returned large energy savings (exce</w:t>
      </w:r>
      <w:r w:rsidR="00AB7BD2">
        <w:t>pt for pump/compressor upgrades which provided</w:t>
      </w:r>
      <w:r w:rsidR="00AF09E7">
        <w:t xml:space="preserve"> inconsistent results). In general</w:t>
      </w:r>
      <w:r>
        <w:t>,</w:t>
      </w:r>
      <w:r w:rsidR="00AB7BD2">
        <w:t xml:space="preserve"> the more expensive </w:t>
      </w:r>
      <w:r>
        <w:t>projects returned large</w:t>
      </w:r>
      <w:r w:rsidR="00AB7BD2">
        <w:t>r</w:t>
      </w:r>
      <w:r>
        <w:t xml:space="preserve"> energy savings. </w:t>
      </w:r>
      <w:r w:rsidR="00AF09E7">
        <w:t>S</w:t>
      </w:r>
      <w:r>
        <w:t>mall space lighting projects</w:t>
      </w:r>
      <w:r w:rsidR="00AF09E7">
        <w:t xml:space="preserve"> were an exception</w:t>
      </w:r>
      <w:r w:rsidR="00AB7BD2">
        <w:t>, reporting a slightly higher rate of</w:t>
      </w:r>
      <w:r>
        <w:t xml:space="preserve"> energy saving</w:t>
      </w:r>
      <w:r w:rsidR="00AB7BD2">
        <w:t xml:space="preserve"> per dollar than larger space lighting projects.</w:t>
      </w:r>
    </w:p>
    <w:p w14:paraId="08D318EE" w14:textId="77777777" w:rsidR="00AB7BD2" w:rsidRPr="00DC4959" w:rsidRDefault="00AB7BD2" w:rsidP="00455258">
      <w:pPr>
        <w:pStyle w:val="BodyText"/>
        <w:spacing w:after="120"/>
        <w:jc w:val="left"/>
      </w:pPr>
      <w:r w:rsidRPr="000A359E">
        <w:t xml:space="preserve">Table </w:t>
      </w:r>
      <w:r w:rsidR="002A04DE" w:rsidRPr="000A359E">
        <w:t>5.4</w:t>
      </w:r>
      <w:r w:rsidRPr="000A359E">
        <w:t xml:space="preserve"> outlines the</w:t>
      </w:r>
      <w:r>
        <w:t xml:space="preserve"> proportion </w:t>
      </w:r>
      <w:r w:rsidR="00AF09E7">
        <w:t>of investment in the four identified technology types</w:t>
      </w:r>
      <w:r>
        <w:t xml:space="preserve"> and the commensurate energy savings achieved. Space lighting provided the highest return on investment, closely followed by street </w:t>
      </w:r>
      <w:r w:rsidR="00477506">
        <w:t>lighting. The</w:t>
      </w:r>
      <w:r>
        <w:t xml:space="preserve"> amount of energy savings achieved by upgrading street lighting may be higher than indicated, as many </w:t>
      </w:r>
      <w:r w:rsidR="00E77130">
        <w:t xml:space="preserve">previously broke lights were replaced. </w:t>
      </w:r>
      <w:r>
        <w:t xml:space="preserve">This would have skewed the baseline </w:t>
      </w:r>
      <w:r w:rsidR="00477506">
        <w:t>ene</w:t>
      </w:r>
      <w:r w:rsidR="00C24EF5">
        <w:t>rgy</w:t>
      </w:r>
      <w:r w:rsidR="00477506">
        <w:t xml:space="preserve"> </w:t>
      </w:r>
      <w:r w:rsidR="000725AB">
        <w:t xml:space="preserve">data for </w:t>
      </w:r>
      <w:r>
        <w:t xml:space="preserve">street lighting projects. </w:t>
      </w:r>
    </w:p>
    <w:p w14:paraId="25702201" w14:textId="77777777" w:rsidR="00777B30" w:rsidRDefault="00777B30" w:rsidP="00777B30">
      <w:pPr>
        <w:pStyle w:val="Caption"/>
      </w:pPr>
      <w:r w:rsidRPr="000618FB">
        <w:t xml:space="preserve">Table </w:t>
      </w:r>
      <w:r w:rsidR="002A04DE">
        <w:t>5.4</w:t>
      </w:r>
      <w:r w:rsidR="00697E69">
        <w:t>.</w:t>
      </w:r>
      <w:r w:rsidRPr="000618FB">
        <w:t xml:space="preserve"> </w:t>
      </w:r>
      <w:r>
        <w:t>Proportion of total investment</w:t>
      </w:r>
    </w:p>
    <w:tbl>
      <w:tblPr>
        <w:tblW w:w="5000" w:type="pct"/>
        <w:tblInd w:w="57" w:type="dxa"/>
        <w:shd w:val="clear" w:color="auto" w:fill="CAE7F3"/>
        <w:tblLayout w:type="fixed"/>
        <w:tblCellMar>
          <w:right w:w="28" w:type="dxa"/>
        </w:tblCellMar>
        <w:tblLook w:val="0000" w:firstRow="0" w:lastRow="0" w:firstColumn="0" w:lastColumn="0" w:noHBand="0" w:noVBand="0"/>
        <w:tblCaption w:val="Table 6 Proportion of total investment"/>
        <w:tblDescription w:val="Of the four &quot;major&quot; technology types:&#10;Efficient street lighting accounts for 36 per cent of the funds spent through CEEP. It accounts for 31 per cent of the energy saved.&#10;Efficient space lighting accounts for thirteen percent of of all funds spent through CEEP, and fourteen per cent of the energy saved.&#10;Improving/replacing HVAC systems acounts for 12 percent of the funds spent through CEEP, and 7 percent of the energy saved. &#10;Pump/Compressor upgrades account for 5 per cent of the funds spent through CEEP, yet only account for 1 per cent of the energy saved.&#10;&#10;"/>
      </w:tblPr>
      <w:tblGrid>
        <w:gridCol w:w="1723"/>
        <w:gridCol w:w="1724"/>
        <w:gridCol w:w="1723"/>
        <w:gridCol w:w="1724"/>
      </w:tblGrid>
      <w:tr w:rsidR="00777B30" w14:paraId="37AC9821" w14:textId="77777777" w:rsidTr="00AF2CFF">
        <w:trPr>
          <w:cantSplit/>
        </w:trPr>
        <w:tc>
          <w:tcPr>
            <w:tcW w:w="2256" w:type="dxa"/>
            <w:shd w:val="clear" w:color="auto" w:fill="22789A" w:themeFill="accent3"/>
            <w:vAlign w:val="center"/>
          </w:tcPr>
          <w:p w14:paraId="59D53509" w14:textId="77777777" w:rsidR="00777B30" w:rsidRDefault="00777B30" w:rsidP="00AF2CFF">
            <w:pPr>
              <w:pStyle w:val="Tableheader"/>
            </w:pPr>
            <w:r>
              <w:t>Technology type</w:t>
            </w:r>
          </w:p>
        </w:tc>
        <w:tc>
          <w:tcPr>
            <w:tcW w:w="2257" w:type="dxa"/>
            <w:shd w:val="clear" w:color="auto" w:fill="22789A"/>
            <w:vAlign w:val="center"/>
          </w:tcPr>
          <w:p w14:paraId="63608EB5" w14:textId="77777777" w:rsidR="00777B30" w:rsidRDefault="00777B30" w:rsidP="00AF2CFF">
            <w:pPr>
              <w:pStyle w:val="Tableheader"/>
            </w:pPr>
            <w:r>
              <w:t>Number of sites</w:t>
            </w:r>
          </w:p>
        </w:tc>
        <w:tc>
          <w:tcPr>
            <w:tcW w:w="2256" w:type="dxa"/>
            <w:shd w:val="clear" w:color="auto" w:fill="22789A"/>
            <w:vAlign w:val="center"/>
          </w:tcPr>
          <w:p w14:paraId="0A4F99F0" w14:textId="77777777" w:rsidR="00777B30" w:rsidRDefault="00777B30" w:rsidP="00AF2CFF">
            <w:pPr>
              <w:pStyle w:val="Tableheader"/>
            </w:pPr>
            <w:r>
              <w:t>Proportion of total spend (per cent)</w:t>
            </w:r>
          </w:p>
        </w:tc>
        <w:tc>
          <w:tcPr>
            <w:tcW w:w="2257" w:type="dxa"/>
            <w:shd w:val="clear" w:color="auto" w:fill="22789A"/>
            <w:vAlign w:val="center"/>
          </w:tcPr>
          <w:p w14:paraId="2AD13A0C" w14:textId="77777777" w:rsidR="00777B30" w:rsidRDefault="00777B30" w:rsidP="00AF2CFF">
            <w:pPr>
              <w:pStyle w:val="Tableheader"/>
            </w:pPr>
            <w:r>
              <w:t>Proportion of total energy saved (per cent)</w:t>
            </w:r>
          </w:p>
        </w:tc>
      </w:tr>
      <w:tr w:rsidR="00777B30" w14:paraId="48807E27" w14:textId="77777777" w:rsidTr="00AF2CFF">
        <w:trPr>
          <w:cantSplit/>
        </w:trPr>
        <w:tc>
          <w:tcPr>
            <w:tcW w:w="2256" w:type="dxa"/>
            <w:shd w:val="clear" w:color="auto" w:fill="CAE7F3" w:themeFill="accent3" w:themeFillTint="33"/>
          </w:tcPr>
          <w:p w14:paraId="7355058C" w14:textId="77777777" w:rsidR="00777B30" w:rsidRPr="00732CCC" w:rsidRDefault="00777B30" w:rsidP="00AF2CFF">
            <w:pPr>
              <w:pStyle w:val="Tabletext"/>
            </w:pPr>
            <w:r w:rsidRPr="00DD2AB1">
              <w:t>Efficient space lighting</w:t>
            </w:r>
          </w:p>
        </w:tc>
        <w:tc>
          <w:tcPr>
            <w:tcW w:w="2257" w:type="dxa"/>
            <w:shd w:val="clear" w:color="auto" w:fill="CAE7F3" w:themeFill="accent3" w:themeFillTint="33"/>
          </w:tcPr>
          <w:p w14:paraId="1FC2CAB7" w14:textId="77777777" w:rsidR="00777B30" w:rsidRDefault="00777B30" w:rsidP="00AF2CFF">
            <w:pPr>
              <w:pStyle w:val="Tabletext"/>
              <w:jc w:val="center"/>
            </w:pPr>
            <w:r w:rsidRPr="00443D5D">
              <w:t>279</w:t>
            </w:r>
          </w:p>
        </w:tc>
        <w:tc>
          <w:tcPr>
            <w:tcW w:w="2256" w:type="dxa"/>
            <w:shd w:val="clear" w:color="auto" w:fill="CAE7F3"/>
          </w:tcPr>
          <w:p w14:paraId="0EE795E4" w14:textId="77777777" w:rsidR="00777B30" w:rsidRDefault="00777B30" w:rsidP="00AF2CFF">
            <w:pPr>
              <w:pStyle w:val="Tabletext"/>
              <w:jc w:val="center"/>
            </w:pPr>
            <w:r w:rsidRPr="00443D5D">
              <w:t>13</w:t>
            </w:r>
            <w:r>
              <w:t xml:space="preserve"> </w:t>
            </w:r>
          </w:p>
        </w:tc>
        <w:tc>
          <w:tcPr>
            <w:tcW w:w="2257" w:type="dxa"/>
            <w:shd w:val="clear" w:color="auto" w:fill="CAE7F3"/>
          </w:tcPr>
          <w:p w14:paraId="656E0346" w14:textId="77777777" w:rsidR="00777B30" w:rsidRDefault="00777B30" w:rsidP="00AF2CFF">
            <w:pPr>
              <w:pStyle w:val="Tabletext"/>
              <w:jc w:val="center"/>
            </w:pPr>
            <w:r w:rsidRPr="00443D5D">
              <w:t>14</w:t>
            </w:r>
          </w:p>
        </w:tc>
      </w:tr>
      <w:tr w:rsidR="00777B30" w14:paraId="39D21F20" w14:textId="77777777" w:rsidTr="00AF2CFF">
        <w:trPr>
          <w:cantSplit/>
        </w:trPr>
        <w:tc>
          <w:tcPr>
            <w:tcW w:w="2256" w:type="dxa"/>
            <w:shd w:val="clear" w:color="auto" w:fill="CAE7F3" w:themeFill="accent3" w:themeFillTint="33"/>
          </w:tcPr>
          <w:p w14:paraId="04748353" w14:textId="77777777" w:rsidR="00777B30" w:rsidRPr="00732CCC" w:rsidRDefault="00777B30" w:rsidP="00AF2CFF">
            <w:pPr>
              <w:pStyle w:val="Tabletext"/>
            </w:pPr>
            <w:r w:rsidRPr="00DD2AB1">
              <w:t xml:space="preserve">Pump/ compressor upgrade </w:t>
            </w:r>
          </w:p>
        </w:tc>
        <w:tc>
          <w:tcPr>
            <w:tcW w:w="2257" w:type="dxa"/>
            <w:shd w:val="clear" w:color="auto" w:fill="CAE7F3" w:themeFill="accent3" w:themeFillTint="33"/>
          </w:tcPr>
          <w:p w14:paraId="04DEC2E0" w14:textId="77777777" w:rsidR="00777B30" w:rsidRDefault="00777B30" w:rsidP="00AF2CFF">
            <w:pPr>
              <w:pStyle w:val="Tabletext"/>
              <w:jc w:val="center"/>
            </w:pPr>
            <w:r w:rsidRPr="00443D5D">
              <w:t>51</w:t>
            </w:r>
          </w:p>
        </w:tc>
        <w:tc>
          <w:tcPr>
            <w:tcW w:w="2256" w:type="dxa"/>
            <w:shd w:val="clear" w:color="auto" w:fill="CAE7F3"/>
          </w:tcPr>
          <w:p w14:paraId="70E6B5EE" w14:textId="77777777" w:rsidR="00777B30" w:rsidRDefault="00777B30" w:rsidP="00AF2CFF">
            <w:pPr>
              <w:pStyle w:val="Tabletext"/>
              <w:jc w:val="center"/>
            </w:pPr>
            <w:r w:rsidRPr="00443D5D">
              <w:t>5</w:t>
            </w:r>
            <w:r>
              <w:t xml:space="preserve"> </w:t>
            </w:r>
          </w:p>
        </w:tc>
        <w:tc>
          <w:tcPr>
            <w:tcW w:w="2257" w:type="dxa"/>
            <w:shd w:val="clear" w:color="auto" w:fill="CAE7F3"/>
          </w:tcPr>
          <w:p w14:paraId="5DDE7241" w14:textId="77777777" w:rsidR="00777B30" w:rsidRDefault="00777B30" w:rsidP="00AF2CFF">
            <w:pPr>
              <w:pStyle w:val="Tabletext"/>
              <w:jc w:val="center"/>
            </w:pPr>
            <w:r w:rsidRPr="00443D5D">
              <w:t>1</w:t>
            </w:r>
          </w:p>
        </w:tc>
      </w:tr>
      <w:tr w:rsidR="00777B30" w14:paraId="0CDFFC59" w14:textId="77777777" w:rsidTr="00AF2CFF">
        <w:trPr>
          <w:cantSplit/>
        </w:trPr>
        <w:tc>
          <w:tcPr>
            <w:tcW w:w="2256" w:type="dxa"/>
            <w:shd w:val="clear" w:color="auto" w:fill="CAE7F3" w:themeFill="accent3" w:themeFillTint="33"/>
          </w:tcPr>
          <w:p w14:paraId="4D00DD99" w14:textId="77777777" w:rsidR="00777B30" w:rsidRPr="00732CCC" w:rsidRDefault="00777B30" w:rsidP="00AF2CFF">
            <w:pPr>
              <w:pStyle w:val="Tabletext"/>
            </w:pPr>
            <w:r w:rsidRPr="00DD2AB1">
              <w:t>Efficient street lighting</w:t>
            </w:r>
          </w:p>
        </w:tc>
        <w:tc>
          <w:tcPr>
            <w:tcW w:w="2257" w:type="dxa"/>
            <w:shd w:val="clear" w:color="auto" w:fill="CAE7F3" w:themeFill="accent3" w:themeFillTint="33"/>
          </w:tcPr>
          <w:p w14:paraId="354221A8" w14:textId="77777777" w:rsidR="00777B30" w:rsidRDefault="00777B30" w:rsidP="00AF2CFF">
            <w:pPr>
              <w:pStyle w:val="Tabletext"/>
              <w:jc w:val="center"/>
            </w:pPr>
            <w:r w:rsidRPr="00443D5D">
              <w:t>49</w:t>
            </w:r>
          </w:p>
        </w:tc>
        <w:tc>
          <w:tcPr>
            <w:tcW w:w="2256" w:type="dxa"/>
            <w:shd w:val="clear" w:color="auto" w:fill="CAE7F3"/>
          </w:tcPr>
          <w:p w14:paraId="4511F329" w14:textId="77777777" w:rsidR="00777B30" w:rsidRDefault="00777B30" w:rsidP="00AF2CFF">
            <w:pPr>
              <w:pStyle w:val="Tabletext"/>
              <w:jc w:val="center"/>
            </w:pPr>
            <w:r w:rsidRPr="00443D5D">
              <w:t>36</w:t>
            </w:r>
            <w:r>
              <w:t xml:space="preserve"> </w:t>
            </w:r>
          </w:p>
        </w:tc>
        <w:tc>
          <w:tcPr>
            <w:tcW w:w="2257" w:type="dxa"/>
            <w:shd w:val="clear" w:color="auto" w:fill="CAE7F3"/>
          </w:tcPr>
          <w:p w14:paraId="5CAA5086" w14:textId="77777777" w:rsidR="00777B30" w:rsidRDefault="00777B30" w:rsidP="00AF2CFF">
            <w:pPr>
              <w:pStyle w:val="Tabletext"/>
              <w:jc w:val="center"/>
            </w:pPr>
            <w:r w:rsidRPr="00443D5D">
              <w:t>31</w:t>
            </w:r>
          </w:p>
        </w:tc>
      </w:tr>
      <w:tr w:rsidR="00777B30" w14:paraId="5774ADD8" w14:textId="77777777" w:rsidTr="00AF2CFF">
        <w:trPr>
          <w:cantSplit/>
        </w:trPr>
        <w:tc>
          <w:tcPr>
            <w:tcW w:w="2256" w:type="dxa"/>
            <w:shd w:val="clear" w:color="auto" w:fill="CAE7F3" w:themeFill="accent3" w:themeFillTint="33"/>
          </w:tcPr>
          <w:p w14:paraId="07E0A9BE" w14:textId="77777777" w:rsidR="00777B30" w:rsidRPr="00732CCC" w:rsidRDefault="00777B30" w:rsidP="00AF2CFF">
            <w:pPr>
              <w:pStyle w:val="Tabletext"/>
            </w:pPr>
            <w:r w:rsidRPr="00DD2AB1">
              <w:t>Improve/replace HVAC systems</w:t>
            </w:r>
          </w:p>
        </w:tc>
        <w:tc>
          <w:tcPr>
            <w:tcW w:w="2257" w:type="dxa"/>
            <w:shd w:val="clear" w:color="auto" w:fill="CAE7F3" w:themeFill="accent3" w:themeFillTint="33"/>
          </w:tcPr>
          <w:p w14:paraId="50DC9578" w14:textId="77777777" w:rsidR="00777B30" w:rsidRDefault="00777B30" w:rsidP="00AF2CFF">
            <w:pPr>
              <w:pStyle w:val="Tabletext"/>
              <w:jc w:val="center"/>
            </w:pPr>
            <w:r w:rsidRPr="00443D5D">
              <w:t>43</w:t>
            </w:r>
          </w:p>
        </w:tc>
        <w:tc>
          <w:tcPr>
            <w:tcW w:w="2256" w:type="dxa"/>
            <w:shd w:val="clear" w:color="auto" w:fill="CAE7F3"/>
          </w:tcPr>
          <w:p w14:paraId="395F0651" w14:textId="77777777" w:rsidR="00777B30" w:rsidRDefault="00777B30" w:rsidP="00AF2CFF">
            <w:pPr>
              <w:pStyle w:val="Tabletext"/>
              <w:jc w:val="center"/>
            </w:pPr>
            <w:r w:rsidRPr="00443D5D">
              <w:t>12</w:t>
            </w:r>
          </w:p>
        </w:tc>
        <w:tc>
          <w:tcPr>
            <w:tcW w:w="2257" w:type="dxa"/>
            <w:shd w:val="clear" w:color="auto" w:fill="CAE7F3"/>
          </w:tcPr>
          <w:p w14:paraId="0D823695" w14:textId="77777777" w:rsidR="00777B30" w:rsidRDefault="00777B30" w:rsidP="00AF2CFF">
            <w:pPr>
              <w:pStyle w:val="Tabletext"/>
              <w:jc w:val="center"/>
            </w:pPr>
            <w:r>
              <w:t>7</w:t>
            </w:r>
          </w:p>
        </w:tc>
      </w:tr>
    </w:tbl>
    <w:p w14:paraId="323E2EC1" w14:textId="77777777" w:rsidR="00777B30" w:rsidRDefault="00777B30" w:rsidP="00777B30">
      <w:pPr>
        <w:pStyle w:val="Note"/>
        <w:spacing w:line="240" w:lineRule="auto"/>
      </w:pPr>
      <w:r>
        <w:t xml:space="preserve">Notes: Proportion of spend and energy savings are drawn from project final reports. Accordingly, the accuracy of the figures is indicative rather than absolute. </w:t>
      </w:r>
    </w:p>
    <w:p w14:paraId="1694828D" w14:textId="77777777" w:rsidR="00777B30" w:rsidRDefault="00777B30" w:rsidP="00777B30">
      <w:pPr>
        <w:pStyle w:val="Source"/>
      </w:pPr>
      <w:r>
        <w:t xml:space="preserve">Source: </w:t>
      </w:r>
      <w:r w:rsidR="00835A86">
        <w:t>Programme</w:t>
      </w:r>
      <w:r>
        <w:t xml:space="preserve"> Data, AusIndustry</w:t>
      </w:r>
    </w:p>
    <w:p w14:paraId="5A6105EE" w14:textId="77777777" w:rsidR="006422A9" w:rsidRPr="00E77130" w:rsidRDefault="006422A9" w:rsidP="00E77130">
      <w:pPr>
        <w:pStyle w:val="Heading2"/>
        <w:spacing w:before="120"/>
      </w:pPr>
      <w:bookmarkStart w:id="126" w:name="_Toc483236869"/>
      <w:r>
        <w:t>The Demonstration Effect</w:t>
      </w:r>
      <w:bookmarkEnd w:id="126"/>
    </w:p>
    <w:p w14:paraId="572D69D4" w14:textId="77777777" w:rsidR="001E131A" w:rsidRPr="00AF2CFF" w:rsidRDefault="001E131A" w:rsidP="00087E57">
      <w:pPr>
        <w:pStyle w:val="BodyText"/>
        <w:jc w:val="left"/>
        <w:rPr>
          <w:rFonts w:eastAsia="Calibri" w:cs="Times New Roman"/>
        </w:rPr>
      </w:pPr>
      <w:r w:rsidRPr="00AF2CFF">
        <w:rPr>
          <w:rFonts w:eastAsia="Calibri" w:cs="Times New Roman"/>
        </w:rPr>
        <w:t>The second objective of the CEEP was to</w:t>
      </w:r>
      <w:r w:rsidR="00AF2CFF" w:rsidRPr="00AF2CFF">
        <w:rPr>
          <w:rFonts w:eastAsia="Calibri" w:cs="Times New Roman"/>
        </w:rPr>
        <w:t xml:space="preserve"> </w:t>
      </w:r>
      <w:r w:rsidR="00AF2CFF">
        <w:rPr>
          <w:rFonts w:eastAsia="Calibri" w:cs="Times New Roman"/>
        </w:rPr>
        <w:t>d</w:t>
      </w:r>
      <w:r w:rsidR="00AF2CFF" w:rsidRPr="00AF2CFF">
        <w:rPr>
          <w:rFonts w:eastAsia="Calibri" w:cs="Times New Roman"/>
        </w:rPr>
        <w:t>emonstrate and encourage the adoption of improved energy management practices within councils, organisations and the broader community.</w:t>
      </w:r>
      <w:r w:rsidR="00AF2CFF">
        <w:rPr>
          <w:rFonts w:eastAsia="Calibri" w:cs="Times New Roman"/>
        </w:rPr>
        <w:t xml:space="preserve"> </w:t>
      </w:r>
      <w:r w:rsidR="00AF2CFF">
        <w:t>Grant r</w:t>
      </w:r>
      <w:r>
        <w:t>ecipients were encouraged to engage the community through energy efficiency awareness and educational activities. Funding for these activities was capped at 30 per cent of</w:t>
      </w:r>
      <w:r w:rsidR="00AF2CFF">
        <w:t xml:space="preserve"> total </w:t>
      </w:r>
      <w:r>
        <w:t xml:space="preserve">project costs. </w:t>
      </w:r>
    </w:p>
    <w:p w14:paraId="0441D937" w14:textId="77777777" w:rsidR="001E131A" w:rsidRDefault="001E131A" w:rsidP="00087E57">
      <w:pPr>
        <w:pStyle w:val="BodyText"/>
        <w:jc w:val="left"/>
        <w:rPr>
          <w:rFonts w:eastAsia="Calibri" w:cs="Times New Roman"/>
        </w:rPr>
      </w:pPr>
      <w:r>
        <w:rPr>
          <w:rFonts w:eastAsia="Calibri" w:cs="Times New Roman"/>
        </w:rPr>
        <w:t>Communication plans were developed and implemented by grant recipients to raise awareness in the community of available energy efficie</w:t>
      </w:r>
      <w:r w:rsidR="00AF09E7">
        <w:rPr>
          <w:rFonts w:eastAsia="Calibri" w:cs="Times New Roman"/>
        </w:rPr>
        <w:t>ncy measures. The</w:t>
      </w:r>
      <w:r w:rsidR="00AF2CFF">
        <w:rPr>
          <w:rFonts w:eastAsia="Calibri" w:cs="Times New Roman"/>
        </w:rPr>
        <w:t xml:space="preserve"> most common communication methods</w:t>
      </w:r>
      <w:r>
        <w:rPr>
          <w:rFonts w:eastAsia="Calibri" w:cs="Times New Roman"/>
        </w:rPr>
        <w:t xml:space="preserve"> included social media, print media and websites. The larger projects usually included more direct </w:t>
      </w:r>
      <w:r w:rsidR="00AF2CFF">
        <w:rPr>
          <w:rFonts w:eastAsia="Calibri" w:cs="Times New Roman"/>
        </w:rPr>
        <w:t>engagement with the public (for example workshops and public seminars).</w:t>
      </w:r>
    </w:p>
    <w:p w14:paraId="6D36B55F" w14:textId="77777777" w:rsidR="00397A14" w:rsidRDefault="00AF2CFF" w:rsidP="00087E57">
      <w:pPr>
        <w:pStyle w:val="BodyText"/>
        <w:jc w:val="left"/>
        <w:rPr>
          <w:rFonts w:eastAsia="Calibri" w:cs="Times New Roman"/>
        </w:rPr>
      </w:pPr>
      <w:r>
        <w:rPr>
          <w:rFonts w:eastAsia="Calibri" w:cs="Times New Roman"/>
        </w:rPr>
        <w:t>There was no quantitative data collected from grant recipients to measure the impact</w:t>
      </w:r>
      <w:r w:rsidR="0028581E">
        <w:rPr>
          <w:rFonts w:eastAsia="Calibri" w:cs="Times New Roman"/>
        </w:rPr>
        <w:t xml:space="preserve"> of these activities. However, several</w:t>
      </w:r>
      <w:r w:rsidR="001E131A">
        <w:rPr>
          <w:rFonts w:eastAsia="Calibri" w:cs="Times New Roman"/>
        </w:rPr>
        <w:t xml:space="preserve"> gra</w:t>
      </w:r>
      <w:r>
        <w:rPr>
          <w:rFonts w:eastAsia="Calibri" w:cs="Times New Roman"/>
        </w:rPr>
        <w:t>nt recipients provided qualitative</w:t>
      </w:r>
      <w:r w:rsidR="001E131A">
        <w:rPr>
          <w:rFonts w:eastAsia="Calibri" w:cs="Times New Roman"/>
        </w:rPr>
        <w:t xml:space="preserve"> evidence</w:t>
      </w:r>
      <w:r>
        <w:rPr>
          <w:rFonts w:eastAsia="Calibri" w:cs="Times New Roman"/>
        </w:rPr>
        <w:t>, in their final project reports,</w:t>
      </w:r>
      <w:r w:rsidR="001E131A">
        <w:rPr>
          <w:rFonts w:eastAsia="Calibri" w:cs="Times New Roman"/>
        </w:rPr>
        <w:t xml:space="preserve"> of significant attitudinal and be</w:t>
      </w:r>
      <w:r w:rsidR="00397A14">
        <w:rPr>
          <w:rFonts w:eastAsia="Calibri" w:cs="Times New Roman"/>
        </w:rPr>
        <w:t>havioural changes in the public following direct engagement activities.</w:t>
      </w:r>
      <w:r>
        <w:rPr>
          <w:rFonts w:eastAsia="Calibri" w:cs="Times New Roman"/>
        </w:rPr>
        <w:t xml:space="preserve"> This inc</w:t>
      </w:r>
      <w:r w:rsidR="0028581E">
        <w:rPr>
          <w:rFonts w:eastAsia="Calibri" w:cs="Times New Roman"/>
        </w:rPr>
        <w:t>luded surveys of participants at the end of</w:t>
      </w:r>
      <w:r>
        <w:rPr>
          <w:rFonts w:eastAsia="Calibri" w:cs="Times New Roman"/>
        </w:rPr>
        <w:t xml:space="preserve"> public seminars and workshops, measuring their intentions to implement energy efficiency improvements at home. </w:t>
      </w:r>
      <w:r w:rsidR="0028581E">
        <w:rPr>
          <w:rFonts w:eastAsia="Calibri" w:cs="Times New Roman"/>
        </w:rPr>
        <w:t>These surveys indicated a strong positive response to direct public engagement activities. A small number of grant recipients also followed up the</w:t>
      </w:r>
      <w:r w:rsidR="00AF690C">
        <w:rPr>
          <w:rFonts w:eastAsia="Calibri" w:cs="Times New Roman"/>
        </w:rPr>
        <w:t>ir intention</w:t>
      </w:r>
      <w:r w:rsidR="0028581E">
        <w:rPr>
          <w:rFonts w:eastAsia="Calibri" w:cs="Times New Roman"/>
        </w:rPr>
        <w:t xml:space="preserve"> with additional research to measure the implementation of ene</w:t>
      </w:r>
      <w:r w:rsidR="00397A14">
        <w:rPr>
          <w:rFonts w:eastAsia="Calibri" w:cs="Times New Roman"/>
        </w:rPr>
        <w:t>rgy efficiency improvements (refer to</w:t>
      </w:r>
      <w:r w:rsidR="00AE1152">
        <w:rPr>
          <w:rFonts w:eastAsia="Calibri" w:cs="Times New Roman"/>
        </w:rPr>
        <w:t xml:space="preserve"> CEEP Case S</w:t>
      </w:r>
      <w:r w:rsidR="0028581E">
        <w:rPr>
          <w:rFonts w:eastAsia="Calibri" w:cs="Times New Roman"/>
        </w:rPr>
        <w:t>tud</w:t>
      </w:r>
      <w:r w:rsidR="00AE1152">
        <w:rPr>
          <w:rFonts w:eastAsia="Calibri" w:cs="Times New Roman"/>
        </w:rPr>
        <w:t>y One</w:t>
      </w:r>
      <w:r w:rsidR="0028581E">
        <w:rPr>
          <w:rFonts w:eastAsia="Calibri" w:cs="Times New Roman"/>
        </w:rPr>
        <w:t>). While this</w:t>
      </w:r>
      <w:r w:rsidR="00397A14">
        <w:rPr>
          <w:rFonts w:eastAsia="Calibri" w:cs="Times New Roman"/>
        </w:rPr>
        <w:t xml:space="preserve"> </w:t>
      </w:r>
      <w:r w:rsidR="0028581E">
        <w:rPr>
          <w:rFonts w:eastAsia="Calibri" w:cs="Times New Roman"/>
        </w:rPr>
        <w:t>research was conducted by only a very small number of grant recipients, the results indicate a significant realisation of benefits, in terms of energy efficiency improvements by participants.</w:t>
      </w:r>
      <w:r w:rsidR="00397A14">
        <w:rPr>
          <w:rFonts w:eastAsia="Calibri" w:cs="Times New Roman"/>
        </w:rPr>
        <w:t xml:space="preserve"> </w:t>
      </w:r>
    </w:p>
    <w:p w14:paraId="66D8E5A9" w14:textId="77777777" w:rsidR="00A15E4A" w:rsidRDefault="00AF690C" w:rsidP="00AE1152">
      <w:pPr>
        <w:pStyle w:val="BodyText"/>
        <w:jc w:val="left"/>
        <w:rPr>
          <w:rFonts w:eastAsia="Calibri" w:cs="Times New Roman"/>
        </w:rPr>
      </w:pPr>
      <w:r>
        <w:rPr>
          <w:rFonts w:eastAsia="Calibri" w:cs="Times New Roman"/>
        </w:rPr>
        <w:t>In regard</w:t>
      </w:r>
      <w:r w:rsidR="00397A14">
        <w:rPr>
          <w:rFonts w:eastAsia="Calibri" w:cs="Times New Roman"/>
        </w:rPr>
        <w:t xml:space="preserve"> to less direct co</w:t>
      </w:r>
      <w:r w:rsidR="00A15E4A">
        <w:rPr>
          <w:rFonts w:eastAsia="Calibri" w:cs="Times New Roman"/>
        </w:rPr>
        <w:t>mmunity engagement activities (</w:t>
      </w:r>
      <w:r w:rsidR="00397A14">
        <w:rPr>
          <w:rFonts w:eastAsia="Calibri" w:cs="Times New Roman"/>
        </w:rPr>
        <w:t>i.e</w:t>
      </w:r>
      <w:r w:rsidR="00A15E4A">
        <w:rPr>
          <w:rFonts w:eastAsia="Calibri" w:cs="Times New Roman"/>
        </w:rPr>
        <w:t>.</w:t>
      </w:r>
      <w:r w:rsidR="00397A14">
        <w:rPr>
          <w:rFonts w:eastAsia="Calibri" w:cs="Times New Roman"/>
        </w:rPr>
        <w:t xml:space="preserve"> print and broadcast advertising, brochures, </w:t>
      </w:r>
      <w:r w:rsidR="00A15E4A">
        <w:rPr>
          <w:rFonts w:eastAsia="Calibri" w:cs="Times New Roman"/>
        </w:rPr>
        <w:t xml:space="preserve">and </w:t>
      </w:r>
      <w:r w:rsidR="00397A14">
        <w:rPr>
          <w:rFonts w:eastAsia="Calibri" w:cs="Times New Roman"/>
        </w:rPr>
        <w:t>website material), n</w:t>
      </w:r>
      <w:r w:rsidR="0028581E">
        <w:rPr>
          <w:rFonts w:eastAsia="Calibri" w:cs="Times New Roman"/>
        </w:rPr>
        <w:t xml:space="preserve">o research </w:t>
      </w:r>
      <w:r w:rsidR="00397A14">
        <w:rPr>
          <w:rFonts w:eastAsia="Calibri" w:cs="Times New Roman"/>
        </w:rPr>
        <w:t>was conducted by grant recipients</w:t>
      </w:r>
      <w:r w:rsidR="0028581E">
        <w:rPr>
          <w:rFonts w:eastAsia="Calibri" w:cs="Times New Roman"/>
        </w:rPr>
        <w:t xml:space="preserve"> </w:t>
      </w:r>
      <w:r w:rsidR="00397A14">
        <w:rPr>
          <w:rFonts w:eastAsia="Calibri" w:cs="Times New Roman"/>
        </w:rPr>
        <w:t>to measure the impact on energy efficiency improvements in the community.</w:t>
      </w:r>
      <w:r w:rsidR="0028581E">
        <w:rPr>
          <w:rFonts w:eastAsia="Calibri" w:cs="Times New Roman"/>
        </w:rPr>
        <w:t xml:space="preserve"> </w:t>
      </w:r>
    </w:p>
    <w:p w14:paraId="29EF70D1" w14:textId="77777777" w:rsidR="00A7770D" w:rsidRDefault="00A7770D" w:rsidP="00A7770D">
      <w:pPr>
        <w:pStyle w:val="Caption"/>
      </w:pPr>
      <w:r w:rsidRPr="002A04DE">
        <w:t xml:space="preserve">Box </w:t>
      </w:r>
      <w:r w:rsidR="002A04DE" w:rsidRPr="002A04DE">
        <w:t>5</w:t>
      </w:r>
      <w:r w:rsidRPr="002A04DE">
        <w:rPr>
          <w:noProof/>
        </w:rPr>
        <w:t>.</w:t>
      </w:r>
      <w:r w:rsidR="006E7B34">
        <w:fldChar w:fldCharType="begin"/>
      </w:r>
      <w:r w:rsidR="006E7B34">
        <w:instrText xml:space="preserve"> SEQ Box \* ARABIC \s 1  </w:instrText>
      </w:r>
      <w:r w:rsidR="006E7B34">
        <w:fldChar w:fldCharType="separate"/>
      </w:r>
      <w:r w:rsidR="00CB2492">
        <w:rPr>
          <w:noProof/>
        </w:rPr>
        <w:t>1</w:t>
      </w:r>
      <w:r w:rsidR="006E7B34">
        <w:rPr>
          <w:noProof/>
        </w:rPr>
        <w:fldChar w:fldCharType="end"/>
      </w:r>
      <w:r w:rsidRPr="002A04DE">
        <w:t>:</w:t>
      </w:r>
      <w:r>
        <w:t xml:space="preserve"> CEEP Case Study One: Community Engagement</w:t>
      </w:r>
    </w:p>
    <w:tbl>
      <w:tblPr>
        <w:tblStyle w:val="OCETable"/>
        <w:tblW w:w="5000" w:type="pct"/>
        <w:tblInd w:w="57" w:type="dxa"/>
        <w:tblLayout w:type="fixed"/>
        <w:tblLook w:val="04A0" w:firstRow="1" w:lastRow="0" w:firstColumn="1" w:lastColumn="0" w:noHBand="0" w:noVBand="1"/>
        <w:tblCaption w:val="Placeholder Box"/>
      </w:tblPr>
      <w:tblGrid>
        <w:gridCol w:w="6894"/>
      </w:tblGrid>
      <w:tr w:rsidR="00A7770D" w14:paraId="09A7A2B7" w14:textId="77777777" w:rsidTr="00D8529C">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BE5F1"/>
          </w:tcPr>
          <w:p w14:paraId="61C7D565" w14:textId="77777777" w:rsidR="00A7770D" w:rsidRPr="00A7770D" w:rsidRDefault="00A7770D" w:rsidP="00A7770D">
            <w:pPr>
              <w:pStyle w:val="BodyText"/>
              <w:rPr>
                <w:i w:val="0"/>
              </w:rPr>
            </w:pPr>
            <w:r w:rsidRPr="00A7770D">
              <w:rPr>
                <w:i w:val="0"/>
              </w:rPr>
              <w:t xml:space="preserve">CEEP enabled a Victorian city council to develop its public engagement programme. After installing $2.4 million of energy efficient improvements to save 11 TJ per year, the council delivered a series of 51 training workshops aimed at increasing the public’s level of engagement with energy efficiency. </w:t>
            </w:r>
          </w:p>
          <w:p w14:paraId="4A526ADE" w14:textId="77777777" w:rsidR="00A7770D" w:rsidRPr="00A7770D" w:rsidRDefault="00A7770D" w:rsidP="00A7770D">
            <w:pPr>
              <w:pStyle w:val="BodyText"/>
              <w:rPr>
                <w:i w:val="0"/>
              </w:rPr>
            </w:pPr>
            <w:r w:rsidRPr="00A7770D">
              <w:rPr>
                <w:i w:val="0"/>
              </w:rPr>
              <w:t xml:space="preserve">The workshops were attended by 544 people, including 195 professionals working with disadvantaged groups and 271 ‘Community Ambassadors’.  After receiving </w:t>
            </w:r>
            <w:r w:rsidR="00C566EB">
              <w:rPr>
                <w:i w:val="0"/>
              </w:rPr>
              <w:t>20</w:t>
            </w:r>
            <w:r w:rsidR="00C566EB">
              <w:rPr>
                <w:rFonts w:ascii="Calibri" w:hAnsi="Calibri"/>
                <w:i w:val="0"/>
              </w:rPr>
              <w:t>–</w:t>
            </w:r>
            <w:r w:rsidRPr="00A7770D">
              <w:rPr>
                <w:i w:val="0"/>
              </w:rPr>
              <w:t xml:space="preserve">30 hours of training, the Ambassadors shared their knowledge in workshops with a further 3,495 members of their communities. Seven groups were educated through the Ambassador training: Sudanese; Aboriginal &amp; Torres Strait Islander; Macedonian; Burmese; Bhutanese; Spanish Seniors; and Mixed Culturally &amp; Linguistically Diverse (CALD). </w:t>
            </w:r>
          </w:p>
          <w:p w14:paraId="56DAA50F" w14:textId="77777777" w:rsidR="00A7770D" w:rsidRPr="00A7770D" w:rsidRDefault="00A7770D" w:rsidP="00A7770D">
            <w:pPr>
              <w:pStyle w:val="BodyText"/>
              <w:rPr>
                <w:i w:val="0"/>
              </w:rPr>
            </w:pPr>
            <w:r w:rsidRPr="00A7770D">
              <w:rPr>
                <w:i w:val="0"/>
              </w:rPr>
              <w:t>Attendance figures showed that 65 per cent of participants were from the most disadvantaged and vulnerable sectors of the community. This strongly demonstrated that the community engagement programme achieved its objective of providing energy efficiency and energy management education to disadvantaged and vulnerable sectors of the community.</w:t>
            </w:r>
          </w:p>
          <w:p w14:paraId="1CFB0532" w14:textId="77777777" w:rsidR="00A7770D" w:rsidRPr="00A7770D" w:rsidRDefault="00A7770D" w:rsidP="00A7770D">
            <w:pPr>
              <w:pStyle w:val="BodyText"/>
              <w:rPr>
                <w:rStyle w:val="BodyTextChar"/>
                <w:i w:val="0"/>
              </w:rPr>
            </w:pPr>
            <w:r w:rsidRPr="00A7770D">
              <w:rPr>
                <w:i w:val="0"/>
              </w:rPr>
              <w:t>The participants of these workshops reported a huge increase in energy bill literacy, understanding of the Energy Star Rating for Appliances and commitment to being energy efficient</w:t>
            </w:r>
            <w:r w:rsidRPr="00A7770D">
              <w:rPr>
                <w:rStyle w:val="BodyTextChar"/>
                <w:i w:val="0"/>
              </w:rPr>
              <w:t xml:space="preserve">. </w:t>
            </w:r>
          </w:p>
          <w:p w14:paraId="65031359" w14:textId="77777777" w:rsidR="00A7770D" w:rsidRPr="00A7770D" w:rsidRDefault="00A7770D" w:rsidP="00A7770D">
            <w:pPr>
              <w:pStyle w:val="BodyText"/>
              <w:rPr>
                <w:rStyle w:val="BodyTextChar"/>
                <w:i w:val="0"/>
              </w:rPr>
            </w:pPr>
            <w:r w:rsidRPr="00A7770D">
              <w:rPr>
                <w:rStyle w:val="BodyTextChar"/>
                <w:i w:val="0"/>
              </w:rPr>
              <w:t xml:space="preserve">This training has translated into action. Through follow-up surveys, 97 per cent of participants reported significant energy savings, stemming from changes in behaviour and increased knowledge of consumer rights. </w:t>
            </w:r>
          </w:p>
          <w:p w14:paraId="420A2269" w14:textId="77777777" w:rsidR="00A7770D" w:rsidRPr="00A7770D" w:rsidRDefault="00A7770D" w:rsidP="00A7770D">
            <w:pPr>
              <w:pStyle w:val="ListBullet"/>
              <w:spacing w:after="0"/>
              <w:rPr>
                <w:rStyle w:val="BodyTextChar"/>
                <w:i w:val="0"/>
              </w:rPr>
            </w:pPr>
            <w:r w:rsidRPr="00A7770D">
              <w:rPr>
                <w:rStyle w:val="BodyTextChar"/>
                <w:i w:val="0"/>
              </w:rPr>
              <w:t>90 per cent are now switching off the lights when leaving a room</w:t>
            </w:r>
          </w:p>
          <w:p w14:paraId="19D6F143" w14:textId="77777777" w:rsidR="00A7770D" w:rsidRPr="00A7770D" w:rsidRDefault="00A7770D" w:rsidP="00A7770D">
            <w:pPr>
              <w:pStyle w:val="ListBullet"/>
              <w:spacing w:after="0"/>
              <w:rPr>
                <w:rStyle w:val="BodyTextChar"/>
                <w:i w:val="0"/>
              </w:rPr>
            </w:pPr>
            <w:r w:rsidRPr="00A7770D">
              <w:rPr>
                <w:rStyle w:val="BodyTextChar"/>
                <w:i w:val="0"/>
              </w:rPr>
              <w:t>85 per cent are setting the right heating and cooling temperature during winter and summer</w:t>
            </w:r>
          </w:p>
          <w:p w14:paraId="65F24605" w14:textId="77777777" w:rsidR="00A7770D" w:rsidRPr="00A7770D" w:rsidRDefault="00A7770D" w:rsidP="00A7770D">
            <w:pPr>
              <w:pStyle w:val="ListBullet"/>
              <w:spacing w:after="0"/>
              <w:rPr>
                <w:rStyle w:val="BodyTextChar"/>
                <w:i w:val="0"/>
              </w:rPr>
            </w:pPr>
            <w:r w:rsidRPr="00A7770D">
              <w:rPr>
                <w:rStyle w:val="BodyTextChar"/>
                <w:i w:val="0"/>
              </w:rPr>
              <w:t>90 per cent have switched to energy efficient lights</w:t>
            </w:r>
          </w:p>
          <w:p w14:paraId="1A750DE1" w14:textId="77777777" w:rsidR="00A7770D" w:rsidRPr="00A7770D" w:rsidRDefault="00A7770D" w:rsidP="00A7770D">
            <w:pPr>
              <w:pStyle w:val="ListBullet"/>
              <w:spacing w:after="0"/>
              <w:rPr>
                <w:rStyle w:val="BodyTextChar"/>
                <w:i w:val="0"/>
              </w:rPr>
            </w:pPr>
            <w:r w:rsidRPr="00A7770D">
              <w:rPr>
                <w:rStyle w:val="BodyTextChar"/>
                <w:i w:val="0"/>
              </w:rPr>
              <w:t>79 per cent are now aware of the star rating of appliances</w:t>
            </w:r>
          </w:p>
          <w:p w14:paraId="17A21EF9" w14:textId="77777777" w:rsidR="00A7770D" w:rsidRPr="00A7770D" w:rsidRDefault="00A7770D" w:rsidP="00A7770D">
            <w:pPr>
              <w:pStyle w:val="ListBullet"/>
              <w:rPr>
                <w:rStyle w:val="BodyTextChar"/>
                <w:i w:val="0"/>
              </w:rPr>
            </w:pPr>
            <w:r w:rsidRPr="00A7770D">
              <w:rPr>
                <w:rStyle w:val="BodyTextChar"/>
                <w:i w:val="0"/>
              </w:rPr>
              <w:t>82 per cent are turning off appliances at the wall after use</w:t>
            </w:r>
          </w:p>
          <w:p w14:paraId="418AECB5" w14:textId="77777777" w:rsidR="00A7770D" w:rsidRPr="00A7770D" w:rsidRDefault="00A7770D" w:rsidP="00A7770D">
            <w:pPr>
              <w:rPr>
                <w:i w:val="0"/>
              </w:rPr>
            </w:pPr>
            <w:r w:rsidRPr="00A7770D">
              <w:rPr>
                <w:rStyle w:val="BodyTextChar"/>
                <w:i w:val="0"/>
                <w:szCs w:val="20"/>
              </w:rPr>
              <w:t xml:space="preserve">This programme has won </w:t>
            </w:r>
            <w:r w:rsidRPr="00FA0C24">
              <w:rPr>
                <w:rStyle w:val="BodyTextChar"/>
                <w:i w:val="0"/>
              </w:rPr>
              <w:t>the 2015 Keep Australia Beautiful Sustainable Cities Awards for Community Government Partnerships, and the 2016 Victorian Local Governance Association Climate Award.</w:t>
            </w:r>
          </w:p>
        </w:tc>
      </w:tr>
    </w:tbl>
    <w:p w14:paraId="7F19FA7A" w14:textId="77777777" w:rsidR="00016BAC" w:rsidRDefault="00016BAC">
      <w:pPr>
        <w:spacing w:after="200" w:line="276" w:lineRule="auto"/>
      </w:pPr>
      <w:r>
        <w:br w:type="page"/>
      </w:r>
    </w:p>
    <w:p w14:paraId="22AB1CC6" w14:textId="77777777" w:rsidR="00AF690C" w:rsidRDefault="00AF690C" w:rsidP="00AF690C">
      <w:pPr>
        <w:pStyle w:val="Heading2"/>
      </w:pPr>
      <w:bookmarkStart w:id="127" w:name="_Toc483236870"/>
      <w:bookmarkStart w:id="128" w:name="_Ref465326071"/>
      <w:r>
        <w:t>Data Limitations</w:t>
      </w:r>
      <w:bookmarkEnd w:id="127"/>
    </w:p>
    <w:p w14:paraId="197B948D" w14:textId="77777777" w:rsidR="005B1FC0" w:rsidRDefault="005B1FC0" w:rsidP="005B1FC0">
      <w:pPr>
        <w:pStyle w:val="BodyText"/>
        <w:spacing w:after="120"/>
        <w:jc w:val="left"/>
      </w:pPr>
      <w:r>
        <w:t>The evaluation encountered several issues with the integrity and reliability of the energy efficiency data. The following issues were noted:</w:t>
      </w:r>
    </w:p>
    <w:p w14:paraId="34FE96AD" w14:textId="77777777" w:rsidR="005B1FC0" w:rsidRDefault="005B1FC0" w:rsidP="005B1FC0">
      <w:pPr>
        <w:pStyle w:val="BodyText"/>
        <w:numPr>
          <w:ilvl w:val="0"/>
          <w:numId w:val="18"/>
        </w:numPr>
        <w:spacing w:after="120"/>
        <w:ind w:left="425" w:hanging="357"/>
        <w:jc w:val="left"/>
      </w:pPr>
      <w:r>
        <w:t xml:space="preserve">Baseline energy usages were not consistently measured, reflecting the wide range of data management practices. Without adequate baselines, the figures calculated for energy improvements are only indicative. </w:t>
      </w:r>
    </w:p>
    <w:p w14:paraId="25E74031" w14:textId="77777777" w:rsidR="005B1FC0" w:rsidRDefault="005B1FC0" w:rsidP="005B1FC0">
      <w:pPr>
        <w:pStyle w:val="BodyText"/>
        <w:numPr>
          <w:ilvl w:val="0"/>
          <w:numId w:val="18"/>
        </w:numPr>
        <w:spacing w:after="120"/>
        <w:ind w:left="425" w:hanging="357"/>
        <w:jc w:val="left"/>
      </w:pPr>
      <w:r>
        <w:t xml:space="preserve">In the absence of an adequate post-project period to assess their energy improvements, many grant recipients extrapolated their results from a very small time period (including periods of less than one month) to estimate their annual energy savings. These estimates did not account for seasonal changes to energy use, or fluctuations during the commissioning phase of new infrastructure. </w:t>
      </w:r>
    </w:p>
    <w:p w14:paraId="33966D5F" w14:textId="77777777" w:rsidR="005B1FC0" w:rsidRDefault="005B1FC0" w:rsidP="005B1FC0">
      <w:pPr>
        <w:pStyle w:val="BodyText"/>
        <w:numPr>
          <w:ilvl w:val="0"/>
          <w:numId w:val="18"/>
        </w:numPr>
        <w:spacing w:after="120"/>
        <w:ind w:left="425" w:hanging="357"/>
        <w:jc w:val="left"/>
      </w:pPr>
      <w:r>
        <w:t xml:space="preserve">Many sites experienced changes to building use, including increased operating hours, capacity changes and building extensions. These changes pushed up the total energy use of a building, even though there was a significant improvement in its energy efficiency. This made it difficult to assess the impact of the </w:t>
      </w:r>
      <w:r w:rsidR="00835A86">
        <w:t>programme</w:t>
      </w:r>
      <w:r>
        <w:t>.</w:t>
      </w:r>
    </w:p>
    <w:p w14:paraId="2CEE999F" w14:textId="77777777" w:rsidR="005B1FC0" w:rsidRDefault="005B1FC0" w:rsidP="005B1FC0">
      <w:pPr>
        <w:pStyle w:val="BodyText"/>
        <w:numPr>
          <w:ilvl w:val="0"/>
          <w:numId w:val="18"/>
        </w:numPr>
        <w:spacing w:after="120"/>
        <w:ind w:left="425" w:hanging="357"/>
        <w:jc w:val="left"/>
      </w:pPr>
      <w:r>
        <w:t xml:space="preserve">The technology upgrades were </w:t>
      </w:r>
      <w:r w:rsidRPr="00685568">
        <w:t>rarely installed in isolation</w:t>
      </w:r>
      <w:r>
        <w:t xml:space="preserve"> (except street lighting).</w:t>
      </w:r>
      <w:r w:rsidRPr="00685568">
        <w:t xml:space="preserve"> </w:t>
      </w:r>
      <w:r>
        <w:t>This made it difficult to assess the contribution of individual CEEP projects to the total energy savings at each site.</w:t>
      </w:r>
    </w:p>
    <w:p w14:paraId="588846DF" w14:textId="77777777" w:rsidR="00AF690C" w:rsidRPr="00AF690C" w:rsidRDefault="005B1FC0" w:rsidP="00AF690C">
      <w:pPr>
        <w:pStyle w:val="BodyText"/>
        <w:numPr>
          <w:ilvl w:val="0"/>
          <w:numId w:val="18"/>
        </w:numPr>
        <w:spacing w:after="120"/>
        <w:ind w:left="425" w:hanging="357"/>
        <w:jc w:val="left"/>
      </w:pPr>
      <w:r w:rsidRPr="00787450">
        <w:t>Energy sa</w:t>
      </w:r>
      <w:r>
        <w:t>vings were derived from pre and post-</w:t>
      </w:r>
      <w:r w:rsidRPr="00787450">
        <w:t>project energy usage only. Variability du</w:t>
      </w:r>
      <w:r>
        <w:t>e to external factors (</w:t>
      </w:r>
      <w:r w:rsidRPr="00787450">
        <w:t xml:space="preserve">such as increased affordability </w:t>
      </w:r>
      <w:r>
        <w:t>of</w:t>
      </w:r>
      <w:r w:rsidRPr="00787450">
        <w:t xml:space="preserve"> energy efficient technology</w:t>
      </w:r>
      <w:r>
        <w:t xml:space="preserve">) and the contribution of </w:t>
      </w:r>
      <w:r w:rsidRPr="00787450">
        <w:t xml:space="preserve">other major </w:t>
      </w:r>
      <w:r w:rsidR="00835A86">
        <w:t>programme</w:t>
      </w:r>
      <w:r w:rsidRPr="00787450">
        <w:t xml:space="preserve">s were not accounted for. Energy savings in this </w:t>
      </w:r>
      <w:r>
        <w:t xml:space="preserve">evaluation </w:t>
      </w:r>
      <w:r w:rsidRPr="00787450">
        <w:t xml:space="preserve">are attributed </w:t>
      </w:r>
      <w:r>
        <w:t xml:space="preserve">solely </w:t>
      </w:r>
      <w:r w:rsidRPr="00787450">
        <w:t xml:space="preserve">to </w:t>
      </w:r>
      <w:r>
        <w:t>the CEEP projects.</w:t>
      </w:r>
    </w:p>
    <w:p w14:paraId="7F13B83E" w14:textId="77777777" w:rsidR="00AD03B0" w:rsidRDefault="00AD03B0" w:rsidP="00AD03B0">
      <w:pPr>
        <w:pStyle w:val="Heading2"/>
      </w:pPr>
      <w:bookmarkStart w:id="129" w:name="_Toc483236871"/>
      <w:r>
        <w:t>Conclusion and Findings</w:t>
      </w:r>
      <w:bookmarkEnd w:id="129"/>
    </w:p>
    <w:p w14:paraId="32901D8F" w14:textId="77777777" w:rsidR="005B1FC0" w:rsidRDefault="00AF690C" w:rsidP="00091897">
      <w:pPr>
        <w:pStyle w:val="BodyText"/>
        <w:jc w:val="left"/>
      </w:pPr>
      <w:r>
        <w:t xml:space="preserve">The fact that the projects </w:t>
      </w:r>
      <w:r w:rsidRPr="00DF58AA">
        <w:t xml:space="preserve">resulted in energy savings </w:t>
      </w:r>
      <w:r w:rsidRPr="00DF58AA">
        <w:rPr>
          <w:rFonts w:eastAsia="Calibri" w:cstheme="minorHAnsi"/>
        </w:rPr>
        <w:t xml:space="preserve">of </w:t>
      </w:r>
      <w:r w:rsidR="00642815" w:rsidRPr="00DF58AA">
        <w:rPr>
          <w:rFonts w:eastAsia="Calibri" w:cstheme="minorHAnsi"/>
        </w:rPr>
        <w:t xml:space="preserve">approximately </w:t>
      </w:r>
      <w:r w:rsidR="00642815" w:rsidRPr="00FA0C24">
        <w:rPr>
          <w:rFonts w:eastAsia="Calibri" w:cstheme="minorHAnsi"/>
        </w:rPr>
        <w:t>350</w:t>
      </w:r>
      <w:r w:rsidRPr="00FA0C24">
        <w:rPr>
          <w:rFonts w:eastAsia="Calibri" w:cstheme="minorHAnsi"/>
        </w:rPr>
        <w:t xml:space="preserve"> TJ</w:t>
      </w:r>
      <w:r w:rsidRPr="00DF58AA">
        <w:rPr>
          <w:rFonts w:eastAsia="Calibri" w:cstheme="minorHAnsi"/>
        </w:rPr>
        <w:t xml:space="preserve"> of energy per annum shows that t</w:t>
      </w:r>
      <w:r w:rsidR="00DF58AA" w:rsidRPr="00DF58AA">
        <w:rPr>
          <w:rFonts w:eastAsia="Calibri" w:cstheme="minorHAnsi"/>
        </w:rPr>
        <w:t xml:space="preserve">he CEEP achieved its objectives of reducing energy use. </w:t>
      </w:r>
      <w:r w:rsidR="006448B3" w:rsidRPr="00DF58AA">
        <w:t xml:space="preserve">However, it is difficult to assess the extent to which the </w:t>
      </w:r>
      <w:r w:rsidR="00835A86" w:rsidRPr="00DF58AA">
        <w:t>programme</w:t>
      </w:r>
      <w:r w:rsidR="004D178D" w:rsidRPr="00DF58AA">
        <w:t xml:space="preserve"> met the g</w:t>
      </w:r>
      <w:r w:rsidR="006448B3" w:rsidRPr="00DF58AA">
        <w:t>overnment’s expectations, as no performance</w:t>
      </w:r>
      <w:r w:rsidR="006448B3">
        <w:t xml:space="preserve"> targets were established at the commencement of the </w:t>
      </w:r>
      <w:r w:rsidR="00835A86">
        <w:t>programme</w:t>
      </w:r>
      <w:r w:rsidR="006448B3">
        <w:t>.</w:t>
      </w:r>
      <w:r>
        <w:t xml:space="preserve"> </w:t>
      </w:r>
    </w:p>
    <w:p w14:paraId="5DCAB450" w14:textId="77777777" w:rsidR="00AF690C" w:rsidRDefault="00AF690C" w:rsidP="00091897">
      <w:pPr>
        <w:pStyle w:val="BodyText"/>
        <w:jc w:val="left"/>
        <w:rPr>
          <w:rFonts w:eastAsia="Calibri" w:cs="Times New Roman"/>
        </w:rPr>
      </w:pPr>
      <w:r>
        <w:t>The results of surve</w:t>
      </w:r>
      <w:r w:rsidR="00B714F7">
        <w:t>ys provided by grant recipients</w:t>
      </w:r>
      <w:r>
        <w:t xml:space="preserve"> suggest a significant improvement in energy efficiency by households who participated in direct community engagement activities (public workshops and seminars).</w:t>
      </w:r>
      <w:r w:rsidRPr="00AF690C">
        <w:rPr>
          <w:rFonts w:eastAsia="Calibri" w:cs="Times New Roman"/>
        </w:rPr>
        <w:t xml:space="preserve"> </w:t>
      </w:r>
      <w:r>
        <w:rPr>
          <w:rFonts w:eastAsia="Calibri" w:cs="Times New Roman"/>
        </w:rPr>
        <w:t>No information was provided by grant recipients on the impact of less direct community engagement activities (i.e. print and broadcast advertising, brochures, and website material).</w:t>
      </w:r>
    </w:p>
    <w:p w14:paraId="44745833" w14:textId="77777777" w:rsidR="005B1FC0" w:rsidRDefault="005B1FC0" w:rsidP="00091897">
      <w:pPr>
        <w:pStyle w:val="BodyText"/>
        <w:jc w:val="left"/>
      </w:pPr>
      <w:r>
        <w:rPr>
          <w:rFonts w:eastAsia="Calibri" w:cs="Times New Roman"/>
        </w:rPr>
        <w:t>The evaluation was constrained by limitations encountered with the energy efficiency data. Inconsistent baseline energy figures, an inadequate post-reporting period, and the influence of external factors</w:t>
      </w:r>
      <w:r w:rsidR="00471FE5">
        <w:rPr>
          <w:rFonts w:eastAsia="Calibri" w:cs="Times New Roman"/>
        </w:rPr>
        <w:t xml:space="preserve"> (such as </w:t>
      </w:r>
      <w:r w:rsidR="00B65411">
        <w:rPr>
          <w:rFonts w:eastAsia="Calibri" w:cs="Times New Roman"/>
        </w:rPr>
        <w:t>seasonal changes to energy use and changes to</w:t>
      </w:r>
      <w:r w:rsidR="00471FE5">
        <w:rPr>
          <w:rFonts w:eastAsia="Calibri" w:cs="Times New Roman"/>
        </w:rPr>
        <w:t xml:space="preserve"> energy prices)</w:t>
      </w:r>
      <w:r>
        <w:rPr>
          <w:rFonts w:eastAsia="Calibri" w:cs="Times New Roman"/>
        </w:rPr>
        <w:t xml:space="preserve">, all restricted the reliability of the data. Due to the inconsistent </w:t>
      </w:r>
      <w:r w:rsidR="00634462">
        <w:rPr>
          <w:rFonts w:eastAsia="Calibri" w:cs="Times New Roman"/>
        </w:rPr>
        <w:t xml:space="preserve">energy </w:t>
      </w:r>
      <w:r>
        <w:rPr>
          <w:rFonts w:eastAsia="Calibri" w:cs="Times New Roman"/>
        </w:rPr>
        <w:t xml:space="preserve">measurements used by grant recipients, the data required a significant amount of collating and formatting by AusIndustry before it was </w:t>
      </w:r>
      <w:r w:rsidR="00634462">
        <w:rPr>
          <w:rFonts w:eastAsia="Calibri" w:cs="Times New Roman"/>
        </w:rPr>
        <w:t>provided to the evaluators.</w:t>
      </w:r>
    </w:p>
    <w:p w14:paraId="3E686F06" w14:textId="77777777" w:rsidR="005849A1" w:rsidRDefault="005849A1" w:rsidP="00091897">
      <w:pPr>
        <w:pStyle w:val="BodyText"/>
        <w:jc w:val="left"/>
        <w:rPr>
          <w:rFonts w:eastAsia="Calibri" w:cs="Times New Roman"/>
        </w:rPr>
      </w:pPr>
    </w:p>
    <w:tbl>
      <w:tblPr>
        <w:tblStyle w:val="OCETable"/>
        <w:tblpPr w:leftFromText="180" w:rightFromText="180" w:vertAnchor="text" w:horzAnchor="margin" w:tblpY="29"/>
        <w:tblW w:w="6804" w:type="dxa"/>
        <w:tblLayout w:type="fixed"/>
        <w:tblLook w:val="04A0" w:firstRow="1" w:lastRow="0" w:firstColumn="1" w:lastColumn="0" w:noHBand="0" w:noVBand="1"/>
        <w:tblCaption w:val="Summary of Findings from this section of the Evaluation"/>
        <w:tblDescription w:val="3. All but two projects achieved energy efficiency improvements. The projects resulted in a combined total saving of approximately 350 TJ per annum. &#10;4. Grant recipient data was collated according to ‘main’ technology type. This made it difficult to assess the extent of each technology type used. However, the data suggest that the projects with the highest return on investment were space and street lighting.&#10;5. Limited evidence was provided by grant recipients to measure the benefits of community awareness activities. However, a small sample of research suggests a significant improvement in energy efficiency by households who participated in direct engagement activities (i.e. public workshops and seminars).&#10;"/>
      </w:tblPr>
      <w:tblGrid>
        <w:gridCol w:w="426"/>
        <w:gridCol w:w="6378"/>
      </w:tblGrid>
      <w:tr w:rsidR="005849A1" w14:paraId="646A5964" w14:textId="77777777" w:rsidTr="00664B56">
        <w:trPr>
          <w:cnfStyle w:val="100000000000" w:firstRow="1" w:lastRow="0" w:firstColumn="0" w:lastColumn="0" w:oddVBand="0" w:evenVBand="0" w:oddHBand="0" w:evenHBand="0" w:firstRowFirstColumn="0" w:firstRowLastColumn="0" w:lastRowFirstColumn="0" w:lastRowLastColumn="0"/>
          <w:tblHeader/>
        </w:trPr>
        <w:tc>
          <w:tcPr>
            <w:tcW w:w="6804" w:type="dxa"/>
            <w:gridSpan w:val="2"/>
          </w:tcPr>
          <w:bookmarkEnd w:id="128"/>
          <w:p w14:paraId="4778127E" w14:textId="77777777" w:rsidR="005849A1" w:rsidRDefault="005849A1" w:rsidP="00A7770D">
            <w:pPr>
              <w:spacing w:before="120" w:after="120" w:line="276" w:lineRule="auto"/>
              <w:rPr>
                <w:rFonts w:eastAsia="Calibri" w:cs="Times New Roman"/>
              </w:rPr>
            </w:pPr>
            <w:r w:rsidRPr="00C75797">
              <w:rPr>
                <w:rFonts w:eastAsia="Calibri" w:cs="Times New Roman"/>
                <w:color w:val="FFFFFF" w:themeColor="background1"/>
              </w:rPr>
              <w:t>FINDINGS</w:t>
            </w:r>
          </w:p>
        </w:tc>
      </w:tr>
      <w:tr w:rsidR="005849A1" w14:paraId="75BCF532" w14:textId="77777777" w:rsidTr="005849A1">
        <w:tc>
          <w:tcPr>
            <w:tcW w:w="426" w:type="dxa"/>
          </w:tcPr>
          <w:p w14:paraId="5EF44790" w14:textId="77777777" w:rsidR="005849A1" w:rsidRDefault="00623B41" w:rsidP="00A7770D">
            <w:pPr>
              <w:pStyle w:val="Tabletext"/>
            </w:pPr>
            <w:r>
              <w:t>3</w:t>
            </w:r>
            <w:r w:rsidR="005849A1">
              <w:t>.</w:t>
            </w:r>
          </w:p>
        </w:tc>
        <w:tc>
          <w:tcPr>
            <w:tcW w:w="6378" w:type="dxa"/>
            <w:vAlign w:val="center"/>
          </w:tcPr>
          <w:p w14:paraId="5C6A5147" w14:textId="77777777" w:rsidR="005849A1" w:rsidRPr="00A15E4A" w:rsidRDefault="005849A1" w:rsidP="00A7770D">
            <w:pPr>
              <w:pStyle w:val="Tabletext"/>
              <w:rPr>
                <w:szCs w:val="20"/>
              </w:rPr>
            </w:pPr>
            <w:r>
              <w:rPr>
                <w:szCs w:val="20"/>
              </w:rPr>
              <w:t xml:space="preserve">All </w:t>
            </w:r>
            <w:r w:rsidR="00050FFC">
              <w:rPr>
                <w:szCs w:val="20"/>
              </w:rPr>
              <w:t>but two</w:t>
            </w:r>
            <w:r w:rsidRPr="00091897">
              <w:rPr>
                <w:szCs w:val="20"/>
              </w:rPr>
              <w:t xml:space="preserve"> projects achieved energy efficiency improvements</w:t>
            </w:r>
            <w:r>
              <w:rPr>
                <w:szCs w:val="20"/>
              </w:rPr>
              <w:t>.</w:t>
            </w:r>
            <w:r w:rsidRPr="00A15E4A">
              <w:rPr>
                <w:szCs w:val="20"/>
              </w:rPr>
              <w:t xml:space="preserve"> </w:t>
            </w:r>
            <w:r w:rsidRPr="00091897">
              <w:rPr>
                <w:szCs w:val="20"/>
              </w:rPr>
              <w:t>The projects resulted in a combined total saving of</w:t>
            </w:r>
            <w:r w:rsidRPr="00DF58AA">
              <w:rPr>
                <w:szCs w:val="20"/>
              </w:rPr>
              <w:t xml:space="preserve"> </w:t>
            </w:r>
            <w:r w:rsidR="00642815" w:rsidRPr="00DF58AA">
              <w:rPr>
                <w:szCs w:val="20"/>
              </w:rPr>
              <w:t>approximately</w:t>
            </w:r>
            <w:r w:rsidR="00642815">
              <w:rPr>
                <w:b/>
                <w:szCs w:val="20"/>
              </w:rPr>
              <w:t xml:space="preserve"> </w:t>
            </w:r>
            <w:r w:rsidR="00642815" w:rsidRPr="00FA0C24">
              <w:rPr>
                <w:szCs w:val="20"/>
              </w:rPr>
              <w:t>350</w:t>
            </w:r>
            <w:r w:rsidRPr="00FA0C24">
              <w:rPr>
                <w:szCs w:val="20"/>
              </w:rPr>
              <w:t xml:space="preserve"> TJ</w:t>
            </w:r>
            <w:r w:rsidR="00642815">
              <w:rPr>
                <w:szCs w:val="20"/>
              </w:rPr>
              <w:t xml:space="preserve"> </w:t>
            </w:r>
            <w:r w:rsidRPr="00091897">
              <w:rPr>
                <w:szCs w:val="20"/>
              </w:rPr>
              <w:t xml:space="preserve">per annum. </w:t>
            </w:r>
          </w:p>
        </w:tc>
      </w:tr>
      <w:tr w:rsidR="005849A1" w14:paraId="06BD6D4E" w14:textId="77777777" w:rsidTr="005849A1">
        <w:tc>
          <w:tcPr>
            <w:tcW w:w="426" w:type="dxa"/>
          </w:tcPr>
          <w:p w14:paraId="6D176849" w14:textId="77777777" w:rsidR="005849A1" w:rsidRDefault="00623B41" w:rsidP="00A7770D">
            <w:pPr>
              <w:pStyle w:val="Tabletext"/>
            </w:pPr>
            <w:r>
              <w:t>4</w:t>
            </w:r>
            <w:r w:rsidR="005849A1">
              <w:t>.</w:t>
            </w:r>
          </w:p>
        </w:tc>
        <w:tc>
          <w:tcPr>
            <w:tcW w:w="6378" w:type="dxa"/>
            <w:vAlign w:val="center"/>
          </w:tcPr>
          <w:p w14:paraId="3608B2BA" w14:textId="77777777" w:rsidR="005849A1" w:rsidRDefault="005849A1" w:rsidP="00A7770D">
            <w:pPr>
              <w:pStyle w:val="Tabletext"/>
              <w:rPr>
                <w:szCs w:val="20"/>
              </w:rPr>
            </w:pPr>
            <w:r>
              <w:rPr>
                <w:szCs w:val="20"/>
              </w:rPr>
              <w:t>G</w:t>
            </w:r>
            <w:r w:rsidRPr="00DB2A7B">
              <w:rPr>
                <w:szCs w:val="20"/>
              </w:rPr>
              <w:t>rant recipient data was collated according to ‘main’ tech</w:t>
            </w:r>
            <w:r>
              <w:rPr>
                <w:szCs w:val="20"/>
              </w:rPr>
              <w:t xml:space="preserve">nology type. </w:t>
            </w:r>
            <w:r w:rsidRPr="00DB2A7B">
              <w:rPr>
                <w:szCs w:val="20"/>
              </w:rPr>
              <w:t>This</w:t>
            </w:r>
            <w:r>
              <w:rPr>
                <w:szCs w:val="20"/>
              </w:rPr>
              <w:t xml:space="preserve"> </w:t>
            </w:r>
            <w:r w:rsidRPr="00DB2A7B">
              <w:rPr>
                <w:szCs w:val="20"/>
              </w:rPr>
              <w:t xml:space="preserve">made it difficult to assess the extent of each technology type </w:t>
            </w:r>
            <w:r>
              <w:rPr>
                <w:szCs w:val="20"/>
              </w:rPr>
              <w:t>used. However, the data suggest</w:t>
            </w:r>
            <w:r w:rsidRPr="00DB2A7B">
              <w:rPr>
                <w:szCs w:val="20"/>
              </w:rPr>
              <w:t xml:space="preserve"> that the projects with the highest return on investment were space and street lighting.</w:t>
            </w:r>
          </w:p>
        </w:tc>
      </w:tr>
      <w:tr w:rsidR="005849A1" w14:paraId="7C6E8F6A" w14:textId="77777777" w:rsidTr="005849A1">
        <w:tc>
          <w:tcPr>
            <w:tcW w:w="426" w:type="dxa"/>
          </w:tcPr>
          <w:p w14:paraId="2C16F3BF" w14:textId="77777777" w:rsidR="005849A1" w:rsidRDefault="00623B41" w:rsidP="00A7770D">
            <w:pPr>
              <w:pStyle w:val="Tabletext"/>
            </w:pPr>
            <w:r>
              <w:t>5</w:t>
            </w:r>
            <w:r w:rsidR="005849A1">
              <w:t>.</w:t>
            </w:r>
          </w:p>
        </w:tc>
        <w:tc>
          <w:tcPr>
            <w:tcW w:w="6378" w:type="dxa"/>
            <w:vAlign w:val="center"/>
          </w:tcPr>
          <w:p w14:paraId="0791B8E3" w14:textId="77777777" w:rsidR="005849A1" w:rsidRPr="00091897" w:rsidRDefault="005849A1" w:rsidP="00A7770D">
            <w:pPr>
              <w:pStyle w:val="Tabletext"/>
              <w:rPr>
                <w:szCs w:val="20"/>
              </w:rPr>
            </w:pPr>
            <w:r>
              <w:rPr>
                <w:szCs w:val="20"/>
              </w:rPr>
              <w:t>Limited evidence was provided by grant recipients to measure the benefits of community awareness activities. However, a small sample of research suggests a significant improvement in energy efficiency by households who participated in direct engagement activities (i.e. public workshops and seminars).</w:t>
            </w:r>
          </w:p>
        </w:tc>
      </w:tr>
    </w:tbl>
    <w:p w14:paraId="3880C321" w14:textId="77777777" w:rsidR="00AE1152" w:rsidRPr="005849A1" w:rsidRDefault="00AE1152" w:rsidP="005849A1">
      <w:pPr>
        <w:pStyle w:val="BodyText"/>
      </w:pPr>
    </w:p>
    <w:tbl>
      <w:tblPr>
        <w:tblStyle w:val="OCETable"/>
        <w:tblpPr w:leftFromText="180" w:rightFromText="180" w:vertAnchor="text" w:horzAnchor="margin" w:tblpY="162"/>
        <w:tblW w:w="6903" w:type="dxa"/>
        <w:tblLayout w:type="fixed"/>
        <w:tblLook w:val="04A0" w:firstRow="1" w:lastRow="0" w:firstColumn="1" w:lastColumn="0" w:noHBand="0" w:noVBand="1"/>
        <w:tblCaption w:val="Summary of the Recommendations from this section of the Evaluation"/>
        <w:tblDescription w:val="1. An evaluation strategy should be part of the design of new programmes to ensure that data needed to measure programme impact are carefully considered and data collection requirements are clear from the time a programme is launched.&#10;2. Consideration should be given to ways of collecting a larger sample size of data to measure the impact of community engagement activities on energy efficiency.&#10;3. Grant reporting through a SmartForm should be established so that information is collected in a consistent manner. This will reduce the amount of collating required by the department, and will simplify reporting processes for grant recipients.&#10;"/>
      </w:tblPr>
      <w:tblGrid>
        <w:gridCol w:w="431"/>
        <w:gridCol w:w="6472"/>
      </w:tblGrid>
      <w:tr w:rsidR="00D85F13" w:rsidRPr="00BA6835" w14:paraId="7D5A01C1" w14:textId="77777777" w:rsidTr="00AE7591">
        <w:trPr>
          <w:cnfStyle w:val="100000000000" w:firstRow="1" w:lastRow="0" w:firstColumn="0" w:lastColumn="0" w:oddVBand="0" w:evenVBand="0" w:oddHBand="0" w:evenHBand="0" w:firstRowFirstColumn="0" w:firstRowLastColumn="0" w:lastRowFirstColumn="0" w:lastRowLastColumn="0"/>
          <w:trHeight w:val="248"/>
          <w:tblHeader/>
        </w:trPr>
        <w:tc>
          <w:tcPr>
            <w:tcW w:w="6903" w:type="dxa"/>
            <w:gridSpan w:val="2"/>
          </w:tcPr>
          <w:p w14:paraId="3ECA98F0" w14:textId="77777777" w:rsidR="00D85F13" w:rsidRPr="00BA6835" w:rsidRDefault="00D85F13" w:rsidP="00A7770D">
            <w:pPr>
              <w:spacing w:before="120" w:after="120" w:line="276" w:lineRule="auto"/>
              <w:rPr>
                <w:rFonts w:eastAsia="Calibri" w:cs="Times New Roman"/>
                <w:szCs w:val="20"/>
              </w:rPr>
            </w:pPr>
            <w:r w:rsidRPr="00BA6835">
              <w:rPr>
                <w:rFonts w:eastAsia="Calibri" w:cs="Times New Roman"/>
                <w:color w:val="FFFFFF" w:themeColor="background1"/>
                <w:szCs w:val="20"/>
              </w:rPr>
              <w:t>RECOMMENDATIONS</w:t>
            </w:r>
            <w:r>
              <w:rPr>
                <w:rFonts w:eastAsia="Calibri" w:cs="Times New Roman"/>
                <w:color w:val="FFFFFF" w:themeColor="background1"/>
                <w:szCs w:val="20"/>
              </w:rPr>
              <w:t xml:space="preserve"> </w:t>
            </w:r>
          </w:p>
        </w:tc>
      </w:tr>
      <w:tr w:rsidR="00D85F13" w14:paraId="24DA5CF1" w14:textId="77777777" w:rsidTr="00D85F13">
        <w:trPr>
          <w:trHeight w:val="508"/>
        </w:trPr>
        <w:tc>
          <w:tcPr>
            <w:tcW w:w="431" w:type="dxa"/>
          </w:tcPr>
          <w:p w14:paraId="01024FC3" w14:textId="77777777" w:rsidR="00D85F13" w:rsidRDefault="00D85F13" w:rsidP="00A7770D">
            <w:pPr>
              <w:pStyle w:val="Tabletext"/>
            </w:pPr>
            <w:r>
              <w:t>1.</w:t>
            </w:r>
          </w:p>
        </w:tc>
        <w:tc>
          <w:tcPr>
            <w:tcW w:w="6472" w:type="dxa"/>
            <w:vAlign w:val="center"/>
          </w:tcPr>
          <w:p w14:paraId="50BAAF0D" w14:textId="77777777" w:rsidR="00D85F13" w:rsidRPr="005849A1" w:rsidRDefault="00D85F13" w:rsidP="00A7770D">
            <w:pPr>
              <w:pStyle w:val="Tabletext"/>
              <w:rPr>
                <w:szCs w:val="20"/>
              </w:rPr>
            </w:pPr>
            <w:r>
              <w:rPr>
                <w:szCs w:val="20"/>
              </w:rPr>
              <w:t xml:space="preserve">An evaluation strategy should </w:t>
            </w:r>
            <w:r w:rsidRPr="00D7136C">
              <w:rPr>
                <w:szCs w:val="20"/>
              </w:rPr>
              <w:t xml:space="preserve">be part </w:t>
            </w:r>
            <w:r>
              <w:rPr>
                <w:szCs w:val="20"/>
              </w:rPr>
              <w:t xml:space="preserve">of the design of new </w:t>
            </w:r>
            <w:r w:rsidR="00835A86">
              <w:rPr>
                <w:szCs w:val="20"/>
              </w:rPr>
              <w:t>programme</w:t>
            </w:r>
            <w:r>
              <w:rPr>
                <w:szCs w:val="20"/>
              </w:rPr>
              <w:t>s to ensure</w:t>
            </w:r>
            <w:r w:rsidRPr="00D7136C">
              <w:rPr>
                <w:szCs w:val="20"/>
              </w:rPr>
              <w:t xml:space="preserve"> that data needed to measure </w:t>
            </w:r>
            <w:r w:rsidR="00835A86">
              <w:rPr>
                <w:szCs w:val="20"/>
              </w:rPr>
              <w:t>programme</w:t>
            </w:r>
            <w:r>
              <w:rPr>
                <w:szCs w:val="20"/>
              </w:rPr>
              <w:t xml:space="preserve"> </w:t>
            </w:r>
            <w:r w:rsidRPr="00D7136C">
              <w:rPr>
                <w:szCs w:val="20"/>
              </w:rPr>
              <w:t xml:space="preserve">impact are carefully considered and data collection requirements are clear from the time a </w:t>
            </w:r>
            <w:r w:rsidR="00835A86">
              <w:rPr>
                <w:szCs w:val="20"/>
              </w:rPr>
              <w:t>programme</w:t>
            </w:r>
            <w:r w:rsidRPr="00D7136C">
              <w:rPr>
                <w:szCs w:val="20"/>
              </w:rPr>
              <w:t xml:space="preserve"> is launched.</w:t>
            </w:r>
          </w:p>
        </w:tc>
      </w:tr>
      <w:tr w:rsidR="00D85F13" w14:paraId="216FEB97" w14:textId="77777777" w:rsidTr="00D85F13">
        <w:trPr>
          <w:trHeight w:val="508"/>
        </w:trPr>
        <w:tc>
          <w:tcPr>
            <w:tcW w:w="431" w:type="dxa"/>
          </w:tcPr>
          <w:p w14:paraId="682C58F9" w14:textId="77777777" w:rsidR="00D85F13" w:rsidRDefault="00D85F13" w:rsidP="00A7770D">
            <w:pPr>
              <w:pStyle w:val="Tabletext"/>
            </w:pPr>
            <w:r>
              <w:t>2.</w:t>
            </w:r>
          </w:p>
        </w:tc>
        <w:tc>
          <w:tcPr>
            <w:tcW w:w="6472" w:type="dxa"/>
            <w:vAlign w:val="center"/>
          </w:tcPr>
          <w:p w14:paraId="085E36FB" w14:textId="77777777" w:rsidR="00D85F13" w:rsidRDefault="00D85F13" w:rsidP="00A7770D">
            <w:pPr>
              <w:pStyle w:val="Tabletext"/>
              <w:rPr>
                <w:szCs w:val="20"/>
              </w:rPr>
            </w:pPr>
            <w:r>
              <w:rPr>
                <w:szCs w:val="20"/>
              </w:rPr>
              <w:t>Consideration should be given to ways of collecting a larger sample size of data to measure the impact of community engagement activities on energy efficiency.</w:t>
            </w:r>
          </w:p>
        </w:tc>
      </w:tr>
      <w:tr w:rsidR="00D85F13" w14:paraId="09E31497" w14:textId="77777777" w:rsidTr="00D85F13">
        <w:trPr>
          <w:trHeight w:val="508"/>
        </w:trPr>
        <w:tc>
          <w:tcPr>
            <w:tcW w:w="431" w:type="dxa"/>
          </w:tcPr>
          <w:p w14:paraId="5DADC05E" w14:textId="77777777" w:rsidR="00D85F13" w:rsidRDefault="00D85F13" w:rsidP="00A7770D">
            <w:pPr>
              <w:pStyle w:val="Tabletext"/>
            </w:pPr>
            <w:r>
              <w:t>3.</w:t>
            </w:r>
          </w:p>
        </w:tc>
        <w:tc>
          <w:tcPr>
            <w:tcW w:w="6472" w:type="dxa"/>
            <w:vAlign w:val="center"/>
          </w:tcPr>
          <w:p w14:paraId="6DB9BF0C" w14:textId="77777777" w:rsidR="00D85F13" w:rsidRPr="0079443E" w:rsidRDefault="00D85F13" w:rsidP="00A7770D">
            <w:pPr>
              <w:pStyle w:val="Tabletext"/>
              <w:rPr>
                <w:szCs w:val="20"/>
              </w:rPr>
            </w:pPr>
            <w:r>
              <w:rPr>
                <w:szCs w:val="20"/>
              </w:rPr>
              <w:t>Grant reporting through a SmartForm should be established so that information is collected in a consistent manner. This will reduce the amount of collating required by the department, and will simplify reporting processes for grant recipients.</w:t>
            </w:r>
          </w:p>
        </w:tc>
      </w:tr>
    </w:tbl>
    <w:p w14:paraId="6799A79D" w14:textId="77777777" w:rsidR="00D85F13" w:rsidRPr="0079443E" w:rsidRDefault="005849A1" w:rsidP="00D85F13">
      <w:pPr>
        <w:pStyle w:val="ListNumber"/>
        <w:numPr>
          <w:ilvl w:val="0"/>
          <w:numId w:val="23"/>
        </w:numPr>
      </w:pPr>
      <w:r>
        <w:br w:type="page"/>
      </w:r>
    </w:p>
    <w:p w14:paraId="0CC02C2C" w14:textId="77777777" w:rsidR="00597CF9" w:rsidRPr="00A7770D" w:rsidRDefault="0017530B" w:rsidP="00A7770D">
      <w:pPr>
        <w:pStyle w:val="Heading1"/>
      </w:pPr>
      <w:bookmarkStart w:id="130" w:name="_Toc483236872"/>
      <w:r w:rsidRPr="00A7770D">
        <w:t>Co-benefits</w:t>
      </w:r>
      <w:bookmarkEnd w:id="130"/>
    </w:p>
    <w:p w14:paraId="436B4A4F" w14:textId="77777777" w:rsidR="00C47E69" w:rsidRDefault="00196E0C" w:rsidP="00913D3E">
      <w:pPr>
        <w:pStyle w:val="BodyText"/>
        <w:jc w:val="left"/>
      </w:pPr>
      <w:bookmarkStart w:id="131" w:name="_Toc463621602"/>
      <w:bookmarkStart w:id="132" w:name="_Toc463864402"/>
      <w:bookmarkStart w:id="133" w:name="_Toc463876978"/>
      <w:r>
        <w:t>Co-benefits include any significant positive outcomes that did not form pa</w:t>
      </w:r>
      <w:r w:rsidR="00913D3E">
        <w:t>rt of the key</w:t>
      </w:r>
      <w:r>
        <w:t xml:space="preserve"> objectives of the </w:t>
      </w:r>
      <w:r w:rsidR="00835A86">
        <w:t>programme</w:t>
      </w:r>
      <w:r>
        <w:t>.</w:t>
      </w:r>
      <w:bookmarkEnd w:id="131"/>
      <w:bookmarkEnd w:id="132"/>
      <w:bookmarkEnd w:id="133"/>
      <w:r w:rsidR="00913D3E">
        <w:t xml:space="preserve"> </w:t>
      </w:r>
      <w:r w:rsidR="00C47E69">
        <w:t>The CEEP was expected to provide the following co-benefits</w:t>
      </w:r>
      <w:r w:rsidR="001C2894">
        <w:rPr>
          <w:rStyle w:val="FootnoteReference"/>
        </w:rPr>
        <w:footnoteReference w:id="18"/>
      </w:r>
      <w:r w:rsidR="00C47E69">
        <w:t>:</w:t>
      </w:r>
    </w:p>
    <w:p w14:paraId="060E86A1" w14:textId="77777777" w:rsidR="00C47E69" w:rsidRDefault="00C47E69" w:rsidP="00C47E69">
      <w:pPr>
        <w:pStyle w:val="ListBullet"/>
        <w:spacing w:after="0"/>
        <w:jc w:val="left"/>
      </w:pPr>
      <w:r>
        <w:t>minimise energy consumption a</w:t>
      </w:r>
      <w:r w:rsidR="00B714F7">
        <w:t>nd costs, in order to mitigate</w:t>
      </w:r>
      <w:r>
        <w:t xml:space="preserve"> the impacts of the carbon price on loca</w:t>
      </w:r>
      <w:r w:rsidR="00C80FAB">
        <w:t>l councils and community groups</w:t>
      </w:r>
    </w:p>
    <w:p w14:paraId="764F7E5D" w14:textId="77777777" w:rsidR="00C47E69" w:rsidRDefault="00C47E69" w:rsidP="00C47E69">
      <w:pPr>
        <w:pStyle w:val="ListBullet"/>
        <w:spacing w:after="0"/>
        <w:jc w:val="left"/>
      </w:pPr>
      <w:r>
        <w:t xml:space="preserve">contribute to the national effort to </w:t>
      </w:r>
      <w:r w:rsidR="00C80FAB">
        <w:t>reduce greenhouse gas emissions</w:t>
      </w:r>
    </w:p>
    <w:p w14:paraId="62AFB89C" w14:textId="77777777" w:rsidR="00C47E69" w:rsidRDefault="00C47E69" w:rsidP="00C47E69">
      <w:pPr>
        <w:pStyle w:val="ListBullet"/>
        <w:spacing w:after="0"/>
        <w:jc w:val="left"/>
      </w:pPr>
      <w:r>
        <w:t>build the knowledge and capacity of energy eff</w:t>
      </w:r>
      <w:r w:rsidR="00C80FAB">
        <w:t>iciency industries in Australia</w:t>
      </w:r>
    </w:p>
    <w:p w14:paraId="0A4A1836" w14:textId="77777777" w:rsidR="00C47E69" w:rsidRDefault="00C47E69" w:rsidP="00C47E69">
      <w:pPr>
        <w:pStyle w:val="ListBullet"/>
        <w:spacing w:after="0"/>
        <w:jc w:val="left"/>
      </w:pPr>
      <w:r>
        <w:t>support competitive energy efficiency technology and equip</w:t>
      </w:r>
      <w:r w:rsidR="00C80FAB">
        <w:t>ment manufacturers in Australia</w:t>
      </w:r>
    </w:p>
    <w:p w14:paraId="578F736F" w14:textId="77777777" w:rsidR="00C47E69" w:rsidRDefault="00C47E69" w:rsidP="00C47E69">
      <w:pPr>
        <w:pStyle w:val="ListBullet"/>
        <w:spacing w:after="180"/>
        <w:jc w:val="left"/>
      </w:pPr>
      <w:r>
        <w:t>assist recipients to provide better services and improved building</w:t>
      </w:r>
      <w:r w:rsidR="00C80FAB">
        <w:t xml:space="preserve"> amenities to their communities</w:t>
      </w:r>
    </w:p>
    <w:p w14:paraId="354C3C6C" w14:textId="77777777" w:rsidR="001035F4" w:rsidRDefault="00AB708A" w:rsidP="004029A8">
      <w:pPr>
        <w:pStyle w:val="BodyText"/>
        <w:jc w:val="left"/>
      </w:pPr>
      <w:r>
        <w:t>There was no quantitative data provided by grant recipients to measure the specific amount of co-benefits produced by the CEEP. However,</w:t>
      </w:r>
      <w:r w:rsidR="00136558">
        <w:t xml:space="preserve"> in the final project reports</w:t>
      </w:r>
      <w:r>
        <w:t xml:space="preserve"> se</w:t>
      </w:r>
      <w:r w:rsidR="00136558">
        <w:t xml:space="preserve">veral grant recipients stated </w:t>
      </w:r>
      <w:r>
        <w:t>that co-benefits had occurred as a result of implementing</w:t>
      </w:r>
      <w:r w:rsidR="00DC4D39">
        <w:t xml:space="preserve"> their projects. Those</w:t>
      </w:r>
      <w:r>
        <w:t xml:space="preserve"> commonly reported were: improved facility amenities; reduced maintenance costs; increased operating hours; improved employee/client health and safety; increased sales; and increased services available to the community. </w:t>
      </w:r>
      <w:r w:rsidR="00DC4D39">
        <w:t>(See</w:t>
      </w:r>
      <w:r w:rsidR="00AE1152">
        <w:t xml:space="preserve"> CEEP Case Stud</w:t>
      </w:r>
      <w:r w:rsidR="00E237EB">
        <w:t>y</w:t>
      </w:r>
      <w:r w:rsidR="00AE1152">
        <w:t xml:space="preserve"> Two and </w:t>
      </w:r>
      <w:r w:rsidR="00E237EB">
        <w:t xml:space="preserve">CEEP Case Study </w:t>
      </w:r>
      <w:r w:rsidR="00AE1152">
        <w:t>Three).</w:t>
      </w:r>
    </w:p>
    <w:p w14:paraId="48B6BF92" w14:textId="77777777" w:rsidR="00913D3E" w:rsidRPr="00913D3E" w:rsidRDefault="00913D3E" w:rsidP="00913D3E">
      <w:pPr>
        <w:pStyle w:val="BodyText"/>
        <w:jc w:val="left"/>
      </w:pPr>
      <w:r>
        <w:t>More than half of the grant recipients indicated that without the CEEP grant they would not have begun the energy efficiency upgrades, or would have delayed their projects by several years. A number of grantees indicated CEEP provided a means to replace broken fixtures (such as lighting) which they could not otherwise afford.</w:t>
      </w:r>
    </w:p>
    <w:p w14:paraId="25E010B1" w14:textId="77777777" w:rsidR="00136558" w:rsidRDefault="00136558" w:rsidP="004029A8">
      <w:pPr>
        <w:pStyle w:val="BodyText"/>
        <w:jc w:val="left"/>
      </w:pPr>
      <w:r>
        <w:t xml:space="preserve">Several grant recipients also noted that the financial savings achieved from reduced energy and maintenance costs have been re-invested into </w:t>
      </w:r>
      <w:r w:rsidRPr="00AB159D">
        <w:t xml:space="preserve">other areas </w:t>
      </w:r>
      <w:r>
        <w:t>of</w:t>
      </w:r>
      <w:r w:rsidRPr="00AB159D">
        <w:t xml:space="preserve"> the organisation</w:t>
      </w:r>
      <w:r>
        <w:t>. This has allowed the communities to enjoy more or improved services.</w:t>
      </w:r>
    </w:p>
    <w:p w14:paraId="1FED292C" w14:textId="77777777" w:rsidR="00660D40" w:rsidRDefault="00DC4D39" w:rsidP="00660D40">
      <w:pPr>
        <w:pStyle w:val="BodyText"/>
        <w:jc w:val="left"/>
      </w:pPr>
      <w:r>
        <w:t>The evaluators</w:t>
      </w:r>
      <w:r w:rsidR="00C47E69">
        <w:t xml:space="preserve"> investigated possible methods of assessing the impact of the </w:t>
      </w:r>
      <w:r w:rsidR="00835A86">
        <w:t>programme</w:t>
      </w:r>
      <w:r w:rsidR="00C47E69">
        <w:t xml:space="preserve"> on the broader energy efficiency in</w:t>
      </w:r>
      <w:r>
        <w:t>dustry in Australia. N</w:t>
      </w:r>
      <w:r w:rsidR="00C47E69">
        <w:t xml:space="preserve">o </w:t>
      </w:r>
      <w:r w:rsidR="00660D40">
        <w:t xml:space="preserve">quantitative </w:t>
      </w:r>
      <w:r w:rsidR="00C47E69">
        <w:t>information</w:t>
      </w:r>
      <w:r>
        <w:t xml:space="preserve"> was</w:t>
      </w:r>
      <w:r w:rsidR="00C47E69">
        <w:t xml:space="preserve"> available from AusIndustry or the Energy Division, to measure</w:t>
      </w:r>
      <w:r w:rsidR="00660D40">
        <w:t xml:space="preserve"> the contribution of the CEEP to</w:t>
      </w:r>
      <w:r w:rsidR="00C47E69">
        <w:t xml:space="preserve"> growth or activity in energy efficiency manufacturing and service provision. </w:t>
      </w:r>
    </w:p>
    <w:p w14:paraId="685152C6" w14:textId="77777777" w:rsidR="00136558" w:rsidRDefault="00DC4D39" w:rsidP="00660D40">
      <w:pPr>
        <w:pStyle w:val="BodyText"/>
        <w:jc w:val="left"/>
      </w:pPr>
      <w:r>
        <w:t>The evaluators</w:t>
      </w:r>
      <w:r w:rsidR="00660D40">
        <w:t xml:space="preserve"> conducted a small number of telephone interviews with energy ef</w:t>
      </w:r>
      <w:r>
        <w:t xml:space="preserve">ficiency industry stakeholders </w:t>
      </w:r>
      <w:r w:rsidR="00660D40">
        <w:t>suggested by</w:t>
      </w:r>
      <w:r>
        <w:t xml:space="preserve"> Energy Division</w:t>
      </w:r>
      <w:r w:rsidR="00660D40">
        <w:t xml:space="preserve">. One </w:t>
      </w:r>
      <w:r w:rsidR="00136558">
        <w:t xml:space="preserve">stakeholder </w:t>
      </w:r>
      <w:r w:rsidR="00313FED">
        <w:t>claimed that the CEEP allowed grant recipients to afford significantly larger street light projects.</w:t>
      </w:r>
      <w:r>
        <w:t xml:space="preserve"> He believed this increased the demand for LEDs, which</w:t>
      </w:r>
      <w:r w:rsidR="00313FED">
        <w:t xml:space="preserve"> reduced the manufacturing price </w:t>
      </w:r>
      <w:r>
        <w:t>by 50 per cent</w:t>
      </w:r>
      <w:r w:rsidR="00313FED">
        <w:t>.</w:t>
      </w:r>
      <w:r>
        <w:t xml:space="preserve"> G</w:t>
      </w:r>
      <w:r w:rsidR="00660D40">
        <w:t xml:space="preserve">rant recipient final reports </w:t>
      </w:r>
      <w:r>
        <w:t>also suggested</w:t>
      </w:r>
      <w:r w:rsidR="00660D40">
        <w:t xml:space="preserve"> that the</w:t>
      </w:r>
      <w:r w:rsidR="00136558">
        <w:t xml:space="preserve"> </w:t>
      </w:r>
      <w:r w:rsidR="00136558" w:rsidRPr="0091479D">
        <w:t>majority of</w:t>
      </w:r>
      <w:r w:rsidR="00313FED">
        <w:t xml:space="preserve"> street light</w:t>
      </w:r>
      <w:r w:rsidR="00660D40">
        <w:t xml:space="preserve"> projects used</w:t>
      </w:r>
      <w:r w:rsidR="00136558" w:rsidRPr="0091479D">
        <w:t xml:space="preserve"> Austral</w:t>
      </w:r>
      <w:r>
        <w:t>ian manufactured LEDs</w:t>
      </w:r>
      <w:r w:rsidR="00703FCD">
        <w:t>. This</w:t>
      </w:r>
      <w:r>
        <w:t xml:space="preserve"> suggests that the </w:t>
      </w:r>
      <w:r w:rsidR="00835A86">
        <w:t>programme</w:t>
      </w:r>
      <w:r>
        <w:t xml:space="preserve"> supported the growth of Australian manufacturers of LEDs.</w:t>
      </w:r>
    </w:p>
    <w:p w14:paraId="12E17550" w14:textId="77777777" w:rsidR="001A086C" w:rsidRDefault="001A086C" w:rsidP="00660D40">
      <w:pPr>
        <w:pStyle w:val="BodyText"/>
        <w:jc w:val="left"/>
      </w:pPr>
      <w:r>
        <w:t>Under the CEEP requirements, p</w:t>
      </w:r>
      <w:r w:rsidR="00136558">
        <w:t xml:space="preserve">rojects receiving </w:t>
      </w:r>
      <w:r>
        <w:t>grants of over $1 million were to provide opportunities for</w:t>
      </w:r>
      <w:r w:rsidR="00136558">
        <w:t xml:space="preserve"> local bu</w:t>
      </w:r>
      <w:r>
        <w:t>sinesses in the project. Many</w:t>
      </w:r>
      <w:r w:rsidR="00136558">
        <w:t xml:space="preserve"> </w:t>
      </w:r>
      <w:r>
        <w:t>grant recipient final reports stated</w:t>
      </w:r>
      <w:r w:rsidR="00136558">
        <w:t xml:space="preserve"> </w:t>
      </w:r>
      <w:r>
        <w:t xml:space="preserve">that </w:t>
      </w:r>
      <w:r w:rsidR="00136558">
        <w:t xml:space="preserve">local businesses </w:t>
      </w:r>
      <w:r>
        <w:t xml:space="preserve">were employed in their projects. In some cases, these projects involved new </w:t>
      </w:r>
      <w:r w:rsidR="00136558">
        <w:t>technologies</w:t>
      </w:r>
      <w:r>
        <w:t>, where the businesses engaged were providing the service/infrastructure for the</w:t>
      </w:r>
      <w:r w:rsidR="00136558">
        <w:t xml:space="preserve"> f</w:t>
      </w:r>
      <w:r>
        <w:t xml:space="preserve">irst time. However, no information is available to measure the impact of the </w:t>
      </w:r>
      <w:r w:rsidR="00835A86">
        <w:t>programme</w:t>
      </w:r>
      <w:r>
        <w:t xml:space="preserve"> on the growth of these businesses, or changes to their products.</w:t>
      </w:r>
    </w:p>
    <w:p w14:paraId="6E5E2972" w14:textId="77777777" w:rsidR="00136558" w:rsidRDefault="00136558" w:rsidP="00136558">
      <w:pPr>
        <w:pStyle w:val="BodyText"/>
        <w:spacing w:before="120" w:after="120"/>
        <w:jc w:val="left"/>
      </w:pPr>
      <w:r>
        <w:t xml:space="preserve">It is likely that a larger number of co-benefits would be revealed if a more detailed assessment was carried out. Quantifying co-benefits would add further value to impact reporting, </w:t>
      </w:r>
      <w:r w:rsidRPr="00435BCE">
        <w:t>potentially tipping the scales</w:t>
      </w:r>
      <w:r>
        <w:t xml:space="preserve"> of a cost-benefit analysis</w:t>
      </w:r>
      <w:r w:rsidRPr="00435BCE">
        <w:t xml:space="preserve"> in favour of implementation.</w:t>
      </w:r>
      <w:r>
        <w:t xml:space="preserve"> While there is a need to manage the reporting burden on grant recipients, future </w:t>
      </w:r>
      <w:r w:rsidR="00835A86">
        <w:t>programme</w:t>
      </w:r>
      <w:r>
        <w:t xml:space="preserve">s could consider possible methods of collecting data to more accurately measure co-benefits. </w:t>
      </w:r>
    </w:p>
    <w:p w14:paraId="2D68DAC6" w14:textId="77777777" w:rsidR="002A04DE" w:rsidRDefault="002A04DE" w:rsidP="002A04DE">
      <w:pPr>
        <w:pStyle w:val="Caption"/>
      </w:pPr>
      <w:r w:rsidRPr="002A04DE">
        <w:t xml:space="preserve">Box </w:t>
      </w:r>
      <w:r>
        <w:t>6</w:t>
      </w:r>
      <w:r w:rsidRPr="002A04DE">
        <w:rPr>
          <w:noProof/>
        </w:rPr>
        <w:t>.</w:t>
      </w:r>
      <w:r w:rsidR="006E7B34">
        <w:fldChar w:fldCharType="begin"/>
      </w:r>
      <w:r w:rsidR="006E7B34">
        <w:instrText xml:space="preserve"> SEQ Box \* ARABIC \s 1  </w:instrText>
      </w:r>
      <w:r w:rsidR="006E7B34">
        <w:fldChar w:fldCharType="separate"/>
      </w:r>
      <w:r w:rsidR="00CB2492">
        <w:rPr>
          <w:noProof/>
        </w:rPr>
        <w:t>1</w:t>
      </w:r>
      <w:r w:rsidR="006E7B34">
        <w:rPr>
          <w:noProof/>
        </w:rPr>
        <w:fldChar w:fldCharType="end"/>
      </w:r>
      <w:r w:rsidRPr="002A04DE">
        <w:t>:</w:t>
      </w:r>
      <w:r>
        <w:t xml:space="preserve"> </w:t>
      </w:r>
      <w:r w:rsidR="00F62E4D">
        <w:t>CEEP Case Study Two</w:t>
      </w:r>
      <w:r>
        <w:t xml:space="preserve">: </w:t>
      </w:r>
      <w:r w:rsidRPr="002A04DE">
        <w:rPr>
          <w:szCs w:val="20"/>
        </w:rPr>
        <w:t>Co-benefits</w:t>
      </w:r>
    </w:p>
    <w:tbl>
      <w:tblPr>
        <w:tblStyle w:val="OCETable"/>
        <w:tblW w:w="4975" w:type="pct"/>
        <w:tblInd w:w="57" w:type="dxa"/>
        <w:tblLayout w:type="fixed"/>
        <w:tblLook w:val="04A0" w:firstRow="1" w:lastRow="0" w:firstColumn="1" w:lastColumn="0" w:noHBand="0" w:noVBand="1"/>
        <w:tblCaption w:val="Placeholder Box"/>
      </w:tblPr>
      <w:tblGrid>
        <w:gridCol w:w="1361"/>
        <w:gridCol w:w="5499"/>
      </w:tblGrid>
      <w:tr w:rsidR="00F62E4D" w14:paraId="181B3E4B" w14:textId="77777777" w:rsidTr="00AE7591">
        <w:trPr>
          <w:cnfStyle w:val="100000000000" w:firstRow="1" w:lastRow="0" w:firstColumn="0" w:lastColumn="0" w:oddVBand="0" w:evenVBand="0" w:oddHBand="0" w:evenHBand="0" w:firstRowFirstColumn="0" w:firstRowLastColumn="0" w:lastRowFirstColumn="0" w:lastRowLastColumn="0"/>
          <w:cantSplit/>
          <w:tblHeader/>
        </w:trPr>
        <w:tc>
          <w:tcPr>
            <w:tcW w:w="992" w:type="pct"/>
            <w:shd w:val="clear" w:color="auto" w:fill="DBE5F1"/>
            <w:vAlign w:val="center"/>
          </w:tcPr>
          <w:p w14:paraId="2A9DA82F" w14:textId="77777777" w:rsidR="00F62E4D" w:rsidRPr="00F62E4D" w:rsidRDefault="00F62E4D" w:rsidP="00F62E4D">
            <w:pPr>
              <w:pStyle w:val="Tabletext"/>
              <w:rPr>
                <w:b/>
                <w:i w:val="0"/>
              </w:rPr>
            </w:pPr>
            <w:r w:rsidRPr="00F62E4D">
              <w:rPr>
                <w:b/>
                <w:i w:val="0"/>
              </w:rPr>
              <w:t>Site</w:t>
            </w:r>
          </w:p>
        </w:tc>
        <w:tc>
          <w:tcPr>
            <w:tcW w:w="4008" w:type="pct"/>
            <w:shd w:val="clear" w:color="auto" w:fill="DBE5F1"/>
            <w:vAlign w:val="center"/>
          </w:tcPr>
          <w:p w14:paraId="7D49ED22" w14:textId="77777777" w:rsidR="00F62E4D" w:rsidRPr="00F62E4D" w:rsidRDefault="00F62E4D" w:rsidP="00F62E4D">
            <w:pPr>
              <w:pStyle w:val="Tabletext"/>
              <w:rPr>
                <w:i w:val="0"/>
              </w:rPr>
            </w:pPr>
            <w:r w:rsidRPr="00F62E4D">
              <w:rPr>
                <w:i w:val="0"/>
              </w:rPr>
              <w:t xml:space="preserve">Aquatic Centre, WA </w:t>
            </w:r>
          </w:p>
        </w:tc>
      </w:tr>
      <w:tr w:rsidR="00F62E4D" w14:paraId="2C69CFBC" w14:textId="77777777" w:rsidTr="00AE7591">
        <w:trPr>
          <w:cnfStyle w:val="100000000000" w:firstRow="1" w:lastRow="0" w:firstColumn="0" w:lastColumn="0" w:oddVBand="0" w:evenVBand="0" w:oddHBand="0" w:evenHBand="0" w:firstRowFirstColumn="0" w:firstRowLastColumn="0" w:lastRowFirstColumn="0" w:lastRowLastColumn="0"/>
          <w:cantSplit/>
          <w:tblHeader/>
        </w:trPr>
        <w:tc>
          <w:tcPr>
            <w:tcW w:w="992" w:type="pct"/>
            <w:shd w:val="clear" w:color="auto" w:fill="DBE5F1"/>
            <w:vAlign w:val="center"/>
          </w:tcPr>
          <w:p w14:paraId="68319058" w14:textId="77777777" w:rsidR="00F62E4D" w:rsidRPr="00F62E4D" w:rsidRDefault="00F62E4D" w:rsidP="00F62E4D">
            <w:pPr>
              <w:pStyle w:val="Tabletext"/>
              <w:rPr>
                <w:b/>
                <w:i w:val="0"/>
              </w:rPr>
            </w:pPr>
            <w:r w:rsidRPr="00F62E4D">
              <w:rPr>
                <w:b/>
                <w:i w:val="0"/>
              </w:rPr>
              <w:t>Issue</w:t>
            </w:r>
          </w:p>
        </w:tc>
        <w:tc>
          <w:tcPr>
            <w:tcW w:w="4008" w:type="pct"/>
            <w:shd w:val="clear" w:color="auto" w:fill="DBE5F1"/>
            <w:vAlign w:val="center"/>
          </w:tcPr>
          <w:p w14:paraId="507B7CA6" w14:textId="77777777" w:rsidR="00F62E4D" w:rsidRPr="00F62E4D" w:rsidRDefault="00F62E4D" w:rsidP="00F62E4D">
            <w:pPr>
              <w:pStyle w:val="Tabletext"/>
              <w:rPr>
                <w:i w:val="0"/>
              </w:rPr>
            </w:pPr>
            <w:r w:rsidRPr="00F62E4D">
              <w:rPr>
                <w:i w:val="0"/>
              </w:rPr>
              <w:t>Ageing infrastructure and viability of facility given rising energy prices</w:t>
            </w:r>
          </w:p>
        </w:tc>
      </w:tr>
      <w:tr w:rsidR="00F62E4D" w14:paraId="09B21C5B" w14:textId="77777777" w:rsidTr="00AE7591">
        <w:trPr>
          <w:cnfStyle w:val="100000000000" w:firstRow="1" w:lastRow="0" w:firstColumn="0" w:lastColumn="0" w:oddVBand="0" w:evenVBand="0" w:oddHBand="0" w:evenHBand="0" w:firstRowFirstColumn="0" w:firstRowLastColumn="0" w:lastRowFirstColumn="0" w:lastRowLastColumn="0"/>
          <w:cantSplit/>
          <w:tblHeader/>
        </w:trPr>
        <w:tc>
          <w:tcPr>
            <w:tcW w:w="992" w:type="pct"/>
            <w:shd w:val="clear" w:color="auto" w:fill="DBE5F1"/>
            <w:vAlign w:val="center"/>
          </w:tcPr>
          <w:p w14:paraId="72533A8F" w14:textId="77777777" w:rsidR="00F62E4D" w:rsidRPr="00F62E4D" w:rsidRDefault="00F62E4D" w:rsidP="00F62E4D">
            <w:pPr>
              <w:pStyle w:val="Tabletext"/>
              <w:rPr>
                <w:b/>
                <w:i w:val="0"/>
              </w:rPr>
            </w:pPr>
            <w:r w:rsidRPr="00F62E4D">
              <w:rPr>
                <w:b/>
                <w:i w:val="0"/>
              </w:rPr>
              <w:t>Upgrade</w:t>
            </w:r>
          </w:p>
        </w:tc>
        <w:tc>
          <w:tcPr>
            <w:tcW w:w="4008" w:type="pct"/>
            <w:shd w:val="clear" w:color="auto" w:fill="DBE5F1"/>
            <w:vAlign w:val="center"/>
          </w:tcPr>
          <w:p w14:paraId="7DFA62ED" w14:textId="77777777" w:rsidR="00F62E4D" w:rsidRPr="00F62E4D" w:rsidRDefault="00F62E4D" w:rsidP="00F62E4D">
            <w:pPr>
              <w:pStyle w:val="Tabletext"/>
              <w:rPr>
                <w:i w:val="0"/>
              </w:rPr>
            </w:pPr>
            <w:r w:rsidRPr="00F62E4D">
              <w:rPr>
                <w:i w:val="0"/>
              </w:rPr>
              <w:t>Geothermal heat exchange upgraded and pool blanket</w:t>
            </w:r>
          </w:p>
        </w:tc>
      </w:tr>
      <w:tr w:rsidR="00F62E4D" w14:paraId="5C513FB9" w14:textId="77777777" w:rsidTr="00AE7591">
        <w:trPr>
          <w:cnfStyle w:val="100000000000" w:firstRow="1" w:lastRow="0" w:firstColumn="0" w:lastColumn="0" w:oddVBand="0" w:evenVBand="0" w:oddHBand="0" w:evenHBand="0" w:firstRowFirstColumn="0" w:firstRowLastColumn="0" w:lastRowFirstColumn="0" w:lastRowLastColumn="0"/>
          <w:cantSplit/>
          <w:tblHeader/>
        </w:trPr>
        <w:tc>
          <w:tcPr>
            <w:tcW w:w="992" w:type="pct"/>
            <w:shd w:val="clear" w:color="auto" w:fill="DBE5F1"/>
            <w:vAlign w:val="center"/>
          </w:tcPr>
          <w:p w14:paraId="10F68516" w14:textId="77777777" w:rsidR="00F62E4D" w:rsidRPr="00F62E4D" w:rsidRDefault="00F62E4D" w:rsidP="00F62E4D">
            <w:pPr>
              <w:pStyle w:val="Tabletext"/>
              <w:rPr>
                <w:b/>
                <w:i w:val="0"/>
              </w:rPr>
            </w:pPr>
            <w:r w:rsidRPr="00F62E4D">
              <w:rPr>
                <w:b/>
                <w:i w:val="0"/>
              </w:rPr>
              <w:t>Benefits</w:t>
            </w:r>
          </w:p>
        </w:tc>
        <w:tc>
          <w:tcPr>
            <w:tcW w:w="4008" w:type="pct"/>
            <w:shd w:val="clear" w:color="auto" w:fill="DBE5F1"/>
            <w:vAlign w:val="center"/>
          </w:tcPr>
          <w:p w14:paraId="5C5C4F0B" w14:textId="77777777" w:rsidR="00F62E4D" w:rsidRPr="00F62E4D" w:rsidRDefault="00F62E4D" w:rsidP="00F62E4D">
            <w:pPr>
              <w:pStyle w:val="Tabletext"/>
              <w:rPr>
                <w:i w:val="0"/>
              </w:rPr>
            </w:pPr>
            <w:r w:rsidRPr="00F62E4D">
              <w:rPr>
                <w:i w:val="0"/>
              </w:rPr>
              <w:t>Saved $90,000 in energy per year</w:t>
            </w:r>
            <w:r w:rsidRPr="00F62E4D">
              <w:rPr>
                <w:i w:val="0"/>
              </w:rPr>
              <w:br/>
              <w:t xml:space="preserve">450 tonnes of carbon emissions annually </w:t>
            </w:r>
          </w:p>
        </w:tc>
      </w:tr>
      <w:tr w:rsidR="00F62E4D" w14:paraId="73E39CE0" w14:textId="77777777" w:rsidTr="00AE7591">
        <w:trPr>
          <w:cnfStyle w:val="100000000000" w:firstRow="1" w:lastRow="0" w:firstColumn="0" w:lastColumn="0" w:oddVBand="0" w:evenVBand="0" w:oddHBand="0" w:evenHBand="0" w:firstRowFirstColumn="0" w:firstRowLastColumn="0" w:lastRowFirstColumn="0" w:lastRowLastColumn="0"/>
          <w:cantSplit/>
          <w:tblHeader/>
        </w:trPr>
        <w:tc>
          <w:tcPr>
            <w:tcW w:w="992" w:type="pct"/>
            <w:shd w:val="clear" w:color="auto" w:fill="DBE5F1"/>
            <w:vAlign w:val="center"/>
          </w:tcPr>
          <w:p w14:paraId="3406772C" w14:textId="77777777" w:rsidR="00F62E4D" w:rsidRPr="00F62E4D" w:rsidRDefault="00F62E4D" w:rsidP="00F62E4D">
            <w:pPr>
              <w:pStyle w:val="Tabletext"/>
              <w:rPr>
                <w:b/>
                <w:i w:val="0"/>
              </w:rPr>
            </w:pPr>
            <w:r w:rsidRPr="00F62E4D">
              <w:rPr>
                <w:b/>
                <w:i w:val="0"/>
              </w:rPr>
              <w:t>Co-benefits</w:t>
            </w:r>
          </w:p>
        </w:tc>
        <w:tc>
          <w:tcPr>
            <w:tcW w:w="4008" w:type="pct"/>
            <w:shd w:val="clear" w:color="auto" w:fill="DBE5F1"/>
            <w:vAlign w:val="center"/>
          </w:tcPr>
          <w:p w14:paraId="77169A17" w14:textId="77777777" w:rsidR="00F62E4D" w:rsidRPr="00F62E4D" w:rsidRDefault="00F62E4D" w:rsidP="00F62E4D">
            <w:pPr>
              <w:pStyle w:val="Tabletext"/>
              <w:rPr>
                <w:i w:val="0"/>
              </w:rPr>
            </w:pPr>
            <w:r w:rsidRPr="00F62E4D">
              <w:rPr>
                <w:i w:val="0"/>
              </w:rPr>
              <w:t>Operation of outdoor pool in winter for extended community use leading to increased revenue.</w:t>
            </w:r>
          </w:p>
          <w:p w14:paraId="39224CA8" w14:textId="77777777" w:rsidR="00F62E4D" w:rsidRPr="00F62E4D" w:rsidRDefault="00F62E4D" w:rsidP="00F62E4D">
            <w:pPr>
              <w:pStyle w:val="Tabletext"/>
              <w:rPr>
                <w:i w:val="0"/>
              </w:rPr>
            </w:pPr>
            <w:r w:rsidRPr="00F62E4D">
              <w:rPr>
                <w:i w:val="0"/>
              </w:rPr>
              <w:t>Improved air quality, increased visitor amenity</w:t>
            </w:r>
          </w:p>
        </w:tc>
      </w:tr>
      <w:tr w:rsidR="00F62E4D" w14:paraId="1AD7518E" w14:textId="77777777" w:rsidTr="00AE7591">
        <w:trPr>
          <w:cnfStyle w:val="100000000000" w:firstRow="1" w:lastRow="0" w:firstColumn="0" w:lastColumn="0" w:oddVBand="0" w:evenVBand="0" w:oddHBand="0" w:evenHBand="0" w:firstRowFirstColumn="0" w:firstRowLastColumn="0" w:lastRowFirstColumn="0" w:lastRowLastColumn="0"/>
          <w:cantSplit/>
          <w:tblHeader/>
        </w:trPr>
        <w:tc>
          <w:tcPr>
            <w:tcW w:w="992" w:type="pct"/>
            <w:shd w:val="clear" w:color="auto" w:fill="DBE5F1"/>
            <w:vAlign w:val="center"/>
          </w:tcPr>
          <w:p w14:paraId="7E062107" w14:textId="77777777" w:rsidR="00F62E4D" w:rsidRPr="00F62E4D" w:rsidRDefault="00F62E4D" w:rsidP="00F62E4D">
            <w:pPr>
              <w:pStyle w:val="Tabletext"/>
              <w:rPr>
                <w:b/>
                <w:i w:val="0"/>
              </w:rPr>
            </w:pPr>
            <w:r w:rsidRPr="00F62E4D">
              <w:rPr>
                <w:b/>
                <w:i w:val="0"/>
              </w:rPr>
              <w:t>Site</w:t>
            </w:r>
          </w:p>
        </w:tc>
        <w:tc>
          <w:tcPr>
            <w:tcW w:w="4008" w:type="pct"/>
            <w:shd w:val="clear" w:color="auto" w:fill="DBE5F1"/>
            <w:vAlign w:val="center"/>
          </w:tcPr>
          <w:p w14:paraId="4C2DF9DC" w14:textId="77777777" w:rsidR="00F62E4D" w:rsidRPr="00F62E4D" w:rsidRDefault="00F62E4D" w:rsidP="00F62E4D">
            <w:pPr>
              <w:pStyle w:val="Tabletext"/>
              <w:rPr>
                <w:i w:val="0"/>
              </w:rPr>
            </w:pPr>
            <w:r w:rsidRPr="00F62E4D">
              <w:rPr>
                <w:i w:val="0"/>
              </w:rPr>
              <w:t xml:space="preserve">Aquatic Centre, WA </w:t>
            </w:r>
          </w:p>
        </w:tc>
      </w:tr>
    </w:tbl>
    <w:p w14:paraId="516065E3" w14:textId="77777777" w:rsidR="002A04DE" w:rsidRDefault="002A04DE" w:rsidP="00136558">
      <w:pPr>
        <w:pStyle w:val="BodyText"/>
        <w:spacing w:before="120" w:after="120"/>
        <w:jc w:val="left"/>
      </w:pPr>
    </w:p>
    <w:p w14:paraId="7A31A33B" w14:textId="77777777" w:rsidR="00F62E4D" w:rsidRDefault="00F62E4D" w:rsidP="00F62E4D">
      <w:pPr>
        <w:pStyle w:val="Caption"/>
      </w:pPr>
      <w:r w:rsidRPr="002A04DE">
        <w:t xml:space="preserve">Box </w:t>
      </w:r>
      <w:r>
        <w:t>6</w:t>
      </w:r>
      <w:r w:rsidRPr="002A04DE">
        <w:rPr>
          <w:noProof/>
        </w:rPr>
        <w:t>.</w:t>
      </w:r>
      <w:r w:rsidR="006E7B34">
        <w:fldChar w:fldCharType="begin"/>
      </w:r>
      <w:r w:rsidR="006E7B34">
        <w:instrText xml:space="preserve"> SEQ Box \* ARABIC \s 1  </w:instrText>
      </w:r>
      <w:r w:rsidR="006E7B34">
        <w:fldChar w:fldCharType="separate"/>
      </w:r>
      <w:r w:rsidR="00CB2492">
        <w:rPr>
          <w:noProof/>
        </w:rPr>
        <w:t>2</w:t>
      </w:r>
      <w:r w:rsidR="006E7B34">
        <w:rPr>
          <w:noProof/>
        </w:rPr>
        <w:fldChar w:fldCharType="end"/>
      </w:r>
      <w:r w:rsidRPr="002A04DE">
        <w:t>:</w:t>
      </w:r>
      <w:r>
        <w:t xml:space="preserve"> CEEP Case Study Two: </w:t>
      </w:r>
      <w:r w:rsidRPr="002A04DE">
        <w:rPr>
          <w:szCs w:val="20"/>
        </w:rPr>
        <w:t>Co-benefits</w:t>
      </w:r>
    </w:p>
    <w:tbl>
      <w:tblPr>
        <w:tblStyle w:val="OCETable"/>
        <w:tblW w:w="4975" w:type="pct"/>
        <w:tblInd w:w="57" w:type="dxa"/>
        <w:tblLayout w:type="fixed"/>
        <w:tblLook w:val="04A0" w:firstRow="1" w:lastRow="0" w:firstColumn="1" w:lastColumn="0" w:noHBand="0" w:noVBand="1"/>
        <w:tblCaption w:val="Placeholder Box"/>
      </w:tblPr>
      <w:tblGrid>
        <w:gridCol w:w="1361"/>
        <w:gridCol w:w="5499"/>
      </w:tblGrid>
      <w:tr w:rsidR="00F62E4D" w14:paraId="23AF4E10" w14:textId="77777777" w:rsidTr="00AE7591">
        <w:trPr>
          <w:cnfStyle w:val="100000000000" w:firstRow="1" w:lastRow="0" w:firstColumn="0" w:lastColumn="0" w:oddVBand="0" w:evenVBand="0" w:oddHBand="0" w:evenHBand="0" w:firstRowFirstColumn="0" w:firstRowLastColumn="0" w:lastRowFirstColumn="0" w:lastRowLastColumn="0"/>
          <w:cantSplit/>
          <w:tblHeader/>
        </w:trPr>
        <w:tc>
          <w:tcPr>
            <w:tcW w:w="992" w:type="pct"/>
            <w:shd w:val="clear" w:color="auto" w:fill="DBE5F1"/>
            <w:vAlign w:val="center"/>
          </w:tcPr>
          <w:p w14:paraId="5D50129B" w14:textId="77777777" w:rsidR="00F62E4D" w:rsidRPr="00F62E4D" w:rsidRDefault="00F62E4D" w:rsidP="00F62E4D">
            <w:pPr>
              <w:pStyle w:val="Tabletext"/>
              <w:rPr>
                <w:b/>
                <w:i w:val="0"/>
              </w:rPr>
            </w:pPr>
            <w:r w:rsidRPr="00F62E4D">
              <w:rPr>
                <w:b/>
                <w:i w:val="0"/>
              </w:rPr>
              <w:t>Site</w:t>
            </w:r>
          </w:p>
        </w:tc>
        <w:tc>
          <w:tcPr>
            <w:tcW w:w="4008" w:type="pct"/>
            <w:shd w:val="clear" w:color="auto" w:fill="DBE5F1"/>
            <w:vAlign w:val="center"/>
          </w:tcPr>
          <w:p w14:paraId="63E6AE08" w14:textId="77777777" w:rsidR="00F62E4D" w:rsidRPr="00F62E4D" w:rsidRDefault="00F62E4D" w:rsidP="00F62E4D">
            <w:pPr>
              <w:pStyle w:val="Tabletext"/>
              <w:rPr>
                <w:i w:val="0"/>
              </w:rPr>
            </w:pPr>
            <w:r w:rsidRPr="00F62E4D">
              <w:rPr>
                <w:i w:val="0"/>
              </w:rPr>
              <w:t>Street lights, Various regions, VIC</w:t>
            </w:r>
          </w:p>
        </w:tc>
      </w:tr>
      <w:tr w:rsidR="00F62E4D" w14:paraId="5E2F0FF2" w14:textId="77777777" w:rsidTr="00AE7591">
        <w:trPr>
          <w:cnfStyle w:val="100000000000" w:firstRow="1" w:lastRow="0" w:firstColumn="0" w:lastColumn="0" w:oddVBand="0" w:evenVBand="0" w:oddHBand="0" w:evenHBand="0" w:firstRowFirstColumn="0" w:firstRowLastColumn="0" w:lastRowFirstColumn="0" w:lastRowLastColumn="0"/>
          <w:cantSplit/>
          <w:tblHeader/>
        </w:trPr>
        <w:tc>
          <w:tcPr>
            <w:tcW w:w="992" w:type="pct"/>
            <w:shd w:val="clear" w:color="auto" w:fill="DBE5F1"/>
            <w:vAlign w:val="center"/>
          </w:tcPr>
          <w:p w14:paraId="17527788" w14:textId="77777777" w:rsidR="00F62E4D" w:rsidRPr="00F62E4D" w:rsidRDefault="00F62E4D" w:rsidP="00F62E4D">
            <w:pPr>
              <w:pStyle w:val="Tabletext"/>
              <w:rPr>
                <w:b/>
                <w:i w:val="0"/>
              </w:rPr>
            </w:pPr>
            <w:r w:rsidRPr="00F62E4D">
              <w:rPr>
                <w:b/>
                <w:i w:val="0"/>
              </w:rPr>
              <w:t>Issue</w:t>
            </w:r>
          </w:p>
        </w:tc>
        <w:tc>
          <w:tcPr>
            <w:tcW w:w="4008" w:type="pct"/>
            <w:shd w:val="clear" w:color="auto" w:fill="DBE5F1"/>
            <w:vAlign w:val="center"/>
          </w:tcPr>
          <w:p w14:paraId="51C06D54" w14:textId="77777777" w:rsidR="00F62E4D" w:rsidRPr="00F62E4D" w:rsidRDefault="00F62E4D" w:rsidP="00F62E4D">
            <w:pPr>
              <w:pStyle w:val="Tabletext"/>
              <w:rPr>
                <w:i w:val="0"/>
              </w:rPr>
            </w:pPr>
            <w:r w:rsidRPr="00F62E4D">
              <w:rPr>
                <w:i w:val="0"/>
              </w:rPr>
              <w:t>Streetlights contributed a significant portion of council electricity costs</w:t>
            </w:r>
          </w:p>
        </w:tc>
      </w:tr>
      <w:tr w:rsidR="00F62E4D" w14:paraId="08A4143A" w14:textId="77777777" w:rsidTr="00AE7591">
        <w:trPr>
          <w:cnfStyle w:val="100000000000" w:firstRow="1" w:lastRow="0" w:firstColumn="0" w:lastColumn="0" w:oddVBand="0" w:evenVBand="0" w:oddHBand="0" w:evenHBand="0" w:firstRowFirstColumn="0" w:firstRowLastColumn="0" w:lastRowFirstColumn="0" w:lastRowLastColumn="0"/>
          <w:cantSplit/>
          <w:tblHeader/>
        </w:trPr>
        <w:tc>
          <w:tcPr>
            <w:tcW w:w="992" w:type="pct"/>
            <w:shd w:val="clear" w:color="auto" w:fill="DBE5F1"/>
            <w:vAlign w:val="center"/>
          </w:tcPr>
          <w:p w14:paraId="4E83AE59" w14:textId="77777777" w:rsidR="00F62E4D" w:rsidRPr="00F62E4D" w:rsidRDefault="00F62E4D" w:rsidP="00F62E4D">
            <w:pPr>
              <w:pStyle w:val="Tabletext"/>
              <w:rPr>
                <w:b/>
                <w:i w:val="0"/>
              </w:rPr>
            </w:pPr>
            <w:r w:rsidRPr="00F62E4D">
              <w:rPr>
                <w:b/>
                <w:i w:val="0"/>
              </w:rPr>
              <w:t>Upgrade</w:t>
            </w:r>
          </w:p>
        </w:tc>
        <w:tc>
          <w:tcPr>
            <w:tcW w:w="4008" w:type="pct"/>
            <w:shd w:val="clear" w:color="auto" w:fill="DBE5F1"/>
            <w:vAlign w:val="center"/>
          </w:tcPr>
          <w:p w14:paraId="2CC47AB4" w14:textId="77777777" w:rsidR="00F62E4D" w:rsidRPr="00F62E4D" w:rsidRDefault="00F62E4D" w:rsidP="00F62E4D">
            <w:pPr>
              <w:pStyle w:val="Tabletext"/>
              <w:rPr>
                <w:i w:val="0"/>
              </w:rPr>
            </w:pPr>
            <w:r w:rsidRPr="00F62E4D">
              <w:rPr>
                <w:i w:val="0"/>
              </w:rPr>
              <w:t>Upgrading 12,000 street lights to energy efficient luminaires</w:t>
            </w:r>
          </w:p>
        </w:tc>
      </w:tr>
      <w:tr w:rsidR="00F62E4D" w14:paraId="456DEFB9" w14:textId="77777777" w:rsidTr="00AE7591">
        <w:trPr>
          <w:cnfStyle w:val="100000000000" w:firstRow="1" w:lastRow="0" w:firstColumn="0" w:lastColumn="0" w:oddVBand="0" w:evenVBand="0" w:oddHBand="0" w:evenHBand="0" w:firstRowFirstColumn="0" w:firstRowLastColumn="0" w:lastRowFirstColumn="0" w:lastRowLastColumn="0"/>
          <w:cantSplit/>
          <w:tblHeader/>
        </w:trPr>
        <w:tc>
          <w:tcPr>
            <w:tcW w:w="992" w:type="pct"/>
            <w:shd w:val="clear" w:color="auto" w:fill="DBE5F1"/>
            <w:vAlign w:val="center"/>
          </w:tcPr>
          <w:p w14:paraId="19A89777" w14:textId="77777777" w:rsidR="00F62E4D" w:rsidRPr="00F62E4D" w:rsidRDefault="00F62E4D" w:rsidP="00F62E4D">
            <w:pPr>
              <w:pStyle w:val="Tabletext"/>
              <w:rPr>
                <w:b/>
                <w:i w:val="0"/>
              </w:rPr>
            </w:pPr>
            <w:r w:rsidRPr="00F62E4D">
              <w:rPr>
                <w:b/>
                <w:i w:val="0"/>
              </w:rPr>
              <w:t>Benefits</w:t>
            </w:r>
          </w:p>
        </w:tc>
        <w:tc>
          <w:tcPr>
            <w:tcW w:w="4008" w:type="pct"/>
            <w:shd w:val="clear" w:color="auto" w:fill="DBE5F1"/>
            <w:vAlign w:val="center"/>
          </w:tcPr>
          <w:p w14:paraId="73C77204" w14:textId="77777777" w:rsidR="00F62E4D" w:rsidRPr="00F62E4D" w:rsidRDefault="00F62E4D" w:rsidP="00F62E4D">
            <w:pPr>
              <w:pStyle w:val="Tabletext"/>
              <w:rPr>
                <w:i w:val="0"/>
              </w:rPr>
            </w:pPr>
            <w:r w:rsidRPr="00F62E4D">
              <w:rPr>
                <w:i w:val="0"/>
              </w:rPr>
              <w:t xml:space="preserve">Saved $975,000 per year in energy and maintenance; </w:t>
            </w:r>
            <w:r w:rsidRPr="00F62E4D">
              <w:rPr>
                <w:i w:val="0"/>
              </w:rPr>
              <w:br/>
              <w:t>4500 tonnes of carbon emissions annually</w:t>
            </w:r>
          </w:p>
        </w:tc>
      </w:tr>
      <w:tr w:rsidR="00F62E4D" w14:paraId="08A1A1D7" w14:textId="77777777" w:rsidTr="00AE7591">
        <w:trPr>
          <w:cnfStyle w:val="100000000000" w:firstRow="1" w:lastRow="0" w:firstColumn="0" w:lastColumn="0" w:oddVBand="0" w:evenVBand="0" w:oddHBand="0" w:evenHBand="0" w:firstRowFirstColumn="0" w:firstRowLastColumn="0" w:lastRowFirstColumn="0" w:lastRowLastColumn="0"/>
          <w:cantSplit/>
          <w:tblHeader/>
        </w:trPr>
        <w:tc>
          <w:tcPr>
            <w:tcW w:w="992" w:type="pct"/>
            <w:shd w:val="clear" w:color="auto" w:fill="DBE5F1"/>
            <w:vAlign w:val="center"/>
          </w:tcPr>
          <w:p w14:paraId="2592782E" w14:textId="77777777" w:rsidR="00F62E4D" w:rsidRPr="00F62E4D" w:rsidRDefault="00F62E4D" w:rsidP="00F62E4D">
            <w:pPr>
              <w:pStyle w:val="Tabletext"/>
              <w:rPr>
                <w:b/>
                <w:i w:val="0"/>
              </w:rPr>
            </w:pPr>
            <w:r w:rsidRPr="00F62E4D">
              <w:rPr>
                <w:b/>
                <w:i w:val="0"/>
              </w:rPr>
              <w:t>Co-benefits</w:t>
            </w:r>
          </w:p>
        </w:tc>
        <w:tc>
          <w:tcPr>
            <w:tcW w:w="4008" w:type="pct"/>
            <w:shd w:val="clear" w:color="auto" w:fill="DBE5F1"/>
            <w:vAlign w:val="center"/>
          </w:tcPr>
          <w:p w14:paraId="7F194CBB" w14:textId="77777777" w:rsidR="00F62E4D" w:rsidRPr="00F62E4D" w:rsidRDefault="00F62E4D" w:rsidP="00F62E4D">
            <w:pPr>
              <w:pStyle w:val="Tabletext"/>
              <w:rPr>
                <w:i w:val="0"/>
              </w:rPr>
            </w:pPr>
            <w:r w:rsidRPr="00F62E4D">
              <w:rPr>
                <w:i w:val="0"/>
              </w:rPr>
              <w:t>Consistent lighting throughout region; increased perceived safety; greater CCTV compatibility</w:t>
            </w:r>
          </w:p>
        </w:tc>
      </w:tr>
      <w:tr w:rsidR="00F62E4D" w14:paraId="6FEEE75C" w14:textId="77777777" w:rsidTr="00AE7591">
        <w:trPr>
          <w:cnfStyle w:val="100000000000" w:firstRow="1" w:lastRow="0" w:firstColumn="0" w:lastColumn="0" w:oddVBand="0" w:evenVBand="0" w:oddHBand="0" w:evenHBand="0" w:firstRowFirstColumn="0" w:firstRowLastColumn="0" w:lastRowFirstColumn="0" w:lastRowLastColumn="0"/>
          <w:cantSplit/>
          <w:tblHeader/>
        </w:trPr>
        <w:tc>
          <w:tcPr>
            <w:tcW w:w="992" w:type="pct"/>
            <w:shd w:val="clear" w:color="auto" w:fill="DBE5F1"/>
            <w:vAlign w:val="center"/>
          </w:tcPr>
          <w:p w14:paraId="3BCA6AFB" w14:textId="77777777" w:rsidR="00F62E4D" w:rsidRPr="00F62E4D" w:rsidRDefault="00F62E4D" w:rsidP="00F62E4D">
            <w:pPr>
              <w:pStyle w:val="Tabletext"/>
              <w:rPr>
                <w:b/>
                <w:i w:val="0"/>
              </w:rPr>
            </w:pPr>
            <w:r w:rsidRPr="00F62E4D">
              <w:rPr>
                <w:b/>
                <w:i w:val="0"/>
              </w:rPr>
              <w:t>Site</w:t>
            </w:r>
          </w:p>
        </w:tc>
        <w:tc>
          <w:tcPr>
            <w:tcW w:w="4008" w:type="pct"/>
            <w:shd w:val="clear" w:color="auto" w:fill="DBE5F1"/>
            <w:vAlign w:val="center"/>
          </w:tcPr>
          <w:p w14:paraId="5F76E9A9" w14:textId="77777777" w:rsidR="00F62E4D" w:rsidRPr="00F62E4D" w:rsidRDefault="00F62E4D" w:rsidP="00F62E4D">
            <w:pPr>
              <w:pStyle w:val="Tabletext"/>
              <w:rPr>
                <w:i w:val="0"/>
              </w:rPr>
            </w:pPr>
            <w:r w:rsidRPr="00F62E4D">
              <w:rPr>
                <w:i w:val="0"/>
              </w:rPr>
              <w:t>Street lights, Various regions, VIC</w:t>
            </w:r>
          </w:p>
        </w:tc>
      </w:tr>
    </w:tbl>
    <w:p w14:paraId="3B2EB500" w14:textId="77777777" w:rsidR="000A359E" w:rsidRDefault="000A359E" w:rsidP="00AD03B0">
      <w:pPr>
        <w:pStyle w:val="BodyText"/>
      </w:pPr>
    </w:p>
    <w:p w14:paraId="09E28F27" w14:textId="77777777" w:rsidR="00C82A96" w:rsidRPr="000A359E" w:rsidRDefault="000A359E" w:rsidP="000A359E">
      <w:pPr>
        <w:spacing w:after="200" w:line="276" w:lineRule="auto"/>
      </w:pPr>
      <w:r>
        <w:br w:type="page"/>
      </w:r>
    </w:p>
    <w:tbl>
      <w:tblPr>
        <w:tblStyle w:val="OCETable"/>
        <w:tblpPr w:leftFromText="180" w:rightFromText="180" w:vertAnchor="text" w:horzAnchor="margin" w:tblpY="42"/>
        <w:tblW w:w="6804" w:type="dxa"/>
        <w:tblLayout w:type="fixed"/>
        <w:tblLook w:val="04A0" w:firstRow="1" w:lastRow="0" w:firstColumn="1" w:lastColumn="0" w:noHBand="0" w:noVBand="1"/>
        <w:tblCaption w:val="Findings Table"/>
        <w:tblDescription w:val="6.Qualitative evidence provided by grant recipients suggests the CEEP produced a wide range of co-benefits including: improved facility amenities; reduced maintenance costs; increased operating hours; improved employee/client health and safety; increased sales; and increased services available to the community. &#10;7.According to grant recipients, the CEEP often enabled technology upgrades that may not have otherwise occurred. Grant recipients commonly reported that the grant allowed projects to be brought forward by many years, or to fund upgrades that were not planned at all due to financial constraints.&#10;8.There was no quantitative information available to measure the impact of the CEEP on the broader energy efficiency industry in Australia. Interviews with a small number of industry stakeholders suggest that CEEP may have supported the growth of Australian manufacturers of LEDs.&#10;"/>
      </w:tblPr>
      <w:tblGrid>
        <w:gridCol w:w="426"/>
        <w:gridCol w:w="6378"/>
      </w:tblGrid>
      <w:tr w:rsidR="00A7770D" w14:paraId="6B9153BD" w14:textId="77777777" w:rsidTr="00AE7591">
        <w:trPr>
          <w:cnfStyle w:val="100000000000" w:firstRow="1" w:lastRow="0" w:firstColumn="0" w:lastColumn="0" w:oddVBand="0" w:evenVBand="0" w:oddHBand="0" w:evenHBand="0" w:firstRowFirstColumn="0" w:firstRowLastColumn="0" w:lastRowFirstColumn="0" w:lastRowLastColumn="0"/>
          <w:tblHeader/>
        </w:trPr>
        <w:tc>
          <w:tcPr>
            <w:tcW w:w="6804" w:type="dxa"/>
            <w:gridSpan w:val="2"/>
          </w:tcPr>
          <w:p w14:paraId="539A8FF4" w14:textId="77777777" w:rsidR="00A7770D" w:rsidRPr="00A7770D" w:rsidRDefault="00A7770D" w:rsidP="00A7770D">
            <w:pPr>
              <w:pStyle w:val="Tableheader"/>
              <w:rPr>
                <w:i/>
              </w:rPr>
            </w:pPr>
            <w:r w:rsidRPr="00A7770D">
              <w:rPr>
                <w:i/>
              </w:rPr>
              <w:t>FINDINGS</w:t>
            </w:r>
          </w:p>
        </w:tc>
      </w:tr>
      <w:tr w:rsidR="00A7770D" w:rsidRPr="0032009C" w14:paraId="24AC6CA5" w14:textId="77777777" w:rsidTr="00AE7591">
        <w:tc>
          <w:tcPr>
            <w:tcW w:w="426" w:type="dxa"/>
          </w:tcPr>
          <w:p w14:paraId="41465A2B" w14:textId="77777777" w:rsidR="00A7770D" w:rsidRDefault="00A7770D" w:rsidP="00AE7591">
            <w:pPr>
              <w:pStyle w:val="Tabletext"/>
            </w:pPr>
            <w:r>
              <w:t>6.</w:t>
            </w:r>
          </w:p>
        </w:tc>
        <w:tc>
          <w:tcPr>
            <w:tcW w:w="6378" w:type="dxa"/>
            <w:vAlign w:val="center"/>
          </w:tcPr>
          <w:p w14:paraId="42FDFBA9" w14:textId="77777777" w:rsidR="00A7770D" w:rsidRPr="0032009C" w:rsidRDefault="00A7770D" w:rsidP="00AE7591">
            <w:pPr>
              <w:pStyle w:val="Tabletext"/>
            </w:pPr>
            <w:r>
              <w:rPr>
                <w:szCs w:val="20"/>
              </w:rPr>
              <w:t>Qualitative evidence provided by grant recipients suggests the CEEP</w:t>
            </w:r>
            <w:r w:rsidRPr="00D71163">
              <w:rPr>
                <w:szCs w:val="20"/>
              </w:rPr>
              <w:t xml:space="preserve"> produced a wide range of co-benefits including: </w:t>
            </w:r>
            <w:r w:rsidRPr="0032009C">
              <w:rPr>
                <w:szCs w:val="20"/>
              </w:rPr>
              <w:t>improved facility amenities; reduced maintenance costs; increased operating hours; improved employee/client health and safety; increased sales; and increased services available to the community.</w:t>
            </w:r>
            <w:r>
              <w:t xml:space="preserve"> </w:t>
            </w:r>
          </w:p>
        </w:tc>
      </w:tr>
      <w:tr w:rsidR="00A7770D" w14:paraId="5D56852D" w14:textId="77777777" w:rsidTr="00AE7591">
        <w:tc>
          <w:tcPr>
            <w:tcW w:w="426" w:type="dxa"/>
          </w:tcPr>
          <w:p w14:paraId="05D0BF26" w14:textId="77777777" w:rsidR="00A7770D" w:rsidRDefault="00A7770D" w:rsidP="00AE7591">
            <w:pPr>
              <w:pStyle w:val="Tabletext"/>
            </w:pPr>
            <w:r>
              <w:t>7.</w:t>
            </w:r>
          </w:p>
        </w:tc>
        <w:tc>
          <w:tcPr>
            <w:tcW w:w="6378" w:type="dxa"/>
            <w:vAlign w:val="center"/>
          </w:tcPr>
          <w:p w14:paraId="3441DA0A" w14:textId="77777777" w:rsidR="00A7770D" w:rsidRDefault="00A7770D" w:rsidP="00AE7591">
            <w:pPr>
              <w:pStyle w:val="Tabletext"/>
              <w:rPr>
                <w:szCs w:val="20"/>
              </w:rPr>
            </w:pPr>
            <w:r>
              <w:rPr>
                <w:szCs w:val="20"/>
              </w:rPr>
              <w:t>According to grant recipients, the CEEP often</w:t>
            </w:r>
            <w:r w:rsidRPr="0032009C">
              <w:rPr>
                <w:szCs w:val="20"/>
              </w:rPr>
              <w:t xml:space="preserve"> enabled technology upgrades that ma</w:t>
            </w:r>
            <w:r>
              <w:rPr>
                <w:szCs w:val="20"/>
              </w:rPr>
              <w:t>y not have otherwise occurred. Grant r</w:t>
            </w:r>
            <w:r w:rsidRPr="0032009C">
              <w:rPr>
                <w:szCs w:val="20"/>
              </w:rPr>
              <w:t>ecipients c</w:t>
            </w:r>
            <w:r>
              <w:rPr>
                <w:szCs w:val="20"/>
              </w:rPr>
              <w:t xml:space="preserve">ommonly reported that the grant </w:t>
            </w:r>
            <w:r w:rsidRPr="0032009C">
              <w:rPr>
                <w:szCs w:val="20"/>
              </w:rPr>
              <w:t>allowed projects to be brought forward by many years, or to fund upgrades that were not planned at all due to financial constraints.</w:t>
            </w:r>
          </w:p>
        </w:tc>
      </w:tr>
      <w:tr w:rsidR="00A7770D" w:rsidRPr="00D336E0" w14:paraId="51852BEE" w14:textId="77777777" w:rsidTr="00AE7591">
        <w:tc>
          <w:tcPr>
            <w:tcW w:w="426" w:type="dxa"/>
          </w:tcPr>
          <w:p w14:paraId="5B3FFD7E" w14:textId="77777777" w:rsidR="00A7770D" w:rsidRDefault="00A7770D" w:rsidP="00AE7591">
            <w:pPr>
              <w:pStyle w:val="Tabletext"/>
            </w:pPr>
            <w:r>
              <w:t>8.</w:t>
            </w:r>
          </w:p>
        </w:tc>
        <w:tc>
          <w:tcPr>
            <w:tcW w:w="6378" w:type="dxa"/>
            <w:vAlign w:val="center"/>
          </w:tcPr>
          <w:p w14:paraId="40ECA510" w14:textId="77777777" w:rsidR="00A7770D" w:rsidRPr="00D336E0" w:rsidRDefault="00A7770D" w:rsidP="00AE7591">
            <w:pPr>
              <w:pStyle w:val="Tabletext"/>
              <w:rPr>
                <w:b/>
                <w:szCs w:val="20"/>
              </w:rPr>
            </w:pPr>
            <w:r>
              <w:rPr>
                <w:szCs w:val="20"/>
              </w:rPr>
              <w:t xml:space="preserve">There was no quantitative information available to measure the impact of the CEEP on the </w:t>
            </w:r>
            <w:r w:rsidRPr="00913D3E">
              <w:rPr>
                <w:szCs w:val="20"/>
              </w:rPr>
              <w:t>broader energy efficiency industry in Australia</w:t>
            </w:r>
            <w:r>
              <w:rPr>
                <w:szCs w:val="20"/>
              </w:rPr>
              <w:t xml:space="preserve">. Interviews with a small number of industry stakeholders suggest that CEEP may </w:t>
            </w:r>
            <w:r w:rsidRPr="00D336E0">
              <w:rPr>
                <w:szCs w:val="20"/>
              </w:rPr>
              <w:t>have supported the growth of Australian manufacturers of LEDs.</w:t>
            </w:r>
          </w:p>
        </w:tc>
      </w:tr>
    </w:tbl>
    <w:p w14:paraId="7CF3307C" w14:textId="77777777" w:rsidR="00597CF9" w:rsidRDefault="00597CF9" w:rsidP="00AD03B0">
      <w:pPr>
        <w:pStyle w:val="BodyText"/>
      </w:pPr>
    </w:p>
    <w:tbl>
      <w:tblPr>
        <w:tblStyle w:val="OCETable"/>
        <w:tblpPr w:leftFromText="180" w:rightFromText="180" w:vertAnchor="text" w:horzAnchor="margin" w:tblpY="42"/>
        <w:tblW w:w="6804" w:type="dxa"/>
        <w:tblLayout w:type="fixed"/>
        <w:tblLook w:val="04A0" w:firstRow="1" w:lastRow="0" w:firstColumn="1" w:lastColumn="0" w:noHBand="0" w:noVBand="1"/>
        <w:tblCaption w:val="Recommendations table"/>
        <w:tblDescription w:val="Reccomendation no. 4. While there is a need to minimise the reporting burden on grant recipients, future programmes could consider possible methods of collecting data to more accurately measure co-benefits."/>
      </w:tblPr>
      <w:tblGrid>
        <w:gridCol w:w="426"/>
        <w:gridCol w:w="6378"/>
      </w:tblGrid>
      <w:tr w:rsidR="00A7770D" w14:paraId="19A6EA3D" w14:textId="77777777" w:rsidTr="00AE7591">
        <w:trPr>
          <w:cnfStyle w:val="100000000000" w:firstRow="1" w:lastRow="0" w:firstColumn="0" w:lastColumn="0" w:oddVBand="0" w:evenVBand="0" w:oddHBand="0" w:evenHBand="0" w:firstRowFirstColumn="0" w:firstRowLastColumn="0" w:lastRowFirstColumn="0" w:lastRowLastColumn="0"/>
          <w:tblHeader/>
        </w:trPr>
        <w:tc>
          <w:tcPr>
            <w:tcW w:w="6804" w:type="dxa"/>
            <w:gridSpan w:val="2"/>
          </w:tcPr>
          <w:p w14:paraId="1897FBE3" w14:textId="77777777" w:rsidR="00A7770D" w:rsidRDefault="00A7770D" w:rsidP="00D8529C">
            <w:pPr>
              <w:spacing w:before="120" w:after="120" w:line="276" w:lineRule="auto"/>
              <w:rPr>
                <w:rFonts w:eastAsia="Calibri" w:cs="Times New Roman"/>
              </w:rPr>
            </w:pPr>
            <w:r>
              <w:rPr>
                <w:rFonts w:eastAsia="Calibri" w:cs="Times New Roman"/>
                <w:color w:val="FFFFFF" w:themeColor="background1"/>
              </w:rPr>
              <w:t>RECOMMENDATIONS</w:t>
            </w:r>
          </w:p>
        </w:tc>
      </w:tr>
      <w:tr w:rsidR="00A7770D" w:rsidRPr="005849A1" w14:paraId="709CCF3A" w14:textId="77777777" w:rsidTr="00AE7591">
        <w:tc>
          <w:tcPr>
            <w:tcW w:w="426" w:type="dxa"/>
          </w:tcPr>
          <w:p w14:paraId="3374F789" w14:textId="77777777" w:rsidR="00A7770D" w:rsidRDefault="00A7770D" w:rsidP="00AE7591">
            <w:pPr>
              <w:pStyle w:val="Tabletext"/>
            </w:pPr>
            <w:r>
              <w:t>4.</w:t>
            </w:r>
          </w:p>
        </w:tc>
        <w:tc>
          <w:tcPr>
            <w:tcW w:w="6378" w:type="dxa"/>
            <w:vAlign w:val="center"/>
          </w:tcPr>
          <w:p w14:paraId="2949004A" w14:textId="77777777" w:rsidR="00A7770D" w:rsidRPr="005849A1" w:rsidRDefault="00A7770D" w:rsidP="00AE7591">
            <w:pPr>
              <w:pStyle w:val="Tabletext"/>
              <w:rPr>
                <w:szCs w:val="20"/>
              </w:rPr>
            </w:pPr>
            <w:r w:rsidRPr="00D71163">
              <w:rPr>
                <w:szCs w:val="20"/>
              </w:rPr>
              <w:t xml:space="preserve">While there is a need to minimise the reporting burden on grant recipients, future </w:t>
            </w:r>
            <w:r>
              <w:rPr>
                <w:szCs w:val="20"/>
              </w:rPr>
              <w:t>programme</w:t>
            </w:r>
            <w:r w:rsidRPr="00D71163">
              <w:rPr>
                <w:szCs w:val="20"/>
              </w:rPr>
              <w:t>s could consider possible methods of collecting data to more accurately measure co-benefits</w:t>
            </w:r>
            <w:r>
              <w:rPr>
                <w:szCs w:val="20"/>
              </w:rPr>
              <w:t>.</w:t>
            </w:r>
          </w:p>
        </w:tc>
      </w:tr>
    </w:tbl>
    <w:p w14:paraId="4AC6D4B0" w14:textId="77777777" w:rsidR="00A7770D" w:rsidRDefault="00A7770D" w:rsidP="00AD03B0">
      <w:pPr>
        <w:pStyle w:val="BodyText"/>
      </w:pPr>
    </w:p>
    <w:p w14:paraId="48DA3E13" w14:textId="77777777" w:rsidR="005849A1" w:rsidRDefault="005849A1">
      <w:pPr>
        <w:spacing w:after="200" w:line="276" w:lineRule="auto"/>
        <w:rPr>
          <w:rFonts w:asciiTheme="majorHAnsi" w:eastAsia="Times New Roman" w:hAnsiTheme="majorHAnsi" w:cs="Arial"/>
          <w:b/>
          <w:bCs/>
          <w:color w:val="22789A"/>
          <w:kern w:val="32"/>
          <w:sz w:val="32"/>
          <w:szCs w:val="32"/>
        </w:rPr>
      </w:pPr>
      <w:bookmarkStart w:id="134" w:name="_Toc446426647"/>
      <w:bookmarkStart w:id="135" w:name="_Toc463621617"/>
      <w:bookmarkStart w:id="136" w:name="_Toc463864416"/>
      <w:bookmarkStart w:id="137" w:name="_Toc463876992"/>
      <w:bookmarkStart w:id="138" w:name="_Toc463970091"/>
      <w:bookmarkStart w:id="139" w:name="_Toc464116857"/>
      <w:r>
        <w:br w:type="page"/>
      </w:r>
    </w:p>
    <w:p w14:paraId="778C4C72" w14:textId="77777777" w:rsidR="00597CF9" w:rsidRPr="00C044FA" w:rsidRDefault="0017530B" w:rsidP="001A086C">
      <w:pPr>
        <w:pStyle w:val="Heading1"/>
      </w:pPr>
      <w:bookmarkStart w:id="140" w:name="_Toc483236873"/>
      <w:r>
        <w:t>Unintended C</w:t>
      </w:r>
      <w:r w:rsidR="00597CF9" w:rsidRPr="00C044FA">
        <w:t>onsequences</w:t>
      </w:r>
      <w:bookmarkEnd w:id="134"/>
      <w:bookmarkEnd w:id="135"/>
      <w:bookmarkEnd w:id="136"/>
      <w:bookmarkEnd w:id="137"/>
      <w:bookmarkEnd w:id="138"/>
      <w:bookmarkEnd w:id="139"/>
      <w:bookmarkEnd w:id="140"/>
    </w:p>
    <w:p w14:paraId="5C5DA0AE" w14:textId="77777777" w:rsidR="00597CF9" w:rsidRDefault="002109A4" w:rsidP="002109A4">
      <w:pPr>
        <w:pStyle w:val="BodyText"/>
        <w:jc w:val="left"/>
      </w:pPr>
      <w:r>
        <w:t xml:space="preserve">The evaluation considered the comments provided in grant recipient final reports to assess whether there have been any </w:t>
      </w:r>
      <w:r w:rsidR="00BB61F5">
        <w:t>un</w:t>
      </w:r>
      <w:r>
        <w:t xml:space="preserve">intended effects of the </w:t>
      </w:r>
      <w:r w:rsidR="00835A86">
        <w:t>programme</w:t>
      </w:r>
      <w:r>
        <w:t xml:space="preserve"> on grant recipients. </w:t>
      </w:r>
      <w:r w:rsidR="00597CF9" w:rsidRPr="00EB0D56">
        <w:t xml:space="preserve">Only one </w:t>
      </w:r>
      <w:r>
        <w:t xml:space="preserve">grant </w:t>
      </w:r>
      <w:r w:rsidR="00597CF9" w:rsidRPr="00EB0D56">
        <w:t>recipient mentioned an occupational hea</w:t>
      </w:r>
      <w:r>
        <w:t>lth and safety incident, involving</w:t>
      </w:r>
      <w:r w:rsidR="00597CF9" w:rsidRPr="00EB0D56">
        <w:t xml:space="preserve"> an electrified street pole</w:t>
      </w:r>
      <w:r w:rsidR="00597CF9">
        <w:t xml:space="preserve">. </w:t>
      </w:r>
      <w:r>
        <w:t xml:space="preserve">This was considered an installation error, and did not result in any injuries. </w:t>
      </w:r>
    </w:p>
    <w:p w14:paraId="0EEA2960" w14:textId="77777777" w:rsidR="00597CF9" w:rsidRDefault="00597CF9" w:rsidP="002109A4">
      <w:pPr>
        <w:pStyle w:val="BodyText"/>
        <w:jc w:val="left"/>
      </w:pPr>
      <w:r w:rsidRPr="00EB0D56">
        <w:t xml:space="preserve">Some </w:t>
      </w:r>
      <w:r w:rsidR="002109A4">
        <w:t xml:space="preserve">grant </w:t>
      </w:r>
      <w:r w:rsidRPr="00EB0D56">
        <w:t>recipients</w:t>
      </w:r>
      <w:r>
        <w:t xml:space="preserve"> reported</w:t>
      </w:r>
      <w:r w:rsidRPr="00EB0D56">
        <w:t xml:space="preserve"> that after the installation of LED s</w:t>
      </w:r>
      <w:r>
        <w:t>t</w:t>
      </w:r>
      <w:r w:rsidRPr="00EB0D56">
        <w:t>reetlights, the</w:t>
      </w:r>
      <w:r w:rsidR="002109A4">
        <w:t>ir</w:t>
      </w:r>
      <w:r w:rsidRPr="00EB0D56">
        <w:t xml:space="preserve"> power companies increased their prices to compensate for the revenue lost through </w:t>
      </w:r>
      <w:r w:rsidR="0088141C">
        <w:t>reduced maintenance requirements</w:t>
      </w:r>
      <w:r w:rsidRPr="00EB0D56">
        <w:t xml:space="preserve">. </w:t>
      </w:r>
      <w:r>
        <w:t>Typically, this has been observed in regional and remote locations.</w:t>
      </w:r>
    </w:p>
    <w:p w14:paraId="48420C82" w14:textId="77777777" w:rsidR="00597CF9" w:rsidRDefault="00597CF9" w:rsidP="002109A4">
      <w:pPr>
        <w:pStyle w:val="BodyText"/>
        <w:jc w:val="left"/>
      </w:pPr>
      <w:r>
        <w:t>A handful of low socio-economic communities have reduced their energy consumption, but reported rises in their energy costs. It is common practice for</w:t>
      </w:r>
      <w:r w:rsidR="002109A4">
        <w:t xml:space="preserve"> the pricing structure of</w:t>
      </w:r>
      <w:r>
        <w:t xml:space="preserve"> street lights to be modelled on the number of lights in place, no</w:t>
      </w:r>
      <w:r w:rsidR="002109A4">
        <w:t xml:space="preserve">t the amount of energy </w:t>
      </w:r>
      <w:r>
        <w:t>used.</w:t>
      </w:r>
      <w:r w:rsidRPr="00092A7F">
        <w:t xml:space="preserve"> </w:t>
      </w:r>
      <w:r w:rsidR="002109A4">
        <w:t xml:space="preserve">In some cases, the CEEP projects have resulted in an increased </w:t>
      </w:r>
      <w:r>
        <w:t xml:space="preserve">number of </w:t>
      </w:r>
      <w:r w:rsidR="002109A4">
        <w:t xml:space="preserve">operating street </w:t>
      </w:r>
      <w:r>
        <w:t>lig</w:t>
      </w:r>
      <w:r w:rsidR="002109A4">
        <w:t>hts (as some were previously broken), and thereby increased the council’s</w:t>
      </w:r>
      <w:r>
        <w:t xml:space="preserve"> energy costs.</w:t>
      </w:r>
    </w:p>
    <w:p w14:paraId="28E6BFC1" w14:textId="77777777" w:rsidR="00F650BF" w:rsidRPr="00EB0D56" w:rsidRDefault="00F650BF" w:rsidP="002109A4">
      <w:pPr>
        <w:pStyle w:val="BodyText"/>
        <w:jc w:val="left"/>
      </w:pPr>
      <w:r>
        <w:t xml:space="preserve">Two grant recipients (delivering a joint project) had to reduce the scope of their street light replacement programme due to the requirement of paying a gifting tax to the relevant state government (approximately $1 million). Because the street light poles were owned by a network provider (rather than the local council directly), the street light globes funded under the CEEP </w:t>
      </w:r>
      <w:r w:rsidR="003146EE">
        <w:t>were</w:t>
      </w:r>
      <w:r>
        <w:t xml:space="preserve"> ‘gifted’ to the network provider. The state government agreed to waive the gifting tax on the first occasion. However, it would not agree to further applications to waive</w:t>
      </w:r>
      <w:r w:rsidR="003146EE">
        <w:t xml:space="preserve"> the</w:t>
      </w:r>
      <w:r>
        <w:t xml:space="preserve"> tax.</w:t>
      </w:r>
      <w:r w:rsidR="003146EE">
        <w:t xml:space="preserve"> The project was subsequently reduced in scope. </w:t>
      </w:r>
    </w:p>
    <w:p w14:paraId="37571180" w14:textId="77777777" w:rsidR="00313FED" w:rsidRPr="00A15E4A" w:rsidRDefault="00313FED" w:rsidP="00313FED">
      <w:pPr>
        <w:pStyle w:val="BodyText"/>
        <w:framePr w:hSpace="180" w:wrap="around" w:vAnchor="text" w:hAnchor="margin" w:y="3"/>
        <w:jc w:val="left"/>
        <w:rPr>
          <w:rFonts w:eastAsia="Calibri" w:cs="Times New Roman"/>
        </w:rPr>
      </w:pPr>
    </w:p>
    <w:tbl>
      <w:tblPr>
        <w:tblStyle w:val="OCETable"/>
        <w:tblpPr w:leftFromText="180" w:rightFromText="180" w:vertAnchor="text" w:horzAnchor="margin" w:tblpY="42"/>
        <w:tblW w:w="6804" w:type="dxa"/>
        <w:tblLayout w:type="fixed"/>
        <w:tblLook w:val="04A0" w:firstRow="1" w:lastRow="0" w:firstColumn="1" w:lastColumn="0" w:noHBand="0" w:noVBand="1"/>
        <w:tblCaption w:val="Findings from the Unexpected Outcomes section"/>
        <w:tblDescription w:val="The evaluation did not find any evidence of significant unintended consequences as a result of the programme. However, some barriers did exist (in a limited number of cases) that reduced the effectiveness of the programme. This included issues with the ownership of street light poles, and the pricing structure for street lighting."/>
      </w:tblPr>
      <w:tblGrid>
        <w:gridCol w:w="426"/>
        <w:gridCol w:w="6378"/>
      </w:tblGrid>
      <w:tr w:rsidR="00313FED" w14:paraId="207460AD" w14:textId="77777777" w:rsidTr="00664B56">
        <w:trPr>
          <w:cnfStyle w:val="100000000000" w:firstRow="1" w:lastRow="0" w:firstColumn="0" w:lastColumn="0" w:oddVBand="0" w:evenVBand="0" w:oddHBand="0" w:evenHBand="0" w:firstRowFirstColumn="0" w:firstRowLastColumn="0" w:lastRowFirstColumn="0" w:lastRowLastColumn="0"/>
          <w:tblHeader/>
        </w:trPr>
        <w:tc>
          <w:tcPr>
            <w:tcW w:w="6804" w:type="dxa"/>
            <w:gridSpan w:val="2"/>
          </w:tcPr>
          <w:p w14:paraId="224732CB" w14:textId="77777777" w:rsidR="00313FED" w:rsidRDefault="00541928" w:rsidP="00D8529C">
            <w:pPr>
              <w:spacing w:before="120" w:after="120" w:line="276" w:lineRule="auto"/>
              <w:rPr>
                <w:rFonts w:eastAsia="Calibri" w:cs="Times New Roman"/>
              </w:rPr>
            </w:pPr>
            <w:r>
              <w:rPr>
                <w:rFonts w:eastAsia="Calibri" w:cs="Times New Roman"/>
                <w:color w:val="FFFFFF" w:themeColor="background1"/>
              </w:rPr>
              <w:t>FINDINGS</w:t>
            </w:r>
          </w:p>
        </w:tc>
      </w:tr>
      <w:tr w:rsidR="00313FED" w14:paraId="5FF0412D" w14:textId="77777777" w:rsidTr="00F167A5">
        <w:tc>
          <w:tcPr>
            <w:tcW w:w="426" w:type="dxa"/>
          </w:tcPr>
          <w:p w14:paraId="2BAD98E7" w14:textId="77777777" w:rsidR="00313FED" w:rsidRDefault="00623B41" w:rsidP="00D8529C">
            <w:pPr>
              <w:pStyle w:val="Tabletext"/>
            </w:pPr>
            <w:r>
              <w:t>9</w:t>
            </w:r>
            <w:r w:rsidR="00313FED">
              <w:t>.</w:t>
            </w:r>
          </w:p>
        </w:tc>
        <w:tc>
          <w:tcPr>
            <w:tcW w:w="6378" w:type="dxa"/>
            <w:vAlign w:val="center"/>
          </w:tcPr>
          <w:p w14:paraId="3DCF9768" w14:textId="77777777" w:rsidR="00313FED" w:rsidRPr="005849A1" w:rsidRDefault="00313FED" w:rsidP="00D8529C">
            <w:pPr>
              <w:pStyle w:val="Tabletext"/>
              <w:rPr>
                <w:szCs w:val="20"/>
              </w:rPr>
            </w:pPr>
            <w:r>
              <w:rPr>
                <w:szCs w:val="20"/>
              </w:rPr>
              <w:t>The evaluation did not find any evidence of significant unintended conseque</w:t>
            </w:r>
            <w:r w:rsidR="001A44E5">
              <w:rPr>
                <w:szCs w:val="20"/>
              </w:rPr>
              <w:t xml:space="preserve">nces as a result of the </w:t>
            </w:r>
            <w:r w:rsidR="00835A86">
              <w:rPr>
                <w:szCs w:val="20"/>
              </w:rPr>
              <w:t>programme</w:t>
            </w:r>
            <w:r w:rsidR="001A44E5">
              <w:rPr>
                <w:szCs w:val="20"/>
              </w:rPr>
              <w:t>.</w:t>
            </w:r>
            <w:r w:rsidR="003146EE">
              <w:rPr>
                <w:szCs w:val="20"/>
              </w:rPr>
              <w:t xml:space="preserve"> However, some barriers did exist</w:t>
            </w:r>
            <w:r w:rsidR="002A09C5">
              <w:rPr>
                <w:szCs w:val="20"/>
              </w:rPr>
              <w:t xml:space="preserve"> (</w:t>
            </w:r>
            <w:r w:rsidR="003146EE">
              <w:rPr>
                <w:szCs w:val="20"/>
              </w:rPr>
              <w:t xml:space="preserve">in a limited number of </w:t>
            </w:r>
            <w:r w:rsidR="002A09C5">
              <w:rPr>
                <w:szCs w:val="20"/>
              </w:rPr>
              <w:t>cases) that</w:t>
            </w:r>
            <w:r w:rsidR="003146EE">
              <w:rPr>
                <w:szCs w:val="20"/>
              </w:rPr>
              <w:t xml:space="preserve"> reduced the effectiveness of the programme. This included issues with the ownership of street light poles, and the pricing structure for street lighting.</w:t>
            </w:r>
          </w:p>
        </w:tc>
      </w:tr>
    </w:tbl>
    <w:p w14:paraId="1F0157BB" w14:textId="77777777" w:rsidR="00541928" w:rsidRDefault="00541928" w:rsidP="00541928">
      <w:pPr>
        <w:pStyle w:val="BodyText"/>
      </w:pPr>
    </w:p>
    <w:p w14:paraId="118F687E" w14:textId="77777777" w:rsidR="00541928" w:rsidRPr="00A15E4A" w:rsidRDefault="00541928" w:rsidP="00541928">
      <w:pPr>
        <w:pStyle w:val="BodyText"/>
        <w:framePr w:hSpace="180" w:wrap="around" w:vAnchor="text" w:hAnchor="margin" w:y="3"/>
        <w:jc w:val="left"/>
        <w:rPr>
          <w:rFonts w:eastAsia="Calibri" w:cs="Times New Roman"/>
        </w:rPr>
      </w:pPr>
    </w:p>
    <w:tbl>
      <w:tblPr>
        <w:tblStyle w:val="OCETable"/>
        <w:tblpPr w:leftFromText="180" w:rightFromText="180" w:vertAnchor="text" w:horzAnchor="margin" w:tblpY="42"/>
        <w:tblW w:w="6804" w:type="dxa"/>
        <w:tblLayout w:type="fixed"/>
        <w:tblLook w:val="04A0" w:firstRow="1" w:lastRow="0" w:firstColumn="1" w:lastColumn="0" w:noHBand="0" w:noVBand="1"/>
        <w:tblCaption w:val="Recommendation five"/>
        <w:tblDescription w:val="Energy efficiency programmes should consider monitoring the energy costs of grant recipients, to assess whether the financial benefits of reduced energy consumption are being received by end users. The ownership of street lighting infrastructure should also be considered."/>
      </w:tblPr>
      <w:tblGrid>
        <w:gridCol w:w="426"/>
        <w:gridCol w:w="6378"/>
      </w:tblGrid>
      <w:tr w:rsidR="00541928" w14:paraId="69BD3303" w14:textId="77777777" w:rsidTr="00664B56">
        <w:trPr>
          <w:cnfStyle w:val="100000000000" w:firstRow="1" w:lastRow="0" w:firstColumn="0" w:lastColumn="0" w:oddVBand="0" w:evenVBand="0" w:oddHBand="0" w:evenHBand="0" w:firstRowFirstColumn="0" w:firstRowLastColumn="0" w:lastRowFirstColumn="0" w:lastRowLastColumn="0"/>
          <w:tblHeader/>
        </w:trPr>
        <w:tc>
          <w:tcPr>
            <w:tcW w:w="6804" w:type="dxa"/>
            <w:gridSpan w:val="2"/>
          </w:tcPr>
          <w:p w14:paraId="45A86F28" w14:textId="77777777" w:rsidR="00541928" w:rsidRDefault="00541928" w:rsidP="00D8529C">
            <w:pPr>
              <w:spacing w:before="120" w:after="120" w:line="276" w:lineRule="auto"/>
              <w:rPr>
                <w:rFonts w:eastAsia="Calibri" w:cs="Times New Roman"/>
              </w:rPr>
            </w:pPr>
            <w:r>
              <w:rPr>
                <w:rFonts w:eastAsia="Calibri" w:cs="Times New Roman"/>
                <w:color w:val="FFFFFF" w:themeColor="background1"/>
              </w:rPr>
              <w:t>RECOMMENDATIONS</w:t>
            </w:r>
          </w:p>
        </w:tc>
      </w:tr>
      <w:tr w:rsidR="00541928" w14:paraId="34764124" w14:textId="77777777" w:rsidTr="00F167A5">
        <w:tc>
          <w:tcPr>
            <w:tcW w:w="426" w:type="dxa"/>
          </w:tcPr>
          <w:p w14:paraId="1A5ADFFF" w14:textId="77777777" w:rsidR="00541928" w:rsidRDefault="00623B41" w:rsidP="00D8529C">
            <w:pPr>
              <w:pStyle w:val="Tabletext"/>
            </w:pPr>
            <w:r>
              <w:t>5</w:t>
            </w:r>
            <w:r w:rsidR="00541928">
              <w:t>.</w:t>
            </w:r>
          </w:p>
        </w:tc>
        <w:tc>
          <w:tcPr>
            <w:tcW w:w="6378" w:type="dxa"/>
            <w:vAlign w:val="center"/>
          </w:tcPr>
          <w:p w14:paraId="2B4FEE50" w14:textId="77777777" w:rsidR="00541928" w:rsidRPr="005849A1" w:rsidRDefault="00541928" w:rsidP="00D8529C">
            <w:pPr>
              <w:pStyle w:val="Tabletext"/>
              <w:rPr>
                <w:szCs w:val="20"/>
              </w:rPr>
            </w:pPr>
            <w:r>
              <w:rPr>
                <w:szCs w:val="20"/>
              </w:rPr>
              <w:t xml:space="preserve">Energy efficiency </w:t>
            </w:r>
            <w:r w:rsidR="00835A86">
              <w:rPr>
                <w:szCs w:val="20"/>
              </w:rPr>
              <w:t>programme</w:t>
            </w:r>
            <w:r>
              <w:rPr>
                <w:szCs w:val="20"/>
              </w:rPr>
              <w:t>s should consi</w:t>
            </w:r>
            <w:r w:rsidR="00C564E9">
              <w:rPr>
                <w:szCs w:val="20"/>
              </w:rPr>
              <w:t>der monitoring the energy costs</w:t>
            </w:r>
            <w:r>
              <w:rPr>
                <w:szCs w:val="20"/>
              </w:rPr>
              <w:t xml:space="preserve"> of grant recipients, to assess whether the financial benefits of reduced energy consumption </w:t>
            </w:r>
            <w:r w:rsidR="00901806">
              <w:rPr>
                <w:szCs w:val="20"/>
              </w:rPr>
              <w:t>are being received by end users. The ownership of street lighting infrastructure should also be considered.</w:t>
            </w:r>
          </w:p>
        </w:tc>
      </w:tr>
    </w:tbl>
    <w:p w14:paraId="37ADBFE5" w14:textId="77777777" w:rsidR="00597CF9" w:rsidRDefault="00541928" w:rsidP="00597CF9">
      <w:pPr>
        <w:pStyle w:val="BodyText"/>
      </w:pPr>
      <w:r>
        <w:br w:type="page"/>
      </w:r>
      <w:bookmarkStart w:id="141" w:name="_Toc446426649"/>
      <w:bookmarkStart w:id="142" w:name="_Toc463621619"/>
      <w:bookmarkStart w:id="143" w:name="_Toc463864418"/>
      <w:bookmarkStart w:id="144" w:name="_Toc463876994"/>
      <w:bookmarkStart w:id="145" w:name="_Toc463970093"/>
      <w:bookmarkStart w:id="146" w:name="_Toc464116859"/>
      <w:bookmarkStart w:id="147" w:name="_Ref464809239"/>
    </w:p>
    <w:p w14:paraId="1FA7886A" w14:textId="77777777" w:rsidR="0052429C" w:rsidRPr="00D8529C" w:rsidRDefault="0052429C" w:rsidP="00D8529C">
      <w:pPr>
        <w:pStyle w:val="Heading1"/>
      </w:pPr>
      <w:bookmarkStart w:id="148" w:name="_Toc483236874"/>
      <w:bookmarkStart w:id="149" w:name="OLE_LINK13"/>
      <w:bookmarkStart w:id="150" w:name="OLE_LINK14"/>
      <w:bookmarkEnd w:id="141"/>
      <w:bookmarkEnd w:id="142"/>
      <w:bookmarkEnd w:id="143"/>
      <w:bookmarkEnd w:id="144"/>
      <w:bookmarkEnd w:id="145"/>
      <w:bookmarkEnd w:id="146"/>
      <w:bookmarkEnd w:id="147"/>
      <w:r w:rsidRPr="00D8529C">
        <w:t>Governance and Administration</w:t>
      </w:r>
      <w:bookmarkEnd w:id="148"/>
    </w:p>
    <w:p w14:paraId="79290446" w14:textId="1EDFA15A" w:rsidR="0052429C" w:rsidRPr="0052429C" w:rsidRDefault="001E1EE4" w:rsidP="0033423A">
      <w:pPr>
        <w:pStyle w:val="BodyText"/>
        <w:jc w:val="left"/>
      </w:pPr>
      <w:r>
        <w:t xml:space="preserve">The department engaged ACIL Allen Consulting to conduct a separate evaluation of the administration of the CEEP. The ACIL Allen Evaluation Report was approved by the Steering Committee in August 2016. For completeness, a summary of the key findings is provided in this section of the report. A full copy of the final ACIL Allen Evaluation Report </w:t>
      </w:r>
      <w:r w:rsidR="00670CCF">
        <w:t>can</w:t>
      </w:r>
      <w:r>
        <w:t xml:space="preserve"> </w:t>
      </w:r>
      <w:r w:rsidR="00670CCF">
        <w:t xml:space="preserve">be found at </w:t>
      </w:r>
      <w:hyperlink r:id="rId33" w:history="1">
        <w:r w:rsidR="00670CCF" w:rsidRPr="00670CCF">
          <w:rPr>
            <w:rStyle w:val="Hyperlink"/>
          </w:rPr>
          <w:t>www.industry.gov.au/OCE</w:t>
        </w:r>
      </w:hyperlink>
      <w:r w:rsidRPr="001E1EE4">
        <w:rPr>
          <w:u w:val="single"/>
        </w:rPr>
        <w:t>.</w:t>
      </w:r>
    </w:p>
    <w:p w14:paraId="3595F35B" w14:textId="77777777" w:rsidR="001035F4" w:rsidRDefault="001035F4" w:rsidP="001035F4">
      <w:pPr>
        <w:pStyle w:val="Heading2"/>
      </w:pPr>
      <w:bookmarkStart w:id="151" w:name="_Toc483236875"/>
      <w:r>
        <w:t>ACIL Allen Consulting Evaluation</w:t>
      </w:r>
      <w:bookmarkEnd w:id="151"/>
    </w:p>
    <w:p w14:paraId="54A5C2B3" w14:textId="77777777" w:rsidR="0033423A" w:rsidRPr="001E1EE4" w:rsidRDefault="001E1EE4" w:rsidP="001E1EE4">
      <w:pPr>
        <w:pStyle w:val="BodyText"/>
      </w:pPr>
      <w:r>
        <w:t>To inform the evaluation, ACIL Allen considered the final reports provided by grant recipients, an online survey of grant recipients, and telephone interviews with a small number of grant recipients.</w:t>
      </w:r>
    </w:p>
    <w:p w14:paraId="762B224B" w14:textId="77777777" w:rsidR="001E26CC" w:rsidRDefault="0033423A" w:rsidP="001E26CC">
      <w:pPr>
        <w:pStyle w:val="Heading2"/>
      </w:pPr>
      <w:bookmarkStart w:id="152" w:name="_Toc483236876"/>
      <w:r>
        <w:t>Conclusion</w:t>
      </w:r>
      <w:r w:rsidR="001035F4">
        <w:t xml:space="preserve"> and Findings</w:t>
      </w:r>
      <w:bookmarkEnd w:id="152"/>
    </w:p>
    <w:tbl>
      <w:tblPr>
        <w:tblStyle w:val="OCETable"/>
        <w:tblpPr w:leftFromText="180" w:rightFromText="180" w:vertAnchor="text" w:horzAnchor="margin" w:tblpY="-38"/>
        <w:tblW w:w="7039" w:type="dxa"/>
        <w:tblLayout w:type="fixed"/>
        <w:tblLook w:val="04A0" w:firstRow="1" w:lastRow="0" w:firstColumn="1" w:lastColumn="0" w:noHBand="0" w:noVBand="1"/>
        <w:tblCaption w:val="Recommendations Table"/>
        <w:tblDescription w:val="6.Ensure stakeholders and grant recipients establish a shared understanding of the data required to measure the programme’s effectiveness. For example investigate ways to establish an agreed baseline for energy use prior to the programme, and expectations to collect one full year of energy consumption data post-project.&#10;7.Consider compliance thresholds for small, medium and large projects to ensure the level of required compliance reporting is commensurate with the size, complexity, and delivery timeframe of a project. &#10;8.Consider whether it would be cost effective to engage energy auditors directly for future energy efficiency programmes. This would provide economies of scale and consistent methods of assessment, and would reduce the amount of reporting for grant recipients.&#10;9.The department should work with grant applicants to help them understand the skill sets and likely time and budget allocation for project management. Grant applicants should be encouraged to allow adequate funds to ensure that appropriately experienced and capable project managers are engaged. &#10;10.The success stories of grant recipients should be disseminated to key bodies, such as local government associations, relevant state government authorities and industry associations, to showcase the energy savings achieved and promote further upgrades to energy efficient technologies.&#10;"/>
      </w:tblPr>
      <w:tblGrid>
        <w:gridCol w:w="567"/>
        <w:gridCol w:w="6472"/>
      </w:tblGrid>
      <w:tr w:rsidR="002B748A" w14:paraId="676266EF" w14:textId="77777777" w:rsidTr="00997872">
        <w:trPr>
          <w:cnfStyle w:val="100000000000" w:firstRow="1" w:lastRow="0" w:firstColumn="0" w:lastColumn="0" w:oddVBand="0" w:evenVBand="0" w:oddHBand="0" w:evenHBand="0" w:firstRowFirstColumn="0" w:firstRowLastColumn="0" w:lastRowFirstColumn="0" w:lastRowLastColumn="0"/>
          <w:trHeight w:val="248"/>
          <w:tblHeader/>
        </w:trPr>
        <w:tc>
          <w:tcPr>
            <w:tcW w:w="7039" w:type="dxa"/>
            <w:gridSpan w:val="2"/>
          </w:tcPr>
          <w:p w14:paraId="653618CD" w14:textId="77777777" w:rsidR="002B748A" w:rsidRDefault="002B748A" w:rsidP="00997872">
            <w:pPr>
              <w:spacing w:before="120" w:after="120" w:line="276" w:lineRule="auto"/>
              <w:rPr>
                <w:rFonts w:eastAsia="Calibri" w:cs="Times New Roman"/>
              </w:rPr>
            </w:pPr>
            <w:r>
              <w:rPr>
                <w:rFonts w:eastAsia="Calibri" w:cs="Times New Roman"/>
                <w:color w:val="FFFFFF" w:themeColor="background1"/>
              </w:rPr>
              <w:t>RECOMMENDATIONS</w:t>
            </w:r>
          </w:p>
        </w:tc>
      </w:tr>
      <w:tr w:rsidR="002B748A" w:rsidRPr="005849A1" w14:paraId="10F6DC9F" w14:textId="77777777" w:rsidTr="00997872">
        <w:trPr>
          <w:trHeight w:val="508"/>
        </w:trPr>
        <w:tc>
          <w:tcPr>
            <w:tcW w:w="567" w:type="dxa"/>
          </w:tcPr>
          <w:p w14:paraId="4513BF55" w14:textId="77777777" w:rsidR="002B748A" w:rsidRDefault="002B748A" w:rsidP="00997872">
            <w:pPr>
              <w:pStyle w:val="Tabletext"/>
            </w:pPr>
            <w:r>
              <w:t>6.</w:t>
            </w:r>
          </w:p>
        </w:tc>
        <w:tc>
          <w:tcPr>
            <w:tcW w:w="6472" w:type="dxa"/>
            <w:vAlign w:val="center"/>
          </w:tcPr>
          <w:p w14:paraId="219FF7EC" w14:textId="77777777" w:rsidR="002B748A" w:rsidRPr="005849A1" w:rsidRDefault="002B748A" w:rsidP="00997872">
            <w:pPr>
              <w:pStyle w:val="Tabletext"/>
              <w:rPr>
                <w:szCs w:val="20"/>
              </w:rPr>
            </w:pPr>
            <w:r>
              <w:rPr>
                <w:szCs w:val="20"/>
              </w:rPr>
              <w:t>Ensure</w:t>
            </w:r>
            <w:r w:rsidRPr="0079443E">
              <w:rPr>
                <w:szCs w:val="20"/>
              </w:rPr>
              <w:t xml:space="preserve"> stakeholders and grant recipients establish a shared understanding of the data required to measure the </w:t>
            </w:r>
            <w:r>
              <w:rPr>
                <w:szCs w:val="20"/>
              </w:rPr>
              <w:t>programme</w:t>
            </w:r>
            <w:r w:rsidRPr="0079443E">
              <w:rPr>
                <w:szCs w:val="20"/>
              </w:rPr>
              <w:t>’s effectiveness</w:t>
            </w:r>
            <w:r>
              <w:rPr>
                <w:szCs w:val="20"/>
              </w:rPr>
              <w:t>. For example</w:t>
            </w:r>
            <w:r w:rsidRPr="0079443E">
              <w:rPr>
                <w:szCs w:val="20"/>
              </w:rPr>
              <w:t xml:space="preserve"> </w:t>
            </w:r>
            <w:r>
              <w:rPr>
                <w:szCs w:val="20"/>
              </w:rPr>
              <w:t>investigate ways to establish an agreed baseline for energy use prior to the programme, and expectations to collect</w:t>
            </w:r>
            <w:r w:rsidRPr="0079443E">
              <w:rPr>
                <w:szCs w:val="20"/>
              </w:rPr>
              <w:t xml:space="preserve"> one f</w:t>
            </w:r>
            <w:r>
              <w:rPr>
                <w:szCs w:val="20"/>
              </w:rPr>
              <w:t>ull year of</w:t>
            </w:r>
            <w:r w:rsidRPr="0079443E">
              <w:rPr>
                <w:szCs w:val="20"/>
              </w:rPr>
              <w:t xml:space="preserve"> energy consumption data post-project.</w:t>
            </w:r>
          </w:p>
        </w:tc>
      </w:tr>
      <w:tr w:rsidR="002B748A" w:rsidRPr="0079443E" w14:paraId="25540510" w14:textId="77777777" w:rsidTr="00997872">
        <w:trPr>
          <w:trHeight w:val="508"/>
        </w:trPr>
        <w:tc>
          <w:tcPr>
            <w:tcW w:w="567" w:type="dxa"/>
          </w:tcPr>
          <w:p w14:paraId="697A88F7" w14:textId="77777777" w:rsidR="002B748A" w:rsidRDefault="002B748A" w:rsidP="00997872">
            <w:pPr>
              <w:pStyle w:val="Tabletext"/>
            </w:pPr>
            <w:r>
              <w:t>7.</w:t>
            </w:r>
          </w:p>
        </w:tc>
        <w:tc>
          <w:tcPr>
            <w:tcW w:w="6472" w:type="dxa"/>
            <w:vAlign w:val="center"/>
          </w:tcPr>
          <w:p w14:paraId="1CE55754" w14:textId="77777777" w:rsidR="002B748A" w:rsidRPr="0079443E" w:rsidRDefault="002B748A" w:rsidP="00997872">
            <w:pPr>
              <w:pStyle w:val="Tabletext"/>
              <w:rPr>
                <w:szCs w:val="20"/>
              </w:rPr>
            </w:pPr>
            <w:r>
              <w:rPr>
                <w:szCs w:val="20"/>
              </w:rPr>
              <w:t xml:space="preserve">Consider </w:t>
            </w:r>
            <w:r w:rsidRPr="0079443E">
              <w:rPr>
                <w:szCs w:val="20"/>
              </w:rPr>
              <w:t xml:space="preserve">compliance thresholds for small, medium and large projects </w:t>
            </w:r>
            <w:r>
              <w:rPr>
                <w:szCs w:val="20"/>
              </w:rPr>
              <w:t xml:space="preserve">to ensure </w:t>
            </w:r>
            <w:r w:rsidRPr="0079443E">
              <w:rPr>
                <w:szCs w:val="20"/>
              </w:rPr>
              <w:t>the level of required compliance</w:t>
            </w:r>
            <w:r>
              <w:rPr>
                <w:szCs w:val="20"/>
              </w:rPr>
              <w:t xml:space="preserve"> reporting</w:t>
            </w:r>
            <w:r w:rsidRPr="0079443E">
              <w:rPr>
                <w:szCs w:val="20"/>
              </w:rPr>
              <w:t xml:space="preserve"> is commensurate with the size, complexity, and de</w:t>
            </w:r>
            <w:r>
              <w:rPr>
                <w:szCs w:val="20"/>
              </w:rPr>
              <w:t xml:space="preserve">livery timeframe of a project. </w:t>
            </w:r>
          </w:p>
        </w:tc>
      </w:tr>
      <w:tr w:rsidR="002B748A" w:rsidRPr="0079443E" w14:paraId="44A73B58" w14:textId="77777777" w:rsidTr="00997872">
        <w:trPr>
          <w:trHeight w:val="508"/>
        </w:trPr>
        <w:tc>
          <w:tcPr>
            <w:tcW w:w="567" w:type="dxa"/>
          </w:tcPr>
          <w:p w14:paraId="2352FE99" w14:textId="77777777" w:rsidR="002B748A" w:rsidRDefault="002B748A" w:rsidP="00997872">
            <w:pPr>
              <w:pStyle w:val="Tabletext"/>
            </w:pPr>
            <w:r>
              <w:t>8.</w:t>
            </w:r>
          </w:p>
        </w:tc>
        <w:tc>
          <w:tcPr>
            <w:tcW w:w="6472" w:type="dxa"/>
            <w:vAlign w:val="center"/>
          </w:tcPr>
          <w:p w14:paraId="41FDE782" w14:textId="77777777" w:rsidR="002B748A" w:rsidRPr="0079443E" w:rsidRDefault="002B748A" w:rsidP="00997872">
            <w:pPr>
              <w:pStyle w:val="Tabletext"/>
              <w:rPr>
                <w:szCs w:val="20"/>
              </w:rPr>
            </w:pPr>
            <w:r w:rsidRPr="0079443E">
              <w:rPr>
                <w:szCs w:val="20"/>
              </w:rPr>
              <w:t>Consider whether it would be cost effective to engage energy auditors directly</w:t>
            </w:r>
            <w:r>
              <w:rPr>
                <w:szCs w:val="20"/>
              </w:rPr>
              <w:t xml:space="preserve"> for</w:t>
            </w:r>
            <w:r w:rsidRPr="0079443E">
              <w:rPr>
                <w:szCs w:val="20"/>
              </w:rPr>
              <w:t xml:space="preserve"> future energy efficiency </w:t>
            </w:r>
            <w:r>
              <w:rPr>
                <w:szCs w:val="20"/>
              </w:rPr>
              <w:t>programme</w:t>
            </w:r>
            <w:r w:rsidRPr="0079443E">
              <w:rPr>
                <w:szCs w:val="20"/>
              </w:rPr>
              <w:t>s. This would provide economies of scale and consistent methods of assessment, and would reduce</w:t>
            </w:r>
            <w:r>
              <w:rPr>
                <w:szCs w:val="20"/>
              </w:rPr>
              <w:t xml:space="preserve"> the amount</w:t>
            </w:r>
            <w:r w:rsidRPr="0079443E">
              <w:rPr>
                <w:szCs w:val="20"/>
              </w:rPr>
              <w:t xml:space="preserve"> of reporting</w:t>
            </w:r>
            <w:r>
              <w:rPr>
                <w:szCs w:val="20"/>
              </w:rPr>
              <w:t xml:space="preserve"> for</w:t>
            </w:r>
            <w:r w:rsidRPr="0079443E">
              <w:rPr>
                <w:szCs w:val="20"/>
              </w:rPr>
              <w:t xml:space="preserve"> grant recipients.</w:t>
            </w:r>
          </w:p>
        </w:tc>
      </w:tr>
      <w:tr w:rsidR="002B748A" w:rsidRPr="0079443E" w14:paraId="21BA0729" w14:textId="77777777" w:rsidTr="00997872">
        <w:trPr>
          <w:trHeight w:val="508"/>
        </w:trPr>
        <w:tc>
          <w:tcPr>
            <w:tcW w:w="567" w:type="dxa"/>
          </w:tcPr>
          <w:p w14:paraId="5E9C85FE" w14:textId="77777777" w:rsidR="002B748A" w:rsidRDefault="002B748A" w:rsidP="00997872">
            <w:pPr>
              <w:pStyle w:val="Tabletext"/>
            </w:pPr>
            <w:r>
              <w:t>9.</w:t>
            </w:r>
          </w:p>
        </w:tc>
        <w:tc>
          <w:tcPr>
            <w:tcW w:w="6472" w:type="dxa"/>
            <w:vAlign w:val="center"/>
          </w:tcPr>
          <w:p w14:paraId="35CD581C" w14:textId="77777777" w:rsidR="002B748A" w:rsidRPr="0079443E" w:rsidRDefault="002B748A" w:rsidP="00997872">
            <w:pPr>
              <w:pStyle w:val="Tabletext"/>
              <w:rPr>
                <w:szCs w:val="20"/>
              </w:rPr>
            </w:pPr>
            <w:r w:rsidRPr="00F02DF6">
              <w:rPr>
                <w:szCs w:val="20"/>
              </w:rPr>
              <w:t xml:space="preserve">The department should work with grant applicants to help them understand the skill sets and likely time and budget allocation for project management. Grant applicants should be encouraged to allow adequate funds to ensure that appropriately experienced and capable project managers are engaged. </w:t>
            </w:r>
          </w:p>
        </w:tc>
      </w:tr>
      <w:tr w:rsidR="002B748A" w:rsidRPr="00F02DF6" w14:paraId="4EEFD040" w14:textId="77777777" w:rsidTr="00997872">
        <w:trPr>
          <w:trHeight w:val="508"/>
        </w:trPr>
        <w:tc>
          <w:tcPr>
            <w:tcW w:w="567" w:type="dxa"/>
          </w:tcPr>
          <w:p w14:paraId="78B17354" w14:textId="77777777" w:rsidR="002B748A" w:rsidRDefault="002B748A" w:rsidP="00997872">
            <w:pPr>
              <w:pStyle w:val="Tabletext"/>
            </w:pPr>
            <w:r>
              <w:t>10.</w:t>
            </w:r>
          </w:p>
        </w:tc>
        <w:tc>
          <w:tcPr>
            <w:tcW w:w="6472" w:type="dxa"/>
            <w:vAlign w:val="center"/>
          </w:tcPr>
          <w:p w14:paraId="4AA249A3" w14:textId="77777777" w:rsidR="002B748A" w:rsidRPr="00F02DF6" w:rsidRDefault="002B748A" w:rsidP="00997872">
            <w:pPr>
              <w:pStyle w:val="Tabletext"/>
              <w:rPr>
                <w:szCs w:val="20"/>
              </w:rPr>
            </w:pPr>
            <w:r>
              <w:rPr>
                <w:szCs w:val="20"/>
              </w:rPr>
              <w:t>The s</w:t>
            </w:r>
            <w:r w:rsidRPr="00D7136C">
              <w:rPr>
                <w:szCs w:val="20"/>
              </w:rPr>
              <w:t>uccess stories</w:t>
            </w:r>
            <w:r>
              <w:rPr>
                <w:szCs w:val="20"/>
              </w:rPr>
              <w:t xml:space="preserve"> of grant recipients</w:t>
            </w:r>
            <w:r w:rsidRPr="00D7136C">
              <w:rPr>
                <w:szCs w:val="20"/>
              </w:rPr>
              <w:t xml:space="preserve"> should be disseminated to key bodies, such as local government associations, relevant state government</w:t>
            </w:r>
            <w:r>
              <w:rPr>
                <w:szCs w:val="20"/>
              </w:rPr>
              <w:t xml:space="preserve"> authorities</w:t>
            </w:r>
            <w:r w:rsidRPr="00D7136C">
              <w:rPr>
                <w:szCs w:val="20"/>
              </w:rPr>
              <w:t xml:space="preserve"> and industry associations, to showcase the energy savings achieved and promote further upgrades to energy efficient technologies.</w:t>
            </w:r>
          </w:p>
        </w:tc>
      </w:tr>
    </w:tbl>
    <w:p w14:paraId="3F0C731D" w14:textId="77777777" w:rsidR="002B748A" w:rsidRPr="002B748A" w:rsidRDefault="002B748A" w:rsidP="002B748A">
      <w:pPr>
        <w:pStyle w:val="BodyText"/>
      </w:pPr>
    </w:p>
    <w:tbl>
      <w:tblPr>
        <w:tblStyle w:val="OCETable"/>
        <w:tblpPr w:leftFromText="180" w:rightFromText="180" w:vertAnchor="text" w:horzAnchor="margin" w:tblpY="191"/>
        <w:tblW w:w="7088" w:type="dxa"/>
        <w:tblLayout w:type="fixed"/>
        <w:tblLook w:val="04A0" w:firstRow="1" w:lastRow="0" w:firstColumn="1" w:lastColumn="0" w:noHBand="0" w:noVBand="1"/>
        <w:tblCaption w:val="The Five Findings from the Governance and Administration Section"/>
        <w:tblDescription w:val="10. The overall CEEP application process and assessment processes were clear to applicants. The guidelines were seen as highly effective in providing clarity for the application process and requirements. A small percentage of grant recipients found the programme’s data collection and reporting requirements were unclear. &#10;11. Machinery of government changes were disruptive to the negotiation of funding agreements (and also to programme delivery). The high turnover of programme administrators also affected project continuity and stakeholder relationships. &#10;12. Compressed delivery timeframes caused by protracted negotiations of the funding agreements were cited (by some Round One grant recipients) as a key hurdle to effective project delivery. &#10;13. Just over half of CEEP grant recipients agreed the reporting requirements were reasonable. However nearly one quarter of Round One and Round Two grant recipients considered that funding agreements were impractical, too complicated and had too frequent milestone reporting.&#10;14. Grant recipients found managing the projects more challenging than they had envisaged at the project concept and design stage, given the size and nature of the projects relative to their day-to-day responsibilities. In some cases, recipients also lacked the technical skills to effectively manage the data collection and reporting. &#10;"/>
      </w:tblPr>
      <w:tblGrid>
        <w:gridCol w:w="567"/>
        <w:gridCol w:w="6521"/>
      </w:tblGrid>
      <w:tr w:rsidR="0092587E" w:rsidRPr="00BA6835" w14:paraId="0842BBED" w14:textId="77777777" w:rsidTr="002B748A">
        <w:trPr>
          <w:cnfStyle w:val="100000000000" w:firstRow="1" w:lastRow="0" w:firstColumn="0" w:lastColumn="0" w:oddVBand="0" w:evenVBand="0" w:oddHBand="0" w:evenHBand="0" w:firstRowFirstColumn="0" w:firstRowLastColumn="0" w:lastRowFirstColumn="0" w:lastRowLastColumn="0"/>
          <w:tblHeader/>
        </w:trPr>
        <w:tc>
          <w:tcPr>
            <w:tcW w:w="7088" w:type="dxa"/>
            <w:gridSpan w:val="2"/>
          </w:tcPr>
          <w:p w14:paraId="6FCF8C35" w14:textId="77777777" w:rsidR="0092587E" w:rsidRPr="00BA6835" w:rsidRDefault="0092587E" w:rsidP="00D8529C">
            <w:pPr>
              <w:spacing w:before="120" w:after="120" w:line="276" w:lineRule="auto"/>
              <w:rPr>
                <w:rFonts w:eastAsia="Calibri" w:cs="Times New Roman"/>
                <w:szCs w:val="20"/>
              </w:rPr>
            </w:pPr>
            <w:r w:rsidRPr="00BA6835">
              <w:rPr>
                <w:rFonts w:eastAsia="Calibri" w:cs="Times New Roman"/>
                <w:color w:val="FFFFFF" w:themeColor="background1"/>
                <w:szCs w:val="20"/>
              </w:rPr>
              <w:t>FINDINGS</w:t>
            </w:r>
            <w:r>
              <w:rPr>
                <w:rFonts w:eastAsia="Calibri" w:cs="Times New Roman"/>
                <w:color w:val="FFFFFF" w:themeColor="background1"/>
                <w:szCs w:val="20"/>
              </w:rPr>
              <w:t xml:space="preserve"> </w:t>
            </w:r>
          </w:p>
        </w:tc>
      </w:tr>
      <w:tr w:rsidR="0092587E" w14:paraId="6DF2C154" w14:textId="77777777" w:rsidTr="002B748A">
        <w:tc>
          <w:tcPr>
            <w:tcW w:w="567" w:type="dxa"/>
          </w:tcPr>
          <w:p w14:paraId="03303184" w14:textId="77777777" w:rsidR="0092587E" w:rsidRDefault="0092587E" w:rsidP="00D8529C">
            <w:pPr>
              <w:pStyle w:val="Tabletext"/>
            </w:pPr>
            <w:r>
              <w:t>10.</w:t>
            </w:r>
          </w:p>
        </w:tc>
        <w:tc>
          <w:tcPr>
            <w:tcW w:w="6521" w:type="dxa"/>
            <w:vAlign w:val="center"/>
          </w:tcPr>
          <w:p w14:paraId="6AE85431" w14:textId="77777777" w:rsidR="0092587E" w:rsidRPr="005849A1" w:rsidRDefault="0092587E" w:rsidP="00D8529C">
            <w:pPr>
              <w:pStyle w:val="Tabletext"/>
              <w:rPr>
                <w:szCs w:val="20"/>
              </w:rPr>
            </w:pPr>
            <w:r>
              <w:rPr>
                <w:szCs w:val="20"/>
              </w:rPr>
              <w:t xml:space="preserve">The </w:t>
            </w:r>
            <w:r w:rsidRPr="001E26CC">
              <w:rPr>
                <w:szCs w:val="20"/>
              </w:rPr>
              <w:t>overall CEEP application process and assessment processes wer</w:t>
            </w:r>
            <w:r>
              <w:rPr>
                <w:szCs w:val="20"/>
              </w:rPr>
              <w:t xml:space="preserve">e clear to applicants. The </w:t>
            </w:r>
            <w:r w:rsidRPr="001E26CC">
              <w:rPr>
                <w:szCs w:val="20"/>
              </w:rPr>
              <w:t>guidelines were seen as highly e</w:t>
            </w:r>
            <w:r>
              <w:rPr>
                <w:szCs w:val="20"/>
              </w:rPr>
              <w:t>ffective in providing clarity for</w:t>
            </w:r>
            <w:r w:rsidRPr="001E26CC">
              <w:rPr>
                <w:szCs w:val="20"/>
              </w:rPr>
              <w:t xml:space="preserve"> the applica</w:t>
            </w:r>
            <w:r>
              <w:rPr>
                <w:szCs w:val="20"/>
              </w:rPr>
              <w:t xml:space="preserve">tion process and requirements. </w:t>
            </w:r>
            <w:r w:rsidRPr="001E26CC">
              <w:rPr>
                <w:szCs w:val="20"/>
              </w:rPr>
              <w:t xml:space="preserve">A small percentage of grant recipients found the </w:t>
            </w:r>
            <w:r w:rsidR="00835A86">
              <w:rPr>
                <w:szCs w:val="20"/>
              </w:rPr>
              <w:t>programme</w:t>
            </w:r>
            <w:r w:rsidRPr="001E26CC">
              <w:rPr>
                <w:szCs w:val="20"/>
              </w:rPr>
              <w:t>’s data collection and r</w:t>
            </w:r>
            <w:r>
              <w:rPr>
                <w:szCs w:val="20"/>
              </w:rPr>
              <w:t>eporting requirements were un</w:t>
            </w:r>
            <w:r w:rsidRPr="001E26CC">
              <w:rPr>
                <w:szCs w:val="20"/>
              </w:rPr>
              <w:t>clear.</w:t>
            </w:r>
            <w:r>
              <w:rPr>
                <w:szCs w:val="20"/>
              </w:rPr>
              <w:t xml:space="preserve"> </w:t>
            </w:r>
          </w:p>
        </w:tc>
      </w:tr>
      <w:tr w:rsidR="0092587E" w14:paraId="40F3A3BD" w14:textId="77777777" w:rsidTr="002B748A">
        <w:tc>
          <w:tcPr>
            <w:tcW w:w="567" w:type="dxa"/>
          </w:tcPr>
          <w:p w14:paraId="14EFA915" w14:textId="77777777" w:rsidR="0092587E" w:rsidRDefault="0092587E" w:rsidP="00D8529C">
            <w:pPr>
              <w:pStyle w:val="Tabletext"/>
            </w:pPr>
            <w:r>
              <w:t>11.</w:t>
            </w:r>
          </w:p>
        </w:tc>
        <w:tc>
          <w:tcPr>
            <w:tcW w:w="6521" w:type="dxa"/>
            <w:vAlign w:val="center"/>
          </w:tcPr>
          <w:p w14:paraId="49363DF4" w14:textId="77777777" w:rsidR="0092587E" w:rsidRDefault="0092587E" w:rsidP="00D8529C">
            <w:pPr>
              <w:pStyle w:val="Tabletext"/>
              <w:rPr>
                <w:szCs w:val="20"/>
              </w:rPr>
            </w:pPr>
            <w:r w:rsidRPr="001E26CC">
              <w:rPr>
                <w:szCs w:val="20"/>
              </w:rPr>
              <w:t xml:space="preserve">Machinery of government changes were disruptive to the negotiation of funding agreements (and also to </w:t>
            </w:r>
            <w:r w:rsidR="00835A86">
              <w:rPr>
                <w:szCs w:val="20"/>
              </w:rPr>
              <w:t>programme</w:t>
            </w:r>
            <w:r w:rsidRPr="001E26CC">
              <w:rPr>
                <w:szCs w:val="20"/>
              </w:rPr>
              <w:t xml:space="preserve"> delivery). The high turnover of </w:t>
            </w:r>
            <w:r w:rsidR="00835A86">
              <w:rPr>
                <w:szCs w:val="20"/>
              </w:rPr>
              <w:t>programme</w:t>
            </w:r>
            <w:r>
              <w:rPr>
                <w:szCs w:val="20"/>
              </w:rPr>
              <w:t xml:space="preserve"> administrators</w:t>
            </w:r>
            <w:r w:rsidRPr="001E26CC">
              <w:rPr>
                <w:szCs w:val="20"/>
              </w:rPr>
              <w:t xml:space="preserve"> also affected project continuity and stakeholder relationships. </w:t>
            </w:r>
          </w:p>
        </w:tc>
      </w:tr>
      <w:tr w:rsidR="0092587E" w14:paraId="04383102" w14:textId="77777777" w:rsidTr="002B748A">
        <w:tc>
          <w:tcPr>
            <w:tcW w:w="567" w:type="dxa"/>
          </w:tcPr>
          <w:p w14:paraId="5DDD6B4A" w14:textId="77777777" w:rsidR="0092587E" w:rsidRDefault="0092587E" w:rsidP="00D8529C">
            <w:pPr>
              <w:pStyle w:val="Tabletext"/>
            </w:pPr>
            <w:r>
              <w:t>12.</w:t>
            </w:r>
          </w:p>
        </w:tc>
        <w:tc>
          <w:tcPr>
            <w:tcW w:w="6521" w:type="dxa"/>
            <w:vAlign w:val="center"/>
          </w:tcPr>
          <w:p w14:paraId="1269E9BA" w14:textId="77777777" w:rsidR="0092587E" w:rsidRDefault="0092587E" w:rsidP="00D8529C">
            <w:pPr>
              <w:pStyle w:val="Tabletext"/>
              <w:rPr>
                <w:szCs w:val="20"/>
              </w:rPr>
            </w:pPr>
            <w:r w:rsidRPr="001E26CC">
              <w:rPr>
                <w:szCs w:val="20"/>
              </w:rPr>
              <w:t xml:space="preserve">Compressed delivery timeframes caused by protracted negotiations of the funding agreements were cited </w:t>
            </w:r>
            <w:r>
              <w:rPr>
                <w:szCs w:val="20"/>
              </w:rPr>
              <w:t>(</w:t>
            </w:r>
            <w:r w:rsidRPr="001E26CC">
              <w:rPr>
                <w:szCs w:val="20"/>
              </w:rPr>
              <w:t xml:space="preserve">by </w:t>
            </w:r>
            <w:r>
              <w:rPr>
                <w:szCs w:val="20"/>
              </w:rPr>
              <w:t xml:space="preserve">some Round One grant recipients) </w:t>
            </w:r>
            <w:r w:rsidRPr="001E26CC">
              <w:rPr>
                <w:szCs w:val="20"/>
              </w:rPr>
              <w:t>as a key hurdle to effective project delivery</w:t>
            </w:r>
            <w:r w:rsidR="00B627AA">
              <w:rPr>
                <w:szCs w:val="20"/>
              </w:rPr>
              <w:t>.</w:t>
            </w:r>
            <w:r w:rsidRPr="001E26CC">
              <w:rPr>
                <w:szCs w:val="20"/>
              </w:rPr>
              <w:t xml:space="preserve"> </w:t>
            </w:r>
          </w:p>
        </w:tc>
      </w:tr>
      <w:tr w:rsidR="0092587E" w14:paraId="62EE40D9" w14:textId="77777777" w:rsidTr="002B748A">
        <w:tc>
          <w:tcPr>
            <w:tcW w:w="567" w:type="dxa"/>
          </w:tcPr>
          <w:p w14:paraId="7ABCC22F" w14:textId="77777777" w:rsidR="0092587E" w:rsidRDefault="0092587E" w:rsidP="00D8529C">
            <w:pPr>
              <w:pStyle w:val="Tabletext"/>
            </w:pPr>
            <w:r>
              <w:t>13.</w:t>
            </w:r>
          </w:p>
        </w:tc>
        <w:tc>
          <w:tcPr>
            <w:tcW w:w="6521" w:type="dxa"/>
            <w:vAlign w:val="center"/>
          </w:tcPr>
          <w:p w14:paraId="36728893" w14:textId="77777777" w:rsidR="0092587E" w:rsidRPr="001E26CC" w:rsidRDefault="0092587E" w:rsidP="00D8529C">
            <w:pPr>
              <w:pStyle w:val="Tabletext"/>
              <w:rPr>
                <w:szCs w:val="20"/>
              </w:rPr>
            </w:pPr>
            <w:r w:rsidRPr="001E26CC">
              <w:rPr>
                <w:szCs w:val="20"/>
              </w:rPr>
              <w:t xml:space="preserve">Just over half of CEEP grant recipients agreed the reporting requirements were reasonable. However nearly one quarter of </w:t>
            </w:r>
            <w:r>
              <w:rPr>
                <w:szCs w:val="20"/>
              </w:rPr>
              <w:t>Round O</w:t>
            </w:r>
            <w:r w:rsidRPr="001E26CC">
              <w:rPr>
                <w:szCs w:val="20"/>
              </w:rPr>
              <w:t xml:space="preserve">ne and </w:t>
            </w:r>
            <w:r>
              <w:rPr>
                <w:szCs w:val="20"/>
              </w:rPr>
              <w:t>Round T</w:t>
            </w:r>
            <w:r w:rsidRPr="001E26CC">
              <w:rPr>
                <w:szCs w:val="20"/>
              </w:rPr>
              <w:t>wo</w:t>
            </w:r>
            <w:r>
              <w:rPr>
                <w:szCs w:val="20"/>
              </w:rPr>
              <w:t xml:space="preserve"> </w:t>
            </w:r>
            <w:r w:rsidRPr="001E26CC">
              <w:rPr>
                <w:szCs w:val="20"/>
              </w:rPr>
              <w:t xml:space="preserve">grant recipients considered that funding agreements were impractical, too complicated and had </w:t>
            </w:r>
            <w:r>
              <w:rPr>
                <w:szCs w:val="20"/>
              </w:rPr>
              <w:t xml:space="preserve">too </w:t>
            </w:r>
            <w:r w:rsidRPr="001E26CC">
              <w:rPr>
                <w:szCs w:val="20"/>
              </w:rPr>
              <w:t>frequent milestone reporting.</w:t>
            </w:r>
          </w:p>
        </w:tc>
      </w:tr>
      <w:tr w:rsidR="0092587E" w14:paraId="42C4031A" w14:textId="77777777" w:rsidTr="00EC35B0">
        <w:trPr>
          <w:trHeight w:val="1177"/>
        </w:trPr>
        <w:tc>
          <w:tcPr>
            <w:tcW w:w="567" w:type="dxa"/>
          </w:tcPr>
          <w:p w14:paraId="693AAFAD" w14:textId="77777777" w:rsidR="0092587E" w:rsidRDefault="0092587E" w:rsidP="00D8529C">
            <w:pPr>
              <w:pStyle w:val="Tabletext"/>
            </w:pPr>
            <w:r>
              <w:t>14.</w:t>
            </w:r>
          </w:p>
        </w:tc>
        <w:tc>
          <w:tcPr>
            <w:tcW w:w="6521" w:type="dxa"/>
          </w:tcPr>
          <w:p w14:paraId="0B7280CE" w14:textId="64AA4038" w:rsidR="0092587E" w:rsidRPr="001E26CC" w:rsidRDefault="00EC35B0" w:rsidP="00EC35B0">
            <w:pPr>
              <w:pStyle w:val="Tabletext"/>
              <w:rPr>
                <w:szCs w:val="20"/>
              </w:rPr>
            </w:pPr>
            <w:r w:rsidRPr="001E26CC">
              <w:rPr>
                <w:szCs w:val="20"/>
              </w:rPr>
              <w:t>Grant</w:t>
            </w:r>
            <w:r>
              <w:rPr>
                <w:szCs w:val="20"/>
              </w:rPr>
              <w:t xml:space="preserve"> recipients found managing the</w:t>
            </w:r>
            <w:r w:rsidRPr="001E26CC">
              <w:rPr>
                <w:szCs w:val="20"/>
              </w:rPr>
              <w:t xml:space="preserve"> projects more challenging than they had envisaged at the project concept and design stage, gi</w:t>
            </w:r>
            <w:r>
              <w:rPr>
                <w:szCs w:val="20"/>
              </w:rPr>
              <w:t>ven the size and nature of the</w:t>
            </w:r>
            <w:r w:rsidRPr="001E26CC">
              <w:rPr>
                <w:szCs w:val="20"/>
              </w:rPr>
              <w:t xml:space="preserve"> projects relative to their day-to-day responsibilities. In some cases, recipients also lacked the technical skills to effectively manage the data collection and reporting.</w:t>
            </w:r>
          </w:p>
        </w:tc>
      </w:tr>
      <w:bookmarkEnd w:id="149"/>
      <w:bookmarkEnd w:id="150"/>
    </w:tbl>
    <w:p w14:paraId="58041A59" w14:textId="77777777" w:rsidR="00295AF8" w:rsidRPr="00C044FA" w:rsidRDefault="00295AF8" w:rsidP="00711BF6">
      <w:pPr>
        <w:spacing w:after="200" w:line="276" w:lineRule="auto"/>
        <w:rPr>
          <w:rFonts w:eastAsia="Calibri" w:cs="Times New Roman"/>
          <w:color w:val="000000"/>
        </w:rPr>
      </w:pPr>
    </w:p>
    <w:sectPr w:rsidR="00295AF8" w:rsidRPr="00C044FA" w:rsidSect="007017B2">
      <w:footerReference w:type="default" r:id="rId34"/>
      <w:type w:val="continuous"/>
      <w:pgSz w:w="11906" w:h="16838" w:code="9"/>
      <w:pgMar w:top="1440" w:right="1440" w:bottom="1440" w:left="3572"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771599" w14:textId="77777777" w:rsidR="00997872" w:rsidRDefault="00997872" w:rsidP="00F244EA">
      <w:pPr>
        <w:spacing w:after="0" w:line="240" w:lineRule="auto"/>
      </w:pPr>
      <w:r>
        <w:separator/>
      </w:r>
    </w:p>
  </w:endnote>
  <w:endnote w:type="continuationSeparator" w:id="0">
    <w:p w14:paraId="4F10CD40" w14:textId="77777777" w:rsidR="00997872" w:rsidRDefault="00997872" w:rsidP="00F244EA">
      <w:pPr>
        <w:spacing w:after="0" w:line="240" w:lineRule="auto"/>
      </w:pPr>
      <w:r>
        <w:continuationSeparator/>
      </w:r>
    </w:p>
  </w:endnote>
  <w:endnote w:type="continuationNotice" w:id="1">
    <w:p w14:paraId="36FFD516" w14:textId="77777777" w:rsidR="00997872" w:rsidRDefault="009978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9C5B8" w14:textId="77777777" w:rsidR="00997872" w:rsidRDefault="009978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593708"/>
      <w:docPartObj>
        <w:docPartGallery w:val="Page Numbers (Bottom of Page)"/>
        <w:docPartUnique/>
      </w:docPartObj>
    </w:sdtPr>
    <w:sdtEndPr>
      <w:rPr>
        <w:noProof/>
        <w:color w:val="595A5B" w:themeColor="text2"/>
      </w:rPr>
    </w:sdtEndPr>
    <w:sdtContent>
      <w:p w14:paraId="495FAA7F" w14:textId="77777777" w:rsidR="00997872" w:rsidRPr="003C3E39" w:rsidRDefault="00997872" w:rsidP="007017B2">
        <w:pPr>
          <w:pStyle w:val="Footer"/>
          <w:rPr>
            <w:color w:val="595A5B" w:themeColor="text2"/>
          </w:rPr>
        </w:pPr>
        <w:r w:rsidRPr="00345ABE">
          <w:rPr>
            <w:b/>
            <w:color w:val="22789A" w:themeColor="accent3"/>
          </w:rPr>
          <w:t>Evaluation Report</w:t>
        </w:r>
        <w:r w:rsidRPr="00345ABE">
          <w:rPr>
            <w:color w:val="22789A" w:themeColor="accent3"/>
          </w:rPr>
          <w:t xml:space="preserve"> </w:t>
        </w:r>
        <w:r w:rsidRPr="003C3E39">
          <w:rPr>
            <w:rFonts w:cs="Arial"/>
            <w:color w:val="595A5B" w:themeColor="text2"/>
          </w:rPr>
          <w:t>—</w:t>
        </w:r>
        <w:r w:rsidRPr="003C3E39">
          <w:rPr>
            <w:color w:val="595A5B" w:themeColor="text2"/>
          </w:rPr>
          <w:t xml:space="preserve"> Community Energy Efficiency Program Evaluation </w:t>
        </w:r>
        <w:r>
          <w:tab/>
        </w:r>
        <w:r w:rsidRPr="003C3E39">
          <w:rPr>
            <w:color w:val="595A5B" w:themeColor="text2"/>
          </w:rPr>
          <w:fldChar w:fldCharType="begin"/>
        </w:r>
        <w:r w:rsidRPr="003C3E39">
          <w:rPr>
            <w:color w:val="595A5B" w:themeColor="text2"/>
          </w:rPr>
          <w:instrText xml:space="preserve"> PAGE   \* MERGEFORMAT </w:instrText>
        </w:r>
        <w:r w:rsidRPr="003C3E39">
          <w:rPr>
            <w:color w:val="595A5B" w:themeColor="text2"/>
          </w:rPr>
          <w:fldChar w:fldCharType="separate"/>
        </w:r>
        <w:r>
          <w:rPr>
            <w:noProof/>
            <w:color w:val="595A5B" w:themeColor="text2"/>
          </w:rPr>
          <w:t xml:space="preserve"> </w:t>
        </w:r>
        <w:r w:rsidRPr="003C3E39">
          <w:rPr>
            <w:noProof/>
            <w:color w:val="595A5B" w:themeColor="text2"/>
          </w:rPr>
          <w:fldChar w:fldCharType="end"/>
        </w:r>
      </w:p>
    </w:sdtContent>
  </w:sdt>
  <w:p w14:paraId="5EEEE1D0" w14:textId="77777777" w:rsidR="00997872" w:rsidRDefault="009978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A147D" w14:textId="77777777" w:rsidR="00997872" w:rsidRDefault="0099787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6632094"/>
      <w:docPartObj>
        <w:docPartGallery w:val="Page Numbers (Bottom of Page)"/>
        <w:docPartUnique/>
      </w:docPartObj>
    </w:sdtPr>
    <w:sdtEndPr>
      <w:rPr>
        <w:noProof/>
        <w:color w:val="595A5B" w:themeColor="text2"/>
      </w:rPr>
    </w:sdtEndPr>
    <w:sdtContent>
      <w:p w14:paraId="63C1D268" w14:textId="5B8341CB" w:rsidR="00997872" w:rsidRPr="003C3E39" w:rsidRDefault="00997872" w:rsidP="007017B2">
        <w:pPr>
          <w:pStyle w:val="Footer"/>
          <w:rPr>
            <w:color w:val="595A5B" w:themeColor="text2"/>
          </w:rPr>
        </w:pPr>
        <w:r>
          <w:tab/>
        </w:r>
        <w:r w:rsidRPr="003C3E39">
          <w:rPr>
            <w:color w:val="595A5B" w:themeColor="text2"/>
          </w:rPr>
          <w:fldChar w:fldCharType="begin"/>
        </w:r>
        <w:r w:rsidRPr="003C3E39">
          <w:rPr>
            <w:color w:val="595A5B" w:themeColor="text2"/>
          </w:rPr>
          <w:instrText xml:space="preserve"> PAGE   \* MERGEFORMAT </w:instrText>
        </w:r>
        <w:r w:rsidRPr="003C3E39">
          <w:rPr>
            <w:color w:val="595A5B" w:themeColor="text2"/>
          </w:rPr>
          <w:fldChar w:fldCharType="separate"/>
        </w:r>
        <w:r w:rsidR="006E7B34">
          <w:rPr>
            <w:noProof/>
            <w:color w:val="595A5B" w:themeColor="text2"/>
          </w:rPr>
          <w:t xml:space="preserve"> </w:t>
        </w:r>
        <w:r w:rsidRPr="003C3E39">
          <w:rPr>
            <w:noProof/>
            <w:color w:val="595A5B" w:themeColor="text2"/>
          </w:rPr>
          <w:fldChar w:fldCharType="end"/>
        </w:r>
      </w:p>
    </w:sdtContent>
  </w:sdt>
  <w:p w14:paraId="4FF85164" w14:textId="77777777" w:rsidR="00997872" w:rsidRDefault="0099787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7211204"/>
      <w:docPartObj>
        <w:docPartGallery w:val="Page Numbers (Bottom of Page)"/>
        <w:docPartUnique/>
      </w:docPartObj>
    </w:sdtPr>
    <w:sdtEndPr>
      <w:rPr>
        <w:noProof/>
        <w:color w:val="595A5B" w:themeColor="text2"/>
      </w:rPr>
    </w:sdtEndPr>
    <w:sdtContent>
      <w:p w14:paraId="112AD8A8" w14:textId="77777777" w:rsidR="00997872" w:rsidRPr="003C3E39" w:rsidRDefault="00997872" w:rsidP="007017B2">
        <w:pPr>
          <w:pStyle w:val="Footer"/>
          <w:rPr>
            <w:color w:val="595A5B" w:themeColor="text2"/>
          </w:rPr>
        </w:pPr>
        <w:r w:rsidRPr="00345ABE">
          <w:rPr>
            <w:b/>
            <w:color w:val="22789A" w:themeColor="accent3"/>
          </w:rPr>
          <w:t>Evaluation Report</w:t>
        </w:r>
        <w:r w:rsidRPr="00345ABE">
          <w:rPr>
            <w:color w:val="22789A" w:themeColor="accent3"/>
          </w:rPr>
          <w:t xml:space="preserve"> </w:t>
        </w:r>
        <w:r w:rsidRPr="003C3E39">
          <w:rPr>
            <w:rFonts w:cs="Arial"/>
            <w:color w:val="595A5B" w:themeColor="text2"/>
          </w:rPr>
          <w:t>—</w:t>
        </w:r>
        <w:r w:rsidRPr="003C3E39">
          <w:rPr>
            <w:color w:val="595A5B" w:themeColor="text2"/>
          </w:rPr>
          <w:t xml:space="preserve"> Community Energy Efficiency Program Evaluation</w:t>
        </w:r>
        <w:r>
          <w:tab/>
        </w:r>
        <w:r w:rsidRPr="003C3E39">
          <w:rPr>
            <w:color w:val="595A5B" w:themeColor="text2"/>
          </w:rPr>
          <w:fldChar w:fldCharType="begin"/>
        </w:r>
        <w:r w:rsidRPr="003C3E39">
          <w:rPr>
            <w:color w:val="595A5B" w:themeColor="text2"/>
          </w:rPr>
          <w:instrText xml:space="preserve"> PAGE   \* MERGEFORMAT </w:instrText>
        </w:r>
        <w:r w:rsidRPr="003C3E39">
          <w:rPr>
            <w:color w:val="595A5B" w:themeColor="text2"/>
          </w:rPr>
          <w:fldChar w:fldCharType="separate"/>
        </w:r>
        <w:r w:rsidR="006E7B34">
          <w:rPr>
            <w:noProof/>
            <w:color w:val="595A5B" w:themeColor="text2"/>
          </w:rPr>
          <w:t>III</w:t>
        </w:r>
        <w:r w:rsidRPr="003C3E39">
          <w:rPr>
            <w:noProof/>
            <w:color w:val="595A5B" w:themeColor="text2"/>
          </w:rPr>
          <w:fldChar w:fldCharType="end"/>
        </w:r>
      </w:p>
    </w:sdtContent>
  </w:sdt>
  <w:p w14:paraId="33C65A4E" w14:textId="77777777" w:rsidR="00997872" w:rsidRDefault="0099787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470302"/>
      <w:docPartObj>
        <w:docPartGallery w:val="Page Numbers (Bottom of Page)"/>
        <w:docPartUnique/>
      </w:docPartObj>
    </w:sdtPr>
    <w:sdtEndPr>
      <w:rPr>
        <w:noProof/>
        <w:color w:val="595A5B" w:themeColor="text2"/>
      </w:rPr>
    </w:sdtEndPr>
    <w:sdtContent>
      <w:p w14:paraId="491BE8BA" w14:textId="77777777" w:rsidR="00997872" w:rsidRPr="003C3E39" w:rsidRDefault="00997872" w:rsidP="00D8529C">
        <w:pPr>
          <w:pStyle w:val="Footer"/>
          <w:rPr>
            <w:color w:val="595A5B" w:themeColor="text2"/>
          </w:rPr>
        </w:pPr>
        <w:r w:rsidRPr="00345ABE">
          <w:rPr>
            <w:b/>
            <w:color w:val="22789A" w:themeColor="accent3"/>
          </w:rPr>
          <w:t>Evaluation Report</w:t>
        </w:r>
        <w:r w:rsidRPr="00345ABE">
          <w:rPr>
            <w:color w:val="22789A" w:themeColor="accent3"/>
          </w:rPr>
          <w:t xml:space="preserve"> </w:t>
        </w:r>
        <w:r w:rsidRPr="003C3E39">
          <w:rPr>
            <w:rFonts w:cs="Arial"/>
            <w:color w:val="595A5B" w:themeColor="text2"/>
          </w:rPr>
          <w:t>—</w:t>
        </w:r>
        <w:r w:rsidRPr="003C3E39">
          <w:rPr>
            <w:color w:val="595A5B" w:themeColor="text2"/>
          </w:rPr>
          <w:t xml:space="preserve"> Community Energy Efficiency Program Evaluation </w:t>
        </w:r>
        <w:r>
          <w:tab/>
        </w:r>
        <w:r w:rsidRPr="003C3E39">
          <w:rPr>
            <w:color w:val="595A5B" w:themeColor="text2"/>
          </w:rPr>
          <w:fldChar w:fldCharType="begin"/>
        </w:r>
        <w:r w:rsidRPr="003C3E39">
          <w:rPr>
            <w:color w:val="595A5B" w:themeColor="text2"/>
          </w:rPr>
          <w:instrText xml:space="preserve"> PAGE   \* MERGEFORMAT </w:instrText>
        </w:r>
        <w:r w:rsidRPr="003C3E39">
          <w:rPr>
            <w:color w:val="595A5B" w:themeColor="text2"/>
          </w:rPr>
          <w:fldChar w:fldCharType="separate"/>
        </w:r>
        <w:r w:rsidR="006E7B34">
          <w:rPr>
            <w:noProof/>
            <w:color w:val="595A5B" w:themeColor="text2"/>
          </w:rPr>
          <w:t>16</w:t>
        </w:r>
        <w:r w:rsidRPr="003C3E39">
          <w:rPr>
            <w:noProof/>
            <w:color w:val="595A5B" w:themeColor="text2"/>
          </w:rPr>
          <w:fldChar w:fldCharType="end"/>
        </w:r>
      </w:p>
    </w:sdtContent>
  </w:sdt>
  <w:p w14:paraId="4EBBF738" w14:textId="77777777" w:rsidR="00997872" w:rsidRDefault="009978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8485B5" w14:textId="77777777" w:rsidR="00997872" w:rsidRDefault="00997872" w:rsidP="00D84108">
      <w:pPr>
        <w:spacing w:after="0" w:line="240" w:lineRule="auto"/>
      </w:pPr>
      <w:r>
        <w:separator/>
      </w:r>
    </w:p>
  </w:footnote>
  <w:footnote w:type="continuationSeparator" w:id="0">
    <w:p w14:paraId="36136F74" w14:textId="77777777" w:rsidR="00997872" w:rsidRDefault="00997872" w:rsidP="00F244EA">
      <w:pPr>
        <w:spacing w:after="0" w:line="240" w:lineRule="auto"/>
      </w:pPr>
      <w:r>
        <w:continuationSeparator/>
      </w:r>
    </w:p>
  </w:footnote>
  <w:footnote w:type="continuationNotice" w:id="1">
    <w:p w14:paraId="1189A055" w14:textId="77777777" w:rsidR="00997872" w:rsidRDefault="00997872">
      <w:pPr>
        <w:spacing w:after="0" w:line="240" w:lineRule="auto"/>
      </w:pPr>
    </w:p>
  </w:footnote>
  <w:footnote w:id="2">
    <w:p w14:paraId="15F3AF14" w14:textId="0CCD6359" w:rsidR="00997872" w:rsidRDefault="00997872" w:rsidP="00BB61F5">
      <w:pPr>
        <w:pStyle w:val="FootnoteText"/>
        <w:ind w:left="142"/>
      </w:pPr>
      <w:r>
        <w:rPr>
          <w:rStyle w:val="FootnoteReference"/>
        </w:rPr>
        <w:footnoteRef/>
      </w:r>
      <w:r>
        <w:t xml:space="preserve"> </w:t>
      </w:r>
      <w:hyperlink r:id="rId1" w:history="1">
        <w:r w:rsidRPr="00690887">
          <w:rPr>
            <w:rStyle w:val="Hyperlink"/>
          </w:rPr>
          <w:t>CEEP Grant Guidelines,</w:t>
        </w:r>
        <w:r>
          <w:rPr>
            <w:rStyle w:val="Hyperlink"/>
          </w:rPr>
          <w:t xml:space="preserve"> Round Two p</w:t>
        </w:r>
        <w:r w:rsidRPr="00690887">
          <w:rPr>
            <w:rStyle w:val="Hyperlink"/>
          </w:rPr>
          <w:t>.4</w:t>
        </w:r>
        <w:r w:rsidRPr="00690887">
          <w:rPr>
            <w:rStyle w:val="Hyperlink"/>
            <w:rFonts w:ascii="Calibri" w:hAnsi="Calibri"/>
          </w:rPr>
          <w:t>–</w:t>
        </w:r>
        <w:r w:rsidRPr="00690887">
          <w:rPr>
            <w:rStyle w:val="Hyperlink"/>
          </w:rPr>
          <w:t>5</w:t>
        </w:r>
      </w:hyperlink>
      <w:r>
        <w:rPr>
          <w:rStyle w:val="Hyperlink"/>
        </w:rPr>
        <w:t>.</w:t>
      </w:r>
    </w:p>
  </w:footnote>
  <w:footnote w:id="3">
    <w:p w14:paraId="40904A3D" w14:textId="3DF13502" w:rsidR="00997872" w:rsidRPr="002B748A" w:rsidRDefault="00997872" w:rsidP="00D7222D">
      <w:pPr>
        <w:pStyle w:val="FootnoteText"/>
        <w:spacing w:after="0"/>
        <w:ind w:left="280" w:hanging="280"/>
        <w:rPr>
          <w:color w:val="595A5B" w:themeColor="text2"/>
        </w:rPr>
      </w:pPr>
      <w:r w:rsidRPr="002B748A">
        <w:rPr>
          <w:rStyle w:val="FootnoteReference"/>
          <w:color w:val="595A5B" w:themeColor="text2"/>
        </w:rPr>
        <w:footnoteRef/>
      </w:r>
      <w:r w:rsidRPr="002B748A">
        <w:rPr>
          <w:color w:val="595A5B" w:themeColor="text2"/>
        </w:rPr>
        <w:t xml:space="preserve"> </w:t>
      </w:r>
      <w:r w:rsidRPr="002B748A">
        <w:rPr>
          <w:color w:val="595A5B" w:themeColor="text2"/>
        </w:rPr>
        <w:tab/>
      </w:r>
      <w:r w:rsidRPr="002B748A">
        <w:rPr>
          <w:i/>
          <w:color w:val="595A5B" w:themeColor="text2"/>
        </w:rPr>
        <w:t>The Australian Energy Update</w:t>
      </w:r>
      <w:r>
        <w:rPr>
          <w:color w:val="595A5B" w:themeColor="text2"/>
        </w:rPr>
        <w:t xml:space="preserve"> 2016.</w:t>
      </w:r>
    </w:p>
  </w:footnote>
  <w:footnote w:id="4">
    <w:p w14:paraId="7A7CD3EF" w14:textId="77777777" w:rsidR="00997872" w:rsidRPr="002B748A" w:rsidRDefault="00997872" w:rsidP="00D7222D">
      <w:pPr>
        <w:pStyle w:val="FootnoteText"/>
        <w:spacing w:after="0"/>
        <w:ind w:left="280" w:hanging="280"/>
        <w:rPr>
          <w:color w:val="595A5B" w:themeColor="text2"/>
        </w:rPr>
      </w:pPr>
      <w:r w:rsidRPr="002B748A">
        <w:rPr>
          <w:rStyle w:val="FootnoteReference"/>
          <w:color w:val="595A5B" w:themeColor="text2"/>
        </w:rPr>
        <w:footnoteRef/>
      </w:r>
      <w:r w:rsidRPr="002B748A">
        <w:rPr>
          <w:color w:val="595A5B" w:themeColor="text2"/>
        </w:rPr>
        <w:t xml:space="preserve"> </w:t>
      </w:r>
      <w:r w:rsidRPr="002B748A">
        <w:rPr>
          <w:color w:val="595A5B" w:themeColor="text2"/>
        </w:rPr>
        <w:tab/>
        <w:t xml:space="preserve">The statistics were filtered to remove projects that skewed the energy saving results for cost per TJ, for example if energy use data was increased because of external factors (building extensions or increased operating hours). </w:t>
      </w:r>
    </w:p>
  </w:footnote>
  <w:footnote w:id="5">
    <w:p w14:paraId="21DB667F" w14:textId="77777777" w:rsidR="00997872" w:rsidRPr="002B748A" w:rsidRDefault="00997872" w:rsidP="00D7222D">
      <w:pPr>
        <w:pStyle w:val="FootnoteText"/>
        <w:spacing w:after="0"/>
        <w:ind w:left="278" w:hanging="278"/>
        <w:rPr>
          <w:color w:val="595A5B" w:themeColor="text2"/>
        </w:rPr>
      </w:pPr>
      <w:r w:rsidRPr="002B748A">
        <w:rPr>
          <w:rStyle w:val="FootnoteReference"/>
          <w:color w:val="595A5B" w:themeColor="text2"/>
        </w:rPr>
        <w:footnoteRef/>
      </w:r>
      <w:r w:rsidRPr="002B748A">
        <w:rPr>
          <w:color w:val="595A5B" w:themeColor="text2"/>
        </w:rPr>
        <w:t xml:space="preserve"> </w:t>
      </w:r>
      <w:r w:rsidRPr="002B748A">
        <w:rPr>
          <w:color w:val="595A5B" w:themeColor="text2"/>
        </w:rPr>
        <w:tab/>
      </w:r>
      <w:r w:rsidRPr="002B748A">
        <w:rPr>
          <w:i/>
          <w:color w:val="595A5B" w:themeColor="text2"/>
        </w:rPr>
        <w:t>2015 Residential Electricity Price Trends</w:t>
      </w:r>
      <w:r w:rsidRPr="002B748A">
        <w:rPr>
          <w:color w:val="595A5B" w:themeColor="text2"/>
        </w:rPr>
        <w:t>, Australian Energy Market Commission, P.81.</w:t>
      </w:r>
    </w:p>
  </w:footnote>
  <w:footnote w:id="6">
    <w:p w14:paraId="78F7D48D" w14:textId="3E43CD55" w:rsidR="00997872" w:rsidRDefault="00997872" w:rsidP="001C2894">
      <w:pPr>
        <w:pStyle w:val="FootnoteText"/>
        <w:ind w:left="142"/>
      </w:pPr>
      <w:r w:rsidRPr="002B748A">
        <w:rPr>
          <w:rStyle w:val="FootnoteReference"/>
          <w:color w:val="595A5B" w:themeColor="text2"/>
        </w:rPr>
        <w:footnoteRef/>
      </w:r>
      <w:r>
        <w:rPr>
          <w:color w:val="595A5B" w:themeColor="text2"/>
        </w:rPr>
        <w:t xml:space="preserve"> CEEP Grant Guidelines, p</w:t>
      </w:r>
      <w:r w:rsidRPr="002B748A">
        <w:rPr>
          <w:color w:val="595A5B" w:themeColor="text2"/>
        </w:rPr>
        <w:t>.4</w:t>
      </w:r>
      <w:r w:rsidRPr="002B748A">
        <w:rPr>
          <w:rFonts w:ascii="Calibri" w:hAnsi="Calibri"/>
          <w:color w:val="595A5B" w:themeColor="text2"/>
        </w:rPr>
        <w:t>–</w:t>
      </w:r>
      <w:r w:rsidRPr="002B748A">
        <w:rPr>
          <w:color w:val="595A5B" w:themeColor="text2"/>
        </w:rPr>
        <w:t>5.</w:t>
      </w:r>
    </w:p>
  </w:footnote>
  <w:footnote w:id="7">
    <w:p w14:paraId="56A20AD3" w14:textId="646E9E38" w:rsidR="00997872" w:rsidRDefault="00997872" w:rsidP="005D59EC">
      <w:pPr>
        <w:pStyle w:val="FootnoteText"/>
        <w:spacing w:after="0"/>
        <w:ind w:left="142"/>
      </w:pPr>
      <w:r w:rsidRPr="002B748A">
        <w:rPr>
          <w:rStyle w:val="FootnoteReference"/>
          <w:color w:val="595A5B" w:themeColor="text2"/>
        </w:rPr>
        <w:footnoteRef/>
      </w:r>
      <w:r w:rsidRPr="002B748A">
        <w:rPr>
          <w:color w:val="595A5B" w:themeColor="text2"/>
        </w:rPr>
        <w:t xml:space="preserve"> </w:t>
      </w:r>
      <w:hyperlink r:id="rId2" w:history="1">
        <w:r>
          <w:rPr>
            <w:rStyle w:val="Hyperlink"/>
          </w:rPr>
          <w:t>Securing a Clean Energy Future, Department of Climate Change and Energy Efficiency, 2011</w:t>
        </w:r>
      </w:hyperlink>
      <w:r>
        <w:rPr>
          <w:rStyle w:val="Hyperlink"/>
        </w:rPr>
        <w:t xml:space="preserve">, </w:t>
      </w:r>
      <w:r w:rsidRPr="002B748A">
        <w:rPr>
          <w:rStyle w:val="Hyperlink"/>
          <w:color w:val="595A5B" w:themeColor="text2"/>
          <w:u w:val="none"/>
        </w:rPr>
        <w:t>accessed April 2017.</w:t>
      </w:r>
    </w:p>
  </w:footnote>
  <w:footnote w:id="8">
    <w:p w14:paraId="2186262F" w14:textId="3BBC6E52" w:rsidR="00997872" w:rsidRDefault="00997872" w:rsidP="005D59EC">
      <w:pPr>
        <w:pStyle w:val="FootnoteText"/>
        <w:spacing w:after="0"/>
        <w:ind w:left="142"/>
      </w:pPr>
      <w:r w:rsidRPr="002B748A">
        <w:rPr>
          <w:rStyle w:val="FootnoteReference"/>
          <w:color w:val="595A5B" w:themeColor="text2"/>
        </w:rPr>
        <w:footnoteRef/>
      </w:r>
      <w:r>
        <w:t xml:space="preserve"> </w:t>
      </w:r>
      <w:hyperlink r:id="rId3" w:history="1">
        <w:r w:rsidRPr="003C0E9C">
          <w:rPr>
            <w:rStyle w:val="Hyperlink"/>
          </w:rPr>
          <w:t>2008</w:t>
        </w:r>
        <w:r w:rsidRPr="003C0E9C">
          <w:rPr>
            <w:rStyle w:val="Hyperlink"/>
            <w:rFonts w:ascii="Calibri" w:hAnsi="Calibri"/>
          </w:rPr>
          <w:t>–</w:t>
        </w:r>
        <w:r w:rsidRPr="003C0E9C">
          <w:rPr>
            <w:rStyle w:val="Hyperlink"/>
          </w:rPr>
          <w:t>09 Budget Paper No. 2</w:t>
        </w:r>
      </w:hyperlink>
      <w:r>
        <w:t xml:space="preserve">, </w:t>
      </w:r>
      <w:r>
        <w:rPr>
          <w:color w:val="595A5B" w:themeColor="text2"/>
        </w:rPr>
        <w:t>Part 2, Climate Change, p</w:t>
      </w:r>
      <w:r w:rsidRPr="002B748A">
        <w:rPr>
          <w:color w:val="595A5B" w:themeColor="text2"/>
        </w:rPr>
        <w:t>.103.</w:t>
      </w:r>
    </w:p>
  </w:footnote>
  <w:footnote w:id="9">
    <w:p w14:paraId="32739146" w14:textId="45EE7829" w:rsidR="00997872" w:rsidRDefault="00997872" w:rsidP="005D59EC">
      <w:pPr>
        <w:pStyle w:val="FootnoteText"/>
        <w:spacing w:after="0"/>
        <w:ind w:left="142"/>
      </w:pPr>
      <w:r w:rsidRPr="002B748A">
        <w:rPr>
          <w:rStyle w:val="FootnoteReference"/>
          <w:color w:val="595A5B" w:themeColor="text2"/>
        </w:rPr>
        <w:footnoteRef/>
      </w:r>
      <w:r w:rsidRPr="002B748A">
        <w:rPr>
          <w:color w:val="595A5B" w:themeColor="text2"/>
        </w:rPr>
        <w:t xml:space="preserve"> </w:t>
      </w:r>
      <w:hyperlink r:id="rId4" w:history="1">
        <w:r w:rsidRPr="003C0E9C">
          <w:rPr>
            <w:rStyle w:val="Hyperlink"/>
          </w:rPr>
          <w:t>Wilkins Review</w:t>
        </w:r>
      </w:hyperlink>
      <w:r w:rsidRPr="002B748A">
        <w:rPr>
          <w:color w:val="595A5B" w:themeColor="text2"/>
        </w:rPr>
        <w:t xml:space="preserve">, 2008, </w:t>
      </w:r>
      <w:r>
        <w:rPr>
          <w:color w:val="595A5B" w:themeColor="text2"/>
        </w:rPr>
        <w:t>p.</w:t>
      </w:r>
      <w:r w:rsidRPr="002B748A">
        <w:rPr>
          <w:color w:val="595A5B" w:themeColor="text2"/>
        </w:rPr>
        <w:t>210</w:t>
      </w:r>
      <w:r w:rsidRPr="002B748A">
        <w:rPr>
          <w:rFonts w:ascii="Calibri" w:hAnsi="Calibri"/>
          <w:color w:val="595A5B" w:themeColor="text2"/>
        </w:rPr>
        <w:t>–</w:t>
      </w:r>
      <w:r w:rsidRPr="002B748A">
        <w:rPr>
          <w:color w:val="595A5B" w:themeColor="text2"/>
        </w:rPr>
        <w:t>211.</w:t>
      </w:r>
    </w:p>
  </w:footnote>
  <w:footnote w:id="10">
    <w:p w14:paraId="1698E6C0" w14:textId="3EDFDB44" w:rsidR="00997872" w:rsidRDefault="00997872" w:rsidP="00751C57">
      <w:pPr>
        <w:pStyle w:val="FootnoteText"/>
        <w:spacing w:after="120"/>
        <w:ind w:left="142"/>
      </w:pPr>
      <w:r w:rsidRPr="002B748A">
        <w:rPr>
          <w:rStyle w:val="FootnoteReference"/>
          <w:color w:val="595A5B" w:themeColor="text2"/>
        </w:rPr>
        <w:footnoteRef/>
      </w:r>
      <w:r w:rsidRPr="002B748A">
        <w:rPr>
          <w:color w:val="595A5B" w:themeColor="text2"/>
        </w:rPr>
        <w:t xml:space="preserve"> </w:t>
      </w:r>
      <w:hyperlink r:id="rId5" w:history="1">
        <w:r w:rsidRPr="00F4059A">
          <w:rPr>
            <w:rStyle w:val="Hyperlink"/>
          </w:rPr>
          <w:t>Wilkins Review 2008</w:t>
        </w:r>
      </w:hyperlink>
      <w:r>
        <w:t xml:space="preserve">, </w:t>
      </w:r>
      <w:r>
        <w:rPr>
          <w:color w:val="595A5B" w:themeColor="text2"/>
        </w:rPr>
        <w:t>p.</w:t>
      </w:r>
      <w:r w:rsidRPr="002B748A">
        <w:rPr>
          <w:color w:val="595A5B" w:themeColor="text2"/>
        </w:rPr>
        <w:t>15.</w:t>
      </w:r>
    </w:p>
  </w:footnote>
  <w:footnote w:id="11">
    <w:p w14:paraId="02D90FB2" w14:textId="76BF1936" w:rsidR="00997872" w:rsidRDefault="00997872" w:rsidP="009F3188">
      <w:pPr>
        <w:pStyle w:val="FootnoteText"/>
        <w:spacing w:after="120"/>
        <w:ind w:left="142"/>
      </w:pPr>
      <w:r w:rsidRPr="002B748A">
        <w:rPr>
          <w:rStyle w:val="FootnoteReference"/>
          <w:color w:val="595A5B" w:themeColor="text2"/>
        </w:rPr>
        <w:footnoteRef/>
      </w:r>
      <w:r w:rsidRPr="002B748A">
        <w:rPr>
          <w:color w:val="595A5B" w:themeColor="text2"/>
        </w:rPr>
        <w:t xml:space="preserve"> </w:t>
      </w:r>
      <w:hyperlink r:id="rId6" w:history="1">
        <w:r w:rsidRPr="003C0E9C">
          <w:rPr>
            <w:rStyle w:val="Hyperlink"/>
          </w:rPr>
          <w:t>National Energy Productivity Plan 2015 - 2030</w:t>
        </w:r>
      </w:hyperlink>
      <w:r>
        <w:t xml:space="preserve">, </w:t>
      </w:r>
      <w:r>
        <w:rPr>
          <w:color w:val="595A5B" w:themeColor="text2"/>
        </w:rPr>
        <w:t>pp.</w:t>
      </w:r>
      <w:r w:rsidRPr="002B748A">
        <w:rPr>
          <w:color w:val="595A5B" w:themeColor="text2"/>
        </w:rPr>
        <w:t>7 &amp; 20.</w:t>
      </w:r>
    </w:p>
  </w:footnote>
  <w:footnote w:id="12">
    <w:p w14:paraId="5C3BDF20" w14:textId="63C7B2AC" w:rsidR="00997872" w:rsidRDefault="00997872" w:rsidP="00D7222D">
      <w:pPr>
        <w:pStyle w:val="FootnoteText"/>
        <w:spacing w:after="0"/>
        <w:ind w:left="284" w:hanging="249"/>
      </w:pPr>
      <w:r>
        <w:rPr>
          <w:rStyle w:val="FootnoteReference"/>
        </w:rPr>
        <w:footnoteRef/>
      </w:r>
      <w:r>
        <w:t xml:space="preserve">  </w:t>
      </w:r>
      <w:hyperlink r:id="rId7" w:history="1">
        <w:r w:rsidRPr="005F5F4B">
          <w:rPr>
            <w:rStyle w:val="Hyperlink"/>
            <w:i/>
          </w:rPr>
          <w:t>The Australian Energy Update</w:t>
        </w:r>
        <w:r w:rsidRPr="005F5F4B">
          <w:rPr>
            <w:rStyle w:val="Hyperlink"/>
          </w:rPr>
          <w:t xml:space="preserve"> 2016</w:t>
        </w:r>
      </w:hyperlink>
      <w:r>
        <w:rPr>
          <w:rStyle w:val="Hyperlink"/>
        </w:rPr>
        <w:t>.</w:t>
      </w:r>
      <w:r>
        <w:t xml:space="preserve"> </w:t>
      </w:r>
    </w:p>
  </w:footnote>
  <w:footnote w:id="13">
    <w:p w14:paraId="7FEBC90E" w14:textId="77777777" w:rsidR="00997872" w:rsidRDefault="00997872" w:rsidP="00D7222D">
      <w:pPr>
        <w:pStyle w:val="FootnoteText"/>
        <w:spacing w:after="0"/>
        <w:ind w:left="142" w:hanging="107"/>
      </w:pPr>
      <w:r w:rsidRPr="002B748A">
        <w:rPr>
          <w:rStyle w:val="FootnoteReference"/>
          <w:color w:val="595A5B" w:themeColor="text2"/>
        </w:rPr>
        <w:footnoteRef/>
      </w:r>
      <w:r w:rsidRPr="002B748A">
        <w:rPr>
          <w:color w:val="595A5B" w:themeColor="text2"/>
        </w:rPr>
        <w:t xml:space="preserve"> The statistics were filtered to remove projects that skewed the energy saving results for cost per TJ. For example, if energy use data was affected by external factors (building extensions or increased operating hours). </w:t>
      </w:r>
    </w:p>
  </w:footnote>
  <w:footnote w:id="14">
    <w:p w14:paraId="138D2DA7" w14:textId="7F1E6418" w:rsidR="00997872" w:rsidRDefault="00997872" w:rsidP="00DF58AA">
      <w:pPr>
        <w:pStyle w:val="FootnoteText"/>
        <w:ind w:left="142"/>
      </w:pPr>
      <w:r w:rsidRPr="002B748A">
        <w:rPr>
          <w:rStyle w:val="FootnoteReference"/>
          <w:color w:val="595A5B" w:themeColor="text2"/>
        </w:rPr>
        <w:footnoteRef/>
      </w:r>
      <w:r w:rsidRPr="002B748A">
        <w:rPr>
          <w:color w:val="595A5B" w:themeColor="text2"/>
        </w:rPr>
        <w:t xml:space="preserve"> </w:t>
      </w:r>
      <w:hyperlink r:id="rId8" w:history="1">
        <w:r w:rsidRPr="005F5F4B">
          <w:rPr>
            <w:rStyle w:val="Hyperlink"/>
            <w:i/>
          </w:rPr>
          <w:t>2015 Residential Electricity Price Trends</w:t>
        </w:r>
      </w:hyperlink>
      <w:r>
        <w:t xml:space="preserve">, </w:t>
      </w:r>
      <w:r w:rsidRPr="002B748A">
        <w:rPr>
          <w:color w:val="595A5B" w:themeColor="text2"/>
        </w:rPr>
        <w:t>Australian Energy Market Commission, accessed April 2017.</w:t>
      </w:r>
    </w:p>
  </w:footnote>
  <w:footnote w:id="15">
    <w:p w14:paraId="2A1D140B" w14:textId="4BF2F756" w:rsidR="00997872" w:rsidRDefault="00997872" w:rsidP="005D59EC">
      <w:pPr>
        <w:pStyle w:val="FootnoteText"/>
        <w:spacing w:after="0"/>
        <w:ind w:left="142"/>
      </w:pPr>
      <w:r w:rsidRPr="002B748A">
        <w:rPr>
          <w:rStyle w:val="FootnoteReference"/>
          <w:color w:val="595A5B" w:themeColor="text2"/>
        </w:rPr>
        <w:footnoteRef/>
      </w:r>
      <w:r w:rsidRPr="002B748A">
        <w:rPr>
          <w:color w:val="595A5B" w:themeColor="text2"/>
        </w:rPr>
        <w:t xml:space="preserve"> </w:t>
      </w:r>
      <w:hyperlink r:id="rId9" w:history="1">
        <w:r w:rsidRPr="002023D8">
          <w:rPr>
            <w:rStyle w:val="Hyperlink"/>
          </w:rPr>
          <w:t>CEEP Grant</w:t>
        </w:r>
        <w:r>
          <w:rPr>
            <w:rStyle w:val="Hyperlink"/>
          </w:rPr>
          <w:t xml:space="preserve"> Round Two</w:t>
        </w:r>
        <w:r w:rsidRPr="002023D8">
          <w:rPr>
            <w:rStyle w:val="Hyperlink"/>
          </w:rPr>
          <w:t xml:space="preserve"> Guidelines</w:t>
        </w:r>
      </w:hyperlink>
      <w:r>
        <w:t xml:space="preserve">, </w:t>
      </w:r>
      <w:r w:rsidRPr="002B748A">
        <w:rPr>
          <w:color w:val="595A5B" w:themeColor="text2"/>
        </w:rPr>
        <w:t>accessed April 2017.</w:t>
      </w:r>
    </w:p>
  </w:footnote>
  <w:footnote w:id="16">
    <w:p w14:paraId="3896C290" w14:textId="43077994" w:rsidR="00997872" w:rsidRDefault="00997872" w:rsidP="005D59EC">
      <w:pPr>
        <w:pStyle w:val="FootnoteText"/>
        <w:spacing w:after="0"/>
        <w:ind w:left="142"/>
      </w:pPr>
      <w:r w:rsidRPr="002B748A">
        <w:rPr>
          <w:rStyle w:val="FootnoteReference"/>
          <w:color w:val="595A5B" w:themeColor="text2"/>
        </w:rPr>
        <w:footnoteRef/>
      </w:r>
      <w:r>
        <w:t xml:space="preserve"> </w:t>
      </w:r>
      <w:hyperlink r:id="rId10" w:history="1">
        <w:r w:rsidRPr="00AC679A">
          <w:rPr>
            <w:rStyle w:val="Hyperlink"/>
            <w:i/>
          </w:rPr>
          <w:t>Guide to Best Practice Maintenance &amp; Operation of HVAC Systems for Energy Efficiency</w:t>
        </w:r>
      </w:hyperlink>
      <w:r>
        <w:t xml:space="preserve">, </w:t>
      </w:r>
      <w:r w:rsidRPr="002B748A">
        <w:rPr>
          <w:color w:val="595A5B" w:themeColor="text2"/>
        </w:rPr>
        <w:t xml:space="preserve">Department of Environment and Energy, accessed April 2017. </w:t>
      </w:r>
    </w:p>
  </w:footnote>
  <w:footnote w:id="17">
    <w:p w14:paraId="0AB2DC9E" w14:textId="10D00CB8" w:rsidR="00997872" w:rsidRDefault="00997872" w:rsidP="005D59EC">
      <w:pPr>
        <w:pStyle w:val="FootnoteText"/>
        <w:spacing w:after="0"/>
        <w:ind w:left="142"/>
      </w:pPr>
      <w:r w:rsidRPr="002B748A">
        <w:rPr>
          <w:rStyle w:val="FootnoteReference"/>
          <w:color w:val="595A5B" w:themeColor="text2"/>
        </w:rPr>
        <w:footnoteRef/>
      </w:r>
      <w:r w:rsidRPr="002B748A">
        <w:rPr>
          <w:color w:val="595A5B" w:themeColor="text2"/>
        </w:rPr>
        <w:t xml:space="preserve"> </w:t>
      </w:r>
      <w:r w:rsidRPr="002B748A">
        <w:rPr>
          <w:i/>
          <w:color w:val="595A5B" w:themeColor="text2"/>
        </w:rPr>
        <w:t>Energy Strategies</w:t>
      </w:r>
      <w:r w:rsidRPr="002B748A">
        <w:rPr>
          <w:color w:val="595A5B" w:themeColor="text2"/>
        </w:rPr>
        <w:t xml:space="preserve"> (2007), </w:t>
      </w:r>
      <w:hyperlink r:id="rId11" w:history="1">
        <w:r w:rsidRPr="00AC679A">
          <w:rPr>
            <w:rStyle w:val="Hyperlink"/>
            <w:i/>
          </w:rPr>
          <w:t>The Measures - HVAC High Efficiency Systems Strategy</w:t>
        </w:r>
      </w:hyperlink>
      <w:r>
        <w:t xml:space="preserve">, </w:t>
      </w:r>
      <w:r w:rsidRPr="002B748A">
        <w:rPr>
          <w:color w:val="595A5B" w:themeColor="text2"/>
        </w:rPr>
        <w:t>Department of Environment and Energy, accessed April 2017.</w:t>
      </w:r>
    </w:p>
  </w:footnote>
  <w:footnote w:id="18">
    <w:p w14:paraId="0AC645C2" w14:textId="0ABC91AE" w:rsidR="00997872" w:rsidRDefault="00997872" w:rsidP="001C2894">
      <w:pPr>
        <w:pStyle w:val="FootnoteText"/>
        <w:spacing w:after="120"/>
        <w:ind w:left="142"/>
      </w:pPr>
      <w:r w:rsidRPr="002B748A">
        <w:rPr>
          <w:rStyle w:val="FootnoteReference"/>
          <w:color w:val="595A5B" w:themeColor="text2"/>
        </w:rPr>
        <w:footnoteRef/>
      </w:r>
      <w:r w:rsidRPr="002B748A">
        <w:rPr>
          <w:color w:val="595A5B" w:themeColor="text2"/>
        </w:rPr>
        <w:t xml:space="preserve"> </w:t>
      </w:r>
      <w:hyperlink r:id="rId12" w:history="1">
        <w:r w:rsidRPr="00670CCF">
          <w:rPr>
            <w:rStyle w:val="Hyperlink"/>
          </w:rPr>
          <w:t xml:space="preserve">CEEP Grant Guidelines, </w:t>
        </w:r>
        <w:r>
          <w:rPr>
            <w:rStyle w:val="Hyperlink"/>
          </w:rPr>
          <w:t>p.</w:t>
        </w:r>
        <w:r w:rsidRPr="00670CCF">
          <w:rPr>
            <w:rStyle w:val="Hyperlink"/>
          </w:rPr>
          <w:t>4</w:t>
        </w:r>
        <w:r w:rsidRPr="00670CCF">
          <w:rPr>
            <w:rStyle w:val="Hyperlink"/>
            <w:rFonts w:ascii="Calibri" w:hAnsi="Calibri"/>
          </w:rPr>
          <w:t>–</w:t>
        </w:r>
        <w:r w:rsidRPr="00670CCF">
          <w:rPr>
            <w:rStyle w:val="Hyperlink"/>
          </w:rPr>
          <w:t>5</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73BEA" w14:textId="77777777" w:rsidR="00997872" w:rsidRDefault="009978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5821F" w14:textId="77777777" w:rsidR="00997872" w:rsidRDefault="009978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62109" w14:textId="77777777" w:rsidR="00997872" w:rsidRDefault="009978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00E49C76"/>
    <w:lvl w:ilvl="0">
      <w:start w:val="1"/>
      <w:numFmt w:val="decimal"/>
      <w:lvlText w:val="%1."/>
      <w:lvlJc w:val="left"/>
      <w:pPr>
        <w:tabs>
          <w:tab w:val="num" w:pos="1209"/>
        </w:tabs>
        <w:ind w:left="1209" w:hanging="360"/>
      </w:pPr>
    </w:lvl>
  </w:abstractNum>
  <w:abstractNum w:abstractNumId="1" w15:restartNumberingAfterBreak="0">
    <w:nsid w:val="FFFFFF88"/>
    <w:multiLevelType w:val="singleLevel"/>
    <w:tmpl w:val="05E0DED2"/>
    <w:lvl w:ilvl="0">
      <w:start w:val="1"/>
      <w:numFmt w:val="decimal"/>
      <w:lvlText w:val="%1."/>
      <w:lvlJc w:val="left"/>
      <w:pPr>
        <w:tabs>
          <w:tab w:val="num" w:pos="360"/>
        </w:tabs>
        <w:ind w:left="360" w:hanging="360"/>
      </w:pPr>
    </w:lvl>
  </w:abstractNum>
  <w:abstractNum w:abstractNumId="2" w15:restartNumberingAfterBreak="0">
    <w:nsid w:val="02CF72D7"/>
    <w:multiLevelType w:val="multilevel"/>
    <w:tmpl w:val="3BFA39A6"/>
    <w:numStyleLink w:val="OCENumberedList"/>
  </w:abstractNum>
  <w:abstractNum w:abstractNumId="3" w15:restartNumberingAfterBreak="0">
    <w:nsid w:val="03323B38"/>
    <w:multiLevelType w:val="multilevel"/>
    <w:tmpl w:val="F0A23940"/>
    <w:styleLink w:val="OCEHeadings"/>
    <w:lvl w:ilvl="0">
      <w:start w:val="1"/>
      <w:numFmt w:val="decimal"/>
      <w:pStyle w:val="Heading1"/>
      <w:lvlText w:val="%1."/>
      <w:lvlJc w:val="left"/>
      <w:pPr>
        <w:ind w:left="709" w:hanging="709"/>
      </w:pPr>
      <w:rPr>
        <w:rFonts w:hint="default"/>
      </w:rPr>
    </w:lvl>
    <w:lvl w:ilvl="1">
      <w:start w:val="1"/>
      <w:numFmt w:val="decimal"/>
      <w:pStyle w:val="Heading2"/>
      <w:lvlText w:val="%1.%2"/>
      <w:lvlJc w:val="left"/>
      <w:pPr>
        <w:ind w:left="709" w:hanging="709"/>
      </w:pPr>
      <w:rPr>
        <w:rFonts w:hint="default"/>
      </w:rPr>
    </w:lvl>
    <w:lvl w:ilvl="2">
      <w:start w:val="1"/>
      <w:numFmt w:val="none"/>
      <w:pStyle w:val="Heading3"/>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pStyle w:val="Heading6"/>
      <w:lvlText w:val="Appendix %6"/>
      <w:lvlJc w:val="left"/>
      <w:pPr>
        <w:ind w:left="2381" w:hanging="2381"/>
      </w:pPr>
      <w:rPr>
        <w:rFonts w:hint="default"/>
      </w:rPr>
    </w:lvl>
    <w:lvl w:ilvl="6">
      <w:start w:val="1"/>
      <w:numFmt w:val="decimal"/>
      <w:pStyle w:val="Heading7"/>
      <w:lvlText w:val="%6.%7"/>
      <w:lvlJc w:val="left"/>
      <w:pPr>
        <w:ind w:left="709" w:hanging="709"/>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3336E7C"/>
    <w:multiLevelType w:val="multilevel"/>
    <w:tmpl w:val="3BFA39A6"/>
    <w:numStyleLink w:val="OCENumberedList"/>
  </w:abstractNum>
  <w:abstractNum w:abstractNumId="5" w15:restartNumberingAfterBreak="0">
    <w:nsid w:val="05B7681B"/>
    <w:multiLevelType w:val="multilevel"/>
    <w:tmpl w:val="A3F6872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B938C3"/>
    <w:multiLevelType w:val="hybridMultilevel"/>
    <w:tmpl w:val="7AA47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E14DA4"/>
    <w:multiLevelType w:val="hybridMultilevel"/>
    <w:tmpl w:val="B32668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0C4240"/>
    <w:multiLevelType w:val="multilevel"/>
    <w:tmpl w:val="64F2F622"/>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701" w:hanging="709"/>
      </w:pPr>
      <w:rPr>
        <w:rFonts w:hint="default"/>
      </w:rPr>
    </w:lvl>
    <w:lvl w:ilvl="3">
      <w:start w:val="1"/>
      <w:numFmt w:val="none"/>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9" w15:restartNumberingAfterBreak="0">
    <w:nsid w:val="17030A9E"/>
    <w:multiLevelType w:val="multilevel"/>
    <w:tmpl w:val="BD2A8A1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15:restartNumberingAfterBreak="0">
    <w:nsid w:val="182859EC"/>
    <w:multiLevelType w:val="multilevel"/>
    <w:tmpl w:val="3684BDE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11" w15:restartNumberingAfterBreak="0">
    <w:nsid w:val="182B55F3"/>
    <w:multiLevelType w:val="hybridMultilevel"/>
    <w:tmpl w:val="07000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13" w15:restartNumberingAfterBreak="0">
    <w:nsid w:val="18801DAD"/>
    <w:multiLevelType w:val="multilevel"/>
    <w:tmpl w:val="3BFA39A6"/>
    <w:styleLink w:val="OCENumberedList"/>
    <w:lvl w:ilvl="0">
      <w:start w:val="1"/>
      <w:numFmt w:val="decimal"/>
      <w:pStyle w:val="ListNumber"/>
      <w:lvlText w:val="%1."/>
      <w:lvlJc w:val="left"/>
      <w:pPr>
        <w:ind w:left="425" w:hanging="425"/>
      </w:pPr>
      <w:rPr>
        <w:rFonts w:hint="default"/>
      </w:rPr>
    </w:lvl>
    <w:lvl w:ilvl="1">
      <w:start w:val="1"/>
      <w:numFmt w:val="decimal"/>
      <w:pStyle w:val="ListNumber2"/>
      <w:lvlText w:val="%1.%2"/>
      <w:lvlJc w:val="left"/>
      <w:pPr>
        <w:ind w:left="992" w:hanging="567"/>
      </w:pPr>
      <w:rPr>
        <w:rFonts w:hint="default"/>
      </w:rPr>
    </w:lvl>
    <w:lvl w:ilvl="2">
      <w:start w:val="1"/>
      <w:numFmt w:val="decimal"/>
      <w:pStyle w:val="ListNumber3"/>
      <w:lvlText w:val="%1.%2.%3"/>
      <w:lvlJc w:val="left"/>
      <w:pPr>
        <w:ind w:left="1701" w:hanging="709"/>
      </w:pPr>
      <w:rPr>
        <w:rFonts w:hint="default"/>
      </w:rPr>
    </w:lvl>
    <w:lvl w:ilvl="3">
      <w:start w:val="1"/>
      <w:numFmt w:val="none"/>
      <w:pStyle w:val="ListNumber4"/>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14" w15:restartNumberingAfterBreak="0">
    <w:nsid w:val="199F28B4"/>
    <w:multiLevelType w:val="hybridMultilevel"/>
    <w:tmpl w:val="5462C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572D9B"/>
    <w:multiLevelType w:val="multilevel"/>
    <w:tmpl w:val="2FAC326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none"/>
      <w:suff w:val="nothing"/>
      <w:lvlText w:val=""/>
      <w:lvlJc w:val="left"/>
      <w:pPr>
        <w:ind w:left="0" w:firstLine="0"/>
      </w:pPr>
      <w:rPr>
        <w:rFonts w:hint="default"/>
      </w:rPr>
    </w:lvl>
    <w:lvl w:ilvl="3">
      <w:start w:val="1"/>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9."/>
      <w:lvlJc w:val="left"/>
      <w:pPr>
        <w:ind w:left="-32767" w:firstLine="0"/>
      </w:pPr>
      <w:rPr>
        <w:rFonts w:hint="default"/>
      </w:rPr>
    </w:lvl>
  </w:abstractNum>
  <w:abstractNum w:abstractNumId="16" w15:restartNumberingAfterBreak="0">
    <w:nsid w:val="21E6201C"/>
    <w:multiLevelType w:val="multilevel"/>
    <w:tmpl w:val="3BFA39A6"/>
    <w:numStyleLink w:val="OCENumberedList"/>
  </w:abstractNum>
  <w:abstractNum w:abstractNumId="17" w15:restartNumberingAfterBreak="0">
    <w:nsid w:val="2D31791A"/>
    <w:multiLevelType w:val="multilevel"/>
    <w:tmpl w:val="E29ACE62"/>
    <w:numStyleLink w:val="OCEBulletedList"/>
  </w:abstractNum>
  <w:abstractNum w:abstractNumId="18" w15:restartNumberingAfterBreak="0">
    <w:nsid w:val="2F51625C"/>
    <w:multiLevelType w:val="multilevel"/>
    <w:tmpl w:val="F0A23940"/>
    <w:numStyleLink w:val="OCEHeadings"/>
  </w:abstractNum>
  <w:abstractNum w:abstractNumId="19" w15:restartNumberingAfterBreak="0">
    <w:nsid w:val="2FDF2A7F"/>
    <w:multiLevelType w:val="multilevel"/>
    <w:tmpl w:val="3BFA39A6"/>
    <w:numStyleLink w:val="OCENumberedList"/>
  </w:abstractNum>
  <w:abstractNum w:abstractNumId="20"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21" w15:restartNumberingAfterBreak="0">
    <w:nsid w:val="41627B40"/>
    <w:multiLevelType w:val="multilevel"/>
    <w:tmpl w:val="F0A23940"/>
    <w:numStyleLink w:val="OCEHeadings"/>
  </w:abstractNum>
  <w:abstractNum w:abstractNumId="22" w15:restartNumberingAfterBreak="0">
    <w:nsid w:val="427C52AC"/>
    <w:multiLevelType w:val="hybridMultilevel"/>
    <w:tmpl w:val="18EEAF78"/>
    <w:lvl w:ilvl="0" w:tplc="421473CC">
      <w:start w:val="1"/>
      <w:numFmt w:val="bullet"/>
      <w:pStyle w:val="Keypoints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3" w15:restartNumberingAfterBreak="0">
    <w:nsid w:val="495C1796"/>
    <w:multiLevelType w:val="hybridMultilevel"/>
    <w:tmpl w:val="A70622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B674AE"/>
    <w:multiLevelType w:val="hybridMultilevel"/>
    <w:tmpl w:val="957EAD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B94390E"/>
    <w:multiLevelType w:val="multilevel"/>
    <w:tmpl w:val="E29ACE62"/>
    <w:styleLink w:val="OCEBulletedList"/>
    <w:lvl w:ilvl="0">
      <w:start w:val="1"/>
      <w:numFmt w:val="bullet"/>
      <w:pStyle w:val="ListBullet"/>
      <w:lvlText w:val=""/>
      <w:lvlJc w:val="left"/>
      <w:pPr>
        <w:ind w:left="340" w:hanging="340"/>
      </w:pPr>
      <w:rPr>
        <w:rFonts w:ascii="Wingdings" w:hAnsi="Wingdings" w:hint="default"/>
      </w:rPr>
    </w:lvl>
    <w:lvl w:ilvl="1">
      <w:start w:val="1"/>
      <w:numFmt w:val="bullet"/>
      <w:pStyle w:val="ListBullet2"/>
      <w:lvlText w:val="-"/>
      <w:lvlJc w:val="left"/>
      <w:pPr>
        <w:ind w:left="680" w:hanging="340"/>
      </w:pPr>
      <w:rPr>
        <w:rFonts w:ascii="Courier New" w:hAnsi="Courier New" w:hint="default"/>
      </w:rPr>
    </w:lvl>
    <w:lvl w:ilvl="2">
      <w:start w:val="1"/>
      <w:numFmt w:val="bullet"/>
      <w:pStyle w:val="ListBullet3"/>
      <w:lvlText w:val=""/>
      <w:lvlJc w:val="left"/>
      <w:pPr>
        <w:ind w:left="1021" w:hanging="341"/>
      </w:pPr>
      <w:rPr>
        <w:rFonts w:ascii="Wingdings" w:hAnsi="Wingdings" w:hint="default"/>
      </w:rPr>
    </w:lvl>
    <w:lvl w:ilvl="3">
      <w:start w:val="1"/>
      <w:numFmt w:val="none"/>
      <w:pStyle w:val="ListBullet4"/>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4F7C1D98"/>
    <w:multiLevelType w:val="multilevel"/>
    <w:tmpl w:val="E6469B5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7" w15:restartNumberingAfterBreak="0">
    <w:nsid w:val="53813CDC"/>
    <w:multiLevelType w:val="multilevel"/>
    <w:tmpl w:val="F0A23940"/>
    <w:numStyleLink w:val="OCEHeadings"/>
  </w:abstractNum>
  <w:abstractNum w:abstractNumId="28" w15:restartNumberingAfterBreak="0">
    <w:nsid w:val="5CF8530B"/>
    <w:multiLevelType w:val="hybridMultilevel"/>
    <w:tmpl w:val="A70622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527665D"/>
    <w:multiLevelType w:val="multilevel"/>
    <w:tmpl w:val="F0A23940"/>
    <w:numStyleLink w:val="OCEHeadings"/>
  </w:abstractNum>
  <w:abstractNum w:abstractNumId="30" w15:restartNumberingAfterBreak="0">
    <w:nsid w:val="684621F5"/>
    <w:multiLevelType w:val="multilevel"/>
    <w:tmpl w:val="64F2F622"/>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701" w:hanging="709"/>
      </w:pPr>
      <w:rPr>
        <w:rFonts w:hint="default"/>
      </w:rPr>
    </w:lvl>
    <w:lvl w:ilvl="3">
      <w:start w:val="1"/>
      <w:numFmt w:val="none"/>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31" w15:restartNumberingAfterBreak="0">
    <w:nsid w:val="6F9F6499"/>
    <w:multiLevelType w:val="multilevel"/>
    <w:tmpl w:val="64F2F622"/>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701" w:hanging="709"/>
      </w:pPr>
      <w:rPr>
        <w:rFonts w:hint="default"/>
      </w:rPr>
    </w:lvl>
    <w:lvl w:ilvl="3">
      <w:start w:val="1"/>
      <w:numFmt w:val="none"/>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32" w15:restartNumberingAfterBreak="0">
    <w:nsid w:val="72550904"/>
    <w:multiLevelType w:val="multilevel"/>
    <w:tmpl w:val="B984768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none"/>
      <w:suff w:val="nothing"/>
      <w:lvlText w:val=""/>
      <w:lvlJc w:val="left"/>
      <w:pPr>
        <w:ind w:left="1080" w:hanging="108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9"/>
      <w:lvlJc w:val="left"/>
      <w:pPr>
        <w:ind w:left="-32767" w:firstLine="0"/>
      </w:pPr>
      <w:rPr>
        <w:rFonts w:hint="default"/>
      </w:rPr>
    </w:lvl>
  </w:abstractNum>
  <w:abstractNum w:abstractNumId="33" w15:restartNumberingAfterBreak="0">
    <w:nsid w:val="77DE515A"/>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34"/>
  </w:num>
  <w:num w:numId="3">
    <w:abstractNumId w:val="3"/>
  </w:num>
  <w:num w:numId="4">
    <w:abstractNumId w:val="25"/>
  </w:num>
  <w:num w:numId="5">
    <w:abstractNumId w:val="12"/>
  </w:num>
  <w:num w:numId="6">
    <w:abstractNumId w:val="22"/>
  </w:num>
  <w:num w:numId="7">
    <w:abstractNumId w:val="10"/>
  </w:num>
  <w:num w:numId="8">
    <w:abstractNumId w:val="27"/>
    <w:lvlOverride w:ilvl="0">
      <w:lvl w:ilvl="0">
        <w:start w:val="1"/>
        <w:numFmt w:val="decimal"/>
        <w:pStyle w:val="Heading1"/>
        <w:lvlText w:val="%1."/>
        <w:lvlJc w:val="left"/>
        <w:pPr>
          <w:ind w:left="709" w:hanging="709"/>
        </w:pPr>
        <w:rPr>
          <w:rFonts w:hint="default"/>
        </w:rPr>
      </w:lvl>
    </w:lvlOverride>
    <w:lvlOverride w:ilvl="1">
      <w:lvl w:ilvl="1">
        <w:start w:val="1"/>
        <w:numFmt w:val="decimal"/>
        <w:pStyle w:val="Heading2"/>
        <w:lvlText w:val="%1.%2"/>
        <w:lvlJc w:val="left"/>
        <w:pPr>
          <w:ind w:left="709" w:hanging="709"/>
        </w:pPr>
        <w:rPr>
          <w:rFonts w:hint="default"/>
        </w:rPr>
      </w:lvl>
    </w:lvlOverride>
    <w:lvlOverride w:ilvl="2">
      <w:lvl w:ilvl="2">
        <w:start w:val="1"/>
        <w:numFmt w:val="none"/>
        <w:pStyle w:val="Heading3"/>
        <w:suff w:val="nothing"/>
        <w:lvlText w:val=""/>
        <w:lvlJc w:val="left"/>
        <w:pPr>
          <w:ind w:left="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2381" w:hanging="2381"/>
        </w:pPr>
        <w:rPr>
          <w:rFonts w:hint="default"/>
        </w:rPr>
      </w:lvl>
    </w:lvlOverride>
    <w:lvlOverride w:ilvl="6">
      <w:lvl w:ilvl="6">
        <w:start w:val="1"/>
        <w:numFmt w:val="decimal"/>
        <w:pStyle w:val="Heading7"/>
        <w:lvlText w:val="%6.%7"/>
        <w:lvlJc w:val="left"/>
        <w:pPr>
          <w:ind w:left="709" w:hanging="709"/>
        </w:pPr>
        <w:rPr>
          <w:rFonts w:hint="default"/>
        </w:rPr>
      </w:lvl>
    </w:lvlOverride>
    <w:lvlOverride w:ilvl="7">
      <w:lvl w:ilvl="7">
        <w:start w:val="1"/>
        <w:numFmt w:val="none"/>
        <w:pStyle w:val="Heading8"/>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9">
    <w:abstractNumId w:val="14"/>
  </w:num>
  <w:num w:numId="10">
    <w:abstractNumId w:val="8"/>
  </w:num>
  <w:num w:numId="11">
    <w:abstractNumId w:val="31"/>
  </w:num>
  <w:num w:numId="12">
    <w:abstractNumId w:val="7"/>
  </w:num>
  <w:num w:numId="13">
    <w:abstractNumId w:val="27"/>
  </w:num>
  <w:num w:numId="14">
    <w:abstractNumId w:val="28"/>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13"/>
  </w:num>
  <w:num w:numId="18">
    <w:abstractNumId w:val="24"/>
  </w:num>
  <w:num w:numId="19">
    <w:abstractNumId w:val="27"/>
    <w:lvlOverride w:ilvl="0">
      <w:startOverride w:val="1"/>
      <w:lvl w:ilvl="0">
        <w:start w:val="1"/>
        <w:numFmt w:val="decimal"/>
        <w:pStyle w:val="Heading1"/>
        <w:lvlText w:val="%1."/>
        <w:lvlJc w:val="left"/>
        <w:pPr>
          <w:ind w:left="2836" w:hanging="709"/>
        </w:pPr>
        <w:rPr>
          <w:rFonts w:hint="default"/>
        </w:rPr>
      </w:lvl>
    </w:lvlOverride>
    <w:lvlOverride w:ilvl="1">
      <w:startOverride w:val="1"/>
      <w:lvl w:ilvl="1">
        <w:start w:val="1"/>
        <w:numFmt w:val="decimal"/>
        <w:pStyle w:val="Heading2"/>
        <w:lvlText w:val="%1.%2"/>
        <w:lvlJc w:val="left"/>
        <w:pPr>
          <w:ind w:left="2836" w:hanging="709"/>
        </w:pPr>
        <w:rPr>
          <w:rFonts w:hint="default"/>
        </w:rPr>
      </w:lvl>
    </w:lvlOverride>
    <w:lvlOverride w:ilvl="2">
      <w:startOverride w:val="1"/>
      <w:lvl w:ilvl="2">
        <w:start w:val="1"/>
        <w:numFmt w:val="none"/>
        <w:pStyle w:val="Heading3"/>
        <w:suff w:val="nothing"/>
        <w:lvlText w:val=""/>
        <w:lvlJc w:val="left"/>
        <w:pPr>
          <w:ind w:left="2127" w:firstLine="0"/>
        </w:pPr>
        <w:rPr>
          <w:rFonts w:hint="default"/>
        </w:rPr>
      </w:lvl>
    </w:lvlOverride>
    <w:lvlOverride w:ilvl="3">
      <w:startOverride w:val="1"/>
      <w:lvl w:ilvl="3">
        <w:start w:val="1"/>
        <w:numFmt w:val="none"/>
        <w:suff w:val="nothing"/>
        <w:lvlText w:val=""/>
        <w:lvlJc w:val="left"/>
        <w:pPr>
          <w:ind w:left="4287" w:firstLine="0"/>
        </w:pPr>
        <w:rPr>
          <w:rFonts w:hint="default"/>
        </w:rPr>
      </w:lvl>
    </w:lvlOverride>
    <w:lvlOverride w:ilvl="4">
      <w:startOverride w:val="1"/>
      <w:lvl w:ilvl="4">
        <w:start w:val="1"/>
        <w:numFmt w:val="none"/>
        <w:suff w:val="nothing"/>
        <w:lvlText w:val=""/>
        <w:lvlJc w:val="left"/>
        <w:pPr>
          <w:ind w:left="4287" w:firstLine="0"/>
        </w:pPr>
        <w:rPr>
          <w:rFonts w:hint="default"/>
        </w:rPr>
      </w:lvl>
    </w:lvlOverride>
    <w:lvlOverride w:ilvl="5">
      <w:startOverride w:val="1"/>
      <w:lvl w:ilvl="5">
        <w:start w:val="1"/>
        <w:numFmt w:val="upperLetter"/>
        <w:pStyle w:val="Heading6"/>
        <w:lvlText w:val="Appendix %6"/>
        <w:lvlJc w:val="left"/>
        <w:pPr>
          <w:ind w:left="4508" w:hanging="2381"/>
        </w:pPr>
        <w:rPr>
          <w:rFonts w:hint="default"/>
        </w:rPr>
      </w:lvl>
    </w:lvlOverride>
    <w:lvlOverride w:ilvl="6">
      <w:startOverride w:val="1"/>
      <w:lvl w:ilvl="6">
        <w:start w:val="1"/>
        <w:numFmt w:val="decimal"/>
        <w:pStyle w:val="Heading7"/>
        <w:lvlText w:val="%6.%7"/>
        <w:lvlJc w:val="left"/>
        <w:pPr>
          <w:ind w:left="2836" w:hanging="709"/>
        </w:pPr>
        <w:rPr>
          <w:rFonts w:hint="default"/>
        </w:rPr>
      </w:lvl>
    </w:lvlOverride>
    <w:lvlOverride w:ilvl="7">
      <w:startOverride w:val="1"/>
      <w:lvl w:ilvl="7">
        <w:start w:val="1"/>
        <w:numFmt w:val="none"/>
        <w:pStyle w:val="Heading8"/>
        <w:suff w:val="nothing"/>
        <w:lvlText w:val=""/>
        <w:lvlJc w:val="left"/>
        <w:pPr>
          <w:ind w:left="2127" w:firstLine="0"/>
        </w:pPr>
        <w:rPr>
          <w:rFonts w:hint="default"/>
        </w:rPr>
      </w:lvl>
    </w:lvlOverride>
    <w:lvlOverride w:ilvl="8">
      <w:startOverride w:val="1"/>
      <w:lvl w:ilvl="8">
        <w:start w:val="1"/>
        <w:numFmt w:val="none"/>
        <w:suff w:val="nothing"/>
        <w:lvlText w:val=""/>
        <w:lvlJc w:val="left"/>
        <w:pPr>
          <w:ind w:left="2127" w:firstLine="0"/>
        </w:pPr>
        <w:rPr>
          <w:rFonts w:hint="default"/>
        </w:rPr>
      </w:lvl>
    </w:lvlOverride>
  </w:num>
  <w:num w:numId="20">
    <w:abstractNumId w:val="27"/>
    <w:lvlOverride w:ilvl="0">
      <w:lvl w:ilvl="0">
        <w:numFmt w:val="decimal"/>
        <w:pStyle w:val="Heading1"/>
        <w:lvlText w:val="%1."/>
        <w:lvlJc w:val="left"/>
        <w:pPr>
          <w:ind w:left="709" w:hanging="709"/>
        </w:pPr>
        <w:rPr>
          <w:rFonts w:hint="default"/>
        </w:rPr>
      </w:lvl>
    </w:lvlOverride>
    <w:lvlOverride w:ilvl="1">
      <w:lvl w:ilvl="1">
        <w:start w:val="1"/>
        <w:numFmt w:val="decimal"/>
        <w:pStyle w:val="Heading2"/>
        <w:lvlText w:val="%1.%2"/>
        <w:lvlJc w:val="left"/>
        <w:pPr>
          <w:ind w:left="709" w:hanging="709"/>
        </w:pPr>
        <w:rPr>
          <w:rFonts w:hint="default"/>
        </w:rPr>
      </w:lvl>
    </w:lvlOverride>
    <w:lvlOverride w:ilvl="2">
      <w:lvl w:ilvl="2">
        <w:start w:val="1"/>
        <w:numFmt w:val="none"/>
        <w:pStyle w:val="Heading3"/>
        <w:suff w:val="nothing"/>
        <w:lvlText w:val=""/>
        <w:lvlJc w:val="left"/>
        <w:pPr>
          <w:ind w:left="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2381" w:hanging="2381"/>
        </w:pPr>
        <w:rPr>
          <w:rFonts w:hint="default"/>
        </w:rPr>
      </w:lvl>
    </w:lvlOverride>
    <w:lvlOverride w:ilvl="6">
      <w:lvl w:ilvl="6">
        <w:start w:val="1"/>
        <w:numFmt w:val="decimal"/>
        <w:pStyle w:val="Heading7"/>
        <w:lvlText w:val="%6.%7"/>
        <w:lvlJc w:val="left"/>
        <w:pPr>
          <w:ind w:left="709" w:hanging="709"/>
        </w:pPr>
        <w:rPr>
          <w:rFonts w:hint="default"/>
        </w:rPr>
      </w:lvl>
    </w:lvlOverride>
    <w:lvlOverride w:ilvl="7">
      <w:lvl w:ilvl="7">
        <w:start w:val="1"/>
        <w:numFmt w:val="none"/>
        <w:pStyle w:val="Heading8"/>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21">
    <w:abstractNumId w:val="6"/>
  </w:num>
  <w:num w:numId="22">
    <w:abstractNumId w:val="11"/>
  </w:num>
  <w:num w:numId="23">
    <w:abstractNumId w:val="30"/>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7"/>
  </w:num>
  <w:num w:numId="29">
    <w:abstractNumId w:val="27"/>
  </w:num>
  <w:num w:numId="30">
    <w:abstractNumId w:val="27"/>
  </w:num>
  <w:num w:numId="31">
    <w:abstractNumId w:val="32"/>
  </w:num>
  <w:num w:numId="32">
    <w:abstractNumId w:val="15"/>
  </w:num>
  <w:num w:numId="33">
    <w:abstractNumId w:val="26"/>
  </w:num>
  <w:num w:numId="34">
    <w:abstractNumId w:val="9"/>
  </w:num>
  <w:num w:numId="35">
    <w:abstractNumId w:val="18"/>
  </w:num>
  <w:num w:numId="36">
    <w:abstractNumId w:val="29"/>
  </w:num>
  <w:num w:numId="37">
    <w:abstractNumId w:val="5"/>
  </w:num>
  <w:num w:numId="38">
    <w:abstractNumId w:val="21"/>
  </w:num>
  <w:num w:numId="39">
    <w:abstractNumId w:val="17"/>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19"/>
  </w:num>
  <w:num w:numId="43">
    <w:abstractNumId w:val="16"/>
  </w:num>
  <w:num w:numId="44">
    <w:abstractNumId w:val="4"/>
  </w:num>
  <w:num w:numId="45">
    <w:abstractNumId w:val="2"/>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linkStyle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lickAndTypeStyle w:val="BodyText"/>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08F"/>
    <w:rsid w:val="00000A0C"/>
    <w:rsid w:val="00000C53"/>
    <w:rsid w:val="000016F3"/>
    <w:rsid w:val="00002F55"/>
    <w:rsid w:val="000036F1"/>
    <w:rsid w:val="00003B81"/>
    <w:rsid w:val="00004365"/>
    <w:rsid w:val="00004BF6"/>
    <w:rsid w:val="0000661C"/>
    <w:rsid w:val="00007354"/>
    <w:rsid w:val="00007EBB"/>
    <w:rsid w:val="000100D5"/>
    <w:rsid w:val="00011078"/>
    <w:rsid w:val="0001161C"/>
    <w:rsid w:val="00011673"/>
    <w:rsid w:val="00011BE7"/>
    <w:rsid w:val="000122D8"/>
    <w:rsid w:val="00012DEF"/>
    <w:rsid w:val="00013220"/>
    <w:rsid w:val="00013F4A"/>
    <w:rsid w:val="000145C0"/>
    <w:rsid w:val="00016BAC"/>
    <w:rsid w:val="00020A6C"/>
    <w:rsid w:val="000232F3"/>
    <w:rsid w:val="000234DE"/>
    <w:rsid w:val="000238B9"/>
    <w:rsid w:val="00025B9B"/>
    <w:rsid w:val="00025E57"/>
    <w:rsid w:val="0002648C"/>
    <w:rsid w:val="000267E3"/>
    <w:rsid w:val="00034581"/>
    <w:rsid w:val="000345E8"/>
    <w:rsid w:val="00035325"/>
    <w:rsid w:val="00037B42"/>
    <w:rsid w:val="00037E56"/>
    <w:rsid w:val="00041FE3"/>
    <w:rsid w:val="000427C8"/>
    <w:rsid w:val="00042C9F"/>
    <w:rsid w:val="00043051"/>
    <w:rsid w:val="0004307A"/>
    <w:rsid w:val="0004516B"/>
    <w:rsid w:val="00045244"/>
    <w:rsid w:val="0004591E"/>
    <w:rsid w:val="00047373"/>
    <w:rsid w:val="00047832"/>
    <w:rsid w:val="00047B65"/>
    <w:rsid w:val="00050FFC"/>
    <w:rsid w:val="00051D29"/>
    <w:rsid w:val="00054326"/>
    <w:rsid w:val="00054D50"/>
    <w:rsid w:val="000555CD"/>
    <w:rsid w:val="00056B79"/>
    <w:rsid w:val="00056F5A"/>
    <w:rsid w:val="0005753A"/>
    <w:rsid w:val="00060184"/>
    <w:rsid w:val="00060761"/>
    <w:rsid w:val="00060CE1"/>
    <w:rsid w:val="000618FB"/>
    <w:rsid w:val="0006351D"/>
    <w:rsid w:val="000641E0"/>
    <w:rsid w:val="0006492D"/>
    <w:rsid w:val="00065428"/>
    <w:rsid w:val="00067B3B"/>
    <w:rsid w:val="00070749"/>
    <w:rsid w:val="0007137D"/>
    <w:rsid w:val="0007219D"/>
    <w:rsid w:val="000724E8"/>
    <w:rsid w:val="00072502"/>
    <w:rsid w:val="000725AB"/>
    <w:rsid w:val="000728D2"/>
    <w:rsid w:val="00074245"/>
    <w:rsid w:val="00075A06"/>
    <w:rsid w:val="00075F5E"/>
    <w:rsid w:val="00076EB6"/>
    <w:rsid w:val="0007738E"/>
    <w:rsid w:val="000819A0"/>
    <w:rsid w:val="00082BF4"/>
    <w:rsid w:val="00084EE0"/>
    <w:rsid w:val="0008555C"/>
    <w:rsid w:val="00085A1F"/>
    <w:rsid w:val="00086448"/>
    <w:rsid w:val="00087E57"/>
    <w:rsid w:val="00090174"/>
    <w:rsid w:val="000904CF"/>
    <w:rsid w:val="000904D3"/>
    <w:rsid w:val="00090B07"/>
    <w:rsid w:val="00090EA6"/>
    <w:rsid w:val="00091897"/>
    <w:rsid w:val="000920D2"/>
    <w:rsid w:val="00092A7F"/>
    <w:rsid w:val="00093F32"/>
    <w:rsid w:val="000A011E"/>
    <w:rsid w:val="000A03C9"/>
    <w:rsid w:val="000A043C"/>
    <w:rsid w:val="000A29BA"/>
    <w:rsid w:val="000A3347"/>
    <w:rsid w:val="000A359E"/>
    <w:rsid w:val="000A3633"/>
    <w:rsid w:val="000A3D7F"/>
    <w:rsid w:val="000A4052"/>
    <w:rsid w:val="000A4B19"/>
    <w:rsid w:val="000A4E45"/>
    <w:rsid w:val="000A51CC"/>
    <w:rsid w:val="000A5452"/>
    <w:rsid w:val="000A5807"/>
    <w:rsid w:val="000A5CFF"/>
    <w:rsid w:val="000A61D7"/>
    <w:rsid w:val="000A63C0"/>
    <w:rsid w:val="000A68AD"/>
    <w:rsid w:val="000A6F5B"/>
    <w:rsid w:val="000B0957"/>
    <w:rsid w:val="000B0D8F"/>
    <w:rsid w:val="000B17EB"/>
    <w:rsid w:val="000B279E"/>
    <w:rsid w:val="000B2C1B"/>
    <w:rsid w:val="000B4E3E"/>
    <w:rsid w:val="000B61FD"/>
    <w:rsid w:val="000B67A0"/>
    <w:rsid w:val="000B6B56"/>
    <w:rsid w:val="000B71B1"/>
    <w:rsid w:val="000B7F7A"/>
    <w:rsid w:val="000C03CF"/>
    <w:rsid w:val="000C0DAC"/>
    <w:rsid w:val="000C0DD7"/>
    <w:rsid w:val="000C11B7"/>
    <w:rsid w:val="000C2E0A"/>
    <w:rsid w:val="000C3DA5"/>
    <w:rsid w:val="000C5C3C"/>
    <w:rsid w:val="000C6AD6"/>
    <w:rsid w:val="000C6C7A"/>
    <w:rsid w:val="000C6CB0"/>
    <w:rsid w:val="000C6DF9"/>
    <w:rsid w:val="000C7210"/>
    <w:rsid w:val="000D33DA"/>
    <w:rsid w:val="000D37C7"/>
    <w:rsid w:val="000D5123"/>
    <w:rsid w:val="000D5527"/>
    <w:rsid w:val="000D5E60"/>
    <w:rsid w:val="000E2FF7"/>
    <w:rsid w:val="000E415F"/>
    <w:rsid w:val="000E466C"/>
    <w:rsid w:val="000E52EC"/>
    <w:rsid w:val="000E6940"/>
    <w:rsid w:val="000F05AD"/>
    <w:rsid w:val="000F0E5C"/>
    <w:rsid w:val="000F0F62"/>
    <w:rsid w:val="000F1101"/>
    <w:rsid w:val="000F1648"/>
    <w:rsid w:val="00100B74"/>
    <w:rsid w:val="001013E5"/>
    <w:rsid w:val="00101A29"/>
    <w:rsid w:val="00101B99"/>
    <w:rsid w:val="00102318"/>
    <w:rsid w:val="001035F4"/>
    <w:rsid w:val="0010596B"/>
    <w:rsid w:val="00107A3F"/>
    <w:rsid w:val="00107E68"/>
    <w:rsid w:val="00110622"/>
    <w:rsid w:val="00112208"/>
    <w:rsid w:val="00113E77"/>
    <w:rsid w:val="00114BB1"/>
    <w:rsid w:val="0011640A"/>
    <w:rsid w:val="00117A37"/>
    <w:rsid w:val="00117A98"/>
    <w:rsid w:val="00117CDA"/>
    <w:rsid w:val="0012045F"/>
    <w:rsid w:val="00120E94"/>
    <w:rsid w:val="0012292A"/>
    <w:rsid w:val="001243D4"/>
    <w:rsid w:val="00124539"/>
    <w:rsid w:val="00125971"/>
    <w:rsid w:val="00125D03"/>
    <w:rsid w:val="0013066A"/>
    <w:rsid w:val="0013478A"/>
    <w:rsid w:val="001347BD"/>
    <w:rsid w:val="00134B28"/>
    <w:rsid w:val="00135E19"/>
    <w:rsid w:val="00136558"/>
    <w:rsid w:val="00140EC7"/>
    <w:rsid w:val="001424B9"/>
    <w:rsid w:val="0014291A"/>
    <w:rsid w:val="00142F96"/>
    <w:rsid w:val="00143591"/>
    <w:rsid w:val="001436FA"/>
    <w:rsid w:val="001443BD"/>
    <w:rsid w:val="00144C5A"/>
    <w:rsid w:val="00147501"/>
    <w:rsid w:val="0015000D"/>
    <w:rsid w:val="00150665"/>
    <w:rsid w:val="00150FDA"/>
    <w:rsid w:val="001517A1"/>
    <w:rsid w:val="001520B7"/>
    <w:rsid w:val="00155141"/>
    <w:rsid w:val="00155C20"/>
    <w:rsid w:val="00156B5B"/>
    <w:rsid w:val="00157443"/>
    <w:rsid w:val="001578AB"/>
    <w:rsid w:val="00160096"/>
    <w:rsid w:val="00161683"/>
    <w:rsid w:val="00163D6E"/>
    <w:rsid w:val="00164071"/>
    <w:rsid w:val="00164C14"/>
    <w:rsid w:val="001658D2"/>
    <w:rsid w:val="00166576"/>
    <w:rsid w:val="00166996"/>
    <w:rsid w:val="001676D9"/>
    <w:rsid w:val="0017038B"/>
    <w:rsid w:val="00170C1C"/>
    <w:rsid w:val="00171885"/>
    <w:rsid w:val="00171BE5"/>
    <w:rsid w:val="0017293E"/>
    <w:rsid w:val="00173AEE"/>
    <w:rsid w:val="00174624"/>
    <w:rsid w:val="0017530B"/>
    <w:rsid w:val="00175C9E"/>
    <w:rsid w:val="001766AF"/>
    <w:rsid w:val="00177AFA"/>
    <w:rsid w:val="00180E4F"/>
    <w:rsid w:val="00180FFE"/>
    <w:rsid w:val="001813AE"/>
    <w:rsid w:val="00181628"/>
    <w:rsid w:val="00182B15"/>
    <w:rsid w:val="00183059"/>
    <w:rsid w:val="001836BD"/>
    <w:rsid w:val="00183C02"/>
    <w:rsid w:val="00184487"/>
    <w:rsid w:val="00186D3D"/>
    <w:rsid w:val="00186FB5"/>
    <w:rsid w:val="001876EC"/>
    <w:rsid w:val="00190CAC"/>
    <w:rsid w:val="00192B02"/>
    <w:rsid w:val="00193CEC"/>
    <w:rsid w:val="00195C83"/>
    <w:rsid w:val="00195E26"/>
    <w:rsid w:val="0019639F"/>
    <w:rsid w:val="00196E0C"/>
    <w:rsid w:val="001A086C"/>
    <w:rsid w:val="001A0A0C"/>
    <w:rsid w:val="001A0B1A"/>
    <w:rsid w:val="001A1809"/>
    <w:rsid w:val="001A322A"/>
    <w:rsid w:val="001A3451"/>
    <w:rsid w:val="001A44E5"/>
    <w:rsid w:val="001A506E"/>
    <w:rsid w:val="001A5FA3"/>
    <w:rsid w:val="001A6352"/>
    <w:rsid w:val="001A6A4C"/>
    <w:rsid w:val="001B032F"/>
    <w:rsid w:val="001B2B31"/>
    <w:rsid w:val="001B345E"/>
    <w:rsid w:val="001B36DE"/>
    <w:rsid w:val="001B46E7"/>
    <w:rsid w:val="001B54B9"/>
    <w:rsid w:val="001B5A2C"/>
    <w:rsid w:val="001B60C2"/>
    <w:rsid w:val="001B6554"/>
    <w:rsid w:val="001B73CE"/>
    <w:rsid w:val="001C2894"/>
    <w:rsid w:val="001C301C"/>
    <w:rsid w:val="001C4733"/>
    <w:rsid w:val="001C4FFC"/>
    <w:rsid w:val="001C5291"/>
    <w:rsid w:val="001C59A5"/>
    <w:rsid w:val="001C617C"/>
    <w:rsid w:val="001D07A5"/>
    <w:rsid w:val="001D172D"/>
    <w:rsid w:val="001D1B60"/>
    <w:rsid w:val="001D1EB0"/>
    <w:rsid w:val="001D204F"/>
    <w:rsid w:val="001D2E2D"/>
    <w:rsid w:val="001D3186"/>
    <w:rsid w:val="001D321B"/>
    <w:rsid w:val="001D39AD"/>
    <w:rsid w:val="001D4374"/>
    <w:rsid w:val="001D4D0B"/>
    <w:rsid w:val="001D5471"/>
    <w:rsid w:val="001D6308"/>
    <w:rsid w:val="001E02EE"/>
    <w:rsid w:val="001E131A"/>
    <w:rsid w:val="001E1EE4"/>
    <w:rsid w:val="001E2136"/>
    <w:rsid w:val="001E26CC"/>
    <w:rsid w:val="001E2F0C"/>
    <w:rsid w:val="001E4942"/>
    <w:rsid w:val="001E4CA5"/>
    <w:rsid w:val="001E5667"/>
    <w:rsid w:val="001E7608"/>
    <w:rsid w:val="001F01FC"/>
    <w:rsid w:val="001F1DC2"/>
    <w:rsid w:val="001F1E5D"/>
    <w:rsid w:val="001F2111"/>
    <w:rsid w:val="001F2727"/>
    <w:rsid w:val="001F3343"/>
    <w:rsid w:val="001F39B1"/>
    <w:rsid w:val="001F4128"/>
    <w:rsid w:val="001F551B"/>
    <w:rsid w:val="001F5BC1"/>
    <w:rsid w:val="001F5F85"/>
    <w:rsid w:val="001F61C6"/>
    <w:rsid w:val="001F6FAB"/>
    <w:rsid w:val="001F7477"/>
    <w:rsid w:val="0020032F"/>
    <w:rsid w:val="002023D8"/>
    <w:rsid w:val="00203DC2"/>
    <w:rsid w:val="002066FE"/>
    <w:rsid w:val="00206958"/>
    <w:rsid w:val="00206AC5"/>
    <w:rsid w:val="002076C8"/>
    <w:rsid w:val="00207BEE"/>
    <w:rsid w:val="00207D37"/>
    <w:rsid w:val="002109A4"/>
    <w:rsid w:val="00210D37"/>
    <w:rsid w:val="0021233E"/>
    <w:rsid w:val="00214241"/>
    <w:rsid w:val="002145C4"/>
    <w:rsid w:val="002160C9"/>
    <w:rsid w:val="00222981"/>
    <w:rsid w:val="0022378D"/>
    <w:rsid w:val="00223A4F"/>
    <w:rsid w:val="00225842"/>
    <w:rsid w:val="00227302"/>
    <w:rsid w:val="00227DE9"/>
    <w:rsid w:val="002324C4"/>
    <w:rsid w:val="00233ED7"/>
    <w:rsid w:val="00234CEA"/>
    <w:rsid w:val="002350CE"/>
    <w:rsid w:val="002356F5"/>
    <w:rsid w:val="00236858"/>
    <w:rsid w:val="002400CF"/>
    <w:rsid w:val="00240AF7"/>
    <w:rsid w:val="00241EA6"/>
    <w:rsid w:val="002428B7"/>
    <w:rsid w:val="00242923"/>
    <w:rsid w:val="002438AB"/>
    <w:rsid w:val="002461B3"/>
    <w:rsid w:val="0024685F"/>
    <w:rsid w:val="002468C2"/>
    <w:rsid w:val="00246F21"/>
    <w:rsid w:val="0024718F"/>
    <w:rsid w:val="00247506"/>
    <w:rsid w:val="00247FB8"/>
    <w:rsid w:val="00250335"/>
    <w:rsid w:val="0025113A"/>
    <w:rsid w:val="00251254"/>
    <w:rsid w:val="00252884"/>
    <w:rsid w:val="00252C28"/>
    <w:rsid w:val="00255773"/>
    <w:rsid w:val="00256BD3"/>
    <w:rsid w:val="002572E4"/>
    <w:rsid w:val="00257384"/>
    <w:rsid w:val="00260C08"/>
    <w:rsid w:val="002613C2"/>
    <w:rsid w:val="002627B3"/>
    <w:rsid w:val="0026411D"/>
    <w:rsid w:val="00264567"/>
    <w:rsid w:val="0026576F"/>
    <w:rsid w:val="0026658D"/>
    <w:rsid w:val="00266E21"/>
    <w:rsid w:val="00267507"/>
    <w:rsid w:val="00272952"/>
    <w:rsid w:val="0027577B"/>
    <w:rsid w:val="002757A5"/>
    <w:rsid w:val="00275BE5"/>
    <w:rsid w:val="00276D0E"/>
    <w:rsid w:val="00280550"/>
    <w:rsid w:val="00280827"/>
    <w:rsid w:val="00280EB9"/>
    <w:rsid w:val="00281ACF"/>
    <w:rsid w:val="002827C7"/>
    <w:rsid w:val="00283844"/>
    <w:rsid w:val="0028581E"/>
    <w:rsid w:val="00285A2F"/>
    <w:rsid w:val="002866DE"/>
    <w:rsid w:val="00286EAA"/>
    <w:rsid w:val="00291B0D"/>
    <w:rsid w:val="0029234D"/>
    <w:rsid w:val="00292AE8"/>
    <w:rsid w:val="00292E64"/>
    <w:rsid w:val="00293425"/>
    <w:rsid w:val="00293649"/>
    <w:rsid w:val="002939AC"/>
    <w:rsid w:val="00293E02"/>
    <w:rsid w:val="00295577"/>
    <w:rsid w:val="00295AF8"/>
    <w:rsid w:val="00296BA6"/>
    <w:rsid w:val="002A04DE"/>
    <w:rsid w:val="002A09C5"/>
    <w:rsid w:val="002A33E7"/>
    <w:rsid w:val="002A506E"/>
    <w:rsid w:val="002A6979"/>
    <w:rsid w:val="002A6F06"/>
    <w:rsid w:val="002A7F2D"/>
    <w:rsid w:val="002B041D"/>
    <w:rsid w:val="002B1DD2"/>
    <w:rsid w:val="002B2942"/>
    <w:rsid w:val="002B3220"/>
    <w:rsid w:val="002B748A"/>
    <w:rsid w:val="002C04B2"/>
    <w:rsid w:val="002C1206"/>
    <w:rsid w:val="002C1651"/>
    <w:rsid w:val="002C1CAC"/>
    <w:rsid w:val="002C2A4A"/>
    <w:rsid w:val="002C60D5"/>
    <w:rsid w:val="002D0127"/>
    <w:rsid w:val="002D2A24"/>
    <w:rsid w:val="002D322E"/>
    <w:rsid w:val="002D3789"/>
    <w:rsid w:val="002D4188"/>
    <w:rsid w:val="002D4DC6"/>
    <w:rsid w:val="002D56BA"/>
    <w:rsid w:val="002D5C65"/>
    <w:rsid w:val="002D79D3"/>
    <w:rsid w:val="002E0F4C"/>
    <w:rsid w:val="002E1E5E"/>
    <w:rsid w:val="002E3270"/>
    <w:rsid w:val="002E43BD"/>
    <w:rsid w:val="002E549B"/>
    <w:rsid w:val="002E76E4"/>
    <w:rsid w:val="002F0EEF"/>
    <w:rsid w:val="002F2208"/>
    <w:rsid w:val="002F3B4E"/>
    <w:rsid w:val="002F487F"/>
    <w:rsid w:val="002F50EB"/>
    <w:rsid w:val="002F56EE"/>
    <w:rsid w:val="002F59FC"/>
    <w:rsid w:val="00301D88"/>
    <w:rsid w:val="00304128"/>
    <w:rsid w:val="00304280"/>
    <w:rsid w:val="0030442F"/>
    <w:rsid w:val="003075C2"/>
    <w:rsid w:val="0030793F"/>
    <w:rsid w:val="00307AD6"/>
    <w:rsid w:val="00307BAE"/>
    <w:rsid w:val="003100A8"/>
    <w:rsid w:val="00310EFA"/>
    <w:rsid w:val="00311A07"/>
    <w:rsid w:val="00311B71"/>
    <w:rsid w:val="00313FED"/>
    <w:rsid w:val="003146EE"/>
    <w:rsid w:val="00314962"/>
    <w:rsid w:val="00314D58"/>
    <w:rsid w:val="00315AE5"/>
    <w:rsid w:val="00315B65"/>
    <w:rsid w:val="00315C5C"/>
    <w:rsid w:val="0032009C"/>
    <w:rsid w:val="00322656"/>
    <w:rsid w:val="003241D8"/>
    <w:rsid w:val="00324D43"/>
    <w:rsid w:val="003258D2"/>
    <w:rsid w:val="00326080"/>
    <w:rsid w:val="003322B1"/>
    <w:rsid w:val="00332CF5"/>
    <w:rsid w:val="00333736"/>
    <w:rsid w:val="003337EF"/>
    <w:rsid w:val="0033423A"/>
    <w:rsid w:val="00334DA2"/>
    <w:rsid w:val="00340E62"/>
    <w:rsid w:val="003437E5"/>
    <w:rsid w:val="00344BDE"/>
    <w:rsid w:val="0034542F"/>
    <w:rsid w:val="00345516"/>
    <w:rsid w:val="00345ABE"/>
    <w:rsid w:val="00347A7F"/>
    <w:rsid w:val="00347E44"/>
    <w:rsid w:val="003506C0"/>
    <w:rsid w:val="00350C19"/>
    <w:rsid w:val="00352356"/>
    <w:rsid w:val="0035359E"/>
    <w:rsid w:val="00354655"/>
    <w:rsid w:val="00354E7E"/>
    <w:rsid w:val="00354EA2"/>
    <w:rsid w:val="00355DD0"/>
    <w:rsid w:val="003570F1"/>
    <w:rsid w:val="0035771B"/>
    <w:rsid w:val="003578A6"/>
    <w:rsid w:val="003578C3"/>
    <w:rsid w:val="00360989"/>
    <w:rsid w:val="00360C3A"/>
    <w:rsid w:val="003641D9"/>
    <w:rsid w:val="00364BAD"/>
    <w:rsid w:val="00365AEC"/>
    <w:rsid w:val="0036643A"/>
    <w:rsid w:val="00370124"/>
    <w:rsid w:val="00370CD0"/>
    <w:rsid w:val="003712D9"/>
    <w:rsid w:val="00372542"/>
    <w:rsid w:val="00373490"/>
    <w:rsid w:val="00373B62"/>
    <w:rsid w:val="00373D27"/>
    <w:rsid w:val="00375193"/>
    <w:rsid w:val="0037609E"/>
    <w:rsid w:val="00376338"/>
    <w:rsid w:val="0037708E"/>
    <w:rsid w:val="00377814"/>
    <w:rsid w:val="00377AB9"/>
    <w:rsid w:val="0038129D"/>
    <w:rsid w:val="003814AD"/>
    <w:rsid w:val="00382BE7"/>
    <w:rsid w:val="00384F8E"/>
    <w:rsid w:val="00385738"/>
    <w:rsid w:val="00385A66"/>
    <w:rsid w:val="00385BB6"/>
    <w:rsid w:val="00386B4D"/>
    <w:rsid w:val="00387520"/>
    <w:rsid w:val="00387E3B"/>
    <w:rsid w:val="00387F73"/>
    <w:rsid w:val="00393333"/>
    <w:rsid w:val="00393B0B"/>
    <w:rsid w:val="003960C5"/>
    <w:rsid w:val="00396E87"/>
    <w:rsid w:val="003970A0"/>
    <w:rsid w:val="0039794F"/>
    <w:rsid w:val="00397A14"/>
    <w:rsid w:val="003A0C92"/>
    <w:rsid w:val="003A21CC"/>
    <w:rsid w:val="003A253A"/>
    <w:rsid w:val="003A2BF8"/>
    <w:rsid w:val="003A33D9"/>
    <w:rsid w:val="003A564E"/>
    <w:rsid w:val="003B05AB"/>
    <w:rsid w:val="003B12F3"/>
    <w:rsid w:val="003B141B"/>
    <w:rsid w:val="003B1B4B"/>
    <w:rsid w:val="003B2138"/>
    <w:rsid w:val="003B2753"/>
    <w:rsid w:val="003B2D3A"/>
    <w:rsid w:val="003B7ABC"/>
    <w:rsid w:val="003B7C0F"/>
    <w:rsid w:val="003C0CC0"/>
    <w:rsid w:val="003C0D2C"/>
    <w:rsid w:val="003C0E9C"/>
    <w:rsid w:val="003C0FAA"/>
    <w:rsid w:val="003C1DBB"/>
    <w:rsid w:val="003C3C48"/>
    <w:rsid w:val="003C3E39"/>
    <w:rsid w:val="003C536C"/>
    <w:rsid w:val="003C5819"/>
    <w:rsid w:val="003C587D"/>
    <w:rsid w:val="003C5DD2"/>
    <w:rsid w:val="003C7CEB"/>
    <w:rsid w:val="003D054E"/>
    <w:rsid w:val="003D0AE4"/>
    <w:rsid w:val="003D0E4F"/>
    <w:rsid w:val="003D1619"/>
    <w:rsid w:val="003D1CCE"/>
    <w:rsid w:val="003D1D07"/>
    <w:rsid w:val="003D2CF3"/>
    <w:rsid w:val="003D4391"/>
    <w:rsid w:val="003D7074"/>
    <w:rsid w:val="003D7CCD"/>
    <w:rsid w:val="003E10A4"/>
    <w:rsid w:val="003E32D9"/>
    <w:rsid w:val="003E4AA7"/>
    <w:rsid w:val="003E6924"/>
    <w:rsid w:val="003F37A1"/>
    <w:rsid w:val="003F4B91"/>
    <w:rsid w:val="003F7E51"/>
    <w:rsid w:val="004011BE"/>
    <w:rsid w:val="00402292"/>
    <w:rsid w:val="004029A8"/>
    <w:rsid w:val="00402E84"/>
    <w:rsid w:val="00402F61"/>
    <w:rsid w:val="00406FD2"/>
    <w:rsid w:val="00407452"/>
    <w:rsid w:val="00407BFB"/>
    <w:rsid w:val="00410B42"/>
    <w:rsid w:val="00411ACE"/>
    <w:rsid w:val="00411E50"/>
    <w:rsid w:val="004121F4"/>
    <w:rsid w:val="0041256E"/>
    <w:rsid w:val="00412C34"/>
    <w:rsid w:val="004132E6"/>
    <w:rsid w:val="00415E02"/>
    <w:rsid w:val="00417125"/>
    <w:rsid w:val="004209F2"/>
    <w:rsid w:val="004253A5"/>
    <w:rsid w:val="00425965"/>
    <w:rsid w:val="00426883"/>
    <w:rsid w:val="00427D8B"/>
    <w:rsid w:val="004305C1"/>
    <w:rsid w:val="00430E39"/>
    <w:rsid w:val="00431C6A"/>
    <w:rsid w:val="00432ABB"/>
    <w:rsid w:val="00433F04"/>
    <w:rsid w:val="00434C78"/>
    <w:rsid w:val="0043535E"/>
    <w:rsid w:val="00437C65"/>
    <w:rsid w:val="00440BAD"/>
    <w:rsid w:val="0044360D"/>
    <w:rsid w:val="00443650"/>
    <w:rsid w:val="00444FE3"/>
    <w:rsid w:val="0044593A"/>
    <w:rsid w:val="00445DE2"/>
    <w:rsid w:val="00446C1F"/>
    <w:rsid w:val="00447193"/>
    <w:rsid w:val="00447864"/>
    <w:rsid w:val="00447B15"/>
    <w:rsid w:val="00450948"/>
    <w:rsid w:val="00452716"/>
    <w:rsid w:val="00452801"/>
    <w:rsid w:val="00452E5C"/>
    <w:rsid w:val="00453683"/>
    <w:rsid w:val="00453DB8"/>
    <w:rsid w:val="004548B4"/>
    <w:rsid w:val="00454CC5"/>
    <w:rsid w:val="00454D50"/>
    <w:rsid w:val="00455258"/>
    <w:rsid w:val="00455D96"/>
    <w:rsid w:val="004561DA"/>
    <w:rsid w:val="004567E6"/>
    <w:rsid w:val="00457C11"/>
    <w:rsid w:val="00457D05"/>
    <w:rsid w:val="004613AA"/>
    <w:rsid w:val="00462507"/>
    <w:rsid w:val="00462F2D"/>
    <w:rsid w:val="004635E8"/>
    <w:rsid w:val="0046406C"/>
    <w:rsid w:val="0046435F"/>
    <w:rsid w:val="00464C8C"/>
    <w:rsid w:val="00464F71"/>
    <w:rsid w:val="00466502"/>
    <w:rsid w:val="004671CC"/>
    <w:rsid w:val="0047180F"/>
    <w:rsid w:val="00471FE5"/>
    <w:rsid w:val="00473337"/>
    <w:rsid w:val="0047445A"/>
    <w:rsid w:val="0047563C"/>
    <w:rsid w:val="0047569A"/>
    <w:rsid w:val="004761AF"/>
    <w:rsid w:val="00477506"/>
    <w:rsid w:val="00477C01"/>
    <w:rsid w:val="0048023B"/>
    <w:rsid w:val="00480C8F"/>
    <w:rsid w:val="00480CAF"/>
    <w:rsid w:val="00481204"/>
    <w:rsid w:val="00482A95"/>
    <w:rsid w:val="00483169"/>
    <w:rsid w:val="004834E0"/>
    <w:rsid w:val="00483535"/>
    <w:rsid w:val="00483F96"/>
    <w:rsid w:val="00484028"/>
    <w:rsid w:val="00486ECF"/>
    <w:rsid w:val="004910FA"/>
    <w:rsid w:val="00493446"/>
    <w:rsid w:val="004939EA"/>
    <w:rsid w:val="004942C4"/>
    <w:rsid w:val="00496236"/>
    <w:rsid w:val="00496DA4"/>
    <w:rsid w:val="004979CE"/>
    <w:rsid w:val="004A2A74"/>
    <w:rsid w:val="004A2B14"/>
    <w:rsid w:val="004A45A6"/>
    <w:rsid w:val="004A46E3"/>
    <w:rsid w:val="004A5598"/>
    <w:rsid w:val="004A5A1E"/>
    <w:rsid w:val="004A6042"/>
    <w:rsid w:val="004A752B"/>
    <w:rsid w:val="004B1934"/>
    <w:rsid w:val="004B2C98"/>
    <w:rsid w:val="004B2FEA"/>
    <w:rsid w:val="004B416F"/>
    <w:rsid w:val="004B4E12"/>
    <w:rsid w:val="004B530D"/>
    <w:rsid w:val="004B53E7"/>
    <w:rsid w:val="004B542F"/>
    <w:rsid w:val="004B63F7"/>
    <w:rsid w:val="004B66E0"/>
    <w:rsid w:val="004B70E3"/>
    <w:rsid w:val="004B78B5"/>
    <w:rsid w:val="004B7AEA"/>
    <w:rsid w:val="004C0804"/>
    <w:rsid w:val="004C0C75"/>
    <w:rsid w:val="004C148D"/>
    <w:rsid w:val="004C1602"/>
    <w:rsid w:val="004C2892"/>
    <w:rsid w:val="004C5971"/>
    <w:rsid w:val="004C6B10"/>
    <w:rsid w:val="004C72C5"/>
    <w:rsid w:val="004D178D"/>
    <w:rsid w:val="004D1F60"/>
    <w:rsid w:val="004D2BE5"/>
    <w:rsid w:val="004D364E"/>
    <w:rsid w:val="004D3C81"/>
    <w:rsid w:val="004D3F02"/>
    <w:rsid w:val="004D572F"/>
    <w:rsid w:val="004D5DCE"/>
    <w:rsid w:val="004D5F20"/>
    <w:rsid w:val="004D706E"/>
    <w:rsid w:val="004D771B"/>
    <w:rsid w:val="004E1CA5"/>
    <w:rsid w:val="004E2E6A"/>
    <w:rsid w:val="004E33DE"/>
    <w:rsid w:val="004E3D67"/>
    <w:rsid w:val="004E479A"/>
    <w:rsid w:val="004E5F44"/>
    <w:rsid w:val="004E77CA"/>
    <w:rsid w:val="004F6412"/>
    <w:rsid w:val="004F7C38"/>
    <w:rsid w:val="004F7D5E"/>
    <w:rsid w:val="00503C02"/>
    <w:rsid w:val="0050400C"/>
    <w:rsid w:val="00505582"/>
    <w:rsid w:val="00505701"/>
    <w:rsid w:val="0051017B"/>
    <w:rsid w:val="0051172A"/>
    <w:rsid w:val="00511756"/>
    <w:rsid w:val="0051206A"/>
    <w:rsid w:val="005126DB"/>
    <w:rsid w:val="0051308C"/>
    <w:rsid w:val="00513B2F"/>
    <w:rsid w:val="00513F90"/>
    <w:rsid w:val="005141A1"/>
    <w:rsid w:val="00515FAB"/>
    <w:rsid w:val="0051686A"/>
    <w:rsid w:val="00516A09"/>
    <w:rsid w:val="00516D57"/>
    <w:rsid w:val="005172BA"/>
    <w:rsid w:val="005175E3"/>
    <w:rsid w:val="005202E3"/>
    <w:rsid w:val="00520D6C"/>
    <w:rsid w:val="00521151"/>
    <w:rsid w:val="00522523"/>
    <w:rsid w:val="00522EBD"/>
    <w:rsid w:val="0052324E"/>
    <w:rsid w:val="00523B54"/>
    <w:rsid w:val="0052429C"/>
    <w:rsid w:val="00525CAD"/>
    <w:rsid w:val="005270BF"/>
    <w:rsid w:val="00527CD7"/>
    <w:rsid w:val="00532498"/>
    <w:rsid w:val="00532D9C"/>
    <w:rsid w:val="005368CF"/>
    <w:rsid w:val="00536FCE"/>
    <w:rsid w:val="00540177"/>
    <w:rsid w:val="00541928"/>
    <w:rsid w:val="00541FCA"/>
    <w:rsid w:val="00542E0A"/>
    <w:rsid w:val="00543563"/>
    <w:rsid w:val="00543664"/>
    <w:rsid w:val="00545102"/>
    <w:rsid w:val="005453E2"/>
    <w:rsid w:val="00545ECC"/>
    <w:rsid w:val="00546861"/>
    <w:rsid w:val="00546D8C"/>
    <w:rsid w:val="00547301"/>
    <w:rsid w:val="005509D2"/>
    <w:rsid w:val="00551207"/>
    <w:rsid w:val="005528C0"/>
    <w:rsid w:val="00552D65"/>
    <w:rsid w:val="005543E0"/>
    <w:rsid w:val="005577F2"/>
    <w:rsid w:val="00562489"/>
    <w:rsid w:val="00562D78"/>
    <w:rsid w:val="00564EB0"/>
    <w:rsid w:val="00567EF1"/>
    <w:rsid w:val="00570C8E"/>
    <w:rsid w:val="00571F46"/>
    <w:rsid w:val="00572C6A"/>
    <w:rsid w:val="00573F05"/>
    <w:rsid w:val="00576504"/>
    <w:rsid w:val="00576B53"/>
    <w:rsid w:val="0057730E"/>
    <w:rsid w:val="00577A65"/>
    <w:rsid w:val="005824E6"/>
    <w:rsid w:val="00583F14"/>
    <w:rsid w:val="005849A1"/>
    <w:rsid w:val="00585BB3"/>
    <w:rsid w:val="00585D91"/>
    <w:rsid w:val="005862E9"/>
    <w:rsid w:val="00586388"/>
    <w:rsid w:val="00587701"/>
    <w:rsid w:val="00591693"/>
    <w:rsid w:val="00593987"/>
    <w:rsid w:val="00593A96"/>
    <w:rsid w:val="00597041"/>
    <w:rsid w:val="005971FA"/>
    <w:rsid w:val="00597CF9"/>
    <w:rsid w:val="005A0A14"/>
    <w:rsid w:val="005A222A"/>
    <w:rsid w:val="005A39A1"/>
    <w:rsid w:val="005A4248"/>
    <w:rsid w:val="005A54BA"/>
    <w:rsid w:val="005A5D09"/>
    <w:rsid w:val="005A6EF6"/>
    <w:rsid w:val="005A75B2"/>
    <w:rsid w:val="005A78DB"/>
    <w:rsid w:val="005A7FCF"/>
    <w:rsid w:val="005B1FC0"/>
    <w:rsid w:val="005B2333"/>
    <w:rsid w:val="005B316D"/>
    <w:rsid w:val="005B3F4C"/>
    <w:rsid w:val="005B4726"/>
    <w:rsid w:val="005B5177"/>
    <w:rsid w:val="005B525D"/>
    <w:rsid w:val="005B5E83"/>
    <w:rsid w:val="005C07D2"/>
    <w:rsid w:val="005C22C6"/>
    <w:rsid w:val="005C3835"/>
    <w:rsid w:val="005C4185"/>
    <w:rsid w:val="005C56FA"/>
    <w:rsid w:val="005C5D37"/>
    <w:rsid w:val="005C6FB9"/>
    <w:rsid w:val="005D0116"/>
    <w:rsid w:val="005D0821"/>
    <w:rsid w:val="005D0BB0"/>
    <w:rsid w:val="005D0DE5"/>
    <w:rsid w:val="005D3502"/>
    <w:rsid w:val="005D59EC"/>
    <w:rsid w:val="005D6030"/>
    <w:rsid w:val="005D6FE9"/>
    <w:rsid w:val="005D7553"/>
    <w:rsid w:val="005D7E6F"/>
    <w:rsid w:val="005D7FBF"/>
    <w:rsid w:val="005E121F"/>
    <w:rsid w:val="005E20B0"/>
    <w:rsid w:val="005E5AE3"/>
    <w:rsid w:val="005E5C22"/>
    <w:rsid w:val="005E674E"/>
    <w:rsid w:val="005E6AC0"/>
    <w:rsid w:val="005E7981"/>
    <w:rsid w:val="005F0271"/>
    <w:rsid w:val="005F2D0B"/>
    <w:rsid w:val="005F3D1F"/>
    <w:rsid w:val="005F4627"/>
    <w:rsid w:val="005F51A4"/>
    <w:rsid w:val="005F5226"/>
    <w:rsid w:val="005F5653"/>
    <w:rsid w:val="005F5F4B"/>
    <w:rsid w:val="005F74B5"/>
    <w:rsid w:val="00600609"/>
    <w:rsid w:val="00603F30"/>
    <w:rsid w:val="00604241"/>
    <w:rsid w:val="006043C0"/>
    <w:rsid w:val="006044A9"/>
    <w:rsid w:val="006045DE"/>
    <w:rsid w:val="00607A87"/>
    <w:rsid w:val="00611312"/>
    <w:rsid w:val="0061140B"/>
    <w:rsid w:val="0061204A"/>
    <w:rsid w:val="006128D9"/>
    <w:rsid w:val="006131FD"/>
    <w:rsid w:val="00614329"/>
    <w:rsid w:val="006149FD"/>
    <w:rsid w:val="00614AC5"/>
    <w:rsid w:val="006150B0"/>
    <w:rsid w:val="006169F9"/>
    <w:rsid w:val="00616A03"/>
    <w:rsid w:val="00620203"/>
    <w:rsid w:val="00620945"/>
    <w:rsid w:val="00621CED"/>
    <w:rsid w:val="006228F3"/>
    <w:rsid w:val="00623B41"/>
    <w:rsid w:val="00626358"/>
    <w:rsid w:val="00626645"/>
    <w:rsid w:val="006321E5"/>
    <w:rsid w:val="00632C94"/>
    <w:rsid w:val="00633382"/>
    <w:rsid w:val="00633C19"/>
    <w:rsid w:val="00634462"/>
    <w:rsid w:val="006346A5"/>
    <w:rsid w:val="0063499B"/>
    <w:rsid w:val="0063611A"/>
    <w:rsid w:val="006370E6"/>
    <w:rsid w:val="00637787"/>
    <w:rsid w:val="0064030B"/>
    <w:rsid w:val="00640B00"/>
    <w:rsid w:val="0064130D"/>
    <w:rsid w:val="00641BBD"/>
    <w:rsid w:val="00641BCC"/>
    <w:rsid w:val="006422A9"/>
    <w:rsid w:val="00642815"/>
    <w:rsid w:val="006446EF"/>
    <w:rsid w:val="006448B3"/>
    <w:rsid w:val="00644D2C"/>
    <w:rsid w:val="0064508F"/>
    <w:rsid w:val="00645BA2"/>
    <w:rsid w:val="00646834"/>
    <w:rsid w:val="00650827"/>
    <w:rsid w:val="0065093E"/>
    <w:rsid w:val="0065213F"/>
    <w:rsid w:val="00652811"/>
    <w:rsid w:val="006528E5"/>
    <w:rsid w:val="00652FA3"/>
    <w:rsid w:val="0065428A"/>
    <w:rsid w:val="0065696F"/>
    <w:rsid w:val="00660D40"/>
    <w:rsid w:val="006618B5"/>
    <w:rsid w:val="00664B56"/>
    <w:rsid w:val="00664FD5"/>
    <w:rsid w:val="00665B3D"/>
    <w:rsid w:val="006666BE"/>
    <w:rsid w:val="00670810"/>
    <w:rsid w:val="00670CCF"/>
    <w:rsid w:val="006721A2"/>
    <w:rsid w:val="0067616D"/>
    <w:rsid w:val="00677201"/>
    <w:rsid w:val="00677378"/>
    <w:rsid w:val="00677B66"/>
    <w:rsid w:val="00677C7D"/>
    <w:rsid w:val="006823DC"/>
    <w:rsid w:val="00682998"/>
    <w:rsid w:val="006839AE"/>
    <w:rsid w:val="006857CC"/>
    <w:rsid w:val="00685F6E"/>
    <w:rsid w:val="00687143"/>
    <w:rsid w:val="00690887"/>
    <w:rsid w:val="006915ED"/>
    <w:rsid w:val="00694075"/>
    <w:rsid w:val="00695AFB"/>
    <w:rsid w:val="00697E69"/>
    <w:rsid w:val="006A12D8"/>
    <w:rsid w:val="006A22BB"/>
    <w:rsid w:val="006A237C"/>
    <w:rsid w:val="006A338A"/>
    <w:rsid w:val="006A3983"/>
    <w:rsid w:val="006A4172"/>
    <w:rsid w:val="006A4CAE"/>
    <w:rsid w:val="006A553E"/>
    <w:rsid w:val="006A5C0D"/>
    <w:rsid w:val="006A6873"/>
    <w:rsid w:val="006B0BC2"/>
    <w:rsid w:val="006B1AE3"/>
    <w:rsid w:val="006B20F5"/>
    <w:rsid w:val="006B35BC"/>
    <w:rsid w:val="006B4B37"/>
    <w:rsid w:val="006B7A3D"/>
    <w:rsid w:val="006C0A8C"/>
    <w:rsid w:val="006C295D"/>
    <w:rsid w:val="006C2BEC"/>
    <w:rsid w:val="006C5E1A"/>
    <w:rsid w:val="006C604E"/>
    <w:rsid w:val="006D0766"/>
    <w:rsid w:val="006D13A5"/>
    <w:rsid w:val="006D280C"/>
    <w:rsid w:val="006D2A9B"/>
    <w:rsid w:val="006D3274"/>
    <w:rsid w:val="006D3B02"/>
    <w:rsid w:val="006D579F"/>
    <w:rsid w:val="006D6B94"/>
    <w:rsid w:val="006D6C5F"/>
    <w:rsid w:val="006D7511"/>
    <w:rsid w:val="006D7B80"/>
    <w:rsid w:val="006E1824"/>
    <w:rsid w:val="006E2B6C"/>
    <w:rsid w:val="006E4627"/>
    <w:rsid w:val="006E497F"/>
    <w:rsid w:val="006E727E"/>
    <w:rsid w:val="006E7B34"/>
    <w:rsid w:val="006F0A0B"/>
    <w:rsid w:val="006F0B5A"/>
    <w:rsid w:val="006F1231"/>
    <w:rsid w:val="006F1F8D"/>
    <w:rsid w:val="006F2E07"/>
    <w:rsid w:val="006F3001"/>
    <w:rsid w:val="006F398D"/>
    <w:rsid w:val="006F5738"/>
    <w:rsid w:val="006F5CB7"/>
    <w:rsid w:val="006F71AE"/>
    <w:rsid w:val="007001B6"/>
    <w:rsid w:val="007003F4"/>
    <w:rsid w:val="007017B2"/>
    <w:rsid w:val="00702D35"/>
    <w:rsid w:val="00702E7C"/>
    <w:rsid w:val="00703105"/>
    <w:rsid w:val="00703FCD"/>
    <w:rsid w:val="007075F0"/>
    <w:rsid w:val="0071100E"/>
    <w:rsid w:val="00711BF6"/>
    <w:rsid w:val="007120D7"/>
    <w:rsid w:val="0071274B"/>
    <w:rsid w:val="00712D73"/>
    <w:rsid w:val="00712F84"/>
    <w:rsid w:val="00714BDE"/>
    <w:rsid w:val="0071756F"/>
    <w:rsid w:val="00722939"/>
    <w:rsid w:val="00722986"/>
    <w:rsid w:val="00727D3D"/>
    <w:rsid w:val="007302FE"/>
    <w:rsid w:val="00731B61"/>
    <w:rsid w:val="00731DCE"/>
    <w:rsid w:val="00732BB5"/>
    <w:rsid w:val="0073384B"/>
    <w:rsid w:val="00735F95"/>
    <w:rsid w:val="00737C4B"/>
    <w:rsid w:val="00742B99"/>
    <w:rsid w:val="00742F39"/>
    <w:rsid w:val="00743F4B"/>
    <w:rsid w:val="007440A0"/>
    <w:rsid w:val="007445D8"/>
    <w:rsid w:val="007452F4"/>
    <w:rsid w:val="00746272"/>
    <w:rsid w:val="00746291"/>
    <w:rsid w:val="0074641A"/>
    <w:rsid w:val="00746D2C"/>
    <w:rsid w:val="00746DCC"/>
    <w:rsid w:val="00747E10"/>
    <w:rsid w:val="007507F0"/>
    <w:rsid w:val="00751128"/>
    <w:rsid w:val="00751A96"/>
    <w:rsid w:val="00751C57"/>
    <w:rsid w:val="00752049"/>
    <w:rsid w:val="00752493"/>
    <w:rsid w:val="007529B4"/>
    <w:rsid w:val="00753558"/>
    <w:rsid w:val="00754819"/>
    <w:rsid w:val="00757556"/>
    <w:rsid w:val="007602FD"/>
    <w:rsid w:val="0076030E"/>
    <w:rsid w:val="00760EC6"/>
    <w:rsid w:val="00763202"/>
    <w:rsid w:val="00764555"/>
    <w:rsid w:val="00765582"/>
    <w:rsid w:val="007669F7"/>
    <w:rsid w:val="00766E58"/>
    <w:rsid w:val="00767248"/>
    <w:rsid w:val="00767279"/>
    <w:rsid w:val="00770866"/>
    <w:rsid w:val="007719E5"/>
    <w:rsid w:val="00772C76"/>
    <w:rsid w:val="00775FC4"/>
    <w:rsid w:val="007765E4"/>
    <w:rsid w:val="00776779"/>
    <w:rsid w:val="00776ED3"/>
    <w:rsid w:val="00777B30"/>
    <w:rsid w:val="007812AE"/>
    <w:rsid w:val="00782587"/>
    <w:rsid w:val="0078300B"/>
    <w:rsid w:val="00783B57"/>
    <w:rsid w:val="007841A3"/>
    <w:rsid w:val="007854FA"/>
    <w:rsid w:val="007856B5"/>
    <w:rsid w:val="00785879"/>
    <w:rsid w:val="00787450"/>
    <w:rsid w:val="0079046B"/>
    <w:rsid w:val="00791577"/>
    <w:rsid w:val="00791625"/>
    <w:rsid w:val="00792D85"/>
    <w:rsid w:val="0079443E"/>
    <w:rsid w:val="007946B5"/>
    <w:rsid w:val="007946F9"/>
    <w:rsid w:val="00795727"/>
    <w:rsid w:val="007959C8"/>
    <w:rsid w:val="00795CA9"/>
    <w:rsid w:val="00795DBB"/>
    <w:rsid w:val="00795FC8"/>
    <w:rsid w:val="00796467"/>
    <w:rsid w:val="007A22B2"/>
    <w:rsid w:val="007A3074"/>
    <w:rsid w:val="007A3268"/>
    <w:rsid w:val="007A4D75"/>
    <w:rsid w:val="007A4FF3"/>
    <w:rsid w:val="007A59E6"/>
    <w:rsid w:val="007A6224"/>
    <w:rsid w:val="007A7202"/>
    <w:rsid w:val="007A7D5A"/>
    <w:rsid w:val="007B11EA"/>
    <w:rsid w:val="007B3AAC"/>
    <w:rsid w:val="007B4FF3"/>
    <w:rsid w:val="007B784C"/>
    <w:rsid w:val="007C17E5"/>
    <w:rsid w:val="007C1A33"/>
    <w:rsid w:val="007C2388"/>
    <w:rsid w:val="007C25C7"/>
    <w:rsid w:val="007C283E"/>
    <w:rsid w:val="007C322C"/>
    <w:rsid w:val="007C6F2D"/>
    <w:rsid w:val="007C72AE"/>
    <w:rsid w:val="007D2955"/>
    <w:rsid w:val="007D4F07"/>
    <w:rsid w:val="007D668C"/>
    <w:rsid w:val="007D6894"/>
    <w:rsid w:val="007D7031"/>
    <w:rsid w:val="007D791F"/>
    <w:rsid w:val="007D7D86"/>
    <w:rsid w:val="007E0388"/>
    <w:rsid w:val="007E0EBF"/>
    <w:rsid w:val="007E2188"/>
    <w:rsid w:val="007E24E5"/>
    <w:rsid w:val="007E308B"/>
    <w:rsid w:val="007E49E8"/>
    <w:rsid w:val="007E6A38"/>
    <w:rsid w:val="007E740C"/>
    <w:rsid w:val="007E7465"/>
    <w:rsid w:val="007F13C4"/>
    <w:rsid w:val="007F194E"/>
    <w:rsid w:val="007F203D"/>
    <w:rsid w:val="007F263C"/>
    <w:rsid w:val="007F4A7A"/>
    <w:rsid w:val="007F75D3"/>
    <w:rsid w:val="007F78C7"/>
    <w:rsid w:val="008006BA"/>
    <w:rsid w:val="00800A39"/>
    <w:rsid w:val="00800E1A"/>
    <w:rsid w:val="008021F2"/>
    <w:rsid w:val="00802621"/>
    <w:rsid w:val="008054BF"/>
    <w:rsid w:val="008057E6"/>
    <w:rsid w:val="008057F1"/>
    <w:rsid w:val="00807147"/>
    <w:rsid w:val="00810F3D"/>
    <w:rsid w:val="00811315"/>
    <w:rsid w:val="008174F6"/>
    <w:rsid w:val="00817645"/>
    <w:rsid w:val="00817A6A"/>
    <w:rsid w:val="00820F49"/>
    <w:rsid w:val="008233B0"/>
    <w:rsid w:val="0082355B"/>
    <w:rsid w:val="00823878"/>
    <w:rsid w:val="00823F43"/>
    <w:rsid w:val="008240D6"/>
    <w:rsid w:val="0082433C"/>
    <w:rsid w:val="008243F5"/>
    <w:rsid w:val="00824AB1"/>
    <w:rsid w:val="00824BD7"/>
    <w:rsid w:val="00825293"/>
    <w:rsid w:val="00825DC2"/>
    <w:rsid w:val="008269CC"/>
    <w:rsid w:val="0083038A"/>
    <w:rsid w:val="00830697"/>
    <w:rsid w:val="00832548"/>
    <w:rsid w:val="00832CAA"/>
    <w:rsid w:val="00832E37"/>
    <w:rsid w:val="008338C6"/>
    <w:rsid w:val="00834E7D"/>
    <w:rsid w:val="008354A1"/>
    <w:rsid w:val="00835A86"/>
    <w:rsid w:val="00835A9A"/>
    <w:rsid w:val="0083690E"/>
    <w:rsid w:val="00836BF4"/>
    <w:rsid w:val="0083746B"/>
    <w:rsid w:val="00837A04"/>
    <w:rsid w:val="00840F72"/>
    <w:rsid w:val="00842740"/>
    <w:rsid w:val="008439C5"/>
    <w:rsid w:val="00843FDA"/>
    <w:rsid w:val="0084453F"/>
    <w:rsid w:val="00847122"/>
    <w:rsid w:val="008471E6"/>
    <w:rsid w:val="00847D20"/>
    <w:rsid w:val="00850002"/>
    <w:rsid w:val="00850C5D"/>
    <w:rsid w:val="00850D14"/>
    <w:rsid w:val="008515B0"/>
    <w:rsid w:val="0085179B"/>
    <w:rsid w:val="00853EEA"/>
    <w:rsid w:val="00855182"/>
    <w:rsid w:val="008600FF"/>
    <w:rsid w:val="00860E65"/>
    <w:rsid w:val="0086103D"/>
    <w:rsid w:val="00861B19"/>
    <w:rsid w:val="00861FE2"/>
    <w:rsid w:val="00862036"/>
    <w:rsid w:val="008620BF"/>
    <w:rsid w:val="00864D71"/>
    <w:rsid w:val="00864F42"/>
    <w:rsid w:val="0086611B"/>
    <w:rsid w:val="00866344"/>
    <w:rsid w:val="00866734"/>
    <w:rsid w:val="00867CAC"/>
    <w:rsid w:val="0087267D"/>
    <w:rsid w:val="008735F6"/>
    <w:rsid w:val="00874B8D"/>
    <w:rsid w:val="00875FAE"/>
    <w:rsid w:val="0087688C"/>
    <w:rsid w:val="00876BAA"/>
    <w:rsid w:val="00880D96"/>
    <w:rsid w:val="00881197"/>
    <w:rsid w:val="0088125B"/>
    <w:rsid w:val="0088141C"/>
    <w:rsid w:val="0088180B"/>
    <w:rsid w:val="00881AD1"/>
    <w:rsid w:val="00881C1C"/>
    <w:rsid w:val="00883041"/>
    <w:rsid w:val="0088317C"/>
    <w:rsid w:val="00883DDF"/>
    <w:rsid w:val="00884098"/>
    <w:rsid w:val="00884282"/>
    <w:rsid w:val="00887549"/>
    <w:rsid w:val="00887F72"/>
    <w:rsid w:val="00890F2D"/>
    <w:rsid w:val="008940CD"/>
    <w:rsid w:val="008947F5"/>
    <w:rsid w:val="00894826"/>
    <w:rsid w:val="00894DC8"/>
    <w:rsid w:val="00895006"/>
    <w:rsid w:val="00895030"/>
    <w:rsid w:val="00895586"/>
    <w:rsid w:val="0089767F"/>
    <w:rsid w:val="008A06AE"/>
    <w:rsid w:val="008A0E69"/>
    <w:rsid w:val="008A1818"/>
    <w:rsid w:val="008A1F31"/>
    <w:rsid w:val="008A1F4D"/>
    <w:rsid w:val="008A25C6"/>
    <w:rsid w:val="008A540C"/>
    <w:rsid w:val="008A555A"/>
    <w:rsid w:val="008B3C23"/>
    <w:rsid w:val="008B4B77"/>
    <w:rsid w:val="008B4FA8"/>
    <w:rsid w:val="008B566A"/>
    <w:rsid w:val="008B5AB1"/>
    <w:rsid w:val="008B5B5A"/>
    <w:rsid w:val="008B5EA3"/>
    <w:rsid w:val="008B6397"/>
    <w:rsid w:val="008B7541"/>
    <w:rsid w:val="008C0AB3"/>
    <w:rsid w:val="008C1A57"/>
    <w:rsid w:val="008C23B7"/>
    <w:rsid w:val="008C3E24"/>
    <w:rsid w:val="008C6145"/>
    <w:rsid w:val="008C7439"/>
    <w:rsid w:val="008D0378"/>
    <w:rsid w:val="008D0685"/>
    <w:rsid w:val="008D0D4D"/>
    <w:rsid w:val="008D1F5D"/>
    <w:rsid w:val="008D2734"/>
    <w:rsid w:val="008D293D"/>
    <w:rsid w:val="008D2E53"/>
    <w:rsid w:val="008D4F75"/>
    <w:rsid w:val="008D5702"/>
    <w:rsid w:val="008D5B59"/>
    <w:rsid w:val="008D5D4F"/>
    <w:rsid w:val="008E0330"/>
    <w:rsid w:val="008E1789"/>
    <w:rsid w:val="008E3B90"/>
    <w:rsid w:val="008E3E1F"/>
    <w:rsid w:val="008E4D04"/>
    <w:rsid w:val="008E7003"/>
    <w:rsid w:val="008E79E2"/>
    <w:rsid w:val="008E7BE0"/>
    <w:rsid w:val="008F03FE"/>
    <w:rsid w:val="008F28CD"/>
    <w:rsid w:val="008F3372"/>
    <w:rsid w:val="008F4093"/>
    <w:rsid w:val="008F55F3"/>
    <w:rsid w:val="008F5A6F"/>
    <w:rsid w:val="008F5AC4"/>
    <w:rsid w:val="008F6321"/>
    <w:rsid w:val="00900586"/>
    <w:rsid w:val="00901806"/>
    <w:rsid w:val="0090240E"/>
    <w:rsid w:val="00902EB8"/>
    <w:rsid w:val="00903C2C"/>
    <w:rsid w:val="00903E20"/>
    <w:rsid w:val="00903E9B"/>
    <w:rsid w:val="00905004"/>
    <w:rsid w:val="0091052A"/>
    <w:rsid w:val="00912E5E"/>
    <w:rsid w:val="00913BB9"/>
    <w:rsid w:val="00913D3E"/>
    <w:rsid w:val="0091479D"/>
    <w:rsid w:val="00916C5D"/>
    <w:rsid w:val="00917C8D"/>
    <w:rsid w:val="00917F97"/>
    <w:rsid w:val="0092025F"/>
    <w:rsid w:val="00921365"/>
    <w:rsid w:val="00921942"/>
    <w:rsid w:val="00921E1D"/>
    <w:rsid w:val="0092504F"/>
    <w:rsid w:val="009251DD"/>
    <w:rsid w:val="0092587E"/>
    <w:rsid w:val="00927F0F"/>
    <w:rsid w:val="009301C2"/>
    <w:rsid w:val="009311A0"/>
    <w:rsid w:val="0093309C"/>
    <w:rsid w:val="00933FFA"/>
    <w:rsid w:val="00934469"/>
    <w:rsid w:val="0093505C"/>
    <w:rsid w:val="00935433"/>
    <w:rsid w:val="00935B33"/>
    <w:rsid w:val="009366BF"/>
    <w:rsid w:val="00940A3B"/>
    <w:rsid w:val="00944045"/>
    <w:rsid w:val="00944222"/>
    <w:rsid w:val="00944945"/>
    <w:rsid w:val="00944C03"/>
    <w:rsid w:val="00945ED8"/>
    <w:rsid w:val="00947AD1"/>
    <w:rsid w:val="00947DDF"/>
    <w:rsid w:val="00951561"/>
    <w:rsid w:val="00952D4F"/>
    <w:rsid w:val="009547E5"/>
    <w:rsid w:val="0095531F"/>
    <w:rsid w:val="00957015"/>
    <w:rsid w:val="00957124"/>
    <w:rsid w:val="00961CB4"/>
    <w:rsid w:val="00962B88"/>
    <w:rsid w:val="009635EF"/>
    <w:rsid w:val="00964A1C"/>
    <w:rsid w:val="00970088"/>
    <w:rsid w:val="009727E8"/>
    <w:rsid w:val="009738C3"/>
    <w:rsid w:val="00973C7C"/>
    <w:rsid w:val="00973FDC"/>
    <w:rsid w:val="00974DF3"/>
    <w:rsid w:val="009754E8"/>
    <w:rsid w:val="00975F31"/>
    <w:rsid w:val="00977CFA"/>
    <w:rsid w:val="00977EBF"/>
    <w:rsid w:val="00977F0B"/>
    <w:rsid w:val="009804FA"/>
    <w:rsid w:val="00980576"/>
    <w:rsid w:val="00980F8E"/>
    <w:rsid w:val="009817C0"/>
    <w:rsid w:val="00981B16"/>
    <w:rsid w:val="009828CA"/>
    <w:rsid w:val="00983832"/>
    <w:rsid w:val="009861EC"/>
    <w:rsid w:val="00986D3C"/>
    <w:rsid w:val="00987412"/>
    <w:rsid w:val="0099012D"/>
    <w:rsid w:val="00990220"/>
    <w:rsid w:val="0099066B"/>
    <w:rsid w:val="009927BD"/>
    <w:rsid w:val="00997872"/>
    <w:rsid w:val="009A10EC"/>
    <w:rsid w:val="009A291B"/>
    <w:rsid w:val="009A2EB7"/>
    <w:rsid w:val="009A3B62"/>
    <w:rsid w:val="009A454A"/>
    <w:rsid w:val="009A6AA7"/>
    <w:rsid w:val="009A7D7B"/>
    <w:rsid w:val="009B0120"/>
    <w:rsid w:val="009B16C1"/>
    <w:rsid w:val="009B1A18"/>
    <w:rsid w:val="009B3448"/>
    <w:rsid w:val="009B49E2"/>
    <w:rsid w:val="009B4AF9"/>
    <w:rsid w:val="009B5C1C"/>
    <w:rsid w:val="009B6103"/>
    <w:rsid w:val="009B611F"/>
    <w:rsid w:val="009B6343"/>
    <w:rsid w:val="009B7264"/>
    <w:rsid w:val="009C03A3"/>
    <w:rsid w:val="009C0FC1"/>
    <w:rsid w:val="009C1687"/>
    <w:rsid w:val="009C187E"/>
    <w:rsid w:val="009C30CF"/>
    <w:rsid w:val="009C379B"/>
    <w:rsid w:val="009C3A15"/>
    <w:rsid w:val="009C3B91"/>
    <w:rsid w:val="009C4012"/>
    <w:rsid w:val="009C4E5A"/>
    <w:rsid w:val="009C7200"/>
    <w:rsid w:val="009D1323"/>
    <w:rsid w:val="009D1CCA"/>
    <w:rsid w:val="009D1E84"/>
    <w:rsid w:val="009D2673"/>
    <w:rsid w:val="009D37C6"/>
    <w:rsid w:val="009D51AF"/>
    <w:rsid w:val="009D5FBE"/>
    <w:rsid w:val="009D62D6"/>
    <w:rsid w:val="009D664A"/>
    <w:rsid w:val="009D6B76"/>
    <w:rsid w:val="009D7B12"/>
    <w:rsid w:val="009E01B6"/>
    <w:rsid w:val="009E0338"/>
    <w:rsid w:val="009E1068"/>
    <w:rsid w:val="009E16E5"/>
    <w:rsid w:val="009E3292"/>
    <w:rsid w:val="009E42B5"/>
    <w:rsid w:val="009E49E2"/>
    <w:rsid w:val="009E4E8C"/>
    <w:rsid w:val="009E5101"/>
    <w:rsid w:val="009E5773"/>
    <w:rsid w:val="009E5DBE"/>
    <w:rsid w:val="009E7EE6"/>
    <w:rsid w:val="009F02A0"/>
    <w:rsid w:val="009F2590"/>
    <w:rsid w:val="009F2DC4"/>
    <w:rsid w:val="009F3188"/>
    <w:rsid w:val="009F5966"/>
    <w:rsid w:val="009F5FB3"/>
    <w:rsid w:val="009F78F1"/>
    <w:rsid w:val="00A00834"/>
    <w:rsid w:val="00A01741"/>
    <w:rsid w:val="00A01B1C"/>
    <w:rsid w:val="00A03212"/>
    <w:rsid w:val="00A038FD"/>
    <w:rsid w:val="00A03C28"/>
    <w:rsid w:val="00A05049"/>
    <w:rsid w:val="00A05086"/>
    <w:rsid w:val="00A05E7B"/>
    <w:rsid w:val="00A0712A"/>
    <w:rsid w:val="00A07FE5"/>
    <w:rsid w:val="00A127FB"/>
    <w:rsid w:val="00A1307E"/>
    <w:rsid w:val="00A146EC"/>
    <w:rsid w:val="00A15233"/>
    <w:rsid w:val="00A15E4A"/>
    <w:rsid w:val="00A17647"/>
    <w:rsid w:val="00A21FD0"/>
    <w:rsid w:val="00A22938"/>
    <w:rsid w:val="00A24A85"/>
    <w:rsid w:val="00A25395"/>
    <w:rsid w:val="00A25B88"/>
    <w:rsid w:val="00A27D0F"/>
    <w:rsid w:val="00A30089"/>
    <w:rsid w:val="00A314DE"/>
    <w:rsid w:val="00A325F4"/>
    <w:rsid w:val="00A328D6"/>
    <w:rsid w:val="00A32C6A"/>
    <w:rsid w:val="00A32DA9"/>
    <w:rsid w:val="00A35C79"/>
    <w:rsid w:val="00A3648B"/>
    <w:rsid w:val="00A36A96"/>
    <w:rsid w:val="00A3749F"/>
    <w:rsid w:val="00A374F9"/>
    <w:rsid w:val="00A400C9"/>
    <w:rsid w:val="00A40C29"/>
    <w:rsid w:val="00A41D6A"/>
    <w:rsid w:val="00A43EC9"/>
    <w:rsid w:val="00A45C3D"/>
    <w:rsid w:val="00A46192"/>
    <w:rsid w:val="00A51293"/>
    <w:rsid w:val="00A527F7"/>
    <w:rsid w:val="00A52AFD"/>
    <w:rsid w:val="00A56597"/>
    <w:rsid w:val="00A56D66"/>
    <w:rsid w:val="00A61083"/>
    <w:rsid w:val="00A61EC2"/>
    <w:rsid w:val="00A63CF1"/>
    <w:rsid w:val="00A646CC"/>
    <w:rsid w:val="00A65155"/>
    <w:rsid w:val="00A67E97"/>
    <w:rsid w:val="00A7049C"/>
    <w:rsid w:val="00A70ECE"/>
    <w:rsid w:val="00A71905"/>
    <w:rsid w:val="00A71A91"/>
    <w:rsid w:val="00A74A23"/>
    <w:rsid w:val="00A75A87"/>
    <w:rsid w:val="00A76400"/>
    <w:rsid w:val="00A767F4"/>
    <w:rsid w:val="00A77496"/>
    <w:rsid w:val="00A7770D"/>
    <w:rsid w:val="00A778A7"/>
    <w:rsid w:val="00A77DD7"/>
    <w:rsid w:val="00A81045"/>
    <w:rsid w:val="00A84912"/>
    <w:rsid w:val="00A84B3D"/>
    <w:rsid w:val="00A84D04"/>
    <w:rsid w:val="00A87C5A"/>
    <w:rsid w:val="00A90D4B"/>
    <w:rsid w:val="00A93CB7"/>
    <w:rsid w:val="00A946C4"/>
    <w:rsid w:val="00A952A3"/>
    <w:rsid w:val="00A955B9"/>
    <w:rsid w:val="00A95F9C"/>
    <w:rsid w:val="00A9737B"/>
    <w:rsid w:val="00A977DE"/>
    <w:rsid w:val="00AA2FF0"/>
    <w:rsid w:val="00AA377F"/>
    <w:rsid w:val="00AA4F59"/>
    <w:rsid w:val="00AA625C"/>
    <w:rsid w:val="00AA626C"/>
    <w:rsid w:val="00AA71B0"/>
    <w:rsid w:val="00AA7485"/>
    <w:rsid w:val="00AA78CF"/>
    <w:rsid w:val="00AB10AA"/>
    <w:rsid w:val="00AB159D"/>
    <w:rsid w:val="00AB3F23"/>
    <w:rsid w:val="00AB46B7"/>
    <w:rsid w:val="00AB4844"/>
    <w:rsid w:val="00AB4A4E"/>
    <w:rsid w:val="00AB4AFD"/>
    <w:rsid w:val="00AB4C03"/>
    <w:rsid w:val="00AB4D42"/>
    <w:rsid w:val="00AB55BF"/>
    <w:rsid w:val="00AB6600"/>
    <w:rsid w:val="00AB708A"/>
    <w:rsid w:val="00AB7BD2"/>
    <w:rsid w:val="00AC0A27"/>
    <w:rsid w:val="00AC0D18"/>
    <w:rsid w:val="00AC3F35"/>
    <w:rsid w:val="00AC4465"/>
    <w:rsid w:val="00AC533D"/>
    <w:rsid w:val="00AC63A6"/>
    <w:rsid w:val="00AC679A"/>
    <w:rsid w:val="00AC6A20"/>
    <w:rsid w:val="00AC7086"/>
    <w:rsid w:val="00AD0224"/>
    <w:rsid w:val="00AD03B0"/>
    <w:rsid w:val="00AD12E9"/>
    <w:rsid w:val="00AD3F6E"/>
    <w:rsid w:val="00AD4791"/>
    <w:rsid w:val="00AD5A32"/>
    <w:rsid w:val="00AD6E41"/>
    <w:rsid w:val="00AD6F6F"/>
    <w:rsid w:val="00AE1152"/>
    <w:rsid w:val="00AE18B6"/>
    <w:rsid w:val="00AE1CD3"/>
    <w:rsid w:val="00AE2C4E"/>
    <w:rsid w:val="00AE3349"/>
    <w:rsid w:val="00AE4642"/>
    <w:rsid w:val="00AE46E9"/>
    <w:rsid w:val="00AE5D4F"/>
    <w:rsid w:val="00AE6861"/>
    <w:rsid w:val="00AE7591"/>
    <w:rsid w:val="00AF0526"/>
    <w:rsid w:val="00AF09E7"/>
    <w:rsid w:val="00AF1D6E"/>
    <w:rsid w:val="00AF2CFF"/>
    <w:rsid w:val="00AF2F00"/>
    <w:rsid w:val="00AF317D"/>
    <w:rsid w:val="00AF3DD7"/>
    <w:rsid w:val="00AF4887"/>
    <w:rsid w:val="00AF690C"/>
    <w:rsid w:val="00B01DE6"/>
    <w:rsid w:val="00B02101"/>
    <w:rsid w:val="00B0306F"/>
    <w:rsid w:val="00B05237"/>
    <w:rsid w:val="00B0602D"/>
    <w:rsid w:val="00B07B77"/>
    <w:rsid w:val="00B124FA"/>
    <w:rsid w:val="00B130D9"/>
    <w:rsid w:val="00B1319A"/>
    <w:rsid w:val="00B15477"/>
    <w:rsid w:val="00B16326"/>
    <w:rsid w:val="00B16F86"/>
    <w:rsid w:val="00B2139B"/>
    <w:rsid w:val="00B22F9D"/>
    <w:rsid w:val="00B2365E"/>
    <w:rsid w:val="00B256E8"/>
    <w:rsid w:val="00B25A9A"/>
    <w:rsid w:val="00B2716B"/>
    <w:rsid w:val="00B27CBF"/>
    <w:rsid w:val="00B32191"/>
    <w:rsid w:val="00B326A0"/>
    <w:rsid w:val="00B327FC"/>
    <w:rsid w:val="00B3291A"/>
    <w:rsid w:val="00B33BE0"/>
    <w:rsid w:val="00B33EEB"/>
    <w:rsid w:val="00B343CA"/>
    <w:rsid w:val="00B345B4"/>
    <w:rsid w:val="00B34E47"/>
    <w:rsid w:val="00B358DE"/>
    <w:rsid w:val="00B3627C"/>
    <w:rsid w:val="00B379D1"/>
    <w:rsid w:val="00B37C5D"/>
    <w:rsid w:val="00B414E3"/>
    <w:rsid w:val="00B41C2B"/>
    <w:rsid w:val="00B42ADB"/>
    <w:rsid w:val="00B42D88"/>
    <w:rsid w:val="00B438A3"/>
    <w:rsid w:val="00B44F7B"/>
    <w:rsid w:val="00B458FF"/>
    <w:rsid w:val="00B45C0E"/>
    <w:rsid w:val="00B4631F"/>
    <w:rsid w:val="00B4785A"/>
    <w:rsid w:val="00B51CF2"/>
    <w:rsid w:val="00B51E21"/>
    <w:rsid w:val="00B5394B"/>
    <w:rsid w:val="00B57418"/>
    <w:rsid w:val="00B574DF"/>
    <w:rsid w:val="00B5752F"/>
    <w:rsid w:val="00B6022F"/>
    <w:rsid w:val="00B61F67"/>
    <w:rsid w:val="00B627AA"/>
    <w:rsid w:val="00B64220"/>
    <w:rsid w:val="00B644C5"/>
    <w:rsid w:val="00B650AF"/>
    <w:rsid w:val="00B65411"/>
    <w:rsid w:val="00B654E3"/>
    <w:rsid w:val="00B66188"/>
    <w:rsid w:val="00B66583"/>
    <w:rsid w:val="00B66E69"/>
    <w:rsid w:val="00B67312"/>
    <w:rsid w:val="00B67813"/>
    <w:rsid w:val="00B700C4"/>
    <w:rsid w:val="00B714F7"/>
    <w:rsid w:val="00B72D39"/>
    <w:rsid w:val="00B72E9A"/>
    <w:rsid w:val="00B76038"/>
    <w:rsid w:val="00B76076"/>
    <w:rsid w:val="00B762FC"/>
    <w:rsid w:val="00B7667A"/>
    <w:rsid w:val="00B80788"/>
    <w:rsid w:val="00B80E24"/>
    <w:rsid w:val="00B81C05"/>
    <w:rsid w:val="00B81FA6"/>
    <w:rsid w:val="00B82D62"/>
    <w:rsid w:val="00B82F26"/>
    <w:rsid w:val="00B83A51"/>
    <w:rsid w:val="00B857CA"/>
    <w:rsid w:val="00B8671A"/>
    <w:rsid w:val="00B87411"/>
    <w:rsid w:val="00B91249"/>
    <w:rsid w:val="00B9127E"/>
    <w:rsid w:val="00B92F15"/>
    <w:rsid w:val="00B940DA"/>
    <w:rsid w:val="00B941F6"/>
    <w:rsid w:val="00B95728"/>
    <w:rsid w:val="00B96C9E"/>
    <w:rsid w:val="00B96F46"/>
    <w:rsid w:val="00B97D73"/>
    <w:rsid w:val="00BA31B0"/>
    <w:rsid w:val="00BA353A"/>
    <w:rsid w:val="00BA3696"/>
    <w:rsid w:val="00BA44A8"/>
    <w:rsid w:val="00BA4715"/>
    <w:rsid w:val="00BA478A"/>
    <w:rsid w:val="00BA6835"/>
    <w:rsid w:val="00BA784E"/>
    <w:rsid w:val="00BA7E15"/>
    <w:rsid w:val="00BB0724"/>
    <w:rsid w:val="00BB087B"/>
    <w:rsid w:val="00BB10B5"/>
    <w:rsid w:val="00BB2947"/>
    <w:rsid w:val="00BB2FF3"/>
    <w:rsid w:val="00BB394D"/>
    <w:rsid w:val="00BB3C87"/>
    <w:rsid w:val="00BB57F9"/>
    <w:rsid w:val="00BB61F5"/>
    <w:rsid w:val="00BC05A0"/>
    <w:rsid w:val="00BC05D4"/>
    <w:rsid w:val="00BC12DC"/>
    <w:rsid w:val="00BC1EBA"/>
    <w:rsid w:val="00BC412E"/>
    <w:rsid w:val="00BC5CFA"/>
    <w:rsid w:val="00BC6A5A"/>
    <w:rsid w:val="00BD0FF1"/>
    <w:rsid w:val="00BD1765"/>
    <w:rsid w:val="00BD3750"/>
    <w:rsid w:val="00BD4907"/>
    <w:rsid w:val="00BD5149"/>
    <w:rsid w:val="00BD6D4C"/>
    <w:rsid w:val="00BD7B63"/>
    <w:rsid w:val="00BD7D60"/>
    <w:rsid w:val="00BE1B82"/>
    <w:rsid w:val="00BE21BF"/>
    <w:rsid w:val="00BE230F"/>
    <w:rsid w:val="00BE4385"/>
    <w:rsid w:val="00BE7E53"/>
    <w:rsid w:val="00BF0CF1"/>
    <w:rsid w:val="00BF3B14"/>
    <w:rsid w:val="00BF5447"/>
    <w:rsid w:val="00BF7420"/>
    <w:rsid w:val="00C003CB"/>
    <w:rsid w:val="00C00493"/>
    <w:rsid w:val="00C005AE"/>
    <w:rsid w:val="00C0070E"/>
    <w:rsid w:val="00C01A07"/>
    <w:rsid w:val="00C040D6"/>
    <w:rsid w:val="00C04B3B"/>
    <w:rsid w:val="00C056BA"/>
    <w:rsid w:val="00C059E7"/>
    <w:rsid w:val="00C05DA9"/>
    <w:rsid w:val="00C07761"/>
    <w:rsid w:val="00C07FC0"/>
    <w:rsid w:val="00C10985"/>
    <w:rsid w:val="00C1124F"/>
    <w:rsid w:val="00C1170A"/>
    <w:rsid w:val="00C1245E"/>
    <w:rsid w:val="00C14257"/>
    <w:rsid w:val="00C14684"/>
    <w:rsid w:val="00C1512B"/>
    <w:rsid w:val="00C16EC7"/>
    <w:rsid w:val="00C204D1"/>
    <w:rsid w:val="00C20CE7"/>
    <w:rsid w:val="00C21AAD"/>
    <w:rsid w:val="00C21AB7"/>
    <w:rsid w:val="00C2256C"/>
    <w:rsid w:val="00C225FB"/>
    <w:rsid w:val="00C2262E"/>
    <w:rsid w:val="00C22A54"/>
    <w:rsid w:val="00C238A1"/>
    <w:rsid w:val="00C2481D"/>
    <w:rsid w:val="00C24EF5"/>
    <w:rsid w:val="00C27576"/>
    <w:rsid w:val="00C27982"/>
    <w:rsid w:val="00C279B6"/>
    <w:rsid w:val="00C27D39"/>
    <w:rsid w:val="00C3014C"/>
    <w:rsid w:val="00C313FE"/>
    <w:rsid w:val="00C322B8"/>
    <w:rsid w:val="00C323EC"/>
    <w:rsid w:val="00C3274C"/>
    <w:rsid w:val="00C347B5"/>
    <w:rsid w:val="00C35E38"/>
    <w:rsid w:val="00C36E29"/>
    <w:rsid w:val="00C4499C"/>
    <w:rsid w:val="00C47E69"/>
    <w:rsid w:val="00C50182"/>
    <w:rsid w:val="00C50371"/>
    <w:rsid w:val="00C50571"/>
    <w:rsid w:val="00C51D12"/>
    <w:rsid w:val="00C525CC"/>
    <w:rsid w:val="00C527E6"/>
    <w:rsid w:val="00C53BEA"/>
    <w:rsid w:val="00C54B9A"/>
    <w:rsid w:val="00C555B5"/>
    <w:rsid w:val="00C55780"/>
    <w:rsid w:val="00C55C83"/>
    <w:rsid w:val="00C564E9"/>
    <w:rsid w:val="00C566EB"/>
    <w:rsid w:val="00C567D6"/>
    <w:rsid w:val="00C57069"/>
    <w:rsid w:val="00C5799E"/>
    <w:rsid w:val="00C6141C"/>
    <w:rsid w:val="00C6172F"/>
    <w:rsid w:val="00C623BB"/>
    <w:rsid w:val="00C648E0"/>
    <w:rsid w:val="00C64E6E"/>
    <w:rsid w:val="00C65595"/>
    <w:rsid w:val="00C6712E"/>
    <w:rsid w:val="00C7269B"/>
    <w:rsid w:val="00C726CD"/>
    <w:rsid w:val="00C72764"/>
    <w:rsid w:val="00C72850"/>
    <w:rsid w:val="00C73580"/>
    <w:rsid w:val="00C755FC"/>
    <w:rsid w:val="00C756CD"/>
    <w:rsid w:val="00C75CB1"/>
    <w:rsid w:val="00C76949"/>
    <w:rsid w:val="00C76BBC"/>
    <w:rsid w:val="00C77553"/>
    <w:rsid w:val="00C8039D"/>
    <w:rsid w:val="00C80FAB"/>
    <w:rsid w:val="00C82A96"/>
    <w:rsid w:val="00C82C8E"/>
    <w:rsid w:val="00C8621D"/>
    <w:rsid w:val="00C87C31"/>
    <w:rsid w:val="00C90EC2"/>
    <w:rsid w:val="00C91119"/>
    <w:rsid w:val="00C91C4D"/>
    <w:rsid w:val="00C9227F"/>
    <w:rsid w:val="00C922D0"/>
    <w:rsid w:val="00C92B22"/>
    <w:rsid w:val="00C9326C"/>
    <w:rsid w:val="00CA001F"/>
    <w:rsid w:val="00CA1216"/>
    <w:rsid w:val="00CA3CC9"/>
    <w:rsid w:val="00CA45CA"/>
    <w:rsid w:val="00CA67CD"/>
    <w:rsid w:val="00CA69D2"/>
    <w:rsid w:val="00CA7102"/>
    <w:rsid w:val="00CB0526"/>
    <w:rsid w:val="00CB0999"/>
    <w:rsid w:val="00CB1084"/>
    <w:rsid w:val="00CB1932"/>
    <w:rsid w:val="00CB2492"/>
    <w:rsid w:val="00CB267B"/>
    <w:rsid w:val="00CB448F"/>
    <w:rsid w:val="00CC1EDE"/>
    <w:rsid w:val="00CC2CAB"/>
    <w:rsid w:val="00CC2FE8"/>
    <w:rsid w:val="00CC330D"/>
    <w:rsid w:val="00CC38E3"/>
    <w:rsid w:val="00CC50EA"/>
    <w:rsid w:val="00CC6C48"/>
    <w:rsid w:val="00CC733E"/>
    <w:rsid w:val="00CD00E3"/>
    <w:rsid w:val="00CD0D48"/>
    <w:rsid w:val="00CD299C"/>
    <w:rsid w:val="00CD39C3"/>
    <w:rsid w:val="00CD3CD9"/>
    <w:rsid w:val="00CD595F"/>
    <w:rsid w:val="00CD704C"/>
    <w:rsid w:val="00CE0EEC"/>
    <w:rsid w:val="00CE1C63"/>
    <w:rsid w:val="00CE2229"/>
    <w:rsid w:val="00CE2A1E"/>
    <w:rsid w:val="00CE2C82"/>
    <w:rsid w:val="00CE3266"/>
    <w:rsid w:val="00CE3BC8"/>
    <w:rsid w:val="00CE51A0"/>
    <w:rsid w:val="00CE5D6C"/>
    <w:rsid w:val="00CE6237"/>
    <w:rsid w:val="00CE63E0"/>
    <w:rsid w:val="00CE77E6"/>
    <w:rsid w:val="00CF0D8C"/>
    <w:rsid w:val="00CF0FB2"/>
    <w:rsid w:val="00CF30D8"/>
    <w:rsid w:val="00CF357C"/>
    <w:rsid w:val="00CF43AC"/>
    <w:rsid w:val="00CF4D53"/>
    <w:rsid w:val="00CF52CC"/>
    <w:rsid w:val="00CF556B"/>
    <w:rsid w:val="00CF5E5B"/>
    <w:rsid w:val="00CF6C1E"/>
    <w:rsid w:val="00D00128"/>
    <w:rsid w:val="00D006FC"/>
    <w:rsid w:val="00D00993"/>
    <w:rsid w:val="00D00D0C"/>
    <w:rsid w:val="00D010F6"/>
    <w:rsid w:val="00D01FAB"/>
    <w:rsid w:val="00D03244"/>
    <w:rsid w:val="00D03428"/>
    <w:rsid w:val="00D06E9A"/>
    <w:rsid w:val="00D078C6"/>
    <w:rsid w:val="00D102DC"/>
    <w:rsid w:val="00D1232B"/>
    <w:rsid w:val="00D1580C"/>
    <w:rsid w:val="00D15F7F"/>
    <w:rsid w:val="00D1663A"/>
    <w:rsid w:val="00D16DBB"/>
    <w:rsid w:val="00D175A0"/>
    <w:rsid w:val="00D30438"/>
    <w:rsid w:val="00D31F51"/>
    <w:rsid w:val="00D336E0"/>
    <w:rsid w:val="00D35378"/>
    <w:rsid w:val="00D357F9"/>
    <w:rsid w:val="00D35D6F"/>
    <w:rsid w:val="00D367B5"/>
    <w:rsid w:val="00D37E46"/>
    <w:rsid w:val="00D412CA"/>
    <w:rsid w:val="00D4138D"/>
    <w:rsid w:val="00D41C35"/>
    <w:rsid w:val="00D43764"/>
    <w:rsid w:val="00D437D7"/>
    <w:rsid w:val="00D44996"/>
    <w:rsid w:val="00D45F2A"/>
    <w:rsid w:val="00D4615F"/>
    <w:rsid w:val="00D46E03"/>
    <w:rsid w:val="00D47477"/>
    <w:rsid w:val="00D50174"/>
    <w:rsid w:val="00D5034B"/>
    <w:rsid w:val="00D5095F"/>
    <w:rsid w:val="00D5121F"/>
    <w:rsid w:val="00D5178A"/>
    <w:rsid w:val="00D519D2"/>
    <w:rsid w:val="00D535B6"/>
    <w:rsid w:val="00D53B4E"/>
    <w:rsid w:val="00D55335"/>
    <w:rsid w:val="00D55442"/>
    <w:rsid w:val="00D56EFB"/>
    <w:rsid w:val="00D60064"/>
    <w:rsid w:val="00D620AE"/>
    <w:rsid w:val="00D64F3B"/>
    <w:rsid w:val="00D65DFF"/>
    <w:rsid w:val="00D66747"/>
    <w:rsid w:val="00D66B6D"/>
    <w:rsid w:val="00D66FF2"/>
    <w:rsid w:val="00D67873"/>
    <w:rsid w:val="00D70AF6"/>
    <w:rsid w:val="00D70B63"/>
    <w:rsid w:val="00D71039"/>
    <w:rsid w:val="00D71163"/>
    <w:rsid w:val="00D7136C"/>
    <w:rsid w:val="00D71A31"/>
    <w:rsid w:val="00D71BBF"/>
    <w:rsid w:val="00D7222D"/>
    <w:rsid w:val="00D73C43"/>
    <w:rsid w:val="00D74DEE"/>
    <w:rsid w:val="00D755C0"/>
    <w:rsid w:val="00D774DC"/>
    <w:rsid w:val="00D77D5B"/>
    <w:rsid w:val="00D84108"/>
    <w:rsid w:val="00D84868"/>
    <w:rsid w:val="00D84AAE"/>
    <w:rsid w:val="00D8529C"/>
    <w:rsid w:val="00D8534F"/>
    <w:rsid w:val="00D85F13"/>
    <w:rsid w:val="00D85F56"/>
    <w:rsid w:val="00D86837"/>
    <w:rsid w:val="00D873C5"/>
    <w:rsid w:val="00D9172E"/>
    <w:rsid w:val="00D924A8"/>
    <w:rsid w:val="00D9288D"/>
    <w:rsid w:val="00D93FA7"/>
    <w:rsid w:val="00D96258"/>
    <w:rsid w:val="00D9649E"/>
    <w:rsid w:val="00D96ABC"/>
    <w:rsid w:val="00DA04D0"/>
    <w:rsid w:val="00DA1F5B"/>
    <w:rsid w:val="00DA314E"/>
    <w:rsid w:val="00DA4326"/>
    <w:rsid w:val="00DA4EDA"/>
    <w:rsid w:val="00DA745C"/>
    <w:rsid w:val="00DA7523"/>
    <w:rsid w:val="00DA75B4"/>
    <w:rsid w:val="00DA7831"/>
    <w:rsid w:val="00DB0083"/>
    <w:rsid w:val="00DB2638"/>
    <w:rsid w:val="00DB2A7B"/>
    <w:rsid w:val="00DB425B"/>
    <w:rsid w:val="00DB652F"/>
    <w:rsid w:val="00DB6729"/>
    <w:rsid w:val="00DB6D06"/>
    <w:rsid w:val="00DC05DE"/>
    <w:rsid w:val="00DC0E9F"/>
    <w:rsid w:val="00DC184E"/>
    <w:rsid w:val="00DC1DD0"/>
    <w:rsid w:val="00DC2501"/>
    <w:rsid w:val="00DC3884"/>
    <w:rsid w:val="00DC4D39"/>
    <w:rsid w:val="00DC637E"/>
    <w:rsid w:val="00DD1160"/>
    <w:rsid w:val="00DD2175"/>
    <w:rsid w:val="00DD22BA"/>
    <w:rsid w:val="00DD2763"/>
    <w:rsid w:val="00DD43BB"/>
    <w:rsid w:val="00DD4AAB"/>
    <w:rsid w:val="00DD50F8"/>
    <w:rsid w:val="00DD6C80"/>
    <w:rsid w:val="00DE01C5"/>
    <w:rsid w:val="00DE1337"/>
    <w:rsid w:val="00DE40EE"/>
    <w:rsid w:val="00DE4703"/>
    <w:rsid w:val="00DE553C"/>
    <w:rsid w:val="00DE7755"/>
    <w:rsid w:val="00DF1E20"/>
    <w:rsid w:val="00DF2ED1"/>
    <w:rsid w:val="00DF36EB"/>
    <w:rsid w:val="00DF42C2"/>
    <w:rsid w:val="00DF5231"/>
    <w:rsid w:val="00DF58AA"/>
    <w:rsid w:val="00DF64BA"/>
    <w:rsid w:val="00DF72BC"/>
    <w:rsid w:val="00DF7BBA"/>
    <w:rsid w:val="00E00C36"/>
    <w:rsid w:val="00E0184F"/>
    <w:rsid w:val="00E02B65"/>
    <w:rsid w:val="00E03969"/>
    <w:rsid w:val="00E045AD"/>
    <w:rsid w:val="00E04CEA"/>
    <w:rsid w:val="00E0659B"/>
    <w:rsid w:val="00E07216"/>
    <w:rsid w:val="00E1070E"/>
    <w:rsid w:val="00E10DC4"/>
    <w:rsid w:val="00E12B1D"/>
    <w:rsid w:val="00E13545"/>
    <w:rsid w:val="00E165BA"/>
    <w:rsid w:val="00E2097B"/>
    <w:rsid w:val="00E237EB"/>
    <w:rsid w:val="00E255C4"/>
    <w:rsid w:val="00E26E73"/>
    <w:rsid w:val="00E278C0"/>
    <w:rsid w:val="00E27BC0"/>
    <w:rsid w:val="00E30B63"/>
    <w:rsid w:val="00E3314E"/>
    <w:rsid w:val="00E34043"/>
    <w:rsid w:val="00E35358"/>
    <w:rsid w:val="00E35524"/>
    <w:rsid w:val="00E356CA"/>
    <w:rsid w:val="00E35E8B"/>
    <w:rsid w:val="00E35ECE"/>
    <w:rsid w:val="00E372D2"/>
    <w:rsid w:val="00E379FD"/>
    <w:rsid w:val="00E37CA9"/>
    <w:rsid w:val="00E4080F"/>
    <w:rsid w:val="00E40E9F"/>
    <w:rsid w:val="00E412F6"/>
    <w:rsid w:val="00E416DD"/>
    <w:rsid w:val="00E422C5"/>
    <w:rsid w:val="00E42758"/>
    <w:rsid w:val="00E429B4"/>
    <w:rsid w:val="00E45C78"/>
    <w:rsid w:val="00E45E57"/>
    <w:rsid w:val="00E46010"/>
    <w:rsid w:val="00E46180"/>
    <w:rsid w:val="00E46C77"/>
    <w:rsid w:val="00E501EA"/>
    <w:rsid w:val="00E5081B"/>
    <w:rsid w:val="00E50DA4"/>
    <w:rsid w:val="00E50E4F"/>
    <w:rsid w:val="00E52C9F"/>
    <w:rsid w:val="00E530CD"/>
    <w:rsid w:val="00E53730"/>
    <w:rsid w:val="00E543AF"/>
    <w:rsid w:val="00E56DF4"/>
    <w:rsid w:val="00E57835"/>
    <w:rsid w:val="00E607C4"/>
    <w:rsid w:val="00E609D5"/>
    <w:rsid w:val="00E60AF7"/>
    <w:rsid w:val="00E614C0"/>
    <w:rsid w:val="00E61F71"/>
    <w:rsid w:val="00E635EE"/>
    <w:rsid w:val="00E6385A"/>
    <w:rsid w:val="00E64234"/>
    <w:rsid w:val="00E64624"/>
    <w:rsid w:val="00E64F1E"/>
    <w:rsid w:val="00E656DE"/>
    <w:rsid w:val="00E66DFD"/>
    <w:rsid w:val="00E702BF"/>
    <w:rsid w:val="00E70C38"/>
    <w:rsid w:val="00E7572B"/>
    <w:rsid w:val="00E76E68"/>
    <w:rsid w:val="00E77130"/>
    <w:rsid w:val="00E776DF"/>
    <w:rsid w:val="00E77B01"/>
    <w:rsid w:val="00E80BE4"/>
    <w:rsid w:val="00E8108D"/>
    <w:rsid w:val="00E8157A"/>
    <w:rsid w:val="00E81957"/>
    <w:rsid w:val="00E81C89"/>
    <w:rsid w:val="00E827BF"/>
    <w:rsid w:val="00E82990"/>
    <w:rsid w:val="00E830C8"/>
    <w:rsid w:val="00E83525"/>
    <w:rsid w:val="00E844B5"/>
    <w:rsid w:val="00E845F8"/>
    <w:rsid w:val="00E84DF0"/>
    <w:rsid w:val="00E85A86"/>
    <w:rsid w:val="00E87044"/>
    <w:rsid w:val="00E87427"/>
    <w:rsid w:val="00E91E9C"/>
    <w:rsid w:val="00E933EA"/>
    <w:rsid w:val="00E9346A"/>
    <w:rsid w:val="00E939ED"/>
    <w:rsid w:val="00E9567E"/>
    <w:rsid w:val="00E97EDA"/>
    <w:rsid w:val="00EA1E5F"/>
    <w:rsid w:val="00EA2552"/>
    <w:rsid w:val="00EA34B8"/>
    <w:rsid w:val="00EA537C"/>
    <w:rsid w:val="00EA60FC"/>
    <w:rsid w:val="00EA6987"/>
    <w:rsid w:val="00EA6A28"/>
    <w:rsid w:val="00EA6ABC"/>
    <w:rsid w:val="00EA7995"/>
    <w:rsid w:val="00EB0D56"/>
    <w:rsid w:val="00EB14A7"/>
    <w:rsid w:val="00EB293C"/>
    <w:rsid w:val="00EB38F2"/>
    <w:rsid w:val="00EB412C"/>
    <w:rsid w:val="00EB5284"/>
    <w:rsid w:val="00EB6FB1"/>
    <w:rsid w:val="00EB736A"/>
    <w:rsid w:val="00EB7EAA"/>
    <w:rsid w:val="00EC0098"/>
    <w:rsid w:val="00EC0548"/>
    <w:rsid w:val="00EC1D2A"/>
    <w:rsid w:val="00EC3441"/>
    <w:rsid w:val="00EC35B0"/>
    <w:rsid w:val="00EC37E2"/>
    <w:rsid w:val="00EC3903"/>
    <w:rsid w:val="00EC700F"/>
    <w:rsid w:val="00EC73D7"/>
    <w:rsid w:val="00ED1389"/>
    <w:rsid w:val="00ED164B"/>
    <w:rsid w:val="00ED2E52"/>
    <w:rsid w:val="00ED5013"/>
    <w:rsid w:val="00ED554C"/>
    <w:rsid w:val="00ED5AC5"/>
    <w:rsid w:val="00ED6A8D"/>
    <w:rsid w:val="00ED70B2"/>
    <w:rsid w:val="00EE0A8B"/>
    <w:rsid w:val="00EE1F69"/>
    <w:rsid w:val="00EE2532"/>
    <w:rsid w:val="00EE36EA"/>
    <w:rsid w:val="00EE4576"/>
    <w:rsid w:val="00EE7112"/>
    <w:rsid w:val="00EF054B"/>
    <w:rsid w:val="00EF228E"/>
    <w:rsid w:val="00EF2370"/>
    <w:rsid w:val="00EF37CC"/>
    <w:rsid w:val="00EF3956"/>
    <w:rsid w:val="00EF3CAC"/>
    <w:rsid w:val="00EF3F6F"/>
    <w:rsid w:val="00EF518E"/>
    <w:rsid w:val="00F00226"/>
    <w:rsid w:val="00F02DF6"/>
    <w:rsid w:val="00F03B1B"/>
    <w:rsid w:val="00F04158"/>
    <w:rsid w:val="00F04C54"/>
    <w:rsid w:val="00F04CC2"/>
    <w:rsid w:val="00F057A8"/>
    <w:rsid w:val="00F11491"/>
    <w:rsid w:val="00F1195C"/>
    <w:rsid w:val="00F12AAF"/>
    <w:rsid w:val="00F12B61"/>
    <w:rsid w:val="00F12DDE"/>
    <w:rsid w:val="00F14AB6"/>
    <w:rsid w:val="00F15664"/>
    <w:rsid w:val="00F15DD4"/>
    <w:rsid w:val="00F163C2"/>
    <w:rsid w:val="00F167A5"/>
    <w:rsid w:val="00F17117"/>
    <w:rsid w:val="00F1782E"/>
    <w:rsid w:val="00F20D90"/>
    <w:rsid w:val="00F219DB"/>
    <w:rsid w:val="00F231A8"/>
    <w:rsid w:val="00F244EA"/>
    <w:rsid w:val="00F24FDB"/>
    <w:rsid w:val="00F2574B"/>
    <w:rsid w:val="00F2586B"/>
    <w:rsid w:val="00F25D6A"/>
    <w:rsid w:val="00F26232"/>
    <w:rsid w:val="00F27390"/>
    <w:rsid w:val="00F30840"/>
    <w:rsid w:val="00F30974"/>
    <w:rsid w:val="00F30BC2"/>
    <w:rsid w:val="00F317E0"/>
    <w:rsid w:val="00F31FBB"/>
    <w:rsid w:val="00F32A6C"/>
    <w:rsid w:val="00F32D0F"/>
    <w:rsid w:val="00F33286"/>
    <w:rsid w:val="00F35502"/>
    <w:rsid w:val="00F37183"/>
    <w:rsid w:val="00F37625"/>
    <w:rsid w:val="00F40194"/>
    <w:rsid w:val="00F4059A"/>
    <w:rsid w:val="00F40648"/>
    <w:rsid w:val="00F40689"/>
    <w:rsid w:val="00F40FA4"/>
    <w:rsid w:val="00F42077"/>
    <w:rsid w:val="00F43D88"/>
    <w:rsid w:val="00F44566"/>
    <w:rsid w:val="00F44CA9"/>
    <w:rsid w:val="00F454C3"/>
    <w:rsid w:val="00F45969"/>
    <w:rsid w:val="00F46190"/>
    <w:rsid w:val="00F5041A"/>
    <w:rsid w:val="00F50983"/>
    <w:rsid w:val="00F542EA"/>
    <w:rsid w:val="00F547DA"/>
    <w:rsid w:val="00F54A10"/>
    <w:rsid w:val="00F558B0"/>
    <w:rsid w:val="00F56A1E"/>
    <w:rsid w:val="00F56F26"/>
    <w:rsid w:val="00F60334"/>
    <w:rsid w:val="00F6089E"/>
    <w:rsid w:val="00F6151D"/>
    <w:rsid w:val="00F61AD8"/>
    <w:rsid w:val="00F61ECB"/>
    <w:rsid w:val="00F62E4D"/>
    <w:rsid w:val="00F62EC8"/>
    <w:rsid w:val="00F63170"/>
    <w:rsid w:val="00F6327D"/>
    <w:rsid w:val="00F6350F"/>
    <w:rsid w:val="00F63B1B"/>
    <w:rsid w:val="00F644CA"/>
    <w:rsid w:val="00F650BF"/>
    <w:rsid w:val="00F6716A"/>
    <w:rsid w:val="00F67339"/>
    <w:rsid w:val="00F67D7A"/>
    <w:rsid w:val="00F70584"/>
    <w:rsid w:val="00F70FF8"/>
    <w:rsid w:val="00F713CB"/>
    <w:rsid w:val="00F71F6A"/>
    <w:rsid w:val="00F72502"/>
    <w:rsid w:val="00F73CF2"/>
    <w:rsid w:val="00F750B1"/>
    <w:rsid w:val="00F76885"/>
    <w:rsid w:val="00F76B62"/>
    <w:rsid w:val="00F77574"/>
    <w:rsid w:val="00F822F8"/>
    <w:rsid w:val="00F82DF7"/>
    <w:rsid w:val="00F8448C"/>
    <w:rsid w:val="00F84782"/>
    <w:rsid w:val="00F8690D"/>
    <w:rsid w:val="00F86C07"/>
    <w:rsid w:val="00F87674"/>
    <w:rsid w:val="00F87BD3"/>
    <w:rsid w:val="00F90137"/>
    <w:rsid w:val="00F92263"/>
    <w:rsid w:val="00F927FB"/>
    <w:rsid w:val="00F94061"/>
    <w:rsid w:val="00F9538F"/>
    <w:rsid w:val="00F9786E"/>
    <w:rsid w:val="00FA0C24"/>
    <w:rsid w:val="00FA1FDD"/>
    <w:rsid w:val="00FA2166"/>
    <w:rsid w:val="00FA28A6"/>
    <w:rsid w:val="00FA6600"/>
    <w:rsid w:val="00FA6A89"/>
    <w:rsid w:val="00FB1628"/>
    <w:rsid w:val="00FB2798"/>
    <w:rsid w:val="00FB28D2"/>
    <w:rsid w:val="00FB2996"/>
    <w:rsid w:val="00FB3DCF"/>
    <w:rsid w:val="00FB422F"/>
    <w:rsid w:val="00FB4683"/>
    <w:rsid w:val="00FB61FB"/>
    <w:rsid w:val="00FB6BAE"/>
    <w:rsid w:val="00FB74A5"/>
    <w:rsid w:val="00FC05A6"/>
    <w:rsid w:val="00FC1D58"/>
    <w:rsid w:val="00FC2290"/>
    <w:rsid w:val="00FC31D7"/>
    <w:rsid w:val="00FC33ED"/>
    <w:rsid w:val="00FC4528"/>
    <w:rsid w:val="00FC4D5C"/>
    <w:rsid w:val="00FD0337"/>
    <w:rsid w:val="00FD1317"/>
    <w:rsid w:val="00FD13F9"/>
    <w:rsid w:val="00FD2041"/>
    <w:rsid w:val="00FD269B"/>
    <w:rsid w:val="00FD3EBC"/>
    <w:rsid w:val="00FD4654"/>
    <w:rsid w:val="00FD62ED"/>
    <w:rsid w:val="00FD76C9"/>
    <w:rsid w:val="00FE08FC"/>
    <w:rsid w:val="00FE3055"/>
    <w:rsid w:val="00FE4B4E"/>
    <w:rsid w:val="00FE5A73"/>
    <w:rsid w:val="00FE624F"/>
    <w:rsid w:val="00FF0986"/>
    <w:rsid w:val="00FF0F3C"/>
    <w:rsid w:val="00FF11AC"/>
    <w:rsid w:val="00FF2FB7"/>
    <w:rsid w:val="00FF3F08"/>
    <w:rsid w:val="00FF42ED"/>
    <w:rsid w:val="00FF5041"/>
    <w:rsid w:val="00FF5B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24FB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19" w:unhideWhenUsed="1"/>
    <w:lsdException w:name="endnote text" w:semiHidden="1" w:uiPriority="1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4"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19" w:unhideWhenUsed="1"/>
    <w:lsdException w:name="Emphasis" w:uiPriority="20" w:qFormat="1"/>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B34"/>
    <w:pPr>
      <w:spacing w:after="160" w:line="259" w:lineRule="auto"/>
    </w:pPr>
  </w:style>
  <w:style w:type="paragraph" w:styleId="Heading1">
    <w:name w:val="heading 1"/>
    <w:basedOn w:val="Normal"/>
    <w:next w:val="BodyText"/>
    <w:link w:val="Heading1Char"/>
    <w:qFormat/>
    <w:rsid w:val="00D84108"/>
    <w:pPr>
      <w:keepNext/>
      <w:numPr>
        <w:numId w:val="13"/>
      </w:numPr>
      <w:spacing w:before="300" w:line="280" w:lineRule="atLeast"/>
      <w:outlineLvl w:val="0"/>
    </w:pPr>
    <w:rPr>
      <w:rFonts w:asciiTheme="majorHAnsi" w:eastAsia="Times New Roman" w:hAnsiTheme="majorHAnsi" w:cs="Arial"/>
      <w:b/>
      <w:bCs/>
      <w:color w:val="22789A"/>
      <w:kern w:val="32"/>
      <w:sz w:val="32"/>
      <w:szCs w:val="32"/>
    </w:rPr>
  </w:style>
  <w:style w:type="paragraph" w:styleId="Heading2">
    <w:name w:val="heading 2"/>
    <w:basedOn w:val="Heading1"/>
    <w:next w:val="BodyText"/>
    <w:link w:val="Heading2Char"/>
    <w:qFormat/>
    <w:rsid w:val="00D84108"/>
    <w:pPr>
      <w:numPr>
        <w:ilvl w:val="1"/>
      </w:numPr>
      <w:outlineLvl w:val="1"/>
    </w:pPr>
    <w:rPr>
      <w:b w:val="0"/>
      <w:bCs w:val="0"/>
      <w:iCs/>
      <w:color w:val="6CCCDE"/>
      <w:sz w:val="22"/>
      <w:szCs w:val="28"/>
    </w:rPr>
  </w:style>
  <w:style w:type="paragraph" w:styleId="Heading3">
    <w:name w:val="heading 3"/>
    <w:basedOn w:val="BodyText"/>
    <w:next w:val="BodyText"/>
    <w:link w:val="Heading3Char"/>
    <w:qFormat/>
    <w:rsid w:val="00D84108"/>
    <w:pPr>
      <w:keepNext/>
      <w:numPr>
        <w:ilvl w:val="2"/>
        <w:numId w:val="13"/>
      </w:numPr>
      <w:spacing w:before="300" w:line="280" w:lineRule="atLeast"/>
      <w:jc w:val="left"/>
      <w:outlineLvl w:val="2"/>
    </w:pPr>
    <w:rPr>
      <w:rFonts w:asciiTheme="majorHAnsi" w:eastAsia="Times New Roman" w:hAnsiTheme="majorHAnsi" w:cs="Arial"/>
      <w:bCs/>
      <w:color w:val="22789A"/>
      <w:sz w:val="22"/>
    </w:rPr>
  </w:style>
  <w:style w:type="paragraph" w:styleId="Heading4">
    <w:name w:val="heading 4"/>
    <w:basedOn w:val="BodyText"/>
    <w:next w:val="BodyText"/>
    <w:link w:val="Heading4Char"/>
    <w:uiPriority w:val="9"/>
    <w:unhideWhenUsed/>
    <w:rsid w:val="00D84108"/>
    <w:pPr>
      <w:keepNext/>
      <w:keepLines/>
      <w:spacing w:before="200" w:after="0"/>
      <w:outlineLvl w:val="3"/>
    </w:pPr>
    <w:rPr>
      <w:rFonts w:asciiTheme="majorHAnsi" w:eastAsiaTheme="majorEastAsia" w:hAnsiTheme="majorHAnsi" w:cstheme="majorBidi"/>
      <w:b/>
      <w:bCs/>
      <w:i/>
      <w:iCs/>
      <w:color w:val="auto"/>
    </w:rPr>
  </w:style>
  <w:style w:type="paragraph" w:styleId="Heading5">
    <w:name w:val="heading 5"/>
    <w:basedOn w:val="Normal"/>
    <w:next w:val="Normal"/>
    <w:link w:val="Heading5Char"/>
    <w:uiPriority w:val="9"/>
    <w:semiHidden/>
    <w:rsid w:val="00824AB1"/>
    <w:pPr>
      <w:keepNext/>
      <w:keepLines/>
      <w:spacing w:before="40" w:after="0"/>
      <w:outlineLvl w:val="4"/>
    </w:pPr>
    <w:rPr>
      <w:rFonts w:asciiTheme="majorHAnsi" w:eastAsiaTheme="majorEastAsia" w:hAnsiTheme="majorHAnsi" w:cstheme="majorBidi"/>
      <w:color w:val="1E204C" w:themeColor="accent1" w:themeShade="BF"/>
    </w:rPr>
  </w:style>
  <w:style w:type="paragraph" w:styleId="Heading6">
    <w:name w:val="heading 6"/>
    <w:basedOn w:val="Normal"/>
    <w:next w:val="BodyText"/>
    <w:link w:val="Heading6Char"/>
    <w:uiPriority w:val="1"/>
    <w:qFormat/>
    <w:rsid w:val="00D84108"/>
    <w:pPr>
      <w:keepNext/>
      <w:pageBreakBefore/>
      <w:numPr>
        <w:ilvl w:val="5"/>
        <w:numId w:val="13"/>
      </w:numPr>
      <w:spacing w:before="300" w:line="280" w:lineRule="atLeast"/>
      <w:outlineLvl w:val="5"/>
    </w:pPr>
    <w:rPr>
      <w:rFonts w:asciiTheme="majorHAnsi" w:eastAsiaTheme="majorEastAsia" w:hAnsiTheme="majorHAnsi" w:cstheme="majorBidi"/>
      <w:b/>
      <w:iCs/>
      <w:color w:val="22789A"/>
      <w:sz w:val="32"/>
    </w:rPr>
  </w:style>
  <w:style w:type="paragraph" w:styleId="Heading7">
    <w:name w:val="heading 7"/>
    <w:basedOn w:val="Normal"/>
    <w:next w:val="BodyText"/>
    <w:link w:val="Heading7Char"/>
    <w:uiPriority w:val="1"/>
    <w:qFormat/>
    <w:rsid w:val="00D84108"/>
    <w:pPr>
      <w:keepNext/>
      <w:keepLines/>
      <w:numPr>
        <w:ilvl w:val="6"/>
        <w:numId w:val="13"/>
      </w:numPr>
      <w:spacing w:before="300" w:line="280" w:lineRule="atLeast"/>
      <w:outlineLvl w:val="6"/>
    </w:pPr>
    <w:rPr>
      <w:rFonts w:asciiTheme="majorHAnsi" w:eastAsiaTheme="majorEastAsia" w:hAnsiTheme="majorHAnsi" w:cstheme="majorBidi"/>
      <w:b/>
      <w:iCs/>
      <w:color w:val="6CCCDE"/>
    </w:rPr>
  </w:style>
  <w:style w:type="paragraph" w:styleId="Heading8">
    <w:name w:val="heading 8"/>
    <w:basedOn w:val="Normal"/>
    <w:next w:val="BodyText"/>
    <w:link w:val="Heading8Char"/>
    <w:uiPriority w:val="1"/>
    <w:qFormat/>
    <w:rsid w:val="00D84108"/>
    <w:pPr>
      <w:keepNext/>
      <w:keepLines/>
      <w:numPr>
        <w:ilvl w:val="7"/>
        <w:numId w:val="13"/>
      </w:numPr>
      <w:spacing w:before="300"/>
      <w:outlineLvl w:val="7"/>
    </w:pPr>
    <w:rPr>
      <w:rFonts w:asciiTheme="majorHAnsi" w:eastAsiaTheme="majorEastAsia" w:hAnsiTheme="majorHAnsi" w:cstheme="majorBidi"/>
      <w:color w:val="22789A"/>
      <w:szCs w:val="20"/>
    </w:rPr>
  </w:style>
  <w:style w:type="paragraph" w:styleId="Heading9">
    <w:name w:val="heading 9"/>
    <w:basedOn w:val="Normal"/>
    <w:next w:val="Normal"/>
    <w:link w:val="Heading9Char"/>
    <w:semiHidden/>
    <w:unhideWhenUsed/>
    <w:qFormat/>
    <w:rsid w:val="00824AB1"/>
    <w:pPr>
      <w:keepNext/>
      <w:keepLines/>
      <w:spacing w:before="40" w:after="0"/>
      <w:outlineLvl w:val="8"/>
    </w:pPr>
    <w:rPr>
      <w:rFonts w:asciiTheme="majorHAnsi" w:eastAsiaTheme="majorEastAsia" w:hAnsiTheme="majorHAnsi" w:cstheme="majorBidi"/>
      <w:i/>
      <w:iCs/>
      <w:color w:val="727374" w:themeColor="text1" w:themeTint="D8"/>
      <w:sz w:val="21"/>
      <w:szCs w:val="21"/>
    </w:rPr>
  </w:style>
  <w:style w:type="character" w:default="1" w:styleId="DefaultParagraphFont">
    <w:name w:val="Default Paragraph Font"/>
    <w:uiPriority w:val="1"/>
    <w:semiHidden/>
    <w:unhideWhenUsed/>
    <w:rsid w:val="006E7B3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E7B34"/>
  </w:style>
  <w:style w:type="table" w:styleId="TableContemporary">
    <w:name w:val="Table Contemporary"/>
    <w:basedOn w:val="TableNormal"/>
    <w:rsid w:val="00D84108"/>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D84108"/>
    <w:pPr>
      <w:numPr>
        <w:numId w:val="1"/>
      </w:numPr>
      <w:tabs>
        <w:tab w:val="clear" w:pos="1418"/>
        <w:tab w:val="num" w:pos="360"/>
      </w:tabs>
      <w:spacing w:before="100" w:line="312" w:lineRule="auto"/>
      <w:ind w:left="2160" w:firstLine="0"/>
    </w:pPr>
    <w:rPr>
      <w:rFonts w:eastAsia="Times New Roman"/>
      <w:lang w:eastAsia="en-AU"/>
    </w:rPr>
  </w:style>
  <w:style w:type="character" w:customStyle="1" w:styleId="Heading1Char">
    <w:name w:val="Heading 1 Char"/>
    <w:basedOn w:val="DefaultParagraphFont"/>
    <w:link w:val="Heading1"/>
    <w:rsid w:val="00D84108"/>
    <w:rPr>
      <w:rFonts w:asciiTheme="majorHAnsi" w:eastAsia="Times New Roman" w:hAnsiTheme="majorHAnsi" w:cs="Arial"/>
      <w:b/>
      <w:bCs/>
      <w:color w:val="22789A"/>
      <w:kern w:val="32"/>
      <w:sz w:val="32"/>
      <w:szCs w:val="32"/>
    </w:rPr>
  </w:style>
  <w:style w:type="character" w:customStyle="1" w:styleId="Heading2Char">
    <w:name w:val="Heading 2 Char"/>
    <w:basedOn w:val="DefaultParagraphFont"/>
    <w:link w:val="Heading2"/>
    <w:rsid w:val="00D84108"/>
    <w:rPr>
      <w:rFonts w:asciiTheme="majorHAnsi" w:eastAsia="Times New Roman" w:hAnsiTheme="majorHAnsi" w:cs="Arial"/>
      <w:iCs/>
      <w:color w:val="6CCCDE"/>
      <w:kern w:val="32"/>
      <w:szCs w:val="28"/>
    </w:rPr>
  </w:style>
  <w:style w:type="character" w:customStyle="1" w:styleId="Heading3Char">
    <w:name w:val="Heading 3 Char"/>
    <w:basedOn w:val="DefaultParagraphFont"/>
    <w:link w:val="Heading3"/>
    <w:rsid w:val="00D84108"/>
    <w:rPr>
      <w:rFonts w:asciiTheme="majorHAnsi" w:eastAsia="Times New Roman" w:hAnsiTheme="majorHAnsi" w:cs="Arial"/>
      <w:bCs/>
      <w:color w:val="22789A"/>
    </w:rPr>
  </w:style>
  <w:style w:type="paragraph" w:styleId="TOC1">
    <w:name w:val="toc 1"/>
    <w:basedOn w:val="Normal"/>
    <w:next w:val="Normal"/>
    <w:autoRedefine/>
    <w:uiPriority w:val="39"/>
    <w:rsid w:val="00247506"/>
    <w:pPr>
      <w:tabs>
        <w:tab w:val="left" w:pos="1276"/>
        <w:tab w:val="right" w:pos="8931"/>
      </w:tabs>
      <w:spacing w:before="240" w:after="120"/>
      <w:ind w:left="567" w:hanging="567"/>
    </w:pPr>
    <w:rPr>
      <w:rFonts w:eastAsia="Times New Roman"/>
      <w:b/>
      <w:noProof/>
      <w:szCs w:val="24"/>
    </w:rPr>
  </w:style>
  <w:style w:type="paragraph" w:styleId="FootnoteText">
    <w:name w:val="footnote text"/>
    <w:basedOn w:val="Normal"/>
    <w:link w:val="FootnoteTextChar"/>
    <w:uiPriority w:val="99"/>
    <w:rsid w:val="00D84108"/>
    <w:pPr>
      <w:ind w:left="2268" w:hanging="108"/>
    </w:pPr>
    <w:rPr>
      <w:rFonts w:eastAsia="Times New Roman"/>
      <w:sz w:val="16"/>
    </w:rPr>
  </w:style>
  <w:style w:type="character" w:customStyle="1" w:styleId="FootnoteTextChar">
    <w:name w:val="Footnote Text Char"/>
    <w:basedOn w:val="DefaultParagraphFont"/>
    <w:link w:val="FootnoteText"/>
    <w:uiPriority w:val="99"/>
    <w:rsid w:val="00D84108"/>
    <w:rPr>
      <w:rFonts w:ascii="Arial" w:eastAsia="Times New Roman" w:hAnsi="Arial"/>
      <w:color w:val="595A5B"/>
      <w:sz w:val="16"/>
    </w:rPr>
  </w:style>
  <w:style w:type="paragraph" w:styleId="Footer">
    <w:name w:val="footer"/>
    <w:basedOn w:val="Normal"/>
    <w:link w:val="FooterChar"/>
    <w:uiPriority w:val="9"/>
    <w:rsid w:val="00D84108"/>
    <w:pPr>
      <w:tabs>
        <w:tab w:val="right" w:pos="9680"/>
      </w:tabs>
    </w:pPr>
    <w:rPr>
      <w:rFonts w:eastAsia="Times New Roman"/>
      <w:sz w:val="16"/>
      <w:szCs w:val="16"/>
    </w:rPr>
  </w:style>
  <w:style w:type="character" w:customStyle="1" w:styleId="FooterChar">
    <w:name w:val="Footer Char"/>
    <w:basedOn w:val="DefaultParagraphFont"/>
    <w:link w:val="Footer"/>
    <w:uiPriority w:val="9"/>
    <w:rsid w:val="00D84108"/>
    <w:rPr>
      <w:rFonts w:ascii="Arial" w:eastAsia="Times New Roman" w:hAnsi="Arial"/>
      <w:color w:val="595A5B"/>
      <w:sz w:val="16"/>
      <w:szCs w:val="16"/>
    </w:rPr>
  </w:style>
  <w:style w:type="paragraph" w:styleId="TableofFigures">
    <w:name w:val="table of figures"/>
    <w:basedOn w:val="Normal"/>
    <w:next w:val="Normal"/>
    <w:uiPriority w:val="99"/>
    <w:rsid w:val="00D84108"/>
    <w:pPr>
      <w:tabs>
        <w:tab w:val="right" w:pos="8930"/>
      </w:tabs>
      <w:ind w:left="1134" w:right="804" w:hanging="440"/>
    </w:pPr>
    <w:rPr>
      <w:rFonts w:eastAsia="Times New Roman"/>
      <w:b/>
      <w:bCs/>
      <w:noProof/>
      <w:lang w:val="en-US"/>
    </w:rPr>
  </w:style>
  <w:style w:type="character" w:styleId="FootnoteReference">
    <w:name w:val="footnote reference"/>
    <w:basedOn w:val="DefaultParagraphFont"/>
    <w:uiPriority w:val="99"/>
    <w:rsid w:val="00D84108"/>
    <w:rPr>
      <w:vertAlign w:val="superscript"/>
    </w:rPr>
  </w:style>
  <w:style w:type="character" w:styleId="PageNumber">
    <w:name w:val="page number"/>
    <w:rsid w:val="00D84108"/>
    <w:rPr>
      <w:rFonts w:ascii="Arial" w:hAnsi="Arial"/>
      <w:sz w:val="18"/>
    </w:rPr>
  </w:style>
  <w:style w:type="paragraph" w:styleId="BodyText">
    <w:name w:val="Body Text"/>
    <w:link w:val="BodyTextChar"/>
    <w:qFormat/>
    <w:rsid w:val="00D84108"/>
    <w:pPr>
      <w:spacing w:after="180" w:line="270" w:lineRule="exact"/>
      <w:jc w:val="both"/>
    </w:pPr>
    <w:rPr>
      <w:color w:val="595A5B"/>
      <w:sz w:val="20"/>
    </w:rPr>
  </w:style>
  <w:style w:type="character" w:customStyle="1" w:styleId="BodyTextChar">
    <w:name w:val="Body Text Char"/>
    <w:basedOn w:val="DefaultParagraphFont"/>
    <w:link w:val="BodyText"/>
    <w:rsid w:val="00D84108"/>
    <w:rPr>
      <w:color w:val="595A5B"/>
      <w:sz w:val="20"/>
    </w:rPr>
  </w:style>
  <w:style w:type="paragraph" w:styleId="Subtitle">
    <w:name w:val="Subtitle"/>
    <w:basedOn w:val="Normal"/>
    <w:next w:val="Normal"/>
    <w:link w:val="SubtitleChar"/>
    <w:rsid w:val="00D84108"/>
    <w:pPr>
      <w:numPr>
        <w:ilvl w:val="1"/>
      </w:numPr>
      <w:ind w:left="2160"/>
    </w:pPr>
    <w:rPr>
      <w:rFonts w:asciiTheme="majorHAnsi" w:eastAsiaTheme="majorEastAsia" w:hAnsiTheme="majorHAnsi" w:cstheme="majorBidi"/>
      <w:i/>
      <w:iCs/>
      <w:color w:val="292B67" w:themeColor="accent1"/>
      <w:spacing w:val="15"/>
      <w:sz w:val="24"/>
      <w:szCs w:val="24"/>
    </w:rPr>
  </w:style>
  <w:style w:type="character" w:customStyle="1" w:styleId="SubtitleChar">
    <w:name w:val="Subtitle Char"/>
    <w:basedOn w:val="DefaultParagraphFont"/>
    <w:link w:val="Subtitle"/>
    <w:rsid w:val="00D84108"/>
    <w:rPr>
      <w:rFonts w:asciiTheme="majorHAnsi" w:eastAsiaTheme="majorEastAsia" w:hAnsiTheme="majorHAnsi" w:cstheme="majorBidi"/>
      <w:i/>
      <w:iCs/>
      <w:color w:val="292B67" w:themeColor="accent1"/>
      <w:spacing w:val="15"/>
      <w:sz w:val="24"/>
      <w:szCs w:val="24"/>
    </w:rPr>
  </w:style>
  <w:style w:type="character" w:styleId="Hyperlink">
    <w:name w:val="Hyperlink"/>
    <w:uiPriority w:val="99"/>
    <w:rsid w:val="00D84108"/>
    <w:rPr>
      <w:color w:val="22789A"/>
      <w:u w:val="single"/>
    </w:rPr>
  </w:style>
  <w:style w:type="table" w:styleId="Table3Deffects1">
    <w:name w:val="Table 3D effects 1"/>
    <w:basedOn w:val="TableNormal"/>
    <w:rsid w:val="00D84108"/>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D84108"/>
    <w:rPr>
      <w:rFonts w:ascii="Tahoma" w:eastAsia="Times New Roman" w:hAnsi="Tahoma" w:cs="Tahoma"/>
      <w:sz w:val="16"/>
      <w:szCs w:val="16"/>
    </w:rPr>
  </w:style>
  <w:style w:type="character" w:customStyle="1" w:styleId="BalloonTextChar">
    <w:name w:val="Balloon Text Char"/>
    <w:basedOn w:val="DefaultParagraphFont"/>
    <w:link w:val="BalloonText"/>
    <w:rsid w:val="00D84108"/>
    <w:rPr>
      <w:rFonts w:ascii="Tahoma" w:eastAsia="Times New Roman" w:hAnsi="Tahoma" w:cs="Tahoma"/>
      <w:color w:val="595A5B"/>
      <w:sz w:val="16"/>
      <w:szCs w:val="16"/>
    </w:rPr>
  </w:style>
  <w:style w:type="table" w:styleId="TableGrid">
    <w:name w:val="Table Grid"/>
    <w:basedOn w:val="TableNormal"/>
    <w:uiPriority w:val="59"/>
    <w:rsid w:val="00D84108"/>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84108"/>
    <w:rPr>
      <w:color w:val="808080"/>
    </w:rPr>
  </w:style>
  <w:style w:type="table" w:styleId="MediumGrid3-Accent1">
    <w:name w:val="Medium Grid 3 Accent 1"/>
    <w:basedOn w:val="TableNormal"/>
    <w:uiPriority w:val="69"/>
    <w:rsid w:val="00D84108"/>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BFE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2B6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2B6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2B6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2B6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C7EC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C7ECB" w:themeFill="accent1" w:themeFillTint="7F"/>
      </w:tcPr>
    </w:tblStylePr>
  </w:style>
  <w:style w:type="table" w:styleId="ColorfulGrid-Accent1">
    <w:name w:val="Colorful Grid Accent 1"/>
    <w:basedOn w:val="TableNormal"/>
    <w:uiPriority w:val="73"/>
    <w:rsid w:val="00D84108"/>
    <w:rPr>
      <w:rFonts w:eastAsia="Times New Roman"/>
      <w:color w:val="595A5B" w:themeColor="text1"/>
      <w:lang w:eastAsia="en-AU"/>
    </w:rPr>
    <w:tblPr>
      <w:tblStyleRowBandSize w:val="1"/>
      <w:tblStyleColBandSize w:val="1"/>
      <w:tblBorders>
        <w:insideH w:val="single" w:sz="4" w:space="0" w:color="FFFFFF" w:themeColor="background1"/>
      </w:tblBorders>
    </w:tblPr>
    <w:tcPr>
      <w:shd w:val="clear" w:color="auto" w:fill="CACBEA" w:themeFill="accent1" w:themeFillTint="33"/>
    </w:tcPr>
    <w:tblStylePr w:type="firstRow">
      <w:rPr>
        <w:b/>
        <w:bCs/>
      </w:rPr>
      <w:tblPr/>
      <w:tcPr>
        <w:shd w:val="clear" w:color="auto" w:fill="9697D5" w:themeFill="accent1" w:themeFillTint="66"/>
      </w:tcPr>
    </w:tblStylePr>
    <w:tblStylePr w:type="lastRow">
      <w:rPr>
        <w:b/>
        <w:bCs/>
        <w:color w:val="595A5B" w:themeColor="text1"/>
      </w:rPr>
      <w:tblPr/>
      <w:tcPr>
        <w:shd w:val="clear" w:color="auto" w:fill="9697D5" w:themeFill="accent1" w:themeFillTint="66"/>
      </w:tcPr>
    </w:tblStylePr>
    <w:tblStylePr w:type="firstCol">
      <w:rPr>
        <w:color w:val="FFFFFF" w:themeColor="background1"/>
      </w:rPr>
      <w:tblPr/>
      <w:tcPr>
        <w:shd w:val="clear" w:color="auto" w:fill="1E204C" w:themeFill="accent1" w:themeFillShade="BF"/>
      </w:tcPr>
    </w:tblStylePr>
    <w:tblStylePr w:type="lastCol">
      <w:rPr>
        <w:color w:val="FFFFFF" w:themeColor="background1"/>
      </w:rPr>
      <w:tblPr/>
      <w:tcPr>
        <w:shd w:val="clear" w:color="auto" w:fill="1E204C" w:themeFill="accent1" w:themeFillShade="BF"/>
      </w:tcPr>
    </w:tblStylePr>
    <w:tblStylePr w:type="band1Vert">
      <w:tblPr/>
      <w:tcPr>
        <w:shd w:val="clear" w:color="auto" w:fill="7C7ECB" w:themeFill="accent1" w:themeFillTint="7F"/>
      </w:tcPr>
    </w:tblStylePr>
    <w:tblStylePr w:type="band1Horz">
      <w:tblPr/>
      <w:tcPr>
        <w:shd w:val="clear" w:color="auto" w:fill="7C7ECB" w:themeFill="accent1" w:themeFillTint="7F"/>
      </w:tcPr>
    </w:tblStylePr>
  </w:style>
  <w:style w:type="character" w:styleId="IntenseEmphasis">
    <w:name w:val="Intense Emphasis"/>
    <w:basedOn w:val="DefaultParagraphFont"/>
    <w:uiPriority w:val="21"/>
    <w:rsid w:val="00D84108"/>
    <w:rPr>
      <w:b/>
      <w:bCs/>
      <w:i/>
      <w:iCs/>
      <w:color w:val="292B67" w:themeColor="accent1"/>
    </w:rPr>
  </w:style>
  <w:style w:type="paragraph" w:styleId="Bibliography">
    <w:name w:val="Bibliography"/>
    <w:basedOn w:val="Normal"/>
    <w:next w:val="Normal"/>
    <w:uiPriority w:val="37"/>
    <w:unhideWhenUsed/>
    <w:rsid w:val="00D84108"/>
    <w:rPr>
      <w:rFonts w:eastAsia="Times New Roman"/>
    </w:rPr>
  </w:style>
  <w:style w:type="paragraph" w:styleId="TOCHeading">
    <w:name w:val="TOC Heading"/>
    <w:basedOn w:val="Heading1"/>
    <w:next w:val="Normal"/>
    <w:uiPriority w:val="39"/>
    <w:semiHidden/>
    <w:unhideWhenUsed/>
    <w:qFormat/>
    <w:rsid w:val="00D84108"/>
    <w:pPr>
      <w:keepLines/>
      <w:spacing w:before="480" w:after="0" w:line="276" w:lineRule="auto"/>
      <w:outlineLvl w:val="9"/>
    </w:pPr>
    <w:rPr>
      <w:rFonts w:eastAsiaTheme="majorEastAsia" w:cstheme="majorBidi"/>
      <w:color w:val="1E204C" w:themeColor="accent1" w:themeShade="BF"/>
      <w:kern w:val="0"/>
      <w:sz w:val="28"/>
      <w:szCs w:val="28"/>
      <w:lang w:eastAsia="ja-JP"/>
    </w:rPr>
  </w:style>
  <w:style w:type="table" w:styleId="Table3Deffects2">
    <w:name w:val="Table 3D effects 2"/>
    <w:basedOn w:val="TableNormal"/>
    <w:rsid w:val="00D84108"/>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D84108"/>
    <w:pPr>
      <w:numPr>
        <w:numId w:val="3"/>
      </w:numPr>
    </w:pPr>
  </w:style>
  <w:style w:type="character" w:customStyle="1" w:styleId="Heading4Char">
    <w:name w:val="Heading 4 Char"/>
    <w:basedOn w:val="DefaultParagraphFont"/>
    <w:link w:val="Heading4"/>
    <w:uiPriority w:val="9"/>
    <w:rsid w:val="00D84108"/>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1"/>
    <w:rsid w:val="00D84108"/>
    <w:rPr>
      <w:rFonts w:asciiTheme="majorHAnsi" w:eastAsiaTheme="majorEastAsia" w:hAnsiTheme="majorHAnsi" w:cstheme="majorBidi"/>
      <w:b/>
      <w:iCs/>
      <w:color w:val="22789A"/>
      <w:sz w:val="32"/>
    </w:rPr>
  </w:style>
  <w:style w:type="paragraph" w:styleId="ListParagraph">
    <w:name w:val="List Paragraph"/>
    <w:basedOn w:val="ListBullet"/>
    <w:link w:val="ListParagraphChar"/>
    <w:uiPriority w:val="34"/>
    <w:rsid w:val="00D84108"/>
    <w:rPr>
      <w:lang w:val="en"/>
    </w:rPr>
  </w:style>
  <w:style w:type="character" w:customStyle="1" w:styleId="ListParagraphChar">
    <w:name w:val="List Paragraph Char"/>
    <w:basedOn w:val="DefaultParagraphFont"/>
    <w:link w:val="ListParagraph"/>
    <w:uiPriority w:val="34"/>
    <w:rsid w:val="00D84108"/>
    <w:rPr>
      <w:color w:val="595A5B"/>
      <w:sz w:val="20"/>
      <w:lang w:val="en"/>
    </w:rPr>
  </w:style>
  <w:style w:type="numbering" w:customStyle="1" w:styleId="OCEBulletedList">
    <w:name w:val="OCE Bulleted List"/>
    <w:uiPriority w:val="99"/>
    <w:rsid w:val="00D84108"/>
    <w:pPr>
      <w:numPr>
        <w:numId w:val="4"/>
      </w:numPr>
    </w:pPr>
  </w:style>
  <w:style w:type="paragraph" w:styleId="ListBullet">
    <w:name w:val="List Bullet"/>
    <w:basedOn w:val="BodyText"/>
    <w:uiPriority w:val="4"/>
    <w:qFormat/>
    <w:rsid w:val="00D84108"/>
    <w:pPr>
      <w:numPr>
        <w:numId w:val="4"/>
      </w:numPr>
      <w:spacing w:after="120"/>
    </w:pPr>
  </w:style>
  <w:style w:type="paragraph" w:styleId="ListContinue2">
    <w:name w:val="List Continue 2"/>
    <w:basedOn w:val="Normal"/>
    <w:rsid w:val="00D84108"/>
    <w:pPr>
      <w:spacing w:after="120"/>
      <w:ind w:left="566"/>
      <w:contextualSpacing/>
    </w:pPr>
  </w:style>
  <w:style w:type="paragraph" w:styleId="ListBullet2">
    <w:name w:val="List Bullet 2"/>
    <w:basedOn w:val="ListBullet"/>
    <w:uiPriority w:val="4"/>
    <w:qFormat/>
    <w:rsid w:val="00D84108"/>
    <w:pPr>
      <w:numPr>
        <w:ilvl w:val="1"/>
      </w:numPr>
      <w:ind w:left="709"/>
    </w:pPr>
  </w:style>
  <w:style w:type="paragraph" w:styleId="ListBullet4">
    <w:name w:val="List Bullet 4"/>
    <w:basedOn w:val="ListBullet3"/>
    <w:rsid w:val="00D84108"/>
    <w:pPr>
      <w:numPr>
        <w:ilvl w:val="3"/>
      </w:numPr>
    </w:pPr>
  </w:style>
  <w:style w:type="paragraph" w:styleId="ListBullet3">
    <w:name w:val="List Bullet 3"/>
    <w:basedOn w:val="ListBullet2"/>
    <w:uiPriority w:val="4"/>
    <w:qFormat/>
    <w:rsid w:val="00D84108"/>
    <w:pPr>
      <w:numPr>
        <w:ilvl w:val="2"/>
      </w:numPr>
      <w:ind w:left="1134"/>
    </w:pPr>
  </w:style>
  <w:style w:type="paragraph" w:styleId="ListNumber">
    <w:name w:val="List Number"/>
    <w:basedOn w:val="Normal"/>
    <w:uiPriority w:val="4"/>
    <w:qFormat/>
    <w:rsid w:val="00D84108"/>
    <w:pPr>
      <w:numPr>
        <w:numId w:val="15"/>
      </w:numPr>
      <w:spacing w:after="120"/>
    </w:pPr>
  </w:style>
  <w:style w:type="paragraph" w:styleId="ListNumber2">
    <w:name w:val="List Number 2"/>
    <w:basedOn w:val="ListNumber"/>
    <w:uiPriority w:val="4"/>
    <w:qFormat/>
    <w:rsid w:val="00D84108"/>
    <w:pPr>
      <w:numPr>
        <w:ilvl w:val="1"/>
      </w:numPr>
    </w:pPr>
  </w:style>
  <w:style w:type="paragraph" w:styleId="ListNumber3">
    <w:name w:val="List Number 3"/>
    <w:basedOn w:val="ListNumber2"/>
    <w:uiPriority w:val="4"/>
    <w:qFormat/>
    <w:rsid w:val="00D84108"/>
    <w:pPr>
      <w:numPr>
        <w:ilvl w:val="2"/>
      </w:numPr>
    </w:pPr>
  </w:style>
  <w:style w:type="character" w:customStyle="1" w:styleId="Heading7Char">
    <w:name w:val="Heading 7 Char"/>
    <w:basedOn w:val="DefaultParagraphFont"/>
    <w:link w:val="Heading7"/>
    <w:uiPriority w:val="1"/>
    <w:rsid w:val="00D84108"/>
    <w:rPr>
      <w:rFonts w:asciiTheme="majorHAnsi" w:eastAsiaTheme="majorEastAsia" w:hAnsiTheme="majorHAnsi" w:cstheme="majorBidi"/>
      <w:b/>
      <w:iCs/>
      <w:color w:val="6CCCDE"/>
    </w:rPr>
  </w:style>
  <w:style w:type="paragraph" w:styleId="BodyTextFirstIndent">
    <w:name w:val="Body Text First Indent"/>
    <w:basedOn w:val="BodyText"/>
    <w:link w:val="BodyTextFirstIndentChar"/>
    <w:semiHidden/>
    <w:rsid w:val="00D84108"/>
    <w:pPr>
      <w:ind w:firstLine="360"/>
    </w:pPr>
    <w:rPr>
      <w:rFonts w:ascii="Arial" w:hAnsi="Arial"/>
    </w:rPr>
  </w:style>
  <w:style w:type="character" w:customStyle="1" w:styleId="BodyTextFirstIndentChar">
    <w:name w:val="Body Text First Indent Char"/>
    <w:basedOn w:val="BodyTextChar"/>
    <w:link w:val="BodyTextFirstIndent"/>
    <w:semiHidden/>
    <w:rsid w:val="00D84108"/>
    <w:rPr>
      <w:rFonts w:ascii="Arial" w:hAnsi="Arial"/>
      <w:color w:val="595A5B"/>
      <w:sz w:val="20"/>
    </w:rPr>
  </w:style>
  <w:style w:type="paragraph" w:styleId="BodyTextIndent">
    <w:name w:val="Body Text Indent"/>
    <w:basedOn w:val="Normal"/>
    <w:link w:val="BodyTextIndentChar"/>
    <w:semiHidden/>
    <w:unhideWhenUsed/>
    <w:rsid w:val="00D84108"/>
    <w:pPr>
      <w:spacing w:after="120"/>
      <w:ind w:left="283"/>
    </w:pPr>
  </w:style>
  <w:style w:type="character" w:customStyle="1" w:styleId="BodyTextIndentChar">
    <w:name w:val="Body Text Indent Char"/>
    <w:basedOn w:val="DefaultParagraphFont"/>
    <w:link w:val="BodyTextIndent"/>
    <w:semiHidden/>
    <w:rsid w:val="00D84108"/>
    <w:rPr>
      <w:rFonts w:ascii="Arial" w:hAnsi="Arial"/>
      <w:color w:val="595A5B"/>
      <w:sz w:val="20"/>
    </w:rPr>
  </w:style>
  <w:style w:type="paragraph" w:styleId="BodyTextFirstIndent2">
    <w:name w:val="Body Text First Indent 2"/>
    <w:basedOn w:val="BodyTextIndent"/>
    <w:link w:val="BodyTextFirstIndent2Char"/>
    <w:semiHidden/>
    <w:rsid w:val="00D84108"/>
    <w:pPr>
      <w:spacing w:after="180"/>
      <w:ind w:left="360" w:firstLine="360"/>
    </w:pPr>
  </w:style>
  <w:style w:type="character" w:customStyle="1" w:styleId="BodyTextFirstIndent2Char">
    <w:name w:val="Body Text First Indent 2 Char"/>
    <w:basedOn w:val="BodyTextIndentChar"/>
    <w:link w:val="BodyTextFirstIndent2"/>
    <w:semiHidden/>
    <w:rsid w:val="00D84108"/>
    <w:rPr>
      <w:rFonts w:ascii="Arial" w:hAnsi="Arial"/>
      <w:color w:val="595A5B"/>
      <w:sz w:val="20"/>
    </w:rPr>
  </w:style>
  <w:style w:type="character" w:customStyle="1" w:styleId="Heading8Char">
    <w:name w:val="Heading 8 Char"/>
    <w:basedOn w:val="DefaultParagraphFont"/>
    <w:link w:val="Heading8"/>
    <w:uiPriority w:val="1"/>
    <w:rsid w:val="00D84108"/>
    <w:rPr>
      <w:rFonts w:asciiTheme="majorHAnsi" w:eastAsiaTheme="majorEastAsia" w:hAnsiTheme="majorHAnsi" w:cstheme="majorBidi"/>
      <w:color w:val="22789A"/>
      <w:szCs w:val="20"/>
    </w:rPr>
  </w:style>
  <w:style w:type="paragraph" w:customStyle="1" w:styleId="Source">
    <w:name w:val="Source"/>
    <w:basedOn w:val="Normal"/>
    <w:next w:val="BodyText"/>
    <w:link w:val="SourceChar"/>
    <w:qFormat/>
    <w:rsid w:val="00D84108"/>
    <w:pPr>
      <w:keepLines/>
      <w:pBdr>
        <w:bottom w:val="single" w:sz="4" w:space="1" w:color="595A5B"/>
      </w:pBdr>
      <w:spacing w:before="60" w:after="360" w:line="270" w:lineRule="exact"/>
    </w:pPr>
    <w:rPr>
      <w:rFonts w:eastAsia="Times New Roman" w:cs="Arial"/>
      <w:color w:val="22789A"/>
      <w:sz w:val="16"/>
      <w:szCs w:val="20"/>
      <w:lang w:val="en"/>
    </w:rPr>
  </w:style>
  <w:style w:type="character" w:customStyle="1" w:styleId="SourceChar">
    <w:name w:val="Source Char"/>
    <w:basedOn w:val="DefaultParagraphFont"/>
    <w:link w:val="Source"/>
    <w:rsid w:val="00D84108"/>
    <w:rPr>
      <w:rFonts w:ascii="Arial" w:eastAsia="Times New Roman" w:hAnsi="Arial" w:cs="Arial"/>
      <w:color w:val="22789A"/>
      <w:sz w:val="16"/>
      <w:szCs w:val="20"/>
      <w:lang w:val="en"/>
    </w:rPr>
  </w:style>
  <w:style w:type="paragraph" w:customStyle="1" w:styleId="Tabletext">
    <w:name w:val="Table text"/>
    <w:basedOn w:val="Normal"/>
    <w:link w:val="TabletextChar"/>
    <w:qFormat/>
    <w:rsid w:val="00CE1C63"/>
    <w:pPr>
      <w:keepNext/>
      <w:keepLines/>
      <w:spacing w:before="60" w:after="60" w:line="240" w:lineRule="auto"/>
    </w:pPr>
    <w:rPr>
      <w:rFonts w:cs="Arial"/>
      <w:color w:val="595A5B" w:themeColor="text2"/>
      <w:sz w:val="18"/>
      <w:szCs w:val="18"/>
    </w:rPr>
  </w:style>
  <w:style w:type="character" w:customStyle="1" w:styleId="TabletextChar">
    <w:name w:val="Table text Char"/>
    <w:basedOn w:val="DefaultParagraphFont"/>
    <w:link w:val="Tabletext"/>
    <w:rsid w:val="00CE1C63"/>
    <w:rPr>
      <w:rFonts w:cs="Arial"/>
      <w:color w:val="595A5B" w:themeColor="text2"/>
      <w:sz w:val="18"/>
      <w:szCs w:val="18"/>
    </w:rPr>
  </w:style>
  <w:style w:type="paragraph" w:customStyle="1" w:styleId="Tableheader">
    <w:name w:val="Table header"/>
    <w:basedOn w:val="Normal"/>
    <w:link w:val="TableheaderChar"/>
    <w:qFormat/>
    <w:rsid w:val="00D84108"/>
    <w:pPr>
      <w:keepNext/>
      <w:spacing w:before="120" w:after="120" w:line="240" w:lineRule="auto"/>
    </w:pPr>
    <w:rPr>
      <w:rFonts w:cs="Arial"/>
      <w:i/>
      <w:color w:val="FFFFFF"/>
      <w:sz w:val="18"/>
      <w:szCs w:val="18"/>
    </w:rPr>
  </w:style>
  <w:style w:type="character" w:customStyle="1" w:styleId="TableheaderChar">
    <w:name w:val="Table header Char"/>
    <w:basedOn w:val="DefaultParagraphFont"/>
    <w:link w:val="Tableheader"/>
    <w:rsid w:val="00D84108"/>
    <w:rPr>
      <w:rFonts w:ascii="Arial" w:hAnsi="Arial" w:cs="Arial"/>
      <w:i/>
      <w:color w:val="FFFFFF"/>
      <w:sz w:val="18"/>
      <w:szCs w:val="18"/>
    </w:rPr>
  </w:style>
  <w:style w:type="paragraph" w:styleId="Caption">
    <w:name w:val="caption"/>
    <w:basedOn w:val="Normal"/>
    <w:next w:val="Placeholder"/>
    <w:link w:val="CaptionChar"/>
    <w:qFormat/>
    <w:rsid w:val="00D84108"/>
    <w:pPr>
      <w:keepNext/>
      <w:keepLines/>
      <w:pBdr>
        <w:top w:val="single" w:sz="2" w:space="1" w:color="595A5B"/>
      </w:pBdr>
      <w:spacing w:before="360" w:after="240" w:line="240" w:lineRule="atLeast"/>
    </w:pPr>
    <w:rPr>
      <w:bCs/>
      <w:color w:val="22789A"/>
      <w:sz w:val="18"/>
      <w:szCs w:val="18"/>
    </w:rPr>
  </w:style>
  <w:style w:type="paragraph" w:customStyle="1" w:styleId="Note">
    <w:name w:val="Note"/>
    <w:basedOn w:val="Source"/>
    <w:rsid w:val="00D84108"/>
    <w:pPr>
      <w:keepNext/>
      <w:spacing w:after="60"/>
    </w:pPr>
  </w:style>
  <w:style w:type="table" w:customStyle="1" w:styleId="OCETable">
    <w:name w:val="OCE Table"/>
    <w:basedOn w:val="TableNormal"/>
    <w:uiPriority w:val="99"/>
    <w:rsid w:val="00D84108"/>
    <w:pPr>
      <w:spacing w:after="0" w:line="240" w:lineRule="auto"/>
    </w:pPr>
    <w:rPr>
      <w:sz w:val="18"/>
    </w:rPr>
    <w:tblPr/>
    <w:tcPr>
      <w:shd w:val="clear" w:color="auto" w:fill="CAE7F3"/>
    </w:tcPr>
    <w:tblStylePr w:type="firstRow">
      <w:rPr>
        <w:rFonts w:asciiTheme="minorHAnsi" w:hAnsiTheme="minorHAnsi"/>
        <w:b w:val="0"/>
        <w:i/>
        <w:color w:val="FFFFFF"/>
        <w:sz w:val="18"/>
      </w:rPr>
      <w:tblPr/>
      <w:tcPr>
        <w:shd w:val="clear" w:color="auto" w:fill="22789A"/>
      </w:tcPr>
    </w:tblStylePr>
  </w:style>
  <w:style w:type="paragraph" w:customStyle="1" w:styleId="CaptionWide">
    <w:name w:val="Caption Wide"/>
    <w:basedOn w:val="Caption"/>
    <w:next w:val="PlaceholderWide"/>
    <w:rsid w:val="00D84108"/>
    <w:pPr>
      <w:ind w:left="-1985"/>
    </w:pPr>
  </w:style>
  <w:style w:type="paragraph" w:customStyle="1" w:styleId="NoteWide">
    <w:name w:val="Note Wide"/>
    <w:basedOn w:val="Note"/>
    <w:rsid w:val="00D84108"/>
    <w:pPr>
      <w:ind w:left="-1985"/>
    </w:pPr>
  </w:style>
  <w:style w:type="paragraph" w:customStyle="1" w:styleId="SourceWide">
    <w:name w:val="Source Wide"/>
    <w:basedOn w:val="Source"/>
    <w:next w:val="BodyText"/>
    <w:rsid w:val="00D84108"/>
    <w:pPr>
      <w:ind w:left="-1985"/>
    </w:pPr>
  </w:style>
  <w:style w:type="paragraph" w:customStyle="1" w:styleId="Placeholder">
    <w:name w:val="Placeholder"/>
    <w:basedOn w:val="Normal"/>
    <w:rsid w:val="00D84108"/>
    <w:pPr>
      <w:keepNext/>
      <w:keepLines/>
      <w:spacing w:after="0" w:line="240" w:lineRule="auto"/>
      <w:jc w:val="center"/>
    </w:pPr>
    <w:rPr>
      <w:sz w:val="18"/>
    </w:rPr>
  </w:style>
  <w:style w:type="paragraph" w:customStyle="1" w:styleId="PlaceholderWide">
    <w:name w:val="Placeholder Wide"/>
    <w:basedOn w:val="Placeholder"/>
    <w:rsid w:val="00D84108"/>
  </w:style>
  <w:style w:type="paragraph" w:customStyle="1" w:styleId="Boxtext">
    <w:name w:val="Box text"/>
    <w:basedOn w:val="Placeholder"/>
    <w:link w:val="BoxtextChar"/>
    <w:qFormat/>
    <w:rsid w:val="00D84108"/>
    <w:pPr>
      <w:spacing w:before="120" w:after="120" w:line="260" w:lineRule="atLeast"/>
      <w:jc w:val="left"/>
    </w:pPr>
    <w:rPr>
      <w:rFonts w:eastAsia="Times New Roman" w:cs="Arial"/>
      <w:szCs w:val="18"/>
      <w:lang w:val="en"/>
    </w:rPr>
  </w:style>
  <w:style w:type="numbering" w:customStyle="1" w:styleId="OCENumberedList">
    <w:name w:val="OCE Numbered List"/>
    <w:uiPriority w:val="99"/>
    <w:rsid w:val="00D84108"/>
    <w:pPr>
      <w:numPr>
        <w:numId w:val="17"/>
      </w:numPr>
    </w:pPr>
  </w:style>
  <w:style w:type="paragraph" w:customStyle="1" w:styleId="UnnumberedHeading">
    <w:name w:val="Unnumbered Heading"/>
    <w:next w:val="BodyText"/>
    <w:link w:val="UnnumberedHeadingChar"/>
    <w:rsid w:val="00D84108"/>
    <w:pPr>
      <w:keepNext/>
      <w:spacing w:before="300" w:after="180" w:line="280" w:lineRule="exact"/>
    </w:pPr>
    <w:rPr>
      <w:rFonts w:ascii="Arial" w:eastAsia="Times New Roman" w:hAnsi="Arial" w:cs="Times New Roman"/>
      <w:b/>
      <w:color w:val="22789A"/>
      <w:kern w:val="32"/>
      <w:sz w:val="32"/>
      <w:szCs w:val="20"/>
    </w:rPr>
  </w:style>
  <w:style w:type="character" w:customStyle="1" w:styleId="UnnumberedHeadingChar">
    <w:name w:val="Unnumbered Heading Char"/>
    <w:basedOn w:val="Heading1Char"/>
    <w:link w:val="UnnumberedHeading"/>
    <w:rsid w:val="00D84108"/>
    <w:rPr>
      <w:rFonts w:ascii="Arial" w:eastAsia="Times New Roman" w:hAnsi="Arial" w:cs="Times New Roman"/>
      <w:b/>
      <w:bCs w:val="0"/>
      <w:color w:val="22789A"/>
      <w:kern w:val="32"/>
      <w:sz w:val="32"/>
      <w:szCs w:val="20"/>
    </w:rPr>
  </w:style>
  <w:style w:type="paragraph" w:styleId="Title">
    <w:name w:val="Title"/>
    <w:basedOn w:val="ResearchPaper"/>
    <w:next w:val="Normal"/>
    <w:link w:val="TitleChar"/>
    <w:rsid w:val="00D84108"/>
    <w:pPr>
      <w:spacing w:before="600" w:after="600" w:line="240" w:lineRule="auto"/>
    </w:pPr>
    <w:rPr>
      <w:rFonts w:asciiTheme="majorHAnsi" w:hAnsiTheme="majorHAnsi"/>
      <w:b w:val="0"/>
      <w:color w:val="22789A"/>
      <w:sz w:val="72"/>
    </w:rPr>
  </w:style>
  <w:style w:type="character" w:customStyle="1" w:styleId="TitleChar">
    <w:name w:val="Title Char"/>
    <w:basedOn w:val="DefaultParagraphFont"/>
    <w:link w:val="Title"/>
    <w:rsid w:val="00D84108"/>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rsid w:val="00D84108"/>
    <w:pPr>
      <w:spacing w:before="240" w:line="270" w:lineRule="exact"/>
    </w:pPr>
    <w:rPr>
      <w:rFonts w:eastAsia="Times New Roman" w:cs="Arial"/>
      <w:b/>
      <w:caps/>
      <w:sz w:val="21"/>
      <w:szCs w:val="20"/>
    </w:rPr>
  </w:style>
  <w:style w:type="character" w:customStyle="1" w:styleId="ResearchPaperChar">
    <w:name w:val="Research Paper # Char"/>
    <w:link w:val="ResearchPaper"/>
    <w:rsid w:val="00D84108"/>
    <w:rPr>
      <w:rFonts w:eastAsia="Times New Roman" w:cs="Arial"/>
      <w:b/>
      <w:caps/>
      <w:color w:val="595A5B"/>
      <w:sz w:val="21"/>
      <w:szCs w:val="20"/>
    </w:rPr>
  </w:style>
  <w:style w:type="paragraph" w:customStyle="1" w:styleId="Author">
    <w:name w:val="Author"/>
    <w:basedOn w:val="Normal"/>
    <w:link w:val="AuthorChar"/>
    <w:rsid w:val="00D84108"/>
    <w:pPr>
      <w:spacing w:before="180" w:line="270" w:lineRule="exact"/>
    </w:pPr>
    <w:rPr>
      <w:rFonts w:eastAsia="Times New Roman" w:cs="Arial"/>
      <w:b/>
      <w:color w:val="22789A"/>
      <w:sz w:val="32"/>
      <w:szCs w:val="20"/>
    </w:rPr>
  </w:style>
  <w:style w:type="character" w:customStyle="1" w:styleId="AuthorChar">
    <w:name w:val="Author Char"/>
    <w:basedOn w:val="DefaultParagraphFont"/>
    <w:link w:val="Author"/>
    <w:rsid w:val="00D84108"/>
    <w:rPr>
      <w:rFonts w:ascii="Arial" w:eastAsia="Times New Roman" w:hAnsi="Arial" w:cs="Arial"/>
      <w:b/>
      <w:color w:val="22789A"/>
      <w:sz w:val="32"/>
      <w:szCs w:val="20"/>
    </w:rPr>
  </w:style>
  <w:style w:type="paragraph" w:customStyle="1" w:styleId="MonthYear">
    <w:name w:val="Month Year"/>
    <w:basedOn w:val="Normal"/>
    <w:link w:val="MonthYearChar"/>
    <w:qFormat/>
    <w:rsid w:val="00D84108"/>
    <w:pPr>
      <w:spacing w:before="720" w:line="270" w:lineRule="exact"/>
    </w:pPr>
    <w:rPr>
      <w:rFonts w:eastAsia="Times New Roman" w:cs="Arial"/>
      <w:b/>
      <w:color w:val="9ED9DF"/>
      <w:szCs w:val="20"/>
    </w:rPr>
  </w:style>
  <w:style w:type="character" w:customStyle="1" w:styleId="MonthYearChar">
    <w:name w:val="Month Year Char"/>
    <w:basedOn w:val="DefaultParagraphFont"/>
    <w:link w:val="MonthYear"/>
    <w:rsid w:val="00D84108"/>
    <w:rPr>
      <w:rFonts w:eastAsia="Times New Roman" w:cs="Arial"/>
      <w:b/>
      <w:color w:val="9ED9DF"/>
      <w:sz w:val="20"/>
      <w:szCs w:val="20"/>
    </w:rPr>
  </w:style>
  <w:style w:type="paragraph" w:customStyle="1" w:styleId="AbstractHeader">
    <w:name w:val="Abstract Header"/>
    <w:basedOn w:val="Normal"/>
    <w:link w:val="AbstractHeaderChar"/>
    <w:qFormat/>
    <w:rsid w:val="00D84108"/>
    <w:pPr>
      <w:spacing w:before="360" w:line="270" w:lineRule="exact"/>
    </w:pPr>
    <w:rPr>
      <w:rFonts w:eastAsia="Times New Roman" w:cs="Arial"/>
      <w:color w:val="22789A"/>
      <w:sz w:val="32"/>
      <w:szCs w:val="20"/>
    </w:rPr>
  </w:style>
  <w:style w:type="character" w:customStyle="1" w:styleId="AbstractHeaderChar">
    <w:name w:val="Abstract Header Char"/>
    <w:basedOn w:val="DefaultParagraphFont"/>
    <w:link w:val="AbstractHeader"/>
    <w:rsid w:val="00D84108"/>
    <w:rPr>
      <w:rFonts w:ascii="Arial" w:eastAsia="Times New Roman" w:hAnsi="Arial" w:cs="Arial"/>
      <w:color w:val="22789A"/>
      <w:sz w:val="32"/>
      <w:szCs w:val="20"/>
    </w:rPr>
  </w:style>
  <w:style w:type="numbering" w:customStyle="1" w:styleId="EASDMultilevelList">
    <w:name w:val="EASD Multilevel List"/>
    <w:uiPriority w:val="99"/>
    <w:rsid w:val="00D84108"/>
    <w:pPr>
      <w:numPr>
        <w:numId w:val="5"/>
      </w:numPr>
    </w:pPr>
  </w:style>
  <w:style w:type="numbering" w:styleId="111111">
    <w:name w:val="Outline List 2"/>
    <w:basedOn w:val="NoList"/>
    <w:rsid w:val="00D84108"/>
    <w:pPr>
      <w:numPr>
        <w:numId w:val="2"/>
      </w:numPr>
    </w:pPr>
  </w:style>
  <w:style w:type="paragraph" w:customStyle="1" w:styleId="Abstractbodytext">
    <w:name w:val="Abstract body text"/>
    <w:basedOn w:val="CoverNormal"/>
    <w:link w:val="AbstractbodytextChar"/>
    <w:uiPriority w:val="9"/>
    <w:semiHidden/>
    <w:rsid w:val="00D84108"/>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D84108"/>
    <w:rPr>
      <w:rFonts w:eastAsia="Times New Roman" w:cs="Arial"/>
      <w:color w:val="595A5B"/>
      <w:sz w:val="20"/>
      <w:szCs w:val="20"/>
      <w:lang w:val="en"/>
    </w:rPr>
  </w:style>
  <w:style w:type="paragraph" w:customStyle="1" w:styleId="CoverNormal">
    <w:name w:val="Cover Normal"/>
    <w:rsid w:val="00D84108"/>
    <w:pPr>
      <w:spacing w:line="240" w:lineRule="auto"/>
    </w:pPr>
    <w:rPr>
      <w:color w:val="595A5B"/>
      <w:sz w:val="20"/>
    </w:rPr>
  </w:style>
  <w:style w:type="paragraph" w:customStyle="1" w:styleId="TitleHeading">
    <w:name w:val="Title Heading"/>
    <w:link w:val="TitleHeadingChar"/>
    <w:qFormat/>
    <w:rsid w:val="00D84108"/>
    <w:pPr>
      <w:spacing w:before="600" w:after="600" w:line="240" w:lineRule="auto"/>
      <w:ind w:right="57"/>
    </w:pPr>
    <w:rPr>
      <w:rFonts w:ascii="Arial" w:eastAsia="Times New Roman" w:hAnsi="Arial" w:cs="Times New Roman"/>
      <w:color w:val="22789A"/>
      <w:kern w:val="32"/>
      <w:sz w:val="72"/>
      <w:szCs w:val="20"/>
    </w:rPr>
  </w:style>
  <w:style w:type="character" w:customStyle="1" w:styleId="TitleHeadingChar">
    <w:name w:val="Title Heading Char"/>
    <w:basedOn w:val="Heading2Char"/>
    <w:link w:val="TitleHeading"/>
    <w:rsid w:val="00D84108"/>
    <w:rPr>
      <w:rFonts w:ascii="Arial" w:eastAsia="Times New Roman" w:hAnsi="Arial" w:cs="Times New Roman"/>
      <w:iCs w:val="0"/>
      <w:color w:val="22789A"/>
      <w:kern w:val="32"/>
      <w:sz w:val="72"/>
      <w:szCs w:val="20"/>
    </w:rPr>
  </w:style>
  <w:style w:type="paragraph" w:customStyle="1" w:styleId="Keypointsbullet">
    <w:name w:val="Key points bullet"/>
    <w:basedOn w:val="BodyText"/>
    <w:link w:val="KeypointsbulletChar"/>
    <w:qFormat/>
    <w:rsid w:val="00D84108"/>
    <w:pPr>
      <w:numPr>
        <w:numId w:val="6"/>
      </w:numPr>
      <w:ind w:left="357" w:right="153" w:hanging="357"/>
    </w:pPr>
    <w:rPr>
      <w:rFonts w:eastAsia="Times New Roman" w:cs="Arial"/>
      <w:b/>
      <w:szCs w:val="20"/>
      <w:lang w:val="en"/>
    </w:rPr>
  </w:style>
  <w:style w:type="character" w:customStyle="1" w:styleId="KeypointsbulletChar">
    <w:name w:val="Key points bullet Char"/>
    <w:basedOn w:val="ListParagraphChar"/>
    <w:link w:val="Keypointsbullet"/>
    <w:rsid w:val="00D84108"/>
    <w:rPr>
      <w:rFonts w:eastAsia="Times New Roman" w:cs="Arial"/>
      <w:b/>
      <w:color w:val="595A5B"/>
      <w:sz w:val="20"/>
      <w:szCs w:val="20"/>
      <w:lang w:val="en"/>
    </w:rPr>
  </w:style>
  <w:style w:type="paragraph" w:styleId="Header">
    <w:name w:val="header"/>
    <w:aliases w:val="HeaderPort"/>
    <w:basedOn w:val="Normal"/>
    <w:link w:val="HeaderChar"/>
    <w:unhideWhenUsed/>
    <w:rsid w:val="00D84108"/>
    <w:pPr>
      <w:spacing w:after="0" w:line="240" w:lineRule="auto"/>
    </w:pPr>
  </w:style>
  <w:style w:type="character" w:customStyle="1" w:styleId="HeaderChar">
    <w:name w:val="Header Char"/>
    <w:aliases w:val="HeaderPort Char"/>
    <w:basedOn w:val="DefaultParagraphFont"/>
    <w:link w:val="Header"/>
    <w:rsid w:val="00D84108"/>
    <w:rPr>
      <w:rFonts w:ascii="Arial" w:hAnsi="Arial"/>
      <w:color w:val="595A5B"/>
      <w:sz w:val="20"/>
    </w:rPr>
  </w:style>
  <w:style w:type="paragraph" w:customStyle="1" w:styleId="CoverAbstract">
    <w:name w:val="Cover Abstract"/>
    <w:basedOn w:val="Normal"/>
    <w:uiPriority w:val="10"/>
    <w:rsid w:val="00D84108"/>
    <w:pPr>
      <w:spacing w:line="270" w:lineRule="exact"/>
    </w:pPr>
    <w:rPr>
      <w:lang w:val="en"/>
    </w:rPr>
  </w:style>
  <w:style w:type="paragraph" w:customStyle="1" w:styleId="ReportCoverContact">
    <w:name w:val="Report Cover Contact"/>
    <w:basedOn w:val="Normal"/>
    <w:rsid w:val="00D84108"/>
    <w:pPr>
      <w:spacing w:after="60" w:line="270" w:lineRule="exact"/>
    </w:pPr>
    <w:rPr>
      <w:rFonts w:eastAsia="Calibri" w:cs="Arial"/>
      <w:sz w:val="16"/>
      <w:szCs w:val="18"/>
      <w:lang w:val="en"/>
    </w:rPr>
  </w:style>
  <w:style w:type="paragraph" w:customStyle="1" w:styleId="ReportCoverInformation">
    <w:name w:val="Report Cover Information"/>
    <w:basedOn w:val="Normal"/>
    <w:rsid w:val="00D84108"/>
    <w:pPr>
      <w:keepNext/>
      <w:pBdr>
        <w:top w:val="single" w:sz="4" w:space="1" w:color="595A5B"/>
      </w:pBdr>
      <w:spacing w:before="600" w:after="120" w:line="240" w:lineRule="atLeast"/>
      <w:ind w:right="57"/>
      <w:outlineLvl w:val="7"/>
    </w:pPr>
    <w:rPr>
      <w:rFonts w:eastAsia="Times New Roman" w:cs="Times New Roman"/>
      <w:color w:val="22789A"/>
      <w:sz w:val="16"/>
      <w:szCs w:val="20"/>
      <w:lang w:val="en"/>
    </w:rPr>
  </w:style>
  <w:style w:type="paragraph" w:styleId="TOC2">
    <w:name w:val="toc 2"/>
    <w:basedOn w:val="Normal"/>
    <w:next w:val="Normal"/>
    <w:autoRedefine/>
    <w:uiPriority w:val="39"/>
    <w:rsid w:val="00EC35B0"/>
    <w:pPr>
      <w:tabs>
        <w:tab w:val="left" w:pos="1843"/>
        <w:tab w:val="right" w:pos="8931"/>
      </w:tabs>
      <w:spacing w:after="100" w:line="240" w:lineRule="auto"/>
      <w:ind w:left="567"/>
    </w:pPr>
    <w:rPr>
      <w:noProof/>
    </w:rPr>
  </w:style>
  <w:style w:type="paragraph" w:styleId="TOC3">
    <w:name w:val="toc 3"/>
    <w:basedOn w:val="Normal"/>
    <w:next w:val="Normal"/>
    <w:autoRedefine/>
    <w:uiPriority w:val="39"/>
    <w:rsid w:val="00D84108"/>
    <w:pPr>
      <w:tabs>
        <w:tab w:val="right" w:pos="8931"/>
      </w:tabs>
      <w:spacing w:after="100"/>
      <w:ind w:left="1843" w:right="804"/>
    </w:pPr>
    <w:rPr>
      <w:noProof/>
    </w:rPr>
  </w:style>
  <w:style w:type="paragraph" w:styleId="TOC6">
    <w:name w:val="toc 6"/>
    <w:basedOn w:val="Normal"/>
    <w:next w:val="Normal"/>
    <w:autoRedefine/>
    <w:uiPriority w:val="39"/>
    <w:rsid w:val="00D84108"/>
    <w:pPr>
      <w:tabs>
        <w:tab w:val="right" w:pos="8931"/>
      </w:tabs>
      <w:spacing w:after="100"/>
      <w:ind w:left="2127" w:right="804" w:hanging="1418"/>
    </w:pPr>
    <w:rPr>
      <w:b/>
    </w:rPr>
  </w:style>
  <w:style w:type="paragraph" w:customStyle="1" w:styleId="Contents">
    <w:name w:val="Contents"/>
    <w:basedOn w:val="CoverNormal"/>
    <w:uiPriority w:val="19"/>
    <w:rsid w:val="00D84108"/>
    <w:pPr>
      <w:pageBreakBefore/>
      <w:ind w:left="567"/>
    </w:pPr>
    <w:rPr>
      <w:rFonts w:asciiTheme="majorHAnsi" w:hAnsiTheme="majorHAnsi" w:cstheme="majorHAnsi"/>
      <w:b/>
      <w:color w:val="22789A"/>
      <w:sz w:val="52"/>
      <w:szCs w:val="52"/>
    </w:rPr>
  </w:style>
  <w:style w:type="paragraph" w:customStyle="1" w:styleId="CreativeCommonsLicence">
    <w:name w:val="Creative Commons Licence"/>
    <w:basedOn w:val="DisclaimerHeading"/>
    <w:next w:val="DisclaimerandAcknowledgement"/>
    <w:rsid w:val="00D84108"/>
    <w:pPr>
      <w:keepNext/>
      <w:outlineLvl w:val="7"/>
    </w:pPr>
  </w:style>
  <w:style w:type="paragraph" w:customStyle="1" w:styleId="Keypointsheader">
    <w:name w:val="Key points header"/>
    <w:basedOn w:val="BodyText"/>
    <w:link w:val="KeypointsheaderChar"/>
    <w:qFormat/>
    <w:rsid w:val="00D84108"/>
    <w:pPr>
      <w:keepNext/>
      <w:pageBreakBefore/>
      <w:spacing w:before="300" w:line="280" w:lineRule="atLeast"/>
      <w:ind w:left="34" w:right="57"/>
      <w:jc w:val="left"/>
    </w:pPr>
    <w:rPr>
      <w:rFonts w:eastAsia="Times New Roman" w:cs="Times New Roman"/>
      <w:b/>
      <w:color w:val="22789A"/>
      <w:sz w:val="32"/>
      <w:szCs w:val="20"/>
    </w:rPr>
  </w:style>
  <w:style w:type="character" w:customStyle="1" w:styleId="KeypointsheaderChar">
    <w:name w:val="Key points header Char"/>
    <w:basedOn w:val="DefaultParagraphFont"/>
    <w:link w:val="Keypointsheader"/>
    <w:rsid w:val="00D84108"/>
    <w:rPr>
      <w:rFonts w:eastAsia="Times New Roman" w:cs="Times New Roman"/>
      <w:b/>
      <w:color w:val="22789A"/>
      <w:sz w:val="32"/>
      <w:szCs w:val="20"/>
    </w:rPr>
  </w:style>
  <w:style w:type="paragraph" w:customStyle="1" w:styleId="AbstractText">
    <w:name w:val="Abstract Text"/>
    <w:basedOn w:val="CoverNormal"/>
    <w:rsid w:val="00D84108"/>
    <w:pPr>
      <w:spacing w:before="60" w:after="60" w:line="260" w:lineRule="exact"/>
    </w:pPr>
  </w:style>
  <w:style w:type="paragraph" w:customStyle="1" w:styleId="JELCodeheader">
    <w:name w:val="JEL Code header"/>
    <w:link w:val="JELCodeheaderChar"/>
    <w:qFormat/>
    <w:rsid w:val="00D84108"/>
    <w:pPr>
      <w:spacing w:after="0" w:line="270" w:lineRule="exact"/>
      <w:jc w:val="both"/>
    </w:pPr>
    <w:rPr>
      <w:rFonts w:ascii="Arial" w:eastAsia="Times New Roman" w:hAnsi="Arial" w:cs="Arial"/>
      <w:b/>
      <w:color w:val="22789A"/>
      <w:sz w:val="20"/>
      <w:szCs w:val="20"/>
      <w:lang w:val="en"/>
    </w:rPr>
  </w:style>
  <w:style w:type="character" w:customStyle="1" w:styleId="JELCodeheaderChar">
    <w:name w:val="JEL Code header Char"/>
    <w:basedOn w:val="DefaultParagraphFont"/>
    <w:link w:val="JELCodeheader"/>
    <w:rsid w:val="00D84108"/>
    <w:rPr>
      <w:rFonts w:ascii="Arial" w:eastAsia="Times New Roman" w:hAnsi="Arial" w:cs="Arial"/>
      <w:b/>
      <w:color w:val="22789A"/>
      <w:sz w:val="20"/>
      <w:szCs w:val="20"/>
      <w:lang w:val="en"/>
    </w:rPr>
  </w:style>
  <w:style w:type="paragraph" w:customStyle="1" w:styleId="DisclaimerandAcknowledgement">
    <w:name w:val="Disclaimer and Acknowledgement"/>
    <w:basedOn w:val="Normal"/>
    <w:link w:val="DisclaimerandAcknowledgementChar"/>
    <w:qFormat/>
    <w:rsid w:val="00EC35B0"/>
    <w:pPr>
      <w:spacing w:after="140" w:line="270" w:lineRule="exact"/>
    </w:pPr>
    <w:rPr>
      <w:rFonts w:eastAsia="Calibri" w:cs="Arial"/>
      <w:color w:val="595A5B" w:themeColor="text2"/>
      <w:sz w:val="16"/>
      <w:szCs w:val="18"/>
      <w:lang w:val="en"/>
    </w:rPr>
  </w:style>
  <w:style w:type="character" w:customStyle="1" w:styleId="DisclaimerandAcknowledgementChar">
    <w:name w:val="Disclaimer and Acknowledgement Char"/>
    <w:link w:val="DisclaimerandAcknowledgement"/>
    <w:rsid w:val="00EC35B0"/>
    <w:rPr>
      <w:rFonts w:eastAsia="Calibri" w:cs="Arial"/>
      <w:color w:val="595A5B" w:themeColor="text2"/>
      <w:sz w:val="16"/>
      <w:szCs w:val="18"/>
      <w:lang w:val="en"/>
    </w:rPr>
  </w:style>
  <w:style w:type="paragraph" w:customStyle="1" w:styleId="HyperlinkStyle">
    <w:name w:val="Hyperlink Style"/>
    <w:basedOn w:val="Normal"/>
    <w:link w:val="HyperlinkStyleChar"/>
    <w:qFormat/>
    <w:rsid w:val="00D84108"/>
    <w:pPr>
      <w:spacing w:line="270" w:lineRule="exact"/>
    </w:pPr>
    <w:rPr>
      <w:rFonts w:eastAsia="Calibri" w:cs="Times New Roman"/>
      <w:color w:val="22789A"/>
      <w:szCs w:val="20"/>
      <w:u w:val="single"/>
    </w:rPr>
  </w:style>
  <w:style w:type="character" w:customStyle="1" w:styleId="HyperlinkStyleChar">
    <w:name w:val="Hyperlink Style Char"/>
    <w:link w:val="HyperlinkStyle"/>
    <w:rsid w:val="00D84108"/>
    <w:rPr>
      <w:rFonts w:ascii="Arial" w:eastAsia="Calibri" w:hAnsi="Arial" w:cs="Times New Roman"/>
      <w:color w:val="22789A"/>
      <w:sz w:val="20"/>
      <w:szCs w:val="20"/>
      <w:u w:val="single"/>
    </w:rPr>
  </w:style>
  <w:style w:type="paragraph" w:customStyle="1" w:styleId="DisclaimerHeading">
    <w:name w:val="Disclaimer Heading"/>
    <w:next w:val="DisclaimerandAcknowledgement"/>
    <w:link w:val="DisclaimerHeadingChar"/>
    <w:qFormat/>
    <w:rsid w:val="00D84108"/>
    <w:pPr>
      <w:pBdr>
        <w:top w:val="single" w:sz="4" w:space="1" w:color="595A5B"/>
      </w:pBdr>
      <w:spacing w:before="360" w:after="120" w:line="240" w:lineRule="atLeast"/>
      <w:ind w:left="2160" w:right="57"/>
    </w:pPr>
    <w:rPr>
      <w:rFonts w:ascii="Arial" w:eastAsia="Times New Roman" w:hAnsi="Arial" w:cs="Times New Roman"/>
      <w:color w:val="22789A"/>
      <w:sz w:val="16"/>
      <w:szCs w:val="20"/>
      <w:lang w:val="en"/>
    </w:rPr>
  </w:style>
  <w:style w:type="character" w:customStyle="1" w:styleId="DisclaimerHeadingChar">
    <w:name w:val="Disclaimer Heading Char"/>
    <w:basedOn w:val="DefaultParagraphFont"/>
    <w:link w:val="DisclaimerHeading"/>
    <w:rsid w:val="00D84108"/>
    <w:rPr>
      <w:rFonts w:ascii="Arial" w:eastAsia="Times New Roman" w:hAnsi="Arial" w:cs="Times New Roman"/>
      <w:color w:val="22789A"/>
      <w:sz w:val="16"/>
      <w:szCs w:val="20"/>
      <w:lang w:val="en"/>
    </w:rPr>
  </w:style>
  <w:style w:type="paragraph" w:styleId="Quote">
    <w:name w:val="Quote"/>
    <w:basedOn w:val="Normal"/>
    <w:next w:val="Normal"/>
    <w:link w:val="QuoteChar"/>
    <w:uiPriority w:val="29"/>
    <w:rsid w:val="00D84108"/>
    <w:pPr>
      <w:ind w:left="284" w:right="522"/>
    </w:pPr>
    <w:rPr>
      <w:iCs/>
      <w:color w:val="595A5B" w:themeColor="text1"/>
      <w:sz w:val="18"/>
    </w:rPr>
  </w:style>
  <w:style w:type="character" w:customStyle="1" w:styleId="QuoteChar">
    <w:name w:val="Quote Char"/>
    <w:basedOn w:val="DefaultParagraphFont"/>
    <w:link w:val="Quote"/>
    <w:uiPriority w:val="29"/>
    <w:rsid w:val="00D84108"/>
    <w:rPr>
      <w:iCs/>
      <w:color w:val="595A5B" w:themeColor="text1"/>
      <w:sz w:val="18"/>
    </w:rPr>
  </w:style>
  <w:style w:type="paragraph" w:customStyle="1" w:styleId="TableListBullet">
    <w:name w:val="Table List Bullet"/>
    <w:basedOn w:val="Tabletext"/>
    <w:rsid w:val="00D84108"/>
    <w:pPr>
      <w:numPr>
        <w:numId w:val="7"/>
      </w:numPr>
    </w:pPr>
    <w:rPr>
      <w:rFonts w:eastAsia="Times New Roman"/>
      <w:lang w:eastAsia="en-AU"/>
    </w:rPr>
  </w:style>
  <w:style w:type="numbering" w:customStyle="1" w:styleId="OCETableBullets">
    <w:name w:val="OCE Table Bullets"/>
    <w:uiPriority w:val="99"/>
    <w:rsid w:val="00D84108"/>
    <w:pPr>
      <w:numPr>
        <w:numId w:val="7"/>
      </w:numPr>
    </w:pPr>
  </w:style>
  <w:style w:type="paragraph" w:customStyle="1" w:styleId="Logo">
    <w:name w:val="Logo"/>
    <w:basedOn w:val="Normal"/>
    <w:next w:val="DisclaimerHeading"/>
    <w:rsid w:val="00D84108"/>
    <w:pPr>
      <w:spacing w:before="600"/>
    </w:pPr>
    <w:rPr>
      <w:noProof/>
      <w:lang w:eastAsia="en-AU"/>
    </w:rPr>
  </w:style>
  <w:style w:type="paragraph" w:customStyle="1" w:styleId="SideQuote">
    <w:name w:val="Side Quote"/>
    <w:basedOn w:val="Normal"/>
    <w:next w:val="SideQuoteSource"/>
    <w:link w:val="SideQuoteChar"/>
    <w:rsid w:val="00D84108"/>
    <w:pPr>
      <w:keepNext/>
      <w:framePr w:w="1701" w:hSpace="113" w:vSpace="113" w:wrap="around" w:vAnchor="text" w:hAnchor="margin" w:x="-1984" w:y="1"/>
      <w:pBdr>
        <w:top w:val="single" w:sz="12" w:space="3" w:color="22789A"/>
        <w:bottom w:val="single" w:sz="12" w:space="3" w:color="22789A"/>
      </w:pBdr>
      <w:spacing w:before="60" w:after="40" w:line="220" w:lineRule="exact"/>
    </w:pPr>
    <w:rPr>
      <w:rFonts w:asciiTheme="majorHAnsi" w:eastAsia="Times New Roman" w:hAnsiTheme="majorHAnsi" w:cs="Times New Roman"/>
      <w:color w:val="808080" w:themeColor="background1" w:themeShade="80"/>
      <w:sz w:val="16"/>
      <w:lang w:eastAsia="en-AU"/>
    </w:rPr>
  </w:style>
  <w:style w:type="character" w:customStyle="1" w:styleId="SideQuoteChar">
    <w:name w:val="Side Quote Char"/>
    <w:basedOn w:val="DefaultParagraphFont"/>
    <w:link w:val="SideQuote"/>
    <w:rsid w:val="00D84108"/>
    <w:rPr>
      <w:rFonts w:asciiTheme="majorHAnsi" w:eastAsia="Times New Roman" w:hAnsiTheme="majorHAnsi" w:cs="Times New Roman"/>
      <w:color w:val="808080" w:themeColor="background1" w:themeShade="80"/>
      <w:sz w:val="16"/>
      <w:lang w:eastAsia="en-AU"/>
    </w:rPr>
  </w:style>
  <w:style w:type="paragraph" w:customStyle="1" w:styleId="SideQuoteSource">
    <w:name w:val="Side Quote Source"/>
    <w:basedOn w:val="SideQuote"/>
    <w:next w:val="BodyText"/>
    <w:rsid w:val="00D84108"/>
    <w:pPr>
      <w:framePr w:wrap="around"/>
      <w:jc w:val="right"/>
    </w:pPr>
    <w:rPr>
      <w:i/>
    </w:rPr>
  </w:style>
  <w:style w:type="paragraph" w:customStyle="1" w:styleId="LetterBody">
    <w:name w:val="Letter Body"/>
    <w:qFormat/>
    <w:rsid w:val="00D84108"/>
    <w:rPr>
      <w:rFonts w:ascii="Arial" w:eastAsia="Times New Roman" w:hAnsi="Arial" w:cs="Times New Roman"/>
      <w:sz w:val="20"/>
      <w:szCs w:val="20"/>
      <w:lang w:eastAsia="en-AU"/>
    </w:rPr>
  </w:style>
  <w:style w:type="paragraph" w:customStyle="1" w:styleId="LetterAddress">
    <w:name w:val="Letter Address"/>
    <w:basedOn w:val="LetterNormal"/>
    <w:qFormat/>
    <w:rsid w:val="00D84108"/>
    <w:pPr>
      <w:spacing w:after="80"/>
      <w:ind w:left="1701"/>
    </w:pPr>
    <w:rPr>
      <w:sz w:val="16"/>
      <w:szCs w:val="16"/>
    </w:rPr>
  </w:style>
  <w:style w:type="paragraph" w:customStyle="1" w:styleId="Addressee">
    <w:name w:val="Addressee"/>
    <w:qFormat/>
    <w:rsid w:val="00D84108"/>
    <w:pPr>
      <w:spacing w:after="0"/>
    </w:pPr>
    <w:rPr>
      <w:rFonts w:ascii="Arial" w:eastAsia="Times New Roman" w:hAnsi="Arial" w:cs="Times New Roman"/>
      <w:sz w:val="20"/>
      <w:szCs w:val="20"/>
      <w:lang w:eastAsia="en-AU"/>
    </w:rPr>
  </w:style>
  <w:style w:type="paragraph" w:customStyle="1" w:styleId="LetterAddressee">
    <w:name w:val="Letter Addressee"/>
    <w:basedOn w:val="LetterNormal"/>
    <w:qFormat/>
    <w:rsid w:val="00D84108"/>
  </w:style>
  <w:style w:type="paragraph" w:customStyle="1" w:styleId="LetterSalutation">
    <w:name w:val="Letter Salutation"/>
    <w:basedOn w:val="LetterBody"/>
    <w:qFormat/>
    <w:rsid w:val="00D84108"/>
  </w:style>
  <w:style w:type="paragraph" w:customStyle="1" w:styleId="LetterSignature">
    <w:name w:val="Letter Signature"/>
    <w:basedOn w:val="LetterNormal"/>
    <w:qFormat/>
    <w:rsid w:val="00D84108"/>
    <w:pPr>
      <w:tabs>
        <w:tab w:val="left" w:pos="6200"/>
      </w:tabs>
    </w:pPr>
  </w:style>
  <w:style w:type="paragraph" w:customStyle="1" w:styleId="LetterNormal">
    <w:name w:val="Letter Normal"/>
    <w:basedOn w:val="Normal"/>
    <w:qFormat/>
    <w:rsid w:val="00D84108"/>
    <w:pPr>
      <w:suppressAutoHyphens/>
      <w:spacing w:after="0" w:line="240" w:lineRule="auto"/>
    </w:pPr>
    <w:rPr>
      <w:rFonts w:eastAsia="Times New Roman" w:cs="Times New Roman"/>
      <w:szCs w:val="20"/>
      <w:lang w:eastAsia="en-AU"/>
    </w:rPr>
  </w:style>
  <w:style w:type="paragraph" w:customStyle="1" w:styleId="LetterAddressBlock">
    <w:name w:val="Letter Address Block"/>
    <w:basedOn w:val="LetterNormal"/>
    <w:qFormat/>
    <w:rsid w:val="00D84108"/>
    <w:pPr>
      <w:spacing w:after="80"/>
      <w:ind w:left="1701"/>
    </w:pPr>
    <w:rPr>
      <w:sz w:val="16"/>
      <w:szCs w:val="16"/>
    </w:rPr>
  </w:style>
  <w:style w:type="paragraph" w:customStyle="1" w:styleId="AgendaBodyText">
    <w:name w:val="Agenda Body Text"/>
    <w:qFormat/>
    <w:rsid w:val="00D84108"/>
    <w:pPr>
      <w:spacing w:before="120" w:after="0" w:line="240" w:lineRule="auto"/>
    </w:pPr>
    <w:rPr>
      <w:rFonts w:ascii="Arial" w:hAnsi="Arial"/>
      <w:color w:val="595A5B"/>
      <w:sz w:val="18"/>
      <w:lang w:eastAsia="en-AU"/>
    </w:rPr>
  </w:style>
  <w:style w:type="paragraph" w:customStyle="1" w:styleId="AgendaTableColHeading">
    <w:name w:val="Agenda Table Co lHeading"/>
    <w:next w:val="AgendaBodyText"/>
    <w:qFormat/>
    <w:rsid w:val="00D84108"/>
    <w:pPr>
      <w:spacing w:before="200" w:after="0" w:line="240" w:lineRule="auto"/>
    </w:pPr>
    <w:rPr>
      <w:rFonts w:ascii="Arial" w:hAnsi="Arial"/>
      <w:b/>
      <w:color w:val="22789A"/>
    </w:rPr>
  </w:style>
  <w:style w:type="paragraph" w:customStyle="1" w:styleId="AgendaTableSubHeading">
    <w:name w:val="Agenda Table Sub Heading"/>
    <w:qFormat/>
    <w:rsid w:val="00D84108"/>
    <w:pPr>
      <w:spacing w:after="120" w:line="240" w:lineRule="auto"/>
    </w:pPr>
    <w:rPr>
      <w:rFonts w:ascii="Arial" w:hAnsi="Arial"/>
      <w:b/>
      <w:color w:val="595A5B"/>
      <w:sz w:val="18"/>
      <w:lang w:eastAsia="en-AU"/>
    </w:rPr>
  </w:style>
  <w:style w:type="paragraph" w:customStyle="1" w:styleId="AgendaTableColHeading0">
    <w:name w:val="Agenda Table Col Heading"/>
    <w:next w:val="AgendaBodyText"/>
    <w:qFormat/>
    <w:rsid w:val="00D84108"/>
    <w:pPr>
      <w:spacing w:before="200" w:after="0" w:line="240" w:lineRule="auto"/>
    </w:pPr>
    <w:rPr>
      <w:rFonts w:ascii="Arial" w:eastAsia="Times New Roman" w:hAnsi="Arial"/>
      <w:b/>
      <w:color w:val="22789A"/>
      <w:lang w:eastAsia="en-AU"/>
    </w:rPr>
  </w:style>
  <w:style w:type="paragraph" w:customStyle="1" w:styleId="address">
    <w:name w:val="address"/>
    <w:basedOn w:val="Normal"/>
    <w:rsid w:val="00D84108"/>
    <w:pPr>
      <w:suppressAutoHyphens/>
      <w:spacing w:after="240" w:line="240" w:lineRule="auto"/>
      <w:jc w:val="right"/>
    </w:pPr>
    <w:rPr>
      <w:rFonts w:eastAsia="Times New Roman" w:cs="Times New Roman"/>
      <w:szCs w:val="20"/>
      <w:lang w:val="en-GB" w:eastAsia="en-AU"/>
    </w:rPr>
  </w:style>
  <w:style w:type="paragraph" w:styleId="ListNumber4">
    <w:name w:val="List Number 4"/>
    <w:basedOn w:val="Normal"/>
    <w:rsid w:val="00D84108"/>
    <w:pPr>
      <w:numPr>
        <w:ilvl w:val="3"/>
        <w:numId w:val="15"/>
      </w:numPr>
      <w:contextualSpacing/>
    </w:pPr>
  </w:style>
  <w:style w:type="paragraph" w:styleId="CommentText">
    <w:name w:val="annotation text"/>
    <w:basedOn w:val="Normal"/>
    <w:link w:val="CommentTextChar"/>
    <w:unhideWhenUsed/>
    <w:rsid w:val="00295AF8"/>
    <w:pPr>
      <w:spacing w:line="240" w:lineRule="auto"/>
    </w:pPr>
    <w:rPr>
      <w:szCs w:val="20"/>
    </w:rPr>
  </w:style>
  <w:style w:type="character" w:customStyle="1" w:styleId="CommentTextChar">
    <w:name w:val="Comment Text Char"/>
    <w:basedOn w:val="DefaultParagraphFont"/>
    <w:link w:val="CommentText"/>
    <w:rsid w:val="00295AF8"/>
    <w:rPr>
      <w:rFonts w:ascii="Arial" w:hAnsi="Arial"/>
      <w:color w:val="595A5B"/>
      <w:sz w:val="20"/>
      <w:szCs w:val="20"/>
    </w:rPr>
  </w:style>
  <w:style w:type="table" w:customStyle="1" w:styleId="TableGrid1">
    <w:name w:val="Table Grid1"/>
    <w:basedOn w:val="TableNormal"/>
    <w:next w:val="TableGrid"/>
    <w:uiPriority w:val="59"/>
    <w:rsid w:val="00295AF8"/>
    <w:pPr>
      <w:spacing w:after="0" w:line="240" w:lineRule="auto"/>
    </w:pPr>
    <w:rPr>
      <w:rFonts w:ascii="Calibri" w:eastAsia="Times New Roman" w:hAnsi="Calibri"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95AF8"/>
    <w:rPr>
      <w:sz w:val="16"/>
      <w:szCs w:val="16"/>
    </w:rPr>
  </w:style>
  <w:style w:type="table" w:customStyle="1" w:styleId="LightList-Accent11">
    <w:name w:val="Light List - Accent 11"/>
    <w:basedOn w:val="TableNormal"/>
    <w:next w:val="LightList-Accent1"/>
    <w:uiPriority w:val="61"/>
    <w:rsid w:val="00295AF8"/>
    <w:pPr>
      <w:spacing w:after="0" w:line="240" w:lineRule="auto"/>
    </w:pPr>
    <w:tblPr>
      <w:tblStyleRowBandSize w:val="1"/>
      <w:tblStyleColBandSize w:val="1"/>
      <w:tblBorders>
        <w:top w:val="single" w:sz="8" w:space="0" w:color="22789A"/>
        <w:left w:val="single" w:sz="8" w:space="0" w:color="22789A"/>
        <w:bottom w:val="single" w:sz="8" w:space="0" w:color="22789A"/>
        <w:right w:val="single" w:sz="8" w:space="0" w:color="22789A"/>
      </w:tblBorders>
    </w:tblPr>
    <w:tblStylePr w:type="firstRow">
      <w:pPr>
        <w:spacing w:before="0" w:after="0" w:line="240" w:lineRule="auto"/>
      </w:pPr>
      <w:rPr>
        <w:b/>
        <w:bCs/>
        <w:color w:val="FFFFFF"/>
      </w:rPr>
      <w:tblPr/>
      <w:tcPr>
        <w:shd w:val="clear" w:color="auto" w:fill="22789A"/>
      </w:tcPr>
    </w:tblStylePr>
    <w:tblStylePr w:type="lastRow">
      <w:pPr>
        <w:spacing w:before="0" w:after="0" w:line="240" w:lineRule="auto"/>
      </w:pPr>
      <w:rPr>
        <w:b/>
        <w:bCs/>
      </w:rPr>
      <w:tblPr/>
      <w:tcPr>
        <w:tcBorders>
          <w:top w:val="double" w:sz="6" w:space="0" w:color="22789A"/>
          <w:left w:val="single" w:sz="8" w:space="0" w:color="22789A"/>
          <w:bottom w:val="single" w:sz="8" w:space="0" w:color="22789A"/>
          <w:right w:val="single" w:sz="8" w:space="0" w:color="22789A"/>
        </w:tcBorders>
      </w:tcPr>
    </w:tblStylePr>
    <w:tblStylePr w:type="firstCol">
      <w:rPr>
        <w:b/>
        <w:bCs/>
      </w:rPr>
    </w:tblStylePr>
    <w:tblStylePr w:type="lastCol">
      <w:rPr>
        <w:b/>
        <w:bCs/>
      </w:rPr>
    </w:tblStylePr>
    <w:tblStylePr w:type="band1Vert">
      <w:tblPr/>
      <w:tcPr>
        <w:tcBorders>
          <w:top w:val="single" w:sz="8" w:space="0" w:color="22789A"/>
          <w:left w:val="single" w:sz="8" w:space="0" w:color="22789A"/>
          <w:bottom w:val="single" w:sz="8" w:space="0" w:color="22789A"/>
          <w:right w:val="single" w:sz="8" w:space="0" w:color="22789A"/>
        </w:tcBorders>
      </w:tcPr>
    </w:tblStylePr>
    <w:tblStylePr w:type="band1Horz">
      <w:tblPr/>
      <w:tcPr>
        <w:tcBorders>
          <w:top w:val="single" w:sz="8" w:space="0" w:color="22789A"/>
          <w:left w:val="single" w:sz="8" w:space="0" w:color="22789A"/>
          <w:bottom w:val="single" w:sz="8" w:space="0" w:color="22789A"/>
          <w:right w:val="single" w:sz="8" w:space="0" w:color="22789A"/>
        </w:tcBorders>
      </w:tcPr>
    </w:tblStylePr>
  </w:style>
  <w:style w:type="table" w:styleId="LightList-Accent1">
    <w:name w:val="Light List Accent 1"/>
    <w:basedOn w:val="TableNormal"/>
    <w:uiPriority w:val="61"/>
    <w:semiHidden/>
    <w:unhideWhenUsed/>
    <w:rsid w:val="00295AF8"/>
    <w:pPr>
      <w:spacing w:after="0" w:line="240" w:lineRule="auto"/>
    </w:pPr>
    <w:tblPr>
      <w:tblStyleRowBandSize w:val="1"/>
      <w:tblStyleColBandSize w:val="1"/>
      <w:tblBorders>
        <w:top w:val="single" w:sz="8" w:space="0" w:color="292B67" w:themeColor="accent1"/>
        <w:left w:val="single" w:sz="8" w:space="0" w:color="292B67" w:themeColor="accent1"/>
        <w:bottom w:val="single" w:sz="8" w:space="0" w:color="292B67" w:themeColor="accent1"/>
        <w:right w:val="single" w:sz="8" w:space="0" w:color="292B67" w:themeColor="accent1"/>
      </w:tblBorders>
    </w:tblPr>
    <w:tblStylePr w:type="firstRow">
      <w:pPr>
        <w:spacing w:before="0" w:after="0" w:line="240" w:lineRule="auto"/>
      </w:pPr>
      <w:rPr>
        <w:b/>
        <w:bCs/>
        <w:color w:val="FFFFFF" w:themeColor="background1"/>
      </w:rPr>
      <w:tblPr/>
      <w:tcPr>
        <w:shd w:val="clear" w:color="auto" w:fill="292B67" w:themeFill="accent1"/>
      </w:tcPr>
    </w:tblStylePr>
    <w:tblStylePr w:type="lastRow">
      <w:pPr>
        <w:spacing w:before="0" w:after="0" w:line="240" w:lineRule="auto"/>
      </w:pPr>
      <w:rPr>
        <w:b/>
        <w:bCs/>
      </w:rPr>
      <w:tblPr/>
      <w:tcPr>
        <w:tcBorders>
          <w:top w:val="double" w:sz="6" w:space="0" w:color="292B67" w:themeColor="accent1"/>
          <w:left w:val="single" w:sz="8" w:space="0" w:color="292B67" w:themeColor="accent1"/>
          <w:bottom w:val="single" w:sz="8" w:space="0" w:color="292B67" w:themeColor="accent1"/>
          <w:right w:val="single" w:sz="8" w:space="0" w:color="292B67" w:themeColor="accent1"/>
        </w:tcBorders>
      </w:tcPr>
    </w:tblStylePr>
    <w:tblStylePr w:type="firstCol">
      <w:rPr>
        <w:b/>
        <w:bCs/>
      </w:rPr>
    </w:tblStylePr>
    <w:tblStylePr w:type="lastCol">
      <w:rPr>
        <w:b/>
        <w:bCs/>
      </w:rPr>
    </w:tblStylePr>
    <w:tblStylePr w:type="band1Vert">
      <w:tblPr/>
      <w:tcPr>
        <w:tcBorders>
          <w:top w:val="single" w:sz="8" w:space="0" w:color="292B67" w:themeColor="accent1"/>
          <w:left w:val="single" w:sz="8" w:space="0" w:color="292B67" w:themeColor="accent1"/>
          <w:bottom w:val="single" w:sz="8" w:space="0" w:color="292B67" w:themeColor="accent1"/>
          <w:right w:val="single" w:sz="8" w:space="0" w:color="292B67" w:themeColor="accent1"/>
        </w:tcBorders>
      </w:tcPr>
    </w:tblStylePr>
    <w:tblStylePr w:type="band1Horz">
      <w:tblPr/>
      <w:tcPr>
        <w:tcBorders>
          <w:top w:val="single" w:sz="8" w:space="0" w:color="292B67" w:themeColor="accent1"/>
          <w:left w:val="single" w:sz="8" w:space="0" w:color="292B67" w:themeColor="accent1"/>
          <w:bottom w:val="single" w:sz="8" w:space="0" w:color="292B67" w:themeColor="accent1"/>
          <w:right w:val="single" w:sz="8" w:space="0" w:color="292B67" w:themeColor="accent1"/>
        </w:tcBorders>
      </w:tcPr>
    </w:tblStylePr>
  </w:style>
  <w:style w:type="paragraph" w:styleId="CommentSubject">
    <w:name w:val="annotation subject"/>
    <w:basedOn w:val="CommentText"/>
    <w:next w:val="CommentText"/>
    <w:link w:val="CommentSubjectChar"/>
    <w:semiHidden/>
    <w:unhideWhenUsed/>
    <w:rsid w:val="00295AF8"/>
    <w:rPr>
      <w:b/>
      <w:bCs/>
    </w:rPr>
  </w:style>
  <w:style w:type="character" w:customStyle="1" w:styleId="CommentSubjectChar">
    <w:name w:val="Comment Subject Char"/>
    <w:basedOn w:val="CommentTextChar"/>
    <w:link w:val="CommentSubject"/>
    <w:semiHidden/>
    <w:rsid w:val="00295AF8"/>
    <w:rPr>
      <w:rFonts w:ascii="Arial" w:hAnsi="Arial"/>
      <w:b/>
      <w:bCs/>
      <w:color w:val="595A5B"/>
      <w:sz w:val="20"/>
      <w:szCs w:val="20"/>
    </w:rPr>
  </w:style>
  <w:style w:type="character" w:styleId="FollowedHyperlink">
    <w:name w:val="FollowedHyperlink"/>
    <w:basedOn w:val="DefaultParagraphFont"/>
    <w:uiPriority w:val="19"/>
    <w:semiHidden/>
    <w:unhideWhenUsed/>
    <w:rsid w:val="00295AF8"/>
    <w:rPr>
      <w:color w:val="56B4DF" w:themeColor="followedHyperlink"/>
      <w:u w:val="single"/>
    </w:rPr>
  </w:style>
  <w:style w:type="paragraph" w:styleId="Revision">
    <w:name w:val="Revision"/>
    <w:hidden/>
    <w:uiPriority w:val="99"/>
    <w:semiHidden/>
    <w:rsid w:val="00295AF8"/>
    <w:pPr>
      <w:spacing w:after="0" w:line="240" w:lineRule="auto"/>
    </w:pPr>
    <w:rPr>
      <w:rFonts w:ascii="Arial" w:hAnsi="Arial"/>
      <w:color w:val="595A5B"/>
      <w:sz w:val="20"/>
    </w:rPr>
  </w:style>
  <w:style w:type="paragraph" w:customStyle="1" w:styleId="Default">
    <w:name w:val="Default"/>
    <w:rsid w:val="00295AF8"/>
    <w:pPr>
      <w:autoSpaceDE w:val="0"/>
      <w:autoSpaceDN w:val="0"/>
      <w:adjustRightInd w:val="0"/>
      <w:spacing w:after="0" w:line="240" w:lineRule="auto"/>
    </w:pPr>
    <w:rPr>
      <w:rFonts w:ascii="HelveticaNeueLT Std Lt" w:hAnsi="HelveticaNeueLT Std Lt" w:cs="HelveticaNeueLT Std Lt"/>
      <w:color w:val="000000"/>
      <w:sz w:val="24"/>
      <w:szCs w:val="24"/>
    </w:rPr>
  </w:style>
  <w:style w:type="paragraph" w:styleId="EndnoteText">
    <w:name w:val="endnote text"/>
    <w:basedOn w:val="Normal"/>
    <w:link w:val="EndnoteTextChar"/>
    <w:uiPriority w:val="19"/>
    <w:semiHidden/>
    <w:unhideWhenUsed/>
    <w:rsid w:val="00295AF8"/>
    <w:pPr>
      <w:spacing w:after="0" w:line="240" w:lineRule="auto"/>
    </w:pPr>
    <w:rPr>
      <w:szCs w:val="20"/>
    </w:rPr>
  </w:style>
  <w:style w:type="character" w:customStyle="1" w:styleId="EndnoteTextChar">
    <w:name w:val="Endnote Text Char"/>
    <w:basedOn w:val="DefaultParagraphFont"/>
    <w:link w:val="EndnoteText"/>
    <w:uiPriority w:val="19"/>
    <w:semiHidden/>
    <w:rsid w:val="00295AF8"/>
    <w:rPr>
      <w:rFonts w:ascii="Arial" w:hAnsi="Arial"/>
      <w:color w:val="595A5B"/>
      <w:sz w:val="20"/>
      <w:szCs w:val="20"/>
    </w:rPr>
  </w:style>
  <w:style w:type="character" w:styleId="EndnoteReference">
    <w:name w:val="endnote reference"/>
    <w:basedOn w:val="DefaultParagraphFont"/>
    <w:uiPriority w:val="19"/>
    <w:semiHidden/>
    <w:unhideWhenUsed/>
    <w:rsid w:val="00295AF8"/>
    <w:rPr>
      <w:vertAlign w:val="superscript"/>
    </w:rPr>
  </w:style>
  <w:style w:type="paragraph" w:styleId="NormalWeb">
    <w:name w:val="Normal (Web)"/>
    <w:basedOn w:val="Normal"/>
    <w:uiPriority w:val="99"/>
    <w:semiHidden/>
    <w:unhideWhenUsed/>
    <w:rsid w:val="0063499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18">
    <w:name w:val="Pa18"/>
    <w:basedOn w:val="Default"/>
    <w:next w:val="Default"/>
    <w:uiPriority w:val="99"/>
    <w:rsid w:val="000D5527"/>
    <w:pPr>
      <w:spacing w:line="181" w:lineRule="atLeast"/>
    </w:pPr>
    <w:rPr>
      <w:rFonts w:ascii="Arial" w:hAnsi="Arial" w:cs="Arial"/>
      <w:color w:val="auto"/>
    </w:rPr>
  </w:style>
  <w:style w:type="paragraph" w:customStyle="1" w:styleId="Pa4">
    <w:name w:val="Pa4"/>
    <w:basedOn w:val="Default"/>
    <w:next w:val="Default"/>
    <w:uiPriority w:val="99"/>
    <w:rsid w:val="000D5527"/>
    <w:pPr>
      <w:spacing w:line="201" w:lineRule="atLeast"/>
    </w:pPr>
    <w:rPr>
      <w:rFonts w:ascii="Arial" w:hAnsi="Arial" w:cs="Arial"/>
      <w:color w:val="auto"/>
    </w:rPr>
  </w:style>
  <w:style w:type="table" w:styleId="GridTable1Light-Accent5">
    <w:name w:val="Grid Table 1 Light Accent 5"/>
    <w:basedOn w:val="TableNormal"/>
    <w:uiPriority w:val="46"/>
    <w:rsid w:val="00C1124F"/>
    <w:pPr>
      <w:spacing w:after="0" w:line="240" w:lineRule="auto"/>
    </w:pPr>
    <w:tblPr>
      <w:tblStyleRowBandSize w:val="1"/>
      <w:tblStyleColBandSize w:val="1"/>
      <w:tblBorders>
        <w:top w:val="single" w:sz="4" w:space="0" w:color="BCBCBD" w:themeColor="accent5" w:themeTint="66"/>
        <w:left w:val="single" w:sz="4" w:space="0" w:color="BCBCBD" w:themeColor="accent5" w:themeTint="66"/>
        <w:bottom w:val="single" w:sz="4" w:space="0" w:color="BCBCBD" w:themeColor="accent5" w:themeTint="66"/>
        <w:right w:val="single" w:sz="4" w:space="0" w:color="BCBCBD" w:themeColor="accent5" w:themeTint="66"/>
        <w:insideH w:val="single" w:sz="4" w:space="0" w:color="BCBCBD" w:themeColor="accent5" w:themeTint="66"/>
        <w:insideV w:val="single" w:sz="4" w:space="0" w:color="BCBCBD" w:themeColor="accent5" w:themeTint="66"/>
      </w:tblBorders>
    </w:tblPr>
    <w:tblStylePr w:type="firstRow">
      <w:rPr>
        <w:b/>
        <w:bCs/>
      </w:rPr>
      <w:tblPr/>
      <w:tcPr>
        <w:tcBorders>
          <w:bottom w:val="single" w:sz="12" w:space="0" w:color="9A9B9D" w:themeColor="accent5" w:themeTint="99"/>
        </w:tcBorders>
      </w:tcPr>
    </w:tblStylePr>
    <w:tblStylePr w:type="lastRow">
      <w:rPr>
        <w:b/>
        <w:bCs/>
      </w:rPr>
      <w:tblPr/>
      <w:tcPr>
        <w:tcBorders>
          <w:top w:val="double" w:sz="2" w:space="0" w:color="9A9B9D" w:themeColor="accent5"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E0184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0184F"/>
    <w:rPr>
      <w:rFonts w:eastAsiaTheme="minorEastAsia"/>
      <w:lang w:val="en-US"/>
    </w:rPr>
  </w:style>
  <w:style w:type="character" w:customStyle="1" w:styleId="Heading5Char">
    <w:name w:val="Heading 5 Char"/>
    <w:basedOn w:val="DefaultParagraphFont"/>
    <w:link w:val="Heading5"/>
    <w:uiPriority w:val="9"/>
    <w:semiHidden/>
    <w:rsid w:val="00824AB1"/>
    <w:rPr>
      <w:rFonts w:asciiTheme="majorHAnsi" w:eastAsiaTheme="majorEastAsia" w:hAnsiTheme="majorHAnsi" w:cstheme="majorBidi"/>
      <w:color w:val="1E204C" w:themeColor="accent1" w:themeShade="BF"/>
      <w:sz w:val="20"/>
    </w:rPr>
  </w:style>
  <w:style w:type="character" w:customStyle="1" w:styleId="Heading9Char">
    <w:name w:val="Heading 9 Char"/>
    <w:basedOn w:val="DefaultParagraphFont"/>
    <w:link w:val="Heading9"/>
    <w:semiHidden/>
    <w:rsid w:val="00824AB1"/>
    <w:rPr>
      <w:rFonts w:asciiTheme="majorHAnsi" w:eastAsiaTheme="majorEastAsia" w:hAnsiTheme="majorHAnsi" w:cstheme="majorBidi"/>
      <w:i/>
      <w:iCs/>
      <w:color w:val="727374" w:themeColor="text1" w:themeTint="D8"/>
      <w:sz w:val="21"/>
      <w:szCs w:val="21"/>
    </w:rPr>
  </w:style>
  <w:style w:type="numbering" w:styleId="ArticleSection">
    <w:name w:val="Outline List 3"/>
    <w:basedOn w:val="NoList"/>
    <w:semiHidden/>
    <w:rsid w:val="00824AB1"/>
    <w:pPr>
      <w:numPr>
        <w:numId w:val="16"/>
      </w:numPr>
    </w:pPr>
  </w:style>
  <w:style w:type="character" w:styleId="Emphasis">
    <w:name w:val="Emphasis"/>
    <w:basedOn w:val="DefaultParagraphFont"/>
    <w:uiPriority w:val="20"/>
    <w:qFormat/>
    <w:rsid w:val="00A127FB"/>
    <w:rPr>
      <w:b/>
      <w:bCs/>
      <w:i w:val="0"/>
      <w:iCs w:val="0"/>
    </w:rPr>
  </w:style>
  <w:style w:type="character" w:customStyle="1" w:styleId="st1">
    <w:name w:val="st1"/>
    <w:basedOn w:val="DefaultParagraphFont"/>
    <w:rsid w:val="00A127FB"/>
  </w:style>
  <w:style w:type="paragraph" w:styleId="HTMLPreformatted">
    <w:name w:val="HTML Preformatted"/>
    <w:basedOn w:val="Normal"/>
    <w:link w:val="HTMLPreformattedChar"/>
    <w:semiHidden/>
    <w:rsid w:val="00F40689"/>
    <w:pPr>
      <w:spacing w:after="0" w:line="240" w:lineRule="auto"/>
    </w:pPr>
    <w:rPr>
      <w:rFonts w:ascii="Courier New" w:eastAsia="Times New Roman" w:hAnsi="Courier New" w:cs="Courier New"/>
      <w:szCs w:val="20"/>
      <w:lang w:eastAsia="en-AU"/>
    </w:rPr>
  </w:style>
  <w:style w:type="character" w:customStyle="1" w:styleId="HTMLPreformattedChar">
    <w:name w:val="HTML Preformatted Char"/>
    <w:basedOn w:val="DefaultParagraphFont"/>
    <w:link w:val="HTMLPreformatted"/>
    <w:semiHidden/>
    <w:rsid w:val="00F40689"/>
    <w:rPr>
      <w:rFonts w:ascii="Courier New" w:eastAsia="Times New Roman" w:hAnsi="Courier New" w:cs="Courier New"/>
      <w:sz w:val="20"/>
      <w:szCs w:val="20"/>
      <w:lang w:eastAsia="en-AU"/>
    </w:rPr>
  </w:style>
  <w:style w:type="character" w:customStyle="1" w:styleId="BoxtextChar">
    <w:name w:val="Box text Char"/>
    <w:basedOn w:val="AbstractbodytextChar"/>
    <w:link w:val="Boxtext"/>
    <w:rsid w:val="00A7770D"/>
    <w:rPr>
      <w:rFonts w:ascii="Arial" w:eastAsia="Times New Roman" w:hAnsi="Arial" w:cs="Arial"/>
      <w:color w:val="595A5B"/>
      <w:sz w:val="18"/>
      <w:szCs w:val="18"/>
      <w:lang w:val="en"/>
    </w:rPr>
  </w:style>
  <w:style w:type="character" w:customStyle="1" w:styleId="CaptionChar">
    <w:name w:val="Caption Char"/>
    <w:link w:val="Caption"/>
    <w:rsid w:val="00A7770D"/>
    <w:rPr>
      <w:rFonts w:ascii="Arial" w:hAnsi="Arial"/>
      <w:bCs/>
      <w:color w:val="22789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95231">
      <w:bodyDiv w:val="1"/>
      <w:marLeft w:val="0"/>
      <w:marRight w:val="0"/>
      <w:marTop w:val="0"/>
      <w:marBottom w:val="0"/>
      <w:divBdr>
        <w:top w:val="none" w:sz="0" w:space="0" w:color="auto"/>
        <w:left w:val="none" w:sz="0" w:space="0" w:color="auto"/>
        <w:bottom w:val="none" w:sz="0" w:space="0" w:color="auto"/>
        <w:right w:val="none" w:sz="0" w:space="0" w:color="auto"/>
      </w:divBdr>
    </w:div>
    <w:div w:id="352849918">
      <w:bodyDiv w:val="1"/>
      <w:marLeft w:val="0"/>
      <w:marRight w:val="0"/>
      <w:marTop w:val="0"/>
      <w:marBottom w:val="0"/>
      <w:divBdr>
        <w:top w:val="none" w:sz="0" w:space="0" w:color="auto"/>
        <w:left w:val="none" w:sz="0" w:space="0" w:color="auto"/>
        <w:bottom w:val="none" w:sz="0" w:space="0" w:color="auto"/>
        <w:right w:val="none" w:sz="0" w:space="0" w:color="auto"/>
      </w:divBdr>
    </w:div>
    <w:div w:id="459416468">
      <w:bodyDiv w:val="1"/>
      <w:marLeft w:val="0"/>
      <w:marRight w:val="0"/>
      <w:marTop w:val="0"/>
      <w:marBottom w:val="0"/>
      <w:divBdr>
        <w:top w:val="none" w:sz="0" w:space="0" w:color="auto"/>
        <w:left w:val="none" w:sz="0" w:space="0" w:color="auto"/>
        <w:bottom w:val="none" w:sz="0" w:space="0" w:color="auto"/>
        <w:right w:val="none" w:sz="0" w:space="0" w:color="auto"/>
      </w:divBdr>
    </w:div>
    <w:div w:id="476915568">
      <w:bodyDiv w:val="1"/>
      <w:marLeft w:val="0"/>
      <w:marRight w:val="0"/>
      <w:marTop w:val="0"/>
      <w:marBottom w:val="0"/>
      <w:divBdr>
        <w:top w:val="none" w:sz="0" w:space="0" w:color="auto"/>
        <w:left w:val="none" w:sz="0" w:space="0" w:color="auto"/>
        <w:bottom w:val="none" w:sz="0" w:space="0" w:color="auto"/>
        <w:right w:val="none" w:sz="0" w:space="0" w:color="auto"/>
      </w:divBdr>
    </w:div>
    <w:div w:id="493105240">
      <w:bodyDiv w:val="1"/>
      <w:marLeft w:val="0"/>
      <w:marRight w:val="0"/>
      <w:marTop w:val="0"/>
      <w:marBottom w:val="0"/>
      <w:divBdr>
        <w:top w:val="none" w:sz="0" w:space="0" w:color="auto"/>
        <w:left w:val="none" w:sz="0" w:space="0" w:color="auto"/>
        <w:bottom w:val="none" w:sz="0" w:space="0" w:color="auto"/>
        <w:right w:val="none" w:sz="0" w:space="0" w:color="auto"/>
      </w:divBdr>
    </w:div>
    <w:div w:id="621113362">
      <w:bodyDiv w:val="1"/>
      <w:marLeft w:val="0"/>
      <w:marRight w:val="0"/>
      <w:marTop w:val="0"/>
      <w:marBottom w:val="0"/>
      <w:divBdr>
        <w:top w:val="none" w:sz="0" w:space="0" w:color="auto"/>
        <w:left w:val="none" w:sz="0" w:space="0" w:color="auto"/>
        <w:bottom w:val="none" w:sz="0" w:space="0" w:color="auto"/>
        <w:right w:val="none" w:sz="0" w:space="0" w:color="auto"/>
      </w:divBdr>
    </w:div>
    <w:div w:id="731856965">
      <w:bodyDiv w:val="1"/>
      <w:marLeft w:val="0"/>
      <w:marRight w:val="0"/>
      <w:marTop w:val="0"/>
      <w:marBottom w:val="0"/>
      <w:divBdr>
        <w:top w:val="none" w:sz="0" w:space="0" w:color="auto"/>
        <w:left w:val="none" w:sz="0" w:space="0" w:color="auto"/>
        <w:bottom w:val="none" w:sz="0" w:space="0" w:color="auto"/>
        <w:right w:val="none" w:sz="0" w:space="0" w:color="auto"/>
      </w:divBdr>
    </w:div>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772939898">
      <w:bodyDiv w:val="1"/>
      <w:marLeft w:val="0"/>
      <w:marRight w:val="0"/>
      <w:marTop w:val="0"/>
      <w:marBottom w:val="0"/>
      <w:divBdr>
        <w:top w:val="none" w:sz="0" w:space="0" w:color="auto"/>
        <w:left w:val="none" w:sz="0" w:space="0" w:color="auto"/>
        <w:bottom w:val="none" w:sz="0" w:space="0" w:color="auto"/>
        <w:right w:val="none" w:sz="0" w:space="0" w:color="auto"/>
      </w:divBdr>
    </w:div>
    <w:div w:id="774640576">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854228375">
      <w:bodyDiv w:val="1"/>
      <w:marLeft w:val="0"/>
      <w:marRight w:val="0"/>
      <w:marTop w:val="0"/>
      <w:marBottom w:val="0"/>
      <w:divBdr>
        <w:top w:val="none" w:sz="0" w:space="0" w:color="auto"/>
        <w:left w:val="none" w:sz="0" w:space="0" w:color="auto"/>
        <w:bottom w:val="none" w:sz="0" w:space="0" w:color="auto"/>
        <w:right w:val="none" w:sz="0" w:space="0" w:color="auto"/>
      </w:divBdr>
    </w:div>
    <w:div w:id="991102159">
      <w:bodyDiv w:val="1"/>
      <w:marLeft w:val="0"/>
      <w:marRight w:val="0"/>
      <w:marTop w:val="0"/>
      <w:marBottom w:val="0"/>
      <w:divBdr>
        <w:top w:val="none" w:sz="0" w:space="0" w:color="auto"/>
        <w:left w:val="none" w:sz="0" w:space="0" w:color="auto"/>
        <w:bottom w:val="none" w:sz="0" w:space="0" w:color="auto"/>
        <w:right w:val="none" w:sz="0" w:space="0" w:color="auto"/>
      </w:divBdr>
    </w:div>
    <w:div w:id="1063797603">
      <w:bodyDiv w:val="1"/>
      <w:marLeft w:val="0"/>
      <w:marRight w:val="0"/>
      <w:marTop w:val="0"/>
      <w:marBottom w:val="0"/>
      <w:divBdr>
        <w:top w:val="none" w:sz="0" w:space="0" w:color="auto"/>
        <w:left w:val="none" w:sz="0" w:space="0" w:color="auto"/>
        <w:bottom w:val="none" w:sz="0" w:space="0" w:color="auto"/>
        <w:right w:val="none" w:sz="0" w:space="0" w:color="auto"/>
      </w:divBdr>
    </w:div>
    <w:div w:id="1225262325">
      <w:bodyDiv w:val="1"/>
      <w:marLeft w:val="0"/>
      <w:marRight w:val="0"/>
      <w:marTop w:val="0"/>
      <w:marBottom w:val="0"/>
      <w:divBdr>
        <w:top w:val="none" w:sz="0" w:space="0" w:color="auto"/>
        <w:left w:val="none" w:sz="0" w:space="0" w:color="auto"/>
        <w:bottom w:val="none" w:sz="0" w:space="0" w:color="auto"/>
        <w:right w:val="none" w:sz="0" w:space="0" w:color="auto"/>
      </w:divBdr>
    </w:div>
    <w:div w:id="1280381260">
      <w:bodyDiv w:val="1"/>
      <w:marLeft w:val="0"/>
      <w:marRight w:val="0"/>
      <w:marTop w:val="0"/>
      <w:marBottom w:val="0"/>
      <w:divBdr>
        <w:top w:val="none" w:sz="0" w:space="0" w:color="auto"/>
        <w:left w:val="none" w:sz="0" w:space="0" w:color="auto"/>
        <w:bottom w:val="none" w:sz="0" w:space="0" w:color="auto"/>
        <w:right w:val="none" w:sz="0" w:space="0" w:color="auto"/>
      </w:divBdr>
    </w:div>
    <w:div w:id="1373268239">
      <w:bodyDiv w:val="1"/>
      <w:marLeft w:val="0"/>
      <w:marRight w:val="0"/>
      <w:marTop w:val="0"/>
      <w:marBottom w:val="0"/>
      <w:divBdr>
        <w:top w:val="none" w:sz="0" w:space="0" w:color="auto"/>
        <w:left w:val="none" w:sz="0" w:space="0" w:color="auto"/>
        <w:bottom w:val="none" w:sz="0" w:space="0" w:color="auto"/>
        <w:right w:val="none" w:sz="0" w:space="0" w:color="auto"/>
      </w:divBdr>
    </w:div>
    <w:div w:id="1491755000">
      <w:bodyDiv w:val="1"/>
      <w:marLeft w:val="0"/>
      <w:marRight w:val="0"/>
      <w:marTop w:val="0"/>
      <w:marBottom w:val="0"/>
      <w:divBdr>
        <w:top w:val="none" w:sz="0" w:space="0" w:color="auto"/>
        <w:left w:val="none" w:sz="0" w:space="0" w:color="auto"/>
        <w:bottom w:val="none" w:sz="0" w:space="0" w:color="auto"/>
        <w:right w:val="none" w:sz="0" w:space="0" w:color="auto"/>
      </w:divBdr>
    </w:div>
    <w:div w:id="1753507126">
      <w:bodyDiv w:val="1"/>
      <w:marLeft w:val="0"/>
      <w:marRight w:val="0"/>
      <w:marTop w:val="0"/>
      <w:marBottom w:val="0"/>
      <w:divBdr>
        <w:top w:val="none" w:sz="0" w:space="0" w:color="auto"/>
        <w:left w:val="none" w:sz="0" w:space="0" w:color="auto"/>
        <w:bottom w:val="none" w:sz="0" w:space="0" w:color="auto"/>
        <w:right w:val="none" w:sz="0" w:space="0" w:color="auto"/>
      </w:divBdr>
    </w:div>
    <w:div w:id="1859000615">
      <w:bodyDiv w:val="1"/>
      <w:marLeft w:val="0"/>
      <w:marRight w:val="0"/>
      <w:marTop w:val="0"/>
      <w:marBottom w:val="0"/>
      <w:divBdr>
        <w:top w:val="none" w:sz="0" w:space="0" w:color="auto"/>
        <w:left w:val="none" w:sz="0" w:space="0" w:color="auto"/>
        <w:bottom w:val="none" w:sz="0" w:space="0" w:color="auto"/>
        <w:right w:val="none" w:sz="0" w:space="0" w:color="auto"/>
      </w:divBdr>
    </w:div>
    <w:div w:id="1877230610">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 w:id="1929726935">
      <w:bodyDiv w:val="1"/>
      <w:marLeft w:val="0"/>
      <w:marRight w:val="0"/>
      <w:marTop w:val="0"/>
      <w:marBottom w:val="0"/>
      <w:divBdr>
        <w:top w:val="none" w:sz="0" w:space="0" w:color="auto"/>
        <w:left w:val="none" w:sz="0" w:space="0" w:color="auto"/>
        <w:bottom w:val="none" w:sz="0" w:space="0" w:color="auto"/>
        <w:right w:val="none" w:sz="0" w:space="0" w:color="auto"/>
      </w:divBdr>
    </w:div>
    <w:div w:id="1947496221">
      <w:bodyDiv w:val="1"/>
      <w:marLeft w:val="0"/>
      <w:marRight w:val="0"/>
      <w:marTop w:val="0"/>
      <w:marBottom w:val="0"/>
      <w:divBdr>
        <w:top w:val="none" w:sz="0" w:space="0" w:color="auto"/>
        <w:left w:val="none" w:sz="0" w:space="0" w:color="auto"/>
        <w:bottom w:val="none" w:sz="0" w:space="0" w:color="auto"/>
        <w:right w:val="none" w:sz="0" w:space="0" w:color="auto"/>
      </w:divBdr>
    </w:div>
    <w:div w:id="212218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5.xml"/><Relationship Id="rId21" Type="http://schemas.openxmlformats.org/officeDocument/2006/relationships/image" Target="media/image3.png"/><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creativecommons.org/licenses/by/3.0/au/legalcode" TargetMode="External"/><Relationship Id="rId33" Type="http://schemas.openxmlformats.org/officeDocument/2006/relationships/hyperlink" Target="file:///C:/Users/kbarnes/AppData/Local/Microsoft/Windows/Temporary%20Internet%20Files/Content.Outlook/NI9LAWVI/www.industry.gov.au/OCE"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Evaluation.Unit@industry.gov.au" TargetMode="External"/><Relationship Id="rId29" Type="http://schemas.openxmlformats.org/officeDocument/2006/relationships/hyperlink" Target="http://www.industry.gov.au/O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creativecommons.org/licenses/by/3.0/au/deed.en" TargetMode="External"/><Relationship Id="rId32" Type="http://schemas.openxmlformats.org/officeDocument/2006/relationships/hyperlink" Target="http://www.environment.nsw.gov.au/resources/business/140017-energy-efficient-lighting-tech-rpt.pdf" TargetMode="Externa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industry.gov.au/OCE" TargetMode="External"/><Relationship Id="rId28" Type="http://schemas.openxmlformats.org/officeDocument/2006/relationships/hyperlink" Target="file://prod.protected.ind/dochub/DocHubShare/EAS/Business%20Functions/Visual%20Analytics/Projects/Evaluation%20Reports/CEEP/CEEP%20Report/www.industry.gov.au/OCE"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chiefeconomist@industry.gov.au" TargetMode="External"/><Relationship Id="rId27" Type="http://schemas.openxmlformats.org/officeDocument/2006/relationships/hyperlink" Target="file://prod.protected.ind/dochub/DocHubShare/EAS/Business%20Functions/Visual%20Analytics/Projects/Evaluation%20Reports/CEEP/CEEP%20Report/www.industry.gov.au/OCE" TargetMode="External"/><Relationship Id="rId30" Type="http://schemas.openxmlformats.org/officeDocument/2006/relationships/image" Target="media/image4.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www.aemc.gov.au/getattachment/f7f5d5b6-6b05-4cff-bc82-28777d1be5a3/Residential-Electricity-Price-Trends-report-2015-(.aspx" TargetMode="External"/><Relationship Id="rId3" Type="http://schemas.openxmlformats.org/officeDocument/2006/relationships/hyperlink" Target="http://www.budget.gov.au/2008-09/content/bp2/download/bp2.pdf" TargetMode="External"/><Relationship Id="rId7" Type="http://schemas.openxmlformats.org/officeDocument/2006/relationships/hyperlink" Target="https://industry.gov.au/Office-of-the-Chief-Economist/Publications/Documents/aes/2016-australian-energy-statistics.pdf" TargetMode="External"/><Relationship Id="rId12" Type="http://schemas.openxmlformats.org/officeDocument/2006/relationships/hyperlink" Target="https://industry.gov.au/Energy/EnergyEfficiency/Documents/03_2013/ceep-program-guidelines.pdf" TargetMode="External"/><Relationship Id="rId2" Type="http://schemas.openxmlformats.org/officeDocument/2006/relationships/hyperlink" Target="http://www.frontlineservices.com.au/Frontline_Services/Climate_Change_files/Securing%20a%20Clean%20Energy%20Future.pdf" TargetMode="External"/><Relationship Id="rId1" Type="http://schemas.openxmlformats.org/officeDocument/2006/relationships/hyperlink" Target="https://industry.gov.au/Energy/EnergyEfficiency/Documents/03_2013/ceep-program-guidelines.pdf" TargetMode="External"/><Relationship Id="rId6" Type="http://schemas.openxmlformats.org/officeDocument/2006/relationships/hyperlink" Target="https://prod-energycouncil.energy.slicedtech.com.au/sites/prod.energycouncil/files/publications/documents/National%20Energy%20Productivity%20Plan%20release%20version%20FINAL_0.pdf" TargetMode="External"/><Relationship Id="rId11" Type="http://schemas.openxmlformats.org/officeDocument/2006/relationships/hyperlink" Target="https://www.environment.gov.au/system/files/energy/files/hvac-hessthemeasures.pdf" TargetMode="External"/><Relationship Id="rId5" Type="http://schemas.openxmlformats.org/officeDocument/2006/relationships/hyperlink" Target="https://www.finance.gov.au/sites/default/files/Climate-Report.pdf" TargetMode="External"/><Relationship Id="rId10" Type="http://schemas.openxmlformats.org/officeDocument/2006/relationships/hyperlink" Target="http://www.environment.gov.au/system/files/energy/files/hvac-factsheet-best-practice-energy-efficiency.pdf" TargetMode="External"/><Relationship Id="rId4" Type="http://schemas.openxmlformats.org/officeDocument/2006/relationships/hyperlink" Target="https://www.finance.gov.au/sites/default/files/Climate-Report.pdf" TargetMode="External"/><Relationship Id="rId9" Type="http://schemas.openxmlformats.org/officeDocument/2006/relationships/hyperlink" Target="https://industry.gov.au/Energy/EnergyEfficiency/Documents/03_2013/ceep-program-guidelines.pdf" TargetMode="External"/></Relationships>
</file>

<file path=word/theme/theme1.xml><?xml version="1.0" encoding="utf-8"?>
<a:theme xmlns:a="http://schemas.openxmlformats.org/drawingml/2006/main" name="OCE">
  <a:themeElements>
    <a:clrScheme name="Custom 2">
      <a:dk1>
        <a:srgbClr val="595A5B"/>
      </a:dk1>
      <a:lt1>
        <a:srgbClr val="FFFFFF"/>
      </a:lt1>
      <a:dk2>
        <a:srgbClr val="595A5B"/>
      </a:dk2>
      <a:lt2>
        <a:srgbClr val="FFFFFF"/>
      </a:lt2>
      <a:accent1>
        <a:srgbClr val="292B67"/>
      </a:accent1>
      <a:accent2>
        <a:srgbClr val="9ED9DF"/>
      </a:accent2>
      <a:accent3>
        <a:srgbClr val="22789A"/>
      </a:accent3>
      <a:accent4>
        <a:srgbClr val="BCBFC1"/>
      </a:accent4>
      <a:accent5>
        <a:srgbClr val="595A5B"/>
      </a:accent5>
      <a:accent6>
        <a:srgbClr val="56B4DF"/>
      </a:accent6>
      <a:hlink>
        <a:srgbClr val="22789A"/>
      </a:hlink>
      <a:folHlink>
        <a:srgbClr val="56B4DF"/>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Hub_WebsiteIssueDate xmlns="75e01f56-7b81-4514-8994-c80bb4ec94fc">April 2016</DocHub_WebsiteIssueDate>
    <DocHub_PublicationTitle xmlns="75e01f56-7b81-4514-8994-c80bb4ec94fc">Community Energy Efficiency Programme Evaluation</DocHub_PublicationTitle>
    <TaxCatchAll xmlns="46486fd5-fff8-4cbe-a2d1-89ce7ea547a7">
      <Value>4</Value>
      <Value>4770</Value>
      <Value>268</Value>
      <Value>3530</Value>
    </TaxCatchAll>
    <DocHub_PublicationAuthor xmlns="75e01f56-7b81-4514-8994-c80bb4ec94fc">Office of the Chief Economist</DocHub_PublicationAuthor>
    <hdfa92d1675e46419b654c4efda201b9 xmlns="75e01f56-7b81-4514-8994-c80bb4ec94fc">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18bde1b5-d207-4942-98f9-f7ac02e527aa</TermId>
        </TermInfo>
      </Terms>
    </hdfa92d1675e46419b654c4efda201b9>
    <g7cee4c3f49f4a8d957fe196d6fcc5b5 xmlns="75e01f56-7b81-4514-8994-c80bb4ec94fc">
      <Terms xmlns="http://schemas.microsoft.com/office/infopath/2007/PartnerControls">
        <TermInfo xmlns="http://schemas.microsoft.com/office/infopath/2007/PartnerControls">
          <TermName xmlns="http://schemas.microsoft.com/office/infopath/2007/PartnerControls">Department of Industry Innovation and Science</TermName>
          <TermId xmlns="http://schemas.microsoft.com/office/infopath/2007/PartnerControls">fcd9ccf7-3614-4424-9c6f-b3b49955e5c6</TermId>
        </TermInfo>
      </Terms>
    </g7cee4c3f49f4a8d957fe196d6fcc5b5>
    <ee23fa02dacc44db816d6e8ce7bfd6dc xmlns="75e01f56-7b81-4514-8994-c80bb4ec94fc">
      <Terms xmlns="http://schemas.microsoft.com/office/infopath/2007/PartnerControls"/>
    </ee23fa02dacc44db816d6e8ce7bfd6dc>
    <DocHub_PublicationSummaryDescription xmlns="75e01f56-7b81-4514-8994-c80bb4ec94fc">This report presents the findings and recommendations from an impact evaluation of the Community Energy Efficiency Program (CEEP).</DocHub_PublicationSummaryDescription>
    <DocHub_PublicationSummary xmlns="75e01f56-7b81-4514-8994-c80bb4ec94fc">This report presents the findings and recommendations from an impact evaluation of the Community Energy Efficiency Program (CEEP). 
The CEEP was introduced in 2012 as part of the Low Carbon Communities initiative. It was a competitive merit-based grants program that provided co-funding to local governments and non-profit community organisations to improve their energy efficiency. 
Under the program, a total of 153 projects were completed and $96.3 million was paid in grant funding. 
The evaluation was conducted by the department’s Evaluation Unit and was completed in April 2017.</DocHub_PublicationSummary>
    <DocHub_LANDESK_Nbr xmlns="75e01f56-7b81-4514-8994-c80bb4ec94fc" xsi:nil="true"/>
    <h8e99a0c12aa4e81b80c09bac6838a5b xmlns="75e01f56-7b81-4514-8994-c80bb4ec94fc">
      <Terms xmlns="http://schemas.microsoft.com/office/infopath/2007/PartnerControls"/>
    </h8e99a0c12aa4e81b80c09bac6838a5b>
    <DocHub_DepartureDate xmlns="75e01f56-7b81-4514-8994-c80bb4ec94fc" xsi:nil="true"/>
    <DocHub_PublicationSubtitle xmlns="75e01f56-7b81-4514-8994-c80bb4ec94fc" xsi:nil="true"/>
    <DocHub_WebsiteContactName xmlns="75e01f56-7b81-4514-8994-c80bb4ec94fc">
      <UserInfo>
        <DisplayName/>
        <AccountId xsi:nil="true"/>
        <AccountType/>
      </UserInfo>
    </DocHub_WebsiteContactName>
    <pe2555c81638466f9eb614edb9ecde52 xmlns="46486fd5-fff8-4cbe-a2d1-89ce7ea547a7">
      <Terms xmlns="http://schemas.microsoft.com/office/infopath/2007/PartnerControls">
        <TermInfo xmlns="http://schemas.microsoft.com/office/infopath/2007/PartnerControls">
          <TermName xmlns="http://schemas.microsoft.com/office/infopath/2007/PartnerControls">Web page</TermName>
          <TermId xmlns="http://schemas.microsoft.com/office/infopath/2007/PartnerControls">002fe3a4-bfac-48f8-9ed2-defc17faf11a</TermId>
        </TermInfo>
      </Terms>
    </pe2555c81638466f9eb614edb9ecde52>
    <aa25a1a23adf4c92a153145de6afe324 xmlns="46486fd5-fff8-4cbe-a2d1-89ce7ea547a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509EB63F162F418EA6B5A1ECA9C2B6" ma:contentTypeVersion="106" ma:contentTypeDescription="Create a new document." ma:contentTypeScope="" ma:versionID="6f9a3ce4d3fcb7c956764a1bce3f090a">
  <xsd:schema xmlns:xsd="http://www.w3.org/2001/XMLSchema" xmlns:xs="http://www.w3.org/2001/XMLSchema" xmlns:p="http://schemas.microsoft.com/office/2006/metadata/properties" xmlns:ns2="75e01f56-7b81-4514-8994-c80bb4ec94fc" xmlns:ns3="46486fd5-fff8-4cbe-a2d1-89ce7ea547a7" targetNamespace="http://schemas.microsoft.com/office/2006/metadata/properties" ma:root="true" ma:fieldsID="2ef93724b329de1e1338e5e91c1b0ecf" ns2:_="" ns3:_="">
    <xsd:import namespace="75e01f56-7b81-4514-8994-c80bb4ec94fc"/>
    <xsd:import namespace="46486fd5-fff8-4cbe-a2d1-89ce7ea547a7"/>
    <xsd:element name="properties">
      <xsd:complexType>
        <xsd:sequence>
          <xsd:element name="documentManagement">
            <xsd:complexType>
              <xsd:all>
                <xsd:element ref="ns2:DocHub_PublicationTitle"/>
                <xsd:element ref="ns2:DocHub_PublicationSubtitle" minOccurs="0"/>
                <xsd:element ref="ns2:DocHub_WebsiteIssueDate" minOccurs="0"/>
                <xsd:element ref="ns2:DocHub_PublicationAuthor" minOccurs="0"/>
                <xsd:element ref="ns2:DocHub_PublicationSummaryDescription"/>
                <xsd:element ref="ns2:DocHub_PublicationSummary"/>
                <xsd:element ref="ns2:DocHub_WebsiteContactName" minOccurs="0"/>
                <xsd:element ref="ns2:DocHub_DepartureDate" minOccurs="0"/>
                <xsd:element ref="ns2:DocHub_LANDESK_Nbr" minOccurs="0"/>
                <xsd:element ref="ns3:_dlc_DocId" minOccurs="0"/>
                <xsd:element ref="ns3:_dlc_DocIdUrl" minOccurs="0"/>
                <xsd:element ref="ns3:_dlc_DocIdPersistId" minOccurs="0"/>
                <xsd:element ref="ns2:h8e99a0c12aa4e81b80c09bac6838a5b" minOccurs="0"/>
                <xsd:element ref="ns3:TaxCatchAll" minOccurs="0"/>
                <xsd:element ref="ns2:hdfa92d1675e46419b654c4efda201b9" minOccurs="0"/>
                <xsd:element ref="ns3:aa25a1a23adf4c92a153145de6afe324" minOccurs="0"/>
                <xsd:element ref="ns3:pe2555c81638466f9eb614edb9ecde52" minOccurs="0"/>
                <xsd:element ref="ns2:SharedWithUsers" minOccurs="0"/>
                <xsd:element ref="ns2:ee23fa02dacc44db816d6e8ce7bfd6dc" minOccurs="0"/>
                <xsd:element ref="ns2:g7cee4c3f49f4a8d957fe196d6fcc5b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01f56-7b81-4514-8994-c80bb4ec94fc" elementFormDefault="qualified">
    <xsd:import namespace="http://schemas.microsoft.com/office/2006/documentManagement/types"/>
    <xsd:import namespace="http://schemas.microsoft.com/office/infopath/2007/PartnerControls"/>
    <xsd:element name="DocHub_PublicationTitle" ma:index="1" ma:displayName="Publication Title" ma:description="Enter the official title of the publication" ma:indexed="true" ma:internalName="DocHub_PublicationTitle">
      <xsd:simpleType>
        <xsd:restriction base="dms:Text">
          <xsd:maxLength value="255"/>
        </xsd:restriction>
      </xsd:simpleType>
    </xsd:element>
    <xsd:element name="DocHub_PublicationSubtitle" ma:index="2" nillable="true" ma:displayName="Subtitle" ma:description="if applicable, enter the official subtitle of the publication" ma:indexed="true" ma:internalName="DocHub_PublicationSubtitle">
      <xsd:simpleType>
        <xsd:restriction base="dms:Text">
          <xsd:maxLength value="255"/>
        </xsd:restriction>
      </xsd:simpleType>
    </xsd:element>
    <xsd:element name="DocHub_WebsiteIssueDate" ma:index="3" nillable="true" ma:displayName="Issue Date" ma:description="Enter the month and year e.g. May 2018, or 2018" ma:indexed="true" ma:internalName="DocHub_WebsiteIssueDate">
      <xsd:simpleType>
        <xsd:restriction base="dms:Text">
          <xsd:maxLength value="255"/>
        </xsd:restriction>
      </xsd:simpleType>
    </xsd:element>
    <xsd:element name="DocHub_PublicationAuthor" ma:index="5" nillable="true" ma:displayName="Author(s)" ma:description="If applicable, enter the author(s) separated by commas if more than one . This will usually be high profile authors or providers requiring acknowledgement in search results. Does not usually include staff names unless specified in the publication." ma:indexed="true" ma:internalName="DocHub_PublicationAuthor">
      <xsd:simpleType>
        <xsd:restriction base="dms:Text">
          <xsd:maxLength value="255"/>
        </xsd:restriction>
      </xsd:simpleType>
    </xsd:element>
    <xsd:element name="DocHub_PublicationSummaryDescription" ma:index="6" ma:displayName="Summary" ma:description="Enter a short sentence or two in plain English summarising the publication for the layperson." ma:internalName="DocHub_PublicationSummaryDescription">
      <xsd:simpleType>
        <xsd:restriction base="dms:Note"/>
      </xsd:simpleType>
    </xsd:element>
    <xsd:element name="DocHub_PublicationSummary" ma:index="7" ma:displayName="Publication Page Summary" ma:internalName="DocHub_PublicationSummary">
      <xsd:simpleType>
        <xsd:restriction base="dms:Note"/>
      </xsd:simpleType>
    </xsd:element>
    <xsd:element name="DocHub_WebsiteContactName" ma:index="9" nillable="true" ma:displayName="Contact Name" ma:description="Select the key contact for this content" ma:list="UserInfo" ma:SharePointGroup="0" ma:internalName="DocHub_WebsiteContactNam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Hub_DepartureDate" ma:index="12" nillable="true" ma:displayName="Public Release Date" ma:description="ONLINE TEAM USE ONLY – enter the date the content is released on the website" ma:format="DateOnly" ma:internalName="DocHub_DepartureDate">
      <xsd:simpleType>
        <xsd:restriction base="dms:DateTime"/>
      </xsd:simpleType>
    </xsd:element>
    <xsd:element name="DocHub_LANDESK_Nbr" ma:index="13" nillable="true" ma:displayName="Content ID" ma:description="ONLINE TEAM USE ONLY – enter the publication page node ID" ma:indexed="true" ma:internalName="DocHub_LANDESK_Nbr">
      <xsd:simpleType>
        <xsd:restriction base="dms:Text">
          <xsd:maxLength value="255"/>
        </xsd:restriction>
      </xsd:simpleType>
    </xsd:element>
    <xsd:element name="h8e99a0c12aa4e81b80c09bac6838a5b" ma:index="20" nillable="true" ma:taxonomy="true" ma:internalName="h8e99a0c12aa4e81b80c09bac6838a5b" ma:taxonomyFieldName="DocHub_WebsiteIATopic" ma:displayName="Sector Topic" ma:default="" ma:fieldId="{18e99a0c-12aa-4e81-b80c-09bac6838a5b}" ma:taxonomyMulti="true" ma:sspId="fb0313f7-9433-48c0-866e-9e0bbee59a50" ma:termSetId="7873747c-b290-4b6a-b0f3-a776cb34764f" ma:anchorId="44cda3b2-43a1-469b-b216-2b8c4ec21947" ma:open="false" ma:isKeyword="false">
      <xsd:complexType>
        <xsd:sequence>
          <xsd:element ref="pc:Terms" minOccurs="0" maxOccurs="1"/>
        </xsd:sequence>
      </xsd:complexType>
    </xsd:element>
    <xsd:element name="hdfa92d1675e46419b654c4efda201b9" ma:index="23" nillable="true" ma:taxonomy="true" ma:internalName="hdfa92d1675e46419b654c4efda201b9" ma:taxonomyFieldName="DocHub_WebSiteDocumentCategory" ma:displayName="Document Category" ma:default="" ma:fieldId="{1dfa92d1-675e-4641-9b65-4c4efda201b9}" ma:sspId="fb0313f7-9433-48c0-866e-9e0bbee59a50" ma:termSetId="7873747c-b290-4b6a-b0f3-a776cb34764f" ma:anchorId="b3bdb451-bef6-4b36-be86-fb98f4b2c3f0" ma:open="false" ma:isKeyword="false">
      <xsd:complexType>
        <xsd:sequence>
          <xsd:element ref="pc:Terms" minOccurs="0" maxOccurs="1"/>
        </xsd:sequence>
      </xsd:complexType>
    </xsd:element>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e23fa02dacc44db816d6e8ce7bfd6dc" ma:index="32" nillable="true" ma:taxonomy="true" ma:internalName="ee23fa02dacc44db816d6e8ce7bfd6dc" ma:taxonomyFieldName="DocHub_WebsitePublishingStatus" ma:displayName="Publishing Status" ma:default="" ma:fieldId="{ee23fa02-dacc-44db-816d-6e8ce7bfd6dc}" ma:sspId="fb0313f7-9433-48c0-866e-9e0bbee59a50" ma:termSetId="7873747c-b290-4b6a-b0f3-a776cb34764f" ma:anchorId="22d84d29-73ed-4242-8321-02fec12c0359" ma:open="false" ma:isKeyword="false">
      <xsd:complexType>
        <xsd:sequence>
          <xsd:element ref="pc:Terms" minOccurs="0" maxOccurs="1"/>
        </xsd:sequence>
      </xsd:complexType>
    </xsd:element>
    <xsd:element name="g7cee4c3f49f4a8d957fe196d6fcc5b5" ma:index="33" ma:taxonomy="true" ma:internalName="g7cee4c3f49f4a8d957fe196d6fcc5b5" ma:taxonomyFieldName="DocHub_GovernmentEntities" ma:displayName="Publisher(s)" ma:default="" ma:fieldId="{07cee4c3-f49f-4a8d-957f-e196d6fcc5b5}" ma:taxonomyMulti="true" ma:sspId="fb0313f7-9433-48c0-866e-9e0bbee59a50" ma:termSetId="dadb9b88-24b6-471a-9d1e-c062637f92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486fd5-fff8-4cbe-a2d1-89ce7ea547a7"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8f9b41a4-8526-4400-ad3d-b45ab751cbbf}" ma:internalName="TaxCatchAll" ma:showField="CatchAllData" ma:web="75e01f56-7b81-4514-8994-c80bb4ec94fc">
      <xsd:complexType>
        <xsd:complexContent>
          <xsd:extension base="dms:MultiChoiceLookup">
            <xsd:sequence>
              <xsd:element name="Value" type="dms:Lookup" maxOccurs="unbounded" minOccurs="0" nillable="true"/>
            </xsd:sequence>
          </xsd:extension>
        </xsd:complexContent>
      </xsd:complexType>
    </xsd:element>
    <xsd:element name="aa25a1a23adf4c92a153145de6afe324" ma:index="25"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pe2555c81638466f9eb614edb9ecde52" ma:index="27"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D605C-3B8A-4434-8564-C6D060E9B44C}"/>
</file>

<file path=customXml/itemProps2.xml><?xml version="1.0" encoding="utf-8"?>
<ds:datastoreItem xmlns:ds="http://schemas.openxmlformats.org/officeDocument/2006/customXml" ds:itemID="{7AF5FDE7-28CC-4317-B1F8-5CCB3E878EDA}"/>
</file>

<file path=customXml/itemProps3.xml><?xml version="1.0" encoding="utf-8"?>
<ds:datastoreItem xmlns:ds="http://schemas.openxmlformats.org/officeDocument/2006/customXml" ds:itemID="{D2FCD1E3-E096-4AB1-A99A-728D2D0DEC9B}"/>
</file>

<file path=customXml/itemProps4.xml><?xml version="1.0" encoding="utf-8"?>
<ds:datastoreItem xmlns:ds="http://schemas.openxmlformats.org/officeDocument/2006/customXml" ds:itemID="{8D824277-2B19-42B9-85BA-189595B81523}"/>
</file>

<file path=customXml/itemProps5.xml><?xml version="1.0" encoding="utf-8"?>
<ds:datastoreItem xmlns:ds="http://schemas.openxmlformats.org/officeDocument/2006/customXml" ds:itemID="{A3E84125-053C-4782-8C66-68CDE4AF34D0}"/>
</file>

<file path=docProps/app.xml><?xml version="1.0" encoding="utf-8"?>
<Properties xmlns="http://schemas.openxmlformats.org/officeDocument/2006/extended-properties" xmlns:vt="http://schemas.openxmlformats.org/officeDocument/2006/docPropsVTypes">
  <Template>Normal</Template>
  <TotalTime>0</TotalTime>
  <Pages>36</Pages>
  <Words>11047</Words>
  <Characters>62974</Characters>
  <Application>Microsoft Office Word</Application>
  <DocSecurity>4</DocSecurity>
  <Lines>524</Lines>
  <Paragraphs>147</Paragraphs>
  <ScaleCrop>false</ScaleCrop>
  <HeadingPairs>
    <vt:vector size="2" baseType="variant">
      <vt:variant>
        <vt:lpstr>Title</vt:lpstr>
      </vt:variant>
      <vt:variant>
        <vt:i4>1</vt:i4>
      </vt:variant>
    </vt:vector>
  </HeadingPairs>
  <TitlesOfParts>
    <vt:vector size="1" baseType="lpstr">
      <vt:lpstr>Community Energy Efficiency Program Report</vt:lpstr>
    </vt:vector>
  </TitlesOfParts>
  <Company/>
  <LinksUpToDate>false</LinksUpToDate>
  <CharactersWithSpaces>73874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Energy Efficiency Program Report</dc:title>
  <dc:subject>Programme Evaluation</dc:subject>
  <dc:creator/>
  <cp:keywords>Evaluation;energy</cp:keywords>
  <dc:description/>
  <cp:lastModifiedBy/>
  <cp:revision>1</cp:revision>
  <dcterms:created xsi:type="dcterms:W3CDTF">2018-05-08T03:54:00Z</dcterms:created>
  <dcterms:modified xsi:type="dcterms:W3CDTF">2018-05-08T03:54:00Z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0x01010007509EB63F162F418EA6B5A1ECA9C2B6</vt:lpwstr>
  </property>
  <property fmtid="{D5CDD505-2E9C-101B-9397-08002B2CF9AE}" pid="3" name="g7bcb40ba23249a78edca7d43a67c1c9">
    <vt:lpwstr/>
  </property>
  <property fmtid="{D5CDD505-2E9C-101B-9397-08002B2CF9AE}" pid="4" name="DocHub_DocumentType">
    <vt:lpwstr>268;#Web page|002fe3a4-bfac-48f8-9ed2-defc17faf11a</vt:lpwstr>
  </property>
  <property fmtid="{D5CDD505-2E9C-101B-9397-08002B2CF9AE}" pid="5" name="DocHub_WebsiteIATopic">
    <vt:lpwstr/>
  </property>
  <property fmtid="{D5CDD505-2E9C-101B-9397-08002B2CF9AE}" pid="6" name="DocHub_SecurityClassification">
    <vt:lpwstr>4;#UNCLASSIFIED|6106d03b-a1a0-4e30-9d91-d5e9fb4314f9</vt:lpwstr>
  </property>
  <property fmtid="{D5CDD505-2E9C-101B-9397-08002B2CF9AE}" pid="7" name="DocHub_GovernmentEntities">
    <vt:lpwstr>3530;#Department of Industry Innovation and Science|fcd9ccf7-3614-4424-9c6f-b3b49955e5c6</vt:lpwstr>
  </property>
  <property fmtid="{D5CDD505-2E9C-101B-9397-08002B2CF9AE}" pid="8" name="DocHub_WebsitePublishingStatus">
    <vt:lpwstr/>
  </property>
  <property fmtid="{D5CDD505-2E9C-101B-9397-08002B2CF9AE}" pid="9" name="DocHub_WebSiteDocumentCategory">
    <vt:lpwstr>4770;#Publication|18bde1b5-d207-4942-98f9-f7ac02e527aa</vt:lpwstr>
  </property>
  <property fmtid="{D5CDD505-2E9C-101B-9397-08002B2CF9AE}" pid="10" name="DocHub_Keywords">
    <vt:lpwstr/>
  </property>
  <property fmtid="{D5CDD505-2E9C-101B-9397-08002B2CF9AE}" pid="11" name="DocHub_WorkActivity">
    <vt:lpwstr/>
  </property>
  <property fmtid="{D5CDD505-2E9C-101B-9397-08002B2CF9AE}" pid="12" name="adb9bed2e36e4a93af574aeb444da63e">
    <vt:lpwstr/>
  </property>
</Properties>
</file>