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DD65" w14:textId="7B83C8D0" w:rsidR="00E35AC6" w:rsidRDefault="00E35AC6" w:rsidP="00537A1C">
      <w:pPr>
        <w:pStyle w:val="Heading1"/>
      </w:pPr>
      <w:bookmarkStart w:id="0" w:name="_Toc511918005"/>
      <w:r w:rsidRPr="00180BF8">
        <w:rPr>
          <w:noProof/>
          <w:lang w:eastAsia="en-AU"/>
        </w:rPr>
        <w:drawing>
          <wp:inline distT="0" distB="0" distL="0" distR="0" wp14:anchorId="2B4E2598" wp14:editId="7004FE33">
            <wp:extent cx="2682000" cy="694800"/>
            <wp:effectExtent l="0" t="0" r="4445" b="0"/>
            <wp:docPr id="76" name="Picture 76"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82000" cy="6948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bookmarkEnd w:id="0"/>
    <w:p w14:paraId="709DC824" w14:textId="77777777" w:rsidR="00331947" w:rsidRDefault="00331947" w:rsidP="00331947"/>
    <w:p w14:paraId="1443DB5C" w14:textId="016C22DC" w:rsidR="005169D4" w:rsidRDefault="00605797" w:rsidP="00537A1C">
      <w:pPr>
        <w:pStyle w:val="CoverTitle"/>
      </w:pPr>
      <w:bookmarkStart w:id="1" w:name="_GoBack"/>
      <w:bookmarkEnd w:id="1"/>
      <w:r>
        <w:t xml:space="preserve">Methodology for the </w:t>
      </w:r>
      <w:r w:rsidR="003D171B">
        <w:t>2021</w:t>
      </w:r>
      <w:r>
        <w:t xml:space="preserve"> projections </w:t>
      </w:r>
    </w:p>
    <w:p w14:paraId="33D79CD4" w14:textId="420A2AC9" w:rsidR="002A53D5" w:rsidRPr="00A031DC" w:rsidRDefault="002A53D5" w:rsidP="00537A1C">
      <w:r w:rsidRPr="00A031DC">
        <w:t xml:space="preserve">Australia’s </w:t>
      </w:r>
      <w:r w:rsidR="00FB329E" w:rsidRPr="00A031DC">
        <w:t>emissions projections</w:t>
      </w:r>
      <w:r w:rsidRPr="00A031DC">
        <w:t xml:space="preserve"> incorporate a variety of data inputs, assumptions and methods.</w:t>
      </w:r>
      <w:r w:rsidR="002B607E" w:rsidRPr="00A031DC">
        <w:t xml:space="preserve"> This methodology</w:t>
      </w:r>
      <w:r w:rsidR="00FF3F0E" w:rsidRPr="00A031DC">
        <w:t xml:space="preserve"> </w:t>
      </w:r>
      <w:r w:rsidR="00FF3F0E" w:rsidRPr="00537A1C">
        <w:t>document</w:t>
      </w:r>
      <w:r w:rsidR="002B607E" w:rsidRPr="00537A1C">
        <w:t xml:space="preserve"> </w:t>
      </w:r>
      <w:r w:rsidR="00534A87" w:rsidRPr="00537A1C">
        <w:t>outlines</w:t>
      </w:r>
      <w:r w:rsidR="002B607E" w:rsidRPr="00537A1C">
        <w:t xml:space="preserve"> how the Department</w:t>
      </w:r>
      <w:r w:rsidR="002B607E" w:rsidRPr="00A031DC">
        <w:t xml:space="preserve"> of </w:t>
      </w:r>
      <w:r w:rsidR="00DB6ADD" w:rsidRPr="00A031DC">
        <w:t>Industry, Science, Energy and Resources</w:t>
      </w:r>
      <w:r w:rsidR="002B607E" w:rsidRPr="00A031DC">
        <w:t xml:space="preserve"> </w:t>
      </w:r>
      <w:r w:rsidR="0075755F" w:rsidRPr="00A031DC">
        <w:t>(</w:t>
      </w:r>
      <w:r w:rsidR="00966C28">
        <w:t>the department</w:t>
      </w:r>
      <w:r w:rsidR="0075755F" w:rsidRPr="00A031DC">
        <w:t xml:space="preserve">) </w:t>
      </w:r>
      <w:r w:rsidR="002B607E" w:rsidRPr="00A031DC">
        <w:t xml:space="preserve">has estimated the </w:t>
      </w:r>
      <w:r w:rsidR="00DA31BE">
        <w:t>2021</w:t>
      </w:r>
      <w:r w:rsidR="002B607E" w:rsidRPr="00A031DC">
        <w:t xml:space="preserve"> projections of greenhouse gas (GHG) emissions.</w:t>
      </w:r>
      <w:r w:rsidR="00D27785" w:rsidRPr="00A031DC">
        <w:t xml:space="preserve"> </w:t>
      </w:r>
    </w:p>
    <w:p w14:paraId="0C78E504" w14:textId="35810BBF" w:rsidR="00E4600F" w:rsidRPr="00A031DC" w:rsidRDefault="0046424F" w:rsidP="00537A1C">
      <w:r w:rsidRPr="00A031DC">
        <w:t xml:space="preserve">The </w:t>
      </w:r>
      <w:r w:rsidR="00206D68">
        <w:t xml:space="preserve">emissions </w:t>
      </w:r>
      <w:r w:rsidRPr="00A031DC">
        <w:t xml:space="preserve">projections are prepared at a sectoral level consistent with </w:t>
      </w:r>
      <w:r w:rsidR="00E4600F" w:rsidRPr="00A031DC">
        <w:t>international guidelines adopted by the United Nations Framework Convention on Climate Change (UNFCCC)</w:t>
      </w:r>
      <w:r w:rsidR="0090674D" w:rsidRPr="00A031DC">
        <w:t>.</w:t>
      </w:r>
    </w:p>
    <w:p w14:paraId="471B59E1" w14:textId="3865A656" w:rsidR="00E4600F" w:rsidRDefault="00E4600F" w:rsidP="00537A1C">
      <w:r w:rsidRPr="00A031DC">
        <w:t>The projections use public data sources</w:t>
      </w:r>
      <w:r w:rsidR="00534A87" w:rsidRPr="00A031DC">
        <w:t>,</w:t>
      </w:r>
      <w:r w:rsidRPr="00A031DC">
        <w:t xml:space="preserve"> from government agencies and other bodies</w:t>
      </w:r>
      <w:r w:rsidR="00534A87" w:rsidRPr="00A031DC">
        <w:t>,</w:t>
      </w:r>
      <w:r w:rsidRPr="00A031DC">
        <w:t xml:space="preserve"> to inform production estimates. Emissions factors </w:t>
      </w:r>
      <w:r w:rsidR="00206D68">
        <w:t xml:space="preserve">used </w:t>
      </w:r>
      <w:r w:rsidRPr="00A031DC">
        <w:t xml:space="preserve">are consistent with Australia’s </w:t>
      </w:r>
      <w:r w:rsidR="0075755F" w:rsidRPr="00A031DC">
        <w:t xml:space="preserve">national </w:t>
      </w:r>
      <w:r w:rsidRPr="00A031DC">
        <w:t>greenhouse gas inventory</w:t>
      </w:r>
      <w:r w:rsidR="00FF3F0E" w:rsidRPr="00A031DC">
        <w:t xml:space="preserve">. </w:t>
      </w:r>
    </w:p>
    <w:p w14:paraId="12AFAEDA" w14:textId="141E21A2" w:rsidR="00206D68" w:rsidRDefault="00206D68" w:rsidP="00206D68">
      <w:r w:rsidRPr="00A031DC">
        <w:t>Th</w:t>
      </w:r>
      <w:r>
        <w:t>is</w:t>
      </w:r>
      <w:r w:rsidRPr="00A031DC">
        <w:t xml:space="preserve"> methodology document does not include all the data and processes involved in producing Australia’s emissions projections due to constraints and sensitivities relating to specific inputs. For example, facility level information has not been included due to commercial-in-confidence company data considerations. </w:t>
      </w:r>
    </w:p>
    <w:p w14:paraId="341C043C" w14:textId="3A3C98B1" w:rsidR="00386E62" w:rsidRPr="00A031DC" w:rsidRDefault="004E7D0E" w:rsidP="00537A1C">
      <w:r w:rsidRPr="00A031DC">
        <w:t>R</w:t>
      </w:r>
      <w:r w:rsidR="00386E62" w:rsidRPr="00A031DC">
        <w:t xml:space="preserve">eporting years for all sectors are financial </w:t>
      </w:r>
      <w:r w:rsidR="00534A87" w:rsidRPr="00A031DC">
        <w:t xml:space="preserve">years, </w:t>
      </w:r>
      <w:r w:rsidR="00642716" w:rsidRPr="00A031DC">
        <w:t xml:space="preserve">consistent with Australia’s </w:t>
      </w:r>
      <w:r w:rsidR="00BF41D6" w:rsidRPr="00A031DC">
        <w:t>n</w:t>
      </w:r>
      <w:r w:rsidR="006C2568" w:rsidRPr="00A031DC">
        <w:t>ational greenhouse gas inventory</w:t>
      </w:r>
      <w:r w:rsidR="00386E62" w:rsidRPr="00A031DC">
        <w:t>. For instance, ‘2030’ refers to financial year 2029</w:t>
      </w:r>
      <w:r w:rsidRPr="00A031DC">
        <w:t>–</w:t>
      </w:r>
      <w:r w:rsidR="00386E62" w:rsidRPr="00A031DC">
        <w:t>2030.</w:t>
      </w:r>
    </w:p>
    <w:p w14:paraId="50821387" w14:textId="12D2A4C5" w:rsidR="0079381D" w:rsidRDefault="00206D68" w:rsidP="00206D68">
      <w:bookmarkStart w:id="2" w:name="_Toc510532002"/>
      <w:bookmarkStart w:id="3" w:name="_Toc510532532"/>
      <w:bookmarkStart w:id="4" w:name="_Toc510534096"/>
      <w:r w:rsidRPr="00A031DC">
        <w:t>Sector specific methodologies are discussed in greater detail</w:t>
      </w:r>
      <w:r>
        <w:t xml:space="preserve"> in the following sections</w:t>
      </w:r>
      <w:r w:rsidRPr="00A031DC">
        <w:t>.</w:t>
      </w:r>
    </w:p>
    <w:p w14:paraId="3607DE6D" w14:textId="3864C92F" w:rsidR="0079381D" w:rsidRDefault="0079381D">
      <w:pPr>
        <w:spacing w:after="0" w:line="240" w:lineRule="auto"/>
      </w:pPr>
    </w:p>
    <w:p w14:paraId="6DD5845B" w14:textId="4A018D32" w:rsidR="0079381D" w:rsidRDefault="00206D68" w:rsidP="00206D68">
      <w:pPr>
        <w:pStyle w:val="Heading1"/>
      </w:pPr>
      <w:r>
        <w:t xml:space="preserve">Paris agreement update to </w:t>
      </w:r>
      <w:r w:rsidR="009D102A">
        <w:t>g</w:t>
      </w:r>
      <w:r>
        <w:t xml:space="preserve">lobal </w:t>
      </w:r>
      <w:r w:rsidR="009D102A">
        <w:t>w</w:t>
      </w:r>
      <w:r>
        <w:t xml:space="preserve">arming </w:t>
      </w:r>
      <w:r w:rsidR="009D102A">
        <w:t>p</w:t>
      </w:r>
      <w:r>
        <w:t>otential for emissions estimation</w:t>
      </w:r>
    </w:p>
    <w:p w14:paraId="021866AE" w14:textId="0BED0A48" w:rsidR="0079381D" w:rsidRDefault="0079381D" w:rsidP="0079381D">
      <w:r>
        <w:t xml:space="preserve">The emissions projections have been prepared with the 100-year time horizon </w:t>
      </w:r>
      <w:r w:rsidRPr="00EE3661">
        <w:t>global warming potential</w:t>
      </w:r>
      <w:r>
        <w:t xml:space="preserve"> (GWP) values from the Intergovernmental Panel on Climate Change (IPCC) Fifth Assessment Report (AR5) to estimate emissions, consistent with rules adopted under the UN Framework Convention on Climate Change (UNFCCC) Paris Agreement (Decision 18/CMA.1 Annex 2.D Paragraph 37) for the estimation and reporting of national greenhouse gas emissions. </w:t>
      </w:r>
    </w:p>
    <w:p w14:paraId="0145A17B" w14:textId="38929A85" w:rsidR="00206D68" w:rsidRDefault="00206D68" w:rsidP="0079381D">
      <w:r w:rsidRPr="00A031DC">
        <w:t>As greenhouse gases vary in their radiative efficiency, and in their atmospheric residence time, converting emissions into CO</w:t>
      </w:r>
      <w:r w:rsidR="0099567A" w:rsidRPr="00042BDA">
        <w:t>₂</w:t>
      </w:r>
      <w:r w:rsidRPr="00A031DC">
        <w:t>-e provides a standard unit of measurement of the quantity of greenhouse gases in terms of their impact on climate change.</w:t>
      </w:r>
      <w:r w:rsidRPr="00A031DC" w:rsidDel="006C4199">
        <w:t xml:space="preserve"> </w:t>
      </w:r>
    </w:p>
    <w:p w14:paraId="78503D84" w14:textId="2EEDCD3C" w:rsidR="0079381D" w:rsidRDefault="0079381D" w:rsidP="0079381D">
      <w:r>
        <w:t>Prior to the 2021 emissions projections</w:t>
      </w:r>
      <w:r w:rsidR="00715D2B">
        <w:t xml:space="preserve"> report</w:t>
      </w:r>
      <w:r>
        <w:t>, the emissions projections were prepared with 100</w:t>
      </w:r>
      <w:r w:rsidR="00715D2B">
        <w:t>-</w:t>
      </w:r>
      <w:r>
        <w:t>year time horizon GWP values from the IPCC fourth assessment report in accordance with previous UNFCCC decisions. The table below compares the 100</w:t>
      </w:r>
      <w:r w:rsidR="00715D2B">
        <w:t>-</w:t>
      </w:r>
      <w:r>
        <w:t xml:space="preserve">year GWPs from the IPCC fifth </w:t>
      </w:r>
      <w:r w:rsidR="00DD6D0E">
        <w:t xml:space="preserve">(IPCC 2013) </w:t>
      </w:r>
      <w:r>
        <w:t>and fourth assessment reports</w:t>
      </w:r>
      <w:r w:rsidR="00DD6D0E">
        <w:t xml:space="preserve"> (IPCC 2007)</w:t>
      </w:r>
      <w:r>
        <w:t xml:space="preserve">. </w:t>
      </w:r>
    </w:p>
    <w:p w14:paraId="1066B0D4" w14:textId="4BD604D8" w:rsidR="0079381D" w:rsidRDefault="0079381D" w:rsidP="0079381D">
      <w:pPr>
        <w:pStyle w:val="Caption"/>
      </w:pPr>
      <w:r>
        <w:lastRenderedPageBreak/>
        <w:t>Table 1: Comparison of the IPCC Fifth and Fourth Assessment Reports’ 100-year GWPs</w:t>
      </w:r>
    </w:p>
    <w:tbl>
      <w:tblPr>
        <w:tblStyle w:val="ListTable3-Accent33"/>
        <w:tblW w:w="0" w:type="auto"/>
        <w:jc w:val="center"/>
        <w:tblLook w:val="04A0" w:firstRow="1" w:lastRow="0" w:firstColumn="1" w:lastColumn="0" w:noHBand="0" w:noVBand="1"/>
        <w:tblCaption w:val="Comparison of the IPCC 5th and 4th assessment reports' 100-year GWPs"/>
        <w:tblDescription w:val="Table shows the change in Global warming potential units for gases used in the Inventory. The changes are from the 4th assessment report and the 5th assesment report"/>
      </w:tblPr>
      <w:tblGrid>
        <w:gridCol w:w="2597"/>
        <w:gridCol w:w="2080"/>
        <w:gridCol w:w="2285"/>
      </w:tblGrid>
      <w:tr w:rsidR="0079381D" w:rsidRPr="0024753A" w14:paraId="38E5F94A" w14:textId="77777777" w:rsidTr="004C714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0" w:type="auto"/>
          </w:tcPr>
          <w:p w14:paraId="4E9A63C5" w14:textId="77777777" w:rsidR="0079381D" w:rsidRPr="007C27E3" w:rsidRDefault="0079381D" w:rsidP="00307C28">
            <w:pPr>
              <w:spacing w:before="60" w:after="60"/>
              <w:jc w:val="center"/>
              <w:rPr>
                <w:rFonts w:asciiTheme="minorHAnsi" w:hAnsiTheme="minorHAnsi" w:cstheme="minorHAnsi"/>
                <w:b w:val="0"/>
              </w:rPr>
            </w:pPr>
            <w:r w:rsidRPr="007C27E3">
              <w:rPr>
                <w:rFonts w:asciiTheme="minorHAnsi" w:hAnsiTheme="minorHAnsi" w:cstheme="minorHAnsi"/>
              </w:rPr>
              <w:t>Major greenhouse gases</w:t>
            </w:r>
          </w:p>
        </w:tc>
        <w:tc>
          <w:tcPr>
            <w:tcW w:w="2080" w:type="dxa"/>
          </w:tcPr>
          <w:p w14:paraId="13F26399" w14:textId="2501A25F" w:rsidR="0079381D" w:rsidRPr="007C27E3" w:rsidRDefault="0079381D" w:rsidP="00307C2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7C27E3">
              <w:rPr>
                <w:rFonts w:asciiTheme="minorHAnsi" w:hAnsiTheme="minorHAnsi" w:cstheme="minorHAnsi"/>
              </w:rPr>
              <w:t>4</w:t>
            </w:r>
            <w:r w:rsidR="009D102A">
              <w:rPr>
                <w:rFonts w:asciiTheme="minorHAnsi" w:hAnsiTheme="minorHAnsi" w:cstheme="minorHAnsi"/>
              </w:rPr>
              <w:t>th</w:t>
            </w:r>
            <w:r w:rsidRPr="007C27E3">
              <w:rPr>
                <w:rFonts w:asciiTheme="minorHAnsi" w:hAnsiTheme="minorHAnsi" w:cstheme="minorHAnsi"/>
              </w:rPr>
              <w:t xml:space="preserve"> Assessment Report GWP</w:t>
            </w:r>
          </w:p>
        </w:tc>
        <w:tc>
          <w:tcPr>
            <w:tcW w:w="2285" w:type="dxa"/>
          </w:tcPr>
          <w:p w14:paraId="54E38EB1" w14:textId="78C454F5" w:rsidR="0079381D" w:rsidRPr="007C27E3" w:rsidRDefault="0079381D" w:rsidP="00307C2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7C27E3">
              <w:rPr>
                <w:rFonts w:asciiTheme="minorHAnsi" w:hAnsiTheme="minorHAnsi" w:cstheme="minorHAnsi"/>
              </w:rPr>
              <w:t>5</w:t>
            </w:r>
            <w:r w:rsidR="009D102A">
              <w:rPr>
                <w:rFonts w:asciiTheme="minorHAnsi" w:hAnsiTheme="minorHAnsi" w:cstheme="minorHAnsi"/>
              </w:rPr>
              <w:t>th</w:t>
            </w:r>
            <w:r w:rsidRPr="007C27E3">
              <w:rPr>
                <w:rFonts w:asciiTheme="minorHAnsi" w:hAnsiTheme="minorHAnsi" w:cstheme="minorHAnsi"/>
              </w:rPr>
              <w:t xml:space="preserve"> Assessment Report GWP</w:t>
            </w:r>
          </w:p>
        </w:tc>
      </w:tr>
      <w:tr w:rsidR="0079381D" w:rsidRPr="0024753A" w14:paraId="66FE1396"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9994F51" w14:textId="1EFC2AB9"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Carbon dioxide (CO</w:t>
            </w:r>
            <w:r w:rsidR="0099567A" w:rsidRPr="00042BDA">
              <w:t>₂</w:t>
            </w:r>
            <w:r w:rsidRPr="007C27E3">
              <w:rPr>
                <w:rFonts w:asciiTheme="minorHAnsi" w:hAnsiTheme="minorHAnsi" w:cstheme="minorHAnsi"/>
              </w:rPr>
              <w:t>)</w:t>
            </w:r>
          </w:p>
        </w:tc>
        <w:tc>
          <w:tcPr>
            <w:tcW w:w="2080" w:type="dxa"/>
          </w:tcPr>
          <w:p w14:paraId="3984C28C"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w:t>
            </w:r>
          </w:p>
        </w:tc>
        <w:tc>
          <w:tcPr>
            <w:tcW w:w="2285" w:type="dxa"/>
          </w:tcPr>
          <w:p w14:paraId="352852D2"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w:t>
            </w:r>
          </w:p>
        </w:tc>
      </w:tr>
      <w:tr w:rsidR="0079381D" w:rsidRPr="0024753A" w14:paraId="2C1AA493"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C423E67"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Methane (CH</w:t>
            </w:r>
            <w:r w:rsidRPr="007C27E3">
              <w:rPr>
                <w:rFonts w:asciiTheme="minorHAnsi" w:hAnsiTheme="minorHAnsi" w:cstheme="minorHAnsi"/>
                <w:position w:val="-4"/>
                <w:vertAlign w:val="subscript"/>
              </w:rPr>
              <w:t>4</w:t>
            </w:r>
            <w:r w:rsidRPr="007C27E3">
              <w:rPr>
                <w:rFonts w:asciiTheme="minorHAnsi" w:hAnsiTheme="minorHAnsi" w:cstheme="minorHAnsi"/>
              </w:rPr>
              <w:t>)</w:t>
            </w:r>
          </w:p>
        </w:tc>
        <w:tc>
          <w:tcPr>
            <w:tcW w:w="2080" w:type="dxa"/>
          </w:tcPr>
          <w:p w14:paraId="5460D83F"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25</w:t>
            </w:r>
          </w:p>
        </w:tc>
        <w:tc>
          <w:tcPr>
            <w:tcW w:w="2285" w:type="dxa"/>
          </w:tcPr>
          <w:p w14:paraId="2254D922"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28</w:t>
            </w:r>
          </w:p>
        </w:tc>
      </w:tr>
      <w:tr w:rsidR="0079381D" w:rsidRPr="0024753A" w14:paraId="08B0F83B"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5287039" w14:textId="4AFFCE74"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Nitrous oxide (</w:t>
            </w:r>
            <w:r w:rsidRPr="0099567A">
              <w:rPr>
                <w:rFonts w:asciiTheme="minorHAnsi" w:hAnsiTheme="minorHAnsi" w:cstheme="minorHAnsi"/>
              </w:rPr>
              <w:t>N</w:t>
            </w:r>
            <w:r w:rsidR="0099567A" w:rsidRPr="00042BDA">
              <w:t>₂</w:t>
            </w:r>
            <w:r w:rsidRPr="0099567A">
              <w:rPr>
                <w:rFonts w:asciiTheme="minorHAnsi" w:hAnsiTheme="minorHAnsi" w:cstheme="minorHAnsi"/>
              </w:rPr>
              <w:t>O</w:t>
            </w:r>
            <w:r w:rsidRPr="007C27E3">
              <w:rPr>
                <w:rFonts w:asciiTheme="minorHAnsi" w:hAnsiTheme="minorHAnsi" w:cstheme="minorHAnsi"/>
              </w:rPr>
              <w:t>)</w:t>
            </w:r>
          </w:p>
        </w:tc>
        <w:tc>
          <w:tcPr>
            <w:tcW w:w="2080" w:type="dxa"/>
          </w:tcPr>
          <w:p w14:paraId="4B6605DC"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298</w:t>
            </w:r>
          </w:p>
        </w:tc>
        <w:tc>
          <w:tcPr>
            <w:tcW w:w="2285" w:type="dxa"/>
          </w:tcPr>
          <w:p w14:paraId="23FBA9E2"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265</w:t>
            </w:r>
          </w:p>
        </w:tc>
      </w:tr>
      <w:tr w:rsidR="0079381D" w:rsidRPr="0024753A" w14:paraId="7A55ABA4"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2F9A99"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Perfluorocarbon - CF</w:t>
            </w:r>
            <w:r w:rsidRPr="000F53BC">
              <w:rPr>
                <w:rFonts w:asciiTheme="minorHAnsi" w:hAnsiTheme="minorHAnsi" w:cstheme="minorHAnsi"/>
                <w:vertAlign w:val="subscript"/>
              </w:rPr>
              <w:t>4</w:t>
            </w:r>
          </w:p>
        </w:tc>
        <w:tc>
          <w:tcPr>
            <w:tcW w:w="2080" w:type="dxa"/>
          </w:tcPr>
          <w:p w14:paraId="254A84AC"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7,390</w:t>
            </w:r>
          </w:p>
        </w:tc>
        <w:tc>
          <w:tcPr>
            <w:tcW w:w="2285" w:type="dxa"/>
          </w:tcPr>
          <w:p w14:paraId="36D090F4"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6,630</w:t>
            </w:r>
          </w:p>
        </w:tc>
      </w:tr>
      <w:tr w:rsidR="0079381D" w:rsidRPr="0024753A" w14:paraId="72D27734"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3A6ABF6" w14:textId="52A00A69"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Perfluorocarbon – C</w:t>
            </w:r>
            <w:r w:rsidR="0099567A" w:rsidRPr="00042BDA">
              <w:t>₂</w:t>
            </w:r>
            <w:r w:rsidRPr="007C27E3">
              <w:rPr>
                <w:rFonts w:asciiTheme="minorHAnsi" w:hAnsiTheme="minorHAnsi" w:cstheme="minorHAnsi"/>
              </w:rPr>
              <w:t>F</w:t>
            </w:r>
            <w:r w:rsidRPr="000F53BC">
              <w:rPr>
                <w:rFonts w:asciiTheme="minorHAnsi" w:hAnsiTheme="minorHAnsi" w:cstheme="minorHAnsi"/>
                <w:vertAlign w:val="subscript"/>
              </w:rPr>
              <w:t>6</w:t>
            </w:r>
          </w:p>
        </w:tc>
        <w:tc>
          <w:tcPr>
            <w:tcW w:w="2080" w:type="dxa"/>
          </w:tcPr>
          <w:p w14:paraId="6C1FE018"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12,200</w:t>
            </w:r>
          </w:p>
        </w:tc>
        <w:tc>
          <w:tcPr>
            <w:tcW w:w="2285" w:type="dxa"/>
          </w:tcPr>
          <w:p w14:paraId="1DE4EFDB"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11,100</w:t>
            </w:r>
          </w:p>
        </w:tc>
      </w:tr>
      <w:tr w:rsidR="0079381D" w:rsidRPr="0024753A" w14:paraId="7F049A53"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33ED25"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HFC-23</w:t>
            </w:r>
          </w:p>
        </w:tc>
        <w:tc>
          <w:tcPr>
            <w:tcW w:w="2080" w:type="dxa"/>
          </w:tcPr>
          <w:p w14:paraId="561D639B"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14,800</w:t>
            </w:r>
          </w:p>
        </w:tc>
        <w:tc>
          <w:tcPr>
            <w:tcW w:w="2285" w:type="dxa"/>
          </w:tcPr>
          <w:p w14:paraId="40830FDE"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12,400</w:t>
            </w:r>
          </w:p>
        </w:tc>
      </w:tr>
      <w:tr w:rsidR="0079381D" w:rsidRPr="0024753A" w14:paraId="5DDE8629"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EA16AD2"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HFC-32</w:t>
            </w:r>
          </w:p>
        </w:tc>
        <w:tc>
          <w:tcPr>
            <w:tcW w:w="2080" w:type="dxa"/>
          </w:tcPr>
          <w:p w14:paraId="418BE01E"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675</w:t>
            </w:r>
          </w:p>
        </w:tc>
        <w:tc>
          <w:tcPr>
            <w:tcW w:w="2285" w:type="dxa"/>
          </w:tcPr>
          <w:p w14:paraId="2E21B30B"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677</w:t>
            </w:r>
          </w:p>
        </w:tc>
      </w:tr>
      <w:tr w:rsidR="0079381D" w:rsidRPr="0024753A" w14:paraId="6558EB16"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CCDB294"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HFC-41</w:t>
            </w:r>
          </w:p>
        </w:tc>
        <w:tc>
          <w:tcPr>
            <w:tcW w:w="2080" w:type="dxa"/>
          </w:tcPr>
          <w:p w14:paraId="3A48AFE2"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92</w:t>
            </w:r>
          </w:p>
        </w:tc>
        <w:tc>
          <w:tcPr>
            <w:tcW w:w="2285" w:type="dxa"/>
          </w:tcPr>
          <w:p w14:paraId="11903BF5"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116</w:t>
            </w:r>
          </w:p>
        </w:tc>
      </w:tr>
      <w:tr w:rsidR="0079381D" w:rsidRPr="0024753A" w14:paraId="27E40CD5"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F3F96F7"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HFC-43-10mee</w:t>
            </w:r>
          </w:p>
        </w:tc>
        <w:tc>
          <w:tcPr>
            <w:tcW w:w="2080" w:type="dxa"/>
          </w:tcPr>
          <w:p w14:paraId="658F51C0"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1,640</w:t>
            </w:r>
          </w:p>
        </w:tc>
        <w:tc>
          <w:tcPr>
            <w:tcW w:w="2285" w:type="dxa"/>
          </w:tcPr>
          <w:p w14:paraId="464032A7"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1,650</w:t>
            </w:r>
          </w:p>
        </w:tc>
      </w:tr>
      <w:tr w:rsidR="0079381D" w:rsidRPr="0024753A" w14:paraId="00754546"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2CD0AE3"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HFC-125</w:t>
            </w:r>
          </w:p>
        </w:tc>
        <w:tc>
          <w:tcPr>
            <w:tcW w:w="2080" w:type="dxa"/>
          </w:tcPr>
          <w:p w14:paraId="3F27998E"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3,500</w:t>
            </w:r>
          </w:p>
        </w:tc>
        <w:tc>
          <w:tcPr>
            <w:tcW w:w="2285" w:type="dxa"/>
          </w:tcPr>
          <w:p w14:paraId="6D3AB66C"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3,170</w:t>
            </w:r>
          </w:p>
        </w:tc>
      </w:tr>
      <w:tr w:rsidR="0079381D" w:rsidRPr="0024753A" w14:paraId="4E16C081"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DEF419B"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HFC-134</w:t>
            </w:r>
          </w:p>
        </w:tc>
        <w:tc>
          <w:tcPr>
            <w:tcW w:w="2080" w:type="dxa"/>
          </w:tcPr>
          <w:p w14:paraId="4EB4B379"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1,100</w:t>
            </w:r>
          </w:p>
        </w:tc>
        <w:tc>
          <w:tcPr>
            <w:tcW w:w="2285" w:type="dxa"/>
          </w:tcPr>
          <w:p w14:paraId="0555F7F9"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1,120</w:t>
            </w:r>
          </w:p>
        </w:tc>
      </w:tr>
      <w:tr w:rsidR="0079381D" w:rsidRPr="0024753A" w14:paraId="504A0391"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9E405C7"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HFC-134a</w:t>
            </w:r>
          </w:p>
        </w:tc>
        <w:tc>
          <w:tcPr>
            <w:tcW w:w="2080" w:type="dxa"/>
          </w:tcPr>
          <w:p w14:paraId="1BBE993C"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1,430</w:t>
            </w:r>
          </w:p>
        </w:tc>
        <w:tc>
          <w:tcPr>
            <w:tcW w:w="2285" w:type="dxa"/>
          </w:tcPr>
          <w:p w14:paraId="7A094286"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1,300</w:t>
            </w:r>
          </w:p>
        </w:tc>
      </w:tr>
      <w:tr w:rsidR="0079381D" w:rsidRPr="0024753A" w14:paraId="0D285A7E"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277B94D"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HFC-143</w:t>
            </w:r>
          </w:p>
        </w:tc>
        <w:tc>
          <w:tcPr>
            <w:tcW w:w="2080" w:type="dxa"/>
          </w:tcPr>
          <w:p w14:paraId="060CA0D5"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353</w:t>
            </w:r>
          </w:p>
        </w:tc>
        <w:tc>
          <w:tcPr>
            <w:tcW w:w="2285" w:type="dxa"/>
          </w:tcPr>
          <w:p w14:paraId="2D82C766"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328</w:t>
            </w:r>
          </w:p>
        </w:tc>
      </w:tr>
      <w:tr w:rsidR="0079381D" w:rsidRPr="0024753A" w14:paraId="14F34517"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243D5B"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HFC-143a</w:t>
            </w:r>
          </w:p>
        </w:tc>
        <w:tc>
          <w:tcPr>
            <w:tcW w:w="2080" w:type="dxa"/>
          </w:tcPr>
          <w:p w14:paraId="6952C4FE"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4,470</w:t>
            </w:r>
          </w:p>
        </w:tc>
        <w:tc>
          <w:tcPr>
            <w:tcW w:w="2285" w:type="dxa"/>
          </w:tcPr>
          <w:p w14:paraId="275C248F"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4,800</w:t>
            </w:r>
          </w:p>
        </w:tc>
      </w:tr>
      <w:tr w:rsidR="0079381D" w:rsidRPr="0024753A" w14:paraId="1AD19BCF"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3AE2D3D"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HFC-152</w:t>
            </w:r>
          </w:p>
        </w:tc>
        <w:tc>
          <w:tcPr>
            <w:tcW w:w="2080" w:type="dxa"/>
          </w:tcPr>
          <w:p w14:paraId="5C0A6B9A"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53</w:t>
            </w:r>
          </w:p>
        </w:tc>
        <w:tc>
          <w:tcPr>
            <w:tcW w:w="2285" w:type="dxa"/>
          </w:tcPr>
          <w:p w14:paraId="16CEE91C"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16</w:t>
            </w:r>
          </w:p>
        </w:tc>
      </w:tr>
      <w:tr w:rsidR="0079381D" w:rsidRPr="0024753A" w14:paraId="79D5B189"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53165C"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HFC-152a</w:t>
            </w:r>
          </w:p>
        </w:tc>
        <w:tc>
          <w:tcPr>
            <w:tcW w:w="2080" w:type="dxa"/>
          </w:tcPr>
          <w:p w14:paraId="6C8DB02B"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124</w:t>
            </w:r>
          </w:p>
        </w:tc>
        <w:tc>
          <w:tcPr>
            <w:tcW w:w="2285" w:type="dxa"/>
          </w:tcPr>
          <w:p w14:paraId="12AC5F6E"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138</w:t>
            </w:r>
          </w:p>
        </w:tc>
      </w:tr>
      <w:tr w:rsidR="0079381D" w:rsidRPr="0024753A" w14:paraId="2598C77E"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608C5EA"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HFC-161</w:t>
            </w:r>
          </w:p>
        </w:tc>
        <w:tc>
          <w:tcPr>
            <w:tcW w:w="2080" w:type="dxa"/>
          </w:tcPr>
          <w:p w14:paraId="699D6045"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12</w:t>
            </w:r>
          </w:p>
        </w:tc>
        <w:tc>
          <w:tcPr>
            <w:tcW w:w="2285" w:type="dxa"/>
          </w:tcPr>
          <w:p w14:paraId="55833518"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4</w:t>
            </w:r>
          </w:p>
        </w:tc>
      </w:tr>
      <w:tr w:rsidR="0079381D" w:rsidRPr="0024753A" w14:paraId="46C0178B"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129E438"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HFC-227ea</w:t>
            </w:r>
          </w:p>
        </w:tc>
        <w:tc>
          <w:tcPr>
            <w:tcW w:w="2080" w:type="dxa"/>
          </w:tcPr>
          <w:p w14:paraId="6F252211"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3,220</w:t>
            </w:r>
          </w:p>
        </w:tc>
        <w:tc>
          <w:tcPr>
            <w:tcW w:w="2285" w:type="dxa"/>
          </w:tcPr>
          <w:p w14:paraId="7E98CB67"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3,350</w:t>
            </w:r>
          </w:p>
        </w:tc>
      </w:tr>
      <w:tr w:rsidR="0079381D" w:rsidRPr="0024753A" w14:paraId="4B258A22"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2540357"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HFC-236cb</w:t>
            </w:r>
          </w:p>
        </w:tc>
        <w:tc>
          <w:tcPr>
            <w:tcW w:w="2080" w:type="dxa"/>
          </w:tcPr>
          <w:p w14:paraId="7C110442"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1,340</w:t>
            </w:r>
          </w:p>
        </w:tc>
        <w:tc>
          <w:tcPr>
            <w:tcW w:w="2285" w:type="dxa"/>
          </w:tcPr>
          <w:p w14:paraId="33DD4825"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1,210</w:t>
            </w:r>
          </w:p>
        </w:tc>
      </w:tr>
      <w:tr w:rsidR="0079381D" w:rsidRPr="0024753A" w14:paraId="0C7428DB"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A311A42"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HFC-236ea</w:t>
            </w:r>
          </w:p>
        </w:tc>
        <w:tc>
          <w:tcPr>
            <w:tcW w:w="2080" w:type="dxa"/>
          </w:tcPr>
          <w:p w14:paraId="48C942FF"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1,370</w:t>
            </w:r>
          </w:p>
        </w:tc>
        <w:tc>
          <w:tcPr>
            <w:tcW w:w="2285" w:type="dxa"/>
          </w:tcPr>
          <w:p w14:paraId="6C1C1590"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1,330</w:t>
            </w:r>
          </w:p>
        </w:tc>
      </w:tr>
      <w:tr w:rsidR="0079381D" w:rsidRPr="0024753A" w14:paraId="05A68E83"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F5010A1"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HFC-236fa</w:t>
            </w:r>
          </w:p>
        </w:tc>
        <w:tc>
          <w:tcPr>
            <w:tcW w:w="2080" w:type="dxa"/>
          </w:tcPr>
          <w:p w14:paraId="1D9ADDBC"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9,810</w:t>
            </w:r>
          </w:p>
        </w:tc>
        <w:tc>
          <w:tcPr>
            <w:tcW w:w="2285" w:type="dxa"/>
          </w:tcPr>
          <w:p w14:paraId="593948B1"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8,060</w:t>
            </w:r>
          </w:p>
        </w:tc>
      </w:tr>
      <w:tr w:rsidR="0079381D" w:rsidRPr="0024753A" w14:paraId="67F77273"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1B5F3C1"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HFC-245ca</w:t>
            </w:r>
          </w:p>
        </w:tc>
        <w:tc>
          <w:tcPr>
            <w:tcW w:w="2080" w:type="dxa"/>
          </w:tcPr>
          <w:p w14:paraId="1C552DD9"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693</w:t>
            </w:r>
          </w:p>
        </w:tc>
        <w:tc>
          <w:tcPr>
            <w:tcW w:w="2285" w:type="dxa"/>
          </w:tcPr>
          <w:p w14:paraId="0ACCA58B"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716</w:t>
            </w:r>
          </w:p>
        </w:tc>
      </w:tr>
      <w:tr w:rsidR="0079381D" w:rsidRPr="0024753A" w14:paraId="46010FE1"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AEEA562"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HFC-245fa</w:t>
            </w:r>
          </w:p>
        </w:tc>
        <w:tc>
          <w:tcPr>
            <w:tcW w:w="2080" w:type="dxa"/>
          </w:tcPr>
          <w:p w14:paraId="504B60E4"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1,030</w:t>
            </w:r>
          </w:p>
        </w:tc>
        <w:tc>
          <w:tcPr>
            <w:tcW w:w="2285" w:type="dxa"/>
          </w:tcPr>
          <w:p w14:paraId="76D0DED2"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858</w:t>
            </w:r>
          </w:p>
        </w:tc>
      </w:tr>
      <w:tr w:rsidR="0079381D" w:rsidRPr="0024753A" w14:paraId="0CBED89D" w14:textId="77777777" w:rsidTr="00307C2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CB12AA"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HFC-365mfc</w:t>
            </w:r>
          </w:p>
        </w:tc>
        <w:tc>
          <w:tcPr>
            <w:tcW w:w="2080" w:type="dxa"/>
          </w:tcPr>
          <w:p w14:paraId="5697DB20"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794</w:t>
            </w:r>
          </w:p>
        </w:tc>
        <w:tc>
          <w:tcPr>
            <w:tcW w:w="2285" w:type="dxa"/>
          </w:tcPr>
          <w:p w14:paraId="1ABE2C86" w14:textId="77777777" w:rsidR="0079381D" w:rsidRPr="007C27E3" w:rsidRDefault="0079381D" w:rsidP="00307C2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804</w:t>
            </w:r>
          </w:p>
        </w:tc>
      </w:tr>
      <w:tr w:rsidR="0079381D" w:rsidRPr="0024753A" w14:paraId="33843717" w14:textId="77777777" w:rsidTr="00307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088C0E6" w14:textId="77777777" w:rsidR="0079381D" w:rsidRPr="007C27E3" w:rsidRDefault="0079381D" w:rsidP="00307C28">
            <w:pPr>
              <w:spacing w:before="60" w:after="60"/>
              <w:jc w:val="center"/>
              <w:rPr>
                <w:rFonts w:asciiTheme="minorHAnsi" w:hAnsiTheme="minorHAnsi" w:cstheme="minorHAnsi"/>
              </w:rPr>
            </w:pPr>
            <w:r w:rsidRPr="007C27E3">
              <w:rPr>
                <w:rFonts w:asciiTheme="minorHAnsi" w:hAnsiTheme="minorHAnsi" w:cstheme="minorHAnsi"/>
              </w:rPr>
              <w:t>Sulphur hexafluoride (SF</w:t>
            </w:r>
            <w:r w:rsidRPr="007C27E3">
              <w:rPr>
                <w:rFonts w:asciiTheme="minorHAnsi" w:hAnsiTheme="minorHAnsi" w:cstheme="minorHAnsi"/>
                <w:position w:val="-4"/>
                <w:vertAlign w:val="subscript"/>
              </w:rPr>
              <w:t>6</w:t>
            </w:r>
            <w:r w:rsidRPr="007C27E3">
              <w:rPr>
                <w:rFonts w:asciiTheme="minorHAnsi" w:hAnsiTheme="minorHAnsi" w:cstheme="minorHAnsi"/>
              </w:rPr>
              <w:t>)</w:t>
            </w:r>
          </w:p>
        </w:tc>
        <w:tc>
          <w:tcPr>
            <w:tcW w:w="2080" w:type="dxa"/>
          </w:tcPr>
          <w:p w14:paraId="695D046E"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22,800</w:t>
            </w:r>
          </w:p>
        </w:tc>
        <w:tc>
          <w:tcPr>
            <w:tcW w:w="2285" w:type="dxa"/>
          </w:tcPr>
          <w:p w14:paraId="307FD7BD" w14:textId="77777777" w:rsidR="0079381D" w:rsidRPr="007C27E3" w:rsidRDefault="0079381D" w:rsidP="00307C2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C27E3">
              <w:rPr>
                <w:rFonts w:asciiTheme="minorHAnsi" w:hAnsiTheme="minorHAnsi" w:cstheme="minorHAnsi"/>
              </w:rPr>
              <w:t>23,500</w:t>
            </w:r>
          </w:p>
        </w:tc>
      </w:tr>
    </w:tbl>
    <w:p w14:paraId="2BAD318E" w14:textId="77777777" w:rsidR="0079381D" w:rsidRDefault="0079381D" w:rsidP="0079381D"/>
    <w:p w14:paraId="793B78A9" w14:textId="77777777" w:rsidR="00BC4667" w:rsidRDefault="00BC4667" w:rsidP="00537A1C"/>
    <w:p w14:paraId="43411ABA" w14:textId="77777777" w:rsidR="0079381D" w:rsidRDefault="0079381D">
      <w:pPr>
        <w:spacing w:after="0" w:line="240" w:lineRule="auto"/>
        <w:rPr>
          <w:rFonts w:eastAsia="Times New Roman"/>
          <w:color w:val="005677"/>
          <w:sz w:val="48"/>
          <w:szCs w:val="32"/>
        </w:rPr>
      </w:pPr>
      <w:bookmarkStart w:id="5" w:name="_Toc510794625"/>
      <w:bookmarkStart w:id="6" w:name="_Toc511297984"/>
      <w:bookmarkStart w:id="7" w:name="_Toc511304013"/>
      <w:bookmarkStart w:id="8" w:name="_Toc511918017"/>
      <w:r>
        <w:br w:type="page"/>
      </w:r>
    </w:p>
    <w:p w14:paraId="0DB3B748" w14:textId="491199AB" w:rsidR="000E7071" w:rsidRDefault="000E7071" w:rsidP="00537A1C">
      <w:pPr>
        <w:pStyle w:val="Heading1"/>
      </w:pPr>
      <w:r>
        <w:lastRenderedPageBreak/>
        <w:t>Electricity</w:t>
      </w:r>
      <w:bookmarkEnd w:id="2"/>
      <w:bookmarkEnd w:id="3"/>
      <w:bookmarkEnd w:id="4"/>
      <w:bookmarkEnd w:id="5"/>
      <w:bookmarkEnd w:id="6"/>
      <w:bookmarkEnd w:id="7"/>
      <w:bookmarkEnd w:id="8"/>
    </w:p>
    <w:p w14:paraId="623BCB2E" w14:textId="19EEE2C4" w:rsidR="00467303" w:rsidRPr="00A031DC" w:rsidRDefault="00E36815" w:rsidP="00537A1C">
      <w:r w:rsidRPr="00A031DC">
        <w:t xml:space="preserve">The </w:t>
      </w:r>
      <w:r w:rsidRPr="00A031DC">
        <w:rPr>
          <w:i/>
        </w:rPr>
        <w:t>electricity sector</w:t>
      </w:r>
      <w:r w:rsidR="00FB329E" w:rsidRPr="00A031DC">
        <w:rPr>
          <w:i/>
        </w:rPr>
        <w:t xml:space="preserve"> </w:t>
      </w:r>
      <w:r w:rsidRPr="00A031DC">
        <w:t xml:space="preserve">emissions projections have been prepared </w:t>
      </w:r>
      <w:r w:rsidR="00EA7440" w:rsidRPr="00A031DC">
        <w:t xml:space="preserve">using </w:t>
      </w:r>
      <w:r w:rsidR="00467303" w:rsidRPr="00A031DC">
        <w:t xml:space="preserve">external modelling </w:t>
      </w:r>
      <w:r w:rsidR="007547EB" w:rsidRPr="00A031DC">
        <w:t xml:space="preserve">by </w:t>
      </w:r>
      <w:r w:rsidR="00AB140E" w:rsidRPr="00A031DC">
        <w:t>ACIL Allen</w:t>
      </w:r>
      <w:r w:rsidR="00467303" w:rsidRPr="00A031DC">
        <w:t xml:space="preserve"> </w:t>
      </w:r>
      <w:r w:rsidR="002A6B1D" w:rsidRPr="00A031DC">
        <w:t xml:space="preserve">for the National Electricity Market </w:t>
      </w:r>
      <w:r w:rsidR="002616BC" w:rsidRPr="00A031DC">
        <w:t>(NEM)</w:t>
      </w:r>
      <w:r w:rsidR="00495DE5" w:rsidRPr="00A031DC">
        <w:t>,</w:t>
      </w:r>
      <w:r w:rsidR="002A6B1D" w:rsidRPr="00A031DC">
        <w:t xml:space="preserve"> Wholesale Electricity Market</w:t>
      </w:r>
      <w:r w:rsidR="002616BC" w:rsidRPr="00A031DC">
        <w:t xml:space="preserve"> (WEM)</w:t>
      </w:r>
      <w:r w:rsidR="002A6B1D" w:rsidRPr="00A031DC">
        <w:t xml:space="preserve"> </w:t>
      </w:r>
      <w:r w:rsidR="00EF302B" w:rsidRPr="00A031DC">
        <w:t xml:space="preserve">and minor grids, </w:t>
      </w:r>
      <w:r w:rsidR="002A6B1D" w:rsidRPr="00A031DC">
        <w:t>and</w:t>
      </w:r>
      <w:r w:rsidR="00EA7440" w:rsidRPr="00A031DC">
        <w:t xml:space="preserve"> </w:t>
      </w:r>
      <w:r w:rsidR="00966C28">
        <w:t>the department</w:t>
      </w:r>
      <w:r w:rsidR="00EA7440" w:rsidRPr="00A031DC">
        <w:t>’s</w:t>
      </w:r>
      <w:r w:rsidR="002A6B1D" w:rsidRPr="00A031DC">
        <w:t xml:space="preserve"> </w:t>
      </w:r>
      <w:r w:rsidR="00467303" w:rsidRPr="00A031DC">
        <w:t>internal</w:t>
      </w:r>
      <w:r w:rsidR="002616BC" w:rsidRPr="00A031DC">
        <w:t xml:space="preserve"> modelling for off-grid </w:t>
      </w:r>
      <w:r w:rsidR="00467303" w:rsidRPr="00A031DC">
        <w:t xml:space="preserve">electricity </w:t>
      </w:r>
      <w:r w:rsidR="002616BC" w:rsidRPr="00A031DC">
        <w:t>generation</w:t>
      </w:r>
      <w:r w:rsidRPr="00A031DC">
        <w:t xml:space="preserve">. </w:t>
      </w:r>
    </w:p>
    <w:p w14:paraId="4595FF72" w14:textId="77877977" w:rsidR="00E35AC6" w:rsidRPr="00D66460" w:rsidRDefault="00EE2DB7" w:rsidP="00537A1C">
      <w:pPr>
        <w:pStyle w:val="Heading2"/>
        <w:rPr>
          <w:b/>
          <w:i/>
        </w:rPr>
      </w:pPr>
      <w:r w:rsidRPr="00A031DC">
        <w:t>Modelling approach</w:t>
      </w:r>
    </w:p>
    <w:p w14:paraId="7BFBC478" w14:textId="3D5DEB2B" w:rsidR="00EE2DB7" w:rsidRPr="00D66460" w:rsidRDefault="00EE2DB7" w:rsidP="00537A1C">
      <w:pPr>
        <w:pStyle w:val="Heading3"/>
      </w:pPr>
      <w:r w:rsidRPr="00D66460">
        <w:t>NEM</w:t>
      </w:r>
      <w:r w:rsidR="0053114D" w:rsidRPr="00D66460">
        <w:t>,</w:t>
      </w:r>
      <w:r w:rsidRPr="00D66460">
        <w:t xml:space="preserve"> WEM</w:t>
      </w:r>
      <w:r w:rsidR="00EF302B" w:rsidRPr="00D66460">
        <w:t xml:space="preserve"> and minor grids</w:t>
      </w:r>
    </w:p>
    <w:p w14:paraId="02A7E1EA" w14:textId="1ED5BFD3" w:rsidR="000B33C3" w:rsidRPr="00A031DC" w:rsidRDefault="00C540CB" w:rsidP="00537A1C">
      <w:r w:rsidRPr="00A031DC">
        <w:t>ACIL Allen</w:t>
      </w:r>
      <w:r w:rsidR="00EF302B" w:rsidRPr="00A031DC">
        <w:t xml:space="preserve"> used </w:t>
      </w:r>
      <w:r w:rsidR="007E4FF5" w:rsidRPr="000F53BC">
        <w:t>PowerMark</w:t>
      </w:r>
      <w:r w:rsidR="007E4FF5" w:rsidRPr="00A031DC">
        <w:t>, ACIL Allen’s proprietary</w:t>
      </w:r>
      <w:r w:rsidR="00EF302B" w:rsidRPr="00A031DC">
        <w:t xml:space="preserve"> market simulation model</w:t>
      </w:r>
      <w:r w:rsidR="008139AB" w:rsidRPr="00A031DC" w:rsidDel="00EF302B">
        <w:t xml:space="preserve"> </w:t>
      </w:r>
      <w:r w:rsidR="008139AB" w:rsidRPr="00A031DC">
        <w:t>to project emission</w:t>
      </w:r>
      <w:r w:rsidR="008E1EC7" w:rsidRPr="00A031DC">
        <w:t>s</w:t>
      </w:r>
      <w:r w:rsidR="008139AB" w:rsidRPr="00A031DC">
        <w:t xml:space="preserve"> </w:t>
      </w:r>
      <w:r w:rsidR="00EF4503">
        <w:t xml:space="preserve">from </w:t>
      </w:r>
      <w:r w:rsidR="00FB2D43" w:rsidRPr="00A031DC">
        <w:t xml:space="preserve">Australia’s </w:t>
      </w:r>
      <w:r w:rsidR="00EF4503">
        <w:t xml:space="preserve">electricity </w:t>
      </w:r>
      <w:r w:rsidR="00FB2D43" w:rsidRPr="00A031DC">
        <w:t>grids to 2030</w:t>
      </w:r>
      <w:r w:rsidR="008139AB" w:rsidRPr="00A031DC">
        <w:t>.</w:t>
      </w:r>
      <w:r w:rsidR="00EF302B" w:rsidRPr="00A031DC">
        <w:t xml:space="preserve"> </w:t>
      </w:r>
      <w:r w:rsidR="00FB2D43" w:rsidRPr="000F53BC">
        <w:t>PowerMark</w:t>
      </w:r>
      <w:r w:rsidR="00FB2D43" w:rsidRPr="00A031DC">
        <w:t xml:space="preserve"> is a simulator that emulates the settlements mechanism of the NEM and </w:t>
      </w:r>
      <w:r w:rsidR="00B7223B" w:rsidRPr="00A031DC">
        <w:t>WEM</w:t>
      </w:r>
      <w:r w:rsidR="00FB2D43" w:rsidRPr="00A031DC">
        <w:t xml:space="preserve">. </w:t>
      </w:r>
      <w:r w:rsidR="00FB2D43" w:rsidRPr="000F53BC">
        <w:t>PowerMark</w:t>
      </w:r>
      <w:r w:rsidR="00FB2D43" w:rsidRPr="00A031DC">
        <w:t xml:space="preserve"> uses a linear program to settle the market, as does AEMO’s Dispatch Engine in its real time settlement process. ACIL</w:t>
      </w:r>
      <w:r w:rsidR="001E6800" w:rsidRPr="00A031DC">
        <w:t xml:space="preserve"> Allen</w:t>
      </w:r>
      <w:r w:rsidR="00FB2D43" w:rsidRPr="00A031DC">
        <w:t>’s own</w:t>
      </w:r>
      <w:r w:rsidR="006C4199" w:rsidRPr="00A031DC">
        <w:t>,</w:t>
      </w:r>
      <w:r w:rsidR="00FB2D43" w:rsidRPr="00A031DC">
        <w:t xml:space="preserve"> simpler internal models</w:t>
      </w:r>
      <w:r w:rsidR="006C4199" w:rsidRPr="00A031DC">
        <w:t>,</w:t>
      </w:r>
      <w:r w:rsidR="00FB2D43" w:rsidRPr="00A031DC">
        <w:t xml:space="preserve"> were used to model the minor grids. </w:t>
      </w:r>
      <w:r w:rsidR="00877531" w:rsidRPr="000F53BC">
        <w:t>PowerMark</w:t>
      </w:r>
      <w:r w:rsidR="00877531" w:rsidRPr="00A031DC">
        <w:t xml:space="preserve"> constructs a set of offer curves that match bidding behaviour to match demand and determine dispatch through the market clearing rules. </w:t>
      </w:r>
      <w:r w:rsidR="000B33C3" w:rsidRPr="00A031DC">
        <w:t xml:space="preserve">Bidding behaviour for generators accounts for optimising portfolios’ positions in the market. </w:t>
      </w:r>
    </w:p>
    <w:p w14:paraId="4E801D60" w14:textId="621B36B3" w:rsidR="000B33C3" w:rsidRPr="00A031DC" w:rsidRDefault="000B33C3" w:rsidP="00537A1C">
      <w:r w:rsidRPr="00A031DC">
        <w:t xml:space="preserve">Demand is included as an exogenous assumption and presented to the market. Generator portfolios compete against this demand for dispatch. </w:t>
      </w:r>
      <w:r w:rsidRPr="000F53BC">
        <w:t>PowerMark</w:t>
      </w:r>
      <w:r w:rsidRPr="00A031DC">
        <w:t xml:space="preserve"> resolves to match this demand at hourly resolutions across the entire projections period.</w:t>
      </w:r>
    </w:p>
    <w:p w14:paraId="35A1C94E" w14:textId="48268348" w:rsidR="00F27A37" w:rsidRPr="00A031DC" w:rsidRDefault="00AE4CDD" w:rsidP="00537A1C">
      <w:r w:rsidRPr="000F53BC">
        <w:t>PowerMark</w:t>
      </w:r>
      <w:r w:rsidRPr="00A031DC">
        <w:t xml:space="preserve"> is part of an integrated suite of modelling software that </w:t>
      </w:r>
      <w:r w:rsidR="00001FAE" w:rsidRPr="00A031DC">
        <w:t xml:space="preserve">also </w:t>
      </w:r>
      <w:r w:rsidRPr="00A031DC">
        <w:t xml:space="preserve">induces new entrant generators under market and policy settings, including renewable energy targets. </w:t>
      </w:r>
      <w:r w:rsidR="00001FAE" w:rsidRPr="00A031DC">
        <w:t>The modelling suite</w:t>
      </w:r>
      <w:r w:rsidR="007D4C6C" w:rsidRPr="00A031DC">
        <w:t xml:space="preserve"> takes account of numerous </w:t>
      </w:r>
      <w:r w:rsidR="003E3214" w:rsidRPr="00A031DC">
        <w:t>parameters</w:t>
      </w:r>
      <w:r w:rsidR="007D4C6C" w:rsidRPr="00A031DC">
        <w:t xml:space="preserve"> and constraints in the electricity markets, including weather, </w:t>
      </w:r>
      <w:r w:rsidR="00F27A37" w:rsidRPr="00A031DC">
        <w:t xml:space="preserve">unplanned outage events and network utilisation and generation capacity constraints. </w:t>
      </w:r>
    </w:p>
    <w:p w14:paraId="045038A3" w14:textId="7C7E31B2" w:rsidR="007D4C6C" w:rsidRPr="00A031DC" w:rsidRDefault="007D4C6C" w:rsidP="00537A1C">
      <w:r w:rsidRPr="00A031DC">
        <w:t xml:space="preserve">New large interconnector projects in the NEM are exogenous inputs into the model, in line with the central development pathway </w:t>
      </w:r>
      <w:r w:rsidRPr="002943C3">
        <w:t>under AEMO’s Integrated System Plan</w:t>
      </w:r>
      <w:r w:rsidR="00E15AB6" w:rsidRPr="002943C3">
        <w:t xml:space="preserve"> (</w:t>
      </w:r>
      <w:r w:rsidR="00CB7D0E">
        <w:t>AEMO 2020</w:t>
      </w:r>
      <w:r w:rsidR="00214FE3">
        <w:t>a</w:t>
      </w:r>
      <w:r w:rsidR="00E15AB6" w:rsidRPr="002943C3">
        <w:t>)</w:t>
      </w:r>
      <w:r w:rsidRPr="002943C3">
        <w:t>,</w:t>
      </w:r>
      <w:r w:rsidR="00B715CE">
        <w:t xml:space="preserve"> </w:t>
      </w:r>
      <w:r w:rsidR="00814CF0">
        <w:t>2021-21 Inputs, Assumptions and Scenarios (AEMO 2021</w:t>
      </w:r>
      <w:r w:rsidR="00673284">
        <w:t>a</w:t>
      </w:r>
      <w:r w:rsidR="00814CF0">
        <w:t>)</w:t>
      </w:r>
      <w:r w:rsidRPr="00A031DC">
        <w:t xml:space="preserve"> and advice from </w:t>
      </w:r>
      <w:r w:rsidR="00966C28">
        <w:t>the department</w:t>
      </w:r>
      <w:r w:rsidRPr="00A031DC">
        <w:t xml:space="preserve">. </w:t>
      </w:r>
    </w:p>
    <w:p w14:paraId="17F54EC1" w14:textId="30AB10DC" w:rsidR="00EE2DB7" w:rsidRPr="00D66460" w:rsidRDefault="00EE32A0" w:rsidP="00537A1C">
      <w:pPr>
        <w:pStyle w:val="Heading3"/>
        <w:rPr>
          <w:i/>
        </w:rPr>
      </w:pPr>
      <w:r w:rsidRPr="00A031DC">
        <w:t>Off-grid</w:t>
      </w:r>
    </w:p>
    <w:p w14:paraId="5EF5D167" w14:textId="667758E9" w:rsidR="00C4520E" w:rsidRPr="00A031DC" w:rsidRDefault="00EE2DB7" w:rsidP="00537A1C">
      <w:r w:rsidRPr="00A031DC">
        <w:t xml:space="preserve">The </w:t>
      </w:r>
      <w:r w:rsidR="009D102A">
        <w:t>d</w:t>
      </w:r>
      <w:r w:rsidRPr="00A031DC">
        <w:t>epartment undertook modelling of emissions from Australia’s off</w:t>
      </w:r>
      <w:r w:rsidR="00D76236" w:rsidRPr="00A031DC">
        <w:t>-</w:t>
      </w:r>
      <w:r w:rsidRPr="00A031DC">
        <w:t>grid electricity networks</w:t>
      </w:r>
      <w:r w:rsidR="000876DF" w:rsidRPr="00A031DC">
        <w:t xml:space="preserve">. </w:t>
      </w:r>
      <w:r w:rsidR="00C4520E" w:rsidRPr="00A031DC">
        <w:t>Off-grid refers to all other locations where small electricity networks operate</w:t>
      </w:r>
      <w:r w:rsidR="000876DF" w:rsidRPr="00A031DC">
        <w:t>, this can include ‘microgrids’.</w:t>
      </w:r>
      <w:r w:rsidR="006739F5" w:rsidRPr="00A031DC">
        <w:t xml:space="preserve"> Off-grid electricity demand is </w:t>
      </w:r>
      <w:r w:rsidR="0053114D" w:rsidRPr="00A031DC">
        <w:t>predominantly from</w:t>
      </w:r>
      <w:r w:rsidR="006739F5" w:rsidRPr="00A031DC">
        <w:t xml:space="preserve"> industrial use</w:t>
      </w:r>
      <w:r w:rsidR="0053114D" w:rsidRPr="00A031DC">
        <w:t>rs</w:t>
      </w:r>
      <w:r w:rsidR="006739F5" w:rsidRPr="00A031DC">
        <w:t xml:space="preserve"> from mining and </w:t>
      </w:r>
      <w:r w:rsidR="009D102A">
        <w:t>l</w:t>
      </w:r>
      <w:r w:rsidR="0053114D" w:rsidRPr="00A031DC">
        <w:t xml:space="preserve">iquefied </w:t>
      </w:r>
      <w:r w:rsidR="009D102A">
        <w:t>n</w:t>
      </w:r>
      <w:r w:rsidR="0053114D" w:rsidRPr="00A031DC">
        <w:t xml:space="preserve">atural </w:t>
      </w:r>
      <w:r w:rsidR="009D102A">
        <w:t>g</w:t>
      </w:r>
      <w:r w:rsidR="0053114D" w:rsidRPr="00A031DC">
        <w:t>as</w:t>
      </w:r>
      <w:r w:rsidR="006739F5" w:rsidRPr="00A031DC">
        <w:t xml:space="preserve"> </w:t>
      </w:r>
      <w:r w:rsidR="00495DE5" w:rsidRPr="00A031DC">
        <w:t xml:space="preserve">(LNG) </w:t>
      </w:r>
      <w:r w:rsidR="006739F5" w:rsidRPr="00A031DC">
        <w:t>production.</w:t>
      </w:r>
      <w:r w:rsidR="000876DF" w:rsidRPr="00A031DC">
        <w:t xml:space="preserve"> </w:t>
      </w:r>
    </w:p>
    <w:p w14:paraId="52425403" w14:textId="0B9AE1BA" w:rsidR="00EE2DB7" w:rsidRPr="00A031DC" w:rsidRDefault="000876DF" w:rsidP="00537A1C">
      <w:r w:rsidRPr="00A031DC">
        <w:t>Off-grid</w:t>
      </w:r>
      <w:r w:rsidR="00EE2DB7" w:rsidRPr="00A031DC">
        <w:t xml:space="preserve"> electricity </w:t>
      </w:r>
      <w:r w:rsidR="006739F5" w:rsidRPr="00A031DC">
        <w:t>emissions</w:t>
      </w:r>
      <w:r w:rsidR="00EE2DB7" w:rsidRPr="00A031DC">
        <w:t xml:space="preserve"> are calculated </w:t>
      </w:r>
      <w:r w:rsidR="006739F5" w:rsidRPr="00A031DC">
        <w:t xml:space="preserve">with </w:t>
      </w:r>
      <w:r w:rsidR="00966C28">
        <w:t>2</w:t>
      </w:r>
      <w:r w:rsidR="006739F5" w:rsidRPr="00A031DC">
        <w:t xml:space="preserve"> models. The first is a bottom-up model that </w:t>
      </w:r>
      <w:r w:rsidR="00CE633E" w:rsidRPr="00A031DC">
        <w:t xml:space="preserve">is driven by the production of LNG at individual facilities, with production assumptions in line with estimates under the </w:t>
      </w:r>
      <w:r w:rsidR="00CE633E" w:rsidRPr="00A031DC">
        <w:rPr>
          <w:i/>
        </w:rPr>
        <w:t>fugitives sector</w:t>
      </w:r>
      <w:r w:rsidR="00CE633E" w:rsidRPr="00A031DC">
        <w:t xml:space="preserve"> modelling</w:t>
      </w:r>
      <w:r w:rsidR="00197A0C" w:rsidRPr="00A031DC">
        <w:t xml:space="preserve"> and electricity use assumptions based on information reported by facilities under the National Greenhouse Energy Reporting</w:t>
      </w:r>
      <w:r w:rsidR="006C4199" w:rsidRPr="00A031DC">
        <w:t xml:space="preserve"> (NGER)</w:t>
      </w:r>
      <w:r w:rsidR="00197A0C" w:rsidRPr="00A031DC">
        <w:t xml:space="preserve"> </w:t>
      </w:r>
      <w:r w:rsidR="006C4199" w:rsidRPr="00A031DC">
        <w:t>s</w:t>
      </w:r>
      <w:r w:rsidR="00197A0C" w:rsidRPr="00A031DC">
        <w:t>cheme</w:t>
      </w:r>
      <w:r w:rsidR="00CE633E" w:rsidRPr="00A031DC">
        <w:t xml:space="preserve">. The second is a top-down model that </w:t>
      </w:r>
      <w:r w:rsidR="007B438B" w:rsidRPr="00A031DC">
        <w:t xml:space="preserve">is </w:t>
      </w:r>
      <w:r w:rsidR="00CE633E" w:rsidRPr="00A031DC">
        <w:t xml:space="preserve">driven by demand </w:t>
      </w:r>
      <w:r w:rsidR="006C4199" w:rsidRPr="00A031DC">
        <w:t>for</w:t>
      </w:r>
      <w:r w:rsidR="00CE633E" w:rsidRPr="00A031DC">
        <w:t xml:space="preserve"> </w:t>
      </w:r>
      <w:r w:rsidR="006C4199" w:rsidRPr="00A031DC">
        <w:t>off-grid electricity excluding LNG</w:t>
      </w:r>
      <w:r w:rsidR="00CE633E" w:rsidRPr="00A031DC">
        <w:t xml:space="preserve"> and</w:t>
      </w:r>
      <w:r w:rsidR="006C4199" w:rsidRPr="00A031DC">
        <w:t xml:space="preserve"> assumptions </w:t>
      </w:r>
      <w:r w:rsidR="0039274A" w:rsidRPr="00A031DC">
        <w:t>of</w:t>
      </w:r>
      <w:r w:rsidR="006C4199" w:rsidRPr="00A031DC">
        <w:t xml:space="preserve"> changes in </w:t>
      </w:r>
      <w:r w:rsidR="0039274A" w:rsidRPr="00A031DC">
        <w:t xml:space="preserve">the </w:t>
      </w:r>
      <w:r w:rsidR="006C4199" w:rsidRPr="00A031DC">
        <w:t>fuel mix, in particular</w:t>
      </w:r>
      <w:r w:rsidR="00CE633E" w:rsidRPr="00A031DC">
        <w:t xml:space="preserve"> the uptake of renewable technology in the form of solar generation.</w:t>
      </w:r>
    </w:p>
    <w:p w14:paraId="496FC8A9" w14:textId="331D5E29" w:rsidR="007B438B" w:rsidRPr="00A031DC" w:rsidRDefault="007B438B" w:rsidP="00537A1C">
      <w:r w:rsidRPr="00A031DC">
        <w:t>For off-grid generation, emissions are calculated by</w:t>
      </w:r>
      <w:r w:rsidR="00393695" w:rsidRPr="00A031DC">
        <w:t xml:space="preserve"> the following for LNG and non-LNG off-grid electricity, respectively</w:t>
      </w:r>
      <w:r w:rsidRPr="00A031DC">
        <w:t>:</w:t>
      </w:r>
    </w:p>
    <w:p w14:paraId="725DB6D9" w14:textId="18DD32A1" w:rsidR="00622087" w:rsidRPr="00A031DC" w:rsidRDefault="00EE2DB7" w:rsidP="00537A1C">
      <w:pPr>
        <w:rPr>
          <w:vertAlign w:val="superscript"/>
        </w:rPr>
      </w:pPr>
      <w:r w:rsidRPr="00A031DC">
        <w:t>E</w:t>
      </w:r>
      <w:r w:rsidRPr="00A031DC">
        <w:rPr>
          <w:vertAlign w:val="subscript"/>
        </w:rPr>
        <w:t>t</w:t>
      </w:r>
      <w:r w:rsidRPr="00A031DC">
        <w:t xml:space="preserve"> = </w:t>
      </w:r>
      <w:r w:rsidR="00276782" w:rsidRPr="00A031DC">
        <w:t>∑ (</w:t>
      </w:r>
      <w:r w:rsidRPr="00A031DC">
        <w:t>[</w:t>
      </w:r>
      <w:r w:rsidR="00622087" w:rsidRPr="00A031DC">
        <w:t>EF</w:t>
      </w:r>
      <w:r w:rsidR="00622087" w:rsidRPr="00A031DC">
        <w:rPr>
          <w:vertAlign w:val="subscript"/>
        </w:rPr>
        <w:t>it</w:t>
      </w:r>
      <w:r w:rsidR="00622087" w:rsidRPr="00A031DC">
        <w:t xml:space="preserve"> </w:t>
      </w:r>
      <w:r w:rsidR="00622087" w:rsidRPr="00A031DC">
        <w:rPr>
          <w:b/>
        </w:rPr>
        <w:t>.</w:t>
      </w:r>
      <w:r w:rsidR="00622087" w:rsidRPr="00A031DC">
        <w:t xml:space="preserve"> EC</w:t>
      </w:r>
      <w:r w:rsidR="00622087" w:rsidRPr="00A031DC">
        <w:rPr>
          <w:vertAlign w:val="subscript"/>
        </w:rPr>
        <w:t xml:space="preserve">it </w:t>
      </w:r>
      <w:r w:rsidR="00622087" w:rsidRPr="00A031DC">
        <w:rPr>
          <w:b/>
        </w:rPr>
        <w:t xml:space="preserve">. </w:t>
      </w:r>
      <w:r w:rsidR="00622087" w:rsidRPr="00A031DC">
        <w:t>P</w:t>
      </w:r>
      <w:r w:rsidR="00622087" w:rsidRPr="00A031DC">
        <w:rPr>
          <w:vertAlign w:val="subscript"/>
        </w:rPr>
        <w:t>it</w:t>
      </w:r>
      <w:r w:rsidR="00622087" w:rsidRPr="00A031DC">
        <w:t>])</w:t>
      </w:r>
    </w:p>
    <w:p w14:paraId="103CA4FC" w14:textId="4FD25271" w:rsidR="00622087" w:rsidRPr="00A031DC" w:rsidRDefault="00622087" w:rsidP="005211EE">
      <w:pPr>
        <w:pStyle w:val="Calculations"/>
      </w:pPr>
      <w:r w:rsidRPr="00A031DC">
        <w:lastRenderedPageBreak/>
        <w:t xml:space="preserve">Where: </w:t>
      </w:r>
      <w:r w:rsidRPr="00A031DC">
        <w:br/>
        <w:t>E</w:t>
      </w:r>
      <w:r w:rsidRPr="00A031DC">
        <w:rPr>
          <w:vertAlign w:val="subscript"/>
        </w:rPr>
        <w:t>t</w:t>
      </w:r>
      <w:r w:rsidRPr="00A031DC">
        <w:t xml:space="preserve"> = emissions in year</w:t>
      </w:r>
      <w:r w:rsidRPr="00A031DC">
        <w:rPr>
          <w:vertAlign w:val="subscript"/>
        </w:rPr>
        <w:t xml:space="preserve"> </w:t>
      </w:r>
      <w:r w:rsidRPr="00A031DC">
        <w:t>t (Mt CO</w:t>
      </w:r>
      <w:r w:rsidR="0099567A" w:rsidRPr="00042BDA">
        <w:t>₂</w:t>
      </w:r>
      <w:r w:rsidRPr="00A031DC">
        <w:t>-e</w:t>
      </w:r>
      <w:r w:rsidR="00276782" w:rsidRPr="00A031DC">
        <w:t xml:space="preserve">) </w:t>
      </w:r>
      <w:r w:rsidRPr="00A031DC">
        <w:br/>
        <w:t>EF</w:t>
      </w:r>
      <w:r w:rsidRPr="00A031DC">
        <w:rPr>
          <w:vertAlign w:val="subscript"/>
        </w:rPr>
        <w:t>it</w:t>
      </w:r>
      <w:r w:rsidRPr="00A031DC">
        <w:t xml:space="preserve"> = facility-specific electricity emissions-intensity factor in year t (Mt/MWh)</w:t>
      </w:r>
    </w:p>
    <w:p w14:paraId="01921EA8" w14:textId="77777777" w:rsidR="00622087" w:rsidRPr="00A031DC" w:rsidRDefault="00622087" w:rsidP="005211EE">
      <w:pPr>
        <w:pStyle w:val="Calculations"/>
      </w:pPr>
      <w:r w:rsidRPr="00A031DC">
        <w:t>EC</w:t>
      </w:r>
      <w:r w:rsidRPr="00A031DC">
        <w:rPr>
          <w:vertAlign w:val="subscript"/>
        </w:rPr>
        <w:t>it</w:t>
      </w:r>
      <w:r w:rsidRPr="00A031DC">
        <w:t xml:space="preserve"> = facility-specific electricity consumption factor for unit of production in year t (MWh/Mt)</w:t>
      </w:r>
    </w:p>
    <w:p w14:paraId="06A705D6" w14:textId="287A7C24" w:rsidR="00622087" w:rsidRPr="00A031DC" w:rsidRDefault="00622087" w:rsidP="005211EE">
      <w:pPr>
        <w:pStyle w:val="Calculations"/>
      </w:pPr>
      <w:r w:rsidRPr="00A031DC">
        <w:t>P</w:t>
      </w:r>
      <w:r w:rsidRPr="00A031DC">
        <w:rPr>
          <w:vertAlign w:val="subscript"/>
        </w:rPr>
        <w:t>it</w:t>
      </w:r>
      <w:r w:rsidRPr="00A031DC">
        <w:t xml:space="preserve"> = production at </w:t>
      </w:r>
      <w:r w:rsidR="00276782" w:rsidRPr="00A031DC">
        <w:t>facility</w:t>
      </w:r>
      <w:r w:rsidR="00276782" w:rsidRPr="00A031DC">
        <w:rPr>
          <w:vertAlign w:val="subscript"/>
        </w:rPr>
        <w:t>i</w:t>
      </w:r>
      <w:r w:rsidR="00276782" w:rsidRPr="00A031DC">
        <w:t xml:space="preserve"> </w:t>
      </w:r>
      <w:r w:rsidRPr="00A031DC">
        <w:t>in year t (Mt)</w:t>
      </w:r>
      <w:r w:rsidR="00842F49">
        <w:br/>
      </w:r>
    </w:p>
    <w:p w14:paraId="559DC6D0" w14:textId="74ED88A9" w:rsidR="00EE2DB7" w:rsidRPr="00A031DC" w:rsidRDefault="00EE2DB7" w:rsidP="00537A1C">
      <w:pPr>
        <w:rPr>
          <w:vertAlign w:val="superscript"/>
        </w:rPr>
      </w:pPr>
      <w:r w:rsidRPr="00A031DC">
        <w:t>E</w:t>
      </w:r>
      <w:r w:rsidRPr="00A031DC">
        <w:rPr>
          <w:vertAlign w:val="subscript"/>
        </w:rPr>
        <w:t>t</w:t>
      </w:r>
      <w:r w:rsidRPr="00A031DC">
        <w:t xml:space="preserve"> = </w:t>
      </w:r>
      <w:r w:rsidR="00276782" w:rsidRPr="00A031DC">
        <w:t>∑ (</w:t>
      </w:r>
      <w:r w:rsidRPr="00A031DC">
        <w:t>[</w:t>
      </w:r>
      <w:r w:rsidR="006604F9" w:rsidRPr="00A031DC">
        <w:t xml:space="preserve"> Ef</w:t>
      </w:r>
      <w:r w:rsidR="00524358" w:rsidRPr="00A031DC">
        <w:rPr>
          <w:vertAlign w:val="subscript"/>
        </w:rPr>
        <w:t>i</w:t>
      </w:r>
      <w:r w:rsidR="006604F9" w:rsidRPr="00A031DC">
        <w:rPr>
          <w:b/>
        </w:rPr>
        <w:t xml:space="preserve"> </w:t>
      </w:r>
      <w:r w:rsidR="00524358" w:rsidRPr="00A031DC">
        <w:rPr>
          <w:b/>
        </w:rPr>
        <w:t>.</w:t>
      </w:r>
      <w:r w:rsidR="00524358" w:rsidRPr="00A031DC">
        <w:t xml:space="preserve"> Fc</w:t>
      </w:r>
      <w:r w:rsidR="00524358" w:rsidRPr="00A031DC">
        <w:rPr>
          <w:vertAlign w:val="subscript"/>
        </w:rPr>
        <w:t xml:space="preserve">i </w:t>
      </w:r>
      <w:r w:rsidR="006604F9" w:rsidRPr="00A031DC">
        <w:rPr>
          <w:b/>
        </w:rPr>
        <w:t>.</w:t>
      </w:r>
      <w:r w:rsidR="006604F9" w:rsidRPr="00A031DC">
        <w:t xml:space="preserve"> </w:t>
      </w:r>
      <w:r w:rsidRPr="00A031DC">
        <w:t>G</w:t>
      </w:r>
      <w:r w:rsidRPr="00A031DC">
        <w:rPr>
          <w:vertAlign w:val="subscript"/>
        </w:rPr>
        <w:t xml:space="preserve">it </w:t>
      </w:r>
      <w:r w:rsidRPr="00A031DC">
        <w:t>])</w:t>
      </w:r>
      <w:r w:rsidR="006604F9" w:rsidRPr="00A031DC">
        <w:t xml:space="preserve"> </w:t>
      </w:r>
    </w:p>
    <w:p w14:paraId="5E60677B" w14:textId="04CF7ECD" w:rsidR="006604F9" w:rsidRPr="00A031DC" w:rsidRDefault="00EE2DB7" w:rsidP="005211EE">
      <w:pPr>
        <w:pStyle w:val="Calculations"/>
      </w:pPr>
      <w:r w:rsidRPr="00A031DC">
        <w:t xml:space="preserve">Where: </w:t>
      </w:r>
      <w:r w:rsidRPr="00A031DC">
        <w:br/>
        <w:t>E</w:t>
      </w:r>
      <w:r w:rsidRPr="00A031DC">
        <w:rPr>
          <w:vertAlign w:val="subscript"/>
        </w:rPr>
        <w:t>t</w:t>
      </w:r>
      <w:r w:rsidRPr="00A031DC">
        <w:t xml:space="preserve"> = annual emissions in year t (</w:t>
      </w:r>
      <w:r w:rsidR="006604F9" w:rsidRPr="00A031DC">
        <w:t>Mt</w:t>
      </w:r>
      <w:r w:rsidRPr="00A031DC">
        <w:t xml:space="preserve"> CO</w:t>
      </w:r>
      <w:r w:rsidR="0099567A" w:rsidRPr="00042BDA">
        <w:t>₂</w:t>
      </w:r>
      <w:r w:rsidRPr="00A031DC">
        <w:t>-e</w:t>
      </w:r>
      <w:r w:rsidR="00276782" w:rsidRPr="00A031DC">
        <w:t xml:space="preserve">) </w:t>
      </w:r>
      <w:r w:rsidRPr="00A031DC">
        <w:br/>
      </w:r>
      <w:r w:rsidR="006604F9" w:rsidRPr="00A031DC">
        <w:t xml:space="preserve">Ef = emissions factor for </w:t>
      </w:r>
      <w:r w:rsidR="00524358" w:rsidRPr="00A031DC">
        <w:t>consumption by fuel</w:t>
      </w:r>
      <w:r w:rsidR="00524358" w:rsidRPr="00A031DC">
        <w:rPr>
          <w:vertAlign w:val="subscript"/>
        </w:rPr>
        <w:t>i</w:t>
      </w:r>
      <w:r w:rsidR="00524358" w:rsidRPr="00A031DC">
        <w:t xml:space="preserve"> (Mt</w:t>
      </w:r>
      <w:r w:rsidR="00350347" w:rsidRPr="00A031DC">
        <w:t xml:space="preserve"> CO</w:t>
      </w:r>
      <w:r w:rsidR="0099567A" w:rsidRPr="00042BDA">
        <w:t>₂</w:t>
      </w:r>
      <w:r w:rsidR="00350347" w:rsidRPr="00A031DC">
        <w:t xml:space="preserve">-e </w:t>
      </w:r>
      <w:r w:rsidR="00524358" w:rsidRPr="00A031DC">
        <w:t>/PJ)</w:t>
      </w:r>
    </w:p>
    <w:p w14:paraId="6D0E24F3" w14:textId="4AB5E3C8" w:rsidR="00524358" w:rsidRPr="00A031DC" w:rsidRDefault="00524358" w:rsidP="005211EE">
      <w:pPr>
        <w:pStyle w:val="Calculations"/>
      </w:pPr>
      <w:r w:rsidRPr="00A031DC">
        <w:t>Fc</w:t>
      </w:r>
      <w:r w:rsidRPr="00A031DC">
        <w:rPr>
          <w:vertAlign w:val="subscript"/>
        </w:rPr>
        <w:t>i</w:t>
      </w:r>
      <w:r w:rsidRPr="00A031DC">
        <w:t xml:space="preserve"> = </w:t>
      </w:r>
      <w:r w:rsidR="00DC688D" w:rsidRPr="00A031DC">
        <w:t xml:space="preserve">fuel </w:t>
      </w:r>
      <w:r w:rsidRPr="00A031DC">
        <w:t xml:space="preserve">consumption factor </w:t>
      </w:r>
      <w:r w:rsidR="00DC688D" w:rsidRPr="00A031DC">
        <w:t>per unit of electricity generation</w:t>
      </w:r>
      <w:r w:rsidRPr="00A031DC">
        <w:t xml:space="preserve"> (PJ/GWh)</w:t>
      </w:r>
    </w:p>
    <w:p w14:paraId="08B2263C" w14:textId="03588AB0" w:rsidR="00393695" w:rsidRPr="00A031DC" w:rsidRDefault="00EE2DB7" w:rsidP="005211EE">
      <w:pPr>
        <w:pStyle w:val="Calculations"/>
      </w:pPr>
      <w:r w:rsidRPr="00A031DC">
        <w:t>G</w:t>
      </w:r>
      <w:r w:rsidRPr="00A031DC">
        <w:rPr>
          <w:vertAlign w:val="subscript"/>
        </w:rPr>
        <w:t>it</w:t>
      </w:r>
      <w:r w:rsidRPr="00A031DC">
        <w:t xml:space="preserve"> = electricity generation by fuel</w:t>
      </w:r>
      <w:r w:rsidRPr="00A031DC">
        <w:rPr>
          <w:vertAlign w:val="subscript"/>
        </w:rPr>
        <w:t>i</w:t>
      </w:r>
      <w:r w:rsidRPr="00A031DC">
        <w:t>, in year t (GWh)</w:t>
      </w:r>
      <w:r w:rsidR="00842F49" w:rsidRPr="00E35AC6">
        <w:br/>
      </w:r>
    </w:p>
    <w:p w14:paraId="430371E2" w14:textId="4C540D68" w:rsidR="00EE2DB7" w:rsidRPr="00D66460" w:rsidRDefault="007547EB" w:rsidP="00537A1C">
      <w:pPr>
        <w:pStyle w:val="Heading2"/>
        <w:rPr>
          <w:b/>
          <w:i/>
        </w:rPr>
      </w:pPr>
      <w:r w:rsidRPr="00D66460">
        <w:t>Electricity demand</w:t>
      </w:r>
    </w:p>
    <w:p w14:paraId="0AAF427F" w14:textId="77777777" w:rsidR="0049486F" w:rsidRPr="00D66460" w:rsidRDefault="0049486F" w:rsidP="00537A1C">
      <w:pPr>
        <w:pStyle w:val="Heading3"/>
        <w:rPr>
          <w:i/>
        </w:rPr>
      </w:pPr>
      <w:r w:rsidRPr="00D66460">
        <w:t>NEM and WEM</w:t>
      </w:r>
    </w:p>
    <w:p w14:paraId="328BAB8D" w14:textId="27403253" w:rsidR="00C4520E" w:rsidRPr="00A031DC" w:rsidRDefault="006761BD" w:rsidP="00537A1C">
      <w:r w:rsidRPr="00A031DC">
        <w:t xml:space="preserve">Forecasts of electricity demand are </w:t>
      </w:r>
      <w:r w:rsidR="00467303" w:rsidRPr="00A031DC">
        <w:t xml:space="preserve">a </w:t>
      </w:r>
      <w:r w:rsidRPr="00A031DC">
        <w:t xml:space="preserve">key input into the </w:t>
      </w:r>
      <w:r w:rsidRPr="00A031DC">
        <w:rPr>
          <w:i/>
        </w:rPr>
        <w:t>electricity sector</w:t>
      </w:r>
      <w:r w:rsidRPr="00A031DC">
        <w:t xml:space="preserve"> emissions projections. </w:t>
      </w:r>
      <w:r w:rsidR="00E36815" w:rsidRPr="00A031DC">
        <w:t>T</w:t>
      </w:r>
      <w:r w:rsidR="006A7654">
        <w:t>he department</w:t>
      </w:r>
      <w:r w:rsidR="00E36815" w:rsidRPr="00A031DC">
        <w:t xml:space="preserve"> has sourced data from the A</w:t>
      </w:r>
      <w:r w:rsidR="008D42CE" w:rsidRPr="00A031DC">
        <w:t xml:space="preserve">EMO’s Electricity Statement of Opportunities (ESOO) reports </w:t>
      </w:r>
      <w:r w:rsidR="00802206" w:rsidRPr="002943C3">
        <w:t>(</w:t>
      </w:r>
      <w:r w:rsidR="00CB7D0E">
        <w:t>AEMO 2020</w:t>
      </w:r>
      <w:r w:rsidR="00621782">
        <w:t>b</w:t>
      </w:r>
      <w:r w:rsidR="00802206" w:rsidRPr="002943C3">
        <w:t>; AEMO 20</w:t>
      </w:r>
      <w:r w:rsidR="007D4C6C" w:rsidRPr="002943C3">
        <w:t>2</w:t>
      </w:r>
      <w:r w:rsidR="00307C28" w:rsidRPr="002943C3">
        <w:t>1</w:t>
      </w:r>
      <w:r w:rsidR="00673284" w:rsidRPr="002943C3">
        <w:t>b</w:t>
      </w:r>
      <w:r w:rsidR="00E36815" w:rsidRPr="002943C3">
        <w:t>)</w:t>
      </w:r>
      <w:r w:rsidR="00E36815" w:rsidRPr="00A031DC">
        <w:t xml:space="preserve"> to inform electri</w:t>
      </w:r>
      <w:r w:rsidR="00EE2D81" w:rsidRPr="00A031DC">
        <w:t>city demand projections for the N</w:t>
      </w:r>
      <w:r w:rsidR="00FB1806" w:rsidRPr="00A031DC">
        <w:t xml:space="preserve">EM </w:t>
      </w:r>
      <w:r w:rsidR="00EE2D81" w:rsidRPr="00A031DC">
        <w:t xml:space="preserve">and </w:t>
      </w:r>
      <w:r w:rsidR="00FB1806" w:rsidRPr="00A031DC">
        <w:t>the</w:t>
      </w:r>
      <w:r w:rsidR="00EE2D81" w:rsidRPr="00A031DC">
        <w:t xml:space="preserve"> W</w:t>
      </w:r>
      <w:r w:rsidR="00FB1806" w:rsidRPr="00A031DC">
        <w:t>EM</w:t>
      </w:r>
      <w:r w:rsidR="00E36815" w:rsidRPr="00A031DC">
        <w:t>.</w:t>
      </w:r>
      <w:r w:rsidR="00EE2D81" w:rsidRPr="00A031DC">
        <w:t xml:space="preserve"> </w:t>
      </w:r>
      <w:r w:rsidR="008D42CE" w:rsidRPr="00A031DC">
        <w:t>The demand scenario that was included in the projections was the ESOO 20</w:t>
      </w:r>
      <w:r w:rsidR="007D4C6C" w:rsidRPr="00A031DC">
        <w:t>20</w:t>
      </w:r>
      <w:r w:rsidR="008D42CE" w:rsidRPr="00A031DC">
        <w:t xml:space="preserve"> </w:t>
      </w:r>
      <w:r w:rsidR="000876DF" w:rsidRPr="00A031DC">
        <w:t>central</w:t>
      </w:r>
      <w:r w:rsidR="008D42CE" w:rsidRPr="00A031DC">
        <w:t xml:space="preserve"> scenario.</w:t>
      </w:r>
      <w:r w:rsidR="00D80442" w:rsidRPr="00A031DC">
        <w:t xml:space="preserve"> </w:t>
      </w:r>
      <w:r w:rsidR="00B871C6" w:rsidRPr="00A031DC">
        <w:t>This includes AEMO’s</w:t>
      </w:r>
      <w:r w:rsidR="00483022" w:rsidRPr="00A031DC">
        <w:t xml:space="preserve"> forecasts </w:t>
      </w:r>
      <w:r w:rsidR="00B871C6" w:rsidRPr="00A031DC">
        <w:t>for</w:t>
      </w:r>
      <w:r w:rsidR="00483022" w:rsidRPr="00A031DC">
        <w:t xml:space="preserve"> energy efficiency</w:t>
      </w:r>
      <w:r w:rsidR="00B871C6" w:rsidRPr="00A031DC">
        <w:t>.</w:t>
      </w:r>
      <w:r w:rsidR="00483022" w:rsidRPr="00A031DC">
        <w:t xml:space="preserve"> </w:t>
      </w:r>
      <w:r w:rsidR="00D80442" w:rsidRPr="00A031DC">
        <w:t>The projections further include savings from energy efficiency measures announced under the Climate Solutions Package and measures announced in the 2020</w:t>
      </w:r>
      <w:r w:rsidR="00351284">
        <w:t>–</w:t>
      </w:r>
      <w:r w:rsidR="00D80442" w:rsidRPr="00A031DC">
        <w:t>21</w:t>
      </w:r>
      <w:r w:rsidR="00351284">
        <w:t xml:space="preserve"> and 2021–22</w:t>
      </w:r>
      <w:r w:rsidR="00D80442" w:rsidRPr="00A031DC">
        <w:t xml:space="preserve"> Budget.</w:t>
      </w:r>
    </w:p>
    <w:p w14:paraId="5BBC6763" w14:textId="11656CDC" w:rsidR="008D42CE" w:rsidRPr="00A031DC" w:rsidRDefault="00EA7440" w:rsidP="00537A1C">
      <w:r w:rsidRPr="00A031DC">
        <w:t>T</w:t>
      </w:r>
      <w:r w:rsidR="008D42CE" w:rsidRPr="00A031DC">
        <w:t xml:space="preserve">he electricity emissions projections include consumption of electricity from electric vehicles consistent with estimates in the </w:t>
      </w:r>
      <w:r w:rsidR="008D42CE" w:rsidRPr="00A031DC">
        <w:rPr>
          <w:i/>
        </w:rPr>
        <w:t>transport sector</w:t>
      </w:r>
      <w:r w:rsidR="008D42CE" w:rsidRPr="00A031DC">
        <w:t xml:space="preserve">. </w:t>
      </w:r>
    </w:p>
    <w:p w14:paraId="120448E8" w14:textId="77777777" w:rsidR="0049486F" w:rsidRPr="00D66460" w:rsidRDefault="0049486F" w:rsidP="00537A1C">
      <w:pPr>
        <w:pStyle w:val="Heading3"/>
        <w:rPr>
          <w:i/>
        </w:rPr>
      </w:pPr>
      <w:r w:rsidRPr="00D66460">
        <w:t>Small grids and off-grid</w:t>
      </w:r>
    </w:p>
    <w:p w14:paraId="5F0681B8" w14:textId="64D7684D" w:rsidR="002F0123" w:rsidRPr="00A031DC" w:rsidRDefault="00EE2D81" w:rsidP="00537A1C">
      <w:r w:rsidRPr="00A031DC">
        <w:t xml:space="preserve">Data and information from the </w:t>
      </w:r>
      <w:r w:rsidR="00FB1806" w:rsidRPr="00A031DC">
        <w:t xml:space="preserve">Utilities Commission of the </w:t>
      </w:r>
      <w:r w:rsidRPr="00A031DC">
        <w:t>Northern Territory (</w:t>
      </w:r>
      <w:r w:rsidR="00827C8A" w:rsidRPr="00A031DC">
        <w:t xml:space="preserve">NT Utilities Commission </w:t>
      </w:r>
      <w:r w:rsidR="00CC19FD" w:rsidRPr="00A031DC">
        <w:t>2020</w:t>
      </w:r>
      <w:r w:rsidRPr="00A031DC">
        <w:t>)</w:t>
      </w:r>
      <w:r w:rsidR="0081244A" w:rsidRPr="00A031DC">
        <w:t xml:space="preserve"> which include demand forecasts by AEMO for the </w:t>
      </w:r>
      <w:r w:rsidR="002D4824">
        <w:t>c</w:t>
      </w:r>
      <w:r w:rsidR="0081244A" w:rsidRPr="00A031DC">
        <w:t>ommission</w:t>
      </w:r>
      <w:r w:rsidR="00160AA9" w:rsidRPr="00A031DC">
        <w:t>,</w:t>
      </w:r>
      <w:r w:rsidRPr="00A031DC">
        <w:t xml:space="preserve"> </w:t>
      </w:r>
      <w:r w:rsidR="006739F5" w:rsidRPr="00A031DC">
        <w:t xml:space="preserve">and trends </w:t>
      </w:r>
      <w:r w:rsidR="00001FAE" w:rsidRPr="00A031DC">
        <w:t>from ACIL Allen’s analysis</w:t>
      </w:r>
      <w:r w:rsidR="006739F5" w:rsidRPr="00A031DC">
        <w:t xml:space="preserve"> are used in the minor grids of the DKIS and </w:t>
      </w:r>
      <w:r w:rsidR="00001FAE" w:rsidRPr="00A031DC">
        <w:t>N</w:t>
      </w:r>
      <w:r w:rsidR="006739F5" w:rsidRPr="00A031DC">
        <w:t xml:space="preserve">WIS, respectively. </w:t>
      </w:r>
    </w:p>
    <w:p w14:paraId="7892D990" w14:textId="613A9E5C" w:rsidR="002F0123" w:rsidRPr="00A031DC" w:rsidRDefault="002F0123" w:rsidP="00537A1C">
      <w:r w:rsidRPr="00A031DC">
        <w:t xml:space="preserve">Off-grid demand </w:t>
      </w:r>
      <w:r w:rsidR="008662C9" w:rsidRPr="00A031DC">
        <w:t xml:space="preserve">is derived </w:t>
      </w:r>
      <w:r w:rsidRPr="00A031DC">
        <w:t>us</w:t>
      </w:r>
      <w:r w:rsidR="008662C9" w:rsidRPr="00A031DC">
        <w:t>ing</w:t>
      </w:r>
      <w:r w:rsidRPr="00A031DC">
        <w:t xml:space="preserve"> production estimates of LNG in line with assumptions </w:t>
      </w:r>
      <w:r w:rsidR="00035813">
        <w:t>in</w:t>
      </w:r>
      <w:r w:rsidRPr="00A031DC">
        <w:t xml:space="preserve"> the </w:t>
      </w:r>
      <w:r w:rsidR="000A3634" w:rsidRPr="00A031DC">
        <w:rPr>
          <w:i/>
        </w:rPr>
        <w:t>f</w:t>
      </w:r>
      <w:r w:rsidRPr="00A031DC">
        <w:rPr>
          <w:i/>
        </w:rPr>
        <w:t>ugitives sector</w:t>
      </w:r>
      <w:r w:rsidRPr="00A031DC">
        <w:t xml:space="preserve">, and estimates under </w:t>
      </w:r>
      <w:r w:rsidR="006739F5" w:rsidRPr="00A031DC">
        <w:t xml:space="preserve">the report commissioned by </w:t>
      </w:r>
      <w:r w:rsidR="00966C28">
        <w:t>the department</w:t>
      </w:r>
      <w:r w:rsidR="00CE633E" w:rsidRPr="00A031DC">
        <w:t xml:space="preserve"> </w:t>
      </w:r>
      <w:r w:rsidR="006D3789" w:rsidRPr="00A031DC">
        <w:t>from ABM</w:t>
      </w:r>
      <w:r w:rsidR="00D21337">
        <w:t>A</w:t>
      </w:r>
      <w:r w:rsidR="006D3789" w:rsidRPr="00A031DC">
        <w:t xml:space="preserve">RC </w:t>
      </w:r>
      <w:r w:rsidR="00B16351" w:rsidRPr="00A031DC">
        <w:t xml:space="preserve">(ABMARC 2019) </w:t>
      </w:r>
      <w:r w:rsidR="006D3789" w:rsidRPr="00A031DC">
        <w:t>on electrification opportunities in Australia</w:t>
      </w:r>
      <w:r w:rsidR="007B438B" w:rsidRPr="00A031DC">
        <w:t>n mining</w:t>
      </w:r>
      <w:r w:rsidR="006D3789" w:rsidRPr="00A031DC">
        <w:t>.</w:t>
      </w:r>
    </w:p>
    <w:p w14:paraId="2B0545B9" w14:textId="481D4087" w:rsidR="00BA01B9" w:rsidRPr="00063FED" w:rsidRDefault="00BA01B9" w:rsidP="00537A1C">
      <w:pPr>
        <w:pStyle w:val="Heading3"/>
        <w:rPr>
          <w:i/>
        </w:rPr>
      </w:pPr>
      <w:r w:rsidRPr="00063FED">
        <w:t>Renewable capacity</w:t>
      </w:r>
    </w:p>
    <w:p w14:paraId="4F45E98A" w14:textId="407DABCC" w:rsidR="00BA01B9" w:rsidRPr="002943C3" w:rsidRDefault="005D6443" w:rsidP="00537A1C">
      <w:r w:rsidRPr="00A031DC">
        <w:t xml:space="preserve">The Clean Energy Regulator’s pipeline of large-scale renewable projects </w:t>
      </w:r>
      <w:r w:rsidR="00E974ED" w:rsidRPr="00A031DC">
        <w:t>ha</w:t>
      </w:r>
      <w:r w:rsidRPr="00A031DC">
        <w:t xml:space="preserve">s </w:t>
      </w:r>
      <w:r w:rsidR="00E974ED" w:rsidRPr="00A031DC">
        <w:t xml:space="preserve">been </w:t>
      </w:r>
      <w:r w:rsidRPr="00A031DC">
        <w:t xml:space="preserve">adopted in the </w:t>
      </w:r>
      <w:r w:rsidR="00E974ED" w:rsidRPr="00A031DC">
        <w:t>20</w:t>
      </w:r>
      <w:r w:rsidR="00DA31BE">
        <w:t>21</w:t>
      </w:r>
      <w:r w:rsidR="00E974ED" w:rsidRPr="00A031DC">
        <w:t xml:space="preserve"> </w:t>
      </w:r>
      <w:r w:rsidRPr="00A031DC">
        <w:t xml:space="preserve">projections </w:t>
      </w:r>
      <w:r w:rsidRPr="002943C3">
        <w:t>(CER 20</w:t>
      </w:r>
      <w:r w:rsidR="00C540CB" w:rsidRPr="002943C3">
        <w:t>2</w:t>
      </w:r>
      <w:r w:rsidR="00CD11A3" w:rsidRPr="002943C3">
        <w:t>1</w:t>
      </w:r>
      <w:r w:rsidR="006019D3" w:rsidRPr="002943C3">
        <w:t>a</w:t>
      </w:r>
      <w:r w:rsidRPr="002943C3">
        <w:t>)</w:t>
      </w:r>
      <w:r w:rsidR="00001FAE" w:rsidRPr="002943C3">
        <w:t>,</w:t>
      </w:r>
      <w:r w:rsidR="00001FAE" w:rsidRPr="00A031DC">
        <w:t xml:space="preserve"> consistent with </w:t>
      </w:r>
      <w:r w:rsidR="007A15A2" w:rsidRPr="00A031DC">
        <w:t xml:space="preserve">the CER’s pipeline at </w:t>
      </w:r>
      <w:r w:rsidR="00CD11A3">
        <w:t>July 2021</w:t>
      </w:r>
      <w:r w:rsidR="00BA01B9" w:rsidRPr="00A031DC">
        <w:t>.</w:t>
      </w:r>
      <w:r w:rsidR="00BF7A1D" w:rsidRPr="00A031DC">
        <w:t xml:space="preserve"> The pipeline provides renewable uptake to the early 2020s, after which new renewable capacity is </w:t>
      </w:r>
      <w:r w:rsidRPr="00A031DC">
        <w:t xml:space="preserve">induced by </w:t>
      </w:r>
      <w:r w:rsidR="00C540CB" w:rsidRPr="00A031DC">
        <w:t xml:space="preserve">ACIL </w:t>
      </w:r>
      <w:r w:rsidR="00C540CB" w:rsidRPr="002943C3">
        <w:t>Allen’s model</w:t>
      </w:r>
      <w:r w:rsidRPr="002943C3">
        <w:t xml:space="preserve">. </w:t>
      </w:r>
    </w:p>
    <w:p w14:paraId="63D490EB" w14:textId="6213161E" w:rsidR="00BA01B9" w:rsidRPr="00A031DC" w:rsidRDefault="00BF7A1D" w:rsidP="00537A1C">
      <w:r w:rsidRPr="002943C3">
        <w:t xml:space="preserve">The Clean Energy Regulator’s modelling of rooftop solar is adopted in the projections (CER </w:t>
      </w:r>
      <w:r w:rsidR="006019D3" w:rsidRPr="002943C3">
        <w:t>202</w:t>
      </w:r>
      <w:r w:rsidR="00867290" w:rsidRPr="002943C3">
        <w:t>1</w:t>
      </w:r>
      <w:r w:rsidR="006019D3" w:rsidRPr="002943C3">
        <w:t>b</w:t>
      </w:r>
      <w:r w:rsidRPr="002943C3">
        <w:t>).</w:t>
      </w:r>
      <w:r w:rsidRPr="00A031DC">
        <w:t xml:space="preserve"> These projections extend to 202</w:t>
      </w:r>
      <w:r w:rsidR="00DD4F4B">
        <w:t>6</w:t>
      </w:r>
      <w:r w:rsidRPr="00A031DC">
        <w:t xml:space="preserve">. After this period, the projections adopt growth rates from AEMO’s </w:t>
      </w:r>
      <w:r w:rsidR="00DD4F4B">
        <w:lastRenderedPageBreak/>
        <w:t xml:space="preserve">2021 Inputs, Assumptions and Scenarios workbook (central scenario) </w:t>
      </w:r>
      <w:r w:rsidR="005D6443" w:rsidRPr="00A031DC">
        <w:t>(AEMO 20</w:t>
      </w:r>
      <w:r w:rsidR="00F27A37" w:rsidRPr="00A031DC">
        <w:t>2</w:t>
      </w:r>
      <w:r w:rsidR="00DD4F4B">
        <w:t>1a</w:t>
      </w:r>
      <w:r w:rsidR="005D6443" w:rsidRPr="00A031DC">
        <w:t>)</w:t>
      </w:r>
      <w:r w:rsidR="003E3214" w:rsidRPr="00A031DC">
        <w:t xml:space="preserve">, </w:t>
      </w:r>
      <w:r w:rsidR="00B7223B" w:rsidRPr="00A031DC">
        <w:t>based on</w:t>
      </w:r>
      <w:r w:rsidR="003E3214" w:rsidRPr="00A031DC">
        <w:t xml:space="preserve"> advice from the CER</w:t>
      </w:r>
      <w:r w:rsidRPr="00A031DC">
        <w:t xml:space="preserve">. </w:t>
      </w:r>
    </w:p>
    <w:p w14:paraId="3C4D623B" w14:textId="298EC19B" w:rsidR="0068281F" w:rsidRPr="00F15492" w:rsidRDefault="00242E98" w:rsidP="00537A1C">
      <w:pPr>
        <w:pStyle w:val="Caption"/>
      </w:pPr>
      <w:r w:rsidRPr="00F15492">
        <w:t xml:space="preserve">Table </w:t>
      </w:r>
      <w:r w:rsidR="004C7141">
        <w:t>2</w:t>
      </w:r>
      <w:r w:rsidR="00EA7440" w:rsidRPr="00A031DC">
        <w:t>.</w:t>
      </w:r>
      <w:r w:rsidRPr="00A031DC">
        <w:t xml:space="preserve"> Data source for electricity demand projections</w:t>
      </w:r>
    </w:p>
    <w:tbl>
      <w:tblPr>
        <w:tblStyle w:val="ListTable3-Accent3"/>
        <w:tblW w:w="5000" w:type="pct"/>
        <w:tblLook w:val="04A0" w:firstRow="1" w:lastRow="0" w:firstColumn="1" w:lastColumn="0" w:noHBand="0" w:noVBand="1"/>
        <w:tblCaption w:val="Data source for electricity demand projections"/>
        <w:tblDescription w:val="A table showing the major data sources for electricity demand across the sector. The Electricity Statement of Opportunities reports from AEMO are used for the NEM and WEM. The NT Utilities Commissions electricity outlook report, consultant analysis and reports, and assumptions from the fugitivites sector are used for different components of the minor and off-grid demand.  "/>
      </w:tblPr>
      <w:tblGrid>
        <w:gridCol w:w="3114"/>
        <w:gridCol w:w="6088"/>
      </w:tblGrid>
      <w:tr w:rsidR="00393ED6" w:rsidRPr="00930515" w14:paraId="3D9014AB" w14:textId="77777777" w:rsidTr="002354A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2" w:type="pct"/>
          </w:tcPr>
          <w:p w14:paraId="0F367785" w14:textId="4632629A" w:rsidR="00393ED6" w:rsidRPr="00A031DC" w:rsidRDefault="00393ED6" w:rsidP="00537A1C">
            <w:pPr>
              <w:rPr>
                <w:bCs w:val="0"/>
                <w:lang w:eastAsia="en-AU"/>
              </w:rPr>
            </w:pPr>
            <w:r w:rsidRPr="00A031DC">
              <w:rPr>
                <w:lang w:eastAsia="en-AU"/>
              </w:rPr>
              <w:t>Grid</w:t>
            </w:r>
          </w:p>
        </w:tc>
        <w:tc>
          <w:tcPr>
            <w:tcW w:w="3308" w:type="pct"/>
          </w:tcPr>
          <w:p w14:paraId="3793D646" w14:textId="6E65C633" w:rsidR="00393ED6" w:rsidRPr="00A031DC" w:rsidRDefault="00393ED6" w:rsidP="00537A1C">
            <w:pPr>
              <w:cnfStyle w:val="100000000000" w:firstRow="1" w:lastRow="0" w:firstColumn="0" w:lastColumn="0" w:oddVBand="0" w:evenVBand="0" w:oddHBand="0" w:evenHBand="0" w:firstRowFirstColumn="0" w:firstRowLastColumn="0" w:lastRowFirstColumn="0" w:lastRowLastColumn="0"/>
              <w:rPr>
                <w:bCs w:val="0"/>
                <w:lang w:eastAsia="en-AU"/>
              </w:rPr>
            </w:pPr>
            <w:r w:rsidRPr="00A031DC">
              <w:rPr>
                <w:lang w:eastAsia="en-AU"/>
              </w:rPr>
              <w:t>Data source</w:t>
            </w:r>
            <w:r w:rsidR="004C4D28" w:rsidRPr="00A031DC">
              <w:rPr>
                <w:lang w:eastAsia="en-AU"/>
              </w:rPr>
              <w:t xml:space="preserve"> for electricity demand</w:t>
            </w:r>
          </w:p>
        </w:tc>
      </w:tr>
      <w:tr w:rsidR="00393ED6" w:rsidRPr="00930515" w14:paraId="44180C53" w14:textId="77777777" w:rsidTr="00235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pct"/>
          </w:tcPr>
          <w:p w14:paraId="5B75CAC6" w14:textId="1BCF27D7" w:rsidR="00393ED6" w:rsidRPr="00A031DC" w:rsidRDefault="00393ED6" w:rsidP="00537A1C">
            <w:pPr>
              <w:rPr>
                <w:b w:val="0"/>
                <w:lang w:eastAsia="en-AU"/>
              </w:rPr>
            </w:pPr>
            <w:r w:rsidRPr="00A031DC">
              <w:rPr>
                <w:lang w:eastAsia="en-AU"/>
              </w:rPr>
              <w:t xml:space="preserve">National Electricity Market </w:t>
            </w:r>
          </w:p>
        </w:tc>
        <w:tc>
          <w:tcPr>
            <w:tcW w:w="3308" w:type="pct"/>
          </w:tcPr>
          <w:p w14:paraId="50F0E1EC" w14:textId="58FFA4DA" w:rsidR="00393ED6" w:rsidRPr="00A031DC" w:rsidRDefault="004C4D28" w:rsidP="00537A1C">
            <w:pPr>
              <w:cnfStyle w:val="000000100000" w:firstRow="0" w:lastRow="0" w:firstColumn="0" w:lastColumn="0" w:oddVBand="0" w:evenVBand="0" w:oddHBand="1" w:evenHBand="0" w:firstRowFirstColumn="0" w:firstRowLastColumn="0" w:lastRowFirstColumn="0" w:lastRowLastColumn="0"/>
              <w:rPr>
                <w:lang w:eastAsia="en-AU"/>
              </w:rPr>
            </w:pPr>
            <w:r w:rsidRPr="00A031DC">
              <w:rPr>
                <w:lang w:eastAsia="en-AU"/>
              </w:rPr>
              <w:t>AEMO Electricity Statement of Opportunities for the NEM</w:t>
            </w:r>
            <w:r w:rsidR="007E2A97">
              <w:rPr>
                <w:lang w:eastAsia="en-AU"/>
              </w:rPr>
              <w:t xml:space="preserve"> </w:t>
            </w:r>
          </w:p>
        </w:tc>
      </w:tr>
      <w:tr w:rsidR="00393ED6" w:rsidRPr="00930515" w14:paraId="70602ABF" w14:textId="77777777" w:rsidTr="002354AC">
        <w:tc>
          <w:tcPr>
            <w:cnfStyle w:val="001000000000" w:firstRow="0" w:lastRow="0" w:firstColumn="1" w:lastColumn="0" w:oddVBand="0" w:evenVBand="0" w:oddHBand="0" w:evenHBand="0" w:firstRowFirstColumn="0" w:firstRowLastColumn="0" w:lastRowFirstColumn="0" w:lastRowLastColumn="0"/>
            <w:tcW w:w="1692" w:type="pct"/>
          </w:tcPr>
          <w:p w14:paraId="699DB413" w14:textId="7B9DFB2D" w:rsidR="00393ED6" w:rsidRPr="00A031DC" w:rsidRDefault="00393ED6" w:rsidP="00537A1C">
            <w:pPr>
              <w:rPr>
                <w:b w:val="0"/>
                <w:lang w:eastAsia="en-AU"/>
              </w:rPr>
            </w:pPr>
            <w:r w:rsidRPr="00A031DC">
              <w:rPr>
                <w:lang w:eastAsia="en-AU"/>
              </w:rPr>
              <w:t>Wholesale Electricity Market</w:t>
            </w:r>
          </w:p>
        </w:tc>
        <w:tc>
          <w:tcPr>
            <w:tcW w:w="3308" w:type="pct"/>
          </w:tcPr>
          <w:p w14:paraId="62123AA1" w14:textId="7F2039BE" w:rsidR="00393ED6" w:rsidRPr="00A031DC" w:rsidRDefault="004C4D28" w:rsidP="00537A1C">
            <w:pPr>
              <w:cnfStyle w:val="000000000000" w:firstRow="0" w:lastRow="0" w:firstColumn="0" w:lastColumn="0" w:oddVBand="0" w:evenVBand="0" w:oddHBand="0" w:evenHBand="0" w:firstRowFirstColumn="0" w:firstRowLastColumn="0" w:lastRowFirstColumn="0" w:lastRowLastColumn="0"/>
              <w:rPr>
                <w:lang w:eastAsia="en-AU"/>
              </w:rPr>
            </w:pPr>
            <w:r w:rsidRPr="00A031DC">
              <w:rPr>
                <w:lang w:eastAsia="en-AU"/>
              </w:rPr>
              <w:t>AEMO Electricity Statement of Opportunities for the WEM</w:t>
            </w:r>
          </w:p>
        </w:tc>
      </w:tr>
      <w:tr w:rsidR="00393ED6" w:rsidRPr="00930515" w14:paraId="65F24B90" w14:textId="77777777" w:rsidTr="00235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pct"/>
          </w:tcPr>
          <w:p w14:paraId="7EFB2D79" w14:textId="772E095E" w:rsidR="004C4D28" w:rsidRPr="00A031DC" w:rsidRDefault="00393ED6" w:rsidP="00537A1C">
            <w:pPr>
              <w:rPr>
                <w:b w:val="0"/>
                <w:lang w:eastAsia="en-AU"/>
              </w:rPr>
            </w:pPr>
            <w:r w:rsidRPr="00A031DC">
              <w:rPr>
                <w:lang w:eastAsia="en-AU"/>
              </w:rPr>
              <w:t>Small grids</w:t>
            </w:r>
            <w:r w:rsidR="00A725B3" w:rsidRPr="00A031DC">
              <w:rPr>
                <w:lang w:eastAsia="en-AU"/>
              </w:rPr>
              <w:t>:</w:t>
            </w:r>
            <w:r w:rsidR="004C4D28" w:rsidRPr="00A031DC">
              <w:rPr>
                <w:lang w:eastAsia="en-AU"/>
              </w:rPr>
              <w:t xml:space="preserve"> </w:t>
            </w:r>
          </w:p>
          <w:p w14:paraId="7C5C397A" w14:textId="00BEEFC0" w:rsidR="004C4D28" w:rsidRPr="00A031DC" w:rsidRDefault="004C4D28" w:rsidP="00537A1C">
            <w:pPr>
              <w:rPr>
                <w:b w:val="0"/>
                <w:lang w:eastAsia="en-AU"/>
              </w:rPr>
            </w:pPr>
            <w:r w:rsidRPr="00A031DC">
              <w:rPr>
                <w:lang w:eastAsia="en-AU"/>
              </w:rPr>
              <w:t xml:space="preserve">Darwin Katherine interconnected system </w:t>
            </w:r>
          </w:p>
          <w:p w14:paraId="3454CFAF" w14:textId="654B755B" w:rsidR="00393ED6" w:rsidRPr="00A031DC" w:rsidRDefault="004C4D28" w:rsidP="00537A1C">
            <w:pPr>
              <w:rPr>
                <w:b w:val="0"/>
                <w:lang w:eastAsia="en-AU"/>
              </w:rPr>
            </w:pPr>
            <w:r w:rsidRPr="00A031DC">
              <w:rPr>
                <w:lang w:eastAsia="en-AU"/>
              </w:rPr>
              <w:t xml:space="preserve">North West interconnected system </w:t>
            </w:r>
          </w:p>
        </w:tc>
        <w:tc>
          <w:tcPr>
            <w:tcW w:w="3308" w:type="pct"/>
          </w:tcPr>
          <w:p w14:paraId="315DA166" w14:textId="52B99305" w:rsidR="006739F5" w:rsidRPr="00A031DC" w:rsidRDefault="006739F5" w:rsidP="00537A1C">
            <w:pPr>
              <w:cnfStyle w:val="000000100000" w:firstRow="0" w:lastRow="0" w:firstColumn="0" w:lastColumn="0" w:oddVBand="0" w:evenVBand="0" w:oddHBand="1" w:evenHBand="0" w:firstRowFirstColumn="0" w:firstRowLastColumn="0" w:lastRowFirstColumn="0" w:lastRowLastColumn="0"/>
            </w:pPr>
            <w:r w:rsidRPr="00A031DC">
              <w:t xml:space="preserve">NT Utilities Commission </w:t>
            </w:r>
            <w:r w:rsidR="00C540CB" w:rsidRPr="00A031DC">
              <w:t>Northern Territory Electricity Outlook Report</w:t>
            </w:r>
            <w:r w:rsidRPr="00A031DC">
              <w:t>,</w:t>
            </w:r>
          </w:p>
          <w:p w14:paraId="34B02E70" w14:textId="727D7799" w:rsidR="00393ED6" w:rsidRPr="00A031DC" w:rsidRDefault="00C540CB" w:rsidP="00537A1C">
            <w:pPr>
              <w:cnfStyle w:val="000000100000" w:firstRow="0" w:lastRow="0" w:firstColumn="0" w:lastColumn="0" w:oddVBand="0" w:evenVBand="0" w:oddHBand="1" w:evenHBand="0" w:firstRowFirstColumn="0" w:firstRowLastColumn="0" w:lastRowFirstColumn="0" w:lastRowLastColumn="0"/>
              <w:rPr>
                <w:rFonts w:eastAsia="Times New Roman"/>
                <w:color w:val="000000"/>
                <w:szCs w:val="20"/>
                <w:lang w:eastAsia="en-AU"/>
              </w:rPr>
            </w:pPr>
            <w:r w:rsidRPr="00A031DC">
              <w:t xml:space="preserve">ACIL </w:t>
            </w:r>
            <w:r w:rsidR="00197A0C" w:rsidRPr="00A031DC">
              <w:t xml:space="preserve">Allen </w:t>
            </w:r>
            <w:r w:rsidRPr="00A031DC">
              <w:t>analysis</w:t>
            </w:r>
          </w:p>
        </w:tc>
      </w:tr>
      <w:tr w:rsidR="00393ED6" w:rsidRPr="00930515" w14:paraId="39C53B29" w14:textId="77777777" w:rsidTr="002354AC">
        <w:tc>
          <w:tcPr>
            <w:cnfStyle w:val="001000000000" w:firstRow="0" w:lastRow="0" w:firstColumn="1" w:lastColumn="0" w:oddVBand="0" w:evenVBand="0" w:oddHBand="0" w:evenHBand="0" w:firstRowFirstColumn="0" w:firstRowLastColumn="0" w:lastRowFirstColumn="0" w:lastRowLastColumn="0"/>
            <w:tcW w:w="1692" w:type="pct"/>
          </w:tcPr>
          <w:p w14:paraId="1B49BB17" w14:textId="4E1AF2B2" w:rsidR="00393ED6" w:rsidRPr="00A031DC" w:rsidRDefault="00393ED6" w:rsidP="00537A1C">
            <w:pPr>
              <w:rPr>
                <w:b w:val="0"/>
                <w:lang w:eastAsia="en-AU"/>
              </w:rPr>
            </w:pPr>
            <w:r w:rsidRPr="00A031DC">
              <w:rPr>
                <w:lang w:eastAsia="en-AU"/>
              </w:rPr>
              <w:t xml:space="preserve">Off-grid </w:t>
            </w:r>
          </w:p>
        </w:tc>
        <w:tc>
          <w:tcPr>
            <w:tcW w:w="3308" w:type="pct"/>
          </w:tcPr>
          <w:p w14:paraId="769B2AC8" w14:textId="29C3D286" w:rsidR="00393ED6" w:rsidRPr="00A031DC" w:rsidRDefault="00F35B49" w:rsidP="00537A1C">
            <w:pPr>
              <w:cnfStyle w:val="000000000000" w:firstRow="0" w:lastRow="0" w:firstColumn="0" w:lastColumn="0" w:oddVBand="0" w:evenVBand="0" w:oddHBand="0" w:evenHBand="0" w:firstRowFirstColumn="0" w:firstRowLastColumn="0" w:lastRowFirstColumn="0" w:lastRowLastColumn="0"/>
              <w:rPr>
                <w:lang w:eastAsia="en-AU"/>
              </w:rPr>
            </w:pPr>
            <w:r w:rsidRPr="00A031DC">
              <w:rPr>
                <w:lang w:eastAsia="en-AU"/>
              </w:rPr>
              <w:t xml:space="preserve">LNG production consistent with production assumptions in the </w:t>
            </w:r>
            <w:r w:rsidRPr="00A031DC">
              <w:rPr>
                <w:i/>
                <w:lang w:eastAsia="en-AU"/>
              </w:rPr>
              <w:t>fugitives sector</w:t>
            </w:r>
            <w:r w:rsidRPr="00A031DC">
              <w:rPr>
                <w:lang w:eastAsia="en-AU"/>
              </w:rPr>
              <w:t>,</w:t>
            </w:r>
            <w:r w:rsidR="00B7223B" w:rsidRPr="00A031DC">
              <w:rPr>
                <w:lang w:eastAsia="en-AU"/>
              </w:rPr>
              <w:t xml:space="preserve"> </w:t>
            </w:r>
            <w:r w:rsidR="006739F5" w:rsidRPr="00A031DC">
              <w:rPr>
                <w:lang w:eastAsia="en-AU"/>
              </w:rPr>
              <w:t xml:space="preserve">ABMARC </w:t>
            </w:r>
            <w:r w:rsidR="006D3789" w:rsidRPr="00A031DC">
              <w:rPr>
                <w:lang w:eastAsia="en-AU"/>
              </w:rPr>
              <w:t>2019</w:t>
            </w:r>
            <w:r w:rsidR="00B7223B" w:rsidRPr="00A031DC">
              <w:rPr>
                <w:lang w:eastAsia="en-AU"/>
              </w:rPr>
              <w:t>.</w:t>
            </w:r>
          </w:p>
        </w:tc>
      </w:tr>
    </w:tbl>
    <w:p w14:paraId="37E224E8" w14:textId="35462F52" w:rsidR="00393ED6" w:rsidRDefault="00393ED6" w:rsidP="00537A1C"/>
    <w:p w14:paraId="26E40EA2" w14:textId="77777777" w:rsidR="00027FEA" w:rsidRDefault="00027FEA" w:rsidP="00537A1C">
      <w:pPr>
        <w:rPr>
          <w:rFonts w:eastAsia="Times New Roman"/>
          <w:color w:val="005677"/>
          <w:sz w:val="40"/>
          <w:szCs w:val="40"/>
        </w:rPr>
      </w:pPr>
      <w:bookmarkStart w:id="9" w:name="_Toc510532003"/>
      <w:bookmarkStart w:id="10" w:name="_Toc510532533"/>
      <w:bookmarkStart w:id="11" w:name="_Toc510534097"/>
      <w:bookmarkStart w:id="12" w:name="_Toc510794626"/>
      <w:bookmarkStart w:id="13" w:name="_Toc511297985"/>
      <w:bookmarkStart w:id="14" w:name="_Toc511304014"/>
      <w:bookmarkStart w:id="15" w:name="_Toc511918018"/>
      <w:bookmarkEnd w:id="9"/>
      <w:bookmarkEnd w:id="10"/>
      <w:bookmarkEnd w:id="11"/>
      <w:bookmarkEnd w:id="12"/>
      <w:bookmarkEnd w:id="13"/>
      <w:bookmarkEnd w:id="14"/>
      <w:bookmarkEnd w:id="15"/>
      <w:r>
        <w:br w:type="page"/>
      </w:r>
    </w:p>
    <w:p w14:paraId="68B90D4A" w14:textId="2AEB7B40" w:rsidR="000E7071" w:rsidRDefault="009F6F5C" w:rsidP="00537A1C">
      <w:pPr>
        <w:pStyle w:val="Heading1"/>
      </w:pPr>
      <w:r>
        <w:lastRenderedPageBreak/>
        <w:t>Stationary energy</w:t>
      </w:r>
    </w:p>
    <w:p w14:paraId="6756D184" w14:textId="0BDAB33E" w:rsidR="009F6F5C" w:rsidRPr="00A031DC" w:rsidRDefault="00C82891" w:rsidP="00537A1C">
      <w:r w:rsidRPr="00A031DC">
        <w:t xml:space="preserve">Emissions from the </w:t>
      </w:r>
      <w:r w:rsidR="009F6F5C" w:rsidRPr="00A031DC">
        <w:rPr>
          <w:i/>
        </w:rPr>
        <w:t xml:space="preserve">stationary energy </w:t>
      </w:r>
      <w:r w:rsidRPr="00A031DC">
        <w:rPr>
          <w:i/>
        </w:rPr>
        <w:t>sector</w:t>
      </w:r>
      <w:r w:rsidRPr="00A031DC">
        <w:t xml:space="preserve"> are projected using </w:t>
      </w:r>
      <w:r w:rsidR="00E11DFA" w:rsidRPr="00A031DC">
        <w:t xml:space="preserve">modelling processes developed within </w:t>
      </w:r>
      <w:r w:rsidR="00966C28">
        <w:t>the department</w:t>
      </w:r>
      <w:r w:rsidR="00BF12A3" w:rsidRPr="00A031DC">
        <w:t>.</w:t>
      </w:r>
      <w:r w:rsidR="00FB329E" w:rsidRPr="00A031DC">
        <w:t xml:space="preserve"> </w:t>
      </w:r>
      <w:r w:rsidR="00BF12A3" w:rsidRPr="00A031DC">
        <w:t>Projections</w:t>
      </w:r>
      <w:r w:rsidRPr="00A031DC">
        <w:t xml:space="preserve"> are aggregated </w:t>
      </w:r>
      <w:r w:rsidR="00BF12A3" w:rsidRPr="00A031DC">
        <w:t>from</w:t>
      </w:r>
      <w:r w:rsidRPr="00A031DC">
        <w:t xml:space="preserve"> </w:t>
      </w:r>
      <w:r w:rsidR="00966C28">
        <w:t>6</w:t>
      </w:r>
      <w:r w:rsidRPr="00A031DC">
        <w:t xml:space="preserve"> subsectors: energy, mining, manufacturing, buildings, agriculture, forestry and fishing and other (which is solely fuel used by military vehicles within Australia). </w:t>
      </w:r>
    </w:p>
    <w:p w14:paraId="4D94BA9A" w14:textId="77777777" w:rsidR="003A2A6C" w:rsidRPr="00D66460" w:rsidRDefault="003A2A6C" w:rsidP="00537A1C">
      <w:pPr>
        <w:pStyle w:val="Heading2"/>
        <w:rPr>
          <w:b/>
          <w:i/>
        </w:rPr>
      </w:pPr>
      <w:r w:rsidRPr="00D66460">
        <w:t>Modelling approach</w:t>
      </w:r>
    </w:p>
    <w:p w14:paraId="4ED8BAC7" w14:textId="06AA2D8A" w:rsidR="003A2A6C" w:rsidRPr="00A031DC" w:rsidRDefault="00661B9C" w:rsidP="00537A1C">
      <w:r w:rsidRPr="00A031DC">
        <w:t>The s</w:t>
      </w:r>
      <w:r w:rsidR="009F6F5C" w:rsidRPr="00A031DC">
        <w:t xml:space="preserve">tationary energy </w:t>
      </w:r>
      <w:r w:rsidR="0057658A" w:rsidRPr="00A031DC">
        <w:t>model</w:t>
      </w:r>
      <w:r w:rsidR="00E11DFA" w:rsidRPr="00A031DC">
        <w:t>s are a combination of facility-</w:t>
      </w:r>
      <w:r w:rsidR="0057658A" w:rsidRPr="00A031DC">
        <w:t>specific and top</w:t>
      </w:r>
      <w:r w:rsidR="0037244C" w:rsidRPr="00A031DC">
        <w:t>-</w:t>
      </w:r>
      <w:r w:rsidR="0057658A" w:rsidRPr="00A031DC">
        <w:t>down models</w:t>
      </w:r>
      <w:r w:rsidR="004A4348" w:rsidRPr="00A031DC">
        <w:t>,</w:t>
      </w:r>
      <w:r w:rsidR="0057658A" w:rsidRPr="00A031DC">
        <w:t xml:space="preserve"> depending on the emission source and the availability of data. The models are maintained and updated within </w:t>
      </w:r>
      <w:r w:rsidR="00966C28">
        <w:t>the department</w:t>
      </w:r>
      <w:r w:rsidR="003A2A6C" w:rsidRPr="00A031DC">
        <w:t>.</w:t>
      </w:r>
      <w:r w:rsidR="00217931" w:rsidRPr="00A031DC">
        <w:t xml:space="preserve"> </w:t>
      </w:r>
      <w:r w:rsidR="00AC5310" w:rsidRPr="00A031DC">
        <w:t>The structure of</w:t>
      </w:r>
      <w:r w:rsidR="00217931" w:rsidRPr="00A031DC">
        <w:t xml:space="preserve"> these models is provided in Table </w:t>
      </w:r>
      <w:r w:rsidR="004C7141">
        <w:t>3</w:t>
      </w:r>
      <w:r w:rsidR="00217931" w:rsidRPr="00A031DC">
        <w:t>.</w:t>
      </w:r>
    </w:p>
    <w:p w14:paraId="4D14E2F3" w14:textId="6DB0E429" w:rsidR="00217931" w:rsidRDefault="00217931" w:rsidP="00537A1C">
      <w:r w:rsidRPr="00A031DC">
        <w:t>The production data for LNG is estimated at the facility-level</w:t>
      </w:r>
      <w:r w:rsidR="008D42CE" w:rsidRPr="00A031DC">
        <w:t xml:space="preserve"> </w:t>
      </w:r>
      <w:r w:rsidRPr="00A031DC">
        <w:t>as</w:t>
      </w:r>
      <w:r w:rsidR="008D42CE" w:rsidRPr="00A031DC">
        <w:t xml:space="preserve"> each facility has a different emissions intensit</w:t>
      </w:r>
      <w:r w:rsidR="00B1103B">
        <w:t>ies</w:t>
      </w:r>
      <w:r w:rsidRPr="00A031DC">
        <w:t>.</w:t>
      </w:r>
      <w:r w:rsidR="00661B9C" w:rsidRPr="00A031DC">
        <w:t xml:space="preserve"> E</w:t>
      </w:r>
      <w:r w:rsidRPr="00A031DC">
        <w:t>missions intensit</w:t>
      </w:r>
      <w:r w:rsidR="008662C9" w:rsidRPr="00A031DC">
        <w:t>ies</w:t>
      </w:r>
      <w:r w:rsidRPr="00A031DC">
        <w:t xml:space="preserve"> </w:t>
      </w:r>
      <w:r w:rsidR="008662C9" w:rsidRPr="00A031DC">
        <w:t>are</w:t>
      </w:r>
      <w:r w:rsidR="00F365A4" w:rsidRPr="00A031DC">
        <w:t xml:space="preserve"> </w:t>
      </w:r>
      <w:r w:rsidRPr="00A031DC">
        <w:t xml:space="preserve">calculated based on </w:t>
      </w:r>
      <w:r w:rsidR="008D42CE" w:rsidRPr="00A031DC">
        <w:t>emissions reported through the National Greenhouse and Energy Reporting</w:t>
      </w:r>
      <w:r w:rsidR="00B7223B" w:rsidRPr="00A031DC">
        <w:t xml:space="preserve"> (NGER)</w:t>
      </w:r>
      <w:r w:rsidR="008D42CE" w:rsidRPr="00A031DC">
        <w:t xml:space="preserve"> </w:t>
      </w:r>
      <w:r w:rsidR="00A404D7" w:rsidRPr="00A031DC">
        <w:t>scheme</w:t>
      </w:r>
      <w:r w:rsidRPr="00A031DC">
        <w:t xml:space="preserve">. </w:t>
      </w:r>
      <w:r w:rsidR="008662C9" w:rsidRPr="00A031DC">
        <w:t>The e</w:t>
      </w:r>
      <w:r w:rsidRPr="00A031DC">
        <w:t>missions intensit</w:t>
      </w:r>
      <w:r w:rsidR="00F365A4" w:rsidRPr="00A031DC">
        <w:t>y</w:t>
      </w:r>
      <w:r w:rsidRPr="00A031DC">
        <w:t xml:space="preserve"> </w:t>
      </w:r>
      <w:r w:rsidR="00F365A4" w:rsidRPr="00A031DC">
        <w:t xml:space="preserve">is </w:t>
      </w:r>
      <w:r w:rsidRPr="00A031DC">
        <w:t xml:space="preserve">updated yearly for each facility where </w:t>
      </w:r>
      <w:r w:rsidR="00661B9C" w:rsidRPr="00A031DC">
        <w:t xml:space="preserve">new </w:t>
      </w:r>
      <w:r w:rsidRPr="00A031DC">
        <w:t>data is available</w:t>
      </w:r>
      <w:r w:rsidR="00661B9C" w:rsidRPr="00A031DC">
        <w:t>.</w:t>
      </w:r>
      <w:r w:rsidRPr="00A031DC">
        <w:t xml:space="preserve"> </w:t>
      </w:r>
    </w:p>
    <w:p w14:paraId="12FF776D" w14:textId="188B92E0" w:rsidR="00217931" w:rsidRPr="00D66460" w:rsidRDefault="00217931" w:rsidP="00537A1C">
      <w:pPr>
        <w:pStyle w:val="Heading3"/>
      </w:pPr>
      <w:r w:rsidRPr="00D66460">
        <w:t>Activity data</w:t>
      </w:r>
    </w:p>
    <w:p w14:paraId="5DDB9310" w14:textId="5C94EE53" w:rsidR="00AC5310" w:rsidRPr="00A031DC" w:rsidRDefault="00AC5310" w:rsidP="00537A1C">
      <w:r w:rsidRPr="00A031DC">
        <w:t xml:space="preserve">Activity data used in the </w:t>
      </w:r>
      <w:r w:rsidR="009F6F5C" w:rsidRPr="00A031DC">
        <w:t xml:space="preserve">stationary energy </w:t>
      </w:r>
      <w:r w:rsidRPr="00A031DC">
        <w:t>subsector</w:t>
      </w:r>
      <w:r w:rsidR="00F365A4" w:rsidRPr="00A031DC">
        <w:t>s</w:t>
      </w:r>
      <w:r w:rsidRPr="00A031DC">
        <w:t xml:space="preserve"> is presented in Table </w:t>
      </w:r>
      <w:r w:rsidR="004C7141">
        <w:t>3</w:t>
      </w:r>
      <w:r w:rsidRPr="00A031DC">
        <w:t>.</w:t>
      </w:r>
    </w:p>
    <w:p w14:paraId="306EBECB" w14:textId="1F5B175E" w:rsidR="003227CA" w:rsidRDefault="00217931" w:rsidP="00537A1C">
      <w:r w:rsidRPr="00A031DC">
        <w:t xml:space="preserve">Emissions projections in the </w:t>
      </w:r>
      <w:r w:rsidR="009F6F5C" w:rsidRPr="00A031DC">
        <w:rPr>
          <w:i/>
        </w:rPr>
        <w:t xml:space="preserve">stationary energy </w:t>
      </w:r>
      <w:r w:rsidRPr="00A031DC">
        <w:rPr>
          <w:i/>
        </w:rPr>
        <w:t>sector</w:t>
      </w:r>
      <w:r w:rsidRPr="00A031DC">
        <w:t xml:space="preserve"> are estimated</w:t>
      </w:r>
      <w:r w:rsidR="0057658A" w:rsidRPr="00A031DC">
        <w:t xml:space="preserve"> using</w:t>
      </w:r>
      <w:r w:rsidRPr="00A031DC">
        <w:t xml:space="preserve"> activity data f</w:t>
      </w:r>
      <w:r w:rsidR="0020613A" w:rsidRPr="00A031DC">
        <w:t>ro</w:t>
      </w:r>
      <w:r w:rsidRPr="00A031DC">
        <w:t>m a range of sources</w:t>
      </w:r>
      <w:r w:rsidR="0057658A" w:rsidRPr="00A031DC">
        <w:t xml:space="preserve"> </w:t>
      </w:r>
      <w:r w:rsidR="00533472" w:rsidRPr="00A031DC">
        <w:t>including</w:t>
      </w:r>
      <w:r w:rsidR="002D533B" w:rsidRPr="00A031DC">
        <w:t xml:space="preserve">, Office of the Chief Economist </w:t>
      </w:r>
      <w:r w:rsidR="00475C2D" w:rsidRPr="00A031DC">
        <w:t xml:space="preserve">(OCE) </w:t>
      </w:r>
      <w:r w:rsidR="002D533B" w:rsidRPr="00A031DC">
        <w:t>commodity forecasts</w:t>
      </w:r>
      <w:r w:rsidR="00533472" w:rsidRPr="00A031DC">
        <w:t xml:space="preserve"> (</w:t>
      </w:r>
      <w:r w:rsidR="00475C2D" w:rsidRPr="00A031DC">
        <w:t>OCE</w:t>
      </w:r>
      <w:r w:rsidR="00533472" w:rsidRPr="00A031DC">
        <w:t xml:space="preserve"> </w:t>
      </w:r>
      <w:r w:rsidR="00607388" w:rsidRPr="00A031DC">
        <w:t>202</w:t>
      </w:r>
      <w:r w:rsidR="00607388">
        <w:t>1</w:t>
      </w:r>
      <w:r w:rsidR="00607388" w:rsidRPr="00A031DC">
        <w:t>a</w:t>
      </w:r>
      <w:r w:rsidR="003D6DCF" w:rsidRPr="00A031DC">
        <w:t>;</w:t>
      </w:r>
      <w:r w:rsidR="00D074A7" w:rsidRPr="00A031DC">
        <w:t xml:space="preserve"> </w:t>
      </w:r>
      <w:r w:rsidR="001F4B9F" w:rsidRPr="00A031DC">
        <w:t xml:space="preserve">OCE </w:t>
      </w:r>
      <w:r w:rsidR="00607388" w:rsidRPr="00A031DC">
        <w:t>202</w:t>
      </w:r>
      <w:r w:rsidR="00607388">
        <w:t>1</w:t>
      </w:r>
      <w:r w:rsidR="00607388" w:rsidRPr="00A031DC">
        <w:t>b</w:t>
      </w:r>
      <w:r w:rsidR="00533472" w:rsidRPr="00A031DC">
        <w:t>)</w:t>
      </w:r>
      <w:r w:rsidR="002D533B" w:rsidRPr="00A031DC">
        <w:t xml:space="preserve">, </w:t>
      </w:r>
      <w:r w:rsidR="00DA0B0D" w:rsidRPr="00A031DC">
        <w:t>Aust</w:t>
      </w:r>
      <w:r w:rsidR="00F65F76" w:rsidRPr="00A031DC">
        <w:t>ralian Energy Update (</w:t>
      </w:r>
      <w:r w:rsidR="009F6F5C" w:rsidRPr="00A031DC">
        <w:t>DISER</w:t>
      </w:r>
      <w:r w:rsidR="00F65F76" w:rsidRPr="00A031DC">
        <w:t xml:space="preserve"> </w:t>
      </w:r>
      <w:r w:rsidR="00607388" w:rsidRPr="00A031DC">
        <w:t>202</w:t>
      </w:r>
      <w:r w:rsidR="00607388">
        <w:t>1</w:t>
      </w:r>
      <w:r w:rsidR="00607388" w:rsidRPr="00A031DC">
        <w:t>c</w:t>
      </w:r>
      <w:r w:rsidR="00DA0B0D" w:rsidRPr="00A031DC">
        <w:t xml:space="preserve">), </w:t>
      </w:r>
      <w:r w:rsidR="002D533B" w:rsidRPr="00A031DC">
        <w:t>AME Group’s industry analysis, IBISWorld industry reports</w:t>
      </w:r>
      <w:r w:rsidR="008662C9" w:rsidRPr="00A031DC">
        <w:t>,</w:t>
      </w:r>
      <w:r w:rsidR="002D533B" w:rsidRPr="00A031DC">
        <w:t xml:space="preserve"> AEMO’s </w:t>
      </w:r>
      <w:r w:rsidR="0037244C" w:rsidRPr="00A031DC">
        <w:t>Gas Statement of Opportunities</w:t>
      </w:r>
      <w:r w:rsidR="00E336FB" w:rsidRPr="00A031DC">
        <w:t xml:space="preserve"> (</w:t>
      </w:r>
      <w:r w:rsidR="0037244C" w:rsidRPr="00A031DC">
        <w:t>GSOO</w:t>
      </w:r>
      <w:r w:rsidR="00E336FB" w:rsidRPr="00A031DC">
        <w:t>)</w:t>
      </w:r>
      <w:r w:rsidR="002D533B" w:rsidRPr="00A031DC">
        <w:t xml:space="preserve"> (</w:t>
      </w:r>
      <w:r w:rsidR="00CB7D0E">
        <w:t>AEMO 2020</w:t>
      </w:r>
      <w:r w:rsidR="00214FE3">
        <w:t>c</w:t>
      </w:r>
      <w:r w:rsidR="009872DD" w:rsidRPr="00A031DC">
        <w:t xml:space="preserve">; AEMO </w:t>
      </w:r>
      <w:r w:rsidR="00607388" w:rsidRPr="00A031DC">
        <w:t>202</w:t>
      </w:r>
      <w:r w:rsidR="00607388">
        <w:t>1</w:t>
      </w:r>
      <w:r w:rsidR="0071457B">
        <w:t>c</w:t>
      </w:r>
      <w:r w:rsidR="002D533B" w:rsidRPr="00A031DC">
        <w:t>)</w:t>
      </w:r>
      <w:r w:rsidR="00A404D7" w:rsidRPr="00A031DC">
        <w:t xml:space="preserve"> and</w:t>
      </w:r>
      <w:r w:rsidR="0057434F" w:rsidRPr="00A031DC">
        <w:t xml:space="preserve"> Merchant Research &amp; Consulting Ltd</w:t>
      </w:r>
      <w:r w:rsidR="0057434F" w:rsidRPr="00A031DC" w:rsidDel="00185497">
        <w:t xml:space="preserve"> </w:t>
      </w:r>
      <w:r w:rsidR="0057434F" w:rsidRPr="00A031DC">
        <w:t xml:space="preserve">Ammonia production forecast </w:t>
      </w:r>
      <w:r w:rsidR="00607388" w:rsidRPr="00A031DC">
        <w:t>20</w:t>
      </w:r>
      <w:r w:rsidR="00607388">
        <w:t>21</w:t>
      </w:r>
      <w:r w:rsidR="002D533B" w:rsidRPr="00A031DC">
        <w:t>.</w:t>
      </w:r>
      <w:r w:rsidR="003227CA">
        <w:t xml:space="preserve"> The emissions reductions from policies and measures announced in </w:t>
      </w:r>
      <w:r w:rsidR="003038AE">
        <w:t xml:space="preserve">the </w:t>
      </w:r>
      <w:r w:rsidR="003227CA">
        <w:t>2020</w:t>
      </w:r>
      <w:r w:rsidR="005A15CE">
        <w:t>–</w:t>
      </w:r>
      <w:r w:rsidR="003227CA">
        <w:t xml:space="preserve">21 and </w:t>
      </w:r>
      <w:r w:rsidR="003227CA" w:rsidRPr="00CC39F7">
        <w:t>2021</w:t>
      </w:r>
      <w:r w:rsidR="005A15CE">
        <w:t>–</w:t>
      </w:r>
      <w:r w:rsidR="003227CA" w:rsidRPr="00CC39F7">
        <w:t xml:space="preserve">22 </w:t>
      </w:r>
      <w:r w:rsidR="003038AE">
        <w:t>B</w:t>
      </w:r>
      <w:r w:rsidR="003227CA" w:rsidRPr="00CC39F7">
        <w:t>udget</w:t>
      </w:r>
      <w:r w:rsidR="003227CA">
        <w:t xml:space="preserve">s, </w:t>
      </w:r>
      <w:r w:rsidR="005A15CE">
        <w:t>C</w:t>
      </w:r>
      <w:r w:rsidR="003227CA">
        <w:t xml:space="preserve">limate </w:t>
      </w:r>
      <w:r w:rsidR="005A15CE">
        <w:t>S</w:t>
      </w:r>
      <w:r w:rsidR="003227CA">
        <w:t xml:space="preserve">olution </w:t>
      </w:r>
      <w:r w:rsidR="005A15CE">
        <w:t>p</w:t>
      </w:r>
      <w:r w:rsidR="003227CA">
        <w:t xml:space="preserve">ackage and </w:t>
      </w:r>
      <w:r w:rsidR="003038AE">
        <w:t xml:space="preserve">the </w:t>
      </w:r>
      <w:r w:rsidR="003227CA">
        <w:t>Emissions Reduction Fund (ERF) ha</w:t>
      </w:r>
      <w:r w:rsidR="003038AE">
        <w:t>ve</w:t>
      </w:r>
      <w:r w:rsidR="003227CA">
        <w:t xml:space="preserve"> been included.</w:t>
      </w:r>
    </w:p>
    <w:p w14:paraId="42DA534D" w14:textId="52A772F4" w:rsidR="0079062F" w:rsidRPr="00A031DC" w:rsidRDefault="0079062F" w:rsidP="00537A1C">
      <w:pPr>
        <w:pStyle w:val="Caption"/>
      </w:pPr>
      <w:r w:rsidRPr="00A031DC">
        <w:t xml:space="preserve">Table </w:t>
      </w:r>
      <w:r w:rsidR="004C7141">
        <w:t>3</w:t>
      </w:r>
      <w:r w:rsidR="003067BD" w:rsidRPr="00A031DC">
        <w:t>.</w:t>
      </w:r>
      <w:r w:rsidRPr="00A031DC">
        <w:tab/>
      </w:r>
      <w:r w:rsidR="00842F49">
        <w:t xml:space="preserve"> </w:t>
      </w:r>
      <w:r w:rsidRPr="00A031DC">
        <w:t xml:space="preserve">Summary of </w:t>
      </w:r>
      <w:r w:rsidR="00242E98" w:rsidRPr="00A031DC">
        <w:t xml:space="preserve">activity data and calculation methods </w:t>
      </w:r>
      <w:r w:rsidRPr="00A031DC">
        <w:t xml:space="preserve">for each </w:t>
      </w:r>
      <w:r w:rsidR="00350EA0">
        <w:t>stationary energy</w:t>
      </w:r>
      <w:r w:rsidRPr="00A031DC">
        <w:t xml:space="preserve"> subsector</w:t>
      </w:r>
    </w:p>
    <w:tbl>
      <w:tblPr>
        <w:tblStyle w:val="ListTable3-Accent3"/>
        <w:tblW w:w="5000" w:type="pct"/>
        <w:tblLook w:val="04A0" w:firstRow="1" w:lastRow="0" w:firstColumn="1" w:lastColumn="0" w:noHBand="0" w:noVBand="1"/>
        <w:tblCaption w:val="Summary of activity data and calculation methods for each stationary energy subsector"/>
        <w:tblDescription w:val="The table provides a breakdown of the emissions subsectors for each stationary energy sectors (energy, mining, manufacturing, buildings, agriculture, forestry and fishing, and military). The table also includes the associated source of the data and calculation method. It indicates that the majority of subsectors have top-down models except for the LNG in the energy subsector, which has the facility-based model."/>
      </w:tblPr>
      <w:tblGrid>
        <w:gridCol w:w="3066"/>
        <w:gridCol w:w="3068"/>
        <w:gridCol w:w="3068"/>
      </w:tblGrid>
      <w:tr w:rsidR="00D57BC4" w:rsidRPr="00842F49" w14:paraId="5F3E2465" w14:textId="77777777" w:rsidTr="002354AC">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100" w:firstRow="0" w:lastRow="0" w:firstColumn="1" w:lastColumn="0" w:oddVBand="0" w:evenVBand="0" w:oddHBand="0" w:evenHBand="0" w:firstRowFirstColumn="1" w:firstRowLastColumn="0" w:lastRowFirstColumn="0" w:lastRowLastColumn="0"/>
            <w:tcW w:w="1666" w:type="pct"/>
            <w:hideMark/>
          </w:tcPr>
          <w:p w14:paraId="0C87F68B" w14:textId="2150B423" w:rsidR="00D57BC4" w:rsidRPr="00A031DC" w:rsidRDefault="00D57BC4" w:rsidP="00537A1C">
            <w:pPr>
              <w:rPr>
                <w:lang w:eastAsia="en-AU"/>
              </w:rPr>
            </w:pPr>
            <w:r w:rsidRPr="00A031DC">
              <w:rPr>
                <w:lang w:eastAsia="en-AU"/>
              </w:rPr>
              <w:t xml:space="preserve">Emissions </w:t>
            </w:r>
            <w:r w:rsidR="00B70D81" w:rsidRPr="00A031DC">
              <w:rPr>
                <w:lang w:eastAsia="en-AU"/>
              </w:rPr>
              <w:t>subsector</w:t>
            </w:r>
          </w:p>
        </w:tc>
        <w:tc>
          <w:tcPr>
            <w:tcW w:w="1667" w:type="pct"/>
            <w:hideMark/>
          </w:tcPr>
          <w:p w14:paraId="5709EB71" w14:textId="32789D02" w:rsidR="00D57BC4" w:rsidRPr="00A031DC" w:rsidRDefault="009C069E" w:rsidP="00537A1C">
            <w:pPr>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A031DC">
              <w:t>Activity data</w:t>
            </w:r>
          </w:p>
        </w:tc>
        <w:tc>
          <w:tcPr>
            <w:tcW w:w="1667" w:type="pct"/>
          </w:tcPr>
          <w:p w14:paraId="329A29B0" w14:textId="582C2081" w:rsidR="00D57BC4" w:rsidRPr="00A031DC" w:rsidRDefault="009C069E" w:rsidP="00537A1C">
            <w:pPr>
              <w:cnfStyle w:val="100000000000" w:firstRow="1" w:lastRow="0" w:firstColumn="0" w:lastColumn="0" w:oddVBand="0" w:evenVBand="0" w:oddHBand="0" w:evenHBand="0" w:firstRowFirstColumn="0" w:firstRowLastColumn="0" w:lastRowFirstColumn="0" w:lastRowLastColumn="0"/>
            </w:pPr>
            <w:r w:rsidRPr="00A031DC">
              <w:t>Calculation method</w:t>
            </w:r>
          </w:p>
        </w:tc>
      </w:tr>
      <w:tr w:rsidR="00E57C11" w:rsidRPr="00842F49" w14:paraId="24562B82"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4A027951" w14:textId="08F42E6E" w:rsidR="00E57C11" w:rsidRPr="00A031DC" w:rsidRDefault="00E57C11" w:rsidP="00537A1C">
            <w:pPr>
              <w:rPr>
                <w:lang w:eastAsia="en-AU"/>
              </w:rPr>
            </w:pPr>
            <w:r w:rsidRPr="00A031DC">
              <w:rPr>
                <w:lang w:eastAsia="en-AU"/>
              </w:rPr>
              <w:t>Energy</w:t>
            </w:r>
          </w:p>
        </w:tc>
        <w:tc>
          <w:tcPr>
            <w:tcW w:w="1667" w:type="pct"/>
          </w:tcPr>
          <w:p w14:paraId="5BF4E513" w14:textId="77777777" w:rsidR="00E57C11" w:rsidRPr="00A031DC" w:rsidRDefault="00E57C11" w:rsidP="00537A1C">
            <w:pPr>
              <w:cnfStyle w:val="000000100000" w:firstRow="0" w:lastRow="0" w:firstColumn="0" w:lastColumn="0" w:oddVBand="0" w:evenVBand="0" w:oddHBand="1" w:evenHBand="0" w:firstRowFirstColumn="0" w:firstRowLastColumn="0" w:lastRowFirstColumn="0" w:lastRowLastColumn="0"/>
            </w:pPr>
          </w:p>
        </w:tc>
        <w:tc>
          <w:tcPr>
            <w:tcW w:w="1667" w:type="pct"/>
          </w:tcPr>
          <w:p w14:paraId="5D050323" w14:textId="77777777" w:rsidR="00E57C11" w:rsidRPr="00A031DC" w:rsidRDefault="00E57C11" w:rsidP="00537A1C">
            <w:pPr>
              <w:cnfStyle w:val="000000100000" w:firstRow="0" w:lastRow="0" w:firstColumn="0" w:lastColumn="0" w:oddVBand="0" w:evenVBand="0" w:oddHBand="1" w:evenHBand="0" w:firstRowFirstColumn="0" w:firstRowLastColumn="0" w:lastRowFirstColumn="0" w:lastRowLastColumn="0"/>
            </w:pPr>
          </w:p>
        </w:tc>
      </w:tr>
      <w:tr w:rsidR="00D1580A" w:rsidRPr="00842F49" w14:paraId="26EF5E3C"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1A99D94F" w14:textId="77777777" w:rsidR="00F365A4" w:rsidRPr="00A031DC" w:rsidRDefault="00D1580A" w:rsidP="00537A1C">
            <w:pPr>
              <w:rPr>
                <w:b w:val="0"/>
                <w:lang w:eastAsia="en-AU"/>
              </w:rPr>
            </w:pPr>
            <w:r w:rsidRPr="00A031DC">
              <w:rPr>
                <w:lang w:eastAsia="en-AU"/>
              </w:rPr>
              <w:t xml:space="preserve">LNG </w:t>
            </w:r>
          </w:p>
          <w:p w14:paraId="3527054E" w14:textId="77777777" w:rsidR="00F365A4" w:rsidRPr="00A031DC" w:rsidRDefault="00F365A4" w:rsidP="00537A1C">
            <w:pPr>
              <w:rPr>
                <w:lang w:eastAsia="en-AU"/>
              </w:rPr>
            </w:pPr>
          </w:p>
          <w:p w14:paraId="4750D262" w14:textId="1B3278F4" w:rsidR="00D1580A" w:rsidRPr="00A031DC" w:rsidDel="00E57C11" w:rsidRDefault="001A7C19" w:rsidP="00537A1C">
            <w:pPr>
              <w:rPr>
                <w:b w:val="0"/>
                <w:i/>
                <w:lang w:eastAsia="en-AU"/>
              </w:rPr>
            </w:pPr>
            <w:r w:rsidRPr="00A031DC">
              <w:rPr>
                <w:lang w:eastAsia="en-AU"/>
              </w:rPr>
              <w:t>(facility level model)</w:t>
            </w:r>
          </w:p>
        </w:tc>
        <w:tc>
          <w:tcPr>
            <w:tcW w:w="1667" w:type="pct"/>
          </w:tcPr>
          <w:p w14:paraId="4B7FE448" w14:textId="63FB4665" w:rsidR="00242E98" w:rsidRPr="00A031DC" w:rsidRDefault="00D1580A" w:rsidP="00537A1C">
            <w:pPr>
              <w:cnfStyle w:val="000000000000" w:firstRow="0" w:lastRow="0" w:firstColumn="0" w:lastColumn="0" w:oddVBand="0" w:evenVBand="0" w:oddHBand="0" w:evenHBand="0" w:firstRowFirstColumn="0" w:firstRowLastColumn="0" w:lastRowFirstColumn="0" w:lastRowLastColumn="0"/>
            </w:pPr>
            <w:r w:rsidRPr="00A031DC">
              <w:rPr>
                <w:lang w:eastAsia="en-AU"/>
              </w:rPr>
              <w:t xml:space="preserve">Production data from </w:t>
            </w:r>
            <w:r w:rsidR="00465117" w:rsidRPr="00A031DC">
              <w:rPr>
                <w:lang w:eastAsia="en-AU"/>
              </w:rPr>
              <w:t xml:space="preserve">the </w:t>
            </w:r>
            <w:r w:rsidR="00251E0C" w:rsidRPr="00A031DC">
              <w:rPr>
                <w:i/>
                <w:lang w:eastAsia="en-AU"/>
              </w:rPr>
              <w:t xml:space="preserve">gas </w:t>
            </w:r>
            <w:r w:rsidRPr="00A031DC">
              <w:rPr>
                <w:i/>
                <w:lang w:eastAsia="en-AU"/>
              </w:rPr>
              <w:t>fugitives sector</w:t>
            </w:r>
            <w:r w:rsidRPr="00A031DC">
              <w:rPr>
                <w:lang w:eastAsia="en-AU"/>
              </w:rPr>
              <w:t xml:space="preserve"> and emissions intensity from </w:t>
            </w:r>
            <w:r w:rsidR="00F6454E" w:rsidRPr="00A031DC">
              <w:rPr>
                <w:lang w:eastAsia="en-AU"/>
              </w:rPr>
              <w:t>N</w:t>
            </w:r>
            <w:r w:rsidR="00A95983" w:rsidRPr="00A031DC">
              <w:rPr>
                <w:lang w:eastAsia="en-AU"/>
              </w:rPr>
              <w:t>ational Greenhouse Energy Reporting scheme (</w:t>
            </w:r>
            <w:r w:rsidR="00F6454E" w:rsidRPr="00A031DC">
              <w:rPr>
                <w:lang w:eastAsia="en-AU"/>
              </w:rPr>
              <w:t>NGER</w:t>
            </w:r>
            <w:r w:rsidR="00A95983" w:rsidRPr="00A031DC">
              <w:rPr>
                <w:lang w:eastAsia="en-AU"/>
              </w:rPr>
              <w:t>)</w:t>
            </w:r>
            <w:r w:rsidR="00F6454E" w:rsidRPr="00A031DC">
              <w:rPr>
                <w:lang w:eastAsia="en-AU"/>
              </w:rPr>
              <w:t xml:space="preserve">, </w:t>
            </w:r>
            <w:r w:rsidR="00B24AFB" w:rsidRPr="00A031DC">
              <w:t xml:space="preserve">various </w:t>
            </w:r>
            <w:r w:rsidR="006A7654">
              <w:t>e</w:t>
            </w:r>
            <w:r w:rsidR="00242E98" w:rsidRPr="00A031DC">
              <w:t xml:space="preserve">nvironmental </w:t>
            </w:r>
            <w:r w:rsidR="006A7654">
              <w:t>i</w:t>
            </w:r>
            <w:r w:rsidR="00242E98" w:rsidRPr="00A031DC">
              <w:t xml:space="preserve">mpact </w:t>
            </w:r>
            <w:r w:rsidR="006A7654">
              <w:t>s</w:t>
            </w:r>
            <w:r w:rsidR="00242E98" w:rsidRPr="00A031DC">
              <w:t>tudies</w:t>
            </w:r>
          </w:p>
          <w:p w14:paraId="02A3C3EF" w14:textId="06F936E8" w:rsidR="00D1580A" w:rsidRPr="00A031DC" w:rsidRDefault="00D1580A" w:rsidP="00537A1C">
            <w:pPr>
              <w:cnfStyle w:val="000000000000" w:firstRow="0" w:lastRow="0" w:firstColumn="0" w:lastColumn="0" w:oddVBand="0" w:evenVBand="0" w:oddHBand="0" w:evenHBand="0" w:firstRowFirstColumn="0" w:firstRowLastColumn="0" w:lastRowFirstColumn="0" w:lastRowLastColumn="0"/>
            </w:pPr>
          </w:p>
        </w:tc>
        <w:tc>
          <w:tcPr>
            <w:tcW w:w="1667" w:type="pct"/>
          </w:tcPr>
          <w:p w14:paraId="3430D10E" w14:textId="1F22ED34" w:rsidR="00D1580A" w:rsidRPr="00A031DC" w:rsidRDefault="00D1580A" w:rsidP="00537A1C">
            <w:pPr>
              <w:cnfStyle w:val="000000000000" w:firstRow="0" w:lastRow="0" w:firstColumn="0" w:lastColumn="0" w:oddVBand="0" w:evenVBand="0" w:oddHBand="0" w:evenHBand="0" w:firstRowFirstColumn="0" w:firstRowLastColumn="0" w:lastRowFirstColumn="0" w:lastRowLastColumn="0"/>
              <w:rPr>
                <w:vertAlign w:val="superscript"/>
              </w:rPr>
            </w:pPr>
            <w:r w:rsidRPr="00A031DC">
              <w:t>E</w:t>
            </w:r>
            <w:r w:rsidRPr="00A031DC">
              <w:rPr>
                <w:vertAlign w:val="subscript"/>
              </w:rPr>
              <w:t>t</w:t>
            </w:r>
            <w:r w:rsidRPr="00A031DC">
              <w:t xml:space="preserve"> = </w:t>
            </w:r>
            <w:r w:rsidR="00276782" w:rsidRPr="00A031DC">
              <w:t>∑ (</w:t>
            </w:r>
            <w:r w:rsidRPr="00A031DC">
              <w:t>[E</w:t>
            </w:r>
            <w:r w:rsidR="00F9725B" w:rsidRPr="00A031DC">
              <w:t>F</w:t>
            </w:r>
            <w:r w:rsidR="00A512BA" w:rsidRPr="00A031DC">
              <w:rPr>
                <w:vertAlign w:val="subscript"/>
              </w:rPr>
              <w:t>it</w:t>
            </w:r>
            <w:r w:rsidRPr="00A031DC">
              <w:t xml:space="preserve"> </w:t>
            </w:r>
            <w:r w:rsidR="003067BD" w:rsidRPr="00A031DC">
              <w:rPr>
                <w:b/>
              </w:rPr>
              <w:t>.</w:t>
            </w:r>
            <w:r w:rsidRPr="00A031DC">
              <w:t xml:space="preserve"> P</w:t>
            </w:r>
            <w:r w:rsidR="00A512BA" w:rsidRPr="00A031DC">
              <w:rPr>
                <w:vertAlign w:val="subscript"/>
              </w:rPr>
              <w:t>it</w:t>
            </w:r>
            <w:r w:rsidRPr="00A031DC">
              <w:t>])</w:t>
            </w:r>
          </w:p>
          <w:p w14:paraId="5FA0627E" w14:textId="39C87AF1" w:rsidR="00D1580A" w:rsidRPr="00A031DC" w:rsidRDefault="00D1580A">
            <w:pPr>
              <w:pStyle w:val="Calculations"/>
              <w:cnfStyle w:val="000000000000" w:firstRow="0" w:lastRow="0" w:firstColumn="0" w:lastColumn="0" w:oddVBand="0" w:evenVBand="0" w:oddHBand="0" w:evenHBand="0" w:firstRowFirstColumn="0" w:firstRowLastColumn="0" w:lastRowFirstColumn="0" w:lastRowLastColumn="0"/>
            </w:pPr>
            <w:r w:rsidRPr="00A031DC">
              <w:t xml:space="preserve">Where: </w:t>
            </w:r>
            <w:r w:rsidRPr="00A031DC">
              <w:br/>
              <w:t>E</w:t>
            </w:r>
            <w:r w:rsidRPr="00A031DC">
              <w:rPr>
                <w:vertAlign w:val="subscript"/>
              </w:rPr>
              <w:t>t</w:t>
            </w:r>
            <w:r w:rsidRPr="00A031DC">
              <w:t xml:space="preserve"> = emissions in year</w:t>
            </w:r>
            <w:r w:rsidR="00A512BA" w:rsidRPr="00A031DC">
              <w:rPr>
                <w:vertAlign w:val="subscript"/>
              </w:rPr>
              <w:t xml:space="preserve"> </w:t>
            </w:r>
            <w:r w:rsidR="00A512BA" w:rsidRPr="00A031DC">
              <w:t>t</w:t>
            </w:r>
            <w:r w:rsidRPr="00A031DC">
              <w:t xml:space="preserve"> (Mt CO</w:t>
            </w:r>
            <w:r w:rsidR="0099567A" w:rsidRPr="00042BDA">
              <w:t>₂</w:t>
            </w:r>
            <w:r w:rsidRPr="00A031DC">
              <w:t>-e)</w:t>
            </w:r>
            <w:r w:rsidRPr="00A031DC">
              <w:br/>
              <w:t>E</w:t>
            </w:r>
            <w:r w:rsidR="00733053" w:rsidRPr="00A031DC">
              <w:t>F</w:t>
            </w:r>
            <w:r w:rsidR="00A512BA" w:rsidRPr="00A031DC">
              <w:rPr>
                <w:vertAlign w:val="subscript"/>
              </w:rPr>
              <w:t>it</w:t>
            </w:r>
            <w:r w:rsidRPr="00A031DC">
              <w:t xml:space="preserve"> = facility-specific emissions </w:t>
            </w:r>
            <w:r w:rsidR="00F9725B" w:rsidRPr="00A031DC">
              <w:t>factor</w:t>
            </w:r>
            <w:r w:rsidR="00A512BA" w:rsidRPr="00A031DC">
              <w:t xml:space="preserve"> in year t</w:t>
            </w:r>
            <w:r w:rsidR="0093191A">
              <w:br/>
            </w:r>
            <w:r w:rsidRPr="00A031DC">
              <w:t>P</w:t>
            </w:r>
            <w:r w:rsidR="00A512BA" w:rsidRPr="00A031DC">
              <w:rPr>
                <w:vertAlign w:val="subscript"/>
              </w:rPr>
              <w:t>it</w:t>
            </w:r>
            <w:r w:rsidRPr="00A031DC">
              <w:t xml:space="preserve"> = production at facility</w:t>
            </w:r>
            <w:r w:rsidRPr="00A031DC">
              <w:rPr>
                <w:vertAlign w:val="subscript"/>
              </w:rPr>
              <w:t>i</w:t>
            </w:r>
            <w:r w:rsidR="00FB329E" w:rsidRPr="00A031DC">
              <w:rPr>
                <w:vertAlign w:val="subscript"/>
              </w:rPr>
              <w:t xml:space="preserve"> </w:t>
            </w:r>
            <w:r w:rsidR="00A512BA" w:rsidRPr="00A031DC">
              <w:t xml:space="preserve">in year t </w:t>
            </w:r>
          </w:p>
        </w:tc>
      </w:tr>
      <w:tr w:rsidR="0065357F" w:rsidRPr="00842F49" w14:paraId="015EE868"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510ED1B9" w14:textId="04657873" w:rsidR="0065357F" w:rsidRPr="00A031DC" w:rsidRDefault="0065357F" w:rsidP="00537A1C">
            <w:pPr>
              <w:rPr>
                <w:lang w:eastAsia="en-AU"/>
              </w:rPr>
            </w:pPr>
          </w:p>
          <w:p w14:paraId="2EE21770" w14:textId="77777777" w:rsidR="00F365A4" w:rsidRPr="00A031DC" w:rsidRDefault="0065357F" w:rsidP="00265ADF">
            <w:pPr>
              <w:pStyle w:val="ListNumber"/>
              <w:numPr>
                <w:ilvl w:val="0"/>
                <w:numId w:val="0"/>
              </w:numPr>
              <w:rPr>
                <w:b w:val="0"/>
                <w:lang w:eastAsia="en-AU"/>
              </w:rPr>
            </w:pPr>
            <w:r w:rsidRPr="00A031DC">
              <w:rPr>
                <w:lang w:eastAsia="en-AU"/>
              </w:rPr>
              <w:t>Other oil and gas extraction</w:t>
            </w:r>
            <w:r w:rsidR="009C069E" w:rsidRPr="00A031DC">
              <w:rPr>
                <w:lang w:eastAsia="en-AU"/>
              </w:rPr>
              <w:t xml:space="preserve"> </w:t>
            </w:r>
          </w:p>
          <w:p w14:paraId="6618203D" w14:textId="77777777" w:rsidR="00F365A4" w:rsidRPr="00A031DC" w:rsidRDefault="00F365A4" w:rsidP="00265ADF">
            <w:pPr>
              <w:pStyle w:val="ListNumber"/>
              <w:numPr>
                <w:ilvl w:val="0"/>
                <w:numId w:val="0"/>
              </w:numPr>
              <w:rPr>
                <w:lang w:eastAsia="en-AU"/>
              </w:rPr>
            </w:pPr>
          </w:p>
          <w:p w14:paraId="4D3EBDF7" w14:textId="4699AF02" w:rsidR="0065357F" w:rsidRPr="00A031DC" w:rsidRDefault="009C069E" w:rsidP="00265ADF">
            <w:pPr>
              <w:pStyle w:val="ListNumber"/>
              <w:numPr>
                <w:ilvl w:val="0"/>
                <w:numId w:val="0"/>
              </w:numPr>
              <w:rPr>
                <w:b w:val="0"/>
                <w:lang w:eastAsia="en-AU"/>
              </w:rPr>
            </w:pPr>
            <w:r w:rsidRPr="00A031DC">
              <w:rPr>
                <w:lang w:eastAsia="en-AU"/>
              </w:rPr>
              <w:t>(top down model)</w:t>
            </w:r>
          </w:p>
        </w:tc>
        <w:tc>
          <w:tcPr>
            <w:tcW w:w="1667" w:type="pct"/>
          </w:tcPr>
          <w:p w14:paraId="7B0A8092" w14:textId="5B2138C1" w:rsidR="0065357F" w:rsidRPr="00A031DC" w:rsidRDefault="00F25BB0" w:rsidP="00621782">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031DC">
              <w:t xml:space="preserve">Western Australia </w:t>
            </w:r>
            <w:r w:rsidR="006A7654">
              <w:t>g</w:t>
            </w:r>
            <w:r w:rsidR="0065357F" w:rsidRPr="00A031DC">
              <w:t xml:space="preserve">as demand from </w:t>
            </w:r>
            <w:r w:rsidR="00CB7D0E">
              <w:t>AEMO 2020</w:t>
            </w:r>
            <w:r w:rsidR="00621782">
              <w:t>c</w:t>
            </w:r>
            <w:r w:rsidR="00854790" w:rsidRPr="00A031DC">
              <w:t>,</w:t>
            </w:r>
            <w:r w:rsidRPr="00A031DC">
              <w:t xml:space="preserve"> East Coast gas demand from AEMO </w:t>
            </w:r>
            <w:r w:rsidR="00607388" w:rsidRPr="00A031DC">
              <w:t>202</w:t>
            </w:r>
            <w:r w:rsidR="00607388">
              <w:t>1</w:t>
            </w:r>
            <w:r w:rsidR="0071457B">
              <w:t>c</w:t>
            </w:r>
            <w:r w:rsidRPr="00A031DC">
              <w:t xml:space="preserve">, </w:t>
            </w:r>
            <w:r w:rsidR="005644BF" w:rsidRPr="00A031DC">
              <w:t xml:space="preserve">crude and condensate oil demand from OCE </w:t>
            </w:r>
            <w:r w:rsidR="00E02528" w:rsidRPr="00A031DC">
              <w:t>202</w:t>
            </w:r>
            <w:r w:rsidR="00E02528">
              <w:t>1</w:t>
            </w:r>
            <w:r w:rsidR="00E02528" w:rsidRPr="00A031DC">
              <w:t>a</w:t>
            </w:r>
            <w:r w:rsidR="00E02528">
              <w:t xml:space="preserve"> and </w:t>
            </w:r>
            <w:r w:rsidR="005644BF" w:rsidRPr="00A031DC">
              <w:t xml:space="preserve">OCE </w:t>
            </w:r>
            <w:r w:rsidR="00607388" w:rsidRPr="00A031DC">
              <w:t>202</w:t>
            </w:r>
            <w:r w:rsidR="00607388">
              <w:t>1</w:t>
            </w:r>
            <w:r w:rsidR="00607388" w:rsidRPr="00A031DC">
              <w:t>b</w:t>
            </w:r>
            <w:r w:rsidR="005644BF" w:rsidRPr="00A031DC">
              <w:t>.</w:t>
            </w:r>
          </w:p>
        </w:tc>
        <w:tc>
          <w:tcPr>
            <w:tcW w:w="1667" w:type="pct"/>
            <w:vMerge w:val="restart"/>
          </w:tcPr>
          <w:p w14:paraId="36019294" w14:textId="397393D0" w:rsidR="0065357F" w:rsidRPr="00A031DC" w:rsidRDefault="0065357F" w:rsidP="00537A1C">
            <w:pPr>
              <w:cnfStyle w:val="000000100000" w:firstRow="0" w:lastRow="0" w:firstColumn="0" w:lastColumn="0" w:oddVBand="0" w:evenVBand="0" w:oddHBand="1" w:evenHBand="0" w:firstRowFirstColumn="0" w:firstRowLastColumn="0" w:lastRowFirstColumn="0" w:lastRowLastColumn="0"/>
            </w:pPr>
            <w:r w:rsidRPr="00A031DC">
              <w:t>E</w:t>
            </w:r>
            <w:r w:rsidRPr="00A031DC">
              <w:rPr>
                <w:vertAlign w:val="subscript"/>
              </w:rPr>
              <w:t>t</w:t>
            </w:r>
            <w:r w:rsidRPr="00A031DC">
              <w:t xml:space="preserve"> = E</w:t>
            </w:r>
            <w:r w:rsidRPr="00A031DC">
              <w:rPr>
                <w:vertAlign w:val="subscript"/>
              </w:rPr>
              <w:t xml:space="preserve">t-1 </w:t>
            </w:r>
            <w:r w:rsidR="003067BD" w:rsidRPr="00A031DC">
              <w:rPr>
                <w:b/>
              </w:rPr>
              <w:t>.</w:t>
            </w:r>
            <w:r w:rsidRPr="00A031DC">
              <w:t xml:space="preserve"> Δ Production</w:t>
            </w:r>
          </w:p>
          <w:p w14:paraId="5CF36B0E" w14:textId="248B2FB6" w:rsidR="0065357F" w:rsidRPr="00A031DC" w:rsidRDefault="0065357F">
            <w:pPr>
              <w:pStyle w:val="Calculations"/>
              <w:cnfStyle w:val="000000100000" w:firstRow="0" w:lastRow="0" w:firstColumn="0" w:lastColumn="0" w:oddVBand="0" w:evenVBand="0" w:oddHBand="1" w:evenHBand="0" w:firstRowFirstColumn="0" w:firstRowLastColumn="0" w:lastRowFirstColumn="0" w:lastRowLastColumn="0"/>
            </w:pPr>
            <w:r w:rsidRPr="00A031DC">
              <w:t xml:space="preserve">Where: </w:t>
            </w:r>
            <w:r w:rsidRPr="00A031DC">
              <w:br/>
              <w:t>E</w:t>
            </w:r>
            <w:r w:rsidRPr="00A031DC">
              <w:rPr>
                <w:vertAlign w:val="subscript"/>
              </w:rPr>
              <w:t>t</w:t>
            </w:r>
            <w:r w:rsidRPr="00A031DC">
              <w:t xml:space="preserve"> = emissions in year</w:t>
            </w:r>
            <w:r w:rsidR="0034555F" w:rsidRPr="00A031DC">
              <w:rPr>
                <w:vertAlign w:val="subscript"/>
              </w:rPr>
              <w:t xml:space="preserve"> </w:t>
            </w:r>
            <w:r w:rsidR="0034555F" w:rsidRPr="00A031DC">
              <w:t>t</w:t>
            </w:r>
            <w:r w:rsidRPr="00A031DC">
              <w:rPr>
                <w:vertAlign w:val="subscript"/>
              </w:rPr>
              <w:t xml:space="preserve"> </w:t>
            </w:r>
            <w:r w:rsidRPr="00A031DC">
              <w:t>(Mt CO</w:t>
            </w:r>
            <w:r w:rsidR="0099567A" w:rsidRPr="00042BDA">
              <w:t>₂</w:t>
            </w:r>
            <w:r w:rsidRPr="00A031DC">
              <w:t>-e)</w:t>
            </w:r>
            <w:r w:rsidRPr="00A031DC">
              <w:br/>
              <w:t>E</w:t>
            </w:r>
            <w:r w:rsidRPr="00A031DC">
              <w:rPr>
                <w:vertAlign w:val="subscript"/>
              </w:rPr>
              <w:t>t-1</w:t>
            </w:r>
            <w:r w:rsidRPr="00A031DC">
              <w:t xml:space="preserve"> = emissions in the previous year</w:t>
            </w:r>
            <w:r w:rsidRPr="00A031DC">
              <w:br/>
              <w:t>Δ</w:t>
            </w:r>
            <w:r w:rsidRPr="00A031DC">
              <w:rPr>
                <w:vertAlign w:val="subscript"/>
              </w:rPr>
              <w:t xml:space="preserve"> </w:t>
            </w:r>
            <w:r w:rsidRPr="00A031DC">
              <w:t>Production = percentage c</w:t>
            </w:r>
            <w:r w:rsidR="0034555F" w:rsidRPr="00A031DC">
              <w:t xml:space="preserve">hange </w:t>
            </w:r>
            <w:r w:rsidR="0034555F" w:rsidRPr="00A031DC">
              <w:lastRenderedPageBreak/>
              <w:t xml:space="preserve">in production between year t </w:t>
            </w:r>
            <w:r w:rsidRPr="00A031DC">
              <w:t>and yea</w:t>
            </w:r>
            <w:r w:rsidR="0034555F" w:rsidRPr="00A031DC">
              <w:t>r t-1</w:t>
            </w:r>
          </w:p>
        </w:tc>
      </w:tr>
      <w:tr w:rsidR="0065357F" w:rsidRPr="00842F49" w14:paraId="1D91F105"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1FA98031" w14:textId="77777777" w:rsidR="0065357F" w:rsidRPr="00A031DC" w:rsidRDefault="0065357F" w:rsidP="00537A1C">
            <w:pPr>
              <w:rPr>
                <w:b w:val="0"/>
                <w:lang w:eastAsia="en-AU"/>
              </w:rPr>
            </w:pPr>
            <w:r w:rsidRPr="00A031DC">
              <w:rPr>
                <w:lang w:eastAsia="en-AU"/>
              </w:rPr>
              <w:lastRenderedPageBreak/>
              <w:t>Manufacture of solid fuels</w:t>
            </w:r>
          </w:p>
          <w:p w14:paraId="10DBBA51" w14:textId="77777777" w:rsidR="00F365A4" w:rsidRPr="00A031DC" w:rsidRDefault="00F365A4" w:rsidP="00537A1C">
            <w:pPr>
              <w:rPr>
                <w:lang w:eastAsia="en-AU"/>
              </w:rPr>
            </w:pPr>
          </w:p>
          <w:p w14:paraId="043CE8A7" w14:textId="711197D2" w:rsidR="009C069E" w:rsidRPr="00A031DC" w:rsidRDefault="009C069E" w:rsidP="00537A1C">
            <w:pPr>
              <w:rPr>
                <w:rFonts w:eastAsia="Times New Roman"/>
                <w:b w:val="0"/>
                <w:color w:val="000000"/>
                <w:lang w:eastAsia="en-AU"/>
              </w:rPr>
            </w:pPr>
            <w:r w:rsidRPr="00A031DC">
              <w:rPr>
                <w:lang w:eastAsia="en-AU"/>
              </w:rPr>
              <w:t>(top down model)</w:t>
            </w:r>
          </w:p>
        </w:tc>
        <w:tc>
          <w:tcPr>
            <w:tcW w:w="1667" w:type="pct"/>
          </w:tcPr>
          <w:p w14:paraId="2FB5FC9A" w14:textId="50FF6FF6" w:rsidR="0065357F" w:rsidRPr="00A031DC" w:rsidRDefault="0065357F" w:rsidP="00607388">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A031DC">
              <w:rPr>
                <w:rFonts w:eastAsia="Times New Roman"/>
                <w:color w:val="000000"/>
                <w:lang w:eastAsia="en-AU"/>
              </w:rPr>
              <w:t xml:space="preserve">Iron and steel growth rates from </w:t>
            </w:r>
            <w:r w:rsidR="001F4B9F" w:rsidRPr="00A031DC">
              <w:t xml:space="preserve">OCE </w:t>
            </w:r>
            <w:r w:rsidR="00607388" w:rsidRPr="00A031DC">
              <w:t>202</w:t>
            </w:r>
            <w:r w:rsidR="00607388">
              <w:t>1</w:t>
            </w:r>
            <w:r w:rsidR="00607388" w:rsidRPr="00A031DC">
              <w:t>a</w:t>
            </w:r>
            <w:r w:rsidRPr="00A031DC">
              <w:rPr>
                <w:rStyle w:val="FootnoteReference"/>
              </w:rPr>
              <w:footnoteReference w:id="2"/>
            </w:r>
            <w:r w:rsidRPr="00A031DC">
              <w:t>,</w:t>
            </w:r>
            <w:r w:rsidRPr="00A031DC">
              <w:rPr>
                <w:rFonts w:eastAsia="Times New Roman"/>
                <w:color w:val="000000"/>
                <w:lang w:eastAsia="en-AU"/>
              </w:rPr>
              <w:t xml:space="preserve"> </w:t>
            </w:r>
            <w:r w:rsidR="001F4B9F" w:rsidRPr="00A031DC">
              <w:t xml:space="preserve">OCE </w:t>
            </w:r>
            <w:r w:rsidR="00607388" w:rsidRPr="00A031DC">
              <w:t>202</w:t>
            </w:r>
            <w:r w:rsidR="00607388">
              <w:t>1</w:t>
            </w:r>
            <w:r w:rsidR="00607388" w:rsidRPr="00A031DC">
              <w:t xml:space="preserve">b </w:t>
            </w:r>
            <w:r w:rsidRPr="00A031DC">
              <w:t>and AME Group’s industry analysis</w:t>
            </w:r>
          </w:p>
        </w:tc>
        <w:tc>
          <w:tcPr>
            <w:tcW w:w="1667" w:type="pct"/>
            <w:vMerge/>
          </w:tcPr>
          <w:p w14:paraId="73A860AE" w14:textId="03CBCA87" w:rsidR="0065357F" w:rsidRPr="00A031DC" w:rsidRDefault="0065357F" w:rsidP="00537A1C">
            <w:pPr>
              <w:cnfStyle w:val="000000000000" w:firstRow="0" w:lastRow="0" w:firstColumn="0" w:lastColumn="0" w:oddVBand="0" w:evenVBand="0" w:oddHBand="0" w:evenHBand="0" w:firstRowFirstColumn="0" w:firstRowLastColumn="0" w:lastRowFirstColumn="0" w:lastRowLastColumn="0"/>
            </w:pPr>
          </w:p>
        </w:tc>
      </w:tr>
      <w:tr w:rsidR="0065357F" w:rsidRPr="00842F49" w14:paraId="7B8B9460"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4AFA3FEF" w14:textId="77777777" w:rsidR="0065357F" w:rsidRPr="00A031DC" w:rsidRDefault="0065357F" w:rsidP="00537A1C">
            <w:pPr>
              <w:rPr>
                <w:b w:val="0"/>
                <w:lang w:eastAsia="en-AU"/>
              </w:rPr>
            </w:pPr>
            <w:r w:rsidRPr="00A031DC">
              <w:rPr>
                <w:lang w:eastAsia="en-AU"/>
              </w:rPr>
              <w:t>Domestic gas production and distribution</w:t>
            </w:r>
          </w:p>
          <w:p w14:paraId="0D8D5CF1" w14:textId="51ACF767" w:rsidR="009C069E" w:rsidRPr="00A031DC" w:rsidRDefault="009C069E" w:rsidP="00537A1C">
            <w:pPr>
              <w:rPr>
                <w:rFonts w:eastAsia="Times New Roman"/>
                <w:b w:val="0"/>
                <w:color w:val="000000"/>
                <w:lang w:eastAsia="en-AU"/>
              </w:rPr>
            </w:pPr>
            <w:r w:rsidRPr="00A031DC">
              <w:rPr>
                <w:lang w:eastAsia="en-AU"/>
              </w:rPr>
              <w:t>(top down model)</w:t>
            </w:r>
          </w:p>
        </w:tc>
        <w:tc>
          <w:tcPr>
            <w:tcW w:w="1667" w:type="pct"/>
          </w:tcPr>
          <w:p w14:paraId="0333469F" w14:textId="506FD009" w:rsidR="0065357F" w:rsidRPr="00A031DC" w:rsidRDefault="006609E0" w:rsidP="00621782">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031DC">
              <w:t xml:space="preserve">Western Australia </w:t>
            </w:r>
            <w:r w:rsidR="006A7654">
              <w:t>g</w:t>
            </w:r>
            <w:r w:rsidRPr="00A031DC">
              <w:t xml:space="preserve">as demand from </w:t>
            </w:r>
            <w:r w:rsidR="00CB7D0E">
              <w:t>AEMO 2020</w:t>
            </w:r>
            <w:r w:rsidR="00621782">
              <w:t>c</w:t>
            </w:r>
            <w:r w:rsidR="00854790" w:rsidRPr="00A031DC">
              <w:t>,</w:t>
            </w:r>
            <w:r w:rsidRPr="00A031DC">
              <w:t xml:space="preserve"> </w:t>
            </w:r>
            <w:r w:rsidR="006A7654">
              <w:t>e</w:t>
            </w:r>
            <w:r w:rsidRPr="00A031DC">
              <w:t xml:space="preserve">ast </w:t>
            </w:r>
            <w:r w:rsidR="006A7654">
              <w:t>c</w:t>
            </w:r>
            <w:r w:rsidRPr="00A031DC">
              <w:t xml:space="preserve">oast gas demand from AEMO </w:t>
            </w:r>
            <w:r w:rsidR="00607388" w:rsidRPr="00A031DC">
              <w:t>202</w:t>
            </w:r>
            <w:r w:rsidR="00607388">
              <w:t>1</w:t>
            </w:r>
            <w:r w:rsidR="0071457B">
              <w:t>c</w:t>
            </w:r>
            <w:r w:rsidR="0057434F" w:rsidRPr="00A031DC">
              <w:t>.</w:t>
            </w:r>
          </w:p>
        </w:tc>
        <w:tc>
          <w:tcPr>
            <w:tcW w:w="1667" w:type="pct"/>
          </w:tcPr>
          <w:p w14:paraId="6128F6A9" w14:textId="0217267E" w:rsidR="0065357F" w:rsidRPr="00A031DC" w:rsidRDefault="0065357F" w:rsidP="00537A1C">
            <w:pPr>
              <w:cnfStyle w:val="000000100000" w:firstRow="0" w:lastRow="0" w:firstColumn="0" w:lastColumn="0" w:oddVBand="0" w:evenVBand="0" w:oddHBand="1" w:evenHBand="0" w:firstRowFirstColumn="0" w:firstRowLastColumn="0" w:lastRowFirstColumn="0" w:lastRowLastColumn="0"/>
            </w:pPr>
          </w:p>
        </w:tc>
      </w:tr>
      <w:tr w:rsidR="0065357F" w:rsidRPr="00842F49" w14:paraId="268297CE"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739C1497" w14:textId="77777777" w:rsidR="0065357F" w:rsidRPr="00A031DC" w:rsidRDefault="0065357F" w:rsidP="00537A1C">
            <w:pPr>
              <w:rPr>
                <w:b w:val="0"/>
                <w:lang w:eastAsia="en-AU"/>
              </w:rPr>
            </w:pPr>
            <w:r w:rsidRPr="00A031DC">
              <w:rPr>
                <w:lang w:eastAsia="en-AU"/>
              </w:rPr>
              <w:t>Petroleum refining</w:t>
            </w:r>
          </w:p>
          <w:p w14:paraId="57DD9878" w14:textId="46A1BD06" w:rsidR="009C069E" w:rsidRPr="00A031DC" w:rsidRDefault="009C069E" w:rsidP="00537A1C">
            <w:pPr>
              <w:rPr>
                <w:b w:val="0"/>
                <w:lang w:eastAsia="en-AU"/>
              </w:rPr>
            </w:pPr>
            <w:r w:rsidRPr="00A031DC">
              <w:rPr>
                <w:lang w:eastAsia="en-AU"/>
              </w:rPr>
              <w:t>(top down model)</w:t>
            </w:r>
          </w:p>
        </w:tc>
        <w:tc>
          <w:tcPr>
            <w:tcW w:w="1667" w:type="pct"/>
          </w:tcPr>
          <w:p w14:paraId="3DC0FADF" w14:textId="78E192C2" w:rsidR="0065357F" w:rsidRPr="00A031DC" w:rsidRDefault="0065357F" w:rsidP="00537A1C">
            <w:pPr>
              <w:cnfStyle w:val="000000000000" w:firstRow="0" w:lastRow="0" w:firstColumn="0" w:lastColumn="0" w:oddVBand="0" w:evenVBand="0" w:oddHBand="0" w:evenHBand="0" w:firstRowFirstColumn="0" w:firstRowLastColumn="0" w:lastRowFirstColumn="0" w:lastRowLastColumn="0"/>
            </w:pPr>
            <w:r w:rsidRPr="00A031DC">
              <w:rPr>
                <w:lang w:eastAsia="en-AU"/>
              </w:rPr>
              <w:t xml:space="preserve">Total refinery output from </w:t>
            </w:r>
            <w:r w:rsidRPr="00A031DC">
              <w:t xml:space="preserve">OCE </w:t>
            </w:r>
            <w:r w:rsidR="00E02528" w:rsidRPr="00A031DC">
              <w:t>202</w:t>
            </w:r>
            <w:r w:rsidR="00E02528">
              <w:t>1</w:t>
            </w:r>
            <w:r w:rsidR="00E02528" w:rsidRPr="00A031DC">
              <w:t>a</w:t>
            </w:r>
            <w:r w:rsidR="00E02528">
              <w:t xml:space="preserve">, </w:t>
            </w:r>
            <w:r w:rsidRPr="00A031DC">
              <w:t xml:space="preserve">OCE </w:t>
            </w:r>
            <w:r w:rsidR="00607388" w:rsidRPr="00A031DC">
              <w:t>202</w:t>
            </w:r>
            <w:r w:rsidR="00607388">
              <w:t>1</w:t>
            </w:r>
            <w:r w:rsidR="00607388" w:rsidRPr="00A031DC">
              <w:t>b</w:t>
            </w:r>
            <w:r w:rsidR="0057434F" w:rsidRPr="00A031DC">
              <w:t>.</w:t>
            </w:r>
          </w:p>
          <w:p w14:paraId="6B2F106D" w14:textId="655E31E2" w:rsidR="00F006F9" w:rsidRPr="00A031DC" w:rsidRDefault="00F006F9" w:rsidP="00607388">
            <w:pPr>
              <w:cnfStyle w:val="000000000000" w:firstRow="0" w:lastRow="0" w:firstColumn="0" w:lastColumn="0" w:oddVBand="0" w:evenVBand="0" w:oddHBand="0" w:evenHBand="0" w:firstRowFirstColumn="0" w:firstRowLastColumn="0" w:lastRowFirstColumn="0" w:lastRowLastColumn="0"/>
            </w:pPr>
            <w:r w:rsidRPr="00A031DC">
              <w:t xml:space="preserve">The announced closure of the </w:t>
            </w:r>
            <w:r w:rsidR="00A8602E">
              <w:t xml:space="preserve">Kwinana and </w:t>
            </w:r>
            <w:r w:rsidR="00607388">
              <w:t>Altona</w:t>
            </w:r>
            <w:r w:rsidR="00607388" w:rsidRPr="00A031DC">
              <w:t xml:space="preserve"> </w:t>
            </w:r>
            <w:r w:rsidRPr="00A031DC">
              <w:t xml:space="preserve">petroleum </w:t>
            </w:r>
            <w:r w:rsidR="00A8602E" w:rsidRPr="00A031DC">
              <w:t>refiner</w:t>
            </w:r>
            <w:r w:rsidR="00A8602E">
              <w:t>ies</w:t>
            </w:r>
            <w:r w:rsidR="00A8602E" w:rsidRPr="00A031DC">
              <w:t xml:space="preserve"> </w:t>
            </w:r>
            <w:r w:rsidRPr="00A031DC">
              <w:t>is also accounted for</w:t>
            </w:r>
            <w:r w:rsidR="00307DCE" w:rsidRPr="00A031DC">
              <w:t xml:space="preserve"> in the model</w:t>
            </w:r>
            <w:r w:rsidRPr="00A031DC">
              <w:t>.</w:t>
            </w:r>
          </w:p>
        </w:tc>
        <w:tc>
          <w:tcPr>
            <w:tcW w:w="1667" w:type="pct"/>
          </w:tcPr>
          <w:p w14:paraId="40591A1A" w14:textId="77777777" w:rsidR="0065357F" w:rsidRPr="00A031DC" w:rsidRDefault="0065357F" w:rsidP="00537A1C">
            <w:pPr>
              <w:cnfStyle w:val="000000000000" w:firstRow="0" w:lastRow="0" w:firstColumn="0" w:lastColumn="0" w:oddVBand="0" w:evenVBand="0" w:oddHBand="0" w:evenHBand="0" w:firstRowFirstColumn="0" w:firstRowLastColumn="0" w:lastRowFirstColumn="0" w:lastRowLastColumn="0"/>
            </w:pPr>
          </w:p>
          <w:p w14:paraId="354B2E5D" w14:textId="77777777" w:rsidR="00431043" w:rsidRPr="00A031DC" w:rsidRDefault="00431043" w:rsidP="00537A1C">
            <w:pPr>
              <w:cnfStyle w:val="000000000000" w:firstRow="0" w:lastRow="0" w:firstColumn="0" w:lastColumn="0" w:oddVBand="0" w:evenVBand="0" w:oddHBand="0" w:evenHBand="0" w:firstRowFirstColumn="0" w:firstRowLastColumn="0" w:lastRowFirstColumn="0" w:lastRowLastColumn="0"/>
            </w:pPr>
          </w:p>
          <w:p w14:paraId="079627D4" w14:textId="1E18A043" w:rsidR="00431043" w:rsidRPr="00A031DC" w:rsidRDefault="00431043" w:rsidP="00537A1C">
            <w:pPr>
              <w:cnfStyle w:val="000000000000" w:firstRow="0" w:lastRow="0" w:firstColumn="0" w:lastColumn="0" w:oddVBand="0" w:evenVBand="0" w:oddHBand="0" w:evenHBand="0" w:firstRowFirstColumn="0" w:firstRowLastColumn="0" w:lastRowFirstColumn="0" w:lastRowLastColumn="0"/>
            </w:pPr>
          </w:p>
        </w:tc>
      </w:tr>
      <w:tr w:rsidR="0065357F" w:rsidRPr="00842F49" w14:paraId="33F2A07E"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489A42DD" w14:textId="5A5E7B7A" w:rsidR="0065357F" w:rsidRPr="00A031DC" w:rsidRDefault="0065357F" w:rsidP="00537A1C">
            <w:pPr>
              <w:rPr>
                <w:lang w:eastAsia="en-AU"/>
              </w:rPr>
            </w:pPr>
            <w:r w:rsidRPr="00A031DC">
              <w:rPr>
                <w:lang w:eastAsia="en-AU"/>
              </w:rPr>
              <w:t xml:space="preserve">Mining </w:t>
            </w:r>
          </w:p>
        </w:tc>
        <w:tc>
          <w:tcPr>
            <w:tcW w:w="1667" w:type="pct"/>
          </w:tcPr>
          <w:p w14:paraId="6103E157" w14:textId="77777777" w:rsidR="0065357F" w:rsidRPr="00A031DC" w:rsidRDefault="0065357F" w:rsidP="00537A1C">
            <w:pPr>
              <w:cnfStyle w:val="000000100000" w:firstRow="0" w:lastRow="0" w:firstColumn="0" w:lastColumn="0" w:oddVBand="0" w:evenVBand="0" w:oddHBand="1" w:evenHBand="0" w:firstRowFirstColumn="0" w:firstRowLastColumn="0" w:lastRowFirstColumn="0" w:lastRowLastColumn="0"/>
              <w:rPr>
                <w:lang w:eastAsia="en-AU"/>
              </w:rPr>
            </w:pPr>
          </w:p>
        </w:tc>
        <w:tc>
          <w:tcPr>
            <w:tcW w:w="1667" w:type="pct"/>
          </w:tcPr>
          <w:p w14:paraId="6CE8A443" w14:textId="77777777" w:rsidR="0065357F" w:rsidRPr="00A031DC" w:rsidRDefault="0065357F" w:rsidP="00537A1C">
            <w:pPr>
              <w:cnfStyle w:val="000000100000" w:firstRow="0" w:lastRow="0" w:firstColumn="0" w:lastColumn="0" w:oddVBand="0" w:evenVBand="0" w:oddHBand="1" w:evenHBand="0" w:firstRowFirstColumn="0" w:firstRowLastColumn="0" w:lastRowFirstColumn="0" w:lastRowLastColumn="0"/>
            </w:pPr>
          </w:p>
        </w:tc>
      </w:tr>
      <w:tr w:rsidR="00431043" w:rsidRPr="00842F49" w14:paraId="5F6D3F6B"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45DD57B6" w14:textId="77777777" w:rsidR="00431043" w:rsidRPr="00A031DC" w:rsidRDefault="00431043" w:rsidP="00537A1C">
            <w:pPr>
              <w:rPr>
                <w:b w:val="0"/>
                <w:lang w:eastAsia="en-AU"/>
              </w:rPr>
            </w:pPr>
            <w:r w:rsidRPr="00A031DC">
              <w:rPr>
                <w:lang w:eastAsia="en-AU"/>
              </w:rPr>
              <w:t>Coal mining</w:t>
            </w:r>
          </w:p>
          <w:p w14:paraId="42FF6AF2" w14:textId="131F073D" w:rsidR="00431043" w:rsidRPr="00A031DC" w:rsidRDefault="00431043" w:rsidP="00537A1C">
            <w:pPr>
              <w:rPr>
                <w:b w:val="0"/>
                <w:lang w:eastAsia="en-AU"/>
              </w:rPr>
            </w:pPr>
            <w:r w:rsidRPr="00A031DC">
              <w:rPr>
                <w:lang w:eastAsia="en-AU"/>
              </w:rPr>
              <w:t>(</w:t>
            </w:r>
            <w:r w:rsidR="00265ADF" w:rsidRPr="00265ADF">
              <w:rPr>
                <w:lang w:eastAsia="en-AU"/>
              </w:rPr>
              <w:t xml:space="preserve">top down </w:t>
            </w:r>
            <w:r w:rsidRPr="00A031DC">
              <w:rPr>
                <w:lang w:eastAsia="en-AU"/>
              </w:rPr>
              <w:t>model)</w:t>
            </w:r>
          </w:p>
        </w:tc>
        <w:tc>
          <w:tcPr>
            <w:tcW w:w="1667" w:type="pct"/>
          </w:tcPr>
          <w:p w14:paraId="5BB696D6" w14:textId="2179CDF5" w:rsidR="00431043" w:rsidRPr="00A031DC" w:rsidRDefault="00431043" w:rsidP="00537A1C">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A031DC">
              <w:rPr>
                <w:rFonts w:eastAsia="Times New Roman"/>
                <w:color w:val="000000"/>
                <w:lang w:eastAsia="en-AU"/>
              </w:rPr>
              <w:t xml:space="preserve">Production data from the </w:t>
            </w:r>
            <w:r w:rsidR="00251E0C" w:rsidRPr="00A031DC">
              <w:rPr>
                <w:rFonts w:eastAsia="Times New Roman"/>
                <w:i/>
                <w:color w:val="000000"/>
                <w:lang w:eastAsia="en-AU"/>
              </w:rPr>
              <w:t>coal</w:t>
            </w:r>
            <w:r w:rsidR="00251E0C" w:rsidRPr="00A031DC">
              <w:rPr>
                <w:rFonts w:eastAsia="Times New Roman"/>
                <w:color w:val="000000"/>
                <w:lang w:eastAsia="en-AU"/>
              </w:rPr>
              <w:t xml:space="preserve"> </w:t>
            </w:r>
            <w:r w:rsidRPr="00A031DC">
              <w:rPr>
                <w:rFonts w:eastAsia="Times New Roman"/>
                <w:i/>
                <w:color w:val="000000"/>
                <w:lang w:eastAsia="en-AU"/>
              </w:rPr>
              <w:t>fugitives sector,</w:t>
            </w:r>
            <w:r w:rsidRPr="00A031DC">
              <w:t xml:space="preserve"> technological improvement including fuel consumption savings and efficiency factors from </w:t>
            </w:r>
            <w:r w:rsidRPr="00A031DC">
              <w:rPr>
                <w:rFonts w:eastAsia="Times New Roman"/>
                <w:color w:val="000000"/>
                <w:lang w:eastAsia="en-AU"/>
              </w:rPr>
              <w:t>ABMARC 2019</w:t>
            </w:r>
          </w:p>
        </w:tc>
        <w:tc>
          <w:tcPr>
            <w:tcW w:w="1667" w:type="pct"/>
            <w:vMerge w:val="restart"/>
          </w:tcPr>
          <w:p w14:paraId="4E36A501" w14:textId="2CAF0B0D" w:rsidR="00F006F9" w:rsidRPr="00A031DC" w:rsidRDefault="00431043" w:rsidP="00537A1C">
            <w:pPr>
              <w:cnfStyle w:val="000000000000" w:firstRow="0" w:lastRow="0" w:firstColumn="0" w:lastColumn="0" w:oddVBand="0" w:evenVBand="0" w:oddHBand="0" w:evenHBand="0" w:firstRowFirstColumn="0" w:firstRowLastColumn="0" w:lastRowFirstColumn="0" w:lastRowLastColumn="0"/>
            </w:pPr>
            <w:r w:rsidRPr="00A031DC">
              <w:t>E</w:t>
            </w:r>
            <w:r w:rsidRPr="00A031DC">
              <w:rPr>
                <w:vertAlign w:val="subscript"/>
              </w:rPr>
              <w:t xml:space="preserve">t </w:t>
            </w:r>
            <w:r w:rsidRPr="00A031DC">
              <w:t xml:space="preserve">= (Fc </w:t>
            </w:r>
            <w:r w:rsidRPr="00A031DC">
              <w:rPr>
                <w:vertAlign w:val="subscript"/>
              </w:rPr>
              <w:t>t-1</w:t>
            </w:r>
            <w:r w:rsidRPr="00A031DC">
              <w:t>. Ec. Ef. Δ P)*(1- Eti</w:t>
            </w:r>
            <w:r w:rsidRPr="00A031DC">
              <w:rPr>
                <w:vertAlign w:val="subscript"/>
              </w:rPr>
              <w:t>t</w:t>
            </w:r>
            <w:r w:rsidRPr="00A031DC">
              <w:t>)</w:t>
            </w:r>
          </w:p>
          <w:p w14:paraId="070ADCB6" w14:textId="6C8CD83C" w:rsidR="00431043" w:rsidRDefault="00431043" w:rsidP="00537A1C">
            <w:pPr>
              <w:pStyle w:val="Calculations"/>
              <w:cnfStyle w:val="000000000000" w:firstRow="0" w:lastRow="0" w:firstColumn="0" w:lastColumn="0" w:oddVBand="0" w:evenVBand="0" w:oddHBand="0" w:evenHBand="0" w:firstRowFirstColumn="0" w:firstRowLastColumn="0" w:lastRowFirstColumn="0" w:lastRowLastColumn="0"/>
            </w:pPr>
            <w:r w:rsidRPr="00A031DC">
              <w:t xml:space="preserve">Where: </w:t>
            </w:r>
            <w:r w:rsidR="0093191A">
              <w:br/>
            </w:r>
            <w:r w:rsidRPr="00A031DC">
              <w:t>E</w:t>
            </w:r>
            <w:r w:rsidRPr="00A031DC">
              <w:rPr>
                <w:vertAlign w:val="subscript"/>
              </w:rPr>
              <w:t>t</w:t>
            </w:r>
            <w:r w:rsidRPr="00A031DC">
              <w:t xml:space="preserve"> = emissions in year t (Mt CO</w:t>
            </w:r>
            <w:r w:rsidR="0099567A" w:rsidRPr="00042BDA">
              <w:t>₂</w:t>
            </w:r>
            <w:r w:rsidRPr="00A031DC">
              <w:t>-e)</w:t>
            </w:r>
            <w:r w:rsidR="0093191A">
              <w:br/>
            </w:r>
            <w:r w:rsidRPr="00A031DC">
              <w:t xml:space="preserve">Fc </w:t>
            </w:r>
            <w:r w:rsidRPr="00A031DC">
              <w:rPr>
                <w:vertAlign w:val="subscript"/>
              </w:rPr>
              <w:t>t-1</w:t>
            </w:r>
            <w:r w:rsidRPr="00A031DC">
              <w:t xml:space="preserve"> = fuel consumption in the previous year </w:t>
            </w:r>
            <w:r w:rsidR="0093191A">
              <w:br/>
            </w:r>
            <w:r w:rsidRPr="00A031DC">
              <w:t>Ec= energy contents of the fuel</w:t>
            </w:r>
            <w:r w:rsidR="0093191A">
              <w:br/>
            </w:r>
            <w:r w:rsidRPr="00A031DC">
              <w:t>Ef= emissions factors of the fuel</w:t>
            </w:r>
            <w:r w:rsidR="0093191A">
              <w:br/>
            </w:r>
            <w:r w:rsidRPr="00A031DC">
              <w:t>Δ P = percentage change in production between year t and year t-1</w:t>
            </w:r>
            <w:r w:rsidR="0093191A">
              <w:br/>
            </w:r>
            <w:r w:rsidRPr="00A031DC">
              <w:t>Eti</w:t>
            </w:r>
            <w:r w:rsidRPr="00A031DC">
              <w:rPr>
                <w:vertAlign w:val="subscript"/>
              </w:rPr>
              <w:t>t</w:t>
            </w:r>
            <w:r w:rsidRPr="00A031DC">
              <w:t>= emissions reduction</w:t>
            </w:r>
            <w:r w:rsidR="00307DCE" w:rsidRPr="00A031DC">
              <w:t xml:space="preserve"> (%)</w:t>
            </w:r>
            <w:r w:rsidRPr="00A031DC">
              <w:t xml:space="preserve"> from technological improvement in coal mining/ other mining in year t</w:t>
            </w:r>
          </w:p>
          <w:p w14:paraId="06C5702E" w14:textId="6EC64F62" w:rsidR="00607388" w:rsidRPr="00A031DC" w:rsidRDefault="00607388" w:rsidP="00537A1C">
            <w:pPr>
              <w:pStyle w:val="Calculations"/>
              <w:cnfStyle w:val="000000000000" w:firstRow="0" w:lastRow="0" w:firstColumn="0" w:lastColumn="0" w:oddVBand="0" w:evenVBand="0" w:oddHBand="0" w:evenHBand="0" w:firstRowFirstColumn="0" w:firstRowLastColumn="0" w:lastRowFirstColumn="0" w:lastRowLastColumn="0"/>
            </w:pPr>
          </w:p>
        </w:tc>
      </w:tr>
      <w:tr w:rsidR="00431043" w:rsidRPr="00842F49" w14:paraId="50B03138"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76957B3E" w14:textId="7B4C6C23" w:rsidR="00431043" w:rsidRPr="00A031DC" w:rsidRDefault="00431043" w:rsidP="00537A1C">
            <w:pPr>
              <w:rPr>
                <w:b w:val="0"/>
                <w:lang w:eastAsia="en-AU"/>
              </w:rPr>
            </w:pPr>
            <w:r w:rsidRPr="00A031DC">
              <w:rPr>
                <w:lang w:eastAsia="en-AU"/>
              </w:rPr>
              <w:t xml:space="preserve">Other mining (iron ore; gold; copper; nickel; zinc; bauxite lithium, and manganese) </w:t>
            </w:r>
          </w:p>
          <w:p w14:paraId="6E072043" w14:textId="26C3E63B" w:rsidR="00431043" w:rsidRPr="00A031DC" w:rsidRDefault="00431043" w:rsidP="00537A1C">
            <w:pPr>
              <w:rPr>
                <w:b w:val="0"/>
                <w:lang w:eastAsia="en-AU"/>
              </w:rPr>
            </w:pPr>
            <w:r w:rsidRPr="00A031DC">
              <w:rPr>
                <w:lang w:eastAsia="en-AU"/>
              </w:rPr>
              <w:t>(top down model)</w:t>
            </w:r>
          </w:p>
        </w:tc>
        <w:tc>
          <w:tcPr>
            <w:tcW w:w="1667" w:type="pct"/>
          </w:tcPr>
          <w:p w14:paraId="226DA7EC" w14:textId="539D5A2E" w:rsidR="00431043" w:rsidRPr="00A031DC" w:rsidRDefault="00431043" w:rsidP="00607388">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031DC">
              <w:rPr>
                <w:rFonts w:eastAsia="Times New Roman"/>
                <w:color w:val="000000"/>
                <w:lang w:eastAsia="en-AU"/>
              </w:rPr>
              <w:t xml:space="preserve">Production data from </w:t>
            </w:r>
            <w:r w:rsidRPr="00A031DC">
              <w:t xml:space="preserve">OCE </w:t>
            </w:r>
            <w:r w:rsidR="00607388" w:rsidRPr="00A031DC">
              <w:t>202</w:t>
            </w:r>
            <w:r w:rsidR="00607388">
              <w:t>1</w:t>
            </w:r>
            <w:r w:rsidR="00607388" w:rsidRPr="00A031DC">
              <w:t>a</w:t>
            </w:r>
            <w:r w:rsidRPr="00A031DC">
              <w:t>,</w:t>
            </w:r>
            <w:r w:rsidRPr="00A031DC">
              <w:rPr>
                <w:rFonts w:eastAsia="Times New Roman"/>
                <w:color w:val="000000"/>
                <w:lang w:eastAsia="en-AU"/>
              </w:rPr>
              <w:t xml:space="preserve"> </w:t>
            </w:r>
            <w:r w:rsidRPr="00A031DC">
              <w:t xml:space="preserve">OCE </w:t>
            </w:r>
            <w:r w:rsidR="00607388" w:rsidRPr="00A031DC">
              <w:t>202</w:t>
            </w:r>
            <w:r w:rsidR="00607388">
              <w:t>1</w:t>
            </w:r>
            <w:r w:rsidR="00607388" w:rsidRPr="00A031DC">
              <w:t>b</w:t>
            </w:r>
            <w:r w:rsidRPr="00A031DC">
              <w:t xml:space="preserve">, AME Group’s industry analysis and derived proportion of the base year from NGER data, technological improvement including fuel consumption savings and efficiency factors from </w:t>
            </w:r>
            <w:r w:rsidRPr="00A031DC">
              <w:rPr>
                <w:rFonts w:eastAsia="Times New Roman"/>
                <w:color w:val="000000"/>
                <w:lang w:eastAsia="en-AU"/>
              </w:rPr>
              <w:t>ABMARC 2019</w:t>
            </w:r>
            <w:r w:rsidR="00251E0C" w:rsidRPr="00A031DC">
              <w:rPr>
                <w:rFonts w:eastAsia="Times New Roman"/>
                <w:color w:val="000000"/>
                <w:lang w:eastAsia="en-AU"/>
              </w:rPr>
              <w:t>.</w:t>
            </w:r>
          </w:p>
        </w:tc>
        <w:tc>
          <w:tcPr>
            <w:tcW w:w="1667" w:type="pct"/>
            <w:vMerge/>
          </w:tcPr>
          <w:p w14:paraId="35EC98D7" w14:textId="19BF15A4" w:rsidR="00431043" w:rsidRPr="00A031DC" w:rsidRDefault="00431043" w:rsidP="00537A1C">
            <w:pPr>
              <w:cnfStyle w:val="000000100000" w:firstRow="0" w:lastRow="0" w:firstColumn="0" w:lastColumn="0" w:oddVBand="0" w:evenVBand="0" w:oddHBand="1" w:evenHBand="0" w:firstRowFirstColumn="0" w:firstRowLastColumn="0" w:lastRowFirstColumn="0" w:lastRowLastColumn="0"/>
            </w:pPr>
          </w:p>
        </w:tc>
      </w:tr>
      <w:tr w:rsidR="00D1580A" w:rsidRPr="00842F49" w14:paraId="6787E2EB" w14:textId="77777777" w:rsidTr="002354AC">
        <w:trPr>
          <w:trHeight w:val="710"/>
        </w:trPr>
        <w:tc>
          <w:tcPr>
            <w:cnfStyle w:val="001000000000" w:firstRow="0" w:lastRow="0" w:firstColumn="1" w:lastColumn="0" w:oddVBand="0" w:evenVBand="0" w:oddHBand="0" w:evenHBand="0" w:firstRowFirstColumn="0" w:firstRowLastColumn="0" w:lastRowFirstColumn="0" w:lastRowLastColumn="0"/>
            <w:tcW w:w="1666" w:type="pct"/>
          </w:tcPr>
          <w:p w14:paraId="125D0544" w14:textId="13F23A91" w:rsidR="009C069E" w:rsidRPr="00A031DC" w:rsidRDefault="0065357F" w:rsidP="00537A1C">
            <w:pPr>
              <w:rPr>
                <w:b w:val="0"/>
                <w:lang w:eastAsia="en-AU"/>
              </w:rPr>
            </w:pPr>
            <w:r w:rsidRPr="00A031DC">
              <w:rPr>
                <w:lang w:eastAsia="en-AU"/>
              </w:rPr>
              <w:t>Manufacturing</w:t>
            </w:r>
            <w:r w:rsidR="00BE046F">
              <w:rPr>
                <w:b w:val="0"/>
                <w:lang w:eastAsia="en-AU"/>
              </w:rPr>
              <w:br/>
            </w:r>
            <w:r w:rsidR="009C069E" w:rsidRPr="00A031DC">
              <w:rPr>
                <w:lang w:eastAsia="en-AU"/>
              </w:rPr>
              <w:t>(top down model)</w:t>
            </w:r>
          </w:p>
        </w:tc>
        <w:tc>
          <w:tcPr>
            <w:tcW w:w="1667" w:type="pct"/>
          </w:tcPr>
          <w:p w14:paraId="159FC5F7" w14:textId="6575CA39" w:rsidR="00D1580A" w:rsidRPr="00A031DC" w:rsidRDefault="00D1580A" w:rsidP="00537A1C">
            <w:pPr>
              <w:cnfStyle w:val="000000000000" w:firstRow="0" w:lastRow="0" w:firstColumn="0" w:lastColumn="0" w:oddVBand="0" w:evenVBand="0" w:oddHBand="0" w:evenHBand="0" w:firstRowFirstColumn="0" w:firstRowLastColumn="0" w:lastRowFirstColumn="0" w:lastRowLastColumn="0"/>
              <w:rPr>
                <w:lang w:eastAsia="en-AU"/>
              </w:rPr>
            </w:pPr>
          </w:p>
        </w:tc>
        <w:tc>
          <w:tcPr>
            <w:tcW w:w="1667" w:type="pct"/>
          </w:tcPr>
          <w:p w14:paraId="49EB6B80" w14:textId="6136BB69" w:rsidR="00D1580A" w:rsidRPr="00A031DC" w:rsidRDefault="00D1580A" w:rsidP="00537A1C">
            <w:pPr>
              <w:cnfStyle w:val="000000000000" w:firstRow="0" w:lastRow="0" w:firstColumn="0" w:lastColumn="0" w:oddVBand="0" w:evenVBand="0" w:oddHBand="0" w:evenHBand="0" w:firstRowFirstColumn="0" w:firstRowLastColumn="0" w:lastRowFirstColumn="0" w:lastRowLastColumn="0"/>
            </w:pPr>
          </w:p>
        </w:tc>
      </w:tr>
      <w:tr w:rsidR="00EE47B2" w:rsidRPr="00842F49" w14:paraId="43B08497" w14:textId="77777777" w:rsidTr="002354AC">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666" w:type="pct"/>
          </w:tcPr>
          <w:p w14:paraId="6B37A5AF" w14:textId="13DA0F07" w:rsidR="00EE47B2" w:rsidRPr="00A031DC" w:rsidRDefault="00EE47B2" w:rsidP="00537A1C">
            <w:pPr>
              <w:rPr>
                <w:b w:val="0"/>
                <w:lang w:eastAsia="en-AU"/>
              </w:rPr>
            </w:pPr>
            <w:r w:rsidRPr="00A031DC">
              <w:rPr>
                <w:lang w:eastAsia="en-AU"/>
              </w:rPr>
              <w:t>Non-ferrous metals (alumina; aluminium</w:t>
            </w:r>
            <w:r w:rsidR="00EB3D9C" w:rsidRPr="00A031DC">
              <w:rPr>
                <w:lang w:eastAsia="en-AU"/>
              </w:rPr>
              <w:t>;</w:t>
            </w:r>
            <w:r w:rsidRPr="00A031DC" w:rsidDel="00EB3D9C">
              <w:rPr>
                <w:lang w:eastAsia="en-AU"/>
              </w:rPr>
              <w:t xml:space="preserve"> </w:t>
            </w:r>
            <w:r w:rsidRPr="00A031DC">
              <w:rPr>
                <w:lang w:eastAsia="en-AU"/>
              </w:rPr>
              <w:t>refined nickel</w:t>
            </w:r>
            <w:r w:rsidR="00251E0C" w:rsidRPr="00A031DC">
              <w:rPr>
                <w:lang w:eastAsia="en-AU"/>
              </w:rPr>
              <w:t>, copper, zinc</w:t>
            </w:r>
            <w:r w:rsidR="00C21BB1" w:rsidRPr="00A031DC">
              <w:rPr>
                <w:lang w:eastAsia="en-AU"/>
              </w:rPr>
              <w:t>,</w:t>
            </w:r>
            <w:r w:rsidR="00607388">
              <w:rPr>
                <w:lang w:eastAsia="en-AU"/>
              </w:rPr>
              <w:t xml:space="preserve"> </w:t>
            </w:r>
            <w:r w:rsidR="00607388" w:rsidRPr="00607388">
              <w:rPr>
                <w:lang w:eastAsia="en-AU"/>
              </w:rPr>
              <w:t>lithium,</w:t>
            </w:r>
            <w:r w:rsidR="00BA6E5F">
              <w:rPr>
                <w:lang w:eastAsia="en-AU"/>
              </w:rPr>
              <w:t xml:space="preserve"> </w:t>
            </w:r>
            <w:r w:rsidR="00EB3D9C" w:rsidRPr="00A031DC">
              <w:rPr>
                <w:lang w:eastAsia="en-AU"/>
              </w:rPr>
              <w:t>lead/ acid battery</w:t>
            </w:r>
            <w:r w:rsidR="00251E0C" w:rsidRPr="00A031DC">
              <w:rPr>
                <w:lang w:eastAsia="en-AU"/>
              </w:rPr>
              <w:t>,</w:t>
            </w:r>
            <w:r w:rsidR="00DD4242" w:rsidRPr="00A031DC">
              <w:t xml:space="preserve"> </w:t>
            </w:r>
            <w:r w:rsidR="00DD4242" w:rsidRPr="00A031DC">
              <w:rPr>
                <w:lang w:eastAsia="en-AU"/>
              </w:rPr>
              <w:t>battery recycling, recycled metal, and e-waste</w:t>
            </w:r>
            <w:r w:rsidR="00251E0C" w:rsidRPr="00A031DC">
              <w:rPr>
                <w:lang w:eastAsia="en-AU"/>
              </w:rPr>
              <w:t xml:space="preserve"> </w:t>
            </w:r>
            <w:r w:rsidRPr="00A031DC">
              <w:rPr>
                <w:lang w:eastAsia="en-AU"/>
              </w:rPr>
              <w:t>)</w:t>
            </w:r>
          </w:p>
        </w:tc>
        <w:tc>
          <w:tcPr>
            <w:tcW w:w="1667" w:type="pct"/>
          </w:tcPr>
          <w:p w14:paraId="50DC1F50" w14:textId="57547901" w:rsidR="00EE47B2" w:rsidRPr="00A031DC" w:rsidDel="00A922FF" w:rsidRDefault="00EE47B2" w:rsidP="00607388">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031DC">
              <w:rPr>
                <w:rFonts w:eastAsia="Times New Roman"/>
                <w:color w:val="000000"/>
                <w:lang w:eastAsia="en-AU"/>
              </w:rPr>
              <w:t xml:space="preserve">Production data from </w:t>
            </w:r>
            <w:r w:rsidR="001F4B9F" w:rsidRPr="00A031DC">
              <w:t xml:space="preserve">OCE </w:t>
            </w:r>
            <w:r w:rsidR="00607388" w:rsidRPr="00A031DC">
              <w:t>202</w:t>
            </w:r>
            <w:r w:rsidR="00607388">
              <w:t>1</w:t>
            </w:r>
            <w:r w:rsidR="00607388" w:rsidRPr="00A031DC">
              <w:t>a</w:t>
            </w:r>
            <w:r w:rsidR="001F4B9F" w:rsidRPr="00A031DC">
              <w:t>,</w:t>
            </w:r>
            <w:r w:rsidR="001F4B9F" w:rsidRPr="00A031DC">
              <w:rPr>
                <w:rFonts w:eastAsia="Times New Roman"/>
                <w:color w:val="000000"/>
                <w:lang w:eastAsia="en-AU"/>
              </w:rPr>
              <w:t xml:space="preserve"> </w:t>
            </w:r>
            <w:r w:rsidR="001F4B9F" w:rsidRPr="00A031DC">
              <w:t xml:space="preserve">OCE </w:t>
            </w:r>
            <w:r w:rsidR="00607388" w:rsidRPr="00A031DC">
              <w:t>202</w:t>
            </w:r>
            <w:r w:rsidR="00607388">
              <w:t>1</w:t>
            </w:r>
            <w:r w:rsidR="00607388" w:rsidRPr="00A031DC">
              <w:t>b</w:t>
            </w:r>
            <w:r w:rsidR="001F4B9F" w:rsidRPr="00A031DC">
              <w:t>,</w:t>
            </w:r>
            <w:r w:rsidRPr="00A031DC">
              <w:t xml:space="preserve"> AME Group’s industry analysis and derived proportion of the base year from NGER data</w:t>
            </w:r>
            <w:r w:rsidR="00D62487" w:rsidRPr="00A031DC">
              <w:t xml:space="preserve">, fuel savings and efficiency factors from </w:t>
            </w:r>
            <w:r w:rsidR="00D62487" w:rsidRPr="00A031DC">
              <w:rPr>
                <w:rFonts w:eastAsia="Times New Roman"/>
                <w:color w:val="000000"/>
                <w:lang w:eastAsia="en-AU"/>
              </w:rPr>
              <w:t>Advisian 2020</w:t>
            </w:r>
            <w:r w:rsidR="000A30F9" w:rsidRPr="00A031DC">
              <w:rPr>
                <w:rFonts w:eastAsia="Times New Roman"/>
                <w:color w:val="000000"/>
                <w:lang w:eastAsia="en-AU"/>
              </w:rPr>
              <w:t>.</w:t>
            </w:r>
          </w:p>
        </w:tc>
        <w:tc>
          <w:tcPr>
            <w:tcW w:w="1667" w:type="pct"/>
            <w:vMerge w:val="restart"/>
          </w:tcPr>
          <w:p w14:paraId="67BD3DF7" w14:textId="04F7125E" w:rsidR="00D62487" w:rsidRPr="00A031DC" w:rsidRDefault="00D62487" w:rsidP="00537A1C">
            <w:pPr>
              <w:cnfStyle w:val="000000100000" w:firstRow="0" w:lastRow="0" w:firstColumn="0" w:lastColumn="0" w:oddVBand="0" w:evenVBand="0" w:oddHBand="1" w:evenHBand="0" w:firstRowFirstColumn="0" w:firstRowLastColumn="0" w:lastRowFirstColumn="0" w:lastRowLastColumn="0"/>
            </w:pPr>
            <w:r w:rsidRPr="00A031DC">
              <w:t>E</w:t>
            </w:r>
            <w:r w:rsidRPr="00A031DC">
              <w:rPr>
                <w:vertAlign w:val="subscript"/>
              </w:rPr>
              <w:t>t</w:t>
            </w:r>
            <w:r w:rsidRPr="00A031DC">
              <w:t xml:space="preserve"> = Fc</w:t>
            </w:r>
            <w:r w:rsidRPr="00A031DC">
              <w:rPr>
                <w:vertAlign w:val="subscript"/>
              </w:rPr>
              <w:t>t-1</w:t>
            </w:r>
            <w:r w:rsidRPr="00A031DC">
              <w:t>. Ec. Ef. Fs</w:t>
            </w:r>
            <w:r w:rsidRPr="00A031DC">
              <w:rPr>
                <w:vertAlign w:val="subscript"/>
              </w:rPr>
              <w:t>t</w:t>
            </w:r>
            <w:r w:rsidRPr="00A031DC">
              <w:t xml:space="preserve">. ΔP </w:t>
            </w:r>
          </w:p>
          <w:p w14:paraId="4B5B9186" w14:textId="2F7F4467" w:rsidR="00EE47B2" w:rsidRPr="00A031DC" w:rsidRDefault="00D62487">
            <w:pPr>
              <w:pStyle w:val="Calculations"/>
              <w:cnfStyle w:val="000000100000" w:firstRow="0" w:lastRow="0" w:firstColumn="0" w:lastColumn="0" w:oddVBand="0" w:evenVBand="0" w:oddHBand="1" w:evenHBand="0" w:firstRowFirstColumn="0" w:firstRowLastColumn="0" w:lastRowFirstColumn="0" w:lastRowLastColumn="0"/>
            </w:pPr>
            <w:r w:rsidRPr="00A031DC">
              <w:t xml:space="preserve">Where: </w:t>
            </w:r>
            <w:r w:rsidR="0093191A">
              <w:br/>
            </w:r>
            <w:r w:rsidRPr="00A031DC">
              <w:t>E</w:t>
            </w:r>
            <w:r w:rsidRPr="00A031DC">
              <w:rPr>
                <w:vertAlign w:val="subscript"/>
              </w:rPr>
              <w:t>t</w:t>
            </w:r>
            <w:r w:rsidRPr="00A031DC">
              <w:t xml:space="preserve"> = emissions in year t (Mt CO</w:t>
            </w:r>
            <w:r w:rsidR="0099567A" w:rsidRPr="00042BDA">
              <w:t>₂</w:t>
            </w:r>
            <w:r w:rsidRPr="00A031DC">
              <w:t xml:space="preserve">-e) </w:t>
            </w:r>
            <w:r w:rsidR="0093191A">
              <w:br/>
            </w:r>
            <w:r w:rsidRPr="00A031DC">
              <w:t>Fc</w:t>
            </w:r>
            <w:r w:rsidRPr="00A031DC">
              <w:rPr>
                <w:vertAlign w:val="subscript"/>
              </w:rPr>
              <w:t>t-1</w:t>
            </w:r>
            <w:r w:rsidR="008660A8">
              <w:t xml:space="preserve"> = fuel consumption</w:t>
            </w:r>
            <w:r w:rsidRPr="00A031DC">
              <w:t xml:space="preserve"> in the previous year </w:t>
            </w:r>
            <w:r w:rsidR="0093191A">
              <w:br/>
            </w:r>
            <w:r w:rsidRPr="00A031DC">
              <w:t>Ec= energy content of the fuel</w:t>
            </w:r>
            <w:r w:rsidR="0093191A">
              <w:br/>
            </w:r>
            <w:r w:rsidRPr="00A031DC">
              <w:t>Ef= emissions factor of the fuel</w:t>
            </w:r>
            <w:r w:rsidR="0093191A">
              <w:br/>
            </w:r>
            <w:r w:rsidRPr="00A031DC">
              <w:lastRenderedPageBreak/>
              <w:t>Fs=fuel saving estimates (due to fuel switching, technology and efficiency opportunities</w:t>
            </w:r>
            <w:r w:rsidR="00276782" w:rsidRPr="00A031DC">
              <w:t xml:space="preserve">) </w:t>
            </w:r>
            <w:r w:rsidR="0093191A">
              <w:br/>
            </w:r>
            <w:r w:rsidRPr="00A031DC">
              <w:t>ΔP = percentage change in production between year t and year t-1</w:t>
            </w:r>
            <w:r w:rsidR="0093191A">
              <w:br/>
            </w:r>
          </w:p>
        </w:tc>
      </w:tr>
      <w:tr w:rsidR="00EE47B2" w:rsidRPr="00842F49" w14:paraId="7425D1CC"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4262E8B7" w14:textId="6E76569D" w:rsidR="00EE47B2" w:rsidRPr="00A031DC" w:rsidRDefault="00EE47B2" w:rsidP="00537A1C">
            <w:pPr>
              <w:rPr>
                <w:b w:val="0"/>
                <w:lang w:eastAsia="en-AU"/>
              </w:rPr>
            </w:pPr>
            <w:r w:rsidRPr="00A031DC">
              <w:rPr>
                <w:lang w:eastAsia="en-AU"/>
              </w:rPr>
              <w:lastRenderedPageBreak/>
              <w:t>Non-metallic minerals (cement, lime, plaster and concrete; ceramics; glass and glass products and other)</w:t>
            </w:r>
          </w:p>
        </w:tc>
        <w:tc>
          <w:tcPr>
            <w:tcW w:w="1667" w:type="pct"/>
          </w:tcPr>
          <w:p w14:paraId="6786845A" w14:textId="12F0C738" w:rsidR="00EE47B2" w:rsidRPr="00A031DC" w:rsidDel="00A922FF" w:rsidRDefault="00EE47B2" w:rsidP="00537A1C">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A031DC">
              <w:t>IBISWorld industry report</w:t>
            </w:r>
            <w:r w:rsidR="003067BD" w:rsidRPr="00A031DC">
              <w:t>s</w:t>
            </w:r>
            <w:r w:rsidRPr="00A031DC">
              <w:t xml:space="preserve"> analysis and</w:t>
            </w:r>
            <w:r w:rsidR="00DD4242" w:rsidRPr="00A031DC">
              <w:t xml:space="preserve"> Cement Industry Federation</w:t>
            </w:r>
            <w:r w:rsidR="000954B6" w:rsidRPr="00A031DC">
              <w:t xml:space="preserve"> 2020</w:t>
            </w:r>
            <w:r w:rsidR="00DD4242" w:rsidRPr="00A031DC">
              <w:t xml:space="preserve">; </w:t>
            </w:r>
            <w:r w:rsidRPr="00A031DC">
              <w:t>derived proportion of the base year from NGER data</w:t>
            </w:r>
            <w:r w:rsidR="008923BE" w:rsidRPr="00A031DC">
              <w:t xml:space="preserve">, fuel savings and efficiency factors from </w:t>
            </w:r>
            <w:r w:rsidR="008923BE" w:rsidRPr="00A031DC">
              <w:rPr>
                <w:rFonts w:eastAsia="Times New Roman"/>
                <w:color w:val="000000"/>
                <w:lang w:eastAsia="en-AU"/>
              </w:rPr>
              <w:t>Advisian 2020</w:t>
            </w:r>
            <w:r w:rsidR="000A30F9" w:rsidRPr="00A031DC">
              <w:rPr>
                <w:rFonts w:eastAsia="Times New Roman"/>
                <w:color w:val="000000"/>
                <w:lang w:eastAsia="en-AU"/>
              </w:rPr>
              <w:t>.</w:t>
            </w:r>
          </w:p>
        </w:tc>
        <w:tc>
          <w:tcPr>
            <w:tcW w:w="1667" w:type="pct"/>
            <w:vMerge/>
          </w:tcPr>
          <w:p w14:paraId="2E9062AA" w14:textId="72CAD9FB" w:rsidR="00EE47B2" w:rsidRPr="00A031DC" w:rsidRDefault="00EE47B2" w:rsidP="00537A1C">
            <w:pPr>
              <w:cnfStyle w:val="000000000000" w:firstRow="0" w:lastRow="0" w:firstColumn="0" w:lastColumn="0" w:oddVBand="0" w:evenVBand="0" w:oddHBand="0" w:evenHBand="0" w:firstRowFirstColumn="0" w:firstRowLastColumn="0" w:lastRowFirstColumn="0" w:lastRowLastColumn="0"/>
            </w:pPr>
          </w:p>
        </w:tc>
      </w:tr>
      <w:tr w:rsidR="00EE47B2" w:rsidRPr="00842F49" w14:paraId="2594BA16"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64F6DB9F" w14:textId="4DA4507E" w:rsidR="00EE47B2" w:rsidRPr="00A031DC" w:rsidRDefault="00EE47B2" w:rsidP="00537A1C">
            <w:pPr>
              <w:rPr>
                <w:b w:val="0"/>
                <w:lang w:eastAsia="en-AU"/>
              </w:rPr>
            </w:pPr>
            <w:r w:rsidRPr="00A031DC">
              <w:rPr>
                <w:lang w:eastAsia="en-AU"/>
              </w:rPr>
              <w:t>Iron and steel</w:t>
            </w:r>
          </w:p>
        </w:tc>
        <w:tc>
          <w:tcPr>
            <w:tcW w:w="1667" w:type="pct"/>
          </w:tcPr>
          <w:p w14:paraId="6D545BEB" w14:textId="31B92164" w:rsidR="00EE47B2" w:rsidRPr="00A031DC" w:rsidDel="00A922FF" w:rsidRDefault="00EE47B2" w:rsidP="00607388">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031DC">
              <w:rPr>
                <w:rFonts w:eastAsia="Times New Roman"/>
                <w:color w:val="000000"/>
                <w:lang w:eastAsia="en-AU"/>
              </w:rPr>
              <w:t xml:space="preserve">Production data from </w:t>
            </w:r>
            <w:r w:rsidR="001F4B9F" w:rsidRPr="00A031DC">
              <w:t xml:space="preserve">OCE </w:t>
            </w:r>
            <w:r w:rsidR="00607388" w:rsidRPr="00A031DC">
              <w:t>202</w:t>
            </w:r>
            <w:r w:rsidR="00607388">
              <w:t>1</w:t>
            </w:r>
            <w:r w:rsidR="00607388" w:rsidRPr="00A031DC">
              <w:t>a</w:t>
            </w:r>
            <w:r w:rsidR="001F4B9F" w:rsidRPr="00A031DC">
              <w:t>,</w:t>
            </w:r>
            <w:r w:rsidR="001F4B9F" w:rsidRPr="00A031DC">
              <w:rPr>
                <w:rFonts w:eastAsia="Times New Roman"/>
                <w:color w:val="000000"/>
                <w:lang w:eastAsia="en-AU"/>
              </w:rPr>
              <w:t xml:space="preserve"> </w:t>
            </w:r>
            <w:r w:rsidR="001F4B9F" w:rsidRPr="00A031DC">
              <w:t xml:space="preserve">OCE </w:t>
            </w:r>
            <w:r w:rsidR="00607388" w:rsidRPr="00A031DC">
              <w:t>202</w:t>
            </w:r>
            <w:r w:rsidR="00607388">
              <w:t>1</w:t>
            </w:r>
            <w:r w:rsidR="00607388" w:rsidRPr="00A031DC">
              <w:t>b</w:t>
            </w:r>
            <w:r w:rsidR="001F4B9F" w:rsidRPr="00A031DC">
              <w:t>,</w:t>
            </w:r>
            <w:r w:rsidRPr="00A031DC">
              <w:t xml:space="preserve"> and AME Group’s industry analysis</w:t>
            </w:r>
            <w:r w:rsidR="00D62487" w:rsidRPr="00A031DC">
              <w:t xml:space="preserve">, fuel savings and efficiency factors from </w:t>
            </w:r>
            <w:r w:rsidR="00D62487" w:rsidRPr="00A031DC">
              <w:rPr>
                <w:rFonts w:eastAsia="Times New Roman"/>
                <w:color w:val="000000"/>
                <w:lang w:eastAsia="en-AU"/>
              </w:rPr>
              <w:t>Advisian 2020</w:t>
            </w:r>
            <w:r w:rsidR="000A30F9" w:rsidRPr="00A031DC">
              <w:rPr>
                <w:rFonts w:eastAsia="Times New Roman"/>
                <w:color w:val="000000"/>
                <w:lang w:eastAsia="en-AU"/>
              </w:rPr>
              <w:t>.</w:t>
            </w:r>
          </w:p>
        </w:tc>
        <w:tc>
          <w:tcPr>
            <w:tcW w:w="1667" w:type="pct"/>
            <w:vMerge/>
          </w:tcPr>
          <w:p w14:paraId="58573B8F" w14:textId="1DFAEE07" w:rsidR="00EE47B2" w:rsidRPr="00A031DC" w:rsidRDefault="00EE47B2" w:rsidP="00537A1C">
            <w:pPr>
              <w:cnfStyle w:val="000000100000" w:firstRow="0" w:lastRow="0" w:firstColumn="0" w:lastColumn="0" w:oddVBand="0" w:evenVBand="0" w:oddHBand="1" w:evenHBand="0" w:firstRowFirstColumn="0" w:firstRowLastColumn="0" w:lastRowFirstColumn="0" w:lastRowLastColumn="0"/>
            </w:pPr>
          </w:p>
        </w:tc>
      </w:tr>
      <w:tr w:rsidR="00EE47B2" w:rsidRPr="00842F49" w14:paraId="01E9ACAC"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77968316" w14:textId="26CD73D1" w:rsidR="00EE47B2" w:rsidRPr="00A031DC" w:rsidRDefault="00EE47B2" w:rsidP="00537A1C">
            <w:pPr>
              <w:rPr>
                <w:b w:val="0"/>
                <w:lang w:eastAsia="en-AU"/>
              </w:rPr>
            </w:pPr>
            <w:r w:rsidRPr="00A031DC">
              <w:rPr>
                <w:lang w:eastAsia="en-AU"/>
              </w:rPr>
              <w:t>Pulp, paper and print</w:t>
            </w:r>
          </w:p>
        </w:tc>
        <w:tc>
          <w:tcPr>
            <w:tcW w:w="1667" w:type="pct"/>
          </w:tcPr>
          <w:p w14:paraId="642FDF39" w14:textId="75F89FF1" w:rsidR="00EE47B2" w:rsidRPr="00A031DC" w:rsidDel="00A922FF" w:rsidRDefault="00607388" w:rsidP="00607388">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A031DC">
              <w:t>DISER</w:t>
            </w:r>
            <w:r w:rsidR="0039404A">
              <w:t xml:space="preserve"> </w:t>
            </w:r>
            <w:r w:rsidRPr="00A031DC">
              <w:t>202</w:t>
            </w:r>
            <w:r>
              <w:t>1</w:t>
            </w:r>
            <w:r w:rsidRPr="00A031DC">
              <w:t>a</w:t>
            </w:r>
            <w:r w:rsidR="00EB3D9C" w:rsidRPr="00A031DC">
              <w:t>, final data point</w:t>
            </w:r>
            <w:r w:rsidR="000C7109" w:rsidRPr="00A031DC">
              <w:t xml:space="preserve"> (</w:t>
            </w:r>
            <w:r w:rsidRPr="00A031DC">
              <w:t>202</w:t>
            </w:r>
            <w:r>
              <w:t>1</w:t>
            </w:r>
            <w:r w:rsidR="000C7109" w:rsidRPr="00A031DC">
              <w:t>)</w:t>
            </w:r>
            <w:r w:rsidR="00EB3D9C" w:rsidRPr="00A031DC">
              <w:t xml:space="preserve"> held constant.</w:t>
            </w:r>
          </w:p>
        </w:tc>
        <w:tc>
          <w:tcPr>
            <w:tcW w:w="1667" w:type="pct"/>
            <w:vMerge/>
          </w:tcPr>
          <w:p w14:paraId="1B936DD8" w14:textId="345823CF" w:rsidR="00EE47B2" w:rsidRPr="00A031DC" w:rsidRDefault="00EE47B2" w:rsidP="00537A1C">
            <w:pPr>
              <w:cnfStyle w:val="000000000000" w:firstRow="0" w:lastRow="0" w:firstColumn="0" w:lastColumn="0" w:oddVBand="0" w:evenVBand="0" w:oddHBand="0" w:evenHBand="0" w:firstRowFirstColumn="0" w:firstRowLastColumn="0" w:lastRowFirstColumn="0" w:lastRowLastColumn="0"/>
            </w:pPr>
          </w:p>
        </w:tc>
      </w:tr>
      <w:tr w:rsidR="00EE47B2" w:rsidRPr="00842F49" w14:paraId="1A262F96"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0B62965C" w14:textId="7DD50789" w:rsidR="00EE47B2" w:rsidRPr="00A031DC" w:rsidRDefault="00EE47B2" w:rsidP="00537A1C">
            <w:pPr>
              <w:rPr>
                <w:b w:val="0"/>
                <w:lang w:eastAsia="en-AU"/>
              </w:rPr>
            </w:pPr>
            <w:r w:rsidRPr="00A031DC">
              <w:rPr>
                <w:lang w:eastAsia="en-AU"/>
              </w:rPr>
              <w:t>Chemicals (other petroleum and coal product and basic chemical, chemical and plastic)</w:t>
            </w:r>
          </w:p>
        </w:tc>
        <w:tc>
          <w:tcPr>
            <w:tcW w:w="1667" w:type="pct"/>
          </w:tcPr>
          <w:p w14:paraId="602EF6B3" w14:textId="0F35F771" w:rsidR="00EE47B2" w:rsidRPr="00A031DC" w:rsidDel="00A922FF" w:rsidRDefault="00A95983" w:rsidP="00607388">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031DC">
              <w:rPr>
                <w:rFonts w:eastAsia="Times New Roman"/>
                <w:color w:val="000000"/>
                <w:lang w:eastAsia="en-AU"/>
              </w:rPr>
              <w:t xml:space="preserve">Merchant Research &amp; Consulting Ltd </w:t>
            </w:r>
            <w:r w:rsidR="00EB3D9C" w:rsidRPr="00A031DC">
              <w:t>Ammonia</w:t>
            </w:r>
            <w:r w:rsidRPr="00A031DC">
              <w:t>:</w:t>
            </w:r>
            <w:r w:rsidR="00EB3D9C" w:rsidRPr="00A031DC">
              <w:t xml:space="preserve"> Australia market outlook </w:t>
            </w:r>
            <w:r w:rsidR="00607388" w:rsidRPr="00A031DC">
              <w:t>20</w:t>
            </w:r>
            <w:r w:rsidR="00607388">
              <w:t xml:space="preserve">21 </w:t>
            </w:r>
            <w:r w:rsidR="00EE47B2" w:rsidRPr="00A031DC">
              <w:t>and derived proportion of the base year from NGER data</w:t>
            </w:r>
            <w:r w:rsidR="00D62487" w:rsidRPr="00A031DC">
              <w:t xml:space="preserve">, fuel savings and efficiency factors from </w:t>
            </w:r>
            <w:r w:rsidR="00D62487" w:rsidRPr="00A031DC">
              <w:rPr>
                <w:rFonts w:eastAsia="Times New Roman"/>
                <w:color w:val="000000"/>
                <w:lang w:eastAsia="en-AU"/>
              </w:rPr>
              <w:t>Advisian 2020.</w:t>
            </w:r>
          </w:p>
        </w:tc>
        <w:tc>
          <w:tcPr>
            <w:tcW w:w="1667" w:type="pct"/>
            <w:vMerge/>
          </w:tcPr>
          <w:p w14:paraId="04BB2279" w14:textId="032AF60A" w:rsidR="00EE47B2" w:rsidRPr="00A031DC" w:rsidRDefault="00EE47B2" w:rsidP="00537A1C">
            <w:pPr>
              <w:cnfStyle w:val="000000100000" w:firstRow="0" w:lastRow="0" w:firstColumn="0" w:lastColumn="0" w:oddVBand="0" w:evenVBand="0" w:oddHBand="1" w:evenHBand="0" w:firstRowFirstColumn="0" w:firstRowLastColumn="0" w:lastRowFirstColumn="0" w:lastRowLastColumn="0"/>
            </w:pPr>
          </w:p>
        </w:tc>
      </w:tr>
      <w:tr w:rsidR="00D5742C" w:rsidRPr="00842F49" w14:paraId="475EC3DD"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2B7939B7" w14:textId="1E0CC869" w:rsidR="00D5742C" w:rsidRPr="00A031DC" w:rsidRDefault="00D5742C" w:rsidP="00537A1C">
            <w:pPr>
              <w:rPr>
                <w:b w:val="0"/>
                <w:lang w:eastAsia="en-AU"/>
              </w:rPr>
            </w:pPr>
            <w:r w:rsidRPr="00A031DC">
              <w:rPr>
                <w:lang w:eastAsia="en-AU"/>
              </w:rPr>
              <w:t>Food processing, beverages and tobacco</w:t>
            </w:r>
          </w:p>
        </w:tc>
        <w:tc>
          <w:tcPr>
            <w:tcW w:w="1667" w:type="pct"/>
          </w:tcPr>
          <w:p w14:paraId="64A7F8D8" w14:textId="503CC635" w:rsidR="00D5742C" w:rsidRPr="00A031DC" w:rsidDel="00A922FF" w:rsidRDefault="00EB3D9C" w:rsidP="00537A1C">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A031DC">
              <w:t>n/a</w:t>
            </w:r>
          </w:p>
        </w:tc>
        <w:tc>
          <w:tcPr>
            <w:tcW w:w="1667" w:type="pct"/>
            <w:vMerge w:val="restart"/>
          </w:tcPr>
          <w:p w14:paraId="1B026EBB" w14:textId="1D4ACE9B" w:rsidR="00D5742C" w:rsidRPr="00A031DC" w:rsidRDefault="00C06845" w:rsidP="00537A1C">
            <w:pPr>
              <w:cnfStyle w:val="000000000000" w:firstRow="0" w:lastRow="0" w:firstColumn="0" w:lastColumn="0" w:oddVBand="0" w:evenVBand="0" w:oddHBand="0" w:evenHBand="0" w:firstRowFirstColumn="0" w:firstRowLastColumn="0" w:lastRowFirstColumn="0" w:lastRowLastColumn="0"/>
            </w:pPr>
            <w:r w:rsidRPr="00A031DC">
              <w:rPr>
                <w:lang w:eastAsia="en-AU"/>
              </w:rPr>
              <w:t>10 year historical average emissions growth</w:t>
            </w:r>
          </w:p>
        </w:tc>
      </w:tr>
      <w:tr w:rsidR="00EE47B2" w:rsidRPr="00842F49" w14:paraId="64584B04"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25BF16F3" w14:textId="6B540703" w:rsidR="00EE47B2" w:rsidRPr="00A031DC" w:rsidRDefault="00EE47B2" w:rsidP="00537A1C">
            <w:pPr>
              <w:rPr>
                <w:b w:val="0"/>
                <w:lang w:eastAsia="en-AU"/>
              </w:rPr>
            </w:pPr>
            <w:r w:rsidRPr="00A031DC">
              <w:rPr>
                <w:lang w:eastAsia="en-AU"/>
              </w:rPr>
              <w:t>Other manufacturing</w:t>
            </w:r>
          </w:p>
        </w:tc>
        <w:tc>
          <w:tcPr>
            <w:tcW w:w="1667" w:type="pct"/>
          </w:tcPr>
          <w:p w14:paraId="2EE03561" w14:textId="11032660" w:rsidR="00EE47B2" w:rsidRPr="00A031DC" w:rsidRDefault="00EE47B2" w:rsidP="00537A1C">
            <w:pPr>
              <w:cnfStyle w:val="000000100000" w:firstRow="0" w:lastRow="0" w:firstColumn="0" w:lastColumn="0" w:oddVBand="0" w:evenVBand="0" w:oddHBand="1" w:evenHBand="0" w:firstRowFirstColumn="0" w:firstRowLastColumn="0" w:lastRowFirstColumn="0" w:lastRowLastColumn="0"/>
              <w:rPr>
                <w:lang w:eastAsia="en-AU"/>
              </w:rPr>
            </w:pPr>
            <w:r w:rsidRPr="00A031DC">
              <w:rPr>
                <w:lang w:eastAsia="en-AU"/>
              </w:rPr>
              <w:t>n/a</w:t>
            </w:r>
          </w:p>
        </w:tc>
        <w:tc>
          <w:tcPr>
            <w:tcW w:w="1667" w:type="pct"/>
            <w:vMerge/>
          </w:tcPr>
          <w:p w14:paraId="6A6CA08E" w14:textId="77AAA3E0" w:rsidR="00EE47B2" w:rsidRPr="00A031DC" w:rsidRDefault="00EE47B2" w:rsidP="00537A1C">
            <w:pPr>
              <w:cnfStyle w:val="000000100000" w:firstRow="0" w:lastRow="0" w:firstColumn="0" w:lastColumn="0" w:oddVBand="0" w:evenVBand="0" w:oddHBand="1" w:evenHBand="0" w:firstRowFirstColumn="0" w:firstRowLastColumn="0" w:lastRowFirstColumn="0" w:lastRowLastColumn="0"/>
            </w:pPr>
          </w:p>
        </w:tc>
      </w:tr>
      <w:tr w:rsidR="00E039BA" w:rsidRPr="00842F49" w14:paraId="3A461CEC"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02825A78" w14:textId="50AD1ED6" w:rsidR="009C069E" w:rsidRPr="00A031DC" w:rsidRDefault="00E039BA" w:rsidP="00537A1C">
            <w:pPr>
              <w:rPr>
                <w:b w:val="0"/>
                <w:lang w:eastAsia="en-AU"/>
              </w:rPr>
            </w:pPr>
            <w:r w:rsidRPr="00A031DC">
              <w:rPr>
                <w:lang w:eastAsia="en-AU"/>
              </w:rPr>
              <w:t>Buildings</w:t>
            </w:r>
            <w:r w:rsidR="006B6FFF">
              <w:rPr>
                <w:b w:val="0"/>
                <w:i/>
                <w:lang w:eastAsia="en-AU"/>
              </w:rPr>
              <w:br/>
            </w:r>
            <w:r w:rsidR="009C069E" w:rsidRPr="00A031DC">
              <w:rPr>
                <w:lang w:eastAsia="en-AU"/>
              </w:rPr>
              <w:t>(top down model)</w:t>
            </w:r>
          </w:p>
        </w:tc>
        <w:tc>
          <w:tcPr>
            <w:tcW w:w="1667" w:type="pct"/>
          </w:tcPr>
          <w:p w14:paraId="5DD54F4F" w14:textId="77777777" w:rsidR="00E039BA" w:rsidRPr="00A031DC" w:rsidRDefault="00E039BA" w:rsidP="00537A1C">
            <w:pPr>
              <w:cnfStyle w:val="000000000000" w:firstRow="0" w:lastRow="0" w:firstColumn="0" w:lastColumn="0" w:oddVBand="0" w:evenVBand="0" w:oddHBand="0" w:evenHBand="0" w:firstRowFirstColumn="0" w:firstRowLastColumn="0" w:lastRowFirstColumn="0" w:lastRowLastColumn="0"/>
            </w:pPr>
          </w:p>
        </w:tc>
        <w:tc>
          <w:tcPr>
            <w:tcW w:w="1667" w:type="pct"/>
          </w:tcPr>
          <w:p w14:paraId="5B507FDD" w14:textId="77777777" w:rsidR="00E039BA" w:rsidRPr="00A031DC" w:rsidRDefault="00E039BA" w:rsidP="00537A1C">
            <w:pPr>
              <w:cnfStyle w:val="000000000000" w:firstRow="0" w:lastRow="0" w:firstColumn="0" w:lastColumn="0" w:oddVBand="0" w:evenVBand="0" w:oddHBand="0" w:evenHBand="0" w:firstRowFirstColumn="0" w:firstRowLastColumn="0" w:lastRowFirstColumn="0" w:lastRowLastColumn="0"/>
            </w:pPr>
          </w:p>
        </w:tc>
      </w:tr>
      <w:tr w:rsidR="00D1580A" w:rsidRPr="00842F49" w14:paraId="28A19912"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63192DE8" w14:textId="3020A37C" w:rsidR="00D1580A" w:rsidRPr="00A031DC" w:rsidRDefault="00D1580A" w:rsidP="00537A1C">
            <w:pPr>
              <w:rPr>
                <w:b w:val="0"/>
                <w:lang w:eastAsia="en-AU"/>
              </w:rPr>
            </w:pPr>
            <w:r w:rsidRPr="00A031DC">
              <w:rPr>
                <w:lang w:eastAsia="en-AU"/>
              </w:rPr>
              <w:t xml:space="preserve">Residential and commercial </w:t>
            </w:r>
          </w:p>
        </w:tc>
        <w:tc>
          <w:tcPr>
            <w:tcW w:w="1667" w:type="pct"/>
          </w:tcPr>
          <w:p w14:paraId="46536AB7" w14:textId="2BDB64C5" w:rsidR="00C56DA7" w:rsidRPr="00A031DC" w:rsidRDefault="00CB7D0E" w:rsidP="00537A1C">
            <w:pPr>
              <w:cnfStyle w:val="000000100000" w:firstRow="0" w:lastRow="0" w:firstColumn="0" w:lastColumn="0" w:oddVBand="0" w:evenVBand="0" w:oddHBand="1" w:evenHBand="0" w:firstRowFirstColumn="0" w:firstRowLastColumn="0" w:lastRowFirstColumn="0" w:lastRowLastColumn="0"/>
            </w:pPr>
            <w:r>
              <w:t>AEMO 2020</w:t>
            </w:r>
            <w:r w:rsidR="00214FE3">
              <w:t>c</w:t>
            </w:r>
            <w:r w:rsidR="00EB3D9C" w:rsidRPr="00A031DC">
              <w:t>,</w:t>
            </w:r>
            <w:r w:rsidR="00BC5DB3" w:rsidRPr="00A031DC" w:rsidDel="00607388">
              <w:t xml:space="preserve"> </w:t>
            </w:r>
            <w:r w:rsidR="00607388" w:rsidRPr="00A031DC">
              <w:t>202</w:t>
            </w:r>
            <w:r w:rsidR="00607388">
              <w:t>1</w:t>
            </w:r>
            <w:r w:rsidR="0071457B">
              <w:t>c</w:t>
            </w:r>
            <w:r w:rsidR="00607388" w:rsidRPr="00A031DC">
              <w:t xml:space="preserve"> </w:t>
            </w:r>
            <w:r w:rsidR="00A55EE4" w:rsidRPr="00A031DC">
              <w:t>for annual gas consumptio</w:t>
            </w:r>
            <w:r w:rsidR="009F30B4" w:rsidRPr="00A031DC">
              <w:t xml:space="preserve">n, </w:t>
            </w:r>
            <w:r w:rsidR="00BC5DB3" w:rsidRPr="00A031DC">
              <w:t>DISER</w:t>
            </w:r>
            <w:r w:rsidR="009F30B4" w:rsidRPr="00A031DC">
              <w:t xml:space="preserve"> </w:t>
            </w:r>
            <w:r w:rsidR="00607388" w:rsidRPr="00A031DC">
              <w:t>202</w:t>
            </w:r>
            <w:r w:rsidR="00607388">
              <w:t>1</w:t>
            </w:r>
            <w:r w:rsidR="00607388" w:rsidRPr="00A031DC">
              <w:t xml:space="preserve">c </w:t>
            </w:r>
            <w:r w:rsidR="00486744" w:rsidRPr="00A031DC">
              <w:t xml:space="preserve">for wood and </w:t>
            </w:r>
            <w:r w:rsidR="00276782" w:rsidRPr="00A031DC">
              <w:t>wood waste</w:t>
            </w:r>
            <w:r w:rsidR="00486744" w:rsidRPr="00A031DC">
              <w:t xml:space="preserve"> fuel use, </w:t>
            </w:r>
            <w:r w:rsidR="00BC5DB3" w:rsidRPr="00A031DC">
              <w:t>DISER</w:t>
            </w:r>
            <w:r w:rsidR="009F30B4" w:rsidRPr="00A031DC">
              <w:t xml:space="preserve"> </w:t>
            </w:r>
            <w:r w:rsidR="00607388" w:rsidRPr="00A031DC">
              <w:t>202</w:t>
            </w:r>
            <w:r w:rsidR="00607388">
              <w:t xml:space="preserve">1b </w:t>
            </w:r>
            <w:r w:rsidR="009F30B4" w:rsidRPr="00A031DC">
              <w:t xml:space="preserve">for </w:t>
            </w:r>
            <w:r w:rsidR="00DC1C0E" w:rsidRPr="00A031DC">
              <w:t xml:space="preserve">derived </w:t>
            </w:r>
            <w:r w:rsidR="009F30B4" w:rsidRPr="00A031DC">
              <w:t>proportion of emissions from wood biomass and others</w:t>
            </w:r>
          </w:p>
          <w:p w14:paraId="580303A2" w14:textId="08E4A7A9" w:rsidR="00D1580A" w:rsidRPr="00A031DC" w:rsidRDefault="00BC5DB3" w:rsidP="00607388">
            <w:pPr>
              <w:cnfStyle w:val="000000100000" w:firstRow="0" w:lastRow="0" w:firstColumn="0" w:lastColumn="0" w:oddVBand="0" w:evenVBand="0" w:oddHBand="1" w:evenHBand="0" w:firstRowFirstColumn="0" w:firstRowLastColumn="0" w:lastRowFirstColumn="0" w:lastRowLastColumn="0"/>
            </w:pPr>
            <w:r w:rsidRPr="00A031DC">
              <w:t xml:space="preserve">The share of the residential and commercial buildings emissions for the year </w:t>
            </w:r>
            <w:r w:rsidR="00607388" w:rsidRPr="00A031DC">
              <w:t>202</w:t>
            </w:r>
            <w:r w:rsidR="00607388">
              <w:t>1</w:t>
            </w:r>
            <w:r w:rsidR="00607388" w:rsidRPr="00A031DC">
              <w:t xml:space="preserve"> </w:t>
            </w:r>
            <w:r w:rsidRPr="00A031DC">
              <w:t>and</w:t>
            </w:r>
            <w:r w:rsidRPr="00A031DC" w:rsidDel="00607388">
              <w:t xml:space="preserve"> </w:t>
            </w:r>
            <w:r w:rsidR="00607388" w:rsidRPr="00A031DC">
              <w:t>202</w:t>
            </w:r>
            <w:r w:rsidR="00607388">
              <w:t>2</w:t>
            </w:r>
            <w:r w:rsidR="00607388" w:rsidRPr="00A031DC">
              <w:t xml:space="preserve"> </w:t>
            </w:r>
            <w:r w:rsidRPr="00A031DC">
              <w:t>have been adjusted to consider the impacts of COVID-19</w:t>
            </w:r>
            <w:r w:rsidR="00121F88">
              <w:t>.</w:t>
            </w:r>
          </w:p>
        </w:tc>
        <w:tc>
          <w:tcPr>
            <w:tcW w:w="1667" w:type="pct"/>
          </w:tcPr>
          <w:p w14:paraId="3DEA511A" w14:textId="77777777" w:rsidR="00C56DA7" w:rsidRPr="00A031DC" w:rsidRDefault="00C56DA7" w:rsidP="00537A1C">
            <w:pPr>
              <w:cnfStyle w:val="000000100000" w:firstRow="0" w:lastRow="0" w:firstColumn="0" w:lastColumn="0" w:oddVBand="0" w:evenVBand="0" w:oddHBand="1" w:evenHBand="0" w:firstRowFirstColumn="0" w:firstRowLastColumn="0" w:lastRowFirstColumn="0" w:lastRowLastColumn="0"/>
              <w:rPr>
                <w:vertAlign w:val="subscript"/>
              </w:rPr>
            </w:pPr>
            <w:r w:rsidRPr="00A031DC">
              <w:t>E</w:t>
            </w:r>
            <w:r w:rsidRPr="00A031DC">
              <w:rPr>
                <w:vertAlign w:val="subscript"/>
              </w:rPr>
              <w:t>t=</w:t>
            </w:r>
            <w:r w:rsidRPr="00A031DC">
              <w:t xml:space="preserve"> E</w:t>
            </w:r>
            <w:r w:rsidRPr="00A031DC">
              <w:rPr>
                <w:vertAlign w:val="subscript"/>
              </w:rPr>
              <w:t>wt+</w:t>
            </w:r>
            <w:r w:rsidRPr="00A031DC">
              <w:t xml:space="preserve"> E</w:t>
            </w:r>
            <w:r w:rsidRPr="00A031DC">
              <w:rPr>
                <w:vertAlign w:val="subscript"/>
              </w:rPr>
              <w:t>ot</w:t>
            </w:r>
          </w:p>
          <w:p w14:paraId="61362FCE" w14:textId="77777777" w:rsidR="00C56DA7" w:rsidRPr="00A031DC" w:rsidRDefault="00C56DA7" w:rsidP="00537A1C">
            <w:pPr>
              <w:cnfStyle w:val="000000100000" w:firstRow="0" w:lastRow="0" w:firstColumn="0" w:lastColumn="0" w:oddVBand="0" w:evenVBand="0" w:oddHBand="1" w:evenHBand="0" w:firstRowFirstColumn="0" w:firstRowLastColumn="0" w:lastRowFirstColumn="0" w:lastRowLastColumn="0"/>
            </w:pPr>
            <w:r w:rsidRPr="00A031DC">
              <w:t>E</w:t>
            </w:r>
            <w:r w:rsidRPr="00A031DC">
              <w:rPr>
                <w:vertAlign w:val="subscript"/>
              </w:rPr>
              <w:t>wt</w:t>
            </w:r>
            <w:r w:rsidRPr="00A031DC">
              <w:t xml:space="preserve"> = E</w:t>
            </w:r>
            <w:r w:rsidRPr="00A031DC">
              <w:rPr>
                <w:vertAlign w:val="subscript"/>
              </w:rPr>
              <w:t xml:space="preserve">wt -1 </w:t>
            </w:r>
            <w:r w:rsidRPr="00A031DC">
              <w:rPr>
                <w:b/>
              </w:rPr>
              <w:t>.</w:t>
            </w:r>
            <w:r w:rsidRPr="00A031DC">
              <w:t xml:space="preserve"> Δ Consumption</w:t>
            </w:r>
          </w:p>
          <w:p w14:paraId="76D4D81C" w14:textId="406FFA7C" w:rsidR="00C56DA7" w:rsidRPr="00A031DC" w:rsidRDefault="00C56DA7" w:rsidP="00537A1C">
            <w:pPr>
              <w:cnfStyle w:val="000000100000" w:firstRow="0" w:lastRow="0" w:firstColumn="0" w:lastColumn="0" w:oddVBand="0" w:evenVBand="0" w:oddHBand="1" w:evenHBand="0" w:firstRowFirstColumn="0" w:firstRowLastColumn="0" w:lastRowFirstColumn="0" w:lastRowLastColumn="0"/>
            </w:pPr>
            <w:r w:rsidRPr="00A031DC">
              <w:t>E</w:t>
            </w:r>
            <w:r w:rsidRPr="00A031DC">
              <w:rPr>
                <w:vertAlign w:val="subscript"/>
              </w:rPr>
              <w:t>ot</w:t>
            </w:r>
            <w:r w:rsidRPr="00A031DC">
              <w:t xml:space="preserve"> = E</w:t>
            </w:r>
            <w:r w:rsidRPr="00A031DC">
              <w:rPr>
                <w:vertAlign w:val="subscript"/>
              </w:rPr>
              <w:t xml:space="preserve">ot -1 </w:t>
            </w:r>
            <w:r w:rsidRPr="00A031DC">
              <w:rPr>
                <w:b/>
              </w:rPr>
              <w:t>.</w:t>
            </w:r>
            <w:r w:rsidRPr="00A031DC">
              <w:t xml:space="preserve"> Δ</w:t>
            </w:r>
            <w:r w:rsidR="00BA6E5F">
              <w:t xml:space="preserve"> </w:t>
            </w:r>
            <w:r w:rsidRPr="00A031DC">
              <w:t>Demand</w:t>
            </w:r>
          </w:p>
          <w:p w14:paraId="0BAA8AF5" w14:textId="69CCD1BD" w:rsidR="00D1580A" w:rsidRPr="00A031DC" w:rsidRDefault="00D1580A">
            <w:pPr>
              <w:pStyle w:val="Calculations"/>
              <w:cnfStyle w:val="000000100000" w:firstRow="0" w:lastRow="0" w:firstColumn="0" w:lastColumn="0" w:oddVBand="0" w:evenVBand="0" w:oddHBand="1" w:evenHBand="0" w:firstRowFirstColumn="0" w:firstRowLastColumn="0" w:lastRowFirstColumn="0" w:lastRowLastColumn="0"/>
              <w:rPr>
                <w:vertAlign w:val="subscript"/>
              </w:rPr>
            </w:pPr>
            <w:r w:rsidRPr="00A031DC">
              <w:t xml:space="preserve">Where: </w:t>
            </w:r>
            <w:r w:rsidRPr="00A031DC">
              <w:br/>
            </w:r>
            <w:r w:rsidR="00C56DA7" w:rsidRPr="00A031DC">
              <w:t>E</w:t>
            </w:r>
            <w:r w:rsidR="00C56DA7" w:rsidRPr="00A031DC">
              <w:rPr>
                <w:vertAlign w:val="subscript"/>
              </w:rPr>
              <w:t>tr</w:t>
            </w:r>
            <w:r w:rsidR="00C56DA7" w:rsidRPr="00A031DC">
              <w:t xml:space="preserve"> = emissions in year t</w:t>
            </w:r>
            <w:r w:rsidR="00C56DA7" w:rsidRPr="00A031DC">
              <w:rPr>
                <w:vertAlign w:val="subscript"/>
              </w:rPr>
              <w:t xml:space="preserve"> </w:t>
            </w:r>
            <w:r w:rsidR="00C56DA7" w:rsidRPr="00A031DC">
              <w:t>(Mt CO</w:t>
            </w:r>
            <w:r w:rsidR="0099567A" w:rsidRPr="00042BDA">
              <w:t>₂</w:t>
            </w:r>
            <w:r w:rsidR="00C56DA7" w:rsidRPr="00A031DC">
              <w:t>-e)</w:t>
            </w:r>
            <w:r w:rsidR="00C56DA7" w:rsidRPr="00A031DC">
              <w:br/>
              <w:t>E</w:t>
            </w:r>
            <w:r w:rsidR="00C56DA7" w:rsidRPr="00A031DC">
              <w:rPr>
                <w:vertAlign w:val="subscript"/>
              </w:rPr>
              <w:t>wt</w:t>
            </w:r>
            <w:r w:rsidR="00C56DA7" w:rsidRPr="00A031DC">
              <w:t>= emissions in year t</w:t>
            </w:r>
            <w:r w:rsidR="00C56DA7" w:rsidRPr="00A031DC">
              <w:rPr>
                <w:vertAlign w:val="subscript"/>
              </w:rPr>
              <w:t xml:space="preserve"> </w:t>
            </w:r>
            <w:r w:rsidR="00C56DA7" w:rsidRPr="00A031DC">
              <w:t>(Mt CO</w:t>
            </w:r>
            <w:r w:rsidR="0099567A" w:rsidRPr="00042BDA">
              <w:t>₂</w:t>
            </w:r>
            <w:r w:rsidR="00C56DA7" w:rsidRPr="00A031DC">
              <w:t xml:space="preserve">-e ) from burning wood biomass at residential buildings </w:t>
            </w:r>
            <w:r w:rsidR="00A031DC">
              <w:rPr>
                <w:vertAlign w:val="subscript"/>
              </w:rPr>
              <w:br/>
            </w:r>
            <w:r w:rsidR="00C56DA7" w:rsidRPr="00A031DC">
              <w:t>Eo/w</w:t>
            </w:r>
            <w:r w:rsidR="00C56DA7" w:rsidRPr="00A031DC">
              <w:rPr>
                <w:vertAlign w:val="subscript"/>
              </w:rPr>
              <w:t>t-1</w:t>
            </w:r>
            <w:r w:rsidR="00C56DA7" w:rsidRPr="00A031DC">
              <w:t xml:space="preserve"> = emissions in the previous year from consumption of wood or other fuels </w:t>
            </w:r>
            <w:r w:rsidR="00A031DC">
              <w:rPr>
                <w:vertAlign w:val="subscript"/>
              </w:rPr>
              <w:br/>
            </w:r>
            <w:r w:rsidR="00C56DA7" w:rsidRPr="00A031DC">
              <w:t>Δ</w:t>
            </w:r>
            <w:r w:rsidR="00C56DA7" w:rsidRPr="00A031DC">
              <w:rPr>
                <w:vertAlign w:val="subscript"/>
              </w:rPr>
              <w:t xml:space="preserve"> </w:t>
            </w:r>
            <w:r w:rsidR="00C56DA7" w:rsidRPr="00A031DC">
              <w:t>Demand = percentage change in gas consumption in commercial /residential buildings between year t and year t-1</w:t>
            </w:r>
            <w:r w:rsidR="00A031DC">
              <w:rPr>
                <w:vertAlign w:val="subscript"/>
              </w:rPr>
              <w:br/>
            </w:r>
            <w:r w:rsidR="00C56DA7" w:rsidRPr="00A031DC">
              <w:t>Δ</w:t>
            </w:r>
            <w:r w:rsidR="00C56DA7" w:rsidRPr="00A031DC">
              <w:rPr>
                <w:vertAlign w:val="subscript"/>
              </w:rPr>
              <w:t xml:space="preserve"> </w:t>
            </w:r>
            <w:r w:rsidR="00C56DA7" w:rsidRPr="00A031DC">
              <w:t xml:space="preserve">Consumption = percentage </w:t>
            </w:r>
            <w:r w:rsidR="00C56DA7" w:rsidRPr="00A031DC">
              <w:lastRenderedPageBreak/>
              <w:t>change in wood consumption between year t and year t-1</w:t>
            </w:r>
          </w:p>
        </w:tc>
      </w:tr>
      <w:tr w:rsidR="00E039BA" w:rsidRPr="00842F49" w14:paraId="480E1EEF"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7447B239" w14:textId="29871D3C" w:rsidR="00E039BA" w:rsidRPr="00A031DC" w:rsidRDefault="00E039BA" w:rsidP="00537A1C">
            <w:pPr>
              <w:rPr>
                <w:b w:val="0"/>
                <w:lang w:eastAsia="en-AU"/>
              </w:rPr>
            </w:pPr>
            <w:r w:rsidRPr="00A031DC">
              <w:rPr>
                <w:lang w:eastAsia="en-AU"/>
              </w:rPr>
              <w:lastRenderedPageBreak/>
              <w:t>Construction</w:t>
            </w:r>
          </w:p>
        </w:tc>
        <w:tc>
          <w:tcPr>
            <w:tcW w:w="1667" w:type="pct"/>
          </w:tcPr>
          <w:p w14:paraId="7D8D3CEC" w14:textId="4700AC67" w:rsidR="00E039BA" w:rsidRPr="00A031DC" w:rsidRDefault="0003514A" w:rsidP="007F0D2F">
            <w:pPr>
              <w:cnfStyle w:val="000000000000" w:firstRow="0" w:lastRow="0" w:firstColumn="0" w:lastColumn="0" w:oddVBand="0" w:evenVBand="0" w:oddHBand="0" w:evenHBand="0" w:firstRowFirstColumn="0" w:firstRowLastColumn="0" w:lastRowFirstColumn="0" w:lastRowLastColumn="0"/>
            </w:pPr>
            <w:r w:rsidRPr="00A031DC">
              <w:t>Activity d</w:t>
            </w:r>
            <w:r w:rsidR="00654A7C" w:rsidRPr="00A031DC">
              <w:t xml:space="preserve">ata from </w:t>
            </w:r>
            <w:r w:rsidR="007F0D2F" w:rsidRPr="007F0D2F">
              <w:t>Australian Construction Industry Forum (ACIF) 2021</w:t>
            </w:r>
            <w:r w:rsidR="007F0D2F" w:rsidRPr="007F0D2F">
              <w:rPr>
                <w:color w:val="FF0000"/>
              </w:rPr>
              <w:t>.</w:t>
            </w:r>
          </w:p>
        </w:tc>
        <w:tc>
          <w:tcPr>
            <w:tcW w:w="1667" w:type="pct"/>
          </w:tcPr>
          <w:p w14:paraId="47319EBF" w14:textId="0F3EBD9D" w:rsidR="00654A7C" w:rsidRPr="00A031DC" w:rsidRDefault="00654A7C" w:rsidP="00537A1C">
            <w:pPr>
              <w:cnfStyle w:val="000000000000" w:firstRow="0" w:lastRow="0" w:firstColumn="0" w:lastColumn="0" w:oddVBand="0" w:evenVBand="0" w:oddHBand="0" w:evenHBand="0" w:firstRowFirstColumn="0" w:firstRowLastColumn="0" w:lastRowFirstColumn="0" w:lastRowLastColumn="0"/>
            </w:pPr>
            <w:r w:rsidRPr="00A031DC">
              <w:t>E</w:t>
            </w:r>
            <w:r w:rsidRPr="00A031DC">
              <w:rPr>
                <w:vertAlign w:val="subscript"/>
              </w:rPr>
              <w:t>t</w:t>
            </w:r>
            <w:r w:rsidRPr="00A031DC">
              <w:t xml:space="preserve"> = E</w:t>
            </w:r>
            <w:r w:rsidRPr="00A031DC">
              <w:rPr>
                <w:vertAlign w:val="subscript"/>
              </w:rPr>
              <w:t xml:space="preserve">t-1 </w:t>
            </w:r>
            <w:r w:rsidR="003067BD" w:rsidRPr="00A031DC">
              <w:rPr>
                <w:b/>
              </w:rPr>
              <w:t>.</w:t>
            </w:r>
            <w:r w:rsidRPr="00A031DC">
              <w:t xml:space="preserve"> Δ </w:t>
            </w:r>
            <w:r w:rsidR="0003514A" w:rsidRPr="00A031DC">
              <w:t>Activity</w:t>
            </w:r>
          </w:p>
          <w:p w14:paraId="2E6732A1" w14:textId="71972662" w:rsidR="00E039BA" w:rsidRPr="00A031DC" w:rsidRDefault="00654A7C">
            <w:pPr>
              <w:pStyle w:val="Calculations"/>
              <w:cnfStyle w:val="000000000000" w:firstRow="0" w:lastRow="0" w:firstColumn="0" w:lastColumn="0" w:oddVBand="0" w:evenVBand="0" w:oddHBand="0" w:evenHBand="0" w:firstRowFirstColumn="0" w:firstRowLastColumn="0" w:lastRowFirstColumn="0" w:lastRowLastColumn="0"/>
            </w:pPr>
            <w:r w:rsidRPr="00A031DC">
              <w:t xml:space="preserve">Where: </w:t>
            </w:r>
            <w:r w:rsidRPr="00A031DC">
              <w:br/>
              <w:t>E</w:t>
            </w:r>
            <w:r w:rsidRPr="00A031DC">
              <w:rPr>
                <w:vertAlign w:val="subscript"/>
              </w:rPr>
              <w:t>t</w:t>
            </w:r>
            <w:r w:rsidRPr="00A031DC">
              <w:t xml:space="preserve"> = emissions in year t</w:t>
            </w:r>
            <w:r w:rsidR="00FB329E" w:rsidRPr="00A031DC">
              <w:rPr>
                <w:vertAlign w:val="subscript"/>
              </w:rPr>
              <w:t xml:space="preserve"> </w:t>
            </w:r>
            <w:r w:rsidRPr="00A031DC">
              <w:t>(Mt CO</w:t>
            </w:r>
            <w:r w:rsidR="0099567A" w:rsidRPr="00042BDA">
              <w:t>₂</w:t>
            </w:r>
            <w:r w:rsidRPr="00A031DC">
              <w:t>-e)</w:t>
            </w:r>
            <w:r w:rsidRPr="00A031DC">
              <w:br/>
              <w:t>E</w:t>
            </w:r>
            <w:r w:rsidRPr="00A031DC">
              <w:rPr>
                <w:vertAlign w:val="subscript"/>
              </w:rPr>
              <w:t>t-1</w:t>
            </w:r>
            <w:r w:rsidRPr="00A031DC">
              <w:t xml:space="preserve"> = emissions in the previous year</w:t>
            </w:r>
            <w:r w:rsidRPr="00A031DC">
              <w:br/>
              <w:t>Δ</w:t>
            </w:r>
            <w:r w:rsidRPr="00A031DC">
              <w:rPr>
                <w:vertAlign w:val="subscript"/>
              </w:rPr>
              <w:t xml:space="preserve"> </w:t>
            </w:r>
            <w:r w:rsidR="0003514A" w:rsidRPr="00A031DC">
              <w:t>Activity</w:t>
            </w:r>
            <w:r w:rsidRPr="00A031DC">
              <w:t xml:space="preserve"> = percentage change in </w:t>
            </w:r>
            <w:r w:rsidR="0003514A" w:rsidRPr="00A031DC">
              <w:t>activity</w:t>
            </w:r>
            <w:r w:rsidRPr="00A031DC">
              <w:t xml:space="preserve"> between year t and year t-1</w:t>
            </w:r>
          </w:p>
        </w:tc>
      </w:tr>
      <w:tr w:rsidR="00D1580A" w:rsidRPr="00842F49" w14:paraId="7A2AD21B"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6" w:type="pct"/>
          </w:tcPr>
          <w:p w14:paraId="431E1ECF" w14:textId="1C84D375" w:rsidR="006B6FFF" w:rsidRPr="00A031DC" w:rsidRDefault="00D1580A" w:rsidP="00537A1C">
            <w:pPr>
              <w:rPr>
                <w:lang w:eastAsia="en-AU"/>
              </w:rPr>
            </w:pPr>
            <w:r w:rsidRPr="00A031DC">
              <w:rPr>
                <w:lang w:eastAsia="en-AU"/>
              </w:rPr>
              <w:t>Agriculture, forestry and fishing</w:t>
            </w:r>
            <w:r w:rsidR="009C069E" w:rsidRPr="00A031DC">
              <w:rPr>
                <w:lang w:eastAsia="en-AU"/>
              </w:rPr>
              <w:t xml:space="preserve"> </w:t>
            </w:r>
          </w:p>
          <w:p w14:paraId="5A7A06A1" w14:textId="19BCE646" w:rsidR="00D1580A" w:rsidRPr="00A031DC" w:rsidRDefault="009C069E" w:rsidP="00537A1C">
            <w:pPr>
              <w:rPr>
                <w:b w:val="0"/>
                <w:lang w:eastAsia="en-AU"/>
              </w:rPr>
            </w:pPr>
            <w:r w:rsidRPr="00A031DC">
              <w:rPr>
                <w:lang w:eastAsia="en-AU"/>
              </w:rPr>
              <w:t>(top down model)</w:t>
            </w:r>
          </w:p>
        </w:tc>
        <w:tc>
          <w:tcPr>
            <w:tcW w:w="1667" w:type="pct"/>
          </w:tcPr>
          <w:p w14:paraId="165D2615" w14:textId="2B7AE506" w:rsidR="00D1580A" w:rsidRPr="00A031DC" w:rsidRDefault="00C56DA7" w:rsidP="007F0D2F">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031DC">
              <w:t xml:space="preserve">Farm production data from ABARES </w:t>
            </w:r>
            <w:r w:rsidR="007F0D2F" w:rsidRPr="00A031DC">
              <w:t>202</w:t>
            </w:r>
            <w:r w:rsidR="007F0D2F">
              <w:t>1</w:t>
            </w:r>
            <w:r w:rsidR="007F0D2F" w:rsidRPr="00A031DC">
              <w:t xml:space="preserve">a </w:t>
            </w:r>
            <w:r w:rsidRPr="00A031DC">
              <w:t xml:space="preserve">and </w:t>
            </w:r>
            <w:r w:rsidR="007F0D2F" w:rsidRPr="00A031DC">
              <w:t>202</w:t>
            </w:r>
            <w:r w:rsidR="007F0D2F">
              <w:t>1</w:t>
            </w:r>
            <w:r w:rsidR="007F0D2F" w:rsidRPr="00A031DC">
              <w:t>b</w:t>
            </w:r>
            <w:r w:rsidRPr="00A031DC">
              <w:t xml:space="preserve">. </w:t>
            </w:r>
            <w:r w:rsidR="00A60515" w:rsidRPr="00A031DC">
              <w:t>A</w:t>
            </w:r>
            <w:r w:rsidRPr="00A031DC">
              <w:t>verage rate of change in diesel consumption derived from NGER data</w:t>
            </w:r>
            <w:r w:rsidR="00A60515" w:rsidRPr="00A031DC">
              <w:t>.</w:t>
            </w:r>
          </w:p>
        </w:tc>
        <w:tc>
          <w:tcPr>
            <w:tcW w:w="1667" w:type="pct"/>
          </w:tcPr>
          <w:p w14:paraId="215FFE3A" w14:textId="02520C3B" w:rsidR="00C56DA7" w:rsidRPr="00A031DC" w:rsidRDefault="00C56DA7" w:rsidP="00537A1C">
            <w:pPr>
              <w:cnfStyle w:val="000000100000" w:firstRow="0" w:lastRow="0" w:firstColumn="0" w:lastColumn="0" w:oddVBand="0" w:evenVBand="0" w:oddHBand="1" w:evenHBand="0" w:firstRowFirstColumn="0" w:firstRowLastColumn="0" w:lastRowFirstColumn="0" w:lastRowLastColumn="0"/>
            </w:pPr>
            <w:r w:rsidRPr="00A031DC">
              <w:t>E</w:t>
            </w:r>
            <w:r w:rsidRPr="00A031DC">
              <w:rPr>
                <w:vertAlign w:val="subscript"/>
              </w:rPr>
              <w:t>t</w:t>
            </w:r>
            <w:r w:rsidRPr="00A031DC">
              <w:t xml:space="preserve"> = </w:t>
            </w:r>
            <w:r w:rsidR="003838E8" w:rsidRPr="00A031DC">
              <w:t>(</w:t>
            </w:r>
            <w:r w:rsidRPr="00A031DC">
              <w:t>E</w:t>
            </w:r>
            <w:r w:rsidRPr="00A031DC">
              <w:rPr>
                <w:vertAlign w:val="subscript"/>
              </w:rPr>
              <w:t xml:space="preserve">t-1 </w:t>
            </w:r>
            <w:r w:rsidRPr="00A031DC">
              <w:rPr>
                <w:b/>
              </w:rPr>
              <w:t>.</w:t>
            </w:r>
            <w:r w:rsidRPr="00A031DC">
              <w:t xml:space="preserve"> Δ Production</w:t>
            </w:r>
            <w:r w:rsidR="003838E8" w:rsidRPr="00A031DC">
              <w:t xml:space="preserve">) * </w:t>
            </w:r>
            <w:r w:rsidRPr="00A031DC">
              <w:t>(1-Dcr)</w:t>
            </w:r>
          </w:p>
          <w:p w14:paraId="375543FC" w14:textId="4EA87EED" w:rsidR="00C56DA7" w:rsidRPr="00A031DC" w:rsidRDefault="00C56DA7" w:rsidP="00537A1C">
            <w:pPr>
              <w:pStyle w:val="Calculations"/>
              <w:cnfStyle w:val="000000100000" w:firstRow="0" w:lastRow="0" w:firstColumn="0" w:lastColumn="0" w:oddVBand="0" w:evenVBand="0" w:oddHBand="1" w:evenHBand="0" w:firstRowFirstColumn="0" w:firstRowLastColumn="0" w:lastRowFirstColumn="0" w:lastRowLastColumn="0"/>
            </w:pPr>
            <w:r w:rsidRPr="00A031DC">
              <w:t xml:space="preserve">Where: </w:t>
            </w:r>
            <w:r w:rsidRPr="00A031DC">
              <w:br/>
              <w:t>E</w:t>
            </w:r>
            <w:r w:rsidRPr="00A031DC">
              <w:rPr>
                <w:vertAlign w:val="subscript"/>
              </w:rPr>
              <w:t>t</w:t>
            </w:r>
            <w:r w:rsidRPr="00A031DC">
              <w:t xml:space="preserve"> = emissions in year t</w:t>
            </w:r>
            <w:r w:rsidRPr="00A031DC">
              <w:rPr>
                <w:vertAlign w:val="subscript"/>
              </w:rPr>
              <w:t xml:space="preserve"> </w:t>
            </w:r>
            <w:r w:rsidRPr="00A031DC">
              <w:t>(Mt CO</w:t>
            </w:r>
            <w:r w:rsidR="0099567A" w:rsidRPr="00042BDA">
              <w:t>₂</w:t>
            </w:r>
            <w:r w:rsidRPr="00A031DC">
              <w:t>-e)</w:t>
            </w:r>
            <w:r w:rsidRPr="00A031DC">
              <w:br/>
              <w:t>E</w:t>
            </w:r>
            <w:r w:rsidRPr="00A031DC">
              <w:rPr>
                <w:vertAlign w:val="subscript"/>
              </w:rPr>
              <w:t>t-1</w:t>
            </w:r>
            <w:r w:rsidRPr="00A031DC">
              <w:t xml:space="preserve"> = emissions in the previous year</w:t>
            </w:r>
            <w:r w:rsidR="00EE25DA">
              <w:br/>
            </w:r>
            <w:r w:rsidRPr="00A031DC">
              <w:t>Δ</w:t>
            </w:r>
            <w:r w:rsidRPr="00A031DC">
              <w:rPr>
                <w:vertAlign w:val="subscript"/>
              </w:rPr>
              <w:t xml:space="preserve"> </w:t>
            </w:r>
            <w:r w:rsidRPr="00A031DC">
              <w:t>Production = percentage change in production between year t and year t-1</w:t>
            </w:r>
            <w:r w:rsidR="00A031DC">
              <w:br/>
            </w:r>
            <w:r w:rsidRPr="00A031DC">
              <w:t>Dcr=average rate of change in diesel consumption</w:t>
            </w:r>
            <w:r w:rsidR="00A60515" w:rsidRPr="00A031DC">
              <w:t xml:space="preserve"> per unit of production</w:t>
            </w:r>
          </w:p>
          <w:p w14:paraId="0E8AB412" w14:textId="5D1DE6E6" w:rsidR="00D1580A" w:rsidRPr="00A031DC" w:rsidRDefault="00C56DA7" w:rsidP="00537A1C">
            <w:pPr>
              <w:cnfStyle w:val="000000100000" w:firstRow="0" w:lastRow="0" w:firstColumn="0" w:lastColumn="0" w:oddVBand="0" w:evenVBand="0" w:oddHBand="1" w:evenHBand="0" w:firstRowFirstColumn="0" w:firstRowLastColumn="0" w:lastRowFirstColumn="0" w:lastRowLastColumn="0"/>
              <w:rPr>
                <w:color w:val="000000"/>
                <w:lang w:eastAsia="en-AU"/>
              </w:rPr>
            </w:pPr>
            <w:r w:rsidRPr="00A031DC">
              <w:t>Emissions held constant at 2024 level</w:t>
            </w:r>
            <w:r w:rsidRPr="00A031DC">
              <w:rPr>
                <w:i/>
              </w:rPr>
              <w:t>.</w:t>
            </w:r>
          </w:p>
        </w:tc>
      </w:tr>
      <w:tr w:rsidR="00D1580A" w:rsidRPr="00842F49" w14:paraId="5F728798"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666" w:type="pct"/>
          </w:tcPr>
          <w:p w14:paraId="4DB30260" w14:textId="77777777" w:rsidR="00733053" w:rsidRPr="00A031DC" w:rsidRDefault="00D1580A" w:rsidP="00537A1C">
            <w:pPr>
              <w:rPr>
                <w:lang w:eastAsia="en-AU"/>
              </w:rPr>
            </w:pPr>
            <w:r w:rsidRPr="00A031DC">
              <w:rPr>
                <w:lang w:eastAsia="en-AU"/>
              </w:rPr>
              <w:t>Other (military)</w:t>
            </w:r>
            <w:r w:rsidR="009C069E" w:rsidRPr="00A031DC">
              <w:rPr>
                <w:lang w:eastAsia="en-AU"/>
              </w:rPr>
              <w:t xml:space="preserve"> </w:t>
            </w:r>
          </w:p>
          <w:p w14:paraId="57CB3F28" w14:textId="676F0506" w:rsidR="00D1580A" w:rsidRPr="00A031DC" w:rsidRDefault="009C069E" w:rsidP="00537A1C">
            <w:pPr>
              <w:rPr>
                <w:b w:val="0"/>
                <w:lang w:eastAsia="en-AU"/>
              </w:rPr>
            </w:pPr>
            <w:r w:rsidRPr="00A031DC">
              <w:rPr>
                <w:lang w:eastAsia="en-AU"/>
              </w:rPr>
              <w:t>(top down model)</w:t>
            </w:r>
          </w:p>
        </w:tc>
        <w:tc>
          <w:tcPr>
            <w:tcW w:w="1667" w:type="pct"/>
          </w:tcPr>
          <w:p w14:paraId="2B42CA5C" w14:textId="5286C9C3" w:rsidR="00D1580A" w:rsidRPr="00A031DC" w:rsidRDefault="00BC5DB3" w:rsidP="00537A1C">
            <w:pPr>
              <w:cnfStyle w:val="000000000000" w:firstRow="0" w:lastRow="0" w:firstColumn="0" w:lastColumn="0" w:oddVBand="0" w:evenVBand="0" w:oddHBand="0" w:evenHBand="0" w:firstRowFirstColumn="0" w:firstRowLastColumn="0" w:lastRowFirstColumn="0" w:lastRowLastColumn="0"/>
              <w:rPr>
                <w:lang w:eastAsia="en-AU"/>
              </w:rPr>
            </w:pPr>
            <w:r w:rsidRPr="00A031DC" w:rsidDel="00B5648F">
              <w:rPr>
                <w:lang w:eastAsia="en-AU"/>
              </w:rPr>
              <w:t>DISER</w:t>
            </w:r>
            <w:r w:rsidR="00063FED" w:rsidRPr="00A031DC" w:rsidDel="00B5648F">
              <w:rPr>
                <w:lang w:eastAsia="en-AU"/>
              </w:rPr>
              <w:t xml:space="preserve"> </w:t>
            </w:r>
            <w:r w:rsidR="00B5648F">
              <w:rPr>
                <w:lang w:eastAsia="en-AU"/>
              </w:rPr>
              <w:t>2021b</w:t>
            </w:r>
            <w:r w:rsidR="00B16351" w:rsidRPr="00A031DC">
              <w:rPr>
                <w:lang w:eastAsia="en-AU"/>
              </w:rPr>
              <w:t xml:space="preserve"> </w:t>
            </w:r>
          </w:p>
        </w:tc>
        <w:tc>
          <w:tcPr>
            <w:tcW w:w="1667" w:type="pct"/>
          </w:tcPr>
          <w:p w14:paraId="3C59E352" w14:textId="77777777" w:rsidR="00D1580A" w:rsidRPr="00A031DC" w:rsidRDefault="00D1580A" w:rsidP="00537A1C">
            <w:pPr>
              <w:cnfStyle w:val="000000000000" w:firstRow="0" w:lastRow="0" w:firstColumn="0" w:lastColumn="0" w:oddVBand="0" w:evenVBand="0" w:oddHBand="0" w:evenHBand="0" w:firstRowFirstColumn="0" w:firstRowLastColumn="0" w:lastRowFirstColumn="0" w:lastRowLastColumn="0"/>
              <w:rPr>
                <w:lang w:eastAsia="en-AU"/>
              </w:rPr>
            </w:pPr>
            <w:r w:rsidRPr="00A031DC">
              <w:rPr>
                <w:lang w:eastAsia="en-AU"/>
              </w:rPr>
              <w:t>10 year average of historical emissions</w:t>
            </w:r>
          </w:p>
        </w:tc>
      </w:tr>
    </w:tbl>
    <w:p w14:paraId="2A1AE18B" w14:textId="4C74894F" w:rsidR="00C96C32" w:rsidRDefault="00C96C32" w:rsidP="00537A1C">
      <w:pPr>
        <w:rPr>
          <w:rFonts w:cs="Arial"/>
        </w:rPr>
      </w:pPr>
      <w:bookmarkStart w:id="16" w:name="_Toc510532004"/>
      <w:bookmarkStart w:id="17" w:name="_Toc510532534"/>
      <w:bookmarkStart w:id="18" w:name="_Toc510534098"/>
      <w:bookmarkStart w:id="19" w:name="_Toc510794627"/>
      <w:bookmarkStart w:id="20" w:name="_Toc511297986"/>
      <w:bookmarkStart w:id="21" w:name="_Toc511304015"/>
      <w:bookmarkStart w:id="22" w:name="_Toc511918019"/>
      <w:r>
        <w:br w:type="page"/>
      </w:r>
    </w:p>
    <w:p w14:paraId="0D1C7BD6" w14:textId="19B1548C" w:rsidR="000E7071" w:rsidRDefault="000E7071" w:rsidP="00537A1C">
      <w:pPr>
        <w:pStyle w:val="Heading1"/>
      </w:pPr>
      <w:r w:rsidRPr="00224D6E">
        <w:lastRenderedPageBreak/>
        <w:t>Transport</w:t>
      </w:r>
      <w:bookmarkEnd w:id="16"/>
      <w:bookmarkEnd w:id="17"/>
      <w:bookmarkEnd w:id="18"/>
      <w:bookmarkEnd w:id="19"/>
      <w:bookmarkEnd w:id="20"/>
      <w:bookmarkEnd w:id="21"/>
      <w:bookmarkEnd w:id="22"/>
    </w:p>
    <w:p w14:paraId="3DE6E875" w14:textId="4C48A1D9" w:rsidR="00C8554C" w:rsidRPr="00A031DC" w:rsidRDefault="000E7B6C" w:rsidP="00C8571C">
      <w:pPr>
        <w:pStyle w:val="BodyText"/>
        <w:rPr>
          <w:rFonts w:cs="Calibri"/>
          <w:color w:val="auto"/>
          <w:sz w:val="22"/>
          <w:lang w:eastAsia="en-US"/>
        </w:rPr>
      </w:pPr>
      <w:r w:rsidRPr="00A031DC">
        <w:rPr>
          <w:rFonts w:cs="Calibri"/>
          <w:color w:val="auto"/>
          <w:sz w:val="22"/>
          <w:lang w:eastAsia="en-US"/>
        </w:rPr>
        <w:t>T</w:t>
      </w:r>
      <w:r w:rsidR="006A7654">
        <w:rPr>
          <w:rFonts w:cs="Calibri"/>
          <w:color w:val="auto"/>
          <w:sz w:val="22"/>
          <w:lang w:eastAsia="en-US"/>
        </w:rPr>
        <w:t>he department</w:t>
      </w:r>
      <w:r w:rsidRPr="00A031DC">
        <w:rPr>
          <w:rFonts w:cs="Calibri"/>
          <w:color w:val="auto"/>
          <w:sz w:val="22"/>
          <w:lang w:eastAsia="en-US"/>
        </w:rPr>
        <w:t xml:space="preserve"> commissioned Energeia Pty Ltd (Energeia) to undertake modelling of the transport sector in 2020</w:t>
      </w:r>
      <w:r w:rsidR="00041C69" w:rsidRPr="00A031DC">
        <w:rPr>
          <w:rFonts w:cs="Calibri"/>
          <w:color w:val="auto"/>
          <w:sz w:val="22"/>
          <w:lang w:eastAsia="en-US"/>
        </w:rPr>
        <w:t xml:space="preserve"> (Energeia 2020)</w:t>
      </w:r>
      <w:r w:rsidRPr="00A031DC">
        <w:rPr>
          <w:rFonts w:cs="Calibri"/>
          <w:color w:val="auto"/>
          <w:sz w:val="22"/>
          <w:lang w:eastAsia="en-US"/>
        </w:rPr>
        <w:t>. Th</w:t>
      </w:r>
      <w:r w:rsidR="00C17682">
        <w:rPr>
          <w:rFonts w:cs="Calibri"/>
          <w:color w:val="auto"/>
          <w:sz w:val="22"/>
          <w:lang w:eastAsia="en-US"/>
        </w:rPr>
        <w:t>e</w:t>
      </w:r>
      <w:r w:rsidRPr="00A031DC">
        <w:rPr>
          <w:rFonts w:cs="Calibri"/>
          <w:color w:val="auto"/>
          <w:sz w:val="22"/>
          <w:lang w:eastAsia="en-US"/>
        </w:rPr>
        <w:t xml:space="preserve"> model</w:t>
      </w:r>
      <w:r w:rsidR="00C17682">
        <w:rPr>
          <w:rFonts w:cs="Calibri"/>
          <w:color w:val="auto"/>
          <w:sz w:val="22"/>
          <w:lang w:eastAsia="en-US"/>
        </w:rPr>
        <w:t xml:space="preserve"> outputs and methods </w:t>
      </w:r>
      <w:r w:rsidR="00FE4C20">
        <w:rPr>
          <w:rFonts w:cs="Calibri"/>
          <w:color w:val="auto"/>
          <w:sz w:val="22"/>
          <w:lang w:eastAsia="en-US"/>
        </w:rPr>
        <w:t>used</w:t>
      </w:r>
      <w:r w:rsidR="00C17682">
        <w:rPr>
          <w:rFonts w:cs="Calibri"/>
          <w:color w:val="auto"/>
          <w:sz w:val="22"/>
          <w:lang w:eastAsia="en-US"/>
        </w:rPr>
        <w:t xml:space="preserve"> by Energeia</w:t>
      </w:r>
      <w:r w:rsidRPr="00A031DC">
        <w:rPr>
          <w:rFonts w:cs="Calibri"/>
          <w:color w:val="auto"/>
          <w:sz w:val="22"/>
          <w:lang w:eastAsia="en-US"/>
        </w:rPr>
        <w:t xml:space="preserve"> formed the basis for the transport emissions trends in </w:t>
      </w:r>
      <w:r w:rsidRPr="00A27AB3">
        <w:rPr>
          <w:rFonts w:cs="Calibri"/>
          <w:color w:val="auto"/>
          <w:sz w:val="22"/>
          <w:lang w:eastAsia="en-US"/>
        </w:rPr>
        <w:t>Australia’s emissions projections 202</w:t>
      </w:r>
      <w:r w:rsidR="00C17682" w:rsidRPr="00A27AB3">
        <w:rPr>
          <w:rFonts w:cs="Calibri"/>
          <w:color w:val="auto"/>
          <w:sz w:val="22"/>
          <w:lang w:eastAsia="en-US"/>
        </w:rPr>
        <w:t>1</w:t>
      </w:r>
      <w:r w:rsidRPr="00A27AB3">
        <w:rPr>
          <w:rFonts w:cs="Calibri"/>
          <w:color w:val="auto"/>
          <w:sz w:val="22"/>
          <w:lang w:eastAsia="en-US"/>
        </w:rPr>
        <w:t xml:space="preserve">, </w:t>
      </w:r>
      <w:r w:rsidR="0063239F" w:rsidRPr="00A27AB3">
        <w:rPr>
          <w:rFonts w:cs="Calibri"/>
          <w:color w:val="auto"/>
          <w:sz w:val="22"/>
          <w:lang w:eastAsia="en-US"/>
        </w:rPr>
        <w:t xml:space="preserve">with the </w:t>
      </w:r>
      <w:r w:rsidRPr="00A27AB3">
        <w:rPr>
          <w:rFonts w:cs="Calibri"/>
          <w:color w:val="auto"/>
          <w:sz w:val="22"/>
          <w:lang w:eastAsia="en-US"/>
        </w:rPr>
        <w:t>except</w:t>
      </w:r>
      <w:r w:rsidR="0063239F" w:rsidRPr="00A27AB3">
        <w:rPr>
          <w:rFonts w:cs="Calibri"/>
          <w:color w:val="auto"/>
          <w:sz w:val="22"/>
          <w:lang w:eastAsia="en-US"/>
        </w:rPr>
        <w:t>ion</w:t>
      </w:r>
      <w:r w:rsidRPr="00A27AB3">
        <w:rPr>
          <w:rFonts w:cs="Calibri"/>
          <w:color w:val="auto"/>
          <w:sz w:val="22"/>
          <w:lang w:eastAsia="en-US"/>
        </w:rPr>
        <w:t xml:space="preserve"> </w:t>
      </w:r>
      <w:r w:rsidR="0063239F" w:rsidRPr="00A27AB3">
        <w:rPr>
          <w:rFonts w:cs="Calibri"/>
          <w:color w:val="auto"/>
          <w:sz w:val="22"/>
          <w:lang w:eastAsia="en-US"/>
        </w:rPr>
        <w:t>of</w:t>
      </w:r>
      <w:r w:rsidRPr="00A27AB3">
        <w:rPr>
          <w:rFonts w:cs="Calibri"/>
          <w:color w:val="auto"/>
          <w:sz w:val="22"/>
          <w:lang w:eastAsia="en-US"/>
        </w:rPr>
        <w:t xml:space="preserve"> pipeline transport, which were based on projections of </w:t>
      </w:r>
      <w:r w:rsidR="006A7654">
        <w:rPr>
          <w:rFonts w:cs="Calibri"/>
          <w:color w:val="auto"/>
          <w:sz w:val="22"/>
          <w:lang w:eastAsia="en-US"/>
        </w:rPr>
        <w:t>s</w:t>
      </w:r>
      <w:r w:rsidRPr="00A27AB3">
        <w:rPr>
          <w:rFonts w:cs="Calibri"/>
          <w:color w:val="auto"/>
          <w:sz w:val="22"/>
          <w:lang w:eastAsia="en-US"/>
        </w:rPr>
        <w:t xml:space="preserve">tate-level natural gas consumption </w:t>
      </w:r>
      <w:r w:rsidR="00041C69" w:rsidRPr="00A27AB3">
        <w:rPr>
          <w:rFonts w:cs="Calibri"/>
          <w:color w:val="auto"/>
          <w:sz w:val="22"/>
          <w:lang w:eastAsia="en-US"/>
        </w:rPr>
        <w:t>(AEMO 202</w:t>
      </w:r>
      <w:r w:rsidR="00C17682" w:rsidRPr="00A27AB3">
        <w:rPr>
          <w:rFonts w:cs="Calibri"/>
          <w:color w:val="auto"/>
          <w:sz w:val="22"/>
          <w:lang w:eastAsia="en-US"/>
        </w:rPr>
        <w:t>1</w:t>
      </w:r>
      <w:r w:rsidR="008B0C17" w:rsidRPr="000F53BC">
        <w:rPr>
          <w:rFonts w:cs="Calibri"/>
          <w:color w:val="auto"/>
          <w:sz w:val="22"/>
          <w:lang w:eastAsia="en-US"/>
        </w:rPr>
        <w:t>c</w:t>
      </w:r>
      <w:r w:rsidR="00041C69" w:rsidRPr="00A27AB3">
        <w:rPr>
          <w:rFonts w:cs="Calibri"/>
          <w:color w:val="auto"/>
          <w:sz w:val="22"/>
          <w:lang w:eastAsia="en-US"/>
        </w:rPr>
        <w:t>)</w:t>
      </w:r>
      <w:r w:rsidRPr="00A27AB3">
        <w:rPr>
          <w:rFonts w:cs="Calibri"/>
          <w:color w:val="auto"/>
          <w:sz w:val="22"/>
          <w:lang w:eastAsia="en-US"/>
        </w:rPr>
        <w:t xml:space="preserve"> and production</w:t>
      </w:r>
      <w:r w:rsidR="00041C69" w:rsidRPr="00A27AB3">
        <w:rPr>
          <w:rFonts w:cs="Calibri"/>
          <w:color w:val="auto"/>
          <w:sz w:val="22"/>
          <w:lang w:eastAsia="en-US"/>
        </w:rPr>
        <w:t xml:space="preserve"> (</w:t>
      </w:r>
      <w:r w:rsidR="00FE4C20" w:rsidRPr="000F53BC">
        <w:rPr>
          <w:sz w:val="22"/>
        </w:rPr>
        <w:t>OCE 2021a; OCE 2021b</w:t>
      </w:r>
      <w:r w:rsidR="00FE4C20" w:rsidRPr="000F53BC" w:rsidDel="00FE4C20">
        <w:rPr>
          <w:rFonts w:cs="Calibri"/>
          <w:color w:val="auto"/>
          <w:sz w:val="20"/>
          <w:lang w:eastAsia="en-US"/>
        </w:rPr>
        <w:t xml:space="preserve"> </w:t>
      </w:r>
      <w:r w:rsidR="00041C69" w:rsidRPr="00A27AB3">
        <w:rPr>
          <w:rFonts w:cs="Calibri"/>
          <w:color w:val="auto"/>
          <w:sz w:val="22"/>
          <w:lang w:eastAsia="en-US"/>
        </w:rPr>
        <w:t>; and Departmental analysis)</w:t>
      </w:r>
      <w:r w:rsidRPr="00A27AB3">
        <w:rPr>
          <w:rFonts w:cs="Calibri"/>
          <w:color w:val="auto"/>
          <w:sz w:val="22"/>
          <w:lang w:eastAsia="en-US"/>
        </w:rPr>
        <w:t>.</w:t>
      </w:r>
    </w:p>
    <w:p w14:paraId="478A6C21" w14:textId="1975CC9D" w:rsidR="00A168C1" w:rsidRPr="00882F89" w:rsidRDefault="00A168C1" w:rsidP="00537A1C">
      <w:pPr>
        <w:pStyle w:val="Heading2"/>
      </w:pPr>
      <w:r w:rsidRPr="00882F89">
        <w:t xml:space="preserve">Energeia </w:t>
      </w:r>
      <w:r w:rsidR="006A7654">
        <w:t>m</w:t>
      </w:r>
      <w:r w:rsidRPr="00882F89">
        <w:t>odelling</w:t>
      </w:r>
    </w:p>
    <w:p w14:paraId="31B7CD91" w14:textId="57376126" w:rsidR="00AA76CA" w:rsidRPr="00A031DC" w:rsidRDefault="0053358C" w:rsidP="00C8571C">
      <w:pPr>
        <w:pStyle w:val="BodyText"/>
        <w:rPr>
          <w:rFonts w:cs="Calibri"/>
          <w:color w:val="auto"/>
          <w:sz w:val="22"/>
          <w:lang w:eastAsia="en-US"/>
        </w:rPr>
      </w:pPr>
      <w:r w:rsidRPr="00A031DC">
        <w:rPr>
          <w:rFonts w:cs="Calibri"/>
          <w:color w:val="auto"/>
          <w:sz w:val="22"/>
          <w:lang w:eastAsia="en-US"/>
        </w:rPr>
        <w:t>The transport sector emissions</w:t>
      </w:r>
      <w:r w:rsidR="00A168C1" w:rsidRPr="00A031DC">
        <w:rPr>
          <w:rFonts w:cs="Calibri"/>
          <w:color w:val="auto"/>
          <w:sz w:val="22"/>
          <w:lang w:eastAsia="en-US"/>
        </w:rPr>
        <w:t xml:space="preserve"> modelled by</w:t>
      </w:r>
      <w:r w:rsidR="00AA76CA" w:rsidRPr="00A031DC">
        <w:rPr>
          <w:rFonts w:cs="Calibri"/>
          <w:color w:val="auto"/>
          <w:sz w:val="22"/>
          <w:lang w:eastAsia="en-US"/>
        </w:rPr>
        <w:t xml:space="preserve"> </w:t>
      </w:r>
      <w:r w:rsidR="008329FF" w:rsidRPr="00A031DC">
        <w:rPr>
          <w:rFonts w:cs="Calibri"/>
          <w:color w:val="auto"/>
          <w:sz w:val="22"/>
          <w:lang w:eastAsia="en-US"/>
        </w:rPr>
        <w:t>Energ</w:t>
      </w:r>
      <w:r w:rsidR="00A168C1" w:rsidRPr="00A031DC">
        <w:rPr>
          <w:rFonts w:cs="Calibri"/>
          <w:color w:val="auto"/>
          <w:sz w:val="22"/>
          <w:lang w:eastAsia="en-US"/>
        </w:rPr>
        <w:t>e</w:t>
      </w:r>
      <w:r w:rsidR="008329FF" w:rsidRPr="00A031DC">
        <w:rPr>
          <w:rFonts w:cs="Calibri"/>
          <w:color w:val="auto"/>
          <w:sz w:val="22"/>
          <w:lang w:eastAsia="en-US"/>
        </w:rPr>
        <w:t>ia</w:t>
      </w:r>
      <w:r w:rsidR="00836581" w:rsidRPr="00A031DC">
        <w:rPr>
          <w:rFonts w:cs="Calibri"/>
          <w:color w:val="auto"/>
          <w:sz w:val="22"/>
          <w:lang w:eastAsia="en-US"/>
        </w:rPr>
        <w:t xml:space="preserve"> were based on interrelated projections of vehicle activity and vehicle </w:t>
      </w:r>
      <w:r w:rsidR="003E48EA" w:rsidRPr="00A031DC">
        <w:rPr>
          <w:rFonts w:cs="Calibri"/>
          <w:color w:val="auto"/>
          <w:sz w:val="22"/>
          <w:lang w:eastAsia="en-US"/>
        </w:rPr>
        <w:t>fleet technology</w:t>
      </w:r>
      <w:r w:rsidR="00836581" w:rsidRPr="00A031DC">
        <w:rPr>
          <w:rFonts w:cs="Calibri"/>
          <w:color w:val="auto"/>
          <w:sz w:val="22"/>
          <w:lang w:eastAsia="en-US"/>
        </w:rPr>
        <w:t xml:space="preserve">. These activity and </w:t>
      </w:r>
      <w:r w:rsidR="003E48EA" w:rsidRPr="00A031DC">
        <w:rPr>
          <w:rFonts w:cs="Calibri"/>
          <w:color w:val="auto"/>
          <w:sz w:val="22"/>
          <w:lang w:eastAsia="en-US"/>
        </w:rPr>
        <w:t>fleet technology</w:t>
      </w:r>
      <w:r w:rsidR="00836581" w:rsidRPr="00A031DC">
        <w:rPr>
          <w:rFonts w:cs="Calibri"/>
          <w:color w:val="auto"/>
          <w:sz w:val="22"/>
          <w:lang w:eastAsia="en-US"/>
        </w:rPr>
        <w:t xml:space="preserve"> projections were </w:t>
      </w:r>
      <w:r w:rsidR="00667747" w:rsidRPr="00A031DC">
        <w:rPr>
          <w:rFonts w:cs="Calibri"/>
          <w:color w:val="auto"/>
          <w:sz w:val="22"/>
          <w:lang w:eastAsia="en-US"/>
        </w:rPr>
        <w:t>segmented</w:t>
      </w:r>
      <w:r w:rsidR="000E7B6C" w:rsidRPr="00A031DC">
        <w:rPr>
          <w:rFonts w:cs="Calibri"/>
          <w:color w:val="auto"/>
          <w:sz w:val="22"/>
          <w:lang w:eastAsia="en-US"/>
        </w:rPr>
        <w:t xml:space="preserve"> </w:t>
      </w:r>
      <w:r w:rsidR="00836581" w:rsidRPr="00A031DC">
        <w:rPr>
          <w:rFonts w:cs="Calibri"/>
          <w:color w:val="auto"/>
          <w:sz w:val="22"/>
          <w:lang w:eastAsia="en-US"/>
        </w:rPr>
        <w:t>by sta</w:t>
      </w:r>
      <w:r w:rsidRPr="00A031DC">
        <w:rPr>
          <w:rFonts w:cs="Calibri"/>
          <w:color w:val="auto"/>
          <w:sz w:val="22"/>
          <w:lang w:eastAsia="en-US"/>
        </w:rPr>
        <w:t>te, mode</w:t>
      </w:r>
      <w:r w:rsidR="00667747" w:rsidRPr="00A031DC">
        <w:rPr>
          <w:rFonts w:cs="Calibri"/>
          <w:color w:val="auto"/>
          <w:sz w:val="22"/>
          <w:lang w:eastAsia="en-US"/>
        </w:rPr>
        <w:t>/vehicle type</w:t>
      </w:r>
      <w:r w:rsidRPr="00A031DC">
        <w:rPr>
          <w:rFonts w:cs="Calibri"/>
          <w:color w:val="auto"/>
          <w:sz w:val="22"/>
          <w:lang w:eastAsia="en-US"/>
        </w:rPr>
        <w:t>, and fuel/engine type</w:t>
      </w:r>
      <w:r w:rsidR="00667747" w:rsidRPr="00A031DC">
        <w:rPr>
          <w:rFonts w:cs="Calibri"/>
          <w:color w:val="auto"/>
          <w:sz w:val="22"/>
          <w:lang w:eastAsia="en-US"/>
        </w:rPr>
        <w:t xml:space="preserve">. Emissions were derived from the projections as the product of projected activity and projected emissions intensity </w:t>
      </w:r>
      <w:r w:rsidR="00C226EB" w:rsidRPr="00A031DC">
        <w:rPr>
          <w:rFonts w:cs="Calibri"/>
          <w:color w:val="auto"/>
          <w:sz w:val="22"/>
          <w:lang w:eastAsia="en-US"/>
        </w:rPr>
        <w:t>for</w:t>
      </w:r>
      <w:r w:rsidR="00667747" w:rsidRPr="00A031DC">
        <w:rPr>
          <w:rFonts w:cs="Calibri"/>
          <w:color w:val="auto"/>
          <w:sz w:val="22"/>
          <w:lang w:eastAsia="en-US"/>
        </w:rPr>
        <w:t xml:space="preserve"> each of the transport sector segments. </w:t>
      </w:r>
      <w:r w:rsidR="00C17682">
        <w:rPr>
          <w:rFonts w:cs="Calibri"/>
          <w:color w:val="auto"/>
          <w:sz w:val="22"/>
          <w:lang w:eastAsia="en-US"/>
        </w:rPr>
        <w:t xml:space="preserve">In 2021, </w:t>
      </w:r>
      <w:r w:rsidR="00966C28">
        <w:rPr>
          <w:rFonts w:cs="Calibri"/>
          <w:color w:val="auto"/>
          <w:sz w:val="22"/>
          <w:lang w:eastAsia="en-US"/>
        </w:rPr>
        <w:t>the department</w:t>
      </w:r>
      <w:r w:rsidR="00C17682">
        <w:rPr>
          <w:rFonts w:cs="Calibri"/>
          <w:color w:val="auto"/>
          <w:sz w:val="22"/>
          <w:lang w:eastAsia="en-US"/>
        </w:rPr>
        <w:t xml:space="preserve"> made adjustments to these activity and technology projections, and in some cases made modifications to the original methodologies and assumptions to improve the way these </w:t>
      </w:r>
      <w:r w:rsidR="0083064A">
        <w:rPr>
          <w:rFonts w:cs="Calibri"/>
          <w:color w:val="auto"/>
          <w:sz w:val="22"/>
          <w:lang w:eastAsia="en-US"/>
        </w:rPr>
        <w:t>variables are projected and to account for new projections in the key exogenous inputs (population and economic activity) for this modelling approach.</w:t>
      </w:r>
    </w:p>
    <w:p w14:paraId="4EA7CA8A" w14:textId="70F1ED33" w:rsidR="00A627E1" w:rsidRPr="00B173F9" w:rsidRDefault="00A627E1" w:rsidP="00537A1C">
      <w:pPr>
        <w:pStyle w:val="Heading3"/>
      </w:pPr>
      <w:r w:rsidRPr="00B173F9">
        <w:t>Activity</w:t>
      </w:r>
      <w:r w:rsidR="00836581">
        <w:t xml:space="preserve"> </w:t>
      </w:r>
      <w:r w:rsidR="006A7654">
        <w:t>p</w:t>
      </w:r>
      <w:r w:rsidR="00836581">
        <w:t>rojections</w:t>
      </w:r>
    </w:p>
    <w:p w14:paraId="2F7BFD86" w14:textId="59FCC33A" w:rsidR="00A627E1" w:rsidRPr="00A031DC" w:rsidRDefault="00C226EB" w:rsidP="0081774D">
      <w:pPr>
        <w:pStyle w:val="BodyText"/>
        <w:rPr>
          <w:rFonts w:cs="Calibri"/>
          <w:color w:val="auto"/>
          <w:sz w:val="22"/>
          <w:lang w:eastAsia="en-US"/>
        </w:rPr>
      </w:pPr>
      <w:r w:rsidRPr="00A031DC">
        <w:rPr>
          <w:rFonts w:cs="Calibri"/>
          <w:color w:val="auto"/>
          <w:sz w:val="22"/>
          <w:lang w:eastAsia="en-US"/>
        </w:rPr>
        <w:t xml:space="preserve">Projections of </w:t>
      </w:r>
      <w:r w:rsidR="006A7654">
        <w:rPr>
          <w:rFonts w:cs="Calibri"/>
          <w:color w:val="auto"/>
          <w:sz w:val="22"/>
          <w:lang w:eastAsia="en-US"/>
        </w:rPr>
        <w:t>s</w:t>
      </w:r>
      <w:r w:rsidRPr="00A031DC">
        <w:rPr>
          <w:rFonts w:cs="Calibri"/>
          <w:color w:val="auto"/>
          <w:sz w:val="22"/>
          <w:lang w:eastAsia="en-US"/>
        </w:rPr>
        <w:t>tate-level passenger and freight activity formed the basis of activity projected at the mode and fuel/engine type level. These</w:t>
      </w:r>
      <w:r w:rsidR="00C800A1" w:rsidRPr="00A031DC">
        <w:rPr>
          <w:rFonts w:cs="Calibri"/>
          <w:color w:val="auto"/>
          <w:sz w:val="22"/>
          <w:lang w:eastAsia="en-US"/>
        </w:rPr>
        <w:t xml:space="preserve"> </w:t>
      </w:r>
      <w:r w:rsidR="006A7654">
        <w:rPr>
          <w:rFonts w:cs="Calibri"/>
          <w:color w:val="auto"/>
          <w:sz w:val="22"/>
          <w:lang w:eastAsia="en-US"/>
        </w:rPr>
        <w:t>s</w:t>
      </w:r>
      <w:r w:rsidR="00667747" w:rsidRPr="00A031DC">
        <w:rPr>
          <w:rFonts w:cs="Calibri"/>
          <w:color w:val="auto"/>
          <w:sz w:val="22"/>
          <w:lang w:eastAsia="en-US"/>
        </w:rPr>
        <w:t>tate-level a</w:t>
      </w:r>
      <w:r w:rsidR="00AA76CA" w:rsidRPr="00A031DC">
        <w:rPr>
          <w:rFonts w:cs="Calibri"/>
          <w:color w:val="auto"/>
          <w:sz w:val="22"/>
          <w:lang w:eastAsia="en-US"/>
        </w:rPr>
        <w:t>ctivity projections were based on</w:t>
      </w:r>
      <w:r w:rsidR="00AA76CA" w:rsidRPr="00A031DC" w:rsidDel="00667747">
        <w:rPr>
          <w:rFonts w:cs="Calibri"/>
          <w:color w:val="auto"/>
          <w:sz w:val="22"/>
          <w:lang w:eastAsia="en-US"/>
        </w:rPr>
        <w:t xml:space="preserve"> </w:t>
      </w:r>
      <w:r w:rsidR="00AA76CA" w:rsidRPr="00A031DC">
        <w:rPr>
          <w:rFonts w:cs="Calibri"/>
          <w:color w:val="auto"/>
          <w:sz w:val="22"/>
          <w:lang w:eastAsia="en-US"/>
        </w:rPr>
        <w:t>multiple linear regression-based forecast</w:t>
      </w:r>
      <w:r w:rsidR="00667747" w:rsidRPr="00A031DC">
        <w:rPr>
          <w:rFonts w:cs="Calibri"/>
          <w:color w:val="auto"/>
          <w:sz w:val="22"/>
          <w:lang w:eastAsia="en-US"/>
        </w:rPr>
        <w:t>s</w:t>
      </w:r>
      <w:r w:rsidR="00AA76CA" w:rsidRPr="00A031DC">
        <w:rPr>
          <w:rFonts w:cs="Calibri"/>
          <w:color w:val="auto"/>
          <w:sz w:val="22"/>
          <w:lang w:eastAsia="en-US"/>
        </w:rPr>
        <w:t xml:space="preserve"> us</w:t>
      </w:r>
      <w:r w:rsidR="00A627E1" w:rsidRPr="00A031DC">
        <w:rPr>
          <w:rFonts w:cs="Calibri"/>
          <w:color w:val="auto"/>
          <w:sz w:val="22"/>
          <w:lang w:eastAsia="en-US"/>
        </w:rPr>
        <w:t>ing</w:t>
      </w:r>
      <w:r w:rsidR="00AA76CA" w:rsidRPr="00A031DC">
        <w:rPr>
          <w:rFonts w:cs="Calibri"/>
          <w:color w:val="auto"/>
          <w:sz w:val="22"/>
          <w:lang w:eastAsia="en-US"/>
        </w:rPr>
        <w:t xml:space="preserve"> </w:t>
      </w:r>
      <w:r w:rsidR="006A7654">
        <w:rPr>
          <w:rFonts w:cs="Calibri"/>
          <w:color w:val="auto"/>
          <w:sz w:val="22"/>
          <w:lang w:eastAsia="en-US"/>
        </w:rPr>
        <w:t>g</w:t>
      </w:r>
      <w:r w:rsidR="00406CCF" w:rsidRPr="00A031DC">
        <w:rPr>
          <w:rFonts w:cs="Calibri"/>
          <w:color w:val="auto"/>
          <w:sz w:val="22"/>
          <w:lang w:eastAsia="en-US"/>
        </w:rPr>
        <w:t xml:space="preserve">ross </w:t>
      </w:r>
      <w:r w:rsidR="006A7654">
        <w:rPr>
          <w:rFonts w:cs="Calibri"/>
          <w:color w:val="auto"/>
          <w:sz w:val="22"/>
          <w:lang w:eastAsia="en-US"/>
        </w:rPr>
        <w:t>s</w:t>
      </w:r>
      <w:r w:rsidR="00406CCF" w:rsidRPr="00A031DC">
        <w:rPr>
          <w:rFonts w:cs="Calibri"/>
          <w:color w:val="auto"/>
          <w:sz w:val="22"/>
          <w:lang w:eastAsia="en-US"/>
        </w:rPr>
        <w:t xml:space="preserve">tate </w:t>
      </w:r>
      <w:r w:rsidR="006A7654">
        <w:rPr>
          <w:rFonts w:cs="Calibri"/>
          <w:color w:val="auto"/>
          <w:sz w:val="22"/>
          <w:lang w:eastAsia="en-US"/>
        </w:rPr>
        <w:t>p</w:t>
      </w:r>
      <w:r w:rsidR="00406CCF" w:rsidRPr="00A031DC">
        <w:rPr>
          <w:rFonts w:cs="Calibri"/>
          <w:color w:val="auto"/>
          <w:sz w:val="22"/>
          <w:lang w:eastAsia="en-US"/>
        </w:rPr>
        <w:t>roduct</w:t>
      </w:r>
      <w:r w:rsidR="00AA76CA" w:rsidRPr="00A031DC">
        <w:rPr>
          <w:rFonts w:cs="Calibri"/>
          <w:color w:val="auto"/>
          <w:sz w:val="22"/>
          <w:lang w:eastAsia="en-US"/>
        </w:rPr>
        <w:t xml:space="preserve"> </w:t>
      </w:r>
      <w:r w:rsidR="001B2EBD">
        <w:rPr>
          <w:rFonts w:cs="Calibri"/>
          <w:color w:val="auto"/>
          <w:sz w:val="22"/>
          <w:lang w:eastAsia="en-US"/>
        </w:rPr>
        <w:t xml:space="preserve">(GSP) </w:t>
      </w:r>
      <w:r w:rsidR="00AA76CA" w:rsidRPr="00A031DC">
        <w:rPr>
          <w:rFonts w:cs="Calibri"/>
          <w:color w:val="auto"/>
          <w:sz w:val="22"/>
          <w:lang w:eastAsia="en-US"/>
        </w:rPr>
        <w:t xml:space="preserve">and population projections provided by </w:t>
      </w:r>
      <w:r w:rsidR="00966C28">
        <w:rPr>
          <w:rFonts w:cs="Calibri"/>
          <w:color w:val="auto"/>
          <w:sz w:val="22"/>
          <w:lang w:eastAsia="en-US"/>
        </w:rPr>
        <w:t>the department</w:t>
      </w:r>
      <w:r w:rsidR="00AA76CA" w:rsidRPr="00A031DC">
        <w:rPr>
          <w:rFonts w:cs="Calibri"/>
          <w:color w:val="auto"/>
          <w:sz w:val="22"/>
          <w:lang w:eastAsia="en-US"/>
        </w:rPr>
        <w:t xml:space="preserve">. </w:t>
      </w:r>
      <w:r w:rsidR="0081774D" w:rsidRPr="00A031DC">
        <w:rPr>
          <w:rFonts w:cs="Calibri"/>
          <w:color w:val="auto"/>
          <w:sz w:val="22"/>
          <w:lang w:eastAsia="en-US"/>
        </w:rPr>
        <w:t xml:space="preserve">Mode-level projections of transport activity were derived by applying the </w:t>
      </w:r>
      <w:r w:rsidR="00966C28">
        <w:rPr>
          <w:rFonts w:cs="Calibri"/>
          <w:color w:val="auto"/>
          <w:sz w:val="22"/>
          <w:lang w:eastAsia="en-US"/>
        </w:rPr>
        <w:t>10</w:t>
      </w:r>
      <w:r w:rsidR="0081774D" w:rsidRPr="00A031DC">
        <w:rPr>
          <w:rFonts w:cs="Calibri"/>
          <w:color w:val="auto"/>
          <w:sz w:val="22"/>
          <w:lang w:eastAsia="en-US"/>
        </w:rPr>
        <w:t xml:space="preserve">-year average trend in historic passenger and freight mode-shares to these regression-based projections of </w:t>
      </w:r>
      <w:r w:rsidR="006A7654">
        <w:rPr>
          <w:rFonts w:cs="Calibri"/>
          <w:color w:val="auto"/>
          <w:sz w:val="22"/>
          <w:lang w:eastAsia="en-US"/>
        </w:rPr>
        <w:t>s</w:t>
      </w:r>
      <w:r w:rsidR="00667747" w:rsidRPr="00A031DC">
        <w:rPr>
          <w:rFonts w:cs="Calibri"/>
          <w:color w:val="auto"/>
          <w:sz w:val="22"/>
          <w:lang w:eastAsia="en-US"/>
        </w:rPr>
        <w:t xml:space="preserve">tate-level </w:t>
      </w:r>
      <w:r w:rsidR="0081774D" w:rsidRPr="00A031DC">
        <w:rPr>
          <w:rFonts w:cs="Calibri"/>
          <w:color w:val="auto"/>
          <w:sz w:val="22"/>
          <w:lang w:eastAsia="en-US"/>
        </w:rPr>
        <w:t>passenger and freight activity.</w:t>
      </w:r>
      <w:r w:rsidR="00667747" w:rsidRPr="00A031DC">
        <w:rPr>
          <w:rFonts w:cs="Calibri"/>
          <w:color w:val="auto"/>
          <w:sz w:val="22"/>
          <w:lang w:eastAsia="en-US"/>
        </w:rPr>
        <w:t xml:space="preserve"> Mode-level activity was then subsequently allocated to fuel/engine type segments based on </w:t>
      </w:r>
      <w:r w:rsidR="00AB2AA8" w:rsidRPr="00A031DC">
        <w:rPr>
          <w:rFonts w:cs="Calibri"/>
          <w:color w:val="auto"/>
          <w:sz w:val="22"/>
          <w:lang w:eastAsia="en-US"/>
        </w:rPr>
        <w:t>projections of the</w:t>
      </w:r>
      <w:r w:rsidR="00667747" w:rsidRPr="00A031DC">
        <w:rPr>
          <w:rFonts w:cs="Calibri"/>
          <w:color w:val="auto"/>
          <w:sz w:val="22"/>
          <w:lang w:eastAsia="en-US"/>
        </w:rPr>
        <w:t xml:space="preserve"> relative fuel/engine type population share of the relevant </w:t>
      </w:r>
      <w:r w:rsidR="000E7B6C" w:rsidRPr="00A031DC">
        <w:rPr>
          <w:rFonts w:cs="Calibri"/>
          <w:color w:val="auto"/>
          <w:sz w:val="22"/>
          <w:lang w:eastAsia="en-US"/>
        </w:rPr>
        <w:t>mode</w:t>
      </w:r>
      <w:r w:rsidR="00C800A1" w:rsidRPr="00A031DC">
        <w:rPr>
          <w:rFonts w:cs="Calibri"/>
          <w:color w:val="auto"/>
          <w:sz w:val="22"/>
          <w:lang w:eastAsia="en-US"/>
        </w:rPr>
        <w:t>-level</w:t>
      </w:r>
      <w:r w:rsidR="000E7B6C" w:rsidRPr="00A031DC">
        <w:rPr>
          <w:rFonts w:cs="Calibri"/>
          <w:color w:val="auto"/>
          <w:sz w:val="22"/>
          <w:lang w:eastAsia="en-US"/>
        </w:rPr>
        <w:t xml:space="preserve"> fleet</w:t>
      </w:r>
      <w:r w:rsidR="00C800A1" w:rsidRPr="00A031DC">
        <w:rPr>
          <w:rFonts w:cs="Calibri"/>
          <w:color w:val="auto"/>
          <w:sz w:val="22"/>
          <w:lang w:eastAsia="en-US"/>
        </w:rPr>
        <w:t xml:space="preserve"> segment.</w:t>
      </w:r>
      <w:r w:rsidR="0083064A">
        <w:rPr>
          <w:rFonts w:cs="Calibri"/>
          <w:color w:val="auto"/>
          <w:sz w:val="22"/>
          <w:lang w:eastAsia="en-US"/>
        </w:rPr>
        <w:t xml:space="preserve"> In 2021, </w:t>
      </w:r>
      <w:r w:rsidR="00966C28">
        <w:rPr>
          <w:rFonts w:cs="Calibri"/>
          <w:color w:val="auto"/>
          <w:sz w:val="22"/>
          <w:lang w:eastAsia="en-US"/>
        </w:rPr>
        <w:t>the department</w:t>
      </w:r>
      <w:r w:rsidR="0083064A">
        <w:rPr>
          <w:rFonts w:cs="Calibri"/>
          <w:color w:val="auto"/>
          <w:sz w:val="22"/>
          <w:lang w:eastAsia="en-US"/>
        </w:rPr>
        <w:t xml:space="preserve"> recalculated these state-level passenger and freight activity projections using the relevant regression functions provided by Energeia. In lieu of the previously used population and GSP inputs </w:t>
      </w:r>
      <w:r w:rsidR="00966C28">
        <w:rPr>
          <w:rFonts w:cs="Calibri"/>
          <w:color w:val="auto"/>
          <w:sz w:val="22"/>
          <w:lang w:eastAsia="en-US"/>
        </w:rPr>
        <w:t>the department</w:t>
      </w:r>
      <w:r w:rsidR="0083064A">
        <w:rPr>
          <w:rFonts w:cs="Calibri"/>
          <w:color w:val="auto"/>
          <w:sz w:val="22"/>
          <w:lang w:eastAsia="en-US"/>
        </w:rPr>
        <w:t xml:space="preserve"> used </w:t>
      </w:r>
      <w:r w:rsidR="001B2EBD">
        <w:rPr>
          <w:rFonts w:cs="Calibri"/>
          <w:color w:val="auto"/>
          <w:sz w:val="22"/>
          <w:lang w:eastAsia="en-US"/>
        </w:rPr>
        <w:t xml:space="preserve">a </w:t>
      </w:r>
      <w:r w:rsidR="0083064A">
        <w:rPr>
          <w:rFonts w:cs="Calibri"/>
          <w:color w:val="auto"/>
          <w:sz w:val="22"/>
          <w:lang w:eastAsia="en-US"/>
        </w:rPr>
        <w:t xml:space="preserve">series based on the more recent projections of population and GDP trends </w:t>
      </w:r>
      <w:r w:rsidR="002E3E40">
        <w:rPr>
          <w:rFonts w:cs="Calibri"/>
          <w:color w:val="auto"/>
          <w:sz w:val="22"/>
          <w:lang w:eastAsia="en-US"/>
        </w:rPr>
        <w:t>published</w:t>
      </w:r>
      <w:r w:rsidR="0083064A">
        <w:rPr>
          <w:rFonts w:cs="Calibri"/>
          <w:color w:val="auto"/>
          <w:sz w:val="22"/>
          <w:lang w:eastAsia="en-US"/>
        </w:rPr>
        <w:t xml:space="preserve"> by </w:t>
      </w:r>
      <w:r w:rsidR="00966C28">
        <w:rPr>
          <w:rFonts w:cs="Calibri"/>
          <w:color w:val="auto"/>
          <w:sz w:val="22"/>
          <w:lang w:eastAsia="en-US"/>
        </w:rPr>
        <w:t>the department</w:t>
      </w:r>
      <w:r w:rsidR="0083064A">
        <w:rPr>
          <w:rFonts w:cs="Calibri"/>
          <w:color w:val="auto"/>
          <w:sz w:val="22"/>
          <w:lang w:eastAsia="en-US"/>
        </w:rPr>
        <w:t xml:space="preserve"> of the Treasury in the 2021 Intergenerational Report</w:t>
      </w:r>
      <w:r w:rsidR="002E3E40">
        <w:rPr>
          <w:rFonts w:cs="Calibri"/>
          <w:color w:val="auto"/>
          <w:sz w:val="22"/>
          <w:lang w:eastAsia="en-US"/>
        </w:rPr>
        <w:t xml:space="preserve"> (Department of the Treasury 2021)</w:t>
      </w:r>
      <w:r w:rsidR="0083064A">
        <w:rPr>
          <w:rFonts w:cs="Calibri"/>
          <w:color w:val="auto"/>
          <w:sz w:val="22"/>
          <w:lang w:eastAsia="en-US"/>
        </w:rPr>
        <w:t>.</w:t>
      </w:r>
    </w:p>
    <w:p w14:paraId="4FB3CBBD" w14:textId="333CFBB3" w:rsidR="00A627E1" w:rsidRPr="00B173F9" w:rsidRDefault="00A627E1" w:rsidP="00537A1C">
      <w:pPr>
        <w:pStyle w:val="Heading3"/>
      </w:pPr>
      <w:r w:rsidRPr="00B173F9">
        <w:t xml:space="preserve">COVID-19 </w:t>
      </w:r>
      <w:r w:rsidR="006A7654">
        <w:t>i</w:t>
      </w:r>
      <w:r w:rsidRPr="00B173F9">
        <w:t xml:space="preserve">mpact on </w:t>
      </w:r>
      <w:r w:rsidR="006A7654">
        <w:t>t</w:t>
      </w:r>
      <w:r w:rsidRPr="003106E2">
        <w:t>ransport</w:t>
      </w:r>
      <w:r w:rsidRPr="00B173F9">
        <w:t xml:space="preserve"> </w:t>
      </w:r>
      <w:r w:rsidR="006A7654">
        <w:t>a</w:t>
      </w:r>
      <w:r w:rsidRPr="003106E2">
        <w:t>ctivity</w:t>
      </w:r>
    </w:p>
    <w:p w14:paraId="6DEC78C6" w14:textId="620DF5E4" w:rsidR="00BF7DFA" w:rsidRPr="00A031DC" w:rsidRDefault="0081774D" w:rsidP="0081774D">
      <w:pPr>
        <w:pStyle w:val="BodyText"/>
        <w:rPr>
          <w:rFonts w:cs="Calibri"/>
          <w:color w:val="auto"/>
          <w:sz w:val="22"/>
          <w:lang w:eastAsia="en-US"/>
        </w:rPr>
      </w:pPr>
      <w:r w:rsidRPr="00A031DC">
        <w:rPr>
          <w:rFonts w:cs="Calibri"/>
          <w:color w:val="auto"/>
          <w:sz w:val="22"/>
          <w:lang w:eastAsia="en-US"/>
        </w:rPr>
        <w:t>To account for the direct impact of COVID-19 on transport activity</w:t>
      </w:r>
      <w:r w:rsidR="00A27494" w:rsidRPr="00A031DC">
        <w:rPr>
          <w:rFonts w:cs="Calibri"/>
          <w:color w:val="auto"/>
          <w:sz w:val="22"/>
          <w:lang w:eastAsia="en-US"/>
        </w:rPr>
        <w:t>,</w:t>
      </w:r>
      <w:r w:rsidRPr="00A031DC">
        <w:rPr>
          <w:rFonts w:cs="Calibri"/>
          <w:color w:val="auto"/>
          <w:sz w:val="22"/>
          <w:lang w:eastAsia="en-US"/>
        </w:rPr>
        <w:t xml:space="preserve"> </w:t>
      </w:r>
      <w:r w:rsidR="00A27494" w:rsidRPr="00A031DC">
        <w:rPr>
          <w:rFonts w:cs="Calibri"/>
          <w:color w:val="auto"/>
          <w:sz w:val="22"/>
          <w:lang w:eastAsia="en-US"/>
        </w:rPr>
        <w:t>mode-level activity projections were scaled by separately estimated annual activity impact</w:t>
      </w:r>
      <w:r w:rsidR="00D01087" w:rsidRPr="00A031DC">
        <w:rPr>
          <w:rFonts w:cs="Calibri"/>
          <w:color w:val="auto"/>
          <w:sz w:val="22"/>
          <w:lang w:eastAsia="en-US"/>
        </w:rPr>
        <w:t>s</w:t>
      </w:r>
      <w:r w:rsidR="00EE4484" w:rsidRPr="00A031DC">
        <w:rPr>
          <w:rFonts w:cs="Calibri"/>
          <w:color w:val="auto"/>
          <w:sz w:val="22"/>
          <w:lang w:eastAsia="en-US"/>
        </w:rPr>
        <w:t xml:space="preserve"> (estimated as a percentage of projected annual mode</w:t>
      </w:r>
      <w:r w:rsidR="00406CCF" w:rsidRPr="00A031DC">
        <w:rPr>
          <w:rFonts w:cs="Calibri"/>
          <w:color w:val="auto"/>
          <w:sz w:val="22"/>
          <w:lang w:eastAsia="en-US"/>
        </w:rPr>
        <w:t>-level</w:t>
      </w:r>
      <w:r w:rsidR="00EE4484" w:rsidRPr="00A031DC">
        <w:rPr>
          <w:rFonts w:cs="Calibri"/>
          <w:color w:val="auto"/>
          <w:sz w:val="22"/>
          <w:lang w:eastAsia="en-US"/>
        </w:rPr>
        <w:t xml:space="preserve"> activity)</w:t>
      </w:r>
      <w:r w:rsidR="00D01087" w:rsidRPr="00A031DC">
        <w:rPr>
          <w:rFonts w:cs="Calibri"/>
          <w:color w:val="auto"/>
          <w:sz w:val="22"/>
          <w:lang w:eastAsia="en-US"/>
        </w:rPr>
        <w:t>. These ‘COVID impact’ activity adjustments included an estimate to account for changes in</w:t>
      </w:r>
      <w:r w:rsidR="00AB5621" w:rsidRPr="00A031DC">
        <w:rPr>
          <w:rFonts w:cs="Calibri"/>
          <w:color w:val="auto"/>
          <w:sz w:val="22"/>
          <w:lang w:eastAsia="en-US"/>
        </w:rPr>
        <w:t xml:space="preserve"> the</w:t>
      </w:r>
      <w:r w:rsidR="00D01087" w:rsidRPr="00A031DC">
        <w:rPr>
          <w:rFonts w:cs="Calibri"/>
          <w:color w:val="auto"/>
          <w:sz w:val="22"/>
          <w:lang w:eastAsia="en-US"/>
        </w:rPr>
        <w:t xml:space="preserve"> tendency of passengers to use certain transport modes (preference mechanism), and an estimate to account for the pandemic’s impact on the economic structure of demand for transport services (economic mechanism). </w:t>
      </w:r>
    </w:p>
    <w:p w14:paraId="72E1E150" w14:textId="3861658F" w:rsidR="001171A8" w:rsidRPr="00A031DC" w:rsidRDefault="001171A8" w:rsidP="0081774D">
      <w:pPr>
        <w:pStyle w:val="BodyText"/>
        <w:rPr>
          <w:rFonts w:cs="Calibri"/>
          <w:color w:val="auto"/>
          <w:sz w:val="22"/>
          <w:lang w:eastAsia="en-US"/>
        </w:rPr>
      </w:pPr>
      <w:r w:rsidRPr="00A031DC">
        <w:rPr>
          <w:rFonts w:cs="Calibri"/>
          <w:color w:val="auto"/>
          <w:sz w:val="22"/>
          <w:lang w:eastAsia="en-US"/>
        </w:rPr>
        <w:t>The preference mechanism was</w:t>
      </w:r>
      <w:r w:rsidR="002E3E40">
        <w:rPr>
          <w:rFonts w:cs="Calibri"/>
          <w:color w:val="auto"/>
          <w:sz w:val="22"/>
          <w:lang w:eastAsia="en-US"/>
        </w:rPr>
        <w:t xml:space="preserve"> originally</w:t>
      </w:r>
      <w:r w:rsidRPr="00A031DC">
        <w:rPr>
          <w:rFonts w:cs="Calibri"/>
          <w:color w:val="auto"/>
          <w:sz w:val="22"/>
          <w:lang w:eastAsia="en-US"/>
        </w:rPr>
        <w:t xml:space="preserve"> calibrated using data on variables considered to be good proxies for passenger activity during the period of initial lockdowns and border closures in the first half of the 2020 calendar year. The economic mechanism was based off an analysis of reported revenue impacts on the various economic sectors in Australia and the input</w:t>
      </w:r>
      <w:r w:rsidR="006A7654">
        <w:rPr>
          <w:rFonts w:cs="Calibri"/>
          <w:color w:val="auto"/>
          <w:sz w:val="22"/>
          <w:lang w:eastAsia="en-US"/>
        </w:rPr>
        <w:t>–</w:t>
      </w:r>
      <w:r w:rsidRPr="00A031DC">
        <w:rPr>
          <w:rFonts w:cs="Calibri"/>
          <w:color w:val="auto"/>
          <w:sz w:val="22"/>
          <w:lang w:eastAsia="en-US"/>
        </w:rPr>
        <w:t>output distribution of supply of transport services to these sectors.</w:t>
      </w:r>
      <w:r w:rsidR="002E3E40">
        <w:rPr>
          <w:rFonts w:cs="Calibri"/>
          <w:color w:val="auto"/>
          <w:sz w:val="22"/>
          <w:lang w:eastAsia="en-US"/>
        </w:rPr>
        <w:t xml:space="preserve"> In 2021, </w:t>
      </w:r>
      <w:r w:rsidR="00966C28">
        <w:rPr>
          <w:rFonts w:cs="Calibri"/>
          <w:color w:val="auto"/>
          <w:sz w:val="22"/>
          <w:lang w:eastAsia="en-US"/>
        </w:rPr>
        <w:t>the department</w:t>
      </w:r>
      <w:r w:rsidR="002E3E40">
        <w:rPr>
          <w:rFonts w:cs="Calibri"/>
          <w:color w:val="auto"/>
          <w:sz w:val="22"/>
          <w:lang w:eastAsia="en-US"/>
        </w:rPr>
        <w:t xml:space="preserve"> updated the preference mechanism impacts to account </w:t>
      </w:r>
      <w:r w:rsidR="007D6937">
        <w:rPr>
          <w:rFonts w:cs="Calibri"/>
          <w:color w:val="auto"/>
          <w:sz w:val="22"/>
          <w:lang w:eastAsia="en-US"/>
        </w:rPr>
        <w:t>for more recent proxy data</w:t>
      </w:r>
      <w:r w:rsidR="002366E0">
        <w:rPr>
          <w:rFonts w:cs="Calibri"/>
          <w:color w:val="auto"/>
          <w:sz w:val="22"/>
          <w:lang w:eastAsia="en-US"/>
        </w:rPr>
        <w:t>.</w:t>
      </w:r>
    </w:p>
    <w:p w14:paraId="06A53745" w14:textId="7CF21352" w:rsidR="00A627E1" w:rsidRPr="00B173F9" w:rsidRDefault="00A627E1" w:rsidP="00537A1C">
      <w:pPr>
        <w:pStyle w:val="Heading3"/>
      </w:pPr>
      <w:r w:rsidRPr="00B173F9">
        <w:lastRenderedPageBreak/>
        <w:t xml:space="preserve">Vehicle </w:t>
      </w:r>
      <w:r w:rsidR="006A7654">
        <w:t>f</w:t>
      </w:r>
      <w:r w:rsidRPr="00B173F9">
        <w:t xml:space="preserve">leet </w:t>
      </w:r>
      <w:r w:rsidR="006A7654">
        <w:t>t</w:t>
      </w:r>
      <w:r w:rsidRPr="00B173F9">
        <w:t>echnology</w:t>
      </w:r>
      <w:r>
        <w:t xml:space="preserve"> </w:t>
      </w:r>
      <w:r w:rsidR="006A7654">
        <w:t>p</w:t>
      </w:r>
      <w:r w:rsidR="003E48EA">
        <w:t>rojections</w:t>
      </w:r>
    </w:p>
    <w:p w14:paraId="76626184" w14:textId="6DDC2B85" w:rsidR="00000219" w:rsidRDefault="00000219" w:rsidP="00537A1C">
      <w:r>
        <w:t>In 2020, Energe</w:t>
      </w:r>
      <w:r w:rsidR="000F1C32">
        <w:t xml:space="preserve">ia provided </w:t>
      </w:r>
      <w:r w:rsidR="00966C28">
        <w:t>the department</w:t>
      </w:r>
      <w:r w:rsidR="000F1C32">
        <w:t xml:space="preserve"> with</w:t>
      </w:r>
      <w:r w:rsidR="00BD61DE">
        <w:t xml:space="preserve"> technology projections of</w:t>
      </w:r>
      <w:r w:rsidR="000F1C32">
        <w:t xml:space="preserve"> </w:t>
      </w:r>
      <w:r w:rsidR="00BD61DE">
        <w:t>v</w:t>
      </w:r>
      <w:r w:rsidR="00FC1EB2">
        <w:t>ehicle sales</w:t>
      </w:r>
      <w:r w:rsidR="000F1C32">
        <w:t xml:space="preserve"> and</w:t>
      </w:r>
      <w:r w:rsidR="00BD61DE">
        <w:t xml:space="preserve"> vehicle</w:t>
      </w:r>
      <w:r w:rsidR="000F1C32">
        <w:t xml:space="preserve"> fleet</w:t>
      </w:r>
      <w:r w:rsidR="00BD61DE">
        <w:t>s</w:t>
      </w:r>
      <w:r w:rsidR="000F1C32">
        <w:t xml:space="preserve">, with the </w:t>
      </w:r>
      <w:r w:rsidR="00BD61DE">
        <w:t xml:space="preserve">projections of </w:t>
      </w:r>
      <w:r w:rsidR="00FC1EB2">
        <w:t>sales</w:t>
      </w:r>
      <w:r w:rsidR="00BD61DE">
        <w:t xml:space="preserve"> </w:t>
      </w:r>
      <w:r w:rsidR="000F1C32">
        <w:t>acting as the primary input for the fleet projection</w:t>
      </w:r>
      <w:r w:rsidR="00117638">
        <w:t>s</w:t>
      </w:r>
      <w:r w:rsidR="000F1C32">
        <w:t>. The vehicle</w:t>
      </w:r>
      <w:r w:rsidR="00FC1EB2">
        <w:t xml:space="preserve"> sales</w:t>
      </w:r>
      <w:r w:rsidR="000F1C32">
        <w:t xml:space="preserve"> technology projections were based on a technology adoption function, </w:t>
      </w:r>
      <w:r w:rsidR="00FC1EB2">
        <w:t>where</w:t>
      </w:r>
      <w:r w:rsidR="000F1C32" w:rsidRPr="000F1C32">
        <w:t xml:space="preserve"> </w:t>
      </w:r>
      <w:r w:rsidR="00117638">
        <w:t xml:space="preserve">technology shares </w:t>
      </w:r>
      <w:r w:rsidR="000F1C32" w:rsidRPr="00A031DC">
        <w:t>would be proportional to projected model availability and the projected first year return-on-investment. A lagged version of projected model availability in the United States was adopted for Australia’s model availability projection and return on investment was projected based on projections of changes in upfront price premiums, fuel prices, and vehicle registration and stamp duty concessions.</w:t>
      </w:r>
    </w:p>
    <w:p w14:paraId="59530753" w14:textId="658367E4" w:rsidR="000F3326" w:rsidRDefault="00000219" w:rsidP="004C7141">
      <w:r>
        <w:t xml:space="preserve">In 2021, </w:t>
      </w:r>
      <w:r w:rsidR="00966C28">
        <w:t>the department</w:t>
      </w:r>
      <w:r>
        <w:t xml:space="preserve"> took the detailed </w:t>
      </w:r>
      <w:r w:rsidR="00B36AE1">
        <w:t>vehicle</w:t>
      </w:r>
      <w:r w:rsidR="00FC1EB2">
        <w:t xml:space="preserve"> sales</w:t>
      </w:r>
      <w:r>
        <w:t xml:space="preserve"> projections provided by Energeia in 2020 and used these as inputs for </w:t>
      </w:r>
      <w:r w:rsidR="00966C28">
        <w:t>2</w:t>
      </w:r>
      <w:r>
        <w:t xml:space="preserve"> fleet models, separately modelling fleet technology for light duty vehicles (passenger cars and light commercial vehicle</w:t>
      </w:r>
      <w:r w:rsidR="00A75E31">
        <w:t>s) and all other vehicle types. T</w:t>
      </w:r>
      <w:r w:rsidR="006A7654">
        <w:t>he department</w:t>
      </w:r>
      <w:r w:rsidR="00A75E31">
        <w:t xml:space="preserve"> </w:t>
      </w:r>
      <w:r w:rsidR="00853E4B">
        <w:t>removed</w:t>
      </w:r>
      <w:r w:rsidR="000F3326">
        <w:t xml:space="preserve"> the </w:t>
      </w:r>
      <w:r w:rsidR="00A75E31">
        <w:t>forecasts</w:t>
      </w:r>
      <w:r w:rsidR="000F3326">
        <w:t xml:space="preserve"> for</w:t>
      </w:r>
      <w:r w:rsidR="00853E4B">
        <w:t xml:space="preserve"> uptake of</w:t>
      </w:r>
      <w:r w:rsidR="00BA6E5F">
        <w:t xml:space="preserve"> </w:t>
      </w:r>
      <w:r w:rsidR="00A75E31">
        <w:t>fuel cell vehicles</w:t>
      </w:r>
      <w:r w:rsidR="00853E4B">
        <w:t xml:space="preserve"> in the light duty segment based on announcements from vehicle manufacturers who are prioritising the development of new battery electric rather than fuel cell vehicles. </w:t>
      </w:r>
    </w:p>
    <w:p w14:paraId="5AFB8CCC" w14:textId="0820415D" w:rsidR="000F3326" w:rsidRDefault="00000219" w:rsidP="004C7141">
      <w:r>
        <w:t>The fleet model for non-light duty vehicle types was</w:t>
      </w:r>
      <w:r w:rsidR="000677DB">
        <w:t xml:space="preserve"> structurally</w:t>
      </w:r>
      <w:r>
        <w:t xml:space="preserve"> the same as that used by Energeia in 2020, where fleet segments were assumed to </w:t>
      </w:r>
      <w:r w:rsidR="000F1C32">
        <w:t xml:space="preserve">have a constant attrition rate, and </w:t>
      </w:r>
      <w:r>
        <w:t>retired vehicles were replaced by the new uptake projected in the sales forecasts</w:t>
      </w:r>
      <w:r w:rsidR="000F1C32">
        <w:t>. F</w:t>
      </w:r>
      <w:r>
        <w:t>leet-level emissions intensity was assumed to improve at a fixed rate</w:t>
      </w:r>
      <w:r w:rsidR="00464C87">
        <w:t xml:space="preserve"> (Table </w:t>
      </w:r>
      <w:r w:rsidR="004C7141">
        <w:t>4</w:t>
      </w:r>
      <w:r w:rsidR="00464C87">
        <w:t>)</w:t>
      </w:r>
      <w:r>
        <w:t>. T</w:t>
      </w:r>
      <w:r w:rsidR="006A7654">
        <w:t>he department</w:t>
      </w:r>
      <w:r>
        <w:t xml:space="preserve"> modified this model to </w:t>
      </w:r>
      <w:r w:rsidR="000F3326">
        <w:t>update</w:t>
      </w:r>
      <w:r>
        <w:t xml:space="preserve"> the originally assumed</w:t>
      </w:r>
      <w:r w:rsidR="00A75E31">
        <w:t xml:space="preserve"> fleet</w:t>
      </w:r>
      <w:r>
        <w:t xml:space="preserve"> attrition rates, and the assumed, top-down emissions intensity improvement rates. </w:t>
      </w:r>
    </w:p>
    <w:p w14:paraId="42985476" w14:textId="4CC68D8E" w:rsidR="0074293F" w:rsidRDefault="000F1C32" w:rsidP="004C7141">
      <w:pPr>
        <w:rPr>
          <w:rFonts w:ascii="Arial" w:hAnsi="Arial" w:cs="Arial"/>
        </w:rPr>
      </w:pPr>
      <w:r>
        <w:t xml:space="preserve">The fleet model adopted for light duty vehicles took a vehicle vintage approach, where individual vehicle vintages could be modelled separately, allowing for a more realistic simulation of vehicle attrition and the consequent effect on fleet technology composition and average emissions intensity. </w:t>
      </w:r>
      <w:r w:rsidR="0094220D">
        <w:t>T</w:t>
      </w:r>
      <w:r w:rsidR="006A7654">
        <w:t>he department</w:t>
      </w:r>
      <w:r w:rsidR="0094220D">
        <w:t xml:space="preserve"> calibrated the light duty vehicle</w:t>
      </w:r>
      <w:r w:rsidR="00E776FE">
        <w:t xml:space="preserve"> vintage</w:t>
      </w:r>
      <w:r w:rsidR="0094220D">
        <w:t xml:space="preserve"> model based on</w:t>
      </w:r>
      <w:r w:rsidR="00E776FE">
        <w:t xml:space="preserve"> advice provided by BITRE, and data reported in the ABS motor vehicle census</w:t>
      </w:r>
      <w:r w:rsidR="00F415B8">
        <w:t xml:space="preserve"> (ABS 202</w:t>
      </w:r>
      <w:r w:rsidR="00CB7D0E">
        <w:t>1</w:t>
      </w:r>
      <w:r w:rsidR="00F415B8">
        <w:t>)</w:t>
      </w:r>
      <w:r w:rsidR="00E776FE">
        <w:t xml:space="preserve"> and by the</w:t>
      </w:r>
      <w:r w:rsidR="0094220D">
        <w:t xml:space="preserve"> National Transport Commission </w:t>
      </w:r>
      <w:r w:rsidR="00B36AE1">
        <w:t>(NTC</w:t>
      </w:r>
      <w:r w:rsidR="0094220D">
        <w:t xml:space="preserve"> 2020)</w:t>
      </w:r>
      <w:r w:rsidR="00E776FE">
        <w:t>. T</w:t>
      </w:r>
      <w:r w:rsidR="006A7654">
        <w:t>he department</w:t>
      </w:r>
      <w:r w:rsidR="00E776FE">
        <w:t xml:space="preserve"> </w:t>
      </w:r>
      <w:r w:rsidR="0094220D">
        <w:t>assumed</w:t>
      </w:r>
      <w:r w:rsidR="00117638">
        <w:t xml:space="preserve"> that the emissions intensity</w:t>
      </w:r>
      <w:r w:rsidR="00A75E31">
        <w:t xml:space="preserve"> of</w:t>
      </w:r>
      <w:r w:rsidR="0094220D">
        <w:t xml:space="preserve"> new internal combustion engine vehicle segments would </w:t>
      </w:r>
      <w:r w:rsidR="00117638">
        <w:t>decline</w:t>
      </w:r>
      <w:r w:rsidR="0094220D">
        <w:t xml:space="preserve"> into the future at a rate of 0.9% per year</w:t>
      </w:r>
      <w:r w:rsidR="007A2E88">
        <w:t xml:space="preserve"> in the baseline scenario</w:t>
      </w:r>
      <w:r w:rsidR="004D5D34">
        <w:t xml:space="preserve"> (Table </w:t>
      </w:r>
      <w:r w:rsidR="004C7141">
        <w:t>5</w:t>
      </w:r>
      <w:r w:rsidR="004D5D34">
        <w:t>)</w:t>
      </w:r>
      <w:r w:rsidR="0094220D">
        <w:t>, based on forecasts published by Bloomberg New Energy Finance</w:t>
      </w:r>
      <w:r w:rsidR="000677DB">
        <w:t xml:space="preserve"> (</w:t>
      </w:r>
      <w:r w:rsidR="00B36AE1">
        <w:t>BNEF</w:t>
      </w:r>
      <w:r w:rsidR="007A2E88">
        <w:t xml:space="preserve"> </w:t>
      </w:r>
      <w:r w:rsidR="000677DB">
        <w:t>2021</w:t>
      </w:r>
      <w:r w:rsidR="00A900E7">
        <w:t>a</w:t>
      </w:r>
      <w:r w:rsidR="000677DB">
        <w:t>).</w:t>
      </w:r>
    </w:p>
    <w:p w14:paraId="616447D5" w14:textId="72D6322D" w:rsidR="00B52A22" w:rsidRPr="003635EE" w:rsidRDefault="00B52A22" w:rsidP="003635EE">
      <w:pPr>
        <w:pStyle w:val="Caption"/>
      </w:pPr>
      <w:r w:rsidRPr="003635EE">
        <w:t>Table</w:t>
      </w:r>
      <w:r w:rsidR="004C7141">
        <w:t xml:space="preserve"> 4</w:t>
      </w:r>
      <w:r w:rsidRPr="003635EE">
        <w:t>.</w:t>
      </w:r>
      <w:r w:rsidR="009B11AD" w:rsidRPr="003635EE">
        <w:t xml:space="preserve"> </w:t>
      </w:r>
      <w:r w:rsidRPr="003635EE">
        <w:t xml:space="preserve">Assumed YoY fleet segment level emissions intensity </w:t>
      </w:r>
      <w:r w:rsidR="008C5890" w:rsidRPr="003635EE">
        <w:t>(</w:t>
      </w:r>
      <w:r w:rsidR="006C7FFA" w:rsidRPr="003635EE">
        <w:t>g CO2-e/km)</w:t>
      </w:r>
      <w:r w:rsidR="008C5890" w:rsidRPr="003635EE">
        <w:t xml:space="preserve"> and/or</w:t>
      </w:r>
      <w:r w:rsidR="006C7FFA" w:rsidRPr="003635EE">
        <w:t xml:space="preserve"> </w:t>
      </w:r>
      <w:r w:rsidR="008C5890" w:rsidRPr="003635EE">
        <w:t xml:space="preserve">fuel </w:t>
      </w:r>
      <w:r w:rsidR="004D5D34">
        <w:t>intensity</w:t>
      </w:r>
      <w:r w:rsidR="004D5D34" w:rsidRPr="003635EE">
        <w:t xml:space="preserve"> </w:t>
      </w:r>
      <w:r w:rsidR="008C5890" w:rsidRPr="003635EE">
        <w:t xml:space="preserve">(Mj/km) </w:t>
      </w:r>
      <w:r w:rsidR="004D5D34">
        <w:t>reduction</w:t>
      </w:r>
      <w:r w:rsidR="004D5D34" w:rsidRPr="003635EE">
        <w:t xml:space="preserve"> </w:t>
      </w:r>
      <w:r w:rsidRPr="003635EE">
        <w:t>rates</w:t>
      </w:r>
    </w:p>
    <w:tbl>
      <w:tblPr>
        <w:tblStyle w:val="ListTable3-Accent3"/>
        <w:tblW w:w="5000" w:type="pct"/>
        <w:tblLook w:val="04A0" w:firstRow="1" w:lastRow="0" w:firstColumn="1" w:lastColumn="0" w:noHBand="0" w:noVBand="1"/>
        <w:tblCaption w:val="Assumed YoY fleet segment level emissions intensity (g CO2-e/km) and/or fuel efficiency (Mj/km) improvement rates"/>
        <w:tblDescription w:val="A table listing the assumed emissions intensity and fuel efficiency improvement rates for the various fleet segments in the transport model. Improvement rates were assumed to be higher in the high technology scenario compared to the other scenarios. For internal combustion engine vehicles in the baseline scenario, it was assumed that light road vehicles, such as cars, light commercial vehicles and motorcycles, would have an improvement rate of 1.2 per cent per year. Heavy vehicles, including aviation and marine, were assumed to have an improvement rate of 0.5 per cent per year."/>
      </w:tblPr>
      <w:tblGrid>
        <w:gridCol w:w="2972"/>
        <w:gridCol w:w="2076"/>
        <w:gridCol w:w="2078"/>
        <w:gridCol w:w="2076"/>
      </w:tblGrid>
      <w:tr w:rsidR="002318D5" w:rsidRPr="009B11AD" w14:paraId="63589842" w14:textId="77777777" w:rsidTr="004C71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5" w:type="pct"/>
          </w:tcPr>
          <w:p w14:paraId="3F303CCB" w14:textId="1E4FE3E8" w:rsidR="002318D5" w:rsidRPr="00A031DC" w:rsidRDefault="002318D5" w:rsidP="00537A1C">
            <w:pPr>
              <w:rPr>
                <w:bCs w:val="0"/>
                <w:lang w:eastAsia="en-AU"/>
              </w:rPr>
            </w:pPr>
            <w:r w:rsidRPr="00A031DC">
              <w:rPr>
                <w:lang w:eastAsia="en-AU"/>
              </w:rPr>
              <w:t>Mode</w:t>
            </w:r>
            <w:r w:rsidR="009B11AD">
              <w:rPr>
                <w:bCs w:val="0"/>
                <w:lang w:eastAsia="en-AU"/>
              </w:rPr>
              <w:t>l</w:t>
            </w:r>
            <w:r w:rsidRPr="00A031DC">
              <w:rPr>
                <w:lang w:eastAsia="en-AU"/>
              </w:rPr>
              <w:t xml:space="preserve"> </w:t>
            </w:r>
            <w:r w:rsidR="006A7654">
              <w:rPr>
                <w:lang w:eastAsia="en-AU"/>
              </w:rPr>
              <w:t>t</w:t>
            </w:r>
            <w:r w:rsidRPr="00A031DC">
              <w:rPr>
                <w:lang w:eastAsia="en-AU"/>
              </w:rPr>
              <w:t>ype</w:t>
            </w:r>
          </w:p>
        </w:tc>
        <w:tc>
          <w:tcPr>
            <w:tcW w:w="1128" w:type="pct"/>
          </w:tcPr>
          <w:p w14:paraId="6E547CF2" w14:textId="2E6A773B" w:rsidR="002318D5" w:rsidRPr="00A031DC" w:rsidRDefault="007A46B8" w:rsidP="007A46B8">
            <w:pPr>
              <w:cnfStyle w:val="100000000000" w:firstRow="1" w:lastRow="0" w:firstColumn="0" w:lastColumn="0" w:oddVBand="0" w:evenVBand="0" w:oddHBand="0" w:evenHBand="0" w:firstRowFirstColumn="0" w:firstRowLastColumn="0" w:lastRowFirstColumn="0" w:lastRowLastColumn="0"/>
              <w:rPr>
                <w:bCs w:val="0"/>
                <w:lang w:eastAsia="en-AU"/>
              </w:rPr>
            </w:pPr>
            <w:r>
              <w:rPr>
                <w:lang w:eastAsia="en-AU"/>
              </w:rPr>
              <w:t xml:space="preserve">Technology </w:t>
            </w:r>
            <w:r w:rsidR="006A7654">
              <w:rPr>
                <w:lang w:eastAsia="en-AU"/>
              </w:rPr>
              <w:t>t</w:t>
            </w:r>
            <w:r>
              <w:rPr>
                <w:lang w:eastAsia="en-AU"/>
              </w:rPr>
              <w:t>ypeType</w:t>
            </w:r>
          </w:p>
        </w:tc>
        <w:tc>
          <w:tcPr>
            <w:tcW w:w="1129" w:type="pct"/>
          </w:tcPr>
          <w:p w14:paraId="15A17CE5" w14:textId="456CEBAC" w:rsidR="002318D5" w:rsidRPr="00A031DC" w:rsidDel="002318D5" w:rsidRDefault="002318D5" w:rsidP="00000219">
            <w:pPr>
              <w:cnfStyle w:val="100000000000" w:firstRow="1" w:lastRow="0" w:firstColumn="0" w:lastColumn="0" w:oddVBand="0" w:evenVBand="0" w:oddHBand="0" w:evenHBand="0" w:firstRowFirstColumn="0" w:firstRowLastColumn="0" w:lastRowFirstColumn="0" w:lastRowLastColumn="0"/>
              <w:rPr>
                <w:bCs w:val="0"/>
                <w:lang w:eastAsia="en-AU"/>
              </w:rPr>
            </w:pPr>
            <w:r w:rsidRPr="00A031DC">
              <w:rPr>
                <w:lang w:eastAsia="en-AU"/>
              </w:rPr>
              <w:t>Baseline</w:t>
            </w:r>
          </w:p>
        </w:tc>
        <w:tc>
          <w:tcPr>
            <w:tcW w:w="1129" w:type="pct"/>
          </w:tcPr>
          <w:p w14:paraId="3899121C" w14:textId="3534076C" w:rsidR="002318D5" w:rsidRPr="00A031DC" w:rsidRDefault="002318D5" w:rsidP="00537A1C">
            <w:pPr>
              <w:cnfStyle w:val="100000000000" w:firstRow="1" w:lastRow="0" w:firstColumn="0" w:lastColumn="0" w:oddVBand="0" w:evenVBand="0" w:oddHBand="0" w:evenHBand="0" w:firstRowFirstColumn="0" w:firstRowLastColumn="0" w:lastRowFirstColumn="0" w:lastRowLastColumn="0"/>
              <w:rPr>
                <w:bCs w:val="0"/>
                <w:lang w:eastAsia="en-AU"/>
              </w:rPr>
            </w:pPr>
            <w:r w:rsidRPr="00A031DC">
              <w:rPr>
                <w:lang w:eastAsia="en-AU"/>
              </w:rPr>
              <w:t xml:space="preserve">High </w:t>
            </w:r>
            <w:r w:rsidR="006A7654">
              <w:rPr>
                <w:lang w:eastAsia="en-AU"/>
              </w:rPr>
              <w:t>t</w:t>
            </w:r>
            <w:r w:rsidRPr="00A031DC">
              <w:rPr>
                <w:lang w:eastAsia="en-AU"/>
              </w:rPr>
              <w:t xml:space="preserve">ech </w:t>
            </w:r>
            <w:r w:rsidR="006A7654">
              <w:rPr>
                <w:lang w:eastAsia="en-AU"/>
              </w:rPr>
              <w:t>s</w:t>
            </w:r>
            <w:r w:rsidRPr="00A031DC">
              <w:rPr>
                <w:lang w:eastAsia="en-AU"/>
              </w:rPr>
              <w:t>cenario</w:t>
            </w:r>
          </w:p>
        </w:tc>
      </w:tr>
      <w:tr w:rsidR="002318D5" w:rsidRPr="009B11AD" w14:paraId="2784E7BE" w14:textId="77777777" w:rsidTr="004C7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pct"/>
          </w:tcPr>
          <w:p w14:paraId="58D5FEE1" w14:textId="280D82D7" w:rsidR="002318D5" w:rsidRPr="00A031DC" w:rsidRDefault="002318D5" w:rsidP="00537A1C">
            <w:pPr>
              <w:rPr>
                <w:b w:val="0"/>
                <w:lang w:eastAsia="en-AU"/>
              </w:rPr>
            </w:pPr>
            <w:r w:rsidRPr="00A031DC">
              <w:rPr>
                <w:lang w:eastAsia="en-AU"/>
              </w:rPr>
              <w:t>Motorcycles</w:t>
            </w:r>
          </w:p>
        </w:tc>
        <w:tc>
          <w:tcPr>
            <w:tcW w:w="1128" w:type="pct"/>
          </w:tcPr>
          <w:p w14:paraId="4EA8AF63" w14:textId="6936C4ED" w:rsidR="002318D5" w:rsidRPr="00A031DC" w:rsidRDefault="002318D5" w:rsidP="007A46B8">
            <w:pPr>
              <w:cnfStyle w:val="000000100000" w:firstRow="0" w:lastRow="0" w:firstColumn="0" w:lastColumn="0" w:oddVBand="0" w:evenVBand="0" w:oddHBand="1" w:evenHBand="0" w:firstRowFirstColumn="0" w:firstRowLastColumn="0" w:lastRowFirstColumn="0" w:lastRowLastColumn="0"/>
            </w:pPr>
            <w:r w:rsidRPr="00A031DC">
              <w:t>ICE</w:t>
            </w:r>
          </w:p>
        </w:tc>
        <w:tc>
          <w:tcPr>
            <w:tcW w:w="1129" w:type="pct"/>
          </w:tcPr>
          <w:p w14:paraId="311A5FE9" w14:textId="29614C52" w:rsidR="002318D5" w:rsidRPr="00A031DC" w:rsidRDefault="00B52A22" w:rsidP="00537A1C">
            <w:pPr>
              <w:cnfStyle w:val="000000100000" w:firstRow="0" w:lastRow="0" w:firstColumn="0" w:lastColumn="0" w:oddVBand="0" w:evenVBand="0" w:oddHBand="1" w:evenHBand="0" w:firstRowFirstColumn="0" w:firstRowLastColumn="0" w:lastRowFirstColumn="0" w:lastRowLastColumn="0"/>
            </w:pPr>
            <w:r w:rsidRPr="00A031DC">
              <w:t>1.</w:t>
            </w:r>
            <w:r w:rsidR="00282243">
              <w:t>2</w:t>
            </w:r>
            <w:r w:rsidRPr="00A031DC">
              <w:t>%</w:t>
            </w:r>
          </w:p>
        </w:tc>
        <w:tc>
          <w:tcPr>
            <w:tcW w:w="1129" w:type="pct"/>
          </w:tcPr>
          <w:p w14:paraId="249FF4F4" w14:textId="14B9B3F1" w:rsidR="002318D5" w:rsidRPr="00A031DC" w:rsidRDefault="006C7FFA" w:rsidP="00537A1C">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sidRPr="00A031DC">
              <w:t>1.</w:t>
            </w:r>
            <w:r w:rsidR="00282243">
              <w:t>5</w:t>
            </w:r>
            <w:r w:rsidRPr="00A031DC">
              <w:t>%</w:t>
            </w:r>
          </w:p>
        </w:tc>
      </w:tr>
      <w:tr w:rsidR="002318D5" w:rsidRPr="009B11AD" w14:paraId="1959A32D" w14:textId="77777777" w:rsidTr="004C7141">
        <w:tc>
          <w:tcPr>
            <w:cnfStyle w:val="001000000000" w:firstRow="0" w:lastRow="0" w:firstColumn="1" w:lastColumn="0" w:oddVBand="0" w:evenVBand="0" w:oddHBand="0" w:evenHBand="0" w:firstRowFirstColumn="0" w:firstRowLastColumn="0" w:lastRowFirstColumn="0" w:lastRowLastColumn="0"/>
            <w:tcW w:w="1615" w:type="pct"/>
          </w:tcPr>
          <w:p w14:paraId="30BB3938" w14:textId="295C5858" w:rsidR="002318D5" w:rsidRPr="00A031DC" w:rsidRDefault="002318D5" w:rsidP="00537A1C">
            <w:pPr>
              <w:rPr>
                <w:b w:val="0"/>
                <w:lang w:eastAsia="en-AU"/>
              </w:rPr>
            </w:pPr>
            <w:r w:rsidRPr="00A031DC">
              <w:rPr>
                <w:lang w:eastAsia="en-AU"/>
              </w:rPr>
              <w:t>Motorcycles</w:t>
            </w:r>
          </w:p>
        </w:tc>
        <w:tc>
          <w:tcPr>
            <w:tcW w:w="1128" w:type="pct"/>
          </w:tcPr>
          <w:p w14:paraId="6F3CEEF5" w14:textId="1AB04A94" w:rsidR="002318D5" w:rsidRPr="00A031DC" w:rsidRDefault="008C5890">
            <w:pPr>
              <w:cnfStyle w:val="000000000000" w:firstRow="0" w:lastRow="0" w:firstColumn="0" w:lastColumn="0" w:oddVBand="0" w:evenVBand="0" w:oddHBand="0" w:evenHBand="0" w:firstRowFirstColumn="0" w:firstRowLastColumn="0" w:lastRowFirstColumn="0" w:lastRowLastColumn="0"/>
              <w:rPr>
                <w:lang w:eastAsia="en-AU"/>
              </w:rPr>
            </w:pPr>
            <w:r w:rsidRPr="00A031DC">
              <w:rPr>
                <w:lang w:eastAsia="en-AU"/>
              </w:rPr>
              <w:t>BEV, FCEV</w:t>
            </w:r>
          </w:p>
        </w:tc>
        <w:tc>
          <w:tcPr>
            <w:tcW w:w="1129" w:type="pct"/>
          </w:tcPr>
          <w:p w14:paraId="78833C10" w14:textId="7829D3A6" w:rsidR="002318D5" w:rsidRPr="00A031DC" w:rsidRDefault="00282243" w:rsidP="00537A1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2</w:t>
            </w:r>
            <w:r w:rsidR="008C5890" w:rsidRPr="00A031DC">
              <w:rPr>
                <w:lang w:eastAsia="en-AU"/>
              </w:rPr>
              <w:t>%</w:t>
            </w:r>
          </w:p>
        </w:tc>
        <w:tc>
          <w:tcPr>
            <w:tcW w:w="1129" w:type="pct"/>
          </w:tcPr>
          <w:p w14:paraId="198EE0FA" w14:textId="77A976DF" w:rsidR="002318D5" w:rsidRPr="00A031DC" w:rsidRDefault="008C5890" w:rsidP="00464C87">
            <w:pPr>
              <w:cnfStyle w:val="000000000000" w:firstRow="0" w:lastRow="0" w:firstColumn="0" w:lastColumn="0" w:oddVBand="0" w:evenVBand="0" w:oddHBand="0" w:evenHBand="0" w:firstRowFirstColumn="0" w:firstRowLastColumn="0" w:lastRowFirstColumn="0" w:lastRowLastColumn="0"/>
              <w:rPr>
                <w:lang w:eastAsia="en-AU"/>
              </w:rPr>
            </w:pPr>
            <w:r w:rsidRPr="00A031DC">
              <w:rPr>
                <w:lang w:eastAsia="en-AU"/>
              </w:rPr>
              <w:t>2.</w:t>
            </w:r>
            <w:r w:rsidR="00282243">
              <w:rPr>
                <w:lang w:eastAsia="en-AU"/>
              </w:rPr>
              <w:t>4</w:t>
            </w:r>
            <w:r w:rsidRPr="00A031DC">
              <w:rPr>
                <w:lang w:eastAsia="en-AU"/>
              </w:rPr>
              <w:t>%</w:t>
            </w:r>
          </w:p>
        </w:tc>
      </w:tr>
      <w:tr w:rsidR="002318D5" w:rsidRPr="009B11AD" w14:paraId="27E49B28" w14:textId="77777777" w:rsidTr="004C7141">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615" w:type="pct"/>
          </w:tcPr>
          <w:p w14:paraId="346CEAB3" w14:textId="28D2E119" w:rsidR="002318D5" w:rsidRPr="00A031DC" w:rsidRDefault="002318D5" w:rsidP="00537A1C">
            <w:pPr>
              <w:rPr>
                <w:b w:val="0"/>
                <w:lang w:eastAsia="en-AU"/>
              </w:rPr>
            </w:pPr>
            <w:r w:rsidRPr="00A031DC">
              <w:rPr>
                <w:lang w:eastAsia="en-AU"/>
              </w:rPr>
              <w:t xml:space="preserve">Aviation, </w:t>
            </w:r>
            <w:r w:rsidR="006A7654">
              <w:rPr>
                <w:lang w:eastAsia="en-AU"/>
              </w:rPr>
              <w:t>m</w:t>
            </w:r>
            <w:r w:rsidRPr="00A031DC">
              <w:rPr>
                <w:lang w:eastAsia="en-AU"/>
              </w:rPr>
              <w:t xml:space="preserve">arine, </w:t>
            </w:r>
            <w:r w:rsidR="006A7654">
              <w:rPr>
                <w:lang w:eastAsia="en-AU"/>
              </w:rPr>
              <w:t>a</w:t>
            </w:r>
            <w:r w:rsidRPr="00A031DC">
              <w:rPr>
                <w:lang w:eastAsia="en-AU"/>
              </w:rPr>
              <w:t xml:space="preserve">rticulated </w:t>
            </w:r>
            <w:r w:rsidR="006A7654">
              <w:rPr>
                <w:lang w:eastAsia="en-AU"/>
              </w:rPr>
              <w:t>t</w:t>
            </w:r>
            <w:r w:rsidRPr="00A031DC">
              <w:rPr>
                <w:lang w:eastAsia="en-AU"/>
              </w:rPr>
              <w:t xml:space="preserve">rucks, </w:t>
            </w:r>
            <w:r w:rsidR="006A7654">
              <w:rPr>
                <w:lang w:eastAsia="en-AU"/>
              </w:rPr>
              <w:t>r</w:t>
            </w:r>
            <w:r w:rsidRPr="00A031DC">
              <w:rPr>
                <w:lang w:eastAsia="en-AU"/>
              </w:rPr>
              <w:t xml:space="preserve">igid </w:t>
            </w:r>
            <w:r w:rsidR="006A7654">
              <w:rPr>
                <w:lang w:eastAsia="en-AU"/>
              </w:rPr>
              <w:t>t</w:t>
            </w:r>
            <w:r w:rsidRPr="00A031DC">
              <w:rPr>
                <w:lang w:eastAsia="en-AU"/>
              </w:rPr>
              <w:t xml:space="preserve">rucks, </w:t>
            </w:r>
            <w:r w:rsidR="006A7654">
              <w:rPr>
                <w:lang w:eastAsia="en-AU"/>
              </w:rPr>
              <w:t>b</w:t>
            </w:r>
            <w:r w:rsidRPr="00A031DC">
              <w:rPr>
                <w:lang w:eastAsia="en-AU"/>
              </w:rPr>
              <w:t>uses</w:t>
            </w:r>
          </w:p>
        </w:tc>
        <w:tc>
          <w:tcPr>
            <w:tcW w:w="1128" w:type="pct"/>
          </w:tcPr>
          <w:p w14:paraId="51749FCE" w14:textId="3D123A59" w:rsidR="002318D5" w:rsidRPr="00A031DC" w:rsidRDefault="002318D5">
            <w:pPr>
              <w:cnfStyle w:val="000000100000" w:firstRow="0" w:lastRow="0" w:firstColumn="0" w:lastColumn="0" w:oddVBand="0" w:evenVBand="0" w:oddHBand="1" w:evenHBand="0" w:firstRowFirstColumn="0" w:firstRowLastColumn="0" w:lastRowFirstColumn="0" w:lastRowLastColumn="0"/>
              <w:rPr>
                <w:lang w:eastAsia="en-AU"/>
              </w:rPr>
            </w:pPr>
            <w:r w:rsidRPr="00A031DC">
              <w:rPr>
                <w:lang w:eastAsia="en-AU"/>
              </w:rPr>
              <w:t>ICE</w:t>
            </w:r>
          </w:p>
        </w:tc>
        <w:tc>
          <w:tcPr>
            <w:tcW w:w="1129" w:type="pct"/>
          </w:tcPr>
          <w:p w14:paraId="7CB870DF" w14:textId="40436FA2" w:rsidR="002318D5" w:rsidRPr="00A031DC" w:rsidRDefault="008C5890" w:rsidP="00537A1C">
            <w:pPr>
              <w:cnfStyle w:val="000000100000" w:firstRow="0" w:lastRow="0" w:firstColumn="0" w:lastColumn="0" w:oddVBand="0" w:evenVBand="0" w:oddHBand="1" w:evenHBand="0" w:firstRowFirstColumn="0" w:firstRowLastColumn="0" w:lastRowFirstColumn="0" w:lastRowLastColumn="0"/>
              <w:rPr>
                <w:lang w:eastAsia="en-AU"/>
              </w:rPr>
            </w:pPr>
            <w:r w:rsidRPr="00A031DC">
              <w:rPr>
                <w:lang w:eastAsia="en-AU"/>
              </w:rPr>
              <w:t>0.5%</w:t>
            </w:r>
          </w:p>
        </w:tc>
        <w:tc>
          <w:tcPr>
            <w:tcW w:w="1129" w:type="pct"/>
          </w:tcPr>
          <w:p w14:paraId="02238652" w14:textId="7F553FFF" w:rsidR="002318D5" w:rsidRPr="00A031DC" w:rsidRDefault="008C5890" w:rsidP="00537A1C">
            <w:pPr>
              <w:cnfStyle w:val="000000100000" w:firstRow="0" w:lastRow="0" w:firstColumn="0" w:lastColumn="0" w:oddVBand="0" w:evenVBand="0" w:oddHBand="1" w:evenHBand="0" w:firstRowFirstColumn="0" w:firstRowLastColumn="0" w:lastRowFirstColumn="0" w:lastRowLastColumn="0"/>
              <w:rPr>
                <w:lang w:eastAsia="en-AU"/>
              </w:rPr>
            </w:pPr>
            <w:r w:rsidRPr="00A031DC">
              <w:rPr>
                <w:lang w:eastAsia="en-AU"/>
              </w:rPr>
              <w:t>0.6%</w:t>
            </w:r>
          </w:p>
        </w:tc>
      </w:tr>
      <w:tr w:rsidR="002318D5" w:rsidRPr="009B11AD" w14:paraId="2E09C177" w14:textId="77777777" w:rsidTr="004C7141">
        <w:trPr>
          <w:trHeight w:val="828"/>
        </w:trPr>
        <w:tc>
          <w:tcPr>
            <w:cnfStyle w:val="001000000000" w:firstRow="0" w:lastRow="0" w:firstColumn="1" w:lastColumn="0" w:oddVBand="0" w:evenVBand="0" w:oddHBand="0" w:evenHBand="0" w:firstRowFirstColumn="0" w:firstRowLastColumn="0" w:lastRowFirstColumn="0" w:lastRowLastColumn="0"/>
            <w:tcW w:w="1615" w:type="pct"/>
          </w:tcPr>
          <w:p w14:paraId="2AAA9B4A" w14:textId="04F9DB28" w:rsidR="002318D5" w:rsidRPr="00A031DC" w:rsidRDefault="002318D5" w:rsidP="00537A1C">
            <w:pPr>
              <w:rPr>
                <w:b w:val="0"/>
                <w:lang w:eastAsia="en-AU"/>
              </w:rPr>
            </w:pPr>
            <w:r w:rsidRPr="00A031DC">
              <w:rPr>
                <w:lang w:eastAsia="en-AU"/>
              </w:rPr>
              <w:t xml:space="preserve">Aviation, </w:t>
            </w:r>
            <w:r w:rsidR="006A7654">
              <w:rPr>
                <w:lang w:eastAsia="en-AU"/>
              </w:rPr>
              <w:t>m</w:t>
            </w:r>
            <w:r w:rsidRPr="00A031DC">
              <w:rPr>
                <w:lang w:eastAsia="en-AU"/>
              </w:rPr>
              <w:t xml:space="preserve">arine, </w:t>
            </w:r>
            <w:r w:rsidR="006A7654">
              <w:rPr>
                <w:lang w:eastAsia="en-AU"/>
              </w:rPr>
              <w:t>a</w:t>
            </w:r>
            <w:r w:rsidRPr="00A031DC">
              <w:rPr>
                <w:lang w:eastAsia="en-AU"/>
              </w:rPr>
              <w:t xml:space="preserve">rticulated </w:t>
            </w:r>
            <w:r w:rsidR="006A7654">
              <w:rPr>
                <w:lang w:eastAsia="en-AU"/>
              </w:rPr>
              <w:t>t</w:t>
            </w:r>
            <w:r w:rsidRPr="00A031DC">
              <w:rPr>
                <w:lang w:eastAsia="en-AU"/>
              </w:rPr>
              <w:t xml:space="preserve">rucks, </w:t>
            </w:r>
            <w:r w:rsidR="006A7654">
              <w:rPr>
                <w:lang w:eastAsia="en-AU"/>
              </w:rPr>
              <w:t>r</w:t>
            </w:r>
            <w:r w:rsidRPr="00A031DC">
              <w:rPr>
                <w:lang w:eastAsia="en-AU"/>
              </w:rPr>
              <w:t xml:space="preserve">igid </w:t>
            </w:r>
            <w:r w:rsidR="006A7654">
              <w:rPr>
                <w:lang w:eastAsia="en-AU"/>
              </w:rPr>
              <w:t>t</w:t>
            </w:r>
            <w:r w:rsidRPr="00A031DC">
              <w:rPr>
                <w:lang w:eastAsia="en-AU"/>
              </w:rPr>
              <w:t xml:space="preserve">rucks, </w:t>
            </w:r>
            <w:r w:rsidR="006A7654">
              <w:rPr>
                <w:lang w:eastAsia="en-AU"/>
              </w:rPr>
              <w:t>b</w:t>
            </w:r>
            <w:r w:rsidRPr="00A031DC">
              <w:rPr>
                <w:lang w:eastAsia="en-AU"/>
              </w:rPr>
              <w:t>uses</w:t>
            </w:r>
          </w:p>
        </w:tc>
        <w:tc>
          <w:tcPr>
            <w:tcW w:w="1128" w:type="pct"/>
          </w:tcPr>
          <w:p w14:paraId="6E142CFD" w14:textId="7A17474B" w:rsidR="002318D5" w:rsidRPr="00A031DC" w:rsidRDefault="008C5890">
            <w:pPr>
              <w:cnfStyle w:val="000000000000" w:firstRow="0" w:lastRow="0" w:firstColumn="0" w:lastColumn="0" w:oddVBand="0" w:evenVBand="0" w:oddHBand="0" w:evenHBand="0" w:firstRowFirstColumn="0" w:firstRowLastColumn="0" w:lastRowFirstColumn="0" w:lastRowLastColumn="0"/>
              <w:rPr>
                <w:lang w:eastAsia="en-AU"/>
              </w:rPr>
            </w:pPr>
            <w:r w:rsidRPr="00A031DC">
              <w:rPr>
                <w:lang w:eastAsia="en-AU"/>
              </w:rPr>
              <w:t>BEV, FCEV</w:t>
            </w:r>
          </w:p>
        </w:tc>
        <w:tc>
          <w:tcPr>
            <w:tcW w:w="1129" w:type="pct"/>
          </w:tcPr>
          <w:p w14:paraId="073CB42E" w14:textId="3F910083" w:rsidR="002318D5" w:rsidRPr="00A031DC" w:rsidRDefault="008C5890" w:rsidP="00537A1C">
            <w:pPr>
              <w:cnfStyle w:val="000000000000" w:firstRow="0" w:lastRow="0" w:firstColumn="0" w:lastColumn="0" w:oddVBand="0" w:evenVBand="0" w:oddHBand="0" w:evenHBand="0" w:firstRowFirstColumn="0" w:firstRowLastColumn="0" w:lastRowFirstColumn="0" w:lastRowLastColumn="0"/>
              <w:rPr>
                <w:lang w:eastAsia="en-AU"/>
              </w:rPr>
            </w:pPr>
            <w:r w:rsidRPr="00A031DC">
              <w:rPr>
                <w:lang w:eastAsia="en-AU"/>
              </w:rPr>
              <w:t>1%</w:t>
            </w:r>
          </w:p>
        </w:tc>
        <w:tc>
          <w:tcPr>
            <w:tcW w:w="1129" w:type="pct"/>
          </w:tcPr>
          <w:p w14:paraId="170ECE37" w14:textId="6A170381" w:rsidR="002318D5" w:rsidRPr="00A031DC" w:rsidRDefault="008C5890" w:rsidP="00464C87">
            <w:pPr>
              <w:cnfStyle w:val="000000000000" w:firstRow="0" w:lastRow="0" w:firstColumn="0" w:lastColumn="0" w:oddVBand="0" w:evenVBand="0" w:oddHBand="0" w:evenHBand="0" w:firstRowFirstColumn="0" w:firstRowLastColumn="0" w:lastRowFirstColumn="0" w:lastRowLastColumn="0"/>
              <w:rPr>
                <w:lang w:eastAsia="en-AU"/>
              </w:rPr>
            </w:pPr>
            <w:r w:rsidRPr="00A031DC">
              <w:rPr>
                <w:lang w:eastAsia="en-AU"/>
              </w:rPr>
              <w:t>1.2%</w:t>
            </w:r>
          </w:p>
        </w:tc>
      </w:tr>
    </w:tbl>
    <w:p w14:paraId="7DD56D4D" w14:textId="19CC07D0" w:rsidR="004D5D34" w:rsidRDefault="00740471" w:rsidP="000F53BC">
      <w:pPr>
        <w:pStyle w:val="BodyText"/>
        <w:tabs>
          <w:tab w:val="left" w:pos="3995"/>
        </w:tabs>
      </w:pPr>
      <w:r>
        <w:tab/>
      </w:r>
    </w:p>
    <w:p w14:paraId="4768BC67" w14:textId="43F7906C" w:rsidR="004D5D34" w:rsidRPr="003635EE" w:rsidRDefault="004D5D34" w:rsidP="004D5D34">
      <w:pPr>
        <w:pStyle w:val="Caption"/>
      </w:pPr>
      <w:r w:rsidRPr="003635EE">
        <w:lastRenderedPageBreak/>
        <w:t xml:space="preserve">Table </w:t>
      </w:r>
      <w:r w:rsidR="004C7141">
        <w:t>5</w:t>
      </w:r>
      <w:r w:rsidRPr="003635EE">
        <w:t xml:space="preserve">. Assumed YoY </w:t>
      </w:r>
      <w:r>
        <w:t>new segment-level light duty vehicle</w:t>
      </w:r>
      <w:r w:rsidRPr="003635EE">
        <w:t xml:space="preserve"> emissions intensity (g CO2-e/km) and/or fuel </w:t>
      </w:r>
      <w:r>
        <w:t>intensity</w:t>
      </w:r>
      <w:r w:rsidRPr="003635EE">
        <w:t xml:space="preserve"> (Mj/km) improvement rates</w:t>
      </w:r>
    </w:p>
    <w:tbl>
      <w:tblPr>
        <w:tblStyle w:val="ListTable3-Accent3"/>
        <w:tblW w:w="5000" w:type="pct"/>
        <w:tblLook w:val="04A0" w:firstRow="1" w:lastRow="0" w:firstColumn="1" w:lastColumn="0" w:noHBand="0" w:noVBand="1"/>
        <w:tblCaption w:val="Assumed YoY fleet segment level emissions intensity (g CO2-e/km) and/or fuel efficiency (Mj/km) improvement rates"/>
        <w:tblDescription w:val="A table listing the assumed emissions intensity and fuel efficiency improvement rates for the various fleet segments in the transport model. Improvement rates were assumed to be higher in the high technology scenario compared to the other scenarios. For internal combustion engine vehicles in the baseline scenario, it was assumed that light road vehicles, such as cars, light commercial vehicles and motorcycles, would have an improvement rate of 1.2 per cent per year. Heavy vehicles, including aviation and marine, were assumed to have an improvement rate of 0.5 per cent per year."/>
      </w:tblPr>
      <w:tblGrid>
        <w:gridCol w:w="3578"/>
        <w:gridCol w:w="2812"/>
        <w:gridCol w:w="2812"/>
      </w:tblGrid>
      <w:tr w:rsidR="004D5D34" w:rsidRPr="009B11AD" w14:paraId="794EFD45" w14:textId="77777777" w:rsidTr="000F53B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44" w:type="pct"/>
          </w:tcPr>
          <w:p w14:paraId="18109E1A" w14:textId="7CA6B897" w:rsidR="004D5D34" w:rsidRPr="00A031DC" w:rsidRDefault="007A46B8" w:rsidP="004D5D34">
            <w:pPr>
              <w:rPr>
                <w:bCs w:val="0"/>
                <w:lang w:eastAsia="en-AU"/>
              </w:rPr>
            </w:pPr>
            <w:r>
              <w:rPr>
                <w:lang w:eastAsia="en-AU"/>
              </w:rPr>
              <w:t>Technology Type</w:t>
            </w:r>
          </w:p>
        </w:tc>
        <w:tc>
          <w:tcPr>
            <w:tcW w:w="1528" w:type="pct"/>
          </w:tcPr>
          <w:p w14:paraId="73BE46CA" w14:textId="77777777" w:rsidR="004D5D34" w:rsidRPr="00A031DC" w:rsidDel="002318D5" w:rsidRDefault="004D5D34" w:rsidP="004D5D34">
            <w:pPr>
              <w:cnfStyle w:val="100000000000" w:firstRow="1" w:lastRow="0" w:firstColumn="0" w:lastColumn="0" w:oddVBand="0" w:evenVBand="0" w:oddHBand="0" w:evenHBand="0" w:firstRowFirstColumn="0" w:firstRowLastColumn="0" w:lastRowFirstColumn="0" w:lastRowLastColumn="0"/>
              <w:rPr>
                <w:bCs w:val="0"/>
                <w:lang w:eastAsia="en-AU"/>
              </w:rPr>
            </w:pPr>
            <w:r w:rsidRPr="00A031DC">
              <w:rPr>
                <w:lang w:eastAsia="en-AU"/>
              </w:rPr>
              <w:t>Baseline</w:t>
            </w:r>
          </w:p>
        </w:tc>
        <w:tc>
          <w:tcPr>
            <w:tcW w:w="1528" w:type="pct"/>
          </w:tcPr>
          <w:p w14:paraId="65AEADD0" w14:textId="77777777" w:rsidR="004D5D34" w:rsidRPr="00A031DC" w:rsidRDefault="004D5D34" w:rsidP="004D5D34">
            <w:pPr>
              <w:cnfStyle w:val="100000000000" w:firstRow="1" w:lastRow="0" w:firstColumn="0" w:lastColumn="0" w:oddVBand="0" w:evenVBand="0" w:oddHBand="0" w:evenHBand="0" w:firstRowFirstColumn="0" w:firstRowLastColumn="0" w:lastRowFirstColumn="0" w:lastRowLastColumn="0"/>
              <w:rPr>
                <w:bCs w:val="0"/>
                <w:lang w:eastAsia="en-AU"/>
              </w:rPr>
            </w:pPr>
            <w:r w:rsidRPr="00A031DC">
              <w:rPr>
                <w:lang w:eastAsia="en-AU"/>
              </w:rPr>
              <w:t>High Tech Scenario</w:t>
            </w:r>
          </w:p>
        </w:tc>
      </w:tr>
      <w:tr w:rsidR="004D5D34" w:rsidRPr="009B11AD" w14:paraId="72E1CC37" w14:textId="77777777" w:rsidTr="000F5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pct"/>
          </w:tcPr>
          <w:p w14:paraId="665731CE" w14:textId="38548226" w:rsidR="004D5D34" w:rsidRPr="004C7141" w:rsidRDefault="004D5D34" w:rsidP="004D5D34">
            <w:pPr>
              <w:rPr>
                <w:lang w:eastAsia="en-AU"/>
              </w:rPr>
            </w:pPr>
            <w:r w:rsidRPr="004C7141">
              <w:rPr>
                <w:lang w:eastAsia="en-AU"/>
              </w:rPr>
              <w:t>ICE</w:t>
            </w:r>
          </w:p>
        </w:tc>
        <w:tc>
          <w:tcPr>
            <w:tcW w:w="1528" w:type="pct"/>
          </w:tcPr>
          <w:p w14:paraId="4433DEE5" w14:textId="249FEFC7" w:rsidR="004D5D34" w:rsidRPr="00A031DC" w:rsidRDefault="004D5D34" w:rsidP="004D5D34">
            <w:pPr>
              <w:cnfStyle w:val="000000100000" w:firstRow="0" w:lastRow="0" w:firstColumn="0" w:lastColumn="0" w:oddVBand="0" w:evenVBand="0" w:oddHBand="1" w:evenHBand="0" w:firstRowFirstColumn="0" w:firstRowLastColumn="0" w:lastRowFirstColumn="0" w:lastRowLastColumn="0"/>
            </w:pPr>
            <w:r>
              <w:t>0.9%</w:t>
            </w:r>
          </w:p>
        </w:tc>
        <w:tc>
          <w:tcPr>
            <w:tcW w:w="1528" w:type="pct"/>
          </w:tcPr>
          <w:p w14:paraId="14FAC199" w14:textId="691A476D" w:rsidR="004D5D34" w:rsidRPr="00A031DC" w:rsidRDefault="00282243" w:rsidP="004D5D34">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AU"/>
              </w:rPr>
            </w:pPr>
            <w:r>
              <w:rPr>
                <w:rFonts w:eastAsia="Times New Roman"/>
                <w:color w:val="000000"/>
                <w:lang w:eastAsia="en-AU"/>
              </w:rPr>
              <w:t>1.1</w:t>
            </w:r>
            <w:r w:rsidR="004D5D34">
              <w:rPr>
                <w:rFonts w:eastAsia="Times New Roman"/>
                <w:color w:val="000000"/>
                <w:lang w:eastAsia="en-AU"/>
              </w:rPr>
              <w:t>%</w:t>
            </w:r>
          </w:p>
        </w:tc>
      </w:tr>
      <w:tr w:rsidR="004D5D34" w:rsidRPr="009B11AD" w14:paraId="73E9A269" w14:textId="77777777" w:rsidTr="000F53BC">
        <w:tc>
          <w:tcPr>
            <w:cnfStyle w:val="001000000000" w:firstRow="0" w:lastRow="0" w:firstColumn="1" w:lastColumn="0" w:oddVBand="0" w:evenVBand="0" w:oddHBand="0" w:evenHBand="0" w:firstRowFirstColumn="0" w:firstRowLastColumn="0" w:lastRowFirstColumn="0" w:lastRowLastColumn="0"/>
            <w:tcW w:w="1944" w:type="pct"/>
          </w:tcPr>
          <w:p w14:paraId="5B645EAD" w14:textId="1160AAB8" w:rsidR="004D5D34" w:rsidRPr="004C7141" w:rsidRDefault="004D5D34" w:rsidP="004D5D34">
            <w:pPr>
              <w:rPr>
                <w:lang w:eastAsia="en-AU"/>
              </w:rPr>
            </w:pPr>
            <w:r w:rsidRPr="004C7141">
              <w:rPr>
                <w:lang w:eastAsia="en-AU"/>
              </w:rPr>
              <w:t>HEV, PHEV, BEV</w:t>
            </w:r>
          </w:p>
        </w:tc>
        <w:tc>
          <w:tcPr>
            <w:tcW w:w="1528" w:type="pct"/>
          </w:tcPr>
          <w:p w14:paraId="3AC8C016" w14:textId="2F45E9D1" w:rsidR="004D5D34" w:rsidRPr="00A031DC" w:rsidRDefault="00282243" w:rsidP="004D5D3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1.4</w:t>
            </w:r>
            <w:r w:rsidR="004D5D34">
              <w:rPr>
                <w:lang w:eastAsia="en-AU"/>
              </w:rPr>
              <w:t>%</w:t>
            </w:r>
          </w:p>
        </w:tc>
        <w:tc>
          <w:tcPr>
            <w:tcW w:w="1528" w:type="pct"/>
          </w:tcPr>
          <w:p w14:paraId="427DEC93" w14:textId="2761157B" w:rsidR="004D5D34" w:rsidRPr="00A031DC" w:rsidRDefault="00282243" w:rsidP="004D5D3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1.7</w:t>
            </w:r>
            <w:r w:rsidR="004D5D34">
              <w:rPr>
                <w:lang w:eastAsia="en-AU"/>
              </w:rPr>
              <w:t>%</w:t>
            </w:r>
          </w:p>
        </w:tc>
      </w:tr>
    </w:tbl>
    <w:p w14:paraId="18C05A95" w14:textId="77777777" w:rsidR="002318D5" w:rsidRDefault="002318D5" w:rsidP="0081774D">
      <w:pPr>
        <w:pStyle w:val="BodyText"/>
        <w:rPr>
          <w:rFonts w:ascii="Arial" w:hAnsi="Arial" w:cs="Arial"/>
          <w:color w:val="auto"/>
          <w:sz w:val="22"/>
          <w:lang w:eastAsia="en-US"/>
        </w:rPr>
      </w:pPr>
    </w:p>
    <w:p w14:paraId="50B755D4" w14:textId="77777777" w:rsidR="00194A3C" w:rsidRDefault="00194A3C" w:rsidP="00EE4484">
      <w:pPr>
        <w:pStyle w:val="BodyText"/>
        <w:rPr>
          <w:rFonts w:ascii="Arial" w:hAnsi="Arial" w:cs="Arial"/>
          <w:color w:val="auto"/>
          <w:sz w:val="22"/>
          <w:lang w:eastAsia="en-US"/>
        </w:rPr>
      </w:pPr>
    </w:p>
    <w:p w14:paraId="0C36F32D" w14:textId="77777777" w:rsidR="00027FEA" w:rsidRDefault="00027FEA" w:rsidP="00537A1C">
      <w:pPr>
        <w:rPr>
          <w:rFonts w:eastAsia="Times New Roman"/>
          <w:color w:val="005677"/>
          <w:sz w:val="40"/>
          <w:szCs w:val="40"/>
        </w:rPr>
      </w:pPr>
      <w:bookmarkStart w:id="23" w:name="_Toc510532005"/>
      <w:bookmarkStart w:id="24" w:name="_Toc510532535"/>
      <w:bookmarkStart w:id="25" w:name="_Toc510534099"/>
      <w:bookmarkStart w:id="26" w:name="_Toc510794628"/>
      <w:bookmarkStart w:id="27" w:name="_Toc511297987"/>
      <w:bookmarkStart w:id="28" w:name="_Toc511304016"/>
      <w:bookmarkStart w:id="29" w:name="_Toc511918020"/>
      <w:r>
        <w:br w:type="page"/>
      </w:r>
    </w:p>
    <w:p w14:paraId="31364FC4" w14:textId="10E00ACA" w:rsidR="000E7071" w:rsidRDefault="000E7071" w:rsidP="00537A1C">
      <w:pPr>
        <w:pStyle w:val="Heading1"/>
      </w:pPr>
      <w:r>
        <w:lastRenderedPageBreak/>
        <w:t>Fugitive</w:t>
      </w:r>
      <w:bookmarkEnd w:id="23"/>
      <w:bookmarkEnd w:id="24"/>
      <w:bookmarkEnd w:id="25"/>
      <w:bookmarkEnd w:id="26"/>
      <w:bookmarkEnd w:id="27"/>
      <w:bookmarkEnd w:id="28"/>
      <w:bookmarkEnd w:id="29"/>
      <w:r w:rsidR="0079381D">
        <w:t xml:space="preserve"> emissions from fuels</w:t>
      </w:r>
    </w:p>
    <w:p w14:paraId="7EDD721F" w14:textId="7148F6C1" w:rsidR="00436DF9" w:rsidRPr="00A031DC" w:rsidRDefault="00436DF9" w:rsidP="00537A1C">
      <w:r w:rsidRPr="00A031DC">
        <w:t xml:space="preserve">Emissions from the </w:t>
      </w:r>
      <w:r w:rsidR="00633124" w:rsidRPr="00A031DC">
        <w:rPr>
          <w:i/>
        </w:rPr>
        <w:t>fugitives</w:t>
      </w:r>
      <w:r w:rsidRPr="00A031DC">
        <w:rPr>
          <w:i/>
        </w:rPr>
        <w:t xml:space="preserve"> sector</w:t>
      </w:r>
      <w:r w:rsidRPr="00A031DC">
        <w:t xml:space="preserve"> are projected using </w:t>
      </w:r>
      <w:r w:rsidR="00CB10EC" w:rsidRPr="00A031DC">
        <w:t xml:space="preserve">emission estimation </w:t>
      </w:r>
      <w:r w:rsidRPr="00A031DC">
        <w:t>models maintained and up</w:t>
      </w:r>
      <w:r w:rsidR="002C3AB7" w:rsidRPr="00A031DC">
        <w:t>dated</w:t>
      </w:r>
      <w:r w:rsidRPr="00A031DC">
        <w:t xml:space="preserve"> </w:t>
      </w:r>
      <w:r w:rsidR="002C3AB7" w:rsidRPr="00A031DC">
        <w:t xml:space="preserve">by </w:t>
      </w:r>
      <w:r w:rsidR="00966C28">
        <w:t>the department</w:t>
      </w:r>
      <w:r w:rsidRPr="00A031DC">
        <w:t xml:space="preserve"> using external inputs. The</w:t>
      </w:r>
      <w:r w:rsidR="00D74905" w:rsidRPr="00A031DC">
        <w:t xml:space="preserve"> </w:t>
      </w:r>
      <w:r w:rsidRPr="00A031DC">
        <w:t xml:space="preserve">models are a combination of </w:t>
      </w:r>
      <w:r w:rsidR="00CB10EC" w:rsidRPr="00A031DC">
        <w:t xml:space="preserve">facility specific </w:t>
      </w:r>
      <w:r w:rsidRPr="00A031DC">
        <w:t>and top</w:t>
      </w:r>
      <w:r w:rsidR="00CB10EC" w:rsidRPr="00A031DC">
        <w:t xml:space="preserve"> </w:t>
      </w:r>
      <w:r w:rsidRPr="00A031DC">
        <w:t>down models depending on the</w:t>
      </w:r>
      <w:r w:rsidR="00CB10EC" w:rsidRPr="00A031DC">
        <w:t xml:space="preserve"> nature of the emission source and the</w:t>
      </w:r>
      <w:r w:rsidRPr="00A031DC">
        <w:t xml:space="preserve"> availability of data</w:t>
      </w:r>
      <w:r w:rsidR="00CB10EC" w:rsidRPr="00A031DC">
        <w:t>.</w:t>
      </w:r>
    </w:p>
    <w:p w14:paraId="51233FD9" w14:textId="0E836D2D" w:rsidR="00436DF9" w:rsidRPr="0097482A" w:rsidRDefault="00436DF9" w:rsidP="00537A1C">
      <w:pPr>
        <w:pStyle w:val="Heading2"/>
      </w:pPr>
      <w:r w:rsidRPr="0097482A">
        <w:t>Coal fugitives</w:t>
      </w:r>
    </w:p>
    <w:p w14:paraId="7166596C" w14:textId="797A0A20" w:rsidR="00436DF9" w:rsidRPr="002C3AB7" w:rsidRDefault="002C3AB7" w:rsidP="00537A1C">
      <w:pPr>
        <w:pStyle w:val="Heading3"/>
      </w:pPr>
      <w:r w:rsidRPr="002C3AB7">
        <w:t>Operating coal mines</w:t>
      </w:r>
    </w:p>
    <w:p w14:paraId="52FDBEFE" w14:textId="140D2BB6" w:rsidR="00E73B34" w:rsidRPr="0026611D" w:rsidRDefault="00E73B34" w:rsidP="00537A1C">
      <w:pPr>
        <w:pStyle w:val="Heading4"/>
      </w:pPr>
      <w:r w:rsidRPr="0026611D">
        <w:t>Modelling approach</w:t>
      </w:r>
    </w:p>
    <w:p w14:paraId="7496C033" w14:textId="172F34E4" w:rsidR="002C3AB7" w:rsidRPr="00A031DC" w:rsidRDefault="0055314F" w:rsidP="00537A1C">
      <w:r w:rsidRPr="00A031DC">
        <w:t>T</w:t>
      </w:r>
      <w:r w:rsidR="006A7654">
        <w:t>he department</w:t>
      </w:r>
      <w:r w:rsidRPr="00A031DC">
        <w:t xml:space="preserve"> maintains a </w:t>
      </w:r>
      <w:r w:rsidR="00651598" w:rsidRPr="00A031DC">
        <w:t>mine-by-mine</w:t>
      </w:r>
      <w:r w:rsidRPr="00A031DC">
        <w:t xml:space="preserve"> model of fugitive emissions from operating coal mines</w:t>
      </w:r>
      <w:r w:rsidR="00C9294D" w:rsidRPr="00A031DC">
        <w:t xml:space="preserve">. A </w:t>
      </w:r>
      <w:r w:rsidR="00651598" w:rsidRPr="00A031DC">
        <w:t>mine-by-mine</w:t>
      </w:r>
      <w:r w:rsidR="00C9294D" w:rsidRPr="00A031DC">
        <w:t xml:space="preserve"> model takes account of the </w:t>
      </w:r>
      <w:r w:rsidR="00D74905" w:rsidRPr="00A031DC">
        <w:t xml:space="preserve">emissions </w:t>
      </w:r>
      <w:r w:rsidRPr="00A031DC">
        <w:t>intensity</w:t>
      </w:r>
      <w:r w:rsidR="00C9294D" w:rsidRPr="00A031DC">
        <w:t xml:space="preserve"> of each mine which</w:t>
      </w:r>
      <w:r w:rsidRPr="00A031DC">
        <w:t xml:space="preserve"> </w:t>
      </w:r>
      <w:r w:rsidR="00C9294D" w:rsidRPr="00A031DC">
        <w:t xml:space="preserve">is </w:t>
      </w:r>
      <w:r w:rsidR="00651598" w:rsidRPr="00A031DC">
        <w:t>dependent on</w:t>
      </w:r>
      <w:r w:rsidRPr="00A031DC">
        <w:t xml:space="preserve"> the operational and geological characteristics of the mine.</w:t>
      </w:r>
      <w:r w:rsidR="006C594D" w:rsidRPr="00A031DC">
        <w:t xml:space="preserve"> </w:t>
      </w:r>
    </w:p>
    <w:p w14:paraId="0A12D127" w14:textId="0B695B5B" w:rsidR="006C594D" w:rsidRPr="00A031DC" w:rsidRDefault="006C594D" w:rsidP="00537A1C">
      <w:pPr>
        <w:rPr>
          <w:vertAlign w:val="superscript"/>
        </w:rPr>
      </w:pPr>
      <w:r w:rsidRPr="00A031DC">
        <w:t>E</w:t>
      </w:r>
      <w:r w:rsidR="00C9294D" w:rsidRPr="00A031DC">
        <w:rPr>
          <w:vertAlign w:val="subscript"/>
        </w:rPr>
        <w:t>t</w:t>
      </w:r>
      <w:r w:rsidRPr="00A031DC">
        <w:t xml:space="preserve"> = </w:t>
      </w:r>
      <w:r w:rsidR="00276782" w:rsidRPr="00A031DC">
        <w:t>∑ (</w:t>
      </w:r>
      <w:r w:rsidRPr="00A031DC">
        <w:t>[</w:t>
      </w:r>
      <w:r w:rsidR="00C41C7C" w:rsidRPr="00A031DC">
        <w:t>P</w:t>
      </w:r>
      <w:r w:rsidRPr="00A031DC">
        <w:rPr>
          <w:vertAlign w:val="subscript"/>
        </w:rPr>
        <w:t>i</w:t>
      </w:r>
      <w:r w:rsidR="00C9294D" w:rsidRPr="00A031DC">
        <w:rPr>
          <w:vertAlign w:val="subscript"/>
        </w:rPr>
        <w:t>t</w:t>
      </w:r>
      <w:r w:rsidRPr="00A031DC">
        <w:t xml:space="preserve"> </w:t>
      </w:r>
      <w:r w:rsidRPr="00A031DC">
        <w:rPr>
          <w:b/>
        </w:rPr>
        <w:t>.</w:t>
      </w:r>
      <w:r w:rsidRPr="00A031DC">
        <w:t xml:space="preserve"> E</w:t>
      </w:r>
      <w:r w:rsidR="00C41C7C" w:rsidRPr="00A031DC">
        <w:t>I</w:t>
      </w:r>
      <w:r w:rsidR="00C41C7C" w:rsidRPr="00A031DC">
        <w:rPr>
          <w:vertAlign w:val="subscript"/>
        </w:rPr>
        <w:t>i</w:t>
      </w:r>
      <w:r w:rsidRPr="00A031DC">
        <w:t>]</w:t>
      </w:r>
      <w:r w:rsidR="00276782" w:rsidRPr="00A031DC">
        <w:t>) -</w:t>
      </w:r>
      <w:r w:rsidR="00C41C7C" w:rsidRPr="00A031DC">
        <w:t xml:space="preserve"> </w:t>
      </w:r>
      <w:r w:rsidR="00654E95">
        <w:t>Measures</w:t>
      </w:r>
      <w:r w:rsidR="00C9294D" w:rsidRPr="00A031DC">
        <w:rPr>
          <w:vertAlign w:val="subscript"/>
        </w:rPr>
        <w:t>t</w:t>
      </w:r>
    </w:p>
    <w:p w14:paraId="40A5145C" w14:textId="07F0C716" w:rsidR="00C41C7C" w:rsidRPr="00A031DC" w:rsidRDefault="006C594D" w:rsidP="00537A1C">
      <w:pPr>
        <w:pStyle w:val="Calculations"/>
      </w:pPr>
      <w:r w:rsidRPr="00A031DC">
        <w:t xml:space="preserve">Where: </w:t>
      </w:r>
      <w:r w:rsidRPr="00A031DC">
        <w:br/>
        <w:t>E</w:t>
      </w:r>
      <w:r w:rsidR="00C9294D" w:rsidRPr="00A031DC">
        <w:rPr>
          <w:vertAlign w:val="subscript"/>
        </w:rPr>
        <w:t>t</w:t>
      </w:r>
      <w:r w:rsidRPr="00A031DC">
        <w:t xml:space="preserve"> = annual emissions</w:t>
      </w:r>
      <w:r w:rsidR="00D74905" w:rsidRPr="00A031DC">
        <w:t xml:space="preserve"> from operating coal mines</w:t>
      </w:r>
      <w:r w:rsidR="00C9294D" w:rsidRPr="00A031DC">
        <w:t xml:space="preserve"> in year t</w:t>
      </w:r>
      <w:r w:rsidRPr="00A031DC">
        <w:t xml:space="preserve"> (</w:t>
      </w:r>
      <w:r w:rsidR="00651598" w:rsidRPr="00A031DC">
        <w:t>M</w:t>
      </w:r>
      <w:r w:rsidR="00D74905" w:rsidRPr="00A031DC">
        <w:t xml:space="preserve">t </w:t>
      </w:r>
      <w:r w:rsidRPr="00A031DC">
        <w:t>CO</w:t>
      </w:r>
      <w:r w:rsidR="0099567A" w:rsidRPr="00042BDA">
        <w:t>₂</w:t>
      </w:r>
      <w:r w:rsidRPr="00A031DC">
        <w:t>-e</w:t>
      </w:r>
      <w:r w:rsidR="00276782" w:rsidRPr="00A031DC">
        <w:t xml:space="preserve">) </w:t>
      </w:r>
      <w:r w:rsidRPr="00A031DC">
        <w:br/>
      </w:r>
      <w:r w:rsidR="00D74905" w:rsidRPr="00A031DC">
        <w:t>P</w:t>
      </w:r>
      <w:r w:rsidRPr="00A031DC">
        <w:rPr>
          <w:vertAlign w:val="subscript"/>
        </w:rPr>
        <w:t>i</w:t>
      </w:r>
      <w:r w:rsidR="00C9294D" w:rsidRPr="00A031DC">
        <w:rPr>
          <w:vertAlign w:val="subscript"/>
        </w:rPr>
        <w:t>t</w:t>
      </w:r>
      <w:r w:rsidRPr="00A031DC">
        <w:t xml:space="preserve"> = </w:t>
      </w:r>
      <w:r w:rsidR="00D74905" w:rsidRPr="00A031DC">
        <w:t>coal production at mine</w:t>
      </w:r>
      <w:r w:rsidRPr="00A031DC">
        <w:rPr>
          <w:vertAlign w:val="subscript"/>
        </w:rPr>
        <w:t>i</w:t>
      </w:r>
      <w:r w:rsidRPr="00A031DC">
        <w:t>,</w:t>
      </w:r>
      <w:r w:rsidR="00904B71" w:rsidRPr="00A031DC">
        <w:t xml:space="preserve"> </w:t>
      </w:r>
      <w:r w:rsidR="00C9294D" w:rsidRPr="00A031DC">
        <w:t xml:space="preserve">in year t </w:t>
      </w:r>
      <w:r w:rsidRPr="00A031DC">
        <w:t>(</w:t>
      </w:r>
      <w:r w:rsidR="00D74905" w:rsidRPr="00A031DC">
        <w:t>kt</w:t>
      </w:r>
      <w:r w:rsidR="00276782" w:rsidRPr="00A031DC">
        <w:t xml:space="preserve">) </w:t>
      </w:r>
      <w:r w:rsidRPr="00A031DC">
        <w:br/>
        <w:t>E</w:t>
      </w:r>
      <w:r w:rsidR="00D74905" w:rsidRPr="00A031DC">
        <w:t>I</w:t>
      </w:r>
      <w:r w:rsidR="00D74905" w:rsidRPr="00A031DC">
        <w:rPr>
          <w:vertAlign w:val="subscript"/>
        </w:rPr>
        <w:t>i</w:t>
      </w:r>
      <w:r w:rsidRPr="00A031DC">
        <w:t xml:space="preserve"> = the</w:t>
      </w:r>
      <w:r w:rsidR="00D74905" w:rsidRPr="00A031DC">
        <w:t xml:space="preserve"> emissions intensity of production at mine</w:t>
      </w:r>
      <w:r w:rsidR="00D74905" w:rsidRPr="00A031DC">
        <w:rPr>
          <w:vertAlign w:val="subscript"/>
        </w:rPr>
        <w:t>i</w:t>
      </w:r>
      <w:r w:rsidR="00D74905" w:rsidRPr="00A031DC">
        <w:t>,</w:t>
      </w:r>
      <w:r w:rsidR="002B0F91" w:rsidRPr="00A031DC">
        <w:t xml:space="preserve"> </w:t>
      </w:r>
      <w:r w:rsidR="00D74905" w:rsidRPr="00A031DC">
        <w:t>(</w:t>
      </w:r>
      <w:r w:rsidR="00651598" w:rsidRPr="00A031DC">
        <w:t>M</w:t>
      </w:r>
      <w:r w:rsidR="00D74905" w:rsidRPr="00A031DC">
        <w:t>t CO</w:t>
      </w:r>
      <w:r w:rsidR="0099567A" w:rsidRPr="00042BDA">
        <w:t>₂</w:t>
      </w:r>
      <w:r w:rsidR="00D74905" w:rsidRPr="00A031DC">
        <w:t>-e/kt coal</w:t>
      </w:r>
      <w:r w:rsidR="00276782" w:rsidRPr="00A031DC">
        <w:t xml:space="preserve">) </w:t>
      </w:r>
      <w:r w:rsidR="00D74905" w:rsidRPr="00A031DC">
        <w:br/>
      </w:r>
      <w:r w:rsidR="00B77B18">
        <w:t>Measures</w:t>
      </w:r>
      <w:r w:rsidR="00C9294D" w:rsidRPr="00A031DC">
        <w:rPr>
          <w:vertAlign w:val="subscript"/>
        </w:rPr>
        <w:t>t</w:t>
      </w:r>
      <w:r w:rsidR="00C41C7C" w:rsidRPr="00A031DC">
        <w:t xml:space="preserve"> = abatement from </w:t>
      </w:r>
      <w:r w:rsidR="00654E95">
        <w:t>pol</w:t>
      </w:r>
      <w:r w:rsidR="00B77B18">
        <w:t>i</w:t>
      </w:r>
      <w:r w:rsidR="00654E95">
        <w:t xml:space="preserve">cies and measures (for example </w:t>
      </w:r>
      <w:r w:rsidR="00C41C7C" w:rsidRPr="00A031DC">
        <w:t>forthcoming</w:t>
      </w:r>
      <w:r w:rsidR="00654E95">
        <w:t xml:space="preserve"> projects under the</w:t>
      </w:r>
      <w:r w:rsidR="00C41C7C" w:rsidRPr="00A031DC">
        <w:t xml:space="preserve"> ERF</w:t>
      </w:r>
      <w:r w:rsidR="00DD474B" w:rsidRPr="00A031DC">
        <w:t xml:space="preserve"> </w:t>
      </w:r>
      <w:r w:rsidR="00F602AB" w:rsidRPr="00A031DC">
        <w:t>and</w:t>
      </w:r>
      <w:r w:rsidR="00DD474B" w:rsidRPr="00A031DC">
        <w:t xml:space="preserve"> CSF</w:t>
      </w:r>
      <w:r w:rsidR="00654E95">
        <w:t>)</w:t>
      </w:r>
      <w:r w:rsidR="00C9294D" w:rsidRPr="00A031DC">
        <w:t xml:space="preserve"> in year t</w:t>
      </w:r>
      <w:r w:rsidR="00C41C7C" w:rsidRPr="00A031DC">
        <w:t xml:space="preserve"> (</w:t>
      </w:r>
      <w:r w:rsidR="00651598" w:rsidRPr="00A031DC">
        <w:t>M</w:t>
      </w:r>
      <w:r w:rsidR="00C41C7C" w:rsidRPr="00A031DC">
        <w:t>t CO</w:t>
      </w:r>
      <w:r w:rsidR="0099567A" w:rsidRPr="00042BDA">
        <w:t>₂</w:t>
      </w:r>
      <w:r w:rsidR="00C41C7C" w:rsidRPr="00A031DC">
        <w:t>-e)</w:t>
      </w:r>
    </w:p>
    <w:p w14:paraId="407986D7" w14:textId="222A05C8" w:rsidR="0055314F" w:rsidRPr="00A031DC" w:rsidRDefault="00C41C7C" w:rsidP="00537A1C">
      <w:r w:rsidRPr="00A031DC">
        <w:rPr>
          <w:i/>
          <w:highlight w:val="yellow"/>
        </w:rPr>
        <w:br/>
      </w:r>
      <w:r w:rsidR="006C594D" w:rsidRPr="00A031DC">
        <w:t>The e</w:t>
      </w:r>
      <w:r w:rsidR="0055314F" w:rsidRPr="00A031DC">
        <w:t>mission</w:t>
      </w:r>
      <w:r w:rsidR="00C2368F" w:rsidRPr="00A031DC">
        <w:t>s</w:t>
      </w:r>
      <w:r w:rsidR="0055314F" w:rsidRPr="00A031DC">
        <w:t xml:space="preserve"> intensity of</w:t>
      </w:r>
      <w:r w:rsidR="006C594D" w:rsidRPr="00A031DC">
        <w:t xml:space="preserve"> coal mine</w:t>
      </w:r>
      <w:r w:rsidR="00D7185D" w:rsidRPr="00A031DC">
        <w:t>s</w:t>
      </w:r>
      <w:r w:rsidR="006C594D" w:rsidRPr="00A031DC">
        <w:t xml:space="preserve"> </w:t>
      </w:r>
      <w:r w:rsidR="0036200C" w:rsidRPr="00A031DC">
        <w:t>includes</w:t>
      </w:r>
      <w:r w:rsidR="006C594D" w:rsidRPr="00A031DC">
        <w:t xml:space="preserve"> all</w:t>
      </w:r>
      <w:r w:rsidR="0036200C" w:rsidRPr="00A031DC">
        <w:t xml:space="preserve"> sources of fugitive emissions</w:t>
      </w:r>
      <w:r w:rsidR="006C594D" w:rsidRPr="00A031DC">
        <w:t xml:space="preserve"> </w:t>
      </w:r>
      <w:r w:rsidR="00651598" w:rsidRPr="00A031DC">
        <w:t xml:space="preserve">from </w:t>
      </w:r>
      <w:r w:rsidR="00D74905" w:rsidRPr="00A031DC">
        <w:t xml:space="preserve">vented </w:t>
      </w:r>
      <w:r w:rsidR="006433D4" w:rsidRPr="00A031DC">
        <w:t>methane and carbon dioxide,</w:t>
      </w:r>
      <w:r w:rsidR="006C594D" w:rsidRPr="00A031DC">
        <w:t xml:space="preserve"> </w:t>
      </w:r>
      <w:r w:rsidR="006433D4" w:rsidRPr="00A031DC">
        <w:t>flaring and post min</w:t>
      </w:r>
      <w:r w:rsidR="006C594D" w:rsidRPr="00A031DC">
        <w:t>ing</w:t>
      </w:r>
      <w:r w:rsidR="006433D4" w:rsidRPr="00A031DC">
        <w:t>.</w:t>
      </w:r>
      <w:r w:rsidR="006C594D" w:rsidRPr="00A031DC">
        <w:t xml:space="preserve"> For </w:t>
      </w:r>
      <w:r w:rsidR="008B7706" w:rsidRPr="00A031DC">
        <w:t xml:space="preserve">operating </w:t>
      </w:r>
      <w:r w:rsidR="006C594D" w:rsidRPr="00A031DC">
        <w:t xml:space="preserve">mines </w:t>
      </w:r>
      <w:r w:rsidR="00D74905" w:rsidRPr="00A031DC">
        <w:t>the</w:t>
      </w:r>
      <w:r w:rsidR="006C594D" w:rsidRPr="00A031DC">
        <w:t xml:space="preserve"> emissions intensity is</w:t>
      </w:r>
      <w:r w:rsidR="00270C04" w:rsidRPr="00A031DC">
        <w:t xml:space="preserve"> </w:t>
      </w:r>
      <w:r w:rsidR="006C594D" w:rsidRPr="00A031DC">
        <w:t>sourced from the latest</w:t>
      </w:r>
      <w:r w:rsidR="00DD474B" w:rsidRPr="00A031DC">
        <w:t xml:space="preserve"> </w:t>
      </w:r>
      <w:r w:rsidR="00966C28">
        <w:t>4</w:t>
      </w:r>
      <w:r w:rsidR="00DD474B" w:rsidRPr="00A031DC">
        <w:t xml:space="preserve"> years of</w:t>
      </w:r>
      <w:r w:rsidR="00642716" w:rsidRPr="00A031DC">
        <w:t xml:space="preserve"> </w:t>
      </w:r>
      <w:r w:rsidR="003067BD" w:rsidRPr="00A031DC">
        <w:t>n</w:t>
      </w:r>
      <w:r w:rsidR="0036200C" w:rsidRPr="00A031DC">
        <w:t xml:space="preserve">ational greenhouse gas </w:t>
      </w:r>
      <w:r w:rsidR="006C594D" w:rsidRPr="00A031DC">
        <w:t>inventory data</w:t>
      </w:r>
      <w:r w:rsidR="00CA08EF" w:rsidRPr="00A031DC">
        <w:t xml:space="preserve"> </w:t>
      </w:r>
      <w:r w:rsidR="00C9294D" w:rsidRPr="00A031DC">
        <w:t>which is based on</w:t>
      </w:r>
      <w:r w:rsidR="0036200C" w:rsidRPr="00A031DC">
        <w:t xml:space="preserve"> company data reported under </w:t>
      </w:r>
      <w:r w:rsidR="006C594D" w:rsidRPr="00A031DC">
        <w:t xml:space="preserve">the </w:t>
      </w:r>
      <w:r w:rsidR="00A95983" w:rsidRPr="00A031DC">
        <w:t>National Greenhouse Energy Reporting (</w:t>
      </w:r>
      <w:r w:rsidR="00362604" w:rsidRPr="00A031DC">
        <w:t>NGER</w:t>
      </w:r>
      <w:r w:rsidR="00A95983" w:rsidRPr="00A031DC">
        <w:t>)</w:t>
      </w:r>
      <w:r w:rsidR="00362604" w:rsidRPr="00A031DC">
        <w:t xml:space="preserve"> s</w:t>
      </w:r>
      <w:r w:rsidR="006C594D" w:rsidRPr="00A031DC">
        <w:t xml:space="preserve">cheme. </w:t>
      </w:r>
      <w:r w:rsidR="006433D4" w:rsidRPr="00A031DC">
        <w:t>For prospective coal mines</w:t>
      </w:r>
      <w:r w:rsidR="00B26380" w:rsidRPr="00A031DC">
        <w:t xml:space="preserve"> the</w:t>
      </w:r>
      <w:r w:rsidR="006433D4" w:rsidRPr="00A031DC">
        <w:t xml:space="preserve"> emission</w:t>
      </w:r>
      <w:r w:rsidR="008B7706" w:rsidRPr="00A031DC">
        <w:t>s</w:t>
      </w:r>
      <w:r w:rsidR="006433D4" w:rsidRPr="00A031DC">
        <w:t xml:space="preserve"> intensit</w:t>
      </w:r>
      <w:r w:rsidR="008B7706" w:rsidRPr="00A031DC">
        <w:t>y</w:t>
      </w:r>
      <w:r w:rsidR="006433D4" w:rsidRPr="00A031DC">
        <w:t xml:space="preserve"> </w:t>
      </w:r>
      <w:r w:rsidR="008B7706" w:rsidRPr="00A031DC">
        <w:t>is</w:t>
      </w:r>
      <w:r w:rsidR="00D74905" w:rsidRPr="00A031DC">
        <w:t xml:space="preserve"> sourced from</w:t>
      </w:r>
      <w:r w:rsidRPr="00A031DC">
        <w:t xml:space="preserve"> </w:t>
      </w:r>
      <w:r w:rsidR="006A7654">
        <w:t>e</w:t>
      </w:r>
      <w:r w:rsidR="00D74905" w:rsidRPr="00A031DC">
        <w:t xml:space="preserve">nvironmental </w:t>
      </w:r>
      <w:r w:rsidR="006A7654">
        <w:t>i</w:t>
      </w:r>
      <w:r w:rsidR="00D74905" w:rsidRPr="00A031DC">
        <w:t>mpact</w:t>
      </w:r>
      <w:r w:rsidRPr="00A031DC">
        <w:t xml:space="preserve"> </w:t>
      </w:r>
      <w:r w:rsidR="006A7654">
        <w:t>s</w:t>
      </w:r>
      <w:r w:rsidRPr="00A031DC">
        <w:t>tatement</w:t>
      </w:r>
      <w:r w:rsidR="00C9294D" w:rsidRPr="00A031DC">
        <w:t>s</w:t>
      </w:r>
      <w:r w:rsidR="0036200C" w:rsidRPr="00A031DC">
        <w:t xml:space="preserve"> or </w:t>
      </w:r>
      <w:r w:rsidR="008B7706" w:rsidRPr="00A031DC">
        <w:t xml:space="preserve">is </w:t>
      </w:r>
      <w:r w:rsidR="0036200C" w:rsidRPr="00A031DC">
        <w:t>the average for currently operating mines in the same coal basin</w:t>
      </w:r>
      <w:r w:rsidR="006433D4" w:rsidRPr="00A031DC">
        <w:t>.</w:t>
      </w:r>
    </w:p>
    <w:p w14:paraId="4CFED582" w14:textId="77777777" w:rsidR="005E0580" w:rsidRPr="0026611D" w:rsidRDefault="005E0580" w:rsidP="00537A1C">
      <w:pPr>
        <w:pStyle w:val="Heading4"/>
      </w:pPr>
      <w:r w:rsidRPr="0026611D">
        <w:t>Activity data</w:t>
      </w:r>
    </w:p>
    <w:p w14:paraId="6751B7A3" w14:textId="6344258D" w:rsidR="005E0580" w:rsidRPr="00A031DC" w:rsidRDefault="005E0580" w:rsidP="00537A1C">
      <w:r w:rsidRPr="00A031DC">
        <w:t>Mine-by-mine production estimates for existing and new mines are informed by OCE</w:t>
      </w:r>
      <w:r w:rsidR="00654E95">
        <w:t xml:space="preserve"> for 2021-2026</w:t>
      </w:r>
      <w:r w:rsidRPr="00A031DC">
        <w:t xml:space="preserve"> </w:t>
      </w:r>
      <w:r w:rsidR="008F7582">
        <w:t xml:space="preserve">(OCE 2021a; OCE 2021b) </w:t>
      </w:r>
      <w:r w:rsidRPr="00A031DC">
        <w:t>and AME Group</w:t>
      </w:r>
      <w:r w:rsidR="00654E95">
        <w:t xml:space="preserve"> estimates for 2027</w:t>
      </w:r>
      <w:r w:rsidR="00B26380" w:rsidRPr="00A031DC">
        <w:t xml:space="preserve"> onwards</w:t>
      </w:r>
      <w:r w:rsidRPr="00A031DC">
        <w:t xml:space="preserve">. </w:t>
      </w:r>
      <w:r w:rsidR="00654E95">
        <w:t>Coal pr</w:t>
      </w:r>
      <w:r w:rsidRPr="00A031DC">
        <w:t xml:space="preserve">oduction is separately </w:t>
      </w:r>
      <w:r w:rsidR="00654E95">
        <w:t>estimated</w:t>
      </w:r>
      <w:r w:rsidRPr="00A031DC">
        <w:t xml:space="preserve"> for thermal and coking coal production at each mine. </w:t>
      </w:r>
    </w:p>
    <w:p w14:paraId="6374CA17" w14:textId="1BA8E808" w:rsidR="007307A7" w:rsidRPr="00A031DC" w:rsidRDefault="007307A7" w:rsidP="007307A7">
      <w:r w:rsidRPr="00A031DC">
        <w:t>Production from prospective new mines is scaled down so that total Australian production</w:t>
      </w:r>
      <w:r>
        <w:t xml:space="preserve"> of thermal and coking coal</w:t>
      </w:r>
      <w:r w:rsidRPr="00A031DC">
        <w:t xml:space="preserve"> is consistent with </w:t>
      </w:r>
      <w:r>
        <w:t xml:space="preserve">an estimate of total demand for Australian coal. This estimate utilises inputs from the </w:t>
      </w:r>
      <w:r w:rsidRPr="00A031DC">
        <w:t>IEA</w:t>
      </w:r>
      <w:r>
        <w:t xml:space="preserve"> World Energy Outlook</w:t>
      </w:r>
      <w:r w:rsidR="00A900E7">
        <w:t xml:space="preserve"> (IEA 2020)</w:t>
      </w:r>
      <w:r>
        <w:t>, Bloomberg New Energy Finance’s New Energy Outlook</w:t>
      </w:r>
      <w:r w:rsidR="00A900E7">
        <w:t xml:space="preserve"> (BNEF 2021b)</w:t>
      </w:r>
      <w:r>
        <w:t xml:space="preserve"> and departmental analysis</w:t>
      </w:r>
      <w:r w:rsidRPr="00A031DC">
        <w:t xml:space="preserve">. All prospective coal mines are scaled back at an equivalent rate, the projections do not make decisions on which prospective mines would and would not proceed. Scaling is undertaken for thermal and coking coal separately. </w:t>
      </w:r>
    </w:p>
    <w:p w14:paraId="5248A631" w14:textId="73EB6490" w:rsidR="005E0580" w:rsidRPr="00A031DC" w:rsidRDefault="005E0580" w:rsidP="00537A1C">
      <w:r w:rsidRPr="00A031DC">
        <w:t xml:space="preserve">Production from brown coal mines is sourced from the </w:t>
      </w:r>
      <w:r w:rsidRPr="00A031DC">
        <w:rPr>
          <w:i/>
        </w:rPr>
        <w:t>electricity sector</w:t>
      </w:r>
      <w:r w:rsidRPr="00A031DC">
        <w:t xml:space="preserve"> model.</w:t>
      </w:r>
    </w:p>
    <w:p w14:paraId="3AC37BBE" w14:textId="77777777" w:rsidR="00E73B34" w:rsidRDefault="00E73B34" w:rsidP="00537A1C">
      <w:r>
        <w:br w:type="page"/>
      </w:r>
    </w:p>
    <w:p w14:paraId="5B7AE6C8" w14:textId="7A234889" w:rsidR="002C3AB7" w:rsidRPr="002C3AB7" w:rsidRDefault="002C3AB7" w:rsidP="00537A1C">
      <w:pPr>
        <w:pStyle w:val="Heading3"/>
      </w:pPr>
      <w:r w:rsidRPr="002C3AB7">
        <w:lastRenderedPageBreak/>
        <w:t>Abandoned coal mines</w:t>
      </w:r>
    </w:p>
    <w:p w14:paraId="7B83A824" w14:textId="34274D50" w:rsidR="00E73B34" w:rsidRPr="0026611D" w:rsidRDefault="00E73B34" w:rsidP="00537A1C">
      <w:pPr>
        <w:pStyle w:val="Heading4"/>
      </w:pPr>
      <w:r w:rsidRPr="0026611D">
        <w:t>Modelling approach</w:t>
      </w:r>
    </w:p>
    <w:p w14:paraId="670EAA9D" w14:textId="397B61FD" w:rsidR="001A7BF0" w:rsidRPr="00A031DC" w:rsidRDefault="001A7BF0" w:rsidP="00537A1C">
      <w:r w:rsidRPr="00A031DC">
        <w:t xml:space="preserve">Methane emissions occur under certain </w:t>
      </w:r>
      <w:r w:rsidR="0055314F" w:rsidRPr="00A031DC">
        <w:t>conditions</w:t>
      </w:r>
      <w:r w:rsidRPr="00A031DC">
        <w:t xml:space="preserve"> following</w:t>
      </w:r>
      <w:r w:rsidR="0024181A" w:rsidRPr="00A031DC">
        <w:t xml:space="preserve"> the</w:t>
      </w:r>
      <w:r w:rsidRPr="00A031DC">
        <w:t xml:space="preserve"> closure of underground coal mines. </w:t>
      </w:r>
      <w:r w:rsidR="00C177C2" w:rsidRPr="00A031DC">
        <w:t xml:space="preserve">Emissions are estimated using </w:t>
      </w:r>
      <w:r w:rsidR="00C9294D" w:rsidRPr="00A031DC">
        <w:t>a</w:t>
      </w:r>
      <w:r w:rsidR="00C177C2" w:rsidRPr="00A031DC">
        <w:t xml:space="preserve"> mine-by-mine</w:t>
      </w:r>
      <w:r w:rsidR="0024181A" w:rsidRPr="00A031DC">
        <w:t xml:space="preserve"> model </w:t>
      </w:r>
      <w:r w:rsidR="00C9294D" w:rsidRPr="00A031DC">
        <w:t>developed for</w:t>
      </w:r>
      <w:r w:rsidR="007B7D6E" w:rsidRPr="00A031DC">
        <w:t xml:space="preserve"> the </w:t>
      </w:r>
      <w:r w:rsidR="009E75DB" w:rsidRPr="00A031DC">
        <w:t>n</w:t>
      </w:r>
      <w:r w:rsidRPr="00A031DC">
        <w:t xml:space="preserve">ational </w:t>
      </w:r>
      <w:r w:rsidR="00642716" w:rsidRPr="00A031DC">
        <w:t>greenhouse gas i</w:t>
      </w:r>
      <w:r w:rsidR="0024181A" w:rsidRPr="00A031DC">
        <w:t>nventory</w:t>
      </w:r>
      <w:r w:rsidR="007B7D6E" w:rsidRPr="00A031DC">
        <w:t xml:space="preserve">. </w:t>
      </w:r>
      <w:r w:rsidR="00C177C2" w:rsidRPr="00A031DC">
        <w:t>The model is extended to include projected closures of</w:t>
      </w:r>
      <w:r w:rsidR="0024181A" w:rsidRPr="00A031DC">
        <w:t xml:space="preserve"> underground coal mines</w:t>
      </w:r>
      <w:r w:rsidR="00C177C2" w:rsidRPr="00A031DC">
        <w:t xml:space="preserve"> to 2030</w:t>
      </w:r>
      <w:r w:rsidR="0024181A" w:rsidRPr="00A031DC">
        <w:t>.</w:t>
      </w:r>
    </w:p>
    <w:p w14:paraId="440BE62C" w14:textId="5CA48FC7" w:rsidR="007D5B02" w:rsidRPr="00A031DC" w:rsidRDefault="007D5B02" w:rsidP="00537A1C">
      <w:pPr>
        <w:rPr>
          <w:vertAlign w:val="subscript"/>
        </w:rPr>
      </w:pPr>
      <w:r w:rsidRPr="00A031DC">
        <w:rPr>
          <w:i/>
        </w:rPr>
        <w:t>E</w:t>
      </w:r>
      <w:r w:rsidR="00C9294D" w:rsidRPr="00A031DC">
        <w:rPr>
          <w:i/>
          <w:vertAlign w:val="subscript"/>
        </w:rPr>
        <w:t>t</w:t>
      </w:r>
      <w:r w:rsidRPr="00A031DC">
        <w:rPr>
          <w:i/>
        </w:rPr>
        <w:t xml:space="preserve"> = ∑</w:t>
      </w:r>
      <w:r w:rsidRPr="00A031DC">
        <w:t xml:space="preserve"> ((E</w:t>
      </w:r>
      <w:r w:rsidR="00C9294D" w:rsidRPr="00A031DC">
        <w:t>D</w:t>
      </w:r>
      <w:r w:rsidRPr="00A031DC">
        <w:rPr>
          <w:vertAlign w:val="subscript"/>
        </w:rPr>
        <w:t>i</w:t>
      </w:r>
      <w:r w:rsidRPr="00A031DC">
        <w:t xml:space="preserve"> . EF</w:t>
      </w:r>
      <w:r w:rsidRPr="00A031DC">
        <w:rPr>
          <w:vertAlign w:val="subscript"/>
        </w:rPr>
        <w:t>i</w:t>
      </w:r>
      <w:r w:rsidRPr="00A031DC">
        <w:t xml:space="preserve"> . (1 - F</w:t>
      </w:r>
      <w:r w:rsidRPr="00A031DC">
        <w:rPr>
          <w:vertAlign w:val="subscript"/>
        </w:rPr>
        <w:t>i</w:t>
      </w:r>
      <w:r w:rsidR="00C9294D" w:rsidRPr="00A031DC">
        <w:rPr>
          <w:vertAlign w:val="subscript"/>
        </w:rPr>
        <w:t>t</w:t>
      </w:r>
      <w:r w:rsidRPr="00A031DC">
        <w:t xml:space="preserve"> )) - E</w:t>
      </w:r>
      <w:r w:rsidR="00C9294D" w:rsidRPr="00A031DC">
        <w:t>R</w:t>
      </w:r>
      <w:r w:rsidRPr="00A031DC">
        <w:rPr>
          <w:vertAlign w:val="subscript"/>
        </w:rPr>
        <w:t>i</w:t>
      </w:r>
      <w:r w:rsidR="00C9294D" w:rsidRPr="00A031DC">
        <w:rPr>
          <w:vertAlign w:val="subscript"/>
        </w:rPr>
        <w:t>t</w:t>
      </w:r>
      <w:r w:rsidRPr="00A031DC">
        <w:t>)</w:t>
      </w:r>
    </w:p>
    <w:p w14:paraId="018BFF02" w14:textId="3AEA9C13" w:rsidR="007D5B02" w:rsidRDefault="007D5B02" w:rsidP="009D545D">
      <w:pPr>
        <w:pStyle w:val="Calculations"/>
        <w:rPr>
          <w:rFonts w:cs="Arial"/>
          <w:sz w:val="16"/>
          <w:szCs w:val="16"/>
          <w:lang w:eastAsia="en-AU"/>
        </w:rPr>
      </w:pPr>
      <w:r w:rsidRPr="00A031DC">
        <w:rPr>
          <w:lang w:eastAsia="en-AU"/>
        </w:rPr>
        <w:t>Where</w:t>
      </w:r>
      <w:r w:rsidR="00C9294D" w:rsidRPr="00A031DC">
        <w:rPr>
          <w:lang w:eastAsia="en-AU"/>
        </w:rPr>
        <w:t>:</w:t>
      </w:r>
      <w:r w:rsidRPr="00A031DC">
        <w:rPr>
          <w:lang w:eastAsia="en-AU"/>
        </w:rPr>
        <w:t xml:space="preserve"> </w:t>
      </w:r>
      <w:r w:rsidR="0019315D">
        <w:rPr>
          <w:lang w:eastAsia="en-AU"/>
        </w:rPr>
        <w:br/>
      </w:r>
      <w:r w:rsidRPr="00A031DC">
        <w:rPr>
          <w:lang w:eastAsia="en-AU"/>
        </w:rPr>
        <w:t>E</w:t>
      </w:r>
      <w:r w:rsidR="00C9294D" w:rsidRPr="00A031DC">
        <w:rPr>
          <w:vertAlign w:val="subscript"/>
          <w:lang w:eastAsia="en-AU"/>
        </w:rPr>
        <w:t>t</w:t>
      </w:r>
      <w:r w:rsidRPr="00A031DC">
        <w:rPr>
          <w:lang w:eastAsia="en-AU"/>
        </w:rPr>
        <w:t xml:space="preserve"> </w:t>
      </w:r>
      <w:r w:rsidR="009E75DB" w:rsidRPr="00A031DC">
        <w:rPr>
          <w:lang w:eastAsia="en-AU"/>
        </w:rPr>
        <w:t>=</w:t>
      </w:r>
      <w:r w:rsidRPr="00A031DC">
        <w:rPr>
          <w:lang w:eastAsia="en-AU"/>
        </w:rPr>
        <w:t xml:space="preserve"> emissions from abandoned coal mines</w:t>
      </w:r>
      <w:r w:rsidR="00C9294D" w:rsidRPr="00A031DC">
        <w:rPr>
          <w:lang w:eastAsia="en-AU"/>
        </w:rPr>
        <w:t xml:space="preserve"> in year t</w:t>
      </w:r>
      <w:r w:rsidR="00C177C2" w:rsidRPr="00A031DC">
        <w:rPr>
          <w:lang w:eastAsia="en-AU"/>
        </w:rPr>
        <w:t xml:space="preserve"> (</w:t>
      </w:r>
      <w:r w:rsidR="00651598" w:rsidRPr="00A031DC">
        <w:rPr>
          <w:lang w:eastAsia="en-AU"/>
        </w:rPr>
        <w:t>M</w:t>
      </w:r>
      <w:r w:rsidR="00C177C2" w:rsidRPr="00A031DC">
        <w:rPr>
          <w:lang w:eastAsia="en-AU"/>
        </w:rPr>
        <w:t>t CO</w:t>
      </w:r>
      <w:r w:rsidR="0099567A" w:rsidRPr="00042BDA">
        <w:t>₂</w:t>
      </w:r>
      <w:r w:rsidR="00C177C2" w:rsidRPr="00A031DC">
        <w:rPr>
          <w:lang w:eastAsia="en-AU"/>
        </w:rPr>
        <w:t>-e</w:t>
      </w:r>
      <w:r w:rsidR="00276782" w:rsidRPr="00A031DC">
        <w:rPr>
          <w:lang w:eastAsia="en-AU"/>
        </w:rPr>
        <w:t xml:space="preserve">) </w:t>
      </w:r>
      <w:r w:rsidR="0019315D">
        <w:rPr>
          <w:lang w:eastAsia="en-AU"/>
        </w:rPr>
        <w:br/>
      </w:r>
      <w:r w:rsidRPr="00A031DC">
        <w:rPr>
          <w:lang w:eastAsia="en-AU"/>
        </w:rPr>
        <w:t>E</w:t>
      </w:r>
      <w:r w:rsidR="00CD030A" w:rsidRPr="00A031DC">
        <w:rPr>
          <w:lang w:eastAsia="en-AU"/>
        </w:rPr>
        <w:t>D</w:t>
      </w:r>
      <w:r w:rsidRPr="00781FA7">
        <w:rPr>
          <w:vertAlign w:val="subscript"/>
          <w:lang w:eastAsia="en-AU"/>
        </w:rPr>
        <w:t>i</w:t>
      </w:r>
      <w:r w:rsidRPr="00A031DC">
        <w:rPr>
          <w:lang w:eastAsia="en-AU"/>
        </w:rPr>
        <w:t xml:space="preserve"> </w:t>
      </w:r>
      <w:r w:rsidR="009E75DB" w:rsidRPr="00A031DC">
        <w:rPr>
          <w:lang w:eastAsia="en-AU"/>
        </w:rPr>
        <w:t>=</w:t>
      </w:r>
      <w:r w:rsidRPr="00A031DC">
        <w:rPr>
          <w:lang w:eastAsia="en-AU"/>
        </w:rPr>
        <w:t xml:space="preserve"> annual emission</w:t>
      </w:r>
      <w:r w:rsidR="00C9294D" w:rsidRPr="00A031DC">
        <w:rPr>
          <w:lang w:eastAsia="en-AU"/>
        </w:rPr>
        <w:t>s</w:t>
      </w:r>
      <w:r w:rsidRPr="00A031DC">
        <w:rPr>
          <w:lang w:eastAsia="en-AU"/>
        </w:rPr>
        <w:t xml:space="preserve"> of mine</w:t>
      </w:r>
      <w:r w:rsidR="00C9294D" w:rsidRPr="00A031DC">
        <w:rPr>
          <w:lang w:eastAsia="en-AU"/>
        </w:rPr>
        <w:t xml:space="preserve"> i</w:t>
      </w:r>
      <w:r w:rsidRPr="00A031DC">
        <w:rPr>
          <w:lang w:eastAsia="en-AU"/>
        </w:rPr>
        <w:t xml:space="preserve"> </w:t>
      </w:r>
      <w:r w:rsidR="00651598" w:rsidRPr="00A031DC">
        <w:rPr>
          <w:lang w:eastAsia="en-AU"/>
        </w:rPr>
        <w:t xml:space="preserve">in the year </w:t>
      </w:r>
      <w:r w:rsidR="00C9294D" w:rsidRPr="00A031DC">
        <w:rPr>
          <w:lang w:eastAsia="en-AU"/>
        </w:rPr>
        <w:t>before</w:t>
      </w:r>
      <w:r w:rsidRPr="00A031DC">
        <w:rPr>
          <w:lang w:eastAsia="en-AU"/>
        </w:rPr>
        <w:t xml:space="preserve"> decommissioning (</w:t>
      </w:r>
      <w:r w:rsidR="00651598" w:rsidRPr="00A031DC">
        <w:rPr>
          <w:lang w:eastAsia="en-AU"/>
        </w:rPr>
        <w:t>M</w:t>
      </w:r>
      <w:r w:rsidR="00C177C2" w:rsidRPr="00A031DC">
        <w:rPr>
          <w:lang w:eastAsia="en-AU"/>
        </w:rPr>
        <w:t>t CO</w:t>
      </w:r>
      <w:r w:rsidR="0099567A" w:rsidRPr="00042BDA">
        <w:t>₂</w:t>
      </w:r>
      <w:r w:rsidR="00C177C2" w:rsidRPr="00A031DC">
        <w:rPr>
          <w:lang w:eastAsia="en-AU"/>
        </w:rPr>
        <w:t>-e</w:t>
      </w:r>
      <w:r w:rsidRPr="00A031DC">
        <w:rPr>
          <w:lang w:eastAsia="en-AU"/>
        </w:rPr>
        <w:t>)</w:t>
      </w:r>
      <w:r w:rsidR="0019315D">
        <w:rPr>
          <w:lang w:eastAsia="en-AU"/>
        </w:rPr>
        <w:br/>
      </w:r>
      <w:r w:rsidRPr="00A031DC">
        <w:rPr>
          <w:lang w:eastAsia="en-AU"/>
        </w:rPr>
        <w:t>EF</w:t>
      </w:r>
      <w:r w:rsidRPr="00781FA7">
        <w:rPr>
          <w:vertAlign w:val="subscript"/>
          <w:lang w:eastAsia="en-AU"/>
        </w:rPr>
        <w:t>i</w:t>
      </w:r>
      <w:r w:rsidRPr="00A031DC">
        <w:rPr>
          <w:lang w:eastAsia="en-AU"/>
        </w:rPr>
        <w:t xml:space="preserve"> </w:t>
      </w:r>
      <w:r w:rsidR="009E75DB" w:rsidRPr="00A031DC">
        <w:rPr>
          <w:lang w:eastAsia="en-AU"/>
        </w:rPr>
        <w:t>=</w:t>
      </w:r>
      <w:r w:rsidRPr="00A031DC">
        <w:rPr>
          <w:lang w:eastAsia="en-AU"/>
        </w:rPr>
        <w:t xml:space="preserve"> emission factor for the mine</w:t>
      </w:r>
      <w:r w:rsidR="00A16D41" w:rsidRPr="00A031DC">
        <w:rPr>
          <w:lang w:eastAsia="en-AU"/>
        </w:rPr>
        <w:t xml:space="preserve"> i</w:t>
      </w:r>
      <w:r w:rsidRPr="00A031DC">
        <w:rPr>
          <w:lang w:eastAsia="en-AU"/>
        </w:rPr>
        <w:t xml:space="preserve"> at a point in time since decommissioning. It is derived from the Emissions Decay Curve</w:t>
      </w:r>
      <w:r w:rsidR="00C9294D" w:rsidRPr="00A031DC">
        <w:rPr>
          <w:lang w:eastAsia="en-AU"/>
        </w:rPr>
        <w:t>s</w:t>
      </w:r>
      <w:r w:rsidRPr="00A031DC">
        <w:rPr>
          <w:lang w:eastAsia="en-AU"/>
        </w:rPr>
        <w:t xml:space="preserve"> (see </w:t>
      </w:r>
      <w:r w:rsidR="00B5648F">
        <w:t>DISER 2021b</w:t>
      </w:r>
      <w:r w:rsidRPr="00A031DC">
        <w:rPr>
          <w:lang w:eastAsia="en-AU"/>
        </w:rPr>
        <w:t xml:space="preserve">). </w:t>
      </w:r>
      <w:r w:rsidR="0019315D">
        <w:rPr>
          <w:lang w:eastAsia="en-AU"/>
        </w:rPr>
        <w:br/>
      </w:r>
      <w:r w:rsidRPr="00A031DC">
        <w:rPr>
          <w:lang w:eastAsia="en-AU"/>
        </w:rPr>
        <w:t>F</w:t>
      </w:r>
      <w:r w:rsidRPr="00781FA7">
        <w:rPr>
          <w:vertAlign w:val="subscript"/>
          <w:lang w:eastAsia="en-AU"/>
        </w:rPr>
        <w:t>i</w:t>
      </w:r>
      <w:r w:rsidR="00C9294D" w:rsidRPr="00781FA7">
        <w:rPr>
          <w:vertAlign w:val="subscript"/>
          <w:lang w:eastAsia="en-AU"/>
        </w:rPr>
        <w:t>t</w:t>
      </w:r>
      <w:r w:rsidRPr="00A031DC">
        <w:rPr>
          <w:lang w:eastAsia="en-AU"/>
        </w:rPr>
        <w:t xml:space="preserve"> </w:t>
      </w:r>
      <w:r w:rsidR="009E75DB" w:rsidRPr="00A031DC">
        <w:rPr>
          <w:lang w:eastAsia="en-AU"/>
        </w:rPr>
        <w:t>=</w:t>
      </w:r>
      <w:r w:rsidRPr="00A031DC">
        <w:rPr>
          <w:lang w:eastAsia="en-AU"/>
        </w:rPr>
        <w:t xml:space="preserve"> fraction of mine</w:t>
      </w:r>
      <w:r w:rsidR="00C177C2" w:rsidRPr="00A031DC">
        <w:rPr>
          <w:lang w:eastAsia="en-AU"/>
        </w:rPr>
        <w:t xml:space="preserve"> i</w:t>
      </w:r>
      <w:r w:rsidRPr="00A031DC">
        <w:rPr>
          <w:lang w:eastAsia="en-AU"/>
        </w:rPr>
        <w:t xml:space="preserve"> flooded at a point in time</w:t>
      </w:r>
      <w:r w:rsidR="00C177C2" w:rsidRPr="00A031DC">
        <w:rPr>
          <w:lang w:eastAsia="en-AU"/>
        </w:rPr>
        <w:t xml:space="preserve"> </w:t>
      </w:r>
      <w:r w:rsidRPr="00A031DC">
        <w:rPr>
          <w:lang w:eastAsia="en-AU"/>
        </w:rPr>
        <w:t>since decommissioning.</w:t>
      </w:r>
      <w:r w:rsidR="0019315D">
        <w:rPr>
          <w:lang w:eastAsia="en-AU"/>
        </w:rPr>
        <w:br/>
      </w:r>
      <w:r w:rsidRPr="009D545D">
        <w:t>E</w:t>
      </w:r>
      <w:r w:rsidR="00C9294D" w:rsidRPr="009D545D">
        <w:t>R</w:t>
      </w:r>
      <w:r w:rsidR="00C9294D" w:rsidRPr="00781FA7">
        <w:rPr>
          <w:vertAlign w:val="subscript"/>
        </w:rPr>
        <w:t>it</w:t>
      </w:r>
      <w:r w:rsidRPr="009D545D">
        <w:t xml:space="preserve"> </w:t>
      </w:r>
      <w:r w:rsidR="009E75DB" w:rsidRPr="009D545D">
        <w:t>=</w:t>
      </w:r>
      <w:r w:rsidRPr="009D545D">
        <w:t xml:space="preserve"> quantity of methane emissions avoided by recovery</w:t>
      </w:r>
      <w:r w:rsidR="00C177C2" w:rsidRPr="009D545D">
        <w:t xml:space="preserve"> at mine i</w:t>
      </w:r>
      <w:r w:rsidR="00C9294D" w:rsidRPr="009D545D">
        <w:t xml:space="preserve"> in year t</w:t>
      </w:r>
      <w:r w:rsidR="00C177C2" w:rsidRPr="009D545D">
        <w:t xml:space="preserve"> (</w:t>
      </w:r>
      <w:r w:rsidR="00651598" w:rsidRPr="009D545D">
        <w:t>M</w:t>
      </w:r>
      <w:r w:rsidR="00C177C2" w:rsidRPr="009D545D">
        <w:t>t CO</w:t>
      </w:r>
      <w:r w:rsidR="0099567A" w:rsidRPr="00042BDA">
        <w:t>₂</w:t>
      </w:r>
      <w:r w:rsidR="00C177C2" w:rsidRPr="009D545D">
        <w:t>-e)</w:t>
      </w:r>
      <w:r w:rsidRPr="009D545D">
        <w:t>.</w:t>
      </w:r>
    </w:p>
    <w:p w14:paraId="0F509144" w14:textId="77777777" w:rsidR="008B772B" w:rsidRPr="00A031DC" w:rsidRDefault="008B772B" w:rsidP="00537A1C">
      <w:pPr>
        <w:pStyle w:val="Calculations"/>
      </w:pPr>
    </w:p>
    <w:p w14:paraId="73C724BB" w14:textId="2A1075AF" w:rsidR="00730A73" w:rsidRPr="00A031DC" w:rsidRDefault="001A7BF0" w:rsidP="00537A1C">
      <w:r w:rsidRPr="00A031DC">
        <w:t xml:space="preserve">The model </w:t>
      </w:r>
      <w:r w:rsidR="009064FF" w:rsidRPr="00A031DC">
        <w:t xml:space="preserve">requires </w:t>
      </w:r>
      <w:r w:rsidRPr="00A031DC">
        <w:t>the</w:t>
      </w:r>
      <w:r w:rsidR="00B26380" w:rsidRPr="00A031DC">
        <w:t xml:space="preserve"> methane</w:t>
      </w:r>
      <w:r w:rsidRPr="00A031DC">
        <w:t xml:space="preserve"> emissions at the time of closure, the mine type, mine void size and mine water inflow rates.</w:t>
      </w:r>
      <w:r w:rsidR="00730A73" w:rsidRPr="00A031DC">
        <w:t xml:space="preserve"> </w:t>
      </w:r>
      <w:r w:rsidR="007D5B02" w:rsidRPr="00A031DC">
        <w:t xml:space="preserve">Emissions at the time of closure and mine void volume are sourced from the operating coal mines model. Emission decay curves are calculated from the formulas </w:t>
      </w:r>
      <w:r w:rsidR="009064FF" w:rsidRPr="00A031DC">
        <w:t>published</w:t>
      </w:r>
      <w:r w:rsidR="007B7D6E" w:rsidRPr="00A031DC">
        <w:t xml:space="preserve"> in the</w:t>
      </w:r>
      <w:r w:rsidR="007D5B02" w:rsidRPr="00A031DC">
        <w:t xml:space="preserve"> </w:t>
      </w:r>
      <w:r w:rsidR="007D5B02" w:rsidRPr="00A031DC">
        <w:rPr>
          <w:i/>
        </w:rPr>
        <w:t>National Inventory Report</w:t>
      </w:r>
      <w:r w:rsidR="00CA08EF" w:rsidRPr="00A031DC">
        <w:t xml:space="preserve"> (</w:t>
      </w:r>
      <w:r w:rsidR="00B5648F">
        <w:t>DISER 2021b</w:t>
      </w:r>
      <w:r w:rsidR="00CA08EF" w:rsidRPr="00A031DC">
        <w:t>)</w:t>
      </w:r>
      <w:r w:rsidR="007D5B02" w:rsidRPr="00A031DC">
        <w:t xml:space="preserve">. Mine flooding rates are estimated based on </w:t>
      </w:r>
      <w:r w:rsidR="008326E5" w:rsidRPr="00A031DC">
        <w:t>the mine’s water production regio</w:t>
      </w:r>
      <w:r w:rsidR="00642716" w:rsidRPr="00A031DC">
        <w:t xml:space="preserve">n consistent with the </w:t>
      </w:r>
      <w:r w:rsidR="009E75DB" w:rsidRPr="00A031DC">
        <w:t>n</w:t>
      </w:r>
      <w:r w:rsidR="00642716" w:rsidRPr="00A031DC">
        <w:t>ational greenhouse gas i</w:t>
      </w:r>
      <w:r w:rsidR="008326E5" w:rsidRPr="00A031DC">
        <w:t>nventory</w:t>
      </w:r>
      <w:r w:rsidR="007B7D6E" w:rsidRPr="00A031DC">
        <w:t>.</w:t>
      </w:r>
    </w:p>
    <w:p w14:paraId="7A472840" w14:textId="16E00EF9" w:rsidR="00E73B34" w:rsidRPr="0026611D" w:rsidRDefault="00E73B34" w:rsidP="00537A1C">
      <w:pPr>
        <w:pStyle w:val="Heading4"/>
      </w:pPr>
      <w:r w:rsidRPr="0026611D">
        <w:t>Activity data</w:t>
      </w:r>
    </w:p>
    <w:p w14:paraId="73DEF3DF" w14:textId="1F0E9EC5" w:rsidR="00E73B34" w:rsidRPr="00A031DC" w:rsidRDefault="00E73B34" w:rsidP="00537A1C">
      <w:r w:rsidRPr="00A031DC">
        <w:t xml:space="preserve">Closure timing is informed by mine-by-mine projections provided by the OCE </w:t>
      </w:r>
      <w:r w:rsidR="008F7582">
        <w:t xml:space="preserve">(2021a; OCE 2021b) </w:t>
      </w:r>
      <w:r w:rsidRPr="00A031DC">
        <w:t>and AME Group and is consistent with the operating coal mines model.</w:t>
      </w:r>
    </w:p>
    <w:p w14:paraId="43D556F9" w14:textId="7B5DF26F" w:rsidR="002C3AB7" w:rsidRPr="004B6666" w:rsidRDefault="004B6666" w:rsidP="00537A1C">
      <w:pPr>
        <w:pStyle w:val="Heading2"/>
      </w:pPr>
      <w:r>
        <w:t>Oil and gas f</w:t>
      </w:r>
      <w:r w:rsidR="00270C04" w:rsidRPr="004B6666">
        <w:t>ugitives</w:t>
      </w:r>
    </w:p>
    <w:p w14:paraId="01C142A5" w14:textId="190F1741" w:rsidR="00270C04" w:rsidRPr="008326E5" w:rsidRDefault="00270C04" w:rsidP="00537A1C">
      <w:pPr>
        <w:pStyle w:val="Heading3"/>
      </w:pPr>
      <w:r w:rsidRPr="008326E5">
        <w:t>Oil</w:t>
      </w:r>
    </w:p>
    <w:p w14:paraId="30C577C4" w14:textId="557250BB" w:rsidR="000A6AC6" w:rsidRPr="00A031DC" w:rsidRDefault="008326E5" w:rsidP="00537A1C">
      <w:r w:rsidRPr="00A031DC">
        <w:t xml:space="preserve">Oil fugitive emissions are separated into </w:t>
      </w:r>
      <w:r w:rsidR="00966C28">
        <w:t>5</w:t>
      </w:r>
      <w:r w:rsidRPr="00A031DC">
        <w:t xml:space="preserve"> sub</w:t>
      </w:r>
      <w:r w:rsidR="00C9294D" w:rsidRPr="00A031DC">
        <w:t>sectors</w:t>
      </w:r>
      <w:r w:rsidR="000A6AC6" w:rsidRPr="00A031DC">
        <w:t>:</w:t>
      </w:r>
    </w:p>
    <w:p w14:paraId="0DED0C02" w14:textId="1D8FE8E2" w:rsidR="000A6AC6" w:rsidRPr="00A031DC" w:rsidRDefault="006A7654" w:rsidP="000F53BC">
      <w:pPr>
        <w:pStyle w:val="Bullet1"/>
        <w:numPr>
          <w:ilvl w:val="0"/>
          <w:numId w:val="77"/>
        </w:numPr>
      </w:pPr>
      <w:r>
        <w:t>c</w:t>
      </w:r>
      <w:r w:rsidR="002204EA" w:rsidRPr="00A031DC">
        <w:t xml:space="preserve">rude </w:t>
      </w:r>
      <w:r w:rsidR="006D2441" w:rsidRPr="00A031DC">
        <w:t>o</w:t>
      </w:r>
      <w:r w:rsidR="002204EA" w:rsidRPr="00A031DC">
        <w:t xml:space="preserve">il </w:t>
      </w:r>
      <w:r w:rsidR="006D2441" w:rsidRPr="00A031DC">
        <w:t>p</w:t>
      </w:r>
      <w:r w:rsidR="002204EA" w:rsidRPr="00A031DC">
        <w:t>roduction</w:t>
      </w:r>
    </w:p>
    <w:p w14:paraId="5BA0A8C4" w14:textId="7148EF64" w:rsidR="002204EA" w:rsidRPr="00A031DC" w:rsidRDefault="006A7654" w:rsidP="000F53BC">
      <w:pPr>
        <w:pStyle w:val="Bullet1"/>
        <w:numPr>
          <w:ilvl w:val="0"/>
          <w:numId w:val="77"/>
        </w:numPr>
      </w:pPr>
      <w:r>
        <w:t>c</w:t>
      </w:r>
      <w:r w:rsidR="002204EA" w:rsidRPr="00A031DC">
        <w:t xml:space="preserve">rude oil </w:t>
      </w:r>
      <w:r w:rsidR="006D2441" w:rsidRPr="00A031DC">
        <w:t>t</w:t>
      </w:r>
      <w:r w:rsidR="002204EA" w:rsidRPr="00A031DC">
        <w:t>ransport</w:t>
      </w:r>
    </w:p>
    <w:p w14:paraId="26CF7009" w14:textId="1614C7D1" w:rsidR="002204EA" w:rsidRPr="00A031DC" w:rsidRDefault="006A7654" w:rsidP="000F53BC">
      <w:pPr>
        <w:pStyle w:val="Bullet1"/>
        <w:numPr>
          <w:ilvl w:val="0"/>
          <w:numId w:val="77"/>
        </w:numPr>
      </w:pPr>
      <w:r>
        <w:t>e</w:t>
      </w:r>
      <w:r w:rsidR="002204EA" w:rsidRPr="00A031DC">
        <w:t>xploration</w:t>
      </w:r>
    </w:p>
    <w:p w14:paraId="1BF9D9BA" w14:textId="36425366" w:rsidR="002204EA" w:rsidRPr="00A031DC" w:rsidRDefault="006A7654" w:rsidP="000F53BC">
      <w:pPr>
        <w:pStyle w:val="Bullet1"/>
        <w:numPr>
          <w:ilvl w:val="0"/>
          <w:numId w:val="77"/>
        </w:numPr>
      </w:pPr>
      <w:r>
        <w:t>o</w:t>
      </w:r>
      <w:r w:rsidR="002204EA" w:rsidRPr="00A031DC">
        <w:t xml:space="preserve">ther – abandoned wells </w:t>
      </w:r>
    </w:p>
    <w:p w14:paraId="076619AE" w14:textId="511ACDB9" w:rsidR="002204EA" w:rsidRPr="00A031DC" w:rsidRDefault="006A7654" w:rsidP="000F53BC">
      <w:pPr>
        <w:pStyle w:val="Bullet1"/>
        <w:numPr>
          <w:ilvl w:val="0"/>
          <w:numId w:val="77"/>
        </w:numPr>
      </w:pPr>
      <w:r>
        <w:t>r</w:t>
      </w:r>
      <w:r w:rsidR="002204EA" w:rsidRPr="00A031DC">
        <w:t>efining/</w:t>
      </w:r>
      <w:r w:rsidR="00596E05">
        <w:t>s</w:t>
      </w:r>
      <w:r w:rsidR="002204EA" w:rsidRPr="00A031DC">
        <w:t>torage</w:t>
      </w:r>
    </w:p>
    <w:p w14:paraId="2BA447F1" w14:textId="0C530A8D" w:rsidR="000A6AC6" w:rsidRDefault="006A7654" w:rsidP="000F53BC">
      <w:pPr>
        <w:pStyle w:val="Bullet1"/>
        <w:numPr>
          <w:ilvl w:val="0"/>
          <w:numId w:val="77"/>
        </w:numPr>
      </w:pPr>
      <w:r>
        <w:t>f</w:t>
      </w:r>
      <w:r w:rsidR="000A6AC6" w:rsidRPr="00A031DC">
        <w:t>laring</w:t>
      </w:r>
    </w:p>
    <w:p w14:paraId="4DEBDF9E" w14:textId="0D95B138" w:rsidR="008660A8" w:rsidRPr="00A031DC" w:rsidRDefault="008660A8">
      <w:pPr>
        <w:pStyle w:val="Bullet1"/>
      </w:pPr>
    </w:p>
    <w:p w14:paraId="75D8932D" w14:textId="77777777" w:rsidR="000A6AC6" w:rsidRPr="0026611D" w:rsidRDefault="000A6AC6" w:rsidP="00537A1C">
      <w:pPr>
        <w:pStyle w:val="Heading4"/>
      </w:pPr>
      <w:r w:rsidRPr="0026611D">
        <w:t>Modelling approach</w:t>
      </w:r>
    </w:p>
    <w:p w14:paraId="058ABB13" w14:textId="1BADF80D" w:rsidR="009064FF" w:rsidRPr="00A031DC" w:rsidRDefault="000A6AC6" w:rsidP="00537A1C">
      <w:r w:rsidRPr="00A031DC">
        <w:t xml:space="preserve">Oil fugitive emissions projections </w:t>
      </w:r>
      <w:r w:rsidR="006D2441" w:rsidRPr="00A031DC">
        <w:t xml:space="preserve">for the crude oil production, crude oil transport, refining/storage and flaring </w:t>
      </w:r>
      <w:r w:rsidRPr="00A031DC">
        <w:t>are calcul</w:t>
      </w:r>
      <w:r w:rsidR="008B7706" w:rsidRPr="00A031DC">
        <w:t>ated</w:t>
      </w:r>
      <w:r w:rsidRPr="00A031DC">
        <w:t xml:space="preserve"> using the following algorithm:</w:t>
      </w:r>
    </w:p>
    <w:p w14:paraId="07041DBF" w14:textId="1AC58371" w:rsidR="009064FF" w:rsidRPr="00A031DC" w:rsidRDefault="009064FF" w:rsidP="00537A1C">
      <w:pPr>
        <w:rPr>
          <w:vertAlign w:val="superscript"/>
        </w:rPr>
      </w:pPr>
      <w:r w:rsidRPr="00A031DC">
        <w:t>E</w:t>
      </w:r>
      <w:r w:rsidRPr="00A031DC">
        <w:rPr>
          <w:vertAlign w:val="subscript"/>
        </w:rPr>
        <w:t>t</w:t>
      </w:r>
      <w:r w:rsidRPr="00A031DC">
        <w:t xml:space="preserve"> =</w:t>
      </w:r>
      <w:r w:rsidR="002204EA" w:rsidRPr="00A031DC">
        <w:t xml:space="preserve"> ∑</w:t>
      </w:r>
      <w:r w:rsidRPr="00A031DC">
        <w:t xml:space="preserve"> </w:t>
      </w:r>
      <w:r w:rsidR="002204EA" w:rsidRPr="00A031DC">
        <w:t>(Pr</w:t>
      </w:r>
      <w:r w:rsidRPr="00A031DC">
        <w:rPr>
          <w:vertAlign w:val="subscript"/>
        </w:rPr>
        <w:t xml:space="preserve">t </w:t>
      </w:r>
      <w:r w:rsidRPr="00A031DC">
        <w:t>.</w:t>
      </w:r>
      <w:r w:rsidR="002204EA" w:rsidRPr="00A031DC">
        <w:t>(</w:t>
      </w:r>
      <w:r w:rsidRPr="00A031DC">
        <w:rPr>
          <w:vertAlign w:val="subscript"/>
        </w:rPr>
        <w:t xml:space="preserve"> </w:t>
      </w:r>
      <w:r w:rsidR="002204EA" w:rsidRPr="00A031DC">
        <w:t>EI</w:t>
      </w:r>
      <w:r w:rsidR="006D2441" w:rsidRPr="00A031DC">
        <w:rPr>
          <w:vertAlign w:val="subscript"/>
        </w:rPr>
        <w:t>c</w:t>
      </w:r>
      <w:r w:rsidR="002204EA" w:rsidRPr="00A031DC">
        <w:rPr>
          <w:vertAlign w:val="subscript"/>
        </w:rPr>
        <w:t>p</w:t>
      </w:r>
      <w:r w:rsidR="006D2441" w:rsidRPr="00A031DC">
        <w:rPr>
          <w:vertAlign w:val="subscript"/>
        </w:rPr>
        <w:t xml:space="preserve"> </w:t>
      </w:r>
      <w:r w:rsidR="006D2441" w:rsidRPr="00A031DC">
        <w:t>+ EI</w:t>
      </w:r>
      <w:r w:rsidR="006D2441" w:rsidRPr="00A031DC">
        <w:rPr>
          <w:vertAlign w:val="subscript"/>
        </w:rPr>
        <w:t>ct</w:t>
      </w:r>
      <w:r w:rsidR="006D2441" w:rsidRPr="00A031DC">
        <w:t xml:space="preserve"> + EI</w:t>
      </w:r>
      <w:r w:rsidR="006D2441" w:rsidRPr="00A031DC">
        <w:rPr>
          <w:vertAlign w:val="subscript"/>
        </w:rPr>
        <w:t>rs</w:t>
      </w:r>
      <w:r w:rsidR="006D2441" w:rsidRPr="00A031DC">
        <w:t xml:space="preserve"> + EI</w:t>
      </w:r>
      <w:r w:rsidR="006D2441" w:rsidRPr="00A031DC">
        <w:rPr>
          <w:vertAlign w:val="subscript"/>
        </w:rPr>
        <w:t>f</w:t>
      </w:r>
      <w:r w:rsidRPr="00A031DC">
        <w:rPr>
          <w:vertAlign w:val="subscript"/>
        </w:rPr>
        <w:t xml:space="preserve"> </w:t>
      </w:r>
      <w:r w:rsidR="002204EA" w:rsidRPr="00A031DC">
        <w:t>)</w:t>
      </w:r>
      <w:r w:rsidR="006D2441" w:rsidRPr="00A031DC">
        <w:t>)</w:t>
      </w:r>
    </w:p>
    <w:p w14:paraId="76030E5E" w14:textId="5741B1FC" w:rsidR="006D2441" w:rsidRPr="00A031DC" w:rsidRDefault="009064FF" w:rsidP="00537A1C">
      <w:pPr>
        <w:pStyle w:val="Calculations"/>
      </w:pPr>
      <w:r w:rsidRPr="00A031DC">
        <w:t xml:space="preserve">Where: </w:t>
      </w:r>
      <w:r w:rsidRPr="00A031DC">
        <w:br/>
        <w:t>E</w:t>
      </w:r>
      <w:r w:rsidRPr="00A031DC">
        <w:rPr>
          <w:vertAlign w:val="subscript"/>
        </w:rPr>
        <w:t>t</w:t>
      </w:r>
      <w:r w:rsidRPr="00A031DC">
        <w:t xml:space="preserve"> = </w:t>
      </w:r>
      <w:r w:rsidR="002204EA" w:rsidRPr="00A031DC">
        <w:t xml:space="preserve">oil fugitive </w:t>
      </w:r>
      <w:r w:rsidRPr="00A031DC">
        <w:t>emissions in the year t (</w:t>
      </w:r>
      <w:r w:rsidR="00651598" w:rsidRPr="00A031DC">
        <w:t>M</w:t>
      </w:r>
      <w:r w:rsidRPr="00A031DC">
        <w:t>t CO</w:t>
      </w:r>
      <w:r w:rsidR="0099567A" w:rsidRPr="00042BDA">
        <w:t>₂</w:t>
      </w:r>
      <w:r w:rsidRPr="00A031DC">
        <w:t>-e)</w:t>
      </w:r>
      <w:r w:rsidRPr="00A031DC">
        <w:br/>
        <w:t>Pr</w:t>
      </w:r>
      <w:r w:rsidRPr="00A031DC">
        <w:rPr>
          <w:vertAlign w:val="subscript"/>
        </w:rPr>
        <w:t xml:space="preserve">t </w:t>
      </w:r>
      <w:r w:rsidRPr="00A031DC">
        <w:t xml:space="preserve">= proxy indicator in </w:t>
      </w:r>
      <w:r w:rsidR="002204EA" w:rsidRPr="00A031DC">
        <w:t xml:space="preserve">year t </w:t>
      </w:r>
      <w:r w:rsidRPr="00A031DC">
        <w:br/>
      </w:r>
      <w:r w:rsidR="002204EA" w:rsidRPr="00A031DC">
        <w:lastRenderedPageBreak/>
        <w:t>EI</w:t>
      </w:r>
      <w:r w:rsidR="006D2441" w:rsidRPr="00A031DC">
        <w:rPr>
          <w:vertAlign w:val="subscript"/>
        </w:rPr>
        <w:t>cp</w:t>
      </w:r>
      <w:r w:rsidRPr="00A031DC">
        <w:rPr>
          <w:vertAlign w:val="subscript"/>
        </w:rPr>
        <w:t xml:space="preserve"> </w:t>
      </w:r>
      <w:r w:rsidRPr="00A031DC">
        <w:t>=</w:t>
      </w:r>
      <w:r w:rsidR="002204EA" w:rsidRPr="00A031DC">
        <w:t xml:space="preserve"> average emission</w:t>
      </w:r>
      <w:r w:rsidR="006D2441" w:rsidRPr="00A031DC">
        <w:t>s</w:t>
      </w:r>
      <w:r w:rsidR="002204EA" w:rsidRPr="00A031DC">
        <w:t xml:space="preserve"> intensity for crude oil production (Mt CO</w:t>
      </w:r>
      <w:r w:rsidR="0099567A" w:rsidRPr="00042BDA">
        <w:t>₂</w:t>
      </w:r>
      <w:r w:rsidR="002204EA" w:rsidRPr="00A031DC">
        <w:t xml:space="preserve">-e / ML of </w:t>
      </w:r>
      <w:r w:rsidR="006D2441" w:rsidRPr="00A031DC">
        <w:t>crude oil and condensate production</w:t>
      </w:r>
      <w:r w:rsidR="002204EA" w:rsidRPr="00A031DC">
        <w:t>)</w:t>
      </w:r>
      <w:r w:rsidRPr="00A031DC">
        <w:t xml:space="preserve"> </w:t>
      </w:r>
      <w:r w:rsidR="0019315D">
        <w:br/>
      </w:r>
      <w:r w:rsidR="002204EA" w:rsidRPr="00A031DC">
        <w:t>EI</w:t>
      </w:r>
      <w:r w:rsidR="006D2441" w:rsidRPr="00A031DC">
        <w:rPr>
          <w:vertAlign w:val="subscript"/>
        </w:rPr>
        <w:t>ct</w:t>
      </w:r>
      <w:r w:rsidR="002204EA" w:rsidRPr="00A031DC">
        <w:t xml:space="preserve"> = average emissions intensity for</w:t>
      </w:r>
      <w:r w:rsidR="006D2441" w:rsidRPr="00A031DC">
        <w:t xml:space="preserve"> crude oil</w:t>
      </w:r>
      <w:r w:rsidR="002204EA" w:rsidRPr="00A031DC">
        <w:t xml:space="preserve"> transport </w:t>
      </w:r>
      <w:r w:rsidR="006D2441" w:rsidRPr="00A031DC">
        <w:t>(Mt CO</w:t>
      </w:r>
      <w:r w:rsidR="0099567A" w:rsidRPr="00042BDA">
        <w:t>₂</w:t>
      </w:r>
      <w:r w:rsidR="006D2441" w:rsidRPr="00A031DC">
        <w:t>-e / ML of crude oil and condensate production)</w:t>
      </w:r>
      <w:r w:rsidR="0019315D">
        <w:br/>
      </w:r>
      <w:r w:rsidR="006D2441" w:rsidRPr="00A031DC">
        <w:t>EI</w:t>
      </w:r>
      <w:r w:rsidR="006D2441" w:rsidRPr="00A031DC">
        <w:rPr>
          <w:vertAlign w:val="subscript"/>
        </w:rPr>
        <w:t xml:space="preserve">rs </w:t>
      </w:r>
      <w:r w:rsidR="006D2441" w:rsidRPr="00A031DC">
        <w:t>= average emissions intensity for refining/storage (Mt CO</w:t>
      </w:r>
      <w:r w:rsidR="0099567A" w:rsidRPr="00042BDA">
        <w:t>₂</w:t>
      </w:r>
      <w:r w:rsidR="006D2441" w:rsidRPr="00A031DC">
        <w:t>-e/ ML of refinery output)</w:t>
      </w:r>
      <w:r w:rsidR="0019315D">
        <w:br/>
      </w:r>
      <w:r w:rsidR="006D2441" w:rsidRPr="000F53BC">
        <w:t>EI</w:t>
      </w:r>
      <w:r w:rsidR="006D2441" w:rsidRPr="000F53BC">
        <w:rPr>
          <w:szCs w:val="20"/>
          <w:vertAlign w:val="subscript"/>
        </w:rPr>
        <w:t>f</w:t>
      </w:r>
      <w:r w:rsidR="006D2441" w:rsidRPr="000F53BC">
        <w:rPr>
          <w:szCs w:val="20"/>
        </w:rPr>
        <w:t xml:space="preserve"> = average emissions intensity for oil flaring (Mt CO</w:t>
      </w:r>
      <w:r w:rsidR="0099567A" w:rsidRPr="000F53BC">
        <w:t>₂</w:t>
      </w:r>
      <w:r w:rsidR="006D2441" w:rsidRPr="000F53BC">
        <w:rPr>
          <w:szCs w:val="20"/>
        </w:rPr>
        <w:t>-e / ML of crude oil and condensate production)</w:t>
      </w:r>
    </w:p>
    <w:p w14:paraId="24DC8B20" w14:textId="6A925D5A" w:rsidR="006D2441" w:rsidRPr="00A031DC" w:rsidRDefault="009E717C" w:rsidP="00537A1C">
      <w:r w:rsidRPr="00A031DC">
        <w:t>Projected e</w:t>
      </w:r>
      <w:r w:rsidR="006D2441" w:rsidRPr="00A031DC">
        <w:t xml:space="preserve">missions for oil exploration are calculated as a 10 year average of historical fugitive emission from oil exploration. </w:t>
      </w:r>
    </w:p>
    <w:p w14:paraId="032A9051" w14:textId="7D598403" w:rsidR="006D2441" w:rsidRPr="00A031DC" w:rsidRDefault="009E717C" w:rsidP="00537A1C">
      <w:r w:rsidRPr="00A031DC">
        <w:t>Projected e</w:t>
      </w:r>
      <w:r w:rsidR="006D2441" w:rsidRPr="00A031DC">
        <w:t xml:space="preserve">missions from abandoned wells is calculated based on historical rates of fugitive emissions growth from </w:t>
      </w:r>
      <w:r w:rsidRPr="00A031DC">
        <w:t>abandoned wells.</w:t>
      </w:r>
      <w:r w:rsidR="006D2441" w:rsidRPr="00A031DC">
        <w:t xml:space="preserve"> </w:t>
      </w:r>
      <w:r w:rsidR="00DA31BE">
        <w:t>For the 2021</w:t>
      </w:r>
      <w:r w:rsidR="007B0F5C" w:rsidRPr="00A031DC">
        <w:t xml:space="preserve"> projections, the assumed growth is 3</w:t>
      </w:r>
      <w:r w:rsidR="00966C28">
        <w:t>%</w:t>
      </w:r>
      <w:r w:rsidR="007B0F5C" w:rsidRPr="00A031DC">
        <w:t>.</w:t>
      </w:r>
    </w:p>
    <w:p w14:paraId="4FDCA9CF" w14:textId="59C65507" w:rsidR="007B0F5C" w:rsidRPr="00A031DC" w:rsidRDefault="007B0F5C" w:rsidP="00537A1C">
      <w:r w:rsidRPr="00A031DC">
        <w:t>E</w:t>
      </w:r>
      <w:r w:rsidRPr="00A031DC">
        <w:rPr>
          <w:vertAlign w:val="subscript"/>
        </w:rPr>
        <w:t>t</w:t>
      </w:r>
      <w:r w:rsidRPr="00A031DC">
        <w:t xml:space="preserve"> = E</w:t>
      </w:r>
      <w:r w:rsidRPr="00A031DC">
        <w:rPr>
          <w:vertAlign w:val="subscript"/>
        </w:rPr>
        <w:t xml:space="preserve">t-1 </w:t>
      </w:r>
      <w:r w:rsidRPr="00A031DC">
        <w:t>. (1.03)</w:t>
      </w:r>
    </w:p>
    <w:p w14:paraId="2B20867A" w14:textId="11921486" w:rsidR="007B0F5C" w:rsidRPr="00A031DC" w:rsidRDefault="007B0F5C" w:rsidP="00537A1C">
      <w:pPr>
        <w:pStyle w:val="Calculations"/>
      </w:pPr>
      <w:r w:rsidRPr="00A031DC">
        <w:t>Where</w:t>
      </w:r>
      <w:r w:rsidR="00223613" w:rsidRPr="00A031DC">
        <w:t xml:space="preserve">: </w:t>
      </w:r>
      <w:r w:rsidR="0019315D">
        <w:br/>
      </w:r>
      <w:r w:rsidRPr="00A031DC">
        <w:t>Et= emissions in year t</w:t>
      </w:r>
      <w:r w:rsidR="0019315D">
        <w:br/>
      </w:r>
      <w:r w:rsidRPr="00A031DC">
        <w:t>E</w:t>
      </w:r>
      <w:r w:rsidRPr="00307DCE">
        <w:rPr>
          <w:sz w:val="16"/>
          <w:szCs w:val="16"/>
          <w:vertAlign w:val="subscript"/>
        </w:rPr>
        <w:t>t-1</w:t>
      </w:r>
      <w:r w:rsidRPr="00307DCE">
        <w:rPr>
          <w:sz w:val="16"/>
          <w:szCs w:val="16"/>
        </w:rPr>
        <w:t>= emissions in the year t-1</w:t>
      </w:r>
    </w:p>
    <w:p w14:paraId="5549D2F2" w14:textId="3B431EA9" w:rsidR="000A6AC6" w:rsidRPr="0026611D" w:rsidRDefault="000A6AC6" w:rsidP="00537A1C">
      <w:pPr>
        <w:pStyle w:val="Heading4"/>
      </w:pPr>
      <w:r w:rsidRPr="0026611D">
        <w:t>Activity data</w:t>
      </w:r>
    </w:p>
    <w:p w14:paraId="6B7D26B7" w14:textId="756FDCC6" w:rsidR="000A6AC6" w:rsidRPr="00A031DC" w:rsidRDefault="000A6AC6" w:rsidP="00537A1C">
      <w:r w:rsidRPr="00A031DC">
        <w:t>Activity data used to estimate emission</w:t>
      </w:r>
      <w:r w:rsidR="00F4510A" w:rsidRPr="00A031DC">
        <w:t>s</w:t>
      </w:r>
      <w:r w:rsidRPr="00A031DC">
        <w:t xml:space="preserve"> from oil and gas fugitives is provided in Table </w:t>
      </w:r>
      <w:r w:rsidR="004C7141">
        <w:t>6</w:t>
      </w:r>
      <w:r w:rsidRPr="00A031DC">
        <w:t>.</w:t>
      </w:r>
    </w:p>
    <w:p w14:paraId="65301966" w14:textId="08BC37D1" w:rsidR="0079062F" w:rsidRPr="00C808FE" w:rsidRDefault="0079062F" w:rsidP="00537A1C">
      <w:pPr>
        <w:pStyle w:val="Caption"/>
      </w:pPr>
      <w:r w:rsidRPr="00C808FE">
        <w:t xml:space="preserve">Table </w:t>
      </w:r>
      <w:r w:rsidR="004C7141">
        <w:t>6</w:t>
      </w:r>
      <w:r w:rsidR="009E75DB">
        <w:t>.</w:t>
      </w:r>
      <w:r w:rsidRPr="00C808FE">
        <w:tab/>
      </w:r>
      <w:r w:rsidR="00027FEA">
        <w:t xml:space="preserve"> </w:t>
      </w:r>
      <w:r w:rsidRPr="00C808FE">
        <w:t xml:space="preserve">Summary of </w:t>
      </w:r>
      <w:r>
        <w:t xml:space="preserve">sources for </w:t>
      </w:r>
      <w:r w:rsidR="000B1381">
        <w:t>oil and gas fugitive emissions</w:t>
      </w:r>
    </w:p>
    <w:tbl>
      <w:tblPr>
        <w:tblStyle w:val="ListTable3-Accent3"/>
        <w:tblW w:w="5000" w:type="pct"/>
        <w:tblLook w:val="04A0" w:firstRow="1" w:lastRow="0" w:firstColumn="1" w:lastColumn="0" w:noHBand="0" w:noVBand="1"/>
        <w:tblCaption w:val="Summary of sources for oil and gas fugitive emissions"/>
        <w:tblDescription w:val="This table shows the proxy indicators, and their source, used to estimate fugitive emissions from oil. The proxy indicators are forecasts of crude oil and condensate production, forecasts of refinery output or trends in historical emissions.     "/>
      </w:tblPr>
      <w:tblGrid>
        <w:gridCol w:w="2041"/>
        <w:gridCol w:w="4872"/>
        <w:gridCol w:w="2289"/>
      </w:tblGrid>
      <w:tr w:rsidR="005D0811" w:rsidRPr="00027FEA" w14:paraId="6FB94F26" w14:textId="0AD8B48F" w:rsidTr="002354AC">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100" w:firstRow="0" w:lastRow="0" w:firstColumn="1" w:lastColumn="0" w:oddVBand="0" w:evenVBand="0" w:oddHBand="0" w:evenHBand="0" w:firstRowFirstColumn="1" w:firstRowLastColumn="0" w:lastRowFirstColumn="0" w:lastRowLastColumn="0"/>
            <w:tcW w:w="1109" w:type="pct"/>
            <w:hideMark/>
          </w:tcPr>
          <w:p w14:paraId="4796455A" w14:textId="2D447F93" w:rsidR="005D0811" w:rsidRPr="00A031DC" w:rsidRDefault="005D0811" w:rsidP="00537A1C">
            <w:pPr>
              <w:rPr>
                <w:lang w:eastAsia="en-AU"/>
              </w:rPr>
            </w:pPr>
            <w:r w:rsidRPr="00A031DC">
              <w:rPr>
                <w:lang w:eastAsia="en-AU"/>
              </w:rPr>
              <w:t>Fugitive emissions source</w:t>
            </w:r>
          </w:p>
        </w:tc>
        <w:tc>
          <w:tcPr>
            <w:tcW w:w="2647" w:type="pct"/>
            <w:hideMark/>
          </w:tcPr>
          <w:p w14:paraId="6AEF619D" w14:textId="2AE68A0C" w:rsidR="005D0811" w:rsidRPr="00A031DC" w:rsidRDefault="005D0811" w:rsidP="00537A1C">
            <w:pPr>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A031DC">
              <w:t xml:space="preserve">Proxy </w:t>
            </w:r>
            <w:r w:rsidR="003067BD" w:rsidRPr="00A031DC">
              <w:t>i</w:t>
            </w:r>
            <w:r w:rsidRPr="00A031DC">
              <w:t>ndicator</w:t>
            </w:r>
          </w:p>
        </w:tc>
        <w:tc>
          <w:tcPr>
            <w:tcW w:w="1245" w:type="pct"/>
          </w:tcPr>
          <w:p w14:paraId="36939037" w14:textId="33BEE8BF" w:rsidR="005D0811" w:rsidRPr="00A031DC" w:rsidRDefault="005D0811" w:rsidP="00537A1C">
            <w:pPr>
              <w:cnfStyle w:val="100000000000" w:firstRow="1" w:lastRow="0" w:firstColumn="0" w:lastColumn="0" w:oddVBand="0" w:evenVBand="0" w:oddHBand="0" w:evenHBand="0" w:firstRowFirstColumn="0" w:firstRowLastColumn="0" w:lastRowFirstColumn="0" w:lastRowLastColumn="0"/>
            </w:pPr>
            <w:r w:rsidRPr="00A031DC">
              <w:t>Source</w:t>
            </w:r>
          </w:p>
        </w:tc>
      </w:tr>
      <w:tr w:rsidR="007B0F5C" w:rsidRPr="00027FEA" w14:paraId="0AA4A5A2" w14:textId="77777777" w:rsidTr="002354A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09" w:type="pct"/>
          </w:tcPr>
          <w:p w14:paraId="58666F3F" w14:textId="51F9319D" w:rsidR="007B0F5C" w:rsidRPr="00A031DC" w:rsidRDefault="007B0F5C" w:rsidP="00537A1C">
            <w:pPr>
              <w:rPr>
                <w:lang w:eastAsia="en-AU"/>
              </w:rPr>
            </w:pPr>
            <w:r w:rsidRPr="00A031DC">
              <w:rPr>
                <w:lang w:eastAsia="en-AU"/>
              </w:rPr>
              <w:t>Oil - production</w:t>
            </w:r>
          </w:p>
        </w:tc>
        <w:tc>
          <w:tcPr>
            <w:tcW w:w="2647" w:type="pct"/>
          </w:tcPr>
          <w:p w14:paraId="6CC69B2D" w14:textId="530B688A" w:rsidR="007B0F5C" w:rsidRPr="00A031DC" w:rsidRDefault="007B0F5C" w:rsidP="00537A1C">
            <w:pPr>
              <w:cnfStyle w:val="000000100000" w:firstRow="0" w:lastRow="0" w:firstColumn="0" w:lastColumn="0" w:oddVBand="0" w:evenVBand="0" w:oddHBand="1" w:evenHBand="0" w:firstRowFirstColumn="0" w:firstRowLastColumn="0" w:lastRowFirstColumn="0" w:lastRowLastColumn="0"/>
              <w:rPr>
                <w:lang w:eastAsia="en-AU"/>
              </w:rPr>
            </w:pPr>
            <w:r w:rsidRPr="00A031DC">
              <w:rPr>
                <w:lang w:eastAsia="en-AU"/>
              </w:rPr>
              <w:t>Crude oil and condensate production</w:t>
            </w:r>
          </w:p>
        </w:tc>
        <w:tc>
          <w:tcPr>
            <w:tcW w:w="1245" w:type="pct"/>
          </w:tcPr>
          <w:p w14:paraId="1A3BFEA4" w14:textId="64BBC376" w:rsidR="007B0F5C" w:rsidRPr="00A031DC" w:rsidRDefault="007B0F5C" w:rsidP="00537A1C">
            <w:pPr>
              <w:cnfStyle w:val="000000100000" w:firstRow="0" w:lastRow="0" w:firstColumn="0" w:lastColumn="0" w:oddVBand="0" w:evenVBand="0" w:oddHBand="1" w:evenHBand="0" w:firstRowFirstColumn="0" w:firstRowLastColumn="0" w:lastRowFirstColumn="0" w:lastRowLastColumn="0"/>
            </w:pPr>
            <w:r w:rsidRPr="00A031DC">
              <w:t xml:space="preserve">OCE </w:t>
            </w:r>
            <w:r w:rsidR="00736FF2" w:rsidRPr="00A031DC">
              <w:t>202</w:t>
            </w:r>
            <w:r w:rsidR="007E2A97">
              <w:t>1a; OCE 2021</w:t>
            </w:r>
            <w:r w:rsidR="00736FF2" w:rsidRPr="00A031DC">
              <w:t xml:space="preserve">b </w:t>
            </w:r>
          </w:p>
        </w:tc>
      </w:tr>
      <w:tr w:rsidR="007B0F5C" w:rsidRPr="00027FEA" w14:paraId="09CC24E4" w14:textId="77777777" w:rsidTr="002354AC">
        <w:trPr>
          <w:trHeight w:val="318"/>
        </w:trPr>
        <w:tc>
          <w:tcPr>
            <w:cnfStyle w:val="001000000000" w:firstRow="0" w:lastRow="0" w:firstColumn="1" w:lastColumn="0" w:oddVBand="0" w:evenVBand="0" w:oddHBand="0" w:evenHBand="0" w:firstRowFirstColumn="0" w:firstRowLastColumn="0" w:lastRowFirstColumn="0" w:lastRowLastColumn="0"/>
            <w:tcW w:w="1109" w:type="pct"/>
          </w:tcPr>
          <w:p w14:paraId="183380A2" w14:textId="31222156" w:rsidR="007B0F5C" w:rsidRPr="00A031DC" w:rsidRDefault="007B0F5C" w:rsidP="00537A1C">
            <w:pPr>
              <w:rPr>
                <w:lang w:eastAsia="en-AU"/>
              </w:rPr>
            </w:pPr>
            <w:r w:rsidRPr="00A031DC">
              <w:rPr>
                <w:lang w:eastAsia="en-AU"/>
              </w:rPr>
              <w:t>Oil - transport</w:t>
            </w:r>
          </w:p>
        </w:tc>
        <w:tc>
          <w:tcPr>
            <w:tcW w:w="2647" w:type="pct"/>
          </w:tcPr>
          <w:p w14:paraId="0ADA9455" w14:textId="4740D553" w:rsidR="007B0F5C" w:rsidRPr="00A031DC" w:rsidRDefault="007B0F5C" w:rsidP="00537A1C">
            <w:pPr>
              <w:cnfStyle w:val="000000000000" w:firstRow="0" w:lastRow="0" w:firstColumn="0" w:lastColumn="0" w:oddVBand="0" w:evenVBand="0" w:oddHBand="0" w:evenHBand="0" w:firstRowFirstColumn="0" w:firstRowLastColumn="0" w:lastRowFirstColumn="0" w:lastRowLastColumn="0"/>
              <w:rPr>
                <w:lang w:eastAsia="en-AU"/>
              </w:rPr>
            </w:pPr>
            <w:r w:rsidRPr="00A031DC">
              <w:rPr>
                <w:lang w:eastAsia="en-AU"/>
              </w:rPr>
              <w:t>Crude oil and condensate production</w:t>
            </w:r>
          </w:p>
        </w:tc>
        <w:tc>
          <w:tcPr>
            <w:tcW w:w="1245" w:type="pct"/>
          </w:tcPr>
          <w:p w14:paraId="7E792D4F" w14:textId="124661CF" w:rsidR="007B0F5C" w:rsidRPr="00A031DC" w:rsidRDefault="007B0F5C" w:rsidP="00537A1C">
            <w:pPr>
              <w:cnfStyle w:val="000000000000" w:firstRow="0" w:lastRow="0" w:firstColumn="0" w:lastColumn="0" w:oddVBand="0" w:evenVBand="0" w:oddHBand="0" w:evenHBand="0" w:firstRowFirstColumn="0" w:firstRowLastColumn="0" w:lastRowFirstColumn="0" w:lastRowLastColumn="0"/>
            </w:pPr>
            <w:r w:rsidRPr="00A031DC">
              <w:t xml:space="preserve">OCE </w:t>
            </w:r>
            <w:r w:rsidR="00736FF2" w:rsidRPr="00A031DC">
              <w:t>202</w:t>
            </w:r>
            <w:r w:rsidR="007E2A97">
              <w:t>1a; OCE 2021</w:t>
            </w:r>
            <w:r w:rsidR="00736FF2" w:rsidRPr="00A031DC">
              <w:t xml:space="preserve">b </w:t>
            </w:r>
          </w:p>
        </w:tc>
      </w:tr>
      <w:tr w:rsidR="007B0F5C" w:rsidRPr="00027FEA" w14:paraId="4B5997B3" w14:textId="3E880746" w:rsidTr="002354A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09" w:type="pct"/>
          </w:tcPr>
          <w:p w14:paraId="2968F89F" w14:textId="466B64CB" w:rsidR="007B0F5C" w:rsidRPr="00A031DC" w:rsidRDefault="007B0F5C" w:rsidP="00537A1C">
            <w:pPr>
              <w:rPr>
                <w:lang w:eastAsia="en-AU"/>
              </w:rPr>
            </w:pPr>
            <w:r w:rsidRPr="00A031DC">
              <w:rPr>
                <w:lang w:eastAsia="en-AU"/>
              </w:rPr>
              <w:t>Oil - exploration</w:t>
            </w:r>
          </w:p>
        </w:tc>
        <w:tc>
          <w:tcPr>
            <w:tcW w:w="2647" w:type="pct"/>
          </w:tcPr>
          <w:p w14:paraId="735CB9FA" w14:textId="21068D73" w:rsidR="007B0F5C" w:rsidRPr="00A031DC" w:rsidRDefault="007B0F5C" w:rsidP="00537A1C">
            <w:pPr>
              <w:cnfStyle w:val="000000100000" w:firstRow="0" w:lastRow="0" w:firstColumn="0" w:lastColumn="0" w:oddVBand="0" w:evenVBand="0" w:oddHBand="1" w:evenHBand="0" w:firstRowFirstColumn="0" w:firstRowLastColumn="0" w:lastRowFirstColumn="0" w:lastRowLastColumn="0"/>
              <w:rPr>
                <w:rFonts w:eastAsia="Times New Roman"/>
                <w:color w:val="000000"/>
                <w:szCs w:val="20"/>
                <w:lang w:eastAsia="en-AU"/>
              </w:rPr>
            </w:pPr>
            <w:r w:rsidRPr="00A031DC">
              <w:t>Historical 10-year average of emissions from oil exploration</w:t>
            </w:r>
          </w:p>
        </w:tc>
        <w:tc>
          <w:tcPr>
            <w:tcW w:w="1245" w:type="pct"/>
          </w:tcPr>
          <w:p w14:paraId="038BE8DE" w14:textId="5F01D2CC" w:rsidR="007B0F5C" w:rsidRPr="00A031DC" w:rsidRDefault="00B5648F" w:rsidP="00537A1C">
            <w:pPr>
              <w:cnfStyle w:val="000000100000" w:firstRow="0" w:lastRow="0" w:firstColumn="0" w:lastColumn="0" w:oddVBand="0" w:evenVBand="0" w:oddHBand="1" w:evenHBand="0" w:firstRowFirstColumn="0" w:firstRowLastColumn="0" w:lastRowFirstColumn="0" w:lastRowLastColumn="0"/>
              <w:rPr>
                <w:rFonts w:eastAsia="Times New Roman"/>
                <w:color w:val="000000"/>
                <w:szCs w:val="20"/>
                <w:lang w:eastAsia="en-AU"/>
              </w:rPr>
            </w:pPr>
            <w:r>
              <w:t>DISER 2021b</w:t>
            </w:r>
          </w:p>
        </w:tc>
      </w:tr>
      <w:tr w:rsidR="007B0F5C" w:rsidRPr="00027FEA" w14:paraId="0A534980" w14:textId="0DC920CB" w:rsidTr="002354AC">
        <w:trPr>
          <w:trHeight w:val="318"/>
        </w:trPr>
        <w:tc>
          <w:tcPr>
            <w:cnfStyle w:val="001000000000" w:firstRow="0" w:lastRow="0" w:firstColumn="1" w:lastColumn="0" w:oddVBand="0" w:evenVBand="0" w:oddHBand="0" w:evenHBand="0" w:firstRowFirstColumn="0" w:firstRowLastColumn="0" w:lastRowFirstColumn="0" w:lastRowLastColumn="0"/>
            <w:tcW w:w="1109" w:type="pct"/>
          </w:tcPr>
          <w:p w14:paraId="35F53433" w14:textId="10C757BA" w:rsidR="007B0F5C" w:rsidRPr="00A031DC" w:rsidRDefault="007B0F5C" w:rsidP="00537A1C">
            <w:pPr>
              <w:rPr>
                <w:lang w:eastAsia="en-AU"/>
              </w:rPr>
            </w:pPr>
            <w:r w:rsidRPr="00A031DC">
              <w:rPr>
                <w:lang w:eastAsia="en-AU"/>
              </w:rPr>
              <w:t>Oil - abandoned wells</w:t>
            </w:r>
          </w:p>
        </w:tc>
        <w:tc>
          <w:tcPr>
            <w:tcW w:w="2647" w:type="pct"/>
          </w:tcPr>
          <w:p w14:paraId="1AE0515C" w14:textId="6E2A5D06" w:rsidR="007B0F5C" w:rsidRPr="00A031DC" w:rsidRDefault="007B0F5C" w:rsidP="00537A1C">
            <w:pPr>
              <w:cnfStyle w:val="000000000000" w:firstRow="0" w:lastRow="0" w:firstColumn="0" w:lastColumn="0" w:oddVBand="0" w:evenVBand="0" w:oddHBand="0" w:evenHBand="0" w:firstRowFirstColumn="0" w:firstRowLastColumn="0" w:lastRowFirstColumn="0" w:lastRowLastColumn="0"/>
            </w:pPr>
            <w:r w:rsidRPr="00A031DC">
              <w:rPr>
                <w:lang w:eastAsia="en-AU"/>
              </w:rPr>
              <w:t>3</w:t>
            </w:r>
            <w:r w:rsidR="00596E05">
              <w:rPr>
                <w:lang w:eastAsia="en-AU"/>
              </w:rPr>
              <w:t>%</w:t>
            </w:r>
            <w:r w:rsidRPr="00A031DC">
              <w:rPr>
                <w:lang w:eastAsia="en-AU"/>
              </w:rPr>
              <w:t xml:space="preserve"> growth in emission derived from historical growth in emissions</w:t>
            </w:r>
          </w:p>
        </w:tc>
        <w:tc>
          <w:tcPr>
            <w:tcW w:w="1245" w:type="pct"/>
          </w:tcPr>
          <w:p w14:paraId="77FBD480" w14:textId="00DFE55F" w:rsidR="007B0F5C" w:rsidRPr="00A031DC" w:rsidRDefault="00B5648F" w:rsidP="00537A1C">
            <w:pPr>
              <w:cnfStyle w:val="000000000000" w:firstRow="0" w:lastRow="0" w:firstColumn="0" w:lastColumn="0" w:oddVBand="0" w:evenVBand="0" w:oddHBand="0" w:evenHBand="0" w:firstRowFirstColumn="0" w:firstRowLastColumn="0" w:lastRowFirstColumn="0" w:lastRowLastColumn="0"/>
              <w:rPr>
                <w:rFonts w:eastAsia="Times New Roman"/>
                <w:szCs w:val="20"/>
                <w:lang w:eastAsia="en-AU"/>
              </w:rPr>
            </w:pPr>
            <w:r>
              <w:t>DISER 2021b</w:t>
            </w:r>
          </w:p>
        </w:tc>
      </w:tr>
      <w:tr w:rsidR="007B0F5C" w:rsidRPr="00027FEA" w14:paraId="3F1B5F5D" w14:textId="4C26390A" w:rsidTr="002354A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09" w:type="pct"/>
          </w:tcPr>
          <w:p w14:paraId="56EA7750" w14:textId="1CC634C7" w:rsidR="007B0F5C" w:rsidRPr="00A031DC" w:rsidRDefault="007B0F5C" w:rsidP="00537A1C">
            <w:pPr>
              <w:rPr>
                <w:lang w:eastAsia="en-AU"/>
              </w:rPr>
            </w:pPr>
            <w:r w:rsidRPr="00A031DC">
              <w:rPr>
                <w:lang w:eastAsia="en-AU"/>
              </w:rPr>
              <w:t>Oil refinery</w:t>
            </w:r>
          </w:p>
        </w:tc>
        <w:tc>
          <w:tcPr>
            <w:tcW w:w="2647" w:type="pct"/>
          </w:tcPr>
          <w:p w14:paraId="7BF00A55" w14:textId="7AE3741B" w:rsidR="007B0F5C" w:rsidRPr="00A031DC" w:rsidRDefault="007B0F5C" w:rsidP="00537A1C">
            <w:pPr>
              <w:cnfStyle w:val="000000100000" w:firstRow="0" w:lastRow="0" w:firstColumn="0" w:lastColumn="0" w:oddVBand="0" w:evenVBand="0" w:oddHBand="1" w:evenHBand="0" w:firstRowFirstColumn="0" w:firstRowLastColumn="0" w:lastRowFirstColumn="0" w:lastRowLastColumn="0"/>
            </w:pPr>
            <w:r w:rsidRPr="00A031DC">
              <w:rPr>
                <w:lang w:eastAsia="en-AU"/>
              </w:rPr>
              <w:t>Refinery output</w:t>
            </w:r>
          </w:p>
        </w:tc>
        <w:tc>
          <w:tcPr>
            <w:tcW w:w="1245" w:type="pct"/>
          </w:tcPr>
          <w:p w14:paraId="71671BCE" w14:textId="286F1740" w:rsidR="007B0F5C" w:rsidRPr="00A031DC" w:rsidRDefault="007B0F5C" w:rsidP="007E2A97">
            <w:pPr>
              <w:cnfStyle w:val="000000100000" w:firstRow="0" w:lastRow="0" w:firstColumn="0" w:lastColumn="0" w:oddVBand="0" w:evenVBand="0" w:oddHBand="1" w:evenHBand="0" w:firstRowFirstColumn="0" w:firstRowLastColumn="0" w:lastRowFirstColumn="0" w:lastRowLastColumn="0"/>
            </w:pPr>
            <w:r w:rsidRPr="00A031DC">
              <w:t xml:space="preserve">OCE </w:t>
            </w:r>
            <w:r w:rsidR="00736FF2" w:rsidRPr="00A031DC">
              <w:t>202</w:t>
            </w:r>
            <w:r w:rsidR="007E2A97">
              <w:t>1a; OCE 2021b</w:t>
            </w:r>
          </w:p>
        </w:tc>
      </w:tr>
      <w:tr w:rsidR="007B0F5C" w:rsidRPr="00027FEA" w14:paraId="2ABCBC9A" w14:textId="7549D00E" w:rsidTr="002354AC">
        <w:trPr>
          <w:trHeight w:val="318"/>
        </w:trPr>
        <w:tc>
          <w:tcPr>
            <w:cnfStyle w:val="001000000000" w:firstRow="0" w:lastRow="0" w:firstColumn="1" w:lastColumn="0" w:oddVBand="0" w:evenVBand="0" w:oddHBand="0" w:evenHBand="0" w:firstRowFirstColumn="0" w:firstRowLastColumn="0" w:lastRowFirstColumn="0" w:lastRowLastColumn="0"/>
            <w:tcW w:w="1109" w:type="pct"/>
          </w:tcPr>
          <w:p w14:paraId="7B18A05C" w14:textId="36FC5E96" w:rsidR="007B0F5C" w:rsidRPr="00A031DC" w:rsidRDefault="007B0F5C" w:rsidP="00537A1C">
            <w:pPr>
              <w:rPr>
                <w:lang w:eastAsia="en-AU"/>
              </w:rPr>
            </w:pPr>
            <w:r w:rsidRPr="00A031DC">
              <w:rPr>
                <w:lang w:eastAsia="en-AU"/>
              </w:rPr>
              <w:t>Oil - flaring</w:t>
            </w:r>
          </w:p>
        </w:tc>
        <w:tc>
          <w:tcPr>
            <w:tcW w:w="2647" w:type="pct"/>
          </w:tcPr>
          <w:p w14:paraId="7ACCEB92" w14:textId="0AC5679A" w:rsidR="007B0F5C" w:rsidRPr="00A031DC" w:rsidRDefault="007B0F5C" w:rsidP="00537A1C">
            <w:pPr>
              <w:cnfStyle w:val="000000000000" w:firstRow="0" w:lastRow="0" w:firstColumn="0" w:lastColumn="0" w:oddVBand="0" w:evenVBand="0" w:oddHBand="0" w:evenHBand="0" w:firstRowFirstColumn="0" w:firstRowLastColumn="0" w:lastRowFirstColumn="0" w:lastRowLastColumn="0"/>
            </w:pPr>
            <w:r w:rsidRPr="00A031DC">
              <w:rPr>
                <w:lang w:eastAsia="en-AU"/>
              </w:rPr>
              <w:t>Crude oil and condensate production</w:t>
            </w:r>
          </w:p>
        </w:tc>
        <w:tc>
          <w:tcPr>
            <w:tcW w:w="1245" w:type="pct"/>
          </w:tcPr>
          <w:p w14:paraId="2BBF8E2A" w14:textId="48DBAC65" w:rsidR="007B0F5C" w:rsidRPr="00A031DC" w:rsidRDefault="007B0F5C" w:rsidP="007E2A97">
            <w:pPr>
              <w:cnfStyle w:val="000000000000" w:firstRow="0" w:lastRow="0" w:firstColumn="0" w:lastColumn="0" w:oddVBand="0" w:evenVBand="0" w:oddHBand="0" w:evenHBand="0" w:firstRowFirstColumn="0" w:firstRowLastColumn="0" w:lastRowFirstColumn="0" w:lastRowLastColumn="0"/>
              <w:rPr>
                <w:rFonts w:eastAsia="Times New Roman"/>
                <w:szCs w:val="20"/>
                <w:lang w:eastAsia="en-AU"/>
              </w:rPr>
            </w:pPr>
            <w:r w:rsidRPr="00A031DC">
              <w:t xml:space="preserve">OCE </w:t>
            </w:r>
            <w:r w:rsidR="00736FF2" w:rsidRPr="00A031DC">
              <w:t>202</w:t>
            </w:r>
            <w:r w:rsidR="007E2A97">
              <w:t>1a; OCE 2021b</w:t>
            </w:r>
            <w:r w:rsidR="00736FF2" w:rsidRPr="00A031DC">
              <w:t xml:space="preserve"> </w:t>
            </w:r>
          </w:p>
        </w:tc>
      </w:tr>
    </w:tbl>
    <w:p w14:paraId="57613760" w14:textId="6A3FABC8" w:rsidR="00270C04" w:rsidRPr="00A031DC" w:rsidRDefault="003F5CC6" w:rsidP="00537A1C">
      <w:r w:rsidRPr="00A031DC">
        <w:br/>
      </w:r>
      <w:r w:rsidR="009064FF" w:rsidRPr="00A031DC">
        <w:t>Oil exploration</w:t>
      </w:r>
      <w:r w:rsidR="007B0F5C" w:rsidRPr="00A031DC">
        <w:t xml:space="preserve"> and abandoned wells fugitives</w:t>
      </w:r>
      <w:r w:rsidR="009064FF" w:rsidRPr="00A031DC">
        <w:t xml:space="preserve"> emissions are small </w:t>
      </w:r>
      <w:r w:rsidR="005D0811" w:rsidRPr="00A031DC">
        <w:t>(0.0</w:t>
      </w:r>
      <w:r w:rsidR="007B0F5C" w:rsidRPr="00A031DC">
        <w:t>02</w:t>
      </w:r>
      <w:r w:rsidR="00C35556" w:rsidRPr="00A031DC">
        <w:t xml:space="preserve"> </w:t>
      </w:r>
      <w:r w:rsidR="005D0811" w:rsidRPr="00A031DC">
        <w:t>Mt CO</w:t>
      </w:r>
      <w:r w:rsidR="0099567A" w:rsidRPr="00042BDA">
        <w:t>₂</w:t>
      </w:r>
      <w:r w:rsidR="005D0811" w:rsidRPr="00A031DC">
        <w:t>-e</w:t>
      </w:r>
      <w:r w:rsidR="007B0F5C" w:rsidRPr="00A031DC">
        <w:t xml:space="preserve"> in total</w:t>
      </w:r>
      <w:r w:rsidR="005D0811" w:rsidRPr="00A031DC">
        <w:t xml:space="preserve">) </w:t>
      </w:r>
      <w:r w:rsidR="009064FF" w:rsidRPr="00A031DC">
        <w:t>and volatile from year-to-year</w:t>
      </w:r>
      <w:r w:rsidR="005D0811" w:rsidRPr="00A031DC">
        <w:t xml:space="preserve">. </w:t>
      </w:r>
      <w:r w:rsidR="002B67C5" w:rsidRPr="00A031DC">
        <w:t>H</w:t>
      </w:r>
      <w:r w:rsidR="009064FF" w:rsidRPr="00A031DC">
        <w:t>istorical emission</w:t>
      </w:r>
      <w:r w:rsidR="00C2368F" w:rsidRPr="00A031DC">
        <w:t>s</w:t>
      </w:r>
      <w:r w:rsidR="009064FF" w:rsidRPr="00A031DC">
        <w:t xml:space="preserve"> levels ha</w:t>
      </w:r>
      <w:r w:rsidR="00D7185D" w:rsidRPr="00A031DC">
        <w:t>ve</w:t>
      </w:r>
      <w:r w:rsidR="009064FF" w:rsidRPr="00A031DC">
        <w:t xml:space="preserve"> been used to project</w:t>
      </w:r>
      <w:r w:rsidR="005D0811" w:rsidRPr="00A031DC">
        <w:t xml:space="preserve"> future</w:t>
      </w:r>
      <w:r w:rsidR="009064FF" w:rsidRPr="00A031DC">
        <w:t xml:space="preserve"> emissions from this source</w:t>
      </w:r>
      <w:r w:rsidR="002B67C5" w:rsidRPr="00A031DC">
        <w:t>,</w:t>
      </w:r>
      <w:r w:rsidR="004E1FDD" w:rsidRPr="00A031DC">
        <w:t xml:space="preserve"> in lieu of a more appropriate proxy indicator</w:t>
      </w:r>
      <w:r w:rsidR="009064FF" w:rsidRPr="00A031DC">
        <w:t>.</w:t>
      </w:r>
    </w:p>
    <w:p w14:paraId="5A14840B" w14:textId="6601127F" w:rsidR="00270C04" w:rsidRPr="008A2D35" w:rsidRDefault="00831C61" w:rsidP="00537A1C">
      <w:pPr>
        <w:pStyle w:val="Heading3"/>
      </w:pPr>
      <w:r w:rsidRPr="008A2D35">
        <w:t xml:space="preserve">Fugitive emissions from </w:t>
      </w:r>
      <w:r w:rsidR="00270C04" w:rsidRPr="008A2D35">
        <w:t>LNG</w:t>
      </w:r>
      <w:r w:rsidR="004D09A7">
        <w:t xml:space="preserve"> facilities</w:t>
      </w:r>
    </w:p>
    <w:p w14:paraId="1801598B" w14:textId="541C8C19" w:rsidR="000A6AC6" w:rsidRPr="0026611D" w:rsidRDefault="000A6AC6" w:rsidP="00537A1C">
      <w:pPr>
        <w:pStyle w:val="Heading4"/>
      </w:pPr>
      <w:r w:rsidRPr="0026611D">
        <w:t>Modelling approach</w:t>
      </w:r>
    </w:p>
    <w:p w14:paraId="6551953B" w14:textId="27AE1A8F" w:rsidR="00270C04" w:rsidRPr="00A031DC" w:rsidRDefault="00B370EE" w:rsidP="00537A1C">
      <w:r w:rsidRPr="00A031DC">
        <w:t>T</w:t>
      </w:r>
      <w:r w:rsidR="006A7654">
        <w:t>he department</w:t>
      </w:r>
      <w:r w:rsidRPr="00A031DC">
        <w:t xml:space="preserve"> maintains a </w:t>
      </w:r>
      <w:r w:rsidR="00873D38" w:rsidRPr="00A031DC">
        <w:t>facility-by-facility</w:t>
      </w:r>
      <w:r w:rsidRPr="00A031DC">
        <w:t xml:space="preserve"> model of fugitive emissions from LNG. </w:t>
      </w:r>
      <w:r w:rsidR="001E216B">
        <w:t xml:space="preserve">Factors influencing the emissions from a LNG facility are </w:t>
      </w:r>
      <w:r w:rsidRPr="00A031DC">
        <w:t>the operation of the plant, the</w:t>
      </w:r>
      <w:r w:rsidR="00873D38" w:rsidRPr="00A031DC">
        <w:t xml:space="preserve"> carbon dioxide concentration and source</w:t>
      </w:r>
      <w:r w:rsidRPr="00A031DC">
        <w:t xml:space="preserve"> of</w:t>
      </w:r>
      <w:r w:rsidR="00873D38" w:rsidRPr="00A031DC">
        <w:t xml:space="preserve"> the</w:t>
      </w:r>
      <w:r w:rsidRPr="00A031DC">
        <w:t xml:space="preserve"> </w:t>
      </w:r>
      <w:r w:rsidR="008A2D35" w:rsidRPr="00A031DC">
        <w:t>feed</w:t>
      </w:r>
      <w:r w:rsidR="00873D38" w:rsidRPr="00A031DC">
        <w:t xml:space="preserve"> gas</w:t>
      </w:r>
      <w:r w:rsidRPr="00A031DC">
        <w:t xml:space="preserve">, abatement actions and </w:t>
      </w:r>
      <w:r w:rsidR="00873D38" w:rsidRPr="00A031DC">
        <w:t xml:space="preserve">annual </w:t>
      </w:r>
      <w:r w:rsidRPr="00A031DC">
        <w:t>production.</w:t>
      </w:r>
    </w:p>
    <w:p w14:paraId="18E4BC4C" w14:textId="753617ED" w:rsidR="00873D38" w:rsidRPr="00A031DC" w:rsidRDefault="00873D38" w:rsidP="00537A1C">
      <w:pPr>
        <w:rPr>
          <w:vertAlign w:val="superscript"/>
        </w:rPr>
      </w:pPr>
      <w:r w:rsidRPr="00A031DC">
        <w:t>E</w:t>
      </w:r>
      <w:r w:rsidRPr="00A031DC">
        <w:rPr>
          <w:vertAlign w:val="subscript"/>
        </w:rPr>
        <w:t>t</w:t>
      </w:r>
      <w:r w:rsidRPr="00A031DC">
        <w:t xml:space="preserve"> = ∑ </w:t>
      </w:r>
      <w:r w:rsidR="00651598" w:rsidRPr="00A031DC">
        <w:t>(</w:t>
      </w:r>
      <w:r w:rsidRPr="00A031DC">
        <w:t>P</w:t>
      </w:r>
      <w:r w:rsidRPr="00A031DC">
        <w:rPr>
          <w:vertAlign w:val="subscript"/>
        </w:rPr>
        <w:t xml:space="preserve">ti </w:t>
      </w:r>
      <w:r w:rsidRPr="00A031DC">
        <w:t>.</w:t>
      </w:r>
      <w:r w:rsidRPr="00A031DC">
        <w:rPr>
          <w:vertAlign w:val="subscript"/>
        </w:rPr>
        <w:t xml:space="preserve"> </w:t>
      </w:r>
      <w:r w:rsidRPr="00A031DC">
        <w:t>(E</w:t>
      </w:r>
      <w:r w:rsidR="00B20170" w:rsidRPr="00A031DC">
        <w:t>I</w:t>
      </w:r>
      <w:r w:rsidRPr="00A031DC">
        <w:rPr>
          <w:vertAlign w:val="subscript"/>
        </w:rPr>
        <w:t>vi</w:t>
      </w:r>
      <w:r w:rsidRPr="00A031DC">
        <w:t xml:space="preserve"> + E</w:t>
      </w:r>
      <w:r w:rsidR="00B20170" w:rsidRPr="00A031DC">
        <w:t>I</w:t>
      </w:r>
      <w:r w:rsidRPr="00A031DC">
        <w:rPr>
          <w:vertAlign w:val="subscript"/>
        </w:rPr>
        <w:t>fi</w:t>
      </w:r>
      <w:r w:rsidRPr="00A031DC">
        <w:t xml:space="preserve"> + E</w:t>
      </w:r>
      <w:r w:rsidR="00B20170" w:rsidRPr="00A031DC">
        <w:t>I</w:t>
      </w:r>
      <w:r w:rsidRPr="00A031DC">
        <w:rPr>
          <w:vertAlign w:val="subscript"/>
        </w:rPr>
        <w:t>oi</w:t>
      </w:r>
      <w:r w:rsidRPr="00A031DC">
        <w:t>)</w:t>
      </w:r>
      <w:r w:rsidR="00651598" w:rsidRPr="00A031DC">
        <w:t>)</w:t>
      </w:r>
      <w:r w:rsidRPr="00A031DC">
        <w:t xml:space="preserve"> - CCS</w:t>
      </w:r>
      <w:r w:rsidRPr="00A031DC">
        <w:rPr>
          <w:vertAlign w:val="subscript"/>
        </w:rPr>
        <w:t>ti</w:t>
      </w:r>
    </w:p>
    <w:p w14:paraId="1A1862A3" w14:textId="036D224B" w:rsidR="00873D38" w:rsidRPr="00A031DC" w:rsidRDefault="00873D38" w:rsidP="008B772B">
      <w:pPr>
        <w:pStyle w:val="Calculations"/>
      </w:pPr>
      <w:r w:rsidRPr="00A031DC">
        <w:t xml:space="preserve">Where: </w:t>
      </w:r>
      <w:r w:rsidRPr="00A031DC">
        <w:br/>
        <w:t>E</w:t>
      </w:r>
      <w:r w:rsidRPr="00A031DC">
        <w:rPr>
          <w:vertAlign w:val="subscript"/>
        </w:rPr>
        <w:t>t</w:t>
      </w:r>
      <w:r w:rsidRPr="00A031DC">
        <w:t xml:space="preserve"> = LNG fugitive emissions in year t (</w:t>
      </w:r>
      <w:r w:rsidR="00651598" w:rsidRPr="00A031DC">
        <w:t>M</w:t>
      </w:r>
      <w:r w:rsidRPr="00A031DC">
        <w:t>t CO</w:t>
      </w:r>
      <w:r w:rsidR="0099567A" w:rsidRPr="00042BDA">
        <w:t>₂</w:t>
      </w:r>
      <w:r w:rsidRPr="00A031DC">
        <w:t>-e</w:t>
      </w:r>
      <w:r w:rsidR="00223613" w:rsidRPr="00A031DC">
        <w:t xml:space="preserve">) </w:t>
      </w:r>
      <w:r w:rsidRPr="00A031DC">
        <w:br/>
        <w:t>P</w:t>
      </w:r>
      <w:r w:rsidRPr="00A031DC">
        <w:rPr>
          <w:vertAlign w:val="subscript"/>
        </w:rPr>
        <w:t>ti</w:t>
      </w:r>
      <w:r w:rsidRPr="00A031DC">
        <w:t xml:space="preserve"> = production </w:t>
      </w:r>
      <w:r w:rsidRPr="00A031DC">
        <w:rPr>
          <w:rStyle w:val="CalculationsChar"/>
        </w:rPr>
        <w:t>at facility i in year t (Mt LNG</w:t>
      </w:r>
      <w:r w:rsidR="00223613" w:rsidRPr="00A031DC">
        <w:rPr>
          <w:rStyle w:val="CalculationsChar"/>
        </w:rPr>
        <w:t xml:space="preserve">) </w:t>
      </w:r>
      <w:r w:rsidRPr="00A031DC">
        <w:rPr>
          <w:rStyle w:val="CalculationsChar"/>
        </w:rPr>
        <w:br/>
      </w:r>
      <w:r w:rsidR="00B20170" w:rsidRPr="00A031DC">
        <w:rPr>
          <w:rStyle w:val="CalculationsChar"/>
        </w:rPr>
        <w:lastRenderedPageBreak/>
        <w:t>EIvi</w:t>
      </w:r>
      <w:r w:rsidRPr="00A031DC">
        <w:rPr>
          <w:rStyle w:val="CalculationsChar"/>
        </w:rPr>
        <w:t xml:space="preserve"> = </w:t>
      </w:r>
      <w:r w:rsidR="00B20170" w:rsidRPr="00A031DC">
        <w:rPr>
          <w:rStyle w:val="CalculationsChar"/>
        </w:rPr>
        <w:t>venting emissions intensity at facility i (</w:t>
      </w:r>
      <w:r w:rsidR="00651598" w:rsidRPr="00A031DC">
        <w:rPr>
          <w:rStyle w:val="CalculationsChar"/>
        </w:rPr>
        <w:t>M</w:t>
      </w:r>
      <w:r w:rsidR="00B20170" w:rsidRPr="00A031DC">
        <w:rPr>
          <w:rStyle w:val="CalculationsChar"/>
        </w:rPr>
        <w:t>t CO</w:t>
      </w:r>
      <w:r w:rsidR="0099567A" w:rsidRPr="000F53BC">
        <w:rPr>
          <w:i w:val="0"/>
        </w:rPr>
        <w:t>₂</w:t>
      </w:r>
      <w:r w:rsidR="00B20170" w:rsidRPr="00A031DC">
        <w:rPr>
          <w:rStyle w:val="CalculationsChar"/>
        </w:rPr>
        <w:t>-e/Mt LNG</w:t>
      </w:r>
      <w:r w:rsidR="00223613" w:rsidRPr="00A031DC">
        <w:rPr>
          <w:rStyle w:val="CalculationsChar"/>
        </w:rPr>
        <w:t xml:space="preserve">) </w:t>
      </w:r>
      <w:r w:rsidR="00B20170" w:rsidRPr="00A031DC">
        <w:rPr>
          <w:rStyle w:val="CalculationsChar"/>
        </w:rPr>
        <w:br/>
        <w:t>EIfi = flaring emissions intensity at</w:t>
      </w:r>
      <w:r w:rsidR="00B20170" w:rsidRPr="00A031DC">
        <w:t xml:space="preserve"> facility i (</w:t>
      </w:r>
      <w:r w:rsidR="00651598" w:rsidRPr="00A031DC">
        <w:t>M</w:t>
      </w:r>
      <w:r w:rsidR="00B20170" w:rsidRPr="00A031DC">
        <w:t>t CO</w:t>
      </w:r>
      <w:r w:rsidR="0099567A" w:rsidRPr="00042BDA">
        <w:t>₂</w:t>
      </w:r>
      <w:r w:rsidR="00B20170" w:rsidRPr="00A031DC">
        <w:t>-e/Mt LNG</w:t>
      </w:r>
      <w:r w:rsidR="00223613" w:rsidRPr="00A031DC">
        <w:t xml:space="preserve">) </w:t>
      </w:r>
      <w:r w:rsidR="00B20170" w:rsidRPr="00A031DC">
        <w:br/>
        <w:t>EI</w:t>
      </w:r>
      <w:r w:rsidR="00B20170" w:rsidRPr="00A031DC">
        <w:rPr>
          <w:vertAlign w:val="subscript"/>
        </w:rPr>
        <w:t xml:space="preserve">oi </w:t>
      </w:r>
      <w:r w:rsidR="00B20170" w:rsidRPr="00A031DC">
        <w:t>= other leaks emissions intensity at facility i (</w:t>
      </w:r>
      <w:r w:rsidR="00651598" w:rsidRPr="00A031DC">
        <w:t>M</w:t>
      </w:r>
      <w:r w:rsidR="00B20170" w:rsidRPr="00A031DC">
        <w:t>t CO</w:t>
      </w:r>
      <w:r w:rsidR="0099567A" w:rsidRPr="00042BDA">
        <w:t>₂</w:t>
      </w:r>
      <w:r w:rsidR="00B20170" w:rsidRPr="00A031DC">
        <w:t>-e/Mt LNG</w:t>
      </w:r>
      <w:r w:rsidR="00223613" w:rsidRPr="00A031DC">
        <w:t xml:space="preserve">) </w:t>
      </w:r>
      <w:r w:rsidR="00B20170" w:rsidRPr="00A031DC">
        <w:br/>
        <w:t>CCS</w:t>
      </w:r>
      <w:r w:rsidR="00B20170" w:rsidRPr="00A031DC">
        <w:rPr>
          <w:vertAlign w:val="subscript"/>
        </w:rPr>
        <w:t xml:space="preserve">ti </w:t>
      </w:r>
      <w:r w:rsidR="00B20170" w:rsidRPr="00A031DC">
        <w:t>= CO</w:t>
      </w:r>
      <w:r w:rsidR="00DC5D1C" w:rsidRPr="00907A9F">
        <w:rPr>
          <w:i w:val="0"/>
        </w:rPr>
        <w:t>₂</w:t>
      </w:r>
      <w:r w:rsidR="00B20170" w:rsidRPr="00A031DC">
        <w:t xml:space="preserve"> captured and stored at facility i in year t (</w:t>
      </w:r>
      <w:r w:rsidR="00651598" w:rsidRPr="00A031DC">
        <w:t>M</w:t>
      </w:r>
      <w:r w:rsidR="00B20170" w:rsidRPr="00A031DC">
        <w:t>t CO</w:t>
      </w:r>
      <w:r w:rsidR="0099567A" w:rsidRPr="00042BDA">
        <w:t>₂</w:t>
      </w:r>
      <w:r w:rsidR="00B20170" w:rsidRPr="00A031DC">
        <w:t>)</w:t>
      </w:r>
    </w:p>
    <w:p w14:paraId="230E1442" w14:textId="5E9552A0" w:rsidR="000A6AC6" w:rsidRPr="00A031DC" w:rsidRDefault="000A6AC6" w:rsidP="00537A1C">
      <w:r w:rsidRPr="00A031DC">
        <w:t>Emissions intensities for venting, flaring and other fugitive leaks at operating facilities are based on NGER data. For new</w:t>
      </w:r>
      <w:r w:rsidR="00AA5532" w:rsidRPr="00A031DC">
        <w:t>er</w:t>
      </w:r>
      <w:r w:rsidRPr="00A031DC">
        <w:t xml:space="preserve"> facilities</w:t>
      </w:r>
      <w:r w:rsidR="00AA5532" w:rsidRPr="00A031DC">
        <w:t xml:space="preserve"> or new feed gas sources,</w:t>
      </w:r>
      <w:r w:rsidRPr="00A031DC">
        <w:t xml:space="preserve"> emissions intensities are sourced from Environmental Impact Statements or other sources</w:t>
      </w:r>
      <w:r w:rsidR="00AA5532" w:rsidRPr="00A031DC">
        <w:t xml:space="preserve"> where available</w:t>
      </w:r>
      <w:r w:rsidRPr="00A031DC">
        <w:t xml:space="preserve">. </w:t>
      </w:r>
    </w:p>
    <w:p w14:paraId="66377585" w14:textId="0D1A265C" w:rsidR="000A6AC6" w:rsidRDefault="000A6AC6" w:rsidP="00537A1C">
      <w:pPr>
        <w:pStyle w:val="Heading4"/>
      </w:pPr>
      <w:r>
        <w:t>Activity data</w:t>
      </w:r>
    </w:p>
    <w:p w14:paraId="7B96B86E" w14:textId="6379881D" w:rsidR="00B370EE" w:rsidRPr="00A031DC" w:rsidRDefault="001E216B" w:rsidP="00537A1C">
      <w:r>
        <w:t xml:space="preserve">LNG </w:t>
      </w:r>
      <w:r w:rsidR="00B370EE" w:rsidRPr="00A031DC">
        <w:t xml:space="preserve">Production projections </w:t>
      </w:r>
      <w:r w:rsidR="005D0811" w:rsidRPr="00A031DC">
        <w:t>f</w:t>
      </w:r>
      <w:r>
        <w:t>or</w:t>
      </w:r>
      <w:r w:rsidR="005D0811" w:rsidRPr="00A031DC">
        <w:t xml:space="preserve"> each facility </w:t>
      </w:r>
      <w:r w:rsidR="00B370EE" w:rsidRPr="00A031DC">
        <w:t>are informed by</w:t>
      </w:r>
      <w:r w:rsidR="008A2D35" w:rsidRPr="00A031DC">
        <w:t xml:space="preserve"> estimates from the</w:t>
      </w:r>
      <w:r w:rsidR="00B370EE" w:rsidRPr="00A031DC">
        <w:t xml:space="preserve"> </w:t>
      </w:r>
      <w:r w:rsidR="009E75DB" w:rsidRPr="00A031DC">
        <w:t>OCE</w:t>
      </w:r>
      <w:r w:rsidR="00CE74AC" w:rsidRPr="00A031DC">
        <w:t xml:space="preserve"> (OCE </w:t>
      </w:r>
      <w:r w:rsidR="00A2447C" w:rsidRPr="00A031DC">
        <w:t>202</w:t>
      </w:r>
      <w:r w:rsidR="007E2A97">
        <w:t>1</w:t>
      </w:r>
      <w:r w:rsidR="00F47A08">
        <w:t>a</w:t>
      </w:r>
      <w:r w:rsidR="008F7582">
        <w:t>;</w:t>
      </w:r>
      <w:r w:rsidR="00F47A08">
        <w:t xml:space="preserve"> OCE 2021b</w:t>
      </w:r>
      <w:r w:rsidR="007E2A97">
        <w:t>a</w:t>
      </w:r>
      <w:r w:rsidR="0004701A" w:rsidRPr="00A031DC">
        <w:t>)</w:t>
      </w:r>
      <w:r w:rsidR="00B370EE" w:rsidRPr="00A031DC">
        <w:t>, AME Group</w:t>
      </w:r>
      <w:r w:rsidR="004B1FC1" w:rsidRPr="00A031DC">
        <w:t>, Wood Mackenzie</w:t>
      </w:r>
      <w:r>
        <w:t xml:space="preserve"> and</w:t>
      </w:r>
      <w:r w:rsidR="00AA5532" w:rsidRPr="00A031DC">
        <w:t xml:space="preserve"> Bloomberg New Energy Finance</w:t>
      </w:r>
      <w:r w:rsidR="00B370EE" w:rsidRPr="00A031DC">
        <w:t xml:space="preserve">. </w:t>
      </w:r>
      <w:r w:rsidR="00873D38" w:rsidRPr="00A031DC">
        <w:t>The</w:t>
      </w:r>
      <w:r w:rsidR="008A2D35" w:rsidRPr="00A031DC">
        <w:t xml:space="preserve"> projections </w:t>
      </w:r>
      <w:r w:rsidR="00651598" w:rsidRPr="00A031DC">
        <w:t>consider</w:t>
      </w:r>
      <w:r w:rsidR="008A2D35" w:rsidRPr="00A031DC">
        <w:t xml:space="preserve"> committed </w:t>
      </w:r>
      <w:r w:rsidR="005D0811" w:rsidRPr="00A031DC">
        <w:t>and</w:t>
      </w:r>
      <w:r w:rsidR="008A2D35" w:rsidRPr="00A031DC">
        <w:t xml:space="preserve"> prospective additions </w:t>
      </w:r>
      <w:r w:rsidR="00651598" w:rsidRPr="00A031DC">
        <w:t>and</w:t>
      </w:r>
      <w:r w:rsidR="008A2D35" w:rsidRPr="00A031DC">
        <w:t xml:space="preserve"> removals </w:t>
      </w:r>
      <w:r w:rsidR="00873D38" w:rsidRPr="00A031DC">
        <w:t>in</w:t>
      </w:r>
      <w:r w:rsidR="008A2D35" w:rsidRPr="00A031DC">
        <w:t xml:space="preserve"> capacity</w:t>
      </w:r>
      <w:r w:rsidR="00651598" w:rsidRPr="00A031DC">
        <w:t xml:space="preserve"> given the global outlook for LNG</w:t>
      </w:r>
      <w:r w:rsidR="008A2D35" w:rsidRPr="00A031DC">
        <w:t>.</w:t>
      </w:r>
    </w:p>
    <w:p w14:paraId="39193361" w14:textId="7F914E5D" w:rsidR="00270C04" w:rsidRPr="00660094" w:rsidRDefault="0003744B" w:rsidP="008F7582">
      <w:pPr>
        <w:pStyle w:val="Heading3"/>
      </w:pPr>
      <w:r w:rsidRPr="008F7582">
        <w:t>F</w:t>
      </w:r>
      <w:r w:rsidR="00397F4F" w:rsidRPr="00660094">
        <w:t>ugitive emissions from</w:t>
      </w:r>
      <w:r w:rsidRPr="00660094">
        <w:t xml:space="preserve"> domestic natural</w:t>
      </w:r>
      <w:r w:rsidR="00397F4F" w:rsidRPr="00660094">
        <w:t xml:space="preserve"> gas</w:t>
      </w:r>
    </w:p>
    <w:p w14:paraId="19B09AF2" w14:textId="0478494A" w:rsidR="00E50CB8" w:rsidRPr="00A031DC" w:rsidRDefault="00E50CB8" w:rsidP="00537A1C">
      <w:r w:rsidRPr="00A031DC">
        <w:t xml:space="preserve">Domestic natural gas is natural gas consumed in Australia. It is distinguished from LNG, which is predominantly produced for export. The small amount of LNG produced for domestic consumption is treated as domestic gas in the projections. </w:t>
      </w:r>
    </w:p>
    <w:p w14:paraId="7A0C910B" w14:textId="0274758E" w:rsidR="005D0811" w:rsidRPr="00A031DC" w:rsidRDefault="00E50CB8" w:rsidP="00537A1C">
      <w:r w:rsidRPr="00A031DC">
        <w:t>The sources of f</w:t>
      </w:r>
      <w:r w:rsidR="00831C61" w:rsidRPr="00A031DC">
        <w:t xml:space="preserve">ugitive emissions from </w:t>
      </w:r>
      <w:r w:rsidR="009B127C" w:rsidRPr="00A031DC">
        <w:t xml:space="preserve">domestic natural </w:t>
      </w:r>
      <w:r w:rsidR="00831C61" w:rsidRPr="00A031DC">
        <w:t xml:space="preserve">gas </w:t>
      </w:r>
      <w:r w:rsidRPr="00A031DC">
        <w:t>in the projections are</w:t>
      </w:r>
      <w:r w:rsidR="0086447E" w:rsidRPr="00A031DC">
        <w:t xml:space="preserve"> gas exploration,</w:t>
      </w:r>
      <w:r w:rsidR="00AA5532" w:rsidRPr="00A031DC">
        <w:t xml:space="preserve"> other</w:t>
      </w:r>
      <w:r w:rsidRPr="00A031DC">
        <w:t xml:space="preserve"> </w:t>
      </w:r>
      <w:r w:rsidR="00AA5532" w:rsidRPr="00A031DC">
        <w:t xml:space="preserve">post-meter, other abandoned wells, </w:t>
      </w:r>
      <w:r w:rsidRPr="00A031DC">
        <w:t>production</w:t>
      </w:r>
      <w:r w:rsidR="00AA5532" w:rsidRPr="00A031DC">
        <w:t>,</w:t>
      </w:r>
      <w:r w:rsidRPr="00A031DC">
        <w:t xml:space="preserve"> processing, transmission, distribution, venting and flaring.</w:t>
      </w:r>
      <w:r w:rsidR="0086447E" w:rsidRPr="00A031DC">
        <w:t xml:space="preserve"> </w:t>
      </w:r>
      <w:r w:rsidR="005D0811" w:rsidRPr="00A031DC">
        <w:t>Proxy indicators are used to project the growth in emissions</w:t>
      </w:r>
      <w:r w:rsidRPr="00A031DC">
        <w:t xml:space="preserve"> at the state level</w:t>
      </w:r>
      <w:r w:rsidR="005D0811" w:rsidRPr="00A031DC">
        <w:t xml:space="preserve"> from the </w:t>
      </w:r>
      <w:r w:rsidRPr="00A031DC">
        <w:t>sub</w:t>
      </w:r>
      <w:r w:rsidR="005D0811" w:rsidRPr="00A031DC">
        <w:t>sectors as listed below.</w:t>
      </w:r>
    </w:p>
    <w:p w14:paraId="6E37CE47" w14:textId="77777777" w:rsidR="00B92E7B" w:rsidRPr="00A031DC" w:rsidRDefault="00B92E7B" w:rsidP="00B92E7B">
      <w:pPr>
        <w:rPr>
          <w:vertAlign w:val="superscript"/>
        </w:rPr>
      </w:pPr>
      <w:r w:rsidRPr="00A031DC">
        <w:t>E</w:t>
      </w:r>
      <w:r w:rsidRPr="00A031DC">
        <w:rPr>
          <w:vertAlign w:val="subscript"/>
        </w:rPr>
        <w:t>t</w:t>
      </w:r>
      <w:r w:rsidRPr="00A031DC">
        <w:t xml:space="preserve"> = ∑ ([P</w:t>
      </w:r>
      <w:r w:rsidRPr="00A031DC">
        <w:rPr>
          <w:vertAlign w:val="subscript"/>
        </w:rPr>
        <w:t>it</w:t>
      </w:r>
      <w:r w:rsidRPr="00A031DC">
        <w:t xml:space="preserve"> </w:t>
      </w:r>
      <w:r w:rsidRPr="00A031DC">
        <w:rPr>
          <w:b/>
        </w:rPr>
        <w:t>.</w:t>
      </w:r>
      <w:r w:rsidRPr="00A031DC">
        <w:t xml:space="preserve"> EI</w:t>
      </w:r>
      <w:r w:rsidRPr="00A031DC">
        <w:rPr>
          <w:vertAlign w:val="subscript"/>
        </w:rPr>
        <w:t>i</w:t>
      </w:r>
      <w:r w:rsidRPr="00A031DC">
        <w:t>]) - ERF</w:t>
      </w:r>
      <w:r w:rsidRPr="00A031DC">
        <w:rPr>
          <w:vertAlign w:val="subscript"/>
        </w:rPr>
        <w:t>t</w:t>
      </w:r>
    </w:p>
    <w:p w14:paraId="6DF17499" w14:textId="5EA75C36" w:rsidR="00B92E7B" w:rsidRPr="00A031DC" w:rsidRDefault="00B92E7B" w:rsidP="00B92E7B">
      <w:pPr>
        <w:pStyle w:val="Calculations"/>
      </w:pPr>
      <w:r w:rsidRPr="00A031DC">
        <w:t xml:space="preserve">Where: </w:t>
      </w:r>
      <w:r w:rsidRPr="00A031DC">
        <w:br/>
        <w:t>E</w:t>
      </w:r>
      <w:r w:rsidRPr="00A031DC">
        <w:rPr>
          <w:vertAlign w:val="subscript"/>
        </w:rPr>
        <w:t>t</w:t>
      </w:r>
      <w:r w:rsidRPr="00A031DC">
        <w:t xml:space="preserve"> = annual emissions</w:t>
      </w:r>
      <w:r>
        <w:t xml:space="preserve"> </w:t>
      </w:r>
      <w:r w:rsidRPr="00A031DC">
        <w:t>in year t (Mt CO</w:t>
      </w:r>
      <w:r w:rsidR="0099567A" w:rsidRPr="00042BDA">
        <w:t>₂</w:t>
      </w:r>
      <w:r w:rsidRPr="00A031DC">
        <w:t xml:space="preserve">-e) </w:t>
      </w:r>
      <w:r w:rsidRPr="00A031DC">
        <w:br/>
        <w:t>P</w:t>
      </w:r>
      <w:r w:rsidRPr="00A031DC">
        <w:rPr>
          <w:vertAlign w:val="subscript"/>
        </w:rPr>
        <w:t>it</w:t>
      </w:r>
      <w:r w:rsidRPr="00A031DC">
        <w:t xml:space="preserve"> = </w:t>
      </w:r>
      <w:r>
        <w:t>gas</w:t>
      </w:r>
      <w:r w:rsidRPr="00A031DC">
        <w:t xml:space="preserve"> production at </w:t>
      </w:r>
      <w:r>
        <w:t>basin</w:t>
      </w:r>
      <w:r w:rsidRPr="00A031DC">
        <w:rPr>
          <w:vertAlign w:val="subscript"/>
        </w:rPr>
        <w:t>i</w:t>
      </w:r>
      <w:r w:rsidRPr="00A031DC">
        <w:t>, in year t (</w:t>
      </w:r>
      <w:r>
        <w:t>PJ</w:t>
      </w:r>
      <w:r w:rsidRPr="00A031DC">
        <w:t xml:space="preserve">) </w:t>
      </w:r>
      <w:r w:rsidRPr="00A031DC">
        <w:br/>
        <w:t>EI</w:t>
      </w:r>
      <w:r w:rsidRPr="00A031DC">
        <w:rPr>
          <w:vertAlign w:val="subscript"/>
        </w:rPr>
        <w:t>i</w:t>
      </w:r>
      <w:r w:rsidRPr="00A031DC">
        <w:t xml:space="preserve"> = the emissions intensity of </w:t>
      </w:r>
      <w:r>
        <w:t>processing/</w:t>
      </w:r>
      <w:r w:rsidR="00FC582F">
        <w:t>processing/flaring</w:t>
      </w:r>
      <w:r>
        <w:t>/</w:t>
      </w:r>
      <w:r w:rsidR="00FC582F">
        <w:t>venting</w:t>
      </w:r>
      <w:r>
        <w:t xml:space="preserve"> </w:t>
      </w:r>
      <w:r w:rsidRPr="00A031DC">
        <w:t xml:space="preserve">at </w:t>
      </w:r>
      <w:r>
        <w:t>basin</w:t>
      </w:r>
      <w:r w:rsidRPr="00A031DC">
        <w:rPr>
          <w:vertAlign w:val="subscript"/>
        </w:rPr>
        <w:t>i</w:t>
      </w:r>
      <w:r w:rsidRPr="00A031DC">
        <w:t>, (Mt CO</w:t>
      </w:r>
      <w:r w:rsidR="0099567A" w:rsidRPr="00042BDA">
        <w:t>₂</w:t>
      </w:r>
      <w:r w:rsidRPr="00A031DC">
        <w:t>-e/</w:t>
      </w:r>
      <w:r>
        <w:t>PJ gas produced</w:t>
      </w:r>
      <w:r w:rsidRPr="00A031DC">
        <w:t xml:space="preserve">) </w:t>
      </w:r>
      <w:r w:rsidRPr="00A031DC">
        <w:br/>
        <w:t>ERF</w:t>
      </w:r>
      <w:r w:rsidRPr="00A031DC">
        <w:rPr>
          <w:vertAlign w:val="subscript"/>
        </w:rPr>
        <w:t>t</w:t>
      </w:r>
      <w:r w:rsidRPr="00A031DC">
        <w:t xml:space="preserve"> = abatement from forthcoming ERF and CSF projects in year t (Mt CO</w:t>
      </w:r>
      <w:r w:rsidR="0099567A" w:rsidRPr="00042BDA">
        <w:t>₂</w:t>
      </w:r>
      <w:r w:rsidRPr="00A031DC">
        <w:t>-e)</w:t>
      </w:r>
    </w:p>
    <w:p w14:paraId="32FD5228" w14:textId="49D249DD" w:rsidR="00B92E7B" w:rsidRDefault="005E7651" w:rsidP="00537A1C">
      <w:r>
        <w:t xml:space="preserve">The emissions intensities of processing, production, flaring and venting at basins across Australia have been calculated from emissions estimates in the National Greenhouse Gas Inventory and historical gas production. </w:t>
      </w:r>
    </w:p>
    <w:p w14:paraId="6FE829E4" w14:textId="77777777" w:rsidR="00F57079" w:rsidRDefault="00F57079" w:rsidP="00F57079">
      <w:pPr>
        <w:pStyle w:val="Heading4"/>
      </w:pPr>
      <w:r>
        <w:t>Activity data</w:t>
      </w:r>
    </w:p>
    <w:p w14:paraId="707DC698" w14:textId="63547F08" w:rsidR="00D21337" w:rsidRDefault="00F47A08" w:rsidP="0091494F">
      <w:r>
        <w:t>Estimates of gas production for domestic consumption are informed by estimates from the OCE (OCE 2021a</w:t>
      </w:r>
      <w:r w:rsidR="008F7582">
        <w:t>;</w:t>
      </w:r>
      <w:r>
        <w:t xml:space="preserve"> OCE 2021b) and AEMO (2021c</w:t>
      </w:r>
      <w:r w:rsidR="008F7582">
        <w:t>;</w:t>
      </w:r>
      <w:r>
        <w:t xml:space="preserve"> </w:t>
      </w:r>
      <w:r w:rsidR="008F7582">
        <w:t xml:space="preserve">AEMO </w:t>
      </w:r>
      <w:r>
        <w:t>2020c). For new gas developments</w:t>
      </w:r>
      <w:r w:rsidR="005D0BEA">
        <w:t>,</w:t>
      </w:r>
      <w:r>
        <w:t xml:space="preserve"> for example Beetaloo</w:t>
      </w:r>
      <w:r w:rsidR="0091494F">
        <w:t>,</w:t>
      </w:r>
      <w:r>
        <w:t xml:space="preserve"> production estimates are informed by </w:t>
      </w:r>
      <w:r w:rsidR="0091494F">
        <w:t xml:space="preserve">production </w:t>
      </w:r>
      <w:r>
        <w:t>estimates from Rystad</w:t>
      </w:r>
      <w:r w:rsidR="0091494F">
        <w:t xml:space="preserve"> Energy</w:t>
      </w:r>
      <w:r>
        <w:t xml:space="preserve">. Emissions intensities for new gas developments are derived </w:t>
      </w:r>
      <w:r w:rsidR="0091494F">
        <w:t xml:space="preserve">from </w:t>
      </w:r>
      <w:r w:rsidR="00596E05">
        <w:t>e</w:t>
      </w:r>
      <w:r>
        <w:t xml:space="preserve">nvironmental </w:t>
      </w:r>
      <w:r w:rsidR="00596E05">
        <w:t>i</w:t>
      </w:r>
      <w:r>
        <w:t xml:space="preserve">mpact </w:t>
      </w:r>
      <w:r w:rsidR="00596E05">
        <w:t>s</w:t>
      </w:r>
      <w:r>
        <w:t>tatement</w:t>
      </w:r>
      <w:r w:rsidR="00596E05">
        <w:t>s</w:t>
      </w:r>
      <w:r>
        <w:t xml:space="preserve"> where available, state average emission intensities from the National Greenhouse Gas Inventory (DISER 2021b)</w:t>
      </w:r>
      <w:r w:rsidR="005D0BEA">
        <w:t xml:space="preserve"> and</w:t>
      </w:r>
      <w:r>
        <w:t xml:space="preserve"> the CSIRO study of </w:t>
      </w:r>
      <w:r w:rsidR="0091494F">
        <w:t xml:space="preserve">whole of life </w:t>
      </w:r>
      <w:r>
        <w:t>greenhouse gas em</w:t>
      </w:r>
      <w:r w:rsidR="00EF3840">
        <w:t>i</w:t>
      </w:r>
      <w:r>
        <w:t>ssions</w:t>
      </w:r>
      <w:r w:rsidR="0091494F">
        <w:t xml:space="preserve"> from</w:t>
      </w:r>
      <w:r>
        <w:t xml:space="preserve"> the Surat Basin</w:t>
      </w:r>
      <w:r w:rsidR="0091494F">
        <w:t xml:space="preserve"> for the GISERA project (Heinz Schandl et al 2019).</w:t>
      </w:r>
    </w:p>
    <w:p w14:paraId="585C88BE" w14:textId="77777777" w:rsidR="008F7582" w:rsidRPr="00F47A08" w:rsidRDefault="008F7582" w:rsidP="0091494F"/>
    <w:p w14:paraId="3A01C8CA" w14:textId="6233DEF5" w:rsidR="000B1381" w:rsidRPr="00C808FE" w:rsidRDefault="000B1381" w:rsidP="00537A1C">
      <w:pPr>
        <w:pStyle w:val="Caption"/>
      </w:pPr>
      <w:r w:rsidRPr="00C808FE">
        <w:lastRenderedPageBreak/>
        <w:t xml:space="preserve">Table </w:t>
      </w:r>
      <w:r w:rsidR="004C7141">
        <w:t>7</w:t>
      </w:r>
      <w:r w:rsidR="009E75DB">
        <w:t>.</w:t>
      </w:r>
      <w:r w:rsidRPr="00C808FE">
        <w:tab/>
      </w:r>
      <w:r w:rsidR="005C2D0E">
        <w:t xml:space="preserve"> </w:t>
      </w:r>
      <w:r w:rsidRPr="00C808FE">
        <w:t xml:space="preserve">Summary of </w:t>
      </w:r>
      <w:r>
        <w:t>sources for gas fugitive emissions</w:t>
      </w:r>
    </w:p>
    <w:tbl>
      <w:tblPr>
        <w:tblStyle w:val="ListTable3-Accent3"/>
        <w:tblW w:w="5000" w:type="pct"/>
        <w:tblLook w:val="04A0" w:firstRow="1" w:lastRow="0" w:firstColumn="1" w:lastColumn="0" w:noHBand="0" w:noVBand="1"/>
        <w:tblCaption w:val="Summary of sources for gas fugitive emissions"/>
        <w:tblDescription w:val="This table shows the proxy indicator, and its source, for estimating fugitive emissions from domestic gas. There are more than 20 subsectors of domestic gas and a different proxy indicator is used for each. Indicators include, total gas production, unaccounted for gas losses and pipeline length. "/>
      </w:tblPr>
      <w:tblGrid>
        <w:gridCol w:w="2471"/>
        <w:gridCol w:w="3151"/>
        <w:gridCol w:w="3580"/>
      </w:tblGrid>
      <w:tr w:rsidR="00521A30" w:rsidRPr="005C2D0E" w14:paraId="5F76EAFE" w14:textId="681801B5" w:rsidTr="002354AC">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100" w:firstRow="0" w:lastRow="0" w:firstColumn="1" w:lastColumn="0" w:oddVBand="0" w:evenVBand="0" w:oddHBand="0" w:evenHBand="0" w:firstRowFirstColumn="1" w:firstRowLastColumn="0" w:lastRowFirstColumn="0" w:lastRowLastColumn="0"/>
            <w:tcW w:w="1342" w:type="pct"/>
            <w:hideMark/>
          </w:tcPr>
          <w:p w14:paraId="1E4726DA" w14:textId="5ADB30B9" w:rsidR="00521A30" w:rsidRPr="00A031DC" w:rsidRDefault="00521A30" w:rsidP="00537A1C">
            <w:pPr>
              <w:rPr>
                <w:lang w:eastAsia="en-AU"/>
              </w:rPr>
            </w:pPr>
            <w:r w:rsidRPr="00A031DC">
              <w:rPr>
                <w:lang w:eastAsia="en-AU"/>
              </w:rPr>
              <w:t>Fugitive emissions source</w:t>
            </w:r>
          </w:p>
        </w:tc>
        <w:tc>
          <w:tcPr>
            <w:tcW w:w="1712" w:type="pct"/>
            <w:hideMark/>
          </w:tcPr>
          <w:p w14:paraId="2AAA3DC2" w14:textId="4CDFACF8" w:rsidR="00521A30" w:rsidRPr="00A031DC" w:rsidRDefault="00521A30" w:rsidP="00537A1C">
            <w:pPr>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A031DC">
              <w:t xml:space="preserve">Proxy </w:t>
            </w:r>
            <w:r w:rsidR="009E75DB" w:rsidRPr="00A031DC">
              <w:t>i</w:t>
            </w:r>
            <w:r w:rsidRPr="00A031DC">
              <w:t>ndicator</w:t>
            </w:r>
          </w:p>
        </w:tc>
        <w:tc>
          <w:tcPr>
            <w:tcW w:w="1945" w:type="pct"/>
          </w:tcPr>
          <w:p w14:paraId="7C0660DB" w14:textId="619D5418" w:rsidR="00521A30" w:rsidRPr="00A031DC" w:rsidRDefault="00521A30" w:rsidP="00537A1C">
            <w:pPr>
              <w:cnfStyle w:val="100000000000" w:firstRow="1" w:lastRow="0" w:firstColumn="0" w:lastColumn="0" w:oddVBand="0" w:evenVBand="0" w:oddHBand="0" w:evenHBand="0" w:firstRowFirstColumn="0" w:firstRowLastColumn="0" w:lastRowFirstColumn="0" w:lastRowLastColumn="0"/>
            </w:pPr>
            <w:r w:rsidRPr="00A031DC">
              <w:t>Source</w:t>
            </w:r>
          </w:p>
        </w:tc>
      </w:tr>
      <w:tr w:rsidR="00521A30" w:rsidRPr="005C2D0E" w14:paraId="07EB57E1" w14:textId="7915783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hideMark/>
          </w:tcPr>
          <w:p w14:paraId="7021E930" w14:textId="59C6C656" w:rsidR="00521A30" w:rsidRPr="00A031DC" w:rsidRDefault="00521A30" w:rsidP="00537A1C">
            <w:pPr>
              <w:rPr>
                <w:rFonts w:eastAsia="Times New Roman"/>
                <w:lang w:eastAsia="en-AU"/>
              </w:rPr>
            </w:pPr>
            <w:r w:rsidRPr="00A031DC">
              <w:t>Distribution</w:t>
            </w:r>
          </w:p>
        </w:tc>
        <w:tc>
          <w:tcPr>
            <w:tcW w:w="1712" w:type="pct"/>
          </w:tcPr>
          <w:p w14:paraId="5FFBCB40" w14:textId="372B043C" w:rsidR="00521A30" w:rsidRPr="00A031DC" w:rsidRDefault="00521A30" w:rsidP="00537A1C">
            <w:pPr>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A031DC">
              <w:t>Unaccounted for gas losses</w:t>
            </w:r>
          </w:p>
        </w:tc>
        <w:tc>
          <w:tcPr>
            <w:tcW w:w="1945" w:type="pct"/>
          </w:tcPr>
          <w:p w14:paraId="47B1D462" w14:textId="55C97EEE" w:rsidR="00521A30" w:rsidRPr="00A031DC" w:rsidRDefault="00521A30" w:rsidP="004D09A7">
            <w:pPr>
              <w:cnfStyle w:val="000000100000" w:firstRow="0" w:lastRow="0" w:firstColumn="0" w:lastColumn="0" w:oddVBand="0" w:evenVBand="0" w:oddHBand="1" w:evenHBand="0" w:firstRowFirstColumn="0" w:firstRowLastColumn="0" w:lastRowFirstColumn="0" w:lastRowLastColumn="0"/>
            </w:pPr>
            <w:r w:rsidRPr="00A031DC">
              <w:t>AEMO</w:t>
            </w:r>
            <w:r w:rsidR="00B13BAB" w:rsidRPr="00A031DC">
              <w:t xml:space="preserve"> 20</w:t>
            </w:r>
            <w:r w:rsidR="00BB29DF" w:rsidRPr="00A031DC">
              <w:t>2</w:t>
            </w:r>
            <w:r w:rsidR="004D09A7">
              <w:t>1c</w:t>
            </w:r>
          </w:p>
        </w:tc>
      </w:tr>
      <w:tr w:rsidR="00521A30" w:rsidRPr="005C2D0E" w14:paraId="1E1334BD" w14:textId="07D7078C"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6A96F6C7" w14:textId="3BFB8122" w:rsidR="00521A30" w:rsidRPr="00A031DC" w:rsidRDefault="00521A30" w:rsidP="00537A1C">
            <w:pPr>
              <w:rPr>
                <w:rFonts w:eastAsia="Times New Roman"/>
                <w:lang w:eastAsia="en-AU"/>
              </w:rPr>
            </w:pPr>
            <w:r w:rsidRPr="00A031DC">
              <w:t xml:space="preserve">Exploration - </w:t>
            </w:r>
            <w:r w:rsidR="009E75DB" w:rsidRPr="00A031DC">
              <w:t>f</w:t>
            </w:r>
            <w:r w:rsidRPr="00A031DC">
              <w:t>lared</w:t>
            </w:r>
          </w:p>
        </w:tc>
        <w:tc>
          <w:tcPr>
            <w:tcW w:w="1712" w:type="pct"/>
          </w:tcPr>
          <w:p w14:paraId="3C86184B" w14:textId="27C725CC" w:rsidR="00521A30" w:rsidRPr="00A031DC" w:rsidRDefault="00521A30" w:rsidP="00B92E7B">
            <w:pPr>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A031DC">
              <w:t>Total gas production</w:t>
            </w:r>
            <w:r w:rsidR="00BA6E5F">
              <w:t xml:space="preserve"> </w:t>
            </w:r>
          </w:p>
        </w:tc>
        <w:tc>
          <w:tcPr>
            <w:tcW w:w="1945" w:type="pct"/>
          </w:tcPr>
          <w:p w14:paraId="5F49336A" w14:textId="47ABB1C7" w:rsidR="00521A30" w:rsidRPr="00A031DC" w:rsidRDefault="00A44027" w:rsidP="00A44027">
            <w:pPr>
              <w:cnfStyle w:val="000000000000" w:firstRow="0" w:lastRow="0" w:firstColumn="0" w:lastColumn="0" w:oddVBand="0" w:evenVBand="0" w:oddHBand="0" w:evenHBand="0" w:firstRowFirstColumn="0" w:firstRowLastColumn="0" w:lastRowFirstColumn="0" w:lastRowLastColumn="0"/>
            </w:pPr>
            <w:r w:rsidRPr="00A031DC">
              <w:t>OCE 202</w:t>
            </w:r>
            <w:r>
              <w:t>1a, OCE 2021b,</w:t>
            </w:r>
            <w:r w:rsidR="00BA6E5F">
              <w:t xml:space="preserve"> </w:t>
            </w:r>
            <w:r w:rsidR="00521A30" w:rsidRPr="00A031DC">
              <w:t>AEMO</w:t>
            </w:r>
            <w:r w:rsidR="00B13BAB" w:rsidRPr="00A031DC">
              <w:t xml:space="preserve"> </w:t>
            </w:r>
            <w:r w:rsidR="007618C6" w:rsidRPr="00A031DC">
              <w:t>20</w:t>
            </w:r>
            <w:r w:rsidR="00AD592C" w:rsidRPr="00A031DC">
              <w:t>20</w:t>
            </w:r>
            <w:r>
              <w:t>c</w:t>
            </w:r>
            <w:r w:rsidR="00B13BAB" w:rsidRPr="00A031DC">
              <w:t>, AEMO 20</w:t>
            </w:r>
            <w:r>
              <w:t>21c</w:t>
            </w:r>
            <w:r w:rsidR="00521A30" w:rsidRPr="00A031DC">
              <w:t xml:space="preserve">, </w:t>
            </w:r>
          </w:p>
        </w:tc>
      </w:tr>
      <w:tr w:rsidR="00521A30" w:rsidRPr="005C2D0E" w14:paraId="2C30299B" w14:textId="2CBBCA43"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61DB0303" w14:textId="58CB7683" w:rsidR="00521A30" w:rsidRPr="00A031DC" w:rsidRDefault="00521A30" w:rsidP="00537A1C">
            <w:pPr>
              <w:rPr>
                <w:rFonts w:eastAsia="Times New Roman"/>
                <w:lang w:eastAsia="en-AU"/>
              </w:rPr>
            </w:pPr>
            <w:r w:rsidRPr="00A031DC">
              <w:t xml:space="preserve">Exploration - </w:t>
            </w:r>
            <w:r w:rsidR="009E75DB" w:rsidRPr="00A031DC">
              <w:t>l</w:t>
            </w:r>
            <w:r w:rsidRPr="00A031DC">
              <w:t xml:space="preserve">eakage - </w:t>
            </w:r>
            <w:r w:rsidR="009E75DB" w:rsidRPr="00A031DC">
              <w:t>c</w:t>
            </w:r>
            <w:r w:rsidRPr="00A031DC">
              <w:t>onventional</w:t>
            </w:r>
          </w:p>
        </w:tc>
        <w:tc>
          <w:tcPr>
            <w:tcW w:w="1712" w:type="pct"/>
          </w:tcPr>
          <w:p w14:paraId="2A0F6774" w14:textId="4005EEE3" w:rsidR="00521A30" w:rsidRPr="00A031DC" w:rsidRDefault="00521A30" w:rsidP="00537A1C">
            <w:pPr>
              <w:cnfStyle w:val="000000100000" w:firstRow="0" w:lastRow="0" w:firstColumn="0" w:lastColumn="0" w:oddVBand="0" w:evenVBand="0" w:oddHBand="1" w:evenHBand="0" w:firstRowFirstColumn="0" w:firstRowLastColumn="0" w:lastRowFirstColumn="0" w:lastRowLastColumn="0"/>
            </w:pPr>
            <w:r w:rsidRPr="00A031DC">
              <w:t>Conventional gas production</w:t>
            </w:r>
          </w:p>
        </w:tc>
        <w:tc>
          <w:tcPr>
            <w:tcW w:w="1945" w:type="pct"/>
          </w:tcPr>
          <w:p w14:paraId="3B4B41C2" w14:textId="667594EF" w:rsidR="00521A30" w:rsidRPr="00A031DC" w:rsidRDefault="00A44027" w:rsidP="00621782">
            <w:pPr>
              <w:cnfStyle w:val="000000100000" w:firstRow="0" w:lastRow="0" w:firstColumn="0" w:lastColumn="0" w:oddVBand="0" w:evenVBand="0" w:oddHBand="1" w:evenHBand="0" w:firstRowFirstColumn="0" w:firstRowLastColumn="0" w:lastRowFirstColumn="0" w:lastRowLastColumn="0"/>
            </w:pPr>
            <w:r w:rsidRPr="00A031DC">
              <w:t>OCE 202</w:t>
            </w:r>
            <w:r>
              <w:t>1a, OCE 2021b,</w:t>
            </w:r>
            <w:r w:rsidR="00BA6E5F">
              <w:t xml:space="preserve"> </w:t>
            </w:r>
            <w:r w:rsidR="00CB7D0E">
              <w:t>AEMO 2020</w:t>
            </w:r>
            <w:r w:rsidR="00621782">
              <w:t>c</w:t>
            </w:r>
            <w:r w:rsidR="007618C6" w:rsidRPr="00A031DC">
              <w:t>, AEMO 20</w:t>
            </w:r>
            <w:r>
              <w:t>21c</w:t>
            </w:r>
            <w:r w:rsidR="00EE2B87" w:rsidRPr="00A031DC">
              <w:t xml:space="preserve">, </w:t>
            </w:r>
          </w:p>
        </w:tc>
      </w:tr>
      <w:tr w:rsidR="00521A30" w:rsidRPr="005C2D0E" w14:paraId="73FA71BF" w14:textId="0ACD0E8A"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4EB8D8C7" w14:textId="7BCBB90E" w:rsidR="00521A30" w:rsidRPr="00A031DC" w:rsidRDefault="00521A30" w:rsidP="00537A1C">
            <w:pPr>
              <w:rPr>
                <w:rFonts w:eastAsia="Times New Roman"/>
                <w:lang w:eastAsia="en-AU"/>
              </w:rPr>
            </w:pPr>
            <w:r w:rsidRPr="00A031DC">
              <w:t xml:space="preserve">Exploration - </w:t>
            </w:r>
            <w:r w:rsidR="009E75DB" w:rsidRPr="00A031DC">
              <w:t>l</w:t>
            </w:r>
            <w:r w:rsidRPr="00A031DC">
              <w:t xml:space="preserve">eakage - </w:t>
            </w:r>
            <w:r w:rsidR="009E75DB" w:rsidRPr="00A031DC">
              <w:t>u</w:t>
            </w:r>
            <w:r w:rsidRPr="00A031DC">
              <w:t>nconventional</w:t>
            </w:r>
          </w:p>
        </w:tc>
        <w:tc>
          <w:tcPr>
            <w:tcW w:w="1712" w:type="pct"/>
          </w:tcPr>
          <w:p w14:paraId="24613059" w14:textId="454C959F" w:rsidR="00521A30" w:rsidRPr="00A031DC" w:rsidRDefault="0086447E" w:rsidP="00537A1C">
            <w:pPr>
              <w:cnfStyle w:val="000000000000" w:firstRow="0" w:lastRow="0" w:firstColumn="0" w:lastColumn="0" w:oddVBand="0" w:evenVBand="0" w:oddHBand="0" w:evenHBand="0" w:firstRowFirstColumn="0" w:firstRowLastColumn="0" w:lastRowFirstColumn="0" w:lastRowLastColumn="0"/>
            </w:pPr>
            <w:r w:rsidRPr="00A031DC">
              <w:t>Unconventional gas production</w:t>
            </w:r>
          </w:p>
        </w:tc>
        <w:tc>
          <w:tcPr>
            <w:tcW w:w="1945" w:type="pct"/>
          </w:tcPr>
          <w:p w14:paraId="77B3797B" w14:textId="65261914" w:rsidR="00521A30" w:rsidRPr="00A031DC" w:rsidRDefault="00A44027" w:rsidP="00621782">
            <w:pPr>
              <w:cnfStyle w:val="000000000000" w:firstRow="0" w:lastRow="0" w:firstColumn="0" w:lastColumn="0" w:oddVBand="0" w:evenVBand="0" w:oddHBand="0" w:evenHBand="0" w:firstRowFirstColumn="0" w:firstRowLastColumn="0" w:lastRowFirstColumn="0" w:lastRowLastColumn="0"/>
            </w:pPr>
            <w:r w:rsidRPr="00A031DC">
              <w:t>OCE 202</w:t>
            </w:r>
            <w:r>
              <w:t>1a, OCE 2021b,</w:t>
            </w:r>
            <w:r w:rsidR="00BA6E5F">
              <w:t xml:space="preserve"> </w:t>
            </w:r>
            <w:r w:rsidR="00CB7D0E">
              <w:t>AEMO 2020</w:t>
            </w:r>
            <w:r w:rsidR="00621782">
              <w:t>c</w:t>
            </w:r>
            <w:r w:rsidR="007618C6" w:rsidRPr="00A031DC">
              <w:t>, AEMO 20</w:t>
            </w:r>
            <w:r>
              <w:t>21c</w:t>
            </w:r>
            <w:r w:rsidR="00EE2B87" w:rsidRPr="00A031DC">
              <w:t xml:space="preserve">, </w:t>
            </w:r>
          </w:p>
        </w:tc>
      </w:tr>
      <w:tr w:rsidR="00521A30" w:rsidRPr="005C2D0E" w14:paraId="50D1F2A2" w14:textId="1A2B269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69EA9150" w14:textId="735830F6" w:rsidR="00521A30" w:rsidRPr="00A031DC" w:rsidRDefault="00521A30" w:rsidP="00537A1C">
            <w:pPr>
              <w:rPr>
                <w:rFonts w:eastAsia="Times New Roman"/>
                <w:lang w:eastAsia="en-AU"/>
              </w:rPr>
            </w:pPr>
            <w:r w:rsidRPr="00A031DC">
              <w:t xml:space="preserve">Exploration - </w:t>
            </w:r>
            <w:r w:rsidR="009E75DB" w:rsidRPr="00A031DC">
              <w:t>v</w:t>
            </w:r>
            <w:r w:rsidRPr="00A031DC">
              <w:t xml:space="preserve">enting - </w:t>
            </w:r>
            <w:r w:rsidR="009E75DB" w:rsidRPr="00A031DC">
              <w:t>c</w:t>
            </w:r>
            <w:r w:rsidRPr="00A031DC">
              <w:t xml:space="preserve">ompletions - </w:t>
            </w:r>
            <w:r w:rsidR="009E75DB" w:rsidRPr="00A031DC">
              <w:t>c</w:t>
            </w:r>
            <w:r w:rsidRPr="00A031DC">
              <w:t>onventional</w:t>
            </w:r>
          </w:p>
        </w:tc>
        <w:tc>
          <w:tcPr>
            <w:tcW w:w="1712" w:type="pct"/>
          </w:tcPr>
          <w:p w14:paraId="66D59DAD" w14:textId="2F201DDD" w:rsidR="00521A30" w:rsidRPr="00A031DC" w:rsidRDefault="00521A30" w:rsidP="00537A1C">
            <w:pPr>
              <w:cnfStyle w:val="000000100000" w:firstRow="0" w:lastRow="0" w:firstColumn="0" w:lastColumn="0" w:oddVBand="0" w:evenVBand="0" w:oddHBand="1" w:evenHBand="0" w:firstRowFirstColumn="0" w:firstRowLastColumn="0" w:lastRowFirstColumn="0" w:lastRowLastColumn="0"/>
            </w:pPr>
            <w:r w:rsidRPr="00A031DC">
              <w:t>Conventional gas production</w:t>
            </w:r>
          </w:p>
        </w:tc>
        <w:tc>
          <w:tcPr>
            <w:tcW w:w="1945" w:type="pct"/>
          </w:tcPr>
          <w:p w14:paraId="04742B2D" w14:textId="7F1EF42E" w:rsidR="00521A30" w:rsidRPr="00A031DC" w:rsidRDefault="00A44027" w:rsidP="00621782">
            <w:pPr>
              <w:cnfStyle w:val="000000100000" w:firstRow="0" w:lastRow="0" w:firstColumn="0" w:lastColumn="0" w:oddVBand="0" w:evenVBand="0" w:oddHBand="1" w:evenHBand="0" w:firstRowFirstColumn="0" w:firstRowLastColumn="0" w:lastRowFirstColumn="0" w:lastRowLastColumn="0"/>
            </w:pPr>
            <w:r w:rsidRPr="00A031DC">
              <w:t>OCE 202</w:t>
            </w:r>
            <w:r>
              <w:t>1a, OCE 2021b,</w:t>
            </w:r>
            <w:r w:rsidR="00BA6E5F">
              <w:t xml:space="preserve"> </w:t>
            </w:r>
            <w:r w:rsidR="00CB7D0E">
              <w:t>AEMO 2020</w:t>
            </w:r>
            <w:r w:rsidR="00621782">
              <w:t>c</w:t>
            </w:r>
            <w:r w:rsidR="007618C6" w:rsidRPr="00A031DC">
              <w:t>, AEMO 20</w:t>
            </w:r>
            <w:r>
              <w:t>21c</w:t>
            </w:r>
            <w:r w:rsidR="00EE2B87" w:rsidRPr="00A031DC">
              <w:t xml:space="preserve">, </w:t>
            </w:r>
          </w:p>
        </w:tc>
      </w:tr>
      <w:tr w:rsidR="0086447E" w:rsidRPr="005C2D0E" w14:paraId="7E553FEA" w14:textId="74804742"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43E43282" w14:textId="5E129778" w:rsidR="0086447E" w:rsidRPr="00A031DC" w:rsidRDefault="0086447E" w:rsidP="00537A1C">
            <w:pPr>
              <w:rPr>
                <w:rFonts w:eastAsia="Times New Roman"/>
                <w:lang w:eastAsia="en-AU"/>
              </w:rPr>
            </w:pPr>
            <w:r w:rsidRPr="00A031DC">
              <w:t xml:space="preserve">Exploration - </w:t>
            </w:r>
            <w:r w:rsidR="009E75DB" w:rsidRPr="00A031DC">
              <w:t>v</w:t>
            </w:r>
            <w:r w:rsidRPr="00A031DC">
              <w:t xml:space="preserve">enting - </w:t>
            </w:r>
            <w:r w:rsidR="009E75DB" w:rsidRPr="00A031DC">
              <w:t>c</w:t>
            </w:r>
            <w:r w:rsidRPr="00A031DC">
              <w:t xml:space="preserve">ompletions - </w:t>
            </w:r>
            <w:r w:rsidR="009E75DB" w:rsidRPr="00A031DC">
              <w:t>u</w:t>
            </w:r>
            <w:r w:rsidRPr="00A031DC">
              <w:t>nconventional</w:t>
            </w:r>
          </w:p>
        </w:tc>
        <w:tc>
          <w:tcPr>
            <w:tcW w:w="1712" w:type="pct"/>
          </w:tcPr>
          <w:p w14:paraId="24728E5A" w14:textId="305D501B" w:rsidR="0086447E" w:rsidRPr="00A031DC" w:rsidRDefault="0086447E" w:rsidP="00537A1C">
            <w:pPr>
              <w:cnfStyle w:val="000000000000" w:firstRow="0" w:lastRow="0" w:firstColumn="0" w:lastColumn="0" w:oddVBand="0" w:evenVBand="0" w:oddHBand="0" w:evenHBand="0" w:firstRowFirstColumn="0" w:firstRowLastColumn="0" w:lastRowFirstColumn="0" w:lastRowLastColumn="0"/>
            </w:pPr>
            <w:r w:rsidRPr="00A031DC">
              <w:t>Unconventional gas production</w:t>
            </w:r>
          </w:p>
        </w:tc>
        <w:tc>
          <w:tcPr>
            <w:tcW w:w="1945" w:type="pct"/>
          </w:tcPr>
          <w:p w14:paraId="783AAE80" w14:textId="1AA7D6D0" w:rsidR="0086447E" w:rsidRPr="00A031DC" w:rsidRDefault="00A44027" w:rsidP="00A44027">
            <w:pPr>
              <w:cnfStyle w:val="000000000000" w:firstRow="0" w:lastRow="0" w:firstColumn="0" w:lastColumn="0" w:oddVBand="0" w:evenVBand="0" w:oddHBand="0" w:evenHBand="0" w:firstRowFirstColumn="0" w:firstRowLastColumn="0" w:lastRowFirstColumn="0" w:lastRowLastColumn="0"/>
            </w:pPr>
            <w:r w:rsidRPr="00A031DC">
              <w:t>OCE 202</w:t>
            </w:r>
            <w:r>
              <w:t>1a, OCE 2021b,</w:t>
            </w:r>
            <w:r w:rsidR="00BA6E5F">
              <w:t xml:space="preserve"> </w:t>
            </w:r>
            <w:r w:rsidR="007618C6" w:rsidRPr="00A031DC">
              <w:t>AEMO 20</w:t>
            </w:r>
            <w:r w:rsidR="00BB29DF" w:rsidRPr="00A031DC">
              <w:t>20</w:t>
            </w:r>
            <w:r>
              <w:t>c</w:t>
            </w:r>
            <w:r w:rsidR="007618C6" w:rsidRPr="00A031DC">
              <w:t>, AEMO 20</w:t>
            </w:r>
            <w:r>
              <w:t>21c</w:t>
            </w:r>
            <w:r w:rsidR="00EE2B87" w:rsidRPr="00A031DC">
              <w:t xml:space="preserve">, </w:t>
            </w:r>
          </w:p>
        </w:tc>
      </w:tr>
      <w:tr w:rsidR="0086447E" w:rsidRPr="005C2D0E" w14:paraId="669D606A" w14:textId="51F97966"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2781E84C" w14:textId="3A1E2E90" w:rsidR="0086447E" w:rsidRPr="00A031DC" w:rsidRDefault="0086447E" w:rsidP="00537A1C">
            <w:pPr>
              <w:rPr>
                <w:rFonts w:eastAsia="Times New Roman"/>
                <w:lang w:eastAsia="en-AU"/>
              </w:rPr>
            </w:pPr>
            <w:r w:rsidRPr="00A031DC">
              <w:t xml:space="preserve">Exploration - </w:t>
            </w:r>
            <w:r w:rsidR="009E75DB" w:rsidRPr="00A031DC">
              <w:t>v</w:t>
            </w:r>
            <w:r w:rsidRPr="00A031DC">
              <w:t xml:space="preserve">enting - </w:t>
            </w:r>
            <w:r w:rsidR="009E75DB" w:rsidRPr="00A031DC">
              <w:t>w</w:t>
            </w:r>
            <w:r w:rsidRPr="00A031DC">
              <w:t>orkovers</w:t>
            </w:r>
          </w:p>
        </w:tc>
        <w:tc>
          <w:tcPr>
            <w:tcW w:w="1712" w:type="pct"/>
          </w:tcPr>
          <w:p w14:paraId="3DB981DA" w14:textId="7E0E04D2" w:rsidR="0086447E" w:rsidRPr="00A031DC" w:rsidRDefault="0086447E" w:rsidP="00537A1C">
            <w:pPr>
              <w:cnfStyle w:val="000000100000" w:firstRow="0" w:lastRow="0" w:firstColumn="0" w:lastColumn="0" w:oddVBand="0" w:evenVBand="0" w:oddHBand="1" w:evenHBand="0" w:firstRowFirstColumn="0" w:firstRowLastColumn="0" w:lastRowFirstColumn="0" w:lastRowLastColumn="0"/>
            </w:pPr>
            <w:r w:rsidRPr="00A031DC">
              <w:t>Unconventional gas production</w:t>
            </w:r>
          </w:p>
        </w:tc>
        <w:tc>
          <w:tcPr>
            <w:tcW w:w="1945" w:type="pct"/>
          </w:tcPr>
          <w:p w14:paraId="6AB32D19" w14:textId="0127946B" w:rsidR="0086447E" w:rsidRPr="00A031DC" w:rsidRDefault="00A44027" w:rsidP="00621782">
            <w:pPr>
              <w:cnfStyle w:val="000000100000" w:firstRow="0" w:lastRow="0" w:firstColumn="0" w:lastColumn="0" w:oddVBand="0" w:evenVBand="0" w:oddHBand="1" w:evenHBand="0" w:firstRowFirstColumn="0" w:firstRowLastColumn="0" w:lastRowFirstColumn="0" w:lastRowLastColumn="0"/>
            </w:pPr>
            <w:r w:rsidRPr="00A031DC">
              <w:t>OCE 202</w:t>
            </w:r>
            <w:r>
              <w:t>1a, OCE 2021b,</w:t>
            </w:r>
            <w:r w:rsidR="00BA6E5F">
              <w:t xml:space="preserve"> </w:t>
            </w:r>
            <w:r w:rsidR="00CB7D0E">
              <w:t>AEMO 2020</w:t>
            </w:r>
            <w:r w:rsidR="00621782">
              <w:t>c</w:t>
            </w:r>
            <w:r w:rsidR="007618C6" w:rsidRPr="00A031DC">
              <w:t>, AEMO 20</w:t>
            </w:r>
            <w:r>
              <w:t>21c</w:t>
            </w:r>
            <w:r w:rsidR="00EE2B87" w:rsidRPr="00A031DC">
              <w:t xml:space="preserve">, </w:t>
            </w:r>
          </w:p>
        </w:tc>
      </w:tr>
      <w:tr w:rsidR="00AA5532" w:rsidRPr="005C2D0E" w14:paraId="1F793F31"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52C792D7" w14:textId="44C21471" w:rsidR="00AA5532" w:rsidRPr="00A031DC" w:rsidRDefault="00AA5532" w:rsidP="00537A1C">
            <w:r w:rsidRPr="00A031DC">
              <w:t xml:space="preserve">Other – </w:t>
            </w:r>
            <w:r w:rsidR="00596E05">
              <w:t>a</w:t>
            </w:r>
            <w:r w:rsidRPr="00A031DC">
              <w:t xml:space="preserve">bandoned </w:t>
            </w:r>
            <w:r w:rsidR="00596E05">
              <w:t>w</w:t>
            </w:r>
            <w:r w:rsidRPr="00A031DC">
              <w:t>ells</w:t>
            </w:r>
          </w:p>
        </w:tc>
        <w:tc>
          <w:tcPr>
            <w:tcW w:w="1712" w:type="pct"/>
          </w:tcPr>
          <w:p w14:paraId="4D591174" w14:textId="21A20836" w:rsidR="00AA5532" w:rsidRPr="00A031DC" w:rsidRDefault="00AA5532" w:rsidP="00537A1C">
            <w:pPr>
              <w:cnfStyle w:val="000000000000" w:firstRow="0" w:lastRow="0" w:firstColumn="0" w:lastColumn="0" w:oddVBand="0" w:evenVBand="0" w:oddHBand="0" w:evenHBand="0" w:firstRowFirstColumn="0" w:firstRowLastColumn="0" w:lastRowFirstColumn="0" w:lastRowLastColumn="0"/>
            </w:pPr>
            <w:r w:rsidRPr="00A031DC">
              <w:t xml:space="preserve">Historical growth rate of emissions abandoned gas wells </w:t>
            </w:r>
          </w:p>
        </w:tc>
        <w:tc>
          <w:tcPr>
            <w:tcW w:w="1945" w:type="pct"/>
          </w:tcPr>
          <w:p w14:paraId="6CFF76B0" w14:textId="5B55C66C" w:rsidR="00AA5532" w:rsidRPr="00A031DC" w:rsidRDefault="00B5648F" w:rsidP="00537A1C">
            <w:pPr>
              <w:cnfStyle w:val="000000000000" w:firstRow="0" w:lastRow="0" w:firstColumn="0" w:lastColumn="0" w:oddVBand="0" w:evenVBand="0" w:oddHBand="0" w:evenHBand="0" w:firstRowFirstColumn="0" w:firstRowLastColumn="0" w:lastRowFirstColumn="0" w:lastRowLastColumn="0"/>
            </w:pPr>
            <w:r>
              <w:t>DISER 2021b</w:t>
            </w:r>
          </w:p>
        </w:tc>
      </w:tr>
      <w:tr w:rsidR="00AA5532" w:rsidRPr="005C2D0E" w14:paraId="4B201C78"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7D4287B5" w14:textId="69DE95F3" w:rsidR="00AA5532" w:rsidRPr="00A031DC" w:rsidRDefault="00AA5532" w:rsidP="00537A1C">
            <w:r w:rsidRPr="00A031DC">
              <w:t>Other – Post meter emissions</w:t>
            </w:r>
          </w:p>
        </w:tc>
        <w:tc>
          <w:tcPr>
            <w:tcW w:w="1712" w:type="pct"/>
          </w:tcPr>
          <w:p w14:paraId="7C5D1B98" w14:textId="2721CAA5" w:rsidR="00AA5532" w:rsidRPr="00A031DC" w:rsidRDefault="00F022C0" w:rsidP="00537A1C">
            <w:pPr>
              <w:cnfStyle w:val="000000100000" w:firstRow="0" w:lastRow="0" w:firstColumn="0" w:lastColumn="0" w:oddVBand="0" w:evenVBand="0" w:oddHBand="1" w:evenHBand="0" w:firstRowFirstColumn="0" w:firstRowLastColumn="0" w:lastRowFirstColumn="0" w:lastRowLastColumn="0"/>
            </w:pPr>
            <w:r w:rsidRPr="00A031DC">
              <w:t>Derived total appliance in the commercial and residential sector, Vehicle stock projections, Industrial natural gas consumption</w:t>
            </w:r>
          </w:p>
        </w:tc>
        <w:tc>
          <w:tcPr>
            <w:tcW w:w="1945" w:type="pct"/>
          </w:tcPr>
          <w:p w14:paraId="1AF88557" w14:textId="04AA0CCE" w:rsidR="00AA5532" w:rsidRPr="00A031DC" w:rsidRDefault="005F1872" w:rsidP="00537A1C">
            <w:pPr>
              <w:cnfStyle w:val="000000100000" w:firstRow="0" w:lastRow="0" w:firstColumn="0" w:lastColumn="0" w:oddVBand="0" w:evenVBand="0" w:oddHBand="1" w:evenHBand="0" w:firstRowFirstColumn="0" w:firstRowLastColumn="0" w:lastRowFirstColumn="0" w:lastRowLastColumn="0"/>
            </w:pPr>
            <w:r w:rsidRPr="00A031DC">
              <w:t>ABS 202</w:t>
            </w:r>
            <w:r w:rsidR="00585F7B">
              <w:t>1</w:t>
            </w:r>
            <w:r w:rsidRPr="00A031DC">
              <w:t>,</w:t>
            </w:r>
            <w:r w:rsidR="00B77EB7" w:rsidRPr="00A031DC">
              <w:t xml:space="preserve"> Energy Consult 2015,</w:t>
            </w:r>
            <w:r w:rsidRPr="00A031DC">
              <w:t xml:space="preserve"> </w:t>
            </w:r>
            <w:r w:rsidR="00FB287E" w:rsidRPr="00A031DC">
              <w:t>2020 electricity modelling ou</w:t>
            </w:r>
            <w:r w:rsidR="006571CF" w:rsidRPr="00A031DC">
              <w:t>tputs</w:t>
            </w:r>
          </w:p>
        </w:tc>
      </w:tr>
      <w:tr w:rsidR="00521A30" w:rsidRPr="005C2D0E" w14:paraId="54397910" w14:textId="69734474"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3E88A51D" w14:textId="56A15DDA" w:rsidR="00521A30" w:rsidRPr="00A031DC" w:rsidRDefault="00521A30" w:rsidP="00537A1C">
            <w:pPr>
              <w:rPr>
                <w:rFonts w:eastAsia="Times New Roman"/>
                <w:lang w:eastAsia="en-AU"/>
              </w:rPr>
            </w:pPr>
            <w:r w:rsidRPr="00A031DC">
              <w:t>Processing</w:t>
            </w:r>
          </w:p>
        </w:tc>
        <w:tc>
          <w:tcPr>
            <w:tcW w:w="1712" w:type="pct"/>
          </w:tcPr>
          <w:p w14:paraId="1B3324E0" w14:textId="0ABA0013" w:rsidR="00521A30" w:rsidRPr="00A031DC" w:rsidRDefault="00A44027" w:rsidP="00A44027">
            <w:pPr>
              <w:cnfStyle w:val="000000000000" w:firstRow="0" w:lastRow="0" w:firstColumn="0" w:lastColumn="0" w:oddVBand="0" w:evenVBand="0" w:oddHBand="0" w:evenHBand="0" w:firstRowFirstColumn="0" w:firstRowLastColumn="0" w:lastRowFirstColumn="0" w:lastRowLastColumn="0"/>
            </w:pPr>
            <w:r>
              <w:t>Domestic</w:t>
            </w:r>
            <w:r w:rsidR="00521A30" w:rsidRPr="00A031DC">
              <w:t xml:space="preserve"> gas production</w:t>
            </w:r>
            <w:r w:rsidR="00F57079">
              <w:t xml:space="preserve"> (conventional and unconventional)</w:t>
            </w:r>
          </w:p>
        </w:tc>
        <w:tc>
          <w:tcPr>
            <w:tcW w:w="1945" w:type="pct"/>
          </w:tcPr>
          <w:p w14:paraId="06160916" w14:textId="148AD0F3" w:rsidR="00521A30" w:rsidRPr="00A031DC" w:rsidRDefault="007618C6" w:rsidP="0005271D">
            <w:pPr>
              <w:cnfStyle w:val="000000000000" w:firstRow="0" w:lastRow="0" w:firstColumn="0" w:lastColumn="0" w:oddVBand="0" w:evenVBand="0" w:oddHBand="0" w:evenHBand="0" w:firstRowFirstColumn="0" w:firstRowLastColumn="0" w:lastRowFirstColumn="0" w:lastRowLastColumn="0"/>
            </w:pPr>
            <w:r w:rsidRPr="00A031DC">
              <w:t xml:space="preserve">OCE </w:t>
            </w:r>
            <w:r w:rsidR="005F6F87" w:rsidRPr="00A031DC">
              <w:t>202</w:t>
            </w:r>
            <w:r w:rsidR="004D09A7">
              <w:t>1a</w:t>
            </w:r>
            <w:r w:rsidR="006D3CFE">
              <w:t xml:space="preserve"> OCE 2021b</w:t>
            </w:r>
            <w:r w:rsidRPr="00A031DC">
              <w:t>, AEMO 20</w:t>
            </w:r>
            <w:r w:rsidR="00BB29DF" w:rsidRPr="00A031DC">
              <w:t>20</w:t>
            </w:r>
            <w:r w:rsidR="0005271D">
              <w:t>c</w:t>
            </w:r>
            <w:r w:rsidRPr="00A031DC">
              <w:t>, AEMO 20</w:t>
            </w:r>
            <w:r w:rsidR="0005271D">
              <w:t>21c</w:t>
            </w:r>
            <w:r w:rsidR="00EE2B87" w:rsidRPr="00A031DC">
              <w:t>, emission projections models for LNG</w:t>
            </w:r>
            <w:r w:rsidR="00773E13" w:rsidRPr="00A031DC">
              <w:t xml:space="preserve"> </w:t>
            </w:r>
          </w:p>
        </w:tc>
      </w:tr>
      <w:tr w:rsidR="00521A30" w:rsidRPr="005C2D0E" w14:paraId="5F0E7FB5" w14:textId="78D4F76D"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3BE63088" w14:textId="794804B1" w:rsidR="00521A30" w:rsidRPr="00A031DC" w:rsidRDefault="00521A30" w:rsidP="00537A1C">
            <w:pPr>
              <w:rPr>
                <w:rFonts w:eastAsia="Times New Roman"/>
                <w:lang w:eastAsia="en-AU"/>
              </w:rPr>
            </w:pPr>
            <w:r w:rsidRPr="00A031DC">
              <w:t xml:space="preserve">Production - </w:t>
            </w:r>
            <w:r w:rsidR="009E75DB" w:rsidRPr="00A031DC">
              <w:t>o</w:t>
            </w:r>
            <w:r w:rsidRPr="00A031DC">
              <w:t xml:space="preserve">ffshore </w:t>
            </w:r>
            <w:r w:rsidR="009E75DB" w:rsidRPr="00A031DC">
              <w:t>p</w:t>
            </w:r>
            <w:r w:rsidRPr="00A031DC">
              <w:t>latforms</w:t>
            </w:r>
          </w:p>
        </w:tc>
        <w:tc>
          <w:tcPr>
            <w:tcW w:w="1712" w:type="pct"/>
          </w:tcPr>
          <w:p w14:paraId="08E0A375" w14:textId="4BADBA08" w:rsidR="00521A30" w:rsidRPr="00A031DC" w:rsidRDefault="00521A30" w:rsidP="00537A1C">
            <w:pPr>
              <w:cnfStyle w:val="000000100000" w:firstRow="0" w:lastRow="0" w:firstColumn="0" w:lastColumn="0" w:oddVBand="0" w:evenVBand="0" w:oddHBand="1" w:evenHBand="0" w:firstRowFirstColumn="0" w:firstRowLastColumn="0" w:lastRowFirstColumn="0" w:lastRowLastColumn="0"/>
            </w:pPr>
            <w:r w:rsidRPr="00A031DC">
              <w:t>Number of shallow and deep offshore platforms</w:t>
            </w:r>
          </w:p>
        </w:tc>
        <w:tc>
          <w:tcPr>
            <w:tcW w:w="1945" w:type="pct"/>
          </w:tcPr>
          <w:p w14:paraId="1D250C3B" w14:textId="2AF5D485" w:rsidR="00521A30" w:rsidRPr="00A031DC" w:rsidRDefault="00521A30" w:rsidP="00537A1C">
            <w:pPr>
              <w:cnfStyle w:val="000000100000" w:firstRow="0" w:lastRow="0" w:firstColumn="0" w:lastColumn="0" w:oddVBand="0" w:evenVBand="0" w:oddHBand="1" w:evenHBand="0" w:firstRowFirstColumn="0" w:firstRowLastColumn="0" w:lastRowFirstColumn="0" w:lastRowLastColumn="0"/>
            </w:pPr>
            <w:r w:rsidRPr="00A031DC">
              <w:t>AME Group, Company Reports</w:t>
            </w:r>
          </w:p>
        </w:tc>
      </w:tr>
      <w:tr w:rsidR="00521A30" w:rsidRPr="005C2D0E" w14:paraId="5B360ED7" w14:textId="655B6F04"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2F511ECF" w14:textId="0BC730D1" w:rsidR="00521A30" w:rsidRPr="00A031DC" w:rsidRDefault="00521A30" w:rsidP="00537A1C">
            <w:pPr>
              <w:rPr>
                <w:rFonts w:eastAsia="Times New Roman"/>
                <w:lang w:eastAsia="en-AU"/>
              </w:rPr>
            </w:pPr>
            <w:r w:rsidRPr="00A031DC">
              <w:t xml:space="preserve">Production - </w:t>
            </w:r>
            <w:r w:rsidR="009E75DB" w:rsidRPr="00A031DC">
              <w:t>o</w:t>
            </w:r>
            <w:r w:rsidRPr="00A031DC">
              <w:t xml:space="preserve">nshore gathering and boosting - </w:t>
            </w:r>
            <w:r w:rsidR="009E75DB" w:rsidRPr="00A031DC">
              <w:t>c</w:t>
            </w:r>
            <w:r w:rsidRPr="00A031DC">
              <w:t xml:space="preserve">onventional </w:t>
            </w:r>
            <w:r w:rsidR="009E75DB" w:rsidRPr="00A031DC">
              <w:t>g</w:t>
            </w:r>
            <w:r w:rsidRPr="00A031DC">
              <w:t>as</w:t>
            </w:r>
          </w:p>
        </w:tc>
        <w:tc>
          <w:tcPr>
            <w:tcW w:w="1712" w:type="pct"/>
          </w:tcPr>
          <w:p w14:paraId="5617B274" w14:textId="7BB9E21A" w:rsidR="00521A30" w:rsidRPr="00A031DC" w:rsidRDefault="00521A30" w:rsidP="00B92E7B">
            <w:pPr>
              <w:cnfStyle w:val="000000000000" w:firstRow="0" w:lastRow="0" w:firstColumn="0" w:lastColumn="0" w:oddVBand="0" w:evenVBand="0" w:oddHBand="0" w:evenHBand="0" w:firstRowFirstColumn="0" w:firstRowLastColumn="0" w:lastRowFirstColumn="0" w:lastRowLastColumn="0"/>
            </w:pPr>
            <w:r w:rsidRPr="00A031DC">
              <w:t xml:space="preserve">Conventional gas production </w:t>
            </w:r>
          </w:p>
        </w:tc>
        <w:tc>
          <w:tcPr>
            <w:tcW w:w="1945" w:type="pct"/>
          </w:tcPr>
          <w:p w14:paraId="7FBECFF4" w14:textId="521869BB" w:rsidR="00521A30" w:rsidRPr="00A031DC" w:rsidRDefault="007618C6" w:rsidP="0005271D">
            <w:pPr>
              <w:cnfStyle w:val="000000000000" w:firstRow="0" w:lastRow="0" w:firstColumn="0" w:lastColumn="0" w:oddVBand="0" w:evenVBand="0" w:oddHBand="0" w:evenHBand="0" w:firstRowFirstColumn="0" w:firstRowLastColumn="0" w:lastRowFirstColumn="0" w:lastRowLastColumn="0"/>
            </w:pPr>
            <w:r w:rsidRPr="00A031DC">
              <w:t xml:space="preserve">OCE </w:t>
            </w:r>
            <w:r w:rsidR="005F6F87" w:rsidRPr="00A031DC">
              <w:t>202</w:t>
            </w:r>
            <w:r w:rsidR="004D09A7">
              <w:t>1a</w:t>
            </w:r>
            <w:r w:rsidRPr="00A031DC">
              <w:t xml:space="preserve">, </w:t>
            </w:r>
            <w:r w:rsidR="006D3CFE">
              <w:t>OCE 2021b,</w:t>
            </w:r>
            <w:r w:rsidR="006D3CFE" w:rsidRPr="00A031DC">
              <w:t xml:space="preserve"> </w:t>
            </w:r>
            <w:r w:rsidRPr="00A031DC">
              <w:t>AEMO 20</w:t>
            </w:r>
            <w:r w:rsidR="00BB29DF" w:rsidRPr="00A031DC">
              <w:t>20</w:t>
            </w:r>
            <w:r w:rsidR="0005271D">
              <w:t>c</w:t>
            </w:r>
            <w:r w:rsidRPr="00A031DC">
              <w:t>, AEMO 20</w:t>
            </w:r>
            <w:r w:rsidR="0005271D">
              <w:t>21c</w:t>
            </w:r>
            <w:r w:rsidR="00EE2B87" w:rsidRPr="00A031DC">
              <w:t>, emission projections models for LNG</w:t>
            </w:r>
            <w:r w:rsidR="00773E13" w:rsidRPr="00A031DC">
              <w:t xml:space="preserve"> </w:t>
            </w:r>
          </w:p>
        </w:tc>
      </w:tr>
      <w:tr w:rsidR="00521A30" w:rsidRPr="005C2D0E" w14:paraId="0E0A1F0D" w14:textId="7D19FD1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13613712" w14:textId="67B7F00C" w:rsidR="00521A30" w:rsidRPr="00A031DC" w:rsidRDefault="00521A30" w:rsidP="00537A1C">
            <w:pPr>
              <w:rPr>
                <w:rFonts w:eastAsia="Times New Roman"/>
                <w:lang w:eastAsia="en-AU"/>
              </w:rPr>
            </w:pPr>
            <w:r w:rsidRPr="00A031DC">
              <w:t xml:space="preserve">Production - </w:t>
            </w:r>
            <w:r w:rsidR="009E75DB" w:rsidRPr="00A031DC">
              <w:t>o</w:t>
            </w:r>
            <w:r w:rsidRPr="00A031DC">
              <w:t xml:space="preserve">nshore gathering and boosting - </w:t>
            </w:r>
            <w:r w:rsidR="009E75DB" w:rsidRPr="00A031DC">
              <w:t>u</w:t>
            </w:r>
            <w:r w:rsidRPr="00A031DC">
              <w:t xml:space="preserve">nconventional </w:t>
            </w:r>
            <w:r w:rsidR="009E75DB" w:rsidRPr="00A031DC">
              <w:t>g</w:t>
            </w:r>
            <w:r w:rsidRPr="00A031DC">
              <w:t>as</w:t>
            </w:r>
          </w:p>
        </w:tc>
        <w:tc>
          <w:tcPr>
            <w:tcW w:w="1712" w:type="pct"/>
          </w:tcPr>
          <w:p w14:paraId="138A625E" w14:textId="7DA541EE" w:rsidR="00521A30" w:rsidRPr="00A031DC" w:rsidRDefault="0086447E" w:rsidP="00537A1C">
            <w:pPr>
              <w:cnfStyle w:val="000000100000" w:firstRow="0" w:lastRow="0" w:firstColumn="0" w:lastColumn="0" w:oddVBand="0" w:evenVBand="0" w:oddHBand="1" w:evenHBand="0" w:firstRowFirstColumn="0" w:firstRowLastColumn="0" w:lastRowFirstColumn="0" w:lastRowLastColumn="0"/>
            </w:pPr>
            <w:r w:rsidRPr="00A031DC">
              <w:t>Unconventional gas production</w:t>
            </w:r>
          </w:p>
        </w:tc>
        <w:tc>
          <w:tcPr>
            <w:tcW w:w="1945" w:type="pct"/>
          </w:tcPr>
          <w:p w14:paraId="690F4F91" w14:textId="4CD26D38" w:rsidR="00521A30" w:rsidRPr="00A031DC" w:rsidRDefault="007618C6" w:rsidP="0005271D">
            <w:pPr>
              <w:cnfStyle w:val="000000100000" w:firstRow="0" w:lastRow="0" w:firstColumn="0" w:lastColumn="0" w:oddVBand="0" w:evenVBand="0" w:oddHBand="1" w:evenHBand="0" w:firstRowFirstColumn="0" w:firstRowLastColumn="0" w:lastRowFirstColumn="0" w:lastRowLastColumn="0"/>
            </w:pPr>
            <w:r w:rsidRPr="00A031DC">
              <w:t xml:space="preserve">OCE </w:t>
            </w:r>
            <w:r w:rsidR="005F6F87" w:rsidRPr="00A031DC">
              <w:t>202</w:t>
            </w:r>
            <w:r w:rsidR="004D09A7">
              <w:t>1a</w:t>
            </w:r>
            <w:r w:rsidRPr="00A031DC">
              <w:t xml:space="preserve">, </w:t>
            </w:r>
            <w:r w:rsidR="006D3CFE">
              <w:t>OCE 2021b,</w:t>
            </w:r>
            <w:r w:rsidR="006D3CFE" w:rsidRPr="00A031DC">
              <w:t xml:space="preserve"> </w:t>
            </w:r>
            <w:r w:rsidRPr="00A031DC">
              <w:t>AEMO 20</w:t>
            </w:r>
            <w:r w:rsidR="00BB29DF" w:rsidRPr="00A031DC">
              <w:t>20</w:t>
            </w:r>
            <w:r w:rsidR="0005271D">
              <w:t>c</w:t>
            </w:r>
            <w:r w:rsidRPr="00A031DC">
              <w:t>, AEMO 20</w:t>
            </w:r>
            <w:r w:rsidR="0005271D">
              <w:t>21c</w:t>
            </w:r>
            <w:r w:rsidR="00EE2B87" w:rsidRPr="00A031DC">
              <w:t>, emission projections models for LNG</w:t>
            </w:r>
            <w:r w:rsidR="00773E13" w:rsidRPr="00A031DC">
              <w:t xml:space="preserve"> </w:t>
            </w:r>
          </w:p>
        </w:tc>
      </w:tr>
      <w:tr w:rsidR="00521A30" w:rsidRPr="005C2D0E" w14:paraId="41B3446B" w14:textId="6C7306D7"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3555E454" w14:textId="3CC0AF51" w:rsidR="00521A30" w:rsidRPr="00A031DC" w:rsidRDefault="00521A30" w:rsidP="00537A1C">
            <w:pPr>
              <w:rPr>
                <w:rFonts w:eastAsia="Times New Roman"/>
                <w:lang w:eastAsia="en-AU"/>
              </w:rPr>
            </w:pPr>
            <w:r w:rsidRPr="00A031DC">
              <w:t xml:space="preserve">Production - </w:t>
            </w:r>
            <w:r w:rsidR="009E75DB" w:rsidRPr="00A031DC">
              <w:t>o</w:t>
            </w:r>
            <w:r w:rsidRPr="00A031DC">
              <w:t xml:space="preserve">nshore wells - </w:t>
            </w:r>
            <w:r w:rsidR="009E75DB" w:rsidRPr="00A031DC">
              <w:t>c</w:t>
            </w:r>
            <w:r w:rsidRPr="00A031DC">
              <w:t xml:space="preserve">onventional </w:t>
            </w:r>
            <w:r w:rsidR="009E75DB" w:rsidRPr="00A031DC">
              <w:t>g</w:t>
            </w:r>
            <w:r w:rsidRPr="00A031DC">
              <w:t>as</w:t>
            </w:r>
          </w:p>
        </w:tc>
        <w:tc>
          <w:tcPr>
            <w:tcW w:w="1712" w:type="pct"/>
          </w:tcPr>
          <w:p w14:paraId="3B25439B" w14:textId="4DDB30E1" w:rsidR="00521A30" w:rsidRPr="00A031DC" w:rsidRDefault="00521A30" w:rsidP="00B92E7B">
            <w:pPr>
              <w:cnfStyle w:val="000000000000" w:firstRow="0" w:lastRow="0" w:firstColumn="0" w:lastColumn="0" w:oddVBand="0" w:evenVBand="0" w:oddHBand="0" w:evenHBand="0" w:firstRowFirstColumn="0" w:firstRowLastColumn="0" w:lastRowFirstColumn="0" w:lastRowLastColumn="0"/>
            </w:pPr>
            <w:r w:rsidRPr="00A031DC">
              <w:t xml:space="preserve">Conventional gas production </w:t>
            </w:r>
          </w:p>
        </w:tc>
        <w:tc>
          <w:tcPr>
            <w:tcW w:w="1945" w:type="pct"/>
          </w:tcPr>
          <w:p w14:paraId="13DA4C9C" w14:textId="70C489CA" w:rsidR="00521A30" w:rsidRPr="00A031DC" w:rsidRDefault="007618C6" w:rsidP="0005271D">
            <w:pPr>
              <w:cnfStyle w:val="000000000000" w:firstRow="0" w:lastRow="0" w:firstColumn="0" w:lastColumn="0" w:oddVBand="0" w:evenVBand="0" w:oddHBand="0" w:evenHBand="0" w:firstRowFirstColumn="0" w:firstRowLastColumn="0" w:lastRowFirstColumn="0" w:lastRowLastColumn="0"/>
            </w:pPr>
            <w:r w:rsidRPr="00A031DC">
              <w:t xml:space="preserve">OCE </w:t>
            </w:r>
            <w:r w:rsidR="005F6F87" w:rsidRPr="00A031DC">
              <w:t>202</w:t>
            </w:r>
            <w:r w:rsidR="004D09A7">
              <w:t>1a</w:t>
            </w:r>
            <w:r w:rsidR="005F6F87" w:rsidRPr="00A031DC">
              <w:t>b</w:t>
            </w:r>
            <w:r w:rsidRPr="00A031DC">
              <w:t xml:space="preserve">, </w:t>
            </w:r>
            <w:r w:rsidR="006D3CFE">
              <w:t>OCE 2021b,</w:t>
            </w:r>
            <w:r w:rsidR="006D3CFE" w:rsidRPr="00A031DC">
              <w:t xml:space="preserve"> </w:t>
            </w:r>
            <w:r w:rsidRPr="00A031DC">
              <w:t>AEMO 20</w:t>
            </w:r>
            <w:r w:rsidR="00BB29DF" w:rsidRPr="00A031DC">
              <w:t>20</w:t>
            </w:r>
            <w:r w:rsidR="0005271D">
              <w:t>c</w:t>
            </w:r>
            <w:r w:rsidRPr="00A031DC">
              <w:t>, AEMO 20</w:t>
            </w:r>
            <w:r w:rsidR="0005271D">
              <w:t>21c</w:t>
            </w:r>
            <w:r w:rsidR="00EE2B87" w:rsidRPr="00A031DC">
              <w:t>, emission projections models for LNG</w:t>
            </w:r>
            <w:r w:rsidR="00773E13" w:rsidRPr="00A031DC">
              <w:t xml:space="preserve"> </w:t>
            </w:r>
          </w:p>
        </w:tc>
      </w:tr>
      <w:tr w:rsidR="00521A30" w:rsidRPr="005C2D0E" w14:paraId="72782396" w14:textId="753C7D9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1554875A" w14:textId="14E1A8E5" w:rsidR="00521A30" w:rsidRPr="00A031DC" w:rsidRDefault="00521A30" w:rsidP="00537A1C">
            <w:pPr>
              <w:rPr>
                <w:rFonts w:eastAsia="Times New Roman"/>
                <w:lang w:eastAsia="en-AU"/>
              </w:rPr>
            </w:pPr>
            <w:r w:rsidRPr="00A031DC">
              <w:lastRenderedPageBreak/>
              <w:t xml:space="preserve">Production - </w:t>
            </w:r>
            <w:r w:rsidR="009E75DB" w:rsidRPr="00A031DC">
              <w:t>o</w:t>
            </w:r>
            <w:r w:rsidRPr="00A031DC">
              <w:t xml:space="preserve">nshore wells - </w:t>
            </w:r>
            <w:r w:rsidR="009E75DB" w:rsidRPr="00A031DC">
              <w:t>u</w:t>
            </w:r>
            <w:r w:rsidRPr="00A031DC">
              <w:t xml:space="preserve">nconventional </w:t>
            </w:r>
            <w:r w:rsidR="009E75DB" w:rsidRPr="00A031DC">
              <w:t>g</w:t>
            </w:r>
            <w:r w:rsidRPr="00A031DC">
              <w:t>as</w:t>
            </w:r>
          </w:p>
        </w:tc>
        <w:tc>
          <w:tcPr>
            <w:tcW w:w="1712" w:type="pct"/>
          </w:tcPr>
          <w:p w14:paraId="66D9504C" w14:textId="21A991E4" w:rsidR="00521A30" w:rsidRPr="00A031DC" w:rsidRDefault="0086447E" w:rsidP="00537A1C">
            <w:pPr>
              <w:cnfStyle w:val="000000100000" w:firstRow="0" w:lastRow="0" w:firstColumn="0" w:lastColumn="0" w:oddVBand="0" w:evenVBand="0" w:oddHBand="1" w:evenHBand="0" w:firstRowFirstColumn="0" w:firstRowLastColumn="0" w:lastRowFirstColumn="0" w:lastRowLastColumn="0"/>
            </w:pPr>
            <w:r w:rsidRPr="00A031DC">
              <w:t>Unconventional gas p</w:t>
            </w:r>
            <w:r w:rsidR="00521A30" w:rsidRPr="00A031DC">
              <w:t>roduction</w:t>
            </w:r>
          </w:p>
        </w:tc>
        <w:tc>
          <w:tcPr>
            <w:tcW w:w="1945" w:type="pct"/>
          </w:tcPr>
          <w:p w14:paraId="2CAB0EA1" w14:textId="06C84AC8" w:rsidR="00521A30" w:rsidRPr="00A031DC" w:rsidRDefault="007618C6" w:rsidP="0005271D">
            <w:pPr>
              <w:cnfStyle w:val="000000100000" w:firstRow="0" w:lastRow="0" w:firstColumn="0" w:lastColumn="0" w:oddVBand="0" w:evenVBand="0" w:oddHBand="1" w:evenHBand="0" w:firstRowFirstColumn="0" w:firstRowLastColumn="0" w:lastRowFirstColumn="0" w:lastRowLastColumn="0"/>
            </w:pPr>
            <w:r w:rsidRPr="00A031DC">
              <w:t xml:space="preserve">OCE </w:t>
            </w:r>
            <w:r w:rsidR="005F6F87" w:rsidRPr="00A031DC">
              <w:t>202</w:t>
            </w:r>
            <w:r w:rsidR="004D09A7">
              <w:t>1a</w:t>
            </w:r>
            <w:r w:rsidRPr="00A031DC">
              <w:t xml:space="preserve">, </w:t>
            </w:r>
            <w:r w:rsidR="006D3CFE">
              <w:t>OCE 2021b,</w:t>
            </w:r>
            <w:r w:rsidR="006D3CFE" w:rsidRPr="00A031DC">
              <w:t xml:space="preserve"> </w:t>
            </w:r>
            <w:r w:rsidRPr="00A031DC">
              <w:t>AEMO 20</w:t>
            </w:r>
            <w:r w:rsidR="00BB29DF" w:rsidRPr="00A031DC">
              <w:t>20</w:t>
            </w:r>
            <w:r w:rsidR="0005271D">
              <w:t>c</w:t>
            </w:r>
            <w:r w:rsidRPr="00A031DC">
              <w:t>, AEMO 20</w:t>
            </w:r>
            <w:r w:rsidR="0005271D">
              <w:t>21c</w:t>
            </w:r>
            <w:r w:rsidR="00EE2B87" w:rsidRPr="00A031DC">
              <w:t>, emission projections models for LNG</w:t>
            </w:r>
            <w:r w:rsidR="00773E13" w:rsidRPr="00A031DC">
              <w:t xml:space="preserve"> </w:t>
            </w:r>
          </w:p>
        </w:tc>
      </w:tr>
      <w:tr w:rsidR="00521A30" w:rsidRPr="005C2D0E" w14:paraId="76620EE1" w14:textId="1CEC4244"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05FA1CA5" w14:textId="3B97D973" w:rsidR="00521A30" w:rsidRPr="00A031DC" w:rsidRDefault="00521A30" w:rsidP="00537A1C">
            <w:pPr>
              <w:rPr>
                <w:rFonts w:eastAsia="Times New Roman"/>
                <w:lang w:eastAsia="en-AU"/>
              </w:rPr>
            </w:pPr>
            <w:r w:rsidRPr="00A031DC">
              <w:t xml:space="preserve">Production - </w:t>
            </w:r>
            <w:r w:rsidR="009E75DB" w:rsidRPr="00A031DC">
              <w:t>o</w:t>
            </w:r>
            <w:r w:rsidRPr="00A031DC">
              <w:t xml:space="preserve">nshore wells - </w:t>
            </w:r>
            <w:r w:rsidR="009E75DB" w:rsidRPr="00A031DC">
              <w:t>w</w:t>
            </w:r>
            <w:r w:rsidRPr="00A031DC">
              <w:t xml:space="preserve">ater </w:t>
            </w:r>
            <w:r w:rsidR="009E75DB" w:rsidRPr="00A031DC">
              <w:t>p</w:t>
            </w:r>
            <w:r w:rsidRPr="00A031DC">
              <w:t>roduction</w:t>
            </w:r>
          </w:p>
        </w:tc>
        <w:tc>
          <w:tcPr>
            <w:tcW w:w="1712" w:type="pct"/>
          </w:tcPr>
          <w:p w14:paraId="67298FD3" w14:textId="743DAE8F" w:rsidR="00521A30" w:rsidRPr="00A031DC" w:rsidRDefault="00521A30" w:rsidP="00537A1C">
            <w:pPr>
              <w:cnfStyle w:val="000000000000" w:firstRow="0" w:lastRow="0" w:firstColumn="0" w:lastColumn="0" w:oddVBand="0" w:evenVBand="0" w:oddHBand="0" w:evenHBand="0" w:firstRowFirstColumn="0" w:firstRowLastColumn="0" w:lastRowFirstColumn="0" w:lastRowLastColumn="0"/>
            </w:pPr>
            <w:r w:rsidRPr="00A031DC">
              <w:t xml:space="preserve">Unconventional </w:t>
            </w:r>
            <w:r w:rsidR="0086447E" w:rsidRPr="00A031DC">
              <w:t>g</w:t>
            </w:r>
            <w:r w:rsidRPr="00A031DC">
              <w:t xml:space="preserve">as </w:t>
            </w:r>
            <w:r w:rsidR="0086447E" w:rsidRPr="00A031DC">
              <w:t>p</w:t>
            </w:r>
            <w:r w:rsidRPr="00A031DC">
              <w:t>roduction</w:t>
            </w:r>
          </w:p>
        </w:tc>
        <w:tc>
          <w:tcPr>
            <w:tcW w:w="1945" w:type="pct"/>
          </w:tcPr>
          <w:p w14:paraId="2EB6DF74" w14:textId="25E01CB3" w:rsidR="00521A30" w:rsidRPr="00A031DC" w:rsidRDefault="007618C6" w:rsidP="0005271D">
            <w:pPr>
              <w:cnfStyle w:val="000000000000" w:firstRow="0" w:lastRow="0" w:firstColumn="0" w:lastColumn="0" w:oddVBand="0" w:evenVBand="0" w:oddHBand="0" w:evenHBand="0" w:firstRowFirstColumn="0" w:firstRowLastColumn="0" w:lastRowFirstColumn="0" w:lastRowLastColumn="0"/>
            </w:pPr>
            <w:r w:rsidRPr="00A031DC">
              <w:t xml:space="preserve">OCE </w:t>
            </w:r>
            <w:r w:rsidR="005F6F87" w:rsidRPr="00A031DC">
              <w:t>202</w:t>
            </w:r>
            <w:r w:rsidR="004D09A7">
              <w:t>1a</w:t>
            </w:r>
            <w:r w:rsidRPr="00A031DC">
              <w:t xml:space="preserve">, </w:t>
            </w:r>
            <w:r w:rsidR="006D3CFE">
              <w:t>OCE 2021b,</w:t>
            </w:r>
            <w:r w:rsidR="006D3CFE" w:rsidRPr="00A031DC">
              <w:t xml:space="preserve"> </w:t>
            </w:r>
            <w:r w:rsidRPr="00A031DC">
              <w:t>AEMO 20</w:t>
            </w:r>
            <w:r w:rsidR="00BB29DF" w:rsidRPr="00A031DC">
              <w:t>20</w:t>
            </w:r>
            <w:r w:rsidR="0005271D">
              <w:t>c</w:t>
            </w:r>
            <w:r w:rsidRPr="00A031DC">
              <w:t>, AEMO 20</w:t>
            </w:r>
            <w:r w:rsidR="0005271D">
              <w:t>21c</w:t>
            </w:r>
            <w:r w:rsidR="00EE2B87" w:rsidRPr="00A031DC">
              <w:t>, emission projections models for LNG</w:t>
            </w:r>
            <w:r w:rsidR="00773E13" w:rsidRPr="00A031DC">
              <w:t xml:space="preserve"> </w:t>
            </w:r>
          </w:p>
        </w:tc>
      </w:tr>
      <w:tr w:rsidR="00521A30" w:rsidRPr="005C2D0E" w14:paraId="79C0DFEC" w14:textId="1D4ED5F3"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2AE1B8BD" w14:textId="6F668616" w:rsidR="00521A30" w:rsidRPr="00A031DC" w:rsidRDefault="00521A30" w:rsidP="00537A1C">
            <w:pPr>
              <w:rPr>
                <w:rFonts w:eastAsia="Times New Roman"/>
                <w:lang w:eastAsia="en-AU"/>
              </w:rPr>
            </w:pPr>
            <w:r w:rsidRPr="00A031DC">
              <w:t xml:space="preserve">Transmission and </w:t>
            </w:r>
            <w:r w:rsidR="009E75DB" w:rsidRPr="00A031DC">
              <w:t>s</w:t>
            </w:r>
            <w:r w:rsidRPr="00A031DC">
              <w:t xml:space="preserve">torage - LNG </w:t>
            </w:r>
            <w:r w:rsidR="009E75DB" w:rsidRPr="00A031DC">
              <w:t>t</w:t>
            </w:r>
            <w:r w:rsidRPr="00A031DC">
              <w:t>erminals</w:t>
            </w:r>
          </w:p>
        </w:tc>
        <w:tc>
          <w:tcPr>
            <w:tcW w:w="1712" w:type="pct"/>
          </w:tcPr>
          <w:p w14:paraId="3078ECD3" w14:textId="498E02ED" w:rsidR="00521A30" w:rsidRPr="00A031DC" w:rsidRDefault="00521A30" w:rsidP="00537A1C">
            <w:pPr>
              <w:cnfStyle w:val="000000100000" w:firstRow="0" w:lastRow="0" w:firstColumn="0" w:lastColumn="0" w:oddVBand="0" w:evenVBand="0" w:oddHBand="1" w:evenHBand="0" w:firstRowFirstColumn="0" w:firstRowLastColumn="0" w:lastRowFirstColumn="0" w:lastRowLastColumn="0"/>
            </w:pPr>
            <w:r w:rsidRPr="00A031DC">
              <w:t>Number of LNG terminals operating</w:t>
            </w:r>
          </w:p>
        </w:tc>
        <w:tc>
          <w:tcPr>
            <w:tcW w:w="1945" w:type="pct"/>
          </w:tcPr>
          <w:p w14:paraId="74728186" w14:textId="6F298C31" w:rsidR="00521A30" w:rsidRPr="00A031DC" w:rsidRDefault="00AA433F" w:rsidP="0005271D">
            <w:pPr>
              <w:cnfStyle w:val="000000100000" w:firstRow="0" w:lastRow="0" w:firstColumn="0" w:lastColumn="0" w:oddVBand="0" w:evenVBand="0" w:oddHBand="1" w:evenHBand="0" w:firstRowFirstColumn="0" w:firstRowLastColumn="0" w:lastRowFirstColumn="0" w:lastRowLastColumn="0"/>
            </w:pPr>
            <w:r w:rsidRPr="00A031DC">
              <w:t>AEMO 202</w:t>
            </w:r>
            <w:r w:rsidR="0005271D">
              <w:t>1c</w:t>
            </w:r>
            <w:r w:rsidRPr="00A031DC">
              <w:t xml:space="preserve">, </w:t>
            </w:r>
            <w:r w:rsidR="00521A30" w:rsidRPr="00A031DC">
              <w:t xml:space="preserve">AME Group, </w:t>
            </w:r>
            <w:r w:rsidR="009E75DB" w:rsidRPr="00A031DC">
              <w:t>c</w:t>
            </w:r>
            <w:r w:rsidR="00521A30" w:rsidRPr="00A031DC">
              <w:t xml:space="preserve">ompany </w:t>
            </w:r>
            <w:r w:rsidR="009E75DB" w:rsidRPr="00A031DC">
              <w:t>r</w:t>
            </w:r>
            <w:r w:rsidR="00521A30" w:rsidRPr="00A031DC">
              <w:t>eports</w:t>
            </w:r>
          </w:p>
        </w:tc>
      </w:tr>
      <w:tr w:rsidR="00521A30" w:rsidRPr="005C2D0E" w14:paraId="243227CF" w14:textId="4D01D10C"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775B5206" w14:textId="0E01CFB3" w:rsidR="00521A30" w:rsidRPr="00A031DC" w:rsidRDefault="00521A30" w:rsidP="00537A1C">
            <w:pPr>
              <w:rPr>
                <w:rFonts w:eastAsia="Times New Roman"/>
                <w:lang w:eastAsia="en-AU"/>
              </w:rPr>
            </w:pPr>
            <w:r w:rsidRPr="00A031DC">
              <w:t xml:space="preserve">Transmission and </w:t>
            </w:r>
            <w:r w:rsidR="009E75DB" w:rsidRPr="00A031DC">
              <w:t>s</w:t>
            </w:r>
            <w:r w:rsidRPr="00A031DC">
              <w:t xml:space="preserve">torage - </w:t>
            </w:r>
            <w:r w:rsidR="009E75DB" w:rsidRPr="00A031DC">
              <w:t>s</w:t>
            </w:r>
            <w:r w:rsidRPr="00A031DC">
              <w:t>torage - LNG</w:t>
            </w:r>
          </w:p>
        </w:tc>
        <w:tc>
          <w:tcPr>
            <w:tcW w:w="1712" w:type="pct"/>
          </w:tcPr>
          <w:p w14:paraId="0566A299" w14:textId="3618EA41" w:rsidR="00521A30" w:rsidRPr="00A031DC" w:rsidRDefault="00521A30" w:rsidP="00537A1C">
            <w:pPr>
              <w:cnfStyle w:val="000000000000" w:firstRow="0" w:lastRow="0" w:firstColumn="0" w:lastColumn="0" w:oddVBand="0" w:evenVBand="0" w:oddHBand="0" w:evenHBand="0" w:firstRowFirstColumn="0" w:firstRowLastColumn="0" w:lastRowFirstColumn="0" w:lastRowLastColumn="0"/>
              <w:rPr>
                <w:highlight w:val="yellow"/>
              </w:rPr>
            </w:pPr>
            <w:r w:rsidRPr="00A031DC">
              <w:t>Number of LNG storage stations operating</w:t>
            </w:r>
          </w:p>
        </w:tc>
        <w:tc>
          <w:tcPr>
            <w:tcW w:w="1945" w:type="pct"/>
          </w:tcPr>
          <w:p w14:paraId="59BD93F2" w14:textId="1CE07890" w:rsidR="00521A30" w:rsidRPr="00A031DC" w:rsidRDefault="00521A30" w:rsidP="00537A1C">
            <w:pPr>
              <w:cnfStyle w:val="000000000000" w:firstRow="0" w:lastRow="0" w:firstColumn="0" w:lastColumn="0" w:oddVBand="0" w:evenVBand="0" w:oddHBand="0" w:evenHBand="0" w:firstRowFirstColumn="0" w:firstRowLastColumn="0" w:lastRowFirstColumn="0" w:lastRowLastColumn="0"/>
            </w:pPr>
            <w:r w:rsidRPr="00A031DC">
              <w:t xml:space="preserve">AME Group, </w:t>
            </w:r>
            <w:r w:rsidR="009E75DB" w:rsidRPr="00A031DC">
              <w:t>c</w:t>
            </w:r>
            <w:r w:rsidRPr="00A031DC">
              <w:t xml:space="preserve">ompany </w:t>
            </w:r>
            <w:r w:rsidR="009E75DB" w:rsidRPr="00A031DC">
              <w:t>r</w:t>
            </w:r>
            <w:r w:rsidRPr="00A031DC">
              <w:t>eports</w:t>
            </w:r>
          </w:p>
        </w:tc>
      </w:tr>
      <w:tr w:rsidR="00521A30" w:rsidRPr="005C2D0E" w14:paraId="2D00D111" w14:textId="09E515A1"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0B37EDC3" w14:textId="1A41C08F" w:rsidR="00521A30" w:rsidRPr="00A031DC" w:rsidRDefault="00521A30" w:rsidP="00537A1C">
            <w:pPr>
              <w:rPr>
                <w:rFonts w:eastAsia="Times New Roman"/>
                <w:lang w:eastAsia="en-AU"/>
              </w:rPr>
            </w:pPr>
            <w:r w:rsidRPr="00A031DC">
              <w:t xml:space="preserve">Transmission and </w:t>
            </w:r>
            <w:r w:rsidR="009E75DB" w:rsidRPr="00A031DC">
              <w:t>s</w:t>
            </w:r>
            <w:r w:rsidRPr="00A031DC">
              <w:t xml:space="preserve">torage - </w:t>
            </w:r>
            <w:r w:rsidR="009E75DB" w:rsidRPr="00A031DC">
              <w:t>s</w:t>
            </w:r>
            <w:r w:rsidRPr="00A031DC">
              <w:t xml:space="preserve">torage - </w:t>
            </w:r>
            <w:r w:rsidR="009E75DB" w:rsidRPr="00A031DC">
              <w:t>n</w:t>
            </w:r>
            <w:r w:rsidRPr="00A031DC">
              <w:t xml:space="preserve">atural </w:t>
            </w:r>
            <w:r w:rsidR="009E75DB" w:rsidRPr="00A031DC">
              <w:t>g</w:t>
            </w:r>
            <w:r w:rsidRPr="00A031DC">
              <w:t>as</w:t>
            </w:r>
          </w:p>
        </w:tc>
        <w:tc>
          <w:tcPr>
            <w:tcW w:w="1712" w:type="pct"/>
          </w:tcPr>
          <w:p w14:paraId="7BA90E9A" w14:textId="1BD41239" w:rsidR="00521A30" w:rsidRPr="00A031DC" w:rsidRDefault="00521A30" w:rsidP="00537A1C">
            <w:pPr>
              <w:cnfStyle w:val="000000100000" w:firstRow="0" w:lastRow="0" w:firstColumn="0" w:lastColumn="0" w:oddVBand="0" w:evenVBand="0" w:oddHBand="1" w:evenHBand="0" w:firstRowFirstColumn="0" w:firstRowLastColumn="0" w:lastRowFirstColumn="0" w:lastRowLastColumn="0"/>
              <w:rPr>
                <w:highlight w:val="yellow"/>
              </w:rPr>
            </w:pPr>
            <w:r w:rsidRPr="00A031DC">
              <w:t>Number of gas storage stations operating</w:t>
            </w:r>
          </w:p>
        </w:tc>
        <w:tc>
          <w:tcPr>
            <w:tcW w:w="1945" w:type="pct"/>
          </w:tcPr>
          <w:p w14:paraId="347B6A07" w14:textId="5D59893F" w:rsidR="00521A30" w:rsidRPr="00A031DC" w:rsidRDefault="00AA433F" w:rsidP="0005271D">
            <w:pPr>
              <w:cnfStyle w:val="000000100000" w:firstRow="0" w:lastRow="0" w:firstColumn="0" w:lastColumn="0" w:oddVBand="0" w:evenVBand="0" w:oddHBand="1" w:evenHBand="0" w:firstRowFirstColumn="0" w:firstRowLastColumn="0" w:lastRowFirstColumn="0" w:lastRowLastColumn="0"/>
            </w:pPr>
            <w:r w:rsidRPr="00A031DC">
              <w:t>AEMO 202</w:t>
            </w:r>
            <w:r w:rsidR="0005271D">
              <w:t>1c</w:t>
            </w:r>
            <w:r w:rsidRPr="00A031DC">
              <w:t xml:space="preserve">, </w:t>
            </w:r>
            <w:r w:rsidR="00521A30" w:rsidRPr="00A031DC">
              <w:t xml:space="preserve">AME Group, </w:t>
            </w:r>
            <w:r w:rsidR="009E75DB" w:rsidRPr="00A031DC">
              <w:t>c</w:t>
            </w:r>
            <w:r w:rsidR="00521A30" w:rsidRPr="00A031DC">
              <w:t xml:space="preserve">ompany </w:t>
            </w:r>
            <w:r w:rsidR="009E75DB" w:rsidRPr="00A031DC">
              <w:t>r</w:t>
            </w:r>
            <w:r w:rsidR="00521A30" w:rsidRPr="00A031DC">
              <w:t>eports</w:t>
            </w:r>
          </w:p>
        </w:tc>
      </w:tr>
      <w:tr w:rsidR="00521A30" w:rsidRPr="005C2D0E" w14:paraId="4C9A5337" w14:textId="6A06BEE5"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1DA968DA" w14:textId="323D63E4" w:rsidR="00521A30" w:rsidRPr="00A031DC" w:rsidRDefault="00521A30" w:rsidP="00537A1C">
            <w:r w:rsidRPr="00A031DC">
              <w:t xml:space="preserve">Transmission and </w:t>
            </w:r>
            <w:r w:rsidR="009E75DB" w:rsidRPr="00A031DC">
              <w:t>s</w:t>
            </w:r>
            <w:r w:rsidRPr="00A031DC">
              <w:t xml:space="preserve">torage - </w:t>
            </w:r>
            <w:r w:rsidR="009E75DB" w:rsidRPr="00A031DC">
              <w:t>t</w:t>
            </w:r>
            <w:r w:rsidRPr="00A031DC">
              <w:t>ransmission</w:t>
            </w:r>
          </w:p>
        </w:tc>
        <w:tc>
          <w:tcPr>
            <w:tcW w:w="1712" w:type="pct"/>
          </w:tcPr>
          <w:p w14:paraId="07284133" w14:textId="556DA893" w:rsidR="00521A30" w:rsidRPr="00A031DC" w:rsidRDefault="00521A30" w:rsidP="00537A1C">
            <w:pPr>
              <w:cnfStyle w:val="000000000000" w:firstRow="0" w:lastRow="0" w:firstColumn="0" w:lastColumn="0" w:oddVBand="0" w:evenVBand="0" w:oddHBand="0" w:evenHBand="0" w:firstRowFirstColumn="0" w:firstRowLastColumn="0" w:lastRowFirstColumn="0" w:lastRowLastColumn="0"/>
            </w:pPr>
            <w:r w:rsidRPr="00A031DC">
              <w:t>Total pipeline length</w:t>
            </w:r>
          </w:p>
        </w:tc>
        <w:tc>
          <w:tcPr>
            <w:tcW w:w="1945" w:type="pct"/>
          </w:tcPr>
          <w:p w14:paraId="1FD6395A" w14:textId="2A5BE74E" w:rsidR="00521A30" w:rsidRPr="00A031DC" w:rsidRDefault="004E58A4" w:rsidP="00537A1C">
            <w:pPr>
              <w:cnfStyle w:val="000000000000" w:firstRow="0" w:lastRow="0" w:firstColumn="0" w:lastColumn="0" w:oddVBand="0" w:evenVBand="0" w:oddHBand="0" w:evenHBand="0" w:firstRowFirstColumn="0" w:firstRowLastColumn="0" w:lastRowFirstColumn="0" w:lastRowLastColumn="0"/>
            </w:pPr>
            <w:r w:rsidRPr="00A031DC">
              <w:t>A</w:t>
            </w:r>
            <w:r w:rsidR="00AA433F" w:rsidRPr="00A031DC">
              <w:t>PGA</w:t>
            </w:r>
            <w:r w:rsidRPr="00A031DC">
              <w:t xml:space="preserve"> 20</w:t>
            </w:r>
            <w:r w:rsidR="00AA433F" w:rsidRPr="00A031DC">
              <w:t>20</w:t>
            </w:r>
            <w:r w:rsidR="00521A30" w:rsidRPr="00A031DC">
              <w:t xml:space="preserve">, </w:t>
            </w:r>
            <w:r w:rsidR="009E75DB" w:rsidRPr="00A031DC">
              <w:t>c</w:t>
            </w:r>
            <w:r w:rsidR="00521A30" w:rsidRPr="00A031DC">
              <w:t xml:space="preserve">ompany </w:t>
            </w:r>
            <w:r w:rsidR="009E75DB" w:rsidRPr="00A031DC">
              <w:t>r</w:t>
            </w:r>
            <w:r w:rsidR="00521A30" w:rsidRPr="00A031DC">
              <w:t xml:space="preserve">eports </w:t>
            </w:r>
          </w:p>
        </w:tc>
      </w:tr>
      <w:tr w:rsidR="00521A30" w:rsidRPr="005C2D0E" w14:paraId="583845B8" w14:textId="03593744"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2" w:type="pct"/>
          </w:tcPr>
          <w:p w14:paraId="577744BD" w14:textId="6D8D6615" w:rsidR="00521A30" w:rsidRPr="00A031DC" w:rsidRDefault="00521A30" w:rsidP="00537A1C">
            <w:r w:rsidRPr="00A031DC">
              <w:t xml:space="preserve">Venting and </w:t>
            </w:r>
            <w:r w:rsidR="009E75DB" w:rsidRPr="00A031DC">
              <w:t>f</w:t>
            </w:r>
            <w:r w:rsidRPr="00A031DC">
              <w:t xml:space="preserve">laring - </w:t>
            </w:r>
            <w:r w:rsidR="009E75DB" w:rsidRPr="00A031DC">
              <w:t>f</w:t>
            </w:r>
            <w:r w:rsidRPr="00A031DC">
              <w:t xml:space="preserve">laring - </w:t>
            </w:r>
            <w:r w:rsidR="009E75DB" w:rsidRPr="00A031DC">
              <w:t>g</w:t>
            </w:r>
            <w:r w:rsidRPr="00A031DC">
              <w:t>as</w:t>
            </w:r>
          </w:p>
        </w:tc>
        <w:tc>
          <w:tcPr>
            <w:tcW w:w="1712" w:type="pct"/>
          </w:tcPr>
          <w:p w14:paraId="1594E5BF" w14:textId="5ED736EC" w:rsidR="00521A30" w:rsidRPr="00A031DC" w:rsidRDefault="00521A30" w:rsidP="00AD680A">
            <w:pPr>
              <w:cnfStyle w:val="000000100000" w:firstRow="0" w:lastRow="0" w:firstColumn="0" w:lastColumn="0" w:oddVBand="0" w:evenVBand="0" w:oddHBand="1" w:evenHBand="0" w:firstRowFirstColumn="0" w:firstRowLastColumn="0" w:lastRowFirstColumn="0" w:lastRowLastColumn="0"/>
            </w:pPr>
            <w:r w:rsidRPr="00A031DC">
              <w:t xml:space="preserve">Domestic </w:t>
            </w:r>
            <w:r w:rsidR="0086447E" w:rsidRPr="00A031DC">
              <w:t xml:space="preserve">gas </w:t>
            </w:r>
            <w:r w:rsidR="00AD680A">
              <w:t xml:space="preserve">production </w:t>
            </w:r>
            <w:r w:rsidR="00F57079">
              <w:t>(conventional and unconventional)</w:t>
            </w:r>
          </w:p>
        </w:tc>
        <w:tc>
          <w:tcPr>
            <w:tcW w:w="1945" w:type="pct"/>
          </w:tcPr>
          <w:p w14:paraId="10A9F031" w14:textId="4F0EA28E" w:rsidR="00521A30" w:rsidRPr="00A031DC" w:rsidRDefault="00AD680A" w:rsidP="0005271D">
            <w:pPr>
              <w:cnfStyle w:val="000000100000" w:firstRow="0" w:lastRow="0" w:firstColumn="0" w:lastColumn="0" w:oddVBand="0" w:evenVBand="0" w:oddHBand="1" w:evenHBand="0" w:firstRowFirstColumn="0" w:firstRowLastColumn="0" w:lastRowFirstColumn="0" w:lastRowLastColumn="0"/>
            </w:pPr>
            <w:r>
              <w:t xml:space="preserve">OCE 2021a, </w:t>
            </w:r>
            <w:r w:rsidR="006D3CFE">
              <w:t>OCE 2021b,</w:t>
            </w:r>
            <w:r w:rsidR="006D3CFE" w:rsidRPr="00A031DC">
              <w:t xml:space="preserve"> </w:t>
            </w:r>
            <w:r w:rsidR="007618C6" w:rsidRPr="00A031DC">
              <w:t>AEMO 20</w:t>
            </w:r>
            <w:r w:rsidR="00BB29DF" w:rsidRPr="00A031DC">
              <w:t>20</w:t>
            </w:r>
            <w:r w:rsidR="0005271D">
              <w:t>c</w:t>
            </w:r>
            <w:r w:rsidR="007618C6" w:rsidRPr="00A031DC">
              <w:t>, AEMO 20</w:t>
            </w:r>
            <w:r w:rsidR="0005271D">
              <w:t>21c</w:t>
            </w:r>
            <w:r w:rsidR="00024878" w:rsidRPr="00A031DC">
              <w:t xml:space="preserve">, </w:t>
            </w:r>
          </w:p>
        </w:tc>
      </w:tr>
      <w:tr w:rsidR="00521A30" w:rsidRPr="005C2D0E" w14:paraId="07F19690" w14:textId="676FA586" w:rsidTr="002354AC">
        <w:trPr>
          <w:trHeight w:val="315"/>
        </w:trPr>
        <w:tc>
          <w:tcPr>
            <w:cnfStyle w:val="001000000000" w:firstRow="0" w:lastRow="0" w:firstColumn="1" w:lastColumn="0" w:oddVBand="0" w:evenVBand="0" w:oddHBand="0" w:evenHBand="0" w:firstRowFirstColumn="0" w:firstRowLastColumn="0" w:lastRowFirstColumn="0" w:lastRowLastColumn="0"/>
            <w:tcW w:w="1342" w:type="pct"/>
          </w:tcPr>
          <w:p w14:paraId="01D78C4C" w14:textId="78EAD346" w:rsidR="00521A30" w:rsidRPr="00A031DC" w:rsidRDefault="00521A30" w:rsidP="00537A1C">
            <w:r w:rsidRPr="00A031DC">
              <w:t xml:space="preserve">Venting and </w:t>
            </w:r>
            <w:r w:rsidR="009E75DB" w:rsidRPr="00A031DC">
              <w:t>f</w:t>
            </w:r>
            <w:r w:rsidRPr="00A031DC">
              <w:t xml:space="preserve">laring - </w:t>
            </w:r>
            <w:r w:rsidR="009E75DB" w:rsidRPr="00A031DC">
              <w:t>v</w:t>
            </w:r>
            <w:r w:rsidRPr="00A031DC">
              <w:t xml:space="preserve">enting - </w:t>
            </w:r>
            <w:r w:rsidR="009E75DB" w:rsidRPr="00A031DC">
              <w:t>g</w:t>
            </w:r>
            <w:r w:rsidRPr="00A031DC">
              <w:t>as</w:t>
            </w:r>
          </w:p>
        </w:tc>
        <w:tc>
          <w:tcPr>
            <w:tcW w:w="1712" w:type="pct"/>
          </w:tcPr>
          <w:p w14:paraId="452DFB07" w14:textId="4909CD88" w:rsidR="00521A30" w:rsidRPr="00A031DC" w:rsidRDefault="0086447E" w:rsidP="00AD680A">
            <w:pPr>
              <w:cnfStyle w:val="000000000000" w:firstRow="0" w:lastRow="0" w:firstColumn="0" w:lastColumn="0" w:oddVBand="0" w:evenVBand="0" w:oddHBand="0" w:evenHBand="0" w:firstRowFirstColumn="0" w:firstRowLastColumn="0" w:lastRowFirstColumn="0" w:lastRowLastColumn="0"/>
            </w:pPr>
            <w:r w:rsidRPr="00A031DC">
              <w:t>Domestic g</w:t>
            </w:r>
            <w:r w:rsidR="00521A30" w:rsidRPr="00A031DC">
              <w:t xml:space="preserve">as </w:t>
            </w:r>
            <w:r w:rsidR="00AD680A">
              <w:t xml:space="preserve">production </w:t>
            </w:r>
            <w:r w:rsidR="00F57079">
              <w:t>(conventional and unconventional)</w:t>
            </w:r>
          </w:p>
        </w:tc>
        <w:tc>
          <w:tcPr>
            <w:tcW w:w="1945" w:type="pct"/>
          </w:tcPr>
          <w:p w14:paraId="412DFE04" w14:textId="4077D8D0" w:rsidR="00521A30" w:rsidRPr="00A031DC" w:rsidRDefault="00AD680A" w:rsidP="0005271D">
            <w:pPr>
              <w:cnfStyle w:val="000000000000" w:firstRow="0" w:lastRow="0" w:firstColumn="0" w:lastColumn="0" w:oddVBand="0" w:evenVBand="0" w:oddHBand="0" w:evenHBand="0" w:firstRowFirstColumn="0" w:firstRowLastColumn="0" w:lastRowFirstColumn="0" w:lastRowLastColumn="0"/>
            </w:pPr>
            <w:r>
              <w:t xml:space="preserve">OCE 2021a, </w:t>
            </w:r>
            <w:r w:rsidR="006D3CFE">
              <w:t>OCE 2021b,</w:t>
            </w:r>
            <w:r w:rsidR="006D3CFE" w:rsidRPr="00A031DC">
              <w:t xml:space="preserve"> </w:t>
            </w:r>
            <w:r w:rsidR="007618C6" w:rsidRPr="00A031DC">
              <w:t>AEMO 20</w:t>
            </w:r>
            <w:r w:rsidR="00BB29DF" w:rsidRPr="00A031DC">
              <w:t>20</w:t>
            </w:r>
            <w:r w:rsidR="0005271D">
              <w:t>c</w:t>
            </w:r>
            <w:r w:rsidR="007618C6" w:rsidRPr="00A031DC">
              <w:t>, AEMO 20</w:t>
            </w:r>
            <w:r w:rsidR="0005271D">
              <w:t>21c</w:t>
            </w:r>
            <w:r w:rsidR="00024878" w:rsidRPr="00A031DC">
              <w:t xml:space="preserve">, </w:t>
            </w:r>
          </w:p>
        </w:tc>
      </w:tr>
    </w:tbl>
    <w:p w14:paraId="7B4C22A0" w14:textId="30FC3488" w:rsidR="000A6AC6" w:rsidRDefault="000A6AC6" w:rsidP="00537A1C">
      <w:pPr>
        <w:pStyle w:val="Sub-heading"/>
      </w:pPr>
    </w:p>
    <w:p w14:paraId="2A14C13F" w14:textId="257C5BAE" w:rsidR="00F57079" w:rsidRDefault="00F57079" w:rsidP="00537A1C"/>
    <w:p w14:paraId="5678222B" w14:textId="4826F68C" w:rsidR="000A6AC6" w:rsidRDefault="000A6AC6" w:rsidP="0091494F">
      <w:pPr>
        <w:pStyle w:val="Heading4"/>
      </w:pPr>
      <w:r>
        <w:br w:type="page"/>
      </w:r>
    </w:p>
    <w:p w14:paraId="499873C6" w14:textId="7EC3B1EE" w:rsidR="000E7071" w:rsidRPr="005615C1" w:rsidRDefault="000E7071" w:rsidP="00537A1C">
      <w:pPr>
        <w:pStyle w:val="Heading1"/>
      </w:pPr>
      <w:bookmarkStart w:id="30" w:name="_Toc510532006"/>
      <w:bookmarkStart w:id="31" w:name="_Toc510532536"/>
      <w:bookmarkStart w:id="32" w:name="_Toc510534100"/>
      <w:bookmarkStart w:id="33" w:name="_Toc510794629"/>
      <w:bookmarkStart w:id="34" w:name="_Toc511297988"/>
      <w:bookmarkStart w:id="35" w:name="_Toc511304017"/>
      <w:bookmarkStart w:id="36" w:name="_Toc511918021"/>
      <w:r w:rsidRPr="005615C1">
        <w:lastRenderedPageBreak/>
        <w:t xml:space="preserve">Industrial </w:t>
      </w:r>
      <w:r w:rsidR="00596E05">
        <w:t>p</w:t>
      </w:r>
      <w:r w:rsidRPr="005615C1">
        <w:t xml:space="preserve">rocesses and </w:t>
      </w:r>
      <w:r w:rsidR="00596E05">
        <w:t>p</w:t>
      </w:r>
      <w:r w:rsidRPr="005615C1">
        <w:t xml:space="preserve">roduct </w:t>
      </w:r>
      <w:r w:rsidR="00596E05">
        <w:t>u</w:t>
      </w:r>
      <w:r w:rsidRPr="005615C1">
        <w:t>se</w:t>
      </w:r>
      <w:bookmarkEnd w:id="30"/>
      <w:bookmarkEnd w:id="31"/>
      <w:bookmarkEnd w:id="32"/>
      <w:bookmarkEnd w:id="33"/>
      <w:bookmarkEnd w:id="34"/>
      <w:bookmarkEnd w:id="35"/>
      <w:bookmarkEnd w:id="36"/>
    </w:p>
    <w:p w14:paraId="6CF3585B" w14:textId="2AEE2529" w:rsidR="00691C24" w:rsidRDefault="000E7071" w:rsidP="00537A1C">
      <w:r>
        <w:t xml:space="preserve">Emissions from the </w:t>
      </w:r>
      <w:r w:rsidR="008E7EFF" w:rsidRPr="00774171">
        <w:rPr>
          <w:i/>
        </w:rPr>
        <w:t>i</w:t>
      </w:r>
      <w:r w:rsidRPr="000034C2">
        <w:rPr>
          <w:i/>
        </w:rPr>
        <w:t xml:space="preserve">ndustrial </w:t>
      </w:r>
      <w:r w:rsidR="008E7EFF" w:rsidRPr="000034C2">
        <w:rPr>
          <w:i/>
        </w:rPr>
        <w:t>p</w:t>
      </w:r>
      <w:r w:rsidRPr="000034C2">
        <w:rPr>
          <w:i/>
        </w:rPr>
        <w:t xml:space="preserve">rocesses and </w:t>
      </w:r>
      <w:r w:rsidR="008E7EFF" w:rsidRPr="000034C2">
        <w:rPr>
          <w:i/>
        </w:rPr>
        <w:t>p</w:t>
      </w:r>
      <w:r w:rsidRPr="000034C2">
        <w:rPr>
          <w:i/>
        </w:rPr>
        <w:t xml:space="preserve">roduct </w:t>
      </w:r>
      <w:r w:rsidR="00A1201F" w:rsidRPr="000034C2">
        <w:rPr>
          <w:i/>
        </w:rPr>
        <w:t>u</w:t>
      </w:r>
      <w:r w:rsidRPr="000034C2">
        <w:rPr>
          <w:i/>
        </w:rPr>
        <w:t>se sector</w:t>
      </w:r>
      <w:r w:rsidR="005B2483">
        <w:t xml:space="preserve"> (IPPU)</w:t>
      </w:r>
      <w:r>
        <w:t xml:space="preserve"> are projected using bottom-up model</w:t>
      </w:r>
      <w:r w:rsidR="008F30A1">
        <w:t>s</w:t>
      </w:r>
      <w:r>
        <w:t xml:space="preserve"> developed within </w:t>
      </w:r>
      <w:r w:rsidR="00966C28">
        <w:t>the department</w:t>
      </w:r>
      <w:r>
        <w:t xml:space="preserve">. Where possible, emissions are projected by estimating fuel use at the facility-level, to </w:t>
      </w:r>
      <w:r w:rsidR="00EE353E">
        <w:t xml:space="preserve">account </w:t>
      </w:r>
      <w:r>
        <w:t>for different fuel types and</w:t>
      </w:r>
      <w:r w:rsidR="00DC688D">
        <w:t xml:space="preserve"> the</w:t>
      </w:r>
      <w:r>
        <w:t xml:space="preserve"> emissions intensity of production across </w:t>
      </w:r>
      <w:r w:rsidR="00691C24">
        <w:t>facilities.</w:t>
      </w:r>
    </w:p>
    <w:p w14:paraId="62748EA5" w14:textId="5FF2A647" w:rsidR="004D0872" w:rsidRPr="0026611D" w:rsidRDefault="00895539" w:rsidP="00537A1C">
      <w:pPr>
        <w:pStyle w:val="Heading2"/>
      </w:pPr>
      <w:r w:rsidRPr="0026611D">
        <w:t>Modelling approach</w:t>
      </w:r>
    </w:p>
    <w:p w14:paraId="7AE1E2B5" w14:textId="6F284E1C" w:rsidR="00895539" w:rsidRDefault="00913083" w:rsidP="00537A1C">
      <w:r>
        <w:t>A s</w:t>
      </w:r>
      <w:r w:rsidR="00EE4804" w:rsidRPr="00EE4804">
        <w:t>ummary of</w:t>
      </w:r>
      <w:r>
        <w:t xml:space="preserve"> data</w:t>
      </w:r>
      <w:r w:rsidR="00EE4804" w:rsidRPr="00EE4804">
        <w:t xml:space="preserve"> sources and </w:t>
      </w:r>
      <w:r>
        <w:t xml:space="preserve">model frameworks </w:t>
      </w:r>
      <w:r w:rsidR="00895539">
        <w:t xml:space="preserve">applied are provided in Table </w:t>
      </w:r>
      <w:r w:rsidR="004C7141">
        <w:t>8</w:t>
      </w:r>
      <w:r w:rsidR="00895539">
        <w:t>.</w:t>
      </w:r>
    </w:p>
    <w:p w14:paraId="789E4340" w14:textId="52BF93E9" w:rsidR="000E7071" w:rsidRDefault="000E7071" w:rsidP="00537A1C">
      <w:r>
        <w:t xml:space="preserve">Unless otherwise specified, the emissions intensity of production is assumed to be constant across the entire projections period and </w:t>
      </w:r>
      <w:r w:rsidR="00280C43">
        <w:t>is based on the</w:t>
      </w:r>
      <w:r>
        <w:t xml:space="preserve"> </w:t>
      </w:r>
      <w:r w:rsidR="00280C43">
        <w:t xml:space="preserve">emissions reported in </w:t>
      </w:r>
      <w:r w:rsidR="00664D73">
        <w:t>Australia’s</w:t>
      </w:r>
      <w:r>
        <w:t xml:space="preserve"> </w:t>
      </w:r>
      <w:r w:rsidRPr="00BB4EC5">
        <w:rPr>
          <w:i/>
        </w:rPr>
        <w:t>National Inventory Report</w:t>
      </w:r>
      <w:r>
        <w:t xml:space="preserve"> </w:t>
      </w:r>
      <w:r w:rsidR="007F0D2F" w:rsidRPr="00224D6E">
        <w:rPr>
          <w:i/>
        </w:rPr>
        <w:t>201</w:t>
      </w:r>
      <w:r w:rsidR="007F0D2F">
        <w:rPr>
          <w:i/>
        </w:rPr>
        <w:t xml:space="preserve">9 </w:t>
      </w:r>
      <w:r>
        <w:t>(</w:t>
      </w:r>
      <w:r w:rsidR="007252A8" w:rsidRPr="009952EB" w:rsidDel="00B5648F">
        <w:t>DISER</w:t>
      </w:r>
      <w:r w:rsidR="00B5648F">
        <w:t xml:space="preserve"> 2021b</w:t>
      </w:r>
      <w:r>
        <w:t xml:space="preserve">). </w:t>
      </w:r>
    </w:p>
    <w:p w14:paraId="1F0A2114" w14:textId="0D145091" w:rsidR="004D0872" w:rsidRPr="0026611D" w:rsidRDefault="004D0872" w:rsidP="00A8602E">
      <w:pPr>
        <w:pStyle w:val="Heading3"/>
      </w:pPr>
      <w:r w:rsidRPr="0026611D">
        <w:t xml:space="preserve">Activity </w:t>
      </w:r>
      <w:r w:rsidR="00596E05">
        <w:t>d</w:t>
      </w:r>
      <w:r w:rsidRPr="0026611D">
        <w:t>ata</w:t>
      </w:r>
    </w:p>
    <w:p w14:paraId="5127586E" w14:textId="5F6386C4" w:rsidR="0092103E" w:rsidRPr="00E11600" w:rsidRDefault="0092103E" w:rsidP="00537A1C">
      <w:r>
        <w:t xml:space="preserve">Activity data used in the </w:t>
      </w:r>
      <w:r w:rsidRPr="00A8602E">
        <w:rPr>
          <w:i/>
        </w:rPr>
        <w:t>industrial processes and product use</w:t>
      </w:r>
      <w:r>
        <w:t xml:space="preserve"> subsectors is presented in Table</w:t>
      </w:r>
      <w:r w:rsidR="00322FEA">
        <w:t> </w:t>
      </w:r>
      <w:r w:rsidR="004C7141">
        <w:t>8</w:t>
      </w:r>
      <w:r>
        <w:t>.</w:t>
      </w:r>
      <w:r w:rsidR="00650634">
        <w:t xml:space="preserve"> </w:t>
      </w:r>
      <w:r>
        <w:t xml:space="preserve">Emissions projections in the </w:t>
      </w:r>
      <w:r w:rsidRPr="0034206D">
        <w:rPr>
          <w:i/>
        </w:rPr>
        <w:t>industrial processes and product use sector</w:t>
      </w:r>
      <w:r>
        <w:t xml:space="preserve"> are estimated using activity data from a range of sources including</w:t>
      </w:r>
      <w:r w:rsidR="00596E05">
        <w:t>:</w:t>
      </w:r>
      <w:r>
        <w:t xml:space="preserve"> </w:t>
      </w:r>
      <w:r w:rsidRPr="00E11600">
        <w:t xml:space="preserve">Office of the Chief Economist’s </w:t>
      </w:r>
      <w:r>
        <w:t xml:space="preserve">(OCE) commodity forecasts (OCE </w:t>
      </w:r>
      <w:r w:rsidR="007F0D2F">
        <w:t>2021a</w:t>
      </w:r>
      <w:r>
        <w:t xml:space="preserve">; OCE </w:t>
      </w:r>
      <w:r w:rsidR="007F0D2F">
        <w:t>2021b</w:t>
      </w:r>
      <w:r>
        <w:t>),</w:t>
      </w:r>
      <w:r w:rsidRPr="00E11600">
        <w:t xml:space="preserve"> AME Group’s industry analysis, </w:t>
      </w:r>
      <w:r>
        <w:t xml:space="preserve">Merchant Research &amp; Consulting </w:t>
      </w:r>
      <w:r w:rsidR="00C164ED">
        <w:t>L</w:t>
      </w:r>
      <w:r>
        <w:t>td</w:t>
      </w:r>
      <w:r w:rsidR="00C164ED">
        <w:t xml:space="preserve"> Ammonia Production Forecast </w:t>
      </w:r>
      <w:r w:rsidR="007F0D2F">
        <w:t>2021</w:t>
      </w:r>
      <w:r>
        <w:t xml:space="preserve">, </w:t>
      </w:r>
      <w:r w:rsidRPr="00E11600">
        <w:t>IBISWorld industry reports</w:t>
      </w:r>
      <w:r w:rsidR="007252A8">
        <w:t xml:space="preserve">, </w:t>
      </w:r>
      <w:r w:rsidR="007F0D2F">
        <w:t xml:space="preserve">and </w:t>
      </w:r>
      <w:r w:rsidR="000A6601">
        <w:t xml:space="preserve">the </w:t>
      </w:r>
      <w:r w:rsidR="000A6601" w:rsidRPr="008815C7">
        <w:t>Organisation for Economic Co-operation and Development</w:t>
      </w:r>
      <w:r w:rsidR="000A6601">
        <w:t>’s</w:t>
      </w:r>
      <w:r w:rsidR="000A6601" w:rsidRPr="008815C7">
        <w:t xml:space="preserve"> </w:t>
      </w:r>
      <w:r w:rsidR="000A6601">
        <w:t>(</w:t>
      </w:r>
      <w:r w:rsidRPr="00365987">
        <w:t>OECD</w:t>
      </w:r>
      <w:r w:rsidR="00C85C35">
        <w:t xml:space="preserve"> 2021</w:t>
      </w:r>
      <w:r w:rsidR="000A6601">
        <w:t>)</w:t>
      </w:r>
      <w:r w:rsidR="007F0D2F">
        <w:t>.</w:t>
      </w:r>
      <w:r w:rsidR="00121F88" w:rsidRPr="00121F88">
        <w:t xml:space="preserve"> </w:t>
      </w:r>
      <w:r w:rsidR="00121F88">
        <w:t>The emissions reductions from policies</w:t>
      </w:r>
      <w:r w:rsidR="007252A8" w:rsidDel="007F0D2F">
        <w:t xml:space="preserve"> and </w:t>
      </w:r>
      <w:r w:rsidR="00121F88">
        <w:t xml:space="preserve">measures announced in the </w:t>
      </w:r>
      <w:r w:rsidR="00121F88" w:rsidRPr="00CC39F7">
        <w:t>2021</w:t>
      </w:r>
      <w:r w:rsidR="00121F88">
        <w:t>–</w:t>
      </w:r>
      <w:r w:rsidR="00121F88" w:rsidRPr="00CC39F7">
        <w:t xml:space="preserve">22 </w:t>
      </w:r>
      <w:r w:rsidR="00121F88">
        <w:t>B</w:t>
      </w:r>
      <w:r w:rsidR="00121F88" w:rsidRPr="00CC39F7">
        <w:t>udget</w:t>
      </w:r>
      <w:r w:rsidR="00121F88">
        <w:t>, and the Emissions Reduction</w:t>
      </w:r>
      <w:r w:rsidR="007252A8" w:rsidDel="007F0D2F">
        <w:t xml:space="preserve"> Fund (</w:t>
      </w:r>
      <w:r w:rsidR="00121F88">
        <w:t>ERF) have been included.</w:t>
      </w:r>
    </w:p>
    <w:p w14:paraId="27F78CE5" w14:textId="371A31AE" w:rsidR="00EE4804" w:rsidRDefault="00666DB6" w:rsidP="00537A1C">
      <w:r>
        <w:t xml:space="preserve">Emissions from the </w:t>
      </w:r>
      <w:r w:rsidR="00C85C35">
        <w:t>‘</w:t>
      </w:r>
      <w:r w:rsidR="0034206D">
        <w:t>p</w:t>
      </w:r>
      <w:r w:rsidRPr="00365987">
        <w:t xml:space="preserve">roduct uses as </w:t>
      </w:r>
      <w:r w:rsidR="0034206D">
        <w:t>s</w:t>
      </w:r>
      <w:r w:rsidRPr="00365987">
        <w:t xml:space="preserve">ubstitutes for </w:t>
      </w:r>
      <w:r w:rsidR="0034206D">
        <w:t>o</w:t>
      </w:r>
      <w:r w:rsidRPr="00365987">
        <w:t xml:space="preserve">zone </w:t>
      </w:r>
      <w:r w:rsidR="0034206D">
        <w:t>d</w:t>
      </w:r>
      <w:r w:rsidRPr="00365987">
        <w:t xml:space="preserve">epleting </w:t>
      </w:r>
      <w:r w:rsidR="0034206D">
        <w:t>s</w:t>
      </w:r>
      <w:r w:rsidRPr="00365987">
        <w:t>ubstances</w:t>
      </w:r>
      <w:r w:rsidR="00C85C35">
        <w:t>’</w:t>
      </w:r>
      <w:r>
        <w:t xml:space="preserve"> and </w:t>
      </w:r>
      <w:r w:rsidR="00C85C35">
        <w:t>‘</w:t>
      </w:r>
      <w:r w:rsidR="0034206D">
        <w:t>o</w:t>
      </w:r>
      <w:r w:rsidRPr="00365987">
        <w:t xml:space="preserve">ther </w:t>
      </w:r>
      <w:r w:rsidR="0034206D">
        <w:t>p</w:t>
      </w:r>
      <w:r w:rsidRPr="00365987">
        <w:t xml:space="preserve">roduct </w:t>
      </w:r>
      <w:r w:rsidR="0034206D">
        <w:t>m</w:t>
      </w:r>
      <w:r w:rsidRPr="00365987">
        <w:t xml:space="preserve">anufacture and </w:t>
      </w:r>
      <w:r w:rsidR="0034206D">
        <w:t>u</w:t>
      </w:r>
      <w:r w:rsidRPr="00365987">
        <w:t>se</w:t>
      </w:r>
      <w:r w:rsidR="00C85C35">
        <w:t>’</w:t>
      </w:r>
      <w:r>
        <w:t xml:space="preserve"> subsectors are estimated by extrapolating models used in the preparation of the </w:t>
      </w:r>
      <w:r w:rsidRPr="003902C1">
        <w:rPr>
          <w:i/>
        </w:rPr>
        <w:t>National Inventory Report</w:t>
      </w:r>
      <w:r>
        <w:t xml:space="preserve">. A detailed methodology for these subsectors is available in the </w:t>
      </w:r>
      <w:r w:rsidRPr="003902C1">
        <w:rPr>
          <w:i/>
        </w:rPr>
        <w:t>National Inventory Report</w:t>
      </w:r>
      <w:r w:rsidR="0034206D">
        <w:rPr>
          <w:i/>
        </w:rPr>
        <w:t xml:space="preserve"> </w:t>
      </w:r>
      <w:r w:rsidR="007F0D2F">
        <w:rPr>
          <w:i/>
        </w:rPr>
        <w:t>2019</w:t>
      </w:r>
      <w:r w:rsidR="007F0D2F">
        <w:t xml:space="preserve"> </w:t>
      </w:r>
      <w:r>
        <w:t>(</w:t>
      </w:r>
      <w:r w:rsidR="007252A8" w:rsidRPr="009952EB" w:rsidDel="00B5648F">
        <w:t>DISER</w:t>
      </w:r>
      <w:r w:rsidDel="00B5648F">
        <w:t xml:space="preserve"> </w:t>
      </w:r>
      <w:r w:rsidR="00B5648F">
        <w:t>2021b</w:t>
      </w:r>
      <w:r>
        <w:t>).</w:t>
      </w:r>
    </w:p>
    <w:p w14:paraId="2A3F709E" w14:textId="58912116" w:rsidR="004D492A" w:rsidRPr="00C808FE" w:rsidRDefault="004D492A" w:rsidP="00537A1C">
      <w:pPr>
        <w:pStyle w:val="Caption"/>
      </w:pPr>
      <w:r w:rsidRPr="00C808FE">
        <w:t xml:space="preserve">Table </w:t>
      </w:r>
      <w:r w:rsidR="004C7141">
        <w:t>8</w:t>
      </w:r>
      <w:r w:rsidR="003872D2">
        <w:t>.</w:t>
      </w:r>
      <w:r w:rsidRPr="00C808FE">
        <w:tab/>
      </w:r>
      <w:r w:rsidR="00660094">
        <w:t xml:space="preserve"> </w:t>
      </w:r>
      <w:r w:rsidRPr="00C808FE">
        <w:t xml:space="preserve">Summary of </w:t>
      </w:r>
      <w:r>
        <w:t>sources and formula for each IPPU subsector</w:t>
      </w:r>
    </w:p>
    <w:tbl>
      <w:tblPr>
        <w:tblStyle w:val="ListTable3-Accent3"/>
        <w:tblW w:w="5000" w:type="pct"/>
        <w:tblLook w:val="04A0" w:firstRow="1" w:lastRow="0" w:firstColumn="1" w:lastColumn="0" w:noHBand="0" w:noVBand="1"/>
        <w:tblCaption w:val="Summary of sources and formula for each IPPU subsector"/>
        <w:tblDescription w:val="The table provides a breakdown of the emissions subsectors for each IPPU sectors, associated source of the data and the calculation formula. The table indicates that the majority of subsectors have a facility-based model."/>
      </w:tblPr>
      <w:tblGrid>
        <w:gridCol w:w="2614"/>
        <w:gridCol w:w="2578"/>
        <w:gridCol w:w="4010"/>
      </w:tblGrid>
      <w:tr w:rsidR="00F45181" w:rsidRPr="00974F47" w14:paraId="10CD16BB" w14:textId="77777777" w:rsidTr="002354AC">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100" w:firstRow="0" w:lastRow="0" w:firstColumn="1" w:lastColumn="0" w:oddVBand="0" w:evenVBand="0" w:oddHBand="0" w:evenHBand="0" w:firstRowFirstColumn="1" w:firstRowLastColumn="0" w:lastRowFirstColumn="0" w:lastRowLastColumn="0"/>
            <w:tcW w:w="1420" w:type="pct"/>
            <w:hideMark/>
          </w:tcPr>
          <w:p w14:paraId="6D435867" w14:textId="342811CD" w:rsidR="00F45181" w:rsidRPr="00974F47" w:rsidRDefault="00F45181" w:rsidP="00537A1C">
            <w:pPr>
              <w:rPr>
                <w:rFonts w:asciiTheme="minorHAnsi" w:hAnsiTheme="minorHAnsi" w:cstheme="minorHAnsi"/>
                <w:lang w:eastAsia="en-AU"/>
              </w:rPr>
            </w:pPr>
            <w:r w:rsidRPr="00974F47">
              <w:rPr>
                <w:rFonts w:asciiTheme="minorHAnsi" w:hAnsiTheme="minorHAnsi" w:cstheme="minorHAnsi"/>
                <w:lang w:eastAsia="en-AU"/>
              </w:rPr>
              <w:t xml:space="preserve">Emissions </w:t>
            </w:r>
            <w:r w:rsidR="007F3B75" w:rsidRPr="00974F47">
              <w:rPr>
                <w:rFonts w:asciiTheme="minorHAnsi" w:hAnsiTheme="minorHAnsi" w:cstheme="minorHAnsi"/>
                <w:lang w:eastAsia="en-AU"/>
              </w:rPr>
              <w:t>subsector</w:t>
            </w:r>
          </w:p>
        </w:tc>
        <w:tc>
          <w:tcPr>
            <w:tcW w:w="1401" w:type="pct"/>
            <w:hideMark/>
          </w:tcPr>
          <w:p w14:paraId="4BA34CCC" w14:textId="3FEBEFFF" w:rsidR="00F45181" w:rsidRPr="00974F47" w:rsidRDefault="00F45181" w:rsidP="00537A1C">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974F47">
              <w:rPr>
                <w:rFonts w:asciiTheme="minorHAnsi" w:hAnsiTheme="minorHAnsi" w:cstheme="minorHAnsi"/>
              </w:rPr>
              <w:t>Data</w:t>
            </w:r>
            <w:r w:rsidR="007F3B75" w:rsidRPr="00974F47">
              <w:rPr>
                <w:rFonts w:asciiTheme="minorHAnsi" w:hAnsiTheme="minorHAnsi" w:cstheme="minorHAnsi"/>
              </w:rPr>
              <w:t xml:space="preserve"> source</w:t>
            </w:r>
          </w:p>
        </w:tc>
        <w:tc>
          <w:tcPr>
            <w:tcW w:w="2179" w:type="pct"/>
          </w:tcPr>
          <w:p w14:paraId="52C5FECE" w14:textId="77777777" w:rsidR="00F45181" w:rsidRPr="00974F47" w:rsidRDefault="00F45181" w:rsidP="00537A1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74F47">
              <w:rPr>
                <w:rFonts w:asciiTheme="minorHAnsi" w:hAnsiTheme="minorHAnsi" w:cstheme="minorHAnsi"/>
              </w:rPr>
              <w:t>Formula</w:t>
            </w:r>
          </w:p>
        </w:tc>
      </w:tr>
      <w:tr w:rsidR="00856979" w:rsidRPr="00974F47" w14:paraId="45ED0F41"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076FB5AC" w14:textId="43C64A30" w:rsidR="00856979" w:rsidRPr="00974F47" w:rsidRDefault="00856979" w:rsidP="00537A1C">
            <w:pPr>
              <w:rPr>
                <w:rFonts w:asciiTheme="minorHAnsi" w:hAnsiTheme="minorHAnsi" w:cstheme="minorHAnsi"/>
                <w:lang w:eastAsia="en-AU"/>
              </w:rPr>
            </w:pPr>
            <w:r w:rsidRPr="00974F47">
              <w:rPr>
                <w:rFonts w:asciiTheme="minorHAnsi" w:hAnsiTheme="minorHAnsi" w:cstheme="minorHAnsi"/>
                <w:lang w:eastAsia="en-AU"/>
              </w:rPr>
              <w:t>Chemical industry</w:t>
            </w:r>
          </w:p>
        </w:tc>
        <w:tc>
          <w:tcPr>
            <w:tcW w:w="1401" w:type="pct"/>
          </w:tcPr>
          <w:p w14:paraId="639931F8" w14:textId="77777777" w:rsidR="00856979" w:rsidRPr="00974F47" w:rsidRDefault="00856979"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79" w:type="pct"/>
          </w:tcPr>
          <w:p w14:paraId="071EDC10" w14:textId="77777777" w:rsidR="00856979" w:rsidRPr="00974F47" w:rsidRDefault="00856979"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56979" w:rsidRPr="00974F47" w14:paraId="3E3DB6E2"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2CA10103" w14:textId="1435E1DB" w:rsidR="00856979" w:rsidRPr="00974F47" w:rsidRDefault="00856979" w:rsidP="00537A1C">
            <w:pPr>
              <w:rPr>
                <w:rFonts w:asciiTheme="minorHAnsi" w:hAnsiTheme="minorHAnsi" w:cstheme="minorHAnsi"/>
                <w:b w:val="0"/>
                <w:i/>
                <w:lang w:eastAsia="en-AU"/>
              </w:rPr>
            </w:pPr>
            <w:r w:rsidRPr="00974F47">
              <w:rPr>
                <w:rFonts w:asciiTheme="minorHAnsi" w:hAnsiTheme="minorHAnsi" w:cstheme="minorHAnsi"/>
                <w:lang w:eastAsia="en-AU"/>
              </w:rPr>
              <w:t>Ammonia</w:t>
            </w:r>
          </w:p>
        </w:tc>
        <w:tc>
          <w:tcPr>
            <w:tcW w:w="1401" w:type="pct"/>
          </w:tcPr>
          <w:p w14:paraId="37B0AB34" w14:textId="6E2E24A9" w:rsidR="00856979" w:rsidRPr="00974F47" w:rsidRDefault="0036287A" w:rsidP="007F0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F47">
              <w:rPr>
                <w:rFonts w:asciiTheme="minorHAnsi" w:hAnsiTheme="minorHAnsi" w:cstheme="minorHAnsi"/>
                <w:lang w:eastAsia="en-AU"/>
              </w:rPr>
              <w:t xml:space="preserve">Production data from Merchant Research &amp; Consulting </w:t>
            </w:r>
            <w:r w:rsidR="00C164ED" w:rsidRPr="00974F47">
              <w:rPr>
                <w:rFonts w:asciiTheme="minorHAnsi" w:hAnsiTheme="minorHAnsi" w:cstheme="minorHAnsi"/>
                <w:lang w:eastAsia="en-AU"/>
              </w:rPr>
              <w:t>L</w:t>
            </w:r>
            <w:r w:rsidRPr="00974F47">
              <w:rPr>
                <w:rFonts w:asciiTheme="minorHAnsi" w:hAnsiTheme="minorHAnsi" w:cstheme="minorHAnsi"/>
                <w:lang w:eastAsia="en-AU"/>
              </w:rPr>
              <w:t xml:space="preserve">td </w:t>
            </w:r>
            <w:r w:rsidR="00C164ED" w:rsidRPr="00974F47">
              <w:rPr>
                <w:rFonts w:asciiTheme="minorHAnsi" w:hAnsiTheme="minorHAnsi" w:cstheme="minorHAnsi"/>
                <w:lang w:eastAsia="en-AU"/>
              </w:rPr>
              <w:t>Ammonia</w:t>
            </w:r>
            <w:r w:rsidR="00A95983" w:rsidRPr="00974F47">
              <w:rPr>
                <w:rFonts w:asciiTheme="minorHAnsi" w:hAnsiTheme="minorHAnsi" w:cstheme="minorHAnsi"/>
                <w:lang w:eastAsia="en-AU"/>
              </w:rPr>
              <w:t>: Australia Market Outlook</w:t>
            </w:r>
            <w:r w:rsidR="00C164ED" w:rsidRPr="00974F47">
              <w:rPr>
                <w:rFonts w:asciiTheme="minorHAnsi" w:hAnsiTheme="minorHAnsi" w:cstheme="minorHAnsi"/>
                <w:lang w:eastAsia="en-AU"/>
              </w:rPr>
              <w:t xml:space="preserve"> </w:t>
            </w:r>
            <w:r w:rsidRPr="00974F47">
              <w:rPr>
                <w:rFonts w:asciiTheme="minorHAnsi" w:hAnsiTheme="minorHAnsi" w:cstheme="minorHAnsi"/>
                <w:lang w:eastAsia="en-AU"/>
              </w:rPr>
              <w:t>20</w:t>
            </w:r>
            <w:r w:rsidR="007F0D2F">
              <w:rPr>
                <w:rFonts w:asciiTheme="minorHAnsi" w:hAnsiTheme="minorHAnsi" w:cstheme="minorHAnsi"/>
                <w:lang w:eastAsia="en-AU"/>
              </w:rPr>
              <w:t>21</w:t>
            </w:r>
          </w:p>
        </w:tc>
        <w:tc>
          <w:tcPr>
            <w:tcW w:w="2179" w:type="pct"/>
          </w:tcPr>
          <w:p w14:paraId="613CD31F" w14:textId="01A7F0C6" w:rsidR="00856979" w:rsidRPr="00974F47" w:rsidRDefault="00856979"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vertAlign w:val="superscript"/>
              </w:rPr>
            </w:pPr>
            <w:r w:rsidRPr="00974F47">
              <w:rPr>
                <w:rFonts w:asciiTheme="minorHAnsi" w:hAnsiTheme="minorHAnsi" w:cstheme="minorHAnsi"/>
              </w:rPr>
              <w:t>E</w:t>
            </w:r>
            <w:r w:rsidR="006C13CE" w:rsidRPr="00974F47">
              <w:rPr>
                <w:rFonts w:asciiTheme="minorHAnsi" w:hAnsiTheme="minorHAnsi" w:cstheme="minorHAnsi"/>
                <w:vertAlign w:val="subscript"/>
              </w:rPr>
              <w:t>t</w:t>
            </w:r>
            <w:r w:rsidRPr="00974F47">
              <w:rPr>
                <w:rFonts w:asciiTheme="minorHAnsi" w:hAnsiTheme="minorHAnsi" w:cstheme="minorHAnsi"/>
              </w:rPr>
              <w:t xml:space="preserve"> = </w:t>
            </w:r>
            <w:r w:rsidR="00223613" w:rsidRPr="00974F47">
              <w:rPr>
                <w:rFonts w:asciiTheme="minorHAnsi" w:hAnsiTheme="minorHAnsi" w:cstheme="minorHAnsi"/>
              </w:rPr>
              <w:t>∑ (</w:t>
            </w:r>
            <w:r w:rsidRPr="00974F47">
              <w:rPr>
                <w:rFonts w:asciiTheme="minorHAnsi" w:hAnsiTheme="minorHAnsi" w:cstheme="minorHAnsi"/>
              </w:rPr>
              <w:t>[U</w:t>
            </w:r>
            <w:r w:rsidR="00EB6854" w:rsidRPr="00974F47">
              <w:rPr>
                <w:rFonts w:asciiTheme="minorHAnsi" w:hAnsiTheme="minorHAnsi" w:cstheme="minorHAnsi"/>
                <w:vertAlign w:val="subscript"/>
              </w:rPr>
              <w:t>j</w:t>
            </w:r>
            <w:r w:rsidRPr="00974F47">
              <w:rPr>
                <w:rFonts w:asciiTheme="minorHAnsi" w:hAnsiTheme="minorHAnsi" w:cstheme="minorHAnsi"/>
                <w:vertAlign w:val="subscript"/>
              </w:rPr>
              <w:t>i</w:t>
            </w:r>
            <w:r w:rsidRPr="00974F47">
              <w:rPr>
                <w:rFonts w:asciiTheme="minorHAnsi" w:hAnsiTheme="minorHAnsi" w:cstheme="minorHAnsi"/>
              </w:rPr>
              <w:t xml:space="preserve"> </w:t>
            </w:r>
            <w:r w:rsidRPr="00974F47">
              <w:rPr>
                <w:rFonts w:asciiTheme="minorHAnsi" w:hAnsiTheme="minorHAnsi" w:cstheme="minorHAnsi"/>
                <w:b/>
              </w:rPr>
              <w:t>.</w:t>
            </w:r>
            <w:r w:rsidRPr="00974F47">
              <w:rPr>
                <w:rFonts w:asciiTheme="minorHAnsi" w:hAnsiTheme="minorHAnsi" w:cstheme="minorHAnsi"/>
              </w:rPr>
              <w:t xml:space="preserve"> EC</w:t>
            </w:r>
            <w:r w:rsidR="00EB6854" w:rsidRPr="00974F47">
              <w:rPr>
                <w:rFonts w:asciiTheme="minorHAnsi" w:hAnsiTheme="minorHAnsi" w:cstheme="minorHAnsi"/>
                <w:vertAlign w:val="subscript"/>
              </w:rPr>
              <w:t>j</w:t>
            </w:r>
            <w:r w:rsidRPr="00974F47">
              <w:rPr>
                <w:rFonts w:asciiTheme="minorHAnsi" w:hAnsiTheme="minorHAnsi" w:cstheme="minorHAnsi"/>
                <w:vertAlign w:val="subscript"/>
              </w:rPr>
              <w:t xml:space="preserve"> </w:t>
            </w:r>
            <w:r w:rsidRPr="00974F47">
              <w:rPr>
                <w:rFonts w:asciiTheme="minorHAnsi" w:hAnsiTheme="minorHAnsi" w:cstheme="minorHAnsi"/>
              </w:rPr>
              <w:t>. EF</w:t>
            </w:r>
            <w:r w:rsidR="00EB6854" w:rsidRPr="00974F47">
              <w:rPr>
                <w:rFonts w:asciiTheme="minorHAnsi" w:hAnsiTheme="minorHAnsi" w:cstheme="minorHAnsi"/>
                <w:vertAlign w:val="subscript"/>
              </w:rPr>
              <w:t>j</w:t>
            </w:r>
            <w:r w:rsidRPr="00974F47">
              <w:rPr>
                <w:rFonts w:asciiTheme="minorHAnsi" w:hAnsiTheme="minorHAnsi" w:cstheme="minorHAnsi"/>
              </w:rPr>
              <w:t>])</w:t>
            </w:r>
          </w:p>
          <w:p w14:paraId="0FA4BEF0" w14:textId="02F0BCFA" w:rsidR="00856979" w:rsidRPr="00974F47" w:rsidRDefault="00856979">
            <w:pPr>
              <w:pStyle w:val="Calculations"/>
              <w:cnfStyle w:val="000000000000" w:firstRow="0" w:lastRow="0" w:firstColumn="0" w:lastColumn="0" w:oddVBand="0" w:evenVBand="0" w:oddHBand="0" w:evenHBand="0" w:firstRowFirstColumn="0" w:firstRowLastColumn="0" w:lastRowFirstColumn="0" w:lastRowLastColumn="0"/>
            </w:pPr>
            <w:r w:rsidRPr="00974F47">
              <w:t xml:space="preserve">Where: </w:t>
            </w:r>
            <w:r w:rsidRPr="00974F47">
              <w:br/>
              <w:t>E</w:t>
            </w:r>
            <w:r w:rsidR="006C13CE" w:rsidRPr="00974F47">
              <w:rPr>
                <w:vertAlign w:val="subscript"/>
              </w:rPr>
              <w:t>t</w:t>
            </w:r>
            <w:r w:rsidRPr="00974F47">
              <w:t xml:space="preserve"> =</w:t>
            </w:r>
            <w:r w:rsidRPr="00974F47" w:rsidDel="00F9725B">
              <w:t xml:space="preserve"> </w:t>
            </w:r>
            <w:r w:rsidRPr="00974F47">
              <w:t xml:space="preserve">emissions </w:t>
            </w:r>
            <w:r w:rsidR="006C13CE" w:rsidRPr="00974F47">
              <w:t>in year t</w:t>
            </w:r>
            <w:r w:rsidR="00346BD8" w:rsidRPr="00974F47">
              <w:t xml:space="preserve"> (M</w:t>
            </w:r>
            <w:r w:rsidRPr="00974F47">
              <w:t>t CO</w:t>
            </w:r>
            <w:r w:rsidR="0099567A" w:rsidRPr="00042BDA">
              <w:t>₂</w:t>
            </w:r>
            <w:r w:rsidRPr="00974F47">
              <w:t>-e)</w:t>
            </w:r>
            <w:r w:rsidRPr="00974F47">
              <w:br/>
              <w:t>U</w:t>
            </w:r>
            <w:r w:rsidR="00EB6854" w:rsidRPr="00974F47">
              <w:rPr>
                <w:vertAlign w:val="subscript"/>
              </w:rPr>
              <w:t>j</w:t>
            </w:r>
            <w:r w:rsidRPr="00974F47">
              <w:rPr>
                <w:vertAlign w:val="subscript"/>
              </w:rPr>
              <w:t>,i</w:t>
            </w:r>
            <w:r w:rsidRPr="00974F47">
              <w:t xml:space="preserve"> = natural gas consumption at facility</w:t>
            </w:r>
            <w:r w:rsidRPr="00974F47">
              <w:rPr>
                <w:vertAlign w:val="subscript"/>
              </w:rPr>
              <w:t>i</w:t>
            </w:r>
            <w:r w:rsidRPr="00974F47">
              <w:t>,</w:t>
            </w:r>
            <w:r w:rsidR="002B0F91" w:rsidRPr="00974F47">
              <w:t xml:space="preserve"> </w:t>
            </w:r>
            <w:r w:rsidR="00A841F6" w:rsidRPr="00974F47">
              <w:t>in year t</w:t>
            </w:r>
            <w:r w:rsidR="00FB329E" w:rsidRPr="00974F47">
              <w:t xml:space="preserve"> </w:t>
            </w:r>
            <w:r w:rsidRPr="00974F47">
              <w:br/>
              <w:t>EC</w:t>
            </w:r>
            <w:r w:rsidR="00EB6854" w:rsidRPr="00974F47">
              <w:rPr>
                <w:vertAlign w:val="subscript"/>
              </w:rPr>
              <w:t>j</w:t>
            </w:r>
            <w:r w:rsidRPr="00974F47">
              <w:t xml:space="preserve"> = the energy content of natural gas </w:t>
            </w:r>
            <w:r w:rsidRPr="00974F47">
              <w:br/>
              <w:t>EF</w:t>
            </w:r>
            <w:r w:rsidR="00EB6854" w:rsidRPr="00974F47">
              <w:rPr>
                <w:vertAlign w:val="subscript"/>
              </w:rPr>
              <w:t>j</w:t>
            </w:r>
            <w:r w:rsidRPr="00974F47">
              <w:t xml:space="preserve"> = the emissions factor of natural gas</w:t>
            </w:r>
          </w:p>
        </w:tc>
      </w:tr>
      <w:tr w:rsidR="00731552" w:rsidRPr="00974F47" w14:paraId="57FD4F7B"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55C86A44" w14:textId="057A966B" w:rsidR="00731552" w:rsidRPr="00974F47" w:rsidRDefault="00731552" w:rsidP="00537A1C">
            <w:pPr>
              <w:rPr>
                <w:rFonts w:asciiTheme="minorHAnsi" w:hAnsiTheme="minorHAnsi" w:cstheme="minorHAnsi"/>
                <w:b w:val="0"/>
                <w:i/>
                <w:lang w:eastAsia="en-AU"/>
              </w:rPr>
            </w:pPr>
            <w:r w:rsidRPr="00974F47">
              <w:rPr>
                <w:rFonts w:asciiTheme="minorHAnsi" w:hAnsiTheme="minorHAnsi" w:cstheme="minorHAnsi"/>
                <w:lang w:eastAsia="en-AU"/>
              </w:rPr>
              <w:t>Nitric acid</w:t>
            </w:r>
          </w:p>
        </w:tc>
        <w:tc>
          <w:tcPr>
            <w:tcW w:w="1401" w:type="pct"/>
          </w:tcPr>
          <w:p w14:paraId="04A18D98" w14:textId="0EC08F89" w:rsidR="00731552" w:rsidRPr="00974F47" w:rsidRDefault="007252A8"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4F47">
              <w:rPr>
                <w:rFonts w:asciiTheme="minorHAnsi" w:hAnsiTheme="minorHAnsi" w:cstheme="minorHAnsi"/>
              </w:rPr>
              <w:t>DISER</w:t>
            </w:r>
            <w:r w:rsidR="00731552" w:rsidRPr="00974F47">
              <w:rPr>
                <w:rFonts w:asciiTheme="minorHAnsi" w:hAnsiTheme="minorHAnsi" w:cstheme="minorHAnsi"/>
                <w:lang w:eastAsia="en-AU"/>
              </w:rPr>
              <w:t xml:space="preserve"> estimates based on projected iron ore and coal production</w:t>
            </w:r>
          </w:p>
        </w:tc>
        <w:tc>
          <w:tcPr>
            <w:tcW w:w="2179" w:type="pct"/>
          </w:tcPr>
          <w:p w14:paraId="6325C69A" w14:textId="55B783D9" w:rsidR="00731552" w:rsidRPr="00974F47" w:rsidRDefault="00731552"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vertAlign w:val="superscript"/>
              </w:rPr>
            </w:pPr>
            <w:r w:rsidRPr="00974F47">
              <w:rPr>
                <w:rFonts w:asciiTheme="minorHAnsi" w:hAnsiTheme="minorHAnsi" w:cstheme="minorHAnsi"/>
              </w:rPr>
              <w:t>E</w:t>
            </w:r>
            <w:r w:rsidR="00C91FF9" w:rsidRPr="00974F47">
              <w:rPr>
                <w:rFonts w:asciiTheme="minorHAnsi" w:hAnsiTheme="minorHAnsi" w:cstheme="minorHAnsi"/>
                <w:vertAlign w:val="subscript"/>
              </w:rPr>
              <w:t>t</w:t>
            </w:r>
            <w:r w:rsidRPr="00974F47">
              <w:rPr>
                <w:rFonts w:asciiTheme="minorHAnsi" w:hAnsiTheme="minorHAnsi" w:cstheme="minorHAnsi"/>
              </w:rPr>
              <w:t xml:space="preserve"> = </w:t>
            </w:r>
            <w:r w:rsidR="00223613" w:rsidRPr="00974F47">
              <w:rPr>
                <w:rFonts w:asciiTheme="minorHAnsi" w:hAnsiTheme="minorHAnsi" w:cstheme="minorHAnsi"/>
              </w:rPr>
              <w:t>∑ (</w:t>
            </w:r>
            <w:r w:rsidRPr="00974F47">
              <w:rPr>
                <w:rFonts w:asciiTheme="minorHAnsi" w:hAnsiTheme="minorHAnsi" w:cstheme="minorHAnsi"/>
              </w:rPr>
              <w:t>[EF</w:t>
            </w:r>
            <w:r w:rsidRPr="00974F47">
              <w:rPr>
                <w:rFonts w:asciiTheme="minorHAnsi" w:hAnsiTheme="minorHAnsi" w:cstheme="minorHAnsi"/>
                <w:vertAlign w:val="subscript"/>
              </w:rPr>
              <w:t>i</w:t>
            </w:r>
            <w:r w:rsidR="00F9725B" w:rsidRPr="00974F47">
              <w:rPr>
                <w:rFonts w:asciiTheme="minorHAnsi" w:hAnsiTheme="minorHAnsi" w:cstheme="minorHAnsi"/>
                <w:vertAlign w:val="subscript"/>
              </w:rPr>
              <w:t>t</w:t>
            </w:r>
            <w:r w:rsidRPr="00974F47">
              <w:rPr>
                <w:rFonts w:asciiTheme="minorHAnsi" w:hAnsiTheme="minorHAnsi" w:cstheme="minorHAnsi"/>
              </w:rPr>
              <w:t xml:space="preserve"> </w:t>
            </w:r>
            <w:r w:rsidRPr="00974F47">
              <w:rPr>
                <w:rFonts w:asciiTheme="minorHAnsi" w:hAnsiTheme="minorHAnsi" w:cstheme="minorHAnsi"/>
                <w:b/>
              </w:rPr>
              <w:t>.</w:t>
            </w:r>
            <w:r w:rsidRPr="00974F47">
              <w:rPr>
                <w:rFonts w:asciiTheme="minorHAnsi" w:hAnsiTheme="minorHAnsi" w:cstheme="minorHAnsi"/>
              </w:rPr>
              <w:t xml:space="preserve"> P</w:t>
            </w:r>
            <w:r w:rsidRPr="00974F47">
              <w:rPr>
                <w:rFonts w:asciiTheme="minorHAnsi" w:hAnsiTheme="minorHAnsi" w:cstheme="minorHAnsi"/>
                <w:vertAlign w:val="subscript"/>
              </w:rPr>
              <w:t>i</w:t>
            </w:r>
            <w:r w:rsidR="00346BD8" w:rsidRPr="00974F47">
              <w:rPr>
                <w:rFonts w:asciiTheme="minorHAnsi" w:hAnsiTheme="minorHAnsi" w:cstheme="minorHAnsi"/>
                <w:vertAlign w:val="subscript"/>
              </w:rPr>
              <w:t>t</w:t>
            </w:r>
            <w:r w:rsidRPr="00974F47">
              <w:rPr>
                <w:rFonts w:asciiTheme="minorHAnsi" w:hAnsiTheme="minorHAnsi" w:cstheme="minorHAnsi"/>
              </w:rPr>
              <w:t>])</w:t>
            </w:r>
          </w:p>
          <w:p w14:paraId="44C1C05B" w14:textId="688E7159" w:rsidR="00731552" w:rsidRPr="00974F47" w:rsidRDefault="00731552" w:rsidP="00974F47">
            <w:pPr>
              <w:pStyle w:val="Calculations"/>
              <w:cnfStyle w:val="000000100000" w:firstRow="0" w:lastRow="0" w:firstColumn="0" w:lastColumn="0" w:oddVBand="0" w:evenVBand="0" w:oddHBand="1" w:evenHBand="0" w:firstRowFirstColumn="0" w:firstRowLastColumn="0" w:lastRowFirstColumn="0" w:lastRowLastColumn="0"/>
            </w:pPr>
            <w:r w:rsidRPr="00974F47">
              <w:t xml:space="preserve">Where: </w:t>
            </w:r>
            <w:r w:rsidRPr="00974F47">
              <w:br/>
            </w:r>
            <w:r w:rsidR="00C91FF9" w:rsidRPr="00974F47">
              <w:t>E</w:t>
            </w:r>
            <w:r w:rsidR="00C91FF9" w:rsidRPr="00974F47">
              <w:rPr>
                <w:vertAlign w:val="subscript"/>
              </w:rPr>
              <w:t>t</w:t>
            </w:r>
            <w:r w:rsidRPr="00974F47">
              <w:t xml:space="preserve"> = emissions </w:t>
            </w:r>
            <w:r w:rsidR="00C91FF9" w:rsidRPr="00974F47">
              <w:t xml:space="preserve">in year t </w:t>
            </w:r>
            <w:r w:rsidR="00346BD8" w:rsidRPr="00974F47">
              <w:t>(M</w:t>
            </w:r>
            <w:r w:rsidRPr="00974F47">
              <w:t>t CO</w:t>
            </w:r>
            <w:r w:rsidR="0099567A" w:rsidRPr="00042BDA">
              <w:t>₂</w:t>
            </w:r>
            <w:r w:rsidRPr="00974F47">
              <w:t>-e)</w:t>
            </w:r>
            <w:r w:rsidRPr="00974F47">
              <w:br/>
              <w:t>EF</w:t>
            </w:r>
            <w:r w:rsidRPr="00974F47">
              <w:rPr>
                <w:vertAlign w:val="subscript"/>
              </w:rPr>
              <w:t>i</w:t>
            </w:r>
            <w:r w:rsidRPr="00974F47">
              <w:t xml:space="preserve"> = facility-specific emissions factor</w:t>
            </w:r>
            <w:r w:rsidR="00F9725B" w:rsidRPr="00974F47">
              <w:t xml:space="preserve"> in year t</w:t>
            </w:r>
            <w:r w:rsidRPr="00974F47">
              <w:br/>
              <w:t>P</w:t>
            </w:r>
            <w:r w:rsidR="00C91FF9" w:rsidRPr="00974F47">
              <w:rPr>
                <w:vertAlign w:val="subscript"/>
              </w:rPr>
              <w:t>i</w:t>
            </w:r>
            <w:r w:rsidR="00346BD8" w:rsidRPr="00974F47">
              <w:rPr>
                <w:vertAlign w:val="subscript"/>
              </w:rPr>
              <w:t>t</w:t>
            </w:r>
            <w:r w:rsidRPr="00974F47">
              <w:t xml:space="preserve"> = nitric acid production at facility</w:t>
            </w:r>
            <w:r w:rsidRPr="00974F47">
              <w:rPr>
                <w:vertAlign w:val="subscript"/>
              </w:rPr>
              <w:t>i</w:t>
            </w:r>
            <w:r w:rsidR="00346BD8" w:rsidRPr="00974F47">
              <w:rPr>
                <w:vertAlign w:val="subscript"/>
              </w:rPr>
              <w:t xml:space="preserve"> </w:t>
            </w:r>
            <w:r w:rsidR="00346BD8" w:rsidRPr="00974F47">
              <w:t>in year t</w:t>
            </w:r>
          </w:p>
        </w:tc>
      </w:tr>
      <w:tr w:rsidR="00346BD8" w:rsidRPr="00974F47" w14:paraId="1ED33818"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1C885FA9" w14:textId="56C8CAB6" w:rsidR="00346BD8" w:rsidRPr="00974F47" w:rsidRDefault="00346BD8" w:rsidP="00537A1C">
            <w:pPr>
              <w:rPr>
                <w:rFonts w:asciiTheme="minorHAnsi" w:hAnsiTheme="minorHAnsi" w:cstheme="minorHAnsi"/>
                <w:b w:val="0"/>
                <w:i/>
                <w:lang w:eastAsia="en-AU"/>
              </w:rPr>
            </w:pPr>
            <w:r w:rsidRPr="00974F47">
              <w:rPr>
                <w:rFonts w:asciiTheme="minorHAnsi" w:hAnsiTheme="minorHAnsi" w:cstheme="minorHAnsi"/>
                <w:lang w:eastAsia="en-AU"/>
              </w:rPr>
              <w:lastRenderedPageBreak/>
              <w:t>Titanium dioxide</w:t>
            </w:r>
          </w:p>
        </w:tc>
        <w:tc>
          <w:tcPr>
            <w:tcW w:w="1401" w:type="pct"/>
            <w:vMerge w:val="restart"/>
          </w:tcPr>
          <w:p w14:paraId="3E684B87" w14:textId="77777777" w:rsidR="00346BD8" w:rsidRPr="00974F47" w:rsidRDefault="00346BD8"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6CA8F44" w14:textId="3A63A86C" w:rsidR="00346BD8" w:rsidRPr="00974F47" w:rsidRDefault="00DC1C0E" w:rsidP="007F0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F47">
              <w:rPr>
                <w:rFonts w:asciiTheme="minorHAnsi" w:hAnsiTheme="minorHAnsi" w:cstheme="minorHAnsi"/>
              </w:rPr>
              <w:t xml:space="preserve">World </w:t>
            </w:r>
            <w:r w:rsidR="00346BD8" w:rsidRPr="00974F47">
              <w:rPr>
                <w:rFonts w:asciiTheme="minorHAnsi" w:hAnsiTheme="minorHAnsi" w:cstheme="minorHAnsi"/>
              </w:rPr>
              <w:t xml:space="preserve">GDP growth from </w:t>
            </w:r>
            <w:r w:rsidRPr="00974F47">
              <w:rPr>
                <w:rFonts w:asciiTheme="minorHAnsi" w:hAnsiTheme="minorHAnsi" w:cstheme="minorHAnsi"/>
              </w:rPr>
              <w:t>the</w:t>
            </w:r>
            <w:r w:rsidR="00346BD8" w:rsidRPr="00974F47">
              <w:rPr>
                <w:rFonts w:asciiTheme="minorHAnsi" w:hAnsiTheme="minorHAnsi" w:cstheme="minorHAnsi"/>
              </w:rPr>
              <w:t xml:space="preserve"> </w:t>
            </w:r>
            <w:r w:rsidR="002130C7" w:rsidRPr="00974F47">
              <w:rPr>
                <w:rFonts w:asciiTheme="minorHAnsi" w:hAnsiTheme="minorHAnsi" w:cstheme="minorHAnsi"/>
              </w:rPr>
              <w:t>Organisation for Economic Co-operation and Development</w:t>
            </w:r>
            <w:r w:rsidR="00346BD8" w:rsidRPr="00974F47">
              <w:rPr>
                <w:rFonts w:asciiTheme="minorHAnsi" w:hAnsiTheme="minorHAnsi" w:cstheme="minorHAnsi"/>
              </w:rPr>
              <w:t xml:space="preserve"> </w:t>
            </w:r>
            <w:r w:rsidR="002130C7" w:rsidRPr="00974F47">
              <w:rPr>
                <w:rFonts w:asciiTheme="minorHAnsi" w:hAnsiTheme="minorHAnsi" w:cstheme="minorHAnsi"/>
              </w:rPr>
              <w:t>(OECD</w:t>
            </w:r>
            <w:r w:rsidR="00D217F2" w:rsidRPr="00974F47">
              <w:rPr>
                <w:rFonts w:asciiTheme="minorHAnsi" w:hAnsiTheme="minorHAnsi" w:cstheme="minorHAnsi"/>
              </w:rPr>
              <w:t xml:space="preserve"> </w:t>
            </w:r>
            <w:r w:rsidR="007F0D2F" w:rsidRPr="00974F47">
              <w:rPr>
                <w:rFonts w:asciiTheme="minorHAnsi" w:hAnsiTheme="minorHAnsi" w:cstheme="minorHAnsi"/>
              </w:rPr>
              <w:t>202</w:t>
            </w:r>
            <w:r w:rsidR="007F0D2F">
              <w:rPr>
                <w:rFonts w:asciiTheme="minorHAnsi" w:hAnsiTheme="minorHAnsi" w:cstheme="minorHAnsi"/>
              </w:rPr>
              <w:t>1</w:t>
            </w:r>
            <w:r w:rsidR="002130C7" w:rsidRPr="00974F47">
              <w:rPr>
                <w:rFonts w:asciiTheme="minorHAnsi" w:hAnsiTheme="minorHAnsi" w:cstheme="minorHAnsi"/>
              </w:rPr>
              <w:t>)</w:t>
            </w:r>
          </w:p>
        </w:tc>
        <w:tc>
          <w:tcPr>
            <w:tcW w:w="2179" w:type="pct"/>
            <w:vMerge w:val="restart"/>
          </w:tcPr>
          <w:p w14:paraId="5CFD7C49" w14:textId="10593921" w:rsidR="00346BD8" w:rsidRPr="00974F47" w:rsidRDefault="00346BD8"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vertAlign w:val="superscript"/>
              </w:rPr>
            </w:pPr>
            <w:r w:rsidRPr="00974F47">
              <w:rPr>
                <w:rFonts w:asciiTheme="minorHAnsi" w:hAnsiTheme="minorHAnsi" w:cstheme="minorHAnsi"/>
              </w:rPr>
              <w:t>E</w:t>
            </w:r>
            <w:r w:rsidRPr="00974F47">
              <w:rPr>
                <w:rFonts w:asciiTheme="minorHAnsi" w:hAnsiTheme="minorHAnsi" w:cstheme="minorHAnsi"/>
                <w:vertAlign w:val="subscript"/>
              </w:rPr>
              <w:t>t</w:t>
            </w:r>
            <w:r w:rsidRPr="00974F47">
              <w:rPr>
                <w:rFonts w:asciiTheme="minorHAnsi" w:hAnsiTheme="minorHAnsi" w:cstheme="minorHAnsi"/>
              </w:rPr>
              <w:t xml:space="preserve"> = </w:t>
            </w:r>
            <w:r w:rsidR="00223613" w:rsidRPr="00974F47">
              <w:rPr>
                <w:rFonts w:asciiTheme="minorHAnsi" w:hAnsiTheme="minorHAnsi" w:cstheme="minorHAnsi"/>
              </w:rPr>
              <w:t>∑ (</w:t>
            </w:r>
            <w:r w:rsidRPr="00974F47">
              <w:rPr>
                <w:rFonts w:asciiTheme="minorHAnsi" w:hAnsiTheme="minorHAnsi" w:cstheme="minorHAnsi"/>
              </w:rPr>
              <w:t>[U</w:t>
            </w:r>
            <w:r w:rsidR="00EB6854" w:rsidRPr="00974F47">
              <w:rPr>
                <w:rFonts w:asciiTheme="minorHAnsi" w:hAnsiTheme="minorHAnsi" w:cstheme="minorHAnsi"/>
                <w:vertAlign w:val="subscript"/>
              </w:rPr>
              <w:t>jit</w:t>
            </w:r>
            <w:r w:rsidRPr="00974F47">
              <w:rPr>
                <w:rFonts w:asciiTheme="minorHAnsi" w:hAnsiTheme="minorHAnsi" w:cstheme="minorHAnsi"/>
              </w:rPr>
              <w:t xml:space="preserve"> </w:t>
            </w:r>
            <w:r w:rsidRPr="00974F47">
              <w:rPr>
                <w:rFonts w:asciiTheme="minorHAnsi" w:hAnsiTheme="minorHAnsi" w:cstheme="minorHAnsi"/>
                <w:b/>
              </w:rPr>
              <w:t>.</w:t>
            </w:r>
            <w:r w:rsidRPr="00974F47">
              <w:rPr>
                <w:rFonts w:asciiTheme="minorHAnsi" w:hAnsiTheme="minorHAnsi" w:cstheme="minorHAnsi"/>
              </w:rPr>
              <w:t xml:space="preserve"> EC</w:t>
            </w:r>
            <w:r w:rsidR="00EB6854" w:rsidRPr="00974F47">
              <w:rPr>
                <w:rFonts w:asciiTheme="minorHAnsi" w:hAnsiTheme="minorHAnsi" w:cstheme="minorHAnsi"/>
                <w:vertAlign w:val="subscript"/>
              </w:rPr>
              <w:t>j</w:t>
            </w:r>
            <w:r w:rsidRPr="00974F47">
              <w:rPr>
                <w:rFonts w:asciiTheme="minorHAnsi" w:hAnsiTheme="minorHAnsi" w:cstheme="minorHAnsi"/>
                <w:vertAlign w:val="subscript"/>
              </w:rPr>
              <w:t xml:space="preserve"> </w:t>
            </w:r>
            <w:r w:rsidRPr="00974F47">
              <w:rPr>
                <w:rFonts w:asciiTheme="minorHAnsi" w:hAnsiTheme="minorHAnsi" w:cstheme="minorHAnsi"/>
                <w:b/>
                <w:vertAlign w:val="subscript"/>
              </w:rPr>
              <w:t>.</w:t>
            </w:r>
            <w:r w:rsidRPr="00974F47">
              <w:rPr>
                <w:rFonts w:asciiTheme="minorHAnsi" w:hAnsiTheme="minorHAnsi" w:cstheme="minorHAnsi"/>
                <w:vertAlign w:val="subscript"/>
              </w:rPr>
              <w:t xml:space="preserve"> </w:t>
            </w:r>
            <w:r w:rsidRPr="00974F47">
              <w:rPr>
                <w:rFonts w:asciiTheme="minorHAnsi" w:hAnsiTheme="minorHAnsi" w:cstheme="minorHAnsi"/>
              </w:rPr>
              <w:t>EF</w:t>
            </w:r>
            <w:r w:rsidR="00EB6854" w:rsidRPr="00974F47">
              <w:rPr>
                <w:rFonts w:asciiTheme="minorHAnsi" w:hAnsiTheme="minorHAnsi" w:cstheme="minorHAnsi"/>
                <w:vertAlign w:val="subscript"/>
              </w:rPr>
              <w:t>j</w:t>
            </w:r>
            <w:r w:rsidRPr="00974F47">
              <w:rPr>
                <w:rFonts w:asciiTheme="minorHAnsi" w:hAnsiTheme="minorHAnsi" w:cstheme="minorHAnsi"/>
              </w:rPr>
              <w:t>])</w:t>
            </w:r>
          </w:p>
          <w:p w14:paraId="27CF25CA" w14:textId="3B9F5BD2" w:rsidR="00346BD8" w:rsidRPr="00974F47" w:rsidRDefault="00346BD8" w:rsidP="00974F47">
            <w:pPr>
              <w:pStyle w:val="Calculations"/>
              <w:cnfStyle w:val="000000000000" w:firstRow="0" w:lastRow="0" w:firstColumn="0" w:lastColumn="0" w:oddVBand="0" w:evenVBand="0" w:oddHBand="0" w:evenHBand="0" w:firstRowFirstColumn="0" w:firstRowLastColumn="0" w:lastRowFirstColumn="0" w:lastRowLastColumn="0"/>
            </w:pPr>
            <w:r w:rsidRPr="00974F47">
              <w:t xml:space="preserve">Where: </w:t>
            </w:r>
            <w:r w:rsidRPr="00974F47">
              <w:br/>
              <w:t>E</w:t>
            </w:r>
            <w:r w:rsidRPr="00974F47">
              <w:rPr>
                <w:vertAlign w:val="subscript"/>
              </w:rPr>
              <w:t>t</w:t>
            </w:r>
            <w:r w:rsidRPr="00974F47">
              <w:t xml:space="preserve"> =</w:t>
            </w:r>
            <w:r w:rsidRPr="00974F47" w:rsidDel="00F9725B">
              <w:t xml:space="preserve"> </w:t>
            </w:r>
            <w:r w:rsidRPr="00974F47">
              <w:t xml:space="preserve">emissions </w:t>
            </w:r>
            <w:r w:rsidR="00EB6854" w:rsidRPr="00974F47">
              <w:t>in year t (M</w:t>
            </w:r>
            <w:r w:rsidRPr="00974F47">
              <w:t>t CO</w:t>
            </w:r>
            <w:r w:rsidR="0099567A" w:rsidRPr="00042BDA">
              <w:t>₂</w:t>
            </w:r>
            <w:r w:rsidRPr="00974F47">
              <w:t>-e)</w:t>
            </w:r>
            <w:r w:rsidRPr="00974F47">
              <w:br/>
              <w:t>U</w:t>
            </w:r>
            <w:r w:rsidR="00EB6854" w:rsidRPr="00974F47">
              <w:rPr>
                <w:vertAlign w:val="subscript"/>
              </w:rPr>
              <w:t>jit,</w:t>
            </w:r>
            <w:r w:rsidRPr="00974F47">
              <w:t xml:space="preserve"> = the use of fuel</w:t>
            </w:r>
            <w:r w:rsidR="00EB6854" w:rsidRPr="00974F47">
              <w:rPr>
                <w:vertAlign w:val="subscript"/>
              </w:rPr>
              <w:t xml:space="preserve"> </w:t>
            </w:r>
            <w:r w:rsidR="00EB6854" w:rsidRPr="00974F47">
              <w:t>j</w:t>
            </w:r>
            <w:r w:rsidRPr="00974F47">
              <w:t xml:space="preserve"> at facility</w:t>
            </w:r>
            <w:r w:rsidR="00EB6854" w:rsidRPr="00974F47">
              <w:rPr>
                <w:vertAlign w:val="subscript"/>
              </w:rPr>
              <w:t>i</w:t>
            </w:r>
            <w:r w:rsidR="00EB6854" w:rsidRPr="00974F47">
              <w:t xml:space="preserve"> in year t</w:t>
            </w:r>
            <w:r w:rsidRPr="00974F47">
              <w:br/>
              <w:t>EC</w:t>
            </w:r>
            <w:r w:rsidR="00EB6854" w:rsidRPr="00974F47">
              <w:rPr>
                <w:vertAlign w:val="subscript"/>
              </w:rPr>
              <w:t>j</w:t>
            </w:r>
            <w:r w:rsidRPr="00974F47">
              <w:t xml:space="preserve"> = the energy content of fuel</w:t>
            </w:r>
            <w:r w:rsidR="00EB6854" w:rsidRPr="00974F47">
              <w:rPr>
                <w:vertAlign w:val="subscript"/>
              </w:rPr>
              <w:t xml:space="preserve"> j</w:t>
            </w:r>
            <w:r w:rsidRPr="00974F47">
              <w:br/>
              <w:t>EF</w:t>
            </w:r>
            <w:r w:rsidR="00EB6854" w:rsidRPr="00974F47">
              <w:rPr>
                <w:vertAlign w:val="subscript"/>
              </w:rPr>
              <w:t>j</w:t>
            </w:r>
            <w:r w:rsidRPr="00974F47">
              <w:t xml:space="preserve"> = the emissions factor of fuel</w:t>
            </w:r>
            <w:r w:rsidR="00EB6854" w:rsidRPr="00974F47">
              <w:rPr>
                <w:vertAlign w:val="subscript"/>
              </w:rPr>
              <w:t xml:space="preserve"> j</w:t>
            </w:r>
          </w:p>
          <w:p w14:paraId="13E6F860" w14:textId="4588A7FB" w:rsidR="00346BD8" w:rsidRPr="00974F47" w:rsidRDefault="00346BD8"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46BD8" w:rsidRPr="00974F47" w14:paraId="0371A013"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688DC267" w14:textId="27F4CFC7" w:rsidR="00346BD8" w:rsidRPr="00974F47" w:rsidRDefault="00346BD8" w:rsidP="00537A1C">
            <w:pPr>
              <w:rPr>
                <w:rFonts w:asciiTheme="minorHAnsi" w:hAnsiTheme="minorHAnsi" w:cstheme="minorHAnsi"/>
                <w:b w:val="0"/>
                <w:i/>
                <w:lang w:eastAsia="en-AU"/>
              </w:rPr>
            </w:pPr>
            <w:r w:rsidRPr="00974F47">
              <w:rPr>
                <w:rFonts w:asciiTheme="minorHAnsi" w:hAnsiTheme="minorHAnsi" w:cstheme="minorHAnsi"/>
                <w:lang w:eastAsia="en-AU"/>
              </w:rPr>
              <w:t>Synthetic rutile</w:t>
            </w:r>
          </w:p>
        </w:tc>
        <w:tc>
          <w:tcPr>
            <w:tcW w:w="1401" w:type="pct"/>
            <w:vMerge/>
          </w:tcPr>
          <w:p w14:paraId="2167E128" w14:textId="44F18C8C" w:rsidR="00346BD8" w:rsidRPr="00974F47" w:rsidRDefault="00346BD8"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79" w:type="pct"/>
            <w:vMerge/>
          </w:tcPr>
          <w:p w14:paraId="2935790D" w14:textId="5CFD24B4" w:rsidR="00346BD8" w:rsidRPr="00974F47" w:rsidRDefault="00346BD8"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31552" w:rsidRPr="00974F47" w14:paraId="1FBD3C6D"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1167431E" w14:textId="77D6C298" w:rsidR="00731552" w:rsidRPr="00974F47" w:rsidRDefault="00731552" w:rsidP="00537A1C">
            <w:pPr>
              <w:rPr>
                <w:rFonts w:asciiTheme="minorHAnsi" w:hAnsiTheme="minorHAnsi" w:cstheme="minorHAnsi"/>
                <w:b w:val="0"/>
                <w:i/>
                <w:lang w:eastAsia="en-AU"/>
              </w:rPr>
            </w:pPr>
            <w:r w:rsidRPr="00974F47">
              <w:rPr>
                <w:rFonts w:asciiTheme="minorHAnsi" w:hAnsiTheme="minorHAnsi" w:cstheme="minorHAnsi"/>
                <w:lang w:eastAsia="en-AU"/>
              </w:rPr>
              <w:t>Acetylene</w:t>
            </w:r>
          </w:p>
        </w:tc>
        <w:tc>
          <w:tcPr>
            <w:tcW w:w="1401" w:type="pct"/>
          </w:tcPr>
          <w:p w14:paraId="418690CB" w14:textId="6B9254C3" w:rsidR="00731552" w:rsidRPr="00974F47" w:rsidRDefault="0036287A" w:rsidP="00C85C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F47">
              <w:rPr>
                <w:rFonts w:asciiTheme="minorHAnsi" w:hAnsiTheme="minorHAnsi" w:cstheme="minorHAnsi"/>
                <w:lang w:eastAsia="en-AU"/>
              </w:rPr>
              <w:t xml:space="preserve">Population </w:t>
            </w:r>
            <w:r w:rsidR="00AB2364" w:rsidRPr="00974F47">
              <w:rPr>
                <w:rFonts w:asciiTheme="minorHAnsi" w:hAnsiTheme="minorHAnsi" w:cstheme="minorHAnsi"/>
                <w:lang w:eastAsia="en-AU"/>
              </w:rPr>
              <w:t>forecasts from</w:t>
            </w:r>
            <w:r w:rsidR="00BA6E5F">
              <w:rPr>
                <w:rFonts w:asciiTheme="minorHAnsi" w:hAnsiTheme="minorHAnsi" w:cstheme="minorHAnsi"/>
                <w:lang w:eastAsia="en-AU"/>
              </w:rPr>
              <w:t xml:space="preserve"> </w:t>
            </w:r>
            <w:r w:rsidR="008C1878" w:rsidRPr="00974F47">
              <w:rPr>
                <w:rFonts w:asciiTheme="minorHAnsi" w:hAnsiTheme="minorHAnsi" w:cstheme="minorHAnsi"/>
                <w:lang w:eastAsia="en-AU"/>
              </w:rPr>
              <w:t xml:space="preserve">ABS 2018 and </w:t>
            </w:r>
            <w:r w:rsidR="0071457B">
              <w:t>Department of the Treasury 2021</w:t>
            </w:r>
          </w:p>
        </w:tc>
        <w:tc>
          <w:tcPr>
            <w:tcW w:w="2179" w:type="pct"/>
          </w:tcPr>
          <w:p w14:paraId="47E03601" w14:textId="6115DC1D" w:rsidR="00731552" w:rsidRPr="00974F47" w:rsidRDefault="00731552"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F47">
              <w:rPr>
                <w:rFonts w:asciiTheme="minorHAnsi" w:hAnsiTheme="minorHAnsi" w:cstheme="minorHAnsi"/>
              </w:rPr>
              <w:t>E</w:t>
            </w:r>
            <w:r w:rsidRPr="00974F47">
              <w:rPr>
                <w:rFonts w:asciiTheme="minorHAnsi" w:hAnsiTheme="minorHAnsi" w:cstheme="minorHAnsi"/>
                <w:vertAlign w:val="subscript"/>
              </w:rPr>
              <w:t>t</w:t>
            </w:r>
            <w:r w:rsidRPr="00974F47">
              <w:rPr>
                <w:rFonts w:asciiTheme="minorHAnsi" w:hAnsiTheme="minorHAnsi" w:cstheme="minorHAnsi"/>
              </w:rPr>
              <w:t xml:space="preserve"> = E</w:t>
            </w:r>
            <w:r w:rsidRPr="00974F47">
              <w:rPr>
                <w:rFonts w:asciiTheme="minorHAnsi" w:hAnsiTheme="minorHAnsi" w:cstheme="minorHAnsi"/>
                <w:vertAlign w:val="subscript"/>
              </w:rPr>
              <w:t xml:space="preserve">t-1 </w:t>
            </w:r>
            <w:r w:rsidRPr="00974F47">
              <w:rPr>
                <w:rFonts w:asciiTheme="minorHAnsi" w:hAnsiTheme="minorHAnsi" w:cstheme="minorHAnsi"/>
                <w:b/>
              </w:rPr>
              <w:t>.</w:t>
            </w:r>
            <w:r w:rsidRPr="00974F47">
              <w:rPr>
                <w:rFonts w:asciiTheme="minorHAnsi" w:hAnsiTheme="minorHAnsi" w:cstheme="minorHAnsi"/>
              </w:rPr>
              <w:t xml:space="preserve"> Δ Population</w:t>
            </w:r>
          </w:p>
          <w:p w14:paraId="626D8CBE" w14:textId="67CAB5FF" w:rsidR="00731552" w:rsidRPr="00974F47" w:rsidRDefault="00731552">
            <w:pPr>
              <w:pStyle w:val="Calculations"/>
              <w:cnfStyle w:val="000000000000" w:firstRow="0" w:lastRow="0" w:firstColumn="0" w:lastColumn="0" w:oddVBand="0" w:evenVBand="0" w:oddHBand="0" w:evenHBand="0" w:firstRowFirstColumn="0" w:firstRowLastColumn="0" w:lastRowFirstColumn="0" w:lastRowLastColumn="0"/>
            </w:pPr>
            <w:r w:rsidRPr="00974F47">
              <w:t xml:space="preserve">Where: </w:t>
            </w:r>
            <w:r w:rsidRPr="00974F47">
              <w:br/>
              <w:t>E</w:t>
            </w:r>
            <w:r w:rsidRPr="00974F47">
              <w:rPr>
                <w:vertAlign w:val="subscript"/>
              </w:rPr>
              <w:t>t</w:t>
            </w:r>
            <w:r w:rsidRPr="00974F47">
              <w:t xml:space="preserve"> =</w:t>
            </w:r>
            <w:r w:rsidRPr="00974F47" w:rsidDel="00F9725B">
              <w:t xml:space="preserve"> </w:t>
            </w:r>
            <w:r w:rsidRPr="00974F47">
              <w:t>emissions in year</w:t>
            </w:r>
            <w:r w:rsidR="006C13CE" w:rsidRPr="00974F47">
              <w:rPr>
                <w:vertAlign w:val="subscript"/>
              </w:rPr>
              <w:t xml:space="preserve"> </w:t>
            </w:r>
            <w:r w:rsidR="006C13CE" w:rsidRPr="00974F47">
              <w:t>t</w:t>
            </w:r>
            <w:r w:rsidR="00BC1BA2" w:rsidRPr="00974F47">
              <w:t xml:space="preserve"> (M</w:t>
            </w:r>
            <w:r w:rsidR="00E818E2" w:rsidRPr="00974F47">
              <w:t>t CO</w:t>
            </w:r>
            <w:r w:rsidR="00DC5D1C" w:rsidRPr="00907A9F">
              <w:rPr>
                <w:i w:val="0"/>
              </w:rPr>
              <w:t>₂</w:t>
            </w:r>
            <w:r w:rsidR="00E818E2" w:rsidRPr="00974F47">
              <w:t>-e)</w:t>
            </w:r>
            <w:r w:rsidRPr="00974F47">
              <w:br/>
              <w:t>E</w:t>
            </w:r>
            <w:r w:rsidRPr="00974F47">
              <w:rPr>
                <w:vertAlign w:val="subscript"/>
              </w:rPr>
              <w:t>,t-1</w:t>
            </w:r>
            <w:r w:rsidRPr="00974F47">
              <w:t xml:space="preserve"> = emissions in the previous year</w:t>
            </w:r>
            <w:r w:rsidRPr="00974F47">
              <w:br/>
              <w:t>Δ</w:t>
            </w:r>
            <w:r w:rsidRPr="00974F47">
              <w:rPr>
                <w:vertAlign w:val="subscript"/>
              </w:rPr>
              <w:t xml:space="preserve"> </w:t>
            </w:r>
            <w:r w:rsidRPr="00974F47">
              <w:t>Population = percentage change in population between year</w:t>
            </w:r>
            <w:r w:rsidR="006C13CE" w:rsidRPr="00974F47">
              <w:rPr>
                <w:vertAlign w:val="subscript"/>
              </w:rPr>
              <w:t xml:space="preserve"> </w:t>
            </w:r>
            <w:r w:rsidR="006C13CE" w:rsidRPr="00974F47">
              <w:t>t</w:t>
            </w:r>
            <w:r w:rsidRPr="00974F47">
              <w:t xml:space="preserve"> and year</w:t>
            </w:r>
            <w:r w:rsidR="006C13CE" w:rsidRPr="00974F47">
              <w:rPr>
                <w:vertAlign w:val="subscript"/>
              </w:rPr>
              <w:t xml:space="preserve"> </w:t>
            </w:r>
            <w:r w:rsidR="006C13CE" w:rsidRPr="00974F47">
              <w:t>t</w:t>
            </w:r>
            <w:r w:rsidRPr="00974F47">
              <w:t>-1</w:t>
            </w:r>
          </w:p>
        </w:tc>
      </w:tr>
      <w:tr w:rsidR="00731552" w:rsidRPr="00974F47" w14:paraId="597AC1E9"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39C3EE8D" w14:textId="6C0FF42A" w:rsidR="00731552" w:rsidRPr="00974F47" w:rsidRDefault="00731552" w:rsidP="00537A1C">
            <w:pPr>
              <w:rPr>
                <w:rFonts w:asciiTheme="minorHAnsi" w:hAnsiTheme="minorHAnsi" w:cstheme="minorHAnsi"/>
                <w:b w:val="0"/>
                <w:i/>
                <w:lang w:eastAsia="en-AU"/>
              </w:rPr>
            </w:pPr>
            <w:r w:rsidRPr="00974F47">
              <w:rPr>
                <w:rFonts w:asciiTheme="minorHAnsi" w:hAnsiTheme="minorHAnsi" w:cstheme="minorHAnsi"/>
                <w:lang w:eastAsia="en-AU"/>
              </w:rPr>
              <w:t>Petrochemical and carbon black</w:t>
            </w:r>
          </w:p>
        </w:tc>
        <w:tc>
          <w:tcPr>
            <w:tcW w:w="1401" w:type="pct"/>
          </w:tcPr>
          <w:p w14:paraId="2CA35F9B" w14:textId="013D93F7" w:rsidR="00731552" w:rsidRPr="00974F47" w:rsidRDefault="00731552"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4F47">
              <w:rPr>
                <w:rFonts w:asciiTheme="minorHAnsi" w:hAnsiTheme="minorHAnsi" w:cstheme="minorHAnsi"/>
              </w:rPr>
              <w:t xml:space="preserve">n/a </w:t>
            </w:r>
          </w:p>
        </w:tc>
        <w:tc>
          <w:tcPr>
            <w:tcW w:w="2179" w:type="pct"/>
          </w:tcPr>
          <w:p w14:paraId="32621CEF" w14:textId="5954F00F" w:rsidR="00731552" w:rsidRPr="00974F47" w:rsidRDefault="00731552"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vertAlign w:val="superscript"/>
              </w:rPr>
            </w:pPr>
            <w:r w:rsidRPr="00974F47">
              <w:rPr>
                <w:rFonts w:asciiTheme="minorHAnsi" w:hAnsiTheme="minorHAnsi" w:cstheme="minorHAnsi"/>
              </w:rPr>
              <w:t>E</w:t>
            </w:r>
            <w:r w:rsidRPr="00974F47">
              <w:rPr>
                <w:rFonts w:asciiTheme="minorHAnsi" w:hAnsiTheme="minorHAnsi" w:cstheme="minorHAnsi"/>
                <w:vertAlign w:val="subscript"/>
              </w:rPr>
              <w:t>t</w:t>
            </w:r>
            <w:r w:rsidRPr="00974F47">
              <w:rPr>
                <w:rFonts w:asciiTheme="minorHAnsi" w:hAnsiTheme="minorHAnsi" w:cstheme="minorHAnsi"/>
              </w:rPr>
              <w:t xml:space="preserve"> = E</w:t>
            </w:r>
            <w:r w:rsidRPr="00974F47">
              <w:rPr>
                <w:rFonts w:asciiTheme="minorHAnsi" w:hAnsiTheme="minorHAnsi" w:cstheme="minorHAnsi"/>
                <w:vertAlign w:val="subscript"/>
              </w:rPr>
              <w:t>t-1</w:t>
            </w:r>
            <w:r w:rsidRPr="00974F47">
              <w:rPr>
                <w:rFonts w:asciiTheme="minorHAnsi" w:hAnsiTheme="minorHAnsi" w:cstheme="minorHAnsi"/>
              </w:rPr>
              <w:t xml:space="preserve"> </w:t>
            </w:r>
          </w:p>
          <w:p w14:paraId="1297829F" w14:textId="66B4ECE6" w:rsidR="00731552" w:rsidRPr="00974F47" w:rsidRDefault="00731552">
            <w:pPr>
              <w:pStyle w:val="Calculations"/>
              <w:cnfStyle w:val="000000100000" w:firstRow="0" w:lastRow="0" w:firstColumn="0" w:lastColumn="0" w:oddVBand="0" w:evenVBand="0" w:oddHBand="1" w:evenHBand="0" w:firstRowFirstColumn="0" w:firstRowLastColumn="0" w:lastRowFirstColumn="0" w:lastRowLastColumn="0"/>
            </w:pPr>
            <w:r w:rsidRPr="00974F47">
              <w:t xml:space="preserve">Where: </w:t>
            </w:r>
            <w:r w:rsidRPr="00974F47">
              <w:br/>
            </w:r>
            <w:r w:rsidR="00C90BA1" w:rsidRPr="00974F47">
              <w:t>E</w:t>
            </w:r>
            <w:r w:rsidR="00C90BA1" w:rsidRPr="00974F47">
              <w:rPr>
                <w:vertAlign w:val="subscript"/>
              </w:rPr>
              <w:t>t</w:t>
            </w:r>
            <w:r w:rsidR="00C90BA1" w:rsidRPr="00974F47">
              <w:t xml:space="preserve"> </w:t>
            </w:r>
            <w:r w:rsidRPr="00974F47">
              <w:t xml:space="preserve">= emissions in </w:t>
            </w:r>
            <w:r w:rsidR="00BC1BA2" w:rsidRPr="00974F47">
              <w:t>year t (M</w:t>
            </w:r>
            <w:r w:rsidR="00C90BA1" w:rsidRPr="00974F47">
              <w:t>t CO</w:t>
            </w:r>
            <w:r w:rsidR="00DC5D1C" w:rsidRPr="00907A9F">
              <w:rPr>
                <w:i w:val="0"/>
              </w:rPr>
              <w:t>₂</w:t>
            </w:r>
            <w:r w:rsidR="00C90BA1" w:rsidRPr="00974F47">
              <w:t>-e)</w:t>
            </w:r>
            <w:r w:rsidRPr="00974F47">
              <w:br/>
              <w:t>E</w:t>
            </w:r>
            <w:r w:rsidRPr="00974F47">
              <w:rPr>
                <w:vertAlign w:val="subscript"/>
              </w:rPr>
              <w:t>t-1</w:t>
            </w:r>
            <w:r w:rsidRPr="00974F47">
              <w:t xml:space="preserve"> = emissions in the previous year</w:t>
            </w:r>
          </w:p>
        </w:tc>
      </w:tr>
      <w:tr w:rsidR="00731552" w:rsidRPr="00974F47" w14:paraId="0E0912F1"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49289AAC" w14:textId="45F117A9" w:rsidR="00731552" w:rsidRPr="00974F47" w:rsidRDefault="00731552" w:rsidP="00537A1C">
            <w:pPr>
              <w:rPr>
                <w:rFonts w:asciiTheme="minorHAnsi" w:hAnsiTheme="minorHAnsi" w:cstheme="minorHAnsi"/>
                <w:lang w:eastAsia="en-AU"/>
              </w:rPr>
            </w:pPr>
            <w:r w:rsidRPr="00974F47">
              <w:rPr>
                <w:rFonts w:asciiTheme="minorHAnsi" w:hAnsiTheme="minorHAnsi" w:cstheme="minorHAnsi"/>
                <w:lang w:eastAsia="en-AU"/>
              </w:rPr>
              <w:t xml:space="preserve">Metal </w:t>
            </w:r>
            <w:r w:rsidR="00596E05">
              <w:rPr>
                <w:rFonts w:asciiTheme="minorHAnsi" w:hAnsiTheme="minorHAnsi" w:cstheme="minorHAnsi"/>
                <w:lang w:eastAsia="en-AU"/>
              </w:rPr>
              <w:t>i</w:t>
            </w:r>
            <w:r w:rsidRPr="00974F47">
              <w:rPr>
                <w:rFonts w:asciiTheme="minorHAnsi" w:hAnsiTheme="minorHAnsi" w:cstheme="minorHAnsi"/>
                <w:lang w:eastAsia="en-AU"/>
              </w:rPr>
              <w:t>ndustry</w:t>
            </w:r>
          </w:p>
        </w:tc>
        <w:tc>
          <w:tcPr>
            <w:tcW w:w="1401" w:type="pct"/>
          </w:tcPr>
          <w:p w14:paraId="35C29BFD" w14:textId="54E0D358" w:rsidR="00731552" w:rsidRPr="00974F47" w:rsidRDefault="00731552"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79" w:type="pct"/>
          </w:tcPr>
          <w:p w14:paraId="05E71B25" w14:textId="5C8F7896" w:rsidR="00731552" w:rsidRPr="00974F47" w:rsidRDefault="00731552"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31552" w:rsidRPr="00974F47" w14:paraId="19CA974E"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266958F3" w14:textId="5C8D3F0E" w:rsidR="00731552" w:rsidRPr="00974F47" w:rsidRDefault="00731552" w:rsidP="00537A1C">
            <w:pPr>
              <w:rPr>
                <w:rFonts w:asciiTheme="minorHAnsi" w:eastAsia="Times New Roman" w:hAnsiTheme="minorHAnsi" w:cstheme="minorHAnsi"/>
                <w:b w:val="0"/>
                <w:i/>
                <w:color w:val="000000"/>
                <w:lang w:eastAsia="en-AU"/>
              </w:rPr>
            </w:pPr>
            <w:r w:rsidRPr="00974F47">
              <w:rPr>
                <w:rFonts w:asciiTheme="minorHAnsi" w:hAnsiTheme="minorHAnsi" w:cstheme="minorHAnsi"/>
              </w:rPr>
              <w:t>Aluminium production</w:t>
            </w:r>
          </w:p>
        </w:tc>
        <w:tc>
          <w:tcPr>
            <w:tcW w:w="1401" w:type="pct"/>
          </w:tcPr>
          <w:p w14:paraId="20E5F2EC" w14:textId="3B9F7972" w:rsidR="00731552" w:rsidRPr="00974F47" w:rsidRDefault="00731552"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4F47">
              <w:rPr>
                <w:rFonts w:asciiTheme="minorHAnsi" w:eastAsia="Times New Roman" w:hAnsiTheme="minorHAnsi" w:cstheme="minorHAnsi"/>
                <w:color w:val="000000"/>
                <w:lang w:eastAsia="en-AU"/>
              </w:rPr>
              <w:t xml:space="preserve">Production data from </w:t>
            </w:r>
            <w:r w:rsidRPr="00974F47">
              <w:rPr>
                <w:rFonts w:asciiTheme="minorHAnsi" w:hAnsiTheme="minorHAnsi" w:cstheme="minorHAnsi"/>
              </w:rPr>
              <w:t xml:space="preserve">OCE </w:t>
            </w:r>
            <w:r w:rsidR="007F0D2F" w:rsidRPr="00974F47">
              <w:rPr>
                <w:rFonts w:asciiTheme="minorHAnsi" w:hAnsiTheme="minorHAnsi" w:cstheme="minorHAnsi"/>
              </w:rPr>
              <w:t>202</w:t>
            </w:r>
            <w:r w:rsidR="007F0D2F">
              <w:rPr>
                <w:rFonts w:asciiTheme="minorHAnsi" w:hAnsiTheme="minorHAnsi" w:cstheme="minorHAnsi"/>
              </w:rPr>
              <w:t>1</w:t>
            </w:r>
            <w:r w:rsidR="007F0D2F" w:rsidRPr="00974F47">
              <w:rPr>
                <w:rFonts w:asciiTheme="minorHAnsi" w:hAnsiTheme="minorHAnsi" w:cstheme="minorHAnsi"/>
              </w:rPr>
              <w:t>a</w:t>
            </w:r>
            <w:r w:rsidRPr="00974F47">
              <w:rPr>
                <w:rFonts w:asciiTheme="minorHAnsi" w:hAnsiTheme="minorHAnsi" w:cstheme="minorHAnsi"/>
              </w:rPr>
              <w:t>,</w:t>
            </w:r>
            <w:r w:rsidRPr="00974F47">
              <w:rPr>
                <w:rFonts w:asciiTheme="minorHAnsi" w:eastAsia="Times New Roman" w:hAnsiTheme="minorHAnsi" w:cstheme="minorHAnsi"/>
                <w:color w:val="000000"/>
                <w:lang w:eastAsia="en-AU"/>
              </w:rPr>
              <w:t xml:space="preserve"> </w:t>
            </w:r>
            <w:r w:rsidRPr="00974F47">
              <w:rPr>
                <w:rFonts w:asciiTheme="minorHAnsi" w:hAnsiTheme="minorHAnsi" w:cstheme="minorHAnsi"/>
              </w:rPr>
              <w:t xml:space="preserve">OCE </w:t>
            </w:r>
            <w:r w:rsidR="007F0D2F" w:rsidRPr="00974F47">
              <w:rPr>
                <w:rFonts w:asciiTheme="minorHAnsi" w:hAnsiTheme="minorHAnsi" w:cstheme="minorHAnsi"/>
              </w:rPr>
              <w:t>202</w:t>
            </w:r>
            <w:r w:rsidR="007F0D2F">
              <w:rPr>
                <w:rFonts w:asciiTheme="minorHAnsi" w:hAnsiTheme="minorHAnsi" w:cstheme="minorHAnsi"/>
              </w:rPr>
              <w:t>1</w:t>
            </w:r>
            <w:r w:rsidR="007F0D2F" w:rsidRPr="00974F47">
              <w:rPr>
                <w:rFonts w:asciiTheme="minorHAnsi" w:hAnsiTheme="minorHAnsi" w:cstheme="minorHAnsi"/>
              </w:rPr>
              <w:t>b</w:t>
            </w:r>
            <w:r w:rsidRPr="00974F47">
              <w:rPr>
                <w:rFonts w:asciiTheme="minorHAnsi" w:hAnsiTheme="minorHAnsi" w:cstheme="minorHAnsi"/>
              </w:rPr>
              <w:t>, and AME Group’s industry analysis</w:t>
            </w:r>
          </w:p>
          <w:p w14:paraId="32863B85" w14:textId="4C20DF22" w:rsidR="00731552" w:rsidRPr="00974F47" w:rsidRDefault="00731552"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79" w:type="pct"/>
          </w:tcPr>
          <w:p w14:paraId="6DE6DAE7" w14:textId="6EAF90B1" w:rsidR="00572577" w:rsidRPr="00974F47" w:rsidRDefault="00572577"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vertAlign w:val="superscript"/>
              </w:rPr>
            </w:pPr>
            <w:r w:rsidRPr="00974F47">
              <w:rPr>
                <w:rFonts w:asciiTheme="minorHAnsi" w:hAnsiTheme="minorHAnsi" w:cstheme="minorHAnsi"/>
              </w:rPr>
              <w:t>E</w:t>
            </w:r>
            <w:r w:rsidRPr="00974F47">
              <w:rPr>
                <w:rFonts w:asciiTheme="minorHAnsi" w:hAnsiTheme="minorHAnsi" w:cstheme="minorHAnsi"/>
                <w:vertAlign w:val="subscript"/>
              </w:rPr>
              <w:t>t</w:t>
            </w:r>
            <w:r w:rsidRPr="00974F47">
              <w:rPr>
                <w:rFonts w:asciiTheme="minorHAnsi" w:hAnsiTheme="minorHAnsi" w:cstheme="minorHAnsi"/>
              </w:rPr>
              <w:t xml:space="preserve"> = </w:t>
            </w:r>
            <w:r w:rsidR="00223613" w:rsidRPr="00974F47">
              <w:rPr>
                <w:rFonts w:asciiTheme="minorHAnsi" w:hAnsiTheme="minorHAnsi" w:cstheme="minorHAnsi"/>
              </w:rPr>
              <w:t>∑ (</w:t>
            </w:r>
            <w:r w:rsidRPr="00974F47">
              <w:rPr>
                <w:rFonts w:asciiTheme="minorHAnsi" w:hAnsiTheme="minorHAnsi" w:cstheme="minorHAnsi"/>
              </w:rPr>
              <w:t>[U</w:t>
            </w:r>
            <w:r w:rsidRPr="00974F47">
              <w:rPr>
                <w:rFonts w:asciiTheme="minorHAnsi" w:hAnsiTheme="minorHAnsi" w:cstheme="minorHAnsi"/>
                <w:vertAlign w:val="subscript"/>
              </w:rPr>
              <w:t>jit</w:t>
            </w:r>
            <w:r w:rsidRPr="00974F47">
              <w:rPr>
                <w:rFonts w:asciiTheme="minorHAnsi" w:hAnsiTheme="minorHAnsi" w:cstheme="minorHAnsi"/>
              </w:rPr>
              <w:t xml:space="preserve"> </w:t>
            </w:r>
            <w:r w:rsidRPr="00974F47">
              <w:rPr>
                <w:rFonts w:asciiTheme="minorHAnsi" w:hAnsiTheme="minorHAnsi" w:cstheme="minorHAnsi"/>
                <w:b/>
              </w:rPr>
              <w:t>.</w:t>
            </w:r>
            <w:r w:rsidRPr="00974F47">
              <w:rPr>
                <w:rFonts w:asciiTheme="minorHAnsi" w:hAnsiTheme="minorHAnsi" w:cstheme="minorHAnsi"/>
              </w:rPr>
              <w:t xml:space="preserve"> EC</w:t>
            </w:r>
            <w:r w:rsidRPr="00974F47">
              <w:rPr>
                <w:rFonts w:asciiTheme="minorHAnsi" w:hAnsiTheme="minorHAnsi" w:cstheme="minorHAnsi"/>
                <w:vertAlign w:val="subscript"/>
              </w:rPr>
              <w:t xml:space="preserve">j </w:t>
            </w:r>
            <w:r w:rsidRPr="00974F47" w:rsidDel="00C85C35">
              <w:rPr>
                <w:rFonts w:asciiTheme="minorHAnsi" w:hAnsiTheme="minorHAnsi" w:cstheme="minorHAnsi"/>
                <w:b/>
              </w:rPr>
              <w:t>.</w:t>
            </w:r>
            <w:r w:rsidRPr="00974F47">
              <w:rPr>
                <w:rFonts w:asciiTheme="minorHAnsi" w:hAnsiTheme="minorHAnsi" w:cstheme="minorHAnsi"/>
                <w:vertAlign w:val="subscript"/>
              </w:rPr>
              <w:t xml:space="preserve"> </w:t>
            </w:r>
            <w:r w:rsidRPr="00974F47">
              <w:rPr>
                <w:rFonts w:asciiTheme="minorHAnsi" w:hAnsiTheme="minorHAnsi" w:cstheme="minorHAnsi"/>
              </w:rPr>
              <w:t>EF</w:t>
            </w:r>
            <w:r w:rsidRPr="00974F47">
              <w:rPr>
                <w:rFonts w:asciiTheme="minorHAnsi" w:hAnsiTheme="minorHAnsi" w:cstheme="minorHAnsi"/>
                <w:vertAlign w:val="subscript"/>
              </w:rPr>
              <w:t xml:space="preserve">j + </w:t>
            </w:r>
            <w:r w:rsidRPr="00974F47">
              <w:rPr>
                <w:rFonts w:asciiTheme="minorHAnsi" w:hAnsiTheme="minorHAnsi" w:cstheme="minorHAnsi"/>
              </w:rPr>
              <w:t>(PFC</w:t>
            </w:r>
            <w:r w:rsidRPr="00974F47">
              <w:rPr>
                <w:rFonts w:asciiTheme="minorHAnsi" w:hAnsiTheme="minorHAnsi" w:cstheme="minorHAnsi"/>
                <w:vertAlign w:val="subscript"/>
              </w:rPr>
              <w:t xml:space="preserve">t-1 </w:t>
            </w:r>
            <w:r w:rsidR="00A8602E">
              <w:rPr>
                <w:rFonts w:asciiTheme="minorHAnsi" w:hAnsiTheme="minorHAnsi" w:cstheme="minorHAnsi"/>
                <w:vertAlign w:val="subscript"/>
              </w:rPr>
              <w:t xml:space="preserve">  </w:t>
            </w:r>
            <w:r w:rsidR="00A8602E">
              <w:rPr>
                <w:rFonts w:asciiTheme="minorHAnsi" w:hAnsiTheme="minorHAnsi" w:cstheme="minorHAnsi"/>
                <w:b/>
              </w:rPr>
              <w:t>.</w:t>
            </w:r>
            <w:r w:rsidRPr="00974F47">
              <w:rPr>
                <w:rFonts w:asciiTheme="minorHAnsi" w:hAnsiTheme="minorHAnsi" w:cstheme="minorHAnsi"/>
              </w:rPr>
              <w:t xml:space="preserve"> Δ Production)])</w:t>
            </w:r>
          </w:p>
          <w:p w14:paraId="4C68CD1F" w14:textId="4D257BA5" w:rsidR="00572577" w:rsidRPr="00974F47" w:rsidRDefault="00572577" w:rsidP="00974F47">
            <w:pPr>
              <w:pStyle w:val="Calculations"/>
              <w:cnfStyle w:val="000000100000" w:firstRow="0" w:lastRow="0" w:firstColumn="0" w:lastColumn="0" w:oddVBand="0" w:evenVBand="0" w:oddHBand="1" w:evenHBand="0" w:firstRowFirstColumn="0" w:firstRowLastColumn="0" w:lastRowFirstColumn="0" w:lastRowLastColumn="0"/>
            </w:pPr>
            <w:r w:rsidRPr="00974F47">
              <w:t xml:space="preserve">Where: </w:t>
            </w:r>
            <w:r w:rsidRPr="00974F47">
              <w:br/>
              <w:t>E</w:t>
            </w:r>
            <w:r w:rsidRPr="00974F47">
              <w:rPr>
                <w:vertAlign w:val="subscript"/>
              </w:rPr>
              <w:t>t</w:t>
            </w:r>
            <w:r w:rsidRPr="00974F47">
              <w:t xml:space="preserve"> =</w:t>
            </w:r>
            <w:r w:rsidRPr="00974F47" w:rsidDel="00F9725B">
              <w:t xml:space="preserve"> </w:t>
            </w:r>
            <w:r w:rsidRPr="00974F47">
              <w:t>emissions in year t (Mt CO</w:t>
            </w:r>
            <w:r w:rsidR="00DC5D1C" w:rsidRPr="00907A9F">
              <w:rPr>
                <w:i w:val="0"/>
              </w:rPr>
              <w:t>₂</w:t>
            </w:r>
            <w:r w:rsidRPr="00974F47">
              <w:t>-e)</w:t>
            </w:r>
            <w:r w:rsidRPr="00974F47">
              <w:br/>
              <w:t>U</w:t>
            </w:r>
            <w:r w:rsidRPr="00974F47">
              <w:rPr>
                <w:vertAlign w:val="subscript"/>
              </w:rPr>
              <w:t>jit,</w:t>
            </w:r>
            <w:r w:rsidRPr="00974F47">
              <w:t xml:space="preserve"> = the use of fuel</w:t>
            </w:r>
            <w:r w:rsidRPr="00974F47">
              <w:rPr>
                <w:vertAlign w:val="subscript"/>
              </w:rPr>
              <w:t xml:space="preserve"> </w:t>
            </w:r>
            <w:r w:rsidRPr="00974F47">
              <w:t>j as a reductant at facility</w:t>
            </w:r>
            <w:r w:rsidRPr="00974F47">
              <w:rPr>
                <w:vertAlign w:val="subscript"/>
              </w:rPr>
              <w:t>i</w:t>
            </w:r>
            <w:r w:rsidRPr="00974F47">
              <w:t xml:space="preserve"> in year t </w:t>
            </w:r>
            <w:r w:rsidRPr="00974F47">
              <w:br/>
              <w:t>EC</w:t>
            </w:r>
            <w:r w:rsidRPr="00974F47">
              <w:rPr>
                <w:vertAlign w:val="subscript"/>
              </w:rPr>
              <w:t>j</w:t>
            </w:r>
            <w:r w:rsidRPr="00974F47">
              <w:t xml:space="preserve"> = the energy content of fuel</w:t>
            </w:r>
            <w:r w:rsidRPr="00974F47">
              <w:rPr>
                <w:vertAlign w:val="subscript"/>
              </w:rPr>
              <w:t xml:space="preserve"> j</w:t>
            </w:r>
            <w:r w:rsidRPr="00974F47">
              <w:br/>
              <w:t>EF</w:t>
            </w:r>
            <w:r w:rsidRPr="00974F47">
              <w:rPr>
                <w:vertAlign w:val="subscript"/>
              </w:rPr>
              <w:t>j</w:t>
            </w:r>
            <w:r w:rsidRPr="00974F47">
              <w:t xml:space="preserve"> = the emissions factor of fuel</w:t>
            </w:r>
            <w:r w:rsidRPr="00974F47">
              <w:rPr>
                <w:vertAlign w:val="subscript"/>
              </w:rPr>
              <w:t xml:space="preserve"> j</w:t>
            </w:r>
            <w:r w:rsidRPr="00974F47">
              <w:br/>
              <w:t>PFC</w:t>
            </w:r>
            <w:r w:rsidRPr="00974F47">
              <w:rPr>
                <w:vertAlign w:val="subscript"/>
              </w:rPr>
              <w:t>t-1</w:t>
            </w:r>
            <w:r w:rsidRPr="00974F47">
              <w:t xml:space="preserve"> = perfluorocarbon emissions in the previous year</w:t>
            </w:r>
            <w:r w:rsidRPr="00974F47">
              <w:br/>
              <w:t>Δ</w:t>
            </w:r>
            <w:r w:rsidRPr="00974F47">
              <w:rPr>
                <w:vertAlign w:val="subscript"/>
              </w:rPr>
              <w:t xml:space="preserve"> </w:t>
            </w:r>
            <w:r w:rsidRPr="00974F47">
              <w:t>Production = percentage change in production between year t and year t-1</w:t>
            </w:r>
          </w:p>
          <w:p w14:paraId="62A61D9A" w14:textId="0F3F3DF7" w:rsidR="00731552" w:rsidRPr="00974F47" w:rsidRDefault="00731552"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31552" w:rsidRPr="00974F47" w14:paraId="12823C14"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2E19FE38" w14:textId="15923483" w:rsidR="00731552" w:rsidRPr="00974F47" w:rsidRDefault="00731552" w:rsidP="00537A1C">
            <w:pPr>
              <w:rPr>
                <w:rFonts w:asciiTheme="minorHAnsi" w:eastAsia="Times New Roman" w:hAnsiTheme="minorHAnsi" w:cstheme="minorHAnsi"/>
                <w:b w:val="0"/>
                <w:i/>
                <w:color w:val="000000"/>
                <w:lang w:eastAsia="en-AU"/>
              </w:rPr>
            </w:pPr>
            <w:r w:rsidRPr="00974F47">
              <w:rPr>
                <w:rFonts w:asciiTheme="minorHAnsi" w:hAnsiTheme="minorHAnsi" w:cstheme="minorHAnsi"/>
              </w:rPr>
              <w:t>Iron and steel production</w:t>
            </w:r>
          </w:p>
        </w:tc>
        <w:tc>
          <w:tcPr>
            <w:tcW w:w="1401" w:type="pct"/>
          </w:tcPr>
          <w:p w14:paraId="363A6683" w14:textId="5D564E4E" w:rsidR="00731552" w:rsidRPr="00974F47" w:rsidRDefault="00572577" w:rsidP="007F0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F47">
              <w:rPr>
                <w:rFonts w:asciiTheme="minorHAnsi" w:eastAsia="Times New Roman" w:hAnsiTheme="minorHAnsi" w:cstheme="minorHAnsi"/>
                <w:color w:val="000000"/>
                <w:lang w:eastAsia="en-AU"/>
              </w:rPr>
              <w:t xml:space="preserve">Production data from </w:t>
            </w:r>
            <w:r w:rsidRPr="00974F47">
              <w:rPr>
                <w:rFonts w:asciiTheme="minorHAnsi" w:hAnsiTheme="minorHAnsi" w:cstheme="minorHAnsi"/>
              </w:rPr>
              <w:t xml:space="preserve">OCE </w:t>
            </w:r>
            <w:r w:rsidR="007F0D2F" w:rsidRPr="00974F47">
              <w:rPr>
                <w:rFonts w:asciiTheme="minorHAnsi" w:hAnsiTheme="minorHAnsi" w:cstheme="minorHAnsi"/>
              </w:rPr>
              <w:t>202</w:t>
            </w:r>
            <w:r w:rsidR="007F0D2F">
              <w:rPr>
                <w:rFonts w:asciiTheme="minorHAnsi" w:hAnsiTheme="minorHAnsi" w:cstheme="minorHAnsi"/>
              </w:rPr>
              <w:t>1</w:t>
            </w:r>
            <w:r w:rsidR="007F0D2F" w:rsidRPr="00974F47">
              <w:rPr>
                <w:rFonts w:asciiTheme="minorHAnsi" w:hAnsiTheme="minorHAnsi" w:cstheme="minorHAnsi"/>
              </w:rPr>
              <w:t>a</w:t>
            </w:r>
            <w:r w:rsidRPr="00974F47">
              <w:rPr>
                <w:rFonts w:asciiTheme="minorHAnsi" w:hAnsiTheme="minorHAnsi" w:cstheme="minorHAnsi"/>
              </w:rPr>
              <w:t>,</w:t>
            </w:r>
            <w:r w:rsidRPr="00974F47">
              <w:rPr>
                <w:rFonts w:asciiTheme="minorHAnsi" w:eastAsia="Times New Roman" w:hAnsiTheme="minorHAnsi" w:cstheme="minorHAnsi"/>
                <w:color w:val="000000"/>
                <w:lang w:eastAsia="en-AU"/>
              </w:rPr>
              <w:t xml:space="preserve"> </w:t>
            </w:r>
            <w:r w:rsidRPr="00974F47">
              <w:rPr>
                <w:rFonts w:asciiTheme="minorHAnsi" w:hAnsiTheme="minorHAnsi" w:cstheme="minorHAnsi"/>
              </w:rPr>
              <w:t xml:space="preserve">OCE </w:t>
            </w:r>
            <w:r w:rsidR="007F0D2F" w:rsidRPr="00974F47">
              <w:rPr>
                <w:rFonts w:asciiTheme="minorHAnsi" w:hAnsiTheme="minorHAnsi" w:cstheme="minorHAnsi"/>
              </w:rPr>
              <w:t>202</w:t>
            </w:r>
            <w:r w:rsidR="007F0D2F">
              <w:rPr>
                <w:rFonts w:asciiTheme="minorHAnsi" w:hAnsiTheme="minorHAnsi" w:cstheme="minorHAnsi"/>
              </w:rPr>
              <w:t>1</w:t>
            </w:r>
            <w:r w:rsidR="007F0D2F" w:rsidRPr="00974F47">
              <w:rPr>
                <w:rFonts w:asciiTheme="minorHAnsi" w:hAnsiTheme="minorHAnsi" w:cstheme="minorHAnsi"/>
              </w:rPr>
              <w:t>b</w:t>
            </w:r>
            <w:r w:rsidRPr="00974F47">
              <w:rPr>
                <w:rFonts w:asciiTheme="minorHAnsi" w:hAnsiTheme="minorHAnsi" w:cstheme="minorHAnsi"/>
              </w:rPr>
              <w:t>, and AME Group’s industry analysis</w:t>
            </w:r>
            <w:r w:rsidR="00117A58" w:rsidRPr="00974F47">
              <w:rPr>
                <w:rFonts w:asciiTheme="minorHAnsi" w:hAnsiTheme="minorHAnsi" w:cstheme="minorHAnsi"/>
              </w:rPr>
              <w:t xml:space="preserve">, fuel savings from </w:t>
            </w:r>
            <w:r w:rsidR="00117A58" w:rsidRPr="00974F47">
              <w:rPr>
                <w:rFonts w:asciiTheme="minorHAnsi" w:eastAsia="Times New Roman" w:hAnsiTheme="minorHAnsi" w:cstheme="minorHAnsi"/>
                <w:color w:val="000000"/>
                <w:lang w:eastAsia="en-AU"/>
              </w:rPr>
              <w:t>Advisian 2020.</w:t>
            </w:r>
          </w:p>
        </w:tc>
        <w:tc>
          <w:tcPr>
            <w:tcW w:w="2179" w:type="pct"/>
          </w:tcPr>
          <w:p w14:paraId="42BED313" w14:textId="7EB195D7" w:rsidR="00572577" w:rsidRPr="00974F47" w:rsidRDefault="00572577"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vertAlign w:val="superscript"/>
              </w:rPr>
            </w:pPr>
            <w:r w:rsidRPr="00974F47">
              <w:rPr>
                <w:rFonts w:asciiTheme="minorHAnsi" w:hAnsiTheme="minorHAnsi" w:cstheme="minorHAnsi"/>
              </w:rPr>
              <w:t>E</w:t>
            </w:r>
            <w:r w:rsidRPr="00974F47">
              <w:rPr>
                <w:rFonts w:asciiTheme="minorHAnsi" w:hAnsiTheme="minorHAnsi" w:cstheme="minorHAnsi"/>
                <w:vertAlign w:val="subscript"/>
              </w:rPr>
              <w:t>t</w:t>
            </w:r>
            <w:r w:rsidRPr="00974F47">
              <w:rPr>
                <w:rFonts w:asciiTheme="minorHAnsi" w:hAnsiTheme="minorHAnsi" w:cstheme="minorHAnsi"/>
              </w:rPr>
              <w:t xml:space="preserve"> = </w:t>
            </w:r>
            <w:r w:rsidR="00223613" w:rsidRPr="00974F47">
              <w:rPr>
                <w:rFonts w:asciiTheme="minorHAnsi" w:hAnsiTheme="minorHAnsi" w:cstheme="minorHAnsi"/>
              </w:rPr>
              <w:t>∑ (</w:t>
            </w:r>
            <w:r w:rsidRPr="00974F47">
              <w:rPr>
                <w:rFonts w:asciiTheme="minorHAnsi" w:hAnsiTheme="minorHAnsi" w:cstheme="minorHAnsi"/>
              </w:rPr>
              <w:t>[EF</w:t>
            </w:r>
            <w:r w:rsidRPr="00974F47">
              <w:rPr>
                <w:rFonts w:asciiTheme="minorHAnsi" w:hAnsiTheme="minorHAnsi" w:cstheme="minorHAnsi"/>
                <w:vertAlign w:val="subscript"/>
              </w:rPr>
              <w:t>i</w:t>
            </w:r>
            <w:r w:rsidRPr="00974F47">
              <w:rPr>
                <w:rFonts w:asciiTheme="minorHAnsi" w:hAnsiTheme="minorHAnsi" w:cstheme="minorHAnsi"/>
              </w:rPr>
              <w:t xml:space="preserve"> </w:t>
            </w:r>
            <w:r w:rsidRPr="00974F47">
              <w:rPr>
                <w:rFonts w:asciiTheme="minorHAnsi" w:hAnsiTheme="minorHAnsi" w:cstheme="minorHAnsi"/>
                <w:b/>
              </w:rPr>
              <w:t>.</w:t>
            </w:r>
            <w:r w:rsidRPr="00974F47">
              <w:rPr>
                <w:rFonts w:asciiTheme="minorHAnsi" w:hAnsiTheme="minorHAnsi" w:cstheme="minorHAnsi"/>
              </w:rPr>
              <w:t xml:space="preserve"> P</w:t>
            </w:r>
            <w:r w:rsidRPr="00974F47">
              <w:rPr>
                <w:rFonts w:asciiTheme="minorHAnsi" w:hAnsiTheme="minorHAnsi" w:cstheme="minorHAnsi"/>
                <w:vertAlign w:val="subscript"/>
              </w:rPr>
              <w:t xml:space="preserve">it </w:t>
            </w:r>
            <w:r w:rsidRPr="00974F47">
              <w:rPr>
                <w:rFonts w:asciiTheme="minorHAnsi" w:hAnsiTheme="minorHAnsi" w:cstheme="minorHAnsi"/>
              </w:rPr>
              <w:t xml:space="preserve"> - cs</w:t>
            </w:r>
            <w:r w:rsidRPr="00974F47">
              <w:rPr>
                <w:rFonts w:asciiTheme="minorHAnsi" w:hAnsiTheme="minorHAnsi" w:cstheme="minorHAnsi"/>
                <w:vertAlign w:val="subscript"/>
              </w:rPr>
              <w:t>it</w:t>
            </w:r>
            <w:r w:rsidRPr="00974F47">
              <w:rPr>
                <w:rFonts w:asciiTheme="minorHAnsi" w:hAnsiTheme="minorHAnsi" w:cstheme="minorHAnsi"/>
              </w:rPr>
              <w:t>])</w:t>
            </w:r>
          </w:p>
          <w:p w14:paraId="5723C9E9" w14:textId="32054D32" w:rsidR="00731552" w:rsidRPr="00974F47" w:rsidRDefault="00572577" w:rsidP="00974F47">
            <w:pPr>
              <w:pStyle w:val="Calculations"/>
              <w:cnfStyle w:val="000000000000" w:firstRow="0" w:lastRow="0" w:firstColumn="0" w:lastColumn="0" w:oddVBand="0" w:evenVBand="0" w:oddHBand="0" w:evenHBand="0" w:firstRowFirstColumn="0" w:firstRowLastColumn="0" w:lastRowFirstColumn="0" w:lastRowLastColumn="0"/>
            </w:pPr>
            <w:r w:rsidRPr="00974F47">
              <w:t xml:space="preserve">Where: </w:t>
            </w:r>
            <w:r w:rsidRPr="00974F47">
              <w:br/>
              <w:t>E</w:t>
            </w:r>
            <w:r w:rsidRPr="00974F47">
              <w:rPr>
                <w:vertAlign w:val="subscript"/>
              </w:rPr>
              <w:t>t</w:t>
            </w:r>
            <w:r w:rsidRPr="00974F47">
              <w:t xml:space="preserve"> = emissions in year t (Mt CO</w:t>
            </w:r>
            <w:r w:rsidR="00DC5D1C" w:rsidRPr="00907A9F">
              <w:rPr>
                <w:i w:val="0"/>
              </w:rPr>
              <w:t>₂</w:t>
            </w:r>
            <w:r w:rsidRPr="00974F47">
              <w:t>-e)</w:t>
            </w:r>
            <w:r w:rsidRPr="00974F47">
              <w:br/>
              <w:t>EF</w:t>
            </w:r>
            <w:r w:rsidRPr="00974F47">
              <w:rPr>
                <w:vertAlign w:val="subscript"/>
              </w:rPr>
              <w:t>i</w:t>
            </w:r>
            <w:r w:rsidRPr="00974F47">
              <w:t xml:space="preserve"> = facility-specific emissions factor</w:t>
            </w:r>
            <w:r w:rsidRPr="00974F47">
              <w:br/>
              <w:t>P</w:t>
            </w:r>
            <w:r w:rsidRPr="00974F47">
              <w:rPr>
                <w:vertAlign w:val="subscript"/>
              </w:rPr>
              <w:t>it</w:t>
            </w:r>
            <w:r w:rsidRPr="00974F47">
              <w:t xml:space="preserve"> = production at facility</w:t>
            </w:r>
            <w:r w:rsidRPr="00974F47">
              <w:rPr>
                <w:vertAlign w:val="subscript"/>
              </w:rPr>
              <w:t xml:space="preserve">i </w:t>
            </w:r>
            <w:r w:rsidRPr="00974F47">
              <w:t xml:space="preserve">in year t </w:t>
            </w:r>
            <w:r w:rsidRPr="00974F47">
              <w:br/>
              <w:t>cs</w:t>
            </w:r>
            <w:r w:rsidRPr="00974F47">
              <w:rPr>
                <w:vertAlign w:val="subscript"/>
              </w:rPr>
              <w:t xml:space="preserve">it </w:t>
            </w:r>
            <w:r w:rsidRPr="00974F47">
              <w:t>= carbon content in steel at facility</w:t>
            </w:r>
            <w:r w:rsidRPr="00974F47">
              <w:rPr>
                <w:vertAlign w:val="subscript"/>
              </w:rPr>
              <w:t>i</w:t>
            </w:r>
            <w:r w:rsidRPr="00974F47">
              <w:t xml:space="preserve"> in year t</w:t>
            </w:r>
          </w:p>
          <w:p w14:paraId="797B83F5" w14:textId="74F40203" w:rsidR="00117A58" w:rsidRPr="00974F47" w:rsidRDefault="00117A58"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F47">
              <w:rPr>
                <w:rFonts w:asciiTheme="minorHAnsi" w:hAnsiTheme="minorHAnsi" w:cstheme="minorHAnsi"/>
              </w:rPr>
              <w:t xml:space="preserve">Emissions </w:t>
            </w:r>
            <w:r w:rsidR="00AB2364" w:rsidRPr="00974F47">
              <w:rPr>
                <w:rFonts w:asciiTheme="minorHAnsi" w:hAnsiTheme="minorHAnsi" w:cstheme="minorHAnsi"/>
              </w:rPr>
              <w:t xml:space="preserve">are </w:t>
            </w:r>
            <w:r w:rsidRPr="00974F47">
              <w:rPr>
                <w:rFonts w:asciiTheme="minorHAnsi" w:hAnsiTheme="minorHAnsi" w:cstheme="minorHAnsi"/>
              </w:rPr>
              <w:t>adjusted to account for switching from coke.</w:t>
            </w:r>
          </w:p>
        </w:tc>
      </w:tr>
      <w:tr w:rsidR="00731552" w:rsidRPr="00974F47" w14:paraId="7657BC3F"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699F2E5D" w14:textId="0A0DA1BC" w:rsidR="00731552" w:rsidRPr="00974F47" w:rsidRDefault="00731552" w:rsidP="00537A1C">
            <w:pPr>
              <w:rPr>
                <w:rFonts w:asciiTheme="minorHAnsi" w:eastAsia="Times New Roman" w:hAnsiTheme="minorHAnsi" w:cstheme="minorHAnsi"/>
                <w:b w:val="0"/>
                <w:i/>
                <w:color w:val="000000"/>
                <w:lang w:eastAsia="en-AU"/>
              </w:rPr>
            </w:pPr>
            <w:r w:rsidRPr="00974F47">
              <w:rPr>
                <w:rFonts w:asciiTheme="minorHAnsi" w:hAnsiTheme="minorHAnsi" w:cstheme="minorHAnsi"/>
              </w:rPr>
              <w:lastRenderedPageBreak/>
              <w:t>Ferroalloys production</w:t>
            </w:r>
          </w:p>
        </w:tc>
        <w:tc>
          <w:tcPr>
            <w:tcW w:w="1401" w:type="pct"/>
          </w:tcPr>
          <w:p w14:paraId="1AC28339" w14:textId="55D96249" w:rsidR="00731552" w:rsidRPr="00974F47" w:rsidRDefault="00731552"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4F47">
              <w:rPr>
                <w:rFonts w:asciiTheme="minorHAnsi" w:hAnsiTheme="minorHAnsi" w:cstheme="minorHAnsi"/>
              </w:rPr>
              <w:t>Company statements</w:t>
            </w:r>
          </w:p>
        </w:tc>
        <w:tc>
          <w:tcPr>
            <w:tcW w:w="2179" w:type="pct"/>
          </w:tcPr>
          <w:p w14:paraId="44EF3DEF" w14:textId="46453826" w:rsidR="00A841F6" w:rsidRPr="00974F47" w:rsidRDefault="00A841F6"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vertAlign w:val="superscript"/>
              </w:rPr>
            </w:pPr>
            <w:r w:rsidRPr="00974F47">
              <w:rPr>
                <w:rFonts w:asciiTheme="minorHAnsi" w:hAnsiTheme="minorHAnsi" w:cstheme="minorHAnsi"/>
              </w:rPr>
              <w:t>E</w:t>
            </w:r>
            <w:r w:rsidRPr="00974F47">
              <w:rPr>
                <w:rFonts w:asciiTheme="minorHAnsi" w:hAnsiTheme="minorHAnsi" w:cstheme="minorHAnsi"/>
                <w:vertAlign w:val="subscript"/>
              </w:rPr>
              <w:t>t</w:t>
            </w:r>
            <w:r w:rsidRPr="00974F47">
              <w:rPr>
                <w:rFonts w:asciiTheme="minorHAnsi" w:hAnsiTheme="minorHAnsi" w:cstheme="minorHAnsi"/>
              </w:rPr>
              <w:t xml:space="preserve"> = </w:t>
            </w:r>
            <w:r w:rsidR="00223613" w:rsidRPr="00974F47">
              <w:rPr>
                <w:rFonts w:asciiTheme="minorHAnsi" w:hAnsiTheme="minorHAnsi" w:cstheme="minorHAnsi"/>
              </w:rPr>
              <w:t>∑ (</w:t>
            </w:r>
            <w:r w:rsidRPr="00974F47">
              <w:rPr>
                <w:rFonts w:asciiTheme="minorHAnsi" w:hAnsiTheme="minorHAnsi" w:cstheme="minorHAnsi"/>
              </w:rPr>
              <w:t>[U</w:t>
            </w:r>
            <w:r w:rsidRPr="00974F47">
              <w:rPr>
                <w:rFonts w:asciiTheme="minorHAnsi" w:hAnsiTheme="minorHAnsi" w:cstheme="minorHAnsi"/>
                <w:vertAlign w:val="subscript"/>
              </w:rPr>
              <w:t>jit</w:t>
            </w:r>
            <w:r w:rsidRPr="00974F47">
              <w:rPr>
                <w:rFonts w:asciiTheme="minorHAnsi" w:hAnsiTheme="minorHAnsi" w:cstheme="minorHAnsi"/>
              </w:rPr>
              <w:t xml:space="preserve"> </w:t>
            </w:r>
            <w:r w:rsidRPr="00974F47">
              <w:rPr>
                <w:rFonts w:asciiTheme="minorHAnsi" w:hAnsiTheme="minorHAnsi" w:cstheme="minorHAnsi"/>
                <w:b/>
              </w:rPr>
              <w:t>.</w:t>
            </w:r>
            <w:r w:rsidRPr="00974F47">
              <w:rPr>
                <w:rFonts w:asciiTheme="minorHAnsi" w:hAnsiTheme="minorHAnsi" w:cstheme="minorHAnsi"/>
              </w:rPr>
              <w:t xml:space="preserve"> EC</w:t>
            </w:r>
            <w:r w:rsidRPr="00974F47">
              <w:rPr>
                <w:rFonts w:asciiTheme="minorHAnsi" w:hAnsiTheme="minorHAnsi" w:cstheme="minorHAnsi"/>
                <w:vertAlign w:val="subscript"/>
              </w:rPr>
              <w:t xml:space="preserve">j </w:t>
            </w:r>
            <w:r w:rsidR="00C85C35" w:rsidRPr="00974F47">
              <w:rPr>
                <w:rFonts w:asciiTheme="minorHAnsi" w:hAnsiTheme="minorHAnsi" w:cstheme="minorHAnsi"/>
                <w:b/>
              </w:rPr>
              <w:t>.</w:t>
            </w:r>
            <w:r w:rsidRPr="00974F47">
              <w:rPr>
                <w:rFonts w:asciiTheme="minorHAnsi" w:hAnsiTheme="minorHAnsi" w:cstheme="minorHAnsi"/>
              </w:rPr>
              <w:t>EF</w:t>
            </w:r>
            <w:r w:rsidRPr="00974F47">
              <w:rPr>
                <w:rFonts w:asciiTheme="minorHAnsi" w:hAnsiTheme="minorHAnsi" w:cstheme="minorHAnsi"/>
                <w:vertAlign w:val="subscript"/>
              </w:rPr>
              <w:t>j</w:t>
            </w:r>
            <w:r w:rsidRPr="00974F47">
              <w:rPr>
                <w:rFonts w:asciiTheme="minorHAnsi" w:hAnsiTheme="minorHAnsi" w:cstheme="minorHAnsi"/>
              </w:rPr>
              <w:t>])</w:t>
            </w:r>
          </w:p>
          <w:p w14:paraId="3330E897" w14:textId="18852528" w:rsidR="00731552" w:rsidRPr="00974F47" w:rsidRDefault="00A841F6" w:rsidP="00537A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4F47">
              <w:rPr>
                <w:rStyle w:val="CalculationsChar"/>
              </w:rPr>
              <w:t xml:space="preserve">Where: </w:t>
            </w:r>
            <w:r w:rsidRPr="00974F47">
              <w:rPr>
                <w:rStyle w:val="CalculationsChar"/>
              </w:rPr>
              <w:br/>
              <w:t>Et =</w:t>
            </w:r>
            <w:r w:rsidRPr="00974F47" w:rsidDel="003838E8">
              <w:rPr>
                <w:rStyle w:val="CalculationsChar"/>
              </w:rPr>
              <w:t xml:space="preserve"> </w:t>
            </w:r>
            <w:r w:rsidRPr="00974F47">
              <w:rPr>
                <w:rStyle w:val="CalculationsChar"/>
              </w:rPr>
              <w:t>emissions in year t (Mt CO2-e)</w:t>
            </w:r>
            <w:r w:rsidRPr="00974F47">
              <w:rPr>
                <w:rStyle w:val="CalculationsChar"/>
              </w:rPr>
              <w:br/>
              <w:t>Ujit, = the use of fuel j as a reductant at facilityi in year t</w:t>
            </w:r>
            <w:r w:rsidRPr="00974F47">
              <w:rPr>
                <w:rFonts w:asciiTheme="minorHAnsi" w:hAnsiTheme="minorHAnsi" w:cstheme="minorHAnsi"/>
              </w:rPr>
              <w:t xml:space="preserve"> </w:t>
            </w:r>
            <w:r w:rsidRPr="00974F47">
              <w:rPr>
                <w:rFonts w:asciiTheme="minorHAnsi" w:hAnsiTheme="minorHAnsi" w:cstheme="minorHAnsi"/>
              </w:rPr>
              <w:br/>
            </w:r>
            <w:r w:rsidRPr="00974F47">
              <w:rPr>
                <w:rStyle w:val="CalculationsChar"/>
              </w:rPr>
              <w:t>ECj = the energy content of fuel j</w:t>
            </w:r>
            <w:r w:rsidRPr="00974F47">
              <w:rPr>
                <w:rStyle w:val="CalculationsChar"/>
              </w:rPr>
              <w:br/>
              <w:t>EFj = the emissions factor of fuel j</w:t>
            </w:r>
          </w:p>
        </w:tc>
      </w:tr>
      <w:tr w:rsidR="00731552" w:rsidRPr="00974F47" w14:paraId="7A2DDFB8"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009F4A09" w14:textId="3241352C" w:rsidR="00731552" w:rsidRPr="00974F47" w:rsidRDefault="00731552" w:rsidP="00537A1C">
            <w:pPr>
              <w:rPr>
                <w:rFonts w:asciiTheme="minorHAnsi" w:eastAsia="Times New Roman" w:hAnsiTheme="minorHAnsi" w:cstheme="minorHAnsi"/>
                <w:b w:val="0"/>
                <w:i/>
                <w:color w:val="000000"/>
                <w:lang w:eastAsia="en-AU"/>
              </w:rPr>
            </w:pPr>
            <w:r w:rsidRPr="00974F47">
              <w:rPr>
                <w:rFonts w:asciiTheme="minorHAnsi" w:hAnsiTheme="minorHAnsi" w:cstheme="minorHAnsi"/>
              </w:rPr>
              <w:t>Other metal production (copper, nickel</w:t>
            </w:r>
            <w:r w:rsidR="008E1820" w:rsidRPr="00974F47">
              <w:rPr>
                <w:rFonts w:asciiTheme="minorHAnsi" w:hAnsiTheme="minorHAnsi" w:cstheme="minorHAnsi"/>
              </w:rPr>
              <w:t>,</w:t>
            </w:r>
            <w:r w:rsidRPr="00974F47">
              <w:rPr>
                <w:rFonts w:asciiTheme="minorHAnsi" w:hAnsiTheme="minorHAnsi" w:cstheme="minorHAnsi"/>
              </w:rPr>
              <w:t xml:space="preserve"> silicon</w:t>
            </w:r>
            <w:r w:rsidR="008E1820" w:rsidRPr="00974F47">
              <w:rPr>
                <w:rFonts w:asciiTheme="minorHAnsi" w:hAnsiTheme="minorHAnsi" w:cstheme="minorHAnsi"/>
              </w:rPr>
              <w:t xml:space="preserve"> and lead</w:t>
            </w:r>
            <w:r w:rsidRPr="00974F47">
              <w:rPr>
                <w:rFonts w:asciiTheme="minorHAnsi" w:hAnsiTheme="minorHAnsi" w:cstheme="minorHAnsi"/>
              </w:rPr>
              <w:t>)</w:t>
            </w:r>
          </w:p>
        </w:tc>
        <w:tc>
          <w:tcPr>
            <w:tcW w:w="1401" w:type="pct"/>
          </w:tcPr>
          <w:p w14:paraId="79E7F569" w14:textId="4D847EF6" w:rsidR="00731552" w:rsidRPr="00974F47" w:rsidRDefault="00731552" w:rsidP="007F0D2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4F47">
              <w:rPr>
                <w:rFonts w:asciiTheme="minorHAnsi" w:eastAsia="Times New Roman" w:hAnsiTheme="minorHAnsi" w:cstheme="minorHAnsi"/>
                <w:color w:val="000000"/>
                <w:lang w:eastAsia="en-AU"/>
              </w:rPr>
              <w:t xml:space="preserve">Production data from </w:t>
            </w:r>
            <w:r w:rsidRPr="00974F47">
              <w:rPr>
                <w:rFonts w:asciiTheme="minorHAnsi" w:hAnsiTheme="minorHAnsi" w:cstheme="minorHAnsi"/>
              </w:rPr>
              <w:t xml:space="preserve">OCE </w:t>
            </w:r>
            <w:r w:rsidR="007F0D2F" w:rsidRPr="00974F47">
              <w:rPr>
                <w:rFonts w:asciiTheme="minorHAnsi" w:hAnsiTheme="minorHAnsi" w:cstheme="minorHAnsi"/>
              </w:rPr>
              <w:t>202</w:t>
            </w:r>
            <w:r w:rsidR="007F0D2F">
              <w:rPr>
                <w:rFonts w:asciiTheme="minorHAnsi" w:hAnsiTheme="minorHAnsi" w:cstheme="minorHAnsi"/>
              </w:rPr>
              <w:t>1</w:t>
            </w:r>
            <w:r w:rsidR="007F0D2F" w:rsidRPr="00974F47">
              <w:rPr>
                <w:rFonts w:asciiTheme="minorHAnsi" w:hAnsiTheme="minorHAnsi" w:cstheme="minorHAnsi"/>
              </w:rPr>
              <w:t>a</w:t>
            </w:r>
            <w:r w:rsidRPr="00974F47">
              <w:rPr>
                <w:rFonts w:asciiTheme="minorHAnsi" w:hAnsiTheme="minorHAnsi" w:cstheme="minorHAnsi"/>
              </w:rPr>
              <w:t>,</w:t>
            </w:r>
            <w:r w:rsidRPr="00974F47">
              <w:rPr>
                <w:rFonts w:asciiTheme="minorHAnsi" w:eastAsia="Times New Roman" w:hAnsiTheme="minorHAnsi" w:cstheme="minorHAnsi"/>
                <w:color w:val="000000"/>
                <w:lang w:eastAsia="en-AU"/>
              </w:rPr>
              <w:t xml:space="preserve"> </w:t>
            </w:r>
            <w:r w:rsidRPr="00974F47">
              <w:rPr>
                <w:rFonts w:asciiTheme="minorHAnsi" w:hAnsiTheme="minorHAnsi" w:cstheme="minorHAnsi"/>
              </w:rPr>
              <w:t xml:space="preserve">OCE </w:t>
            </w:r>
            <w:r w:rsidR="007F0D2F" w:rsidRPr="00974F47">
              <w:rPr>
                <w:rFonts w:asciiTheme="minorHAnsi" w:hAnsiTheme="minorHAnsi" w:cstheme="minorHAnsi"/>
              </w:rPr>
              <w:t>202</w:t>
            </w:r>
            <w:r w:rsidR="007F0D2F">
              <w:rPr>
                <w:rFonts w:asciiTheme="minorHAnsi" w:hAnsiTheme="minorHAnsi" w:cstheme="minorHAnsi"/>
              </w:rPr>
              <w:t>1</w:t>
            </w:r>
            <w:r w:rsidR="007F0D2F" w:rsidRPr="00974F47">
              <w:rPr>
                <w:rFonts w:asciiTheme="minorHAnsi" w:hAnsiTheme="minorHAnsi" w:cstheme="minorHAnsi"/>
              </w:rPr>
              <w:t>b</w:t>
            </w:r>
            <w:r w:rsidRPr="00974F47">
              <w:rPr>
                <w:rFonts w:asciiTheme="minorHAnsi" w:hAnsiTheme="minorHAnsi" w:cstheme="minorHAnsi"/>
              </w:rPr>
              <w:t>, and AME Group’s industry analysis</w:t>
            </w:r>
          </w:p>
        </w:tc>
        <w:tc>
          <w:tcPr>
            <w:tcW w:w="2179" w:type="pct"/>
          </w:tcPr>
          <w:p w14:paraId="7BB81FBE" w14:textId="4D619A6E" w:rsidR="00A841F6" w:rsidRPr="00974F47" w:rsidRDefault="00A841F6" w:rsidP="00537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vertAlign w:val="superscript"/>
              </w:rPr>
            </w:pPr>
            <w:r w:rsidRPr="00974F47">
              <w:rPr>
                <w:rFonts w:asciiTheme="minorHAnsi" w:hAnsiTheme="minorHAnsi" w:cstheme="minorHAnsi"/>
              </w:rPr>
              <w:t>E</w:t>
            </w:r>
            <w:r w:rsidRPr="00974F47">
              <w:rPr>
                <w:rFonts w:asciiTheme="minorHAnsi" w:hAnsiTheme="minorHAnsi" w:cstheme="minorHAnsi"/>
                <w:vertAlign w:val="subscript"/>
              </w:rPr>
              <w:t>t</w:t>
            </w:r>
            <w:r w:rsidRPr="00974F47">
              <w:rPr>
                <w:rFonts w:asciiTheme="minorHAnsi" w:hAnsiTheme="minorHAnsi" w:cstheme="minorHAnsi"/>
              </w:rPr>
              <w:t xml:space="preserve"> = </w:t>
            </w:r>
            <w:r w:rsidR="00223613" w:rsidRPr="00974F47">
              <w:rPr>
                <w:rFonts w:asciiTheme="minorHAnsi" w:hAnsiTheme="minorHAnsi" w:cstheme="minorHAnsi"/>
              </w:rPr>
              <w:t>∑ (</w:t>
            </w:r>
            <w:r w:rsidRPr="00974F47">
              <w:rPr>
                <w:rFonts w:asciiTheme="minorHAnsi" w:hAnsiTheme="minorHAnsi" w:cstheme="minorHAnsi"/>
              </w:rPr>
              <w:t>[U</w:t>
            </w:r>
            <w:r w:rsidRPr="00974F47">
              <w:rPr>
                <w:rFonts w:asciiTheme="minorHAnsi" w:hAnsiTheme="minorHAnsi" w:cstheme="minorHAnsi"/>
                <w:vertAlign w:val="subscript"/>
              </w:rPr>
              <w:t>jit</w:t>
            </w:r>
            <w:r w:rsidRPr="00974F47">
              <w:rPr>
                <w:rFonts w:asciiTheme="minorHAnsi" w:hAnsiTheme="minorHAnsi" w:cstheme="minorHAnsi"/>
              </w:rPr>
              <w:t xml:space="preserve"> </w:t>
            </w:r>
            <w:r w:rsidRPr="00974F47">
              <w:rPr>
                <w:rFonts w:asciiTheme="minorHAnsi" w:hAnsiTheme="minorHAnsi" w:cstheme="minorHAnsi"/>
                <w:b/>
              </w:rPr>
              <w:t>.</w:t>
            </w:r>
            <w:r w:rsidRPr="00974F47">
              <w:rPr>
                <w:rFonts w:asciiTheme="minorHAnsi" w:hAnsiTheme="minorHAnsi" w:cstheme="minorHAnsi"/>
              </w:rPr>
              <w:t xml:space="preserve"> EC</w:t>
            </w:r>
            <w:r w:rsidRPr="00974F47">
              <w:rPr>
                <w:rFonts w:asciiTheme="minorHAnsi" w:hAnsiTheme="minorHAnsi" w:cstheme="minorHAnsi"/>
                <w:vertAlign w:val="subscript"/>
              </w:rPr>
              <w:t xml:space="preserve">j </w:t>
            </w:r>
            <w:r w:rsidRPr="00974F47" w:rsidDel="00C85C35">
              <w:rPr>
                <w:rFonts w:asciiTheme="minorHAnsi" w:hAnsiTheme="minorHAnsi" w:cstheme="minorHAnsi"/>
                <w:b/>
              </w:rPr>
              <w:t>.</w:t>
            </w:r>
            <w:r w:rsidRPr="00974F47">
              <w:rPr>
                <w:rFonts w:asciiTheme="minorHAnsi" w:hAnsiTheme="minorHAnsi" w:cstheme="minorHAnsi"/>
                <w:vertAlign w:val="subscript"/>
              </w:rPr>
              <w:t xml:space="preserve"> </w:t>
            </w:r>
            <w:r w:rsidRPr="00974F47">
              <w:rPr>
                <w:rFonts w:asciiTheme="minorHAnsi" w:hAnsiTheme="minorHAnsi" w:cstheme="minorHAnsi"/>
              </w:rPr>
              <w:t>EF</w:t>
            </w:r>
            <w:r w:rsidRPr="00974F47">
              <w:rPr>
                <w:rFonts w:asciiTheme="minorHAnsi" w:hAnsiTheme="minorHAnsi" w:cstheme="minorHAnsi"/>
                <w:vertAlign w:val="subscript"/>
              </w:rPr>
              <w:t>j</w:t>
            </w:r>
            <w:r w:rsidRPr="00974F47">
              <w:rPr>
                <w:rFonts w:asciiTheme="minorHAnsi" w:hAnsiTheme="minorHAnsi" w:cstheme="minorHAnsi"/>
              </w:rPr>
              <w:t>])</w:t>
            </w:r>
          </w:p>
          <w:p w14:paraId="52BEBB8D" w14:textId="106F525B" w:rsidR="00731552" w:rsidRPr="00974F47" w:rsidRDefault="00A841F6">
            <w:pPr>
              <w:pStyle w:val="Calculations"/>
              <w:cnfStyle w:val="000000000000" w:firstRow="0" w:lastRow="0" w:firstColumn="0" w:lastColumn="0" w:oddVBand="0" w:evenVBand="0" w:oddHBand="0" w:evenHBand="0" w:firstRowFirstColumn="0" w:firstRowLastColumn="0" w:lastRowFirstColumn="0" w:lastRowLastColumn="0"/>
            </w:pPr>
            <w:r w:rsidRPr="00974F47">
              <w:t xml:space="preserve">Where: </w:t>
            </w:r>
            <w:r w:rsidRPr="00974F47">
              <w:br/>
              <w:t>E</w:t>
            </w:r>
            <w:r w:rsidRPr="00974F47">
              <w:rPr>
                <w:vertAlign w:val="subscript"/>
              </w:rPr>
              <w:t>t</w:t>
            </w:r>
            <w:r w:rsidRPr="00974F47">
              <w:t xml:space="preserve"> =</w:t>
            </w:r>
            <w:r w:rsidRPr="00974F47" w:rsidDel="003838E8">
              <w:t xml:space="preserve"> </w:t>
            </w:r>
            <w:r w:rsidRPr="00974F47">
              <w:t>emissions in year t (Mt CO</w:t>
            </w:r>
            <w:r w:rsidR="00DC5D1C" w:rsidRPr="00907A9F">
              <w:rPr>
                <w:i w:val="0"/>
              </w:rPr>
              <w:t>₂</w:t>
            </w:r>
            <w:r w:rsidRPr="00974F47">
              <w:t>-e)</w:t>
            </w:r>
            <w:r w:rsidRPr="00974F47">
              <w:br/>
              <w:t>U</w:t>
            </w:r>
            <w:r w:rsidRPr="00974F47">
              <w:rPr>
                <w:vertAlign w:val="subscript"/>
              </w:rPr>
              <w:t>jit,</w:t>
            </w:r>
            <w:r w:rsidRPr="00974F47">
              <w:t xml:space="preserve"> = the use of fuel</w:t>
            </w:r>
            <w:r w:rsidRPr="00974F47">
              <w:rPr>
                <w:vertAlign w:val="subscript"/>
              </w:rPr>
              <w:t xml:space="preserve"> </w:t>
            </w:r>
            <w:r w:rsidRPr="00974F47">
              <w:t>j as a reductant at facility</w:t>
            </w:r>
            <w:r w:rsidRPr="00974F47">
              <w:rPr>
                <w:vertAlign w:val="subscript"/>
              </w:rPr>
              <w:t>i</w:t>
            </w:r>
            <w:r w:rsidRPr="00974F47">
              <w:t xml:space="preserve"> in year t</w:t>
            </w:r>
            <w:r w:rsidRPr="00974F47">
              <w:br/>
              <w:t>EC</w:t>
            </w:r>
            <w:r w:rsidRPr="00974F47">
              <w:rPr>
                <w:vertAlign w:val="subscript"/>
              </w:rPr>
              <w:t>j</w:t>
            </w:r>
            <w:r w:rsidRPr="00974F47">
              <w:t xml:space="preserve"> = the energy content of fuel</w:t>
            </w:r>
            <w:r w:rsidRPr="00974F47">
              <w:rPr>
                <w:vertAlign w:val="subscript"/>
              </w:rPr>
              <w:t xml:space="preserve"> </w:t>
            </w:r>
            <w:r w:rsidRPr="00974F47">
              <w:t>j</w:t>
            </w:r>
            <w:r w:rsidRPr="00974F47">
              <w:br/>
              <w:t>EF</w:t>
            </w:r>
            <w:r w:rsidRPr="00974F47">
              <w:rPr>
                <w:vertAlign w:val="subscript"/>
              </w:rPr>
              <w:t>j</w:t>
            </w:r>
            <w:r w:rsidRPr="00974F47">
              <w:t xml:space="preserve"> = the emissions factor of fuel</w:t>
            </w:r>
            <w:r w:rsidRPr="00974F47">
              <w:rPr>
                <w:vertAlign w:val="subscript"/>
              </w:rPr>
              <w:t xml:space="preserve"> j</w:t>
            </w:r>
          </w:p>
        </w:tc>
      </w:tr>
      <w:tr w:rsidR="00540F32" w14:paraId="632267B1"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5ACC8FAC" w14:textId="21BB55B1" w:rsidR="00540F32" w:rsidRDefault="00540F32" w:rsidP="006F4265">
            <w:pPr>
              <w:rPr>
                <w:lang w:eastAsia="en-AU"/>
              </w:rPr>
            </w:pPr>
            <w:r>
              <w:rPr>
                <w:lang w:eastAsia="en-AU"/>
              </w:rPr>
              <w:t xml:space="preserve">Mineral </w:t>
            </w:r>
            <w:r w:rsidR="00596E05">
              <w:rPr>
                <w:lang w:eastAsia="en-AU"/>
              </w:rPr>
              <w:t>i</w:t>
            </w:r>
            <w:r>
              <w:rPr>
                <w:lang w:eastAsia="en-AU"/>
              </w:rPr>
              <w:t>ndustry</w:t>
            </w:r>
          </w:p>
        </w:tc>
        <w:tc>
          <w:tcPr>
            <w:tcW w:w="1401" w:type="pct"/>
          </w:tcPr>
          <w:p w14:paraId="74B08F80" w14:textId="77777777" w:rsidR="00540F32" w:rsidRDefault="00540F32" w:rsidP="006F4265">
            <w:pPr>
              <w:cnfStyle w:val="000000100000" w:firstRow="0" w:lastRow="0" w:firstColumn="0" w:lastColumn="0" w:oddVBand="0" w:evenVBand="0" w:oddHBand="1" w:evenHBand="0" w:firstRowFirstColumn="0" w:firstRowLastColumn="0" w:lastRowFirstColumn="0" w:lastRowLastColumn="0"/>
            </w:pPr>
          </w:p>
        </w:tc>
        <w:tc>
          <w:tcPr>
            <w:tcW w:w="2179" w:type="pct"/>
          </w:tcPr>
          <w:p w14:paraId="347E0F6C" w14:textId="77777777" w:rsidR="00540F32" w:rsidRDefault="00540F32" w:rsidP="006F4265">
            <w:pPr>
              <w:cnfStyle w:val="000000100000" w:firstRow="0" w:lastRow="0" w:firstColumn="0" w:lastColumn="0" w:oddVBand="0" w:evenVBand="0" w:oddHBand="1" w:evenHBand="0" w:firstRowFirstColumn="0" w:firstRowLastColumn="0" w:lastRowFirstColumn="0" w:lastRowLastColumn="0"/>
            </w:pPr>
          </w:p>
        </w:tc>
      </w:tr>
      <w:tr w:rsidR="00540F32" w14:paraId="32D36C17"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39F0D9C0" w14:textId="77777777" w:rsidR="00540F32" w:rsidRPr="007F3B75" w:rsidRDefault="00540F32" w:rsidP="006F4265">
            <w:pPr>
              <w:rPr>
                <w:rFonts w:eastAsia="Times New Roman" w:cs="Arial"/>
                <w:b w:val="0"/>
                <w:i/>
                <w:color w:val="000000"/>
                <w:szCs w:val="20"/>
                <w:lang w:eastAsia="en-AU"/>
              </w:rPr>
            </w:pPr>
            <w:r>
              <w:t xml:space="preserve">Cement </w:t>
            </w:r>
          </w:p>
        </w:tc>
        <w:tc>
          <w:tcPr>
            <w:tcW w:w="1401" w:type="pct"/>
            <w:vMerge w:val="restart"/>
          </w:tcPr>
          <w:p w14:paraId="67DE7C88" w14:textId="77777777" w:rsidR="00540F32" w:rsidRDefault="00540F32" w:rsidP="006F4265">
            <w:pPr>
              <w:cnfStyle w:val="000000000000" w:firstRow="0" w:lastRow="0" w:firstColumn="0" w:lastColumn="0" w:oddVBand="0" w:evenVBand="0" w:oddHBand="0" w:evenHBand="0" w:firstRowFirstColumn="0" w:firstRowLastColumn="0" w:lastRowFirstColumn="0" w:lastRowLastColumn="0"/>
              <w:rPr>
                <w:rFonts w:cs="Arial"/>
              </w:rPr>
            </w:pPr>
            <w:r>
              <w:t xml:space="preserve">Contextual production forecast from </w:t>
            </w:r>
            <w:r w:rsidRPr="00B770D7">
              <w:t>Cement Industry Federation</w:t>
            </w:r>
            <w:r>
              <w:t xml:space="preserve"> and IBISWorld </w:t>
            </w:r>
            <w:r w:rsidRPr="00D81674">
              <w:rPr>
                <w:rFonts w:cs="Arial"/>
              </w:rPr>
              <w:t>industry report</w:t>
            </w:r>
          </w:p>
          <w:p w14:paraId="5D5C48D1" w14:textId="77777777" w:rsidR="00540F32" w:rsidRDefault="00540F32" w:rsidP="006F4265">
            <w:pPr>
              <w:cnfStyle w:val="000000000000" w:firstRow="0" w:lastRow="0" w:firstColumn="0" w:lastColumn="0" w:oddVBand="0" w:evenVBand="0" w:oddHBand="0" w:evenHBand="0" w:firstRowFirstColumn="0" w:firstRowLastColumn="0" w:lastRowFirstColumn="0" w:lastRowLastColumn="0"/>
            </w:pPr>
          </w:p>
        </w:tc>
        <w:tc>
          <w:tcPr>
            <w:tcW w:w="2179" w:type="pct"/>
            <w:vMerge w:val="restart"/>
          </w:tcPr>
          <w:p w14:paraId="38626AD8" w14:textId="4A99D70E" w:rsidR="00540F32" w:rsidRDefault="00540F32" w:rsidP="006F4265">
            <w:pPr>
              <w:cnfStyle w:val="000000000000" w:firstRow="0" w:lastRow="0" w:firstColumn="0" w:lastColumn="0" w:oddVBand="0" w:evenVBand="0" w:oddHBand="0" w:evenHBand="0" w:firstRowFirstColumn="0" w:firstRowLastColumn="0" w:lastRowFirstColumn="0" w:lastRowLastColumn="0"/>
              <w:rPr>
                <w:vertAlign w:val="superscript"/>
              </w:rPr>
            </w:pPr>
            <w:r>
              <w:t>E</w:t>
            </w:r>
            <w:r>
              <w:rPr>
                <w:vertAlign w:val="subscript"/>
              </w:rPr>
              <w:t>t</w:t>
            </w:r>
            <w:r>
              <w:t xml:space="preserve"> = </w:t>
            </w:r>
            <w:r w:rsidR="00223613">
              <w:rPr>
                <w:rFonts w:cs="Arial"/>
              </w:rPr>
              <w:t>∑</w:t>
            </w:r>
            <w:r w:rsidR="00223613">
              <w:t xml:space="preserve"> (</w:t>
            </w:r>
            <w:r>
              <w:t>[EF</w:t>
            </w:r>
            <w:r>
              <w:rPr>
                <w:vertAlign w:val="subscript"/>
              </w:rPr>
              <w:t>i</w:t>
            </w:r>
            <w:r>
              <w:t xml:space="preserve"> </w:t>
            </w:r>
            <w:r w:rsidRPr="009E12A6">
              <w:rPr>
                <w:b/>
              </w:rPr>
              <w:t>.</w:t>
            </w:r>
            <w:r>
              <w:t xml:space="preserve"> P</w:t>
            </w:r>
            <w:r>
              <w:rPr>
                <w:vertAlign w:val="subscript"/>
              </w:rPr>
              <w:t>it</w:t>
            </w:r>
            <w:r>
              <w:t>]</w:t>
            </w:r>
            <w:r w:rsidRPr="009E12A6">
              <w:t>)</w:t>
            </w:r>
          </w:p>
          <w:p w14:paraId="32A9B00B" w14:textId="2AD33C45" w:rsidR="00540F32" w:rsidRDefault="00540F32">
            <w:pPr>
              <w:pStyle w:val="Calculations"/>
              <w:cnfStyle w:val="000000000000" w:firstRow="0" w:lastRow="0" w:firstColumn="0" w:lastColumn="0" w:oddVBand="0" w:evenVBand="0" w:oddHBand="0" w:evenHBand="0" w:firstRowFirstColumn="0" w:firstRowLastColumn="0" w:lastRowFirstColumn="0" w:lastRowLastColumn="0"/>
            </w:pPr>
            <w:r w:rsidRPr="007773F3">
              <w:t xml:space="preserve">Where: </w:t>
            </w:r>
            <w:r>
              <w:br/>
            </w:r>
            <w:r w:rsidRPr="007773F3">
              <w:t>E</w:t>
            </w:r>
            <w:r>
              <w:rPr>
                <w:vertAlign w:val="subscript"/>
              </w:rPr>
              <w:t>t</w:t>
            </w:r>
            <w:r w:rsidRPr="007773F3">
              <w:t xml:space="preserve"> = </w:t>
            </w:r>
            <w:r>
              <w:t>emissions in year t (Mt CO</w:t>
            </w:r>
            <w:r w:rsidR="00DC5D1C" w:rsidRPr="00907A9F">
              <w:rPr>
                <w:i w:val="0"/>
              </w:rPr>
              <w:t>₂</w:t>
            </w:r>
            <w:r>
              <w:t>-e)</w:t>
            </w:r>
            <w:r>
              <w:br/>
            </w:r>
            <w:r w:rsidRPr="007773F3">
              <w:t>EF</w:t>
            </w:r>
            <w:r>
              <w:rPr>
                <w:vertAlign w:val="subscript"/>
              </w:rPr>
              <w:t>i</w:t>
            </w:r>
            <w:r w:rsidRPr="007773F3">
              <w:t xml:space="preserve"> = </w:t>
            </w:r>
            <w:r>
              <w:t>facility-specific emissions factor</w:t>
            </w:r>
            <w:r>
              <w:br/>
            </w:r>
            <w:r w:rsidRPr="007773F3">
              <w:t>P</w:t>
            </w:r>
            <w:r>
              <w:rPr>
                <w:vertAlign w:val="subscript"/>
              </w:rPr>
              <w:t>it</w:t>
            </w:r>
            <w:r w:rsidRPr="007773F3">
              <w:t xml:space="preserve"> = production at facility</w:t>
            </w:r>
            <w:r w:rsidRPr="007773F3">
              <w:rPr>
                <w:vertAlign w:val="subscript"/>
              </w:rPr>
              <w:t>i</w:t>
            </w:r>
            <w:r>
              <w:rPr>
                <w:vertAlign w:val="subscript"/>
              </w:rPr>
              <w:t xml:space="preserve"> </w:t>
            </w:r>
            <w:r>
              <w:t>in year t</w:t>
            </w:r>
          </w:p>
        </w:tc>
      </w:tr>
      <w:tr w:rsidR="00540F32" w:rsidRPr="00EE4997" w14:paraId="5B4A85E7"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73E67CE1" w14:textId="77777777" w:rsidR="00540F32" w:rsidRPr="007F3B75" w:rsidRDefault="00540F32" w:rsidP="006F4265">
            <w:pPr>
              <w:rPr>
                <w:rFonts w:eastAsia="Times New Roman" w:cs="Arial"/>
                <w:b w:val="0"/>
                <w:i/>
                <w:color w:val="000000"/>
                <w:szCs w:val="20"/>
                <w:lang w:eastAsia="en-AU"/>
              </w:rPr>
            </w:pPr>
            <w:r w:rsidDel="007F0D2F">
              <w:t>L</w:t>
            </w:r>
            <w:r>
              <w:t xml:space="preserve">ime </w:t>
            </w:r>
          </w:p>
        </w:tc>
        <w:tc>
          <w:tcPr>
            <w:tcW w:w="1401" w:type="pct"/>
            <w:vMerge/>
          </w:tcPr>
          <w:p w14:paraId="6C51AB5D" w14:textId="77777777" w:rsidR="00540F32" w:rsidRDefault="00540F32" w:rsidP="006F4265">
            <w:pPr>
              <w:cnfStyle w:val="000000100000" w:firstRow="0" w:lastRow="0" w:firstColumn="0" w:lastColumn="0" w:oddVBand="0" w:evenVBand="0" w:oddHBand="1" w:evenHBand="0" w:firstRowFirstColumn="0" w:firstRowLastColumn="0" w:lastRowFirstColumn="0" w:lastRowLastColumn="0"/>
            </w:pPr>
          </w:p>
        </w:tc>
        <w:tc>
          <w:tcPr>
            <w:tcW w:w="2179" w:type="pct"/>
            <w:vMerge/>
          </w:tcPr>
          <w:p w14:paraId="1427F0B8" w14:textId="77777777" w:rsidR="00540F32" w:rsidRPr="00EE4997" w:rsidRDefault="00540F32" w:rsidP="006F4265">
            <w:pPr>
              <w:cnfStyle w:val="000000100000" w:firstRow="0" w:lastRow="0" w:firstColumn="0" w:lastColumn="0" w:oddVBand="0" w:evenVBand="0" w:oddHBand="1" w:evenHBand="0" w:firstRowFirstColumn="0" w:firstRowLastColumn="0" w:lastRowFirstColumn="0" w:lastRowLastColumn="0"/>
            </w:pPr>
          </w:p>
        </w:tc>
      </w:tr>
      <w:tr w:rsidR="00540F32" w:rsidRPr="00763307" w14:paraId="21021376"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54FFDE8F" w14:textId="77777777" w:rsidR="00540F32" w:rsidRPr="00484C3E" w:rsidRDefault="00540F32" w:rsidP="006F4265">
            <w:pPr>
              <w:rPr>
                <w:rFonts w:eastAsia="Times New Roman" w:cs="Arial"/>
                <w:color w:val="000000"/>
                <w:szCs w:val="20"/>
                <w:lang w:eastAsia="en-AU"/>
              </w:rPr>
            </w:pPr>
            <w:r>
              <w:t>Limestone and dolomite and other carbonates</w:t>
            </w:r>
          </w:p>
        </w:tc>
        <w:tc>
          <w:tcPr>
            <w:tcW w:w="1401" w:type="pct"/>
          </w:tcPr>
          <w:p w14:paraId="770A0683" w14:textId="6A462695" w:rsidR="00540F32" w:rsidRPr="00484C3E" w:rsidRDefault="00540F32" w:rsidP="007F0D2F">
            <w:pPr>
              <w:cnfStyle w:val="000000000000" w:firstRow="0" w:lastRow="0" w:firstColumn="0" w:lastColumn="0" w:oddVBand="0" w:evenVBand="0" w:oddHBand="0" w:evenHBand="0" w:firstRowFirstColumn="0" w:firstRowLastColumn="0" w:lastRowFirstColumn="0" w:lastRowLastColumn="0"/>
              <w:rPr>
                <w:lang w:eastAsia="en-AU"/>
              </w:rPr>
            </w:pPr>
            <w:r w:rsidRPr="009952EB">
              <w:t>DISER</w:t>
            </w:r>
            <w:r>
              <w:rPr>
                <w:lang w:eastAsia="en-AU"/>
              </w:rPr>
              <w:t xml:space="preserve"> estimates based on projected ceramics, ferroalloy production, glass production, and iron and steel production. Zinc production data from </w:t>
            </w:r>
            <w:r>
              <w:t xml:space="preserve">OCE </w:t>
            </w:r>
            <w:r w:rsidR="007F0D2F">
              <w:t xml:space="preserve">2021a </w:t>
            </w:r>
            <w:r>
              <w:t xml:space="preserve">and </w:t>
            </w:r>
            <w:r w:rsidR="007F0D2F">
              <w:t>2021b</w:t>
            </w:r>
            <w:r>
              <w:t>, and AME Group’s industry analysis</w:t>
            </w:r>
          </w:p>
        </w:tc>
        <w:tc>
          <w:tcPr>
            <w:tcW w:w="2179" w:type="pct"/>
          </w:tcPr>
          <w:p w14:paraId="56A8C560" w14:textId="6932F78D" w:rsidR="00540F32" w:rsidRPr="00CE2775" w:rsidRDefault="00540F32" w:rsidP="006F4265">
            <w:pPr>
              <w:cnfStyle w:val="000000000000" w:firstRow="0" w:lastRow="0" w:firstColumn="0" w:lastColumn="0" w:oddVBand="0" w:evenVBand="0" w:oddHBand="0" w:evenHBand="0" w:firstRowFirstColumn="0" w:firstRowLastColumn="0" w:lastRowFirstColumn="0" w:lastRowLastColumn="0"/>
            </w:pPr>
            <w:r w:rsidRPr="00CE2775">
              <w:t>E</w:t>
            </w:r>
            <w:r w:rsidRPr="00CE2775">
              <w:rPr>
                <w:vertAlign w:val="subscript"/>
              </w:rPr>
              <w:t>t</w:t>
            </w:r>
            <w:r w:rsidRPr="00CE2775">
              <w:t xml:space="preserve"> = E</w:t>
            </w:r>
            <w:r w:rsidRPr="00CE2775">
              <w:rPr>
                <w:vertAlign w:val="subscript"/>
              </w:rPr>
              <w:t xml:space="preserve">t-1  </w:t>
            </w:r>
            <w:r w:rsidR="00A8602E">
              <w:rPr>
                <w:vertAlign w:val="subscript"/>
              </w:rPr>
              <w:t xml:space="preserve"> </w:t>
            </w:r>
            <w:r w:rsidR="00A8602E">
              <w:rPr>
                <w:b/>
              </w:rPr>
              <w:t xml:space="preserve">. </w:t>
            </w:r>
            <w:r w:rsidRPr="00CE2775">
              <w:t xml:space="preserve"> </w:t>
            </w:r>
            <w:r w:rsidRPr="00731552">
              <w:t>Δ</w:t>
            </w:r>
            <w:r w:rsidRPr="00CE2775">
              <w:t xml:space="preserve"> Production</w:t>
            </w:r>
          </w:p>
          <w:p w14:paraId="23A8E265" w14:textId="04BBFC29" w:rsidR="00540F32" w:rsidRPr="00763307" w:rsidRDefault="00540F32">
            <w:pPr>
              <w:pStyle w:val="Calculations"/>
              <w:cnfStyle w:val="000000000000" w:firstRow="0" w:lastRow="0" w:firstColumn="0" w:lastColumn="0" w:oddVBand="0" w:evenVBand="0" w:oddHBand="0" w:evenHBand="0" w:firstRowFirstColumn="0" w:firstRowLastColumn="0" w:lastRowFirstColumn="0" w:lastRowLastColumn="0"/>
              <w:rPr>
                <w:rFonts w:eastAsia="Times New Roman"/>
                <w:color w:val="000000"/>
                <w:lang w:eastAsia="en-AU"/>
              </w:rPr>
            </w:pPr>
            <w:r w:rsidRPr="00CE2775">
              <w:t xml:space="preserve">Where: </w:t>
            </w:r>
            <w:r w:rsidRPr="00CE2775">
              <w:br/>
              <w:t>E</w:t>
            </w:r>
            <w:r w:rsidRPr="00CE2775">
              <w:rPr>
                <w:vertAlign w:val="subscript"/>
              </w:rPr>
              <w:t>t</w:t>
            </w:r>
            <w:r w:rsidRPr="00CE2775">
              <w:t xml:space="preserve"> = emissions in year t</w:t>
            </w:r>
            <w:r>
              <w:rPr>
                <w:vertAlign w:val="subscript"/>
              </w:rPr>
              <w:t xml:space="preserve"> </w:t>
            </w:r>
            <w:r w:rsidRPr="00CE2775">
              <w:t>(Mt CO</w:t>
            </w:r>
            <w:r w:rsidR="00DC5D1C" w:rsidRPr="00907A9F">
              <w:rPr>
                <w:i w:val="0"/>
              </w:rPr>
              <w:t>₂</w:t>
            </w:r>
            <w:r w:rsidRPr="008142E3">
              <w:t>-e)</w:t>
            </w:r>
            <w:r w:rsidRPr="008142E3">
              <w:br/>
              <w:t>E</w:t>
            </w:r>
            <w:r w:rsidRPr="008142E3">
              <w:rPr>
                <w:vertAlign w:val="subscript"/>
              </w:rPr>
              <w:t>t-1</w:t>
            </w:r>
            <w:r w:rsidRPr="008142E3">
              <w:t xml:space="preserve"> = emissions in the previous year</w:t>
            </w:r>
            <w:r w:rsidRPr="008142E3">
              <w:br/>
            </w:r>
            <w:r w:rsidRPr="00731552">
              <w:t>Δ</w:t>
            </w:r>
            <w:r w:rsidRPr="00CE2775">
              <w:rPr>
                <w:vertAlign w:val="subscript"/>
              </w:rPr>
              <w:t xml:space="preserve"> </w:t>
            </w:r>
            <w:r w:rsidRPr="00CE2775">
              <w:t>Production = percentage change in production between year t and year t-1</w:t>
            </w:r>
            <w:r w:rsidRPr="00EE4997" w:rsidDel="00731552">
              <w:t xml:space="preserve"> </w:t>
            </w:r>
          </w:p>
        </w:tc>
      </w:tr>
      <w:tr w:rsidR="00540F32" w14:paraId="2F56ED9A"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67B15661" w14:textId="77777777" w:rsidR="00540F32" w:rsidRDefault="00540F32" w:rsidP="006F4265">
            <w:pPr>
              <w:rPr>
                <w:rFonts w:eastAsia="Times New Roman" w:cs="Arial"/>
                <w:color w:val="000000"/>
                <w:szCs w:val="20"/>
                <w:lang w:eastAsia="en-AU"/>
              </w:rPr>
            </w:pPr>
            <w:r>
              <w:t>Non-energy products from fuel and solvent use</w:t>
            </w:r>
            <w:r w:rsidDel="00731552">
              <w:rPr>
                <w:rFonts w:eastAsia="Times New Roman" w:cs="Arial"/>
                <w:color w:val="000000"/>
                <w:szCs w:val="20"/>
                <w:lang w:eastAsia="en-AU"/>
              </w:rPr>
              <w:t xml:space="preserve"> </w:t>
            </w:r>
          </w:p>
        </w:tc>
        <w:tc>
          <w:tcPr>
            <w:tcW w:w="1401" w:type="pct"/>
          </w:tcPr>
          <w:p w14:paraId="194BB024" w14:textId="77777777" w:rsidR="00540F32" w:rsidDel="00731552" w:rsidRDefault="00540F32" w:rsidP="006F4265">
            <w:pPr>
              <w:cnfStyle w:val="000000100000" w:firstRow="0" w:lastRow="0" w:firstColumn="0" w:lastColumn="0" w:oddVBand="0" w:evenVBand="0" w:oddHBand="1" w:evenHBand="0" w:firstRowFirstColumn="0" w:firstRowLastColumn="0" w:lastRowFirstColumn="0" w:lastRowLastColumn="0"/>
            </w:pPr>
          </w:p>
        </w:tc>
        <w:tc>
          <w:tcPr>
            <w:tcW w:w="2179" w:type="pct"/>
          </w:tcPr>
          <w:p w14:paraId="07B113F2" w14:textId="77777777" w:rsidR="00540F32" w:rsidRDefault="00540F32" w:rsidP="006F4265">
            <w:pPr>
              <w:cnfStyle w:val="000000100000" w:firstRow="0" w:lastRow="0" w:firstColumn="0" w:lastColumn="0" w:oddVBand="0" w:evenVBand="0" w:oddHBand="1" w:evenHBand="0" w:firstRowFirstColumn="0" w:firstRowLastColumn="0" w:lastRowFirstColumn="0" w:lastRowLastColumn="0"/>
            </w:pPr>
          </w:p>
        </w:tc>
      </w:tr>
      <w:tr w:rsidR="00540F32" w:rsidDel="00731552" w14:paraId="712B3575"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34E5F9BF" w14:textId="77777777" w:rsidR="00540F32" w:rsidRDefault="00540F32" w:rsidP="006F4265">
            <w:pPr>
              <w:rPr>
                <w:rFonts w:eastAsia="Times New Roman" w:cs="Arial"/>
                <w:color w:val="000000"/>
                <w:szCs w:val="20"/>
                <w:lang w:eastAsia="en-AU"/>
              </w:rPr>
            </w:pPr>
            <w:r>
              <w:t>Lubricant use</w:t>
            </w:r>
            <w:r w:rsidDel="00731552">
              <w:rPr>
                <w:rFonts w:eastAsia="Times New Roman" w:cs="Arial"/>
                <w:color w:val="000000"/>
                <w:szCs w:val="20"/>
                <w:lang w:eastAsia="en-AU"/>
              </w:rPr>
              <w:t xml:space="preserve"> </w:t>
            </w:r>
          </w:p>
        </w:tc>
        <w:tc>
          <w:tcPr>
            <w:tcW w:w="1401" w:type="pct"/>
          </w:tcPr>
          <w:p w14:paraId="75AAF531" w14:textId="77777777" w:rsidR="00540F32" w:rsidDel="00731552" w:rsidRDefault="00540F32" w:rsidP="006F4265">
            <w:pPr>
              <w:cnfStyle w:val="000000000000" w:firstRow="0" w:lastRow="0" w:firstColumn="0" w:lastColumn="0" w:oddVBand="0" w:evenVBand="0" w:oddHBand="0" w:evenHBand="0" w:firstRowFirstColumn="0" w:firstRowLastColumn="0" w:lastRowFirstColumn="0" w:lastRowLastColumn="0"/>
            </w:pPr>
            <w:r>
              <w:t>n/a</w:t>
            </w:r>
          </w:p>
        </w:tc>
        <w:tc>
          <w:tcPr>
            <w:tcW w:w="2179" w:type="pct"/>
          </w:tcPr>
          <w:p w14:paraId="3A8D4CB7" w14:textId="77777777" w:rsidR="00540F32" w:rsidRDefault="00540F32" w:rsidP="006F4265">
            <w:pPr>
              <w:cnfStyle w:val="000000000000" w:firstRow="0" w:lastRow="0" w:firstColumn="0" w:lastColumn="0" w:oddVBand="0" w:evenVBand="0" w:oddHBand="0" w:evenHBand="0" w:firstRowFirstColumn="0" w:firstRowLastColumn="0" w:lastRowFirstColumn="0" w:lastRowLastColumn="0"/>
              <w:rPr>
                <w:vertAlign w:val="superscript"/>
              </w:rPr>
            </w:pPr>
            <w:r>
              <w:t>E</w:t>
            </w:r>
            <w:r>
              <w:rPr>
                <w:vertAlign w:val="subscript"/>
              </w:rPr>
              <w:t>t</w:t>
            </w:r>
            <w:r>
              <w:t xml:space="preserve"> = E</w:t>
            </w:r>
            <w:r>
              <w:rPr>
                <w:vertAlign w:val="subscript"/>
              </w:rPr>
              <w:t>t-1</w:t>
            </w:r>
            <w:r>
              <w:t xml:space="preserve"> </w:t>
            </w:r>
          </w:p>
          <w:p w14:paraId="59C4E251" w14:textId="08B1C887" w:rsidR="00540F32" w:rsidDel="00731552" w:rsidRDefault="00540F32" w:rsidP="00540F32">
            <w:pPr>
              <w:pStyle w:val="Calculations"/>
              <w:cnfStyle w:val="000000000000" w:firstRow="0" w:lastRow="0" w:firstColumn="0" w:lastColumn="0" w:oddVBand="0" w:evenVBand="0" w:oddHBand="0" w:evenHBand="0" w:firstRowFirstColumn="0" w:firstRowLastColumn="0" w:lastRowFirstColumn="0" w:lastRowLastColumn="0"/>
            </w:pPr>
            <w:r w:rsidRPr="007773F3">
              <w:t xml:space="preserve">Where: </w:t>
            </w:r>
            <w:r w:rsidR="005609DA">
              <w:br/>
            </w:r>
            <w:r w:rsidRPr="007773F3">
              <w:t>E</w:t>
            </w:r>
            <w:r>
              <w:rPr>
                <w:vertAlign w:val="subscript"/>
              </w:rPr>
              <w:t>t</w:t>
            </w:r>
            <w:r w:rsidRPr="007773F3">
              <w:t xml:space="preserve"> = </w:t>
            </w:r>
            <w:r>
              <w:t xml:space="preserve">annual </w:t>
            </w:r>
            <w:r w:rsidRPr="007773F3">
              <w:t>emissions</w:t>
            </w:r>
            <w:r>
              <w:t xml:space="preserve"> in year t, </w:t>
            </w:r>
            <w:r>
              <w:br/>
              <w:t>E</w:t>
            </w:r>
            <w:r>
              <w:rPr>
                <w:vertAlign w:val="subscript"/>
              </w:rPr>
              <w:t>t-1</w:t>
            </w:r>
            <w:r w:rsidRPr="007773F3">
              <w:t xml:space="preserve"> = emissions </w:t>
            </w:r>
            <w:r>
              <w:t>in the previous year</w:t>
            </w:r>
            <w:r w:rsidRPr="00CC3B41" w:rsidDel="00731552">
              <w:t xml:space="preserve"> </w:t>
            </w:r>
          </w:p>
        </w:tc>
      </w:tr>
      <w:tr w:rsidR="00540F32" w14:paraId="22D81CD0"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21AEC942" w14:textId="77777777" w:rsidR="00540F32" w:rsidRPr="00666DB6" w:rsidRDefault="00540F32" w:rsidP="006F4265">
            <w:r w:rsidRPr="00666DB6">
              <w:t>Product uses as a substitute for ozone depleting substances</w:t>
            </w:r>
          </w:p>
        </w:tc>
        <w:tc>
          <w:tcPr>
            <w:tcW w:w="1401" w:type="pct"/>
          </w:tcPr>
          <w:p w14:paraId="496BB747" w14:textId="0A6B8FC8" w:rsidR="00540F32" w:rsidRDefault="00540F32" w:rsidP="006F4265">
            <w:pPr>
              <w:cnfStyle w:val="000000100000" w:firstRow="0" w:lastRow="0" w:firstColumn="0" w:lastColumn="0" w:oddVBand="0" w:evenVBand="0" w:oddHBand="1" w:evenHBand="0" w:firstRowFirstColumn="0" w:firstRowLastColumn="0" w:lastRowFirstColumn="0" w:lastRowLastColumn="0"/>
            </w:pPr>
            <w:r w:rsidRPr="00C970AB" w:rsidDel="00B5648F">
              <w:t>DISER</w:t>
            </w:r>
            <w:r w:rsidDel="00B5648F">
              <w:t xml:space="preserve"> </w:t>
            </w:r>
            <w:r w:rsidR="00B5648F">
              <w:t>2021b</w:t>
            </w:r>
          </w:p>
        </w:tc>
        <w:tc>
          <w:tcPr>
            <w:tcW w:w="2179" w:type="pct"/>
          </w:tcPr>
          <w:p w14:paraId="4462F184" w14:textId="77777777" w:rsidR="00540F32" w:rsidRDefault="00540F32" w:rsidP="006F4265">
            <w:pPr>
              <w:cnfStyle w:val="000000100000" w:firstRow="0" w:lastRow="0" w:firstColumn="0" w:lastColumn="0" w:oddVBand="0" w:evenVBand="0" w:oddHBand="1" w:evenHBand="0" w:firstRowFirstColumn="0" w:firstRowLastColumn="0" w:lastRowFirstColumn="0" w:lastRowLastColumn="0"/>
            </w:pPr>
            <w:r>
              <w:t xml:space="preserve">Based on </w:t>
            </w:r>
            <w:r w:rsidRPr="00DB04D0">
              <w:t>National Inventory Report</w:t>
            </w:r>
            <w:r>
              <w:t xml:space="preserve"> methodology</w:t>
            </w:r>
          </w:p>
        </w:tc>
      </w:tr>
      <w:tr w:rsidR="00540F32" w:rsidRPr="00F33E9B" w14:paraId="1DBC46DF"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57D61274" w14:textId="77777777" w:rsidR="00540F32" w:rsidRPr="00484C3E" w:rsidRDefault="00540F32" w:rsidP="006F4265">
            <w:pPr>
              <w:rPr>
                <w:rFonts w:eastAsia="Times New Roman" w:cs="Arial"/>
                <w:color w:val="000000"/>
                <w:szCs w:val="20"/>
                <w:lang w:eastAsia="en-AU"/>
              </w:rPr>
            </w:pPr>
            <w:r>
              <w:lastRenderedPageBreak/>
              <w:t>Other product manufacture and use</w:t>
            </w:r>
            <w:r w:rsidDel="00731552">
              <w:rPr>
                <w:rFonts w:eastAsia="Times New Roman" w:cs="Arial"/>
                <w:color w:val="000000"/>
                <w:szCs w:val="20"/>
                <w:lang w:eastAsia="en-AU"/>
              </w:rPr>
              <w:t xml:space="preserve"> </w:t>
            </w:r>
          </w:p>
        </w:tc>
        <w:tc>
          <w:tcPr>
            <w:tcW w:w="1401" w:type="pct"/>
          </w:tcPr>
          <w:p w14:paraId="4A8EE380" w14:textId="77777777" w:rsidR="00540F32" w:rsidRPr="00484C3E" w:rsidRDefault="00540F32" w:rsidP="006F4265">
            <w:pPr>
              <w:cnfStyle w:val="000000000000" w:firstRow="0" w:lastRow="0" w:firstColumn="0" w:lastColumn="0" w:oddVBand="0" w:evenVBand="0" w:oddHBand="0" w:evenHBand="0" w:firstRowFirstColumn="0" w:firstRowLastColumn="0" w:lastRowFirstColumn="0" w:lastRowLastColumn="0"/>
              <w:rPr>
                <w:lang w:eastAsia="en-AU"/>
              </w:rPr>
            </w:pPr>
          </w:p>
        </w:tc>
        <w:tc>
          <w:tcPr>
            <w:tcW w:w="2179" w:type="pct"/>
          </w:tcPr>
          <w:p w14:paraId="66BA8CE6" w14:textId="77777777" w:rsidR="00540F32" w:rsidRPr="00F33E9B" w:rsidRDefault="00540F32" w:rsidP="006F4265">
            <w:pPr>
              <w:cnfStyle w:val="000000000000" w:firstRow="0" w:lastRow="0" w:firstColumn="0" w:lastColumn="0" w:oddVBand="0" w:evenVBand="0" w:oddHBand="0" w:evenHBand="0" w:firstRowFirstColumn="0" w:firstRowLastColumn="0" w:lastRowFirstColumn="0" w:lastRowLastColumn="0"/>
              <w:rPr>
                <w:lang w:eastAsia="en-AU"/>
              </w:rPr>
            </w:pPr>
          </w:p>
        </w:tc>
      </w:tr>
      <w:tr w:rsidR="00540F32" w14:paraId="41F70A9D"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5AF7A164" w14:textId="77777777" w:rsidR="00540F32" w:rsidRDefault="00540F32" w:rsidP="006F4265">
            <w:pPr>
              <w:rPr>
                <w:rFonts w:eastAsia="Times New Roman" w:cs="Arial"/>
                <w:color w:val="000000"/>
                <w:szCs w:val="20"/>
                <w:lang w:eastAsia="en-AU"/>
              </w:rPr>
            </w:pPr>
            <w:r>
              <w:t>Electrical equipment</w:t>
            </w:r>
          </w:p>
        </w:tc>
        <w:tc>
          <w:tcPr>
            <w:tcW w:w="1401" w:type="pct"/>
          </w:tcPr>
          <w:p w14:paraId="68F764FF" w14:textId="17CD2544" w:rsidR="00540F32" w:rsidRDefault="00540F32" w:rsidP="006F4265">
            <w:pPr>
              <w:cnfStyle w:val="000000100000" w:firstRow="0" w:lastRow="0" w:firstColumn="0" w:lastColumn="0" w:oddVBand="0" w:evenVBand="0" w:oddHBand="1" w:evenHBand="0" w:firstRowFirstColumn="0" w:firstRowLastColumn="0" w:lastRowFirstColumn="0" w:lastRowLastColumn="0"/>
            </w:pPr>
            <w:r w:rsidRPr="00C970AB" w:rsidDel="00B5648F">
              <w:t>DISER</w:t>
            </w:r>
            <w:r w:rsidDel="00B5648F">
              <w:t xml:space="preserve"> </w:t>
            </w:r>
            <w:r w:rsidR="00B5648F">
              <w:t>2021b</w:t>
            </w:r>
          </w:p>
        </w:tc>
        <w:tc>
          <w:tcPr>
            <w:tcW w:w="2179" w:type="pct"/>
          </w:tcPr>
          <w:p w14:paraId="75EA8B83" w14:textId="77777777" w:rsidR="00540F32" w:rsidRDefault="00540F32" w:rsidP="006F4265">
            <w:pPr>
              <w:cnfStyle w:val="000000100000" w:firstRow="0" w:lastRow="0" w:firstColumn="0" w:lastColumn="0" w:oddVBand="0" w:evenVBand="0" w:oddHBand="1" w:evenHBand="0" w:firstRowFirstColumn="0" w:firstRowLastColumn="0" w:lastRowFirstColumn="0" w:lastRowLastColumn="0"/>
            </w:pPr>
            <w:r>
              <w:t xml:space="preserve">Based on </w:t>
            </w:r>
            <w:r w:rsidRPr="00FB329E">
              <w:t>National Inventory Report</w:t>
            </w:r>
            <w:r>
              <w:t xml:space="preserve"> methodology</w:t>
            </w:r>
          </w:p>
        </w:tc>
      </w:tr>
      <w:tr w:rsidR="00540F32" w14:paraId="1097EB78"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3D5F03C6" w14:textId="77777777" w:rsidR="00540F32" w:rsidRDefault="00540F32" w:rsidP="006F4265">
            <w:pPr>
              <w:rPr>
                <w:rFonts w:eastAsia="Times New Roman" w:cs="Arial"/>
                <w:color w:val="000000"/>
                <w:szCs w:val="20"/>
                <w:lang w:eastAsia="en-AU"/>
              </w:rPr>
            </w:pPr>
            <w:r>
              <w:t>SF</w:t>
            </w:r>
            <w:r w:rsidRPr="00D3795A">
              <w:rPr>
                <w:vertAlign w:val="subscript"/>
              </w:rPr>
              <w:t>6</w:t>
            </w:r>
            <w:r>
              <w:t xml:space="preserve"> and PFCs from other product uses</w:t>
            </w:r>
          </w:p>
        </w:tc>
        <w:tc>
          <w:tcPr>
            <w:tcW w:w="1401" w:type="pct"/>
            <w:vMerge w:val="restart"/>
          </w:tcPr>
          <w:p w14:paraId="01209B80" w14:textId="0E5F2B84" w:rsidR="00540F32" w:rsidRDefault="00540F32" w:rsidP="00C85C35">
            <w:pPr>
              <w:cnfStyle w:val="000000000000" w:firstRow="0" w:lastRow="0" w:firstColumn="0" w:lastColumn="0" w:oddVBand="0" w:evenVBand="0" w:oddHBand="0" w:evenHBand="0" w:firstRowFirstColumn="0" w:firstRowLastColumn="0" w:lastRowFirstColumn="0" w:lastRowLastColumn="0"/>
            </w:pPr>
            <w:r>
              <w:rPr>
                <w:lang w:eastAsia="en-AU"/>
              </w:rPr>
              <w:t xml:space="preserve">Population forecasts from </w:t>
            </w:r>
            <w:r w:rsidR="0071457B" w:rsidRPr="00974F47">
              <w:rPr>
                <w:rFonts w:asciiTheme="minorHAnsi" w:hAnsiTheme="minorHAnsi" w:cstheme="minorHAnsi"/>
                <w:lang w:eastAsia="en-AU"/>
              </w:rPr>
              <w:t xml:space="preserve">ABS 2018 and </w:t>
            </w:r>
            <w:r w:rsidR="0071457B">
              <w:t>Department of the Treasury 2021</w:t>
            </w:r>
          </w:p>
        </w:tc>
        <w:tc>
          <w:tcPr>
            <w:tcW w:w="2179" w:type="pct"/>
            <w:vMerge w:val="restart"/>
          </w:tcPr>
          <w:p w14:paraId="5AFA256F" w14:textId="77777777" w:rsidR="00540F32" w:rsidRDefault="00540F32" w:rsidP="006F4265">
            <w:pPr>
              <w:cnfStyle w:val="000000000000" w:firstRow="0" w:lastRow="0" w:firstColumn="0" w:lastColumn="0" w:oddVBand="0" w:evenVBand="0" w:oddHBand="0" w:evenHBand="0" w:firstRowFirstColumn="0" w:firstRowLastColumn="0" w:lastRowFirstColumn="0" w:lastRowLastColumn="0"/>
            </w:pPr>
            <w:r w:rsidRPr="0049406C">
              <w:t>E</w:t>
            </w:r>
            <w:r w:rsidRPr="0049406C">
              <w:rPr>
                <w:vertAlign w:val="subscript"/>
              </w:rPr>
              <w:t>t</w:t>
            </w:r>
            <w:r w:rsidRPr="0049406C">
              <w:t xml:space="preserve"> = E</w:t>
            </w:r>
            <w:r w:rsidRPr="0049406C">
              <w:rPr>
                <w:vertAlign w:val="subscript"/>
              </w:rPr>
              <w:t xml:space="preserve">t-1 </w:t>
            </w:r>
            <w:r w:rsidRPr="0049406C">
              <w:rPr>
                <w:b/>
              </w:rPr>
              <w:t>.</w:t>
            </w:r>
            <w:r w:rsidRPr="0049406C">
              <w:t xml:space="preserve"> </w:t>
            </w:r>
            <w:r w:rsidRPr="0049406C">
              <w:rPr>
                <w:rFonts w:cs="Arial"/>
              </w:rPr>
              <w:t>Δ</w:t>
            </w:r>
            <w:r w:rsidRPr="0049406C">
              <w:t xml:space="preserve"> Population</w:t>
            </w:r>
          </w:p>
          <w:p w14:paraId="497B0C69" w14:textId="3AC5633F" w:rsidR="00540F32" w:rsidRDefault="00540F32">
            <w:pPr>
              <w:pStyle w:val="Calculations"/>
              <w:cnfStyle w:val="000000000000" w:firstRow="0" w:lastRow="0" w:firstColumn="0" w:lastColumn="0" w:oddVBand="0" w:evenVBand="0" w:oddHBand="0" w:evenHBand="0" w:firstRowFirstColumn="0" w:firstRowLastColumn="0" w:lastRowFirstColumn="0" w:lastRowLastColumn="0"/>
            </w:pPr>
            <w:r w:rsidRPr="0049406C">
              <w:t xml:space="preserve">Where: </w:t>
            </w:r>
            <w:r w:rsidRPr="0049406C">
              <w:br/>
              <w:t>E</w:t>
            </w:r>
            <w:r w:rsidRPr="0049406C">
              <w:rPr>
                <w:vertAlign w:val="subscript"/>
              </w:rPr>
              <w:t>t</w:t>
            </w:r>
            <w:r w:rsidRPr="0049406C">
              <w:t xml:space="preserve"> =</w:t>
            </w:r>
            <w:r w:rsidRPr="0049406C" w:rsidDel="003838E8">
              <w:t xml:space="preserve"> </w:t>
            </w:r>
            <w:r w:rsidRPr="0049406C">
              <w:t>emissions in year</w:t>
            </w:r>
            <w:r w:rsidRPr="0049406C">
              <w:rPr>
                <w:vertAlign w:val="subscript"/>
              </w:rPr>
              <w:t xml:space="preserve"> </w:t>
            </w:r>
            <w:r>
              <w:t>t (M</w:t>
            </w:r>
            <w:r w:rsidRPr="0049406C">
              <w:t>t CO</w:t>
            </w:r>
            <w:r w:rsidR="00DC5D1C" w:rsidRPr="00907A9F">
              <w:rPr>
                <w:i w:val="0"/>
              </w:rPr>
              <w:t>₂</w:t>
            </w:r>
            <w:r w:rsidRPr="0049406C">
              <w:t>-e)</w:t>
            </w:r>
            <w:r w:rsidRPr="0049406C">
              <w:br/>
              <w:t>E</w:t>
            </w:r>
            <w:r w:rsidRPr="0049406C">
              <w:rPr>
                <w:vertAlign w:val="subscript"/>
              </w:rPr>
              <w:t>t-1</w:t>
            </w:r>
            <w:r w:rsidRPr="0049406C">
              <w:t xml:space="preserve"> = emissions in the previous year</w:t>
            </w:r>
            <w:r w:rsidRPr="0049406C">
              <w:br/>
            </w:r>
            <w:r w:rsidRPr="0049406C">
              <w:rPr>
                <w:rFonts w:cs="Arial"/>
              </w:rPr>
              <w:t>Δ</w:t>
            </w:r>
            <w:r w:rsidRPr="0049406C">
              <w:rPr>
                <w:vertAlign w:val="subscript"/>
              </w:rPr>
              <w:t xml:space="preserve"> </w:t>
            </w:r>
            <w:r w:rsidRPr="0049406C">
              <w:t>Population = percentage change in population between year</w:t>
            </w:r>
            <w:r w:rsidRPr="0049406C">
              <w:rPr>
                <w:vertAlign w:val="subscript"/>
              </w:rPr>
              <w:t xml:space="preserve"> </w:t>
            </w:r>
            <w:r w:rsidRPr="0049406C">
              <w:t>t and year</w:t>
            </w:r>
            <w:r w:rsidRPr="0049406C">
              <w:rPr>
                <w:vertAlign w:val="subscript"/>
              </w:rPr>
              <w:t xml:space="preserve"> </w:t>
            </w:r>
            <w:r w:rsidRPr="0049406C">
              <w:t>t-1</w:t>
            </w:r>
          </w:p>
        </w:tc>
      </w:tr>
      <w:tr w:rsidR="00540F32" w:rsidRPr="00F333F9" w14:paraId="6B941054"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0" w:type="pct"/>
          </w:tcPr>
          <w:p w14:paraId="2F310D79" w14:textId="417D4420" w:rsidR="00540F32" w:rsidRPr="00484C3E" w:rsidRDefault="00540F32">
            <w:pPr>
              <w:rPr>
                <w:rFonts w:eastAsia="Times New Roman" w:cs="Arial"/>
                <w:color w:val="000000"/>
                <w:szCs w:val="20"/>
                <w:lang w:eastAsia="en-AU"/>
              </w:rPr>
            </w:pPr>
            <w:r>
              <w:t>N</w:t>
            </w:r>
            <w:r w:rsidR="00DC5D1C" w:rsidRPr="000F53BC">
              <w:t>₂</w:t>
            </w:r>
            <w:r>
              <w:t>O from product uses</w:t>
            </w:r>
          </w:p>
        </w:tc>
        <w:tc>
          <w:tcPr>
            <w:tcW w:w="1401" w:type="pct"/>
            <w:vMerge/>
          </w:tcPr>
          <w:p w14:paraId="07DE9B40" w14:textId="77777777" w:rsidR="00540F32" w:rsidRPr="00484C3E" w:rsidRDefault="00540F32" w:rsidP="006F4265">
            <w:pPr>
              <w:cnfStyle w:val="000000100000" w:firstRow="0" w:lastRow="0" w:firstColumn="0" w:lastColumn="0" w:oddVBand="0" w:evenVBand="0" w:oddHBand="1" w:evenHBand="0" w:firstRowFirstColumn="0" w:firstRowLastColumn="0" w:lastRowFirstColumn="0" w:lastRowLastColumn="0"/>
              <w:rPr>
                <w:lang w:eastAsia="en-AU"/>
              </w:rPr>
            </w:pPr>
          </w:p>
        </w:tc>
        <w:tc>
          <w:tcPr>
            <w:tcW w:w="2179" w:type="pct"/>
            <w:vMerge/>
          </w:tcPr>
          <w:p w14:paraId="01F693E3" w14:textId="77777777" w:rsidR="00540F32" w:rsidRPr="00F333F9" w:rsidRDefault="00540F32" w:rsidP="006F4265">
            <w:pPr>
              <w:cnfStyle w:val="000000100000" w:firstRow="0" w:lastRow="0" w:firstColumn="0" w:lastColumn="0" w:oddVBand="0" w:evenVBand="0" w:oddHBand="1" w:evenHBand="0" w:firstRowFirstColumn="0" w:firstRowLastColumn="0" w:lastRowFirstColumn="0" w:lastRowLastColumn="0"/>
              <w:rPr>
                <w:lang w:eastAsia="en-AU"/>
              </w:rPr>
            </w:pPr>
          </w:p>
        </w:tc>
      </w:tr>
      <w:tr w:rsidR="00540F32" w:rsidRPr="00CC3B41" w14:paraId="43A2CDB0"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420" w:type="pct"/>
          </w:tcPr>
          <w:p w14:paraId="2A434E72" w14:textId="77777777" w:rsidR="00540F32" w:rsidRDefault="00540F32" w:rsidP="006F4265">
            <w:pPr>
              <w:rPr>
                <w:rFonts w:eastAsia="Times New Roman" w:cs="Arial"/>
                <w:color w:val="000000"/>
                <w:szCs w:val="20"/>
                <w:lang w:eastAsia="en-AU"/>
              </w:rPr>
            </w:pPr>
            <w:r>
              <w:t>Other production</w:t>
            </w:r>
            <w:r w:rsidDel="00731552">
              <w:rPr>
                <w:rFonts w:eastAsia="Times New Roman" w:cs="Arial"/>
                <w:color w:val="000000"/>
                <w:szCs w:val="20"/>
                <w:lang w:eastAsia="en-AU"/>
              </w:rPr>
              <w:t xml:space="preserve"> </w:t>
            </w:r>
          </w:p>
        </w:tc>
        <w:tc>
          <w:tcPr>
            <w:tcW w:w="1401" w:type="pct"/>
          </w:tcPr>
          <w:p w14:paraId="7325336B" w14:textId="77777777" w:rsidR="00540F32" w:rsidRDefault="00540F32" w:rsidP="006F4265">
            <w:pPr>
              <w:cnfStyle w:val="000000000000" w:firstRow="0" w:lastRow="0" w:firstColumn="0" w:lastColumn="0" w:oddVBand="0" w:evenVBand="0" w:oddHBand="0" w:evenHBand="0" w:firstRowFirstColumn="0" w:firstRowLastColumn="0" w:lastRowFirstColumn="0" w:lastRowLastColumn="0"/>
            </w:pPr>
            <w:r w:rsidRPr="00C970AB">
              <w:t>DISER</w:t>
            </w:r>
            <w:r>
              <w:rPr>
                <w:lang w:eastAsia="en-AU"/>
              </w:rPr>
              <w:t xml:space="preserve"> estimates based on projected ammonia production and food, beverages &amp; t</w:t>
            </w:r>
            <w:r w:rsidRPr="00196831">
              <w:rPr>
                <w:lang w:eastAsia="en-AU"/>
              </w:rPr>
              <w:t>obacco production</w:t>
            </w:r>
            <w:r w:rsidDel="00731552">
              <w:t xml:space="preserve"> </w:t>
            </w:r>
          </w:p>
        </w:tc>
        <w:tc>
          <w:tcPr>
            <w:tcW w:w="2179" w:type="pct"/>
          </w:tcPr>
          <w:p w14:paraId="75327F10" w14:textId="68B4055A" w:rsidR="00540F32" w:rsidRPr="00CE2775" w:rsidRDefault="00540F32" w:rsidP="006F4265">
            <w:pPr>
              <w:cnfStyle w:val="000000000000" w:firstRow="0" w:lastRow="0" w:firstColumn="0" w:lastColumn="0" w:oddVBand="0" w:evenVBand="0" w:oddHBand="0" w:evenHBand="0" w:firstRowFirstColumn="0" w:firstRowLastColumn="0" w:lastRowFirstColumn="0" w:lastRowLastColumn="0"/>
            </w:pPr>
            <w:r w:rsidRPr="00CE2775">
              <w:t>E</w:t>
            </w:r>
            <w:r w:rsidRPr="00CE2775">
              <w:rPr>
                <w:vertAlign w:val="subscript"/>
              </w:rPr>
              <w:t>t</w:t>
            </w:r>
            <w:r w:rsidRPr="00CE2775">
              <w:t xml:space="preserve"> = E</w:t>
            </w:r>
            <w:r w:rsidRPr="00CE2775">
              <w:rPr>
                <w:vertAlign w:val="subscript"/>
              </w:rPr>
              <w:t xml:space="preserve">t-1 </w:t>
            </w:r>
            <w:r w:rsidR="00A8602E">
              <w:rPr>
                <w:vertAlign w:val="subscript"/>
              </w:rPr>
              <w:t xml:space="preserve"> </w:t>
            </w:r>
            <w:r w:rsidR="00A8602E">
              <w:rPr>
                <w:b/>
              </w:rPr>
              <w:t xml:space="preserve"> . </w:t>
            </w:r>
            <w:r w:rsidRPr="00CE2775">
              <w:t xml:space="preserve"> </w:t>
            </w:r>
            <w:r w:rsidRPr="00731552">
              <w:t>Δ</w:t>
            </w:r>
            <w:r w:rsidRPr="00CE2775">
              <w:t xml:space="preserve"> Production</w:t>
            </w:r>
          </w:p>
          <w:p w14:paraId="2D4177EF" w14:textId="7DAB4A1A" w:rsidR="00540F32" w:rsidRPr="00CC3B41" w:rsidRDefault="00540F32" w:rsidP="00540F32">
            <w:pPr>
              <w:pStyle w:val="Calculations"/>
              <w:cnfStyle w:val="000000000000" w:firstRow="0" w:lastRow="0" w:firstColumn="0" w:lastColumn="0" w:oddVBand="0" w:evenVBand="0" w:oddHBand="0" w:evenHBand="0" w:firstRowFirstColumn="0" w:firstRowLastColumn="0" w:lastRowFirstColumn="0" w:lastRowLastColumn="0"/>
            </w:pPr>
            <w:r w:rsidRPr="00CE2775">
              <w:t xml:space="preserve">Where: </w:t>
            </w:r>
            <w:r w:rsidRPr="00CE2775">
              <w:br/>
              <w:t>E</w:t>
            </w:r>
            <w:r w:rsidRPr="00CE2775">
              <w:rPr>
                <w:vertAlign w:val="subscript"/>
              </w:rPr>
              <w:t>t</w:t>
            </w:r>
            <w:r w:rsidRPr="00CE2775">
              <w:t xml:space="preserve"> = emissions in year t</w:t>
            </w:r>
            <w:r>
              <w:rPr>
                <w:vertAlign w:val="subscript"/>
              </w:rPr>
              <w:t xml:space="preserve"> </w:t>
            </w:r>
            <w:r w:rsidRPr="00CE2775">
              <w:t>(Mt CO</w:t>
            </w:r>
            <w:r w:rsidR="00DC5D1C" w:rsidRPr="00907A9F">
              <w:rPr>
                <w:i w:val="0"/>
              </w:rPr>
              <w:t>₂</w:t>
            </w:r>
            <w:r w:rsidRPr="008142E3">
              <w:t>-e)</w:t>
            </w:r>
            <w:r w:rsidRPr="008142E3">
              <w:br/>
              <w:t>E</w:t>
            </w:r>
            <w:r w:rsidRPr="008142E3">
              <w:rPr>
                <w:vertAlign w:val="subscript"/>
              </w:rPr>
              <w:t>t-1</w:t>
            </w:r>
            <w:r w:rsidRPr="008142E3">
              <w:t xml:space="preserve"> = emissions in the previous year</w:t>
            </w:r>
            <w:r w:rsidRPr="008142E3">
              <w:br/>
            </w:r>
            <w:r w:rsidRPr="00731552">
              <w:t>Δ</w:t>
            </w:r>
            <w:r w:rsidRPr="00CE2775">
              <w:rPr>
                <w:vertAlign w:val="subscript"/>
              </w:rPr>
              <w:t xml:space="preserve"> </w:t>
            </w:r>
            <w:r w:rsidRPr="00CE2775">
              <w:t>Production = percentage change in production between year t and year t-1</w:t>
            </w:r>
            <w:r w:rsidRPr="00EE4997" w:rsidDel="00731552">
              <w:t xml:space="preserve"> </w:t>
            </w:r>
          </w:p>
        </w:tc>
      </w:tr>
    </w:tbl>
    <w:p w14:paraId="64A93D27" w14:textId="685A8B64" w:rsidR="00DA6A95" w:rsidRDefault="00DA6A95" w:rsidP="00537A1C"/>
    <w:p w14:paraId="74A27BC1" w14:textId="77777777" w:rsidR="00DA6A95" w:rsidRDefault="00DA6A95" w:rsidP="00537A1C">
      <w:r>
        <w:br w:type="page"/>
      </w:r>
    </w:p>
    <w:p w14:paraId="27229909" w14:textId="047702C6" w:rsidR="000E7071" w:rsidRDefault="000E7071" w:rsidP="00537A1C">
      <w:pPr>
        <w:pStyle w:val="Heading1"/>
      </w:pPr>
      <w:bookmarkStart w:id="37" w:name="_Toc510532007"/>
      <w:bookmarkStart w:id="38" w:name="_Toc510532537"/>
      <w:bookmarkStart w:id="39" w:name="_Toc510534101"/>
      <w:bookmarkStart w:id="40" w:name="_Toc510794630"/>
      <w:bookmarkStart w:id="41" w:name="_Toc511297989"/>
      <w:bookmarkStart w:id="42" w:name="_Toc511304018"/>
      <w:bookmarkStart w:id="43" w:name="_Toc511918022"/>
      <w:r>
        <w:lastRenderedPageBreak/>
        <w:t>Agriculture</w:t>
      </w:r>
      <w:bookmarkEnd w:id="37"/>
      <w:bookmarkEnd w:id="38"/>
      <w:bookmarkEnd w:id="39"/>
      <w:bookmarkEnd w:id="40"/>
      <w:bookmarkEnd w:id="41"/>
      <w:bookmarkEnd w:id="42"/>
      <w:bookmarkEnd w:id="43"/>
    </w:p>
    <w:p w14:paraId="132AD43B" w14:textId="5566993A" w:rsidR="00F1708C" w:rsidRDefault="00F1708C" w:rsidP="00537A1C">
      <w:r>
        <w:t xml:space="preserve">Emissions from the </w:t>
      </w:r>
      <w:r w:rsidR="005B2483" w:rsidRPr="006B1D4B">
        <w:rPr>
          <w:i/>
        </w:rPr>
        <w:t>a</w:t>
      </w:r>
      <w:r w:rsidRPr="006B1D4B">
        <w:rPr>
          <w:i/>
        </w:rPr>
        <w:t>griculture sector</w:t>
      </w:r>
      <w:r>
        <w:t xml:space="preserve"> are projected using bottom-up modelling developed </w:t>
      </w:r>
      <w:r w:rsidR="0083437B">
        <w:t xml:space="preserve">by </w:t>
      </w:r>
      <w:r w:rsidR="00966C28">
        <w:t>the department</w:t>
      </w:r>
      <w:r w:rsidR="003F34D5">
        <w:t>.</w:t>
      </w:r>
      <w:r w:rsidR="00B61CA9">
        <w:t xml:space="preserve"> The model is maintained and updated within </w:t>
      </w:r>
      <w:r w:rsidR="00966C28">
        <w:t>the department</w:t>
      </w:r>
      <w:r w:rsidR="0083437B">
        <w:t xml:space="preserve"> using external inputs</w:t>
      </w:r>
      <w:r w:rsidR="00B61CA9">
        <w:t>.</w:t>
      </w:r>
    </w:p>
    <w:p w14:paraId="5C9B6E9E" w14:textId="6A1E0955" w:rsidR="00942FD9" w:rsidRPr="0026611D" w:rsidRDefault="00942FD9" w:rsidP="00537A1C">
      <w:pPr>
        <w:pStyle w:val="Heading2"/>
      </w:pPr>
      <w:r w:rsidRPr="0026611D">
        <w:t>Modelling approach</w:t>
      </w:r>
    </w:p>
    <w:p w14:paraId="00515F65" w14:textId="77777777" w:rsidR="008F30A1" w:rsidRPr="00377CAF" w:rsidRDefault="008F30A1" w:rsidP="00537A1C">
      <w:r w:rsidRPr="00377CAF">
        <w:t>Emissions f</w:t>
      </w:r>
      <w:r>
        <w:t>rom</w:t>
      </w:r>
      <w:r w:rsidRPr="00377CAF">
        <w:t xml:space="preserve"> agricultural activity is calculated as:</w:t>
      </w:r>
    </w:p>
    <w:p w14:paraId="4CC568C0" w14:textId="77777777" w:rsidR="008F30A1" w:rsidRPr="008660A8" w:rsidRDefault="00946E71" w:rsidP="00537A1C">
      <w:pPr>
        <w:rPr>
          <w:rFonts w:cs="Arial"/>
        </w:rPr>
      </w:pPr>
      <m:oMathPara>
        <m:oMathParaPr>
          <m:jc m:val="left"/>
        </m:oMathParaPr>
        <m:oMath>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nary>
            <m:naryPr>
              <m:chr m:val="∑"/>
              <m:limLoc m:val="subSup"/>
              <m:supHide m:val="1"/>
              <m:ctrlPr>
                <w:rPr>
                  <w:rFonts w:ascii="Cambria Math" w:hAnsi="Cambria Math"/>
                </w:rPr>
              </m:ctrlPr>
            </m:naryPr>
            <m:sub>
              <m:r>
                <w:rPr>
                  <w:rFonts w:ascii="Cambria Math" w:hAnsi="Cambria Math"/>
                </w:rPr>
                <m:t>j</m:t>
              </m:r>
            </m:sub>
            <m:sup/>
            <m:e>
              <m:nary>
                <m:naryPr>
                  <m:chr m:val="∑"/>
                  <m:limLoc m:val="subSup"/>
                  <m:supHide m:val="1"/>
                  <m:ctrlPr>
                    <w:rPr>
                      <w:rFonts w:ascii="Cambria Math" w:hAnsi="Cambria Math"/>
                    </w:rPr>
                  </m:ctrlPr>
                </m:naryPr>
                <m:sub>
                  <m:r>
                    <w:rPr>
                      <w:rFonts w:ascii="Cambria Math" w:hAnsi="Cambria Math"/>
                    </w:rPr>
                    <m:t>l</m:t>
                  </m:r>
                </m:sub>
                <m:sup/>
                <m:e>
                  <m:nary>
                    <m:naryPr>
                      <m:chr m:val="∑"/>
                      <m:limLoc m:val="subSup"/>
                      <m:supHide m:val="1"/>
                      <m:ctrlPr>
                        <w:rPr>
                          <w:rFonts w:ascii="Cambria Math" w:hAnsi="Cambria Math"/>
                        </w:rPr>
                      </m:ctrlPr>
                    </m:naryPr>
                    <m:sub>
                      <m:r>
                        <w:rPr>
                          <w:rFonts w:ascii="Cambria Math" w:hAnsi="Cambria Math"/>
                        </w:rPr>
                        <m:t>k</m:t>
                      </m:r>
                    </m:sub>
                    <m:sup/>
                    <m:e>
                      <m:nary>
                        <m:naryPr>
                          <m:chr m:val="∑"/>
                          <m:limLoc m:val="subSup"/>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m:rPr>
                                  <m:sty m:val="p"/>
                                </m:rPr>
                                <w:rPr>
                                  <w:rFonts w:ascii="Cambria Math" w:hAnsi="Cambria Math"/>
                                </w:rPr>
                                <m:t>(</m:t>
                              </m:r>
                              <m:r>
                                <w:rPr>
                                  <w:rFonts w:ascii="Cambria Math" w:hAnsi="Cambria Math"/>
                                </w:rPr>
                                <m:t>N</m:t>
                              </m:r>
                            </m:e>
                            <m:sub>
                              <m:r>
                                <w:rPr>
                                  <w:rFonts w:ascii="Cambria Math" w:hAnsi="Cambria Math"/>
                                </w:rPr>
                                <m:t>ki</m:t>
                              </m:r>
                            </m:sub>
                          </m:sSub>
                        </m:e>
                      </m:nary>
                      <m:r>
                        <m:rPr>
                          <m:sty m:val="b"/>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kjil</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e>
                  </m:nary>
                </m:e>
              </m:nary>
            </m:e>
          </m:nary>
        </m:oMath>
      </m:oMathPara>
    </w:p>
    <w:p w14:paraId="4C507D65" w14:textId="77777777" w:rsidR="008F30A1" w:rsidRDefault="008F30A1" w:rsidP="00537A1C"/>
    <w:p w14:paraId="6243BD36" w14:textId="067E7CB0" w:rsidR="005609DA" w:rsidRDefault="008F30A1" w:rsidP="00F672A1">
      <w:pPr>
        <w:pStyle w:val="Calculations"/>
      </w:pPr>
      <w:r>
        <w:t>Where</w:t>
      </w:r>
      <w:r w:rsidR="009D1C20">
        <w:t>:</w:t>
      </w:r>
    </w:p>
    <w:p w14:paraId="46E76648" w14:textId="19FBE88F" w:rsidR="008F30A1" w:rsidRDefault="008F30A1" w:rsidP="00F672A1">
      <w:pPr>
        <w:pStyle w:val="Calculations"/>
      </w:pPr>
      <w:r w:rsidRPr="00BE3F86">
        <w:t>E</w:t>
      </w:r>
      <w:r w:rsidR="001C5E95" w:rsidRPr="00057BFE">
        <w:rPr>
          <w:vertAlign w:val="subscript"/>
        </w:rPr>
        <w:t>t</w:t>
      </w:r>
      <w:r>
        <w:t xml:space="preserve"> = </w:t>
      </w:r>
      <w:r w:rsidR="00596E05">
        <w:t>e</w:t>
      </w:r>
      <w:r>
        <w:t>missions in year t (Mt CO</w:t>
      </w:r>
      <w:r w:rsidR="00DC5D1C" w:rsidRPr="00907A9F">
        <w:rPr>
          <w:i w:val="0"/>
        </w:rPr>
        <w:t>₂</w:t>
      </w:r>
      <w:r>
        <w:t>-e)</w:t>
      </w:r>
    </w:p>
    <w:p w14:paraId="364BA2C9" w14:textId="77777777" w:rsidR="008F30A1" w:rsidRDefault="008F30A1" w:rsidP="00F672A1">
      <w:pPr>
        <w:pStyle w:val="Calculations"/>
      </w:pPr>
      <w:r w:rsidRPr="00BE3F86">
        <w:t>N</w:t>
      </w:r>
      <w:r>
        <w:rPr>
          <w:vertAlign w:val="subscript"/>
        </w:rPr>
        <w:t>ki</w:t>
      </w:r>
      <w:r>
        <w:rPr>
          <w:vertAlign w:val="superscript"/>
        </w:rPr>
        <w:t xml:space="preserve"> </w:t>
      </w:r>
      <w:r>
        <w:t>= quantity of activity type in each state, in relevant unit quantity (number of heads, kilotonnes, hectares, etc.)</w:t>
      </w:r>
    </w:p>
    <w:p w14:paraId="0EB0CF91" w14:textId="77777777" w:rsidR="008F30A1" w:rsidRDefault="008F30A1" w:rsidP="00F672A1">
      <w:pPr>
        <w:pStyle w:val="Calculations"/>
      </w:pPr>
      <w:r w:rsidRPr="00BE3F86">
        <w:t>EF</w:t>
      </w:r>
      <w:r w:rsidRPr="00365987">
        <w:rPr>
          <w:vertAlign w:val="subscript"/>
        </w:rPr>
        <w:t>kjil</w:t>
      </w:r>
      <w:r>
        <w:t xml:space="preserve"> = emissions factors of gas types, by gas source</w:t>
      </w:r>
    </w:p>
    <w:p w14:paraId="5DD7F38B" w14:textId="77777777" w:rsidR="005609DA" w:rsidRDefault="005609DA" w:rsidP="00F672A1">
      <w:pPr>
        <w:pStyle w:val="Calculations"/>
      </w:pPr>
      <w:r>
        <w:t xml:space="preserve">Emissions factors in:  </w:t>
      </w:r>
    </w:p>
    <w:p w14:paraId="30179949" w14:textId="40A703A6" w:rsidR="008F30A1" w:rsidRDefault="008F30A1" w:rsidP="00F672A1">
      <w:pPr>
        <w:pStyle w:val="Calculations"/>
      </w:pPr>
      <w:r>
        <w:t xml:space="preserve">(kt/unit of activity/year) </w:t>
      </w:r>
    </w:p>
    <w:p w14:paraId="1460546C" w14:textId="77777777" w:rsidR="008F30A1" w:rsidRDefault="008F30A1" w:rsidP="00F672A1">
      <w:pPr>
        <w:pStyle w:val="Calculations"/>
      </w:pPr>
      <w:r>
        <w:t>(Gg/unit of activity/year for rice cultivation)</w:t>
      </w:r>
      <w:r w:rsidRPr="00F814AB">
        <w:t xml:space="preserve"> </w:t>
      </w:r>
    </w:p>
    <w:p w14:paraId="4C1212B9" w14:textId="77777777" w:rsidR="009D1C20" w:rsidRDefault="009D1C20" w:rsidP="00F672A1">
      <w:pPr>
        <w:pStyle w:val="Calculations"/>
      </w:pPr>
    </w:p>
    <w:p w14:paraId="6E3F40D3" w14:textId="785E51C2" w:rsidR="00942FD9" w:rsidRDefault="00942FD9" w:rsidP="00537A1C">
      <w:pPr>
        <w:pStyle w:val="Caption"/>
      </w:pPr>
      <w:r w:rsidRPr="00C808FE">
        <w:t xml:space="preserve">Table </w:t>
      </w:r>
      <w:r w:rsidR="004C7141">
        <w:t>9</w:t>
      </w:r>
      <w:r>
        <w:t>.</w:t>
      </w:r>
      <w:r w:rsidRPr="00C808FE">
        <w:tab/>
      </w:r>
      <w:r w:rsidR="00660094">
        <w:t xml:space="preserve"> </w:t>
      </w:r>
      <w:r w:rsidRPr="00C808FE">
        <w:t xml:space="preserve">Symbols used in algorithms </w:t>
      </w:r>
    </w:p>
    <w:tbl>
      <w:tblPr>
        <w:tblStyle w:val="ListTable3-Accent3"/>
        <w:tblW w:w="5000" w:type="pct"/>
        <w:tblLook w:val="04A0" w:firstRow="1" w:lastRow="0" w:firstColumn="1" w:lastColumn="0" w:noHBand="0" w:noVBand="1"/>
        <w:tblCaption w:val="Symbols used in algorithms"/>
        <w:tblDescription w:val="Table shows a breakdown of each symbol used in agriculture emissions algorithms and the corresponding variable as well as the variable category. Variables include states, activity type, gas type and gas source."/>
      </w:tblPr>
      <w:tblGrid>
        <w:gridCol w:w="1036"/>
        <w:gridCol w:w="1577"/>
        <w:gridCol w:w="6589"/>
      </w:tblGrid>
      <w:tr w:rsidR="00942FD9" w:rsidRPr="00956380" w14:paraId="3F74BEAA" w14:textId="77777777" w:rsidTr="00BE1FF7">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100" w:firstRow="0" w:lastRow="0" w:firstColumn="1" w:lastColumn="0" w:oddVBand="0" w:evenVBand="0" w:oddHBand="0" w:evenHBand="0" w:firstRowFirstColumn="1" w:firstRowLastColumn="0" w:lastRowFirstColumn="0" w:lastRowLastColumn="0"/>
            <w:tcW w:w="563" w:type="pct"/>
            <w:hideMark/>
          </w:tcPr>
          <w:p w14:paraId="0BA6E168" w14:textId="77777777" w:rsidR="00942FD9" w:rsidRPr="00484C3E" w:rsidRDefault="00942FD9" w:rsidP="00537A1C">
            <w:pPr>
              <w:rPr>
                <w:lang w:eastAsia="en-AU"/>
              </w:rPr>
            </w:pPr>
            <w:r>
              <w:rPr>
                <w:lang w:eastAsia="en-AU"/>
              </w:rPr>
              <w:t>Symbol</w:t>
            </w:r>
          </w:p>
        </w:tc>
        <w:tc>
          <w:tcPr>
            <w:tcW w:w="857" w:type="pct"/>
          </w:tcPr>
          <w:p w14:paraId="1C2204E9" w14:textId="77777777" w:rsidR="00942FD9" w:rsidRDefault="00942FD9" w:rsidP="00537A1C">
            <w:pPr>
              <w:cnfStyle w:val="100000000000" w:firstRow="1" w:lastRow="0" w:firstColumn="0" w:lastColumn="0" w:oddVBand="0" w:evenVBand="0" w:oddHBand="0" w:evenHBand="0" w:firstRowFirstColumn="0" w:firstRowLastColumn="0" w:lastRowFirstColumn="0" w:lastRowLastColumn="0"/>
            </w:pPr>
            <w:r>
              <w:t>Variable</w:t>
            </w:r>
          </w:p>
        </w:tc>
        <w:tc>
          <w:tcPr>
            <w:tcW w:w="3580" w:type="pct"/>
          </w:tcPr>
          <w:p w14:paraId="602325FA" w14:textId="77777777" w:rsidR="00942FD9" w:rsidRDefault="00942FD9" w:rsidP="00537A1C">
            <w:pPr>
              <w:cnfStyle w:val="100000000000" w:firstRow="1" w:lastRow="0" w:firstColumn="0" w:lastColumn="0" w:oddVBand="0" w:evenVBand="0" w:oddHBand="0" w:evenHBand="0" w:firstRowFirstColumn="0" w:firstRowLastColumn="0" w:lastRowFirstColumn="0" w:lastRowLastColumn="0"/>
            </w:pPr>
            <w:r>
              <w:t>Variable categories</w:t>
            </w:r>
          </w:p>
        </w:tc>
      </w:tr>
      <w:tr w:rsidR="00942FD9" w:rsidRPr="00956380" w14:paraId="4112A1C8" w14:textId="77777777" w:rsidTr="00BE1F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3" w:type="pct"/>
          </w:tcPr>
          <w:p w14:paraId="7CC3473C" w14:textId="5D4D9123" w:rsidR="00942FD9" w:rsidRPr="006B1D4B" w:rsidRDefault="00CD030A" w:rsidP="00537A1C">
            <w:pPr>
              <w:rPr>
                <w:lang w:eastAsia="en-AU"/>
              </w:rPr>
            </w:pPr>
            <w:r w:rsidRPr="006B1D4B">
              <w:rPr>
                <w:lang w:eastAsia="en-AU"/>
              </w:rPr>
              <w:t>K</w:t>
            </w:r>
            <w:r w:rsidRPr="00365987">
              <w:rPr>
                <w:vertAlign w:val="superscript"/>
                <w:lang w:eastAsia="en-AU"/>
              </w:rPr>
              <w:t>2</w:t>
            </w:r>
          </w:p>
        </w:tc>
        <w:tc>
          <w:tcPr>
            <w:tcW w:w="857" w:type="pct"/>
          </w:tcPr>
          <w:p w14:paraId="6A90D3F0" w14:textId="77777777" w:rsidR="00942FD9" w:rsidRDefault="00942FD9" w:rsidP="00537A1C">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State</w:t>
            </w:r>
          </w:p>
        </w:tc>
        <w:tc>
          <w:tcPr>
            <w:tcW w:w="3580" w:type="pct"/>
          </w:tcPr>
          <w:p w14:paraId="511F83DD" w14:textId="172254D6" w:rsidR="00942FD9" w:rsidRPr="00484C3E" w:rsidRDefault="00942FD9" w:rsidP="00537A1C">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A</w:t>
            </w:r>
            <w:r w:rsidR="00010EBF">
              <w:rPr>
                <w:lang w:eastAsia="en-AU"/>
              </w:rPr>
              <w:t xml:space="preserve">ustralian </w:t>
            </w:r>
            <w:r>
              <w:rPr>
                <w:lang w:eastAsia="en-AU"/>
              </w:rPr>
              <w:t>C</w:t>
            </w:r>
            <w:r w:rsidR="00010EBF">
              <w:rPr>
                <w:lang w:eastAsia="en-AU"/>
              </w:rPr>
              <w:t xml:space="preserve">apital </w:t>
            </w:r>
            <w:r>
              <w:rPr>
                <w:lang w:eastAsia="en-AU"/>
              </w:rPr>
              <w:t>T</w:t>
            </w:r>
            <w:r w:rsidR="00010EBF">
              <w:rPr>
                <w:lang w:eastAsia="en-AU"/>
              </w:rPr>
              <w:t>erritory</w:t>
            </w:r>
            <w:r>
              <w:rPr>
                <w:lang w:eastAsia="en-AU"/>
              </w:rPr>
              <w:t>, Northern Territory, Queensland</w:t>
            </w:r>
            <w:r w:rsidR="009E2815">
              <w:rPr>
                <w:lang w:eastAsia="en-AU"/>
              </w:rPr>
              <w:t>, Tasmania, South Australia, New South Wales</w:t>
            </w:r>
            <w:r>
              <w:rPr>
                <w:lang w:eastAsia="en-AU"/>
              </w:rPr>
              <w:t>, Victoria, Tasmania</w:t>
            </w:r>
            <w:r w:rsidR="005B7415">
              <w:rPr>
                <w:lang w:eastAsia="en-AU"/>
              </w:rPr>
              <w:t>, Western Australia</w:t>
            </w:r>
          </w:p>
        </w:tc>
      </w:tr>
      <w:tr w:rsidR="00942FD9" w:rsidRPr="00956380" w14:paraId="1E8299B5" w14:textId="77777777" w:rsidTr="00BE1FF7">
        <w:trPr>
          <w:trHeight w:val="315"/>
        </w:trPr>
        <w:tc>
          <w:tcPr>
            <w:cnfStyle w:val="001000000000" w:firstRow="0" w:lastRow="0" w:firstColumn="1" w:lastColumn="0" w:oddVBand="0" w:evenVBand="0" w:oddHBand="0" w:evenHBand="0" w:firstRowFirstColumn="0" w:firstRowLastColumn="0" w:lastRowFirstColumn="0" w:lastRowLastColumn="0"/>
            <w:tcW w:w="563" w:type="pct"/>
          </w:tcPr>
          <w:p w14:paraId="02D55019" w14:textId="743CC21E" w:rsidR="00942FD9" w:rsidRPr="006B1D4B" w:rsidRDefault="00CD030A" w:rsidP="00537A1C">
            <w:pPr>
              <w:rPr>
                <w:lang w:eastAsia="en-AU"/>
              </w:rPr>
            </w:pPr>
            <w:r>
              <w:rPr>
                <w:lang w:eastAsia="en-AU"/>
              </w:rPr>
              <w:t>i</w:t>
            </w:r>
            <w:r w:rsidRPr="00365987">
              <w:rPr>
                <w:vertAlign w:val="superscript"/>
                <w:lang w:eastAsia="en-AU"/>
              </w:rPr>
              <w:t>3</w:t>
            </w:r>
          </w:p>
        </w:tc>
        <w:tc>
          <w:tcPr>
            <w:tcW w:w="857" w:type="pct"/>
          </w:tcPr>
          <w:p w14:paraId="4C6E8BC6" w14:textId="77777777" w:rsidR="00942FD9" w:rsidRDefault="00942FD9" w:rsidP="00537A1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Activity type</w:t>
            </w:r>
          </w:p>
        </w:tc>
        <w:tc>
          <w:tcPr>
            <w:tcW w:w="3580" w:type="pct"/>
          </w:tcPr>
          <w:p w14:paraId="47F509B7" w14:textId="77777777" w:rsidR="00942FD9" w:rsidRPr="00484C3E" w:rsidRDefault="00942FD9" w:rsidP="00537A1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Grazing beef cattle, grain fed beef cattle, dairy cattle, sheep, wheat, rice, etc.</w:t>
            </w:r>
          </w:p>
        </w:tc>
      </w:tr>
      <w:tr w:rsidR="00942FD9" w:rsidRPr="00956380" w14:paraId="4AD7917D" w14:textId="77777777" w:rsidTr="00BE1F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3" w:type="pct"/>
          </w:tcPr>
          <w:p w14:paraId="134F81A2" w14:textId="64A49E17" w:rsidR="00942FD9" w:rsidRPr="006B1D4B" w:rsidRDefault="00CD030A" w:rsidP="00537A1C">
            <w:pPr>
              <w:rPr>
                <w:lang w:eastAsia="en-AU"/>
              </w:rPr>
            </w:pPr>
            <w:r>
              <w:rPr>
                <w:lang w:eastAsia="en-AU"/>
              </w:rPr>
              <w:t>j</w:t>
            </w:r>
            <w:r w:rsidRPr="00365987">
              <w:rPr>
                <w:vertAlign w:val="superscript"/>
                <w:lang w:eastAsia="en-AU"/>
              </w:rPr>
              <w:t>2</w:t>
            </w:r>
          </w:p>
        </w:tc>
        <w:tc>
          <w:tcPr>
            <w:tcW w:w="857" w:type="pct"/>
          </w:tcPr>
          <w:p w14:paraId="6C2CE543" w14:textId="77777777" w:rsidR="00942FD9" w:rsidRDefault="00942FD9" w:rsidP="00537A1C">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Gas type</w:t>
            </w:r>
          </w:p>
        </w:tc>
        <w:tc>
          <w:tcPr>
            <w:tcW w:w="3580" w:type="pct"/>
          </w:tcPr>
          <w:p w14:paraId="11642B23" w14:textId="77777777" w:rsidR="00942FD9" w:rsidRPr="00484C3E" w:rsidRDefault="00942FD9" w:rsidP="00537A1C">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Methane, nitrous oxide, carbon dioxide</w:t>
            </w:r>
          </w:p>
        </w:tc>
      </w:tr>
      <w:tr w:rsidR="00942FD9" w:rsidRPr="00956380" w14:paraId="66DFEC2D" w14:textId="77777777" w:rsidTr="00BE1FF7">
        <w:trPr>
          <w:trHeight w:val="315"/>
        </w:trPr>
        <w:tc>
          <w:tcPr>
            <w:cnfStyle w:val="001000000000" w:firstRow="0" w:lastRow="0" w:firstColumn="1" w:lastColumn="0" w:oddVBand="0" w:evenVBand="0" w:oddHBand="0" w:evenHBand="0" w:firstRowFirstColumn="0" w:firstRowLastColumn="0" w:lastRowFirstColumn="0" w:lastRowLastColumn="0"/>
            <w:tcW w:w="563" w:type="pct"/>
          </w:tcPr>
          <w:p w14:paraId="4AF555F4" w14:textId="1A51D57D" w:rsidR="00942FD9" w:rsidRPr="006B1D4B" w:rsidRDefault="00942FD9" w:rsidP="00537A1C">
            <w:pPr>
              <w:rPr>
                <w:lang w:eastAsia="en-AU"/>
              </w:rPr>
            </w:pPr>
            <w:r w:rsidRPr="006B1D4B">
              <w:rPr>
                <w:lang w:eastAsia="en-AU"/>
              </w:rPr>
              <w:t>l</w:t>
            </w:r>
            <w:r w:rsidR="00CD030A" w:rsidRPr="00365987">
              <w:rPr>
                <w:vertAlign w:val="superscript"/>
                <w:lang w:eastAsia="en-AU"/>
              </w:rPr>
              <w:t>2</w:t>
            </w:r>
          </w:p>
        </w:tc>
        <w:tc>
          <w:tcPr>
            <w:tcW w:w="857" w:type="pct"/>
          </w:tcPr>
          <w:p w14:paraId="40EF60E9" w14:textId="77777777" w:rsidR="00942FD9" w:rsidRPr="009C0B7E" w:rsidRDefault="00942FD9" w:rsidP="00537A1C">
            <w:pPr>
              <w:cnfStyle w:val="000000000000" w:firstRow="0" w:lastRow="0" w:firstColumn="0" w:lastColumn="0" w:oddVBand="0" w:evenVBand="0" w:oddHBand="0" w:evenHBand="0" w:firstRowFirstColumn="0" w:firstRowLastColumn="0" w:lastRowFirstColumn="0" w:lastRowLastColumn="0"/>
            </w:pPr>
            <w:r w:rsidRPr="009C0B7E">
              <w:t>Gas source</w:t>
            </w:r>
          </w:p>
        </w:tc>
        <w:tc>
          <w:tcPr>
            <w:tcW w:w="3580" w:type="pct"/>
          </w:tcPr>
          <w:p w14:paraId="3A659A5E" w14:textId="77777777" w:rsidR="00942FD9" w:rsidRDefault="00942FD9" w:rsidP="00537A1C">
            <w:pPr>
              <w:cnfStyle w:val="000000000000" w:firstRow="0" w:lastRow="0" w:firstColumn="0" w:lastColumn="0" w:oddVBand="0" w:evenVBand="0" w:oddHBand="0" w:evenHBand="0" w:firstRowFirstColumn="0" w:firstRowLastColumn="0" w:lastRowFirstColumn="0" w:lastRowLastColumn="0"/>
            </w:pPr>
            <w:r>
              <w:t>Enteric fermentation, manure management, rice cultivation, agricultural soils, field burning of agricultural residues, lime and urea application</w:t>
            </w:r>
          </w:p>
        </w:tc>
      </w:tr>
    </w:tbl>
    <w:p w14:paraId="7613B15D" w14:textId="7823EA90" w:rsidR="008F30A1" w:rsidRPr="00C02416" w:rsidRDefault="00CD030A" w:rsidP="00C02416">
      <w:pPr>
        <w:pStyle w:val="Footnote"/>
      </w:pPr>
      <w:r w:rsidRPr="00C02416">
        <w:rPr>
          <w:vertAlign w:val="superscript"/>
        </w:rPr>
        <w:t>2</w:t>
      </w:r>
      <w:r w:rsidR="00D55AC3" w:rsidRPr="00C02416">
        <w:rPr>
          <w:vertAlign w:val="superscript"/>
        </w:rPr>
        <w:t xml:space="preserve"> </w:t>
      </w:r>
      <w:r w:rsidRPr="00C02416">
        <w:t>Different states, gas types and gas sources are not relevant to all activity types</w:t>
      </w:r>
    </w:p>
    <w:p w14:paraId="4A399D3A" w14:textId="5B9131A9" w:rsidR="00CD030A" w:rsidRPr="00C02416" w:rsidRDefault="00CD030A" w:rsidP="00C02416">
      <w:pPr>
        <w:pStyle w:val="Footnote"/>
      </w:pPr>
      <w:r w:rsidRPr="00C02416">
        <w:rPr>
          <w:vertAlign w:val="superscript"/>
        </w:rPr>
        <w:t>3</w:t>
      </w:r>
      <w:r w:rsidRPr="00C02416">
        <w:t xml:space="preserve"> Activity types may contribute a number of different gas sources</w:t>
      </w:r>
    </w:p>
    <w:p w14:paraId="0E674F28" w14:textId="77777777" w:rsidR="00C02416" w:rsidRDefault="00C02416" w:rsidP="00537A1C"/>
    <w:p w14:paraId="204E4758" w14:textId="4AB98DBF" w:rsidR="008F30A1" w:rsidRDefault="008F30A1" w:rsidP="00537A1C">
      <w:r>
        <w:t xml:space="preserve">The agriculture projections use emissions factors for activity consistent with the </w:t>
      </w:r>
      <w:r w:rsidRPr="00FB329E">
        <w:rPr>
          <w:i/>
        </w:rPr>
        <w:t>National Inventory Report</w:t>
      </w:r>
      <w:r>
        <w:t xml:space="preserve">. For formulas on calculating emissions intensity, please see the </w:t>
      </w:r>
      <w:r w:rsidRPr="00FB329E">
        <w:rPr>
          <w:i/>
        </w:rPr>
        <w:t>National Inventory Report</w:t>
      </w:r>
      <w:r w:rsidR="00EF0D1A">
        <w:t xml:space="preserve"> (</w:t>
      </w:r>
      <w:r w:rsidR="00B5648F">
        <w:t>DISER 2021b</w:t>
      </w:r>
      <w:r>
        <w:t>).</w:t>
      </w:r>
    </w:p>
    <w:p w14:paraId="2571CBAF" w14:textId="081957B3" w:rsidR="008F30A1" w:rsidRDefault="00733053" w:rsidP="00F672A1">
      <w:r>
        <w:t xml:space="preserve">The projections include abatement from </w:t>
      </w:r>
      <w:r w:rsidR="00877A09">
        <w:t>agriculture</w:t>
      </w:r>
      <w:r>
        <w:t xml:space="preserve"> projects </w:t>
      </w:r>
      <w:r w:rsidR="00877A09">
        <w:t xml:space="preserve">such as beef cattle herd management and destruction of methane generated from manure in piggeries </w:t>
      </w:r>
      <w:r>
        <w:t xml:space="preserve">under the </w:t>
      </w:r>
      <w:r>
        <w:rPr>
          <w:rFonts w:cs="Arial"/>
        </w:rPr>
        <w:t>Emissions Reduction Fund and the Climate Solutions Fund</w:t>
      </w:r>
      <w:r>
        <w:t>.</w:t>
      </w:r>
    </w:p>
    <w:p w14:paraId="5A519DA3" w14:textId="77777777" w:rsidR="00F672A1" w:rsidRDefault="00F672A1" w:rsidP="0078161D">
      <w:pPr>
        <w:pStyle w:val="Bullet1"/>
      </w:pPr>
    </w:p>
    <w:p w14:paraId="10A5FBFF" w14:textId="4AC1149E" w:rsidR="00942FD9" w:rsidRPr="00224D6E" w:rsidRDefault="00942FD9" w:rsidP="00537A1C">
      <w:pPr>
        <w:pStyle w:val="Heading3"/>
      </w:pPr>
      <w:r w:rsidRPr="00224D6E">
        <w:t>Activity data</w:t>
      </w:r>
    </w:p>
    <w:p w14:paraId="6297056C" w14:textId="23D42DC5" w:rsidR="00290F27" w:rsidRDefault="00B61CA9" w:rsidP="00537A1C">
      <w:r>
        <w:t>Emissions are projected by calculating the amount of agricultural activity</w:t>
      </w:r>
      <w:r w:rsidR="00A75535">
        <w:t xml:space="preserve"> in Australia each year.</w:t>
      </w:r>
      <w:r w:rsidR="00D23A7A">
        <w:t xml:space="preserve"> </w:t>
      </w:r>
      <w:r w:rsidR="00A75535">
        <w:t xml:space="preserve">This is done by </w:t>
      </w:r>
      <w:r w:rsidR="00D23A7A" w:rsidRPr="00A75535">
        <w:t>drawing on external data source</w:t>
      </w:r>
      <w:r w:rsidR="00A75535">
        <w:t>s that contain</w:t>
      </w:r>
      <w:r w:rsidR="00D23A7A" w:rsidRPr="00A75535">
        <w:t xml:space="preserve"> activity numbers</w:t>
      </w:r>
      <w:r w:rsidR="00A75535" w:rsidRPr="00A75535">
        <w:t xml:space="preserve"> and </w:t>
      </w:r>
      <w:r w:rsidR="00377CAF">
        <w:t xml:space="preserve">activity </w:t>
      </w:r>
      <w:r w:rsidR="00A75535" w:rsidRPr="00A75535">
        <w:t>growth rates</w:t>
      </w:r>
      <w:r w:rsidR="00246C18">
        <w:t xml:space="preserve"> </w:t>
      </w:r>
      <w:r w:rsidR="00FE0C7C">
        <w:t xml:space="preserve">as summarised in </w:t>
      </w:r>
      <w:r w:rsidR="00023629">
        <w:t>T</w:t>
      </w:r>
      <w:r w:rsidR="00246C18">
        <w:t xml:space="preserve">able </w:t>
      </w:r>
      <w:r w:rsidR="004C7141">
        <w:t>10</w:t>
      </w:r>
      <w:r w:rsidR="00023629">
        <w:t>.</w:t>
      </w:r>
      <w:r w:rsidR="00D23A7A">
        <w:t xml:space="preserve"> </w:t>
      </w:r>
    </w:p>
    <w:p w14:paraId="7FA19587" w14:textId="476D408F" w:rsidR="006307F5" w:rsidRDefault="00AD6245" w:rsidP="00537A1C">
      <w:r>
        <w:t xml:space="preserve">The Australian Bureau of Agricultural and Resource Economics and Sciences (ABARES) is a key data source to inform agricultural </w:t>
      </w:r>
      <w:r w:rsidR="005B5C10">
        <w:t xml:space="preserve">emissions </w:t>
      </w:r>
      <w:r>
        <w:t xml:space="preserve">projections. </w:t>
      </w:r>
      <w:r w:rsidR="006307F5">
        <w:t xml:space="preserve">Where activity data is not available for particular commodities, an appropriate proxy such as production (quantity of end product), or a relevant driver such as growth in another connected commodity </w:t>
      </w:r>
      <w:r w:rsidR="00A75535">
        <w:t xml:space="preserve">(as informed by historical </w:t>
      </w:r>
      <w:r w:rsidR="00290F27">
        <w:t>comparisons</w:t>
      </w:r>
      <w:r w:rsidR="00A75535">
        <w:t xml:space="preserve">) </w:t>
      </w:r>
      <w:r w:rsidR="006307F5">
        <w:t xml:space="preserve">is used. </w:t>
      </w:r>
      <w:r w:rsidR="002A4B58">
        <w:t>For example, nitrogen fertiliser use</w:t>
      </w:r>
      <w:r w:rsidR="00942FD9">
        <w:t xml:space="preserve"> has increased</w:t>
      </w:r>
      <w:r w:rsidR="002A4B58">
        <w:t xml:space="preserve"> in</w:t>
      </w:r>
      <w:r w:rsidR="00FE0C7C">
        <w:t xml:space="preserve"> </w:t>
      </w:r>
      <w:r w:rsidR="002A4B58">
        <w:t xml:space="preserve">line with crop production. The assumption is that greater crop activity requires more nitrogen from fertilisers to support additional plant growth. </w:t>
      </w:r>
      <w:r w:rsidR="00290F27">
        <w:t xml:space="preserve">Historical trends are also used to inform growth where projected activity data is unavailable. </w:t>
      </w:r>
    </w:p>
    <w:p w14:paraId="77A663E9" w14:textId="3C25D873" w:rsidR="0048761E" w:rsidRDefault="0048761E" w:rsidP="00537A1C">
      <w:r>
        <w:t xml:space="preserve">Determining the impacts of climate change on agricultural commodities across Australia is particularly difficult due to locational variation and uncertainty around market responses. </w:t>
      </w:r>
      <w:r w:rsidR="00800D00">
        <w:t>As a result of the complicated nature of climate change impacts on agricultural rates of productivity,</w:t>
      </w:r>
      <w:r w:rsidR="00E62F5C">
        <w:t xml:space="preserve"> with the exception of the climate variability built into the ABARES forecast,</w:t>
      </w:r>
      <w:r w:rsidR="00800D00">
        <w:t xml:space="preserve"> a</w:t>
      </w:r>
      <w:r>
        <w:t>ctivity data has not been adjusted for future climate change conditions</w:t>
      </w:r>
      <w:r w:rsidR="00800D00">
        <w:t>.</w:t>
      </w:r>
    </w:p>
    <w:p w14:paraId="586318EB" w14:textId="0B845676" w:rsidR="005E4F8B" w:rsidRDefault="00AD098E" w:rsidP="00537A1C">
      <w:r>
        <w:t xml:space="preserve">The projections </w:t>
      </w:r>
      <w:r w:rsidR="001220DA">
        <w:t xml:space="preserve">also </w:t>
      </w:r>
      <w:r>
        <w:t>include a t</w:t>
      </w:r>
      <w:r w:rsidR="005E4F8B">
        <w:t>rend towards grain-fed beef cattl</w:t>
      </w:r>
      <w:r>
        <w:t xml:space="preserve">e, </w:t>
      </w:r>
      <w:r w:rsidR="001220DA">
        <w:t>as some farmer</w:t>
      </w:r>
      <w:r w:rsidR="003C7BA5">
        <w:t>s</w:t>
      </w:r>
      <w:r w:rsidR="001220DA">
        <w:t xml:space="preserve"> seek a </w:t>
      </w:r>
      <w:r w:rsidR="00FE0C7C">
        <w:t xml:space="preserve">more drought resistant </w:t>
      </w:r>
      <w:r w:rsidR="001220DA">
        <w:t>feeding system</w:t>
      </w:r>
      <w:r>
        <w:t xml:space="preserve">. </w:t>
      </w:r>
      <w:r w:rsidR="001220DA">
        <w:t xml:space="preserve">This trend affects the emissions intensity of beef cattle production. </w:t>
      </w:r>
      <w:r>
        <w:t>Grain-fed is more emissions intensive than grass-fed, as diets of grain-fed beef cattle are more energy intens</w:t>
      </w:r>
      <w:r w:rsidR="001220DA">
        <w:t>ive. Animals convert</w:t>
      </w:r>
      <w:r>
        <w:t xml:space="preserve"> </w:t>
      </w:r>
      <w:r w:rsidR="001220DA">
        <w:t>a</w:t>
      </w:r>
      <w:r>
        <w:t xml:space="preserve"> portion of this additional energy to </w:t>
      </w:r>
      <w:r w:rsidR="001220DA">
        <w:t>emissions in the gut</w:t>
      </w:r>
      <w:r>
        <w:t>.</w:t>
      </w:r>
    </w:p>
    <w:p w14:paraId="650208E9" w14:textId="70156C92" w:rsidR="006307F5" w:rsidRDefault="00AA1AA7" w:rsidP="00537A1C">
      <w:r>
        <w:t>Unit</w:t>
      </w:r>
      <w:r w:rsidR="00A75535">
        <w:t>s</w:t>
      </w:r>
      <w:r>
        <w:t xml:space="preserve"> of </w:t>
      </w:r>
      <w:r w:rsidR="00B61CA9">
        <w:t xml:space="preserve">agricultural </w:t>
      </w:r>
      <w:r>
        <w:t>activity</w:t>
      </w:r>
      <w:r w:rsidR="00D01C62">
        <w:t xml:space="preserve"> </w:t>
      </w:r>
      <w:r w:rsidR="00023629">
        <w:t>(</w:t>
      </w:r>
      <w:r w:rsidR="00BA6E5F">
        <w:t>for example,</w:t>
      </w:r>
      <w:r w:rsidR="00D01C62">
        <w:t xml:space="preserve"> head</w:t>
      </w:r>
      <w:r w:rsidR="00A75535">
        <w:t>s</w:t>
      </w:r>
      <w:r w:rsidR="00D01C62">
        <w:t xml:space="preserve"> of cattle</w:t>
      </w:r>
      <w:r w:rsidR="00023629">
        <w:t>)</w:t>
      </w:r>
      <w:r w:rsidR="00A75535">
        <w:t xml:space="preserve"> are</w:t>
      </w:r>
      <w:r w:rsidR="00D23A7A">
        <w:t xml:space="preserve"> multiplied </w:t>
      </w:r>
      <w:r w:rsidR="006307F5">
        <w:t xml:space="preserve">by </w:t>
      </w:r>
      <w:r w:rsidR="00A75535">
        <w:t>relevant emissions intensit</w:t>
      </w:r>
      <w:r w:rsidR="00290F27">
        <w:t>ies</w:t>
      </w:r>
      <w:r w:rsidR="006307F5">
        <w:t>.</w:t>
      </w:r>
      <w:r w:rsidR="006307F5" w:rsidRPr="006307F5">
        <w:t xml:space="preserve"> </w:t>
      </w:r>
      <w:r w:rsidR="006307F5">
        <w:t xml:space="preserve">Emissions intensity of </w:t>
      </w:r>
      <w:r w:rsidR="00D01C62">
        <w:t>activities are</w:t>
      </w:r>
      <w:r w:rsidR="006307F5">
        <w:t xml:space="preserve"> assumed to be constant across the projections period and equal to that reported in the final year of the </w:t>
      </w:r>
      <w:r w:rsidR="006307F5" w:rsidRPr="00E131F4">
        <w:rPr>
          <w:i/>
        </w:rPr>
        <w:t>N</w:t>
      </w:r>
      <w:r w:rsidR="005B2483" w:rsidRPr="00E131F4">
        <w:rPr>
          <w:i/>
        </w:rPr>
        <w:t xml:space="preserve">ational </w:t>
      </w:r>
      <w:r w:rsidR="006307F5" w:rsidRPr="00E131F4">
        <w:rPr>
          <w:i/>
        </w:rPr>
        <w:t>I</w:t>
      </w:r>
      <w:r w:rsidR="005B2483" w:rsidRPr="00E131F4">
        <w:rPr>
          <w:i/>
        </w:rPr>
        <w:t xml:space="preserve">nventory </w:t>
      </w:r>
      <w:r w:rsidR="006307F5" w:rsidRPr="00E131F4">
        <w:rPr>
          <w:i/>
        </w:rPr>
        <w:t>R</w:t>
      </w:r>
      <w:r w:rsidR="005B2483" w:rsidRPr="00E131F4">
        <w:rPr>
          <w:i/>
        </w:rPr>
        <w:t>eport</w:t>
      </w:r>
      <w:r w:rsidR="00BE1FF7">
        <w:t xml:space="preserve"> </w:t>
      </w:r>
      <w:r w:rsidR="005B2483">
        <w:t>(D</w:t>
      </w:r>
      <w:r w:rsidR="0098719D">
        <w:t>ISER</w:t>
      </w:r>
      <w:r w:rsidR="005B2483">
        <w:t xml:space="preserve"> 20</w:t>
      </w:r>
      <w:r w:rsidR="0098719D">
        <w:t>2</w:t>
      </w:r>
      <w:r w:rsidR="005B7415">
        <w:t>1b</w:t>
      </w:r>
      <w:r w:rsidR="005B2483">
        <w:t>)</w:t>
      </w:r>
      <w:r w:rsidR="006307F5">
        <w:t>.</w:t>
      </w:r>
    </w:p>
    <w:p w14:paraId="5483142A" w14:textId="763938A7" w:rsidR="003F34D5" w:rsidRDefault="006307F5" w:rsidP="00537A1C">
      <w:r>
        <w:t xml:space="preserve">As emissions </w:t>
      </w:r>
      <w:r w:rsidR="00A630F5">
        <w:t xml:space="preserve">within agriculture </w:t>
      </w:r>
      <w:r>
        <w:t>relate to biological processes</w:t>
      </w:r>
      <w:r w:rsidR="00C82B10">
        <w:t>, as well as manure and residue management</w:t>
      </w:r>
      <w:r w:rsidR="00A630F5">
        <w:t xml:space="preserve">, individual commodities can contribute multiple types of emissions under IPCC </w:t>
      </w:r>
      <w:r w:rsidR="00B61AFC">
        <w:t>subsectors</w:t>
      </w:r>
      <w:r>
        <w:t>.</w:t>
      </w:r>
    </w:p>
    <w:p w14:paraId="54B9D3A0" w14:textId="7BBDCBC8" w:rsidR="009634F5" w:rsidRPr="00C808FE" w:rsidRDefault="009634F5" w:rsidP="00537A1C">
      <w:pPr>
        <w:pStyle w:val="Caption"/>
      </w:pPr>
      <w:r w:rsidRPr="00C808FE">
        <w:t xml:space="preserve">Table </w:t>
      </w:r>
      <w:r w:rsidR="004C7141">
        <w:t>10</w:t>
      </w:r>
      <w:r w:rsidR="00023629">
        <w:t>.</w:t>
      </w:r>
      <w:r w:rsidR="00660094">
        <w:t xml:space="preserve"> </w:t>
      </w:r>
      <w:r w:rsidRPr="00C808FE">
        <w:t>Summary of principle data source for Agriculture</w:t>
      </w:r>
    </w:p>
    <w:tbl>
      <w:tblPr>
        <w:tblStyle w:val="ListTable3-Accent3"/>
        <w:tblW w:w="5000" w:type="pct"/>
        <w:tblLook w:val="04A0" w:firstRow="1" w:lastRow="0" w:firstColumn="1" w:lastColumn="0" w:noHBand="0" w:noVBand="1"/>
        <w:tblCaption w:val="Summary of principle data source for agriculture"/>
        <w:tblDescription w:val="Table provides a summary of each agricultural commodity and the associated source of data and unit of activity or measurement for each commodity. Common data sources include the Australian Bureau of Agricultural and Resource Economics (ABARES) and Department of Industry, Science, Energy and Resources (DISER) estimates based on historical trends. "/>
      </w:tblPr>
      <w:tblGrid>
        <w:gridCol w:w="1897"/>
        <w:gridCol w:w="5159"/>
        <w:gridCol w:w="2146"/>
      </w:tblGrid>
      <w:tr w:rsidR="00F413C0" w:rsidRPr="00956380" w14:paraId="389E4111" w14:textId="77777777" w:rsidTr="002354AC">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100" w:firstRow="0" w:lastRow="0" w:firstColumn="1" w:lastColumn="0" w:oddVBand="0" w:evenVBand="0" w:oddHBand="0" w:evenHBand="0" w:firstRowFirstColumn="1" w:firstRowLastColumn="0" w:lastRowFirstColumn="0" w:lastRowLastColumn="0"/>
            <w:tcW w:w="1031" w:type="pct"/>
            <w:hideMark/>
          </w:tcPr>
          <w:p w14:paraId="1E7BC7A1" w14:textId="40C3F556" w:rsidR="00F413C0" w:rsidRPr="00484C3E" w:rsidRDefault="00F413C0" w:rsidP="00537A1C">
            <w:pPr>
              <w:rPr>
                <w:lang w:eastAsia="en-AU"/>
              </w:rPr>
            </w:pPr>
            <w:r>
              <w:rPr>
                <w:lang w:eastAsia="en-AU"/>
              </w:rPr>
              <w:t>Commodity</w:t>
            </w:r>
          </w:p>
        </w:tc>
        <w:tc>
          <w:tcPr>
            <w:tcW w:w="2803" w:type="pct"/>
            <w:hideMark/>
          </w:tcPr>
          <w:p w14:paraId="0DA62E8D" w14:textId="65655039" w:rsidR="00F413C0" w:rsidRPr="00484C3E" w:rsidRDefault="00E00853" w:rsidP="00537A1C">
            <w:pPr>
              <w:cnfStyle w:val="100000000000" w:firstRow="1" w:lastRow="0" w:firstColumn="0" w:lastColumn="0" w:oddVBand="0" w:evenVBand="0" w:oddHBand="0" w:evenHBand="0" w:firstRowFirstColumn="0" w:firstRowLastColumn="0" w:lastRowFirstColumn="0" w:lastRowLastColumn="0"/>
              <w:rPr>
                <w:rFonts w:eastAsia="Times New Roman"/>
                <w:lang w:eastAsia="en-AU"/>
              </w:rPr>
            </w:pPr>
            <w:r>
              <w:t>Data s</w:t>
            </w:r>
            <w:r w:rsidR="00F413C0">
              <w:t>ources</w:t>
            </w:r>
          </w:p>
        </w:tc>
        <w:tc>
          <w:tcPr>
            <w:tcW w:w="1166" w:type="pct"/>
          </w:tcPr>
          <w:p w14:paraId="3B54A081" w14:textId="2990D594" w:rsidR="00F413C0" w:rsidRPr="00484C3E" w:rsidRDefault="00F413C0" w:rsidP="00537A1C">
            <w:pPr>
              <w:cnfStyle w:val="100000000000" w:firstRow="1" w:lastRow="0" w:firstColumn="0" w:lastColumn="0" w:oddVBand="0" w:evenVBand="0" w:oddHBand="0" w:evenHBand="0" w:firstRowFirstColumn="0" w:firstRowLastColumn="0" w:lastRowFirstColumn="0" w:lastRowLastColumn="0"/>
            </w:pPr>
            <w:r>
              <w:t>Unit of activity</w:t>
            </w:r>
          </w:p>
        </w:tc>
      </w:tr>
      <w:tr w:rsidR="00F413C0" w:rsidRPr="00956380" w14:paraId="49484C73"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1" w:type="pct"/>
            <w:hideMark/>
          </w:tcPr>
          <w:p w14:paraId="2A32F89A" w14:textId="29947070" w:rsidR="00F413C0" w:rsidRPr="00484C3E" w:rsidRDefault="00F413C0" w:rsidP="00537A1C">
            <w:pPr>
              <w:rPr>
                <w:lang w:eastAsia="en-AU"/>
              </w:rPr>
            </w:pPr>
            <w:r>
              <w:rPr>
                <w:lang w:eastAsia="en-AU"/>
              </w:rPr>
              <w:t>Lime and urea</w:t>
            </w:r>
          </w:p>
        </w:tc>
        <w:tc>
          <w:tcPr>
            <w:tcW w:w="2803" w:type="pct"/>
          </w:tcPr>
          <w:p w14:paraId="6563DE7E" w14:textId="63EE0A2B" w:rsidR="00F413C0" w:rsidRPr="00484C3E" w:rsidRDefault="000C75F7" w:rsidP="00537A1C">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D</w:t>
            </w:r>
            <w:r w:rsidR="0098719D">
              <w:rPr>
                <w:lang w:eastAsia="en-AU"/>
              </w:rPr>
              <w:t>ISER</w:t>
            </w:r>
            <w:r>
              <w:rPr>
                <w:lang w:eastAsia="en-AU"/>
              </w:rPr>
              <w:t xml:space="preserve"> estimate based on </w:t>
            </w:r>
            <w:r w:rsidR="00F42B1B">
              <w:rPr>
                <w:lang w:eastAsia="en-AU"/>
              </w:rPr>
              <w:t>historical trends</w:t>
            </w:r>
          </w:p>
        </w:tc>
        <w:tc>
          <w:tcPr>
            <w:tcW w:w="1166" w:type="pct"/>
          </w:tcPr>
          <w:p w14:paraId="27B797D3" w14:textId="22A579E9" w:rsidR="00F413C0" w:rsidRPr="00C808FE" w:rsidRDefault="00F413C0" w:rsidP="00537A1C">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Kilotonnes</w:t>
            </w:r>
          </w:p>
        </w:tc>
      </w:tr>
      <w:tr w:rsidR="00F413C0" w:rsidRPr="00956380" w14:paraId="31DD513C"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031" w:type="pct"/>
          </w:tcPr>
          <w:p w14:paraId="75A9A699" w14:textId="34046658" w:rsidR="00F413C0" w:rsidRPr="00484C3E" w:rsidRDefault="00F413C0" w:rsidP="00537A1C">
            <w:pPr>
              <w:rPr>
                <w:lang w:eastAsia="en-AU"/>
              </w:rPr>
            </w:pPr>
            <w:r>
              <w:rPr>
                <w:lang w:eastAsia="en-AU"/>
              </w:rPr>
              <w:t>Fertilisers</w:t>
            </w:r>
          </w:p>
        </w:tc>
        <w:tc>
          <w:tcPr>
            <w:tcW w:w="2803" w:type="pct"/>
          </w:tcPr>
          <w:p w14:paraId="48A5DA13" w14:textId="3E08FEC5" w:rsidR="00F413C0" w:rsidRPr="00484C3E" w:rsidRDefault="000C75F7" w:rsidP="00537A1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D</w:t>
            </w:r>
            <w:r w:rsidR="0098719D">
              <w:rPr>
                <w:lang w:eastAsia="en-AU"/>
              </w:rPr>
              <w:t>ISER</w:t>
            </w:r>
            <w:r>
              <w:rPr>
                <w:lang w:eastAsia="en-AU"/>
              </w:rPr>
              <w:t xml:space="preserve"> estimate based on </w:t>
            </w:r>
            <w:r w:rsidR="00F42B1B">
              <w:rPr>
                <w:lang w:eastAsia="en-AU"/>
              </w:rPr>
              <w:t>historical trends</w:t>
            </w:r>
          </w:p>
        </w:tc>
        <w:tc>
          <w:tcPr>
            <w:tcW w:w="1166" w:type="pct"/>
          </w:tcPr>
          <w:p w14:paraId="68FFA156" w14:textId="4142AE2B" w:rsidR="00F413C0" w:rsidRPr="00C808FE" w:rsidRDefault="00F413C0" w:rsidP="00537A1C">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Kilotonnes</w:t>
            </w:r>
          </w:p>
        </w:tc>
      </w:tr>
      <w:tr w:rsidR="00F413C0" w:rsidRPr="00956380" w14:paraId="4293B406"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1" w:type="pct"/>
          </w:tcPr>
          <w:p w14:paraId="12824158" w14:textId="212DB1FF" w:rsidR="00F413C0" w:rsidRPr="00484C3E" w:rsidRDefault="00F413C0" w:rsidP="00537A1C">
            <w:pPr>
              <w:rPr>
                <w:lang w:eastAsia="en-AU"/>
              </w:rPr>
            </w:pPr>
            <w:r>
              <w:rPr>
                <w:lang w:eastAsia="en-AU"/>
              </w:rPr>
              <w:t>Other animals</w:t>
            </w:r>
          </w:p>
        </w:tc>
        <w:tc>
          <w:tcPr>
            <w:tcW w:w="2803" w:type="pct"/>
          </w:tcPr>
          <w:p w14:paraId="7B4B94A9" w14:textId="2D218D21" w:rsidR="00F413C0" w:rsidRPr="00484C3E" w:rsidRDefault="00F42B1B" w:rsidP="00537A1C">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Activity held constant at final year of inventory</w:t>
            </w:r>
          </w:p>
        </w:tc>
        <w:tc>
          <w:tcPr>
            <w:tcW w:w="1166" w:type="pct"/>
          </w:tcPr>
          <w:p w14:paraId="3086E88A" w14:textId="36208F3F" w:rsidR="00F413C0" w:rsidRPr="00C808FE" w:rsidRDefault="00F413C0" w:rsidP="00537A1C">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Heads of animal</w:t>
            </w:r>
          </w:p>
        </w:tc>
      </w:tr>
      <w:tr w:rsidR="00F413C0" w:rsidRPr="00956380" w14:paraId="685DADF3"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031" w:type="pct"/>
          </w:tcPr>
          <w:p w14:paraId="376E255E" w14:textId="7C28A6E8" w:rsidR="00F413C0" w:rsidRDefault="00F413C0" w:rsidP="00537A1C">
            <w:pPr>
              <w:rPr>
                <w:lang w:eastAsia="en-AU"/>
              </w:rPr>
            </w:pPr>
            <w:r>
              <w:rPr>
                <w:lang w:eastAsia="en-AU"/>
              </w:rPr>
              <w:t>Other animals - poultry</w:t>
            </w:r>
          </w:p>
        </w:tc>
        <w:tc>
          <w:tcPr>
            <w:tcW w:w="2803" w:type="pct"/>
          </w:tcPr>
          <w:p w14:paraId="34AB8EBC" w14:textId="4EFAFAB7" w:rsidR="002313B3" w:rsidRDefault="00CC27FF" w:rsidP="00537A1C">
            <w:pPr>
              <w:cnfStyle w:val="000000000000" w:firstRow="0" w:lastRow="0" w:firstColumn="0" w:lastColumn="0" w:oddVBand="0" w:evenVBand="0" w:oddHBand="0" w:evenHBand="0" w:firstRowFirstColumn="0" w:firstRowLastColumn="0" w:lastRowFirstColumn="0" w:lastRowLastColumn="0"/>
            </w:pPr>
            <w:r>
              <w:t>Australian Bureau of Agricultural and Resource Economics (</w:t>
            </w:r>
            <w:r w:rsidR="002313B3">
              <w:t>ABARES</w:t>
            </w:r>
            <w:r>
              <w:t>)</w:t>
            </w:r>
            <w:r w:rsidR="002313B3">
              <w:t xml:space="preserve"> 20</w:t>
            </w:r>
            <w:r w:rsidR="002C4536">
              <w:t>2</w:t>
            </w:r>
            <w:r w:rsidR="005B7415">
              <w:t>1</w:t>
            </w:r>
            <w:r w:rsidR="004A71C7">
              <w:t>a</w:t>
            </w:r>
            <w:r w:rsidR="00010EBF">
              <w:t>, ABARES 20</w:t>
            </w:r>
            <w:r w:rsidR="002C4536">
              <w:t>2</w:t>
            </w:r>
            <w:r w:rsidR="005B7415">
              <w:t>1</w:t>
            </w:r>
            <w:r w:rsidR="004A71C7">
              <w:t>b</w:t>
            </w:r>
            <w:r w:rsidR="007618C6">
              <w:t xml:space="preserve"> </w:t>
            </w:r>
          </w:p>
          <w:p w14:paraId="6594F7D4" w14:textId="71593A7F" w:rsidR="00F413C0" w:rsidRDefault="002313B3" w:rsidP="00537A1C">
            <w:pPr>
              <w:cnfStyle w:val="000000000000" w:firstRow="0" w:lastRow="0" w:firstColumn="0" w:lastColumn="0" w:oddVBand="0" w:evenVBand="0" w:oddHBand="0" w:evenHBand="0" w:firstRowFirstColumn="0" w:firstRowLastColumn="0" w:lastRowFirstColumn="0" w:lastRowLastColumn="0"/>
            </w:pPr>
            <w:r>
              <w:t>OECD-FAO Agricultural Outlook 20</w:t>
            </w:r>
            <w:r w:rsidR="002C4536">
              <w:t>2</w:t>
            </w:r>
            <w:r w:rsidR="005B7415">
              <w:t>1</w:t>
            </w:r>
            <w:r w:rsidR="00CC27FF">
              <w:br/>
            </w:r>
            <w:r w:rsidR="00CC27FF">
              <w:rPr>
                <w:rFonts w:eastAsia="Times New Roman" w:cs="Arial"/>
                <w:color w:val="000000"/>
                <w:szCs w:val="20"/>
                <w:lang w:eastAsia="en-AU"/>
              </w:rPr>
              <w:t>DISER estimate based on historical trends</w:t>
            </w:r>
            <w:r w:rsidR="00CC27FF" w:rsidDel="002C4536">
              <w:t xml:space="preserve"> </w:t>
            </w:r>
          </w:p>
        </w:tc>
        <w:tc>
          <w:tcPr>
            <w:tcW w:w="1166" w:type="pct"/>
          </w:tcPr>
          <w:p w14:paraId="242CDE6C" w14:textId="1A2445BF" w:rsidR="00F413C0" w:rsidRPr="00C808FE" w:rsidRDefault="00F413C0" w:rsidP="00537A1C">
            <w:pPr>
              <w:cnfStyle w:val="000000000000" w:firstRow="0" w:lastRow="0" w:firstColumn="0" w:lastColumn="0" w:oddVBand="0" w:evenVBand="0" w:oddHBand="0" w:evenHBand="0" w:firstRowFirstColumn="0" w:firstRowLastColumn="0" w:lastRowFirstColumn="0" w:lastRowLastColumn="0"/>
            </w:pPr>
            <w:r>
              <w:t>Heads of animal</w:t>
            </w:r>
          </w:p>
        </w:tc>
      </w:tr>
      <w:tr w:rsidR="00F413C0" w:rsidRPr="00956380" w14:paraId="3924C5A7"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1" w:type="pct"/>
          </w:tcPr>
          <w:p w14:paraId="6CE71F83" w14:textId="6FEDE8D3" w:rsidR="00F413C0" w:rsidRDefault="00F413C0" w:rsidP="00537A1C">
            <w:pPr>
              <w:rPr>
                <w:lang w:eastAsia="en-AU"/>
              </w:rPr>
            </w:pPr>
            <w:r>
              <w:rPr>
                <w:lang w:eastAsia="en-AU"/>
              </w:rPr>
              <w:t>Pigs</w:t>
            </w:r>
          </w:p>
        </w:tc>
        <w:tc>
          <w:tcPr>
            <w:tcW w:w="2803" w:type="pct"/>
          </w:tcPr>
          <w:p w14:paraId="66E50151" w14:textId="70985E15" w:rsidR="002313B3" w:rsidRDefault="002313B3" w:rsidP="00537A1C">
            <w:pPr>
              <w:cnfStyle w:val="000000100000" w:firstRow="0" w:lastRow="0" w:firstColumn="0" w:lastColumn="0" w:oddVBand="0" w:evenVBand="0" w:oddHBand="1" w:evenHBand="0" w:firstRowFirstColumn="0" w:firstRowLastColumn="0" w:lastRowFirstColumn="0" w:lastRowLastColumn="0"/>
            </w:pPr>
            <w:r>
              <w:t>ABARES 20</w:t>
            </w:r>
            <w:r w:rsidR="002C4536">
              <w:t>2</w:t>
            </w:r>
            <w:r w:rsidR="005B7415">
              <w:t>1</w:t>
            </w:r>
            <w:r w:rsidR="004A71C7">
              <w:t>a</w:t>
            </w:r>
            <w:r>
              <w:t xml:space="preserve">, </w:t>
            </w:r>
            <w:r w:rsidR="004A71C7">
              <w:t>ABARES</w:t>
            </w:r>
            <w:r>
              <w:t xml:space="preserve"> 20</w:t>
            </w:r>
            <w:r w:rsidR="002C4536">
              <w:t>2</w:t>
            </w:r>
            <w:r w:rsidR="005B7415">
              <w:t>1</w:t>
            </w:r>
            <w:r w:rsidR="004A71C7">
              <w:t>b</w:t>
            </w:r>
          </w:p>
          <w:p w14:paraId="79B0D56E" w14:textId="00F306D8" w:rsidR="00F413C0" w:rsidRDefault="00CC27FF" w:rsidP="00537A1C">
            <w:pPr>
              <w:cnfStyle w:val="000000100000" w:firstRow="0" w:lastRow="0" w:firstColumn="0" w:lastColumn="0" w:oddVBand="0" w:evenVBand="0" w:oddHBand="1" w:evenHBand="0" w:firstRowFirstColumn="0" w:firstRowLastColumn="0" w:lastRowFirstColumn="0" w:lastRowLastColumn="0"/>
            </w:pPr>
            <w:r w:rsidRPr="008815C7">
              <w:t xml:space="preserve">Organisation for Economic Co-operation and Development </w:t>
            </w:r>
            <w:r>
              <w:t>-</w:t>
            </w:r>
            <w:r w:rsidRPr="008815C7">
              <w:rPr>
                <w:color w:val="222222"/>
              </w:rPr>
              <w:t xml:space="preserve"> </w:t>
            </w:r>
            <w:r>
              <w:rPr>
                <w:rStyle w:val="ilfuvd"/>
                <w:rFonts w:cs="Arial"/>
                <w:color w:val="222222"/>
              </w:rPr>
              <w:t xml:space="preserve">Food and Agriculture Organization </w:t>
            </w:r>
            <w:r>
              <w:rPr>
                <w:rStyle w:val="ilfuvd"/>
                <w:rFonts w:cs="Arial"/>
                <w:color w:val="222222"/>
              </w:rPr>
              <w:lastRenderedPageBreak/>
              <w:t>(</w:t>
            </w:r>
            <w:r w:rsidR="002313B3">
              <w:t>OECD-FAO</w:t>
            </w:r>
            <w:r>
              <w:t>)</w:t>
            </w:r>
            <w:r w:rsidR="002313B3">
              <w:t xml:space="preserve"> </w:t>
            </w:r>
            <w:r w:rsidR="00010EBF">
              <w:t>20</w:t>
            </w:r>
            <w:r w:rsidR="002C4536">
              <w:t>2</w:t>
            </w:r>
            <w:r w:rsidR="005B7415">
              <w:t>1</w:t>
            </w:r>
            <w:r>
              <w:br/>
            </w:r>
            <w:r>
              <w:rPr>
                <w:rFonts w:eastAsia="Times New Roman"/>
                <w:color w:val="000000"/>
                <w:szCs w:val="20"/>
                <w:lang w:eastAsia="en-AU"/>
              </w:rPr>
              <w:t>DISER estimate based on historical trends</w:t>
            </w:r>
          </w:p>
        </w:tc>
        <w:tc>
          <w:tcPr>
            <w:tcW w:w="1166" w:type="pct"/>
          </w:tcPr>
          <w:p w14:paraId="56BA037D" w14:textId="7C946C67" w:rsidR="00F413C0" w:rsidRPr="00C808FE" w:rsidRDefault="00F413C0" w:rsidP="00537A1C">
            <w:pPr>
              <w:cnfStyle w:val="000000100000" w:firstRow="0" w:lastRow="0" w:firstColumn="0" w:lastColumn="0" w:oddVBand="0" w:evenVBand="0" w:oddHBand="1" w:evenHBand="0" w:firstRowFirstColumn="0" w:firstRowLastColumn="0" w:lastRowFirstColumn="0" w:lastRowLastColumn="0"/>
            </w:pPr>
            <w:r>
              <w:lastRenderedPageBreak/>
              <w:t>Heads of animal</w:t>
            </w:r>
          </w:p>
        </w:tc>
      </w:tr>
      <w:tr w:rsidR="00F413C0" w:rsidRPr="00956380" w14:paraId="65B905B0"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031" w:type="pct"/>
          </w:tcPr>
          <w:p w14:paraId="52BF5914" w14:textId="78E3CE58" w:rsidR="00F413C0" w:rsidRDefault="00F413C0" w:rsidP="00537A1C">
            <w:pPr>
              <w:rPr>
                <w:lang w:eastAsia="en-AU"/>
              </w:rPr>
            </w:pPr>
            <w:r>
              <w:rPr>
                <w:lang w:eastAsia="en-AU"/>
              </w:rPr>
              <w:t>Crops</w:t>
            </w:r>
          </w:p>
        </w:tc>
        <w:tc>
          <w:tcPr>
            <w:tcW w:w="2803" w:type="pct"/>
          </w:tcPr>
          <w:p w14:paraId="11C94410" w14:textId="488D2105" w:rsidR="00F413C0" w:rsidRDefault="00010EBF" w:rsidP="00537A1C">
            <w:pPr>
              <w:cnfStyle w:val="000000000000" w:firstRow="0" w:lastRow="0" w:firstColumn="0" w:lastColumn="0" w:oddVBand="0" w:evenVBand="0" w:oddHBand="0" w:evenHBand="0" w:firstRowFirstColumn="0" w:firstRowLastColumn="0" w:lastRowFirstColumn="0" w:lastRowLastColumn="0"/>
            </w:pPr>
            <w:r>
              <w:t>ABARES 20</w:t>
            </w:r>
            <w:r w:rsidR="002C4536">
              <w:t>2</w:t>
            </w:r>
            <w:r w:rsidR="005B7415">
              <w:t>1</w:t>
            </w:r>
            <w:r w:rsidR="007618C6">
              <w:t>a</w:t>
            </w:r>
            <w:r w:rsidR="00B02CD2">
              <w:t xml:space="preserve">, ABARES </w:t>
            </w:r>
            <w:r>
              <w:t>20</w:t>
            </w:r>
            <w:r w:rsidR="002C4536">
              <w:t>2</w:t>
            </w:r>
            <w:r w:rsidR="005B7415">
              <w:t>1</w:t>
            </w:r>
            <w:r w:rsidR="004A71C7">
              <w:t>b</w:t>
            </w:r>
            <w:r w:rsidR="00B02CD2">
              <w:t>, ABARES 202</w:t>
            </w:r>
            <w:r w:rsidR="005B7415">
              <w:t>1</w:t>
            </w:r>
            <w:r w:rsidR="004A71C7">
              <w:t>c</w:t>
            </w:r>
            <w:r w:rsidR="00CC27FF">
              <w:br/>
            </w:r>
            <w:r w:rsidR="00CC27FF">
              <w:rPr>
                <w:rFonts w:eastAsia="Times New Roman" w:cs="Arial"/>
                <w:color w:val="000000"/>
                <w:szCs w:val="20"/>
                <w:lang w:eastAsia="en-AU"/>
              </w:rPr>
              <w:t>DISER estimate based on historical trends</w:t>
            </w:r>
            <w:r w:rsidR="007618C6">
              <w:t xml:space="preserve"> </w:t>
            </w:r>
          </w:p>
        </w:tc>
        <w:tc>
          <w:tcPr>
            <w:tcW w:w="1166" w:type="pct"/>
          </w:tcPr>
          <w:p w14:paraId="1AC86009" w14:textId="7321A13A" w:rsidR="00023629" w:rsidRDefault="00023629" w:rsidP="00537A1C">
            <w:pPr>
              <w:cnfStyle w:val="000000000000" w:firstRow="0" w:lastRow="0" w:firstColumn="0" w:lastColumn="0" w:oddVBand="0" w:evenVBand="0" w:oddHBand="0" w:evenHBand="0" w:firstRowFirstColumn="0" w:firstRowLastColumn="0" w:lastRowFirstColumn="0" w:lastRowLastColumn="0"/>
            </w:pPr>
            <w:r>
              <w:t>Non-rice crops:</w:t>
            </w:r>
          </w:p>
          <w:p w14:paraId="19E0F56B" w14:textId="77777777" w:rsidR="002313B3" w:rsidRDefault="002313B3" w:rsidP="00537A1C">
            <w:pPr>
              <w:cnfStyle w:val="000000000000" w:firstRow="0" w:lastRow="0" w:firstColumn="0" w:lastColumn="0" w:oddVBand="0" w:evenVBand="0" w:oddHBand="0" w:evenHBand="0" w:firstRowFirstColumn="0" w:firstRowLastColumn="0" w:lastRowFirstColumn="0" w:lastRowLastColumn="0"/>
            </w:pPr>
            <w:r>
              <w:t>Kilotonnes of crop</w:t>
            </w:r>
          </w:p>
          <w:p w14:paraId="6633C9EF" w14:textId="77777777" w:rsidR="002313B3" w:rsidRDefault="002313B3" w:rsidP="00537A1C">
            <w:pPr>
              <w:cnfStyle w:val="000000000000" w:firstRow="0" w:lastRow="0" w:firstColumn="0" w:lastColumn="0" w:oddVBand="0" w:evenVBand="0" w:oddHBand="0" w:evenHBand="0" w:firstRowFirstColumn="0" w:firstRowLastColumn="0" w:lastRowFirstColumn="0" w:lastRowLastColumn="0"/>
            </w:pPr>
            <w:r>
              <w:t>Rice:</w:t>
            </w:r>
          </w:p>
          <w:p w14:paraId="6BD6BB46" w14:textId="6C3310E6" w:rsidR="002313B3" w:rsidRDefault="002313B3" w:rsidP="00537A1C">
            <w:pPr>
              <w:cnfStyle w:val="000000000000" w:firstRow="0" w:lastRow="0" w:firstColumn="0" w:lastColumn="0" w:oddVBand="0" w:evenVBand="0" w:oddHBand="0" w:evenHBand="0" w:firstRowFirstColumn="0" w:firstRowLastColumn="0" w:lastRowFirstColumn="0" w:lastRowLastColumn="0"/>
            </w:pPr>
            <w:r>
              <w:t>Kilotonnes of rice</w:t>
            </w:r>
            <w:r w:rsidR="00023629">
              <w:t>,</w:t>
            </w:r>
          </w:p>
          <w:p w14:paraId="778FE109" w14:textId="27DB6A63" w:rsidR="00F413C0" w:rsidRPr="00C808FE" w:rsidRDefault="002313B3" w:rsidP="00537A1C">
            <w:pPr>
              <w:cnfStyle w:val="000000000000" w:firstRow="0" w:lastRow="0" w:firstColumn="0" w:lastColumn="0" w:oddVBand="0" w:evenVBand="0" w:oddHBand="0" w:evenHBand="0" w:firstRowFirstColumn="0" w:firstRowLastColumn="0" w:lastRowFirstColumn="0" w:lastRowLastColumn="0"/>
            </w:pPr>
            <w:r>
              <w:t>Hectares of area under cultivation</w:t>
            </w:r>
          </w:p>
        </w:tc>
      </w:tr>
      <w:tr w:rsidR="00F413C0" w:rsidRPr="00956380" w14:paraId="6EA18441"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1" w:type="pct"/>
          </w:tcPr>
          <w:p w14:paraId="453FA5C7" w14:textId="566FF888" w:rsidR="00F413C0" w:rsidRDefault="00F413C0" w:rsidP="00537A1C">
            <w:pPr>
              <w:rPr>
                <w:lang w:eastAsia="en-AU"/>
              </w:rPr>
            </w:pPr>
            <w:r>
              <w:rPr>
                <w:lang w:eastAsia="en-AU"/>
              </w:rPr>
              <w:t>Sheep</w:t>
            </w:r>
          </w:p>
        </w:tc>
        <w:tc>
          <w:tcPr>
            <w:tcW w:w="2803" w:type="pct"/>
          </w:tcPr>
          <w:p w14:paraId="6841FB92" w14:textId="4D3F94F9" w:rsidR="00CC27FF" w:rsidRDefault="00010EBF" w:rsidP="00537A1C">
            <w:pPr>
              <w:cnfStyle w:val="000000100000" w:firstRow="0" w:lastRow="0" w:firstColumn="0" w:lastColumn="0" w:oddVBand="0" w:evenVBand="0" w:oddHBand="1" w:evenHBand="0" w:firstRowFirstColumn="0" w:firstRowLastColumn="0" w:lastRowFirstColumn="0" w:lastRowLastColumn="0"/>
            </w:pPr>
            <w:r>
              <w:t>ABARES 20</w:t>
            </w:r>
            <w:r w:rsidR="002C4536">
              <w:t>2</w:t>
            </w:r>
            <w:r w:rsidR="005B7415">
              <w:t>1</w:t>
            </w:r>
            <w:r w:rsidR="004A71C7">
              <w:t>a</w:t>
            </w:r>
            <w:r>
              <w:t>, ABARES 20</w:t>
            </w:r>
            <w:r w:rsidR="002C4536">
              <w:t>2</w:t>
            </w:r>
            <w:r w:rsidR="005B7415">
              <w:t>1</w:t>
            </w:r>
            <w:r w:rsidR="004A71C7">
              <w:t>b</w:t>
            </w:r>
            <w:r w:rsidR="007618C6">
              <w:t xml:space="preserve"> </w:t>
            </w:r>
            <w:r w:rsidR="00CC27FF">
              <w:br/>
            </w:r>
            <w:r w:rsidR="00CC27FF">
              <w:rPr>
                <w:lang w:eastAsia="en-AU"/>
              </w:rPr>
              <w:t>DISER estimate based on historical trends</w:t>
            </w:r>
          </w:p>
          <w:p w14:paraId="35C7993D" w14:textId="5676F990" w:rsidR="00F413C0" w:rsidRDefault="00F413C0" w:rsidP="00537A1C">
            <w:pPr>
              <w:cnfStyle w:val="000000100000" w:firstRow="0" w:lastRow="0" w:firstColumn="0" w:lastColumn="0" w:oddVBand="0" w:evenVBand="0" w:oddHBand="1" w:evenHBand="0" w:firstRowFirstColumn="0" w:firstRowLastColumn="0" w:lastRowFirstColumn="0" w:lastRowLastColumn="0"/>
            </w:pPr>
          </w:p>
        </w:tc>
        <w:tc>
          <w:tcPr>
            <w:tcW w:w="1166" w:type="pct"/>
          </w:tcPr>
          <w:p w14:paraId="454E79C0" w14:textId="33F647FD" w:rsidR="00F413C0" w:rsidRPr="00C808FE" w:rsidRDefault="002313B3" w:rsidP="00537A1C">
            <w:pPr>
              <w:cnfStyle w:val="000000100000" w:firstRow="0" w:lastRow="0" w:firstColumn="0" w:lastColumn="0" w:oddVBand="0" w:evenVBand="0" w:oddHBand="1" w:evenHBand="0" w:firstRowFirstColumn="0" w:firstRowLastColumn="0" w:lastRowFirstColumn="0" w:lastRowLastColumn="0"/>
            </w:pPr>
            <w:r>
              <w:t>Heads of animal</w:t>
            </w:r>
          </w:p>
        </w:tc>
      </w:tr>
      <w:tr w:rsidR="00F413C0" w:rsidRPr="00956380" w14:paraId="4644635E"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031" w:type="pct"/>
          </w:tcPr>
          <w:p w14:paraId="0CB83FBE" w14:textId="48A4EB2F" w:rsidR="00F413C0" w:rsidRDefault="00F413C0" w:rsidP="00537A1C">
            <w:pPr>
              <w:rPr>
                <w:lang w:eastAsia="en-AU"/>
              </w:rPr>
            </w:pPr>
            <w:r>
              <w:rPr>
                <w:lang w:eastAsia="en-AU"/>
              </w:rPr>
              <w:t>Dairy</w:t>
            </w:r>
          </w:p>
        </w:tc>
        <w:tc>
          <w:tcPr>
            <w:tcW w:w="2803" w:type="pct"/>
          </w:tcPr>
          <w:p w14:paraId="13722202" w14:textId="4AC8CE3D" w:rsidR="00F413C0" w:rsidRDefault="00010EBF" w:rsidP="00537A1C">
            <w:pPr>
              <w:cnfStyle w:val="000000000000" w:firstRow="0" w:lastRow="0" w:firstColumn="0" w:lastColumn="0" w:oddVBand="0" w:evenVBand="0" w:oddHBand="0" w:evenHBand="0" w:firstRowFirstColumn="0" w:firstRowLastColumn="0" w:lastRowFirstColumn="0" w:lastRowLastColumn="0"/>
            </w:pPr>
            <w:r>
              <w:t>ABARES 20</w:t>
            </w:r>
            <w:r w:rsidR="002C4536">
              <w:t>2</w:t>
            </w:r>
            <w:r w:rsidR="005B7415">
              <w:t>1</w:t>
            </w:r>
            <w:r w:rsidR="004A71C7">
              <w:t>a</w:t>
            </w:r>
            <w:r>
              <w:t>, ABARES 20</w:t>
            </w:r>
            <w:r w:rsidR="002C4536">
              <w:t>2</w:t>
            </w:r>
            <w:r w:rsidR="005B7415">
              <w:t>1</w:t>
            </w:r>
            <w:r w:rsidR="004A71C7">
              <w:t>b</w:t>
            </w:r>
            <w:r w:rsidR="00CC27FF">
              <w:br/>
            </w:r>
            <w:r w:rsidR="00CC27FF">
              <w:rPr>
                <w:lang w:eastAsia="en-AU"/>
              </w:rPr>
              <w:t>DISER estimate based on historical trends</w:t>
            </w:r>
            <w:r w:rsidR="007618C6">
              <w:t xml:space="preserve"> </w:t>
            </w:r>
            <w:r w:rsidR="00CC27FF">
              <w:br/>
            </w:r>
          </w:p>
        </w:tc>
        <w:tc>
          <w:tcPr>
            <w:tcW w:w="1166" w:type="pct"/>
          </w:tcPr>
          <w:p w14:paraId="1C8F733B" w14:textId="0A3494E6" w:rsidR="00F413C0" w:rsidRPr="00C808FE" w:rsidRDefault="002313B3" w:rsidP="00537A1C">
            <w:pPr>
              <w:cnfStyle w:val="000000000000" w:firstRow="0" w:lastRow="0" w:firstColumn="0" w:lastColumn="0" w:oddVBand="0" w:evenVBand="0" w:oddHBand="0" w:evenHBand="0" w:firstRowFirstColumn="0" w:firstRowLastColumn="0" w:lastRowFirstColumn="0" w:lastRowLastColumn="0"/>
            </w:pPr>
            <w:r>
              <w:t>Heads of animal</w:t>
            </w:r>
          </w:p>
        </w:tc>
      </w:tr>
      <w:tr w:rsidR="00F413C0" w:rsidRPr="00956380" w14:paraId="284DDE39" w14:textId="77777777" w:rsidTr="00235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1" w:type="pct"/>
          </w:tcPr>
          <w:p w14:paraId="5136AAC8" w14:textId="75E8169F" w:rsidR="00F413C0" w:rsidRDefault="00F413C0" w:rsidP="00537A1C">
            <w:pPr>
              <w:rPr>
                <w:lang w:eastAsia="en-AU"/>
              </w:rPr>
            </w:pPr>
            <w:r>
              <w:rPr>
                <w:lang w:eastAsia="en-AU"/>
              </w:rPr>
              <w:t>Grain</w:t>
            </w:r>
            <w:r w:rsidR="00D55AC3">
              <w:rPr>
                <w:lang w:eastAsia="en-AU"/>
              </w:rPr>
              <w:t>-</w:t>
            </w:r>
            <w:r>
              <w:rPr>
                <w:lang w:eastAsia="en-AU"/>
              </w:rPr>
              <w:t>fed beef</w:t>
            </w:r>
          </w:p>
        </w:tc>
        <w:tc>
          <w:tcPr>
            <w:tcW w:w="2803" w:type="pct"/>
          </w:tcPr>
          <w:p w14:paraId="5DF1AC66" w14:textId="3CBD6013" w:rsidR="00CC27FF" w:rsidRDefault="00010EBF" w:rsidP="00537A1C">
            <w:pPr>
              <w:cnfStyle w:val="000000100000" w:firstRow="0" w:lastRow="0" w:firstColumn="0" w:lastColumn="0" w:oddVBand="0" w:evenVBand="0" w:oddHBand="1" w:evenHBand="0" w:firstRowFirstColumn="0" w:firstRowLastColumn="0" w:lastRowFirstColumn="0" w:lastRowLastColumn="0"/>
            </w:pPr>
            <w:r>
              <w:t>ABARES 20</w:t>
            </w:r>
            <w:r w:rsidR="002C4536">
              <w:t>2</w:t>
            </w:r>
            <w:r w:rsidR="005B7415">
              <w:t>1</w:t>
            </w:r>
            <w:r w:rsidR="004A71C7">
              <w:t>a</w:t>
            </w:r>
            <w:r>
              <w:t>, ABARES 20</w:t>
            </w:r>
            <w:r w:rsidR="002C4536">
              <w:t>2</w:t>
            </w:r>
            <w:r w:rsidR="005B7415">
              <w:t>1</w:t>
            </w:r>
            <w:r w:rsidR="004A71C7">
              <w:t>b</w:t>
            </w:r>
            <w:r w:rsidR="007618C6">
              <w:t xml:space="preserve"> </w:t>
            </w:r>
            <w:r w:rsidR="00CC27FF">
              <w:br/>
            </w:r>
            <w:r w:rsidR="00CC27FF">
              <w:rPr>
                <w:lang w:eastAsia="en-AU"/>
              </w:rPr>
              <w:t>DISER estimate based on historical trends</w:t>
            </w:r>
          </w:p>
          <w:p w14:paraId="3942A5E1" w14:textId="397378C5" w:rsidR="00F413C0" w:rsidRDefault="00F413C0" w:rsidP="00537A1C">
            <w:pPr>
              <w:cnfStyle w:val="000000100000" w:firstRow="0" w:lastRow="0" w:firstColumn="0" w:lastColumn="0" w:oddVBand="0" w:evenVBand="0" w:oddHBand="1" w:evenHBand="0" w:firstRowFirstColumn="0" w:firstRowLastColumn="0" w:lastRowFirstColumn="0" w:lastRowLastColumn="0"/>
            </w:pPr>
          </w:p>
        </w:tc>
        <w:tc>
          <w:tcPr>
            <w:tcW w:w="1166" w:type="pct"/>
          </w:tcPr>
          <w:p w14:paraId="4CE27FCE" w14:textId="1E40E2D2" w:rsidR="00F413C0" w:rsidRPr="00C808FE" w:rsidRDefault="002313B3" w:rsidP="00537A1C">
            <w:pPr>
              <w:cnfStyle w:val="000000100000" w:firstRow="0" w:lastRow="0" w:firstColumn="0" w:lastColumn="0" w:oddVBand="0" w:evenVBand="0" w:oddHBand="1" w:evenHBand="0" w:firstRowFirstColumn="0" w:firstRowLastColumn="0" w:lastRowFirstColumn="0" w:lastRowLastColumn="0"/>
            </w:pPr>
            <w:r>
              <w:t>Heads of animal</w:t>
            </w:r>
          </w:p>
        </w:tc>
      </w:tr>
      <w:tr w:rsidR="00F413C0" w:rsidRPr="00956380" w14:paraId="10F17851" w14:textId="77777777" w:rsidTr="002354AC">
        <w:trPr>
          <w:trHeight w:val="315"/>
        </w:trPr>
        <w:tc>
          <w:tcPr>
            <w:cnfStyle w:val="001000000000" w:firstRow="0" w:lastRow="0" w:firstColumn="1" w:lastColumn="0" w:oddVBand="0" w:evenVBand="0" w:oddHBand="0" w:evenHBand="0" w:firstRowFirstColumn="0" w:firstRowLastColumn="0" w:lastRowFirstColumn="0" w:lastRowLastColumn="0"/>
            <w:tcW w:w="1031" w:type="pct"/>
          </w:tcPr>
          <w:p w14:paraId="338C9165" w14:textId="2AF1CA24" w:rsidR="00F413C0" w:rsidRDefault="00F413C0" w:rsidP="00537A1C">
            <w:pPr>
              <w:rPr>
                <w:lang w:eastAsia="en-AU"/>
              </w:rPr>
            </w:pPr>
            <w:r>
              <w:rPr>
                <w:lang w:eastAsia="en-AU"/>
              </w:rPr>
              <w:t xml:space="preserve">Grazing </w:t>
            </w:r>
            <w:r w:rsidR="00FE0C7C">
              <w:rPr>
                <w:lang w:eastAsia="en-AU"/>
              </w:rPr>
              <w:t xml:space="preserve">(grass-fed) </w:t>
            </w:r>
            <w:r>
              <w:rPr>
                <w:lang w:eastAsia="en-AU"/>
              </w:rPr>
              <w:t>beef</w:t>
            </w:r>
          </w:p>
        </w:tc>
        <w:tc>
          <w:tcPr>
            <w:tcW w:w="2803" w:type="pct"/>
          </w:tcPr>
          <w:p w14:paraId="32B28CFC" w14:textId="746B4FAB" w:rsidR="00F413C0" w:rsidRDefault="00010EBF" w:rsidP="00537A1C">
            <w:pPr>
              <w:cnfStyle w:val="000000000000" w:firstRow="0" w:lastRow="0" w:firstColumn="0" w:lastColumn="0" w:oddVBand="0" w:evenVBand="0" w:oddHBand="0" w:evenHBand="0" w:firstRowFirstColumn="0" w:firstRowLastColumn="0" w:lastRowFirstColumn="0" w:lastRowLastColumn="0"/>
            </w:pPr>
            <w:r>
              <w:t>ABARES 20</w:t>
            </w:r>
            <w:r w:rsidR="002C4536">
              <w:t>2</w:t>
            </w:r>
            <w:r w:rsidR="005B7415">
              <w:t>1</w:t>
            </w:r>
            <w:r w:rsidR="004A71C7">
              <w:t>a</w:t>
            </w:r>
            <w:r>
              <w:t>, ABARES 20</w:t>
            </w:r>
            <w:r w:rsidR="002C4536">
              <w:t>2</w:t>
            </w:r>
            <w:r w:rsidR="005B7415">
              <w:t>1</w:t>
            </w:r>
            <w:r w:rsidR="004A71C7">
              <w:t>b</w:t>
            </w:r>
            <w:r w:rsidR="00CC27FF">
              <w:br/>
            </w:r>
            <w:r w:rsidR="00CC27FF">
              <w:rPr>
                <w:lang w:eastAsia="en-AU"/>
              </w:rPr>
              <w:t>DISER estimate based on historical trends</w:t>
            </w:r>
            <w:r w:rsidR="007618C6">
              <w:t xml:space="preserve"> </w:t>
            </w:r>
            <w:r w:rsidR="00CC27FF">
              <w:br/>
            </w:r>
          </w:p>
        </w:tc>
        <w:tc>
          <w:tcPr>
            <w:tcW w:w="1166" w:type="pct"/>
          </w:tcPr>
          <w:p w14:paraId="06D7695B" w14:textId="3A4A4CA9" w:rsidR="00F413C0" w:rsidRPr="00C808FE" w:rsidRDefault="002313B3" w:rsidP="00537A1C">
            <w:pPr>
              <w:cnfStyle w:val="000000000000" w:firstRow="0" w:lastRow="0" w:firstColumn="0" w:lastColumn="0" w:oddVBand="0" w:evenVBand="0" w:oddHBand="0" w:evenHBand="0" w:firstRowFirstColumn="0" w:firstRowLastColumn="0" w:lastRowFirstColumn="0" w:lastRowLastColumn="0"/>
            </w:pPr>
            <w:r>
              <w:t>Heads of animal</w:t>
            </w:r>
          </w:p>
        </w:tc>
      </w:tr>
    </w:tbl>
    <w:p w14:paraId="2C176544" w14:textId="7750AC78" w:rsidR="00F413C0" w:rsidRDefault="00F413C0" w:rsidP="00537A1C"/>
    <w:p w14:paraId="3D97EE2A" w14:textId="192CB36B" w:rsidR="00D025B5" w:rsidRPr="00C808FE" w:rsidRDefault="009634F5" w:rsidP="00537A1C">
      <w:pPr>
        <w:pStyle w:val="Caption"/>
      </w:pPr>
      <w:r w:rsidRPr="00C808FE">
        <w:t xml:space="preserve">Table </w:t>
      </w:r>
      <w:r w:rsidR="004C7141">
        <w:t>11</w:t>
      </w:r>
      <w:r w:rsidR="00023629">
        <w:t>.</w:t>
      </w:r>
      <w:r w:rsidR="00660094">
        <w:t xml:space="preserve"> </w:t>
      </w:r>
      <w:r w:rsidRPr="00C808FE">
        <w:t xml:space="preserve">Summary of </w:t>
      </w:r>
      <w:r w:rsidR="00AE6346">
        <w:t>emission subsectors</w:t>
      </w:r>
      <w:r w:rsidRPr="00C808FE">
        <w:t xml:space="preserve"> for each agricultural commodity</w:t>
      </w:r>
    </w:p>
    <w:tbl>
      <w:tblPr>
        <w:tblStyle w:val="ListTable3-Accent3"/>
        <w:tblW w:w="5000" w:type="pct"/>
        <w:tblLook w:val="04A0" w:firstRow="1" w:lastRow="0" w:firstColumn="1" w:lastColumn="0" w:noHBand="0" w:noVBand="1"/>
        <w:tblCaption w:val="Summary of emission subsectors for each agricultural commodity"/>
        <w:tblDescription w:val="Table provides a breakdown of the emissions subsectors making up each agricultural commodity. Emissions subsectors include categories such as enterci fermentation, manure management and agricultural soils."/>
      </w:tblPr>
      <w:tblGrid>
        <w:gridCol w:w="4601"/>
        <w:gridCol w:w="4601"/>
      </w:tblGrid>
      <w:tr w:rsidR="00C25602" w:rsidRPr="00956380" w14:paraId="22869BE9" w14:textId="77777777" w:rsidTr="00576A6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100" w:firstRow="0" w:lastRow="0" w:firstColumn="1" w:lastColumn="0" w:oddVBand="0" w:evenVBand="0" w:oddHBand="0" w:evenHBand="0" w:firstRowFirstColumn="1" w:firstRowLastColumn="0" w:lastRowFirstColumn="0" w:lastRowLastColumn="0"/>
            <w:tcW w:w="2500" w:type="pct"/>
            <w:hideMark/>
          </w:tcPr>
          <w:p w14:paraId="3742FF37" w14:textId="4E55DAF2" w:rsidR="00C25602" w:rsidRPr="00484C3E" w:rsidRDefault="00C25602" w:rsidP="00537A1C">
            <w:pPr>
              <w:rPr>
                <w:lang w:eastAsia="en-AU"/>
              </w:rPr>
            </w:pPr>
            <w:r>
              <w:rPr>
                <w:lang w:eastAsia="en-AU"/>
              </w:rPr>
              <w:t>Commodity</w:t>
            </w:r>
          </w:p>
        </w:tc>
        <w:tc>
          <w:tcPr>
            <w:tcW w:w="2500" w:type="pct"/>
            <w:hideMark/>
          </w:tcPr>
          <w:p w14:paraId="2045AE62" w14:textId="05AA3BBC" w:rsidR="00C25602" w:rsidRPr="00484C3E" w:rsidRDefault="00AE6346" w:rsidP="00537A1C">
            <w:pPr>
              <w:cnfStyle w:val="100000000000" w:firstRow="1" w:lastRow="0" w:firstColumn="0" w:lastColumn="0" w:oddVBand="0" w:evenVBand="0" w:oddHBand="0" w:evenHBand="0" w:firstRowFirstColumn="0" w:firstRowLastColumn="0" w:lastRowFirstColumn="0" w:lastRowLastColumn="0"/>
              <w:rPr>
                <w:rFonts w:eastAsia="Times New Roman"/>
                <w:lang w:eastAsia="en-AU"/>
              </w:rPr>
            </w:pPr>
            <w:r>
              <w:t xml:space="preserve">Emissions </w:t>
            </w:r>
            <w:r w:rsidR="00023629">
              <w:t>s</w:t>
            </w:r>
            <w:r>
              <w:t>ubsectors</w:t>
            </w:r>
          </w:p>
        </w:tc>
      </w:tr>
      <w:tr w:rsidR="00C25602" w:rsidRPr="00956380" w14:paraId="12124D1E" w14:textId="77777777" w:rsidTr="00576A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0" w:type="pct"/>
            <w:hideMark/>
          </w:tcPr>
          <w:p w14:paraId="2117F00B" w14:textId="77777777" w:rsidR="00C25602" w:rsidRPr="00484C3E" w:rsidRDefault="00C25602" w:rsidP="00537A1C">
            <w:pPr>
              <w:rPr>
                <w:lang w:eastAsia="en-AU"/>
              </w:rPr>
            </w:pPr>
            <w:r>
              <w:rPr>
                <w:lang w:eastAsia="en-AU"/>
              </w:rPr>
              <w:t>Lime and urea</w:t>
            </w:r>
          </w:p>
        </w:tc>
        <w:tc>
          <w:tcPr>
            <w:tcW w:w="2500" w:type="pct"/>
          </w:tcPr>
          <w:p w14:paraId="2E60AAE4" w14:textId="2F4F13DD" w:rsidR="00C25602" w:rsidRPr="00484C3E" w:rsidRDefault="00C25602" w:rsidP="00537A1C">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en-AU"/>
              </w:rPr>
            </w:pPr>
            <w:r>
              <w:t xml:space="preserve">Liming and </w:t>
            </w:r>
            <w:r w:rsidR="00023629">
              <w:t>u</w:t>
            </w:r>
            <w:r>
              <w:t xml:space="preserve">rea </w:t>
            </w:r>
            <w:r w:rsidR="00023629">
              <w:t>a</w:t>
            </w:r>
            <w:r>
              <w:t>pplication</w:t>
            </w:r>
          </w:p>
        </w:tc>
      </w:tr>
      <w:tr w:rsidR="00C25602" w:rsidRPr="00956380" w14:paraId="68F689F3" w14:textId="77777777" w:rsidTr="00576A61">
        <w:trPr>
          <w:trHeight w:val="315"/>
        </w:trPr>
        <w:tc>
          <w:tcPr>
            <w:cnfStyle w:val="001000000000" w:firstRow="0" w:lastRow="0" w:firstColumn="1" w:lastColumn="0" w:oddVBand="0" w:evenVBand="0" w:oddHBand="0" w:evenHBand="0" w:firstRowFirstColumn="0" w:firstRowLastColumn="0" w:lastRowFirstColumn="0" w:lastRowLastColumn="0"/>
            <w:tcW w:w="2500" w:type="pct"/>
          </w:tcPr>
          <w:p w14:paraId="63252D65" w14:textId="77777777" w:rsidR="00C25602" w:rsidRPr="00484C3E" w:rsidRDefault="00C25602" w:rsidP="00537A1C">
            <w:pPr>
              <w:rPr>
                <w:lang w:eastAsia="en-AU"/>
              </w:rPr>
            </w:pPr>
            <w:r>
              <w:rPr>
                <w:lang w:eastAsia="en-AU"/>
              </w:rPr>
              <w:t>Fertilisers</w:t>
            </w:r>
          </w:p>
        </w:tc>
        <w:tc>
          <w:tcPr>
            <w:tcW w:w="2500" w:type="pct"/>
          </w:tcPr>
          <w:p w14:paraId="244B700F" w14:textId="07B9C08F" w:rsidR="00C25602" w:rsidRPr="00484C3E" w:rsidRDefault="00C25602" w:rsidP="00537A1C">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t xml:space="preserve">Agricultural </w:t>
            </w:r>
            <w:r w:rsidR="00023629">
              <w:t>s</w:t>
            </w:r>
            <w:r>
              <w:t>oils</w:t>
            </w:r>
          </w:p>
        </w:tc>
      </w:tr>
      <w:tr w:rsidR="00C25602" w:rsidRPr="00956380" w14:paraId="7252E97B" w14:textId="77777777" w:rsidTr="00576A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0" w:type="pct"/>
          </w:tcPr>
          <w:p w14:paraId="55170F1C" w14:textId="77777777" w:rsidR="00C25602" w:rsidRPr="00484C3E" w:rsidRDefault="00C25602" w:rsidP="00537A1C">
            <w:pPr>
              <w:rPr>
                <w:lang w:eastAsia="en-AU"/>
              </w:rPr>
            </w:pPr>
            <w:r>
              <w:rPr>
                <w:lang w:eastAsia="en-AU"/>
              </w:rPr>
              <w:t>Other animals</w:t>
            </w:r>
          </w:p>
        </w:tc>
        <w:tc>
          <w:tcPr>
            <w:tcW w:w="2500" w:type="pct"/>
          </w:tcPr>
          <w:p w14:paraId="1BCB951A" w14:textId="7C1CD50F" w:rsidR="00C25602" w:rsidRDefault="00C25602" w:rsidP="00537A1C">
            <w:pPr>
              <w:cnfStyle w:val="000000100000" w:firstRow="0" w:lastRow="0" w:firstColumn="0" w:lastColumn="0" w:oddVBand="0" w:evenVBand="0" w:oddHBand="1" w:evenHBand="0" w:firstRowFirstColumn="0" w:firstRowLastColumn="0" w:lastRowFirstColumn="0" w:lastRowLastColumn="0"/>
            </w:pPr>
            <w:r>
              <w:t xml:space="preserve">Enteric </w:t>
            </w:r>
            <w:r w:rsidR="00023629">
              <w:t>f</w:t>
            </w:r>
            <w:r>
              <w:t>ermentation</w:t>
            </w:r>
          </w:p>
          <w:p w14:paraId="6C23B952" w14:textId="7926999B" w:rsidR="00C25602" w:rsidRDefault="00C25602" w:rsidP="00537A1C">
            <w:pPr>
              <w:cnfStyle w:val="000000100000" w:firstRow="0" w:lastRow="0" w:firstColumn="0" w:lastColumn="0" w:oddVBand="0" w:evenVBand="0" w:oddHBand="1" w:evenHBand="0" w:firstRowFirstColumn="0" w:firstRowLastColumn="0" w:lastRowFirstColumn="0" w:lastRowLastColumn="0"/>
            </w:pPr>
            <w:r>
              <w:t xml:space="preserve">Manure </w:t>
            </w:r>
            <w:r w:rsidR="00023629">
              <w:t>m</w:t>
            </w:r>
            <w:r>
              <w:t>anagement</w:t>
            </w:r>
          </w:p>
          <w:p w14:paraId="70AB8B39" w14:textId="58DFC492" w:rsidR="00C25602" w:rsidRPr="00484C3E" w:rsidRDefault="00C25602" w:rsidP="00537A1C">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en-AU"/>
              </w:rPr>
            </w:pPr>
            <w:r>
              <w:t xml:space="preserve">Agricultural </w:t>
            </w:r>
            <w:r w:rsidR="00023629">
              <w:t>s</w:t>
            </w:r>
            <w:r>
              <w:t>oils</w:t>
            </w:r>
          </w:p>
        </w:tc>
      </w:tr>
      <w:tr w:rsidR="00C25602" w:rsidRPr="00956380" w14:paraId="6137D218" w14:textId="77777777" w:rsidTr="00576A61">
        <w:trPr>
          <w:trHeight w:val="315"/>
        </w:trPr>
        <w:tc>
          <w:tcPr>
            <w:cnfStyle w:val="001000000000" w:firstRow="0" w:lastRow="0" w:firstColumn="1" w:lastColumn="0" w:oddVBand="0" w:evenVBand="0" w:oddHBand="0" w:evenHBand="0" w:firstRowFirstColumn="0" w:firstRowLastColumn="0" w:lastRowFirstColumn="0" w:lastRowLastColumn="0"/>
            <w:tcW w:w="2500" w:type="pct"/>
          </w:tcPr>
          <w:p w14:paraId="71D3FF94" w14:textId="77777777" w:rsidR="00C25602" w:rsidRDefault="00C25602" w:rsidP="00537A1C">
            <w:pPr>
              <w:rPr>
                <w:lang w:eastAsia="en-AU"/>
              </w:rPr>
            </w:pPr>
            <w:r>
              <w:rPr>
                <w:lang w:eastAsia="en-AU"/>
              </w:rPr>
              <w:t>Other animals - poultry</w:t>
            </w:r>
          </w:p>
        </w:tc>
        <w:tc>
          <w:tcPr>
            <w:tcW w:w="2500" w:type="pct"/>
          </w:tcPr>
          <w:p w14:paraId="44CCAD62" w14:textId="1B84F939" w:rsidR="00C25602" w:rsidRDefault="00C25602" w:rsidP="00537A1C">
            <w:pPr>
              <w:cnfStyle w:val="000000000000" w:firstRow="0" w:lastRow="0" w:firstColumn="0" w:lastColumn="0" w:oddVBand="0" w:evenVBand="0" w:oddHBand="0" w:evenHBand="0" w:firstRowFirstColumn="0" w:firstRowLastColumn="0" w:lastRowFirstColumn="0" w:lastRowLastColumn="0"/>
            </w:pPr>
            <w:r>
              <w:t xml:space="preserve">Manure </w:t>
            </w:r>
            <w:r w:rsidR="00023629">
              <w:t>m</w:t>
            </w:r>
            <w:r>
              <w:t>anagement</w:t>
            </w:r>
          </w:p>
          <w:p w14:paraId="52EA9103" w14:textId="5759AD90" w:rsidR="00C25602" w:rsidRDefault="00C25602" w:rsidP="00537A1C">
            <w:pPr>
              <w:cnfStyle w:val="000000000000" w:firstRow="0" w:lastRow="0" w:firstColumn="0" w:lastColumn="0" w:oddVBand="0" w:evenVBand="0" w:oddHBand="0" w:evenHBand="0" w:firstRowFirstColumn="0" w:firstRowLastColumn="0" w:lastRowFirstColumn="0" w:lastRowLastColumn="0"/>
            </w:pPr>
            <w:r>
              <w:t xml:space="preserve">Agricultural </w:t>
            </w:r>
            <w:r w:rsidR="00023629">
              <w:t>s</w:t>
            </w:r>
            <w:r>
              <w:t>oils</w:t>
            </w:r>
          </w:p>
        </w:tc>
      </w:tr>
      <w:tr w:rsidR="00C25602" w:rsidRPr="00956380" w14:paraId="51B7F58F" w14:textId="77777777" w:rsidTr="00576A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0" w:type="pct"/>
          </w:tcPr>
          <w:p w14:paraId="3583C480" w14:textId="77777777" w:rsidR="00C25602" w:rsidRDefault="00C25602" w:rsidP="00537A1C">
            <w:pPr>
              <w:rPr>
                <w:lang w:eastAsia="en-AU"/>
              </w:rPr>
            </w:pPr>
            <w:r>
              <w:rPr>
                <w:lang w:eastAsia="en-AU"/>
              </w:rPr>
              <w:t>Pigs</w:t>
            </w:r>
          </w:p>
        </w:tc>
        <w:tc>
          <w:tcPr>
            <w:tcW w:w="2500" w:type="pct"/>
          </w:tcPr>
          <w:p w14:paraId="50D4DEB8" w14:textId="26644D73" w:rsidR="00C25602" w:rsidRDefault="00C25602" w:rsidP="00537A1C">
            <w:pPr>
              <w:cnfStyle w:val="000000100000" w:firstRow="0" w:lastRow="0" w:firstColumn="0" w:lastColumn="0" w:oddVBand="0" w:evenVBand="0" w:oddHBand="1" w:evenHBand="0" w:firstRowFirstColumn="0" w:firstRowLastColumn="0" w:lastRowFirstColumn="0" w:lastRowLastColumn="0"/>
            </w:pPr>
            <w:r>
              <w:t xml:space="preserve">Enteric </w:t>
            </w:r>
            <w:r w:rsidR="00023629">
              <w:t>f</w:t>
            </w:r>
            <w:r>
              <w:t>ermentation</w:t>
            </w:r>
          </w:p>
          <w:p w14:paraId="1171147C" w14:textId="70FBE9F9" w:rsidR="00C25602" w:rsidRDefault="00C25602" w:rsidP="00537A1C">
            <w:pPr>
              <w:cnfStyle w:val="000000100000" w:firstRow="0" w:lastRow="0" w:firstColumn="0" w:lastColumn="0" w:oddVBand="0" w:evenVBand="0" w:oddHBand="1" w:evenHBand="0" w:firstRowFirstColumn="0" w:firstRowLastColumn="0" w:lastRowFirstColumn="0" w:lastRowLastColumn="0"/>
            </w:pPr>
            <w:r>
              <w:t xml:space="preserve">Manure </w:t>
            </w:r>
            <w:r w:rsidR="00023629">
              <w:t>m</w:t>
            </w:r>
            <w:r>
              <w:t>anagement</w:t>
            </w:r>
          </w:p>
          <w:p w14:paraId="3F520490" w14:textId="0B4BF450" w:rsidR="00C25602" w:rsidRDefault="00C25602" w:rsidP="00537A1C">
            <w:pPr>
              <w:cnfStyle w:val="000000100000" w:firstRow="0" w:lastRow="0" w:firstColumn="0" w:lastColumn="0" w:oddVBand="0" w:evenVBand="0" w:oddHBand="1" w:evenHBand="0" w:firstRowFirstColumn="0" w:firstRowLastColumn="0" w:lastRowFirstColumn="0" w:lastRowLastColumn="0"/>
            </w:pPr>
            <w:r>
              <w:lastRenderedPageBreak/>
              <w:t xml:space="preserve">Agricultural </w:t>
            </w:r>
            <w:r w:rsidR="00023629">
              <w:t>s</w:t>
            </w:r>
            <w:r>
              <w:t>oils</w:t>
            </w:r>
          </w:p>
        </w:tc>
      </w:tr>
      <w:tr w:rsidR="00C25602" w:rsidRPr="00956380" w14:paraId="69117C96" w14:textId="77777777" w:rsidTr="00576A61">
        <w:trPr>
          <w:trHeight w:val="315"/>
        </w:trPr>
        <w:tc>
          <w:tcPr>
            <w:cnfStyle w:val="001000000000" w:firstRow="0" w:lastRow="0" w:firstColumn="1" w:lastColumn="0" w:oddVBand="0" w:evenVBand="0" w:oddHBand="0" w:evenHBand="0" w:firstRowFirstColumn="0" w:firstRowLastColumn="0" w:lastRowFirstColumn="0" w:lastRowLastColumn="0"/>
            <w:tcW w:w="2500" w:type="pct"/>
          </w:tcPr>
          <w:p w14:paraId="19543D7A" w14:textId="77777777" w:rsidR="00C25602" w:rsidRDefault="00C25602" w:rsidP="00537A1C">
            <w:pPr>
              <w:rPr>
                <w:lang w:eastAsia="en-AU"/>
              </w:rPr>
            </w:pPr>
            <w:r>
              <w:rPr>
                <w:lang w:eastAsia="en-AU"/>
              </w:rPr>
              <w:lastRenderedPageBreak/>
              <w:t>Crops</w:t>
            </w:r>
          </w:p>
        </w:tc>
        <w:tc>
          <w:tcPr>
            <w:tcW w:w="2500" w:type="pct"/>
          </w:tcPr>
          <w:p w14:paraId="4434F9BA" w14:textId="7BE86877" w:rsidR="00D10DC1" w:rsidRDefault="00D10DC1" w:rsidP="00537A1C">
            <w:pPr>
              <w:cnfStyle w:val="000000000000" w:firstRow="0" w:lastRow="0" w:firstColumn="0" w:lastColumn="0" w:oddVBand="0" w:evenVBand="0" w:oddHBand="0" w:evenHBand="0" w:firstRowFirstColumn="0" w:firstRowLastColumn="0" w:lastRowFirstColumn="0" w:lastRowLastColumn="0"/>
            </w:pPr>
            <w:r>
              <w:t xml:space="preserve">Agricultural </w:t>
            </w:r>
            <w:r w:rsidR="00023629">
              <w:t>s</w:t>
            </w:r>
            <w:r>
              <w:t>oils</w:t>
            </w:r>
          </w:p>
          <w:p w14:paraId="3F5D1CF4" w14:textId="56CC083B" w:rsidR="00D10DC1" w:rsidRDefault="00D10DC1" w:rsidP="00537A1C">
            <w:pPr>
              <w:cnfStyle w:val="000000000000" w:firstRow="0" w:lastRow="0" w:firstColumn="0" w:lastColumn="0" w:oddVBand="0" w:evenVBand="0" w:oddHBand="0" w:evenHBand="0" w:firstRowFirstColumn="0" w:firstRowLastColumn="0" w:lastRowFirstColumn="0" w:lastRowLastColumn="0"/>
            </w:pPr>
            <w:r>
              <w:t xml:space="preserve">Field </w:t>
            </w:r>
            <w:r w:rsidR="00023629">
              <w:t>b</w:t>
            </w:r>
            <w:r>
              <w:t xml:space="preserve">urning of </w:t>
            </w:r>
            <w:r w:rsidR="00023629">
              <w:t>a</w:t>
            </w:r>
            <w:r>
              <w:t xml:space="preserve">gricultural </w:t>
            </w:r>
            <w:r w:rsidR="00023629">
              <w:t>r</w:t>
            </w:r>
            <w:r>
              <w:t>esidues</w:t>
            </w:r>
          </w:p>
          <w:p w14:paraId="27EC5FFD" w14:textId="6C64A1AA" w:rsidR="00C25602" w:rsidRDefault="00D10DC1" w:rsidP="00537A1C">
            <w:pPr>
              <w:cnfStyle w:val="000000000000" w:firstRow="0" w:lastRow="0" w:firstColumn="0" w:lastColumn="0" w:oddVBand="0" w:evenVBand="0" w:oddHBand="0" w:evenHBand="0" w:firstRowFirstColumn="0" w:firstRowLastColumn="0" w:lastRowFirstColumn="0" w:lastRowLastColumn="0"/>
            </w:pPr>
            <w:r>
              <w:t xml:space="preserve">Rice </w:t>
            </w:r>
            <w:r w:rsidR="00023629">
              <w:t>c</w:t>
            </w:r>
            <w:r>
              <w:t>ultivation</w:t>
            </w:r>
          </w:p>
        </w:tc>
      </w:tr>
      <w:tr w:rsidR="00C25602" w:rsidRPr="00956380" w14:paraId="79C9FB36" w14:textId="77777777" w:rsidTr="00576A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0" w:type="pct"/>
          </w:tcPr>
          <w:p w14:paraId="5EE56FFD" w14:textId="77777777" w:rsidR="00C25602" w:rsidRDefault="00C25602" w:rsidP="00537A1C">
            <w:pPr>
              <w:rPr>
                <w:lang w:eastAsia="en-AU"/>
              </w:rPr>
            </w:pPr>
            <w:r>
              <w:rPr>
                <w:lang w:eastAsia="en-AU"/>
              </w:rPr>
              <w:t>Sheep</w:t>
            </w:r>
          </w:p>
        </w:tc>
        <w:tc>
          <w:tcPr>
            <w:tcW w:w="2500" w:type="pct"/>
          </w:tcPr>
          <w:p w14:paraId="544BFC83" w14:textId="6B9AD59D" w:rsidR="00D10DC1" w:rsidRDefault="00D10DC1" w:rsidP="00537A1C">
            <w:pPr>
              <w:cnfStyle w:val="000000100000" w:firstRow="0" w:lastRow="0" w:firstColumn="0" w:lastColumn="0" w:oddVBand="0" w:evenVBand="0" w:oddHBand="1" w:evenHBand="0" w:firstRowFirstColumn="0" w:firstRowLastColumn="0" w:lastRowFirstColumn="0" w:lastRowLastColumn="0"/>
            </w:pPr>
            <w:r>
              <w:t xml:space="preserve">Enteric </w:t>
            </w:r>
            <w:r w:rsidR="00023629">
              <w:t>f</w:t>
            </w:r>
            <w:r>
              <w:t>ermentation</w:t>
            </w:r>
          </w:p>
          <w:p w14:paraId="0222FFF1" w14:textId="2E01E6BE" w:rsidR="00D10DC1" w:rsidRDefault="00D10DC1" w:rsidP="00537A1C">
            <w:pPr>
              <w:cnfStyle w:val="000000100000" w:firstRow="0" w:lastRow="0" w:firstColumn="0" w:lastColumn="0" w:oddVBand="0" w:evenVBand="0" w:oddHBand="1" w:evenHBand="0" w:firstRowFirstColumn="0" w:firstRowLastColumn="0" w:lastRowFirstColumn="0" w:lastRowLastColumn="0"/>
            </w:pPr>
            <w:r>
              <w:t xml:space="preserve">Manure </w:t>
            </w:r>
            <w:r w:rsidR="00023629">
              <w:t>m</w:t>
            </w:r>
            <w:r>
              <w:t>anagement</w:t>
            </w:r>
          </w:p>
          <w:p w14:paraId="3FF363C3" w14:textId="19FDC07F" w:rsidR="00C25602" w:rsidRDefault="00D10DC1" w:rsidP="00537A1C">
            <w:pPr>
              <w:cnfStyle w:val="000000100000" w:firstRow="0" w:lastRow="0" w:firstColumn="0" w:lastColumn="0" w:oddVBand="0" w:evenVBand="0" w:oddHBand="1" w:evenHBand="0" w:firstRowFirstColumn="0" w:firstRowLastColumn="0" w:lastRowFirstColumn="0" w:lastRowLastColumn="0"/>
            </w:pPr>
            <w:r>
              <w:t xml:space="preserve">Agricultural </w:t>
            </w:r>
            <w:r w:rsidR="00023629">
              <w:t>s</w:t>
            </w:r>
            <w:r>
              <w:t>oils</w:t>
            </w:r>
          </w:p>
        </w:tc>
      </w:tr>
      <w:tr w:rsidR="00C25602" w:rsidRPr="00956380" w14:paraId="4F7615D1" w14:textId="77777777" w:rsidTr="00576A61">
        <w:trPr>
          <w:trHeight w:val="315"/>
        </w:trPr>
        <w:tc>
          <w:tcPr>
            <w:cnfStyle w:val="001000000000" w:firstRow="0" w:lastRow="0" w:firstColumn="1" w:lastColumn="0" w:oddVBand="0" w:evenVBand="0" w:oddHBand="0" w:evenHBand="0" w:firstRowFirstColumn="0" w:firstRowLastColumn="0" w:lastRowFirstColumn="0" w:lastRowLastColumn="0"/>
            <w:tcW w:w="2500" w:type="pct"/>
          </w:tcPr>
          <w:p w14:paraId="54B72F24" w14:textId="77777777" w:rsidR="00C25602" w:rsidRDefault="00C25602" w:rsidP="00537A1C">
            <w:pPr>
              <w:rPr>
                <w:lang w:eastAsia="en-AU"/>
              </w:rPr>
            </w:pPr>
            <w:r>
              <w:rPr>
                <w:lang w:eastAsia="en-AU"/>
              </w:rPr>
              <w:t>Dairy</w:t>
            </w:r>
          </w:p>
        </w:tc>
        <w:tc>
          <w:tcPr>
            <w:tcW w:w="2500" w:type="pct"/>
          </w:tcPr>
          <w:p w14:paraId="2A1DAAAF" w14:textId="36CE87D4" w:rsidR="00D10DC1" w:rsidRDefault="00D10DC1" w:rsidP="00537A1C">
            <w:pPr>
              <w:cnfStyle w:val="000000000000" w:firstRow="0" w:lastRow="0" w:firstColumn="0" w:lastColumn="0" w:oddVBand="0" w:evenVBand="0" w:oddHBand="0" w:evenHBand="0" w:firstRowFirstColumn="0" w:firstRowLastColumn="0" w:lastRowFirstColumn="0" w:lastRowLastColumn="0"/>
            </w:pPr>
            <w:r>
              <w:t xml:space="preserve">Enteric </w:t>
            </w:r>
            <w:r w:rsidR="00023629">
              <w:t>f</w:t>
            </w:r>
            <w:r>
              <w:t>ermentation</w:t>
            </w:r>
          </w:p>
          <w:p w14:paraId="4F29C59B" w14:textId="2C3D92A1" w:rsidR="00D10DC1" w:rsidRDefault="00D10DC1" w:rsidP="00537A1C">
            <w:pPr>
              <w:cnfStyle w:val="000000000000" w:firstRow="0" w:lastRow="0" w:firstColumn="0" w:lastColumn="0" w:oddVBand="0" w:evenVBand="0" w:oddHBand="0" w:evenHBand="0" w:firstRowFirstColumn="0" w:firstRowLastColumn="0" w:lastRowFirstColumn="0" w:lastRowLastColumn="0"/>
            </w:pPr>
            <w:r>
              <w:t xml:space="preserve">Manure </w:t>
            </w:r>
            <w:r w:rsidR="00023629">
              <w:t>m</w:t>
            </w:r>
            <w:r>
              <w:t>anagement</w:t>
            </w:r>
          </w:p>
          <w:p w14:paraId="7ACA5C2D" w14:textId="512EF052" w:rsidR="00C25602" w:rsidRDefault="00D10DC1" w:rsidP="00537A1C">
            <w:pPr>
              <w:cnfStyle w:val="000000000000" w:firstRow="0" w:lastRow="0" w:firstColumn="0" w:lastColumn="0" w:oddVBand="0" w:evenVBand="0" w:oddHBand="0" w:evenHBand="0" w:firstRowFirstColumn="0" w:firstRowLastColumn="0" w:lastRowFirstColumn="0" w:lastRowLastColumn="0"/>
            </w:pPr>
            <w:r>
              <w:t xml:space="preserve">Agricultural </w:t>
            </w:r>
            <w:r w:rsidR="00023629">
              <w:t>s</w:t>
            </w:r>
            <w:r>
              <w:t>oils</w:t>
            </w:r>
          </w:p>
        </w:tc>
      </w:tr>
      <w:tr w:rsidR="00C25602" w:rsidRPr="00956380" w14:paraId="67C942DB" w14:textId="77777777" w:rsidTr="00576A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0" w:type="pct"/>
          </w:tcPr>
          <w:p w14:paraId="002FDE3A" w14:textId="77777777" w:rsidR="00C25602" w:rsidRDefault="00C25602" w:rsidP="00537A1C">
            <w:pPr>
              <w:rPr>
                <w:lang w:eastAsia="en-AU"/>
              </w:rPr>
            </w:pPr>
            <w:r>
              <w:rPr>
                <w:lang w:eastAsia="en-AU"/>
              </w:rPr>
              <w:t>Grain fed beef</w:t>
            </w:r>
          </w:p>
        </w:tc>
        <w:tc>
          <w:tcPr>
            <w:tcW w:w="2500" w:type="pct"/>
          </w:tcPr>
          <w:p w14:paraId="1CEBBB28" w14:textId="10C65EB8" w:rsidR="00D10DC1" w:rsidRDefault="00D10DC1" w:rsidP="00537A1C">
            <w:pPr>
              <w:cnfStyle w:val="000000100000" w:firstRow="0" w:lastRow="0" w:firstColumn="0" w:lastColumn="0" w:oddVBand="0" w:evenVBand="0" w:oddHBand="1" w:evenHBand="0" w:firstRowFirstColumn="0" w:firstRowLastColumn="0" w:lastRowFirstColumn="0" w:lastRowLastColumn="0"/>
            </w:pPr>
            <w:r>
              <w:t xml:space="preserve">Enteric </w:t>
            </w:r>
            <w:r w:rsidR="00023629">
              <w:t>f</w:t>
            </w:r>
            <w:r>
              <w:t>ermentation</w:t>
            </w:r>
          </w:p>
          <w:p w14:paraId="1A77B7A3" w14:textId="252C8606" w:rsidR="00D10DC1" w:rsidRDefault="00D10DC1" w:rsidP="00537A1C">
            <w:pPr>
              <w:cnfStyle w:val="000000100000" w:firstRow="0" w:lastRow="0" w:firstColumn="0" w:lastColumn="0" w:oddVBand="0" w:evenVBand="0" w:oddHBand="1" w:evenHBand="0" w:firstRowFirstColumn="0" w:firstRowLastColumn="0" w:lastRowFirstColumn="0" w:lastRowLastColumn="0"/>
            </w:pPr>
            <w:r>
              <w:t xml:space="preserve">Manure </w:t>
            </w:r>
            <w:r w:rsidR="00023629">
              <w:t>m</w:t>
            </w:r>
            <w:r>
              <w:t>anagement</w:t>
            </w:r>
          </w:p>
          <w:p w14:paraId="3DDB674A" w14:textId="381E4B1A" w:rsidR="00C25602" w:rsidRDefault="00D10DC1" w:rsidP="00537A1C">
            <w:pPr>
              <w:cnfStyle w:val="000000100000" w:firstRow="0" w:lastRow="0" w:firstColumn="0" w:lastColumn="0" w:oddVBand="0" w:evenVBand="0" w:oddHBand="1" w:evenHBand="0" w:firstRowFirstColumn="0" w:firstRowLastColumn="0" w:lastRowFirstColumn="0" w:lastRowLastColumn="0"/>
            </w:pPr>
            <w:r>
              <w:t xml:space="preserve">Agricultural </w:t>
            </w:r>
            <w:r w:rsidR="00023629">
              <w:t>s</w:t>
            </w:r>
            <w:r>
              <w:t>oils</w:t>
            </w:r>
          </w:p>
        </w:tc>
      </w:tr>
      <w:tr w:rsidR="00C25602" w:rsidRPr="00956380" w14:paraId="1D12E8CF" w14:textId="77777777" w:rsidTr="00576A61">
        <w:trPr>
          <w:trHeight w:val="315"/>
        </w:trPr>
        <w:tc>
          <w:tcPr>
            <w:cnfStyle w:val="001000000000" w:firstRow="0" w:lastRow="0" w:firstColumn="1" w:lastColumn="0" w:oddVBand="0" w:evenVBand="0" w:oddHBand="0" w:evenHBand="0" w:firstRowFirstColumn="0" w:firstRowLastColumn="0" w:lastRowFirstColumn="0" w:lastRowLastColumn="0"/>
            <w:tcW w:w="2500" w:type="pct"/>
          </w:tcPr>
          <w:p w14:paraId="2F16C6AB" w14:textId="77777777" w:rsidR="00C25602" w:rsidRDefault="00C25602" w:rsidP="00537A1C">
            <w:pPr>
              <w:rPr>
                <w:lang w:eastAsia="en-AU"/>
              </w:rPr>
            </w:pPr>
            <w:r>
              <w:rPr>
                <w:lang w:eastAsia="en-AU"/>
              </w:rPr>
              <w:t>Grazing beef</w:t>
            </w:r>
          </w:p>
        </w:tc>
        <w:tc>
          <w:tcPr>
            <w:tcW w:w="2500" w:type="pct"/>
          </w:tcPr>
          <w:p w14:paraId="68246BC9" w14:textId="7D3403C0" w:rsidR="00D10DC1" w:rsidRDefault="00D10DC1" w:rsidP="00537A1C">
            <w:pPr>
              <w:cnfStyle w:val="000000000000" w:firstRow="0" w:lastRow="0" w:firstColumn="0" w:lastColumn="0" w:oddVBand="0" w:evenVBand="0" w:oddHBand="0" w:evenHBand="0" w:firstRowFirstColumn="0" w:firstRowLastColumn="0" w:lastRowFirstColumn="0" w:lastRowLastColumn="0"/>
            </w:pPr>
            <w:r>
              <w:t xml:space="preserve">Enteric </w:t>
            </w:r>
            <w:r w:rsidR="00023629">
              <w:t>f</w:t>
            </w:r>
            <w:r>
              <w:t>ermentation</w:t>
            </w:r>
          </w:p>
          <w:p w14:paraId="5847FBDE" w14:textId="4F80DEC0" w:rsidR="00D10DC1" w:rsidRDefault="00D10DC1" w:rsidP="00537A1C">
            <w:pPr>
              <w:cnfStyle w:val="000000000000" w:firstRow="0" w:lastRow="0" w:firstColumn="0" w:lastColumn="0" w:oddVBand="0" w:evenVBand="0" w:oddHBand="0" w:evenHBand="0" w:firstRowFirstColumn="0" w:firstRowLastColumn="0" w:lastRowFirstColumn="0" w:lastRowLastColumn="0"/>
            </w:pPr>
            <w:r>
              <w:t xml:space="preserve">Manure </w:t>
            </w:r>
            <w:r w:rsidR="00023629">
              <w:t>m</w:t>
            </w:r>
            <w:r>
              <w:t>anagement</w:t>
            </w:r>
          </w:p>
          <w:p w14:paraId="2DF25F6A" w14:textId="1DEE4B49" w:rsidR="00C25602" w:rsidRDefault="00D10DC1" w:rsidP="00537A1C">
            <w:pPr>
              <w:cnfStyle w:val="000000000000" w:firstRow="0" w:lastRow="0" w:firstColumn="0" w:lastColumn="0" w:oddVBand="0" w:evenVBand="0" w:oddHBand="0" w:evenHBand="0" w:firstRowFirstColumn="0" w:firstRowLastColumn="0" w:lastRowFirstColumn="0" w:lastRowLastColumn="0"/>
            </w:pPr>
            <w:r>
              <w:t xml:space="preserve">Agricultural </w:t>
            </w:r>
            <w:r w:rsidR="00023629">
              <w:t>s</w:t>
            </w:r>
            <w:r>
              <w:t>oils</w:t>
            </w:r>
          </w:p>
        </w:tc>
      </w:tr>
    </w:tbl>
    <w:p w14:paraId="5FD9CD19" w14:textId="77777777" w:rsidR="00E75C66" w:rsidRDefault="00E75C66" w:rsidP="00537A1C">
      <w:bookmarkStart w:id="44" w:name="_Toc510532008"/>
      <w:bookmarkStart w:id="45" w:name="_Toc510532538"/>
      <w:bookmarkStart w:id="46" w:name="_Toc510534102"/>
      <w:bookmarkStart w:id="47" w:name="_Toc510794631"/>
      <w:bookmarkStart w:id="48" w:name="_Toc511297990"/>
      <w:bookmarkStart w:id="49" w:name="_Toc511304019"/>
      <w:bookmarkStart w:id="50" w:name="_Toc511918023"/>
    </w:p>
    <w:p w14:paraId="67AF6194" w14:textId="77777777" w:rsidR="00E75C66" w:rsidRDefault="00E75C66" w:rsidP="00537A1C">
      <w:r>
        <w:br w:type="page"/>
      </w:r>
    </w:p>
    <w:p w14:paraId="0D8A8B69" w14:textId="3A86E27E" w:rsidR="00B908DE" w:rsidRPr="00942FD9" w:rsidRDefault="000E7071" w:rsidP="00537A1C">
      <w:pPr>
        <w:pStyle w:val="Heading1"/>
      </w:pPr>
      <w:r w:rsidRPr="00B908DE">
        <w:lastRenderedPageBreak/>
        <w:t>Waste</w:t>
      </w:r>
      <w:bookmarkEnd w:id="44"/>
      <w:bookmarkEnd w:id="45"/>
      <w:bookmarkEnd w:id="46"/>
      <w:bookmarkEnd w:id="47"/>
      <w:bookmarkEnd w:id="48"/>
      <w:bookmarkEnd w:id="49"/>
      <w:bookmarkEnd w:id="50"/>
    </w:p>
    <w:p w14:paraId="30D89A81" w14:textId="4C519B3F" w:rsidR="00E4345B" w:rsidRDefault="00972A47" w:rsidP="00537A1C">
      <w:r>
        <w:t xml:space="preserve">The </w:t>
      </w:r>
      <w:r w:rsidR="00601472" w:rsidRPr="00133CD8">
        <w:rPr>
          <w:i/>
        </w:rPr>
        <w:t>waste</w:t>
      </w:r>
      <w:r w:rsidR="00246C18">
        <w:rPr>
          <w:i/>
        </w:rPr>
        <w:t xml:space="preserve"> sector</w:t>
      </w:r>
      <w:r w:rsidR="00601472">
        <w:t xml:space="preserve"> emissions</w:t>
      </w:r>
      <w:r w:rsidR="00942FD9">
        <w:t xml:space="preserve"> projections</w:t>
      </w:r>
      <w:r w:rsidR="00601472">
        <w:t xml:space="preserve"> are prepared by </w:t>
      </w:r>
      <w:r w:rsidR="00966C28">
        <w:t>the department</w:t>
      </w:r>
      <w:r w:rsidR="00246C18">
        <w:t xml:space="preserve">, </w:t>
      </w:r>
      <w:r w:rsidR="00B71EE4">
        <w:t>and include</w:t>
      </w:r>
      <w:r w:rsidR="00601472">
        <w:t xml:space="preserve"> </w:t>
      </w:r>
      <w:r w:rsidR="00966C28">
        <w:t>5</w:t>
      </w:r>
      <w:r w:rsidR="00F602AB">
        <w:t xml:space="preserve"> </w:t>
      </w:r>
      <w:r w:rsidR="00246C18">
        <w:t xml:space="preserve">waste </w:t>
      </w:r>
      <w:r w:rsidR="00601472">
        <w:t xml:space="preserve">subsectors: </w:t>
      </w:r>
    </w:p>
    <w:p w14:paraId="249C3971" w14:textId="71BD9CAE" w:rsidR="00E4345B" w:rsidRDefault="00601472" w:rsidP="000F53BC">
      <w:pPr>
        <w:pStyle w:val="Bullet1"/>
        <w:numPr>
          <w:ilvl w:val="0"/>
          <w:numId w:val="78"/>
        </w:numPr>
      </w:pPr>
      <w:r>
        <w:t>solid waste</w:t>
      </w:r>
      <w:r w:rsidR="00F602AB">
        <w:t xml:space="preserve"> to landfill</w:t>
      </w:r>
    </w:p>
    <w:p w14:paraId="15D83724" w14:textId="1230A32B" w:rsidR="00E4345B" w:rsidRDefault="00F602AB" w:rsidP="000F53BC">
      <w:pPr>
        <w:pStyle w:val="Bullet1"/>
        <w:numPr>
          <w:ilvl w:val="0"/>
          <w:numId w:val="78"/>
        </w:numPr>
      </w:pPr>
      <w:r>
        <w:t>biological treatment of solid waste (</w:t>
      </w:r>
      <w:r w:rsidR="00736DF8">
        <w:t>composting</w:t>
      </w:r>
      <w:r>
        <w:t>)</w:t>
      </w:r>
      <w:r w:rsidR="00736DF8">
        <w:t xml:space="preserve"> </w:t>
      </w:r>
    </w:p>
    <w:p w14:paraId="741E29FC" w14:textId="6EF06815" w:rsidR="00E4345B" w:rsidRDefault="008630EE" w:rsidP="000F53BC">
      <w:pPr>
        <w:pStyle w:val="Bullet1"/>
        <w:numPr>
          <w:ilvl w:val="0"/>
          <w:numId w:val="78"/>
        </w:numPr>
      </w:pPr>
      <w:r>
        <w:t>i</w:t>
      </w:r>
      <w:r w:rsidR="00736DF8">
        <w:t>ncineration</w:t>
      </w:r>
      <w:r w:rsidR="00601472">
        <w:t xml:space="preserve"> </w:t>
      </w:r>
    </w:p>
    <w:p w14:paraId="407CBE1E" w14:textId="0434802A" w:rsidR="00E4345B" w:rsidRDefault="00601472" w:rsidP="000F53BC">
      <w:pPr>
        <w:pStyle w:val="Bullet1"/>
        <w:numPr>
          <w:ilvl w:val="0"/>
          <w:numId w:val="78"/>
        </w:numPr>
      </w:pPr>
      <w:r>
        <w:t>domestic and commercial wastewate</w:t>
      </w:r>
      <w:r w:rsidR="00A75E46">
        <w:t xml:space="preserve">r </w:t>
      </w:r>
    </w:p>
    <w:p w14:paraId="5928C232" w14:textId="66A653C2" w:rsidR="00E4345B" w:rsidRDefault="00A75E46" w:rsidP="000F53BC">
      <w:pPr>
        <w:pStyle w:val="Bullet1"/>
        <w:numPr>
          <w:ilvl w:val="0"/>
          <w:numId w:val="78"/>
        </w:numPr>
      </w:pPr>
      <w:r>
        <w:t xml:space="preserve">industrial wastewater. </w:t>
      </w:r>
    </w:p>
    <w:p w14:paraId="4BC314C1" w14:textId="5FA445E5" w:rsidR="00660094" w:rsidRDefault="00660094">
      <w:pPr>
        <w:pStyle w:val="Bullet1"/>
      </w:pPr>
    </w:p>
    <w:p w14:paraId="5475FD79" w14:textId="3F60092B" w:rsidR="00942FD9" w:rsidRPr="0026611D" w:rsidRDefault="00942FD9" w:rsidP="00537A1C">
      <w:pPr>
        <w:pStyle w:val="Heading2"/>
      </w:pPr>
      <w:r w:rsidRPr="0026611D">
        <w:t>Modelling approach</w:t>
      </w:r>
    </w:p>
    <w:p w14:paraId="73D8C853" w14:textId="6D257045" w:rsidR="00E4345B" w:rsidRDefault="00DB1473" w:rsidP="00537A1C">
      <w:r>
        <w:t>T</w:t>
      </w:r>
      <w:r w:rsidR="006A7654">
        <w:t>he department</w:t>
      </w:r>
      <w:r>
        <w:t xml:space="preserve"> commissioned </w:t>
      </w:r>
      <w:r w:rsidR="00E4345B" w:rsidRPr="00E4345B">
        <w:t xml:space="preserve">Blue Environment, supported by AECOM, </w:t>
      </w:r>
      <w:r>
        <w:t>to</w:t>
      </w:r>
      <w:r w:rsidR="00E4345B" w:rsidRPr="00E4345B">
        <w:t xml:space="preserve"> update the </w:t>
      </w:r>
      <w:r w:rsidR="00E4345B" w:rsidRPr="00E92E74">
        <w:rPr>
          <w:i/>
        </w:rPr>
        <w:t>waste sector</w:t>
      </w:r>
      <w:r w:rsidR="00E4345B" w:rsidRPr="00E4345B">
        <w:t xml:space="preserve"> projections models</w:t>
      </w:r>
      <w:r>
        <w:t xml:space="preserve"> in 2019</w:t>
      </w:r>
      <w:r w:rsidR="00E4345B" w:rsidRPr="00E4345B">
        <w:t xml:space="preserve">. </w:t>
      </w:r>
      <w:r w:rsidR="00B0025F" w:rsidRPr="00B0025F">
        <w:t xml:space="preserve">The </w:t>
      </w:r>
      <w:r w:rsidRPr="00B0025F">
        <w:t>mode</w:t>
      </w:r>
      <w:r>
        <w:t xml:space="preserve">l </w:t>
      </w:r>
      <w:r w:rsidR="00B0025F" w:rsidRPr="00B0025F">
        <w:t>replicate</w:t>
      </w:r>
      <w:r>
        <w:t>s</w:t>
      </w:r>
      <w:r w:rsidR="00B0025F" w:rsidRPr="00B0025F">
        <w:t xml:space="preserve"> the methods for historical emissions</w:t>
      </w:r>
      <w:r>
        <w:t xml:space="preserve"> and was updated this year to</w:t>
      </w:r>
      <w:r w:rsidR="00B0025F" w:rsidRPr="00B0025F">
        <w:t xml:space="preserve"> appl</w:t>
      </w:r>
      <w:r>
        <w:t>y</w:t>
      </w:r>
      <w:r w:rsidR="00B0025F" w:rsidRPr="00B0025F">
        <w:t xml:space="preserve"> </w:t>
      </w:r>
      <w:r w:rsidR="00B0025F">
        <w:t>Australia’s</w:t>
      </w:r>
      <w:r w:rsidR="00B0025F" w:rsidRPr="00B0025F">
        <w:t xml:space="preserve"> </w:t>
      </w:r>
      <w:r w:rsidR="00B0025F" w:rsidRPr="00E92E74">
        <w:rPr>
          <w:i/>
        </w:rPr>
        <w:t>National Inventory Report 201</w:t>
      </w:r>
      <w:r w:rsidR="00F025BD">
        <w:rPr>
          <w:i/>
        </w:rPr>
        <w:t>9</w:t>
      </w:r>
      <w:r w:rsidR="000A3634">
        <w:t xml:space="preserve"> (</w:t>
      </w:r>
      <w:r w:rsidR="00B5648F">
        <w:t>DISER 2021b</w:t>
      </w:r>
      <w:r w:rsidR="000A3634">
        <w:t>)</w:t>
      </w:r>
      <w:r w:rsidR="00B0025F" w:rsidRPr="00B0025F">
        <w:t xml:space="preserve">. For the solid waste sector the modelling </w:t>
      </w:r>
      <w:r>
        <w:t>i</w:t>
      </w:r>
      <w:r w:rsidR="00B0025F" w:rsidRPr="00B0025F">
        <w:t>s completed on a site-specific basis to take account of the emission characteristics for individual landfills.</w:t>
      </w:r>
    </w:p>
    <w:p w14:paraId="316560EB" w14:textId="2F1D222A" w:rsidR="003B6847" w:rsidRPr="0026611D" w:rsidRDefault="00872B2B" w:rsidP="00537A1C">
      <w:pPr>
        <w:pStyle w:val="Heading3"/>
      </w:pPr>
      <w:r w:rsidRPr="0026611D">
        <w:t xml:space="preserve">Solid </w:t>
      </w:r>
      <w:r w:rsidR="00596E05">
        <w:t>w</w:t>
      </w:r>
      <w:r w:rsidRPr="0026611D">
        <w:t xml:space="preserve">aste </w:t>
      </w:r>
      <w:r w:rsidR="00596E05">
        <w:t>d</w:t>
      </w:r>
      <w:r w:rsidRPr="0026611D">
        <w:t xml:space="preserve">eposited at </w:t>
      </w:r>
      <w:r w:rsidR="00596E05">
        <w:t>l</w:t>
      </w:r>
      <w:r w:rsidR="003B6847" w:rsidRPr="0026611D">
        <w:t>andfill</w:t>
      </w:r>
      <w:r w:rsidRPr="0026611D">
        <w:t>s</w:t>
      </w:r>
    </w:p>
    <w:p w14:paraId="7AB10576" w14:textId="143706BD" w:rsidR="009536D2" w:rsidRDefault="009536D2" w:rsidP="00F672A1">
      <w:r w:rsidRPr="00E92E74">
        <w:t>For landfills, despite strong population growth, total disposal quantities have fallen over the last decade due to declining per capita rates</w:t>
      </w:r>
      <w:r>
        <w:t xml:space="preserve">. This trend is projected to continue to 2030. </w:t>
      </w:r>
    </w:p>
    <w:p w14:paraId="09734966" w14:textId="77777777" w:rsidR="00872B2B" w:rsidRPr="00E92E74" w:rsidRDefault="00872B2B" w:rsidP="00F672A1">
      <w:r w:rsidRPr="00E92E74">
        <w:t>Waste quantities are recorded and reported by source stream which consists of:</w:t>
      </w:r>
    </w:p>
    <w:p w14:paraId="26D37C10" w14:textId="0BB47B94" w:rsidR="00872B2B" w:rsidRPr="00660094" w:rsidRDefault="00872B2B" w:rsidP="000F53BC">
      <w:pPr>
        <w:pStyle w:val="Bullet1"/>
        <w:numPr>
          <w:ilvl w:val="0"/>
          <w:numId w:val="79"/>
        </w:numPr>
        <w:rPr>
          <w:rFonts w:eastAsia="Calibri"/>
        </w:rPr>
      </w:pPr>
      <w:r w:rsidRPr="00660094">
        <w:rPr>
          <w:rFonts w:eastAsia="Calibri"/>
        </w:rPr>
        <w:t>municipal solid waste (MSW)</w:t>
      </w:r>
    </w:p>
    <w:p w14:paraId="1A4B3986" w14:textId="25F599D6" w:rsidR="00872B2B" w:rsidRPr="00660094" w:rsidRDefault="00872B2B" w:rsidP="000F53BC">
      <w:pPr>
        <w:pStyle w:val="Bullet1"/>
        <w:numPr>
          <w:ilvl w:val="0"/>
          <w:numId w:val="79"/>
        </w:numPr>
        <w:rPr>
          <w:rFonts w:eastAsia="Calibri"/>
        </w:rPr>
      </w:pPr>
      <w:r w:rsidRPr="00660094">
        <w:rPr>
          <w:rFonts w:eastAsia="Calibri"/>
        </w:rPr>
        <w:t xml:space="preserve">commercial and industrial (C&amp;I) waste </w:t>
      </w:r>
    </w:p>
    <w:p w14:paraId="52EA76A3" w14:textId="77777777" w:rsidR="00872B2B" w:rsidRDefault="00872B2B" w:rsidP="000F53BC">
      <w:pPr>
        <w:pStyle w:val="Bullet1"/>
        <w:numPr>
          <w:ilvl w:val="0"/>
          <w:numId w:val="79"/>
        </w:numPr>
        <w:rPr>
          <w:rFonts w:eastAsia="Calibri"/>
        </w:rPr>
      </w:pPr>
      <w:r w:rsidRPr="00660094">
        <w:rPr>
          <w:rFonts w:eastAsia="Calibri"/>
        </w:rPr>
        <w:t>construction and demolition (C&amp;D) waste.</w:t>
      </w:r>
    </w:p>
    <w:p w14:paraId="177040BB" w14:textId="77777777" w:rsidR="001639DD" w:rsidRPr="00660094" w:rsidRDefault="001639DD">
      <w:pPr>
        <w:pStyle w:val="Bullet1"/>
        <w:rPr>
          <w:rFonts w:eastAsia="Calibri"/>
        </w:rPr>
      </w:pPr>
    </w:p>
    <w:p w14:paraId="79DFB270" w14:textId="5A1B5BA4" w:rsidR="00990497" w:rsidRDefault="009536D2" w:rsidP="00F672A1">
      <w:r w:rsidRPr="00E92E74">
        <w:t>The projections take account of</w:t>
      </w:r>
      <w:r>
        <w:t xml:space="preserve"> policies and measures at various levels of </w:t>
      </w:r>
      <w:r w:rsidR="00596E05">
        <w:t>g</w:t>
      </w:r>
      <w:r>
        <w:t xml:space="preserve">overnment including </w:t>
      </w:r>
      <w:r w:rsidRPr="00E92E74">
        <w:t>the National Food Waste Strategy (50</w:t>
      </w:r>
      <w:r w:rsidR="00F025BD">
        <w:t>%</w:t>
      </w:r>
      <w:r w:rsidRPr="00E92E74">
        <w:t xml:space="preserve"> reduction in food waste per capita by 2030)</w:t>
      </w:r>
      <w:r w:rsidR="00E75C66">
        <w:t>,</w:t>
      </w:r>
      <w:r w:rsidR="00872B2B">
        <w:t xml:space="preserve"> which changes the mix of waste in the MSW and C&amp;I waste stream</w:t>
      </w:r>
      <w:r w:rsidR="00E75C66">
        <w:t>s</w:t>
      </w:r>
      <w:r w:rsidR="00872B2B">
        <w:t xml:space="preserve">. </w:t>
      </w:r>
      <w:r w:rsidR="00990497" w:rsidRPr="00990497">
        <w:t>The Recycling Modernisation Fund (RMF) was also included to account for the $190 million in government funding to generate investment in recycling. The RMF aims at generating $600 million in private investment as part of the national resource recovery target of 80</w:t>
      </w:r>
      <w:r w:rsidR="00F025BD">
        <w:t>%</w:t>
      </w:r>
      <w:r w:rsidR="00990497" w:rsidRPr="00990497">
        <w:t xml:space="preserve"> by 2030. The fund is expected to divert over 10 million tonnes of waste from landfill.</w:t>
      </w:r>
      <w:r w:rsidR="00990497">
        <w:t xml:space="preserve"> </w:t>
      </w:r>
    </w:p>
    <w:p w14:paraId="3E64C784" w14:textId="3475D743" w:rsidR="00872B2B" w:rsidRPr="00E92E74" w:rsidRDefault="00872B2B" w:rsidP="00F672A1">
      <w:r>
        <w:t>The projections also take account of</w:t>
      </w:r>
      <w:r w:rsidR="009536D2" w:rsidRPr="00E92E74">
        <w:t xml:space="preserve"> commitments made by state and territory governments to reduce waste generation and increase recovery</w:t>
      </w:r>
      <w:r>
        <w:t xml:space="preserve"> as outlined in </w:t>
      </w:r>
      <w:r w:rsidR="00DE4D5B">
        <w:t>T</w:t>
      </w:r>
      <w:r>
        <w:t xml:space="preserve">able </w:t>
      </w:r>
      <w:r w:rsidR="004C7141">
        <w:t>12</w:t>
      </w:r>
      <w:r>
        <w:t xml:space="preserve"> below. </w:t>
      </w:r>
    </w:p>
    <w:p w14:paraId="4874AA43" w14:textId="533163B9" w:rsidR="00872B2B" w:rsidRPr="008D3B7C" w:rsidRDefault="00872B2B" w:rsidP="00537A1C">
      <w:pPr>
        <w:pStyle w:val="Caption"/>
        <w:rPr>
          <w:vertAlign w:val="superscript"/>
        </w:rPr>
      </w:pPr>
      <w:bookmarkStart w:id="51" w:name="_Toc22831855"/>
      <w:r w:rsidRPr="00E92E74">
        <w:t xml:space="preserve">Table </w:t>
      </w:r>
      <w:r w:rsidR="004C7141">
        <w:t>12</w:t>
      </w:r>
      <w:r w:rsidR="00DE4D5B" w:rsidRPr="00E92E74">
        <w:t>.</w:t>
      </w:r>
      <w:r w:rsidR="00660094">
        <w:t xml:space="preserve"> </w:t>
      </w:r>
      <w:r w:rsidRPr="00E92E74">
        <w:t>State and territory resource recovery targets</w:t>
      </w:r>
      <w:bookmarkEnd w:id="51"/>
      <w:r w:rsidR="008734C9">
        <w:rPr>
          <w:vertAlign w:val="superscript"/>
        </w:rPr>
        <w:t>4</w:t>
      </w:r>
    </w:p>
    <w:tbl>
      <w:tblPr>
        <w:tblStyle w:val="ListTable3-Accent3"/>
        <w:tblW w:w="5000" w:type="pct"/>
        <w:tblLook w:val="04A0" w:firstRow="1" w:lastRow="0" w:firstColumn="1" w:lastColumn="0" w:noHBand="0" w:noVBand="1"/>
        <w:tblCaption w:val="State and territory resource recovery targets"/>
        <w:tblDescription w:val="Table offers the state and territory resource recovery targets for each waste stream (municipal solid waste, commercial and industrial waste, and construction and demolition waste) as well as the source for each state resource recovery target. The year that the resource recovery target is intended to be met is also included for each state and territory."/>
      </w:tblPr>
      <w:tblGrid>
        <w:gridCol w:w="984"/>
        <w:gridCol w:w="981"/>
        <w:gridCol w:w="883"/>
        <w:gridCol w:w="1055"/>
        <w:gridCol w:w="883"/>
        <w:gridCol w:w="928"/>
        <w:gridCol w:w="3488"/>
      </w:tblGrid>
      <w:tr w:rsidR="008734C9" w14:paraId="4EAC0CDF" w14:textId="77777777" w:rsidTr="008D3B7C">
        <w:trPr>
          <w:cnfStyle w:val="100000000000" w:firstRow="1" w:lastRow="0" w:firstColumn="0" w:lastColumn="0" w:oddVBand="0" w:evenVBand="0" w:oddHBand="0" w:evenHBand="0" w:firstRowFirstColumn="0" w:firstRowLastColumn="0" w:lastRowFirstColumn="0" w:lastRowLastColumn="0"/>
          <w:trHeight w:val="757"/>
          <w:tblHeader/>
        </w:trPr>
        <w:tc>
          <w:tcPr>
            <w:cnfStyle w:val="001000000100" w:firstRow="0" w:lastRow="0" w:firstColumn="1" w:lastColumn="0" w:oddVBand="0" w:evenVBand="0" w:oddHBand="0" w:evenHBand="0" w:firstRowFirstColumn="1" w:firstRowLastColumn="0" w:lastRowFirstColumn="0" w:lastRowLastColumn="0"/>
            <w:tcW w:w="535" w:type="pct"/>
          </w:tcPr>
          <w:p w14:paraId="3EB4A967" w14:textId="77777777" w:rsidR="008734C9" w:rsidRDefault="008734C9" w:rsidP="00537A1C">
            <w:pPr>
              <w:rPr>
                <w:lang w:eastAsia="en-AU"/>
              </w:rPr>
            </w:pPr>
          </w:p>
        </w:tc>
        <w:tc>
          <w:tcPr>
            <w:tcW w:w="533" w:type="pct"/>
          </w:tcPr>
          <w:p w14:paraId="33D39ED3" w14:textId="77777777" w:rsidR="008734C9" w:rsidRPr="00E92E74" w:rsidRDefault="008734C9" w:rsidP="00537A1C">
            <w:pPr>
              <w:cnfStyle w:val="100000000000" w:firstRow="1" w:lastRow="0" w:firstColumn="0" w:lastColumn="0" w:oddVBand="0" w:evenVBand="0" w:oddHBand="0" w:evenHBand="0" w:firstRowFirstColumn="0" w:firstRowLastColumn="0" w:lastRowFirstColumn="0" w:lastRowLastColumn="0"/>
              <w:rPr>
                <w:rFonts w:ascii="Arial" w:hAnsi="Arial"/>
                <w:lang w:eastAsia="en-AU"/>
              </w:rPr>
            </w:pPr>
            <w:r w:rsidRPr="00E92E74">
              <w:rPr>
                <w:lang w:eastAsia="en-AU"/>
              </w:rPr>
              <w:t>Year</w:t>
            </w:r>
          </w:p>
        </w:tc>
        <w:tc>
          <w:tcPr>
            <w:tcW w:w="480" w:type="pct"/>
          </w:tcPr>
          <w:p w14:paraId="72001417" w14:textId="68F48538" w:rsidR="008734C9" w:rsidRPr="00E92E74" w:rsidRDefault="008734C9" w:rsidP="00537A1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All</w:t>
            </w:r>
          </w:p>
        </w:tc>
        <w:tc>
          <w:tcPr>
            <w:tcW w:w="573" w:type="pct"/>
          </w:tcPr>
          <w:p w14:paraId="62FDF4F0" w14:textId="3CBCA4BD" w:rsidR="008734C9" w:rsidRPr="00E92E74" w:rsidRDefault="008734C9" w:rsidP="00537A1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MSW</w:t>
            </w:r>
          </w:p>
        </w:tc>
        <w:tc>
          <w:tcPr>
            <w:tcW w:w="480" w:type="pct"/>
          </w:tcPr>
          <w:p w14:paraId="4FA25F53" w14:textId="025631E9" w:rsidR="008734C9" w:rsidRPr="00E92E74" w:rsidRDefault="008734C9" w:rsidP="00537A1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C&amp;I</w:t>
            </w:r>
          </w:p>
        </w:tc>
        <w:tc>
          <w:tcPr>
            <w:tcW w:w="504" w:type="pct"/>
          </w:tcPr>
          <w:p w14:paraId="46E059D8" w14:textId="478FA012" w:rsidR="008734C9" w:rsidRPr="00E92E74" w:rsidRDefault="008734C9" w:rsidP="00537A1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C&amp;D</w:t>
            </w:r>
          </w:p>
        </w:tc>
        <w:tc>
          <w:tcPr>
            <w:tcW w:w="1895" w:type="pct"/>
          </w:tcPr>
          <w:p w14:paraId="3CDEE961" w14:textId="77777777" w:rsidR="008734C9" w:rsidRPr="00E92E74" w:rsidRDefault="008734C9" w:rsidP="00537A1C">
            <w:pPr>
              <w:cnfStyle w:val="100000000000" w:firstRow="1" w:lastRow="0" w:firstColumn="0" w:lastColumn="0" w:oddVBand="0" w:evenVBand="0" w:oddHBand="0" w:evenHBand="0" w:firstRowFirstColumn="0" w:firstRowLastColumn="0" w:lastRowFirstColumn="0" w:lastRowLastColumn="0"/>
              <w:rPr>
                <w:rFonts w:ascii="Arial" w:hAnsi="Arial"/>
                <w:lang w:eastAsia="en-AU"/>
              </w:rPr>
            </w:pPr>
            <w:r w:rsidRPr="00E92E74">
              <w:rPr>
                <w:lang w:eastAsia="en-AU"/>
              </w:rPr>
              <w:t>Source</w:t>
            </w:r>
          </w:p>
        </w:tc>
      </w:tr>
      <w:tr w:rsidR="008734C9" w14:paraId="613A2C10" w14:textId="77777777" w:rsidTr="008D3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pct"/>
          </w:tcPr>
          <w:p w14:paraId="3976B0A9" w14:textId="0993FF72" w:rsidR="008734C9" w:rsidRPr="00E92E74" w:rsidRDefault="008734C9" w:rsidP="008734C9">
            <w:pPr>
              <w:rPr>
                <w:rFonts w:ascii="Arial" w:hAnsi="Arial"/>
                <w:lang w:eastAsia="en-AU"/>
              </w:rPr>
            </w:pPr>
            <w:r w:rsidRPr="00854B8E">
              <w:rPr>
                <w:lang w:eastAsia="en-AU"/>
              </w:rPr>
              <w:t>ACT</w:t>
            </w:r>
          </w:p>
        </w:tc>
        <w:tc>
          <w:tcPr>
            <w:tcW w:w="533" w:type="pct"/>
          </w:tcPr>
          <w:p w14:paraId="19642195" w14:textId="77777777"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rFonts w:ascii="Arial" w:hAnsi="Arial"/>
                <w:lang w:eastAsia="en-AU"/>
              </w:rPr>
            </w:pPr>
            <w:r w:rsidRPr="00854B8E">
              <w:rPr>
                <w:lang w:eastAsia="en-AU"/>
              </w:rPr>
              <w:t>2025</w:t>
            </w:r>
          </w:p>
        </w:tc>
        <w:tc>
          <w:tcPr>
            <w:tcW w:w="480" w:type="pct"/>
          </w:tcPr>
          <w:p w14:paraId="195C221F" w14:textId="227BD5B5"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E92E74">
              <w:rPr>
                <w:lang w:eastAsia="en-AU"/>
              </w:rPr>
              <w:t>80%</w:t>
            </w:r>
          </w:p>
        </w:tc>
        <w:tc>
          <w:tcPr>
            <w:tcW w:w="573" w:type="pct"/>
          </w:tcPr>
          <w:p w14:paraId="49497E6F" w14:textId="12BC6107"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E92E74">
              <w:rPr>
                <w:lang w:eastAsia="en-AU"/>
              </w:rPr>
              <w:t>85%</w:t>
            </w:r>
          </w:p>
        </w:tc>
        <w:tc>
          <w:tcPr>
            <w:tcW w:w="480" w:type="pct"/>
          </w:tcPr>
          <w:p w14:paraId="4B4ECD14" w14:textId="42B50F49"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E92E74">
              <w:rPr>
                <w:lang w:eastAsia="en-AU"/>
              </w:rPr>
              <w:t>90%</w:t>
            </w:r>
          </w:p>
        </w:tc>
        <w:tc>
          <w:tcPr>
            <w:tcW w:w="504" w:type="pct"/>
          </w:tcPr>
          <w:p w14:paraId="6DE6244C" w14:textId="3718333E"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E92E74">
              <w:rPr>
                <w:lang w:eastAsia="en-AU"/>
              </w:rPr>
              <w:t>95%</w:t>
            </w:r>
          </w:p>
        </w:tc>
        <w:tc>
          <w:tcPr>
            <w:tcW w:w="1895" w:type="pct"/>
          </w:tcPr>
          <w:p w14:paraId="66763E20" w14:textId="37BA852E"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rFonts w:ascii="Arial" w:hAnsi="Arial"/>
                <w:lang w:eastAsia="en-AU"/>
              </w:rPr>
            </w:pPr>
            <w:r w:rsidRPr="00E92E74">
              <w:rPr>
                <w:lang w:eastAsia="en-AU"/>
              </w:rPr>
              <w:t>ACT Government, 2011</w:t>
            </w:r>
          </w:p>
        </w:tc>
      </w:tr>
      <w:tr w:rsidR="008734C9" w14:paraId="4D1F846D" w14:textId="77777777" w:rsidTr="008D3B7C">
        <w:tc>
          <w:tcPr>
            <w:cnfStyle w:val="001000000000" w:firstRow="0" w:lastRow="0" w:firstColumn="1" w:lastColumn="0" w:oddVBand="0" w:evenVBand="0" w:oddHBand="0" w:evenHBand="0" w:firstRowFirstColumn="0" w:firstRowLastColumn="0" w:lastRowFirstColumn="0" w:lastRowLastColumn="0"/>
            <w:tcW w:w="535" w:type="pct"/>
          </w:tcPr>
          <w:p w14:paraId="0FB944DF" w14:textId="1C385250" w:rsidR="008734C9" w:rsidRPr="00E92E74" w:rsidRDefault="008734C9" w:rsidP="008734C9">
            <w:pPr>
              <w:rPr>
                <w:rFonts w:ascii="Arial" w:hAnsi="Arial"/>
                <w:lang w:eastAsia="en-AU"/>
              </w:rPr>
            </w:pPr>
            <w:r w:rsidRPr="00854B8E">
              <w:rPr>
                <w:lang w:eastAsia="en-AU"/>
              </w:rPr>
              <w:t>NSW</w:t>
            </w:r>
          </w:p>
        </w:tc>
        <w:tc>
          <w:tcPr>
            <w:tcW w:w="533" w:type="pct"/>
          </w:tcPr>
          <w:p w14:paraId="5193D76F" w14:textId="77777777"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54B8E">
              <w:rPr>
                <w:lang w:eastAsia="en-AU"/>
              </w:rPr>
              <w:t>2022</w:t>
            </w:r>
          </w:p>
        </w:tc>
        <w:tc>
          <w:tcPr>
            <w:tcW w:w="480" w:type="pct"/>
          </w:tcPr>
          <w:p w14:paraId="71C4D11B" w14:textId="54D096AF"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lang w:eastAsia="en-AU"/>
              </w:rPr>
            </w:pPr>
          </w:p>
        </w:tc>
        <w:tc>
          <w:tcPr>
            <w:tcW w:w="573" w:type="pct"/>
          </w:tcPr>
          <w:p w14:paraId="1BFBBA17" w14:textId="716A252B"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lang w:eastAsia="en-AU"/>
              </w:rPr>
            </w:pPr>
            <w:r w:rsidRPr="00854B8E">
              <w:rPr>
                <w:lang w:eastAsia="en-AU"/>
              </w:rPr>
              <w:t>70%</w:t>
            </w:r>
          </w:p>
        </w:tc>
        <w:tc>
          <w:tcPr>
            <w:tcW w:w="480" w:type="pct"/>
          </w:tcPr>
          <w:p w14:paraId="1A8B4B4F" w14:textId="17BC2462"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lang w:eastAsia="en-AU"/>
              </w:rPr>
            </w:pPr>
            <w:r w:rsidRPr="00854B8E">
              <w:rPr>
                <w:lang w:eastAsia="en-AU"/>
              </w:rPr>
              <w:t>70%</w:t>
            </w:r>
          </w:p>
        </w:tc>
        <w:tc>
          <w:tcPr>
            <w:tcW w:w="504" w:type="pct"/>
          </w:tcPr>
          <w:p w14:paraId="47991E8B" w14:textId="27CC7EF2"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lang w:eastAsia="en-AU"/>
              </w:rPr>
            </w:pPr>
            <w:r w:rsidRPr="00854B8E">
              <w:rPr>
                <w:lang w:eastAsia="en-AU"/>
              </w:rPr>
              <w:t>80%</w:t>
            </w:r>
          </w:p>
        </w:tc>
        <w:tc>
          <w:tcPr>
            <w:tcW w:w="1895" w:type="pct"/>
          </w:tcPr>
          <w:p w14:paraId="6A229E4B" w14:textId="69311D27"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E92E74">
              <w:t>NSW Environment Protection Authority, 2014</w:t>
            </w:r>
          </w:p>
        </w:tc>
      </w:tr>
      <w:tr w:rsidR="008734C9" w14:paraId="7A98F798" w14:textId="77777777" w:rsidTr="008D3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pct"/>
          </w:tcPr>
          <w:p w14:paraId="4D2839FD" w14:textId="60EFC3A3" w:rsidR="008734C9" w:rsidRPr="00E92E74" w:rsidRDefault="008734C9" w:rsidP="008734C9">
            <w:pPr>
              <w:rPr>
                <w:rFonts w:ascii="Arial" w:hAnsi="Arial"/>
                <w:lang w:eastAsia="en-AU"/>
              </w:rPr>
            </w:pPr>
            <w:r w:rsidRPr="00854B8E">
              <w:rPr>
                <w:lang w:eastAsia="en-AU"/>
              </w:rPr>
              <w:lastRenderedPageBreak/>
              <w:t>Qld</w:t>
            </w:r>
          </w:p>
        </w:tc>
        <w:tc>
          <w:tcPr>
            <w:tcW w:w="533" w:type="pct"/>
          </w:tcPr>
          <w:p w14:paraId="1B458A6F" w14:textId="77777777"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rFonts w:ascii="Arial" w:hAnsi="Arial"/>
                <w:lang w:eastAsia="en-AU"/>
              </w:rPr>
            </w:pPr>
            <w:r w:rsidRPr="00854B8E">
              <w:rPr>
                <w:lang w:eastAsia="en-AU"/>
              </w:rPr>
              <w:t>2030</w:t>
            </w:r>
          </w:p>
        </w:tc>
        <w:tc>
          <w:tcPr>
            <w:tcW w:w="480" w:type="pct"/>
          </w:tcPr>
          <w:p w14:paraId="5EED43CD" w14:textId="4CA38268"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p>
        </w:tc>
        <w:tc>
          <w:tcPr>
            <w:tcW w:w="573" w:type="pct"/>
          </w:tcPr>
          <w:p w14:paraId="5425168B" w14:textId="47B32C19"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854B8E">
              <w:rPr>
                <w:lang w:eastAsia="en-AU"/>
              </w:rPr>
              <w:t>60%</w:t>
            </w:r>
          </w:p>
        </w:tc>
        <w:tc>
          <w:tcPr>
            <w:tcW w:w="480" w:type="pct"/>
          </w:tcPr>
          <w:p w14:paraId="0441067F" w14:textId="2D6B81C9"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854B8E">
              <w:rPr>
                <w:lang w:eastAsia="en-AU"/>
              </w:rPr>
              <w:t>60%</w:t>
            </w:r>
          </w:p>
        </w:tc>
        <w:tc>
          <w:tcPr>
            <w:tcW w:w="504" w:type="pct"/>
          </w:tcPr>
          <w:p w14:paraId="764FF56F" w14:textId="105ED929"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854B8E">
              <w:rPr>
                <w:lang w:eastAsia="en-AU"/>
              </w:rPr>
              <w:t>80%</w:t>
            </w:r>
          </w:p>
        </w:tc>
        <w:tc>
          <w:tcPr>
            <w:tcW w:w="1895" w:type="pct"/>
          </w:tcPr>
          <w:p w14:paraId="321F6CAD" w14:textId="392F26C9"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rFonts w:ascii="Arial" w:hAnsi="Arial"/>
                <w:lang w:eastAsia="en-AU"/>
              </w:rPr>
            </w:pPr>
            <w:r w:rsidRPr="00E92E74">
              <w:rPr>
                <w:lang w:eastAsia="en-AU"/>
              </w:rPr>
              <w:t>Queensland Government, 2019</w:t>
            </w:r>
          </w:p>
        </w:tc>
      </w:tr>
      <w:tr w:rsidR="008734C9" w14:paraId="3992F1BD" w14:textId="77777777" w:rsidTr="008D3B7C">
        <w:tc>
          <w:tcPr>
            <w:cnfStyle w:val="001000000000" w:firstRow="0" w:lastRow="0" w:firstColumn="1" w:lastColumn="0" w:oddVBand="0" w:evenVBand="0" w:oddHBand="0" w:evenHBand="0" w:firstRowFirstColumn="0" w:firstRowLastColumn="0" w:lastRowFirstColumn="0" w:lastRowLastColumn="0"/>
            <w:tcW w:w="535" w:type="pct"/>
            <w:vMerge w:val="restart"/>
          </w:tcPr>
          <w:p w14:paraId="20A75FC9" w14:textId="1AC2AB37" w:rsidR="008734C9" w:rsidRPr="00E92E74" w:rsidRDefault="008734C9" w:rsidP="008734C9">
            <w:pPr>
              <w:rPr>
                <w:rFonts w:ascii="Arial" w:hAnsi="Arial"/>
                <w:lang w:eastAsia="en-AU"/>
              </w:rPr>
            </w:pPr>
            <w:r w:rsidRPr="00854B8E">
              <w:rPr>
                <w:lang w:eastAsia="en-AU"/>
              </w:rPr>
              <w:t>WA</w:t>
            </w:r>
          </w:p>
        </w:tc>
        <w:tc>
          <w:tcPr>
            <w:tcW w:w="533" w:type="pct"/>
          </w:tcPr>
          <w:p w14:paraId="501267ED" w14:textId="77777777"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54B8E">
              <w:rPr>
                <w:lang w:eastAsia="en-AU"/>
              </w:rPr>
              <w:t>2025</w:t>
            </w:r>
          </w:p>
        </w:tc>
        <w:tc>
          <w:tcPr>
            <w:tcW w:w="480" w:type="pct"/>
          </w:tcPr>
          <w:p w14:paraId="6836E691" w14:textId="0D1A6DA4"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lang w:eastAsia="en-AU"/>
              </w:rPr>
            </w:pPr>
            <w:r w:rsidRPr="00E92E74">
              <w:rPr>
                <w:lang w:eastAsia="en-AU"/>
              </w:rPr>
              <w:t>70%</w:t>
            </w:r>
          </w:p>
        </w:tc>
        <w:tc>
          <w:tcPr>
            <w:tcW w:w="573" w:type="pct"/>
          </w:tcPr>
          <w:p w14:paraId="28C89FF0" w14:textId="0834DA27"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lang w:eastAsia="en-AU"/>
              </w:rPr>
            </w:pPr>
            <w:r w:rsidRPr="00E92E74">
              <w:rPr>
                <w:lang w:eastAsia="en-AU"/>
              </w:rPr>
              <w:t>65%</w:t>
            </w:r>
          </w:p>
        </w:tc>
        <w:tc>
          <w:tcPr>
            <w:tcW w:w="480" w:type="pct"/>
          </w:tcPr>
          <w:p w14:paraId="01412ADC" w14:textId="223C50E8"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lang w:eastAsia="en-AU"/>
              </w:rPr>
            </w:pPr>
            <w:r w:rsidRPr="00E92E74">
              <w:rPr>
                <w:lang w:eastAsia="en-AU"/>
              </w:rPr>
              <w:t>70%</w:t>
            </w:r>
          </w:p>
        </w:tc>
        <w:tc>
          <w:tcPr>
            <w:tcW w:w="504" w:type="pct"/>
          </w:tcPr>
          <w:p w14:paraId="6671A3A4" w14:textId="306F3934"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lang w:eastAsia="en-AU"/>
              </w:rPr>
            </w:pPr>
            <w:r w:rsidRPr="00E92E74">
              <w:rPr>
                <w:lang w:eastAsia="en-AU"/>
              </w:rPr>
              <w:t>75%</w:t>
            </w:r>
          </w:p>
        </w:tc>
        <w:tc>
          <w:tcPr>
            <w:tcW w:w="1895" w:type="pct"/>
            <w:vMerge w:val="restart"/>
          </w:tcPr>
          <w:p w14:paraId="50FDF453" w14:textId="67ED6EDB" w:rsidR="008734C9" w:rsidRPr="00E92E74" w:rsidRDefault="008734C9" w:rsidP="008734C9">
            <w:pPr>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E92E74">
              <w:rPr>
                <w:lang w:eastAsia="en-AU"/>
              </w:rPr>
              <w:t>WA Waste Authority, 2018</w:t>
            </w:r>
          </w:p>
        </w:tc>
      </w:tr>
      <w:tr w:rsidR="008734C9" w14:paraId="60FFF342" w14:textId="77777777" w:rsidTr="008D3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pct"/>
            <w:vMerge/>
          </w:tcPr>
          <w:p w14:paraId="5550B47A" w14:textId="77777777" w:rsidR="008734C9" w:rsidRDefault="008734C9" w:rsidP="008734C9">
            <w:pPr>
              <w:rPr>
                <w:lang w:eastAsia="en-AU"/>
              </w:rPr>
            </w:pPr>
          </w:p>
        </w:tc>
        <w:tc>
          <w:tcPr>
            <w:tcW w:w="533" w:type="pct"/>
          </w:tcPr>
          <w:p w14:paraId="14289DD7" w14:textId="2F68F0DF"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rFonts w:ascii="Arial" w:hAnsi="Arial"/>
                <w:lang w:eastAsia="en-AU"/>
              </w:rPr>
            </w:pPr>
            <w:r w:rsidRPr="00854B8E">
              <w:rPr>
                <w:lang w:eastAsia="en-AU"/>
              </w:rPr>
              <w:t>2030</w:t>
            </w:r>
          </w:p>
        </w:tc>
        <w:tc>
          <w:tcPr>
            <w:tcW w:w="480" w:type="pct"/>
          </w:tcPr>
          <w:p w14:paraId="63D1EF20" w14:textId="512EF54C"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E92E74">
              <w:rPr>
                <w:lang w:eastAsia="en-AU"/>
              </w:rPr>
              <w:t>75%</w:t>
            </w:r>
          </w:p>
        </w:tc>
        <w:tc>
          <w:tcPr>
            <w:tcW w:w="573" w:type="pct"/>
          </w:tcPr>
          <w:p w14:paraId="1EBB6B13" w14:textId="6EA1B22D"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E92E74">
              <w:rPr>
                <w:lang w:eastAsia="en-AU"/>
              </w:rPr>
              <w:t>70%</w:t>
            </w:r>
          </w:p>
        </w:tc>
        <w:tc>
          <w:tcPr>
            <w:tcW w:w="480" w:type="pct"/>
          </w:tcPr>
          <w:p w14:paraId="67386F19" w14:textId="7EF889ED"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E92E74">
              <w:rPr>
                <w:lang w:eastAsia="en-AU"/>
              </w:rPr>
              <w:t>75%</w:t>
            </w:r>
          </w:p>
        </w:tc>
        <w:tc>
          <w:tcPr>
            <w:tcW w:w="504" w:type="pct"/>
          </w:tcPr>
          <w:p w14:paraId="05AD1055" w14:textId="35F2584F" w:rsidR="008734C9" w:rsidRPr="00E92E74"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r w:rsidRPr="00E92E74">
              <w:rPr>
                <w:lang w:eastAsia="en-AU"/>
              </w:rPr>
              <w:t>80%</w:t>
            </w:r>
          </w:p>
        </w:tc>
        <w:tc>
          <w:tcPr>
            <w:tcW w:w="1895" w:type="pct"/>
            <w:vMerge/>
          </w:tcPr>
          <w:p w14:paraId="2EC5454A" w14:textId="77777777" w:rsidR="008734C9" w:rsidRPr="00A804E2" w:rsidRDefault="008734C9" w:rsidP="008734C9">
            <w:pPr>
              <w:cnfStyle w:val="000000100000" w:firstRow="0" w:lastRow="0" w:firstColumn="0" w:lastColumn="0" w:oddVBand="0" w:evenVBand="0" w:oddHBand="1" w:evenHBand="0" w:firstRowFirstColumn="0" w:firstRowLastColumn="0" w:lastRowFirstColumn="0" w:lastRowLastColumn="0"/>
              <w:rPr>
                <w:lang w:eastAsia="en-AU"/>
              </w:rPr>
            </w:pPr>
          </w:p>
        </w:tc>
      </w:tr>
    </w:tbl>
    <w:p w14:paraId="5B470B7B" w14:textId="71ACF0EE" w:rsidR="008734C9" w:rsidRDefault="008660A8" w:rsidP="00445022">
      <w:pPr>
        <w:pStyle w:val="Footnote"/>
        <w:rPr>
          <w:lang w:eastAsia="en-AU"/>
        </w:rPr>
      </w:pPr>
      <w:r w:rsidRPr="008660A8">
        <w:rPr>
          <w:vertAlign w:val="superscript"/>
          <w:lang w:eastAsia="en-AU"/>
        </w:rPr>
        <w:t>4</w:t>
      </w:r>
      <w:r w:rsidR="00C02416">
        <w:rPr>
          <w:lang w:eastAsia="en-AU"/>
        </w:rPr>
        <w:t xml:space="preserve"> </w:t>
      </w:r>
      <w:r w:rsidR="00872B2B" w:rsidRPr="003635EE">
        <w:rPr>
          <w:lang w:eastAsia="en-AU"/>
        </w:rPr>
        <w:t>Based on the National Waste Report 20</w:t>
      </w:r>
      <w:r w:rsidR="00B5648F">
        <w:rPr>
          <w:lang w:eastAsia="en-AU"/>
        </w:rPr>
        <w:t>20</w:t>
      </w:r>
      <w:r w:rsidR="008734C9">
        <w:rPr>
          <w:lang w:eastAsia="en-AU"/>
        </w:rPr>
        <w:t xml:space="preserve">. Tasmania’s recovery rate targets will be included in future projections after the </w:t>
      </w:r>
      <w:r w:rsidR="008734C9" w:rsidRPr="008D3B7C">
        <w:rPr>
          <w:i/>
          <w:lang w:eastAsia="en-AU"/>
        </w:rPr>
        <w:t>Draft Waste Action Plan (2019)</w:t>
      </w:r>
      <w:r w:rsidR="008734C9">
        <w:rPr>
          <w:lang w:eastAsia="en-AU"/>
        </w:rPr>
        <w:t xml:space="preserve"> is finalised. </w:t>
      </w:r>
    </w:p>
    <w:p w14:paraId="6A7B4263" w14:textId="77777777" w:rsidR="00445022" w:rsidRDefault="00445022" w:rsidP="008D3B7C">
      <w:pPr>
        <w:pStyle w:val="Footnote"/>
      </w:pPr>
    </w:p>
    <w:p w14:paraId="787855AA" w14:textId="0978511E" w:rsidR="00872B2B" w:rsidRPr="00E92E74" w:rsidRDefault="00872B2B" w:rsidP="00F12D5C">
      <w:r w:rsidRPr="00E92E74">
        <w:t xml:space="preserve">Resource recovery rates were projected to change by the same amount each year to meet targets. Where no targets </w:t>
      </w:r>
      <w:r w:rsidR="001A78BA">
        <w:t xml:space="preserve">were </w:t>
      </w:r>
      <w:r w:rsidRPr="00E92E74">
        <w:t xml:space="preserve">applied, resource recovery rates were projected based on underlying growth rates from National Waste Policy modelling. The calculated waste recovery rates were then applied to waste generation estimates to calculate waste landfilled. </w:t>
      </w:r>
    </w:p>
    <w:p w14:paraId="77C03093" w14:textId="5DEB96C4" w:rsidR="00872B2B" w:rsidRDefault="008734C9" w:rsidP="00F12D5C">
      <w:r>
        <w:t>The projections include</w:t>
      </w:r>
      <w:r w:rsidRPr="00E92E74">
        <w:t xml:space="preserve"> </w:t>
      </w:r>
      <w:r>
        <w:t xml:space="preserve">upcoming </w:t>
      </w:r>
      <w:r w:rsidR="00872B2B" w:rsidRPr="00E92E74">
        <w:t>waste-to-energy facilit</w:t>
      </w:r>
      <w:r w:rsidR="00D307DD">
        <w:t>ies</w:t>
      </w:r>
      <w:r>
        <w:t xml:space="preserve"> including </w:t>
      </w:r>
      <w:r w:rsidR="00966C28">
        <w:t>3</w:t>
      </w:r>
      <w:r>
        <w:t xml:space="preserve"> projects in Western Australia and one project in Victoria</w:t>
      </w:r>
      <w:r w:rsidR="00872B2B" w:rsidRPr="00E92E74">
        <w:t xml:space="preserve">. </w:t>
      </w:r>
      <w:r w:rsidR="00A71D00">
        <w:t>In Western Australia, t</w:t>
      </w:r>
      <w:r w:rsidR="00872B2B" w:rsidRPr="00E92E74">
        <w:t xml:space="preserve">he </w:t>
      </w:r>
      <w:r w:rsidR="00D307DD">
        <w:t xml:space="preserve">Kwinana </w:t>
      </w:r>
      <w:r w:rsidR="00872B2B" w:rsidRPr="00E92E74">
        <w:t>facility is expected to incinerate approximately 400,000 tonnes of waste each year</w:t>
      </w:r>
      <w:r w:rsidR="00D307DD">
        <w:t xml:space="preserve"> and the East Rockingham facility is expected to process up to 330,000 tonnes of residual waste each year,</w:t>
      </w:r>
      <w:r w:rsidR="00872B2B" w:rsidRPr="00E92E74">
        <w:t xml:space="preserve"> </w:t>
      </w:r>
      <w:r w:rsidR="00872B2B" w:rsidRPr="00872B2B">
        <w:t>reducing</w:t>
      </w:r>
      <w:r w:rsidR="00872B2B" w:rsidRPr="00E92E74">
        <w:t xml:space="preserve"> the amount of waste deposited at landfills. </w:t>
      </w:r>
      <w:r w:rsidR="00A71D00">
        <w:t xml:space="preserve">A smaller Renegi waste-to-energy demonstration project in Western Australia is expected to divert up to 4,000 tonnes of organic waste and 8,000 tonnes of forestry and agricultural waste annually from 2024. The Laverton North waste gasification to energy project in Victoria is expected to divert up to 210,000 tonnes of municipal solid waste annually from 2020. </w:t>
      </w:r>
      <w:r w:rsidR="00D307DD">
        <w:t>The</w:t>
      </w:r>
      <w:r w:rsidR="00872B2B" w:rsidRPr="00E92E74" w:rsidDel="003521B2">
        <w:t xml:space="preserve"> </w:t>
      </w:r>
      <w:r w:rsidR="00872B2B" w:rsidRPr="00E92E74">
        <w:t>combustion emissions from th</w:t>
      </w:r>
      <w:r w:rsidR="00D307DD">
        <w:t>ese</w:t>
      </w:r>
      <w:r w:rsidR="00872B2B" w:rsidRPr="00E92E74">
        <w:t xml:space="preserve"> facilit</w:t>
      </w:r>
      <w:r w:rsidR="00D307DD">
        <w:t>ies</w:t>
      </w:r>
      <w:r w:rsidR="00872B2B" w:rsidRPr="00E92E74">
        <w:t xml:space="preserve"> are counted in the </w:t>
      </w:r>
      <w:r w:rsidR="00872B2B" w:rsidRPr="00E92E74">
        <w:rPr>
          <w:i/>
        </w:rPr>
        <w:t>electricity sector</w:t>
      </w:r>
      <w:r w:rsidR="00872B2B" w:rsidRPr="00E92E74">
        <w:t>.</w:t>
      </w:r>
    </w:p>
    <w:p w14:paraId="29AA82BF" w14:textId="52E57A6D" w:rsidR="009536D2" w:rsidRDefault="00872B2B" w:rsidP="00F12D5C">
      <w:r w:rsidRPr="00E92E74">
        <w:t>Waste</w:t>
      </w:r>
      <w:r w:rsidR="009536D2" w:rsidRPr="00E92E74">
        <w:t xml:space="preserve"> generation and recovery </w:t>
      </w:r>
      <w:r>
        <w:t>were</w:t>
      </w:r>
      <w:r w:rsidR="009536D2" w:rsidRPr="00E92E74">
        <w:t xml:space="preserve"> projected to calculate </w:t>
      </w:r>
      <w:r>
        <w:t>the amount of waste deposited at landfills.</w:t>
      </w:r>
      <w:r w:rsidR="009536D2" w:rsidRPr="00E92E74">
        <w:t xml:space="preserve"> Growth rates for nation-wide waste generation and recovery were extracted from modelling undertaken in support of the National Waste Policy. The </w:t>
      </w:r>
      <w:r w:rsidR="009536D2">
        <w:t xml:space="preserve">waste </w:t>
      </w:r>
      <w:r w:rsidR="009536D2" w:rsidRPr="00E92E74">
        <w:t>stream growth rates were applied to waste generated in</w:t>
      </w:r>
      <w:r w:rsidR="009536D2" w:rsidRPr="00E92E74" w:rsidDel="003521B2">
        <w:t xml:space="preserve"> </w:t>
      </w:r>
      <w:r w:rsidR="009536D2" w:rsidRPr="00E92E74">
        <w:t xml:space="preserve">for each </w:t>
      </w:r>
      <w:r w:rsidR="00596E05">
        <w:t>s</w:t>
      </w:r>
      <w:r>
        <w:t xml:space="preserve">tate and </w:t>
      </w:r>
      <w:r w:rsidR="00596E05">
        <w:t>territory</w:t>
      </w:r>
      <w:r w:rsidR="009536D2" w:rsidRPr="00E92E74">
        <w:t>.</w:t>
      </w:r>
    </w:p>
    <w:p w14:paraId="0D66ADD6" w14:textId="3F948548" w:rsidR="009536D2" w:rsidRDefault="009536D2" w:rsidP="00F12D5C">
      <w:r w:rsidRPr="00E92E74">
        <w:t>Methane recovery rates were projected to increase by 0.25</w:t>
      </w:r>
      <w:r w:rsidR="00F025BD">
        <w:t>%</w:t>
      </w:r>
      <w:r w:rsidRPr="00E92E74">
        <w:t xml:space="preserve"> per</w:t>
      </w:r>
      <w:r w:rsidR="005A46FA">
        <w:t xml:space="preserve"> year</w:t>
      </w:r>
      <w:r w:rsidRPr="00E92E74">
        <w:t xml:space="preserve">. This rate of increase was based on a logarithmic trend of historical increases which is expected to continue. </w:t>
      </w:r>
    </w:p>
    <w:p w14:paraId="2F026722" w14:textId="536E9AA6" w:rsidR="004A53BF" w:rsidRDefault="004A53BF" w:rsidP="00F12D5C">
      <w:r>
        <w:t>Historical waste is modelled on a facility-by-facility basis reflecting the characteristics of the landfill</w:t>
      </w:r>
      <w:r w:rsidR="00551E31">
        <w:t>,</w:t>
      </w:r>
      <w:r>
        <w:t xml:space="preserve"> including weather conditions. Future waste deposited is estimated on a </w:t>
      </w:r>
      <w:r w:rsidR="00596E05">
        <w:t>s</w:t>
      </w:r>
      <w:r>
        <w:t xml:space="preserve">tate and </w:t>
      </w:r>
      <w:r w:rsidR="00596E05">
        <w:t>t</w:t>
      </w:r>
      <w:r>
        <w:t>erritory basis reflecting the average conditions of landfills in each jurisdiction.</w:t>
      </w:r>
    </w:p>
    <w:p w14:paraId="01A4A8EB" w14:textId="4A8E0EEC" w:rsidR="004A53BF" w:rsidRPr="0026611D" w:rsidRDefault="004A53BF" w:rsidP="00537A1C">
      <w:pPr>
        <w:pStyle w:val="Heading3"/>
      </w:pPr>
      <w:r w:rsidRPr="0026611D">
        <w:t xml:space="preserve">Biological </w:t>
      </w:r>
      <w:r w:rsidR="00596E05">
        <w:t>t</w:t>
      </w:r>
      <w:r w:rsidRPr="0026611D">
        <w:t xml:space="preserve">reatment of </w:t>
      </w:r>
      <w:r w:rsidR="00596E05">
        <w:t>s</w:t>
      </w:r>
      <w:r w:rsidRPr="0026611D">
        <w:t xml:space="preserve">olid </w:t>
      </w:r>
      <w:r w:rsidR="00596E05">
        <w:t>w</w:t>
      </w:r>
      <w:r w:rsidRPr="0026611D">
        <w:t>aste</w:t>
      </w:r>
    </w:p>
    <w:p w14:paraId="3EE2B86D" w14:textId="77777777" w:rsidR="004A53BF" w:rsidRPr="00E92E74" w:rsidRDefault="004A53BF" w:rsidP="00F12D5C">
      <w:r w:rsidRPr="00E92E74">
        <w:t xml:space="preserve">Policies at various levels of government in Australia are diverting organics from landfill to reduce landfill emissions and create market opportunities for organic waste products. Organic waste is treated through composting or anaerobic digestion. </w:t>
      </w:r>
    </w:p>
    <w:p w14:paraId="1ACA0E08" w14:textId="280E835F" w:rsidR="004A53BF" w:rsidRPr="00E92E74" w:rsidRDefault="00D40B39" w:rsidP="00F12D5C">
      <w:r>
        <w:t>The q</w:t>
      </w:r>
      <w:r w:rsidR="004A53BF" w:rsidRPr="00E92E74">
        <w:t xml:space="preserve">uantity of organic waste processed is projected for different sub-streams. The quantities of organic materials were assumed to change in proportion to changes in population or gross domestic product (GDP). Population growth rates were used to project quantities for organic materials generated mainly by people. These materials are garden organics, biosolids, oils, straw and others miscellaneous organics. GDP growth rates were used to project quantities for organic materials driven mainly by industry activity. These materials are commercial wood, sawdust, paunch and animal mortalities waste quantities. </w:t>
      </w:r>
    </w:p>
    <w:p w14:paraId="608CC033" w14:textId="5C932253" w:rsidR="004A53BF" w:rsidRDefault="004A53BF" w:rsidP="00537A1C">
      <w:pPr>
        <w:pStyle w:val="Heading3"/>
      </w:pPr>
      <w:r>
        <w:lastRenderedPageBreak/>
        <w:t>Incineration</w:t>
      </w:r>
    </w:p>
    <w:p w14:paraId="407B19F5" w14:textId="12EDC639" w:rsidR="004A53BF" w:rsidRPr="00F12D5C" w:rsidRDefault="004A53BF" w:rsidP="00F12D5C">
      <w:r w:rsidRPr="00E92E74">
        <w:t xml:space="preserve">In </w:t>
      </w:r>
      <w:r w:rsidRPr="00F12D5C">
        <w:t>Australia incineration emissions are generated from thermal oxidation of clinical waste and solvents. The model assumes clinical waste increases proportionately to population and the volume of solvents incinerated remains constant over the projections period.</w:t>
      </w:r>
    </w:p>
    <w:p w14:paraId="4E50AAF6" w14:textId="4267F2FB" w:rsidR="004A53BF" w:rsidRPr="00E92E74" w:rsidRDefault="004A53BF" w:rsidP="00537A1C">
      <w:pPr>
        <w:pStyle w:val="Heading3"/>
      </w:pPr>
      <w:r w:rsidRPr="00E92E74">
        <w:t xml:space="preserve">Domestic and </w:t>
      </w:r>
      <w:r w:rsidR="00596E05">
        <w:t>c</w:t>
      </w:r>
      <w:r w:rsidRPr="00E92E74">
        <w:t xml:space="preserve">ommercial </w:t>
      </w:r>
      <w:r w:rsidR="00596E05">
        <w:t>w</w:t>
      </w:r>
      <w:r w:rsidRPr="00E92E74">
        <w:t>astewater</w:t>
      </w:r>
    </w:p>
    <w:p w14:paraId="58450207" w14:textId="4415FC0E" w:rsidR="004A53BF" w:rsidRPr="00DA0847" w:rsidRDefault="004A53BF" w:rsidP="00F12D5C">
      <w:r w:rsidRPr="00DA0847">
        <w:t xml:space="preserve">Emissions are estimated separately for sewered and unsewered population which have different assumed Chemical Oxygen Demand (COD). </w:t>
      </w:r>
    </w:p>
    <w:p w14:paraId="3CD80E14" w14:textId="1BCA9E5B" w:rsidR="004A53BF" w:rsidRPr="00DA0847" w:rsidRDefault="004A53BF" w:rsidP="00F12D5C">
      <w:r w:rsidRPr="00DA0847">
        <w:t xml:space="preserve">The unsewered COD per capita ratio was applied to a projection of the unsewered population in each </w:t>
      </w:r>
      <w:r w:rsidR="00596E05">
        <w:t>s</w:t>
      </w:r>
      <w:r w:rsidRPr="00DA0847">
        <w:t xml:space="preserve">tate and </w:t>
      </w:r>
      <w:r w:rsidR="00596E05">
        <w:t>t</w:t>
      </w:r>
      <w:r w:rsidRPr="00DA0847">
        <w:t>erritory. Emissions were calculated based on the inventory methane emissions factor and the percentage of wastewater anaerobically treated (5</w:t>
      </w:r>
      <w:r w:rsidR="00F025BD">
        <w:t>%</w:t>
      </w:r>
      <w:r w:rsidR="00F12D5C">
        <w:t>).</w:t>
      </w:r>
    </w:p>
    <w:p w14:paraId="47A0E0A5" w14:textId="509F7833" w:rsidR="004A53BF" w:rsidRPr="00DA0847" w:rsidRDefault="004A53BF" w:rsidP="00F12D5C">
      <w:r w:rsidRPr="00DA0847">
        <w:t xml:space="preserve">The sewered COD per capita was applied to the population in each </w:t>
      </w:r>
      <w:r w:rsidR="00596E05">
        <w:t>s</w:t>
      </w:r>
      <w:r w:rsidRPr="00DA0847">
        <w:t xml:space="preserve">tate and </w:t>
      </w:r>
      <w:r w:rsidR="00596E05">
        <w:t>t</w:t>
      </w:r>
      <w:r w:rsidRPr="00DA0847">
        <w:t xml:space="preserve">erritory. COD flows were used to estimate emissions from domestic and commercial wastewater facilities. COD influent refers to COD entering the wastewater facility in wastewater. COD outflows refers to: </w:t>
      </w:r>
    </w:p>
    <w:p w14:paraId="01D6E972" w14:textId="10E219B9" w:rsidR="004A53BF" w:rsidRPr="001639DD" w:rsidRDefault="004A53BF" w:rsidP="000F53BC">
      <w:pPr>
        <w:pStyle w:val="Bullet1"/>
        <w:numPr>
          <w:ilvl w:val="0"/>
          <w:numId w:val="80"/>
        </w:numPr>
      </w:pPr>
      <w:r w:rsidRPr="001639DD">
        <w:t>COD removed as sludge within the facility</w:t>
      </w:r>
    </w:p>
    <w:p w14:paraId="2CC6632D" w14:textId="4D018F65" w:rsidR="004A53BF" w:rsidRPr="001639DD" w:rsidRDefault="004A53BF" w:rsidP="000F53BC">
      <w:pPr>
        <w:pStyle w:val="Bullet1"/>
        <w:numPr>
          <w:ilvl w:val="0"/>
          <w:numId w:val="80"/>
        </w:numPr>
      </w:pPr>
      <w:r w:rsidRPr="001639DD">
        <w:t xml:space="preserve">COD discharged from a facility as effluent, such as into rivers or the ocean </w:t>
      </w:r>
    </w:p>
    <w:p w14:paraId="61352E4A" w14:textId="77777777" w:rsidR="00EE25DA" w:rsidRDefault="004A53BF" w:rsidP="000F53BC">
      <w:pPr>
        <w:pStyle w:val="Bullet1"/>
        <w:numPr>
          <w:ilvl w:val="0"/>
          <w:numId w:val="80"/>
        </w:numPr>
      </w:pPr>
      <w:r w:rsidRPr="001639DD">
        <w:t>COD in sludge removed to landfill or other land-based sites.</w:t>
      </w:r>
      <w:r w:rsidR="00EE25DA" w:rsidRPr="00DA0847">
        <w:t xml:space="preserve"> </w:t>
      </w:r>
    </w:p>
    <w:p w14:paraId="33172CFA" w14:textId="77777777" w:rsidR="00EE25DA" w:rsidRDefault="00EE25DA" w:rsidP="00EE25DA"/>
    <w:p w14:paraId="1DA37082" w14:textId="3A1CFE58" w:rsidR="004A53BF" w:rsidRPr="00DA0847" w:rsidRDefault="004A53BF" w:rsidP="00EE25DA">
      <w:r w:rsidRPr="00DA0847">
        <w:t xml:space="preserve">COD outflows were projected using ratios to COD influent. The ratios are a national average and based on the latest inventory data. COD outflows were projected for each </w:t>
      </w:r>
      <w:r w:rsidR="00596E05">
        <w:t>s</w:t>
      </w:r>
      <w:r w:rsidRPr="00DA0847">
        <w:t xml:space="preserve">tate and </w:t>
      </w:r>
      <w:r w:rsidR="00596E05">
        <w:t>t</w:t>
      </w:r>
      <w:r w:rsidRPr="00DA0847">
        <w:t>erritory using the calculated ratio and the COD influent for the relevant year. This approach assumes that the proportion of COD outflows to COD influent remains constant over the projection timeframe.</w:t>
      </w:r>
    </w:p>
    <w:p w14:paraId="221FEFB7" w14:textId="77777777" w:rsidR="004A53BF" w:rsidRPr="00DA0847" w:rsidRDefault="004A53BF" w:rsidP="00F12D5C">
      <w:r w:rsidRPr="00DA0847">
        <w:t xml:space="preserve">The methane generated was calculated using the following formulas: </w:t>
      </w:r>
    </w:p>
    <w:p w14:paraId="3E3BF3B5" w14:textId="05564279" w:rsidR="004A53BF" w:rsidRPr="00DA0847" w:rsidRDefault="004A53BF" w:rsidP="0078161D">
      <w:pPr>
        <w:pStyle w:val="Bullet1"/>
      </w:pPr>
      <w:r w:rsidRPr="00DA0847">
        <w:t xml:space="preserve">methane generated from wastewater = (COD influent – COD removed as sludge – COD discharged as effluent) x methane correction factor x methane emissions factor </w:t>
      </w:r>
    </w:p>
    <w:p w14:paraId="52E52B99" w14:textId="77777777" w:rsidR="00EE25DA" w:rsidRDefault="004A53BF">
      <w:pPr>
        <w:pStyle w:val="Bullet1"/>
      </w:pPr>
      <w:r w:rsidRPr="00DA0847">
        <w:t>methane generated from sludge = (COD removed as sludge – COD removed to landfill or other landsite) x methane correction factor x methane emissions factor.</w:t>
      </w:r>
      <w:r w:rsidR="00EE25DA" w:rsidRPr="00DA0847">
        <w:t xml:space="preserve"> </w:t>
      </w:r>
    </w:p>
    <w:p w14:paraId="4380DF02" w14:textId="77777777" w:rsidR="00EE25DA" w:rsidRDefault="00EE25DA" w:rsidP="00EE25DA"/>
    <w:p w14:paraId="216EA569" w14:textId="3CC67961" w:rsidR="004A53BF" w:rsidRPr="00DA0847" w:rsidRDefault="004A53BF" w:rsidP="00EE25DA">
      <w:r w:rsidRPr="00DA0847">
        <w:t>The proportion of methane recovered is held fixed from the latest inventory year.</w:t>
      </w:r>
    </w:p>
    <w:p w14:paraId="2CCC6AE3" w14:textId="77777777" w:rsidR="004A53BF" w:rsidRPr="00DA0847" w:rsidRDefault="004A53BF" w:rsidP="00F12D5C">
      <w:pPr>
        <w:rPr>
          <w:i/>
        </w:rPr>
      </w:pPr>
      <w:r w:rsidRPr="00DA0847">
        <w:t>Nitrous oxide emissions were calculated by replicating the same assumptions and calculations used to project methane from the sewered population. However, nitrous oxide emissions did not include any greenhouse gas recovery and are applied to the entire Australian population rather than to the sewered proportion.</w:t>
      </w:r>
    </w:p>
    <w:p w14:paraId="2BE9B57E" w14:textId="5940E0E4" w:rsidR="004A53BF" w:rsidRPr="00E92E74" w:rsidRDefault="004A53BF" w:rsidP="00537A1C">
      <w:pPr>
        <w:pStyle w:val="Heading3"/>
      </w:pPr>
      <w:r w:rsidRPr="00E92E74">
        <w:t xml:space="preserve">Industrial </w:t>
      </w:r>
      <w:r w:rsidR="00596E05">
        <w:t>w</w:t>
      </w:r>
      <w:r w:rsidRPr="00E92E74">
        <w:t>astewater</w:t>
      </w:r>
    </w:p>
    <w:p w14:paraId="3FE45E44" w14:textId="77777777" w:rsidR="004A53BF" w:rsidRPr="00DA0847" w:rsidRDefault="004A53BF" w:rsidP="00F12D5C">
      <w:r w:rsidRPr="00DA0847">
        <w:t>Industrial wastewater emissions are projected for the following sub-sectors: dairy production; pulp and paper production; meat and poultry processing; organic chemicals production; sugar production; beer production; wine production; fruit processing; and vegetable processing.</w:t>
      </w:r>
    </w:p>
    <w:p w14:paraId="37013916" w14:textId="77777777" w:rsidR="004A53BF" w:rsidRPr="00DA0847" w:rsidRDefault="004A53BF" w:rsidP="00F12D5C">
      <w:r w:rsidRPr="00DA0847">
        <w:t>Projections were based on changes to commodity production levels. Growth rates were based on long-term forecasts using sector-specific metrics.</w:t>
      </w:r>
    </w:p>
    <w:p w14:paraId="386C248F" w14:textId="7D12C841" w:rsidR="004A53BF" w:rsidRPr="00E92E74" w:rsidRDefault="00CA33B2" w:rsidP="00537A1C">
      <w:pPr>
        <w:pStyle w:val="Heading3"/>
      </w:pPr>
      <w:r>
        <w:lastRenderedPageBreak/>
        <w:t xml:space="preserve">Inclusion of </w:t>
      </w:r>
      <w:r w:rsidR="00DA0847">
        <w:t xml:space="preserve">Emissions Reduction Fund and </w:t>
      </w:r>
      <w:r w:rsidR="004A53BF" w:rsidRPr="00E92E74">
        <w:t>Climate Solutions Fund</w:t>
      </w:r>
      <w:r>
        <w:t xml:space="preserve"> waste projects</w:t>
      </w:r>
    </w:p>
    <w:p w14:paraId="1398B993" w14:textId="290068DD" w:rsidR="004A53BF" w:rsidRPr="00DA0847" w:rsidRDefault="00DA0847" w:rsidP="00F12D5C">
      <w:r>
        <w:t xml:space="preserve">The solid waste projection includes all existing methane recovery projects under the Emissions Reduction Fund. </w:t>
      </w:r>
      <w:r w:rsidR="004A53BF" w:rsidRPr="00DA0847">
        <w:t>The solid waste and wastewater projections include additional abatement (</w:t>
      </w:r>
      <w:r w:rsidR="00BA6E5F">
        <w:t xml:space="preserve">for example, </w:t>
      </w:r>
      <w:r w:rsidR="004A53BF" w:rsidRPr="00DA0847">
        <w:t xml:space="preserve">capture of methane at landfills) induced by the Climate Solutions Fund that are additional to the business as usual scenario that was modelled. </w:t>
      </w:r>
    </w:p>
    <w:p w14:paraId="50CE052C" w14:textId="77777777" w:rsidR="00E421B7" w:rsidRDefault="00E421B7" w:rsidP="00F12D5C">
      <w:pPr>
        <w:rPr>
          <w:rFonts w:cs="Arial"/>
        </w:rPr>
      </w:pPr>
      <w:bookmarkStart w:id="52" w:name="_Toc510532009"/>
      <w:bookmarkStart w:id="53" w:name="_Toc510532539"/>
      <w:bookmarkStart w:id="54" w:name="_Toc510534103"/>
      <w:bookmarkStart w:id="55" w:name="_Toc510794632"/>
      <w:bookmarkStart w:id="56" w:name="_Toc511297991"/>
      <w:bookmarkStart w:id="57" w:name="_Toc511304020"/>
      <w:bookmarkStart w:id="58" w:name="_Toc511918024"/>
      <w:r>
        <w:br w:type="page"/>
      </w:r>
    </w:p>
    <w:p w14:paraId="29DFE9AE" w14:textId="351FE14C" w:rsidR="000E7071" w:rsidRDefault="000E7071" w:rsidP="00537A1C">
      <w:pPr>
        <w:pStyle w:val="Heading1"/>
      </w:pPr>
      <w:r>
        <w:lastRenderedPageBreak/>
        <w:t>Land use, land use change and forestry</w:t>
      </w:r>
      <w:bookmarkEnd w:id="52"/>
      <w:bookmarkEnd w:id="53"/>
      <w:bookmarkEnd w:id="54"/>
      <w:bookmarkEnd w:id="55"/>
      <w:bookmarkEnd w:id="56"/>
      <w:bookmarkEnd w:id="57"/>
      <w:bookmarkEnd w:id="58"/>
    </w:p>
    <w:p w14:paraId="5A96DA37" w14:textId="0B75BC62" w:rsidR="00931521" w:rsidRPr="00224D6E" w:rsidRDefault="00931521" w:rsidP="00537A1C">
      <w:pPr>
        <w:pStyle w:val="Heading2"/>
      </w:pPr>
      <w:r w:rsidRPr="00224D6E">
        <w:t>Modelling approach</w:t>
      </w:r>
    </w:p>
    <w:p w14:paraId="52113256" w14:textId="04CF4A75" w:rsidR="00687509" w:rsidRDefault="00687509" w:rsidP="00F12D5C">
      <w:r>
        <w:t>The Full Carbon Accounting Model (FullCAM) provides the modelling framework for estimating land sector emissions in the nat</w:t>
      </w:r>
      <w:r w:rsidR="00DC7214">
        <w:t>ion</w:t>
      </w:r>
      <w:r>
        <w:t xml:space="preserve">al </w:t>
      </w:r>
      <w:r w:rsidR="00023629">
        <w:t xml:space="preserve">greenhouse gas </w:t>
      </w:r>
      <w:r>
        <w:t>inventory</w:t>
      </w:r>
      <w:r w:rsidR="001F6E1C">
        <w:t xml:space="preserve"> and the emissions projections</w:t>
      </w:r>
      <w:r>
        <w:t>. FullCAM models the exchange of carbon between the terrestrial biological system and the atmosphere in a full/closed cycle mass balance model which includes all biomass, litter</w:t>
      </w:r>
      <w:r w:rsidR="00DC7214">
        <w:t>/debris</w:t>
      </w:r>
      <w:r>
        <w:t xml:space="preserve"> and soil pools. The model uses data on climate, soils and management practices, as well as land use changes observed from satellite imagery to produce estimates of emissions and removals across the Australian landscape.</w:t>
      </w:r>
      <w:r w:rsidR="001F6E1C">
        <w:t xml:space="preserve"> For more information, a detailed description of the model is provided in </w:t>
      </w:r>
      <w:r w:rsidR="006231C3">
        <w:t>the</w:t>
      </w:r>
      <w:r w:rsidR="00664D73">
        <w:t xml:space="preserve"> </w:t>
      </w:r>
      <w:r w:rsidR="001F6E1C" w:rsidRPr="006231C3">
        <w:rPr>
          <w:i/>
        </w:rPr>
        <w:t>National Inventory Report</w:t>
      </w:r>
      <w:r w:rsidR="00664D73">
        <w:rPr>
          <w:i/>
        </w:rPr>
        <w:t xml:space="preserve"> </w:t>
      </w:r>
      <w:r w:rsidR="001F6E1C">
        <w:t>(</w:t>
      </w:r>
      <w:r w:rsidR="00B5648F">
        <w:t>DISER 2021b</w:t>
      </w:r>
      <w:r w:rsidR="00023629">
        <w:t>,</w:t>
      </w:r>
      <w:r w:rsidR="001F6E1C">
        <w:t xml:space="preserve"> </w:t>
      </w:r>
      <w:r w:rsidR="001F6E1C" w:rsidRPr="00691E70">
        <w:t>Appendix 6.B</w:t>
      </w:r>
      <w:r w:rsidR="00023629" w:rsidRPr="00691E70">
        <w:t>)</w:t>
      </w:r>
      <w:r w:rsidR="001F6E1C" w:rsidRPr="00721441">
        <w:t>.</w:t>
      </w:r>
    </w:p>
    <w:p w14:paraId="3EC8B3E0" w14:textId="697053F7" w:rsidR="00931521" w:rsidRPr="00224D6E" w:rsidRDefault="00931521" w:rsidP="00537A1C">
      <w:pPr>
        <w:pStyle w:val="Heading2"/>
      </w:pPr>
      <w:r w:rsidRPr="00224D6E">
        <w:t>Activity data</w:t>
      </w:r>
    </w:p>
    <w:p w14:paraId="59D11FFE" w14:textId="7DE1AF84" w:rsidR="00721441" w:rsidRDefault="00721441" w:rsidP="000F53BC">
      <w:r>
        <w:t>Most forest conversion activity in Australia is for the purpose of maintaining pastures for grazing activities. Some forest conversion does occur to support cropping as well as smaller quantities for settlements, infrastructure and reservoirs.</w:t>
      </w:r>
    </w:p>
    <w:p w14:paraId="46C52924" w14:textId="162B4E14" w:rsidR="00721441" w:rsidRDefault="00721441" w:rsidP="000F53BC">
      <w:r>
        <w:t>Most clearing activity in Australia is associated the re-clearing of regrown forest vegetation. Land clearing restrictions have seen primary forest conversion stabilise at record low levels over the past decade (Figure 1).</w:t>
      </w:r>
    </w:p>
    <w:p w14:paraId="282D24B1" w14:textId="77777777" w:rsidR="001639DD" w:rsidRDefault="001639DD">
      <w:pPr>
        <w:pStyle w:val="Bullet1"/>
      </w:pPr>
    </w:p>
    <w:p w14:paraId="5FBA41A6" w14:textId="165F13E9" w:rsidR="00721441" w:rsidRDefault="00721441" w:rsidP="00537A1C">
      <w:pPr>
        <w:pStyle w:val="Caption"/>
      </w:pPr>
      <w:r w:rsidRPr="007A150D">
        <w:t xml:space="preserve">Figure </w:t>
      </w:r>
      <w:r>
        <w:t>1</w:t>
      </w:r>
      <w:r w:rsidRPr="007A150D">
        <w:t xml:space="preserve">: Historical </w:t>
      </w:r>
      <w:r>
        <w:t>land clearing activity, 1990 to 201</w:t>
      </w:r>
      <w:r w:rsidR="00655357">
        <w:t>9</w:t>
      </w:r>
      <w:r>
        <w:t>, k ha</w:t>
      </w:r>
    </w:p>
    <w:p w14:paraId="12DDEF38" w14:textId="757D92AF" w:rsidR="00655357" w:rsidRPr="00655357" w:rsidRDefault="00655357" w:rsidP="00CA33B2">
      <w:pPr>
        <w:jc w:val="center"/>
      </w:pPr>
      <w:r>
        <w:rPr>
          <w:noProof/>
          <w:lang w:eastAsia="en-AU"/>
        </w:rPr>
        <w:drawing>
          <wp:inline distT="0" distB="0" distL="0" distR="0" wp14:anchorId="6D713144" wp14:editId="5655061B">
            <wp:extent cx="5849620" cy="4081485"/>
            <wp:effectExtent l="0" t="0" r="0" b="0"/>
            <wp:docPr id="50" name="Picture 50" descr="Over the period 1990 to 2019 the area of primary forest conversion declines from approximately six hundred thousand hectares per year to approximately fifty thousand hectares per year.  Over the same period re-clearing of secondary forest remains relatively steady at three hundred thousand hectares per year.  After 2010 the area of annually identified regrowing forest approximately balances the sum of primary forest clearing and re-clearing of secondary forest." title="Area of primary and secondary forest conversion and regrowth, Australia, 1990–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9620" cy="4081485"/>
                    </a:xfrm>
                    <a:prstGeom prst="rect">
                      <a:avLst/>
                    </a:prstGeom>
                  </pic:spPr>
                </pic:pic>
              </a:graphicData>
            </a:graphic>
          </wp:inline>
        </w:drawing>
      </w:r>
    </w:p>
    <w:p w14:paraId="077573B2" w14:textId="306E65D6" w:rsidR="00721441" w:rsidRPr="007F78F2" w:rsidRDefault="00721441" w:rsidP="00F12D5C">
      <w:pPr>
        <w:pStyle w:val="ListBullet"/>
        <w:numPr>
          <w:ilvl w:val="0"/>
          <w:numId w:val="0"/>
        </w:numPr>
        <w:ind w:left="369" w:hanging="369"/>
        <w:rPr>
          <w:rStyle w:val="Emphasis"/>
          <w:i w:val="0"/>
        </w:rPr>
      </w:pPr>
    </w:p>
    <w:p w14:paraId="3FE426D7" w14:textId="35848AAF" w:rsidR="00721441" w:rsidRPr="00F12D5C" w:rsidRDefault="00DA31BE" w:rsidP="000F53BC">
      <w:r>
        <w:lastRenderedPageBreak/>
        <w:t>For the 2021</w:t>
      </w:r>
      <w:r w:rsidR="00721441">
        <w:t xml:space="preserve"> </w:t>
      </w:r>
      <w:r w:rsidR="00721441" w:rsidRPr="00F12D5C">
        <w:t xml:space="preserve">projection it was assumed that primary forest conversion would remain at historic low levels and that regrowth and re-clearing activity responds to changes in the number of livestock included in the projection for the agriculture sector. The projection also includes the assumption that a 10 year cycle of regrowth and re-clearing applies which involves land managers re-clearing regrowth vegetation to maintain production.  </w:t>
      </w:r>
    </w:p>
    <w:p w14:paraId="45791A02" w14:textId="2DC2BEDF" w:rsidR="001639DD" w:rsidRDefault="00687509" w:rsidP="000F53BC">
      <w:r w:rsidRPr="00F12D5C">
        <w:t>For projections of net emissions from forest lands, log harvest forecasts were adopted from the ‘business</w:t>
      </w:r>
      <w:r>
        <w:t xml:space="preserve"> as usual’ scenario published in the </w:t>
      </w:r>
      <w:r w:rsidRPr="00C808FE">
        <w:rPr>
          <w:i/>
        </w:rPr>
        <w:t>Outlook Scenarios for Australia’s Forestry Sector: Key Drivers and Opportunities</w:t>
      </w:r>
      <w:r>
        <w:t xml:space="preserve"> (</w:t>
      </w:r>
      <w:r w:rsidRPr="00774171">
        <w:t>ABARES 2015</w:t>
      </w:r>
      <w:r>
        <w:t>)</w:t>
      </w:r>
      <w:r w:rsidR="004D725E">
        <w:t xml:space="preserve">. </w:t>
      </w:r>
    </w:p>
    <w:p w14:paraId="0E0AFA3E" w14:textId="76CAD682" w:rsidR="004D725E" w:rsidRDefault="004D725E" w:rsidP="000F53BC">
      <w:r>
        <w:t xml:space="preserve">The projections include abatement from vegetation, soil carbon and savanna burning projects under the </w:t>
      </w:r>
      <w:r w:rsidR="00023629">
        <w:rPr>
          <w:rFonts w:cs="Arial"/>
        </w:rPr>
        <w:t>E</w:t>
      </w:r>
      <w:r w:rsidR="00FE0C7C">
        <w:rPr>
          <w:rFonts w:cs="Arial"/>
        </w:rPr>
        <w:t xml:space="preserve">missions </w:t>
      </w:r>
      <w:r w:rsidR="00023629">
        <w:rPr>
          <w:rFonts w:cs="Arial"/>
        </w:rPr>
        <w:t>R</w:t>
      </w:r>
      <w:r w:rsidR="00FE0C7C">
        <w:rPr>
          <w:rFonts w:cs="Arial"/>
        </w:rPr>
        <w:t xml:space="preserve">eduction </w:t>
      </w:r>
      <w:r w:rsidR="00023629">
        <w:rPr>
          <w:rFonts w:cs="Arial"/>
        </w:rPr>
        <w:t>F</w:t>
      </w:r>
      <w:r w:rsidR="00FE0C7C">
        <w:rPr>
          <w:rFonts w:cs="Arial"/>
        </w:rPr>
        <w:t>und</w:t>
      </w:r>
      <w:r w:rsidR="00924F44">
        <w:rPr>
          <w:rFonts w:cs="Arial"/>
        </w:rPr>
        <w:t xml:space="preserve"> and the Climate Solutions Fund</w:t>
      </w:r>
      <w:r>
        <w:t>.</w:t>
      </w:r>
    </w:p>
    <w:p w14:paraId="120D556F" w14:textId="2B027168" w:rsidR="004D725E" w:rsidRDefault="004D725E" w:rsidP="000F53BC">
      <w:r>
        <w:t xml:space="preserve">For cropland and grassland emissions projections, management practices are assumed to remain unchanged over the projection period, and emissions </w:t>
      </w:r>
      <w:r w:rsidR="00364861">
        <w:t xml:space="preserve">assumed </w:t>
      </w:r>
      <w:r>
        <w:t xml:space="preserve">to gradually return to long-run average </w:t>
      </w:r>
      <w:r w:rsidR="00BE691C">
        <w:t>levels</w:t>
      </w:r>
      <w:r>
        <w:t>.</w:t>
      </w:r>
    </w:p>
    <w:p w14:paraId="2CCD0C73" w14:textId="77777777" w:rsidR="000E7071" w:rsidRDefault="000E7071" w:rsidP="00537A1C">
      <w:r>
        <w:br w:type="page"/>
      </w:r>
    </w:p>
    <w:p w14:paraId="084EEFCC" w14:textId="70B09098" w:rsidR="001B19FF" w:rsidRDefault="001B19FF" w:rsidP="00851DFB">
      <w:pPr>
        <w:pStyle w:val="Heading1"/>
      </w:pPr>
      <w:bookmarkStart w:id="59" w:name="_Toc510532016"/>
      <w:bookmarkStart w:id="60" w:name="_Toc510532546"/>
      <w:bookmarkStart w:id="61" w:name="_Toc510534110"/>
      <w:bookmarkStart w:id="62" w:name="_Toc510794638"/>
      <w:bookmarkStart w:id="63" w:name="_Toc511297996"/>
      <w:bookmarkStart w:id="64" w:name="_Toc511304025"/>
      <w:bookmarkStart w:id="65" w:name="_Toc511918029"/>
      <w:r w:rsidRPr="00255BDE">
        <w:lastRenderedPageBreak/>
        <w:t>References</w:t>
      </w:r>
      <w:bookmarkEnd w:id="59"/>
      <w:bookmarkEnd w:id="60"/>
      <w:bookmarkEnd w:id="61"/>
      <w:bookmarkEnd w:id="62"/>
      <w:bookmarkEnd w:id="63"/>
      <w:bookmarkEnd w:id="64"/>
      <w:bookmarkEnd w:id="65"/>
    </w:p>
    <w:p w14:paraId="29750CC8" w14:textId="0083C95B" w:rsidR="003F4B1B" w:rsidRDefault="003F4B1B" w:rsidP="00255BDE">
      <w:r w:rsidRPr="00320493">
        <w:t xml:space="preserve">ABMARC 2019, </w:t>
      </w:r>
      <w:r w:rsidRPr="00621782">
        <w:rPr>
          <w:i/>
        </w:rPr>
        <w:t>Australian Mining Energy Efficiency and Electrification Opportunities</w:t>
      </w:r>
      <w:r w:rsidRPr="003F4B1B">
        <w:t>, Boronia, Victoria</w:t>
      </w:r>
      <w:r w:rsidR="00BD6F75">
        <w:t>.</w:t>
      </w:r>
    </w:p>
    <w:p w14:paraId="3A699B9E" w14:textId="76318B9E" w:rsidR="00BD6F75" w:rsidRPr="003F4B1B" w:rsidRDefault="00BD6F75" w:rsidP="00255BDE">
      <w:r>
        <w:t xml:space="preserve">Advisian 2020, </w:t>
      </w:r>
      <w:r w:rsidRPr="00621782">
        <w:rPr>
          <w:i/>
        </w:rPr>
        <w:t>Stationary Energy (Manufacturing) Technology and Efficiency Opportunities Study</w:t>
      </w:r>
      <w:r>
        <w:t xml:space="preserve">, Melbourne, </w:t>
      </w:r>
      <w:r w:rsidRPr="003F4B1B">
        <w:t>Victoria</w:t>
      </w:r>
      <w:r>
        <w:t>.</w:t>
      </w:r>
    </w:p>
    <w:p w14:paraId="62D713A2" w14:textId="77777777" w:rsidR="00F529D3" w:rsidRDefault="00F529D3" w:rsidP="00255BDE">
      <w:r>
        <w:t>Australian Bureau of Agricultural and Resource Economics and Sciences (</w:t>
      </w:r>
      <w:r w:rsidRPr="00713A44">
        <w:t>ABARES</w:t>
      </w:r>
      <w:r>
        <w:t>)</w:t>
      </w:r>
      <w:r w:rsidRPr="00713A44">
        <w:t xml:space="preserve"> 2015, </w:t>
      </w:r>
      <w:r w:rsidRPr="00713A44">
        <w:rPr>
          <w:i/>
        </w:rPr>
        <w:t>Outlook scenarios for Australia’s forestry sector, key drivers and opportunities</w:t>
      </w:r>
      <w:r w:rsidRPr="00713A44">
        <w:t xml:space="preserve">, </w:t>
      </w:r>
      <w:r>
        <w:t>Commonwealth of Australia</w:t>
      </w:r>
      <w:r w:rsidRPr="00713A44">
        <w:t>, Canberra.</w:t>
      </w:r>
    </w:p>
    <w:p w14:paraId="01B62DEB" w14:textId="12ECF60E" w:rsidR="001F2DD7" w:rsidRPr="00FD6E80" w:rsidRDefault="001F2DD7" w:rsidP="00F12D5C">
      <w:r w:rsidRPr="00FD6E80">
        <w:t>ABARES 20</w:t>
      </w:r>
      <w:r w:rsidR="00077740">
        <w:t>2</w:t>
      </w:r>
      <w:r w:rsidR="005B7415">
        <w:t>1</w:t>
      </w:r>
      <w:r w:rsidR="004A71C7">
        <w:t>a</w:t>
      </w:r>
      <w:r w:rsidRPr="00FD6E80">
        <w:t xml:space="preserve">, </w:t>
      </w:r>
      <w:r w:rsidRPr="00621782">
        <w:rPr>
          <w:i/>
        </w:rPr>
        <w:t>Agricultural commodities, March quarter 20</w:t>
      </w:r>
      <w:r w:rsidR="00077740" w:rsidRPr="00621782">
        <w:rPr>
          <w:i/>
        </w:rPr>
        <w:t>2</w:t>
      </w:r>
      <w:r w:rsidR="005B7415" w:rsidRPr="00621782">
        <w:rPr>
          <w:i/>
        </w:rPr>
        <w:t>1</w:t>
      </w:r>
      <w:r w:rsidRPr="00FD6E80">
        <w:t xml:space="preserve">, Commonwealth of Australia, Canberra. </w:t>
      </w:r>
    </w:p>
    <w:p w14:paraId="5B0D4F0B" w14:textId="218A3E93" w:rsidR="001F2DD7" w:rsidRPr="001F2DD7" w:rsidRDefault="00A95983" w:rsidP="00F12D5C">
      <w:r w:rsidRPr="00FD6E80">
        <w:t>A</w:t>
      </w:r>
      <w:r w:rsidR="00F529D3">
        <w:t>BARES</w:t>
      </w:r>
      <w:r w:rsidR="001F2DD7" w:rsidRPr="00FD6E80">
        <w:t xml:space="preserve"> 20</w:t>
      </w:r>
      <w:r w:rsidR="00077740">
        <w:t>2</w:t>
      </w:r>
      <w:r w:rsidR="005B7415">
        <w:t>1</w:t>
      </w:r>
      <w:r w:rsidR="004A71C7">
        <w:t>b</w:t>
      </w:r>
      <w:r w:rsidR="001F2DD7" w:rsidRPr="00FD6E80">
        <w:t xml:space="preserve">, </w:t>
      </w:r>
      <w:r w:rsidR="001F2DD7" w:rsidRPr="00621782">
        <w:rPr>
          <w:i/>
        </w:rPr>
        <w:t xml:space="preserve">Agricultural commodities, </w:t>
      </w:r>
      <w:r w:rsidR="005B7415" w:rsidRPr="00621782">
        <w:rPr>
          <w:i/>
        </w:rPr>
        <w:t xml:space="preserve">June </w:t>
      </w:r>
      <w:r w:rsidR="001F2DD7" w:rsidRPr="00621782">
        <w:rPr>
          <w:i/>
        </w:rPr>
        <w:t>quarter 20</w:t>
      </w:r>
      <w:r w:rsidR="00077740" w:rsidRPr="00621782">
        <w:rPr>
          <w:i/>
        </w:rPr>
        <w:t>2</w:t>
      </w:r>
      <w:r w:rsidR="005B7415" w:rsidRPr="00621782">
        <w:rPr>
          <w:i/>
        </w:rPr>
        <w:t>1</w:t>
      </w:r>
      <w:r w:rsidR="001F2DD7" w:rsidRPr="00FD6E80">
        <w:t>, Commonwealth of Australia, Canberra.</w:t>
      </w:r>
    </w:p>
    <w:p w14:paraId="3237A67A" w14:textId="45850BBD" w:rsidR="00B02CD2" w:rsidRDefault="00B02CD2" w:rsidP="00F12D5C">
      <w:r>
        <w:t>ABARES 202</w:t>
      </w:r>
      <w:r w:rsidR="005B7415">
        <w:t>1</w:t>
      </w:r>
      <w:r w:rsidR="004A71C7">
        <w:t>c</w:t>
      </w:r>
      <w:r>
        <w:t xml:space="preserve">, </w:t>
      </w:r>
      <w:r w:rsidRPr="00621782">
        <w:rPr>
          <w:i/>
        </w:rPr>
        <w:t>Australian crop report, June 202</w:t>
      </w:r>
      <w:r w:rsidR="005B7415" w:rsidRPr="00621782">
        <w:rPr>
          <w:i/>
        </w:rPr>
        <w:t>1</w:t>
      </w:r>
      <w:r>
        <w:t>, Commonwealth of Australia, Canberra</w:t>
      </w:r>
    </w:p>
    <w:p w14:paraId="746CBF8F" w14:textId="276CC679" w:rsidR="00451256" w:rsidRPr="001F2DD7" w:rsidRDefault="00451256" w:rsidP="00F12D5C">
      <w:r w:rsidRPr="00BA471C">
        <w:t xml:space="preserve">Australian Construction Industry Forum (ACIF) 2021, </w:t>
      </w:r>
      <w:r w:rsidRPr="00621782">
        <w:rPr>
          <w:i/>
        </w:rPr>
        <w:t>Australian Construction Market Report May 2021</w:t>
      </w:r>
    </w:p>
    <w:p w14:paraId="3E15788E" w14:textId="3B5E7992" w:rsidR="008E1820" w:rsidRDefault="008E1820" w:rsidP="00F12D5C">
      <w:r>
        <w:t>Australian Bureau of Statistics</w:t>
      </w:r>
      <w:r w:rsidR="0031690B">
        <w:t xml:space="preserve"> (ABS)</w:t>
      </w:r>
      <w:r>
        <w:t xml:space="preserve"> 2018, </w:t>
      </w:r>
      <w:r>
        <w:rPr>
          <w:i/>
        </w:rPr>
        <w:t>3222.0 – Population Projections, Australia, 2017 (base) 2066</w:t>
      </w:r>
      <w:r>
        <w:t xml:space="preserve">, available at </w:t>
      </w:r>
      <w:hyperlink r:id="rId10" w:history="1">
        <w:r w:rsidRPr="007D7378">
          <w:rPr>
            <w:rStyle w:val="Hyperlink"/>
          </w:rPr>
          <w:t>https://www.abs.gov.au/AUSSTATS/abs@.nsf/mf/3222.0</w:t>
        </w:r>
      </w:hyperlink>
      <w:r>
        <w:t xml:space="preserve"> </w:t>
      </w:r>
    </w:p>
    <w:p w14:paraId="3B87D7E0" w14:textId="2319BA18" w:rsidR="0031690B" w:rsidRDefault="0031690B" w:rsidP="00F12D5C">
      <w:r>
        <w:rPr>
          <w:rStyle w:val="Hyperlink"/>
          <w:color w:val="auto"/>
          <w:u w:val="none"/>
        </w:rPr>
        <w:t xml:space="preserve">ABS 2021, </w:t>
      </w:r>
      <w:r>
        <w:rPr>
          <w:rStyle w:val="Hyperlink"/>
          <w:i/>
          <w:color w:val="auto"/>
          <w:u w:val="none"/>
        </w:rPr>
        <w:t xml:space="preserve">Motor Vehicle Census Australia, available at </w:t>
      </w:r>
      <w:r w:rsidRPr="0031690B">
        <w:rPr>
          <w:rStyle w:val="Hyperlink"/>
          <w:i/>
          <w:color w:val="auto"/>
          <w:u w:val="none"/>
        </w:rPr>
        <w:t>https://www.abs.gov.au/statistics/industry/tourism-and-transport/motor-vehicle-census-australia/31-jan-2021</w:t>
      </w:r>
    </w:p>
    <w:p w14:paraId="32A25650" w14:textId="2BB87A6D" w:rsidR="00F97DAC" w:rsidRDefault="00CB7D0E" w:rsidP="00F12D5C">
      <w:r>
        <w:t>AEMO 2020</w:t>
      </w:r>
      <w:r w:rsidR="00BA471C">
        <w:t>a</w:t>
      </w:r>
      <w:r w:rsidR="00E15AB6" w:rsidRPr="00320493">
        <w:t xml:space="preserve">, </w:t>
      </w:r>
      <w:r w:rsidR="00F97DAC">
        <w:rPr>
          <w:i/>
        </w:rPr>
        <w:t>2020 Integrated System Plan</w:t>
      </w:r>
      <w:r w:rsidR="00E15AB6" w:rsidRPr="003F4B1B">
        <w:t>, Australian Energy Market Operator, available at</w:t>
      </w:r>
      <w:r w:rsidR="00BA471C">
        <w:rPr>
          <w:rStyle w:val="Hyperlink"/>
          <w:rFonts w:cs="Arial"/>
        </w:rPr>
        <w:t xml:space="preserve"> </w:t>
      </w:r>
      <w:hyperlink r:id="rId11" w:history="1">
        <w:r w:rsidR="00F97DAC" w:rsidRPr="00B1725E">
          <w:rPr>
            <w:rStyle w:val="Hyperlink"/>
            <w:rFonts w:cs="Arial"/>
          </w:rPr>
          <w:t>https://aemo.com.au/-/media/files/major-publications/isp/2020/final-2020-integrated-system-plan.pdf?la=en</w:t>
        </w:r>
      </w:hyperlink>
      <w:r w:rsidR="00F97DAC">
        <w:t xml:space="preserve"> </w:t>
      </w:r>
    </w:p>
    <w:p w14:paraId="4601A278" w14:textId="05456A9D" w:rsidR="00E15AB6" w:rsidRDefault="00CB7D0E" w:rsidP="00F12D5C">
      <w:pPr>
        <w:rPr>
          <w:rStyle w:val="Hyperlink"/>
          <w:rFonts w:cs="Arial"/>
        </w:rPr>
      </w:pPr>
      <w:r>
        <w:t>AEMO 2020</w:t>
      </w:r>
      <w:r w:rsidR="00BA471C">
        <w:t>b</w:t>
      </w:r>
      <w:r w:rsidR="003F4B1B" w:rsidRPr="00320493">
        <w:t xml:space="preserve">, </w:t>
      </w:r>
      <w:r w:rsidR="003F4B1B" w:rsidRPr="003F4B1B">
        <w:rPr>
          <w:i/>
        </w:rPr>
        <w:t>Electricity Statement of Opportunities</w:t>
      </w:r>
      <w:r w:rsidR="003F4B1B" w:rsidRPr="003F4B1B">
        <w:t>, Australian Energy Market Operator, available at</w:t>
      </w:r>
      <w:r w:rsidR="00BA471C">
        <w:t xml:space="preserve"> </w:t>
      </w:r>
      <w:r w:rsidR="00E15AB6" w:rsidRPr="00E15AB6">
        <w:rPr>
          <w:rStyle w:val="Hyperlink"/>
          <w:rFonts w:cs="Arial"/>
        </w:rPr>
        <w:t>https://aemo.com.au/-/media/files/electricity/nem/planning_and_forecasting/nem_esoo/2020/2020-electricity-statement-of-opportunities.pdf?la=en</w:t>
      </w:r>
      <w:r w:rsidR="00E15AB6" w:rsidRPr="00E15AB6" w:rsidDel="00E15AB6">
        <w:rPr>
          <w:rStyle w:val="Hyperlink"/>
          <w:rFonts w:cs="Arial"/>
        </w:rPr>
        <w:t xml:space="preserve"> </w:t>
      </w:r>
    </w:p>
    <w:p w14:paraId="36D97948" w14:textId="3ADFE9AA" w:rsidR="004D09A7" w:rsidRDefault="00CB7D0E" w:rsidP="00F12D5C">
      <w:pPr>
        <w:rPr>
          <w:rStyle w:val="Hyperlink"/>
          <w:rFonts w:cs="Arial"/>
        </w:rPr>
      </w:pPr>
      <w:r>
        <w:rPr>
          <w:rStyle w:val="Hyperlink"/>
          <w:rFonts w:cs="Arial"/>
          <w:color w:val="auto"/>
          <w:u w:val="none"/>
        </w:rPr>
        <w:t>AEMO 2020</w:t>
      </w:r>
      <w:r w:rsidR="00BA471C">
        <w:rPr>
          <w:rStyle w:val="Hyperlink"/>
          <w:rFonts w:cs="Arial"/>
          <w:color w:val="auto"/>
          <w:u w:val="none"/>
        </w:rPr>
        <w:t>c</w:t>
      </w:r>
      <w:r w:rsidR="004D09A7" w:rsidRPr="00CB7D0E">
        <w:rPr>
          <w:rStyle w:val="Hyperlink"/>
          <w:rFonts w:cs="Arial"/>
          <w:color w:val="auto"/>
          <w:u w:val="none"/>
        </w:rPr>
        <w:t xml:space="preserve">, 2020 </w:t>
      </w:r>
      <w:r w:rsidR="004D09A7" w:rsidRPr="00BA471C">
        <w:rPr>
          <w:rStyle w:val="Hyperlink"/>
          <w:rFonts w:cs="Arial"/>
          <w:i/>
          <w:color w:val="auto"/>
          <w:u w:val="none"/>
        </w:rPr>
        <w:t>WA Gas Statement of Opportunities,</w:t>
      </w:r>
      <w:r w:rsidR="004D09A7" w:rsidRPr="00CB7D0E">
        <w:rPr>
          <w:rStyle w:val="Hyperlink"/>
          <w:rFonts w:cs="Arial"/>
          <w:color w:val="auto"/>
          <w:u w:val="none"/>
        </w:rPr>
        <w:t xml:space="preserve"> Australian Energy Market Operator, available at</w:t>
      </w:r>
      <w:r w:rsidR="00BA471C">
        <w:rPr>
          <w:rStyle w:val="Hyperlink"/>
          <w:rFonts w:cs="Arial"/>
          <w:color w:val="auto"/>
          <w:u w:val="none"/>
        </w:rPr>
        <w:t xml:space="preserve"> </w:t>
      </w:r>
      <w:r w:rsidR="004D09A7" w:rsidRPr="004D09A7">
        <w:rPr>
          <w:rStyle w:val="Hyperlink"/>
          <w:rFonts w:cs="Arial"/>
        </w:rPr>
        <w:t>https://aemo.com.au/-/media/files/gas/national_planning_and_forecasting/wa_gsoo/2020/2020-wa-gsoo-report.pdf?la=en</w:t>
      </w:r>
    </w:p>
    <w:p w14:paraId="41996C5B" w14:textId="54DD8BA3" w:rsidR="00814CF0" w:rsidRDefault="00814CF0" w:rsidP="00F12D5C">
      <w:r>
        <w:t>AEMO 2021</w:t>
      </w:r>
      <w:r w:rsidR="00673284">
        <w:t>a</w:t>
      </w:r>
      <w:r>
        <w:t xml:space="preserve">, </w:t>
      </w:r>
      <w:r w:rsidRPr="00BA471C">
        <w:rPr>
          <w:i/>
        </w:rPr>
        <w:t>Inputs, Assumptions and Scenarios</w:t>
      </w:r>
      <w:r>
        <w:t>, Australian Energy</w:t>
      </w:r>
      <w:r w:rsidR="004D09A7">
        <w:t xml:space="preserve"> Market Operator, available at</w:t>
      </w:r>
      <w:r w:rsidR="00BA471C">
        <w:t xml:space="preserve"> </w:t>
      </w:r>
      <w:hyperlink r:id="rId12" w:history="1">
        <w:r w:rsidR="00BA471C" w:rsidRPr="00E35A34">
          <w:rPr>
            <w:rStyle w:val="Hyperlink"/>
          </w:rPr>
          <w:t>https://aemo.com.au/en/energy-systems/major-publications/integrated-system-plan-isp/2022-integrated-system-plan-isp/current-inputs-assumptions-and-scenarios</w:t>
        </w:r>
      </w:hyperlink>
      <w:r w:rsidR="00BA471C">
        <w:t xml:space="preserve"> </w:t>
      </w:r>
    </w:p>
    <w:p w14:paraId="630A50F0" w14:textId="19481708" w:rsidR="005F5D65" w:rsidRDefault="003F4B1B" w:rsidP="00F12D5C">
      <w:pPr>
        <w:rPr>
          <w:rStyle w:val="Hyperlink"/>
          <w:rFonts w:cs="Arial"/>
        </w:rPr>
      </w:pPr>
      <w:r w:rsidRPr="003F4B1B">
        <w:t>AEMO 20</w:t>
      </w:r>
      <w:r w:rsidR="00B01A8F">
        <w:t>2</w:t>
      </w:r>
      <w:r w:rsidR="005F5D65">
        <w:t>1</w:t>
      </w:r>
      <w:r w:rsidR="00673284">
        <w:t>b</w:t>
      </w:r>
      <w:r w:rsidRPr="003F4B1B">
        <w:t xml:space="preserve">, </w:t>
      </w:r>
      <w:r w:rsidRPr="00BA471C">
        <w:rPr>
          <w:i/>
        </w:rPr>
        <w:t>Wholesale Electricity Market Electricity Statement of Opportunities</w:t>
      </w:r>
      <w:r w:rsidRPr="003F4B1B">
        <w:t>, Australian Energy Market Operator, available at</w:t>
      </w:r>
      <w:r w:rsidR="00AA5532">
        <w:t xml:space="preserve"> </w:t>
      </w:r>
      <w:hyperlink r:id="rId13" w:history="1">
        <w:r w:rsidR="005F5D65" w:rsidRPr="0051054F">
          <w:rPr>
            <w:rStyle w:val="Hyperlink"/>
            <w:rFonts w:cs="Arial"/>
          </w:rPr>
          <w:t>https://aemo.com.au/-/media/files/electricity/wem/planning_and_forecasting/esoo/2021/2021-wholesale-electricity-market-electricity-statement-of-opportunities.pdf?la=en</w:t>
        </w:r>
      </w:hyperlink>
    </w:p>
    <w:p w14:paraId="4A652775" w14:textId="519B7614" w:rsidR="009872DD" w:rsidRDefault="00451256" w:rsidP="00F12D5C">
      <w:r w:rsidRPr="00451256">
        <w:t>AEMO 2021</w:t>
      </w:r>
      <w:r>
        <w:t>c</w:t>
      </w:r>
      <w:r w:rsidRPr="00451256">
        <w:t xml:space="preserve">, </w:t>
      </w:r>
      <w:r w:rsidRPr="00621782">
        <w:rPr>
          <w:i/>
        </w:rPr>
        <w:t>Gas Statement of Opportunities</w:t>
      </w:r>
      <w:r w:rsidRPr="00451256">
        <w:t xml:space="preserve">, Australian Energy Market Operator, available at </w:t>
      </w:r>
      <w:hyperlink r:id="rId14" w:history="1">
        <w:r w:rsidR="00BA471C" w:rsidRPr="00E35A34">
          <w:rPr>
            <w:rStyle w:val="Hyperlink"/>
          </w:rPr>
          <w:t>https://aemo.com.au/-/media/files/gas/national_planning_and_forecasting/gsoo/2021/2021-gas-statement-of-opportunities.pdf?la=en</w:t>
        </w:r>
      </w:hyperlink>
      <w:r w:rsidR="00BA471C">
        <w:t xml:space="preserve"> </w:t>
      </w:r>
    </w:p>
    <w:p w14:paraId="2942B6DD" w14:textId="6B6145A0" w:rsidR="003A70F2" w:rsidRDefault="00AA433F" w:rsidP="00F12D5C">
      <w:r>
        <w:t>Australian Pipeline and Gas Association (APGA),</w:t>
      </w:r>
      <w:r w:rsidR="00F53B61">
        <w:t xml:space="preserve"> 2020,</w:t>
      </w:r>
      <w:r>
        <w:t xml:space="preserve"> Pipeline information, available at </w:t>
      </w:r>
      <w:r w:rsidRPr="004073A9">
        <w:rPr>
          <w:rStyle w:val="Hyperlink"/>
        </w:rPr>
        <w:t>https://www.apga.org.au/sites/default/files/uploaded-content/website-content/gsp2020map_2.pdf</w:t>
      </w:r>
    </w:p>
    <w:p w14:paraId="0C8D4D09" w14:textId="6FB281D7" w:rsidR="00B36AE1" w:rsidRDefault="00B36AE1" w:rsidP="00F12D5C">
      <w:r>
        <w:t>BNEF 2021</w:t>
      </w:r>
      <w:r w:rsidR="00A900E7">
        <w:t>a</w:t>
      </w:r>
      <w:r>
        <w:t>, 2021 Road Fuel Outlook, Bloomberg New Energy Finance.</w:t>
      </w:r>
    </w:p>
    <w:p w14:paraId="03585B48" w14:textId="1A6479FF" w:rsidR="00A900E7" w:rsidRDefault="00A900E7" w:rsidP="00F12D5C">
      <w:r>
        <w:lastRenderedPageBreak/>
        <w:t>BNEF 2021b, New Energy Outlook 2021, Bloomberg New Energy Finance.</w:t>
      </w:r>
    </w:p>
    <w:p w14:paraId="24EB80E2" w14:textId="41438008" w:rsidR="000954B6" w:rsidRDefault="000954B6" w:rsidP="00F12D5C">
      <w:r w:rsidRPr="00B770D7">
        <w:t>Cement Industry Federation</w:t>
      </w:r>
      <w:r>
        <w:t xml:space="preserve"> (CIF) 2020, Australian Cement Report 2020, available at:</w:t>
      </w:r>
      <w:r w:rsidRPr="000954B6">
        <w:t xml:space="preserve"> </w:t>
      </w:r>
      <w:r w:rsidRPr="000954B6">
        <w:rPr>
          <w:rStyle w:val="Hyperlink"/>
        </w:rPr>
        <w:t>http://cement.org.au/wp-content/uploads/2020/08/CIF-Industry-Report-2020.pdf</w:t>
      </w:r>
    </w:p>
    <w:p w14:paraId="2D3DA384" w14:textId="4D4E8C75" w:rsidR="00164FA8" w:rsidRDefault="00164FA8" w:rsidP="00F12D5C">
      <w:r>
        <w:t>Clean Energy Regulator (CER) 20</w:t>
      </w:r>
      <w:r w:rsidR="001B7592">
        <w:t>2</w:t>
      </w:r>
      <w:r w:rsidR="00CD11A3">
        <w:t>1</w:t>
      </w:r>
      <w:r w:rsidR="006019D3">
        <w:t>a</w:t>
      </w:r>
      <w:r>
        <w:t xml:space="preserve">, </w:t>
      </w:r>
      <w:r w:rsidRPr="00164FA8">
        <w:rPr>
          <w:i/>
        </w:rPr>
        <w:t>Large-scale Renewable Energy Target supply data</w:t>
      </w:r>
      <w:r w:rsidR="00867290">
        <w:t xml:space="preserve"> (version available July</w:t>
      </w:r>
      <w:r>
        <w:t xml:space="preserve"> 20</w:t>
      </w:r>
      <w:r w:rsidR="001B7592">
        <w:t>2</w:t>
      </w:r>
      <w:r w:rsidR="00867290">
        <w:t>1</w:t>
      </w:r>
      <w:r>
        <w:t xml:space="preserve">), available at </w:t>
      </w:r>
      <w:hyperlink r:id="rId15" w:history="1">
        <w:r w:rsidRPr="00FD3753">
          <w:rPr>
            <w:rStyle w:val="Hyperlink"/>
          </w:rPr>
          <w:t>http://www.cleanenergyregulator.gov.au/RET/About-the-Renewable-Energy-Target/Large-scale-Renewable-Energy-Target-market-data/large-scale-renewable-energy-target-supply-data</w:t>
        </w:r>
      </w:hyperlink>
      <w:r>
        <w:t xml:space="preserve"> </w:t>
      </w:r>
    </w:p>
    <w:p w14:paraId="203BA520" w14:textId="4A9647A0" w:rsidR="006019D3" w:rsidRDefault="00164FA8" w:rsidP="00F12D5C">
      <w:r w:rsidRPr="002943C3">
        <w:t xml:space="preserve">CER </w:t>
      </w:r>
      <w:r w:rsidR="006019D3" w:rsidRPr="002943C3">
        <w:t>2020b</w:t>
      </w:r>
      <w:r w:rsidRPr="002943C3">
        <w:t xml:space="preserve">, </w:t>
      </w:r>
      <w:r w:rsidR="006019D3" w:rsidRPr="002943C3">
        <w:t xml:space="preserve">Quarterly Carbon Market Report: </w:t>
      </w:r>
      <w:r w:rsidR="002943C3" w:rsidRPr="002943C3">
        <w:t xml:space="preserve">June </w:t>
      </w:r>
      <w:r w:rsidR="006019D3" w:rsidRPr="002943C3">
        <w:t>Quarter 202</w:t>
      </w:r>
      <w:r w:rsidR="002943C3" w:rsidRPr="002943C3">
        <w:t>1</w:t>
      </w:r>
      <w:r w:rsidR="006019D3" w:rsidRPr="002943C3">
        <w:t>, available at</w:t>
      </w:r>
      <w:r w:rsidR="009C0B7E" w:rsidRPr="002943C3">
        <w:t xml:space="preserve"> </w:t>
      </w:r>
      <w:hyperlink r:id="rId16" w:history="1">
        <w:r w:rsidR="002943C3" w:rsidRPr="003759C7">
          <w:rPr>
            <w:rStyle w:val="Hyperlink"/>
          </w:rPr>
          <w:t>http://www.cleanenergyregulator.gov.au/DocumentAssets/Documents/Quarterly%20Carbon%20Market%20Report%20-%20June%20Quarter%202021.pdf</w:t>
        </w:r>
      </w:hyperlink>
      <w:r w:rsidR="002943C3">
        <w:t xml:space="preserve"> </w:t>
      </w:r>
    </w:p>
    <w:p w14:paraId="30403682" w14:textId="29E97541" w:rsidR="001B4EFB" w:rsidRDefault="00CC19FD" w:rsidP="00F12D5C">
      <w:r w:rsidRPr="00CC19FD">
        <w:t xml:space="preserve">Department of Industry, Science, Energy and Resources (DISER) </w:t>
      </w:r>
      <w:r w:rsidR="00451256" w:rsidRPr="00B36702">
        <w:t>20</w:t>
      </w:r>
      <w:r w:rsidR="00451256">
        <w:t>21a</w:t>
      </w:r>
      <w:r w:rsidR="001B4EFB" w:rsidRPr="00B36702">
        <w:t xml:space="preserve">, </w:t>
      </w:r>
      <w:r w:rsidR="001B4EFB" w:rsidRPr="00B36702">
        <w:rPr>
          <w:i/>
        </w:rPr>
        <w:t xml:space="preserve">Quarterly Update of Australia’s National Greenhouse Gas Inventory: </w:t>
      </w:r>
      <w:r w:rsidR="00451256">
        <w:rPr>
          <w:i/>
        </w:rPr>
        <w:t>March</w:t>
      </w:r>
      <w:r w:rsidR="00451256" w:rsidRPr="00B36702">
        <w:rPr>
          <w:i/>
        </w:rPr>
        <w:t xml:space="preserve"> </w:t>
      </w:r>
      <w:r w:rsidR="00451256">
        <w:rPr>
          <w:i/>
        </w:rPr>
        <w:t xml:space="preserve">2021 </w:t>
      </w:r>
      <w:r w:rsidR="001B4EFB">
        <w:t>Commonwealth of Australia</w:t>
      </w:r>
      <w:r w:rsidR="001B4EFB" w:rsidRPr="00713A44">
        <w:t>, Canberra</w:t>
      </w:r>
      <w:r w:rsidR="001B4EFB" w:rsidRPr="00B36702">
        <w:t>.</w:t>
      </w:r>
    </w:p>
    <w:p w14:paraId="332D0875" w14:textId="56BC41BE" w:rsidR="00276782" w:rsidRDefault="00CC19FD" w:rsidP="00F12D5C">
      <w:r w:rsidRPr="00CC19FD">
        <w:t xml:space="preserve">DISER </w:t>
      </w:r>
      <w:r w:rsidRPr="00B36702">
        <w:t>20</w:t>
      </w:r>
      <w:r>
        <w:t>2</w:t>
      </w:r>
      <w:r w:rsidR="00F025BD">
        <w:t>1</w:t>
      </w:r>
      <w:r>
        <w:t>b</w:t>
      </w:r>
      <w:r w:rsidRPr="00B36702">
        <w:t xml:space="preserve">, </w:t>
      </w:r>
      <w:r w:rsidRPr="00B36702">
        <w:rPr>
          <w:i/>
        </w:rPr>
        <w:t>National Inventory Report 201</w:t>
      </w:r>
      <w:r w:rsidR="00F025BD">
        <w:rPr>
          <w:i/>
        </w:rPr>
        <w:t>9</w:t>
      </w:r>
      <w:r w:rsidRPr="00B36702">
        <w:t xml:space="preserve">, </w:t>
      </w:r>
      <w:r>
        <w:t>Commonwealth of Australia</w:t>
      </w:r>
      <w:r w:rsidRPr="00713A44">
        <w:t>, Canberra</w:t>
      </w:r>
      <w:r w:rsidRPr="00B36702">
        <w:t>.</w:t>
      </w:r>
    </w:p>
    <w:p w14:paraId="6C62676C" w14:textId="11ED1C9E" w:rsidR="002E3E40" w:rsidRPr="00B36702" w:rsidRDefault="00B36702" w:rsidP="00F12D5C">
      <w:r w:rsidRPr="00B36702">
        <w:t>D</w:t>
      </w:r>
      <w:r w:rsidR="00767A6C">
        <w:t xml:space="preserve">ISER </w:t>
      </w:r>
      <w:r w:rsidR="00451256" w:rsidRPr="00B36702">
        <w:t>20</w:t>
      </w:r>
      <w:r w:rsidR="00451256">
        <w:t>21c</w:t>
      </w:r>
      <w:r w:rsidRPr="00B36702">
        <w:t xml:space="preserve">, </w:t>
      </w:r>
      <w:r w:rsidRPr="00B36702">
        <w:rPr>
          <w:i/>
        </w:rPr>
        <w:t xml:space="preserve">Australian Energy Update </w:t>
      </w:r>
      <w:r w:rsidR="00451256" w:rsidRPr="00B36702">
        <w:rPr>
          <w:i/>
        </w:rPr>
        <w:t>20</w:t>
      </w:r>
      <w:r w:rsidR="00451256">
        <w:rPr>
          <w:i/>
        </w:rPr>
        <w:t>21</w:t>
      </w:r>
      <w:r w:rsidRPr="00B36702">
        <w:t xml:space="preserve">, </w:t>
      </w:r>
      <w:r w:rsidR="00B908DE">
        <w:t>Commonwealth of Australia</w:t>
      </w:r>
      <w:r w:rsidR="00B908DE" w:rsidRPr="00713A44">
        <w:t>, Canberra</w:t>
      </w:r>
      <w:r w:rsidRPr="00B36702">
        <w:t>.</w:t>
      </w:r>
    </w:p>
    <w:p w14:paraId="6D5BACC9" w14:textId="4D655C84" w:rsidR="0039404A" w:rsidRDefault="0039404A" w:rsidP="0039404A">
      <w:r>
        <w:t xml:space="preserve">Department of the Treasury 2021, </w:t>
      </w:r>
      <w:r w:rsidRPr="00621782">
        <w:rPr>
          <w:i/>
        </w:rPr>
        <w:t>2021 Intergenerational Report</w:t>
      </w:r>
      <w:r>
        <w:t>, Commonwealth of Australia, Canberra.</w:t>
      </w:r>
    </w:p>
    <w:p w14:paraId="7BDE2AFC" w14:textId="6E73F1B5" w:rsidR="00041C69" w:rsidRPr="00B36702" w:rsidRDefault="00041C69" w:rsidP="00F12D5C">
      <w:r>
        <w:t xml:space="preserve">Energeia 2020, </w:t>
      </w:r>
      <w:r w:rsidRPr="00621782">
        <w:rPr>
          <w:i/>
        </w:rPr>
        <w:t>Projections of Greenhouse Gas Emissions in Australia’s Transport Sector</w:t>
      </w:r>
      <w:r>
        <w:t>, Energeia Pty Ltd, Australia.</w:t>
      </w:r>
    </w:p>
    <w:p w14:paraId="54D938CF" w14:textId="6267368F" w:rsidR="005F1872" w:rsidRDefault="005F1872" w:rsidP="00F12D5C">
      <w:r>
        <w:t xml:space="preserve">Energy Consult 2015, </w:t>
      </w:r>
      <w:r>
        <w:rPr>
          <w:i/>
        </w:rPr>
        <w:t xml:space="preserve">Residential Energy Baseline Study: Australia, </w:t>
      </w:r>
      <w:r>
        <w:t>Prepared for Department of Industry and Science on behalf of the trans</w:t>
      </w:r>
      <w:r w:rsidR="00770758">
        <w:t>-</w:t>
      </w:r>
      <w:r>
        <w:t>Tasman Equipment Energy Efficiency (E3)</w:t>
      </w:r>
      <w:r w:rsidR="00770758">
        <w:t xml:space="preserve"> </w:t>
      </w:r>
      <w:r>
        <w:t>Australia</w:t>
      </w:r>
      <w:r w:rsidR="00770758">
        <w:t xml:space="preserve">, available at </w:t>
      </w:r>
      <w:hyperlink r:id="rId17" w:history="1">
        <w:r w:rsidR="00770758" w:rsidRPr="0049435F">
          <w:rPr>
            <w:rStyle w:val="Hyperlink"/>
          </w:rPr>
          <w:t>https://www.energyrating.gov.au/sites/default/files/2020-06/report-residential-baseline-study-for-australia-2000-2030.pdf</w:t>
        </w:r>
      </w:hyperlink>
      <w:r w:rsidR="00770758">
        <w:t xml:space="preserve"> </w:t>
      </w:r>
    </w:p>
    <w:p w14:paraId="56264F9E" w14:textId="77777777" w:rsidR="0086320C" w:rsidRDefault="0086320C" w:rsidP="0086320C">
      <w:r>
        <w:t xml:space="preserve">Heinz Schandl, Tim Baynes, Nawshad Haque, Damian Barrett and Arne Geschke 2019, </w:t>
      </w:r>
      <w:r w:rsidRPr="007672A9">
        <w:rPr>
          <w:i/>
        </w:rPr>
        <w:t>Final Report for GISERA project G2 - Whole of life greenhouse gas emissions assessment of a coal seam gas to Liquefied Natural Gas project in the Surat basin, Queensland, Australia</w:t>
      </w:r>
      <w:r>
        <w:rPr>
          <w:i/>
        </w:rPr>
        <w:t xml:space="preserve">, </w:t>
      </w:r>
      <w:r>
        <w:t>CSIRO, Australia.</w:t>
      </w:r>
    </w:p>
    <w:p w14:paraId="75BFF38D" w14:textId="0C8F1C17" w:rsidR="0015110F" w:rsidRPr="00B36702" w:rsidRDefault="008815C7" w:rsidP="00F12D5C">
      <w:r w:rsidRPr="00B36702">
        <w:t xml:space="preserve">International Energy Agency </w:t>
      </w:r>
      <w:r>
        <w:t>(</w:t>
      </w:r>
      <w:r w:rsidR="0015110F" w:rsidRPr="00B36702">
        <w:t>IEA</w:t>
      </w:r>
      <w:r>
        <w:t>)</w:t>
      </w:r>
      <w:r w:rsidR="0015110F" w:rsidRPr="00B36702">
        <w:t xml:space="preserve"> </w:t>
      </w:r>
      <w:r w:rsidR="00821FDE" w:rsidRPr="00B36702">
        <w:t>20</w:t>
      </w:r>
      <w:r w:rsidR="00E66A25">
        <w:t>20</w:t>
      </w:r>
      <w:r w:rsidR="0015110F" w:rsidRPr="00B36702">
        <w:t xml:space="preserve">, </w:t>
      </w:r>
      <w:r w:rsidR="0015110F" w:rsidRPr="00B36702">
        <w:rPr>
          <w:i/>
        </w:rPr>
        <w:t xml:space="preserve">World Energy Outlook </w:t>
      </w:r>
      <w:r w:rsidR="00E66A25" w:rsidRPr="00B36702">
        <w:rPr>
          <w:i/>
        </w:rPr>
        <w:t>20</w:t>
      </w:r>
      <w:r w:rsidR="00E66A25">
        <w:rPr>
          <w:i/>
        </w:rPr>
        <w:t>20</w:t>
      </w:r>
      <w:r w:rsidR="0015110F" w:rsidRPr="00B36702">
        <w:t xml:space="preserve">, International Energy Agency, available at </w:t>
      </w:r>
      <w:r w:rsidR="00E66A25" w:rsidRPr="00E66A25">
        <w:rPr>
          <w:rStyle w:val="Hyperlink"/>
        </w:rPr>
        <w:t>https://www.iea.org/reports/world-energy-outlook-2020</w:t>
      </w:r>
    </w:p>
    <w:p w14:paraId="5FEF7037" w14:textId="7731CE77" w:rsidR="0015110F" w:rsidRDefault="008815C7" w:rsidP="00F12D5C">
      <w:r w:rsidRPr="008815C7">
        <w:t xml:space="preserve">Intergovernmental Panel on Climate Change </w:t>
      </w:r>
      <w:r>
        <w:t>(</w:t>
      </w:r>
      <w:r w:rsidR="0015110F" w:rsidRPr="00B36702">
        <w:t>IPCC</w:t>
      </w:r>
      <w:r>
        <w:t>)</w:t>
      </w:r>
      <w:r w:rsidR="0015110F" w:rsidRPr="00B36702">
        <w:t xml:space="preserve"> 2007, </w:t>
      </w:r>
      <w:r w:rsidR="0015110F" w:rsidRPr="00B36702">
        <w:rPr>
          <w:i/>
        </w:rPr>
        <w:t xml:space="preserve">Fourth Assessment Report: </w:t>
      </w:r>
      <w:r w:rsidR="0015110F" w:rsidRPr="00621782">
        <w:rPr>
          <w:i/>
        </w:rPr>
        <w:t>Working Group 1 Report: The Physical Science Basis</w:t>
      </w:r>
      <w:r w:rsidR="0015110F" w:rsidRPr="00B36702">
        <w:t>, Cambridge University Press, Cambridge, UK.</w:t>
      </w:r>
    </w:p>
    <w:p w14:paraId="268A5E44" w14:textId="45FCC021" w:rsidR="0039404A" w:rsidRDefault="0039404A" w:rsidP="00F12D5C">
      <w:r w:rsidRPr="008815C7">
        <w:t xml:space="preserve">Intergovernmental Panel on Climate Change </w:t>
      </w:r>
      <w:r>
        <w:t>(</w:t>
      </w:r>
      <w:r w:rsidRPr="00B36702">
        <w:t>IPCC</w:t>
      </w:r>
      <w:r>
        <w:t>) 2013</w:t>
      </w:r>
      <w:r w:rsidRPr="00B36702">
        <w:t xml:space="preserve">, </w:t>
      </w:r>
      <w:r>
        <w:rPr>
          <w:i/>
        </w:rPr>
        <w:t>Fif</w:t>
      </w:r>
      <w:r w:rsidRPr="00B36702">
        <w:rPr>
          <w:i/>
        </w:rPr>
        <w:t xml:space="preserve">th Assessment Report: </w:t>
      </w:r>
      <w:r w:rsidRPr="00621782">
        <w:rPr>
          <w:i/>
        </w:rPr>
        <w:t>Working Group 1 Report: The Physical Science Basis</w:t>
      </w:r>
      <w:r w:rsidRPr="00214FE3">
        <w:t>,</w:t>
      </w:r>
      <w:r w:rsidRPr="00B36702">
        <w:t xml:space="preserve"> Cambridge University Press, Cambridge, UK.</w:t>
      </w:r>
    </w:p>
    <w:p w14:paraId="16AEDE78" w14:textId="0BF1AF6E" w:rsidR="0036287A" w:rsidRDefault="0036287A" w:rsidP="00F12D5C">
      <w:r w:rsidRPr="00320493">
        <w:t>Merchant Rese</w:t>
      </w:r>
      <w:r w:rsidRPr="00A95983">
        <w:t xml:space="preserve">arch </w:t>
      </w:r>
      <w:r w:rsidR="00C164ED" w:rsidRPr="00A95983">
        <w:t>&amp; Consulting L</w:t>
      </w:r>
      <w:r w:rsidRPr="00A95983">
        <w:t xml:space="preserve">td </w:t>
      </w:r>
      <w:r w:rsidR="00451256" w:rsidRPr="00A95983">
        <w:t>20</w:t>
      </w:r>
      <w:r w:rsidR="00451256">
        <w:t>21</w:t>
      </w:r>
      <w:r w:rsidRPr="00A95983">
        <w:t xml:space="preserve">, </w:t>
      </w:r>
      <w:r w:rsidRPr="00621782">
        <w:rPr>
          <w:i/>
        </w:rPr>
        <w:t xml:space="preserve">Ammonia: Australia Market Outlook </w:t>
      </w:r>
      <w:r w:rsidR="00451256" w:rsidRPr="00621782">
        <w:rPr>
          <w:i/>
        </w:rPr>
        <w:t>2021</w:t>
      </w:r>
      <w:r w:rsidRPr="00A95983">
        <w:t xml:space="preserve">, </w:t>
      </w:r>
      <w:r w:rsidR="000354C1" w:rsidRPr="00A95983">
        <w:t>Birmingham,</w:t>
      </w:r>
      <w:r w:rsidR="00A95983">
        <w:t xml:space="preserve"> </w:t>
      </w:r>
      <w:r w:rsidR="000354C1" w:rsidRPr="00A95983">
        <w:t>UK.</w:t>
      </w:r>
      <w:r w:rsidRPr="00A95983">
        <w:t xml:space="preserve"> </w:t>
      </w:r>
    </w:p>
    <w:p w14:paraId="4E0B90B8" w14:textId="7DA84919" w:rsidR="0015110F" w:rsidRDefault="003F4B1B" w:rsidP="00F12D5C">
      <w:r w:rsidRPr="00320493">
        <w:t>NT Utilities Commission 20</w:t>
      </w:r>
      <w:r w:rsidR="00B34705">
        <w:t>20</w:t>
      </w:r>
      <w:r w:rsidRPr="00320493">
        <w:t xml:space="preserve">, </w:t>
      </w:r>
      <w:r w:rsidR="00B34705" w:rsidRPr="00621782">
        <w:rPr>
          <w:i/>
        </w:rPr>
        <w:t>Northern Territory Electricity Outlook Report 2018-19</w:t>
      </w:r>
      <w:r w:rsidRPr="003F4B1B">
        <w:t>, North</w:t>
      </w:r>
      <w:r w:rsidR="00B34705">
        <w:t>ern</w:t>
      </w:r>
      <w:r w:rsidRPr="003F4B1B">
        <w:t xml:space="preserve"> Territory Government, available at</w:t>
      </w:r>
      <w:r w:rsidR="005F4E0B">
        <w:t>:</w:t>
      </w:r>
      <w:r w:rsidR="004752FE">
        <w:t xml:space="preserve"> </w:t>
      </w:r>
      <w:r w:rsidR="00B34705" w:rsidRPr="00B34705">
        <w:rPr>
          <w:rStyle w:val="Hyperlink"/>
          <w:rFonts w:cs="Arial"/>
        </w:rPr>
        <w:t>https://utilicom.nt.gov.au/__data/assets/pdf_file/0010/895357/2018-19-NT-Electricity-Outlook-Report.pdf</w:t>
      </w:r>
      <w:r w:rsidRPr="003F4B1B">
        <w:t xml:space="preserve"> </w:t>
      </w:r>
    </w:p>
    <w:p w14:paraId="227B3C17" w14:textId="173FF2F9" w:rsidR="00B36AE1" w:rsidRPr="00B36702" w:rsidRDefault="00B36AE1" w:rsidP="00F12D5C">
      <w:r>
        <w:t xml:space="preserve">NTC 2020, </w:t>
      </w:r>
      <w:r w:rsidRPr="00621782">
        <w:rPr>
          <w:i/>
        </w:rPr>
        <w:t>Carbon Dioxide Emissions Intensity for New Australian Light Vehicles 2019</w:t>
      </w:r>
      <w:r>
        <w:t xml:space="preserve">, National Transport Commission. </w:t>
      </w:r>
    </w:p>
    <w:p w14:paraId="4224AE75" w14:textId="70126920" w:rsidR="000E6352" w:rsidRDefault="008815C7" w:rsidP="00F12D5C">
      <w:pPr>
        <w:rPr>
          <w:color w:val="0000FF"/>
          <w:u w:val="single"/>
        </w:rPr>
      </w:pPr>
      <w:r>
        <w:lastRenderedPageBreak/>
        <w:t>Office of the Chief Economist (</w:t>
      </w:r>
      <w:r w:rsidR="0015110F" w:rsidRPr="00B36702">
        <w:t>OCE</w:t>
      </w:r>
      <w:r>
        <w:t>)</w:t>
      </w:r>
      <w:r w:rsidR="0015110F" w:rsidRPr="00B36702">
        <w:t xml:space="preserve"> </w:t>
      </w:r>
      <w:r w:rsidR="005F4E0B" w:rsidRPr="00B36702">
        <w:t>20</w:t>
      </w:r>
      <w:r w:rsidR="005F4E0B">
        <w:t>2</w:t>
      </w:r>
      <w:r w:rsidR="007E2A97">
        <w:t>1</w:t>
      </w:r>
      <w:r w:rsidR="004073A9">
        <w:t>a</w:t>
      </w:r>
      <w:r w:rsidR="0015110F" w:rsidRPr="00B36702">
        <w:t xml:space="preserve">, </w:t>
      </w:r>
      <w:r w:rsidR="0015110F" w:rsidRPr="00B36702">
        <w:rPr>
          <w:i/>
        </w:rPr>
        <w:t xml:space="preserve">Resources and Energy Quarterly March Quarter </w:t>
      </w:r>
      <w:r w:rsidR="005F4E0B" w:rsidRPr="00B36702">
        <w:rPr>
          <w:i/>
        </w:rPr>
        <w:t>20</w:t>
      </w:r>
      <w:r w:rsidR="005F4E0B">
        <w:rPr>
          <w:i/>
        </w:rPr>
        <w:t>2</w:t>
      </w:r>
      <w:r w:rsidR="007E2A97">
        <w:rPr>
          <w:i/>
        </w:rPr>
        <w:t>1</w:t>
      </w:r>
      <w:r w:rsidR="0015110F" w:rsidRPr="00B36702">
        <w:t xml:space="preserve">, </w:t>
      </w:r>
      <w:r w:rsidR="00B908DE">
        <w:t>Commonwealth of Australia</w:t>
      </w:r>
      <w:r w:rsidR="00B908DE" w:rsidRPr="00713A44">
        <w:t>, Canberra</w:t>
      </w:r>
      <w:r w:rsidR="005F4E0B">
        <w:t xml:space="preserve">, </w:t>
      </w:r>
      <w:r w:rsidR="005F4E0B" w:rsidRPr="003F4B1B">
        <w:rPr>
          <w:rFonts w:cs="Arial"/>
        </w:rPr>
        <w:t>available at</w:t>
      </w:r>
      <w:r w:rsidR="005F4E0B">
        <w:rPr>
          <w:color w:val="0000FF"/>
          <w:u w:val="single"/>
        </w:rPr>
        <w:t>:</w:t>
      </w:r>
      <w:r w:rsidR="00276782">
        <w:rPr>
          <w:color w:val="0000FF"/>
          <w:u w:val="single"/>
        </w:rPr>
        <w:t xml:space="preserve"> </w:t>
      </w:r>
      <w:r w:rsidR="004D09A7" w:rsidRPr="004D09A7">
        <w:rPr>
          <w:rStyle w:val="Hyperlink"/>
        </w:rPr>
        <w:t>https://publications.industry.gov.au/publications/resourcesandenergyquarterlymarch2021/index.html</w:t>
      </w:r>
    </w:p>
    <w:p w14:paraId="7B1ABE56" w14:textId="3C0930F4" w:rsidR="0015110F" w:rsidRPr="00B36702" w:rsidRDefault="0015110F" w:rsidP="00F12D5C">
      <w:r w:rsidRPr="00B36702">
        <w:t xml:space="preserve">OCE </w:t>
      </w:r>
      <w:r w:rsidR="004073A9" w:rsidRPr="00B36702">
        <w:t>20</w:t>
      </w:r>
      <w:r w:rsidR="004073A9">
        <w:t>2</w:t>
      </w:r>
      <w:r w:rsidR="00AD680A">
        <w:t>1</w:t>
      </w:r>
      <w:r w:rsidR="004073A9">
        <w:t>b</w:t>
      </w:r>
      <w:r w:rsidRPr="00B36702">
        <w:t xml:space="preserve">, </w:t>
      </w:r>
      <w:r w:rsidRPr="00B36702">
        <w:rPr>
          <w:i/>
        </w:rPr>
        <w:t xml:space="preserve">Resources and Energy Quarterly </w:t>
      </w:r>
      <w:r w:rsidR="00AD680A">
        <w:rPr>
          <w:i/>
        </w:rPr>
        <w:t xml:space="preserve">June </w:t>
      </w:r>
      <w:r w:rsidRPr="00B36702">
        <w:rPr>
          <w:i/>
        </w:rPr>
        <w:t>Quarter 20</w:t>
      </w:r>
      <w:r w:rsidR="00CA061A">
        <w:rPr>
          <w:i/>
        </w:rPr>
        <w:t>2</w:t>
      </w:r>
      <w:r w:rsidR="00AD680A">
        <w:rPr>
          <w:i/>
        </w:rPr>
        <w:t>1</w:t>
      </w:r>
      <w:r w:rsidRPr="00B36702">
        <w:t xml:space="preserve">, </w:t>
      </w:r>
      <w:r w:rsidR="00B908DE">
        <w:t>Commonwealth of Australia</w:t>
      </w:r>
      <w:r w:rsidR="00B908DE" w:rsidRPr="00713A44">
        <w:t>, Canberra</w:t>
      </w:r>
      <w:r w:rsidR="005F4E0B">
        <w:t>, available at:</w:t>
      </w:r>
      <w:r w:rsidR="00B367DA" w:rsidRPr="00E079D1">
        <w:rPr>
          <w:color w:val="0070AE"/>
          <w:u w:val="single"/>
        </w:rPr>
        <w:t xml:space="preserve"> </w:t>
      </w:r>
      <w:r w:rsidR="00AD680A" w:rsidRPr="00AD680A">
        <w:rPr>
          <w:color w:val="0070AE"/>
          <w:u w:val="single"/>
        </w:rPr>
        <w:t>https://publications.industry.gov.au/publications/resourcesandenergyquarterlyjune2021/index.html</w:t>
      </w:r>
    </w:p>
    <w:p w14:paraId="1152C47C" w14:textId="6D0F89E5" w:rsidR="0082006E" w:rsidRDefault="008815C7" w:rsidP="00F12D5C">
      <w:pPr>
        <w:rPr>
          <w:rStyle w:val="Hyperlink"/>
          <w:iCs/>
        </w:rPr>
      </w:pPr>
      <w:r w:rsidRPr="008815C7">
        <w:t xml:space="preserve">Organisation for Economic Co-operation and Development </w:t>
      </w:r>
      <w:r>
        <w:t>(</w:t>
      </w:r>
      <w:r w:rsidR="0015110F" w:rsidRPr="00B36702">
        <w:t>OECD</w:t>
      </w:r>
      <w:r>
        <w:t>)</w:t>
      </w:r>
      <w:r w:rsidR="00A94621">
        <w:t>-</w:t>
      </w:r>
      <w:r w:rsidRPr="008815C7">
        <w:rPr>
          <w:rFonts w:cs="Arial"/>
          <w:color w:val="222222"/>
        </w:rPr>
        <w:t xml:space="preserve"> </w:t>
      </w:r>
      <w:r>
        <w:rPr>
          <w:rStyle w:val="ilfuvd"/>
          <w:rFonts w:cs="Arial"/>
          <w:color w:val="222222"/>
        </w:rPr>
        <w:t>Food and Agriculture Organization (</w:t>
      </w:r>
      <w:r w:rsidR="0015110F" w:rsidRPr="00B36702">
        <w:t>FAO</w:t>
      </w:r>
      <w:r>
        <w:t>)</w:t>
      </w:r>
      <w:r w:rsidR="0015110F" w:rsidRPr="00B36702">
        <w:t xml:space="preserve"> </w:t>
      </w:r>
      <w:r w:rsidR="005B7415" w:rsidRPr="00B36702">
        <w:t>20</w:t>
      </w:r>
      <w:r w:rsidR="005B7415">
        <w:t>21</w:t>
      </w:r>
      <w:r w:rsidR="0015110F" w:rsidRPr="00B36702">
        <w:t xml:space="preserve">, </w:t>
      </w:r>
      <w:r w:rsidR="0015110F" w:rsidRPr="00B36702">
        <w:rPr>
          <w:i/>
        </w:rPr>
        <w:t>OECD-FAO Agricultural Outlook 20</w:t>
      </w:r>
      <w:r w:rsidR="00077740">
        <w:rPr>
          <w:i/>
        </w:rPr>
        <w:t>2</w:t>
      </w:r>
      <w:r w:rsidR="005B7415">
        <w:rPr>
          <w:i/>
        </w:rPr>
        <w:t>1</w:t>
      </w:r>
      <w:r w:rsidR="0015110F" w:rsidRPr="00B36702">
        <w:rPr>
          <w:i/>
        </w:rPr>
        <w:t>-20</w:t>
      </w:r>
      <w:r w:rsidR="005B7415">
        <w:rPr>
          <w:i/>
        </w:rPr>
        <w:t>30</w:t>
      </w:r>
      <w:r w:rsidR="0015110F" w:rsidRPr="00B36702">
        <w:t>, OECD Publishing, Paris, available at</w:t>
      </w:r>
      <w:r w:rsidR="00077740">
        <w:rPr>
          <w:color w:val="0000FF"/>
          <w:u w:val="single"/>
        </w:rPr>
        <w:t xml:space="preserve"> </w:t>
      </w:r>
      <w:r w:rsidR="005B7415" w:rsidRPr="005B7415">
        <w:rPr>
          <w:color w:val="0070AE"/>
          <w:u w:val="single"/>
        </w:rPr>
        <w:t>https://www.oecd.org/publications/oecd-fao-agricultural-outlook-19991142.htm</w:t>
      </w:r>
    </w:p>
    <w:p w14:paraId="550CA523" w14:textId="01739D6F" w:rsidR="00EF3840" w:rsidRDefault="00E67271" w:rsidP="00F12D5C">
      <w:pPr>
        <w:rPr>
          <w:rStyle w:val="Hyperlink"/>
          <w:iCs/>
        </w:rPr>
      </w:pPr>
      <w:r w:rsidRPr="008815C7">
        <w:t xml:space="preserve">Organisation for Economic Co-operation and Development </w:t>
      </w:r>
      <w:r>
        <w:t>(</w:t>
      </w:r>
      <w:r w:rsidR="00DC1C0E" w:rsidRPr="00365987">
        <w:t>O</w:t>
      </w:r>
      <w:r w:rsidR="00D217F2" w:rsidRPr="00365987">
        <w:t>EC</w:t>
      </w:r>
      <w:r w:rsidR="00DC1C0E" w:rsidRPr="00365987">
        <w:t>D</w:t>
      </w:r>
      <w:r>
        <w:t>)</w:t>
      </w:r>
      <w:r w:rsidR="00DC1C0E" w:rsidRPr="00365987">
        <w:t xml:space="preserve"> </w:t>
      </w:r>
      <w:r w:rsidR="00451256" w:rsidRPr="00365987">
        <w:t>20</w:t>
      </w:r>
      <w:r w:rsidR="00451256">
        <w:t>21</w:t>
      </w:r>
      <w:r w:rsidR="00DC1C0E" w:rsidRPr="00365987">
        <w:t xml:space="preserve">, </w:t>
      </w:r>
      <w:r w:rsidR="00DC1C0E" w:rsidRPr="00621782">
        <w:rPr>
          <w:i/>
        </w:rPr>
        <w:t>OECD real GDP long-term forecast</w:t>
      </w:r>
      <w:r w:rsidR="00DC1C0E" w:rsidRPr="00365987">
        <w:t xml:space="preserve">, available at </w:t>
      </w:r>
      <w:r w:rsidR="00451256" w:rsidRPr="00A8602E">
        <w:rPr>
          <w:rStyle w:val="Hyperlink"/>
        </w:rPr>
        <w:t>https://data.oecd.org/gdp/real-gdp-long-term-forecast.htm</w:t>
      </w:r>
    </w:p>
    <w:p w14:paraId="1BA645C3" w14:textId="77777777" w:rsidR="008660A8" w:rsidRDefault="008660A8">
      <w:pPr>
        <w:rPr>
          <w:rStyle w:val="Hyperlink"/>
          <w:iCs/>
        </w:rPr>
      </w:pPr>
    </w:p>
    <w:sectPr w:rsidR="008660A8" w:rsidSect="00A031DC">
      <w:headerReference w:type="even" r:id="rId18"/>
      <w:headerReference w:type="default" r:id="rId19"/>
      <w:footerReference w:type="default" r:id="rId20"/>
      <w:footerReference w:type="first" r:id="rId21"/>
      <w:pgSz w:w="11906" w:h="16838"/>
      <w:pgMar w:top="1418" w:right="1276" w:bottom="567" w:left="1418" w:header="425" w:footer="42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D2F0E" w16cid:durableId="2187EEA9"/>
  <w16cid:commentId w16cid:paraId="7766DD06" w16cid:durableId="2187EEAA"/>
  <w16cid:commentId w16cid:paraId="4CA9A4AE" w16cid:durableId="2190ABC1"/>
  <w16cid:commentId w16cid:paraId="0C1DFABA" w16cid:durableId="2187EEAB"/>
  <w16cid:commentId w16cid:paraId="69CB90C5" w16cid:durableId="2187EEAC"/>
  <w16cid:commentId w16cid:paraId="4B01FFAD" w16cid:durableId="2190EC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1AF62" w14:textId="77777777" w:rsidR="0099567A" w:rsidRDefault="0099567A" w:rsidP="00537A1C">
      <w:r>
        <w:separator/>
      </w:r>
    </w:p>
  </w:endnote>
  <w:endnote w:type="continuationSeparator" w:id="0">
    <w:p w14:paraId="08DB6E2A" w14:textId="77777777" w:rsidR="0099567A" w:rsidRDefault="0099567A" w:rsidP="00537A1C">
      <w:r>
        <w:continuationSeparator/>
      </w:r>
    </w:p>
  </w:endnote>
  <w:endnote w:type="continuationNotice" w:id="1">
    <w:p w14:paraId="4B3C8B35" w14:textId="77777777" w:rsidR="0099567A" w:rsidRDefault="0099567A" w:rsidP="00537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116871"/>
      <w:docPartObj>
        <w:docPartGallery w:val="Page Numbers (Bottom of Page)"/>
        <w:docPartUnique/>
      </w:docPartObj>
    </w:sdtPr>
    <w:sdtEndPr>
      <w:rPr>
        <w:noProof/>
      </w:rPr>
    </w:sdtEndPr>
    <w:sdtContent>
      <w:p w14:paraId="76FC1E2C" w14:textId="4AE71D15" w:rsidR="0099567A" w:rsidRDefault="0099567A">
        <w:pPr>
          <w:pStyle w:val="Footer"/>
          <w:jc w:val="right"/>
        </w:pPr>
        <w:r>
          <w:fldChar w:fldCharType="begin"/>
        </w:r>
        <w:r>
          <w:instrText xml:space="preserve"> PAGE   \* MERGEFORMAT </w:instrText>
        </w:r>
        <w:r>
          <w:fldChar w:fldCharType="separate"/>
        </w:r>
        <w:r w:rsidR="00946E71">
          <w:rPr>
            <w:noProof/>
          </w:rPr>
          <w:t>2</w:t>
        </w:r>
        <w:r>
          <w:rPr>
            <w:noProof/>
          </w:rPr>
          <w:fldChar w:fldCharType="end"/>
        </w:r>
      </w:p>
    </w:sdtContent>
  </w:sdt>
  <w:p w14:paraId="714AF8FA" w14:textId="4C3DB957" w:rsidR="0099567A" w:rsidRDefault="0099567A" w:rsidP="00537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535835"/>
      <w:docPartObj>
        <w:docPartGallery w:val="Page Numbers (Bottom of Page)"/>
        <w:docPartUnique/>
      </w:docPartObj>
    </w:sdtPr>
    <w:sdtEndPr>
      <w:rPr>
        <w:noProof/>
      </w:rPr>
    </w:sdtEndPr>
    <w:sdtContent>
      <w:p w14:paraId="274BC850" w14:textId="6C88F446" w:rsidR="0099567A" w:rsidRDefault="0099567A" w:rsidP="00537A1C">
        <w:pPr>
          <w:pStyle w:val="Footer"/>
          <w:rPr>
            <w:noProof/>
          </w:rPr>
        </w:pPr>
        <w:r>
          <w:tab/>
          <w:t xml:space="preserve">      industry.gov.au</w:t>
        </w:r>
        <w:r>
          <w:tab/>
        </w:r>
        <w:sdt>
          <w:sdtPr>
            <w:id w:val="15694674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F79DE" w14:textId="77777777" w:rsidR="0099567A" w:rsidRDefault="0099567A" w:rsidP="00537A1C">
      <w:r>
        <w:separator/>
      </w:r>
    </w:p>
  </w:footnote>
  <w:footnote w:type="continuationSeparator" w:id="0">
    <w:p w14:paraId="595DBEA1" w14:textId="77777777" w:rsidR="0099567A" w:rsidRDefault="0099567A" w:rsidP="00537A1C">
      <w:r>
        <w:continuationSeparator/>
      </w:r>
    </w:p>
  </w:footnote>
  <w:footnote w:type="continuationNotice" w:id="1">
    <w:p w14:paraId="186A3256" w14:textId="77777777" w:rsidR="0099567A" w:rsidRDefault="0099567A" w:rsidP="00537A1C"/>
  </w:footnote>
  <w:footnote w:id="2">
    <w:p w14:paraId="6DB9E662" w14:textId="40E3E38D" w:rsidR="0099567A" w:rsidRPr="00A031DC" w:rsidRDefault="0099567A" w:rsidP="00537A1C">
      <w:pPr>
        <w:pStyle w:val="Footnote"/>
      </w:pPr>
      <w:r w:rsidRPr="006B6FFF">
        <w:rPr>
          <w:rStyle w:val="FootnoteReference"/>
        </w:rPr>
        <w:footnoteRef/>
      </w:r>
      <w:r w:rsidRPr="00F15492">
        <w:t xml:space="preserve"> </w:t>
      </w:r>
      <w:r w:rsidRPr="00A031DC">
        <w:t>Production data for most commodities are sourced from the OCE which</w:t>
      </w:r>
      <w:r>
        <w:t xml:space="preserve"> is provided to </w:t>
      </w:r>
      <w:r w:rsidRPr="00A031DC">
        <w:t>202</w:t>
      </w:r>
      <w:r>
        <w:t>6</w:t>
      </w:r>
      <w:r w:rsidRPr="00A031DC">
        <w:t>. Growth rates from AME Group’s industry analysis have been used for 202</w:t>
      </w:r>
      <w:r>
        <w:t>7</w:t>
      </w:r>
      <w:r w:rsidRPr="00A031DC">
        <w:t xml:space="preserve"> and beyond.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DB8E" w14:textId="77777777" w:rsidR="0099567A" w:rsidRDefault="0099567A" w:rsidP="00537A1C">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p w14:paraId="4B9276D2" w14:textId="2676D099" w:rsidR="0099567A" w:rsidRDefault="0099567A" w:rsidP="00537A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F65E6" w14:textId="4CFFD076" w:rsidR="0099567A" w:rsidRPr="00EA6C40" w:rsidRDefault="0099567A" w:rsidP="00537A1C">
    <w:pPr>
      <w:pStyle w:val="Header"/>
    </w:pPr>
    <w:r>
      <w:t>Methodology for the 2021</w:t>
    </w:r>
    <w:r w:rsidRPr="00EA6C40">
      <w:t xml:space="preserve"> </w:t>
    </w:r>
    <w:r w:rsidRPr="00F006F9">
      <w:t>projections</w:t>
    </w:r>
    <w:r w:rsidRPr="00F006F9">
      <w:ptab w:relativeTo="margin" w:alignment="right" w:leader="none"/>
    </w:r>
    <w:r w:rsidRPr="00F006F9">
      <w:t>Department</w:t>
    </w:r>
    <w:r w:rsidRPr="00EA6C40">
      <w:t xml:space="preserve"> of </w:t>
    </w:r>
    <w:r w:rsidRPr="00F006F9">
      <w:t>Industry</w:t>
    </w:r>
    <w:r w:rsidRPr="00EA6C40">
      <w:t>, Science, Energy and Resources</w:t>
    </w:r>
  </w:p>
  <w:p w14:paraId="55764FEC" w14:textId="372D3BA0" w:rsidR="0099567A" w:rsidRDefault="0099567A" w:rsidP="00537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848E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0AC62A0"/>
    <w:multiLevelType w:val="hybridMultilevel"/>
    <w:tmpl w:val="A858B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3563B4"/>
    <w:multiLevelType w:val="hybridMultilevel"/>
    <w:tmpl w:val="98A456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05EC64B3"/>
    <w:multiLevelType w:val="multilevel"/>
    <w:tmpl w:val="E5E89F92"/>
    <w:numStyleLink w:val="BulletList"/>
  </w:abstractNum>
  <w:abstractNum w:abstractNumId="14"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5" w15:restartNumberingAfterBreak="0">
    <w:nsid w:val="089EA967"/>
    <w:multiLevelType w:val="hybridMultilevel"/>
    <w:tmpl w:val="033026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AB44A0F"/>
    <w:multiLevelType w:val="hybridMultilevel"/>
    <w:tmpl w:val="DB641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DE7BE0"/>
    <w:multiLevelType w:val="hybridMultilevel"/>
    <w:tmpl w:val="3AD2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AB21CC"/>
    <w:multiLevelType w:val="multilevel"/>
    <w:tmpl w:val="E898CC72"/>
    <w:numStyleLink w:val="KeyPoints"/>
  </w:abstractNum>
  <w:abstractNum w:abstractNumId="20" w15:restartNumberingAfterBreak="0">
    <w:nsid w:val="1784511A"/>
    <w:multiLevelType w:val="multilevel"/>
    <w:tmpl w:val="E898CC72"/>
    <w:numStyleLink w:val="KeyPoints"/>
  </w:abstractNum>
  <w:abstractNum w:abstractNumId="21" w15:restartNumberingAfterBreak="0">
    <w:nsid w:val="178D2FFF"/>
    <w:multiLevelType w:val="hybridMultilevel"/>
    <w:tmpl w:val="1CC05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FA5AAA"/>
    <w:multiLevelType w:val="hybridMultilevel"/>
    <w:tmpl w:val="FB3C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291970"/>
    <w:multiLevelType w:val="multilevel"/>
    <w:tmpl w:val="E898CC72"/>
    <w:numStyleLink w:val="KeyPoints"/>
  </w:abstractNum>
  <w:abstractNum w:abstractNumId="25" w15:restartNumberingAfterBreak="0">
    <w:nsid w:val="1F745BC2"/>
    <w:multiLevelType w:val="multilevel"/>
    <w:tmpl w:val="E5E89F92"/>
    <w:numStyleLink w:val="BulletList"/>
  </w:abstractNum>
  <w:abstractNum w:abstractNumId="26" w15:restartNumberingAfterBreak="0">
    <w:nsid w:val="23E94A2F"/>
    <w:multiLevelType w:val="hybridMultilevel"/>
    <w:tmpl w:val="6018E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233E2F"/>
    <w:multiLevelType w:val="hybridMultilevel"/>
    <w:tmpl w:val="60E82012"/>
    <w:lvl w:ilvl="0" w:tplc="0C090001">
      <w:start w:val="1"/>
      <w:numFmt w:val="bullet"/>
      <w:lvlText w:val=""/>
      <w:lvlJc w:val="left"/>
      <w:pPr>
        <w:ind w:left="720" w:hanging="360"/>
      </w:pPr>
      <w:rPr>
        <w:rFonts w:ascii="Symbol" w:hAnsi="Symbol" w:hint="default"/>
      </w:rPr>
    </w:lvl>
    <w:lvl w:ilvl="1" w:tplc="847055AA">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7214EF8"/>
    <w:multiLevelType w:val="hybridMultilevel"/>
    <w:tmpl w:val="7B329A84"/>
    <w:lvl w:ilvl="0" w:tplc="56CAD66A">
      <w:start w:val="1"/>
      <w:numFmt w:val="bullet"/>
      <w:lvlText w:val="‒"/>
      <w:lvlJc w:val="left"/>
      <w:pPr>
        <w:ind w:left="1155" w:hanging="360"/>
      </w:pPr>
      <w:rPr>
        <w:rFonts w:ascii="Arial" w:hAnsi="Aria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29" w15:restartNumberingAfterBreak="0">
    <w:nsid w:val="29253B4A"/>
    <w:multiLevelType w:val="multilevel"/>
    <w:tmpl w:val="E898CC72"/>
    <w:numStyleLink w:val="KeyPoints"/>
  </w:abstractNum>
  <w:abstractNum w:abstractNumId="30" w15:restartNumberingAfterBreak="0">
    <w:nsid w:val="29803BCB"/>
    <w:multiLevelType w:val="hybridMultilevel"/>
    <w:tmpl w:val="13200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1B4F6C"/>
    <w:multiLevelType w:val="multilevel"/>
    <w:tmpl w:val="E898CC72"/>
    <w:numStyleLink w:val="KeyPoints"/>
  </w:abstractNum>
  <w:abstractNum w:abstractNumId="32" w15:restartNumberingAfterBreak="0">
    <w:nsid w:val="2CFF63EE"/>
    <w:multiLevelType w:val="hybridMultilevel"/>
    <w:tmpl w:val="0ADCF56E"/>
    <w:lvl w:ilvl="0" w:tplc="F85A263A">
      <w:numFmt w:val="bullet"/>
      <w:lvlText w:val="•"/>
      <w:lvlJc w:val="left"/>
      <w:pPr>
        <w:ind w:left="644" w:hanging="360"/>
      </w:pPr>
      <w:rPr>
        <w:rFonts w:ascii="Arial" w:eastAsia="Calibr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2D7A6B0B"/>
    <w:multiLevelType w:val="multilevel"/>
    <w:tmpl w:val="B9522D3C"/>
    <w:lvl w:ilvl="0">
      <w:start w:val="1"/>
      <w:numFmt w:val="decimal"/>
      <w:lvlText w:val="%1."/>
      <w:lvlJc w:val="left"/>
      <w:pPr>
        <w:ind w:left="369" w:hanging="369"/>
      </w:pPr>
      <w:rPr>
        <w:rFonts w:ascii="Arial" w:hAnsi="Arial" w:hint="default"/>
        <w:sz w:val="22"/>
      </w:rPr>
    </w:lvl>
    <w:lvl w:ilvl="1">
      <w:start w:val="1"/>
      <w:numFmt w:val="decimal"/>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23C6ED7"/>
    <w:multiLevelType w:val="hybridMultilevel"/>
    <w:tmpl w:val="18749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6F34811"/>
    <w:multiLevelType w:val="hybridMultilevel"/>
    <w:tmpl w:val="0972A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6F35275"/>
    <w:multiLevelType w:val="hybridMultilevel"/>
    <w:tmpl w:val="242A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816F9C"/>
    <w:multiLevelType w:val="multilevel"/>
    <w:tmpl w:val="E5E89F92"/>
    <w:numStyleLink w:val="BulletList"/>
  </w:abstractNum>
  <w:abstractNum w:abstractNumId="41" w15:restartNumberingAfterBreak="0">
    <w:nsid w:val="39227B43"/>
    <w:multiLevelType w:val="hybridMultilevel"/>
    <w:tmpl w:val="FAA6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B351B82"/>
    <w:multiLevelType w:val="multilevel"/>
    <w:tmpl w:val="E5E89F92"/>
    <w:numStyleLink w:val="BulletList"/>
  </w:abstractNum>
  <w:abstractNum w:abstractNumId="43" w15:restartNumberingAfterBreak="0">
    <w:nsid w:val="3C485F31"/>
    <w:multiLevelType w:val="hybridMultilevel"/>
    <w:tmpl w:val="2F42752C"/>
    <w:lvl w:ilvl="0" w:tplc="0C090001">
      <w:start w:val="1"/>
      <w:numFmt w:val="bullet"/>
      <w:lvlText w:val=""/>
      <w:lvlJc w:val="left"/>
      <w:pPr>
        <w:ind w:left="360" w:hanging="360"/>
      </w:pPr>
      <w:rPr>
        <w:rFonts w:ascii="Symbol" w:hAnsi="Symbol" w:hint="default"/>
      </w:rPr>
    </w:lvl>
    <w:lvl w:ilvl="1" w:tplc="56CAD66A">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38A39A6"/>
    <w:multiLevelType w:val="hybridMultilevel"/>
    <w:tmpl w:val="B36A5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8B871CF"/>
    <w:multiLevelType w:val="multilevel"/>
    <w:tmpl w:val="E5E89F92"/>
    <w:numStyleLink w:val="BulletList"/>
  </w:abstractNum>
  <w:abstractNum w:abstractNumId="46" w15:restartNumberingAfterBreak="0">
    <w:nsid w:val="49016841"/>
    <w:multiLevelType w:val="multilevel"/>
    <w:tmpl w:val="E5E89F92"/>
    <w:numStyleLink w:val="BulletList"/>
  </w:abstractNum>
  <w:abstractNum w:abstractNumId="47" w15:restartNumberingAfterBreak="0">
    <w:nsid w:val="4FAC32B5"/>
    <w:multiLevelType w:val="hybridMultilevel"/>
    <w:tmpl w:val="F356D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A44175"/>
    <w:multiLevelType w:val="multilevel"/>
    <w:tmpl w:val="E5E89F92"/>
    <w:numStyleLink w:val="BulletList"/>
  </w:abstractNum>
  <w:abstractNum w:abstractNumId="49" w15:restartNumberingAfterBreak="0">
    <w:nsid w:val="56DA31C6"/>
    <w:multiLevelType w:val="hybridMultilevel"/>
    <w:tmpl w:val="48FA3654"/>
    <w:lvl w:ilvl="0" w:tplc="1A84BBC0">
      <w:start w:val="1"/>
      <w:numFmt w:val="bullet"/>
      <w:lvlText w:val="-"/>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9060AEE"/>
    <w:multiLevelType w:val="hybridMultilevel"/>
    <w:tmpl w:val="0944F41C"/>
    <w:lvl w:ilvl="0" w:tplc="0C090001">
      <w:start w:val="1"/>
      <w:numFmt w:val="bullet"/>
      <w:lvlText w:val=""/>
      <w:lvlJc w:val="left"/>
      <w:pPr>
        <w:ind w:left="720" w:hanging="360"/>
      </w:pPr>
      <w:rPr>
        <w:rFonts w:ascii="Symbol" w:hAnsi="Symbol" w:hint="default"/>
      </w:rPr>
    </w:lvl>
    <w:lvl w:ilvl="1" w:tplc="7AA2F8A6">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DF95756"/>
    <w:multiLevelType w:val="multilevel"/>
    <w:tmpl w:val="FE8C0F48"/>
    <w:lvl w:ilvl="0">
      <w:start w:val="1"/>
      <w:numFmt w:val="bullet"/>
      <w:lvlText w:val=""/>
      <w:lvlJc w:val="left"/>
      <w:pPr>
        <w:ind w:left="850" w:hanging="425"/>
      </w:pPr>
      <w:rPr>
        <w:rFonts w:ascii="Symbol" w:hAnsi="Symbol" w:hint="default"/>
      </w:rPr>
    </w:lvl>
    <w:lvl w:ilvl="1">
      <w:start w:val="1"/>
      <w:numFmt w:val="bullet"/>
      <w:lvlText w:val="-"/>
      <w:lvlJc w:val="left"/>
      <w:pPr>
        <w:ind w:left="1276" w:hanging="426"/>
      </w:pPr>
      <w:rPr>
        <w:rFonts w:ascii="Courier New" w:hAnsi="Courier New" w:hint="default"/>
      </w:rPr>
    </w:lvl>
    <w:lvl w:ilvl="2">
      <w:start w:val="1"/>
      <w:numFmt w:val="bullet"/>
      <w:lvlText w:val="o"/>
      <w:lvlJc w:val="left"/>
      <w:pPr>
        <w:ind w:left="1701" w:hanging="425"/>
      </w:pPr>
      <w:rPr>
        <w:rFonts w:ascii="Courier New" w:hAnsi="Courier New"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3" w15:restartNumberingAfterBreak="0">
    <w:nsid w:val="5E8A17D4"/>
    <w:multiLevelType w:val="hybridMultilevel"/>
    <w:tmpl w:val="A4F85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33D70E3"/>
    <w:multiLevelType w:val="multilevel"/>
    <w:tmpl w:val="E67A68DC"/>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5" w15:restartNumberingAfterBreak="0">
    <w:nsid w:val="65456429"/>
    <w:multiLevelType w:val="multilevel"/>
    <w:tmpl w:val="E898CC72"/>
    <w:numStyleLink w:val="KeyPoints"/>
  </w:abstractNum>
  <w:abstractNum w:abstractNumId="56" w15:restartNumberingAfterBreak="0">
    <w:nsid w:val="672E0C2A"/>
    <w:multiLevelType w:val="multilevel"/>
    <w:tmpl w:val="E5E89F92"/>
    <w:numStyleLink w:val="BulletList"/>
  </w:abstractNum>
  <w:abstractNum w:abstractNumId="57"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8"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9652317"/>
    <w:multiLevelType w:val="hybridMultilevel"/>
    <w:tmpl w:val="018A8D1C"/>
    <w:lvl w:ilvl="0" w:tplc="0C090001">
      <w:start w:val="1"/>
      <w:numFmt w:val="bullet"/>
      <w:lvlText w:val=""/>
      <w:lvlJc w:val="left"/>
      <w:pPr>
        <w:ind w:left="360" w:hanging="360"/>
      </w:pPr>
      <w:rPr>
        <w:rFonts w:ascii="Symbol" w:hAnsi="Symbol" w:hint="default"/>
      </w:rPr>
    </w:lvl>
    <w:lvl w:ilvl="1" w:tplc="8654D7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9FC2DC9"/>
    <w:multiLevelType w:val="hybridMultilevel"/>
    <w:tmpl w:val="4600D5B6"/>
    <w:lvl w:ilvl="0" w:tplc="1A84BBC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A823B13"/>
    <w:multiLevelType w:val="multilevel"/>
    <w:tmpl w:val="E5E89F92"/>
    <w:numStyleLink w:val="BulletList"/>
  </w:abstractNum>
  <w:abstractNum w:abstractNumId="62" w15:restartNumberingAfterBreak="0">
    <w:nsid w:val="6DF2198A"/>
    <w:multiLevelType w:val="multilevel"/>
    <w:tmpl w:val="E5E89F92"/>
    <w:numStyleLink w:val="BulletList"/>
  </w:abstractNum>
  <w:abstractNum w:abstractNumId="63" w15:restartNumberingAfterBreak="0">
    <w:nsid w:val="6F032444"/>
    <w:multiLevelType w:val="multilevel"/>
    <w:tmpl w:val="E5E89F92"/>
    <w:numStyleLink w:val="BulletList"/>
  </w:abstractNum>
  <w:abstractNum w:abstractNumId="64"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1645FCE"/>
    <w:multiLevelType w:val="hybridMultilevel"/>
    <w:tmpl w:val="33F2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C700E0"/>
    <w:multiLevelType w:val="multilevel"/>
    <w:tmpl w:val="E898CC72"/>
    <w:numStyleLink w:val="KeyPoints"/>
  </w:abstractNum>
  <w:abstractNum w:abstractNumId="6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9" w15:restartNumberingAfterBreak="0">
    <w:nsid w:val="76338040"/>
    <w:multiLevelType w:val="hybridMultilevel"/>
    <w:tmpl w:val="54CF3F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87D203E"/>
    <w:multiLevelType w:val="multilevel"/>
    <w:tmpl w:val="5880B5DA"/>
    <w:lvl w:ilvl="0">
      <w:start w:val="1"/>
      <w:numFmt w:val="bullet"/>
      <w:lvlText w:val=""/>
      <w:lvlJc w:val="left"/>
      <w:pPr>
        <w:ind w:left="369" w:hanging="369"/>
      </w:pPr>
      <w:rPr>
        <w:rFonts w:ascii="Symbol" w:hAnsi="Symbo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1" w15:restartNumberingAfterBreak="0">
    <w:nsid w:val="788260C9"/>
    <w:multiLevelType w:val="multilevel"/>
    <w:tmpl w:val="E898CC72"/>
    <w:numStyleLink w:val="KeyPoints"/>
  </w:abstractNum>
  <w:abstractNum w:abstractNumId="7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8CD3398"/>
    <w:multiLevelType w:val="hybridMultilevel"/>
    <w:tmpl w:val="15940DD4"/>
    <w:lvl w:ilvl="0" w:tplc="1A84BBC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C953D8C"/>
    <w:multiLevelType w:val="hybridMultilevel"/>
    <w:tmpl w:val="C464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D3708B3"/>
    <w:multiLevelType w:val="multilevel"/>
    <w:tmpl w:val="E5E89F92"/>
    <w:numStyleLink w:val="BulletList"/>
  </w:abstractNum>
  <w:num w:numId="1">
    <w:abstractNumId w:val="68"/>
  </w:num>
  <w:num w:numId="2">
    <w:abstractNumId w:val="20"/>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45"/>
  </w:num>
  <w:num w:numId="5">
    <w:abstractNumId w:val="64"/>
  </w:num>
  <w:num w:numId="6">
    <w:abstractNumId w:val="65"/>
  </w:num>
  <w:num w:numId="7">
    <w:abstractNumId w:val="58"/>
  </w:num>
  <w:num w:numId="8">
    <w:abstractNumId w:val="34"/>
  </w:num>
  <w:num w:numId="9">
    <w:abstractNumId w:val="9"/>
  </w:num>
  <w:num w:numId="10">
    <w:abstractNumId w:val="7"/>
  </w:num>
  <w:num w:numId="11">
    <w:abstractNumId w:val="6"/>
  </w:num>
  <w:num w:numId="12">
    <w:abstractNumId w:val="5"/>
  </w:num>
  <w:num w:numId="13">
    <w:abstractNumId w:val="4"/>
  </w:num>
  <w:num w:numId="14">
    <w:abstractNumId w:val="37"/>
  </w:num>
  <w:num w:numId="15">
    <w:abstractNumId w:val="23"/>
  </w:num>
  <w:num w:numId="16">
    <w:abstractNumId w:val="72"/>
  </w:num>
  <w:num w:numId="17">
    <w:abstractNumId w:val="14"/>
  </w:num>
  <w:num w:numId="18">
    <w:abstractNumId w:val="56"/>
  </w:num>
  <w:num w:numId="19">
    <w:abstractNumId w:val="13"/>
  </w:num>
  <w:num w:numId="20">
    <w:abstractNumId w:val="31"/>
  </w:num>
  <w:num w:numId="21">
    <w:abstractNumId w:val="19"/>
  </w:num>
  <w:num w:numId="22">
    <w:abstractNumId w:val="29"/>
  </w:num>
  <w:num w:numId="23">
    <w:abstractNumId w:val="46"/>
  </w:num>
  <w:num w:numId="24">
    <w:abstractNumId w:val="63"/>
  </w:num>
  <w:num w:numId="25">
    <w:abstractNumId w:val="57"/>
  </w:num>
  <w:num w:numId="26">
    <w:abstractNumId w:val="42"/>
  </w:num>
  <w:num w:numId="27">
    <w:abstractNumId w:val="67"/>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40"/>
  </w:num>
  <w:num w:numId="31">
    <w:abstractNumId w:val="62"/>
  </w:num>
  <w:num w:numId="32">
    <w:abstractNumId w:val="57"/>
  </w:num>
  <w:num w:numId="33">
    <w:abstractNumId w:val="48"/>
  </w:num>
  <w:num w:numId="34">
    <w:abstractNumId w:val="24"/>
  </w:num>
  <w:num w:numId="35">
    <w:abstractNumId w:val="51"/>
  </w:num>
  <w:num w:numId="36">
    <w:abstractNumId w:val="74"/>
  </w:num>
  <w:num w:numId="37">
    <w:abstractNumId w:val="74"/>
    <w:lvlOverride w:ilvl="0">
      <w:startOverride w:val="1"/>
    </w:lvlOverride>
  </w:num>
  <w:num w:numId="38">
    <w:abstractNumId w:val="8"/>
  </w:num>
  <w:num w:numId="39">
    <w:abstractNumId w:val="35"/>
  </w:num>
  <w:num w:numId="40">
    <w:abstractNumId w:val="3"/>
  </w:num>
  <w:num w:numId="41">
    <w:abstractNumId w:val="2"/>
  </w:num>
  <w:num w:numId="42">
    <w:abstractNumId w:val="1"/>
  </w:num>
  <w:num w:numId="43">
    <w:abstractNumId w:val="0"/>
  </w:num>
  <w:num w:numId="44">
    <w:abstractNumId w:val="71"/>
  </w:num>
  <w:num w:numId="45">
    <w:abstractNumId w:val="61"/>
  </w:num>
  <w:num w:numId="46">
    <w:abstractNumId w:val="76"/>
  </w:num>
  <w:num w:numId="47">
    <w:abstractNumId w:val="55"/>
  </w:num>
  <w:num w:numId="48">
    <w:abstractNumId w:val="25"/>
  </w:num>
  <w:num w:numId="49">
    <w:abstractNumId w:val="43"/>
  </w:num>
  <w:num w:numId="50">
    <w:abstractNumId w:val="28"/>
  </w:num>
  <w:num w:numId="51">
    <w:abstractNumId w:val="66"/>
  </w:num>
  <w:num w:numId="52">
    <w:abstractNumId w:val="69"/>
  </w:num>
  <w:num w:numId="53">
    <w:abstractNumId w:val="15"/>
  </w:num>
  <w:num w:numId="54">
    <w:abstractNumId w:val="41"/>
  </w:num>
  <w:num w:numId="55">
    <w:abstractNumId w:val="16"/>
  </w:num>
  <w:num w:numId="56">
    <w:abstractNumId w:val="75"/>
  </w:num>
  <w:num w:numId="57">
    <w:abstractNumId w:val="21"/>
  </w:num>
  <w:num w:numId="58">
    <w:abstractNumId w:val="60"/>
  </w:num>
  <w:num w:numId="59">
    <w:abstractNumId w:val="73"/>
  </w:num>
  <w:num w:numId="60">
    <w:abstractNumId w:val="27"/>
  </w:num>
  <w:num w:numId="61">
    <w:abstractNumId w:val="50"/>
  </w:num>
  <w:num w:numId="62">
    <w:abstractNumId w:val="49"/>
  </w:num>
  <w:num w:numId="63">
    <w:abstractNumId w:val="70"/>
  </w:num>
  <w:num w:numId="64">
    <w:abstractNumId w:val="59"/>
  </w:num>
  <w:num w:numId="65">
    <w:abstractNumId w:val="53"/>
  </w:num>
  <w:num w:numId="66">
    <w:abstractNumId w:val="36"/>
  </w:num>
  <w:num w:numId="67">
    <w:abstractNumId w:val="22"/>
  </w:num>
  <w:num w:numId="68">
    <w:abstractNumId w:val="47"/>
  </w:num>
  <w:num w:numId="69">
    <w:abstractNumId w:val="33"/>
  </w:num>
  <w:num w:numId="70">
    <w:abstractNumId w:val="11"/>
  </w:num>
  <w:num w:numId="71">
    <w:abstractNumId w:val="52"/>
  </w:num>
  <w:num w:numId="72">
    <w:abstractNumId w:val="39"/>
  </w:num>
  <w:num w:numId="73">
    <w:abstractNumId w:val="54"/>
  </w:num>
  <w:num w:numId="74">
    <w:abstractNumId w:val="26"/>
  </w:num>
  <w:num w:numId="75">
    <w:abstractNumId w:val="32"/>
  </w:num>
  <w:num w:numId="76">
    <w:abstractNumId w:val="12"/>
  </w:num>
  <w:num w:numId="77">
    <w:abstractNumId w:val="17"/>
  </w:num>
  <w:num w:numId="78">
    <w:abstractNumId w:val="44"/>
  </w:num>
  <w:num w:numId="79">
    <w:abstractNumId w:val="30"/>
  </w:num>
  <w:num w:numId="80">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60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3EDCD3-DC63-4A0A-814B-76830CD76A95}"/>
    <w:docVar w:name="dgnword-eventsink" w:val="200251800"/>
    <w:docVar w:name="SecurityClassificationInHeader" w:val="False"/>
  </w:docVars>
  <w:rsids>
    <w:rsidRoot w:val="00EB69C6"/>
    <w:rsid w:val="000001C7"/>
    <w:rsid w:val="00000219"/>
    <w:rsid w:val="0000071C"/>
    <w:rsid w:val="00000B9D"/>
    <w:rsid w:val="00000DB5"/>
    <w:rsid w:val="00001EB8"/>
    <w:rsid w:val="00001FAE"/>
    <w:rsid w:val="000022BA"/>
    <w:rsid w:val="000027C9"/>
    <w:rsid w:val="000029F7"/>
    <w:rsid w:val="00002A89"/>
    <w:rsid w:val="000034C2"/>
    <w:rsid w:val="00003DA9"/>
    <w:rsid w:val="00004055"/>
    <w:rsid w:val="000040A8"/>
    <w:rsid w:val="00004A09"/>
    <w:rsid w:val="00004A89"/>
    <w:rsid w:val="00004AEE"/>
    <w:rsid w:val="00005CAA"/>
    <w:rsid w:val="000066E9"/>
    <w:rsid w:val="00006B84"/>
    <w:rsid w:val="00007B5F"/>
    <w:rsid w:val="00010210"/>
    <w:rsid w:val="00010EBF"/>
    <w:rsid w:val="00011700"/>
    <w:rsid w:val="00011C8D"/>
    <w:rsid w:val="000125D4"/>
    <w:rsid w:val="00012D66"/>
    <w:rsid w:val="00013438"/>
    <w:rsid w:val="000136E5"/>
    <w:rsid w:val="00013C70"/>
    <w:rsid w:val="00014B2D"/>
    <w:rsid w:val="00015010"/>
    <w:rsid w:val="000151C5"/>
    <w:rsid w:val="00015678"/>
    <w:rsid w:val="00015ADA"/>
    <w:rsid w:val="0001662A"/>
    <w:rsid w:val="0001666D"/>
    <w:rsid w:val="00017A63"/>
    <w:rsid w:val="00017FAB"/>
    <w:rsid w:val="00020C99"/>
    <w:rsid w:val="0002203F"/>
    <w:rsid w:val="00022742"/>
    <w:rsid w:val="00022C7A"/>
    <w:rsid w:val="00022CAF"/>
    <w:rsid w:val="00023425"/>
    <w:rsid w:val="00023629"/>
    <w:rsid w:val="00024878"/>
    <w:rsid w:val="00025519"/>
    <w:rsid w:val="00025857"/>
    <w:rsid w:val="00026367"/>
    <w:rsid w:val="0002707B"/>
    <w:rsid w:val="00027A3B"/>
    <w:rsid w:val="00027FEA"/>
    <w:rsid w:val="00030A3A"/>
    <w:rsid w:val="00030C82"/>
    <w:rsid w:val="000310C4"/>
    <w:rsid w:val="00031553"/>
    <w:rsid w:val="00032146"/>
    <w:rsid w:val="00032155"/>
    <w:rsid w:val="00033415"/>
    <w:rsid w:val="0003367F"/>
    <w:rsid w:val="00034746"/>
    <w:rsid w:val="0003514A"/>
    <w:rsid w:val="00035417"/>
    <w:rsid w:val="000354C1"/>
    <w:rsid w:val="00035813"/>
    <w:rsid w:val="0003591E"/>
    <w:rsid w:val="000360EF"/>
    <w:rsid w:val="0003744B"/>
    <w:rsid w:val="0004193A"/>
    <w:rsid w:val="00041C69"/>
    <w:rsid w:val="000458CF"/>
    <w:rsid w:val="00045C57"/>
    <w:rsid w:val="000460E4"/>
    <w:rsid w:val="0004632D"/>
    <w:rsid w:val="0004646C"/>
    <w:rsid w:val="00046F1C"/>
    <w:rsid w:val="0004701A"/>
    <w:rsid w:val="0004785F"/>
    <w:rsid w:val="00047E48"/>
    <w:rsid w:val="00050D6C"/>
    <w:rsid w:val="00051467"/>
    <w:rsid w:val="0005148E"/>
    <w:rsid w:val="00051CC1"/>
    <w:rsid w:val="0005245B"/>
    <w:rsid w:val="000524A7"/>
    <w:rsid w:val="000524CF"/>
    <w:rsid w:val="00052570"/>
    <w:rsid w:val="0005271D"/>
    <w:rsid w:val="0005312E"/>
    <w:rsid w:val="000538A3"/>
    <w:rsid w:val="00054F1A"/>
    <w:rsid w:val="0005523B"/>
    <w:rsid w:val="00055384"/>
    <w:rsid w:val="00056C23"/>
    <w:rsid w:val="00057BFE"/>
    <w:rsid w:val="00057F0B"/>
    <w:rsid w:val="00057FBD"/>
    <w:rsid w:val="0006009D"/>
    <w:rsid w:val="00060275"/>
    <w:rsid w:val="00060AE4"/>
    <w:rsid w:val="00061AD5"/>
    <w:rsid w:val="00061B87"/>
    <w:rsid w:val="00061C80"/>
    <w:rsid w:val="000620A9"/>
    <w:rsid w:val="00062742"/>
    <w:rsid w:val="00063CD8"/>
    <w:rsid w:val="00063FED"/>
    <w:rsid w:val="00064099"/>
    <w:rsid w:val="00064755"/>
    <w:rsid w:val="00064915"/>
    <w:rsid w:val="00064A02"/>
    <w:rsid w:val="00066368"/>
    <w:rsid w:val="00066D5E"/>
    <w:rsid w:val="000674CB"/>
    <w:rsid w:val="000677DB"/>
    <w:rsid w:val="0006798D"/>
    <w:rsid w:val="00067B85"/>
    <w:rsid w:val="000701F7"/>
    <w:rsid w:val="0007090B"/>
    <w:rsid w:val="000710DB"/>
    <w:rsid w:val="000716C6"/>
    <w:rsid w:val="000717C3"/>
    <w:rsid w:val="000718C1"/>
    <w:rsid w:val="000721F9"/>
    <w:rsid w:val="00072C5A"/>
    <w:rsid w:val="000743EA"/>
    <w:rsid w:val="000744BD"/>
    <w:rsid w:val="000751F1"/>
    <w:rsid w:val="00075490"/>
    <w:rsid w:val="000754B1"/>
    <w:rsid w:val="000759E5"/>
    <w:rsid w:val="00075D93"/>
    <w:rsid w:val="00076525"/>
    <w:rsid w:val="000767C2"/>
    <w:rsid w:val="0007698F"/>
    <w:rsid w:val="00077740"/>
    <w:rsid w:val="00077C4F"/>
    <w:rsid w:val="00077CC0"/>
    <w:rsid w:val="00081396"/>
    <w:rsid w:val="00082061"/>
    <w:rsid w:val="00082363"/>
    <w:rsid w:val="0008330B"/>
    <w:rsid w:val="00084AC6"/>
    <w:rsid w:val="00085138"/>
    <w:rsid w:val="0008536E"/>
    <w:rsid w:val="0008562A"/>
    <w:rsid w:val="00085CD4"/>
    <w:rsid w:val="00086044"/>
    <w:rsid w:val="0008625F"/>
    <w:rsid w:val="0008658C"/>
    <w:rsid w:val="000876DF"/>
    <w:rsid w:val="00087E86"/>
    <w:rsid w:val="000908CA"/>
    <w:rsid w:val="00090ACB"/>
    <w:rsid w:val="00090C1F"/>
    <w:rsid w:val="00091608"/>
    <w:rsid w:val="00092281"/>
    <w:rsid w:val="00092402"/>
    <w:rsid w:val="00092C4B"/>
    <w:rsid w:val="0009333C"/>
    <w:rsid w:val="00093ABF"/>
    <w:rsid w:val="0009455B"/>
    <w:rsid w:val="000949A6"/>
    <w:rsid w:val="00094A54"/>
    <w:rsid w:val="000954B6"/>
    <w:rsid w:val="0009704F"/>
    <w:rsid w:val="000A0ADC"/>
    <w:rsid w:val="000A0F11"/>
    <w:rsid w:val="000A124F"/>
    <w:rsid w:val="000A125A"/>
    <w:rsid w:val="000A1CDD"/>
    <w:rsid w:val="000A1DD7"/>
    <w:rsid w:val="000A2142"/>
    <w:rsid w:val="000A24D8"/>
    <w:rsid w:val="000A30F9"/>
    <w:rsid w:val="000A3634"/>
    <w:rsid w:val="000A3956"/>
    <w:rsid w:val="000A3E25"/>
    <w:rsid w:val="000A41D6"/>
    <w:rsid w:val="000A46C5"/>
    <w:rsid w:val="000A4929"/>
    <w:rsid w:val="000A4C0D"/>
    <w:rsid w:val="000A4CB5"/>
    <w:rsid w:val="000A4F3C"/>
    <w:rsid w:val="000A57CD"/>
    <w:rsid w:val="000A5BE0"/>
    <w:rsid w:val="000A5D96"/>
    <w:rsid w:val="000A642D"/>
    <w:rsid w:val="000A6601"/>
    <w:rsid w:val="000A6AC6"/>
    <w:rsid w:val="000B01BF"/>
    <w:rsid w:val="000B1381"/>
    <w:rsid w:val="000B2276"/>
    <w:rsid w:val="000B23BF"/>
    <w:rsid w:val="000B29E7"/>
    <w:rsid w:val="000B33C3"/>
    <w:rsid w:val="000B3758"/>
    <w:rsid w:val="000B4F36"/>
    <w:rsid w:val="000B4FCB"/>
    <w:rsid w:val="000B5B3D"/>
    <w:rsid w:val="000B687F"/>
    <w:rsid w:val="000B6DBC"/>
    <w:rsid w:val="000B6E3E"/>
    <w:rsid w:val="000B71A8"/>
    <w:rsid w:val="000B742A"/>
    <w:rsid w:val="000B7681"/>
    <w:rsid w:val="000B7B19"/>
    <w:rsid w:val="000B7B42"/>
    <w:rsid w:val="000C02B7"/>
    <w:rsid w:val="000C059C"/>
    <w:rsid w:val="000C0838"/>
    <w:rsid w:val="000C0D2A"/>
    <w:rsid w:val="000C0D2E"/>
    <w:rsid w:val="000C12AB"/>
    <w:rsid w:val="000C2336"/>
    <w:rsid w:val="000C342D"/>
    <w:rsid w:val="000C5100"/>
    <w:rsid w:val="000C5342"/>
    <w:rsid w:val="000C706A"/>
    <w:rsid w:val="000C7109"/>
    <w:rsid w:val="000C75F7"/>
    <w:rsid w:val="000C7A8D"/>
    <w:rsid w:val="000D0AA9"/>
    <w:rsid w:val="000D11B7"/>
    <w:rsid w:val="000D1D52"/>
    <w:rsid w:val="000D2853"/>
    <w:rsid w:val="000D2887"/>
    <w:rsid w:val="000D33C3"/>
    <w:rsid w:val="000D523F"/>
    <w:rsid w:val="000D5632"/>
    <w:rsid w:val="000D5BC2"/>
    <w:rsid w:val="000D67C1"/>
    <w:rsid w:val="000D6D63"/>
    <w:rsid w:val="000D7375"/>
    <w:rsid w:val="000D7785"/>
    <w:rsid w:val="000E0081"/>
    <w:rsid w:val="000E07CF"/>
    <w:rsid w:val="000E0822"/>
    <w:rsid w:val="000E1EE3"/>
    <w:rsid w:val="000E1F03"/>
    <w:rsid w:val="000E2D9C"/>
    <w:rsid w:val="000E31C1"/>
    <w:rsid w:val="000E433A"/>
    <w:rsid w:val="000E45FD"/>
    <w:rsid w:val="000E46DC"/>
    <w:rsid w:val="000E499A"/>
    <w:rsid w:val="000E6352"/>
    <w:rsid w:val="000E6C50"/>
    <w:rsid w:val="000E7071"/>
    <w:rsid w:val="000E72D6"/>
    <w:rsid w:val="000E7B6C"/>
    <w:rsid w:val="000F053E"/>
    <w:rsid w:val="000F0AA2"/>
    <w:rsid w:val="000F1173"/>
    <w:rsid w:val="000F1C32"/>
    <w:rsid w:val="000F1F70"/>
    <w:rsid w:val="000F2CF2"/>
    <w:rsid w:val="000F3326"/>
    <w:rsid w:val="000F3375"/>
    <w:rsid w:val="000F3E5B"/>
    <w:rsid w:val="000F4B63"/>
    <w:rsid w:val="000F4FE0"/>
    <w:rsid w:val="000F53BC"/>
    <w:rsid w:val="000F5990"/>
    <w:rsid w:val="000F5EFA"/>
    <w:rsid w:val="000F6936"/>
    <w:rsid w:val="000F7164"/>
    <w:rsid w:val="000F7214"/>
    <w:rsid w:val="00100BDB"/>
    <w:rsid w:val="00100BEF"/>
    <w:rsid w:val="00101AA5"/>
    <w:rsid w:val="00101DD3"/>
    <w:rsid w:val="0010223A"/>
    <w:rsid w:val="00102DB6"/>
    <w:rsid w:val="0010363D"/>
    <w:rsid w:val="00103A75"/>
    <w:rsid w:val="00103D61"/>
    <w:rsid w:val="00103E45"/>
    <w:rsid w:val="00103F3A"/>
    <w:rsid w:val="0010493E"/>
    <w:rsid w:val="001055F9"/>
    <w:rsid w:val="00106E12"/>
    <w:rsid w:val="00111068"/>
    <w:rsid w:val="0011129B"/>
    <w:rsid w:val="00111326"/>
    <w:rsid w:val="00111F41"/>
    <w:rsid w:val="0011249D"/>
    <w:rsid w:val="00112B7A"/>
    <w:rsid w:val="00113202"/>
    <w:rsid w:val="001132E8"/>
    <w:rsid w:val="00113306"/>
    <w:rsid w:val="0011354A"/>
    <w:rsid w:val="00113CA0"/>
    <w:rsid w:val="0011498E"/>
    <w:rsid w:val="00114AD1"/>
    <w:rsid w:val="00114D89"/>
    <w:rsid w:val="001171A8"/>
    <w:rsid w:val="00117638"/>
    <w:rsid w:val="001178BF"/>
    <w:rsid w:val="00117A45"/>
    <w:rsid w:val="00117A58"/>
    <w:rsid w:val="00117DB8"/>
    <w:rsid w:val="00120D72"/>
    <w:rsid w:val="001216E2"/>
    <w:rsid w:val="001218A3"/>
    <w:rsid w:val="00121962"/>
    <w:rsid w:val="00121DD4"/>
    <w:rsid w:val="00121F88"/>
    <w:rsid w:val="001220DA"/>
    <w:rsid w:val="001224AE"/>
    <w:rsid w:val="00122B23"/>
    <w:rsid w:val="00122B85"/>
    <w:rsid w:val="00122D53"/>
    <w:rsid w:val="00124517"/>
    <w:rsid w:val="00124AD8"/>
    <w:rsid w:val="00125631"/>
    <w:rsid w:val="0012631D"/>
    <w:rsid w:val="001263A6"/>
    <w:rsid w:val="001273F7"/>
    <w:rsid w:val="00127404"/>
    <w:rsid w:val="00130BAB"/>
    <w:rsid w:val="00130D6E"/>
    <w:rsid w:val="001312A1"/>
    <w:rsid w:val="001336D1"/>
    <w:rsid w:val="001337D4"/>
    <w:rsid w:val="00133CD8"/>
    <w:rsid w:val="00134DF6"/>
    <w:rsid w:val="001354DC"/>
    <w:rsid w:val="00135CF3"/>
    <w:rsid w:val="00136039"/>
    <w:rsid w:val="001377BB"/>
    <w:rsid w:val="0013795C"/>
    <w:rsid w:val="001404C7"/>
    <w:rsid w:val="0014092F"/>
    <w:rsid w:val="00140ED3"/>
    <w:rsid w:val="0014117F"/>
    <w:rsid w:val="00141B12"/>
    <w:rsid w:val="00141EF3"/>
    <w:rsid w:val="0014244D"/>
    <w:rsid w:val="00142505"/>
    <w:rsid w:val="00142CBC"/>
    <w:rsid w:val="001433B2"/>
    <w:rsid w:val="00143483"/>
    <w:rsid w:val="00143A1B"/>
    <w:rsid w:val="00143F5B"/>
    <w:rsid w:val="001441AF"/>
    <w:rsid w:val="00145287"/>
    <w:rsid w:val="001458F6"/>
    <w:rsid w:val="00145916"/>
    <w:rsid w:val="0014596D"/>
    <w:rsid w:val="00145FE4"/>
    <w:rsid w:val="00146804"/>
    <w:rsid w:val="00146A9B"/>
    <w:rsid w:val="00147C12"/>
    <w:rsid w:val="00147F49"/>
    <w:rsid w:val="001503D8"/>
    <w:rsid w:val="0015110F"/>
    <w:rsid w:val="00151FD7"/>
    <w:rsid w:val="00152319"/>
    <w:rsid w:val="001525BD"/>
    <w:rsid w:val="001527A1"/>
    <w:rsid w:val="00152C38"/>
    <w:rsid w:val="001530DC"/>
    <w:rsid w:val="001530FD"/>
    <w:rsid w:val="001537FB"/>
    <w:rsid w:val="00154989"/>
    <w:rsid w:val="001553BD"/>
    <w:rsid w:val="00155550"/>
    <w:rsid w:val="00155A9F"/>
    <w:rsid w:val="00156DC9"/>
    <w:rsid w:val="0015791D"/>
    <w:rsid w:val="00160262"/>
    <w:rsid w:val="00160AA9"/>
    <w:rsid w:val="0016183E"/>
    <w:rsid w:val="00161FB9"/>
    <w:rsid w:val="001620F6"/>
    <w:rsid w:val="001633EE"/>
    <w:rsid w:val="001639DD"/>
    <w:rsid w:val="00163D97"/>
    <w:rsid w:val="001648A7"/>
    <w:rsid w:val="00164F24"/>
    <w:rsid w:val="00164FA8"/>
    <w:rsid w:val="00165253"/>
    <w:rsid w:val="00166558"/>
    <w:rsid w:val="0016698A"/>
    <w:rsid w:val="001674C1"/>
    <w:rsid w:val="0016780A"/>
    <w:rsid w:val="00170480"/>
    <w:rsid w:val="0017098C"/>
    <w:rsid w:val="001712E1"/>
    <w:rsid w:val="001713FA"/>
    <w:rsid w:val="00171795"/>
    <w:rsid w:val="00171AC5"/>
    <w:rsid w:val="00171F81"/>
    <w:rsid w:val="0017341D"/>
    <w:rsid w:val="00173727"/>
    <w:rsid w:val="00173EBF"/>
    <w:rsid w:val="00174979"/>
    <w:rsid w:val="00174F3D"/>
    <w:rsid w:val="001753DF"/>
    <w:rsid w:val="00175617"/>
    <w:rsid w:val="0017572C"/>
    <w:rsid w:val="00175816"/>
    <w:rsid w:val="00175841"/>
    <w:rsid w:val="001759A7"/>
    <w:rsid w:val="00175ED3"/>
    <w:rsid w:val="001762FC"/>
    <w:rsid w:val="001763F2"/>
    <w:rsid w:val="00176559"/>
    <w:rsid w:val="00176DFF"/>
    <w:rsid w:val="001801A5"/>
    <w:rsid w:val="00180492"/>
    <w:rsid w:val="001807A3"/>
    <w:rsid w:val="00181D3D"/>
    <w:rsid w:val="00182B82"/>
    <w:rsid w:val="00183816"/>
    <w:rsid w:val="001842A2"/>
    <w:rsid w:val="001842F9"/>
    <w:rsid w:val="00184B03"/>
    <w:rsid w:val="00184C9C"/>
    <w:rsid w:val="00185497"/>
    <w:rsid w:val="00185AD4"/>
    <w:rsid w:val="0018635E"/>
    <w:rsid w:val="0018686C"/>
    <w:rsid w:val="00186F38"/>
    <w:rsid w:val="00186F5F"/>
    <w:rsid w:val="001872F8"/>
    <w:rsid w:val="00187E98"/>
    <w:rsid w:val="00187F22"/>
    <w:rsid w:val="00187FA8"/>
    <w:rsid w:val="00190D40"/>
    <w:rsid w:val="00191ECA"/>
    <w:rsid w:val="00192C5C"/>
    <w:rsid w:val="00192EE6"/>
    <w:rsid w:val="00192F5E"/>
    <w:rsid w:val="0019315D"/>
    <w:rsid w:val="00193859"/>
    <w:rsid w:val="00194272"/>
    <w:rsid w:val="00194437"/>
    <w:rsid w:val="00194A3C"/>
    <w:rsid w:val="00195689"/>
    <w:rsid w:val="00196831"/>
    <w:rsid w:val="00197590"/>
    <w:rsid w:val="00197772"/>
    <w:rsid w:val="00197A0C"/>
    <w:rsid w:val="001A08E0"/>
    <w:rsid w:val="001A0C81"/>
    <w:rsid w:val="001A1BEA"/>
    <w:rsid w:val="001A1E93"/>
    <w:rsid w:val="001A26F1"/>
    <w:rsid w:val="001A2917"/>
    <w:rsid w:val="001A37CB"/>
    <w:rsid w:val="001A39C4"/>
    <w:rsid w:val="001A486D"/>
    <w:rsid w:val="001A4DEE"/>
    <w:rsid w:val="001A51C8"/>
    <w:rsid w:val="001A55D4"/>
    <w:rsid w:val="001A5AC9"/>
    <w:rsid w:val="001A60FC"/>
    <w:rsid w:val="001A6467"/>
    <w:rsid w:val="001A78BA"/>
    <w:rsid w:val="001A7BF0"/>
    <w:rsid w:val="001A7C19"/>
    <w:rsid w:val="001A7DD7"/>
    <w:rsid w:val="001A7FBD"/>
    <w:rsid w:val="001B074E"/>
    <w:rsid w:val="001B0F39"/>
    <w:rsid w:val="001B19FF"/>
    <w:rsid w:val="001B24C8"/>
    <w:rsid w:val="001B27D6"/>
    <w:rsid w:val="001B29EF"/>
    <w:rsid w:val="001B2B86"/>
    <w:rsid w:val="001B2EBD"/>
    <w:rsid w:val="001B397C"/>
    <w:rsid w:val="001B452C"/>
    <w:rsid w:val="001B4875"/>
    <w:rsid w:val="001B4AAE"/>
    <w:rsid w:val="001B4CA8"/>
    <w:rsid w:val="001B4EFB"/>
    <w:rsid w:val="001B5899"/>
    <w:rsid w:val="001B5EA1"/>
    <w:rsid w:val="001B62E7"/>
    <w:rsid w:val="001B65BA"/>
    <w:rsid w:val="001B6F77"/>
    <w:rsid w:val="001B7592"/>
    <w:rsid w:val="001B7872"/>
    <w:rsid w:val="001B7AEC"/>
    <w:rsid w:val="001C0884"/>
    <w:rsid w:val="001C08A1"/>
    <w:rsid w:val="001C0D01"/>
    <w:rsid w:val="001C1C14"/>
    <w:rsid w:val="001C32A6"/>
    <w:rsid w:val="001C3A77"/>
    <w:rsid w:val="001C3EAD"/>
    <w:rsid w:val="001C3FE9"/>
    <w:rsid w:val="001C4F3D"/>
    <w:rsid w:val="001C5733"/>
    <w:rsid w:val="001C585B"/>
    <w:rsid w:val="001C5E95"/>
    <w:rsid w:val="001C63E8"/>
    <w:rsid w:val="001C6B21"/>
    <w:rsid w:val="001C71DE"/>
    <w:rsid w:val="001C7916"/>
    <w:rsid w:val="001D0795"/>
    <w:rsid w:val="001D08C0"/>
    <w:rsid w:val="001D0CDC"/>
    <w:rsid w:val="001D0E56"/>
    <w:rsid w:val="001D179C"/>
    <w:rsid w:val="001D1D82"/>
    <w:rsid w:val="001D257A"/>
    <w:rsid w:val="001D2CBF"/>
    <w:rsid w:val="001D31CC"/>
    <w:rsid w:val="001D4017"/>
    <w:rsid w:val="001D4935"/>
    <w:rsid w:val="001D4D91"/>
    <w:rsid w:val="001D62D3"/>
    <w:rsid w:val="001D6F97"/>
    <w:rsid w:val="001E0211"/>
    <w:rsid w:val="001E0E48"/>
    <w:rsid w:val="001E1182"/>
    <w:rsid w:val="001E1481"/>
    <w:rsid w:val="001E1705"/>
    <w:rsid w:val="001E216B"/>
    <w:rsid w:val="001E25FC"/>
    <w:rsid w:val="001E29E8"/>
    <w:rsid w:val="001E2D66"/>
    <w:rsid w:val="001E3709"/>
    <w:rsid w:val="001E3A87"/>
    <w:rsid w:val="001E3E43"/>
    <w:rsid w:val="001E438F"/>
    <w:rsid w:val="001E4630"/>
    <w:rsid w:val="001E4944"/>
    <w:rsid w:val="001E6800"/>
    <w:rsid w:val="001E6856"/>
    <w:rsid w:val="001E698D"/>
    <w:rsid w:val="001E727B"/>
    <w:rsid w:val="001F21DA"/>
    <w:rsid w:val="001F264B"/>
    <w:rsid w:val="001F2DA2"/>
    <w:rsid w:val="001F2DD7"/>
    <w:rsid w:val="001F4B9F"/>
    <w:rsid w:val="001F5074"/>
    <w:rsid w:val="001F6E1C"/>
    <w:rsid w:val="001F6F21"/>
    <w:rsid w:val="00200413"/>
    <w:rsid w:val="002013A2"/>
    <w:rsid w:val="00202847"/>
    <w:rsid w:val="002028E5"/>
    <w:rsid w:val="00202C90"/>
    <w:rsid w:val="00202CC1"/>
    <w:rsid w:val="00203F0F"/>
    <w:rsid w:val="0020494B"/>
    <w:rsid w:val="0020551B"/>
    <w:rsid w:val="002057F2"/>
    <w:rsid w:val="00205E6D"/>
    <w:rsid w:val="00205FA8"/>
    <w:rsid w:val="0020613A"/>
    <w:rsid w:val="00206D68"/>
    <w:rsid w:val="0020700E"/>
    <w:rsid w:val="0020703D"/>
    <w:rsid w:val="0020719F"/>
    <w:rsid w:val="002075C9"/>
    <w:rsid w:val="002079F4"/>
    <w:rsid w:val="00207C42"/>
    <w:rsid w:val="0021078F"/>
    <w:rsid w:val="00210A8F"/>
    <w:rsid w:val="002119C8"/>
    <w:rsid w:val="00211A63"/>
    <w:rsid w:val="00211D9F"/>
    <w:rsid w:val="00212023"/>
    <w:rsid w:val="00212186"/>
    <w:rsid w:val="0021225E"/>
    <w:rsid w:val="002130C7"/>
    <w:rsid w:val="00213C48"/>
    <w:rsid w:val="00213DE8"/>
    <w:rsid w:val="00213F74"/>
    <w:rsid w:val="00214FE3"/>
    <w:rsid w:val="00215498"/>
    <w:rsid w:val="00216118"/>
    <w:rsid w:val="002162E6"/>
    <w:rsid w:val="002167FB"/>
    <w:rsid w:val="00216A4D"/>
    <w:rsid w:val="00216BFC"/>
    <w:rsid w:val="00217430"/>
    <w:rsid w:val="00217931"/>
    <w:rsid w:val="002204EA"/>
    <w:rsid w:val="002206AC"/>
    <w:rsid w:val="002209AB"/>
    <w:rsid w:val="00220A5F"/>
    <w:rsid w:val="00221134"/>
    <w:rsid w:val="00221577"/>
    <w:rsid w:val="00221E1A"/>
    <w:rsid w:val="00223395"/>
    <w:rsid w:val="00223613"/>
    <w:rsid w:val="00223FAD"/>
    <w:rsid w:val="0022415B"/>
    <w:rsid w:val="00224B8F"/>
    <w:rsid w:val="00224D6E"/>
    <w:rsid w:val="00224DA1"/>
    <w:rsid w:val="0022504E"/>
    <w:rsid w:val="002251E3"/>
    <w:rsid w:val="002253D0"/>
    <w:rsid w:val="002259FC"/>
    <w:rsid w:val="00225ED5"/>
    <w:rsid w:val="00226583"/>
    <w:rsid w:val="002269B3"/>
    <w:rsid w:val="00226B59"/>
    <w:rsid w:val="00226B86"/>
    <w:rsid w:val="00226F65"/>
    <w:rsid w:val="00227315"/>
    <w:rsid w:val="00227A95"/>
    <w:rsid w:val="0023001F"/>
    <w:rsid w:val="00230805"/>
    <w:rsid w:val="002313B3"/>
    <w:rsid w:val="002315A3"/>
    <w:rsid w:val="002316BD"/>
    <w:rsid w:val="002318D5"/>
    <w:rsid w:val="00232120"/>
    <w:rsid w:val="0023285B"/>
    <w:rsid w:val="0023302F"/>
    <w:rsid w:val="00234AED"/>
    <w:rsid w:val="0023519F"/>
    <w:rsid w:val="00235394"/>
    <w:rsid w:val="002354AC"/>
    <w:rsid w:val="00235F69"/>
    <w:rsid w:val="002366E0"/>
    <w:rsid w:val="00237550"/>
    <w:rsid w:val="00237A5F"/>
    <w:rsid w:val="00237EC8"/>
    <w:rsid w:val="00240602"/>
    <w:rsid w:val="0024115B"/>
    <w:rsid w:val="00241169"/>
    <w:rsid w:val="0024181A"/>
    <w:rsid w:val="0024224B"/>
    <w:rsid w:val="002427CA"/>
    <w:rsid w:val="002429FF"/>
    <w:rsid w:val="00242DEF"/>
    <w:rsid w:val="00242E98"/>
    <w:rsid w:val="00243435"/>
    <w:rsid w:val="0024349D"/>
    <w:rsid w:val="00243A2E"/>
    <w:rsid w:val="00243FD9"/>
    <w:rsid w:val="002445B1"/>
    <w:rsid w:val="00244F65"/>
    <w:rsid w:val="00245739"/>
    <w:rsid w:val="00245FBC"/>
    <w:rsid w:val="002462C2"/>
    <w:rsid w:val="00246C18"/>
    <w:rsid w:val="002472DE"/>
    <w:rsid w:val="002473FC"/>
    <w:rsid w:val="002479A0"/>
    <w:rsid w:val="00250703"/>
    <w:rsid w:val="002508E8"/>
    <w:rsid w:val="00250F63"/>
    <w:rsid w:val="00251E0C"/>
    <w:rsid w:val="00252E3C"/>
    <w:rsid w:val="0025409F"/>
    <w:rsid w:val="002541D7"/>
    <w:rsid w:val="00254C0E"/>
    <w:rsid w:val="00254C33"/>
    <w:rsid w:val="0025526F"/>
    <w:rsid w:val="00255BDE"/>
    <w:rsid w:val="00256925"/>
    <w:rsid w:val="00256C79"/>
    <w:rsid w:val="0026050A"/>
    <w:rsid w:val="00261032"/>
    <w:rsid w:val="002616BC"/>
    <w:rsid w:val="00262198"/>
    <w:rsid w:val="00262443"/>
    <w:rsid w:val="002625EE"/>
    <w:rsid w:val="002626DE"/>
    <w:rsid w:val="002633AF"/>
    <w:rsid w:val="0026398B"/>
    <w:rsid w:val="00263C4A"/>
    <w:rsid w:val="00263EA1"/>
    <w:rsid w:val="002643C0"/>
    <w:rsid w:val="00264B3B"/>
    <w:rsid w:val="00264BB0"/>
    <w:rsid w:val="00265796"/>
    <w:rsid w:val="00265ADF"/>
    <w:rsid w:val="0026611D"/>
    <w:rsid w:val="0026680C"/>
    <w:rsid w:val="0026688B"/>
    <w:rsid w:val="0026748C"/>
    <w:rsid w:val="00267B8F"/>
    <w:rsid w:val="00267CAF"/>
    <w:rsid w:val="00270ADB"/>
    <w:rsid w:val="00270C04"/>
    <w:rsid w:val="0027105F"/>
    <w:rsid w:val="00271F75"/>
    <w:rsid w:val="00276782"/>
    <w:rsid w:val="00277BBA"/>
    <w:rsid w:val="00277F4C"/>
    <w:rsid w:val="00280C43"/>
    <w:rsid w:val="00282243"/>
    <w:rsid w:val="00283009"/>
    <w:rsid w:val="00284554"/>
    <w:rsid w:val="002848B9"/>
    <w:rsid w:val="00285F1B"/>
    <w:rsid w:val="002860E9"/>
    <w:rsid w:val="0028656A"/>
    <w:rsid w:val="00287841"/>
    <w:rsid w:val="0029082C"/>
    <w:rsid w:val="00290F27"/>
    <w:rsid w:val="002921DE"/>
    <w:rsid w:val="002926E9"/>
    <w:rsid w:val="0029271E"/>
    <w:rsid w:val="00292B81"/>
    <w:rsid w:val="002931E7"/>
    <w:rsid w:val="002941A7"/>
    <w:rsid w:val="002943C3"/>
    <w:rsid w:val="00294D2C"/>
    <w:rsid w:val="002961A3"/>
    <w:rsid w:val="00296DB8"/>
    <w:rsid w:val="00297A81"/>
    <w:rsid w:val="002A0F42"/>
    <w:rsid w:val="002A1F5A"/>
    <w:rsid w:val="002A24A6"/>
    <w:rsid w:val="002A2F01"/>
    <w:rsid w:val="002A47EE"/>
    <w:rsid w:val="002A4B58"/>
    <w:rsid w:val="002A4B7C"/>
    <w:rsid w:val="002A53D5"/>
    <w:rsid w:val="002A55B9"/>
    <w:rsid w:val="002A62A6"/>
    <w:rsid w:val="002A6606"/>
    <w:rsid w:val="002A6B1D"/>
    <w:rsid w:val="002A6C18"/>
    <w:rsid w:val="002A6EA7"/>
    <w:rsid w:val="002A7476"/>
    <w:rsid w:val="002A7D79"/>
    <w:rsid w:val="002B0224"/>
    <w:rsid w:val="002B0BE2"/>
    <w:rsid w:val="002B0DB3"/>
    <w:rsid w:val="002B0F91"/>
    <w:rsid w:val="002B1822"/>
    <w:rsid w:val="002B18AE"/>
    <w:rsid w:val="002B1B39"/>
    <w:rsid w:val="002B42BF"/>
    <w:rsid w:val="002B4EFE"/>
    <w:rsid w:val="002B5DF6"/>
    <w:rsid w:val="002B607E"/>
    <w:rsid w:val="002B67C5"/>
    <w:rsid w:val="002B682F"/>
    <w:rsid w:val="002B6969"/>
    <w:rsid w:val="002B6B6F"/>
    <w:rsid w:val="002C0862"/>
    <w:rsid w:val="002C0FC2"/>
    <w:rsid w:val="002C1383"/>
    <w:rsid w:val="002C1AE1"/>
    <w:rsid w:val="002C1C93"/>
    <w:rsid w:val="002C2D48"/>
    <w:rsid w:val="002C3AB7"/>
    <w:rsid w:val="002C430A"/>
    <w:rsid w:val="002C4536"/>
    <w:rsid w:val="002C4CC6"/>
    <w:rsid w:val="002C5066"/>
    <w:rsid w:val="002C5813"/>
    <w:rsid w:val="002C6A6C"/>
    <w:rsid w:val="002C72C9"/>
    <w:rsid w:val="002C776E"/>
    <w:rsid w:val="002C785F"/>
    <w:rsid w:val="002D008A"/>
    <w:rsid w:val="002D00EC"/>
    <w:rsid w:val="002D063E"/>
    <w:rsid w:val="002D334F"/>
    <w:rsid w:val="002D3405"/>
    <w:rsid w:val="002D4824"/>
    <w:rsid w:val="002D48E4"/>
    <w:rsid w:val="002D4AAC"/>
    <w:rsid w:val="002D4B1E"/>
    <w:rsid w:val="002D533B"/>
    <w:rsid w:val="002D552D"/>
    <w:rsid w:val="002D7D42"/>
    <w:rsid w:val="002E0323"/>
    <w:rsid w:val="002E0B77"/>
    <w:rsid w:val="002E1D71"/>
    <w:rsid w:val="002E26A0"/>
    <w:rsid w:val="002E30B6"/>
    <w:rsid w:val="002E3578"/>
    <w:rsid w:val="002E37F4"/>
    <w:rsid w:val="002E3E40"/>
    <w:rsid w:val="002E472C"/>
    <w:rsid w:val="002E5408"/>
    <w:rsid w:val="002E6409"/>
    <w:rsid w:val="002E7CF5"/>
    <w:rsid w:val="002F0123"/>
    <w:rsid w:val="002F03B0"/>
    <w:rsid w:val="002F045A"/>
    <w:rsid w:val="002F0584"/>
    <w:rsid w:val="002F0708"/>
    <w:rsid w:val="002F13A7"/>
    <w:rsid w:val="002F1F65"/>
    <w:rsid w:val="002F225F"/>
    <w:rsid w:val="002F2400"/>
    <w:rsid w:val="002F2920"/>
    <w:rsid w:val="002F3494"/>
    <w:rsid w:val="002F3832"/>
    <w:rsid w:val="002F3F24"/>
    <w:rsid w:val="002F451C"/>
    <w:rsid w:val="002F47FA"/>
    <w:rsid w:val="002F494E"/>
    <w:rsid w:val="002F4BFC"/>
    <w:rsid w:val="002F4F8A"/>
    <w:rsid w:val="002F502D"/>
    <w:rsid w:val="002F5AC7"/>
    <w:rsid w:val="002F5B68"/>
    <w:rsid w:val="002F5BE3"/>
    <w:rsid w:val="002F5ED1"/>
    <w:rsid w:val="002F6689"/>
    <w:rsid w:val="002F6A94"/>
    <w:rsid w:val="002F7468"/>
    <w:rsid w:val="002F79A9"/>
    <w:rsid w:val="003001CA"/>
    <w:rsid w:val="0030039D"/>
    <w:rsid w:val="00300E9C"/>
    <w:rsid w:val="003012E5"/>
    <w:rsid w:val="00301364"/>
    <w:rsid w:val="0030177A"/>
    <w:rsid w:val="00301DC5"/>
    <w:rsid w:val="00302D7E"/>
    <w:rsid w:val="0030313E"/>
    <w:rsid w:val="0030326F"/>
    <w:rsid w:val="003038AE"/>
    <w:rsid w:val="00303FA9"/>
    <w:rsid w:val="0030421E"/>
    <w:rsid w:val="00304A61"/>
    <w:rsid w:val="003053EC"/>
    <w:rsid w:val="003058E0"/>
    <w:rsid w:val="00305D4E"/>
    <w:rsid w:val="0030618C"/>
    <w:rsid w:val="00306533"/>
    <w:rsid w:val="0030660B"/>
    <w:rsid w:val="003067BD"/>
    <w:rsid w:val="00307C28"/>
    <w:rsid w:val="00307DCE"/>
    <w:rsid w:val="003106E2"/>
    <w:rsid w:val="00310701"/>
    <w:rsid w:val="00310AFE"/>
    <w:rsid w:val="00310C7D"/>
    <w:rsid w:val="00310D8C"/>
    <w:rsid w:val="003117A1"/>
    <w:rsid w:val="00311919"/>
    <w:rsid w:val="00312372"/>
    <w:rsid w:val="0031249E"/>
    <w:rsid w:val="003156C9"/>
    <w:rsid w:val="00315980"/>
    <w:rsid w:val="00315D40"/>
    <w:rsid w:val="0031690B"/>
    <w:rsid w:val="00316931"/>
    <w:rsid w:val="00316F7F"/>
    <w:rsid w:val="00317918"/>
    <w:rsid w:val="003179F2"/>
    <w:rsid w:val="00317DAE"/>
    <w:rsid w:val="00317DEE"/>
    <w:rsid w:val="00317E0F"/>
    <w:rsid w:val="00320493"/>
    <w:rsid w:val="00320A07"/>
    <w:rsid w:val="00320EA1"/>
    <w:rsid w:val="0032123D"/>
    <w:rsid w:val="003216DB"/>
    <w:rsid w:val="003218E8"/>
    <w:rsid w:val="00321946"/>
    <w:rsid w:val="0032265C"/>
    <w:rsid w:val="00322700"/>
    <w:rsid w:val="003227CA"/>
    <w:rsid w:val="00322B7F"/>
    <w:rsid w:val="00322BF6"/>
    <w:rsid w:val="00322FEA"/>
    <w:rsid w:val="0032328C"/>
    <w:rsid w:val="0032498E"/>
    <w:rsid w:val="00324B4F"/>
    <w:rsid w:val="00324CBB"/>
    <w:rsid w:val="003253B5"/>
    <w:rsid w:val="00325E34"/>
    <w:rsid w:val="003274EE"/>
    <w:rsid w:val="00327DF7"/>
    <w:rsid w:val="00327F70"/>
    <w:rsid w:val="00330242"/>
    <w:rsid w:val="00330AD3"/>
    <w:rsid w:val="00330DCE"/>
    <w:rsid w:val="00331947"/>
    <w:rsid w:val="00331E11"/>
    <w:rsid w:val="003324DD"/>
    <w:rsid w:val="0033339F"/>
    <w:rsid w:val="003337C7"/>
    <w:rsid w:val="00334761"/>
    <w:rsid w:val="003353ED"/>
    <w:rsid w:val="003358B1"/>
    <w:rsid w:val="00335BE3"/>
    <w:rsid w:val="003367C8"/>
    <w:rsid w:val="00336E9C"/>
    <w:rsid w:val="003378A1"/>
    <w:rsid w:val="00337E1B"/>
    <w:rsid w:val="00337EBC"/>
    <w:rsid w:val="00337ECB"/>
    <w:rsid w:val="003400BF"/>
    <w:rsid w:val="00341DCD"/>
    <w:rsid w:val="00341EE2"/>
    <w:rsid w:val="00341F75"/>
    <w:rsid w:val="0034206D"/>
    <w:rsid w:val="003426D6"/>
    <w:rsid w:val="00343389"/>
    <w:rsid w:val="00343A10"/>
    <w:rsid w:val="003440E8"/>
    <w:rsid w:val="00344E70"/>
    <w:rsid w:val="0034555F"/>
    <w:rsid w:val="0034563E"/>
    <w:rsid w:val="003456CC"/>
    <w:rsid w:val="00345F84"/>
    <w:rsid w:val="003463A2"/>
    <w:rsid w:val="00346806"/>
    <w:rsid w:val="00346BD8"/>
    <w:rsid w:val="00346F6C"/>
    <w:rsid w:val="0034799E"/>
    <w:rsid w:val="00347C23"/>
    <w:rsid w:val="00350347"/>
    <w:rsid w:val="003508DC"/>
    <w:rsid w:val="00350EA0"/>
    <w:rsid w:val="0035110F"/>
    <w:rsid w:val="00351284"/>
    <w:rsid w:val="003514D2"/>
    <w:rsid w:val="00351776"/>
    <w:rsid w:val="003517A9"/>
    <w:rsid w:val="003518D6"/>
    <w:rsid w:val="00351B39"/>
    <w:rsid w:val="003521B2"/>
    <w:rsid w:val="0035282E"/>
    <w:rsid w:val="003530AD"/>
    <w:rsid w:val="003531F0"/>
    <w:rsid w:val="00353478"/>
    <w:rsid w:val="003537E3"/>
    <w:rsid w:val="00353FDD"/>
    <w:rsid w:val="0035431A"/>
    <w:rsid w:val="0035454C"/>
    <w:rsid w:val="0035460C"/>
    <w:rsid w:val="003549EB"/>
    <w:rsid w:val="003550EA"/>
    <w:rsid w:val="00355570"/>
    <w:rsid w:val="003556BD"/>
    <w:rsid w:val="0035593A"/>
    <w:rsid w:val="00357168"/>
    <w:rsid w:val="0035735D"/>
    <w:rsid w:val="0036028B"/>
    <w:rsid w:val="003602B8"/>
    <w:rsid w:val="003605ED"/>
    <w:rsid w:val="00361634"/>
    <w:rsid w:val="00361E5E"/>
    <w:rsid w:val="00361F27"/>
    <w:rsid w:val="00361F3C"/>
    <w:rsid w:val="0036200C"/>
    <w:rsid w:val="00362604"/>
    <w:rsid w:val="0036287A"/>
    <w:rsid w:val="003635EE"/>
    <w:rsid w:val="00364145"/>
    <w:rsid w:val="00364861"/>
    <w:rsid w:val="00365147"/>
    <w:rsid w:val="00365987"/>
    <w:rsid w:val="003676CD"/>
    <w:rsid w:val="0037016E"/>
    <w:rsid w:val="00370ECB"/>
    <w:rsid w:val="00371643"/>
    <w:rsid w:val="00371817"/>
    <w:rsid w:val="00371F62"/>
    <w:rsid w:val="003721A2"/>
    <w:rsid w:val="0037244C"/>
    <w:rsid w:val="00372908"/>
    <w:rsid w:val="00372BBE"/>
    <w:rsid w:val="00372CCF"/>
    <w:rsid w:val="0037327F"/>
    <w:rsid w:val="003734D4"/>
    <w:rsid w:val="00373C4D"/>
    <w:rsid w:val="003741FC"/>
    <w:rsid w:val="00374A3B"/>
    <w:rsid w:val="00375FB8"/>
    <w:rsid w:val="00377C83"/>
    <w:rsid w:val="00377CAF"/>
    <w:rsid w:val="00377EBC"/>
    <w:rsid w:val="003800AF"/>
    <w:rsid w:val="0038016A"/>
    <w:rsid w:val="00381138"/>
    <w:rsid w:val="00381291"/>
    <w:rsid w:val="003812E4"/>
    <w:rsid w:val="00381E2D"/>
    <w:rsid w:val="00382801"/>
    <w:rsid w:val="00383020"/>
    <w:rsid w:val="0038331C"/>
    <w:rsid w:val="00383408"/>
    <w:rsid w:val="003838E8"/>
    <w:rsid w:val="003839FB"/>
    <w:rsid w:val="00383ABC"/>
    <w:rsid w:val="00383D3C"/>
    <w:rsid w:val="00384119"/>
    <w:rsid w:val="00384AFB"/>
    <w:rsid w:val="00385604"/>
    <w:rsid w:val="00385723"/>
    <w:rsid w:val="00385772"/>
    <w:rsid w:val="00385BCC"/>
    <w:rsid w:val="00385EFF"/>
    <w:rsid w:val="00386356"/>
    <w:rsid w:val="00386E62"/>
    <w:rsid w:val="003872D2"/>
    <w:rsid w:val="003878CE"/>
    <w:rsid w:val="00387A36"/>
    <w:rsid w:val="003902C1"/>
    <w:rsid w:val="003906CE"/>
    <w:rsid w:val="003917C8"/>
    <w:rsid w:val="00392593"/>
    <w:rsid w:val="0039274A"/>
    <w:rsid w:val="00393695"/>
    <w:rsid w:val="003937EA"/>
    <w:rsid w:val="00393921"/>
    <w:rsid w:val="00393A87"/>
    <w:rsid w:val="00393B4A"/>
    <w:rsid w:val="00393ED6"/>
    <w:rsid w:val="00393F8A"/>
    <w:rsid w:val="0039404A"/>
    <w:rsid w:val="0039421A"/>
    <w:rsid w:val="00394671"/>
    <w:rsid w:val="00394D7E"/>
    <w:rsid w:val="00394E0D"/>
    <w:rsid w:val="00394F34"/>
    <w:rsid w:val="003955ED"/>
    <w:rsid w:val="00395CFA"/>
    <w:rsid w:val="00395E02"/>
    <w:rsid w:val="00396BD8"/>
    <w:rsid w:val="003975FD"/>
    <w:rsid w:val="00397F4F"/>
    <w:rsid w:val="003A04F4"/>
    <w:rsid w:val="003A0940"/>
    <w:rsid w:val="003A1221"/>
    <w:rsid w:val="003A2055"/>
    <w:rsid w:val="003A20FD"/>
    <w:rsid w:val="003A255F"/>
    <w:rsid w:val="003A2A6C"/>
    <w:rsid w:val="003A3231"/>
    <w:rsid w:val="003A3C4D"/>
    <w:rsid w:val="003A3EFA"/>
    <w:rsid w:val="003A3F7E"/>
    <w:rsid w:val="003A49D2"/>
    <w:rsid w:val="003A6012"/>
    <w:rsid w:val="003A628D"/>
    <w:rsid w:val="003A6293"/>
    <w:rsid w:val="003A6970"/>
    <w:rsid w:val="003A7077"/>
    <w:rsid w:val="003A70F2"/>
    <w:rsid w:val="003A77E6"/>
    <w:rsid w:val="003B057D"/>
    <w:rsid w:val="003B1446"/>
    <w:rsid w:val="003B21AA"/>
    <w:rsid w:val="003B2A0D"/>
    <w:rsid w:val="003B2D2F"/>
    <w:rsid w:val="003B37B7"/>
    <w:rsid w:val="003B3A3E"/>
    <w:rsid w:val="003B4A2F"/>
    <w:rsid w:val="003B4D65"/>
    <w:rsid w:val="003B60CC"/>
    <w:rsid w:val="003B6330"/>
    <w:rsid w:val="003B6847"/>
    <w:rsid w:val="003B6E06"/>
    <w:rsid w:val="003B7623"/>
    <w:rsid w:val="003B7D06"/>
    <w:rsid w:val="003C0768"/>
    <w:rsid w:val="003C0BBD"/>
    <w:rsid w:val="003C1B25"/>
    <w:rsid w:val="003C2443"/>
    <w:rsid w:val="003C2605"/>
    <w:rsid w:val="003C2B03"/>
    <w:rsid w:val="003C409F"/>
    <w:rsid w:val="003C464F"/>
    <w:rsid w:val="003C4CB8"/>
    <w:rsid w:val="003C517A"/>
    <w:rsid w:val="003C54BA"/>
    <w:rsid w:val="003C5DA3"/>
    <w:rsid w:val="003C688F"/>
    <w:rsid w:val="003C7B6D"/>
    <w:rsid w:val="003C7BA5"/>
    <w:rsid w:val="003D009B"/>
    <w:rsid w:val="003D03F1"/>
    <w:rsid w:val="003D0551"/>
    <w:rsid w:val="003D0DF3"/>
    <w:rsid w:val="003D171B"/>
    <w:rsid w:val="003D3AC5"/>
    <w:rsid w:val="003D3F8D"/>
    <w:rsid w:val="003D4BCD"/>
    <w:rsid w:val="003D504E"/>
    <w:rsid w:val="003D5822"/>
    <w:rsid w:val="003D5B4A"/>
    <w:rsid w:val="003D5F7C"/>
    <w:rsid w:val="003D6094"/>
    <w:rsid w:val="003D6593"/>
    <w:rsid w:val="003D68C7"/>
    <w:rsid w:val="003D6C2B"/>
    <w:rsid w:val="003D6D32"/>
    <w:rsid w:val="003D6DCF"/>
    <w:rsid w:val="003D7B76"/>
    <w:rsid w:val="003E01D8"/>
    <w:rsid w:val="003E154B"/>
    <w:rsid w:val="003E1B20"/>
    <w:rsid w:val="003E2100"/>
    <w:rsid w:val="003E3204"/>
    <w:rsid w:val="003E3214"/>
    <w:rsid w:val="003E3583"/>
    <w:rsid w:val="003E43CC"/>
    <w:rsid w:val="003E48EA"/>
    <w:rsid w:val="003E4F94"/>
    <w:rsid w:val="003E7C55"/>
    <w:rsid w:val="003F01CD"/>
    <w:rsid w:val="003F0F89"/>
    <w:rsid w:val="003F12FE"/>
    <w:rsid w:val="003F1852"/>
    <w:rsid w:val="003F1AAE"/>
    <w:rsid w:val="003F305A"/>
    <w:rsid w:val="003F333E"/>
    <w:rsid w:val="003F34D5"/>
    <w:rsid w:val="003F4705"/>
    <w:rsid w:val="003F4802"/>
    <w:rsid w:val="003F4B1B"/>
    <w:rsid w:val="003F5CC6"/>
    <w:rsid w:val="003F610E"/>
    <w:rsid w:val="003F6D04"/>
    <w:rsid w:val="003F6F5B"/>
    <w:rsid w:val="003F781B"/>
    <w:rsid w:val="003F7CFA"/>
    <w:rsid w:val="00400DC6"/>
    <w:rsid w:val="004012EB"/>
    <w:rsid w:val="00401336"/>
    <w:rsid w:val="00401462"/>
    <w:rsid w:val="00401BDE"/>
    <w:rsid w:val="00403092"/>
    <w:rsid w:val="0040342D"/>
    <w:rsid w:val="004034D2"/>
    <w:rsid w:val="00403780"/>
    <w:rsid w:val="00403CAA"/>
    <w:rsid w:val="00404B4C"/>
    <w:rsid w:val="00404BDD"/>
    <w:rsid w:val="00404EEC"/>
    <w:rsid w:val="0040578B"/>
    <w:rsid w:val="004057AB"/>
    <w:rsid w:val="00405800"/>
    <w:rsid w:val="00405AB6"/>
    <w:rsid w:val="00406CCF"/>
    <w:rsid w:val="004072FB"/>
    <w:rsid w:val="004073A9"/>
    <w:rsid w:val="004079AC"/>
    <w:rsid w:val="00407C94"/>
    <w:rsid w:val="00407FDE"/>
    <w:rsid w:val="0041001D"/>
    <w:rsid w:val="004117CD"/>
    <w:rsid w:val="0041192D"/>
    <w:rsid w:val="004122DE"/>
    <w:rsid w:val="00413919"/>
    <w:rsid w:val="00413EE1"/>
    <w:rsid w:val="00414595"/>
    <w:rsid w:val="00414D7B"/>
    <w:rsid w:val="00415F64"/>
    <w:rsid w:val="00416FCA"/>
    <w:rsid w:val="00417EFE"/>
    <w:rsid w:val="00420944"/>
    <w:rsid w:val="00420DF1"/>
    <w:rsid w:val="00420FD2"/>
    <w:rsid w:val="0042128E"/>
    <w:rsid w:val="00424DAC"/>
    <w:rsid w:val="00424FC4"/>
    <w:rsid w:val="00425799"/>
    <w:rsid w:val="004266CE"/>
    <w:rsid w:val="00426DE8"/>
    <w:rsid w:val="00426DEF"/>
    <w:rsid w:val="004272CE"/>
    <w:rsid w:val="00427BB9"/>
    <w:rsid w:val="00430137"/>
    <w:rsid w:val="00430EA0"/>
    <w:rsid w:val="00431043"/>
    <w:rsid w:val="00431273"/>
    <w:rsid w:val="00431C1E"/>
    <w:rsid w:val="00431F72"/>
    <w:rsid w:val="00431F82"/>
    <w:rsid w:val="00432B60"/>
    <w:rsid w:val="00432DBF"/>
    <w:rsid w:val="004337EC"/>
    <w:rsid w:val="00434B85"/>
    <w:rsid w:val="00435621"/>
    <w:rsid w:val="0043564A"/>
    <w:rsid w:val="00435DB8"/>
    <w:rsid w:val="004362BF"/>
    <w:rsid w:val="004367EC"/>
    <w:rsid w:val="00436885"/>
    <w:rsid w:val="00436DF9"/>
    <w:rsid w:val="00437380"/>
    <w:rsid w:val="0043791B"/>
    <w:rsid w:val="004401BF"/>
    <w:rsid w:val="0044046B"/>
    <w:rsid w:val="00440698"/>
    <w:rsid w:val="004406F5"/>
    <w:rsid w:val="00441250"/>
    <w:rsid w:val="0044269B"/>
    <w:rsid w:val="00442F73"/>
    <w:rsid w:val="0044333E"/>
    <w:rsid w:val="00443585"/>
    <w:rsid w:val="004443BC"/>
    <w:rsid w:val="00444816"/>
    <w:rsid w:val="00445022"/>
    <w:rsid w:val="004452A1"/>
    <w:rsid w:val="00445893"/>
    <w:rsid w:val="004464E4"/>
    <w:rsid w:val="004467AB"/>
    <w:rsid w:val="00451256"/>
    <w:rsid w:val="00452157"/>
    <w:rsid w:val="0045284F"/>
    <w:rsid w:val="00452DE0"/>
    <w:rsid w:val="004540E2"/>
    <w:rsid w:val="00454454"/>
    <w:rsid w:val="00455ABA"/>
    <w:rsid w:val="00455D5A"/>
    <w:rsid w:val="00455F69"/>
    <w:rsid w:val="00456496"/>
    <w:rsid w:val="004578B9"/>
    <w:rsid w:val="00460B1B"/>
    <w:rsid w:val="00460B74"/>
    <w:rsid w:val="00461B51"/>
    <w:rsid w:val="00461E92"/>
    <w:rsid w:val="00462190"/>
    <w:rsid w:val="00462A23"/>
    <w:rsid w:val="0046307D"/>
    <w:rsid w:val="00463AAA"/>
    <w:rsid w:val="0046424F"/>
    <w:rsid w:val="00464543"/>
    <w:rsid w:val="00464C87"/>
    <w:rsid w:val="00465117"/>
    <w:rsid w:val="00466520"/>
    <w:rsid w:val="00466541"/>
    <w:rsid w:val="00466B45"/>
    <w:rsid w:val="00467303"/>
    <w:rsid w:val="00467924"/>
    <w:rsid w:val="00470703"/>
    <w:rsid w:val="004707E4"/>
    <w:rsid w:val="004708CA"/>
    <w:rsid w:val="004708DF"/>
    <w:rsid w:val="004709D4"/>
    <w:rsid w:val="004712A5"/>
    <w:rsid w:val="00471B0F"/>
    <w:rsid w:val="00471E65"/>
    <w:rsid w:val="00472614"/>
    <w:rsid w:val="0047266F"/>
    <w:rsid w:val="00473FE4"/>
    <w:rsid w:val="00474A75"/>
    <w:rsid w:val="00474D3F"/>
    <w:rsid w:val="004752FE"/>
    <w:rsid w:val="00475C2D"/>
    <w:rsid w:val="0047601D"/>
    <w:rsid w:val="004760F1"/>
    <w:rsid w:val="00476D6B"/>
    <w:rsid w:val="004770DC"/>
    <w:rsid w:val="004771C4"/>
    <w:rsid w:val="00477B34"/>
    <w:rsid w:val="00477D51"/>
    <w:rsid w:val="00480007"/>
    <w:rsid w:val="00480407"/>
    <w:rsid w:val="00480FA8"/>
    <w:rsid w:val="0048202B"/>
    <w:rsid w:val="00482D16"/>
    <w:rsid w:val="00483022"/>
    <w:rsid w:val="004841AB"/>
    <w:rsid w:val="00484C3E"/>
    <w:rsid w:val="004851A0"/>
    <w:rsid w:val="00486744"/>
    <w:rsid w:val="00486777"/>
    <w:rsid w:val="0048688B"/>
    <w:rsid w:val="00487296"/>
    <w:rsid w:val="0048761E"/>
    <w:rsid w:val="00487741"/>
    <w:rsid w:val="0048784B"/>
    <w:rsid w:val="00487E0A"/>
    <w:rsid w:val="00490261"/>
    <w:rsid w:val="004914A0"/>
    <w:rsid w:val="00491638"/>
    <w:rsid w:val="00492C16"/>
    <w:rsid w:val="0049367F"/>
    <w:rsid w:val="00493C29"/>
    <w:rsid w:val="00494055"/>
    <w:rsid w:val="004946C4"/>
    <w:rsid w:val="0049486F"/>
    <w:rsid w:val="00495541"/>
    <w:rsid w:val="00495DBD"/>
    <w:rsid w:val="00495DE5"/>
    <w:rsid w:val="00495E3D"/>
    <w:rsid w:val="004963C6"/>
    <w:rsid w:val="00496FC5"/>
    <w:rsid w:val="00497059"/>
    <w:rsid w:val="004A05DF"/>
    <w:rsid w:val="004A0678"/>
    <w:rsid w:val="004A3C80"/>
    <w:rsid w:val="004A4348"/>
    <w:rsid w:val="004A48A3"/>
    <w:rsid w:val="004A53BF"/>
    <w:rsid w:val="004A6397"/>
    <w:rsid w:val="004A71C7"/>
    <w:rsid w:val="004A77C6"/>
    <w:rsid w:val="004A788E"/>
    <w:rsid w:val="004B0521"/>
    <w:rsid w:val="004B0D92"/>
    <w:rsid w:val="004B0EC0"/>
    <w:rsid w:val="004B1162"/>
    <w:rsid w:val="004B1265"/>
    <w:rsid w:val="004B149A"/>
    <w:rsid w:val="004B1FC1"/>
    <w:rsid w:val="004B283B"/>
    <w:rsid w:val="004B29F8"/>
    <w:rsid w:val="004B2BA8"/>
    <w:rsid w:val="004B324B"/>
    <w:rsid w:val="004B4050"/>
    <w:rsid w:val="004B4658"/>
    <w:rsid w:val="004B4CDA"/>
    <w:rsid w:val="004B4E27"/>
    <w:rsid w:val="004B5521"/>
    <w:rsid w:val="004B5693"/>
    <w:rsid w:val="004B5B32"/>
    <w:rsid w:val="004B61E5"/>
    <w:rsid w:val="004B6666"/>
    <w:rsid w:val="004B66F1"/>
    <w:rsid w:val="004B6D37"/>
    <w:rsid w:val="004B7267"/>
    <w:rsid w:val="004B72CC"/>
    <w:rsid w:val="004B7632"/>
    <w:rsid w:val="004B7744"/>
    <w:rsid w:val="004B780A"/>
    <w:rsid w:val="004C0094"/>
    <w:rsid w:val="004C0437"/>
    <w:rsid w:val="004C1384"/>
    <w:rsid w:val="004C17AF"/>
    <w:rsid w:val="004C186B"/>
    <w:rsid w:val="004C1925"/>
    <w:rsid w:val="004C1CDF"/>
    <w:rsid w:val="004C1D6C"/>
    <w:rsid w:val="004C3379"/>
    <w:rsid w:val="004C3EA0"/>
    <w:rsid w:val="004C3ED8"/>
    <w:rsid w:val="004C454D"/>
    <w:rsid w:val="004C4D28"/>
    <w:rsid w:val="004C4EB7"/>
    <w:rsid w:val="004C5080"/>
    <w:rsid w:val="004C5EDE"/>
    <w:rsid w:val="004C658E"/>
    <w:rsid w:val="004C7141"/>
    <w:rsid w:val="004C7523"/>
    <w:rsid w:val="004C7750"/>
    <w:rsid w:val="004C7B24"/>
    <w:rsid w:val="004C7B30"/>
    <w:rsid w:val="004D0872"/>
    <w:rsid w:val="004D09A7"/>
    <w:rsid w:val="004D0DA5"/>
    <w:rsid w:val="004D25F7"/>
    <w:rsid w:val="004D3AD2"/>
    <w:rsid w:val="004D492A"/>
    <w:rsid w:val="004D5563"/>
    <w:rsid w:val="004D56F8"/>
    <w:rsid w:val="004D5D34"/>
    <w:rsid w:val="004D725E"/>
    <w:rsid w:val="004D7305"/>
    <w:rsid w:val="004D7B4F"/>
    <w:rsid w:val="004D7B62"/>
    <w:rsid w:val="004E0366"/>
    <w:rsid w:val="004E056C"/>
    <w:rsid w:val="004E0911"/>
    <w:rsid w:val="004E0B76"/>
    <w:rsid w:val="004E1FDD"/>
    <w:rsid w:val="004E2669"/>
    <w:rsid w:val="004E279A"/>
    <w:rsid w:val="004E29D0"/>
    <w:rsid w:val="004E37AC"/>
    <w:rsid w:val="004E37D0"/>
    <w:rsid w:val="004E3C2D"/>
    <w:rsid w:val="004E4CFB"/>
    <w:rsid w:val="004E51CC"/>
    <w:rsid w:val="004E58A4"/>
    <w:rsid w:val="004E61A1"/>
    <w:rsid w:val="004E6276"/>
    <w:rsid w:val="004E79EB"/>
    <w:rsid w:val="004E7D0E"/>
    <w:rsid w:val="004F00E5"/>
    <w:rsid w:val="004F0447"/>
    <w:rsid w:val="004F0880"/>
    <w:rsid w:val="004F1D34"/>
    <w:rsid w:val="004F27CB"/>
    <w:rsid w:val="004F441E"/>
    <w:rsid w:val="004F50B9"/>
    <w:rsid w:val="004F5A7B"/>
    <w:rsid w:val="004F7007"/>
    <w:rsid w:val="004F7169"/>
    <w:rsid w:val="004F7856"/>
    <w:rsid w:val="0050066A"/>
    <w:rsid w:val="00500D08"/>
    <w:rsid w:val="00500D66"/>
    <w:rsid w:val="00501393"/>
    <w:rsid w:val="0050158C"/>
    <w:rsid w:val="00501706"/>
    <w:rsid w:val="00501EE1"/>
    <w:rsid w:val="00501F0B"/>
    <w:rsid w:val="00502DCB"/>
    <w:rsid w:val="005030E7"/>
    <w:rsid w:val="00503599"/>
    <w:rsid w:val="005035CD"/>
    <w:rsid w:val="00503AF5"/>
    <w:rsid w:val="0050431E"/>
    <w:rsid w:val="00504A8A"/>
    <w:rsid w:val="00504B2A"/>
    <w:rsid w:val="00505918"/>
    <w:rsid w:val="005064D9"/>
    <w:rsid w:val="00506650"/>
    <w:rsid w:val="00506C69"/>
    <w:rsid w:val="00506CB6"/>
    <w:rsid w:val="00507C85"/>
    <w:rsid w:val="00507D94"/>
    <w:rsid w:val="005101A8"/>
    <w:rsid w:val="005107F1"/>
    <w:rsid w:val="00510F49"/>
    <w:rsid w:val="00511740"/>
    <w:rsid w:val="00512122"/>
    <w:rsid w:val="00512CB4"/>
    <w:rsid w:val="00513008"/>
    <w:rsid w:val="00513499"/>
    <w:rsid w:val="005143DC"/>
    <w:rsid w:val="00514C8E"/>
    <w:rsid w:val="00514FC9"/>
    <w:rsid w:val="00514FE5"/>
    <w:rsid w:val="0051557C"/>
    <w:rsid w:val="00515F0B"/>
    <w:rsid w:val="005166DC"/>
    <w:rsid w:val="005169D4"/>
    <w:rsid w:val="00516AEA"/>
    <w:rsid w:val="005206DF"/>
    <w:rsid w:val="005211EE"/>
    <w:rsid w:val="005216F7"/>
    <w:rsid w:val="005219C4"/>
    <w:rsid w:val="00521A30"/>
    <w:rsid w:val="00522221"/>
    <w:rsid w:val="005223D3"/>
    <w:rsid w:val="00522CC0"/>
    <w:rsid w:val="00523CA7"/>
    <w:rsid w:val="0052410A"/>
    <w:rsid w:val="00524358"/>
    <w:rsid w:val="0052586C"/>
    <w:rsid w:val="00526CA7"/>
    <w:rsid w:val="005271EE"/>
    <w:rsid w:val="00527773"/>
    <w:rsid w:val="00530054"/>
    <w:rsid w:val="0053114D"/>
    <w:rsid w:val="005316E3"/>
    <w:rsid w:val="00531DBF"/>
    <w:rsid w:val="00532AF5"/>
    <w:rsid w:val="00532C4F"/>
    <w:rsid w:val="00532FAA"/>
    <w:rsid w:val="00533472"/>
    <w:rsid w:val="0053358C"/>
    <w:rsid w:val="00533598"/>
    <w:rsid w:val="00533B9B"/>
    <w:rsid w:val="00534A49"/>
    <w:rsid w:val="00534A87"/>
    <w:rsid w:val="0053527F"/>
    <w:rsid w:val="00535615"/>
    <w:rsid w:val="00535CBF"/>
    <w:rsid w:val="0053712A"/>
    <w:rsid w:val="0053755D"/>
    <w:rsid w:val="00537A1C"/>
    <w:rsid w:val="0054088E"/>
    <w:rsid w:val="00540B50"/>
    <w:rsid w:val="00540CA6"/>
    <w:rsid w:val="00540F32"/>
    <w:rsid w:val="00540FDC"/>
    <w:rsid w:val="00541065"/>
    <w:rsid w:val="00541A5A"/>
    <w:rsid w:val="00541B0D"/>
    <w:rsid w:val="00543024"/>
    <w:rsid w:val="0054361A"/>
    <w:rsid w:val="00545759"/>
    <w:rsid w:val="00545B31"/>
    <w:rsid w:val="00545BE0"/>
    <w:rsid w:val="00545D34"/>
    <w:rsid w:val="00546780"/>
    <w:rsid w:val="00546930"/>
    <w:rsid w:val="00547CD4"/>
    <w:rsid w:val="00547FCF"/>
    <w:rsid w:val="00551E31"/>
    <w:rsid w:val="0055314F"/>
    <w:rsid w:val="00553193"/>
    <w:rsid w:val="00553915"/>
    <w:rsid w:val="00554429"/>
    <w:rsid w:val="0055498A"/>
    <w:rsid w:val="00554C6A"/>
    <w:rsid w:val="00554F8B"/>
    <w:rsid w:val="005551A8"/>
    <w:rsid w:val="005556FF"/>
    <w:rsid w:val="0055588A"/>
    <w:rsid w:val="00555A89"/>
    <w:rsid w:val="0055604F"/>
    <w:rsid w:val="00556746"/>
    <w:rsid w:val="0055754E"/>
    <w:rsid w:val="00557A06"/>
    <w:rsid w:val="00560401"/>
    <w:rsid w:val="005609DA"/>
    <w:rsid w:val="005615E7"/>
    <w:rsid w:val="005618AF"/>
    <w:rsid w:val="00561AEA"/>
    <w:rsid w:val="00561D46"/>
    <w:rsid w:val="005622CF"/>
    <w:rsid w:val="00562E85"/>
    <w:rsid w:val="0056332F"/>
    <w:rsid w:val="005638C1"/>
    <w:rsid w:val="00563FDB"/>
    <w:rsid w:val="005644BF"/>
    <w:rsid w:val="00564FB9"/>
    <w:rsid w:val="00566257"/>
    <w:rsid w:val="0056627B"/>
    <w:rsid w:val="00567C82"/>
    <w:rsid w:val="00570236"/>
    <w:rsid w:val="0057056B"/>
    <w:rsid w:val="00570F84"/>
    <w:rsid w:val="00570FA8"/>
    <w:rsid w:val="00571022"/>
    <w:rsid w:val="0057105E"/>
    <w:rsid w:val="00571461"/>
    <w:rsid w:val="0057152C"/>
    <w:rsid w:val="005719B3"/>
    <w:rsid w:val="005719DB"/>
    <w:rsid w:val="005720A8"/>
    <w:rsid w:val="005721C4"/>
    <w:rsid w:val="00572577"/>
    <w:rsid w:val="005726D3"/>
    <w:rsid w:val="0057295E"/>
    <w:rsid w:val="00572CA9"/>
    <w:rsid w:val="005735CA"/>
    <w:rsid w:val="00573D80"/>
    <w:rsid w:val="0057403D"/>
    <w:rsid w:val="0057434F"/>
    <w:rsid w:val="00574888"/>
    <w:rsid w:val="00575126"/>
    <w:rsid w:val="005753AF"/>
    <w:rsid w:val="005755C9"/>
    <w:rsid w:val="0057643E"/>
    <w:rsid w:val="00576585"/>
    <w:rsid w:val="0057658A"/>
    <w:rsid w:val="00576A61"/>
    <w:rsid w:val="005771CE"/>
    <w:rsid w:val="005775DB"/>
    <w:rsid w:val="00577B00"/>
    <w:rsid w:val="00577C22"/>
    <w:rsid w:val="00577E6B"/>
    <w:rsid w:val="00580C24"/>
    <w:rsid w:val="00580C7C"/>
    <w:rsid w:val="00580C7E"/>
    <w:rsid w:val="00581107"/>
    <w:rsid w:val="005818B9"/>
    <w:rsid w:val="005818D2"/>
    <w:rsid w:val="00581C39"/>
    <w:rsid w:val="0058309F"/>
    <w:rsid w:val="00583CC0"/>
    <w:rsid w:val="00584BD8"/>
    <w:rsid w:val="0058557A"/>
    <w:rsid w:val="00585736"/>
    <w:rsid w:val="00585F7B"/>
    <w:rsid w:val="005872D5"/>
    <w:rsid w:val="00587FE5"/>
    <w:rsid w:val="005903B6"/>
    <w:rsid w:val="0059058D"/>
    <w:rsid w:val="00590822"/>
    <w:rsid w:val="0059088D"/>
    <w:rsid w:val="00590BFD"/>
    <w:rsid w:val="00591481"/>
    <w:rsid w:val="005915A8"/>
    <w:rsid w:val="00591645"/>
    <w:rsid w:val="00591A6D"/>
    <w:rsid w:val="00592FCF"/>
    <w:rsid w:val="00593125"/>
    <w:rsid w:val="005941B0"/>
    <w:rsid w:val="00594361"/>
    <w:rsid w:val="00594367"/>
    <w:rsid w:val="0059457F"/>
    <w:rsid w:val="00594CDE"/>
    <w:rsid w:val="00595AE7"/>
    <w:rsid w:val="00596227"/>
    <w:rsid w:val="00596555"/>
    <w:rsid w:val="00596E05"/>
    <w:rsid w:val="005A0247"/>
    <w:rsid w:val="005A02AC"/>
    <w:rsid w:val="005A0383"/>
    <w:rsid w:val="005A126E"/>
    <w:rsid w:val="005A15CE"/>
    <w:rsid w:val="005A1884"/>
    <w:rsid w:val="005A18D2"/>
    <w:rsid w:val="005A2602"/>
    <w:rsid w:val="005A312B"/>
    <w:rsid w:val="005A36AC"/>
    <w:rsid w:val="005A452F"/>
    <w:rsid w:val="005A46FA"/>
    <w:rsid w:val="005A615A"/>
    <w:rsid w:val="005A687E"/>
    <w:rsid w:val="005A6FBA"/>
    <w:rsid w:val="005A70F4"/>
    <w:rsid w:val="005A726A"/>
    <w:rsid w:val="005A7676"/>
    <w:rsid w:val="005A7BC2"/>
    <w:rsid w:val="005A7D77"/>
    <w:rsid w:val="005B0323"/>
    <w:rsid w:val="005B046B"/>
    <w:rsid w:val="005B07F4"/>
    <w:rsid w:val="005B10FC"/>
    <w:rsid w:val="005B140D"/>
    <w:rsid w:val="005B1A2D"/>
    <w:rsid w:val="005B2374"/>
    <w:rsid w:val="005B2483"/>
    <w:rsid w:val="005B2768"/>
    <w:rsid w:val="005B324B"/>
    <w:rsid w:val="005B44FF"/>
    <w:rsid w:val="005B5165"/>
    <w:rsid w:val="005B5AF7"/>
    <w:rsid w:val="005B5C10"/>
    <w:rsid w:val="005B62AC"/>
    <w:rsid w:val="005B69BE"/>
    <w:rsid w:val="005B6F37"/>
    <w:rsid w:val="005B6F43"/>
    <w:rsid w:val="005B7415"/>
    <w:rsid w:val="005B7468"/>
    <w:rsid w:val="005C016A"/>
    <w:rsid w:val="005C0E93"/>
    <w:rsid w:val="005C1FEA"/>
    <w:rsid w:val="005C26AD"/>
    <w:rsid w:val="005C2D0E"/>
    <w:rsid w:val="005C3495"/>
    <w:rsid w:val="005C380B"/>
    <w:rsid w:val="005C3D50"/>
    <w:rsid w:val="005C46DC"/>
    <w:rsid w:val="005C4BE9"/>
    <w:rsid w:val="005C59BF"/>
    <w:rsid w:val="005C59D5"/>
    <w:rsid w:val="005C6070"/>
    <w:rsid w:val="005C6C42"/>
    <w:rsid w:val="005D0811"/>
    <w:rsid w:val="005D0821"/>
    <w:rsid w:val="005D0BEA"/>
    <w:rsid w:val="005D12C0"/>
    <w:rsid w:val="005D1726"/>
    <w:rsid w:val="005D1A46"/>
    <w:rsid w:val="005D1E70"/>
    <w:rsid w:val="005D1E94"/>
    <w:rsid w:val="005D1EAB"/>
    <w:rsid w:val="005D2376"/>
    <w:rsid w:val="005D3CB2"/>
    <w:rsid w:val="005D43AD"/>
    <w:rsid w:val="005D4624"/>
    <w:rsid w:val="005D48EF"/>
    <w:rsid w:val="005D49D2"/>
    <w:rsid w:val="005D4A04"/>
    <w:rsid w:val="005D5EBC"/>
    <w:rsid w:val="005D6443"/>
    <w:rsid w:val="005D6FB5"/>
    <w:rsid w:val="005D7452"/>
    <w:rsid w:val="005D7DEF"/>
    <w:rsid w:val="005D7F6A"/>
    <w:rsid w:val="005E0329"/>
    <w:rsid w:val="005E0532"/>
    <w:rsid w:val="005E0580"/>
    <w:rsid w:val="005E0E0F"/>
    <w:rsid w:val="005E164E"/>
    <w:rsid w:val="005E16C1"/>
    <w:rsid w:val="005E182E"/>
    <w:rsid w:val="005E1FF8"/>
    <w:rsid w:val="005E2075"/>
    <w:rsid w:val="005E25C4"/>
    <w:rsid w:val="005E2934"/>
    <w:rsid w:val="005E2C5C"/>
    <w:rsid w:val="005E3040"/>
    <w:rsid w:val="005E34E8"/>
    <w:rsid w:val="005E3A7B"/>
    <w:rsid w:val="005E3D04"/>
    <w:rsid w:val="005E3DFC"/>
    <w:rsid w:val="005E45D3"/>
    <w:rsid w:val="005E4C32"/>
    <w:rsid w:val="005E4F8B"/>
    <w:rsid w:val="005E5942"/>
    <w:rsid w:val="005E5C19"/>
    <w:rsid w:val="005E5ECD"/>
    <w:rsid w:val="005E60AF"/>
    <w:rsid w:val="005E75CF"/>
    <w:rsid w:val="005E7651"/>
    <w:rsid w:val="005F053E"/>
    <w:rsid w:val="005F1277"/>
    <w:rsid w:val="005F1872"/>
    <w:rsid w:val="005F193B"/>
    <w:rsid w:val="005F1DEA"/>
    <w:rsid w:val="005F1EA2"/>
    <w:rsid w:val="005F1ED3"/>
    <w:rsid w:val="005F286E"/>
    <w:rsid w:val="005F3D07"/>
    <w:rsid w:val="005F4E0B"/>
    <w:rsid w:val="005F5D65"/>
    <w:rsid w:val="005F6B25"/>
    <w:rsid w:val="005F6F87"/>
    <w:rsid w:val="005F702E"/>
    <w:rsid w:val="005F7D0F"/>
    <w:rsid w:val="006007BA"/>
    <w:rsid w:val="00600C43"/>
    <w:rsid w:val="00601472"/>
    <w:rsid w:val="0060171B"/>
    <w:rsid w:val="006019D3"/>
    <w:rsid w:val="00602144"/>
    <w:rsid w:val="00602B9B"/>
    <w:rsid w:val="00602E36"/>
    <w:rsid w:val="00603B22"/>
    <w:rsid w:val="00603D02"/>
    <w:rsid w:val="00604A6C"/>
    <w:rsid w:val="00604C7F"/>
    <w:rsid w:val="00604DF9"/>
    <w:rsid w:val="00604FBE"/>
    <w:rsid w:val="00605532"/>
    <w:rsid w:val="00605797"/>
    <w:rsid w:val="00605BCD"/>
    <w:rsid w:val="00606784"/>
    <w:rsid w:val="006071ED"/>
    <w:rsid w:val="006072EB"/>
    <w:rsid w:val="00607388"/>
    <w:rsid w:val="00607892"/>
    <w:rsid w:val="00607C1F"/>
    <w:rsid w:val="00607FC9"/>
    <w:rsid w:val="006101FE"/>
    <w:rsid w:val="0061037C"/>
    <w:rsid w:val="00610CF0"/>
    <w:rsid w:val="0061100D"/>
    <w:rsid w:val="00612085"/>
    <w:rsid w:val="00612561"/>
    <w:rsid w:val="00612AFC"/>
    <w:rsid w:val="006130DD"/>
    <w:rsid w:val="00613553"/>
    <w:rsid w:val="00613B92"/>
    <w:rsid w:val="006144E0"/>
    <w:rsid w:val="00614FEB"/>
    <w:rsid w:val="00616473"/>
    <w:rsid w:val="00617C4A"/>
    <w:rsid w:val="00617F77"/>
    <w:rsid w:val="00620195"/>
    <w:rsid w:val="006202B5"/>
    <w:rsid w:val="00621339"/>
    <w:rsid w:val="00621452"/>
    <w:rsid w:val="0062170C"/>
    <w:rsid w:val="00621782"/>
    <w:rsid w:val="00622087"/>
    <w:rsid w:val="00622A70"/>
    <w:rsid w:val="00622FE1"/>
    <w:rsid w:val="006231C3"/>
    <w:rsid w:val="00623287"/>
    <w:rsid w:val="00623398"/>
    <w:rsid w:val="006236C4"/>
    <w:rsid w:val="00624697"/>
    <w:rsid w:val="00624AC6"/>
    <w:rsid w:val="006251A8"/>
    <w:rsid w:val="0062521C"/>
    <w:rsid w:val="00625970"/>
    <w:rsid w:val="006261B1"/>
    <w:rsid w:val="006262A9"/>
    <w:rsid w:val="00626303"/>
    <w:rsid w:val="0062707B"/>
    <w:rsid w:val="00627691"/>
    <w:rsid w:val="006278D3"/>
    <w:rsid w:val="00627DFE"/>
    <w:rsid w:val="0063027C"/>
    <w:rsid w:val="006307F5"/>
    <w:rsid w:val="00630A2B"/>
    <w:rsid w:val="0063239F"/>
    <w:rsid w:val="00632666"/>
    <w:rsid w:val="00632788"/>
    <w:rsid w:val="00632DC7"/>
    <w:rsid w:val="00633124"/>
    <w:rsid w:val="006338B9"/>
    <w:rsid w:val="00634833"/>
    <w:rsid w:val="00634C2A"/>
    <w:rsid w:val="0063571E"/>
    <w:rsid w:val="006357FB"/>
    <w:rsid w:val="00635999"/>
    <w:rsid w:val="006360DA"/>
    <w:rsid w:val="00637CA6"/>
    <w:rsid w:val="00637DA7"/>
    <w:rsid w:val="006406FC"/>
    <w:rsid w:val="00640C47"/>
    <w:rsid w:val="00640E57"/>
    <w:rsid w:val="006410EA"/>
    <w:rsid w:val="00641CC7"/>
    <w:rsid w:val="00642317"/>
    <w:rsid w:val="006426A1"/>
    <w:rsid w:val="00642716"/>
    <w:rsid w:val="006433D4"/>
    <w:rsid w:val="00643E1D"/>
    <w:rsid w:val="00644B66"/>
    <w:rsid w:val="00644D91"/>
    <w:rsid w:val="0064504A"/>
    <w:rsid w:val="006455F7"/>
    <w:rsid w:val="006458D8"/>
    <w:rsid w:val="00646122"/>
    <w:rsid w:val="00646482"/>
    <w:rsid w:val="006466BD"/>
    <w:rsid w:val="0064695C"/>
    <w:rsid w:val="00650634"/>
    <w:rsid w:val="00651598"/>
    <w:rsid w:val="0065306C"/>
    <w:rsid w:val="0065357F"/>
    <w:rsid w:val="00653626"/>
    <w:rsid w:val="00653E16"/>
    <w:rsid w:val="00654143"/>
    <w:rsid w:val="00654462"/>
    <w:rsid w:val="00654A7C"/>
    <w:rsid w:val="00654B90"/>
    <w:rsid w:val="00654E12"/>
    <w:rsid w:val="00654E95"/>
    <w:rsid w:val="00655357"/>
    <w:rsid w:val="00655F95"/>
    <w:rsid w:val="006571CF"/>
    <w:rsid w:val="00657220"/>
    <w:rsid w:val="00657362"/>
    <w:rsid w:val="00660094"/>
    <w:rsid w:val="006604F9"/>
    <w:rsid w:val="006609E0"/>
    <w:rsid w:val="0066104B"/>
    <w:rsid w:val="00661B9C"/>
    <w:rsid w:val="00663735"/>
    <w:rsid w:val="00663AC7"/>
    <w:rsid w:val="00663BF5"/>
    <w:rsid w:val="0066421B"/>
    <w:rsid w:val="00664D73"/>
    <w:rsid w:val="006655EE"/>
    <w:rsid w:val="006656BB"/>
    <w:rsid w:val="00665A7A"/>
    <w:rsid w:val="0066618B"/>
    <w:rsid w:val="00666208"/>
    <w:rsid w:val="00666617"/>
    <w:rsid w:val="00666DB6"/>
    <w:rsid w:val="006674A1"/>
    <w:rsid w:val="00667747"/>
    <w:rsid w:val="00667C10"/>
    <w:rsid w:val="00667D74"/>
    <w:rsid w:val="00667EF4"/>
    <w:rsid w:val="0067188C"/>
    <w:rsid w:val="00671A52"/>
    <w:rsid w:val="00671C59"/>
    <w:rsid w:val="00672569"/>
    <w:rsid w:val="0067273A"/>
    <w:rsid w:val="006731DA"/>
    <w:rsid w:val="0067321C"/>
    <w:rsid w:val="00673284"/>
    <w:rsid w:val="006739F5"/>
    <w:rsid w:val="00673B70"/>
    <w:rsid w:val="00675196"/>
    <w:rsid w:val="006761BD"/>
    <w:rsid w:val="00676FCA"/>
    <w:rsid w:val="00677177"/>
    <w:rsid w:val="00677969"/>
    <w:rsid w:val="00680296"/>
    <w:rsid w:val="00680702"/>
    <w:rsid w:val="00680AD3"/>
    <w:rsid w:val="006821F3"/>
    <w:rsid w:val="0068281F"/>
    <w:rsid w:val="00683382"/>
    <w:rsid w:val="00683897"/>
    <w:rsid w:val="00683A79"/>
    <w:rsid w:val="00685931"/>
    <w:rsid w:val="00685F81"/>
    <w:rsid w:val="00686117"/>
    <w:rsid w:val="0068612E"/>
    <w:rsid w:val="00686D04"/>
    <w:rsid w:val="00686E82"/>
    <w:rsid w:val="006872EA"/>
    <w:rsid w:val="00687362"/>
    <w:rsid w:val="00687509"/>
    <w:rsid w:val="00687705"/>
    <w:rsid w:val="00687C92"/>
    <w:rsid w:val="00690118"/>
    <w:rsid w:val="006905AA"/>
    <w:rsid w:val="00690F93"/>
    <w:rsid w:val="00691C24"/>
    <w:rsid w:val="00691E70"/>
    <w:rsid w:val="0069371D"/>
    <w:rsid w:val="0069372D"/>
    <w:rsid w:val="00693E9A"/>
    <w:rsid w:val="0069420E"/>
    <w:rsid w:val="0069534E"/>
    <w:rsid w:val="0069669C"/>
    <w:rsid w:val="006966CE"/>
    <w:rsid w:val="00696C74"/>
    <w:rsid w:val="006A0A85"/>
    <w:rsid w:val="006A1200"/>
    <w:rsid w:val="006A133A"/>
    <w:rsid w:val="006A23BE"/>
    <w:rsid w:val="006A2F7B"/>
    <w:rsid w:val="006A31A4"/>
    <w:rsid w:val="006A33DC"/>
    <w:rsid w:val="006A443F"/>
    <w:rsid w:val="006A47BC"/>
    <w:rsid w:val="006A4F4E"/>
    <w:rsid w:val="006A61BE"/>
    <w:rsid w:val="006A6C23"/>
    <w:rsid w:val="006A6CE7"/>
    <w:rsid w:val="006A7654"/>
    <w:rsid w:val="006A7A05"/>
    <w:rsid w:val="006B0192"/>
    <w:rsid w:val="006B0B5A"/>
    <w:rsid w:val="006B0E1B"/>
    <w:rsid w:val="006B13C7"/>
    <w:rsid w:val="006B14DB"/>
    <w:rsid w:val="006B1D4B"/>
    <w:rsid w:val="006B1E9A"/>
    <w:rsid w:val="006B21C4"/>
    <w:rsid w:val="006B4113"/>
    <w:rsid w:val="006B49F4"/>
    <w:rsid w:val="006B4B46"/>
    <w:rsid w:val="006B4C2D"/>
    <w:rsid w:val="006B557E"/>
    <w:rsid w:val="006B5663"/>
    <w:rsid w:val="006B598A"/>
    <w:rsid w:val="006B66B1"/>
    <w:rsid w:val="006B6A40"/>
    <w:rsid w:val="006B6FFF"/>
    <w:rsid w:val="006C0F0E"/>
    <w:rsid w:val="006C103F"/>
    <w:rsid w:val="006C13CE"/>
    <w:rsid w:val="006C2568"/>
    <w:rsid w:val="006C2897"/>
    <w:rsid w:val="006C311D"/>
    <w:rsid w:val="006C39A9"/>
    <w:rsid w:val="006C4199"/>
    <w:rsid w:val="006C4A0D"/>
    <w:rsid w:val="006C4A1A"/>
    <w:rsid w:val="006C5762"/>
    <w:rsid w:val="006C594D"/>
    <w:rsid w:val="006C6B81"/>
    <w:rsid w:val="006C6C68"/>
    <w:rsid w:val="006C6FA0"/>
    <w:rsid w:val="006C7AA7"/>
    <w:rsid w:val="006C7D2D"/>
    <w:rsid w:val="006C7EBF"/>
    <w:rsid w:val="006C7FFA"/>
    <w:rsid w:val="006D0393"/>
    <w:rsid w:val="006D0627"/>
    <w:rsid w:val="006D088C"/>
    <w:rsid w:val="006D0BFE"/>
    <w:rsid w:val="006D1A61"/>
    <w:rsid w:val="006D1A83"/>
    <w:rsid w:val="006D2441"/>
    <w:rsid w:val="006D2918"/>
    <w:rsid w:val="006D2C75"/>
    <w:rsid w:val="006D33A4"/>
    <w:rsid w:val="006D34A6"/>
    <w:rsid w:val="006D3620"/>
    <w:rsid w:val="006D3789"/>
    <w:rsid w:val="006D3CFE"/>
    <w:rsid w:val="006D3DA7"/>
    <w:rsid w:val="006D3F9D"/>
    <w:rsid w:val="006D4357"/>
    <w:rsid w:val="006D5490"/>
    <w:rsid w:val="006D54E3"/>
    <w:rsid w:val="006D5E01"/>
    <w:rsid w:val="006D5F91"/>
    <w:rsid w:val="006D6093"/>
    <w:rsid w:val="006D6229"/>
    <w:rsid w:val="006D65A2"/>
    <w:rsid w:val="006D67D5"/>
    <w:rsid w:val="006D7E93"/>
    <w:rsid w:val="006E15E2"/>
    <w:rsid w:val="006E1CFE"/>
    <w:rsid w:val="006E309E"/>
    <w:rsid w:val="006E349C"/>
    <w:rsid w:val="006E6E9F"/>
    <w:rsid w:val="006F0940"/>
    <w:rsid w:val="006F10C4"/>
    <w:rsid w:val="006F16E6"/>
    <w:rsid w:val="006F1AC9"/>
    <w:rsid w:val="006F39DE"/>
    <w:rsid w:val="006F40E9"/>
    <w:rsid w:val="006F4132"/>
    <w:rsid w:val="006F4265"/>
    <w:rsid w:val="006F44BA"/>
    <w:rsid w:val="006F459C"/>
    <w:rsid w:val="006F4CD4"/>
    <w:rsid w:val="006F5479"/>
    <w:rsid w:val="006F5603"/>
    <w:rsid w:val="006F5787"/>
    <w:rsid w:val="006F59D3"/>
    <w:rsid w:val="006F5B46"/>
    <w:rsid w:val="006F69D0"/>
    <w:rsid w:val="006F7260"/>
    <w:rsid w:val="006F7B87"/>
    <w:rsid w:val="00700326"/>
    <w:rsid w:val="00701400"/>
    <w:rsid w:val="00701B63"/>
    <w:rsid w:val="00701B6C"/>
    <w:rsid w:val="00702929"/>
    <w:rsid w:val="00702D11"/>
    <w:rsid w:val="007037CF"/>
    <w:rsid w:val="0070402F"/>
    <w:rsid w:val="00704050"/>
    <w:rsid w:val="007047CE"/>
    <w:rsid w:val="00705202"/>
    <w:rsid w:val="0070593A"/>
    <w:rsid w:val="00705EB0"/>
    <w:rsid w:val="00706CA7"/>
    <w:rsid w:val="00707694"/>
    <w:rsid w:val="007115F7"/>
    <w:rsid w:val="0071178E"/>
    <w:rsid w:val="00712632"/>
    <w:rsid w:val="0071263C"/>
    <w:rsid w:val="0071310A"/>
    <w:rsid w:val="00713573"/>
    <w:rsid w:val="00713A44"/>
    <w:rsid w:val="00713DB3"/>
    <w:rsid w:val="00714211"/>
    <w:rsid w:val="0071442E"/>
    <w:rsid w:val="0071457B"/>
    <w:rsid w:val="00714BEF"/>
    <w:rsid w:val="007157A9"/>
    <w:rsid w:val="00715A31"/>
    <w:rsid w:val="00715D2B"/>
    <w:rsid w:val="007167C0"/>
    <w:rsid w:val="00720481"/>
    <w:rsid w:val="00720D0B"/>
    <w:rsid w:val="00721441"/>
    <w:rsid w:val="00721716"/>
    <w:rsid w:val="00721E1C"/>
    <w:rsid w:val="00723712"/>
    <w:rsid w:val="007239F9"/>
    <w:rsid w:val="00723FA3"/>
    <w:rsid w:val="007252A8"/>
    <w:rsid w:val="00725557"/>
    <w:rsid w:val="0072616F"/>
    <w:rsid w:val="00727522"/>
    <w:rsid w:val="007276F3"/>
    <w:rsid w:val="00727A50"/>
    <w:rsid w:val="00727A6F"/>
    <w:rsid w:val="00727C4B"/>
    <w:rsid w:val="00727DDC"/>
    <w:rsid w:val="00730723"/>
    <w:rsid w:val="007307A7"/>
    <w:rsid w:val="00730942"/>
    <w:rsid w:val="00730A73"/>
    <w:rsid w:val="00730AD4"/>
    <w:rsid w:val="00730F06"/>
    <w:rsid w:val="00731552"/>
    <w:rsid w:val="00731E3C"/>
    <w:rsid w:val="00731ECE"/>
    <w:rsid w:val="00732BE8"/>
    <w:rsid w:val="00733053"/>
    <w:rsid w:val="00733193"/>
    <w:rsid w:val="007331C7"/>
    <w:rsid w:val="0073333E"/>
    <w:rsid w:val="0073341A"/>
    <w:rsid w:val="00733A75"/>
    <w:rsid w:val="00734C68"/>
    <w:rsid w:val="0073527D"/>
    <w:rsid w:val="00736076"/>
    <w:rsid w:val="00736DF8"/>
    <w:rsid w:val="00736FF2"/>
    <w:rsid w:val="00737026"/>
    <w:rsid w:val="007371E4"/>
    <w:rsid w:val="00737986"/>
    <w:rsid w:val="00740037"/>
    <w:rsid w:val="00740174"/>
    <w:rsid w:val="00740471"/>
    <w:rsid w:val="00740DC7"/>
    <w:rsid w:val="0074191B"/>
    <w:rsid w:val="0074293F"/>
    <w:rsid w:val="00742AC7"/>
    <w:rsid w:val="007443B7"/>
    <w:rsid w:val="007448C7"/>
    <w:rsid w:val="00744AE1"/>
    <w:rsid w:val="00744CC4"/>
    <w:rsid w:val="00744DDA"/>
    <w:rsid w:val="0074508D"/>
    <w:rsid w:val="00745E03"/>
    <w:rsid w:val="007468C7"/>
    <w:rsid w:val="0074690E"/>
    <w:rsid w:val="00746AE2"/>
    <w:rsid w:val="007503E9"/>
    <w:rsid w:val="007506E3"/>
    <w:rsid w:val="00750C96"/>
    <w:rsid w:val="007511F1"/>
    <w:rsid w:val="00751EA7"/>
    <w:rsid w:val="0075201C"/>
    <w:rsid w:val="00752402"/>
    <w:rsid w:val="007524D2"/>
    <w:rsid w:val="00752E34"/>
    <w:rsid w:val="00753942"/>
    <w:rsid w:val="007547EB"/>
    <w:rsid w:val="00754BF9"/>
    <w:rsid w:val="00756C4D"/>
    <w:rsid w:val="00756CBC"/>
    <w:rsid w:val="0075732A"/>
    <w:rsid w:val="0075755F"/>
    <w:rsid w:val="0075797D"/>
    <w:rsid w:val="007600F8"/>
    <w:rsid w:val="0076014E"/>
    <w:rsid w:val="00760262"/>
    <w:rsid w:val="007618C6"/>
    <w:rsid w:val="00761978"/>
    <w:rsid w:val="00762025"/>
    <w:rsid w:val="0076208E"/>
    <w:rsid w:val="007621E4"/>
    <w:rsid w:val="007629E2"/>
    <w:rsid w:val="007629E8"/>
    <w:rsid w:val="0076310C"/>
    <w:rsid w:val="00763307"/>
    <w:rsid w:val="0076331D"/>
    <w:rsid w:val="00763A42"/>
    <w:rsid w:val="00764248"/>
    <w:rsid w:val="007649CB"/>
    <w:rsid w:val="00764D23"/>
    <w:rsid w:val="0076502E"/>
    <w:rsid w:val="0076526E"/>
    <w:rsid w:val="0076543C"/>
    <w:rsid w:val="00765694"/>
    <w:rsid w:val="00765C44"/>
    <w:rsid w:val="00765D81"/>
    <w:rsid w:val="00765FE5"/>
    <w:rsid w:val="00766C84"/>
    <w:rsid w:val="00766D45"/>
    <w:rsid w:val="00766EAD"/>
    <w:rsid w:val="0076744F"/>
    <w:rsid w:val="0076757C"/>
    <w:rsid w:val="00767A6C"/>
    <w:rsid w:val="00767AC8"/>
    <w:rsid w:val="00767AF7"/>
    <w:rsid w:val="00767BCE"/>
    <w:rsid w:val="00767EFC"/>
    <w:rsid w:val="0077010E"/>
    <w:rsid w:val="007704EA"/>
    <w:rsid w:val="0077051E"/>
    <w:rsid w:val="00770523"/>
    <w:rsid w:val="00770758"/>
    <w:rsid w:val="007707DE"/>
    <w:rsid w:val="00770B5D"/>
    <w:rsid w:val="00770DC8"/>
    <w:rsid w:val="007730BB"/>
    <w:rsid w:val="007731AF"/>
    <w:rsid w:val="00773E13"/>
    <w:rsid w:val="00774171"/>
    <w:rsid w:val="00774769"/>
    <w:rsid w:val="00774888"/>
    <w:rsid w:val="00774D1D"/>
    <w:rsid w:val="00774F47"/>
    <w:rsid w:val="007752F1"/>
    <w:rsid w:val="00775B19"/>
    <w:rsid w:val="00775C9D"/>
    <w:rsid w:val="00776768"/>
    <w:rsid w:val="00776AD2"/>
    <w:rsid w:val="00776ED0"/>
    <w:rsid w:val="00777234"/>
    <w:rsid w:val="0077736C"/>
    <w:rsid w:val="00780104"/>
    <w:rsid w:val="0078064E"/>
    <w:rsid w:val="007810B9"/>
    <w:rsid w:val="0078161D"/>
    <w:rsid w:val="0078187A"/>
    <w:rsid w:val="00781FA7"/>
    <w:rsid w:val="00782001"/>
    <w:rsid w:val="00783206"/>
    <w:rsid w:val="007835F3"/>
    <w:rsid w:val="0078378E"/>
    <w:rsid w:val="0078462C"/>
    <w:rsid w:val="007875F9"/>
    <w:rsid w:val="00787A26"/>
    <w:rsid w:val="00787C77"/>
    <w:rsid w:val="00790495"/>
    <w:rsid w:val="0079062F"/>
    <w:rsid w:val="00790796"/>
    <w:rsid w:val="0079159C"/>
    <w:rsid w:val="00792131"/>
    <w:rsid w:val="00792AE9"/>
    <w:rsid w:val="0079381D"/>
    <w:rsid w:val="00793D89"/>
    <w:rsid w:val="00794D5B"/>
    <w:rsid w:val="00794ED8"/>
    <w:rsid w:val="0079501C"/>
    <w:rsid w:val="00795E8E"/>
    <w:rsid w:val="0079719B"/>
    <w:rsid w:val="007A1076"/>
    <w:rsid w:val="007A1296"/>
    <w:rsid w:val="007A15A2"/>
    <w:rsid w:val="007A1D39"/>
    <w:rsid w:val="007A22DC"/>
    <w:rsid w:val="007A23B8"/>
    <w:rsid w:val="007A2573"/>
    <w:rsid w:val="007A2633"/>
    <w:rsid w:val="007A2705"/>
    <w:rsid w:val="007A2E88"/>
    <w:rsid w:val="007A34C0"/>
    <w:rsid w:val="007A46B8"/>
    <w:rsid w:val="007A4EDD"/>
    <w:rsid w:val="007A4F5B"/>
    <w:rsid w:val="007A58FF"/>
    <w:rsid w:val="007A6040"/>
    <w:rsid w:val="007A6238"/>
    <w:rsid w:val="007A6AB7"/>
    <w:rsid w:val="007A722E"/>
    <w:rsid w:val="007A7CD4"/>
    <w:rsid w:val="007B0485"/>
    <w:rsid w:val="007B0B48"/>
    <w:rsid w:val="007B0F5C"/>
    <w:rsid w:val="007B106C"/>
    <w:rsid w:val="007B1A4E"/>
    <w:rsid w:val="007B23F3"/>
    <w:rsid w:val="007B2551"/>
    <w:rsid w:val="007B2A4A"/>
    <w:rsid w:val="007B2AAC"/>
    <w:rsid w:val="007B32D7"/>
    <w:rsid w:val="007B3D05"/>
    <w:rsid w:val="007B438B"/>
    <w:rsid w:val="007B49EE"/>
    <w:rsid w:val="007B51D7"/>
    <w:rsid w:val="007B51E2"/>
    <w:rsid w:val="007B5503"/>
    <w:rsid w:val="007B5A39"/>
    <w:rsid w:val="007B5F3D"/>
    <w:rsid w:val="007B7C31"/>
    <w:rsid w:val="007B7D6E"/>
    <w:rsid w:val="007C0307"/>
    <w:rsid w:val="007C040B"/>
    <w:rsid w:val="007C08FD"/>
    <w:rsid w:val="007C0D53"/>
    <w:rsid w:val="007C179C"/>
    <w:rsid w:val="007C21D3"/>
    <w:rsid w:val="007C2E28"/>
    <w:rsid w:val="007C30C8"/>
    <w:rsid w:val="007C3298"/>
    <w:rsid w:val="007C33DD"/>
    <w:rsid w:val="007C3B6F"/>
    <w:rsid w:val="007C42F8"/>
    <w:rsid w:val="007C4381"/>
    <w:rsid w:val="007C62AD"/>
    <w:rsid w:val="007C64E2"/>
    <w:rsid w:val="007C6718"/>
    <w:rsid w:val="007C69AF"/>
    <w:rsid w:val="007C6BB3"/>
    <w:rsid w:val="007C769F"/>
    <w:rsid w:val="007C7B6B"/>
    <w:rsid w:val="007D06FB"/>
    <w:rsid w:val="007D12C2"/>
    <w:rsid w:val="007D14B4"/>
    <w:rsid w:val="007D172E"/>
    <w:rsid w:val="007D2101"/>
    <w:rsid w:val="007D2309"/>
    <w:rsid w:val="007D25BD"/>
    <w:rsid w:val="007D2C6A"/>
    <w:rsid w:val="007D3390"/>
    <w:rsid w:val="007D39BD"/>
    <w:rsid w:val="007D3AD7"/>
    <w:rsid w:val="007D4C6C"/>
    <w:rsid w:val="007D4ECE"/>
    <w:rsid w:val="007D4FC6"/>
    <w:rsid w:val="007D5B02"/>
    <w:rsid w:val="007D5BC6"/>
    <w:rsid w:val="007D5EBA"/>
    <w:rsid w:val="007D6437"/>
    <w:rsid w:val="007D6937"/>
    <w:rsid w:val="007D699A"/>
    <w:rsid w:val="007D6D85"/>
    <w:rsid w:val="007D77E3"/>
    <w:rsid w:val="007D7DE4"/>
    <w:rsid w:val="007D7F4A"/>
    <w:rsid w:val="007E071C"/>
    <w:rsid w:val="007E0899"/>
    <w:rsid w:val="007E0C81"/>
    <w:rsid w:val="007E1006"/>
    <w:rsid w:val="007E16F9"/>
    <w:rsid w:val="007E2132"/>
    <w:rsid w:val="007E2156"/>
    <w:rsid w:val="007E2395"/>
    <w:rsid w:val="007E23BA"/>
    <w:rsid w:val="007E24F4"/>
    <w:rsid w:val="007E24F6"/>
    <w:rsid w:val="007E2603"/>
    <w:rsid w:val="007E2A97"/>
    <w:rsid w:val="007E3034"/>
    <w:rsid w:val="007E3143"/>
    <w:rsid w:val="007E34AB"/>
    <w:rsid w:val="007E4350"/>
    <w:rsid w:val="007E4CAC"/>
    <w:rsid w:val="007E4FF5"/>
    <w:rsid w:val="007E56F5"/>
    <w:rsid w:val="007E600B"/>
    <w:rsid w:val="007E6031"/>
    <w:rsid w:val="007E67EB"/>
    <w:rsid w:val="007E6882"/>
    <w:rsid w:val="007E6CA7"/>
    <w:rsid w:val="007E7247"/>
    <w:rsid w:val="007E78D9"/>
    <w:rsid w:val="007F0D2F"/>
    <w:rsid w:val="007F129E"/>
    <w:rsid w:val="007F1BEF"/>
    <w:rsid w:val="007F1F76"/>
    <w:rsid w:val="007F2021"/>
    <w:rsid w:val="007F2936"/>
    <w:rsid w:val="007F3B4C"/>
    <w:rsid w:val="007F3B75"/>
    <w:rsid w:val="007F4637"/>
    <w:rsid w:val="007F5604"/>
    <w:rsid w:val="007F652F"/>
    <w:rsid w:val="007F6755"/>
    <w:rsid w:val="007F6D9F"/>
    <w:rsid w:val="007F768F"/>
    <w:rsid w:val="007F779B"/>
    <w:rsid w:val="007F799F"/>
    <w:rsid w:val="007F7C4E"/>
    <w:rsid w:val="00800057"/>
    <w:rsid w:val="008009D7"/>
    <w:rsid w:val="00800D00"/>
    <w:rsid w:val="00800F64"/>
    <w:rsid w:val="00801050"/>
    <w:rsid w:val="00801142"/>
    <w:rsid w:val="00801955"/>
    <w:rsid w:val="00802206"/>
    <w:rsid w:val="0080246B"/>
    <w:rsid w:val="008026A2"/>
    <w:rsid w:val="00802ACC"/>
    <w:rsid w:val="00802F0B"/>
    <w:rsid w:val="008036E8"/>
    <w:rsid w:val="00804476"/>
    <w:rsid w:val="008048A8"/>
    <w:rsid w:val="00805F25"/>
    <w:rsid w:val="008064F8"/>
    <w:rsid w:val="00806682"/>
    <w:rsid w:val="008066C0"/>
    <w:rsid w:val="00806CE9"/>
    <w:rsid w:val="00810894"/>
    <w:rsid w:val="00810A67"/>
    <w:rsid w:val="0081113D"/>
    <w:rsid w:val="00811642"/>
    <w:rsid w:val="0081244A"/>
    <w:rsid w:val="008125E5"/>
    <w:rsid w:val="008134B7"/>
    <w:rsid w:val="008139AB"/>
    <w:rsid w:val="008142E3"/>
    <w:rsid w:val="00814858"/>
    <w:rsid w:val="00814CF0"/>
    <w:rsid w:val="0081774D"/>
    <w:rsid w:val="0082006E"/>
    <w:rsid w:val="00821986"/>
    <w:rsid w:val="00821FDE"/>
    <w:rsid w:val="0082246C"/>
    <w:rsid w:val="00822783"/>
    <w:rsid w:val="00822F53"/>
    <w:rsid w:val="00823910"/>
    <w:rsid w:val="008247CC"/>
    <w:rsid w:val="00824B78"/>
    <w:rsid w:val="00824FCD"/>
    <w:rsid w:val="00826A75"/>
    <w:rsid w:val="00827C8A"/>
    <w:rsid w:val="00827F24"/>
    <w:rsid w:val="008305AA"/>
    <w:rsid w:val="0083064A"/>
    <w:rsid w:val="008313E8"/>
    <w:rsid w:val="0083160C"/>
    <w:rsid w:val="00831C61"/>
    <w:rsid w:val="008326E5"/>
    <w:rsid w:val="008329FF"/>
    <w:rsid w:val="00833CF7"/>
    <w:rsid w:val="0083437B"/>
    <w:rsid w:val="00834674"/>
    <w:rsid w:val="00834853"/>
    <w:rsid w:val="008349A2"/>
    <w:rsid w:val="00834A7F"/>
    <w:rsid w:val="00834CDE"/>
    <w:rsid w:val="0083541C"/>
    <w:rsid w:val="008354DF"/>
    <w:rsid w:val="0083635C"/>
    <w:rsid w:val="00836581"/>
    <w:rsid w:val="00836807"/>
    <w:rsid w:val="008376AE"/>
    <w:rsid w:val="00837A59"/>
    <w:rsid w:val="00840ACE"/>
    <w:rsid w:val="0084214F"/>
    <w:rsid w:val="00842464"/>
    <w:rsid w:val="0084284E"/>
    <w:rsid w:val="0084297E"/>
    <w:rsid w:val="00842F49"/>
    <w:rsid w:val="00843900"/>
    <w:rsid w:val="00845601"/>
    <w:rsid w:val="00845C78"/>
    <w:rsid w:val="00845E09"/>
    <w:rsid w:val="008461FE"/>
    <w:rsid w:val="00846A76"/>
    <w:rsid w:val="00846C70"/>
    <w:rsid w:val="0084761D"/>
    <w:rsid w:val="00847C09"/>
    <w:rsid w:val="008511F0"/>
    <w:rsid w:val="00851456"/>
    <w:rsid w:val="00851733"/>
    <w:rsid w:val="00851938"/>
    <w:rsid w:val="00851AEB"/>
    <w:rsid w:val="00851DFB"/>
    <w:rsid w:val="00853270"/>
    <w:rsid w:val="00853305"/>
    <w:rsid w:val="00853E4B"/>
    <w:rsid w:val="00854295"/>
    <w:rsid w:val="0085468F"/>
    <w:rsid w:val="00854790"/>
    <w:rsid w:val="00854B8E"/>
    <w:rsid w:val="008559D1"/>
    <w:rsid w:val="00855C5C"/>
    <w:rsid w:val="00855D90"/>
    <w:rsid w:val="00855EDB"/>
    <w:rsid w:val="008561EE"/>
    <w:rsid w:val="008568FC"/>
    <w:rsid w:val="00856979"/>
    <w:rsid w:val="008579F0"/>
    <w:rsid w:val="00860954"/>
    <w:rsid w:val="00860957"/>
    <w:rsid w:val="00860CB9"/>
    <w:rsid w:val="00860EE9"/>
    <w:rsid w:val="00861741"/>
    <w:rsid w:val="00861E5B"/>
    <w:rsid w:val="008630EE"/>
    <w:rsid w:val="0086320C"/>
    <w:rsid w:val="00863C4B"/>
    <w:rsid w:val="00863D91"/>
    <w:rsid w:val="0086447E"/>
    <w:rsid w:val="00864612"/>
    <w:rsid w:val="00864629"/>
    <w:rsid w:val="0086524F"/>
    <w:rsid w:val="00865794"/>
    <w:rsid w:val="008660A8"/>
    <w:rsid w:val="008661A1"/>
    <w:rsid w:val="00866281"/>
    <w:rsid w:val="008662C9"/>
    <w:rsid w:val="008662E0"/>
    <w:rsid w:val="008665F8"/>
    <w:rsid w:val="008666AD"/>
    <w:rsid w:val="00866D35"/>
    <w:rsid w:val="00867290"/>
    <w:rsid w:val="00867932"/>
    <w:rsid w:val="00867D18"/>
    <w:rsid w:val="00867E07"/>
    <w:rsid w:val="00871B24"/>
    <w:rsid w:val="00871C38"/>
    <w:rsid w:val="00871E51"/>
    <w:rsid w:val="0087209E"/>
    <w:rsid w:val="00872B2B"/>
    <w:rsid w:val="00872E02"/>
    <w:rsid w:val="008730C1"/>
    <w:rsid w:val="008734C9"/>
    <w:rsid w:val="00873D38"/>
    <w:rsid w:val="00874D01"/>
    <w:rsid w:val="00874FE4"/>
    <w:rsid w:val="00875BC3"/>
    <w:rsid w:val="0087603B"/>
    <w:rsid w:val="0087631E"/>
    <w:rsid w:val="00877531"/>
    <w:rsid w:val="00877A09"/>
    <w:rsid w:val="0088064A"/>
    <w:rsid w:val="008809F8"/>
    <w:rsid w:val="00881081"/>
    <w:rsid w:val="008815C7"/>
    <w:rsid w:val="00881C48"/>
    <w:rsid w:val="0088288C"/>
    <w:rsid w:val="00882F89"/>
    <w:rsid w:val="00883AA2"/>
    <w:rsid w:val="00883BD2"/>
    <w:rsid w:val="008845B6"/>
    <w:rsid w:val="00884F32"/>
    <w:rsid w:val="00885965"/>
    <w:rsid w:val="00886CD1"/>
    <w:rsid w:val="00886D1F"/>
    <w:rsid w:val="00886E08"/>
    <w:rsid w:val="00887187"/>
    <w:rsid w:val="0088748C"/>
    <w:rsid w:val="008903FF"/>
    <w:rsid w:val="00890427"/>
    <w:rsid w:val="008909F3"/>
    <w:rsid w:val="00890A5A"/>
    <w:rsid w:val="008921D4"/>
    <w:rsid w:val="008923BE"/>
    <w:rsid w:val="008927AB"/>
    <w:rsid w:val="00892958"/>
    <w:rsid w:val="00892B4E"/>
    <w:rsid w:val="00893077"/>
    <w:rsid w:val="008949DA"/>
    <w:rsid w:val="00895012"/>
    <w:rsid w:val="00895539"/>
    <w:rsid w:val="00895FBE"/>
    <w:rsid w:val="00896D55"/>
    <w:rsid w:val="00897125"/>
    <w:rsid w:val="008972AE"/>
    <w:rsid w:val="008A18E8"/>
    <w:rsid w:val="008A1910"/>
    <w:rsid w:val="008A1BB0"/>
    <w:rsid w:val="008A28DF"/>
    <w:rsid w:val="008A2D35"/>
    <w:rsid w:val="008A31B8"/>
    <w:rsid w:val="008A32BE"/>
    <w:rsid w:val="008A367A"/>
    <w:rsid w:val="008A3C96"/>
    <w:rsid w:val="008A42E0"/>
    <w:rsid w:val="008A4C03"/>
    <w:rsid w:val="008A5156"/>
    <w:rsid w:val="008A6855"/>
    <w:rsid w:val="008A75CF"/>
    <w:rsid w:val="008B0415"/>
    <w:rsid w:val="008B04DC"/>
    <w:rsid w:val="008B0C17"/>
    <w:rsid w:val="008B1A21"/>
    <w:rsid w:val="008B1DAE"/>
    <w:rsid w:val="008B25E2"/>
    <w:rsid w:val="008B2C11"/>
    <w:rsid w:val="008B3D83"/>
    <w:rsid w:val="008B4019"/>
    <w:rsid w:val="008B414B"/>
    <w:rsid w:val="008B4AC5"/>
    <w:rsid w:val="008B4DC7"/>
    <w:rsid w:val="008B5701"/>
    <w:rsid w:val="008B5F06"/>
    <w:rsid w:val="008B62C0"/>
    <w:rsid w:val="008B65C9"/>
    <w:rsid w:val="008B692B"/>
    <w:rsid w:val="008B7315"/>
    <w:rsid w:val="008B7706"/>
    <w:rsid w:val="008B772B"/>
    <w:rsid w:val="008B7CAA"/>
    <w:rsid w:val="008C05A9"/>
    <w:rsid w:val="008C0B38"/>
    <w:rsid w:val="008C0CE8"/>
    <w:rsid w:val="008C0FF7"/>
    <w:rsid w:val="008C1878"/>
    <w:rsid w:val="008C20AA"/>
    <w:rsid w:val="008C240C"/>
    <w:rsid w:val="008C2D4A"/>
    <w:rsid w:val="008C3286"/>
    <w:rsid w:val="008C34F4"/>
    <w:rsid w:val="008C41B8"/>
    <w:rsid w:val="008C5689"/>
    <w:rsid w:val="008C5890"/>
    <w:rsid w:val="008C654B"/>
    <w:rsid w:val="008C7C88"/>
    <w:rsid w:val="008D1DA6"/>
    <w:rsid w:val="008D3900"/>
    <w:rsid w:val="008D39B8"/>
    <w:rsid w:val="008D3B7C"/>
    <w:rsid w:val="008D3CE4"/>
    <w:rsid w:val="008D3FF5"/>
    <w:rsid w:val="008D42CE"/>
    <w:rsid w:val="008D4FA5"/>
    <w:rsid w:val="008D6E1D"/>
    <w:rsid w:val="008D7099"/>
    <w:rsid w:val="008D77A9"/>
    <w:rsid w:val="008E06CE"/>
    <w:rsid w:val="008E11D3"/>
    <w:rsid w:val="008E1386"/>
    <w:rsid w:val="008E1820"/>
    <w:rsid w:val="008E1BF2"/>
    <w:rsid w:val="008E1EC7"/>
    <w:rsid w:val="008E2BA4"/>
    <w:rsid w:val="008E3399"/>
    <w:rsid w:val="008E3652"/>
    <w:rsid w:val="008E4614"/>
    <w:rsid w:val="008E76BD"/>
    <w:rsid w:val="008E7EFF"/>
    <w:rsid w:val="008F061F"/>
    <w:rsid w:val="008F0C62"/>
    <w:rsid w:val="008F0C89"/>
    <w:rsid w:val="008F16A7"/>
    <w:rsid w:val="008F18C8"/>
    <w:rsid w:val="008F1DFC"/>
    <w:rsid w:val="008F2243"/>
    <w:rsid w:val="008F25BC"/>
    <w:rsid w:val="008F25F2"/>
    <w:rsid w:val="008F2788"/>
    <w:rsid w:val="008F2938"/>
    <w:rsid w:val="008F2EE6"/>
    <w:rsid w:val="008F30A1"/>
    <w:rsid w:val="008F3751"/>
    <w:rsid w:val="008F39B4"/>
    <w:rsid w:val="008F3E68"/>
    <w:rsid w:val="008F3EF4"/>
    <w:rsid w:val="008F4058"/>
    <w:rsid w:val="008F4162"/>
    <w:rsid w:val="008F474A"/>
    <w:rsid w:val="008F5261"/>
    <w:rsid w:val="008F58DC"/>
    <w:rsid w:val="008F6B1B"/>
    <w:rsid w:val="008F719B"/>
    <w:rsid w:val="008F73B5"/>
    <w:rsid w:val="008F7582"/>
    <w:rsid w:val="00900253"/>
    <w:rsid w:val="009014F0"/>
    <w:rsid w:val="00901501"/>
    <w:rsid w:val="009018C2"/>
    <w:rsid w:val="00901BD2"/>
    <w:rsid w:val="009036E8"/>
    <w:rsid w:val="0090390B"/>
    <w:rsid w:val="00903E02"/>
    <w:rsid w:val="0090433B"/>
    <w:rsid w:val="0090460A"/>
    <w:rsid w:val="00904B71"/>
    <w:rsid w:val="00905676"/>
    <w:rsid w:val="00905D9B"/>
    <w:rsid w:val="00905EE7"/>
    <w:rsid w:val="009064FF"/>
    <w:rsid w:val="0090674D"/>
    <w:rsid w:val="009114DA"/>
    <w:rsid w:val="0091154F"/>
    <w:rsid w:val="00911A38"/>
    <w:rsid w:val="00911BFB"/>
    <w:rsid w:val="00911CB1"/>
    <w:rsid w:val="00912029"/>
    <w:rsid w:val="009122CF"/>
    <w:rsid w:val="00913083"/>
    <w:rsid w:val="009130D8"/>
    <w:rsid w:val="00913175"/>
    <w:rsid w:val="00914201"/>
    <w:rsid w:val="0091494F"/>
    <w:rsid w:val="00915B89"/>
    <w:rsid w:val="00916B43"/>
    <w:rsid w:val="00916EDB"/>
    <w:rsid w:val="00920207"/>
    <w:rsid w:val="00920608"/>
    <w:rsid w:val="009206C1"/>
    <w:rsid w:val="0092074E"/>
    <w:rsid w:val="00920761"/>
    <w:rsid w:val="00920796"/>
    <w:rsid w:val="00920861"/>
    <w:rsid w:val="0092103E"/>
    <w:rsid w:val="0092126B"/>
    <w:rsid w:val="009214A3"/>
    <w:rsid w:val="00922B13"/>
    <w:rsid w:val="0092340D"/>
    <w:rsid w:val="00923D65"/>
    <w:rsid w:val="00924141"/>
    <w:rsid w:val="00924203"/>
    <w:rsid w:val="009242EF"/>
    <w:rsid w:val="00924971"/>
    <w:rsid w:val="009249FA"/>
    <w:rsid w:val="00924BB4"/>
    <w:rsid w:val="00924F44"/>
    <w:rsid w:val="009257AB"/>
    <w:rsid w:val="00925D0F"/>
    <w:rsid w:val="00925D7B"/>
    <w:rsid w:val="00925E9F"/>
    <w:rsid w:val="009261CB"/>
    <w:rsid w:val="009272ED"/>
    <w:rsid w:val="00927A33"/>
    <w:rsid w:val="00930030"/>
    <w:rsid w:val="0093022D"/>
    <w:rsid w:val="00930412"/>
    <w:rsid w:val="00931521"/>
    <w:rsid w:val="0093191A"/>
    <w:rsid w:val="00931CA5"/>
    <w:rsid w:val="00932291"/>
    <w:rsid w:val="0093236C"/>
    <w:rsid w:val="00932506"/>
    <w:rsid w:val="00932861"/>
    <w:rsid w:val="00932A37"/>
    <w:rsid w:val="009332CF"/>
    <w:rsid w:val="00933581"/>
    <w:rsid w:val="00933EC6"/>
    <w:rsid w:val="00933EF3"/>
    <w:rsid w:val="0093408E"/>
    <w:rsid w:val="00935104"/>
    <w:rsid w:val="009360B0"/>
    <w:rsid w:val="00936BBE"/>
    <w:rsid w:val="00937022"/>
    <w:rsid w:val="00937637"/>
    <w:rsid w:val="00937B37"/>
    <w:rsid w:val="00940037"/>
    <w:rsid w:val="0094109B"/>
    <w:rsid w:val="009420DA"/>
    <w:rsid w:val="0094220D"/>
    <w:rsid w:val="00942FD9"/>
    <w:rsid w:val="009436C2"/>
    <w:rsid w:val="009445E6"/>
    <w:rsid w:val="009452F3"/>
    <w:rsid w:val="00946048"/>
    <w:rsid w:val="00946063"/>
    <w:rsid w:val="00946E71"/>
    <w:rsid w:val="009476C1"/>
    <w:rsid w:val="00947A10"/>
    <w:rsid w:val="00947FE6"/>
    <w:rsid w:val="00950196"/>
    <w:rsid w:val="009501E2"/>
    <w:rsid w:val="009509DC"/>
    <w:rsid w:val="00950E58"/>
    <w:rsid w:val="00950FFE"/>
    <w:rsid w:val="009517EA"/>
    <w:rsid w:val="009518D9"/>
    <w:rsid w:val="00951D3E"/>
    <w:rsid w:val="00952633"/>
    <w:rsid w:val="00952DDF"/>
    <w:rsid w:val="0095345C"/>
    <w:rsid w:val="009536D2"/>
    <w:rsid w:val="00953B55"/>
    <w:rsid w:val="00953D9C"/>
    <w:rsid w:val="00953DCD"/>
    <w:rsid w:val="00953FFF"/>
    <w:rsid w:val="0095458F"/>
    <w:rsid w:val="009549F7"/>
    <w:rsid w:val="0095535F"/>
    <w:rsid w:val="00955B92"/>
    <w:rsid w:val="00955BAD"/>
    <w:rsid w:val="00956380"/>
    <w:rsid w:val="009565C4"/>
    <w:rsid w:val="009576F2"/>
    <w:rsid w:val="00957981"/>
    <w:rsid w:val="00957D7D"/>
    <w:rsid w:val="00957D99"/>
    <w:rsid w:val="00957DCE"/>
    <w:rsid w:val="00957E6F"/>
    <w:rsid w:val="009610A3"/>
    <w:rsid w:val="0096303C"/>
    <w:rsid w:val="009634F5"/>
    <w:rsid w:val="0096387E"/>
    <w:rsid w:val="00963B6A"/>
    <w:rsid w:val="00965150"/>
    <w:rsid w:val="00966250"/>
    <w:rsid w:val="00966C28"/>
    <w:rsid w:val="00966DA5"/>
    <w:rsid w:val="0096738E"/>
    <w:rsid w:val="00967597"/>
    <w:rsid w:val="00970027"/>
    <w:rsid w:val="009700E1"/>
    <w:rsid w:val="009701AE"/>
    <w:rsid w:val="00970777"/>
    <w:rsid w:val="009708A5"/>
    <w:rsid w:val="00970950"/>
    <w:rsid w:val="0097161C"/>
    <w:rsid w:val="00971C70"/>
    <w:rsid w:val="009723C6"/>
    <w:rsid w:val="0097276F"/>
    <w:rsid w:val="00972920"/>
    <w:rsid w:val="00972950"/>
    <w:rsid w:val="00972A47"/>
    <w:rsid w:val="00972BF4"/>
    <w:rsid w:val="0097306A"/>
    <w:rsid w:val="009731E0"/>
    <w:rsid w:val="009738AE"/>
    <w:rsid w:val="009738BF"/>
    <w:rsid w:val="0097412F"/>
    <w:rsid w:val="0097482A"/>
    <w:rsid w:val="00974ADE"/>
    <w:rsid w:val="00974F47"/>
    <w:rsid w:val="00974FFE"/>
    <w:rsid w:val="009750E0"/>
    <w:rsid w:val="00975749"/>
    <w:rsid w:val="0097592D"/>
    <w:rsid w:val="00975C92"/>
    <w:rsid w:val="00975F69"/>
    <w:rsid w:val="00976697"/>
    <w:rsid w:val="009775CC"/>
    <w:rsid w:val="00977F96"/>
    <w:rsid w:val="00980362"/>
    <w:rsid w:val="00980514"/>
    <w:rsid w:val="00980EFF"/>
    <w:rsid w:val="009812D4"/>
    <w:rsid w:val="009818BA"/>
    <w:rsid w:val="009824A2"/>
    <w:rsid w:val="00982627"/>
    <w:rsid w:val="00982651"/>
    <w:rsid w:val="00982ADC"/>
    <w:rsid w:val="00982CD6"/>
    <w:rsid w:val="00982E84"/>
    <w:rsid w:val="00982F9F"/>
    <w:rsid w:val="00983017"/>
    <w:rsid w:val="00983087"/>
    <w:rsid w:val="00983505"/>
    <w:rsid w:val="0098396F"/>
    <w:rsid w:val="00984AC3"/>
    <w:rsid w:val="00984E8E"/>
    <w:rsid w:val="00985556"/>
    <w:rsid w:val="0098589F"/>
    <w:rsid w:val="0098657B"/>
    <w:rsid w:val="009870D1"/>
    <w:rsid w:val="00987196"/>
    <w:rsid w:val="0098719D"/>
    <w:rsid w:val="00987228"/>
    <w:rsid w:val="009872DD"/>
    <w:rsid w:val="009873F6"/>
    <w:rsid w:val="0099046F"/>
    <w:rsid w:val="00990497"/>
    <w:rsid w:val="009908F8"/>
    <w:rsid w:val="00991580"/>
    <w:rsid w:val="00991745"/>
    <w:rsid w:val="00991ED0"/>
    <w:rsid w:val="009920D8"/>
    <w:rsid w:val="0099450E"/>
    <w:rsid w:val="00994EF7"/>
    <w:rsid w:val="009952F5"/>
    <w:rsid w:val="0099567A"/>
    <w:rsid w:val="00996E26"/>
    <w:rsid w:val="009978DB"/>
    <w:rsid w:val="009A0D87"/>
    <w:rsid w:val="009A0FEE"/>
    <w:rsid w:val="009A1E75"/>
    <w:rsid w:val="009A201A"/>
    <w:rsid w:val="009A20C9"/>
    <w:rsid w:val="009A2555"/>
    <w:rsid w:val="009A2702"/>
    <w:rsid w:val="009A284B"/>
    <w:rsid w:val="009A2F60"/>
    <w:rsid w:val="009A3934"/>
    <w:rsid w:val="009A3C7A"/>
    <w:rsid w:val="009A3D09"/>
    <w:rsid w:val="009A4311"/>
    <w:rsid w:val="009A47DE"/>
    <w:rsid w:val="009A62EC"/>
    <w:rsid w:val="009A663E"/>
    <w:rsid w:val="009B0DFC"/>
    <w:rsid w:val="009B0E04"/>
    <w:rsid w:val="009B11AD"/>
    <w:rsid w:val="009B127C"/>
    <w:rsid w:val="009B27D8"/>
    <w:rsid w:val="009B32C5"/>
    <w:rsid w:val="009B38BE"/>
    <w:rsid w:val="009B4EDB"/>
    <w:rsid w:val="009B52F8"/>
    <w:rsid w:val="009B59D1"/>
    <w:rsid w:val="009B5D1F"/>
    <w:rsid w:val="009B6D09"/>
    <w:rsid w:val="009B7334"/>
    <w:rsid w:val="009B78AC"/>
    <w:rsid w:val="009C069E"/>
    <w:rsid w:val="009C0982"/>
    <w:rsid w:val="009C0B7E"/>
    <w:rsid w:val="009C151C"/>
    <w:rsid w:val="009C20A6"/>
    <w:rsid w:val="009C3D0F"/>
    <w:rsid w:val="009C41E0"/>
    <w:rsid w:val="009C4BF5"/>
    <w:rsid w:val="009C52F7"/>
    <w:rsid w:val="009C5ED0"/>
    <w:rsid w:val="009C72A7"/>
    <w:rsid w:val="009D102A"/>
    <w:rsid w:val="009D1354"/>
    <w:rsid w:val="009D1932"/>
    <w:rsid w:val="009D1C20"/>
    <w:rsid w:val="009D229B"/>
    <w:rsid w:val="009D26D5"/>
    <w:rsid w:val="009D2CDA"/>
    <w:rsid w:val="009D2E79"/>
    <w:rsid w:val="009D337A"/>
    <w:rsid w:val="009D38A9"/>
    <w:rsid w:val="009D38C5"/>
    <w:rsid w:val="009D44EB"/>
    <w:rsid w:val="009D545D"/>
    <w:rsid w:val="009D5E67"/>
    <w:rsid w:val="009D6176"/>
    <w:rsid w:val="009D6A5B"/>
    <w:rsid w:val="009D6A9B"/>
    <w:rsid w:val="009D724E"/>
    <w:rsid w:val="009D7FFA"/>
    <w:rsid w:val="009E0C79"/>
    <w:rsid w:val="009E159B"/>
    <w:rsid w:val="009E15AA"/>
    <w:rsid w:val="009E1B19"/>
    <w:rsid w:val="009E2815"/>
    <w:rsid w:val="009E2EB2"/>
    <w:rsid w:val="009E2F21"/>
    <w:rsid w:val="009E2F78"/>
    <w:rsid w:val="009E3446"/>
    <w:rsid w:val="009E3EB7"/>
    <w:rsid w:val="009E400D"/>
    <w:rsid w:val="009E6CD2"/>
    <w:rsid w:val="009E7088"/>
    <w:rsid w:val="009E717C"/>
    <w:rsid w:val="009E75DB"/>
    <w:rsid w:val="009F033A"/>
    <w:rsid w:val="009F0592"/>
    <w:rsid w:val="009F0CE2"/>
    <w:rsid w:val="009F0E22"/>
    <w:rsid w:val="009F13B8"/>
    <w:rsid w:val="009F1D2A"/>
    <w:rsid w:val="009F23CF"/>
    <w:rsid w:val="009F256A"/>
    <w:rsid w:val="009F2EA4"/>
    <w:rsid w:val="009F30B4"/>
    <w:rsid w:val="009F35E2"/>
    <w:rsid w:val="009F42F2"/>
    <w:rsid w:val="009F4615"/>
    <w:rsid w:val="009F467A"/>
    <w:rsid w:val="009F4981"/>
    <w:rsid w:val="009F4C71"/>
    <w:rsid w:val="009F525F"/>
    <w:rsid w:val="009F53DC"/>
    <w:rsid w:val="009F6270"/>
    <w:rsid w:val="009F65F9"/>
    <w:rsid w:val="009F683A"/>
    <w:rsid w:val="009F68BA"/>
    <w:rsid w:val="009F6EDD"/>
    <w:rsid w:val="009F6F5C"/>
    <w:rsid w:val="009F71D8"/>
    <w:rsid w:val="009F7A88"/>
    <w:rsid w:val="00A005A9"/>
    <w:rsid w:val="00A01B5E"/>
    <w:rsid w:val="00A02779"/>
    <w:rsid w:val="00A027D2"/>
    <w:rsid w:val="00A02F54"/>
    <w:rsid w:val="00A031DC"/>
    <w:rsid w:val="00A032CF"/>
    <w:rsid w:val="00A053A9"/>
    <w:rsid w:val="00A05D25"/>
    <w:rsid w:val="00A05E83"/>
    <w:rsid w:val="00A06277"/>
    <w:rsid w:val="00A068A4"/>
    <w:rsid w:val="00A0758C"/>
    <w:rsid w:val="00A075DC"/>
    <w:rsid w:val="00A075EA"/>
    <w:rsid w:val="00A078AD"/>
    <w:rsid w:val="00A079D9"/>
    <w:rsid w:val="00A079DC"/>
    <w:rsid w:val="00A10B63"/>
    <w:rsid w:val="00A111C2"/>
    <w:rsid w:val="00A11EFE"/>
    <w:rsid w:val="00A1201F"/>
    <w:rsid w:val="00A12AD7"/>
    <w:rsid w:val="00A12F6B"/>
    <w:rsid w:val="00A13C67"/>
    <w:rsid w:val="00A14683"/>
    <w:rsid w:val="00A15508"/>
    <w:rsid w:val="00A155B1"/>
    <w:rsid w:val="00A168C1"/>
    <w:rsid w:val="00A16C48"/>
    <w:rsid w:val="00A16D41"/>
    <w:rsid w:val="00A17AAC"/>
    <w:rsid w:val="00A221ED"/>
    <w:rsid w:val="00A23C6D"/>
    <w:rsid w:val="00A23F6E"/>
    <w:rsid w:val="00A243A1"/>
    <w:rsid w:val="00A2447C"/>
    <w:rsid w:val="00A24C1C"/>
    <w:rsid w:val="00A24CA4"/>
    <w:rsid w:val="00A24FE3"/>
    <w:rsid w:val="00A25148"/>
    <w:rsid w:val="00A262D6"/>
    <w:rsid w:val="00A2661E"/>
    <w:rsid w:val="00A27050"/>
    <w:rsid w:val="00A27494"/>
    <w:rsid w:val="00A278B0"/>
    <w:rsid w:val="00A2790B"/>
    <w:rsid w:val="00A27AB3"/>
    <w:rsid w:val="00A27C8B"/>
    <w:rsid w:val="00A304E6"/>
    <w:rsid w:val="00A30632"/>
    <w:rsid w:val="00A308D1"/>
    <w:rsid w:val="00A30AD9"/>
    <w:rsid w:val="00A319CE"/>
    <w:rsid w:val="00A31C73"/>
    <w:rsid w:val="00A3200D"/>
    <w:rsid w:val="00A329DA"/>
    <w:rsid w:val="00A33010"/>
    <w:rsid w:val="00A338E7"/>
    <w:rsid w:val="00A348C8"/>
    <w:rsid w:val="00A35CAA"/>
    <w:rsid w:val="00A36129"/>
    <w:rsid w:val="00A36E7F"/>
    <w:rsid w:val="00A36F31"/>
    <w:rsid w:val="00A372F7"/>
    <w:rsid w:val="00A400C2"/>
    <w:rsid w:val="00A403DF"/>
    <w:rsid w:val="00A404D7"/>
    <w:rsid w:val="00A41720"/>
    <w:rsid w:val="00A41B91"/>
    <w:rsid w:val="00A41E65"/>
    <w:rsid w:val="00A4217C"/>
    <w:rsid w:val="00A43797"/>
    <w:rsid w:val="00A43E0A"/>
    <w:rsid w:val="00A43E4C"/>
    <w:rsid w:val="00A44027"/>
    <w:rsid w:val="00A45996"/>
    <w:rsid w:val="00A45DF1"/>
    <w:rsid w:val="00A46D31"/>
    <w:rsid w:val="00A4717A"/>
    <w:rsid w:val="00A47EC5"/>
    <w:rsid w:val="00A50333"/>
    <w:rsid w:val="00A5050B"/>
    <w:rsid w:val="00A508E9"/>
    <w:rsid w:val="00A50F51"/>
    <w:rsid w:val="00A5104B"/>
    <w:rsid w:val="00A512BA"/>
    <w:rsid w:val="00A52431"/>
    <w:rsid w:val="00A530C7"/>
    <w:rsid w:val="00A54773"/>
    <w:rsid w:val="00A54BC0"/>
    <w:rsid w:val="00A54C8D"/>
    <w:rsid w:val="00A55A17"/>
    <w:rsid w:val="00A55EE4"/>
    <w:rsid w:val="00A55F5B"/>
    <w:rsid w:val="00A57CEC"/>
    <w:rsid w:val="00A60185"/>
    <w:rsid w:val="00A60515"/>
    <w:rsid w:val="00A60C36"/>
    <w:rsid w:val="00A60F25"/>
    <w:rsid w:val="00A615CE"/>
    <w:rsid w:val="00A61ABE"/>
    <w:rsid w:val="00A61ACF"/>
    <w:rsid w:val="00A61B7F"/>
    <w:rsid w:val="00A623F7"/>
    <w:rsid w:val="00A627E1"/>
    <w:rsid w:val="00A62B18"/>
    <w:rsid w:val="00A630F5"/>
    <w:rsid w:val="00A6341B"/>
    <w:rsid w:val="00A637C6"/>
    <w:rsid w:val="00A63DEF"/>
    <w:rsid w:val="00A640C1"/>
    <w:rsid w:val="00A64912"/>
    <w:rsid w:val="00A64D1A"/>
    <w:rsid w:val="00A64DC6"/>
    <w:rsid w:val="00A65077"/>
    <w:rsid w:val="00A650D6"/>
    <w:rsid w:val="00A65290"/>
    <w:rsid w:val="00A65D35"/>
    <w:rsid w:val="00A661EA"/>
    <w:rsid w:val="00A66816"/>
    <w:rsid w:val="00A6794D"/>
    <w:rsid w:val="00A67CD6"/>
    <w:rsid w:val="00A67FA7"/>
    <w:rsid w:val="00A70E5D"/>
    <w:rsid w:val="00A7101C"/>
    <w:rsid w:val="00A71A6C"/>
    <w:rsid w:val="00A71D00"/>
    <w:rsid w:val="00A725B3"/>
    <w:rsid w:val="00A730AB"/>
    <w:rsid w:val="00A73165"/>
    <w:rsid w:val="00A7369F"/>
    <w:rsid w:val="00A737C8"/>
    <w:rsid w:val="00A74FA9"/>
    <w:rsid w:val="00A7503A"/>
    <w:rsid w:val="00A75482"/>
    <w:rsid w:val="00A75535"/>
    <w:rsid w:val="00A75E31"/>
    <w:rsid w:val="00A75E46"/>
    <w:rsid w:val="00A765A1"/>
    <w:rsid w:val="00A769AA"/>
    <w:rsid w:val="00A76AA9"/>
    <w:rsid w:val="00A76AC5"/>
    <w:rsid w:val="00A76B8D"/>
    <w:rsid w:val="00A770FE"/>
    <w:rsid w:val="00A77208"/>
    <w:rsid w:val="00A77232"/>
    <w:rsid w:val="00A7731D"/>
    <w:rsid w:val="00A776DF"/>
    <w:rsid w:val="00A77808"/>
    <w:rsid w:val="00A809A8"/>
    <w:rsid w:val="00A81074"/>
    <w:rsid w:val="00A81142"/>
    <w:rsid w:val="00A8201D"/>
    <w:rsid w:val="00A821FB"/>
    <w:rsid w:val="00A82FAD"/>
    <w:rsid w:val="00A830E5"/>
    <w:rsid w:val="00A832CE"/>
    <w:rsid w:val="00A83A21"/>
    <w:rsid w:val="00A83EF8"/>
    <w:rsid w:val="00A84121"/>
    <w:rsid w:val="00A841F6"/>
    <w:rsid w:val="00A846F3"/>
    <w:rsid w:val="00A84CC9"/>
    <w:rsid w:val="00A84DFE"/>
    <w:rsid w:val="00A8532D"/>
    <w:rsid w:val="00A85442"/>
    <w:rsid w:val="00A8602E"/>
    <w:rsid w:val="00A87135"/>
    <w:rsid w:val="00A87EAB"/>
    <w:rsid w:val="00A900E7"/>
    <w:rsid w:val="00A91848"/>
    <w:rsid w:val="00A921FF"/>
    <w:rsid w:val="00A92299"/>
    <w:rsid w:val="00A922FF"/>
    <w:rsid w:val="00A93280"/>
    <w:rsid w:val="00A933ED"/>
    <w:rsid w:val="00A93721"/>
    <w:rsid w:val="00A93CF5"/>
    <w:rsid w:val="00A94621"/>
    <w:rsid w:val="00A95043"/>
    <w:rsid w:val="00A9519A"/>
    <w:rsid w:val="00A951EA"/>
    <w:rsid w:val="00A95983"/>
    <w:rsid w:val="00A95A03"/>
    <w:rsid w:val="00A95DB7"/>
    <w:rsid w:val="00A96A4F"/>
    <w:rsid w:val="00A97484"/>
    <w:rsid w:val="00A97EA2"/>
    <w:rsid w:val="00AA1A7D"/>
    <w:rsid w:val="00AA1AA7"/>
    <w:rsid w:val="00AA1ACA"/>
    <w:rsid w:val="00AA2548"/>
    <w:rsid w:val="00AA2C1A"/>
    <w:rsid w:val="00AA2E9C"/>
    <w:rsid w:val="00AA2EE9"/>
    <w:rsid w:val="00AA2F5F"/>
    <w:rsid w:val="00AA2F69"/>
    <w:rsid w:val="00AA325F"/>
    <w:rsid w:val="00AA3285"/>
    <w:rsid w:val="00AA38DB"/>
    <w:rsid w:val="00AA433F"/>
    <w:rsid w:val="00AA48B3"/>
    <w:rsid w:val="00AA4CB1"/>
    <w:rsid w:val="00AA5532"/>
    <w:rsid w:val="00AA55C4"/>
    <w:rsid w:val="00AA58C4"/>
    <w:rsid w:val="00AA6F4C"/>
    <w:rsid w:val="00AA7003"/>
    <w:rsid w:val="00AA76CA"/>
    <w:rsid w:val="00AA7FCC"/>
    <w:rsid w:val="00AB0530"/>
    <w:rsid w:val="00AB10D6"/>
    <w:rsid w:val="00AB11C8"/>
    <w:rsid w:val="00AB140E"/>
    <w:rsid w:val="00AB1661"/>
    <w:rsid w:val="00AB1E9C"/>
    <w:rsid w:val="00AB2364"/>
    <w:rsid w:val="00AB26DC"/>
    <w:rsid w:val="00AB2828"/>
    <w:rsid w:val="00AB2AA8"/>
    <w:rsid w:val="00AB33D8"/>
    <w:rsid w:val="00AB4EC5"/>
    <w:rsid w:val="00AB5621"/>
    <w:rsid w:val="00AB5C67"/>
    <w:rsid w:val="00AB6BA3"/>
    <w:rsid w:val="00AB7712"/>
    <w:rsid w:val="00AB7A46"/>
    <w:rsid w:val="00AC038A"/>
    <w:rsid w:val="00AC08A8"/>
    <w:rsid w:val="00AC0967"/>
    <w:rsid w:val="00AC0BAA"/>
    <w:rsid w:val="00AC2776"/>
    <w:rsid w:val="00AC290A"/>
    <w:rsid w:val="00AC2D9F"/>
    <w:rsid w:val="00AC3312"/>
    <w:rsid w:val="00AC384D"/>
    <w:rsid w:val="00AC402F"/>
    <w:rsid w:val="00AC4DB5"/>
    <w:rsid w:val="00AC501E"/>
    <w:rsid w:val="00AC5310"/>
    <w:rsid w:val="00AC624D"/>
    <w:rsid w:val="00AC6905"/>
    <w:rsid w:val="00AC6BEE"/>
    <w:rsid w:val="00AC7155"/>
    <w:rsid w:val="00AD063D"/>
    <w:rsid w:val="00AD066C"/>
    <w:rsid w:val="00AD06A4"/>
    <w:rsid w:val="00AD0755"/>
    <w:rsid w:val="00AD098E"/>
    <w:rsid w:val="00AD0D6A"/>
    <w:rsid w:val="00AD0F31"/>
    <w:rsid w:val="00AD11AD"/>
    <w:rsid w:val="00AD25E7"/>
    <w:rsid w:val="00AD2B19"/>
    <w:rsid w:val="00AD4494"/>
    <w:rsid w:val="00AD46D0"/>
    <w:rsid w:val="00AD4933"/>
    <w:rsid w:val="00AD4BD7"/>
    <w:rsid w:val="00AD4F64"/>
    <w:rsid w:val="00AD5524"/>
    <w:rsid w:val="00AD55B3"/>
    <w:rsid w:val="00AD56C8"/>
    <w:rsid w:val="00AD58F2"/>
    <w:rsid w:val="00AD592C"/>
    <w:rsid w:val="00AD6245"/>
    <w:rsid w:val="00AD680A"/>
    <w:rsid w:val="00AD6AB1"/>
    <w:rsid w:val="00AD6DB3"/>
    <w:rsid w:val="00AD7182"/>
    <w:rsid w:val="00AD7710"/>
    <w:rsid w:val="00AD7E1D"/>
    <w:rsid w:val="00AE0EAD"/>
    <w:rsid w:val="00AE1564"/>
    <w:rsid w:val="00AE1EB2"/>
    <w:rsid w:val="00AE213D"/>
    <w:rsid w:val="00AE272A"/>
    <w:rsid w:val="00AE3885"/>
    <w:rsid w:val="00AE4C16"/>
    <w:rsid w:val="00AE4CDD"/>
    <w:rsid w:val="00AE5D72"/>
    <w:rsid w:val="00AE6346"/>
    <w:rsid w:val="00AE647E"/>
    <w:rsid w:val="00AE6A6E"/>
    <w:rsid w:val="00AE6E82"/>
    <w:rsid w:val="00AE7EA9"/>
    <w:rsid w:val="00AF2DC2"/>
    <w:rsid w:val="00AF2DD5"/>
    <w:rsid w:val="00AF4161"/>
    <w:rsid w:val="00AF44FE"/>
    <w:rsid w:val="00AF48B1"/>
    <w:rsid w:val="00AF499A"/>
    <w:rsid w:val="00AF53C1"/>
    <w:rsid w:val="00AF6091"/>
    <w:rsid w:val="00AF6A4D"/>
    <w:rsid w:val="00B0025F"/>
    <w:rsid w:val="00B00C3E"/>
    <w:rsid w:val="00B00E3D"/>
    <w:rsid w:val="00B01A8F"/>
    <w:rsid w:val="00B0236D"/>
    <w:rsid w:val="00B024B7"/>
    <w:rsid w:val="00B028E8"/>
    <w:rsid w:val="00B02CD2"/>
    <w:rsid w:val="00B035C1"/>
    <w:rsid w:val="00B0369F"/>
    <w:rsid w:val="00B04C8D"/>
    <w:rsid w:val="00B0512A"/>
    <w:rsid w:val="00B0529F"/>
    <w:rsid w:val="00B0531A"/>
    <w:rsid w:val="00B05651"/>
    <w:rsid w:val="00B0583D"/>
    <w:rsid w:val="00B05F13"/>
    <w:rsid w:val="00B075D0"/>
    <w:rsid w:val="00B1103B"/>
    <w:rsid w:val="00B11FE5"/>
    <w:rsid w:val="00B12306"/>
    <w:rsid w:val="00B124CD"/>
    <w:rsid w:val="00B12621"/>
    <w:rsid w:val="00B1284A"/>
    <w:rsid w:val="00B13084"/>
    <w:rsid w:val="00B130EA"/>
    <w:rsid w:val="00B133DF"/>
    <w:rsid w:val="00B13BAB"/>
    <w:rsid w:val="00B1418B"/>
    <w:rsid w:val="00B14369"/>
    <w:rsid w:val="00B14AAE"/>
    <w:rsid w:val="00B14CA1"/>
    <w:rsid w:val="00B1549A"/>
    <w:rsid w:val="00B157A8"/>
    <w:rsid w:val="00B16351"/>
    <w:rsid w:val="00B165FE"/>
    <w:rsid w:val="00B16B3E"/>
    <w:rsid w:val="00B16DA7"/>
    <w:rsid w:val="00B16EA0"/>
    <w:rsid w:val="00B173F9"/>
    <w:rsid w:val="00B17715"/>
    <w:rsid w:val="00B20170"/>
    <w:rsid w:val="00B202BE"/>
    <w:rsid w:val="00B210CD"/>
    <w:rsid w:val="00B21195"/>
    <w:rsid w:val="00B2126B"/>
    <w:rsid w:val="00B21704"/>
    <w:rsid w:val="00B2201E"/>
    <w:rsid w:val="00B22439"/>
    <w:rsid w:val="00B2281D"/>
    <w:rsid w:val="00B2363A"/>
    <w:rsid w:val="00B24203"/>
    <w:rsid w:val="00B24AFB"/>
    <w:rsid w:val="00B24B22"/>
    <w:rsid w:val="00B2502E"/>
    <w:rsid w:val="00B25204"/>
    <w:rsid w:val="00B25310"/>
    <w:rsid w:val="00B25538"/>
    <w:rsid w:val="00B256D3"/>
    <w:rsid w:val="00B2636C"/>
    <w:rsid w:val="00B26380"/>
    <w:rsid w:val="00B27B7F"/>
    <w:rsid w:val="00B27E0B"/>
    <w:rsid w:val="00B305C6"/>
    <w:rsid w:val="00B31645"/>
    <w:rsid w:val="00B323AE"/>
    <w:rsid w:val="00B3294F"/>
    <w:rsid w:val="00B329BD"/>
    <w:rsid w:val="00B32F8F"/>
    <w:rsid w:val="00B335AF"/>
    <w:rsid w:val="00B33FAB"/>
    <w:rsid w:val="00B34705"/>
    <w:rsid w:val="00B3492A"/>
    <w:rsid w:val="00B36285"/>
    <w:rsid w:val="00B3642E"/>
    <w:rsid w:val="00B36702"/>
    <w:rsid w:val="00B367DA"/>
    <w:rsid w:val="00B36AE1"/>
    <w:rsid w:val="00B370EE"/>
    <w:rsid w:val="00B40588"/>
    <w:rsid w:val="00B40648"/>
    <w:rsid w:val="00B417DF"/>
    <w:rsid w:val="00B41B98"/>
    <w:rsid w:val="00B42A6A"/>
    <w:rsid w:val="00B44DC5"/>
    <w:rsid w:val="00B46C1E"/>
    <w:rsid w:val="00B46CA9"/>
    <w:rsid w:val="00B46DA4"/>
    <w:rsid w:val="00B46F91"/>
    <w:rsid w:val="00B47C1A"/>
    <w:rsid w:val="00B50046"/>
    <w:rsid w:val="00B51804"/>
    <w:rsid w:val="00B523A7"/>
    <w:rsid w:val="00B52455"/>
    <w:rsid w:val="00B52576"/>
    <w:rsid w:val="00B52A22"/>
    <w:rsid w:val="00B52ABD"/>
    <w:rsid w:val="00B52E06"/>
    <w:rsid w:val="00B5481D"/>
    <w:rsid w:val="00B54DE9"/>
    <w:rsid w:val="00B54EAF"/>
    <w:rsid w:val="00B553EC"/>
    <w:rsid w:val="00B557E4"/>
    <w:rsid w:val="00B55E3F"/>
    <w:rsid w:val="00B5648F"/>
    <w:rsid w:val="00B567AC"/>
    <w:rsid w:val="00B5686B"/>
    <w:rsid w:val="00B56D6E"/>
    <w:rsid w:val="00B5700F"/>
    <w:rsid w:val="00B57EB7"/>
    <w:rsid w:val="00B605EE"/>
    <w:rsid w:val="00B606ED"/>
    <w:rsid w:val="00B61AFC"/>
    <w:rsid w:val="00B61CA9"/>
    <w:rsid w:val="00B61D51"/>
    <w:rsid w:val="00B61DAB"/>
    <w:rsid w:val="00B61F9B"/>
    <w:rsid w:val="00B620E7"/>
    <w:rsid w:val="00B63290"/>
    <w:rsid w:val="00B6382B"/>
    <w:rsid w:val="00B638C2"/>
    <w:rsid w:val="00B63C1E"/>
    <w:rsid w:val="00B644FE"/>
    <w:rsid w:val="00B64B34"/>
    <w:rsid w:val="00B65710"/>
    <w:rsid w:val="00B657F6"/>
    <w:rsid w:val="00B66BAD"/>
    <w:rsid w:val="00B6751A"/>
    <w:rsid w:val="00B678DB"/>
    <w:rsid w:val="00B67FDF"/>
    <w:rsid w:val="00B7088D"/>
    <w:rsid w:val="00B70D81"/>
    <w:rsid w:val="00B70F58"/>
    <w:rsid w:val="00B71225"/>
    <w:rsid w:val="00B715CE"/>
    <w:rsid w:val="00B717C0"/>
    <w:rsid w:val="00B718F6"/>
    <w:rsid w:val="00B71EE4"/>
    <w:rsid w:val="00B7223B"/>
    <w:rsid w:val="00B72789"/>
    <w:rsid w:val="00B735D1"/>
    <w:rsid w:val="00B736F3"/>
    <w:rsid w:val="00B74095"/>
    <w:rsid w:val="00B746F1"/>
    <w:rsid w:val="00B74D95"/>
    <w:rsid w:val="00B7538A"/>
    <w:rsid w:val="00B75399"/>
    <w:rsid w:val="00B75F53"/>
    <w:rsid w:val="00B7737E"/>
    <w:rsid w:val="00B77835"/>
    <w:rsid w:val="00B77B18"/>
    <w:rsid w:val="00B77EB7"/>
    <w:rsid w:val="00B80430"/>
    <w:rsid w:val="00B80A17"/>
    <w:rsid w:val="00B80A92"/>
    <w:rsid w:val="00B80BB3"/>
    <w:rsid w:val="00B8114B"/>
    <w:rsid w:val="00B813D5"/>
    <w:rsid w:val="00B8181B"/>
    <w:rsid w:val="00B81C83"/>
    <w:rsid w:val="00B81D8A"/>
    <w:rsid w:val="00B83438"/>
    <w:rsid w:val="00B847E2"/>
    <w:rsid w:val="00B84834"/>
    <w:rsid w:val="00B871C6"/>
    <w:rsid w:val="00B8723C"/>
    <w:rsid w:val="00B908DE"/>
    <w:rsid w:val="00B90C48"/>
    <w:rsid w:val="00B917A1"/>
    <w:rsid w:val="00B92590"/>
    <w:rsid w:val="00B92E7B"/>
    <w:rsid w:val="00B93527"/>
    <w:rsid w:val="00B93D46"/>
    <w:rsid w:val="00B93DD0"/>
    <w:rsid w:val="00B93F7C"/>
    <w:rsid w:val="00B945F3"/>
    <w:rsid w:val="00B9552D"/>
    <w:rsid w:val="00B95739"/>
    <w:rsid w:val="00B95EEE"/>
    <w:rsid w:val="00B95FC4"/>
    <w:rsid w:val="00B9634E"/>
    <w:rsid w:val="00B974FD"/>
    <w:rsid w:val="00B97732"/>
    <w:rsid w:val="00BA01B9"/>
    <w:rsid w:val="00BA1F9D"/>
    <w:rsid w:val="00BA29ED"/>
    <w:rsid w:val="00BA3741"/>
    <w:rsid w:val="00BA3F05"/>
    <w:rsid w:val="00BA43C5"/>
    <w:rsid w:val="00BA471C"/>
    <w:rsid w:val="00BA4A14"/>
    <w:rsid w:val="00BA4EE1"/>
    <w:rsid w:val="00BA54E4"/>
    <w:rsid w:val="00BA5558"/>
    <w:rsid w:val="00BA577F"/>
    <w:rsid w:val="00BA65A8"/>
    <w:rsid w:val="00BA65B6"/>
    <w:rsid w:val="00BA69C8"/>
    <w:rsid w:val="00BA6D19"/>
    <w:rsid w:val="00BA6E5F"/>
    <w:rsid w:val="00BA70CA"/>
    <w:rsid w:val="00BA7461"/>
    <w:rsid w:val="00BA7DA9"/>
    <w:rsid w:val="00BB0A3A"/>
    <w:rsid w:val="00BB0CCE"/>
    <w:rsid w:val="00BB0F48"/>
    <w:rsid w:val="00BB14A5"/>
    <w:rsid w:val="00BB151E"/>
    <w:rsid w:val="00BB16BC"/>
    <w:rsid w:val="00BB1795"/>
    <w:rsid w:val="00BB2183"/>
    <w:rsid w:val="00BB27B3"/>
    <w:rsid w:val="00BB29DF"/>
    <w:rsid w:val="00BB2BD1"/>
    <w:rsid w:val="00BB3575"/>
    <w:rsid w:val="00BB4144"/>
    <w:rsid w:val="00BB4B1D"/>
    <w:rsid w:val="00BB4C5D"/>
    <w:rsid w:val="00BB4EC5"/>
    <w:rsid w:val="00BB5447"/>
    <w:rsid w:val="00BB551E"/>
    <w:rsid w:val="00BB6D20"/>
    <w:rsid w:val="00BB75D6"/>
    <w:rsid w:val="00BC163F"/>
    <w:rsid w:val="00BC1BA2"/>
    <w:rsid w:val="00BC2444"/>
    <w:rsid w:val="00BC4215"/>
    <w:rsid w:val="00BC4667"/>
    <w:rsid w:val="00BC4B4C"/>
    <w:rsid w:val="00BC56D9"/>
    <w:rsid w:val="00BC5DB3"/>
    <w:rsid w:val="00BC6560"/>
    <w:rsid w:val="00BC66CC"/>
    <w:rsid w:val="00BC691F"/>
    <w:rsid w:val="00BC6BE4"/>
    <w:rsid w:val="00BC6BEC"/>
    <w:rsid w:val="00BC6E11"/>
    <w:rsid w:val="00BC6F95"/>
    <w:rsid w:val="00BC74E0"/>
    <w:rsid w:val="00BD1A6F"/>
    <w:rsid w:val="00BD2A86"/>
    <w:rsid w:val="00BD3140"/>
    <w:rsid w:val="00BD3628"/>
    <w:rsid w:val="00BD5053"/>
    <w:rsid w:val="00BD52C9"/>
    <w:rsid w:val="00BD5C39"/>
    <w:rsid w:val="00BD5F57"/>
    <w:rsid w:val="00BD61DE"/>
    <w:rsid w:val="00BD6F75"/>
    <w:rsid w:val="00BD7F16"/>
    <w:rsid w:val="00BE03A5"/>
    <w:rsid w:val="00BE046F"/>
    <w:rsid w:val="00BE0881"/>
    <w:rsid w:val="00BE0C7F"/>
    <w:rsid w:val="00BE1A8D"/>
    <w:rsid w:val="00BE1DBB"/>
    <w:rsid w:val="00BE1FF7"/>
    <w:rsid w:val="00BE24B2"/>
    <w:rsid w:val="00BE29ED"/>
    <w:rsid w:val="00BE2A1E"/>
    <w:rsid w:val="00BE326A"/>
    <w:rsid w:val="00BE383B"/>
    <w:rsid w:val="00BE3F86"/>
    <w:rsid w:val="00BE4C37"/>
    <w:rsid w:val="00BE4DA8"/>
    <w:rsid w:val="00BE4E31"/>
    <w:rsid w:val="00BE501F"/>
    <w:rsid w:val="00BE52E6"/>
    <w:rsid w:val="00BE54DD"/>
    <w:rsid w:val="00BE5EC8"/>
    <w:rsid w:val="00BE63BD"/>
    <w:rsid w:val="00BE668D"/>
    <w:rsid w:val="00BE691C"/>
    <w:rsid w:val="00BE69BF"/>
    <w:rsid w:val="00BE6D3C"/>
    <w:rsid w:val="00BE72E2"/>
    <w:rsid w:val="00BE7509"/>
    <w:rsid w:val="00BE7852"/>
    <w:rsid w:val="00BE7C17"/>
    <w:rsid w:val="00BE7DDD"/>
    <w:rsid w:val="00BF084B"/>
    <w:rsid w:val="00BF0B98"/>
    <w:rsid w:val="00BF1283"/>
    <w:rsid w:val="00BF12A3"/>
    <w:rsid w:val="00BF2B79"/>
    <w:rsid w:val="00BF35FE"/>
    <w:rsid w:val="00BF3C65"/>
    <w:rsid w:val="00BF3CD2"/>
    <w:rsid w:val="00BF41D6"/>
    <w:rsid w:val="00BF43F0"/>
    <w:rsid w:val="00BF4AE6"/>
    <w:rsid w:val="00BF4DAC"/>
    <w:rsid w:val="00BF53DD"/>
    <w:rsid w:val="00BF6EBD"/>
    <w:rsid w:val="00BF737D"/>
    <w:rsid w:val="00BF77F4"/>
    <w:rsid w:val="00BF7A1D"/>
    <w:rsid w:val="00BF7CEE"/>
    <w:rsid w:val="00BF7DFA"/>
    <w:rsid w:val="00C00385"/>
    <w:rsid w:val="00C00966"/>
    <w:rsid w:val="00C00B0C"/>
    <w:rsid w:val="00C00C45"/>
    <w:rsid w:val="00C0217B"/>
    <w:rsid w:val="00C02416"/>
    <w:rsid w:val="00C03149"/>
    <w:rsid w:val="00C0357A"/>
    <w:rsid w:val="00C03880"/>
    <w:rsid w:val="00C042C4"/>
    <w:rsid w:val="00C0485F"/>
    <w:rsid w:val="00C04940"/>
    <w:rsid w:val="00C0519D"/>
    <w:rsid w:val="00C057B5"/>
    <w:rsid w:val="00C05DD9"/>
    <w:rsid w:val="00C06166"/>
    <w:rsid w:val="00C061D4"/>
    <w:rsid w:val="00C062CA"/>
    <w:rsid w:val="00C06502"/>
    <w:rsid w:val="00C06845"/>
    <w:rsid w:val="00C06EC8"/>
    <w:rsid w:val="00C106C6"/>
    <w:rsid w:val="00C10DE7"/>
    <w:rsid w:val="00C121D4"/>
    <w:rsid w:val="00C13084"/>
    <w:rsid w:val="00C135CF"/>
    <w:rsid w:val="00C13ED3"/>
    <w:rsid w:val="00C14427"/>
    <w:rsid w:val="00C14CE3"/>
    <w:rsid w:val="00C15485"/>
    <w:rsid w:val="00C164ED"/>
    <w:rsid w:val="00C16FD4"/>
    <w:rsid w:val="00C17682"/>
    <w:rsid w:val="00C177C2"/>
    <w:rsid w:val="00C177DD"/>
    <w:rsid w:val="00C179BF"/>
    <w:rsid w:val="00C17A46"/>
    <w:rsid w:val="00C17A99"/>
    <w:rsid w:val="00C20187"/>
    <w:rsid w:val="00C21785"/>
    <w:rsid w:val="00C21BB1"/>
    <w:rsid w:val="00C226EA"/>
    <w:rsid w:val="00C226EB"/>
    <w:rsid w:val="00C23121"/>
    <w:rsid w:val="00C2328C"/>
    <w:rsid w:val="00C233EA"/>
    <w:rsid w:val="00C2368F"/>
    <w:rsid w:val="00C245F4"/>
    <w:rsid w:val="00C24AAC"/>
    <w:rsid w:val="00C24DB5"/>
    <w:rsid w:val="00C25602"/>
    <w:rsid w:val="00C25B86"/>
    <w:rsid w:val="00C263C1"/>
    <w:rsid w:val="00C2683F"/>
    <w:rsid w:val="00C273AA"/>
    <w:rsid w:val="00C276C2"/>
    <w:rsid w:val="00C2771A"/>
    <w:rsid w:val="00C2780F"/>
    <w:rsid w:val="00C307B4"/>
    <w:rsid w:val="00C3184D"/>
    <w:rsid w:val="00C31A38"/>
    <w:rsid w:val="00C32151"/>
    <w:rsid w:val="00C32CA9"/>
    <w:rsid w:val="00C33A82"/>
    <w:rsid w:val="00C349A6"/>
    <w:rsid w:val="00C35281"/>
    <w:rsid w:val="00C35556"/>
    <w:rsid w:val="00C3637C"/>
    <w:rsid w:val="00C3639A"/>
    <w:rsid w:val="00C36672"/>
    <w:rsid w:val="00C36698"/>
    <w:rsid w:val="00C3686E"/>
    <w:rsid w:val="00C372BF"/>
    <w:rsid w:val="00C37EDE"/>
    <w:rsid w:val="00C40848"/>
    <w:rsid w:val="00C408C1"/>
    <w:rsid w:val="00C40A7B"/>
    <w:rsid w:val="00C40C6A"/>
    <w:rsid w:val="00C41C62"/>
    <w:rsid w:val="00C41C7C"/>
    <w:rsid w:val="00C42BCC"/>
    <w:rsid w:val="00C42F43"/>
    <w:rsid w:val="00C4362A"/>
    <w:rsid w:val="00C4363C"/>
    <w:rsid w:val="00C43984"/>
    <w:rsid w:val="00C43D20"/>
    <w:rsid w:val="00C44C5A"/>
    <w:rsid w:val="00C44E3F"/>
    <w:rsid w:val="00C44E72"/>
    <w:rsid w:val="00C4512D"/>
    <w:rsid w:val="00C4520E"/>
    <w:rsid w:val="00C459E6"/>
    <w:rsid w:val="00C46FEE"/>
    <w:rsid w:val="00C4714E"/>
    <w:rsid w:val="00C502F2"/>
    <w:rsid w:val="00C50F53"/>
    <w:rsid w:val="00C51857"/>
    <w:rsid w:val="00C51A05"/>
    <w:rsid w:val="00C51CCA"/>
    <w:rsid w:val="00C51FB2"/>
    <w:rsid w:val="00C524CC"/>
    <w:rsid w:val="00C52CCD"/>
    <w:rsid w:val="00C53CD6"/>
    <w:rsid w:val="00C540CB"/>
    <w:rsid w:val="00C5504F"/>
    <w:rsid w:val="00C56A36"/>
    <w:rsid w:val="00C56B2F"/>
    <w:rsid w:val="00C56DA7"/>
    <w:rsid w:val="00C5778F"/>
    <w:rsid w:val="00C57B55"/>
    <w:rsid w:val="00C60240"/>
    <w:rsid w:val="00C6112D"/>
    <w:rsid w:val="00C618E7"/>
    <w:rsid w:val="00C63376"/>
    <w:rsid w:val="00C635CB"/>
    <w:rsid w:val="00C6427C"/>
    <w:rsid w:val="00C6506A"/>
    <w:rsid w:val="00C65D69"/>
    <w:rsid w:val="00C66613"/>
    <w:rsid w:val="00C66B89"/>
    <w:rsid w:val="00C66FC6"/>
    <w:rsid w:val="00C716F9"/>
    <w:rsid w:val="00C71DDC"/>
    <w:rsid w:val="00C72E07"/>
    <w:rsid w:val="00C73598"/>
    <w:rsid w:val="00C73E27"/>
    <w:rsid w:val="00C74F97"/>
    <w:rsid w:val="00C753C1"/>
    <w:rsid w:val="00C755C0"/>
    <w:rsid w:val="00C75C57"/>
    <w:rsid w:val="00C76398"/>
    <w:rsid w:val="00C76D5B"/>
    <w:rsid w:val="00C7768D"/>
    <w:rsid w:val="00C77EDA"/>
    <w:rsid w:val="00C800A1"/>
    <w:rsid w:val="00C805BE"/>
    <w:rsid w:val="00C808FE"/>
    <w:rsid w:val="00C80C63"/>
    <w:rsid w:val="00C81365"/>
    <w:rsid w:val="00C8139F"/>
    <w:rsid w:val="00C819B3"/>
    <w:rsid w:val="00C81B67"/>
    <w:rsid w:val="00C82029"/>
    <w:rsid w:val="00C82120"/>
    <w:rsid w:val="00C8276E"/>
    <w:rsid w:val="00C82891"/>
    <w:rsid w:val="00C82B10"/>
    <w:rsid w:val="00C8380E"/>
    <w:rsid w:val="00C839C9"/>
    <w:rsid w:val="00C842AC"/>
    <w:rsid w:val="00C84307"/>
    <w:rsid w:val="00C84775"/>
    <w:rsid w:val="00C84EEE"/>
    <w:rsid w:val="00C8554C"/>
    <w:rsid w:val="00C8571C"/>
    <w:rsid w:val="00C85C35"/>
    <w:rsid w:val="00C862EE"/>
    <w:rsid w:val="00C865B2"/>
    <w:rsid w:val="00C90BA1"/>
    <w:rsid w:val="00C90F03"/>
    <w:rsid w:val="00C91FF9"/>
    <w:rsid w:val="00C921D4"/>
    <w:rsid w:val="00C9294D"/>
    <w:rsid w:val="00C93264"/>
    <w:rsid w:val="00C94144"/>
    <w:rsid w:val="00C94269"/>
    <w:rsid w:val="00C94790"/>
    <w:rsid w:val="00C94C33"/>
    <w:rsid w:val="00C95117"/>
    <w:rsid w:val="00C953E1"/>
    <w:rsid w:val="00C95528"/>
    <w:rsid w:val="00C9565D"/>
    <w:rsid w:val="00C96688"/>
    <w:rsid w:val="00C96C32"/>
    <w:rsid w:val="00C979A3"/>
    <w:rsid w:val="00CA00D7"/>
    <w:rsid w:val="00CA061A"/>
    <w:rsid w:val="00CA0723"/>
    <w:rsid w:val="00CA08EF"/>
    <w:rsid w:val="00CA0C8F"/>
    <w:rsid w:val="00CA2CAE"/>
    <w:rsid w:val="00CA33B2"/>
    <w:rsid w:val="00CA35F0"/>
    <w:rsid w:val="00CA362A"/>
    <w:rsid w:val="00CA3841"/>
    <w:rsid w:val="00CA38A8"/>
    <w:rsid w:val="00CA3B29"/>
    <w:rsid w:val="00CA4918"/>
    <w:rsid w:val="00CA5F3F"/>
    <w:rsid w:val="00CA7910"/>
    <w:rsid w:val="00CB0CB5"/>
    <w:rsid w:val="00CB10D3"/>
    <w:rsid w:val="00CB10EC"/>
    <w:rsid w:val="00CB1690"/>
    <w:rsid w:val="00CB2297"/>
    <w:rsid w:val="00CB31C3"/>
    <w:rsid w:val="00CB32D8"/>
    <w:rsid w:val="00CB38DA"/>
    <w:rsid w:val="00CB42BB"/>
    <w:rsid w:val="00CB44C4"/>
    <w:rsid w:val="00CB57FE"/>
    <w:rsid w:val="00CB5E3C"/>
    <w:rsid w:val="00CB61A3"/>
    <w:rsid w:val="00CB6556"/>
    <w:rsid w:val="00CB65EF"/>
    <w:rsid w:val="00CB6C6B"/>
    <w:rsid w:val="00CB72D2"/>
    <w:rsid w:val="00CB7D0E"/>
    <w:rsid w:val="00CC121E"/>
    <w:rsid w:val="00CC136E"/>
    <w:rsid w:val="00CC1855"/>
    <w:rsid w:val="00CC19FD"/>
    <w:rsid w:val="00CC1D96"/>
    <w:rsid w:val="00CC27FF"/>
    <w:rsid w:val="00CC28B0"/>
    <w:rsid w:val="00CC2D1F"/>
    <w:rsid w:val="00CC2EA3"/>
    <w:rsid w:val="00CC2EBA"/>
    <w:rsid w:val="00CC4365"/>
    <w:rsid w:val="00CC5926"/>
    <w:rsid w:val="00CC5A33"/>
    <w:rsid w:val="00CC6437"/>
    <w:rsid w:val="00CC70D6"/>
    <w:rsid w:val="00CC77A8"/>
    <w:rsid w:val="00CC7957"/>
    <w:rsid w:val="00CC7B9D"/>
    <w:rsid w:val="00CD030A"/>
    <w:rsid w:val="00CD06BE"/>
    <w:rsid w:val="00CD0ED7"/>
    <w:rsid w:val="00CD1053"/>
    <w:rsid w:val="00CD11A3"/>
    <w:rsid w:val="00CD11B0"/>
    <w:rsid w:val="00CD250D"/>
    <w:rsid w:val="00CD2CBB"/>
    <w:rsid w:val="00CD360E"/>
    <w:rsid w:val="00CD4009"/>
    <w:rsid w:val="00CD4724"/>
    <w:rsid w:val="00CD60B6"/>
    <w:rsid w:val="00CD61C0"/>
    <w:rsid w:val="00CD638E"/>
    <w:rsid w:val="00CD76BB"/>
    <w:rsid w:val="00CE0E39"/>
    <w:rsid w:val="00CE2111"/>
    <w:rsid w:val="00CE2775"/>
    <w:rsid w:val="00CE28C5"/>
    <w:rsid w:val="00CE2F58"/>
    <w:rsid w:val="00CE31C9"/>
    <w:rsid w:val="00CE37C9"/>
    <w:rsid w:val="00CE44E4"/>
    <w:rsid w:val="00CE493C"/>
    <w:rsid w:val="00CE509A"/>
    <w:rsid w:val="00CE512F"/>
    <w:rsid w:val="00CE57AE"/>
    <w:rsid w:val="00CE633E"/>
    <w:rsid w:val="00CE71C2"/>
    <w:rsid w:val="00CE74AC"/>
    <w:rsid w:val="00CE7535"/>
    <w:rsid w:val="00CE78F4"/>
    <w:rsid w:val="00CE7CAE"/>
    <w:rsid w:val="00CE7D05"/>
    <w:rsid w:val="00CF05CF"/>
    <w:rsid w:val="00CF0670"/>
    <w:rsid w:val="00CF11EA"/>
    <w:rsid w:val="00CF1CB7"/>
    <w:rsid w:val="00CF24DB"/>
    <w:rsid w:val="00CF34E9"/>
    <w:rsid w:val="00CF42D5"/>
    <w:rsid w:val="00CF45F9"/>
    <w:rsid w:val="00CF4EDA"/>
    <w:rsid w:val="00CF5706"/>
    <w:rsid w:val="00CF58F6"/>
    <w:rsid w:val="00CF5D66"/>
    <w:rsid w:val="00CF6D7B"/>
    <w:rsid w:val="00CF7510"/>
    <w:rsid w:val="00CF7D91"/>
    <w:rsid w:val="00D00867"/>
    <w:rsid w:val="00D01087"/>
    <w:rsid w:val="00D012FD"/>
    <w:rsid w:val="00D01AFD"/>
    <w:rsid w:val="00D01C62"/>
    <w:rsid w:val="00D021CB"/>
    <w:rsid w:val="00D025B5"/>
    <w:rsid w:val="00D0261A"/>
    <w:rsid w:val="00D026BA"/>
    <w:rsid w:val="00D02833"/>
    <w:rsid w:val="00D040BA"/>
    <w:rsid w:val="00D04DA1"/>
    <w:rsid w:val="00D04DA7"/>
    <w:rsid w:val="00D0521A"/>
    <w:rsid w:val="00D05ED1"/>
    <w:rsid w:val="00D067DD"/>
    <w:rsid w:val="00D06E5F"/>
    <w:rsid w:val="00D074A7"/>
    <w:rsid w:val="00D101EF"/>
    <w:rsid w:val="00D10DC1"/>
    <w:rsid w:val="00D10F1A"/>
    <w:rsid w:val="00D116F8"/>
    <w:rsid w:val="00D118A0"/>
    <w:rsid w:val="00D11DAA"/>
    <w:rsid w:val="00D11ED5"/>
    <w:rsid w:val="00D12275"/>
    <w:rsid w:val="00D12A34"/>
    <w:rsid w:val="00D12B01"/>
    <w:rsid w:val="00D12B39"/>
    <w:rsid w:val="00D12B8E"/>
    <w:rsid w:val="00D143D9"/>
    <w:rsid w:val="00D153BD"/>
    <w:rsid w:val="00D1580A"/>
    <w:rsid w:val="00D15E16"/>
    <w:rsid w:val="00D15ED0"/>
    <w:rsid w:val="00D164F5"/>
    <w:rsid w:val="00D1718D"/>
    <w:rsid w:val="00D17596"/>
    <w:rsid w:val="00D17711"/>
    <w:rsid w:val="00D17A71"/>
    <w:rsid w:val="00D20EB4"/>
    <w:rsid w:val="00D21337"/>
    <w:rsid w:val="00D21415"/>
    <w:rsid w:val="00D2155F"/>
    <w:rsid w:val="00D21758"/>
    <w:rsid w:val="00D217F2"/>
    <w:rsid w:val="00D21D54"/>
    <w:rsid w:val="00D224DB"/>
    <w:rsid w:val="00D22640"/>
    <w:rsid w:val="00D22AED"/>
    <w:rsid w:val="00D23A7A"/>
    <w:rsid w:val="00D24428"/>
    <w:rsid w:val="00D24A11"/>
    <w:rsid w:val="00D24CA7"/>
    <w:rsid w:val="00D25561"/>
    <w:rsid w:val="00D26213"/>
    <w:rsid w:val="00D2623D"/>
    <w:rsid w:val="00D26D3A"/>
    <w:rsid w:val="00D271AA"/>
    <w:rsid w:val="00D27785"/>
    <w:rsid w:val="00D27B44"/>
    <w:rsid w:val="00D30086"/>
    <w:rsid w:val="00D30148"/>
    <w:rsid w:val="00D307DD"/>
    <w:rsid w:val="00D31494"/>
    <w:rsid w:val="00D33347"/>
    <w:rsid w:val="00D33783"/>
    <w:rsid w:val="00D33E49"/>
    <w:rsid w:val="00D33FAE"/>
    <w:rsid w:val="00D34053"/>
    <w:rsid w:val="00D3459A"/>
    <w:rsid w:val="00D35100"/>
    <w:rsid w:val="00D353D2"/>
    <w:rsid w:val="00D35743"/>
    <w:rsid w:val="00D35BCD"/>
    <w:rsid w:val="00D36EB8"/>
    <w:rsid w:val="00D36ED9"/>
    <w:rsid w:val="00D4000A"/>
    <w:rsid w:val="00D40045"/>
    <w:rsid w:val="00D40059"/>
    <w:rsid w:val="00D40B39"/>
    <w:rsid w:val="00D40E91"/>
    <w:rsid w:val="00D414C0"/>
    <w:rsid w:val="00D41DA1"/>
    <w:rsid w:val="00D43373"/>
    <w:rsid w:val="00D438FE"/>
    <w:rsid w:val="00D44CE8"/>
    <w:rsid w:val="00D4525E"/>
    <w:rsid w:val="00D45AA4"/>
    <w:rsid w:val="00D45EE3"/>
    <w:rsid w:val="00D46586"/>
    <w:rsid w:val="00D47168"/>
    <w:rsid w:val="00D4766E"/>
    <w:rsid w:val="00D47C89"/>
    <w:rsid w:val="00D50618"/>
    <w:rsid w:val="00D50620"/>
    <w:rsid w:val="00D50698"/>
    <w:rsid w:val="00D509E9"/>
    <w:rsid w:val="00D511EC"/>
    <w:rsid w:val="00D523CB"/>
    <w:rsid w:val="00D52923"/>
    <w:rsid w:val="00D52AC2"/>
    <w:rsid w:val="00D5304B"/>
    <w:rsid w:val="00D53B1C"/>
    <w:rsid w:val="00D54C46"/>
    <w:rsid w:val="00D54EF3"/>
    <w:rsid w:val="00D55AC3"/>
    <w:rsid w:val="00D567B5"/>
    <w:rsid w:val="00D57025"/>
    <w:rsid w:val="00D5742C"/>
    <w:rsid w:val="00D57BC4"/>
    <w:rsid w:val="00D60439"/>
    <w:rsid w:val="00D6071A"/>
    <w:rsid w:val="00D61031"/>
    <w:rsid w:val="00D611F9"/>
    <w:rsid w:val="00D61660"/>
    <w:rsid w:val="00D61AFD"/>
    <w:rsid w:val="00D61C1B"/>
    <w:rsid w:val="00D62487"/>
    <w:rsid w:val="00D626B0"/>
    <w:rsid w:val="00D62BE1"/>
    <w:rsid w:val="00D62F0B"/>
    <w:rsid w:val="00D63126"/>
    <w:rsid w:val="00D6360A"/>
    <w:rsid w:val="00D63C25"/>
    <w:rsid w:val="00D640E7"/>
    <w:rsid w:val="00D64205"/>
    <w:rsid w:val="00D654A2"/>
    <w:rsid w:val="00D65BA6"/>
    <w:rsid w:val="00D65C35"/>
    <w:rsid w:val="00D663F9"/>
    <w:rsid w:val="00D66460"/>
    <w:rsid w:val="00D672E5"/>
    <w:rsid w:val="00D67701"/>
    <w:rsid w:val="00D70726"/>
    <w:rsid w:val="00D70C04"/>
    <w:rsid w:val="00D70F38"/>
    <w:rsid w:val="00D7168D"/>
    <w:rsid w:val="00D7185D"/>
    <w:rsid w:val="00D72A25"/>
    <w:rsid w:val="00D72FBF"/>
    <w:rsid w:val="00D73D93"/>
    <w:rsid w:val="00D743AF"/>
    <w:rsid w:val="00D747AB"/>
    <w:rsid w:val="00D74905"/>
    <w:rsid w:val="00D74C85"/>
    <w:rsid w:val="00D7561C"/>
    <w:rsid w:val="00D761C3"/>
    <w:rsid w:val="00D76236"/>
    <w:rsid w:val="00D7646F"/>
    <w:rsid w:val="00D76728"/>
    <w:rsid w:val="00D76C83"/>
    <w:rsid w:val="00D771C2"/>
    <w:rsid w:val="00D776A3"/>
    <w:rsid w:val="00D77B38"/>
    <w:rsid w:val="00D77FE6"/>
    <w:rsid w:val="00D801DE"/>
    <w:rsid w:val="00D80442"/>
    <w:rsid w:val="00D80B17"/>
    <w:rsid w:val="00D80E24"/>
    <w:rsid w:val="00D80EC2"/>
    <w:rsid w:val="00D8234B"/>
    <w:rsid w:val="00D83228"/>
    <w:rsid w:val="00D84B60"/>
    <w:rsid w:val="00D84C92"/>
    <w:rsid w:val="00D85074"/>
    <w:rsid w:val="00D8570D"/>
    <w:rsid w:val="00D8617D"/>
    <w:rsid w:val="00D865DE"/>
    <w:rsid w:val="00D86B91"/>
    <w:rsid w:val="00D90125"/>
    <w:rsid w:val="00D90AF3"/>
    <w:rsid w:val="00D9134B"/>
    <w:rsid w:val="00D92104"/>
    <w:rsid w:val="00D92982"/>
    <w:rsid w:val="00D92A64"/>
    <w:rsid w:val="00D92CE7"/>
    <w:rsid w:val="00D93955"/>
    <w:rsid w:val="00D939F5"/>
    <w:rsid w:val="00D93C82"/>
    <w:rsid w:val="00D943B0"/>
    <w:rsid w:val="00D95309"/>
    <w:rsid w:val="00D959D3"/>
    <w:rsid w:val="00D96429"/>
    <w:rsid w:val="00DA02B8"/>
    <w:rsid w:val="00DA0847"/>
    <w:rsid w:val="00DA0B0D"/>
    <w:rsid w:val="00DA0D43"/>
    <w:rsid w:val="00DA1B12"/>
    <w:rsid w:val="00DA2863"/>
    <w:rsid w:val="00DA2EED"/>
    <w:rsid w:val="00DA31BE"/>
    <w:rsid w:val="00DA3384"/>
    <w:rsid w:val="00DA393C"/>
    <w:rsid w:val="00DA3F18"/>
    <w:rsid w:val="00DA3FE0"/>
    <w:rsid w:val="00DA405A"/>
    <w:rsid w:val="00DA4C8B"/>
    <w:rsid w:val="00DA513E"/>
    <w:rsid w:val="00DA54C9"/>
    <w:rsid w:val="00DA5750"/>
    <w:rsid w:val="00DA5C93"/>
    <w:rsid w:val="00DA6593"/>
    <w:rsid w:val="00DA6739"/>
    <w:rsid w:val="00DA675E"/>
    <w:rsid w:val="00DA6789"/>
    <w:rsid w:val="00DA6A95"/>
    <w:rsid w:val="00DA6AEB"/>
    <w:rsid w:val="00DA6C4C"/>
    <w:rsid w:val="00DA6CAE"/>
    <w:rsid w:val="00DA6ED5"/>
    <w:rsid w:val="00DA7671"/>
    <w:rsid w:val="00DB065E"/>
    <w:rsid w:val="00DB1473"/>
    <w:rsid w:val="00DB1510"/>
    <w:rsid w:val="00DB1A9E"/>
    <w:rsid w:val="00DB2B43"/>
    <w:rsid w:val="00DB31D6"/>
    <w:rsid w:val="00DB3D87"/>
    <w:rsid w:val="00DB3EAA"/>
    <w:rsid w:val="00DB4005"/>
    <w:rsid w:val="00DB5B6D"/>
    <w:rsid w:val="00DB6268"/>
    <w:rsid w:val="00DB62CE"/>
    <w:rsid w:val="00DB63D3"/>
    <w:rsid w:val="00DB6ADD"/>
    <w:rsid w:val="00DB7024"/>
    <w:rsid w:val="00DB7117"/>
    <w:rsid w:val="00DB75D9"/>
    <w:rsid w:val="00DB768B"/>
    <w:rsid w:val="00DB7909"/>
    <w:rsid w:val="00DC04DC"/>
    <w:rsid w:val="00DC1C0E"/>
    <w:rsid w:val="00DC245B"/>
    <w:rsid w:val="00DC28DE"/>
    <w:rsid w:val="00DC2D23"/>
    <w:rsid w:val="00DC2D26"/>
    <w:rsid w:val="00DC346E"/>
    <w:rsid w:val="00DC34EB"/>
    <w:rsid w:val="00DC380C"/>
    <w:rsid w:val="00DC414A"/>
    <w:rsid w:val="00DC4A02"/>
    <w:rsid w:val="00DC5269"/>
    <w:rsid w:val="00DC55C3"/>
    <w:rsid w:val="00DC5C98"/>
    <w:rsid w:val="00DC5D1C"/>
    <w:rsid w:val="00DC688D"/>
    <w:rsid w:val="00DC7214"/>
    <w:rsid w:val="00DC7A6B"/>
    <w:rsid w:val="00DC7FC8"/>
    <w:rsid w:val="00DD050A"/>
    <w:rsid w:val="00DD0D6B"/>
    <w:rsid w:val="00DD2027"/>
    <w:rsid w:val="00DD27A3"/>
    <w:rsid w:val="00DD28EC"/>
    <w:rsid w:val="00DD2B16"/>
    <w:rsid w:val="00DD37EA"/>
    <w:rsid w:val="00DD4242"/>
    <w:rsid w:val="00DD425A"/>
    <w:rsid w:val="00DD4518"/>
    <w:rsid w:val="00DD474B"/>
    <w:rsid w:val="00DD4EB3"/>
    <w:rsid w:val="00DD4F4B"/>
    <w:rsid w:val="00DD51A0"/>
    <w:rsid w:val="00DD5659"/>
    <w:rsid w:val="00DD59C3"/>
    <w:rsid w:val="00DD5C2C"/>
    <w:rsid w:val="00DD6D0E"/>
    <w:rsid w:val="00DD6D25"/>
    <w:rsid w:val="00DD73D0"/>
    <w:rsid w:val="00DE0D98"/>
    <w:rsid w:val="00DE0E9A"/>
    <w:rsid w:val="00DE24F4"/>
    <w:rsid w:val="00DE2656"/>
    <w:rsid w:val="00DE2CF9"/>
    <w:rsid w:val="00DE3830"/>
    <w:rsid w:val="00DE3C8F"/>
    <w:rsid w:val="00DE404E"/>
    <w:rsid w:val="00DE41EE"/>
    <w:rsid w:val="00DE454A"/>
    <w:rsid w:val="00DE4C86"/>
    <w:rsid w:val="00DE4D5B"/>
    <w:rsid w:val="00DE5159"/>
    <w:rsid w:val="00DE65E1"/>
    <w:rsid w:val="00DE6EAC"/>
    <w:rsid w:val="00DE6FE0"/>
    <w:rsid w:val="00DE7127"/>
    <w:rsid w:val="00DE76E7"/>
    <w:rsid w:val="00DF04A7"/>
    <w:rsid w:val="00DF0A1B"/>
    <w:rsid w:val="00DF16B1"/>
    <w:rsid w:val="00DF19EA"/>
    <w:rsid w:val="00DF1BB8"/>
    <w:rsid w:val="00DF1BEF"/>
    <w:rsid w:val="00DF1E3E"/>
    <w:rsid w:val="00DF1E5B"/>
    <w:rsid w:val="00DF2275"/>
    <w:rsid w:val="00DF31E2"/>
    <w:rsid w:val="00DF34E9"/>
    <w:rsid w:val="00DF36EA"/>
    <w:rsid w:val="00DF375A"/>
    <w:rsid w:val="00DF3764"/>
    <w:rsid w:val="00DF3F5E"/>
    <w:rsid w:val="00DF3FBA"/>
    <w:rsid w:val="00DF4CC7"/>
    <w:rsid w:val="00DF52A6"/>
    <w:rsid w:val="00DF558A"/>
    <w:rsid w:val="00DF5653"/>
    <w:rsid w:val="00DF5664"/>
    <w:rsid w:val="00DF58E4"/>
    <w:rsid w:val="00DF65BA"/>
    <w:rsid w:val="00E005BD"/>
    <w:rsid w:val="00E006CB"/>
    <w:rsid w:val="00E00853"/>
    <w:rsid w:val="00E022B7"/>
    <w:rsid w:val="00E02304"/>
    <w:rsid w:val="00E02528"/>
    <w:rsid w:val="00E02798"/>
    <w:rsid w:val="00E02BAE"/>
    <w:rsid w:val="00E039BA"/>
    <w:rsid w:val="00E03B76"/>
    <w:rsid w:val="00E053BE"/>
    <w:rsid w:val="00E0596E"/>
    <w:rsid w:val="00E06F66"/>
    <w:rsid w:val="00E078EA"/>
    <w:rsid w:val="00E079D1"/>
    <w:rsid w:val="00E10534"/>
    <w:rsid w:val="00E11600"/>
    <w:rsid w:val="00E11DFA"/>
    <w:rsid w:val="00E1298D"/>
    <w:rsid w:val="00E12991"/>
    <w:rsid w:val="00E131F4"/>
    <w:rsid w:val="00E14040"/>
    <w:rsid w:val="00E1410B"/>
    <w:rsid w:val="00E143E8"/>
    <w:rsid w:val="00E154B0"/>
    <w:rsid w:val="00E15AB6"/>
    <w:rsid w:val="00E15BB0"/>
    <w:rsid w:val="00E15E77"/>
    <w:rsid w:val="00E16071"/>
    <w:rsid w:val="00E16DAF"/>
    <w:rsid w:val="00E16E15"/>
    <w:rsid w:val="00E172FE"/>
    <w:rsid w:val="00E17550"/>
    <w:rsid w:val="00E176F5"/>
    <w:rsid w:val="00E1771D"/>
    <w:rsid w:val="00E20235"/>
    <w:rsid w:val="00E20518"/>
    <w:rsid w:val="00E2298B"/>
    <w:rsid w:val="00E24001"/>
    <w:rsid w:val="00E24013"/>
    <w:rsid w:val="00E24BC5"/>
    <w:rsid w:val="00E24CA3"/>
    <w:rsid w:val="00E253CC"/>
    <w:rsid w:val="00E254CF"/>
    <w:rsid w:val="00E259F8"/>
    <w:rsid w:val="00E26558"/>
    <w:rsid w:val="00E272FC"/>
    <w:rsid w:val="00E27A83"/>
    <w:rsid w:val="00E27D9D"/>
    <w:rsid w:val="00E30889"/>
    <w:rsid w:val="00E30D6E"/>
    <w:rsid w:val="00E31A76"/>
    <w:rsid w:val="00E32825"/>
    <w:rsid w:val="00E32DA2"/>
    <w:rsid w:val="00E334BB"/>
    <w:rsid w:val="00E336FB"/>
    <w:rsid w:val="00E33818"/>
    <w:rsid w:val="00E33B4D"/>
    <w:rsid w:val="00E34668"/>
    <w:rsid w:val="00E356E5"/>
    <w:rsid w:val="00E35AC6"/>
    <w:rsid w:val="00E36815"/>
    <w:rsid w:val="00E36F81"/>
    <w:rsid w:val="00E37F4A"/>
    <w:rsid w:val="00E401C1"/>
    <w:rsid w:val="00E416A9"/>
    <w:rsid w:val="00E41DFD"/>
    <w:rsid w:val="00E421B7"/>
    <w:rsid w:val="00E424CE"/>
    <w:rsid w:val="00E42692"/>
    <w:rsid w:val="00E42A37"/>
    <w:rsid w:val="00E43242"/>
    <w:rsid w:val="00E43423"/>
    <w:rsid w:val="00E4345B"/>
    <w:rsid w:val="00E44C8F"/>
    <w:rsid w:val="00E452F1"/>
    <w:rsid w:val="00E4537F"/>
    <w:rsid w:val="00E454C1"/>
    <w:rsid w:val="00E454F9"/>
    <w:rsid w:val="00E45765"/>
    <w:rsid w:val="00E4600F"/>
    <w:rsid w:val="00E4635F"/>
    <w:rsid w:val="00E46AC3"/>
    <w:rsid w:val="00E470FE"/>
    <w:rsid w:val="00E47811"/>
    <w:rsid w:val="00E47AE1"/>
    <w:rsid w:val="00E47CEA"/>
    <w:rsid w:val="00E50045"/>
    <w:rsid w:val="00E50145"/>
    <w:rsid w:val="00E506FE"/>
    <w:rsid w:val="00E5098C"/>
    <w:rsid w:val="00E50CB8"/>
    <w:rsid w:val="00E51373"/>
    <w:rsid w:val="00E5167D"/>
    <w:rsid w:val="00E523AE"/>
    <w:rsid w:val="00E52E13"/>
    <w:rsid w:val="00E52F11"/>
    <w:rsid w:val="00E53658"/>
    <w:rsid w:val="00E53931"/>
    <w:rsid w:val="00E54131"/>
    <w:rsid w:val="00E5433D"/>
    <w:rsid w:val="00E54A90"/>
    <w:rsid w:val="00E562D3"/>
    <w:rsid w:val="00E5640D"/>
    <w:rsid w:val="00E56C7C"/>
    <w:rsid w:val="00E56F46"/>
    <w:rsid w:val="00E56F8B"/>
    <w:rsid w:val="00E57C11"/>
    <w:rsid w:val="00E60213"/>
    <w:rsid w:val="00E605CD"/>
    <w:rsid w:val="00E6153F"/>
    <w:rsid w:val="00E624B9"/>
    <w:rsid w:val="00E62CCE"/>
    <w:rsid w:val="00E62F5C"/>
    <w:rsid w:val="00E63036"/>
    <w:rsid w:val="00E632C2"/>
    <w:rsid w:val="00E63792"/>
    <w:rsid w:val="00E64BF6"/>
    <w:rsid w:val="00E65BF1"/>
    <w:rsid w:val="00E661B2"/>
    <w:rsid w:val="00E66A25"/>
    <w:rsid w:val="00E67271"/>
    <w:rsid w:val="00E67716"/>
    <w:rsid w:val="00E67EFE"/>
    <w:rsid w:val="00E71464"/>
    <w:rsid w:val="00E71E24"/>
    <w:rsid w:val="00E72730"/>
    <w:rsid w:val="00E73B34"/>
    <w:rsid w:val="00E74D29"/>
    <w:rsid w:val="00E74D35"/>
    <w:rsid w:val="00E75334"/>
    <w:rsid w:val="00E75643"/>
    <w:rsid w:val="00E75A56"/>
    <w:rsid w:val="00E75C66"/>
    <w:rsid w:val="00E765DB"/>
    <w:rsid w:val="00E776FE"/>
    <w:rsid w:val="00E804C6"/>
    <w:rsid w:val="00E80846"/>
    <w:rsid w:val="00E8098F"/>
    <w:rsid w:val="00E80BBD"/>
    <w:rsid w:val="00E818E2"/>
    <w:rsid w:val="00E8267B"/>
    <w:rsid w:val="00E82D6F"/>
    <w:rsid w:val="00E835FF"/>
    <w:rsid w:val="00E83C2F"/>
    <w:rsid w:val="00E83C74"/>
    <w:rsid w:val="00E83CEE"/>
    <w:rsid w:val="00E85317"/>
    <w:rsid w:val="00E85A81"/>
    <w:rsid w:val="00E85AAD"/>
    <w:rsid w:val="00E85AB4"/>
    <w:rsid w:val="00E86550"/>
    <w:rsid w:val="00E86661"/>
    <w:rsid w:val="00E87431"/>
    <w:rsid w:val="00E87890"/>
    <w:rsid w:val="00E87C3B"/>
    <w:rsid w:val="00E9044C"/>
    <w:rsid w:val="00E90B63"/>
    <w:rsid w:val="00E90D26"/>
    <w:rsid w:val="00E91938"/>
    <w:rsid w:val="00E91F18"/>
    <w:rsid w:val="00E9226D"/>
    <w:rsid w:val="00E92811"/>
    <w:rsid w:val="00E92E74"/>
    <w:rsid w:val="00E930AC"/>
    <w:rsid w:val="00E935B2"/>
    <w:rsid w:val="00E93BCD"/>
    <w:rsid w:val="00E9414C"/>
    <w:rsid w:val="00E9426E"/>
    <w:rsid w:val="00E94A14"/>
    <w:rsid w:val="00E950D4"/>
    <w:rsid w:val="00E952F8"/>
    <w:rsid w:val="00E9617F"/>
    <w:rsid w:val="00E96C10"/>
    <w:rsid w:val="00E96CC6"/>
    <w:rsid w:val="00E97107"/>
    <w:rsid w:val="00E974ED"/>
    <w:rsid w:val="00E97515"/>
    <w:rsid w:val="00EA0C6E"/>
    <w:rsid w:val="00EA0F32"/>
    <w:rsid w:val="00EA1063"/>
    <w:rsid w:val="00EA1953"/>
    <w:rsid w:val="00EA1A3E"/>
    <w:rsid w:val="00EA2065"/>
    <w:rsid w:val="00EA2255"/>
    <w:rsid w:val="00EA2449"/>
    <w:rsid w:val="00EA416C"/>
    <w:rsid w:val="00EA4EBF"/>
    <w:rsid w:val="00EA5849"/>
    <w:rsid w:val="00EA5941"/>
    <w:rsid w:val="00EA5CFC"/>
    <w:rsid w:val="00EA6680"/>
    <w:rsid w:val="00EA6C40"/>
    <w:rsid w:val="00EA6D33"/>
    <w:rsid w:val="00EA73C3"/>
    <w:rsid w:val="00EA7440"/>
    <w:rsid w:val="00EA74D2"/>
    <w:rsid w:val="00EA7762"/>
    <w:rsid w:val="00EA7D02"/>
    <w:rsid w:val="00EB0F4F"/>
    <w:rsid w:val="00EB18D2"/>
    <w:rsid w:val="00EB1A48"/>
    <w:rsid w:val="00EB20F6"/>
    <w:rsid w:val="00EB21E5"/>
    <w:rsid w:val="00EB2247"/>
    <w:rsid w:val="00EB26DB"/>
    <w:rsid w:val="00EB2805"/>
    <w:rsid w:val="00EB3BBC"/>
    <w:rsid w:val="00EB3C83"/>
    <w:rsid w:val="00EB3D9C"/>
    <w:rsid w:val="00EB42BC"/>
    <w:rsid w:val="00EB5002"/>
    <w:rsid w:val="00EB60CE"/>
    <w:rsid w:val="00EB6144"/>
    <w:rsid w:val="00EB632B"/>
    <w:rsid w:val="00EB6854"/>
    <w:rsid w:val="00EB69C6"/>
    <w:rsid w:val="00EB6DAE"/>
    <w:rsid w:val="00EB6EEF"/>
    <w:rsid w:val="00EB7D53"/>
    <w:rsid w:val="00EB7DA3"/>
    <w:rsid w:val="00EC0139"/>
    <w:rsid w:val="00EC1320"/>
    <w:rsid w:val="00EC2A12"/>
    <w:rsid w:val="00EC2DF5"/>
    <w:rsid w:val="00EC2E60"/>
    <w:rsid w:val="00EC31FA"/>
    <w:rsid w:val="00EC430E"/>
    <w:rsid w:val="00EC58DD"/>
    <w:rsid w:val="00EC5D8E"/>
    <w:rsid w:val="00EC62EB"/>
    <w:rsid w:val="00EC64BC"/>
    <w:rsid w:val="00EC64FA"/>
    <w:rsid w:val="00EC69D0"/>
    <w:rsid w:val="00EC6C2F"/>
    <w:rsid w:val="00EC70A7"/>
    <w:rsid w:val="00EC71AA"/>
    <w:rsid w:val="00EC73D7"/>
    <w:rsid w:val="00EC777A"/>
    <w:rsid w:val="00ED05B8"/>
    <w:rsid w:val="00ED0F0A"/>
    <w:rsid w:val="00ED10A7"/>
    <w:rsid w:val="00ED160F"/>
    <w:rsid w:val="00ED1C2E"/>
    <w:rsid w:val="00ED1E81"/>
    <w:rsid w:val="00ED26ED"/>
    <w:rsid w:val="00ED3199"/>
    <w:rsid w:val="00ED44B0"/>
    <w:rsid w:val="00ED4AC2"/>
    <w:rsid w:val="00ED4B69"/>
    <w:rsid w:val="00ED5427"/>
    <w:rsid w:val="00ED5E34"/>
    <w:rsid w:val="00ED6742"/>
    <w:rsid w:val="00ED69C3"/>
    <w:rsid w:val="00ED75F9"/>
    <w:rsid w:val="00ED7D4C"/>
    <w:rsid w:val="00EE057C"/>
    <w:rsid w:val="00EE09B5"/>
    <w:rsid w:val="00EE0A2E"/>
    <w:rsid w:val="00EE0FA6"/>
    <w:rsid w:val="00EE1B4B"/>
    <w:rsid w:val="00EE1C23"/>
    <w:rsid w:val="00EE20AD"/>
    <w:rsid w:val="00EE25DA"/>
    <w:rsid w:val="00EE2B87"/>
    <w:rsid w:val="00EE2D81"/>
    <w:rsid w:val="00EE2DB7"/>
    <w:rsid w:val="00EE3146"/>
    <w:rsid w:val="00EE32A0"/>
    <w:rsid w:val="00EE32DD"/>
    <w:rsid w:val="00EE353E"/>
    <w:rsid w:val="00EE3AE4"/>
    <w:rsid w:val="00EE4484"/>
    <w:rsid w:val="00EE45A1"/>
    <w:rsid w:val="00EE47B2"/>
    <w:rsid w:val="00EE4804"/>
    <w:rsid w:val="00EE5833"/>
    <w:rsid w:val="00EE5D6F"/>
    <w:rsid w:val="00EE5FC0"/>
    <w:rsid w:val="00EE628D"/>
    <w:rsid w:val="00EE71BC"/>
    <w:rsid w:val="00EE75B4"/>
    <w:rsid w:val="00EE799C"/>
    <w:rsid w:val="00EF0317"/>
    <w:rsid w:val="00EF0D1A"/>
    <w:rsid w:val="00EF0DE6"/>
    <w:rsid w:val="00EF16AE"/>
    <w:rsid w:val="00EF1CE2"/>
    <w:rsid w:val="00EF300D"/>
    <w:rsid w:val="00EF302B"/>
    <w:rsid w:val="00EF3096"/>
    <w:rsid w:val="00EF36FB"/>
    <w:rsid w:val="00EF3840"/>
    <w:rsid w:val="00EF4503"/>
    <w:rsid w:val="00EF4837"/>
    <w:rsid w:val="00EF4B37"/>
    <w:rsid w:val="00EF50BB"/>
    <w:rsid w:val="00EF53FF"/>
    <w:rsid w:val="00EF556A"/>
    <w:rsid w:val="00EF6000"/>
    <w:rsid w:val="00EF6313"/>
    <w:rsid w:val="00EF69D3"/>
    <w:rsid w:val="00EF6BF7"/>
    <w:rsid w:val="00EF7DB0"/>
    <w:rsid w:val="00EF7DC2"/>
    <w:rsid w:val="00F00192"/>
    <w:rsid w:val="00F006F9"/>
    <w:rsid w:val="00F00B2B"/>
    <w:rsid w:val="00F00CE0"/>
    <w:rsid w:val="00F01DF6"/>
    <w:rsid w:val="00F01E85"/>
    <w:rsid w:val="00F022C0"/>
    <w:rsid w:val="00F025BD"/>
    <w:rsid w:val="00F02D32"/>
    <w:rsid w:val="00F0340D"/>
    <w:rsid w:val="00F03C1A"/>
    <w:rsid w:val="00F04517"/>
    <w:rsid w:val="00F049AF"/>
    <w:rsid w:val="00F0500C"/>
    <w:rsid w:val="00F059A6"/>
    <w:rsid w:val="00F05C37"/>
    <w:rsid w:val="00F05E50"/>
    <w:rsid w:val="00F06204"/>
    <w:rsid w:val="00F06233"/>
    <w:rsid w:val="00F076B1"/>
    <w:rsid w:val="00F0796D"/>
    <w:rsid w:val="00F07D6C"/>
    <w:rsid w:val="00F10F90"/>
    <w:rsid w:val="00F11518"/>
    <w:rsid w:val="00F116F1"/>
    <w:rsid w:val="00F1246B"/>
    <w:rsid w:val="00F12D5C"/>
    <w:rsid w:val="00F1359F"/>
    <w:rsid w:val="00F13605"/>
    <w:rsid w:val="00F13946"/>
    <w:rsid w:val="00F13F8A"/>
    <w:rsid w:val="00F14A72"/>
    <w:rsid w:val="00F15254"/>
    <w:rsid w:val="00F15492"/>
    <w:rsid w:val="00F15A87"/>
    <w:rsid w:val="00F162B9"/>
    <w:rsid w:val="00F16B44"/>
    <w:rsid w:val="00F16CDE"/>
    <w:rsid w:val="00F1708C"/>
    <w:rsid w:val="00F1721D"/>
    <w:rsid w:val="00F2004A"/>
    <w:rsid w:val="00F20E0F"/>
    <w:rsid w:val="00F20E45"/>
    <w:rsid w:val="00F21666"/>
    <w:rsid w:val="00F22D0B"/>
    <w:rsid w:val="00F23756"/>
    <w:rsid w:val="00F2405F"/>
    <w:rsid w:val="00F24097"/>
    <w:rsid w:val="00F241BA"/>
    <w:rsid w:val="00F2523A"/>
    <w:rsid w:val="00F25A7B"/>
    <w:rsid w:val="00F25BB0"/>
    <w:rsid w:val="00F25FFA"/>
    <w:rsid w:val="00F27A37"/>
    <w:rsid w:val="00F30F54"/>
    <w:rsid w:val="00F310D2"/>
    <w:rsid w:val="00F316D2"/>
    <w:rsid w:val="00F31BE1"/>
    <w:rsid w:val="00F32711"/>
    <w:rsid w:val="00F333F9"/>
    <w:rsid w:val="00F33E9B"/>
    <w:rsid w:val="00F34069"/>
    <w:rsid w:val="00F35B49"/>
    <w:rsid w:val="00F364AB"/>
    <w:rsid w:val="00F365A4"/>
    <w:rsid w:val="00F368E0"/>
    <w:rsid w:val="00F36AB2"/>
    <w:rsid w:val="00F36F3D"/>
    <w:rsid w:val="00F376F1"/>
    <w:rsid w:val="00F40109"/>
    <w:rsid w:val="00F40456"/>
    <w:rsid w:val="00F40939"/>
    <w:rsid w:val="00F40A47"/>
    <w:rsid w:val="00F40A96"/>
    <w:rsid w:val="00F413C0"/>
    <w:rsid w:val="00F415B8"/>
    <w:rsid w:val="00F426AB"/>
    <w:rsid w:val="00F427A8"/>
    <w:rsid w:val="00F42B1B"/>
    <w:rsid w:val="00F4309D"/>
    <w:rsid w:val="00F441C6"/>
    <w:rsid w:val="00F448F9"/>
    <w:rsid w:val="00F44CA2"/>
    <w:rsid w:val="00F4510A"/>
    <w:rsid w:val="00F45181"/>
    <w:rsid w:val="00F45680"/>
    <w:rsid w:val="00F47093"/>
    <w:rsid w:val="00F47349"/>
    <w:rsid w:val="00F4747F"/>
    <w:rsid w:val="00F4770C"/>
    <w:rsid w:val="00F477BD"/>
    <w:rsid w:val="00F47A08"/>
    <w:rsid w:val="00F47B97"/>
    <w:rsid w:val="00F50080"/>
    <w:rsid w:val="00F51B84"/>
    <w:rsid w:val="00F51C86"/>
    <w:rsid w:val="00F529D3"/>
    <w:rsid w:val="00F5338F"/>
    <w:rsid w:val="00F53491"/>
    <w:rsid w:val="00F53B61"/>
    <w:rsid w:val="00F54DC0"/>
    <w:rsid w:val="00F5526F"/>
    <w:rsid w:val="00F56EA4"/>
    <w:rsid w:val="00F56FA6"/>
    <w:rsid w:val="00F57079"/>
    <w:rsid w:val="00F57ED3"/>
    <w:rsid w:val="00F602AB"/>
    <w:rsid w:val="00F603CD"/>
    <w:rsid w:val="00F604E2"/>
    <w:rsid w:val="00F60709"/>
    <w:rsid w:val="00F61DE9"/>
    <w:rsid w:val="00F62A19"/>
    <w:rsid w:val="00F63B2F"/>
    <w:rsid w:val="00F641B6"/>
    <w:rsid w:val="00F6454E"/>
    <w:rsid w:val="00F64B6E"/>
    <w:rsid w:val="00F65098"/>
    <w:rsid w:val="00F65A1C"/>
    <w:rsid w:val="00F65B1F"/>
    <w:rsid w:val="00F65F76"/>
    <w:rsid w:val="00F66F50"/>
    <w:rsid w:val="00F672A1"/>
    <w:rsid w:val="00F67393"/>
    <w:rsid w:val="00F67B93"/>
    <w:rsid w:val="00F67CC0"/>
    <w:rsid w:val="00F67FC5"/>
    <w:rsid w:val="00F70CAF"/>
    <w:rsid w:val="00F716AB"/>
    <w:rsid w:val="00F716C1"/>
    <w:rsid w:val="00F721FB"/>
    <w:rsid w:val="00F72445"/>
    <w:rsid w:val="00F724D6"/>
    <w:rsid w:val="00F72BB5"/>
    <w:rsid w:val="00F72CFD"/>
    <w:rsid w:val="00F73046"/>
    <w:rsid w:val="00F73302"/>
    <w:rsid w:val="00F75550"/>
    <w:rsid w:val="00F77681"/>
    <w:rsid w:val="00F77E04"/>
    <w:rsid w:val="00F80EEE"/>
    <w:rsid w:val="00F814AB"/>
    <w:rsid w:val="00F827F1"/>
    <w:rsid w:val="00F82FF8"/>
    <w:rsid w:val="00F8330D"/>
    <w:rsid w:val="00F8385A"/>
    <w:rsid w:val="00F83A69"/>
    <w:rsid w:val="00F842B7"/>
    <w:rsid w:val="00F84305"/>
    <w:rsid w:val="00F84524"/>
    <w:rsid w:val="00F8485C"/>
    <w:rsid w:val="00F8576F"/>
    <w:rsid w:val="00F85EC8"/>
    <w:rsid w:val="00F86066"/>
    <w:rsid w:val="00F87149"/>
    <w:rsid w:val="00F87FFE"/>
    <w:rsid w:val="00F909AF"/>
    <w:rsid w:val="00F9104F"/>
    <w:rsid w:val="00F9172D"/>
    <w:rsid w:val="00F91B48"/>
    <w:rsid w:val="00F91FAE"/>
    <w:rsid w:val="00F9207B"/>
    <w:rsid w:val="00F92147"/>
    <w:rsid w:val="00F92920"/>
    <w:rsid w:val="00F93915"/>
    <w:rsid w:val="00F939E5"/>
    <w:rsid w:val="00F945C0"/>
    <w:rsid w:val="00F94DC9"/>
    <w:rsid w:val="00F94F36"/>
    <w:rsid w:val="00F954C9"/>
    <w:rsid w:val="00F96580"/>
    <w:rsid w:val="00F9694B"/>
    <w:rsid w:val="00F96E4D"/>
    <w:rsid w:val="00F9725B"/>
    <w:rsid w:val="00F9784E"/>
    <w:rsid w:val="00F979D9"/>
    <w:rsid w:val="00F97DAC"/>
    <w:rsid w:val="00F97E54"/>
    <w:rsid w:val="00FA0073"/>
    <w:rsid w:val="00FA21B9"/>
    <w:rsid w:val="00FA252B"/>
    <w:rsid w:val="00FA4CF0"/>
    <w:rsid w:val="00FA5937"/>
    <w:rsid w:val="00FA5AF3"/>
    <w:rsid w:val="00FA5DB2"/>
    <w:rsid w:val="00FA5E11"/>
    <w:rsid w:val="00FA5E24"/>
    <w:rsid w:val="00FA61AA"/>
    <w:rsid w:val="00FA61AC"/>
    <w:rsid w:val="00FA69A4"/>
    <w:rsid w:val="00FA6A9B"/>
    <w:rsid w:val="00FA7684"/>
    <w:rsid w:val="00FA77D8"/>
    <w:rsid w:val="00FA7D02"/>
    <w:rsid w:val="00FB1279"/>
    <w:rsid w:val="00FB1495"/>
    <w:rsid w:val="00FB1806"/>
    <w:rsid w:val="00FB205C"/>
    <w:rsid w:val="00FB22AE"/>
    <w:rsid w:val="00FB238A"/>
    <w:rsid w:val="00FB252A"/>
    <w:rsid w:val="00FB287E"/>
    <w:rsid w:val="00FB28CA"/>
    <w:rsid w:val="00FB2A14"/>
    <w:rsid w:val="00FB2D43"/>
    <w:rsid w:val="00FB329E"/>
    <w:rsid w:val="00FB3332"/>
    <w:rsid w:val="00FB37CF"/>
    <w:rsid w:val="00FB3B8C"/>
    <w:rsid w:val="00FB4AFD"/>
    <w:rsid w:val="00FB51BF"/>
    <w:rsid w:val="00FB53A2"/>
    <w:rsid w:val="00FB5600"/>
    <w:rsid w:val="00FB5DE2"/>
    <w:rsid w:val="00FB609D"/>
    <w:rsid w:val="00FB7009"/>
    <w:rsid w:val="00FB700A"/>
    <w:rsid w:val="00FB708C"/>
    <w:rsid w:val="00FB7D04"/>
    <w:rsid w:val="00FC0400"/>
    <w:rsid w:val="00FC081D"/>
    <w:rsid w:val="00FC1139"/>
    <w:rsid w:val="00FC12B0"/>
    <w:rsid w:val="00FC15EB"/>
    <w:rsid w:val="00FC162B"/>
    <w:rsid w:val="00FC1EB2"/>
    <w:rsid w:val="00FC2928"/>
    <w:rsid w:val="00FC2F48"/>
    <w:rsid w:val="00FC42A9"/>
    <w:rsid w:val="00FC582F"/>
    <w:rsid w:val="00FC65A9"/>
    <w:rsid w:val="00FC664B"/>
    <w:rsid w:val="00FC7166"/>
    <w:rsid w:val="00FD0075"/>
    <w:rsid w:val="00FD0370"/>
    <w:rsid w:val="00FD03C3"/>
    <w:rsid w:val="00FD08A5"/>
    <w:rsid w:val="00FD145A"/>
    <w:rsid w:val="00FD1694"/>
    <w:rsid w:val="00FD2C07"/>
    <w:rsid w:val="00FD3CD2"/>
    <w:rsid w:val="00FD41CA"/>
    <w:rsid w:val="00FD6187"/>
    <w:rsid w:val="00FD7636"/>
    <w:rsid w:val="00FD76BE"/>
    <w:rsid w:val="00FD7C25"/>
    <w:rsid w:val="00FE0847"/>
    <w:rsid w:val="00FE0C7C"/>
    <w:rsid w:val="00FE14CF"/>
    <w:rsid w:val="00FE17EC"/>
    <w:rsid w:val="00FE1D35"/>
    <w:rsid w:val="00FE1F21"/>
    <w:rsid w:val="00FE3229"/>
    <w:rsid w:val="00FE32D1"/>
    <w:rsid w:val="00FE417A"/>
    <w:rsid w:val="00FE4286"/>
    <w:rsid w:val="00FE4B09"/>
    <w:rsid w:val="00FE4C20"/>
    <w:rsid w:val="00FE6884"/>
    <w:rsid w:val="00FE74C3"/>
    <w:rsid w:val="00FE7DE7"/>
    <w:rsid w:val="00FF03C5"/>
    <w:rsid w:val="00FF087D"/>
    <w:rsid w:val="00FF179D"/>
    <w:rsid w:val="00FF1D74"/>
    <w:rsid w:val="00FF215C"/>
    <w:rsid w:val="00FF2C5A"/>
    <w:rsid w:val="00FF32E5"/>
    <w:rsid w:val="00FF35BA"/>
    <w:rsid w:val="00FF3D43"/>
    <w:rsid w:val="00FF3D51"/>
    <w:rsid w:val="00FF3E3A"/>
    <w:rsid w:val="00FF3F0E"/>
    <w:rsid w:val="00FF483D"/>
    <w:rsid w:val="00FF49E8"/>
    <w:rsid w:val="00FF5FA8"/>
    <w:rsid w:val="00FF672F"/>
    <w:rsid w:val="00FF67FF"/>
    <w:rsid w:val="00FF6889"/>
    <w:rsid w:val="00FF6F5A"/>
    <w:rsid w:val="00FF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55D669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A1C"/>
    <w:pPr>
      <w:spacing w:after="120" w:line="276" w:lineRule="auto"/>
    </w:pPr>
    <w:rPr>
      <w:rFonts w:ascii="Calibri" w:hAnsi="Calibri" w:cs="Calibri"/>
      <w:sz w:val="22"/>
      <w:szCs w:val="22"/>
      <w:lang w:eastAsia="en-US"/>
    </w:rPr>
  </w:style>
  <w:style w:type="paragraph" w:styleId="Heading1">
    <w:name w:val="heading 1"/>
    <w:basedOn w:val="Normal"/>
    <w:next w:val="Normal"/>
    <w:link w:val="Heading1Char"/>
    <w:uiPriority w:val="9"/>
    <w:qFormat/>
    <w:rsid w:val="00E35AC6"/>
    <w:pPr>
      <w:keepNext/>
      <w:outlineLvl w:val="0"/>
    </w:pPr>
    <w:rPr>
      <w:rFonts w:eastAsia="Times New Roman"/>
      <w:color w:val="005677"/>
      <w:sz w:val="48"/>
      <w:szCs w:val="32"/>
    </w:rPr>
  </w:style>
  <w:style w:type="paragraph" w:styleId="Heading2">
    <w:name w:val="heading 2"/>
    <w:basedOn w:val="Heading1"/>
    <w:next w:val="Normal"/>
    <w:link w:val="Heading2Char"/>
    <w:uiPriority w:val="9"/>
    <w:qFormat/>
    <w:rsid w:val="00E35AC6"/>
    <w:pPr>
      <w:outlineLvl w:val="1"/>
    </w:pPr>
    <w:rPr>
      <w:sz w:val="40"/>
      <w:szCs w:val="40"/>
    </w:rPr>
  </w:style>
  <w:style w:type="paragraph" w:styleId="Heading3">
    <w:name w:val="heading 3"/>
    <w:basedOn w:val="Heading1"/>
    <w:next w:val="Normal"/>
    <w:link w:val="Heading3Char"/>
    <w:uiPriority w:val="9"/>
    <w:qFormat/>
    <w:rsid w:val="00E35AC6"/>
    <w:pPr>
      <w:outlineLvl w:val="2"/>
    </w:pPr>
    <w:rPr>
      <w:sz w:val="32"/>
    </w:rPr>
  </w:style>
  <w:style w:type="paragraph" w:styleId="Heading4">
    <w:name w:val="heading 4"/>
    <w:basedOn w:val="Heading3"/>
    <w:next w:val="Normal"/>
    <w:link w:val="Heading4Char"/>
    <w:uiPriority w:val="9"/>
    <w:qFormat/>
    <w:rsid w:val="00E35AC6"/>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E35AC6"/>
    <w:rPr>
      <w:rFonts w:ascii="Calibri" w:eastAsia="Times New Roman" w:hAnsi="Calibri" w:cs="Calibri"/>
      <w:color w:val="005677"/>
      <w:sz w:val="48"/>
      <w:szCs w:val="32"/>
      <w:lang w:eastAsia="en-US"/>
    </w:rPr>
  </w:style>
  <w:style w:type="character" w:customStyle="1" w:styleId="Heading2Char">
    <w:name w:val="Heading 2 Char"/>
    <w:basedOn w:val="DefaultParagraphFont"/>
    <w:link w:val="Heading2"/>
    <w:uiPriority w:val="9"/>
    <w:rsid w:val="00E35AC6"/>
    <w:rPr>
      <w:rFonts w:ascii="Calibri" w:eastAsia="Times New Roman" w:hAnsi="Calibri"/>
      <w:color w:val="005677"/>
      <w:sz w:val="40"/>
      <w:szCs w:val="40"/>
      <w:lang w:eastAsia="en-US"/>
    </w:rPr>
  </w:style>
  <w:style w:type="character" w:customStyle="1" w:styleId="Heading3Char">
    <w:name w:val="Heading 3 Char"/>
    <w:basedOn w:val="DefaultParagraphFont"/>
    <w:link w:val="Heading3"/>
    <w:uiPriority w:val="9"/>
    <w:rsid w:val="00E35AC6"/>
    <w:rPr>
      <w:rFonts w:ascii="Calibri" w:eastAsia="Times New Roman" w:hAnsi="Calibri"/>
      <w:color w:val="005677"/>
      <w:sz w:val="32"/>
      <w:szCs w:val="32"/>
      <w:lang w:eastAsia="en-US"/>
    </w:rPr>
  </w:style>
  <w:style w:type="character" w:customStyle="1" w:styleId="Heading4Char">
    <w:name w:val="Heading 4 Char"/>
    <w:basedOn w:val="DefaultParagraphFont"/>
    <w:link w:val="Heading4"/>
    <w:uiPriority w:val="9"/>
    <w:rsid w:val="00E35AC6"/>
    <w:rPr>
      <w:rFonts w:ascii="Calibri" w:eastAsia="Times New Roman" w:hAnsi="Calibri"/>
      <w:color w:val="005677"/>
      <w:sz w:val="28"/>
      <w:szCs w:val="3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unhideWhenUsed/>
    <w:rsid w:val="00EB69C6"/>
    <w:pPr>
      <w:spacing w:after="0" w:line="240" w:lineRule="auto"/>
    </w:pPr>
    <w:rPr>
      <w:sz w:val="20"/>
      <w:szCs w:val="20"/>
    </w:rPr>
  </w:style>
  <w:style w:type="character" w:customStyle="1" w:styleId="FootnoteTextChar">
    <w:name w:val="Footnote Text Char"/>
    <w:basedOn w:val="DefaultParagraphFont"/>
    <w:link w:val="FootnoteText"/>
    <w:uiPriority w:val="99"/>
    <w:rsid w:val="00EB69C6"/>
    <w:rPr>
      <w:lang w:eastAsia="en-US"/>
    </w:rPr>
  </w:style>
  <w:style w:type="character" w:styleId="FootnoteReference">
    <w:name w:val="footnote reference"/>
    <w:basedOn w:val="DefaultParagraphFont"/>
    <w:uiPriority w:val="99"/>
    <w:unhideWhenUsed/>
    <w:rsid w:val="00EB69C6"/>
    <w:rPr>
      <w:vertAlign w:val="superscript"/>
    </w:rPr>
  </w:style>
  <w:style w:type="paragraph" w:styleId="Caption">
    <w:name w:val="caption"/>
    <w:basedOn w:val="Heading3"/>
    <w:next w:val="Normal"/>
    <w:uiPriority w:val="35"/>
    <w:unhideWhenUsed/>
    <w:qFormat/>
    <w:rsid w:val="00E35AC6"/>
    <w:rPr>
      <w:bCs/>
      <w:i/>
      <w:iCs/>
      <w:sz w:val="22"/>
      <w:szCs w:val="22"/>
    </w:rPr>
  </w:style>
  <w:style w:type="paragraph" w:customStyle="1" w:styleId="Note">
    <w:name w:val="Note"/>
    <w:basedOn w:val="Normal"/>
    <w:uiPriority w:val="99"/>
    <w:rsid w:val="00EB69C6"/>
    <w:pPr>
      <w:widowControl w:val="0"/>
      <w:suppressAutoHyphens/>
      <w:autoSpaceDE w:val="0"/>
      <w:autoSpaceDN w:val="0"/>
      <w:adjustRightInd w:val="0"/>
      <w:spacing w:after="0" w:line="200" w:lineRule="atLeast"/>
      <w:textAlignment w:val="center"/>
    </w:pPr>
    <w:rPr>
      <w:rFonts w:eastAsia="Times New Roman" w:cs="AGaramondPro-Regular"/>
      <w:color w:val="000000"/>
      <w:sz w:val="16"/>
      <w:szCs w:val="16"/>
      <w:lang w:val="en-US"/>
    </w:rPr>
  </w:style>
  <w:style w:type="paragraph" w:customStyle="1" w:styleId="TableheaderTable">
    <w:name w:val="Table header (Table)"/>
    <w:basedOn w:val="Normal"/>
    <w:autoRedefine/>
    <w:uiPriority w:val="99"/>
    <w:qFormat/>
    <w:rsid w:val="00C76398"/>
    <w:pPr>
      <w:widowControl w:val="0"/>
      <w:suppressAutoHyphens/>
      <w:autoSpaceDE w:val="0"/>
      <w:autoSpaceDN w:val="0"/>
      <w:adjustRightInd w:val="0"/>
      <w:spacing w:after="113" w:line="220" w:lineRule="atLeast"/>
      <w:ind w:left="1418" w:hanging="1418"/>
      <w:textAlignment w:val="center"/>
    </w:pPr>
    <w:rPr>
      <w:rFonts w:eastAsia="Times New Roman" w:cs="AGaramondPro-Regular"/>
      <w:b/>
      <w:bCs/>
      <w:spacing w:val="-2"/>
      <w:sz w:val="24"/>
      <w:szCs w:val="24"/>
      <w:lang w:val="en-US"/>
    </w:rPr>
  </w:style>
  <w:style w:type="character" w:styleId="CommentReference">
    <w:name w:val="annotation reference"/>
    <w:basedOn w:val="DefaultParagraphFont"/>
    <w:uiPriority w:val="99"/>
    <w:semiHidden/>
    <w:unhideWhenUsed/>
    <w:rsid w:val="002A24A6"/>
    <w:rPr>
      <w:sz w:val="16"/>
      <w:szCs w:val="16"/>
    </w:rPr>
  </w:style>
  <w:style w:type="paragraph" w:styleId="CommentText">
    <w:name w:val="annotation text"/>
    <w:basedOn w:val="Normal"/>
    <w:link w:val="CommentTextChar"/>
    <w:uiPriority w:val="99"/>
    <w:unhideWhenUsed/>
    <w:rsid w:val="002A24A6"/>
    <w:pPr>
      <w:spacing w:line="240" w:lineRule="auto"/>
    </w:pPr>
    <w:rPr>
      <w:sz w:val="20"/>
      <w:szCs w:val="20"/>
    </w:rPr>
  </w:style>
  <w:style w:type="character" w:customStyle="1" w:styleId="CommentTextChar">
    <w:name w:val="Comment Text Char"/>
    <w:basedOn w:val="DefaultParagraphFont"/>
    <w:link w:val="CommentText"/>
    <w:uiPriority w:val="99"/>
    <w:rsid w:val="002A24A6"/>
    <w:rPr>
      <w:lang w:eastAsia="en-US"/>
    </w:rPr>
  </w:style>
  <w:style w:type="paragraph" w:styleId="CommentSubject">
    <w:name w:val="annotation subject"/>
    <w:basedOn w:val="CommentText"/>
    <w:next w:val="CommentText"/>
    <w:link w:val="CommentSubjectChar"/>
    <w:uiPriority w:val="99"/>
    <w:semiHidden/>
    <w:unhideWhenUsed/>
    <w:rsid w:val="002A24A6"/>
    <w:rPr>
      <w:b/>
      <w:bCs/>
    </w:rPr>
  </w:style>
  <w:style w:type="character" w:customStyle="1" w:styleId="CommentSubjectChar">
    <w:name w:val="Comment Subject Char"/>
    <w:basedOn w:val="CommentTextChar"/>
    <w:link w:val="CommentSubject"/>
    <w:uiPriority w:val="99"/>
    <w:semiHidden/>
    <w:rsid w:val="002A24A6"/>
    <w:rPr>
      <w:b/>
      <w:bCs/>
      <w:lang w:eastAsia="en-US"/>
    </w:rPr>
  </w:style>
  <w:style w:type="paragraph" w:styleId="Revision">
    <w:name w:val="Revision"/>
    <w:hidden/>
    <w:uiPriority w:val="99"/>
    <w:semiHidden/>
    <w:rsid w:val="002A24A6"/>
    <w:rPr>
      <w:sz w:val="22"/>
      <w:szCs w:val="22"/>
      <w:lang w:eastAsia="en-US"/>
    </w:rPr>
  </w:style>
  <w:style w:type="table" w:customStyle="1" w:styleId="MediumShading1-Accent12">
    <w:name w:val="Medium Shading 1 - Accent 12"/>
    <w:basedOn w:val="TableNormal"/>
    <w:uiPriority w:val="63"/>
    <w:rsid w:val="00E20235"/>
    <w:tblPr>
      <w:tblStyleRowBandSize w:val="1"/>
      <w:tblStyleColBandSize w:val="1"/>
      <w:tblBorders>
        <w:top w:val="single" w:sz="8" w:space="0" w:color="ADAFB1" w:themeColor="accent1" w:themeTint="BF"/>
        <w:left w:val="single" w:sz="8" w:space="0" w:color="ADAFB1" w:themeColor="accent1" w:themeTint="BF"/>
        <w:bottom w:val="single" w:sz="8" w:space="0" w:color="ADAFB1" w:themeColor="accent1" w:themeTint="BF"/>
        <w:right w:val="single" w:sz="8" w:space="0" w:color="ADAFB1" w:themeColor="accent1" w:themeTint="BF"/>
        <w:insideH w:val="single" w:sz="8" w:space="0" w:color="ADAFB1" w:themeColor="accent1" w:themeTint="BF"/>
      </w:tblBorders>
    </w:tblPr>
    <w:tblStylePr w:type="firstRow">
      <w:pPr>
        <w:spacing w:before="0" w:after="0" w:line="240" w:lineRule="auto"/>
      </w:pPr>
      <w:rPr>
        <w:b/>
        <w:bCs/>
        <w:color w:val="FFFFFF" w:themeColor="background1"/>
      </w:rPr>
      <w:tblPr/>
      <w:tcPr>
        <w:tcBorders>
          <w:top w:val="single" w:sz="8" w:space="0" w:color="ADAFB1" w:themeColor="accent1" w:themeTint="BF"/>
          <w:left w:val="single" w:sz="8" w:space="0" w:color="ADAFB1" w:themeColor="accent1" w:themeTint="BF"/>
          <w:bottom w:val="single" w:sz="8" w:space="0" w:color="ADAFB1" w:themeColor="accent1" w:themeTint="BF"/>
          <w:right w:val="single" w:sz="8" w:space="0" w:color="ADAFB1" w:themeColor="accent1" w:themeTint="BF"/>
          <w:insideH w:val="nil"/>
          <w:insideV w:val="nil"/>
        </w:tcBorders>
        <w:shd w:val="clear" w:color="auto" w:fill="939598" w:themeFill="accent1"/>
      </w:tcPr>
    </w:tblStylePr>
    <w:tblStylePr w:type="lastRow">
      <w:pPr>
        <w:spacing w:before="0" w:after="0" w:line="240" w:lineRule="auto"/>
      </w:pPr>
      <w:rPr>
        <w:b/>
        <w:bCs/>
      </w:rPr>
      <w:tblPr/>
      <w:tcPr>
        <w:tcBorders>
          <w:top w:val="double" w:sz="6" w:space="0" w:color="ADAFB1" w:themeColor="accent1" w:themeTint="BF"/>
          <w:left w:val="single" w:sz="8" w:space="0" w:color="ADAFB1" w:themeColor="accent1" w:themeTint="BF"/>
          <w:bottom w:val="single" w:sz="8" w:space="0" w:color="ADAFB1" w:themeColor="accent1" w:themeTint="BF"/>
          <w:right w:val="single" w:sz="8" w:space="0" w:color="ADAFB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1" w:themeFillTint="3F"/>
      </w:tcPr>
    </w:tblStylePr>
    <w:tblStylePr w:type="band1Horz">
      <w:tblPr/>
      <w:tcPr>
        <w:tcBorders>
          <w:insideH w:val="nil"/>
          <w:insideV w:val="nil"/>
        </w:tcBorders>
        <w:shd w:val="clear" w:color="auto" w:fill="E4E4E5" w:themeFill="accent1" w:themeFillTint="3F"/>
      </w:tcPr>
    </w:tblStylePr>
    <w:tblStylePr w:type="band2Horz">
      <w:tblPr/>
      <w:tcPr>
        <w:tcBorders>
          <w:insideH w:val="nil"/>
          <w:insideV w:val="nil"/>
        </w:tcBorders>
      </w:tcPr>
    </w:tblStylePr>
  </w:style>
  <w:style w:type="paragraph" w:customStyle="1" w:styleId="ReportTitle">
    <w:name w:val="Report Title"/>
    <w:basedOn w:val="Normal"/>
    <w:uiPriority w:val="11"/>
    <w:qFormat/>
    <w:rsid w:val="0083160C"/>
    <w:rPr>
      <w:b/>
      <w:color w:val="004059" w:themeColor="text2" w:themeShade="BF"/>
      <w:sz w:val="52"/>
    </w:rPr>
  </w:style>
  <w:style w:type="paragraph" w:styleId="TOCHeading">
    <w:name w:val="TOC Heading"/>
    <w:basedOn w:val="Heading1"/>
    <w:next w:val="Normal"/>
    <w:uiPriority w:val="39"/>
    <w:unhideWhenUsed/>
    <w:qFormat/>
    <w:rsid w:val="00C76398"/>
    <w:pPr>
      <w:keepLines/>
      <w:spacing w:before="240" w:after="0" w:line="259" w:lineRule="auto"/>
      <w:outlineLvl w:val="9"/>
    </w:pPr>
    <w:rPr>
      <w:rFonts w:asciiTheme="majorHAnsi" w:eastAsiaTheme="majorEastAsia" w:hAnsiTheme="majorHAnsi" w:cstheme="majorBidi"/>
      <w:b/>
      <w:caps/>
      <w:color w:val="6D6F72" w:themeColor="accent1" w:themeShade="BF"/>
      <w:sz w:val="32"/>
      <w:lang w:val="en-US"/>
    </w:rPr>
  </w:style>
  <w:style w:type="paragraph" w:styleId="TOC1">
    <w:name w:val="toc 1"/>
    <w:basedOn w:val="Normal"/>
    <w:next w:val="Normal"/>
    <w:autoRedefine/>
    <w:uiPriority w:val="39"/>
    <w:unhideWhenUsed/>
    <w:rsid w:val="00C76398"/>
    <w:pPr>
      <w:spacing w:after="100"/>
    </w:pPr>
  </w:style>
  <w:style w:type="paragraph" w:styleId="TOC2">
    <w:name w:val="toc 2"/>
    <w:basedOn w:val="Normal"/>
    <w:next w:val="Normal"/>
    <w:autoRedefine/>
    <w:uiPriority w:val="39"/>
    <w:unhideWhenUsed/>
    <w:rsid w:val="00C76398"/>
    <w:pPr>
      <w:tabs>
        <w:tab w:val="right" w:leader="dot" w:pos="9202"/>
      </w:tabs>
      <w:spacing w:after="100"/>
      <w:ind w:left="220"/>
    </w:pPr>
  </w:style>
  <w:style w:type="paragraph" w:styleId="TOC3">
    <w:name w:val="toc 3"/>
    <w:basedOn w:val="Normal"/>
    <w:next w:val="Normal"/>
    <w:autoRedefine/>
    <w:uiPriority w:val="39"/>
    <w:unhideWhenUsed/>
    <w:rsid w:val="00C76398"/>
    <w:pPr>
      <w:spacing w:after="100"/>
      <w:ind w:left="440"/>
    </w:pPr>
  </w:style>
  <w:style w:type="character" w:styleId="Hyperlink">
    <w:name w:val="Hyperlink"/>
    <w:basedOn w:val="DefaultParagraphFont"/>
    <w:uiPriority w:val="99"/>
    <w:unhideWhenUsed/>
    <w:rsid w:val="00C76398"/>
    <w:rPr>
      <w:color w:val="0070AE" w:themeColor="hyperlink"/>
      <w:u w:val="single"/>
    </w:rPr>
  </w:style>
  <w:style w:type="character" w:styleId="Emphasis">
    <w:name w:val="Emphasis"/>
    <w:basedOn w:val="DefaultParagraphFont"/>
    <w:uiPriority w:val="99"/>
    <w:qFormat/>
    <w:rsid w:val="005169D4"/>
    <w:rPr>
      <w:i/>
      <w:iCs/>
      <w:sz w:val="24"/>
      <w:szCs w:val="24"/>
      <w:bdr w:val="none" w:sz="0" w:space="0" w:color="auto" w:frame="1"/>
      <w:vertAlign w:val="baseline"/>
    </w:rPr>
  </w:style>
  <w:style w:type="paragraph" w:customStyle="1" w:styleId="Default">
    <w:name w:val="Default"/>
    <w:rsid w:val="00E41DFD"/>
    <w:pPr>
      <w:autoSpaceDE w:val="0"/>
      <w:autoSpaceDN w:val="0"/>
      <w:adjustRightInd w:val="0"/>
    </w:pPr>
    <w:rPr>
      <w:rFonts w:ascii="Calibri" w:hAnsi="Calibri" w:cs="Calibri"/>
      <w:color w:val="000000"/>
      <w:sz w:val="24"/>
      <w:szCs w:val="24"/>
    </w:rPr>
  </w:style>
  <w:style w:type="paragraph" w:customStyle="1" w:styleId="Text">
    <w:name w:val="Text"/>
    <w:basedOn w:val="Normal"/>
    <w:autoRedefine/>
    <w:uiPriority w:val="99"/>
    <w:rsid w:val="00ED69C3"/>
    <w:pPr>
      <w:widowControl w:val="0"/>
      <w:suppressAutoHyphens/>
      <w:autoSpaceDE w:val="0"/>
      <w:autoSpaceDN w:val="0"/>
      <w:adjustRightInd w:val="0"/>
      <w:spacing w:before="170" w:after="0" w:line="280" w:lineRule="atLeast"/>
      <w:textAlignment w:val="center"/>
    </w:pPr>
    <w:rPr>
      <w:rFonts w:eastAsia="Times New Roman" w:cs="AGaramondPro-Regular"/>
      <w:color w:val="000000"/>
      <w:szCs w:val="20"/>
      <w:lang w:val="en-US"/>
    </w:rPr>
  </w:style>
  <w:style w:type="paragraph" w:customStyle="1" w:styleId="TableHeader">
    <w:name w:val="Table Header"/>
    <w:basedOn w:val="Normal"/>
    <w:autoRedefine/>
    <w:uiPriority w:val="99"/>
    <w:rsid w:val="00ED69C3"/>
    <w:pPr>
      <w:widowControl w:val="0"/>
      <w:suppressAutoHyphens/>
      <w:autoSpaceDE w:val="0"/>
      <w:autoSpaceDN w:val="0"/>
      <w:adjustRightInd w:val="0"/>
      <w:spacing w:after="0" w:line="280" w:lineRule="atLeast"/>
      <w:ind w:left="1134" w:hanging="1134"/>
      <w:textAlignment w:val="center"/>
    </w:pPr>
    <w:rPr>
      <w:rFonts w:eastAsia="Times New Roman" w:cs="MyriadPro-Regular"/>
      <w:color w:val="FFFFFF"/>
      <w:lang w:val="en-GB"/>
    </w:rPr>
  </w:style>
  <w:style w:type="table" w:styleId="GridTable4-Accent1">
    <w:name w:val="Grid Table 4 Accent 1"/>
    <w:basedOn w:val="TableNormal"/>
    <w:uiPriority w:val="49"/>
    <w:rsid w:val="00C819B3"/>
    <w:rPr>
      <w:rFonts w:asciiTheme="minorHAnsi" w:eastAsiaTheme="minorHAnsi" w:hAnsiTheme="minorHAnsi" w:cstheme="minorBidi"/>
      <w:sz w:val="22"/>
      <w:szCs w:val="22"/>
      <w:lang w:eastAsia="en-US"/>
    </w:r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character" w:styleId="PlaceholderText">
    <w:name w:val="Placeholder Text"/>
    <w:basedOn w:val="DefaultParagraphFont"/>
    <w:uiPriority w:val="99"/>
    <w:semiHidden/>
    <w:rsid w:val="009A284B"/>
    <w:rPr>
      <w:color w:val="808080"/>
    </w:rPr>
  </w:style>
  <w:style w:type="paragraph" w:styleId="EndnoteText">
    <w:name w:val="endnote text"/>
    <w:basedOn w:val="Normal"/>
    <w:link w:val="EndnoteTextChar"/>
    <w:uiPriority w:val="99"/>
    <w:semiHidden/>
    <w:unhideWhenUsed/>
    <w:rsid w:val="00B523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3A7"/>
    <w:rPr>
      <w:lang w:eastAsia="en-US"/>
    </w:rPr>
  </w:style>
  <w:style w:type="character" w:styleId="EndnoteReference">
    <w:name w:val="endnote reference"/>
    <w:basedOn w:val="DefaultParagraphFont"/>
    <w:uiPriority w:val="99"/>
    <w:semiHidden/>
    <w:unhideWhenUsed/>
    <w:rsid w:val="00B523A7"/>
    <w:rPr>
      <w:vertAlign w:val="superscript"/>
    </w:rPr>
  </w:style>
  <w:style w:type="paragraph" w:styleId="BodyText">
    <w:name w:val="Body Text"/>
    <w:link w:val="BodyTextChar"/>
    <w:qFormat/>
    <w:rsid w:val="00C2780F"/>
    <w:pPr>
      <w:spacing w:before="120" w:after="120" w:line="264" w:lineRule="auto"/>
    </w:pPr>
    <w:rPr>
      <w:rFonts w:ascii="Calibri" w:hAnsi="Calibri"/>
      <w:color w:val="000000"/>
      <w:sz w:val="24"/>
      <w:szCs w:val="22"/>
    </w:rPr>
  </w:style>
  <w:style w:type="character" w:customStyle="1" w:styleId="BodyTextChar">
    <w:name w:val="Body Text Char"/>
    <w:basedOn w:val="DefaultParagraphFont"/>
    <w:link w:val="BodyText"/>
    <w:rsid w:val="00C2780F"/>
    <w:rPr>
      <w:rFonts w:ascii="Calibri" w:hAnsi="Calibri"/>
      <w:color w:val="000000"/>
      <w:sz w:val="24"/>
      <w:szCs w:val="22"/>
    </w:rPr>
  </w:style>
  <w:style w:type="table" w:styleId="ListTable4-Accent1">
    <w:name w:val="List Table 4 Accent 1"/>
    <w:basedOn w:val="TableNormal"/>
    <w:uiPriority w:val="49"/>
    <w:rsid w:val="00250F63"/>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tcBorders>
        <w:shd w:val="clear" w:color="auto" w:fill="939598" w:themeFill="accent1"/>
      </w:tcPr>
    </w:tblStylePr>
    <w:tblStylePr w:type="lastRow">
      <w:rPr>
        <w:b/>
        <w:bCs/>
      </w:rPr>
      <w:tblPr/>
      <w:tcPr>
        <w:tcBorders>
          <w:top w:val="double" w:sz="4" w:space="0" w:color="BEBFC1" w:themeColor="accent1" w:themeTint="99"/>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character" w:styleId="FollowedHyperlink">
    <w:name w:val="FollowedHyperlink"/>
    <w:basedOn w:val="DefaultParagraphFont"/>
    <w:uiPriority w:val="99"/>
    <w:semiHidden/>
    <w:unhideWhenUsed/>
    <w:rsid w:val="00A2661E"/>
    <w:rPr>
      <w:color w:val="551A8B" w:themeColor="followedHyperlink"/>
      <w:u w:val="single"/>
    </w:rPr>
  </w:style>
  <w:style w:type="paragraph" w:customStyle="1" w:styleId="CoverTitle">
    <w:name w:val="Cover Title"/>
    <w:basedOn w:val="Normal"/>
    <w:uiPriority w:val="5"/>
    <w:qFormat/>
    <w:rsid w:val="00025519"/>
    <w:pPr>
      <w:spacing w:after="360"/>
    </w:pPr>
    <w:rPr>
      <w:rFonts w:eastAsiaTheme="majorEastAsia" w:cstheme="majorBidi"/>
      <w:color w:val="005677" w:themeColor="text2"/>
      <w:spacing w:val="-5"/>
      <w:sz w:val="56"/>
      <w:szCs w:val="52"/>
    </w:rPr>
  </w:style>
  <w:style w:type="table" w:styleId="GridTable5Dark-Accent1">
    <w:name w:val="Grid Table 5 Dark Accent 1"/>
    <w:basedOn w:val="TableNormal"/>
    <w:uiPriority w:val="50"/>
    <w:rsid w:val="00D747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character" w:customStyle="1" w:styleId="ilfuvd">
    <w:name w:val="ilfuvd"/>
    <w:basedOn w:val="DefaultParagraphFont"/>
    <w:rsid w:val="008815C7"/>
  </w:style>
  <w:style w:type="paragraph" w:customStyle="1" w:styleId="Style1">
    <w:name w:val="Style1"/>
    <w:basedOn w:val="Normal"/>
    <w:link w:val="Style1Char"/>
    <w:qFormat/>
    <w:rsid w:val="00B7538A"/>
    <w:pPr>
      <w:spacing w:after="106" w:line="267" w:lineRule="auto"/>
      <w:ind w:left="2" w:right="14" w:hanging="10"/>
    </w:pPr>
    <w:rPr>
      <w:color w:val="3F3F41"/>
      <w:sz w:val="20"/>
      <w:lang w:eastAsia="en-AU"/>
    </w:rPr>
  </w:style>
  <w:style w:type="character" w:customStyle="1" w:styleId="Style1Char">
    <w:name w:val="Style1 Char"/>
    <w:basedOn w:val="DefaultParagraphFont"/>
    <w:link w:val="Style1"/>
    <w:rsid w:val="00B7538A"/>
    <w:rPr>
      <w:rFonts w:ascii="Calibri" w:hAnsi="Calibri" w:cs="Calibri"/>
      <w:color w:val="3F3F41"/>
      <w:szCs w:val="22"/>
    </w:rPr>
  </w:style>
  <w:style w:type="paragraph" w:customStyle="1" w:styleId="BRBodyText">
    <w:name w:val="BR Body Text"/>
    <w:basedOn w:val="Normal"/>
    <w:link w:val="BRBodyTextChar"/>
    <w:qFormat/>
    <w:rsid w:val="00CA0C8F"/>
    <w:pPr>
      <w:spacing w:after="106" w:line="267" w:lineRule="auto"/>
      <w:ind w:left="-8" w:right="14"/>
    </w:pPr>
    <w:rPr>
      <w:color w:val="3F3F41"/>
      <w:sz w:val="20"/>
      <w:lang w:eastAsia="en-AU"/>
    </w:rPr>
  </w:style>
  <w:style w:type="character" w:customStyle="1" w:styleId="BRBodyTextChar">
    <w:name w:val="BR Body Text Char"/>
    <w:basedOn w:val="DefaultParagraphFont"/>
    <w:link w:val="BRBodyText"/>
    <w:rsid w:val="00CA0C8F"/>
    <w:rPr>
      <w:rFonts w:ascii="Calibri" w:hAnsi="Calibri" w:cs="Calibri"/>
      <w:color w:val="3F3F41"/>
      <w:szCs w:val="22"/>
    </w:rPr>
  </w:style>
  <w:style w:type="paragraph" w:customStyle="1" w:styleId="Bullet1">
    <w:name w:val="Bullet 1"/>
    <w:basedOn w:val="ListParagraph"/>
    <w:link w:val="Bullet1Char"/>
    <w:autoRedefine/>
    <w:uiPriority w:val="7"/>
    <w:qFormat/>
    <w:rsid w:val="00683382"/>
    <w:pPr>
      <w:numPr>
        <w:numId w:val="0"/>
      </w:numPr>
      <w:spacing w:before="60" w:after="0" w:line="240" w:lineRule="auto"/>
    </w:pPr>
    <w:rPr>
      <w:rFonts w:eastAsia="Times New Roman" w:cstheme="minorHAnsi"/>
    </w:rPr>
  </w:style>
  <w:style w:type="character" w:customStyle="1" w:styleId="Bullet1Char">
    <w:name w:val="Bullet 1 Char"/>
    <w:basedOn w:val="DefaultParagraphFont"/>
    <w:link w:val="Bullet1"/>
    <w:uiPriority w:val="7"/>
    <w:rsid w:val="00683382"/>
    <w:rPr>
      <w:rFonts w:ascii="Calibri" w:eastAsia="Times New Roman" w:hAnsi="Calibri" w:cstheme="minorHAnsi"/>
      <w:sz w:val="22"/>
      <w:szCs w:val="22"/>
      <w:lang w:eastAsia="en-US"/>
    </w:rPr>
  </w:style>
  <w:style w:type="paragraph" w:customStyle="1" w:styleId="Bullet2">
    <w:name w:val="Bullet 2"/>
    <w:basedOn w:val="Bullet1"/>
    <w:uiPriority w:val="8"/>
    <w:qFormat/>
    <w:rsid w:val="00872B2B"/>
    <w:pPr>
      <w:numPr>
        <w:ilvl w:val="1"/>
      </w:numPr>
      <w:tabs>
        <w:tab w:val="num" w:pos="1209"/>
      </w:tabs>
      <w:spacing w:before="0"/>
      <w:ind w:left="1209" w:hanging="360"/>
    </w:pPr>
  </w:style>
  <w:style w:type="paragraph" w:customStyle="1" w:styleId="Bullet3">
    <w:name w:val="Bullet 3"/>
    <w:basedOn w:val="Bullet2"/>
    <w:uiPriority w:val="9"/>
    <w:qFormat/>
    <w:rsid w:val="00872B2B"/>
    <w:pPr>
      <w:numPr>
        <w:ilvl w:val="2"/>
      </w:numPr>
      <w:tabs>
        <w:tab w:val="num" w:pos="360"/>
        <w:tab w:val="num" w:pos="1209"/>
      </w:tabs>
      <w:ind w:left="851" w:hanging="426"/>
    </w:pPr>
  </w:style>
  <w:style w:type="paragraph" w:customStyle="1" w:styleId="Notes">
    <w:name w:val="Notes"/>
    <w:basedOn w:val="Caption"/>
    <w:uiPriority w:val="13"/>
    <w:qFormat/>
    <w:rsid w:val="00872B2B"/>
    <w:pPr>
      <w:spacing w:after="0" w:line="240" w:lineRule="auto"/>
      <w:ind w:left="1077" w:hanging="1077"/>
    </w:pPr>
    <w:rPr>
      <w:rFonts w:eastAsiaTheme="minorHAnsi" w:cstheme="minorBidi"/>
      <w:b/>
      <w:bCs w:val="0"/>
      <w:i w:val="0"/>
      <w:iCs w:val="0"/>
      <w:color w:val="4D4DB8"/>
    </w:rPr>
  </w:style>
  <w:style w:type="table" w:customStyle="1" w:styleId="BE-table1">
    <w:name w:val="BE - table1"/>
    <w:basedOn w:val="TableNormal"/>
    <w:uiPriority w:val="99"/>
    <w:rsid w:val="00872B2B"/>
    <w:rPr>
      <w:rFonts w:ascii="Calibri" w:eastAsiaTheme="minorHAnsi" w:hAnsi="Calibri" w:cstheme="minorBidi"/>
      <w:szCs w:val="22"/>
      <w:lang w:eastAsia="en-US"/>
    </w:rPr>
    <w:tblPr>
      <w:tblBorders>
        <w:top w:val="single" w:sz="4" w:space="0" w:color="D3D4D5" w:themeColor="accent1" w:themeTint="66"/>
        <w:left w:val="single" w:sz="4" w:space="0" w:color="D3D4D5" w:themeColor="accent1" w:themeTint="66"/>
        <w:bottom w:val="single" w:sz="4" w:space="0" w:color="D3D4D5" w:themeColor="accent1" w:themeTint="66"/>
        <w:right w:val="single" w:sz="4" w:space="0" w:color="D3D4D5" w:themeColor="accent1" w:themeTint="66"/>
        <w:insideH w:val="single" w:sz="4" w:space="0" w:color="D3D4D5" w:themeColor="accent1" w:themeTint="66"/>
        <w:insideV w:val="single" w:sz="4" w:space="0" w:color="D3D4D5" w:themeColor="accent1" w:themeTint="66"/>
      </w:tblBorders>
    </w:tblPr>
    <w:tblStylePr w:type="firstRow">
      <w:rPr>
        <w:b/>
        <w:i w:val="0"/>
        <w:color w:val="FFFFFF" w:themeColor="background1"/>
      </w:rPr>
      <w:tblPr/>
      <w:tcPr>
        <w:tcBorders>
          <w:top w:val="single" w:sz="4" w:space="0" w:color="D3D4D5" w:themeColor="accent1" w:themeTint="66"/>
          <w:left w:val="single" w:sz="4" w:space="0" w:color="D3D4D5" w:themeColor="accent1" w:themeTint="66"/>
          <w:bottom w:val="single" w:sz="4" w:space="0" w:color="D3D4D5" w:themeColor="accent1" w:themeTint="66"/>
          <w:right w:val="single" w:sz="4" w:space="0" w:color="D3D4D5" w:themeColor="accent1" w:themeTint="66"/>
          <w:insideH w:val="single" w:sz="4" w:space="0" w:color="D3D4D5" w:themeColor="accent1" w:themeTint="66"/>
          <w:insideV w:val="single" w:sz="4" w:space="0" w:color="D3D4D5" w:themeColor="accent1" w:themeTint="66"/>
          <w:tl2br w:val="nil"/>
          <w:tr2bl w:val="nil"/>
        </w:tcBorders>
        <w:shd w:val="clear" w:color="auto" w:fill="D3D4D5" w:themeFill="accent1" w:themeFillTint="66"/>
        <w:vAlign w:val="bottom"/>
      </w:tcPr>
    </w:tblStylePr>
  </w:style>
  <w:style w:type="table" w:styleId="ListTable3-Accent3">
    <w:name w:val="List Table 3 Accent 3"/>
    <w:basedOn w:val="TableNormal"/>
    <w:uiPriority w:val="48"/>
    <w:rsid w:val="00471E65"/>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customStyle="1" w:styleId="Footnote">
    <w:name w:val="Footnote"/>
    <w:basedOn w:val="FootnoteText"/>
    <w:link w:val="FootnoteChar"/>
    <w:qFormat/>
    <w:rsid w:val="006B6FFF"/>
    <w:rPr>
      <w:sz w:val="18"/>
      <w:szCs w:val="18"/>
    </w:rPr>
  </w:style>
  <w:style w:type="paragraph" w:customStyle="1" w:styleId="Calculations">
    <w:name w:val="Calculations"/>
    <w:basedOn w:val="Normal"/>
    <w:link w:val="CalculationsChar"/>
    <w:qFormat/>
    <w:rsid w:val="005609DA"/>
    <w:rPr>
      <w:rFonts w:asciiTheme="minorHAnsi" w:hAnsiTheme="minorHAnsi" w:cstheme="minorHAnsi"/>
      <w:i/>
      <w:sz w:val="20"/>
      <w:szCs w:val="18"/>
    </w:rPr>
  </w:style>
  <w:style w:type="character" w:customStyle="1" w:styleId="FootnoteChar">
    <w:name w:val="Footnote Char"/>
    <w:basedOn w:val="FootnoteTextChar"/>
    <w:link w:val="Footnote"/>
    <w:rsid w:val="006B6FFF"/>
    <w:rPr>
      <w:rFonts w:ascii="Calibri" w:hAnsi="Calibri" w:cs="Calibri"/>
      <w:sz w:val="18"/>
      <w:szCs w:val="18"/>
      <w:lang w:eastAsia="en-US"/>
    </w:rPr>
  </w:style>
  <w:style w:type="paragraph" w:customStyle="1" w:styleId="Sub-heading">
    <w:name w:val="Sub-heading"/>
    <w:basedOn w:val="Normal"/>
    <w:link w:val="Sub-headingChar"/>
    <w:qFormat/>
    <w:rsid w:val="00BF737D"/>
    <w:rPr>
      <w:i/>
      <w:sz w:val="24"/>
    </w:rPr>
  </w:style>
  <w:style w:type="character" w:customStyle="1" w:styleId="CalculationsChar">
    <w:name w:val="Calculations Char"/>
    <w:basedOn w:val="DefaultParagraphFont"/>
    <w:link w:val="Calculations"/>
    <w:rsid w:val="005609DA"/>
    <w:rPr>
      <w:rFonts w:asciiTheme="minorHAnsi" w:hAnsiTheme="minorHAnsi" w:cstheme="minorHAnsi"/>
      <w:i/>
      <w:szCs w:val="18"/>
      <w:lang w:eastAsia="en-US"/>
    </w:rPr>
  </w:style>
  <w:style w:type="character" w:customStyle="1" w:styleId="Sub-headingChar">
    <w:name w:val="Sub-heading Char"/>
    <w:basedOn w:val="DefaultParagraphFont"/>
    <w:link w:val="Sub-heading"/>
    <w:rsid w:val="00BF737D"/>
    <w:rPr>
      <w:rFonts w:ascii="Calibri" w:hAnsi="Calibri" w:cs="Calibri"/>
      <w:i/>
      <w:sz w:val="24"/>
      <w:szCs w:val="22"/>
      <w:lang w:eastAsia="en-US"/>
    </w:rPr>
  </w:style>
  <w:style w:type="table" w:customStyle="1" w:styleId="ListTable3-Accent33">
    <w:name w:val="List Table 3 - Accent 33"/>
    <w:basedOn w:val="TableNormal"/>
    <w:next w:val="ListTable3-Accent3"/>
    <w:uiPriority w:val="48"/>
    <w:rsid w:val="0079381D"/>
    <w:rPr>
      <w:rFonts w:asciiTheme="minorHAnsi" w:eastAsia="Times New Roman" w:hAnsiTheme="minorHAnsi" w:cstheme="minorBidi"/>
      <w:sz w:val="24"/>
      <w:szCs w:val="24"/>
      <w:lang w:eastAsia="en-GB"/>
    </w:rPr>
    <w:tblPr>
      <w:tblStyleRowBandSize w:val="1"/>
      <w:tblStyleColBandSize w:val="1"/>
      <w:tblBorders>
        <w:top w:val="single" w:sz="4" w:space="0" w:color="1B9590"/>
        <w:left w:val="single" w:sz="4" w:space="0" w:color="1B9590"/>
        <w:bottom w:val="single" w:sz="4" w:space="0" w:color="1B9590"/>
        <w:right w:val="single" w:sz="4" w:space="0" w:color="1B9590"/>
      </w:tblBorders>
    </w:tblPr>
    <w:tblStylePr w:type="firstRow">
      <w:rPr>
        <w:b/>
        <w:bCs/>
        <w:color w:val="FFFFFF"/>
      </w:rPr>
      <w:tblPr/>
      <w:tcPr>
        <w:shd w:val="clear" w:color="auto" w:fill="1B9590"/>
      </w:tcPr>
    </w:tblStylePr>
    <w:tblStylePr w:type="lastRow">
      <w:rPr>
        <w:b/>
        <w:bCs/>
      </w:rPr>
      <w:tblPr/>
      <w:tcPr>
        <w:tcBorders>
          <w:top w:val="double" w:sz="4" w:space="0" w:color="1B959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9590"/>
          <w:right w:val="single" w:sz="4" w:space="0" w:color="1B9590"/>
        </w:tcBorders>
      </w:tcPr>
    </w:tblStylePr>
    <w:tblStylePr w:type="band1Horz">
      <w:tblPr/>
      <w:tcPr>
        <w:tcBorders>
          <w:top w:val="single" w:sz="4" w:space="0" w:color="1B9590"/>
          <w:bottom w:val="single" w:sz="4" w:space="0" w:color="1B959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left w:val="nil"/>
        </w:tcBorders>
      </w:tcPr>
    </w:tblStylePr>
    <w:tblStylePr w:type="swCell">
      <w:tblPr/>
      <w:tcPr>
        <w:tcBorders>
          <w:top w:val="double" w:sz="4" w:space="0" w:color="1B959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250">
      <w:bodyDiv w:val="1"/>
      <w:marLeft w:val="0"/>
      <w:marRight w:val="0"/>
      <w:marTop w:val="0"/>
      <w:marBottom w:val="0"/>
      <w:divBdr>
        <w:top w:val="none" w:sz="0" w:space="0" w:color="auto"/>
        <w:left w:val="none" w:sz="0" w:space="0" w:color="auto"/>
        <w:bottom w:val="none" w:sz="0" w:space="0" w:color="auto"/>
        <w:right w:val="none" w:sz="0" w:space="0" w:color="auto"/>
      </w:divBdr>
    </w:div>
    <w:div w:id="61491880">
      <w:bodyDiv w:val="1"/>
      <w:marLeft w:val="0"/>
      <w:marRight w:val="0"/>
      <w:marTop w:val="0"/>
      <w:marBottom w:val="0"/>
      <w:divBdr>
        <w:top w:val="none" w:sz="0" w:space="0" w:color="auto"/>
        <w:left w:val="none" w:sz="0" w:space="0" w:color="auto"/>
        <w:bottom w:val="none" w:sz="0" w:space="0" w:color="auto"/>
        <w:right w:val="none" w:sz="0" w:space="0" w:color="auto"/>
      </w:divBdr>
    </w:div>
    <w:div w:id="116486943">
      <w:bodyDiv w:val="1"/>
      <w:marLeft w:val="0"/>
      <w:marRight w:val="0"/>
      <w:marTop w:val="0"/>
      <w:marBottom w:val="0"/>
      <w:divBdr>
        <w:top w:val="none" w:sz="0" w:space="0" w:color="auto"/>
        <w:left w:val="none" w:sz="0" w:space="0" w:color="auto"/>
        <w:bottom w:val="none" w:sz="0" w:space="0" w:color="auto"/>
        <w:right w:val="none" w:sz="0" w:space="0" w:color="auto"/>
      </w:divBdr>
    </w:div>
    <w:div w:id="119610571">
      <w:bodyDiv w:val="1"/>
      <w:marLeft w:val="0"/>
      <w:marRight w:val="0"/>
      <w:marTop w:val="0"/>
      <w:marBottom w:val="0"/>
      <w:divBdr>
        <w:top w:val="none" w:sz="0" w:space="0" w:color="auto"/>
        <w:left w:val="none" w:sz="0" w:space="0" w:color="auto"/>
        <w:bottom w:val="none" w:sz="0" w:space="0" w:color="auto"/>
        <w:right w:val="none" w:sz="0" w:space="0" w:color="auto"/>
      </w:divBdr>
    </w:div>
    <w:div w:id="353117236">
      <w:bodyDiv w:val="1"/>
      <w:marLeft w:val="0"/>
      <w:marRight w:val="0"/>
      <w:marTop w:val="0"/>
      <w:marBottom w:val="0"/>
      <w:divBdr>
        <w:top w:val="none" w:sz="0" w:space="0" w:color="auto"/>
        <w:left w:val="none" w:sz="0" w:space="0" w:color="auto"/>
        <w:bottom w:val="none" w:sz="0" w:space="0" w:color="auto"/>
        <w:right w:val="none" w:sz="0" w:space="0" w:color="auto"/>
      </w:divBdr>
    </w:div>
    <w:div w:id="369302158">
      <w:bodyDiv w:val="1"/>
      <w:marLeft w:val="0"/>
      <w:marRight w:val="0"/>
      <w:marTop w:val="0"/>
      <w:marBottom w:val="0"/>
      <w:divBdr>
        <w:top w:val="none" w:sz="0" w:space="0" w:color="auto"/>
        <w:left w:val="none" w:sz="0" w:space="0" w:color="auto"/>
        <w:bottom w:val="none" w:sz="0" w:space="0" w:color="auto"/>
        <w:right w:val="none" w:sz="0" w:space="0" w:color="auto"/>
      </w:divBdr>
    </w:div>
    <w:div w:id="627273367">
      <w:bodyDiv w:val="1"/>
      <w:marLeft w:val="0"/>
      <w:marRight w:val="0"/>
      <w:marTop w:val="0"/>
      <w:marBottom w:val="0"/>
      <w:divBdr>
        <w:top w:val="none" w:sz="0" w:space="0" w:color="auto"/>
        <w:left w:val="none" w:sz="0" w:space="0" w:color="auto"/>
        <w:bottom w:val="none" w:sz="0" w:space="0" w:color="auto"/>
        <w:right w:val="none" w:sz="0" w:space="0" w:color="auto"/>
      </w:divBdr>
    </w:div>
    <w:div w:id="967391466">
      <w:bodyDiv w:val="1"/>
      <w:marLeft w:val="0"/>
      <w:marRight w:val="0"/>
      <w:marTop w:val="0"/>
      <w:marBottom w:val="0"/>
      <w:divBdr>
        <w:top w:val="none" w:sz="0" w:space="0" w:color="auto"/>
        <w:left w:val="none" w:sz="0" w:space="0" w:color="auto"/>
        <w:bottom w:val="none" w:sz="0" w:space="0" w:color="auto"/>
        <w:right w:val="none" w:sz="0" w:space="0" w:color="auto"/>
      </w:divBdr>
    </w:div>
    <w:div w:id="1125926943">
      <w:bodyDiv w:val="1"/>
      <w:marLeft w:val="0"/>
      <w:marRight w:val="0"/>
      <w:marTop w:val="0"/>
      <w:marBottom w:val="0"/>
      <w:divBdr>
        <w:top w:val="none" w:sz="0" w:space="0" w:color="auto"/>
        <w:left w:val="none" w:sz="0" w:space="0" w:color="auto"/>
        <w:bottom w:val="none" w:sz="0" w:space="0" w:color="auto"/>
        <w:right w:val="none" w:sz="0" w:space="0" w:color="auto"/>
      </w:divBdr>
    </w:div>
    <w:div w:id="1189218310">
      <w:bodyDiv w:val="1"/>
      <w:marLeft w:val="0"/>
      <w:marRight w:val="0"/>
      <w:marTop w:val="0"/>
      <w:marBottom w:val="0"/>
      <w:divBdr>
        <w:top w:val="none" w:sz="0" w:space="0" w:color="auto"/>
        <w:left w:val="none" w:sz="0" w:space="0" w:color="auto"/>
        <w:bottom w:val="none" w:sz="0" w:space="0" w:color="auto"/>
        <w:right w:val="none" w:sz="0" w:space="0" w:color="auto"/>
      </w:divBdr>
    </w:div>
    <w:div w:id="1310789162">
      <w:bodyDiv w:val="1"/>
      <w:marLeft w:val="0"/>
      <w:marRight w:val="0"/>
      <w:marTop w:val="0"/>
      <w:marBottom w:val="0"/>
      <w:divBdr>
        <w:top w:val="none" w:sz="0" w:space="0" w:color="auto"/>
        <w:left w:val="none" w:sz="0" w:space="0" w:color="auto"/>
        <w:bottom w:val="none" w:sz="0" w:space="0" w:color="auto"/>
        <w:right w:val="none" w:sz="0" w:space="0" w:color="auto"/>
      </w:divBdr>
    </w:div>
    <w:div w:id="1345090708">
      <w:bodyDiv w:val="1"/>
      <w:marLeft w:val="0"/>
      <w:marRight w:val="0"/>
      <w:marTop w:val="0"/>
      <w:marBottom w:val="0"/>
      <w:divBdr>
        <w:top w:val="none" w:sz="0" w:space="0" w:color="auto"/>
        <w:left w:val="none" w:sz="0" w:space="0" w:color="auto"/>
        <w:bottom w:val="none" w:sz="0" w:space="0" w:color="auto"/>
        <w:right w:val="none" w:sz="0" w:space="0" w:color="auto"/>
      </w:divBdr>
    </w:div>
    <w:div w:id="1474445588">
      <w:bodyDiv w:val="1"/>
      <w:marLeft w:val="0"/>
      <w:marRight w:val="0"/>
      <w:marTop w:val="0"/>
      <w:marBottom w:val="0"/>
      <w:divBdr>
        <w:top w:val="none" w:sz="0" w:space="0" w:color="auto"/>
        <w:left w:val="none" w:sz="0" w:space="0" w:color="auto"/>
        <w:bottom w:val="none" w:sz="0" w:space="0" w:color="auto"/>
        <w:right w:val="none" w:sz="0" w:space="0" w:color="auto"/>
      </w:divBdr>
    </w:div>
    <w:div w:id="1475179693">
      <w:bodyDiv w:val="1"/>
      <w:marLeft w:val="0"/>
      <w:marRight w:val="0"/>
      <w:marTop w:val="0"/>
      <w:marBottom w:val="0"/>
      <w:divBdr>
        <w:top w:val="none" w:sz="0" w:space="0" w:color="auto"/>
        <w:left w:val="none" w:sz="0" w:space="0" w:color="auto"/>
        <w:bottom w:val="none" w:sz="0" w:space="0" w:color="auto"/>
        <w:right w:val="none" w:sz="0" w:space="0" w:color="auto"/>
      </w:divBdr>
    </w:div>
    <w:div w:id="1475485885">
      <w:bodyDiv w:val="1"/>
      <w:marLeft w:val="0"/>
      <w:marRight w:val="0"/>
      <w:marTop w:val="0"/>
      <w:marBottom w:val="0"/>
      <w:divBdr>
        <w:top w:val="none" w:sz="0" w:space="0" w:color="auto"/>
        <w:left w:val="none" w:sz="0" w:space="0" w:color="auto"/>
        <w:bottom w:val="none" w:sz="0" w:space="0" w:color="auto"/>
        <w:right w:val="none" w:sz="0" w:space="0" w:color="auto"/>
      </w:divBdr>
    </w:div>
    <w:div w:id="1562667184">
      <w:bodyDiv w:val="1"/>
      <w:marLeft w:val="0"/>
      <w:marRight w:val="0"/>
      <w:marTop w:val="0"/>
      <w:marBottom w:val="0"/>
      <w:divBdr>
        <w:top w:val="none" w:sz="0" w:space="0" w:color="auto"/>
        <w:left w:val="none" w:sz="0" w:space="0" w:color="auto"/>
        <w:bottom w:val="none" w:sz="0" w:space="0" w:color="auto"/>
        <w:right w:val="none" w:sz="0" w:space="0" w:color="auto"/>
      </w:divBdr>
    </w:div>
    <w:div w:id="1562670085">
      <w:bodyDiv w:val="1"/>
      <w:marLeft w:val="0"/>
      <w:marRight w:val="0"/>
      <w:marTop w:val="0"/>
      <w:marBottom w:val="0"/>
      <w:divBdr>
        <w:top w:val="none" w:sz="0" w:space="0" w:color="auto"/>
        <w:left w:val="none" w:sz="0" w:space="0" w:color="auto"/>
        <w:bottom w:val="none" w:sz="0" w:space="0" w:color="auto"/>
        <w:right w:val="none" w:sz="0" w:space="0" w:color="auto"/>
      </w:divBdr>
    </w:div>
    <w:div w:id="1610427025">
      <w:bodyDiv w:val="1"/>
      <w:marLeft w:val="0"/>
      <w:marRight w:val="0"/>
      <w:marTop w:val="0"/>
      <w:marBottom w:val="0"/>
      <w:divBdr>
        <w:top w:val="none" w:sz="0" w:space="0" w:color="auto"/>
        <w:left w:val="none" w:sz="0" w:space="0" w:color="auto"/>
        <w:bottom w:val="none" w:sz="0" w:space="0" w:color="auto"/>
        <w:right w:val="none" w:sz="0" w:space="0" w:color="auto"/>
      </w:divBdr>
    </w:div>
    <w:div w:id="1639450708">
      <w:bodyDiv w:val="1"/>
      <w:marLeft w:val="0"/>
      <w:marRight w:val="0"/>
      <w:marTop w:val="0"/>
      <w:marBottom w:val="0"/>
      <w:divBdr>
        <w:top w:val="none" w:sz="0" w:space="0" w:color="auto"/>
        <w:left w:val="none" w:sz="0" w:space="0" w:color="auto"/>
        <w:bottom w:val="none" w:sz="0" w:space="0" w:color="auto"/>
        <w:right w:val="none" w:sz="0" w:space="0" w:color="auto"/>
      </w:divBdr>
    </w:div>
    <w:div w:id="1674410734">
      <w:bodyDiv w:val="1"/>
      <w:marLeft w:val="0"/>
      <w:marRight w:val="0"/>
      <w:marTop w:val="0"/>
      <w:marBottom w:val="0"/>
      <w:divBdr>
        <w:top w:val="none" w:sz="0" w:space="0" w:color="auto"/>
        <w:left w:val="none" w:sz="0" w:space="0" w:color="auto"/>
        <w:bottom w:val="none" w:sz="0" w:space="0" w:color="auto"/>
        <w:right w:val="none" w:sz="0" w:space="0" w:color="auto"/>
      </w:divBdr>
    </w:div>
    <w:div w:id="1849783946">
      <w:bodyDiv w:val="1"/>
      <w:marLeft w:val="0"/>
      <w:marRight w:val="0"/>
      <w:marTop w:val="0"/>
      <w:marBottom w:val="0"/>
      <w:divBdr>
        <w:top w:val="none" w:sz="0" w:space="0" w:color="auto"/>
        <w:left w:val="none" w:sz="0" w:space="0" w:color="auto"/>
        <w:bottom w:val="none" w:sz="0" w:space="0" w:color="auto"/>
        <w:right w:val="none" w:sz="0" w:space="0" w:color="auto"/>
      </w:divBdr>
    </w:div>
    <w:div w:id="20400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emo.com.au/-/media/files/electricity/wem/planning_and_forecasting/esoo/2021/2021-wholesale-electricity-market-electricity-statement-of-opportunities.pdf?la=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emo.com.au/en/energy-systems/major-publications/integrated-system-plan-isp/2022-integrated-system-plan-isp/current-inputs-assumptions-and-scenarios" TargetMode="External"/><Relationship Id="rId17" Type="http://schemas.openxmlformats.org/officeDocument/2006/relationships/hyperlink" Target="https://www.energyrating.gov.au/sites/default/files/2020-06/report-residential-baseline-study-for-australia-2000-2030.pdf"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cleanenergyregulator.gov.au/DocumentAssets/Documents/Quarterly%20Carbon%20Market%20Report%20-%20June%20Quarter%2020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mo.com.au/-/media/files/major-publications/isp/2020/final-2020-integrated-system-plan.pdf?la=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leanenergyregulator.gov.au/RET/About-the-Renewable-Energy-Target/Large-scale-Renewable-Energy-Target-market-data/large-scale-renewable-energy-target-supply-data" TargetMode="External"/><Relationship Id="rId23" Type="http://schemas.openxmlformats.org/officeDocument/2006/relationships/glossaryDocument" Target="glossary/document.xml"/><Relationship Id="rId10" Type="http://schemas.openxmlformats.org/officeDocument/2006/relationships/hyperlink" Target="https://www.abs.gov.au/AUSSTATS/abs@.nsf/mf/322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emo.com.au/-/media/files/gas/national_planning_and_forecasting/gsoo/2021/2021-gas-statement-of-opportunities.pdf?la=en"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CF"/>
    <w:rsid w:val="00047EC0"/>
    <w:rsid w:val="001E406C"/>
    <w:rsid w:val="0026308C"/>
    <w:rsid w:val="002C1569"/>
    <w:rsid w:val="00367B8A"/>
    <w:rsid w:val="00563341"/>
    <w:rsid w:val="005730AC"/>
    <w:rsid w:val="00654A34"/>
    <w:rsid w:val="006C4AAE"/>
    <w:rsid w:val="0079183E"/>
    <w:rsid w:val="007959CF"/>
    <w:rsid w:val="00A44681"/>
    <w:rsid w:val="00A55A98"/>
    <w:rsid w:val="00B31B36"/>
    <w:rsid w:val="00B51716"/>
    <w:rsid w:val="00C64D71"/>
    <w:rsid w:val="00CE4B86"/>
    <w:rsid w:val="00E0008E"/>
    <w:rsid w:val="00E1467A"/>
    <w:rsid w:val="00ED3FED"/>
    <w:rsid w:val="00F7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E9E088F6754355BC34FD257645E76E">
    <w:name w:val="1CE9E088F6754355BC34FD257645E76E"/>
    <w:rsid w:val="007959CF"/>
  </w:style>
  <w:style w:type="character" w:styleId="PlaceholderText">
    <w:name w:val="Placeholder Text"/>
    <w:basedOn w:val="DefaultParagraphFont"/>
    <w:uiPriority w:val="99"/>
    <w:semiHidden/>
    <w:rsid w:val="007959CF"/>
    <w:rPr>
      <w:color w:val="808080"/>
    </w:rPr>
  </w:style>
  <w:style w:type="paragraph" w:customStyle="1" w:styleId="575134E544C64591872E2333C360393E">
    <w:name w:val="575134E544C64591872E2333C360393E"/>
    <w:rsid w:val="007959CF"/>
  </w:style>
  <w:style w:type="paragraph" w:customStyle="1" w:styleId="5CA5C3CAC4804CC3A9CAB366CDC52E77">
    <w:name w:val="5CA5C3CAC4804CC3A9CAB366CDC52E77"/>
    <w:rsid w:val="007959CF"/>
  </w:style>
  <w:style w:type="paragraph" w:customStyle="1" w:styleId="2924B0140E5B4AC5AE9A7CE827077A94">
    <w:name w:val="2924B0140E5B4AC5AE9A7CE827077A94"/>
    <w:rsid w:val="00795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eme1">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ARE19</b:Tag>
    <b:SourceType>InternetSite</b:SourceType>
    <b:Guid>{F1DC9ED5-4302-49E0-9461-D30139D58C2B}</b:Guid>
    <b:Author>
      <b:Author>
        <b:Corporate>ARENA</b:Corporate>
      </b:Author>
    </b:Author>
    <b:Title>Kwinana waste to energy project</b:Title>
    <b:CountryRegion>Australia </b:CountryRegion>
    <b:Year>2019</b:Year>
    <b:Month>August</b:Month>
    <b:URL>https://arena.gov.au/projects/kwinana-waste-to-energy-project/</b:URL>
    <b:InternetSiteTitle>Australian Renewable Energy Agency</b:InternetSiteTitle>
    <b:RefOrder>4</b:RefOrder>
  </b:Source>
</b:Sources>
</file>

<file path=customXml/itemProps1.xml><?xml version="1.0" encoding="utf-8"?>
<ds:datastoreItem xmlns:ds="http://schemas.openxmlformats.org/officeDocument/2006/customXml" ds:itemID="{747F8025-9287-43C1-AF07-5BC6C9F0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10339</Words>
  <Characters>56141</Characters>
  <Application>Microsoft Office Word</Application>
  <DocSecurity>0</DocSecurity>
  <Lines>1701</Lines>
  <Paragraphs>1303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for the 2021 projections</dc:title>
  <dc:subject/>
  <dc:creator/>
  <cp:keywords/>
  <dc:description/>
  <cp:lastModifiedBy/>
  <cp:revision>1</cp:revision>
  <dcterms:created xsi:type="dcterms:W3CDTF">2021-10-25T23:17:00Z</dcterms:created>
  <dcterms:modified xsi:type="dcterms:W3CDTF">2021-10-25T23:17:00Z</dcterms:modified>
</cp:coreProperties>
</file>